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051" w:rsidRDefault="00633051" w:rsidP="0050536B">
      <w:pPr>
        <w:pStyle w:val="Nadpis4"/>
      </w:pPr>
    </w:p>
    <w:p w:rsidR="00633051" w:rsidRDefault="00633051" w:rsidP="0050536B">
      <w:pPr>
        <w:pStyle w:val="Nadpis4"/>
      </w:pPr>
    </w:p>
    <w:p w:rsidR="00633051" w:rsidRDefault="00633051" w:rsidP="0050536B">
      <w:pPr>
        <w:pStyle w:val="Nadpis4"/>
      </w:pPr>
    </w:p>
    <w:p w:rsidR="00782B26" w:rsidRDefault="0050536B" w:rsidP="0050536B">
      <w:pPr>
        <w:pStyle w:val="Nadpis4"/>
      </w:pPr>
      <w:r>
        <w:t>N</w:t>
      </w:r>
      <w:r w:rsidR="0010483A">
        <w:t xml:space="preserve">ávrh státního závěrečného účtu </w:t>
      </w:r>
      <w:r>
        <w:t>Č</w:t>
      </w:r>
      <w:r w:rsidR="0010483A">
        <w:t>eské republiky za rok</w:t>
      </w:r>
      <w:r>
        <w:t xml:space="preserve"> 2020</w:t>
      </w:r>
    </w:p>
    <w:p w:rsidR="00633051" w:rsidRDefault="00633051" w:rsidP="0050536B">
      <w:pPr>
        <w:pStyle w:val="Nadpis4"/>
      </w:pPr>
    </w:p>
    <w:p w:rsidR="0050536B" w:rsidRPr="0082316E" w:rsidRDefault="0050536B" w:rsidP="0050536B">
      <w:pPr>
        <w:pStyle w:val="Nadpis4"/>
      </w:pPr>
      <w:r>
        <w:t xml:space="preserve">Sešit </w:t>
      </w:r>
      <w:r w:rsidR="00FE2A58">
        <w:t>D</w:t>
      </w:r>
    </w:p>
    <w:p w:rsidR="0050536B" w:rsidRPr="0050536B" w:rsidRDefault="00FE2A58" w:rsidP="0050536B">
      <w:pPr>
        <w:pStyle w:val="Nadpis4"/>
      </w:pPr>
      <w:r>
        <w:t>Zpráva o stavu a vývoji státních finančních aktiv a státních záruk</w:t>
      </w:r>
    </w:p>
    <w:p w:rsidR="00782B26" w:rsidRPr="00167E7D" w:rsidRDefault="00782B26" w:rsidP="00782B26">
      <w:pPr>
        <w:rPr>
          <w:rFonts w:eastAsiaTheme="majorEastAsia" w:cstheme="majorBidi"/>
          <w:color w:val="2E74B5" w:themeColor="accent1" w:themeShade="BF"/>
          <w:sz w:val="32"/>
        </w:rPr>
      </w:pPr>
      <w:r w:rsidRPr="00167E7D">
        <w:br w:type="page"/>
      </w:r>
    </w:p>
    <w:sdt>
      <w:sdtPr>
        <w:rPr>
          <w:rFonts w:asciiTheme="minorHAnsi" w:eastAsiaTheme="minorHAnsi" w:hAnsiTheme="minorHAnsi" w:cstheme="minorBidi"/>
          <w:color w:val="auto"/>
          <w:sz w:val="20"/>
          <w:szCs w:val="20"/>
          <w:lang w:eastAsia="en-US"/>
        </w:rPr>
        <w:id w:val="551581784"/>
        <w:docPartObj>
          <w:docPartGallery w:val="Table of Contents"/>
          <w:docPartUnique/>
        </w:docPartObj>
      </w:sdtPr>
      <w:sdtEndPr>
        <w:rPr>
          <w:b/>
          <w:bCs/>
        </w:rPr>
      </w:sdtEndPr>
      <w:sdtContent>
        <w:p w:rsidR="00782B26" w:rsidRPr="00167E7D" w:rsidRDefault="00782B26" w:rsidP="00782B26">
          <w:pPr>
            <w:pStyle w:val="Nadpisobsahu"/>
            <w:rPr>
              <w:b/>
              <w:sz w:val="28"/>
              <w:szCs w:val="28"/>
            </w:rPr>
          </w:pPr>
          <w:r w:rsidRPr="00167E7D">
            <w:rPr>
              <w:b/>
              <w:sz w:val="28"/>
              <w:szCs w:val="28"/>
            </w:rPr>
            <w:t>Obsah</w:t>
          </w:r>
        </w:p>
        <w:p w:rsidR="009A07C9" w:rsidRPr="00F73B91" w:rsidRDefault="00782B26" w:rsidP="00F73B91">
          <w:pPr>
            <w:pStyle w:val="Obsah1"/>
            <w:rPr>
              <w:rFonts w:eastAsiaTheme="minorEastAsia"/>
              <w:lang w:eastAsia="cs-CZ"/>
            </w:rPr>
          </w:pPr>
          <w:r w:rsidRPr="00167E7D">
            <w:rPr>
              <w:sz w:val="18"/>
              <w:szCs w:val="18"/>
            </w:rPr>
            <w:fldChar w:fldCharType="begin"/>
          </w:r>
          <w:r w:rsidRPr="00167E7D">
            <w:rPr>
              <w:sz w:val="18"/>
              <w:szCs w:val="18"/>
            </w:rPr>
            <w:instrText xml:space="preserve"> TOC \o "1-3" \h \z \u </w:instrText>
          </w:r>
          <w:r w:rsidRPr="00167E7D">
            <w:rPr>
              <w:sz w:val="18"/>
              <w:szCs w:val="18"/>
            </w:rPr>
            <w:fldChar w:fldCharType="separate"/>
          </w:r>
          <w:hyperlink w:anchor="_Toc56599063" w:history="1">
            <w:r w:rsidR="009A07C9" w:rsidRPr="00F73B91">
              <w:rPr>
                <w:rStyle w:val="Hypertextovodkaz"/>
                <w:b/>
                <w:bCs/>
              </w:rPr>
              <w:t>I.</w:t>
            </w:r>
            <w:r w:rsidR="009A07C9" w:rsidRPr="00F73B91">
              <w:rPr>
                <w:rFonts w:eastAsiaTheme="minorEastAsia"/>
                <w:lang w:eastAsia="cs-CZ"/>
              </w:rPr>
              <w:tab/>
            </w:r>
            <w:r w:rsidR="009A07C9" w:rsidRPr="00F73B91">
              <w:rPr>
                <w:rStyle w:val="Hypertextovodkaz"/>
                <w:b/>
                <w:bCs/>
              </w:rPr>
              <w:t>Základní tendence vývoje státních finančních aktiv a pasiv</w:t>
            </w:r>
            <w:r w:rsidR="009A07C9" w:rsidRPr="00F73B91">
              <w:rPr>
                <w:webHidden/>
              </w:rPr>
              <w:tab/>
            </w:r>
            <w:r w:rsidR="009A07C9" w:rsidRPr="00F73B91">
              <w:rPr>
                <w:webHidden/>
              </w:rPr>
              <w:fldChar w:fldCharType="begin"/>
            </w:r>
            <w:r w:rsidR="009A07C9" w:rsidRPr="00F73B91">
              <w:rPr>
                <w:webHidden/>
              </w:rPr>
              <w:instrText xml:space="preserve"> PAGEREF _Toc56599063 \h </w:instrText>
            </w:r>
            <w:r w:rsidR="009A07C9" w:rsidRPr="00F73B91">
              <w:rPr>
                <w:webHidden/>
              </w:rPr>
            </w:r>
            <w:r w:rsidR="009A07C9" w:rsidRPr="00F73B91">
              <w:rPr>
                <w:webHidden/>
              </w:rPr>
              <w:fldChar w:fldCharType="separate"/>
            </w:r>
            <w:r w:rsidR="002C77B2">
              <w:rPr>
                <w:webHidden/>
              </w:rPr>
              <w:t>1</w:t>
            </w:r>
            <w:r w:rsidR="009A07C9" w:rsidRPr="00F73B91">
              <w:rPr>
                <w:webHidden/>
              </w:rPr>
              <w:fldChar w:fldCharType="end"/>
            </w:r>
          </w:hyperlink>
        </w:p>
        <w:p w:rsidR="009A07C9" w:rsidRDefault="008E5549" w:rsidP="00F73B91">
          <w:pPr>
            <w:pStyle w:val="Obsah1"/>
            <w:rPr>
              <w:rFonts w:eastAsiaTheme="minorEastAsia"/>
              <w:lang w:eastAsia="cs-CZ"/>
            </w:rPr>
          </w:pPr>
          <w:hyperlink w:anchor="_Toc56599064" w:history="1">
            <w:r w:rsidR="009A07C9" w:rsidRPr="00F73B91">
              <w:rPr>
                <w:rStyle w:val="Hypertextovodkaz"/>
                <w:b/>
                <w:bCs/>
              </w:rPr>
              <w:t>II.</w:t>
            </w:r>
            <w:r w:rsidR="009A07C9" w:rsidRPr="00F73B91">
              <w:rPr>
                <w:rFonts w:eastAsiaTheme="minorEastAsia"/>
                <w:lang w:eastAsia="cs-CZ"/>
              </w:rPr>
              <w:tab/>
            </w:r>
            <w:r w:rsidR="009A07C9" w:rsidRPr="00F73B91">
              <w:rPr>
                <w:rStyle w:val="Hypertextovodkaz"/>
                <w:b/>
                <w:bCs/>
              </w:rPr>
              <w:t>Stav a vývoj státních finančních aktiv</w:t>
            </w:r>
            <w:r w:rsidR="009A07C9" w:rsidRPr="00F73B91">
              <w:rPr>
                <w:webHidden/>
              </w:rPr>
              <w:tab/>
            </w:r>
            <w:r w:rsidR="009A07C9" w:rsidRPr="00F73B91">
              <w:rPr>
                <w:webHidden/>
              </w:rPr>
              <w:fldChar w:fldCharType="begin"/>
            </w:r>
            <w:r w:rsidR="009A07C9" w:rsidRPr="00F73B91">
              <w:rPr>
                <w:webHidden/>
              </w:rPr>
              <w:instrText xml:space="preserve"> PAGEREF _Toc56599064 \h </w:instrText>
            </w:r>
            <w:r w:rsidR="009A07C9" w:rsidRPr="00F73B91">
              <w:rPr>
                <w:webHidden/>
              </w:rPr>
            </w:r>
            <w:r w:rsidR="009A07C9" w:rsidRPr="00F73B91">
              <w:rPr>
                <w:webHidden/>
              </w:rPr>
              <w:fldChar w:fldCharType="separate"/>
            </w:r>
            <w:r w:rsidR="002C77B2">
              <w:rPr>
                <w:webHidden/>
              </w:rPr>
              <w:t>2</w:t>
            </w:r>
            <w:r w:rsidR="009A07C9" w:rsidRPr="00F73B91">
              <w:rPr>
                <w:webHidden/>
              </w:rPr>
              <w:fldChar w:fldCharType="end"/>
            </w:r>
          </w:hyperlink>
        </w:p>
        <w:p w:rsidR="009A07C9" w:rsidRDefault="008E5549" w:rsidP="00F73B91">
          <w:pPr>
            <w:pStyle w:val="Obsah1"/>
            <w:rPr>
              <w:rFonts w:eastAsiaTheme="minorEastAsia"/>
              <w:lang w:eastAsia="cs-CZ"/>
            </w:rPr>
          </w:pPr>
          <w:hyperlink w:anchor="_Toc56599065" w:history="1">
            <w:r w:rsidR="009A07C9" w:rsidRPr="00676167">
              <w:rPr>
                <w:rStyle w:val="Hypertextovodkaz"/>
              </w:rPr>
              <w:t>1</w:t>
            </w:r>
            <w:r w:rsidR="009A07C9">
              <w:rPr>
                <w:rFonts w:eastAsiaTheme="minorEastAsia"/>
                <w:lang w:eastAsia="cs-CZ"/>
              </w:rPr>
              <w:tab/>
            </w:r>
            <w:r w:rsidR="009A07C9" w:rsidRPr="00676167">
              <w:rPr>
                <w:rStyle w:val="Hypertextovodkaz"/>
              </w:rPr>
              <w:t>Operace na bankovních depozitních účtech SFA</w:t>
            </w:r>
            <w:r w:rsidR="009A07C9">
              <w:rPr>
                <w:webHidden/>
              </w:rPr>
              <w:tab/>
            </w:r>
            <w:r w:rsidR="009A07C9">
              <w:rPr>
                <w:webHidden/>
              </w:rPr>
              <w:fldChar w:fldCharType="begin"/>
            </w:r>
            <w:r w:rsidR="009A07C9">
              <w:rPr>
                <w:webHidden/>
              </w:rPr>
              <w:instrText xml:space="preserve"> PAGEREF _Toc56599065 \h </w:instrText>
            </w:r>
            <w:r w:rsidR="009A07C9">
              <w:rPr>
                <w:webHidden/>
              </w:rPr>
            </w:r>
            <w:r w:rsidR="009A07C9">
              <w:rPr>
                <w:webHidden/>
              </w:rPr>
              <w:fldChar w:fldCharType="separate"/>
            </w:r>
            <w:r w:rsidR="002C77B2">
              <w:rPr>
                <w:webHidden/>
              </w:rPr>
              <w:t>2</w:t>
            </w:r>
            <w:r w:rsidR="009A07C9">
              <w:rPr>
                <w:webHidden/>
              </w:rPr>
              <w:fldChar w:fldCharType="end"/>
            </w:r>
          </w:hyperlink>
        </w:p>
        <w:p w:rsidR="009A07C9" w:rsidRDefault="008E5549" w:rsidP="00F73B91">
          <w:pPr>
            <w:pStyle w:val="Obsah1"/>
            <w:rPr>
              <w:rFonts w:eastAsiaTheme="minorEastAsia"/>
              <w:lang w:eastAsia="cs-CZ"/>
            </w:rPr>
          </w:pPr>
          <w:hyperlink w:anchor="_Toc56599066" w:history="1">
            <w:r w:rsidR="009A07C9" w:rsidRPr="00676167">
              <w:rPr>
                <w:rStyle w:val="Hypertextovodkaz"/>
              </w:rPr>
              <w:t>2</w:t>
            </w:r>
            <w:r w:rsidR="009A07C9">
              <w:rPr>
                <w:rFonts w:eastAsiaTheme="minorEastAsia"/>
                <w:lang w:eastAsia="cs-CZ"/>
              </w:rPr>
              <w:tab/>
            </w:r>
            <w:r w:rsidR="009A07C9" w:rsidRPr="00676167">
              <w:rPr>
                <w:rStyle w:val="Hypertextovodkaz"/>
              </w:rPr>
              <w:t>Státní zahraniční pohledávky</w:t>
            </w:r>
            <w:r w:rsidR="009A07C9">
              <w:rPr>
                <w:webHidden/>
              </w:rPr>
              <w:tab/>
            </w:r>
            <w:r w:rsidR="009A07C9">
              <w:rPr>
                <w:webHidden/>
              </w:rPr>
              <w:fldChar w:fldCharType="begin"/>
            </w:r>
            <w:r w:rsidR="009A07C9">
              <w:rPr>
                <w:webHidden/>
              </w:rPr>
              <w:instrText xml:space="preserve"> PAGEREF _Toc56599066 \h </w:instrText>
            </w:r>
            <w:r w:rsidR="009A07C9">
              <w:rPr>
                <w:webHidden/>
              </w:rPr>
            </w:r>
            <w:r w:rsidR="009A07C9">
              <w:rPr>
                <w:webHidden/>
              </w:rPr>
              <w:fldChar w:fldCharType="separate"/>
            </w:r>
            <w:r w:rsidR="002C77B2">
              <w:rPr>
                <w:webHidden/>
              </w:rPr>
              <w:t>7</w:t>
            </w:r>
            <w:r w:rsidR="009A07C9">
              <w:rPr>
                <w:webHidden/>
              </w:rPr>
              <w:fldChar w:fldCharType="end"/>
            </w:r>
          </w:hyperlink>
        </w:p>
        <w:p w:rsidR="009A07C9" w:rsidRDefault="008E5549" w:rsidP="00F73B91">
          <w:pPr>
            <w:pStyle w:val="Obsah1"/>
            <w:rPr>
              <w:rFonts w:eastAsiaTheme="minorEastAsia"/>
              <w:lang w:eastAsia="cs-CZ"/>
            </w:rPr>
          </w:pPr>
          <w:hyperlink w:anchor="_Toc56599067" w:history="1">
            <w:r w:rsidR="009A07C9" w:rsidRPr="00676167">
              <w:rPr>
                <w:rStyle w:val="Hypertextovodkaz"/>
              </w:rPr>
              <w:t>3</w:t>
            </w:r>
            <w:r w:rsidR="009A07C9">
              <w:rPr>
                <w:rFonts w:eastAsiaTheme="minorEastAsia"/>
                <w:lang w:eastAsia="cs-CZ"/>
              </w:rPr>
              <w:tab/>
            </w:r>
            <w:r w:rsidR="009A07C9" w:rsidRPr="00676167">
              <w:rPr>
                <w:rStyle w:val="Hypertextovodkaz"/>
              </w:rPr>
              <w:t>Majetkové účasti u mezinárodních a tuzemských společností</w:t>
            </w:r>
            <w:r w:rsidR="009A07C9">
              <w:rPr>
                <w:webHidden/>
              </w:rPr>
              <w:tab/>
            </w:r>
            <w:r w:rsidR="009A07C9">
              <w:rPr>
                <w:webHidden/>
              </w:rPr>
              <w:fldChar w:fldCharType="begin"/>
            </w:r>
            <w:r w:rsidR="009A07C9">
              <w:rPr>
                <w:webHidden/>
              </w:rPr>
              <w:instrText xml:space="preserve"> PAGEREF _Toc56599067 \h </w:instrText>
            </w:r>
            <w:r w:rsidR="009A07C9">
              <w:rPr>
                <w:webHidden/>
              </w:rPr>
            </w:r>
            <w:r w:rsidR="009A07C9">
              <w:rPr>
                <w:webHidden/>
              </w:rPr>
              <w:fldChar w:fldCharType="separate"/>
            </w:r>
            <w:r w:rsidR="002C77B2">
              <w:rPr>
                <w:webHidden/>
              </w:rPr>
              <w:t>9</w:t>
            </w:r>
            <w:r w:rsidR="009A07C9">
              <w:rPr>
                <w:webHidden/>
              </w:rPr>
              <w:fldChar w:fldCharType="end"/>
            </w:r>
          </w:hyperlink>
        </w:p>
        <w:p w:rsidR="009A07C9" w:rsidRDefault="008E5549">
          <w:pPr>
            <w:pStyle w:val="Obsah2"/>
            <w:rPr>
              <w:rFonts w:eastAsiaTheme="minorEastAsia"/>
              <w:noProof/>
              <w:lang w:eastAsia="cs-CZ"/>
            </w:rPr>
          </w:pPr>
          <w:hyperlink w:anchor="_Toc56599068" w:history="1">
            <w:r w:rsidR="009A07C9" w:rsidRPr="00676167">
              <w:rPr>
                <w:rStyle w:val="Hypertextovodkaz"/>
                <w:noProof/>
              </w:rPr>
              <w:t>3.1</w:t>
            </w:r>
            <w:r w:rsidR="009A07C9">
              <w:rPr>
                <w:rFonts w:eastAsiaTheme="minorEastAsia"/>
                <w:noProof/>
                <w:lang w:eastAsia="cs-CZ"/>
              </w:rPr>
              <w:tab/>
            </w:r>
            <w:r w:rsidR="009A07C9" w:rsidRPr="00676167">
              <w:rPr>
                <w:rStyle w:val="Hypertextovodkaz"/>
                <w:noProof/>
              </w:rPr>
              <w:t>Účasti u mezinárodních finančních institucí a zahraničních společností</w:t>
            </w:r>
            <w:r w:rsidR="009A07C9">
              <w:rPr>
                <w:noProof/>
                <w:webHidden/>
              </w:rPr>
              <w:tab/>
            </w:r>
            <w:r w:rsidR="009A07C9">
              <w:rPr>
                <w:noProof/>
                <w:webHidden/>
              </w:rPr>
              <w:fldChar w:fldCharType="begin"/>
            </w:r>
            <w:r w:rsidR="009A07C9">
              <w:rPr>
                <w:noProof/>
                <w:webHidden/>
              </w:rPr>
              <w:instrText xml:space="preserve"> PAGEREF _Toc56599068 \h </w:instrText>
            </w:r>
            <w:r w:rsidR="009A07C9">
              <w:rPr>
                <w:noProof/>
                <w:webHidden/>
              </w:rPr>
            </w:r>
            <w:r w:rsidR="009A07C9">
              <w:rPr>
                <w:noProof/>
                <w:webHidden/>
              </w:rPr>
              <w:fldChar w:fldCharType="separate"/>
            </w:r>
            <w:r w:rsidR="002C77B2">
              <w:rPr>
                <w:noProof/>
                <w:webHidden/>
              </w:rPr>
              <w:t>9</w:t>
            </w:r>
            <w:r w:rsidR="009A07C9">
              <w:rPr>
                <w:noProof/>
                <w:webHidden/>
              </w:rPr>
              <w:fldChar w:fldCharType="end"/>
            </w:r>
          </w:hyperlink>
        </w:p>
        <w:p w:rsidR="009A07C9" w:rsidRDefault="008E5549">
          <w:pPr>
            <w:pStyle w:val="Obsah2"/>
            <w:rPr>
              <w:rFonts w:eastAsiaTheme="minorEastAsia"/>
              <w:noProof/>
              <w:lang w:eastAsia="cs-CZ"/>
            </w:rPr>
          </w:pPr>
          <w:hyperlink w:anchor="_Toc56599069" w:history="1">
            <w:r w:rsidR="009A07C9" w:rsidRPr="00676167">
              <w:rPr>
                <w:rStyle w:val="Hypertextovodkaz"/>
                <w:noProof/>
              </w:rPr>
              <w:t>3.2</w:t>
            </w:r>
            <w:r w:rsidR="009A07C9">
              <w:rPr>
                <w:rFonts w:eastAsiaTheme="minorEastAsia"/>
                <w:noProof/>
                <w:lang w:eastAsia="cs-CZ"/>
              </w:rPr>
              <w:tab/>
            </w:r>
            <w:r w:rsidR="009A07C9" w:rsidRPr="00676167">
              <w:rPr>
                <w:rStyle w:val="Hypertextovodkaz"/>
                <w:noProof/>
              </w:rPr>
              <w:t>Majetkové účasti u tuzemských společností</w:t>
            </w:r>
            <w:r w:rsidR="009A07C9">
              <w:rPr>
                <w:noProof/>
                <w:webHidden/>
              </w:rPr>
              <w:tab/>
            </w:r>
            <w:r w:rsidR="009A07C9">
              <w:rPr>
                <w:noProof/>
                <w:webHidden/>
              </w:rPr>
              <w:fldChar w:fldCharType="begin"/>
            </w:r>
            <w:r w:rsidR="009A07C9">
              <w:rPr>
                <w:noProof/>
                <w:webHidden/>
              </w:rPr>
              <w:instrText xml:space="preserve"> PAGEREF _Toc56599069 \h </w:instrText>
            </w:r>
            <w:r w:rsidR="009A07C9">
              <w:rPr>
                <w:noProof/>
                <w:webHidden/>
              </w:rPr>
            </w:r>
            <w:r w:rsidR="009A07C9">
              <w:rPr>
                <w:noProof/>
                <w:webHidden/>
              </w:rPr>
              <w:fldChar w:fldCharType="separate"/>
            </w:r>
            <w:r w:rsidR="002C77B2">
              <w:rPr>
                <w:noProof/>
                <w:webHidden/>
              </w:rPr>
              <w:t>11</w:t>
            </w:r>
            <w:r w:rsidR="009A07C9">
              <w:rPr>
                <w:noProof/>
                <w:webHidden/>
              </w:rPr>
              <w:fldChar w:fldCharType="end"/>
            </w:r>
          </w:hyperlink>
        </w:p>
        <w:p w:rsidR="009A07C9" w:rsidRDefault="008E5549" w:rsidP="00F73B91">
          <w:pPr>
            <w:pStyle w:val="Obsah1"/>
            <w:rPr>
              <w:rFonts w:eastAsiaTheme="minorEastAsia"/>
              <w:lang w:eastAsia="cs-CZ"/>
            </w:rPr>
          </w:pPr>
          <w:hyperlink w:anchor="_Toc56599070" w:history="1">
            <w:r w:rsidR="009A07C9" w:rsidRPr="00676167">
              <w:rPr>
                <w:rStyle w:val="Hypertextovodkaz"/>
              </w:rPr>
              <w:t>4</w:t>
            </w:r>
            <w:r w:rsidR="009A07C9">
              <w:rPr>
                <w:rFonts w:eastAsiaTheme="minorEastAsia"/>
                <w:lang w:eastAsia="cs-CZ"/>
              </w:rPr>
              <w:tab/>
            </w:r>
            <w:r w:rsidR="009A07C9" w:rsidRPr="00676167">
              <w:rPr>
                <w:rStyle w:val="Hypertextovodkaz"/>
              </w:rPr>
              <w:t>Státní půjčky, návratné finanční výpomoci a jiné tuzemské pohledávky státu</w:t>
            </w:r>
            <w:r w:rsidR="009A07C9">
              <w:rPr>
                <w:webHidden/>
              </w:rPr>
              <w:tab/>
            </w:r>
            <w:r w:rsidR="009A07C9">
              <w:rPr>
                <w:webHidden/>
              </w:rPr>
              <w:fldChar w:fldCharType="begin"/>
            </w:r>
            <w:r w:rsidR="009A07C9">
              <w:rPr>
                <w:webHidden/>
              </w:rPr>
              <w:instrText xml:space="preserve"> PAGEREF _Toc56599070 \h </w:instrText>
            </w:r>
            <w:r w:rsidR="009A07C9">
              <w:rPr>
                <w:webHidden/>
              </w:rPr>
            </w:r>
            <w:r w:rsidR="009A07C9">
              <w:rPr>
                <w:webHidden/>
              </w:rPr>
              <w:fldChar w:fldCharType="separate"/>
            </w:r>
            <w:r w:rsidR="002C77B2">
              <w:rPr>
                <w:webHidden/>
              </w:rPr>
              <w:t>12</w:t>
            </w:r>
            <w:r w:rsidR="009A07C9">
              <w:rPr>
                <w:webHidden/>
              </w:rPr>
              <w:fldChar w:fldCharType="end"/>
            </w:r>
          </w:hyperlink>
        </w:p>
        <w:p w:rsidR="009A07C9" w:rsidRPr="00F73B91" w:rsidRDefault="008E5549" w:rsidP="00F73B91">
          <w:pPr>
            <w:pStyle w:val="Obsah1"/>
            <w:rPr>
              <w:rFonts w:eastAsiaTheme="minorEastAsia"/>
              <w:lang w:eastAsia="cs-CZ"/>
            </w:rPr>
          </w:pPr>
          <w:hyperlink w:anchor="_Toc56599071" w:history="1">
            <w:r w:rsidR="009A07C9" w:rsidRPr="00F73B91">
              <w:rPr>
                <w:rStyle w:val="Hypertextovodkaz"/>
                <w:b/>
                <w:bCs/>
              </w:rPr>
              <w:t>III.</w:t>
            </w:r>
            <w:r w:rsidR="009A07C9" w:rsidRPr="00F73B91">
              <w:rPr>
                <w:rFonts w:eastAsiaTheme="minorEastAsia"/>
                <w:lang w:eastAsia="cs-CZ"/>
              </w:rPr>
              <w:tab/>
            </w:r>
            <w:r w:rsidR="009A07C9" w:rsidRPr="00F73B91">
              <w:rPr>
                <w:rStyle w:val="Hypertextovodkaz"/>
                <w:b/>
                <w:bCs/>
              </w:rPr>
              <w:t>Přehled o stavu a vývoji státních záruk</w:t>
            </w:r>
            <w:r w:rsidR="009A07C9" w:rsidRPr="00F73B91">
              <w:rPr>
                <w:webHidden/>
              </w:rPr>
              <w:tab/>
            </w:r>
            <w:r w:rsidR="009A07C9" w:rsidRPr="00F73B91">
              <w:rPr>
                <w:webHidden/>
              </w:rPr>
              <w:fldChar w:fldCharType="begin"/>
            </w:r>
            <w:r w:rsidR="009A07C9" w:rsidRPr="00F73B91">
              <w:rPr>
                <w:webHidden/>
              </w:rPr>
              <w:instrText xml:space="preserve"> PAGEREF _Toc56599071 \h </w:instrText>
            </w:r>
            <w:r w:rsidR="009A07C9" w:rsidRPr="00F73B91">
              <w:rPr>
                <w:webHidden/>
              </w:rPr>
            </w:r>
            <w:r w:rsidR="009A07C9" w:rsidRPr="00F73B91">
              <w:rPr>
                <w:webHidden/>
              </w:rPr>
              <w:fldChar w:fldCharType="separate"/>
            </w:r>
            <w:r w:rsidR="002C77B2">
              <w:rPr>
                <w:webHidden/>
              </w:rPr>
              <w:t>13</w:t>
            </w:r>
            <w:r w:rsidR="009A07C9" w:rsidRPr="00F73B91">
              <w:rPr>
                <w:webHidden/>
              </w:rPr>
              <w:fldChar w:fldCharType="end"/>
            </w:r>
          </w:hyperlink>
        </w:p>
        <w:p w:rsidR="009A07C9" w:rsidRDefault="008E5549" w:rsidP="00F73B91">
          <w:pPr>
            <w:pStyle w:val="Obsah1"/>
            <w:rPr>
              <w:rFonts w:eastAsiaTheme="minorEastAsia"/>
              <w:lang w:eastAsia="cs-CZ"/>
            </w:rPr>
          </w:pPr>
          <w:hyperlink w:anchor="_Toc56599072" w:history="1">
            <w:r w:rsidR="009A07C9" w:rsidRPr="00676167">
              <w:rPr>
                <w:rStyle w:val="Hypertextovodkaz"/>
              </w:rPr>
              <w:t>1</w:t>
            </w:r>
            <w:r w:rsidR="009A07C9">
              <w:rPr>
                <w:rFonts w:eastAsiaTheme="minorEastAsia"/>
                <w:lang w:eastAsia="cs-CZ"/>
              </w:rPr>
              <w:tab/>
            </w:r>
            <w:r w:rsidR="009A07C9" w:rsidRPr="00676167">
              <w:rPr>
                <w:rStyle w:val="Hypertextovodkaz"/>
              </w:rPr>
              <w:t>Standardní státní záruky</w:t>
            </w:r>
            <w:r w:rsidR="009A07C9">
              <w:rPr>
                <w:webHidden/>
              </w:rPr>
              <w:tab/>
            </w:r>
            <w:r w:rsidR="009A07C9">
              <w:rPr>
                <w:webHidden/>
              </w:rPr>
              <w:fldChar w:fldCharType="begin"/>
            </w:r>
            <w:r w:rsidR="009A07C9">
              <w:rPr>
                <w:webHidden/>
              </w:rPr>
              <w:instrText xml:space="preserve"> PAGEREF _Toc56599072 \h </w:instrText>
            </w:r>
            <w:r w:rsidR="009A07C9">
              <w:rPr>
                <w:webHidden/>
              </w:rPr>
            </w:r>
            <w:r w:rsidR="009A07C9">
              <w:rPr>
                <w:webHidden/>
              </w:rPr>
              <w:fldChar w:fldCharType="separate"/>
            </w:r>
            <w:r w:rsidR="002C77B2">
              <w:rPr>
                <w:webHidden/>
              </w:rPr>
              <w:t>13</w:t>
            </w:r>
            <w:r w:rsidR="009A07C9">
              <w:rPr>
                <w:webHidden/>
              </w:rPr>
              <w:fldChar w:fldCharType="end"/>
            </w:r>
          </w:hyperlink>
        </w:p>
        <w:p w:rsidR="009A07C9" w:rsidRDefault="008E5549" w:rsidP="00F73B91">
          <w:pPr>
            <w:pStyle w:val="Obsah1"/>
            <w:rPr>
              <w:rFonts w:eastAsiaTheme="minorEastAsia"/>
              <w:lang w:eastAsia="cs-CZ"/>
            </w:rPr>
          </w:pPr>
          <w:hyperlink w:anchor="_Toc56599073" w:history="1">
            <w:r w:rsidR="009A07C9" w:rsidRPr="00676167">
              <w:rPr>
                <w:rStyle w:val="Hypertextovodkaz"/>
              </w:rPr>
              <w:t>2</w:t>
            </w:r>
            <w:r w:rsidR="009A07C9">
              <w:rPr>
                <w:rFonts w:eastAsiaTheme="minorEastAsia"/>
                <w:lang w:eastAsia="cs-CZ"/>
              </w:rPr>
              <w:tab/>
            </w:r>
            <w:r w:rsidR="009A07C9" w:rsidRPr="00676167">
              <w:rPr>
                <w:rStyle w:val="Hypertextovodkaz"/>
              </w:rPr>
              <w:t>Nestandardní státní záruky</w:t>
            </w:r>
            <w:r w:rsidR="009A07C9">
              <w:rPr>
                <w:webHidden/>
              </w:rPr>
              <w:tab/>
            </w:r>
            <w:r w:rsidR="009A07C9">
              <w:rPr>
                <w:webHidden/>
              </w:rPr>
              <w:fldChar w:fldCharType="begin"/>
            </w:r>
            <w:r w:rsidR="009A07C9">
              <w:rPr>
                <w:webHidden/>
              </w:rPr>
              <w:instrText xml:space="preserve"> PAGEREF _Toc56599073 \h </w:instrText>
            </w:r>
            <w:r w:rsidR="009A07C9">
              <w:rPr>
                <w:webHidden/>
              </w:rPr>
            </w:r>
            <w:r w:rsidR="009A07C9">
              <w:rPr>
                <w:webHidden/>
              </w:rPr>
              <w:fldChar w:fldCharType="separate"/>
            </w:r>
            <w:r w:rsidR="002C77B2">
              <w:rPr>
                <w:webHidden/>
              </w:rPr>
              <w:t>15</w:t>
            </w:r>
            <w:r w:rsidR="009A07C9">
              <w:rPr>
                <w:webHidden/>
              </w:rPr>
              <w:fldChar w:fldCharType="end"/>
            </w:r>
          </w:hyperlink>
        </w:p>
        <w:p w:rsidR="009A07C9" w:rsidRDefault="008E5549" w:rsidP="00F73B91">
          <w:pPr>
            <w:pStyle w:val="Obsah1"/>
            <w:rPr>
              <w:rFonts w:eastAsiaTheme="minorEastAsia"/>
              <w:lang w:eastAsia="cs-CZ"/>
            </w:rPr>
          </w:pPr>
          <w:hyperlink w:anchor="_Toc56599074" w:history="1">
            <w:r w:rsidR="009A07C9" w:rsidRPr="00676167">
              <w:rPr>
                <w:rStyle w:val="Hypertextovodkaz"/>
              </w:rPr>
              <w:t>3</w:t>
            </w:r>
            <w:r w:rsidR="009A07C9">
              <w:rPr>
                <w:rFonts w:eastAsiaTheme="minorEastAsia"/>
                <w:lang w:eastAsia="cs-CZ"/>
              </w:rPr>
              <w:tab/>
            </w:r>
            <w:r w:rsidR="009A07C9" w:rsidRPr="00676167">
              <w:rPr>
                <w:rStyle w:val="Hypertextovodkaz"/>
              </w:rPr>
              <w:t>Ručení ze zákona</w:t>
            </w:r>
            <w:r w:rsidR="009A07C9">
              <w:rPr>
                <w:webHidden/>
              </w:rPr>
              <w:tab/>
            </w:r>
            <w:r w:rsidR="009A07C9">
              <w:rPr>
                <w:webHidden/>
              </w:rPr>
              <w:fldChar w:fldCharType="begin"/>
            </w:r>
            <w:r w:rsidR="009A07C9">
              <w:rPr>
                <w:webHidden/>
              </w:rPr>
              <w:instrText xml:space="preserve"> PAGEREF _Toc56599074 \h </w:instrText>
            </w:r>
            <w:r w:rsidR="009A07C9">
              <w:rPr>
                <w:webHidden/>
              </w:rPr>
            </w:r>
            <w:r w:rsidR="009A07C9">
              <w:rPr>
                <w:webHidden/>
              </w:rPr>
              <w:fldChar w:fldCharType="separate"/>
            </w:r>
            <w:r w:rsidR="002C77B2">
              <w:rPr>
                <w:webHidden/>
              </w:rPr>
              <w:t>15</w:t>
            </w:r>
            <w:r w:rsidR="009A07C9">
              <w:rPr>
                <w:webHidden/>
              </w:rPr>
              <w:fldChar w:fldCharType="end"/>
            </w:r>
          </w:hyperlink>
        </w:p>
        <w:p w:rsidR="009A07C9" w:rsidRDefault="008E5549" w:rsidP="00F73B91">
          <w:pPr>
            <w:pStyle w:val="Obsah1"/>
            <w:rPr>
              <w:rFonts w:eastAsiaTheme="minorEastAsia"/>
              <w:lang w:eastAsia="cs-CZ"/>
            </w:rPr>
          </w:pPr>
          <w:hyperlink w:anchor="_Toc56599075" w:history="1">
            <w:r w:rsidR="009A07C9" w:rsidRPr="00676167">
              <w:rPr>
                <w:rStyle w:val="Hypertextovodkaz"/>
              </w:rPr>
              <w:t>4</w:t>
            </w:r>
            <w:r w:rsidR="009A07C9">
              <w:rPr>
                <w:rFonts w:eastAsiaTheme="minorEastAsia"/>
                <w:lang w:eastAsia="cs-CZ"/>
              </w:rPr>
              <w:tab/>
            </w:r>
            <w:r w:rsidR="009A07C9" w:rsidRPr="00676167">
              <w:rPr>
                <w:rStyle w:val="Hypertextovodkaz"/>
              </w:rPr>
              <w:t>Záruky související s mechanismem ESM a EFSM</w:t>
            </w:r>
            <w:r w:rsidR="009A07C9">
              <w:rPr>
                <w:webHidden/>
              </w:rPr>
              <w:tab/>
            </w:r>
            <w:r w:rsidR="009A07C9">
              <w:rPr>
                <w:webHidden/>
              </w:rPr>
              <w:fldChar w:fldCharType="begin"/>
            </w:r>
            <w:r w:rsidR="009A07C9">
              <w:rPr>
                <w:webHidden/>
              </w:rPr>
              <w:instrText xml:space="preserve"> PAGEREF _Toc56599075 \h </w:instrText>
            </w:r>
            <w:r w:rsidR="009A07C9">
              <w:rPr>
                <w:webHidden/>
              </w:rPr>
            </w:r>
            <w:r w:rsidR="009A07C9">
              <w:rPr>
                <w:webHidden/>
              </w:rPr>
              <w:fldChar w:fldCharType="separate"/>
            </w:r>
            <w:r w:rsidR="002C77B2">
              <w:rPr>
                <w:webHidden/>
              </w:rPr>
              <w:t>15</w:t>
            </w:r>
            <w:r w:rsidR="009A07C9">
              <w:rPr>
                <w:webHidden/>
              </w:rPr>
              <w:fldChar w:fldCharType="end"/>
            </w:r>
          </w:hyperlink>
        </w:p>
        <w:p w:rsidR="009A07C9" w:rsidRDefault="008E5549" w:rsidP="00F73B91">
          <w:pPr>
            <w:pStyle w:val="Obsah1"/>
            <w:rPr>
              <w:rFonts w:eastAsiaTheme="minorEastAsia"/>
              <w:lang w:eastAsia="cs-CZ"/>
            </w:rPr>
          </w:pPr>
          <w:hyperlink w:anchor="_Toc56599076" w:history="1">
            <w:r w:rsidR="009A07C9" w:rsidRPr="00676167">
              <w:rPr>
                <w:rStyle w:val="Hypertextovodkaz"/>
              </w:rPr>
              <w:t>5</w:t>
            </w:r>
            <w:r w:rsidR="009A07C9">
              <w:rPr>
                <w:rFonts w:eastAsiaTheme="minorEastAsia"/>
                <w:lang w:eastAsia="cs-CZ"/>
              </w:rPr>
              <w:tab/>
            </w:r>
            <w:r w:rsidR="009A07C9" w:rsidRPr="00676167">
              <w:rPr>
                <w:rStyle w:val="Hypertextovodkaz"/>
              </w:rPr>
              <w:t>Aval směnek, vystavených ČNB</w:t>
            </w:r>
            <w:r w:rsidR="009A07C9">
              <w:rPr>
                <w:webHidden/>
              </w:rPr>
              <w:tab/>
            </w:r>
            <w:r w:rsidR="009A07C9">
              <w:rPr>
                <w:webHidden/>
              </w:rPr>
              <w:fldChar w:fldCharType="begin"/>
            </w:r>
            <w:r w:rsidR="009A07C9">
              <w:rPr>
                <w:webHidden/>
              </w:rPr>
              <w:instrText xml:space="preserve"> PAGEREF _Toc56599076 \h </w:instrText>
            </w:r>
            <w:r w:rsidR="009A07C9">
              <w:rPr>
                <w:webHidden/>
              </w:rPr>
            </w:r>
            <w:r w:rsidR="009A07C9">
              <w:rPr>
                <w:webHidden/>
              </w:rPr>
              <w:fldChar w:fldCharType="separate"/>
            </w:r>
            <w:r w:rsidR="002C77B2">
              <w:rPr>
                <w:webHidden/>
              </w:rPr>
              <w:t>1</w:t>
            </w:r>
            <w:r w:rsidR="002C77B2">
              <w:rPr>
                <w:webHidden/>
              </w:rPr>
              <w:t>5</w:t>
            </w:r>
            <w:r w:rsidR="009A07C9">
              <w:rPr>
                <w:webHidden/>
              </w:rPr>
              <w:fldChar w:fldCharType="end"/>
            </w:r>
          </w:hyperlink>
        </w:p>
        <w:p w:rsidR="009A07C9" w:rsidRPr="00F73B91" w:rsidRDefault="008E5549" w:rsidP="00F73B91">
          <w:pPr>
            <w:pStyle w:val="Obsah1"/>
            <w:rPr>
              <w:rFonts w:eastAsiaTheme="minorEastAsia"/>
              <w:lang w:eastAsia="cs-CZ"/>
            </w:rPr>
          </w:pPr>
          <w:hyperlink w:anchor="_Toc56599077" w:history="1">
            <w:r w:rsidR="009A07C9" w:rsidRPr="00F73B91">
              <w:rPr>
                <w:rStyle w:val="Hypertextovodkaz"/>
                <w:b/>
                <w:bCs/>
              </w:rPr>
              <w:t>IV.</w:t>
            </w:r>
            <w:r w:rsidR="009A07C9" w:rsidRPr="00F73B91">
              <w:rPr>
                <w:rFonts w:eastAsiaTheme="minorEastAsia"/>
                <w:lang w:eastAsia="cs-CZ"/>
              </w:rPr>
              <w:tab/>
            </w:r>
            <w:r w:rsidR="009A07C9" w:rsidRPr="00F73B91">
              <w:rPr>
                <w:rStyle w:val="Hypertextovodkaz"/>
                <w:b/>
                <w:bCs/>
              </w:rPr>
              <w:t>Tabulkové přílohy</w:t>
            </w:r>
            <w:r w:rsidR="009A07C9" w:rsidRPr="00F73B91">
              <w:rPr>
                <w:webHidden/>
              </w:rPr>
              <w:tab/>
            </w:r>
            <w:r w:rsidR="009A07C9" w:rsidRPr="00F73B91">
              <w:rPr>
                <w:webHidden/>
              </w:rPr>
              <w:fldChar w:fldCharType="begin"/>
            </w:r>
            <w:r w:rsidR="009A07C9" w:rsidRPr="00F73B91">
              <w:rPr>
                <w:webHidden/>
              </w:rPr>
              <w:instrText xml:space="preserve"> PAGEREF _Toc56599077 \h </w:instrText>
            </w:r>
            <w:r w:rsidR="009A07C9" w:rsidRPr="00F73B91">
              <w:rPr>
                <w:webHidden/>
              </w:rPr>
            </w:r>
            <w:r w:rsidR="009A07C9" w:rsidRPr="00F73B91">
              <w:rPr>
                <w:webHidden/>
              </w:rPr>
              <w:fldChar w:fldCharType="separate"/>
            </w:r>
            <w:r w:rsidR="002C77B2">
              <w:rPr>
                <w:webHidden/>
              </w:rPr>
              <w:t>16</w:t>
            </w:r>
            <w:r w:rsidR="009A07C9" w:rsidRPr="00F73B91">
              <w:rPr>
                <w:webHidden/>
              </w:rPr>
              <w:fldChar w:fldCharType="end"/>
            </w:r>
          </w:hyperlink>
        </w:p>
        <w:p w:rsidR="00782B26" w:rsidRDefault="00782B26" w:rsidP="00782B26">
          <w:r w:rsidRPr="00167E7D">
            <w:rPr>
              <w:b/>
              <w:bCs/>
              <w:sz w:val="18"/>
              <w:szCs w:val="18"/>
            </w:rPr>
            <w:fldChar w:fldCharType="end"/>
          </w:r>
        </w:p>
      </w:sdtContent>
    </w:sdt>
    <w:p w:rsidR="00782B26" w:rsidRDefault="00782B26">
      <w:pPr>
        <w:spacing w:before="0" w:after="160" w:line="259" w:lineRule="auto"/>
        <w:jc w:val="left"/>
      </w:pPr>
      <w:r>
        <w:br w:type="page"/>
      </w:r>
    </w:p>
    <w:p w:rsidR="00BC4C51" w:rsidRPr="00167E7D" w:rsidRDefault="00DF07B3" w:rsidP="003066E1">
      <w:pPr>
        <w:spacing w:before="0" w:after="120"/>
        <w:rPr>
          <w:b/>
          <w:sz w:val="24"/>
          <w:szCs w:val="24"/>
        </w:rPr>
      </w:pPr>
      <w:r w:rsidRPr="00167E7D">
        <w:rPr>
          <w:b/>
          <w:sz w:val="24"/>
          <w:szCs w:val="24"/>
        </w:rPr>
        <w:t>S</w:t>
      </w:r>
      <w:r w:rsidR="00BC4C51" w:rsidRPr="00167E7D">
        <w:rPr>
          <w:b/>
          <w:sz w:val="24"/>
          <w:szCs w:val="24"/>
        </w:rPr>
        <w:t>eznam zkratek</w:t>
      </w:r>
    </w:p>
    <w:p w:rsidR="0048466F" w:rsidRDefault="0048466F" w:rsidP="0048466F">
      <w:pPr>
        <w:spacing w:before="0"/>
        <w:rPr>
          <w:sz w:val="18"/>
          <w:szCs w:val="18"/>
        </w:rPr>
      </w:pPr>
      <w:r>
        <w:rPr>
          <w:sz w:val="18"/>
          <w:szCs w:val="18"/>
        </w:rPr>
        <w:t>ČNB</w:t>
      </w:r>
      <w:r>
        <w:rPr>
          <w:sz w:val="18"/>
          <w:szCs w:val="18"/>
        </w:rPr>
        <w:tab/>
      </w:r>
      <w:r>
        <w:rPr>
          <w:sz w:val="18"/>
          <w:szCs w:val="18"/>
        </w:rPr>
        <w:tab/>
        <w:t>Česká národní banka</w:t>
      </w:r>
    </w:p>
    <w:p w:rsidR="0048466F" w:rsidRDefault="0048466F" w:rsidP="0048466F">
      <w:pPr>
        <w:spacing w:before="0"/>
        <w:rPr>
          <w:sz w:val="18"/>
          <w:szCs w:val="18"/>
        </w:rPr>
      </w:pPr>
      <w:r>
        <w:rPr>
          <w:sz w:val="18"/>
          <w:szCs w:val="18"/>
        </w:rPr>
        <w:t>ČSOB</w:t>
      </w:r>
      <w:r>
        <w:rPr>
          <w:sz w:val="18"/>
          <w:szCs w:val="18"/>
        </w:rPr>
        <w:tab/>
      </w:r>
      <w:r>
        <w:rPr>
          <w:sz w:val="18"/>
          <w:szCs w:val="18"/>
        </w:rPr>
        <w:tab/>
        <w:t>Československá obchodní banka</w:t>
      </w:r>
    </w:p>
    <w:p w:rsidR="0048466F" w:rsidRDefault="0048466F" w:rsidP="0048466F">
      <w:pPr>
        <w:spacing w:before="0"/>
        <w:rPr>
          <w:sz w:val="18"/>
          <w:szCs w:val="18"/>
        </w:rPr>
      </w:pPr>
      <w:r>
        <w:rPr>
          <w:sz w:val="18"/>
          <w:szCs w:val="18"/>
        </w:rPr>
        <w:t>ČSÚ</w:t>
      </w:r>
      <w:r>
        <w:rPr>
          <w:sz w:val="18"/>
          <w:szCs w:val="18"/>
        </w:rPr>
        <w:tab/>
      </w:r>
      <w:r>
        <w:rPr>
          <w:sz w:val="18"/>
          <w:szCs w:val="18"/>
        </w:rPr>
        <w:tab/>
        <w:t>Český statistický úřad</w:t>
      </w:r>
    </w:p>
    <w:p w:rsidR="0048466F" w:rsidRDefault="0048466F" w:rsidP="0048466F">
      <w:pPr>
        <w:spacing w:before="0"/>
        <w:rPr>
          <w:sz w:val="18"/>
          <w:szCs w:val="18"/>
        </w:rPr>
      </w:pPr>
      <w:r>
        <w:rPr>
          <w:sz w:val="18"/>
          <w:szCs w:val="18"/>
        </w:rPr>
        <w:t>EIB</w:t>
      </w:r>
      <w:r>
        <w:rPr>
          <w:sz w:val="18"/>
          <w:szCs w:val="18"/>
        </w:rPr>
        <w:tab/>
      </w:r>
      <w:r>
        <w:rPr>
          <w:sz w:val="18"/>
          <w:szCs w:val="18"/>
        </w:rPr>
        <w:tab/>
        <w:t>Evropská investiční banka</w:t>
      </w:r>
    </w:p>
    <w:p w:rsidR="0048466F" w:rsidRDefault="0048466F" w:rsidP="0048466F">
      <w:pPr>
        <w:spacing w:before="0"/>
        <w:rPr>
          <w:sz w:val="18"/>
          <w:szCs w:val="18"/>
        </w:rPr>
      </w:pPr>
      <w:r>
        <w:rPr>
          <w:sz w:val="18"/>
          <w:szCs w:val="18"/>
        </w:rPr>
        <w:t>IBRD</w:t>
      </w:r>
      <w:r>
        <w:rPr>
          <w:sz w:val="18"/>
          <w:szCs w:val="18"/>
        </w:rPr>
        <w:tab/>
      </w:r>
      <w:r>
        <w:rPr>
          <w:sz w:val="18"/>
          <w:szCs w:val="18"/>
        </w:rPr>
        <w:tab/>
        <w:t>Mezinárodní banka pro obnovu a rozvoj</w:t>
      </w:r>
    </w:p>
    <w:p w:rsidR="0048466F" w:rsidRDefault="0048466F" w:rsidP="0048466F">
      <w:pPr>
        <w:spacing w:before="0"/>
        <w:rPr>
          <w:sz w:val="18"/>
          <w:szCs w:val="18"/>
        </w:rPr>
      </w:pPr>
      <w:r>
        <w:rPr>
          <w:sz w:val="18"/>
          <w:szCs w:val="18"/>
        </w:rPr>
        <w:t>IFC</w:t>
      </w:r>
      <w:r>
        <w:rPr>
          <w:sz w:val="18"/>
          <w:szCs w:val="18"/>
        </w:rPr>
        <w:tab/>
      </w:r>
      <w:r>
        <w:rPr>
          <w:sz w:val="18"/>
          <w:szCs w:val="18"/>
        </w:rPr>
        <w:tab/>
        <w:t>Mezinárodní finanční korporace</w:t>
      </w:r>
    </w:p>
    <w:p w:rsidR="0048466F" w:rsidRDefault="0048466F" w:rsidP="0048466F">
      <w:pPr>
        <w:spacing w:before="0"/>
        <w:rPr>
          <w:sz w:val="18"/>
          <w:szCs w:val="18"/>
        </w:rPr>
      </w:pPr>
      <w:r>
        <w:rPr>
          <w:sz w:val="18"/>
          <w:szCs w:val="18"/>
        </w:rPr>
        <w:t>MBHS</w:t>
      </w:r>
      <w:r>
        <w:rPr>
          <w:sz w:val="18"/>
          <w:szCs w:val="18"/>
        </w:rPr>
        <w:tab/>
      </w:r>
      <w:r>
        <w:rPr>
          <w:sz w:val="18"/>
          <w:szCs w:val="18"/>
        </w:rPr>
        <w:tab/>
        <w:t>Mezinárodní banka hospodářské spolupráce</w:t>
      </w:r>
    </w:p>
    <w:p w:rsidR="0048466F" w:rsidRDefault="0048466F" w:rsidP="0048466F">
      <w:pPr>
        <w:spacing w:before="0"/>
        <w:rPr>
          <w:sz w:val="18"/>
          <w:szCs w:val="18"/>
        </w:rPr>
      </w:pPr>
      <w:r>
        <w:rPr>
          <w:sz w:val="18"/>
          <w:szCs w:val="18"/>
        </w:rPr>
        <w:t>OSFA</w:t>
      </w:r>
      <w:r>
        <w:rPr>
          <w:sz w:val="18"/>
          <w:szCs w:val="18"/>
        </w:rPr>
        <w:tab/>
      </w:r>
      <w:r>
        <w:rPr>
          <w:sz w:val="18"/>
          <w:szCs w:val="18"/>
        </w:rPr>
        <w:tab/>
        <w:t>Operace státních finančních aktiv</w:t>
      </w:r>
    </w:p>
    <w:p w:rsidR="0048466F" w:rsidRDefault="0048466F" w:rsidP="004E6719">
      <w:pPr>
        <w:spacing w:before="0"/>
        <w:rPr>
          <w:sz w:val="18"/>
          <w:szCs w:val="18"/>
        </w:rPr>
      </w:pPr>
      <w:r>
        <w:rPr>
          <w:sz w:val="18"/>
          <w:szCs w:val="18"/>
        </w:rPr>
        <w:t>SDD</w:t>
      </w:r>
      <w:r>
        <w:rPr>
          <w:sz w:val="18"/>
          <w:szCs w:val="18"/>
        </w:rPr>
        <w:tab/>
      </w:r>
      <w:r>
        <w:rPr>
          <w:sz w:val="18"/>
          <w:szCs w:val="18"/>
        </w:rPr>
        <w:tab/>
        <w:t>Střednědobé a dlouhodobé státní dluhopisy</w:t>
      </w:r>
    </w:p>
    <w:p w:rsidR="00D0245A" w:rsidRDefault="00D0245A" w:rsidP="004E6719">
      <w:pPr>
        <w:spacing w:before="0"/>
        <w:rPr>
          <w:sz w:val="18"/>
          <w:szCs w:val="18"/>
        </w:rPr>
      </w:pPr>
      <w:r>
        <w:rPr>
          <w:sz w:val="18"/>
          <w:szCs w:val="18"/>
        </w:rPr>
        <w:t>SFA</w:t>
      </w:r>
      <w:r>
        <w:rPr>
          <w:sz w:val="18"/>
          <w:szCs w:val="18"/>
        </w:rPr>
        <w:tab/>
      </w:r>
      <w:r>
        <w:rPr>
          <w:sz w:val="18"/>
          <w:szCs w:val="18"/>
        </w:rPr>
        <w:tab/>
        <w:t>Státní finanční aktiva</w:t>
      </w:r>
    </w:p>
    <w:p w:rsidR="00D0245A" w:rsidRDefault="00D0245A" w:rsidP="004E6719">
      <w:pPr>
        <w:spacing w:before="0"/>
        <w:rPr>
          <w:sz w:val="18"/>
          <w:szCs w:val="18"/>
        </w:rPr>
      </w:pPr>
      <w:r>
        <w:rPr>
          <w:sz w:val="18"/>
          <w:szCs w:val="18"/>
        </w:rPr>
        <w:t>SÚRAO</w:t>
      </w:r>
      <w:r>
        <w:rPr>
          <w:sz w:val="18"/>
          <w:szCs w:val="18"/>
        </w:rPr>
        <w:tab/>
      </w:r>
      <w:r>
        <w:rPr>
          <w:sz w:val="18"/>
          <w:szCs w:val="18"/>
        </w:rPr>
        <w:tab/>
        <w:t>Správa úložišť radioaktivních odpadů</w:t>
      </w:r>
    </w:p>
    <w:p w:rsidR="00340B83" w:rsidRDefault="00340B83" w:rsidP="004E6719">
      <w:pPr>
        <w:spacing w:before="0"/>
        <w:rPr>
          <w:sz w:val="18"/>
          <w:szCs w:val="18"/>
        </w:rPr>
      </w:pPr>
      <w:r>
        <w:rPr>
          <w:sz w:val="18"/>
          <w:szCs w:val="18"/>
        </w:rPr>
        <w:t>SŽ</w:t>
      </w:r>
      <w:r>
        <w:rPr>
          <w:sz w:val="18"/>
          <w:szCs w:val="18"/>
        </w:rPr>
        <w:tab/>
      </w:r>
      <w:r>
        <w:rPr>
          <w:sz w:val="18"/>
          <w:szCs w:val="18"/>
        </w:rPr>
        <w:tab/>
        <w:t>Správa železnic</w:t>
      </w:r>
    </w:p>
    <w:p w:rsidR="00F151BE" w:rsidRPr="00167E7D" w:rsidRDefault="00F151BE" w:rsidP="003923B9">
      <w:pPr>
        <w:spacing w:before="0"/>
        <w:rPr>
          <w:sz w:val="18"/>
          <w:szCs w:val="18"/>
        </w:rPr>
      </w:pPr>
    </w:p>
    <w:p w:rsidR="00BC4C51" w:rsidRPr="003066E1" w:rsidRDefault="00BC4C51" w:rsidP="003066E1">
      <w:pPr>
        <w:spacing w:before="0" w:after="120"/>
        <w:rPr>
          <w:b/>
          <w:sz w:val="24"/>
          <w:szCs w:val="24"/>
        </w:rPr>
      </w:pPr>
      <w:r w:rsidRPr="003066E1">
        <w:rPr>
          <w:b/>
          <w:sz w:val="24"/>
          <w:szCs w:val="24"/>
        </w:rPr>
        <w:t>Seznam tabulek</w:t>
      </w:r>
    </w:p>
    <w:p w:rsidR="00DC3B3B" w:rsidRDefault="003923B9" w:rsidP="00DC3B3B">
      <w:pPr>
        <w:pStyle w:val="Seznamobrzk"/>
        <w:tabs>
          <w:tab w:val="right" w:leader="dot" w:pos="9628"/>
        </w:tabs>
        <w:spacing w:before="0"/>
        <w:rPr>
          <w:rFonts w:eastAsiaTheme="minorEastAsia"/>
          <w:noProof/>
          <w:lang w:eastAsia="cs-CZ"/>
        </w:rPr>
      </w:pPr>
      <w:r w:rsidRPr="00B9622B">
        <w:rPr>
          <w:sz w:val="16"/>
          <w:szCs w:val="16"/>
        </w:rPr>
        <w:fldChar w:fldCharType="begin"/>
      </w:r>
      <w:r w:rsidRPr="00B9622B">
        <w:rPr>
          <w:sz w:val="16"/>
          <w:szCs w:val="16"/>
        </w:rPr>
        <w:instrText xml:space="preserve"> TOC \h \z \c "Tabulka č." </w:instrText>
      </w:r>
      <w:r w:rsidRPr="00B9622B">
        <w:rPr>
          <w:sz w:val="16"/>
          <w:szCs w:val="16"/>
        </w:rPr>
        <w:fldChar w:fldCharType="separate"/>
      </w:r>
      <w:hyperlink w:anchor="_Toc58236236" w:history="1">
        <w:r w:rsidR="00DC3B3B" w:rsidRPr="00875342">
          <w:rPr>
            <w:rStyle w:val="Hypertextovodkaz"/>
            <w:noProof/>
          </w:rPr>
          <w:t>Tabulka č. 1: Vývoj státních finančních aktiv a pasiv (mld. Kč)</w:t>
        </w:r>
        <w:r w:rsidR="00DC3B3B">
          <w:rPr>
            <w:noProof/>
            <w:webHidden/>
          </w:rPr>
          <w:tab/>
        </w:r>
        <w:r w:rsidR="00DC3B3B">
          <w:rPr>
            <w:noProof/>
            <w:webHidden/>
          </w:rPr>
          <w:fldChar w:fldCharType="begin"/>
        </w:r>
        <w:r w:rsidR="00DC3B3B">
          <w:rPr>
            <w:noProof/>
            <w:webHidden/>
          </w:rPr>
          <w:instrText xml:space="preserve"> PAGEREF _Toc58236236 \h </w:instrText>
        </w:r>
        <w:r w:rsidR="00DC3B3B">
          <w:rPr>
            <w:noProof/>
            <w:webHidden/>
          </w:rPr>
        </w:r>
        <w:r w:rsidR="00DC3B3B">
          <w:rPr>
            <w:noProof/>
            <w:webHidden/>
          </w:rPr>
          <w:fldChar w:fldCharType="separate"/>
        </w:r>
        <w:r w:rsidR="002C77B2">
          <w:rPr>
            <w:noProof/>
            <w:webHidden/>
          </w:rPr>
          <w:t>1</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37" w:history="1">
        <w:r w:rsidR="00DC3B3B" w:rsidRPr="00875342">
          <w:rPr>
            <w:rStyle w:val="Hypertextovodkaz"/>
            <w:noProof/>
          </w:rPr>
          <w:t>Tabulka č. 2: Příjmové a výdajové operace korunových účtů SFA (mil. Kč)</w:t>
        </w:r>
        <w:r w:rsidR="00DC3B3B">
          <w:rPr>
            <w:noProof/>
            <w:webHidden/>
          </w:rPr>
          <w:tab/>
        </w:r>
        <w:r w:rsidR="00DC3B3B">
          <w:rPr>
            <w:noProof/>
            <w:webHidden/>
          </w:rPr>
          <w:fldChar w:fldCharType="begin"/>
        </w:r>
        <w:r w:rsidR="00DC3B3B">
          <w:rPr>
            <w:noProof/>
            <w:webHidden/>
          </w:rPr>
          <w:instrText xml:space="preserve"> PAGEREF _Toc58236237 \h </w:instrText>
        </w:r>
        <w:r w:rsidR="00DC3B3B">
          <w:rPr>
            <w:noProof/>
            <w:webHidden/>
          </w:rPr>
        </w:r>
        <w:r w:rsidR="00DC3B3B">
          <w:rPr>
            <w:noProof/>
            <w:webHidden/>
          </w:rPr>
          <w:fldChar w:fldCharType="separate"/>
        </w:r>
        <w:r w:rsidR="002C77B2">
          <w:rPr>
            <w:noProof/>
            <w:webHidden/>
          </w:rPr>
          <w:t>3</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38" w:history="1">
        <w:r w:rsidR="00DC3B3B" w:rsidRPr="00875342">
          <w:rPr>
            <w:rStyle w:val="Hypertextovodkaz"/>
            <w:noProof/>
          </w:rPr>
          <w:t>Tabulka č. 3: Vývoj a struktura celkových stavů státních zahraničních pohledávek (mil. Kč)</w:t>
        </w:r>
        <w:r w:rsidR="00DC3B3B">
          <w:rPr>
            <w:noProof/>
            <w:webHidden/>
          </w:rPr>
          <w:tab/>
        </w:r>
        <w:r w:rsidR="00DC3B3B">
          <w:rPr>
            <w:noProof/>
            <w:webHidden/>
          </w:rPr>
          <w:fldChar w:fldCharType="begin"/>
        </w:r>
        <w:r w:rsidR="00DC3B3B">
          <w:rPr>
            <w:noProof/>
            <w:webHidden/>
          </w:rPr>
          <w:instrText xml:space="preserve"> PAGEREF _Toc58236238 \h </w:instrText>
        </w:r>
        <w:r w:rsidR="00DC3B3B">
          <w:rPr>
            <w:noProof/>
            <w:webHidden/>
          </w:rPr>
        </w:r>
        <w:r w:rsidR="00DC3B3B">
          <w:rPr>
            <w:noProof/>
            <w:webHidden/>
          </w:rPr>
          <w:fldChar w:fldCharType="separate"/>
        </w:r>
        <w:r w:rsidR="002C77B2">
          <w:rPr>
            <w:noProof/>
            <w:webHidden/>
          </w:rPr>
          <w:t>7</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39" w:history="1">
        <w:r w:rsidR="00DC3B3B" w:rsidRPr="00875342">
          <w:rPr>
            <w:rStyle w:val="Hypertextovodkaz"/>
            <w:noProof/>
          </w:rPr>
          <w:t>Tabulka č. 4: Změny ve stavech vládních pohledávek vůči zahraničí (mil. Kč)</w:t>
        </w:r>
        <w:r w:rsidR="00DC3B3B">
          <w:rPr>
            <w:noProof/>
            <w:webHidden/>
          </w:rPr>
          <w:tab/>
        </w:r>
        <w:r w:rsidR="00DC3B3B">
          <w:rPr>
            <w:noProof/>
            <w:webHidden/>
          </w:rPr>
          <w:fldChar w:fldCharType="begin"/>
        </w:r>
        <w:r w:rsidR="00DC3B3B">
          <w:rPr>
            <w:noProof/>
            <w:webHidden/>
          </w:rPr>
          <w:instrText xml:space="preserve"> PAGEREF _Toc58236239 \h </w:instrText>
        </w:r>
        <w:r w:rsidR="00DC3B3B">
          <w:rPr>
            <w:noProof/>
            <w:webHidden/>
          </w:rPr>
        </w:r>
        <w:r w:rsidR="00DC3B3B">
          <w:rPr>
            <w:noProof/>
            <w:webHidden/>
          </w:rPr>
          <w:fldChar w:fldCharType="separate"/>
        </w:r>
        <w:r w:rsidR="002C77B2">
          <w:rPr>
            <w:noProof/>
            <w:webHidden/>
          </w:rPr>
          <w:t>7</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0" w:history="1">
        <w:r w:rsidR="00DC3B3B" w:rsidRPr="00875342">
          <w:rPr>
            <w:rStyle w:val="Hypertextovodkaz"/>
            <w:noProof/>
          </w:rPr>
          <w:t>Tabulka č. 5: Změny ve stavech převzatých zahraničních pohledávek (mil. Kč)</w:t>
        </w:r>
        <w:r w:rsidR="00DC3B3B">
          <w:rPr>
            <w:noProof/>
            <w:webHidden/>
          </w:rPr>
          <w:tab/>
        </w:r>
        <w:r w:rsidR="00DC3B3B">
          <w:rPr>
            <w:noProof/>
            <w:webHidden/>
          </w:rPr>
          <w:fldChar w:fldCharType="begin"/>
        </w:r>
        <w:r w:rsidR="00DC3B3B">
          <w:rPr>
            <w:noProof/>
            <w:webHidden/>
          </w:rPr>
          <w:instrText xml:space="preserve"> PAGEREF _Toc58236240 \h </w:instrText>
        </w:r>
        <w:r w:rsidR="00DC3B3B">
          <w:rPr>
            <w:noProof/>
            <w:webHidden/>
          </w:rPr>
        </w:r>
        <w:r w:rsidR="00DC3B3B">
          <w:rPr>
            <w:noProof/>
            <w:webHidden/>
          </w:rPr>
          <w:fldChar w:fldCharType="separate"/>
        </w:r>
        <w:r w:rsidR="002C77B2">
          <w:rPr>
            <w:noProof/>
            <w:webHidden/>
          </w:rPr>
          <w:t>8</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1" w:history="1">
        <w:r w:rsidR="00DC3B3B" w:rsidRPr="00875342">
          <w:rPr>
            <w:rStyle w:val="Hypertextovodkaz"/>
            <w:noProof/>
          </w:rPr>
          <w:t>Tabulka č. 6: Změny ve stavech pohledávek za deblokátory zahraničních pohledávek (mil. Kč)</w:t>
        </w:r>
        <w:r w:rsidR="00DC3B3B">
          <w:rPr>
            <w:noProof/>
            <w:webHidden/>
          </w:rPr>
          <w:tab/>
        </w:r>
        <w:r w:rsidR="00DC3B3B">
          <w:rPr>
            <w:noProof/>
            <w:webHidden/>
          </w:rPr>
          <w:fldChar w:fldCharType="begin"/>
        </w:r>
        <w:r w:rsidR="00DC3B3B">
          <w:rPr>
            <w:noProof/>
            <w:webHidden/>
          </w:rPr>
          <w:instrText xml:space="preserve"> PAGEREF _Toc58236241 \h </w:instrText>
        </w:r>
        <w:r w:rsidR="00DC3B3B">
          <w:rPr>
            <w:noProof/>
            <w:webHidden/>
          </w:rPr>
        </w:r>
        <w:r w:rsidR="00DC3B3B">
          <w:rPr>
            <w:noProof/>
            <w:webHidden/>
          </w:rPr>
          <w:fldChar w:fldCharType="separate"/>
        </w:r>
        <w:r w:rsidR="002C77B2">
          <w:rPr>
            <w:noProof/>
            <w:webHidden/>
          </w:rPr>
          <w:t>8</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2" w:history="1">
        <w:r w:rsidR="00DC3B3B" w:rsidRPr="00875342">
          <w:rPr>
            <w:rStyle w:val="Hypertextovodkaz"/>
            <w:noProof/>
          </w:rPr>
          <w:t>Tabulka č. 7: Stavy splaceného kapitálu a jejich změny (mil. Kč)</w:t>
        </w:r>
        <w:r w:rsidR="00DC3B3B">
          <w:rPr>
            <w:noProof/>
            <w:webHidden/>
          </w:rPr>
          <w:tab/>
        </w:r>
        <w:r w:rsidR="00DC3B3B">
          <w:rPr>
            <w:noProof/>
            <w:webHidden/>
          </w:rPr>
          <w:fldChar w:fldCharType="begin"/>
        </w:r>
        <w:r w:rsidR="00DC3B3B">
          <w:rPr>
            <w:noProof/>
            <w:webHidden/>
          </w:rPr>
          <w:instrText xml:space="preserve"> PAGEREF _Toc58236242 \h </w:instrText>
        </w:r>
        <w:r w:rsidR="00DC3B3B">
          <w:rPr>
            <w:noProof/>
            <w:webHidden/>
          </w:rPr>
        </w:r>
        <w:r w:rsidR="00DC3B3B">
          <w:rPr>
            <w:noProof/>
            <w:webHidden/>
          </w:rPr>
          <w:fldChar w:fldCharType="separate"/>
        </w:r>
        <w:r w:rsidR="002C77B2">
          <w:rPr>
            <w:noProof/>
            <w:webHidden/>
          </w:rPr>
          <w:t>9</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3" w:history="1">
        <w:r w:rsidR="00DC3B3B" w:rsidRPr="00875342">
          <w:rPr>
            <w:rStyle w:val="Hypertextovodkaz"/>
            <w:noProof/>
          </w:rPr>
          <w:t>Tabulka č. 8: Stavy celkového upsaného kapitálu a jejich změny (mil. Kč)</w:t>
        </w:r>
        <w:r w:rsidR="00DC3B3B">
          <w:rPr>
            <w:noProof/>
            <w:webHidden/>
          </w:rPr>
          <w:tab/>
        </w:r>
        <w:r w:rsidR="00DC3B3B">
          <w:rPr>
            <w:noProof/>
            <w:webHidden/>
          </w:rPr>
          <w:fldChar w:fldCharType="begin"/>
        </w:r>
        <w:r w:rsidR="00DC3B3B">
          <w:rPr>
            <w:noProof/>
            <w:webHidden/>
          </w:rPr>
          <w:instrText xml:space="preserve"> PAGEREF _Toc58236243 \h </w:instrText>
        </w:r>
        <w:r w:rsidR="00DC3B3B">
          <w:rPr>
            <w:noProof/>
            <w:webHidden/>
          </w:rPr>
        </w:r>
        <w:r w:rsidR="00DC3B3B">
          <w:rPr>
            <w:noProof/>
            <w:webHidden/>
          </w:rPr>
          <w:fldChar w:fldCharType="separate"/>
        </w:r>
        <w:r w:rsidR="002C77B2">
          <w:rPr>
            <w:noProof/>
            <w:webHidden/>
          </w:rPr>
          <w:t>10</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4" w:history="1">
        <w:r w:rsidR="00DC3B3B" w:rsidRPr="00875342">
          <w:rPr>
            <w:rStyle w:val="Hypertextovodkaz"/>
            <w:noProof/>
          </w:rPr>
          <w:t>Tabulka č. 9: Závazky z nesplacené části upsaného kapitálu (mil. Kč)</w:t>
        </w:r>
        <w:r w:rsidR="00DC3B3B">
          <w:rPr>
            <w:noProof/>
            <w:webHidden/>
          </w:rPr>
          <w:tab/>
        </w:r>
        <w:r w:rsidR="00DC3B3B">
          <w:rPr>
            <w:noProof/>
            <w:webHidden/>
          </w:rPr>
          <w:fldChar w:fldCharType="begin"/>
        </w:r>
        <w:r w:rsidR="00DC3B3B">
          <w:rPr>
            <w:noProof/>
            <w:webHidden/>
          </w:rPr>
          <w:instrText xml:space="preserve"> PAGEREF _Toc58236244 \h </w:instrText>
        </w:r>
        <w:r w:rsidR="00DC3B3B">
          <w:rPr>
            <w:noProof/>
            <w:webHidden/>
          </w:rPr>
        </w:r>
        <w:r w:rsidR="00DC3B3B">
          <w:rPr>
            <w:noProof/>
            <w:webHidden/>
          </w:rPr>
          <w:fldChar w:fldCharType="separate"/>
        </w:r>
        <w:r w:rsidR="002C77B2">
          <w:rPr>
            <w:noProof/>
            <w:webHidden/>
          </w:rPr>
          <w:t>11</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5" w:history="1">
        <w:r w:rsidR="00DC3B3B" w:rsidRPr="00875342">
          <w:rPr>
            <w:rStyle w:val="Hypertextovodkaz"/>
            <w:noProof/>
          </w:rPr>
          <w:t>Tabulka č. 10: Účast u tuzemských společností ve správě Ministerstva financí (mil. Kč)</w:t>
        </w:r>
        <w:r w:rsidR="00DC3B3B">
          <w:rPr>
            <w:noProof/>
            <w:webHidden/>
          </w:rPr>
          <w:tab/>
        </w:r>
        <w:r w:rsidR="00DC3B3B">
          <w:rPr>
            <w:noProof/>
            <w:webHidden/>
          </w:rPr>
          <w:fldChar w:fldCharType="begin"/>
        </w:r>
        <w:r w:rsidR="00DC3B3B">
          <w:rPr>
            <w:noProof/>
            <w:webHidden/>
          </w:rPr>
          <w:instrText xml:space="preserve"> PAGEREF _Toc58236245 \h </w:instrText>
        </w:r>
        <w:r w:rsidR="00DC3B3B">
          <w:rPr>
            <w:noProof/>
            <w:webHidden/>
          </w:rPr>
        </w:r>
        <w:r w:rsidR="00DC3B3B">
          <w:rPr>
            <w:noProof/>
            <w:webHidden/>
          </w:rPr>
          <w:fldChar w:fldCharType="separate"/>
        </w:r>
        <w:r w:rsidR="002C77B2">
          <w:rPr>
            <w:noProof/>
            <w:webHidden/>
          </w:rPr>
          <w:t>11</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6" w:history="1">
        <w:r w:rsidR="00DC3B3B" w:rsidRPr="00875342">
          <w:rPr>
            <w:rStyle w:val="Hypertextovodkaz"/>
            <w:noProof/>
          </w:rPr>
          <w:t>Tabulka č. 11: Účast u tuzemských společností ve správě MF a dalších resortů (mil. Kč)</w:t>
        </w:r>
        <w:r w:rsidR="00DC3B3B">
          <w:rPr>
            <w:noProof/>
            <w:webHidden/>
          </w:rPr>
          <w:tab/>
        </w:r>
        <w:r w:rsidR="00DC3B3B">
          <w:rPr>
            <w:noProof/>
            <w:webHidden/>
          </w:rPr>
          <w:fldChar w:fldCharType="begin"/>
        </w:r>
        <w:r w:rsidR="00DC3B3B">
          <w:rPr>
            <w:noProof/>
            <w:webHidden/>
          </w:rPr>
          <w:instrText xml:space="preserve"> PAGEREF _Toc58236246 \h </w:instrText>
        </w:r>
        <w:r w:rsidR="00DC3B3B">
          <w:rPr>
            <w:noProof/>
            <w:webHidden/>
          </w:rPr>
        </w:r>
        <w:r w:rsidR="00DC3B3B">
          <w:rPr>
            <w:noProof/>
            <w:webHidden/>
          </w:rPr>
          <w:fldChar w:fldCharType="separate"/>
        </w:r>
        <w:r w:rsidR="002C77B2">
          <w:rPr>
            <w:noProof/>
            <w:webHidden/>
          </w:rPr>
          <w:t>12</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7" w:history="1">
        <w:r w:rsidR="00DC3B3B" w:rsidRPr="00875342">
          <w:rPr>
            <w:rStyle w:val="Hypertextovodkaz"/>
            <w:noProof/>
          </w:rPr>
          <w:t>Tabulka č. 12: Vývoj standardních státních záruk (mil. Kč)</w:t>
        </w:r>
        <w:r w:rsidR="00DC3B3B">
          <w:rPr>
            <w:noProof/>
            <w:webHidden/>
          </w:rPr>
          <w:tab/>
        </w:r>
        <w:r w:rsidR="00DC3B3B">
          <w:rPr>
            <w:noProof/>
            <w:webHidden/>
          </w:rPr>
          <w:fldChar w:fldCharType="begin"/>
        </w:r>
        <w:r w:rsidR="00DC3B3B">
          <w:rPr>
            <w:noProof/>
            <w:webHidden/>
          </w:rPr>
          <w:instrText xml:space="preserve"> PAGEREF _Toc58236247 \h </w:instrText>
        </w:r>
        <w:r w:rsidR="00DC3B3B">
          <w:rPr>
            <w:noProof/>
            <w:webHidden/>
          </w:rPr>
        </w:r>
        <w:r w:rsidR="00DC3B3B">
          <w:rPr>
            <w:noProof/>
            <w:webHidden/>
          </w:rPr>
          <w:fldChar w:fldCharType="separate"/>
        </w:r>
        <w:r w:rsidR="002C77B2">
          <w:rPr>
            <w:noProof/>
            <w:webHidden/>
          </w:rPr>
          <w:t>13</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48" w:history="1">
        <w:r w:rsidR="00DC3B3B" w:rsidRPr="00875342">
          <w:rPr>
            <w:rStyle w:val="Hypertextovodkaz"/>
            <w:noProof/>
          </w:rPr>
          <w:t>Tabulka č. 13: Pohledávky státu z realizovaných státních záruk (mil. Kč)</w:t>
        </w:r>
        <w:r w:rsidR="00DC3B3B">
          <w:rPr>
            <w:noProof/>
            <w:webHidden/>
          </w:rPr>
          <w:tab/>
        </w:r>
        <w:r w:rsidR="00DC3B3B">
          <w:rPr>
            <w:noProof/>
            <w:webHidden/>
          </w:rPr>
          <w:fldChar w:fldCharType="begin"/>
        </w:r>
        <w:r w:rsidR="00DC3B3B">
          <w:rPr>
            <w:noProof/>
            <w:webHidden/>
          </w:rPr>
          <w:instrText xml:space="preserve"> PAGEREF _Toc58236248 \h </w:instrText>
        </w:r>
        <w:r w:rsidR="00DC3B3B">
          <w:rPr>
            <w:noProof/>
            <w:webHidden/>
          </w:rPr>
        </w:r>
        <w:r w:rsidR="00DC3B3B">
          <w:rPr>
            <w:noProof/>
            <w:webHidden/>
          </w:rPr>
          <w:fldChar w:fldCharType="separate"/>
        </w:r>
        <w:r w:rsidR="002C77B2">
          <w:rPr>
            <w:noProof/>
            <w:webHidden/>
          </w:rPr>
          <w:t>14</w:t>
        </w:r>
        <w:r w:rsidR="00DC3B3B">
          <w:rPr>
            <w:noProof/>
            <w:webHidden/>
          </w:rPr>
          <w:fldChar w:fldCharType="end"/>
        </w:r>
      </w:hyperlink>
    </w:p>
    <w:p w:rsidR="004F4A5D" w:rsidRDefault="003923B9" w:rsidP="00DC158D">
      <w:pPr>
        <w:spacing w:before="0"/>
        <w:rPr>
          <w:rFonts w:ascii="Calibri" w:hAnsi="Calibri"/>
          <w:sz w:val="16"/>
          <w:szCs w:val="16"/>
        </w:rPr>
      </w:pPr>
      <w:r w:rsidRPr="00B9622B">
        <w:rPr>
          <w:sz w:val="16"/>
          <w:szCs w:val="16"/>
        </w:rPr>
        <w:fldChar w:fldCharType="end"/>
      </w:r>
    </w:p>
    <w:p w:rsidR="005F6B1C" w:rsidRPr="00F41E05" w:rsidRDefault="00BC4C51" w:rsidP="003066E1">
      <w:pPr>
        <w:spacing w:before="0" w:after="120"/>
        <w:rPr>
          <w:rFonts w:ascii="Calibri" w:hAnsi="Calibri"/>
          <w:b/>
          <w:sz w:val="24"/>
          <w:szCs w:val="24"/>
        </w:rPr>
      </w:pPr>
      <w:r w:rsidRPr="00F41E05">
        <w:rPr>
          <w:rFonts w:ascii="Calibri" w:hAnsi="Calibri"/>
          <w:b/>
          <w:sz w:val="24"/>
          <w:szCs w:val="24"/>
        </w:rPr>
        <w:t>Seznam grafů</w:t>
      </w:r>
    </w:p>
    <w:p w:rsidR="00DC3B3B" w:rsidRDefault="003923B9" w:rsidP="00DC3B3B">
      <w:pPr>
        <w:pStyle w:val="Seznamobrzk"/>
        <w:tabs>
          <w:tab w:val="right" w:leader="dot" w:pos="9628"/>
        </w:tabs>
        <w:spacing w:before="0"/>
        <w:rPr>
          <w:rFonts w:eastAsiaTheme="minorEastAsia"/>
          <w:noProof/>
          <w:lang w:eastAsia="cs-CZ"/>
        </w:rPr>
      </w:pPr>
      <w:r w:rsidRPr="00B9622B">
        <w:rPr>
          <w:rFonts w:ascii="Calibri" w:hAnsi="Calibri"/>
          <w:sz w:val="16"/>
          <w:szCs w:val="16"/>
        </w:rPr>
        <w:fldChar w:fldCharType="begin"/>
      </w:r>
      <w:r w:rsidRPr="00B9622B">
        <w:rPr>
          <w:rFonts w:ascii="Calibri" w:hAnsi="Calibri"/>
          <w:sz w:val="16"/>
          <w:szCs w:val="16"/>
        </w:rPr>
        <w:instrText xml:space="preserve"> TOC \h \z \c "Graf č." </w:instrText>
      </w:r>
      <w:r w:rsidRPr="00B9622B">
        <w:rPr>
          <w:rFonts w:ascii="Calibri" w:hAnsi="Calibri"/>
          <w:sz w:val="16"/>
          <w:szCs w:val="16"/>
        </w:rPr>
        <w:fldChar w:fldCharType="separate"/>
      </w:r>
      <w:hyperlink w:anchor="_Toc58236256" w:history="1">
        <w:r w:rsidR="00DC3B3B" w:rsidRPr="00C65019">
          <w:rPr>
            <w:rStyle w:val="Hypertextovodkaz"/>
            <w:noProof/>
          </w:rPr>
          <w:t>Graf č. 1: Vývoj rozložení držby státních dluhopisů v roce 2019 (mil. Kč)</w:t>
        </w:r>
        <w:r w:rsidR="00DC3B3B">
          <w:rPr>
            <w:noProof/>
            <w:webHidden/>
          </w:rPr>
          <w:tab/>
        </w:r>
        <w:r w:rsidR="00DC3B3B">
          <w:rPr>
            <w:noProof/>
            <w:webHidden/>
          </w:rPr>
          <w:fldChar w:fldCharType="begin"/>
        </w:r>
        <w:r w:rsidR="00DC3B3B">
          <w:rPr>
            <w:noProof/>
            <w:webHidden/>
          </w:rPr>
          <w:instrText xml:space="preserve"> PAGEREF _Toc58236256 \h </w:instrText>
        </w:r>
        <w:r w:rsidR="00DC3B3B">
          <w:rPr>
            <w:noProof/>
            <w:webHidden/>
          </w:rPr>
        </w:r>
        <w:r w:rsidR="00DC3B3B">
          <w:rPr>
            <w:noProof/>
            <w:webHidden/>
          </w:rPr>
          <w:fldChar w:fldCharType="separate"/>
        </w:r>
        <w:r w:rsidR="002C77B2">
          <w:rPr>
            <w:noProof/>
            <w:webHidden/>
          </w:rPr>
          <w:t>2</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57" w:history="1">
        <w:r w:rsidR="00DC3B3B" w:rsidRPr="00C65019">
          <w:rPr>
            <w:rStyle w:val="Hypertextovodkaz"/>
            <w:noProof/>
          </w:rPr>
          <w:t>Graf č. 2: Vývoj prostředků jaderného účtu (mil. Kč)</w:t>
        </w:r>
        <w:r w:rsidR="00DC3B3B">
          <w:rPr>
            <w:noProof/>
            <w:webHidden/>
          </w:rPr>
          <w:tab/>
        </w:r>
        <w:r w:rsidR="00DC3B3B">
          <w:rPr>
            <w:noProof/>
            <w:webHidden/>
          </w:rPr>
          <w:fldChar w:fldCharType="begin"/>
        </w:r>
        <w:r w:rsidR="00DC3B3B">
          <w:rPr>
            <w:noProof/>
            <w:webHidden/>
          </w:rPr>
          <w:instrText xml:space="preserve"> PAGEREF _Toc58236257 \h </w:instrText>
        </w:r>
        <w:r w:rsidR="00DC3B3B">
          <w:rPr>
            <w:noProof/>
            <w:webHidden/>
          </w:rPr>
        </w:r>
        <w:r w:rsidR="00DC3B3B">
          <w:rPr>
            <w:noProof/>
            <w:webHidden/>
          </w:rPr>
          <w:fldChar w:fldCharType="separate"/>
        </w:r>
        <w:r w:rsidR="002C77B2">
          <w:rPr>
            <w:noProof/>
            <w:webHidden/>
          </w:rPr>
          <w:t>5</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58" w:history="1">
        <w:r w:rsidR="00DC3B3B" w:rsidRPr="00C65019">
          <w:rPr>
            <w:rStyle w:val="Hypertextovodkaz"/>
            <w:noProof/>
          </w:rPr>
          <w:t>Graf č. 3: Vývoj výnosů z investování na jaderném účtu (mil. Kč)</w:t>
        </w:r>
        <w:r w:rsidR="00DC3B3B">
          <w:rPr>
            <w:noProof/>
            <w:webHidden/>
          </w:rPr>
          <w:tab/>
        </w:r>
        <w:r w:rsidR="00DC3B3B">
          <w:rPr>
            <w:noProof/>
            <w:webHidden/>
          </w:rPr>
          <w:fldChar w:fldCharType="begin"/>
        </w:r>
        <w:r w:rsidR="00DC3B3B">
          <w:rPr>
            <w:noProof/>
            <w:webHidden/>
          </w:rPr>
          <w:instrText xml:space="preserve"> PAGEREF _Toc58236258 \h </w:instrText>
        </w:r>
        <w:r w:rsidR="00DC3B3B">
          <w:rPr>
            <w:noProof/>
            <w:webHidden/>
          </w:rPr>
        </w:r>
        <w:r w:rsidR="00DC3B3B">
          <w:rPr>
            <w:noProof/>
            <w:webHidden/>
          </w:rPr>
          <w:fldChar w:fldCharType="separate"/>
        </w:r>
        <w:r w:rsidR="002C77B2">
          <w:rPr>
            <w:noProof/>
            <w:webHidden/>
          </w:rPr>
          <w:t>6</w:t>
        </w:r>
        <w:r w:rsidR="00DC3B3B">
          <w:rPr>
            <w:noProof/>
            <w:webHidden/>
          </w:rPr>
          <w:fldChar w:fldCharType="end"/>
        </w:r>
      </w:hyperlink>
    </w:p>
    <w:p w:rsidR="00DC3B3B" w:rsidRDefault="008E5549" w:rsidP="00DC3B3B">
      <w:pPr>
        <w:pStyle w:val="Seznamobrzk"/>
        <w:tabs>
          <w:tab w:val="right" w:leader="dot" w:pos="9628"/>
        </w:tabs>
        <w:spacing w:before="0"/>
        <w:rPr>
          <w:rFonts w:eastAsiaTheme="minorEastAsia"/>
          <w:noProof/>
          <w:lang w:eastAsia="cs-CZ"/>
        </w:rPr>
      </w:pPr>
      <w:hyperlink w:anchor="_Toc58236259" w:history="1">
        <w:r w:rsidR="00DC3B3B" w:rsidRPr="00C65019">
          <w:rPr>
            <w:rStyle w:val="Hypertextovodkaz"/>
            <w:noProof/>
          </w:rPr>
          <w:t>Graf č. 4: Vývoj krátkodobých úrokových sazeb (% p.a.)</w:t>
        </w:r>
        <w:r w:rsidR="00DC3B3B">
          <w:rPr>
            <w:noProof/>
            <w:webHidden/>
          </w:rPr>
          <w:tab/>
        </w:r>
        <w:r w:rsidR="00DC3B3B">
          <w:rPr>
            <w:noProof/>
            <w:webHidden/>
          </w:rPr>
          <w:fldChar w:fldCharType="begin"/>
        </w:r>
        <w:r w:rsidR="00DC3B3B">
          <w:rPr>
            <w:noProof/>
            <w:webHidden/>
          </w:rPr>
          <w:instrText xml:space="preserve"> PAGEREF _Toc58236259 \h </w:instrText>
        </w:r>
        <w:r w:rsidR="00DC3B3B">
          <w:rPr>
            <w:noProof/>
            <w:webHidden/>
          </w:rPr>
        </w:r>
        <w:r w:rsidR="00DC3B3B">
          <w:rPr>
            <w:noProof/>
            <w:webHidden/>
          </w:rPr>
          <w:fldChar w:fldCharType="separate"/>
        </w:r>
        <w:r w:rsidR="002C77B2">
          <w:rPr>
            <w:noProof/>
            <w:webHidden/>
          </w:rPr>
          <w:t>6</w:t>
        </w:r>
        <w:r w:rsidR="00DC3B3B">
          <w:rPr>
            <w:noProof/>
            <w:webHidden/>
          </w:rPr>
          <w:fldChar w:fldCharType="end"/>
        </w:r>
      </w:hyperlink>
    </w:p>
    <w:p w:rsidR="00BC4C51" w:rsidRPr="00BE4341" w:rsidRDefault="003923B9" w:rsidP="00DC158D">
      <w:pPr>
        <w:pStyle w:val="Seznamobrzk"/>
        <w:tabs>
          <w:tab w:val="right" w:leader="dot" w:pos="9628"/>
        </w:tabs>
        <w:spacing w:before="0"/>
        <w:rPr>
          <w:sz w:val="16"/>
          <w:szCs w:val="16"/>
        </w:rPr>
      </w:pPr>
      <w:r w:rsidRPr="00B9622B">
        <w:rPr>
          <w:rFonts w:ascii="Calibri" w:hAnsi="Calibri"/>
          <w:sz w:val="16"/>
          <w:szCs w:val="16"/>
        </w:rPr>
        <w:fldChar w:fldCharType="end"/>
      </w:r>
    </w:p>
    <w:p w:rsidR="00626D52" w:rsidRPr="00167E7D" w:rsidRDefault="00626D52" w:rsidP="00DC158D">
      <w:pPr>
        <w:spacing w:before="0"/>
        <w:jc w:val="left"/>
        <w:sectPr w:rsidR="00626D52" w:rsidRPr="00167E7D" w:rsidSect="0010483A">
          <w:footerReference w:type="default" r:id="rId9"/>
          <w:pgSz w:w="11906" w:h="16838"/>
          <w:pgMar w:top="1134" w:right="1134" w:bottom="1134" w:left="1134" w:header="709" w:footer="709" w:gutter="0"/>
          <w:cols w:space="708"/>
          <w:docGrid w:linePitch="360"/>
        </w:sectPr>
      </w:pPr>
    </w:p>
    <w:p w:rsidR="00FE2A58" w:rsidRDefault="00FE2A58" w:rsidP="00FE2A58">
      <w:pPr>
        <w:pStyle w:val="Bezmezer"/>
      </w:pPr>
      <w:bookmarkStart w:id="0" w:name="_Toc35012238"/>
      <w:bookmarkStart w:id="1" w:name="_Toc56599063"/>
      <w:bookmarkStart w:id="2" w:name="_Toc378076269"/>
      <w:bookmarkStart w:id="3" w:name="_Toc378076660"/>
      <w:bookmarkStart w:id="4" w:name="_Toc378076708"/>
      <w:bookmarkStart w:id="5" w:name="_Toc35600634"/>
      <w:r>
        <w:t>Základní tendence vývoje státních finančních aktiv a pasiv</w:t>
      </w:r>
      <w:bookmarkEnd w:id="0"/>
      <w:bookmarkEnd w:id="1"/>
    </w:p>
    <w:p w:rsidR="00FE2A58" w:rsidRDefault="00FE2A58" w:rsidP="00FE2A58">
      <w:bookmarkStart w:id="6" w:name="_Toc289699699"/>
      <w:r>
        <w:t>Vývoj státních finančních aktiv a pasiv vymezených rozpočtovými pravidly, tj. § 36 zákona č. 218/2000 Sb.</w:t>
      </w:r>
      <w:r w:rsidR="0059513A">
        <w:t>, o </w:t>
      </w:r>
      <w:r>
        <w:t>rozpočtových pravidlech a o změně některých souvisejících zákonů (rozpočtová pravidla), ve znění pozdějších před</w:t>
      </w:r>
      <w:r w:rsidR="00AA520C">
        <w:t>pisů, charakterizují za rok 2020</w:t>
      </w:r>
      <w:r>
        <w:t xml:space="preserve"> následující údaje:</w:t>
      </w:r>
    </w:p>
    <w:p w:rsidR="00FE2A58" w:rsidRDefault="00FE2A58" w:rsidP="00FE2A58">
      <w:pPr>
        <w:pStyle w:val="Nzev"/>
      </w:pPr>
      <w:bookmarkStart w:id="7" w:name="_Toc58236236"/>
      <w:r>
        <w:t xml:space="preserve">Tabulka č. </w:t>
      </w:r>
      <w:fldSimple w:instr=" SEQ Tabulka_č. \* ARABIC ">
        <w:r>
          <w:rPr>
            <w:noProof/>
          </w:rPr>
          <w:t>1</w:t>
        </w:r>
      </w:fldSimple>
      <w:r>
        <w:t xml:space="preserve">: </w:t>
      </w:r>
      <w:r w:rsidRPr="00712B85">
        <w:t>Vývoj státních finančních aktiv a pasiv (mld. Kč)</w:t>
      </w:r>
      <w:bookmarkEnd w:id="7"/>
    </w:p>
    <w:p w:rsidR="00FE2A58" w:rsidRDefault="003C053D" w:rsidP="00FE2A58">
      <w:pPr>
        <w:pStyle w:val="Tabgraf"/>
      </w:pPr>
      <w:r w:rsidRPr="003C053D">
        <w:rPr>
          <w:noProof/>
          <w:lang w:eastAsia="cs-CZ"/>
        </w:rPr>
        <w:drawing>
          <wp:inline distT="0" distB="0" distL="0" distR="0" wp14:anchorId="7FD5ED7B" wp14:editId="4D049419">
            <wp:extent cx="5724525" cy="2666231"/>
            <wp:effectExtent l="0" t="0" r="0" b="127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9572" cy="2668582"/>
                    </a:xfrm>
                    <a:prstGeom prst="rect">
                      <a:avLst/>
                    </a:prstGeom>
                    <a:noFill/>
                    <a:ln>
                      <a:noFill/>
                    </a:ln>
                  </pic:spPr>
                </pic:pic>
              </a:graphicData>
            </a:graphic>
          </wp:inline>
        </w:drawing>
      </w:r>
    </w:p>
    <w:p w:rsidR="00FE2A58" w:rsidRPr="006D57F2" w:rsidRDefault="00FE2A58" w:rsidP="00FE2A58">
      <w:pPr>
        <w:pStyle w:val="Podtitul"/>
      </w:pPr>
      <w:r w:rsidRPr="006D57F2">
        <w:t xml:space="preserve">1 </w:t>
      </w:r>
      <w:r w:rsidRPr="00607BB5">
        <w:t>SDD v por</w:t>
      </w:r>
      <w:r>
        <w:t xml:space="preserve">tfoliu jaderného účtu ve výši </w:t>
      </w:r>
      <w:r w:rsidR="003C053D">
        <w:t>2,3 mld. Kč nejsou</w:t>
      </w:r>
      <w:r w:rsidRPr="00607BB5">
        <w:t xml:space="preserve"> zahrnuty do státních finančních pasiv</w:t>
      </w:r>
    </w:p>
    <w:p w:rsidR="00FE2A58" w:rsidRPr="00FE2A58" w:rsidRDefault="00FE2A58" w:rsidP="00FE2A58">
      <w:pPr>
        <w:pStyle w:val="Podtitul"/>
      </w:pPr>
      <w:r w:rsidRPr="00FE2A58">
        <w:t>Zdroj: MF</w:t>
      </w:r>
    </w:p>
    <w:p w:rsidR="003C053D" w:rsidRDefault="003C053D" w:rsidP="003C053D">
      <w:r>
        <w:t>Dlouhodobá tendence meziročního poklesu vykazovaného stavu státních finančních aktiv se zastavila v roce 2018 a v průběhu roku 2020 došlo oproti předchozímu roku k poměrně výraznému nárůstu na hodnotu 162,7 mld. Kč, což představovalo zvýšení o cca 25,3 mld. Kč. Současně došlo k silnému růstu vykazovaného stavu státních finančních pasiv, a to o 419,4 mld. Kč na celkovou hodnotu 2 132,6 mld. Kč.</w:t>
      </w:r>
    </w:p>
    <w:p w:rsidR="00FE2A58" w:rsidRDefault="003C053D" w:rsidP="003C053D">
      <w:r>
        <w:t>V roce 2020 měl zásadní vliv na zvýšení celkového stavu státních finančních pasiv vývoj závazků ze státních dluhopisů prodávaných na domácím trhu, kde nárůst o 445,8 mld. Kč, tj. o 31,0 % znamenal zvýšení celkového stavu na 1 882,6 mld. Kč. Nárůst se přitom týkal nejen střednědobých a dlouhodobých státních dluhopisů prodaných na domácím trhu, včetně státních dluhopisů pro obč</w:t>
      </w:r>
      <w:r w:rsidR="0059513A">
        <w:t>any, které v souhrnu vzrostly o </w:t>
      </w:r>
      <w:r>
        <w:t>424,9 mld. Kč, zvýšil se rovněž stav státních pokladničních poukázek celkem o 20,9 mld. Kč. Podíl státních dluhopisů pro občany na celkovém počtu korunových státních dluhopisů dosáhl ke konci roku 2020 úrovně 1,4 % při jejich absolutním růstu o cca 12,6 mld. Kč. Držba těchto emisí státních dluhopisů přitom ve stejném období výrazně vzrostla jak u tuzemských bank (o 330,0 mld. Kč), tak u tuzemských nebankovních subjektů (o 111,4 mld. Kč) a mírně rovněž u zahraničních subjektů (o cca 4,4 mld. Kč). Naproti tomu zadluženost ze zahraničních emisí státních dluhopisů (na zahraničních trzích) klesla o celkem cca 22,3 mld. Kč, tj. o 14,7 %. Tento pokles vyústil rovněž v poměrně výrazné snížení podílu zahraničních emisí na celkovém stavu státních dluhopisů, a to na 6,4 % (tj. o 3,1 %). Snížení přímých závazků státu z dlouhodobých úvěrů od mezinárodních finančních institucí o 0,5 mld. Kč bylo v roce 2020 dáno převahou splátek jistiny úvěrů od Evropské investiční banky v úhrnném rozsahu 5,8 mld. Kč nad čerpáním nových tranší úvěru od Rozvojové banky Rady Evropy (CEB) ve výši 5,3 mld. Kč. V průběhu roku 2020 byly postupně splaceny rovněž přijaté zápůjčky v podobě depozitních operací denominované v cizích měnách. Ke konci roku 2020 tak byla korunová hodnota těchto zápůjček nulová, což znamenalo pokles o 12,8 mld. Kč. Zvýšení stavu závazků z nesplacené části upsaného kapitálu u mezinárodních finančních i</w:t>
      </w:r>
      <w:r w:rsidR="0059513A">
        <w:t>nstitucí v celkovém rozsahu 9,8 </w:t>
      </w:r>
      <w:r>
        <w:t>mld. Kč bylo determinováno zejména zvýšením nesplacené části podílu České republiky u Mezinárodní banky pro obnovu a rozvoj (IBRD) o cca 0,7 mld. Kč, u Evropské investiční banky (EIB) o cca 8,7 mld. Kč a u</w:t>
      </w:r>
      <w:r w:rsidR="0059513A">
        <w:t> </w:t>
      </w:r>
      <w:r>
        <w:t>Mezinárodní banky hospodářské spolupráce o cca 0,1 mld. Kč. Na celkovém nárůstu závazků z tohoto titulu se pak v menší míře podílel i vývoj směnného kurzu Kč vůči USD a EUR.</w:t>
      </w:r>
      <w:r w:rsidR="00FE2A58" w:rsidRPr="00E54E9D">
        <w:t xml:space="preserve"> </w:t>
      </w:r>
    </w:p>
    <w:p w:rsidR="00FE2A58" w:rsidRPr="00DE6826" w:rsidRDefault="00FE2A58" w:rsidP="00FE2A58">
      <w:pPr>
        <w:pStyle w:val="Nzev"/>
      </w:pPr>
      <w:bookmarkStart w:id="8" w:name="_Toc58236256"/>
      <w:r w:rsidRPr="00DE6826">
        <w:t xml:space="preserve">Graf č. </w:t>
      </w:r>
      <w:fldSimple w:instr=" SEQ Graf_č. \* ARABIC ">
        <w:r>
          <w:rPr>
            <w:noProof/>
          </w:rPr>
          <w:t>1</w:t>
        </w:r>
      </w:fldSimple>
      <w:r w:rsidRPr="00DE6826">
        <w:t>: Vývoj rozložení držb</w:t>
      </w:r>
      <w:r w:rsidR="00486A67">
        <w:t>y státních dluhopisů v roce 2020</w:t>
      </w:r>
      <w:r w:rsidRPr="00DE6826">
        <w:t xml:space="preserve"> (mil. Kč)</w:t>
      </w:r>
      <w:bookmarkEnd w:id="8"/>
    </w:p>
    <w:p w:rsidR="00FE2A58" w:rsidRDefault="0005152D" w:rsidP="00FE2A58">
      <w:pPr>
        <w:pStyle w:val="Tabgraf"/>
      </w:pPr>
      <w:r>
        <w:rPr>
          <w:noProof/>
          <w:lang w:eastAsia="cs-CZ"/>
        </w:rPr>
        <w:drawing>
          <wp:inline distT="0" distB="0" distL="0" distR="0" wp14:anchorId="29BF24E8">
            <wp:extent cx="6305550" cy="2760471"/>
            <wp:effectExtent l="0" t="0" r="0" b="1905"/>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6975" cy="2761095"/>
                    </a:xfrm>
                    <a:prstGeom prst="rect">
                      <a:avLst/>
                    </a:prstGeom>
                    <a:noFill/>
                  </pic:spPr>
                </pic:pic>
              </a:graphicData>
            </a:graphic>
          </wp:inline>
        </w:drawing>
      </w:r>
    </w:p>
    <w:p w:rsidR="00FE2A58" w:rsidRDefault="00FE2A58" w:rsidP="00FE2A58">
      <w:pPr>
        <w:pStyle w:val="Podtitul"/>
      </w:pPr>
      <w:r>
        <w:t>Zdroj: MF</w:t>
      </w:r>
    </w:p>
    <w:p w:rsidR="00486A67" w:rsidRDefault="00486A67" w:rsidP="00486A67">
      <w:r>
        <w:t xml:space="preserve">Za rok 2020 se stav státního dluhu zvýšil o cca 409,5 mld. Kč (tj. o 25,0 %) a dosáhl hodnoty cca 2 049,7 mld. Kč. V roce 2020 vykázaly obě hlavní složky státního dluhu rozdílný vývoj. Zatímco vnitřní státní dluh dosáhl ve sledovaném období absolutního růstu o cca 445,2 mld. Kč (což představuje zvýšení o 31,0 %), výsledná korunová hodnota vnějšího státního dluhu se snížila o cca 35,7 mld. Kč (tj. o 17,6 %). Podíl vnějšího dluhu na celkovém státním dluhu se tak snížil na 8,2 %. </w:t>
      </w:r>
    </w:p>
    <w:p w:rsidR="00486A67" w:rsidRDefault="00486A67" w:rsidP="00486A67">
      <w:r w:rsidRPr="000F368A">
        <w:t>Na straně státních finančních aktiv (dále SFA) byl patrný značný nárůst vykazovaného stavu</w:t>
      </w:r>
      <w:r w:rsidR="000F368A" w:rsidRPr="000F368A">
        <w:t xml:space="preserve"> </w:t>
      </w:r>
      <w:r w:rsidRPr="000F368A">
        <w:t>u majetkových účastí státu, kde došlo k jejich celkovému zvýšení o cca 29,8 mld. Kč. Snížení stavu se naopak týkalo peněžních prostředků státu uložených na bankovních účtech SFA, kde doš</w:t>
      </w:r>
      <w:r w:rsidR="000F368A">
        <w:t>lo k jejich celkovému poklesu o </w:t>
      </w:r>
      <w:r w:rsidRPr="000F368A">
        <w:t>cca 3,5 mld. Kč a pohledávek státu vůči zahraničí s poklesem o cca 1,0 mld. Kč. U ostatních kategorií SFA došlo v průběhu roku 2020 k méně výrazným změnám vykazovaných st</w:t>
      </w:r>
      <w:r w:rsidR="000F368A">
        <w:t>avů. V případě cenných papírů z </w:t>
      </w:r>
      <w:r w:rsidRPr="000F368A">
        <w:t>finančního investování nedošlo k žádné změně a stav státních dluhopisů držených v portfoliu jaderného účtu zůstal na úrovni 2,3 mld. Kč.</w:t>
      </w:r>
    </w:p>
    <w:p w:rsidR="00FE2A58" w:rsidRPr="0026225D" w:rsidRDefault="00486A67" w:rsidP="00486A67">
      <w:r>
        <w:t>Stav tuzemských cenných papírů držených ministerstvem financí z finančního investování volných peněžních prostředků souhrnného účtu státní pokladny (cenné papíry, přijaté jako předmět finančního zajištění - kolaterál při finančním investování disponibilní likvidity státn</w:t>
      </w:r>
      <w:r w:rsidR="0005152D">
        <w:t>í pokladny) a stav pohledávek z </w:t>
      </w:r>
      <w:r>
        <w:t>investování formou depozit na bankovních účtech vedených u jiných peněžních ústavů byl vykázán jako nulový, a to z důvodu zamezení rizika dvojího započtení obou těchto kategorií SFA s peněžními prostředky vedenými na účtech SFA. Na zvláštním účtu rezervy důchodového pojištění je finanční investování pozastaveno a od roku 2012 jsou veškeré disponibilní prostředky zapojeny do řízení likvidity v rámci souhrnného účtu státní pokladny.</w:t>
      </w:r>
    </w:p>
    <w:p w:rsidR="00FE2A58" w:rsidRPr="00150535" w:rsidRDefault="00FE2A58" w:rsidP="00FE2A58">
      <w:pPr>
        <w:pStyle w:val="Bezmezer"/>
      </w:pPr>
      <w:bookmarkStart w:id="9" w:name="_Toc35012239"/>
      <w:bookmarkStart w:id="10" w:name="_Toc56599064"/>
      <w:r w:rsidRPr="00150535">
        <w:t>Stav a vývoj státních finančních aktiv</w:t>
      </w:r>
      <w:bookmarkEnd w:id="6"/>
      <w:bookmarkEnd w:id="9"/>
      <w:bookmarkEnd w:id="10"/>
    </w:p>
    <w:p w:rsidR="00FE2A58" w:rsidRPr="00150535" w:rsidRDefault="00FE2A58" w:rsidP="00FE2A58">
      <w:pPr>
        <w:pStyle w:val="Nadpis1"/>
      </w:pPr>
      <w:bookmarkStart w:id="11" w:name="_Toc289699700"/>
      <w:bookmarkStart w:id="12" w:name="_Toc35012240"/>
      <w:bookmarkStart w:id="13" w:name="_Toc56599065"/>
      <w:r w:rsidRPr="00150535">
        <w:t>Operace na bankovních depozitních účtech SFA</w:t>
      </w:r>
      <w:bookmarkEnd w:id="11"/>
      <w:bookmarkEnd w:id="12"/>
      <w:bookmarkEnd w:id="13"/>
    </w:p>
    <w:p w:rsidR="00486A67" w:rsidRPr="00210262" w:rsidRDefault="00486A67" w:rsidP="00486A67">
      <w:bookmarkStart w:id="14" w:name="_Toc289699701"/>
      <w:r w:rsidRPr="004C3442">
        <w:t xml:space="preserve">Vývoj státních finančních aktiv ve formě </w:t>
      </w:r>
      <w:r w:rsidRPr="004C3442">
        <w:rPr>
          <w:b/>
          <w:bCs/>
        </w:rPr>
        <w:t xml:space="preserve">peněžních prostředků uložených na bankovních </w:t>
      </w:r>
      <w:r w:rsidRPr="00210262">
        <w:rPr>
          <w:b/>
          <w:bCs/>
        </w:rPr>
        <w:t>účtech</w:t>
      </w:r>
      <w:r w:rsidRPr="00210262">
        <w:t xml:space="preserve"> u České </w:t>
      </w:r>
      <w:r>
        <w:t>národní banky lze v roce 2020</w:t>
      </w:r>
      <w:r w:rsidRPr="00210262">
        <w:t xml:space="preserve"> charakterizovat takto:</w:t>
      </w:r>
    </w:p>
    <w:p w:rsidR="00486A67" w:rsidRPr="00FB08B1" w:rsidRDefault="00486A67" w:rsidP="00486A67">
      <w:pPr>
        <w:pStyle w:val="odrka"/>
      </w:pPr>
      <w:r w:rsidRPr="00210262">
        <w:t>Prostředky na běžných bankovních účtech SFA měly z převážné části charakter korunových netermínovaných vkladů. Stav těchto korunových depozit, které tvoří jednu ze základních složek souhrnného účtu státní pok</w:t>
      </w:r>
      <w:r>
        <w:t xml:space="preserve">ladny, dosáhl na konci roku </w:t>
      </w:r>
      <w:r w:rsidRPr="00D20A06">
        <w:t>2020 úrovně 79,1 mld. Kč</w:t>
      </w:r>
      <w:r w:rsidRPr="00210262">
        <w:t xml:space="preserve">, což </w:t>
      </w:r>
      <w:r w:rsidR="0005152D">
        <w:t>představuje 100,0 </w:t>
      </w:r>
      <w:r w:rsidRPr="00B52706">
        <w:t xml:space="preserve">% celkového stavu bankovních depozit SFA. </w:t>
      </w:r>
      <w:proofErr w:type="spellStart"/>
      <w:r w:rsidRPr="00B52706">
        <w:t>Euroúčet</w:t>
      </w:r>
      <w:proofErr w:type="spellEnd"/>
      <w:r w:rsidRPr="00B52706">
        <w:t xml:space="preserve"> dluhové služby </w:t>
      </w:r>
      <w:r w:rsidRPr="00FB08B1">
        <w:t xml:space="preserve">vykázal k 31. 12. 2020 nulový zůstatek, neboť částka 5,5 mil. EUR (tj. cca 144,6 mil. Kč) byla v samém závěru roku převedena na eurový účet pro financování státního dluhu. </w:t>
      </w:r>
    </w:p>
    <w:p w:rsidR="00486A67" w:rsidRPr="0067372B" w:rsidRDefault="00486A67" w:rsidP="00486A67">
      <w:pPr>
        <w:pStyle w:val="odrka"/>
      </w:pPr>
      <w:r w:rsidRPr="00FB08B1">
        <w:t>Prakticky veškeré příjmové, výdajové a částečně</w:t>
      </w:r>
      <w:r w:rsidRPr="004C3442">
        <w:t xml:space="preserve"> i financující operace probíhající na korunových depozitních účtech SFA se od roku 2001 staly součástí operací státního rozpočtu, a to převážně rozpočtové kapitoly Operace státních finančních aktiv (OSFA), zčásti též rozpočtové kapitoly Státní dluh (operace řízení likvidity a státního dluhu).</w:t>
      </w:r>
      <w:r>
        <w:t xml:space="preserve"> </w:t>
      </w:r>
      <w:r w:rsidRPr="0067372B">
        <w:t>Prostředky na depozitních účtech SFA (resp. použití těchto prostředků z minulých let) jsou tak vedle prostředků z emisí státních</w:t>
      </w:r>
      <w:r w:rsidR="0005152D">
        <w:t xml:space="preserve"> dluhopisů a příp. prostředků z </w:t>
      </w:r>
      <w:r w:rsidRPr="0067372B">
        <w:t xml:space="preserve">úvěrů přijatých od </w:t>
      </w:r>
      <w:r>
        <w:t xml:space="preserve">zahraničních finančních institucí </w:t>
      </w:r>
      <w:r w:rsidRPr="0067372B">
        <w:t>zapojovány do financování schodku státního rozpočtu.</w:t>
      </w:r>
    </w:p>
    <w:p w:rsidR="00486A67" w:rsidRPr="00ED6DBB" w:rsidRDefault="00486A67" w:rsidP="00486A67">
      <w:pPr>
        <w:pStyle w:val="odrka"/>
      </w:pPr>
      <w:r w:rsidRPr="0070169A">
        <w:t xml:space="preserve">Financování salda příjmů a výdajů rozpočtové kapitoly OSFA je zajištěno z účtů SFA, které kromě toho kryjí též přesuny z kapitoly OSFA do jiných rozpočtových kapitol </w:t>
      </w:r>
      <w:r w:rsidRPr="00ED6DBB">
        <w:t xml:space="preserve">formou rozpočtových opatření a jejichž rozsah v roce </w:t>
      </w:r>
      <w:r>
        <w:t>2020</w:t>
      </w:r>
      <w:r w:rsidRPr="00210262">
        <w:t xml:space="preserve"> </w:t>
      </w:r>
      <w:r w:rsidRPr="009F7932">
        <w:t>činil 20 175,5</w:t>
      </w:r>
      <w:r w:rsidRPr="00210262">
        <w:t xml:space="preserve"> mil.</w:t>
      </w:r>
      <w:r w:rsidRPr="003B0671">
        <w:t xml:space="preserve"> Kč</w:t>
      </w:r>
      <w:r w:rsidRPr="00ED6DBB">
        <w:t xml:space="preserve">. </w:t>
      </w:r>
    </w:p>
    <w:p w:rsidR="00486A67" w:rsidRPr="00ED6DBB" w:rsidRDefault="00486A67" w:rsidP="00486A67">
      <w:pPr>
        <w:pStyle w:val="odrka"/>
      </w:pPr>
      <w:r w:rsidRPr="00ED6DBB">
        <w:t xml:space="preserve">Od roku 2017 jsou v souladu se zákonem č. 263/2016 Sb., atomový zákon, prostředky uvolňované na financování činnosti Správy úložišť radioaktivních odpadů (SÚRAO) rozpočtovány přímo v kapitole 322 - MPO a </w:t>
      </w:r>
      <w:r>
        <w:t>kryty z prostředků SFA (z j</w:t>
      </w:r>
      <w:r w:rsidRPr="00ED6DBB">
        <w:t>aderného účtu).</w:t>
      </w:r>
      <w:r>
        <w:t xml:space="preserve"> V roce 2020 bylo uvolněno </w:t>
      </w:r>
      <w:r w:rsidRPr="009F7932">
        <w:t>celkem 486,4 mil</w:t>
      </w:r>
      <w:r>
        <w:t>. Kč.</w:t>
      </w:r>
    </w:p>
    <w:p w:rsidR="00486A67" w:rsidRPr="0070169A" w:rsidRDefault="00486A67" w:rsidP="00486A67">
      <w:pPr>
        <w:pStyle w:val="odrka"/>
      </w:pPr>
      <w:r w:rsidRPr="0070169A">
        <w:t>Obdobně jako v předchozích letech nebyly an</w:t>
      </w:r>
      <w:r>
        <w:t>i v roce 2020</w:t>
      </w:r>
      <w:r w:rsidRPr="0070169A">
        <w:t xml:space="preserve"> peněžní prostředky účtů SFA zapojeny k finančnímu krytí poskytnutých státních půjček, neboť čerpání nových státních půjček nebylo v kapitole OSFA rozpočtováno. </w:t>
      </w:r>
    </w:p>
    <w:p w:rsidR="00486A67" w:rsidRDefault="00486A67" w:rsidP="00486A67">
      <w:pPr>
        <w:pStyle w:val="odrka"/>
      </w:pPr>
      <w:r w:rsidRPr="0070169A">
        <w:t>Finanční investování dočasně volných prostř</w:t>
      </w:r>
      <w:r>
        <w:t>edků na účtech SFA se v roce 2020 přímo týkalo pouze j</w:t>
      </w:r>
      <w:r w:rsidRPr="0070169A">
        <w:t xml:space="preserve">aderného účtu, zřízeného podle </w:t>
      </w:r>
      <w:r w:rsidRPr="000F26E0">
        <w:t xml:space="preserve">atomového </w:t>
      </w:r>
      <w:r>
        <w:t>zákona</w:t>
      </w:r>
      <w:r w:rsidRPr="0070169A">
        <w:t xml:space="preserve">. </w:t>
      </w:r>
      <w:r w:rsidRPr="00DF11DE">
        <w:t xml:space="preserve">Rozsah </w:t>
      </w:r>
      <w:r>
        <w:t xml:space="preserve">průběžného </w:t>
      </w:r>
      <w:r w:rsidRPr="00DF11DE">
        <w:t>krátkodobého fin</w:t>
      </w:r>
      <w:r>
        <w:t>ančního investování prostředků j</w:t>
      </w:r>
      <w:r w:rsidRPr="00DF11DE">
        <w:t xml:space="preserve">aderného účtu postupně dosáhl </w:t>
      </w:r>
      <w:r w:rsidRPr="00F07D94">
        <w:t>celkové částky cca 747,5 mld. Kč. Stav cenných papírů držených v portfoliu z titulu finančního investování dosáhl ke konci</w:t>
      </w:r>
      <w:r>
        <w:t xml:space="preserve"> roku 2020 </w:t>
      </w:r>
      <w:r w:rsidRPr="003B0671">
        <w:t xml:space="preserve">úrovně </w:t>
      </w:r>
      <w:r>
        <w:t>2 30</w:t>
      </w:r>
      <w:r w:rsidRPr="003B0671">
        <w:t>0 mil</w:t>
      </w:r>
      <w:r w:rsidRPr="00ED6DBB">
        <w:t>. Kč (j</w:t>
      </w:r>
      <w:r w:rsidRPr="00933132">
        <w:t>menovitá hodnota SDD)</w:t>
      </w:r>
      <w:r>
        <w:t>.</w:t>
      </w:r>
      <w:r w:rsidRPr="00933132">
        <w:t xml:space="preserve"> Disponibilní</w:t>
      </w:r>
      <w:r w:rsidRPr="00DF11DE">
        <w:t xml:space="preserve"> prostředky na účtu </w:t>
      </w:r>
      <w:r w:rsidRPr="00C807A9">
        <w:t xml:space="preserve">Rezervy důchodového </w:t>
      </w:r>
      <w:r>
        <w:t>pojištění</w:t>
      </w:r>
      <w:r w:rsidRPr="00DF11DE">
        <w:t xml:space="preserve"> nebyly samostatně investovány na finančním trhu, ale byly zapojeny do řízení likvidity státu v rámci souhrnného účtu státní pokladny.</w:t>
      </w:r>
    </w:p>
    <w:p w:rsidR="00486A67" w:rsidRPr="00204382" w:rsidRDefault="00486A67" w:rsidP="00486A67">
      <w:pPr>
        <w:pStyle w:val="odrka"/>
      </w:pPr>
      <w:r w:rsidRPr="00157A8A">
        <w:t xml:space="preserve">V závěru roku se </w:t>
      </w:r>
      <w:r w:rsidRPr="008A1071">
        <w:t>uskutečnil převod výsledného přebytkového salda hospodaření systému důchodového pojištění za rok 2019 ve výši 16 438,5 mil. Kč na zvláštní účet</w:t>
      </w:r>
      <w:r w:rsidRPr="00157A8A">
        <w:t xml:space="preserve"> státních finančních aktiv rezervy důchodového pojištění č. 1978 – 33025001/0710.</w:t>
      </w:r>
    </w:p>
    <w:p w:rsidR="00FE2A58" w:rsidRPr="008500EC" w:rsidRDefault="00486A67" w:rsidP="00486A67">
      <w:pPr>
        <w:pStyle w:val="odrka"/>
      </w:pPr>
      <w:r w:rsidRPr="0070169A">
        <w:t xml:space="preserve">Podrobnější </w:t>
      </w:r>
      <w:r w:rsidRPr="00B011CB">
        <w:rPr>
          <w:bCs/>
        </w:rPr>
        <w:t>přehled o příjmových a výdajových operacích</w:t>
      </w:r>
      <w:r w:rsidRPr="00B011CB">
        <w:t xml:space="preserve"> realizovaných v roce </w:t>
      </w:r>
      <w:r>
        <w:t>2020</w:t>
      </w:r>
      <w:r w:rsidRPr="00B011CB">
        <w:t xml:space="preserve"> </w:t>
      </w:r>
      <w:r>
        <w:rPr>
          <w:bCs/>
        </w:rPr>
        <w:t>na korunov</w:t>
      </w:r>
      <w:r w:rsidRPr="00B011CB">
        <w:rPr>
          <w:bCs/>
        </w:rPr>
        <w:t>ých bankovních účtech SFA</w:t>
      </w:r>
      <w:r w:rsidRPr="0070169A">
        <w:t xml:space="preserve"> v porovnání se schváleným rozpočtem a skutečnost</w:t>
      </w:r>
      <w:r>
        <w:t>í za rok 2019</w:t>
      </w:r>
      <w:r w:rsidRPr="0070169A">
        <w:t xml:space="preserve"> je uveden v tabulkové příloze části tohoto sešitu v </w:t>
      </w:r>
      <w:r w:rsidRPr="00C20E60">
        <w:t>tabulce č. 2.</w:t>
      </w:r>
      <w:r w:rsidRPr="0070169A">
        <w:t xml:space="preserve"> Komentář k příjmovým a výdajovým operacím kapitoly OSFA, jakož i k uvolňování účelově určených prostředků SFA na krytí výdajů realizovaných v</w:t>
      </w:r>
      <w:r w:rsidR="002C77B2">
        <w:t> </w:t>
      </w:r>
      <w:r w:rsidRPr="0070169A">
        <w:t xml:space="preserve">jiných rozpočtových kapitolách je uveden v příslušném kapitolním sešitu státního závěrečného účtu. Shrnující pohled na příjmové a výdajové operace korunových účtů </w:t>
      </w:r>
      <w:r w:rsidRPr="009A2685">
        <w:t>SFA podává tabulka:</w:t>
      </w:r>
    </w:p>
    <w:p w:rsidR="00FE2A58" w:rsidRPr="00367B5B" w:rsidRDefault="00FE2A58" w:rsidP="00FE2A58">
      <w:pPr>
        <w:pStyle w:val="Nzev"/>
      </w:pPr>
      <w:bookmarkStart w:id="15" w:name="_Toc58236237"/>
      <w:r>
        <w:t xml:space="preserve">Tabulka č. </w:t>
      </w:r>
      <w:fldSimple w:instr=" SEQ Tabulka_č. \* ARABIC ">
        <w:r>
          <w:rPr>
            <w:noProof/>
          </w:rPr>
          <w:t>2</w:t>
        </w:r>
      </w:fldSimple>
      <w:r>
        <w:t>: P</w:t>
      </w:r>
      <w:r w:rsidRPr="00432D94">
        <w:t>říjmové a výdajové operace korunových účtů SFA</w:t>
      </w:r>
      <w:r w:rsidR="00807060">
        <w:t xml:space="preserve"> (</w:t>
      </w:r>
      <w:r>
        <w:t>mil. Kč)</w:t>
      </w:r>
      <w:bookmarkEnd w:id="15"/>
    </w:p>
    <w:p w:rsidR="00FE2A58" w:rsidRPr="00B754AB" w:rsidRDefault="002769C5" w:rsidP="00FE2A58">
      <w:pPr>
        <w:pStyle w:val="Tabgraf"/>
      </w:pPr>
      <w:r w:rsidRPr="002769C5">
        <w:rPr>
          <w:noProof/>
          <w:lang w:eastAsia="cs-CZ"/>
        </w:rPr>
        <w:drawing>
          <wp:inline distT="0" distB="0" distL="0" distR="0" wp14:anchorId="7DB31AC3" wp14:editId="5B16B2FC">
            <wp:extent cx="5892508" cy="214312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99051" cy="2145505"/>
                    </a:xfrm>
                    <a:prstGeom prst="rect">
                      <a:avLst/>
                    </a:prstGeom>
                    <a:noFill/>
                    <a:ln>
                      <a:noFill/>
                    </a:ln>
                  </pic:spPr>
                </pic:pic>
              </a:graphicData>
            </a:graphic>
          </wp:inline>
        </w:drawing>
      </w:r>
    </w:p>
    <w:p w:rsidR="00FE2A58" w:rsidRPr="00FE2A58" w:rsidRDefault="00FE2A58" w:rsidP="00FE2A58">
      <w:pPr>
        <w:pStyle w:val="Podtitul"/>
      </w:pPr>
      <w:r w:rsidRPr="00FE2A58">
        <w:t>Zdroj: MF</w:t>
      </w:r>
    </w:p>
    <w:p w:rsidR="002769C5" w:rsidRDefault="002769C5" w:rsidP="002769C5">
      <w:r>
        <w:t xml:space="preserve">U operací za kapitolu OSFA včetně transferů došlo v roce 2020 k převaze </w:t>
      </w:r>
      <w:r w:rsidR="002866BC">
        <w:t>výdajů nad příjmy ve výši cca 1 </w:t>
      </w:r>
      <w:r>
        <w:t>450,9 mil. Kč. Oproti skutečnosti v roce 2019, kdy bylo dosaženo přebytkového salda příjmů a výdajů ve výši cca 22 446,7 mil. Kč, to znamenalo výraznou změnu výsledku hospodaření této kapitoly. Schválený rozpočet, po změnách dle zákona č. 129/2020 Sb., kterým se měnil zákon č. 355/2019 Sb., o státním rozpočtu České republiky na rok 2020, stanovil saldo příjmů a výdajů kapitoly OSFA (včetně transferů do jiných rozpočtových kapitol) ve výši minus 18 208,5 mil. Kč.</w:t>
      </w:r>
    </w:p>
    <w:p w:rsidR="002769C5" w:rsidRDefault="002769C5" w:rsidP="002769C5">
      <w:r>
        <w:t>Příjmové operace kapitoly OSFA vykázaly v roce 2020 enormní nárůst opro</w:t>
      </w:r>
      <w:r w:rsidR="002866BC">
        <w:t>ti schválenému rozpočtu, a to o </w:t>
      </w:r>
      <w:r>
        <w:t>16 535,4 mil. Kč, což představuje plnění na hodnotu 854,5 %. Na tomto výsledku se podílelo překročení daňových příjmů (odvodů od původců radioaktivních odpadů) o 117,6 mil. Kč, naopak u nedaňových příjmů došlo k mírnému neplnění v celkové výši 20,7 mil. Kč. Nepodařilo se dosáhnout rozpočtovaných příjmů zejména u výnosů z finančního investování na jaderném účtu, kde propad činil 205,4 mil. Kč. Částečnou korekci celkových nedaňových příjmů představovaly naopak zejména vyšší příjmy z likvidace státních podniků (o 161,0 mil. Kč) a příjmy z inkasovaných dividend (o 21,1 mil. Kč). Mimořádným příjmem kapitoly OSFA byl převod přebytku důchodového pojištění za rok 2019 ve výši 16 438,5 mil. Kč, který byl v závěru roku převeden z kapitoly 398 - VPS na zvláštní účet státních finančních aktiv a stal se příjmem kapitoly OSFA.</w:t>
      </w:r>
    </w:p>
    <w:p w:rsidR="002769C5" w:rsidRDefault="002769C5" w:rsidP="002769C5">
      <w:r>
        <w:t xml:space="preserve">Přímé výdaje kapitoly OSFA vesměs nedosahovaly objemů rozpočtovaných na rok 2020 a úhrnem představovaly částku 2,3 mil. Kč. Tuto částku téměř výhradně tvořily uhrazené poplatky související se službami poskytovanými v rámci správy cenných papírů. Na úhrady restitucí zemědělského majetku (vyplácené prostřednictvím </w:t>
      </w:r>
      <w:proofErr w:type="spellStart"/>
      <w:r>
        <w:t>MZe</w:t>
      </w:r>
      <w:proofErr w:type="spellEnd"/>
      <w:r>
        <w:t>) bylo uvolněno pouze cca 185 tis. Kč. Kapitálové výdaje určené na řešení mimořádných situací a posílení infrastruktury ústředních samosprávných celků nebyly v roce 2020 čerpány.</w:t>
      </w:r>
    </w:p>
    <w:p w:rsidR="002769C5" w:rsidRDefault="002769C5" w:rsidP="002769C5">
      <w:r>
        <w:t>U několika výdajových položek rozpočtovaných v kapitole OSFA došlo realizací příslušných rozpočtových opatření k přenesení oprávnění čerpat prostředky SFA do jiných kapitol. Tímto přesunem bylo konkrétně do kapitoly Ministerstva zemědělství uvolněno celkem 175,5 mil. Kč na majetkoprávní vypořádání majetku dotčeného v souvislosti s plánovanou realizací vodních děl Skalička, Vlachovice a Horní Opava. Nejvýznamnější přesun představovalo v roce 2020 uvolnění 20,0 mld. Kč do kapitoly Ministerstva práce a sociálních věcí na posílení sociální politiky státu v položce důchodového pojištění.</w:t>
      </w:r>
    </w:p>
    <w:p w:rsidR="002769C5" w:rsidRDefault="002769C5" w:rsidP="002769C5">
      <w:r>
        <w:t xml:space="preserve">Výsledné záporné saldo za rozpočtovou kapitolu OSFA, vyčíslené na 1 450,9 mil. Kč, fakticky představovalo financování z titulu změny peněžních prostředků na účtech SFA a projevilo se poklesem stavu prostředků na příslušných depozitech SFA. </w:t>
      </w:r>
    </w:p>
    <w:p w:rsidR="002769C5" w:rsidRDefault="002769C5" w:rsidP="002769C5">
      <w:r>
        <w:t>Pokud jde o ostatní příjmové a výdajové operace na účtech SFA, po zahrnutí výdajů z jaderného účtu na činnost SÚRAO (486,4 mil. Kč) bylo dosaženo přebytkového salda z těchto operací ve výši cca 1 651,5 mil. Kč.</w:t>
      </w:r>
    </w:p>
    <w:p w:rsidR="00FE2A58" w:rsidRPr="002860A5" w:rsidRDefault="002769C5" w:rsidP="002769C5">
      <w:r>
        <w:t>Podrobnější přehled o peněžních prostředcích a operacích na korunových bankovních účtech SFA v roce 2020 v členění podle hlavních bloků i jednotlivých účtů SFA je uveden v ta</w:t>
      </w:r>
      <w:r w:rsidR="002866BC">
        <w:t>bulkové příloze tohoto sešitu v </w:t>
      </w:r>
      <w:r>
        <w:t>tabulce č. 3.</w:t>
      </w:r>
      <w:r w:rsidR="00FE2A58" w:rsidRPr="00367B5B">
        <w:t xml:space="preserve"> </w:t>
      </w:r>
    </w:p>
    <w:p w:rsidR="002769C5" w:rsidRDefault="002769C5" w:rsidP="002769C5">
      <w:r>
        <w:t xml:space="preserve">Rozsáhlé </w:t>
      </w:r>
      <w:r w:rsidRPr="002769C5">
        <w:rPr>
          <w:b/>
        </w:rPr>
        <w:t>finanční investování</w:t>
      </w:r>
      <w:r>
        <w:t xml:space="preserve"> dočasně volných peněžních prostředků souhrnného účtu státní pokladny probíhalo obdobně jako v minulých letech na účtech Řízení likvidity státní pokladny. V průběhu roku 2020 byly splatné krátkodobé finanční investice s kolaterálem </w:t>
      </w:r>
    </w:p>
    <w:p w:rsidR="002769C5" w:rsidRDefault="002769C5" w:rsidP="002769C5">
      <w:r>
        <w:t xml:space="preserve">v podobě pokladničních poukázek ČNB a SDD s celkovým výnosem 1 674,0 mil. Kč, korunové depozitní operace s celkovým výnosem 103,5 mil. Kč a eurové depozitní operace s celkovým výnosem 0,25 mil. Kč. Dále bylo v roce 2020 dosaženo výnosů z titulu zápůjčních </w:t>
      </w:r>
      <w:proofErr w:type="spellStart"/>
      <w:r>
        <w:t>facilit</w:t>
      </w:r>
      <w:proofErr w:type="spellEnd"/>
      <w:r>
        <w:t xml:space="preserve"> v rozsahu 0,21 mil. Kč a zápůjček dluhopisů ve výši 4,7 mil. Kč. V roce 2020 byly zaznamenány příjmy z úroků z přijatých zápůjček (depozitních operací) denominovaných v cizích měnách ve výši 86,3 mil. Kč. Od roku 2015 jsou uskutečňovány rovněž devizové swapy, jejichž výnos v roce 2020 činil 32,0 mil. Kč. Ze zůstatku na účtech Ministerstva financí byly v roce 2020 připsány úroky ve výši 2,9 mil Kč. Celkové čisté příjmy z investování, dosažené v roce 2020 při řízení likvidity státní pokladny a státního dluhu, dosáhly částky 1 814,7 mil. Kč, což oproti roku 2019 představuje meziroční pokles o 50,7 %. </w:t>
      </w:r>
    </w:p>
    <w:p w:rsidR="00FE2A58" w:rsidRDefault="002769C5" w:rsidP="002769C5">
      <w:r>
        <w:t>Finanční investování na jaderném účtu SFA probíhalo ve sledovaném období výhradně do krátkodobých instrumentů finančního trhu. Podíl státních dluhopisů držených v portfoliu jaderného účtu oproti závěru roku 2019 mírně poklesl na 8,2 %, přičemž celkový stav se nezměnil a k 31</w:t>
      </w:r>
      <w:r w:rsidR="002866BC">
        <w:t>. 12. 2020 zůstal na úrovni 2,3 </w:t>
      </w:r>
      <w:r>
        <w:t xml:space="preserve">mld. Kč (ve jmenovité hodnotě). Volné peněžní prostředky byly průběžně investovány v celkovém objemu 747,5 mld. Kč, a to výhradně formou reverzních </w:t>
      </w:r>
      <w:proofErr w:type="spellStart"/>
      <w:r>
        <w:t>repo</w:t>
      </w:r>
      <w:proofErr w:type="spellEnd"/>
      <w:r>
        <w:t xml:space="preserve"> operací se zajištěním poukázkami ČNB.</w:t>
      </w:r>
      <w:r w:rsidR="00FE2A58" w:rsidRPr="00974673">
        <w:t xml:space="preserve"> </w:t>
      </w:r>
    </w:p>
    <w:p w:rsidR="00FE2A58" w:rsidRPr="00166F3C" w:rsidRDefault="00FE2A58" w:rsidP="00A42745">
      <w:pPr>
        <w:pStyle w:val="Nzev"/>
      </w:pPr>
      <w:bookmarkStart w:id="16" w:name="_Toc58236257"/>
      <w:r>
        <w:t xml:space="preserve">Graf č. </w:t>
      </w:r>
      <w:fldSimple w:instr=" SEQ Graf_č. \* ARABIC ">
        <w:r>
          <w:rPr>
            <w:noProof/>
          </w:rPr>
          <w:t>2</w:t>
        </w:r>
      </w:fldSimple>
      <w:r>
        <w:t>: Výv</w:t>
      </w:r>
      <w:r w:rsidR="00807060">
        <w:t>oj prostředků jaderného účtu (</w:t>
      </w:r>
      <w:r>
        <w:t>mil. Kč)</w:t>
      </w:r>
      <w:bookmarkEnd w:id="16"/>
    </w:p>
    <w:p w:rsidR="00FE2A58" w:rsidRPr="0076212E" w:rsidRDefault="002866BC" w:rsidP="00A42745">
      <w:pPr>
        <w:pStyle w:val="Tabgraf"/>
      </w:pPr>
      <w:r>
        <w:rPr>
          <w:noProof/>
          <w:lang w:eastAsia="cs-CZ"/>
        </w:rPr>
        <w:drawing>
          <wp:inline distT="0" distB="0" distL="0" distR="0" wp14:anchorId="47961C15">
            <wp:extent cx="6005195" cy="2755900"/>
            <wp:effectExtent l="0" t="0" r="0" b="635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5195" cy="2755900"/>
                    </a:xfrm>
                    <a:prstGeom prst="rect">
                      <a:avLst/>
                    </a:prstGeom>
                    <a:noFill/>
                  </pic:spPr>
                </pic:pic>
              </a:graphicData>
            </a:graphic>
          </wp:inline>
        </w:drawing>
      </w:r>
    </w:p>
    <w:p w:rsidR="00FE2A58" w:rsidRPr="00D42569" w:rsidRDefault="00FE2A58" w:rsidP="00FE2A58">
      <w:pPr>
        <w:pStyle w:val="Podtitul"/>
      </w:pPr>
      <w:r w:rsidRPr="00B96570">
        <w:t>Zdroj: MF</w:t>
      </w:r>
    </w:p>
    <w:p w:rsidR="00162C25" w:rsidRDefault="00162C25" w:rsidP="00162C25">
      <w:r w:rsidRPr="00085E9F">
        <w:t xml:space="preserve">Z grafu je zřejmý postupný nárůst celkových prostředků </w:t>
      </w:r>
      <w:r>
        <w:t xml:space="preserve">jaderného účtu až na </w:t>
      </w:r>
      <w:r w:rsidRPr="003D5E2F">
        <w:t xml:space="preserve">hodnotu téměř </w:t>
      </w:r>
      <w:r w:rsidRPr="007B275D">
        <w:t>32 055,3</w:t>
      </w:r>
      <w:r>
        <w:t xml:space="preserve"> </w:t>
      </w:r>
      <w:r w:rsidRPr="007B275D">
        <w:t>mil. Kč (</w:t>
      </w:r>
      <w:r w:rsidRPr="003D5E2F">
        <w:t xml:space="preserve">státní dluhopisy o celkové jmenovité </w:t>
      </w:r>
      <w:r w:rsidRPr="00CA406E">
        <w:t>hodnotě 2 300</w:t>
      </w:r>
      <w:r w:rsidRPr="003D5E2F">
        <w:t xml:space="preserve"> mil. Kč jsou zahrnuty v pořizovací </w:t>
      </w:r>
      <w:r w:rsidRPr="00CA406E">
        <w:t>ceně 2 638,</w:t>
      </w:r>
      <w:r>
        <w:t>1</w:t>
      </w:r>
      <w:r w:rsidRPr="003D5E2F">
        <w:t xml:space="preserve"> mil. Kč, tj. se zohledněním realizovaných prémií/diskontů). Původně převažující podíl SDD, který se až do konce roku 2013 zvolna zvyšoval, se od roku 2014 začal postupně snižovat, a to na úkor rostoucího podílu krátkodobého investování formou reverzních </w:t>
      </w:r>
      <w:proofErr w:type="spellStart"/>
      <w:r w:rsidRPr="003D5E2F">
        <w:t>repo</w:t>
      </w:r>
      <w:proofErr w:type="spellEnd"/>
      <w:r w:rsidRPr="003D5E2F">
        <w:t xml:space="preserve"> operací. </w:t>
      </w:r>
      <w:r>
        <w:t xml:space="preserve">Pozastaveny zůstaly v roce 2020 nové nákupy SDD do </w:t>
      </w:r>
      <w:r w:rsidRPr="007B275D">
        <w:t>portfolia jaderného účtu, od roku 2013 je pak zcela utlumen rovněž nákup SPP. Stav portfolia jaderného účtu je obdobně jako v minulém roce specifický skokovým nárů</w:t>
      </w:r>
      <w:r w:rsidR="002866BC">
        <w:t>stem peněžních prostředků k 31. </w:t>
      </w:r>
      <w:r w:rsidRPr="007B275D">
        <w:t xml:space="preserve">12. 2020 (29 417,2 mil. Kč), který je důsledkem </w:t>
      </w:r>
      <w:r w:rsidRPr="00F50A58">
        <w:t xml:space="preserve">skutečnosti, že v prosinci </w:t>
      </w:r>
      <w:r w:rsidRPr="008D3C9A">
        <w:t xml:space="preserve">2020 nebyla realizována žádná peněžní transakce se splatností v roce 2021. K vypořádání uzavřených </w:t>
      </w:r>
      <w:proofErr w:type="spellStart"/>
      <w:r w:rsidRPr="008D3C9A">
        <w:t>repo</w:t>
      </w:r>
      <w:proofErr w:type="spellEnd"/>
      <w:r w:rsidRPr="008D3C9A">
        <w:t xml:space="preserve"> obchodů v úhrnném rozsahu 29,4 mld. Kč, se zajištěním poukázkami ČNB jako kolaterálem, došlo </w:t>
      </w:r>
      <w:r>
        <w:t xml:space="preserve">ve dnech </w:t>
      </w:r>
      <w:r w:rsidRPr="008D3C9A">
        <w:t xml:space="preserve">30. a 31. 12. 2020, přičemž nové </w:t>
      </w:r>
      <w:proofErr w:type="spellStart"/>
      <w:r w:rsidRPr="008D3C9A">
        <w:t>repo</w:t>
      </w:r>
      <w:proofErr w:type="spellEnd"/>
      <w:r w:rsidRPr="008D3C9A">
        <w:t xml:space="preserve"> obchody byly</w:t>
      </w:r>
      <w:r>
        <w:t xml:space="preserve"> uzavřeny až počátkem ledna 2021</w:t>
      </w:r>
      <w:r w:rsidRPr="00A55895">
        <w:t>. V závěru roku 2020 byla s PPF bankou realizována zápůjčka cenných papírů (SDD) z portfolia jaderného účtu</w:t>
      </w:r>
      <w:r>
        <w:t xml:space="preserve"> s datem vypořádání v lednu 2021</w:t>
      </w:r>
      <w:r w:rsidRPr="00A55895">
        <w:t>. K zajištění této transakce</w:t>
      </w:r>
      <w:r>
        <w:t xml:space="preserve"> byly jako kolaterál použity poukázky ČNB. </w:t>
      </w:r>
    </w:p>
    <w:p w:rsidR="00FE2A58" w:rsidRDefault="00162C25" w:rsidP="00162C25">
      <w:r w:rsidRPr="00047795">
        <w:t>Z</w:t>
      </w:r>
      <w:r>
        <w:t>a rok 2020</w:t>
      </w:r>
      <w:r w:rsidRPr="00047795">
        <w:t xml:space="preserve"> bylo dosaženo celkových výnosů </w:t>
      </w:r>
      <w:r>
        <w:t>inkasovaných na j</w:t>
      </w:r>
      <w:r w:rsidRPr="002D7F94">
        <w:t xml:space="preserve">aderný účet ve </w:t>
      </w:r>
      <w:r>
        <w:t xml:space="preserve">výši cca </w:t>
      </w:r>
      <w:r>
        <w:br/>
      </w:r>
      <w:r w:rsidRPr="00EF6D09">
        <w:t>324,6 mil. Kč</w:t>
      </w:r>
      <w:r w:rsidRPr="002D7F94">
        <w:t xml:space="preserve">. </w:t>
      </w:r>
      <w:r>
        <w:t xml:space="preserve">Z této částky </w:t>
      </w:r>
      <w:r w:rsidRPr="00CB29E0">
        <w:t>připadá 106,</w:t>
      </w:r>
      <w:r>
        <w:t xml:space="preserve">0 mil. </w:t>
      </w:r>
      <w:r w:rsidRPr="002D7F94">
        <w:t>Kč na výnosy z ročních ku</w:t>
      </w:r>
      <w:r>
        <w:t>ponů SDD, držených v portfoliu j</w:t>
      </w:r>
      <w:r w:rsidRPr="002D7F94">
        <w:t xml:space="preserve">aderného účtu v celkové jmenovité </w:t>
      </w:r>
      <w:r>
        <w:t>hodnotě 2 30</w:t>
      </w:r>
      <w:r w:rsidRPr="00A351AA">
        <w:t>0</w:t>
      </w:r>
      <w:r w:rsidRPr="002D7F94">
        <w:t xml:space="preserve"> mil. Kč. </w:t>
      </w:r>
      <w:r w:rsidRPr="00BB6F15">
        <w:t xml:space="preserve">Zbývající výnosy ve </w:t>
      </w:r>
      <w:r>
        <w:t>výši cca 218,7</w:t>
      </w:r>
      <w:r w:rsidRPr="00CB29E0">
        <w:t xml:space="preserve"> mil. Kč</w:t>
      </w:r>
      <w:r w:rsidRPr="00BB6F15">
        <w:t xml:space="preserve"> byly generovány z průběžného krátkodobého finančního investování volných </w:t>
      </w:r>
      <w:r w:rsidRPr="000375B5">
        <w:t xml:space="preserve">peněžních prostředků, a to formou reverzních </w:t>
      </w:r>
      <w:proofErr w:type="spellStart"/>
      <w:r w:rsidRPr="000375B5">
        <w:t>repo</w:t>
      </w:r>
      <w:proofErr w:type="spellEnd"/>
      <w:r w:rsidRPr="000375B5">
        <w:t xml:space="preserve"> operací. Oproti r</w:t>
      </w:r>
      <w:r>
        <w:t>oku 2019</w:t>
      </w:r>
      <w:r w:rsidRPr="000375B5">
        <w:t xml:space="preserve"> představuje výše uvedená hodnota celkových výnosů z investování na jaderném účtu částku </w:t>
      </w:r>
      <w:r w:rsidRPr="008D3C9A">
        <w:t xml:space="preserve">nižší o cca 385,1 mil. </w:t>
      </w:r>
      <w:r w:rsidRPr="00CB29E0">
        <w:t>Kč (tj. o 54,3 %). Příčinou</w:t>
      </w:r>
      <w:r w:rsidRPr="0080155A">
        <w:t xml:space="preserve"> tohoto </w:t>
      </w:r>
      <w:r>
        <w:t xml:space="preserve">výrazného </w:t>
      </w:r>
      <w:r w:rsidRPr="00CB29E0">
        <w:t xml:space="preserve">poklesu byla </w:t>
      </w:r>
      <w:r>
        <w:t xml:space="preserve">především </w:t>
      </w:r>
      <w:r w:rsidRPr="00DD5918">
        <w:t xml:space="preserve">tendence postupného snižování úrokových sazeb, což se negativně odrazilo ve výnosnosti krátkodobých </w:t>
      </w:r>
      <w:r w:rsidRPr="00315D80">
        <w:t>instrumentů.</w:t>
      </w:r>
      <w:r>
        <w:t xml:space="preserve"> </w:t>
      </w:r>
      <w:r w:rsidRPr="00901ABD">
        <w:t xml:space="preserve">Inkasované výnosy z krátkodobého finančního </w:t>
      </w:r>
      <w:r>
        <w:t>investování kles</w:t>
      </w:r>
      <w:r w:rsidRPr="00F00C02">
        <w:t>ly</w:t>
      </w:r>
      <w:r>
        <w:t xml:space="preserve"> v roce 2020 oproti roku 2019</w:t>
      </w:r>
      <w:r w:rsidRPr="00F00C02">
        <w:t xml:space="preserve"> </w:t>
      </w:r>
      <w:r w:rsidRPr="00A0070C">
        <w:t>o cca 261,0 mil. Kč.</w:t>
      </w:r>
      <w:r w:rsidRPr="00315D80">
        <w:t xml:space="preserve"> V menší míře byl pokles </w:t>
      </w:r>
      <w:r>
        <w:t xml:space="preserve">celkových </w:t>
      </w:r>
      <w:r w:rsidRPr="00315D80">
        <w:t xml:space="preserve">výnosů oproti předchozímu roku 2019 ovlivněn i nižšími výnosy z ročních kupónů SDD, a to z důvodu poklesu stavu držených SDD (splatnost části držených SDD v roce 2019). </w:t>
      </w:r>
      <w:r w:rsidRPr="00A0070C">
        <w:t>Inkasované kupón</w:t>
      </w:r>
      <w:r w:rsidR="002866BC">
        <w:t>ové výnosy klesly v roce 2020 o </w:t>
      </w:r>
      <w:r w:rsidRPr="00A0070C">
        <w:t>88,9 mil. Kč.</w:t>
      </w:r>
      <w:r>
        <w:t xml:space="preserve"> </w:t>
      </w:r>
      <w:r w:rsidRPr="00315D80">
        <w:t>Zapojení většího objemu volných peněžních prostředků do krátkodobého investování pak mělo v porovnání s výše uvedenými dopady na výši dosažených výnosů pouze zanedbatelný vliv</w:t>
      </w:r>
      <w:r>
        <w:t>.</w:t>
      </w:r>
      <w:r w:rsidR="00FE2A58" w:rsidRPr="00F00C02">
        <w:t xml:space="preserve"> </w:t>
      </w:r>
    </w:p>
    <w:p w:rsidR="00FE2A58" w:rsidRPr="00091A9F" w:rsidRDefault="00FE2A58" w:rsidP="00A42745">
      <w:pPr>
        <w:pStyle w:val="Nzev"/>
      </w:pPr>
      <w:bookmarkStart w:id="17" w:name="_Toc58236258"/>
      <w:r>
        <w:t xml:space="preserve">Graf č. </w:t>
      </w:r>
      <w:fldSimple w:instr=" SEQ Graf_č. \* ARABIC ">
        <w:r>
          <w:rPr>
            <w:noProof/>
          </w:rPr>
          <w:t>3</w:t>
        </w:r>
      </w:fldSimple>
      <w:r>
        <w:t>: Vývoj výnosů z investování na j</w:t>
      </w:r>
      <w:r w:rsidRPr="00254EA6">
        <w:t>aderném účtu</w:t>
      </w:r>
      <w:r w:rsidR="00B14F42">
        <w:t xml:space="preserve"> (</w:t>
      </w:r>
      <w:r>
        <w:t>mil. Kč)</w:t>
      </w:r>
      <w:bookmarkEnd w:id="17"/>
    </w:p>
    <w:p w:rsidR="00FE2A58" w:rsidRPr="00A53A01" w:rsidRDefault="002866BC" w:rsidP="00A42745">
      <w:pPr>
        <w:pStyle w:val="Tabgraf"/>
      </w:pPr>
      <w:r>
        <w:rPr>
          <w:noProof/>
          <w:lang w:eastAsia="cs-CZ"/>
        </w:rPr>
        <w:drawing>
          <wp:inline distT="0" distB="0" distL="0" distR="0" wp14:anchorId="132B5C46">
            <wp:extent cx="5715000" cy="2322879"/>
            <wp:effectExtent l="0" t="0" r="0" b="127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1096" cy="2325357"/>
                    </a:xfrm>
                    <a:prstGeom prst="rect">
                      <a:avLst/>
                    </a:prstGeom>
                    <a:noFill/>
                  </pic:spPr>
                </pic:pic>
              </a:graphicData>
            </a:graphic>
          </wp:inline>
        </w:drawing>
      </w:r>
    </w:p>
    <w:p w:rsidR="00FE2A58" w:rsidRPr="00364B4B" w:rsidRDefault="00FE2A58" w:rsidP="00FE2A58">
      <w:pPr>
        <w:pStyle w:val="Podtitul"/>
      </w:pPr>
      <w:r w:rsidRPr="00B96570">
        <w:t>Zdroj: MF</w:t>
      </w:r>
    </w:p>
    <w:p w:rsidR="00FE2A58" w:rsidRDefault="00162C25" w:rsidP="00FE2A58">
      <w:r w:rsidRPr="00162C25">
        <w:t xml:space="preserve">Vývoj výnosnosti krátkodobého finančního investování kopíruje vývoj 2T </w:t>
      </w:r>
      <w:proofErr w:type="spellStart"/>
      <w:r w:rsidRPr="00162C25">
        <w:t>repo</w:t>
      </w:r>
      <w:proofErr w:type="spellEnd"/>
      <w:r w:rsidRPr="00162C25">
        <w:t xml:space="preserve"> sazby vyhlašované ČNB. Dlouhodobý trend držení minimálních sazeb zahájil razantní propad ve d</w:t>
      </w:r>
      <w:r w:rsidR="002866BC">
        <w:t>ruhé polovině roku 2012, a to u </w:t>
      </w:r>
      <w:r w:rsidRPr="00162C25">
        <w:t xml:space="preserve">reverzních </w:t>
      </w:r>
      <w:proofErr w:type="spellStart"/>
      <w:r w:rsidRPr="00162C25">
        <w:t>repo</w:t>
      </w:r>
      <w:proofErr w:type="spellEnd"/>
      <w:r w:rsidRPr="00162C25">
        <w:t xml:space="preserve"> operací poklesem z průměrné hodnoty 0,7% </w:t>
      </w:r>
      <w:proofErr w:type="spellStart"/>
      <w:proofErr w:type="gramStart"/>
      <w:r w:rsidRPr="00162C25">
        <w:t>p.a</w:t>
      </w:r>
      <w:proofErr w:type="spellEnd"/>
      <w:r w:rsidRPr="00162C25">
        <w:t>.</w:t>
      </w:r>
      <w:proofErr w:type="gramEnd"/>
      <w:r w:rsidRPr="00162C25">
        <w:t xml:space="preserve"> na 0,04% </w:t>
      </w:r>
      <w:proofErr w:type="spellStart"/>
      <w:r w:rsidRPr="00162C25">
        <w:t>p.a</w:t>
      </w:r>
      <w:proofErr w:type="spellEnd"/>
      <w:r w:rsidRPr="00162C25">
        <w:t>. a u nákupu SPP z</w:t>
      </w:r>
      <w:r w:rsidR="002C77B2">
        <w:t> </w:t>
      </w:r>
      <w:r w:rsidRPr="00162C25">
        <w:t xml:space="preserve">průměrné hodnoty 0,8% </w:t>
      </w:r>
      <w:proofErr w:type="spellStart"/>
      <w:r w:rsidRPr="00162C25">
        <w:t>p.a</w:t>
      </w:r>
      <w:proofErr w:type="spellEnd"/>
      <w:r w:rsidRPr="00162C25">
        <w:t xml:space="preserve">. na 0,1% </w:t>
      </w:r>
      <w:proofErr w:type="spellStart"/>
      <w:r w:rsidRPr="00162C25">
        <w:t>p.a</w:t>
      </w:r>
      <w:proofErr w:type="spellEnd"/>
      <w:r w:rsidRPr="00162C25">
        <w:t xml:space="preserve">. Po tomto prudkém poklesu dosáhly úrokové sazby krátkodobého investování pomyslného dna a v následujících letech se u reverzních </w:t>
      </w:r>
      <w:proofErr w:type="spellStart"/>
      <w:r w:rsidRPr="00162C25">
        <w:t>repo</w:t>
      </w:r>
      <w:proofErr w:type="spellEnd"/>
      <w:r w:rsidRPr="00162C25">
        <w:t xml:space="preserve"> operací bez větších výkyvů ustálily na úrovni cca 0,045 % </w:t>
      </w:r>
      <w:proofErr w:type="spellStart"/>
      <w:r w:rsidRPr="00162C25">
        <w:t>p.a</w:t>
      </w:r>
      <w:proofErr w:type="spellEnd"/>
      <w:r w:rsidRPr="00162C25">
        <w:t xml:space="preserve">. K opětovnému růstu 2T </w:t>
      </w:r>
      <w:proofErr w:type="spellStart"/>
      <w:r w:rsidRPr="00162C25">
        <w:t>repo</w:t>
      </w:r>
      <w:proofErr w:type="spellEnd"/>
      <w:r w:rsidRPr="00162C25">
        <w:t xml:space="preserve"> sazeb došlo až v srpnu 2017 (z 0,05% </w:t>
      </w:r>
      <w:proofErr w:type="spellStart"/>
      <w:r w:rsidRPr="00162C25">
        <w:t>p.a</w:t>
      </w:r>
      <w:proofErr w:type="spellEnd"/>
      <w:r w:rsidRPr="00162C25">
        <w:t xml:space="preserve">. na 0,25% </w:t>
      </w:r>
      <w:proofErr w:type="spellStart"/>
      <w:r w:rsidRPr="00162C25">
        <w:t>p.a</w:t>
      </w:r>
      <w:proofErr w:type="spellEnd"/>
      <w:r w:rsidRPr="00162C25">
        <w:t xml:space="preserve">.) a v listopadu 2017 (z 0,25% </w:t>
      </w:r>
      <w:proofErr w:type="spellStart"/>
      <w:r w:rsidRPr="00162C25">
        <w:t>p.a</w:t>
      </w:r>
      <w:proofErr w:type="spellEnd"/>
      <w:r w:rsidRPr="00162C25">
        <w:t xml:space="preserve"> na 0,50% </w:t>
      </w:r>
      <w:proofErr w:type="spellStart"/>
      <w:r w:rsidRPr="00162C25">
        <w:t>p.a</w:t>
      </w:r>
      <w:proofErr w:type="spellEnd"/>
      <w:r w:rsidRPr="00162C25">
        <w:t>.). Tato růstová tendence pokračovala i</w:t>
      </w:r>
      <w:r w:rsidR="002C77B2">
        <w:t> </w:t>
      </w:r>
      <w:r w:rsidRPr="00162C25">
        <w:t>v</w:t>
      </w:r>
      <w:r w:rsidR="002C77B2">
        <w:t> </w:t>
      </w:r>
      <w:r w:rsidRPr="00162C25">
        <w:t xml:space="preserve">průběhu roku 2018 (sazby vzrostly postupně až na 1,75% </w:t>
      </w:r>
      <w:proofErr w:type="spellStart"/>
      <w:r w:rsidRPr="00162C25">
        <w:t>p.a</w:t>
      </w:r>
      <w:proofErr w:type="spellEnd"/>
      <w:r w:rsidRPr="00162C25">
        <w:t xml:space="preserve">.) a v roce 2019, kdy se výnosnost reverzních </w:t>
      </w:r>
      <w:proofErr w:type="spellStart"/>
      <w:r w:rsidRPr="00162C25">
        <w:t>repo</w:t>
      </w:r>
      <w:proofErr w:type="spellEnd"/>
      <w:r w:rsidRPr="00162C25">
        <w:t xml:space="preserve"> operací pohybovala nejčastěji v rozmezí 1,72% </w:t>
      </w:r>
      <w:proofErr w:type="spellStart"/>
      <w:r w:rsidRPr="00162C25">
        <w:t>p.a</w:t>
      </w:r>
      <w:proofErr w:type="spellEnd"/>
      <w:r w:rsidRPr="00162C25">
        <w:t xml:space="preserve">. až 1,98% </w:t>
      </w:r>
      <w:proofErr w:type="spellStart"/>
      <w:r w:rsidRPr="00162C25">
        <w:t>p.a</w:t>
      </w:r>
      <w:proofErr w:type="spellEnd"/>
      <w:r w:rsidRPr="00162C25">
        <w:t xml:space="preserve">. (2T </w:t>
      </w:r>
      <w:proofErr w:type="spellStart"/>
      <w:r w:rsidRPr="00162C25">
        <w:t>repo</w:t>
      </w:r>
      <w:proofErr w:type="spellEnd"/>
      <w:r w:rsidRPr="00162C25">
        <w:t xml:space="preserve"> sazba vzrostla od 1.5.2019 na 2,0% </w:t>
      </w:r>
      <w:proofErr w:type="spellStart"/>
      <w:r w:rsidRPr="00162C25">
        <w:t>p.a</w:t>
      </w:r>
      <w:proofErr w:type="spellEnd"/>
      <w:r w:rsidRPr="00162C25">
        <w:t xml:space="preserve">.). V roce 2020 se do vývoje sazeb negativně promítla zhoršující se situace v souvislosti s šířením nemoci COVID – 19 a její dopady na ekonomiku. 2T </w:t>
      </w:r>
      <w:proofErr w:type="spellStart"/>
      <w:r w:rsidRPr="00162C25">
        <w:t>repo</w:t>
      </w:r>
      <w:proofErr w:type="spellEnd"/>
      <w:r w:rsidRPr="00162C25">
        <w:t xml:space="preserve"> sazba tak postupně klesla z únorových 2,25% </w:t>
      </w:r>
      <w:proofErr w:type="spellStart"/>
      <w:r w:rsidRPr="00162C25">
        <w:t>p.a</w:t>
      </w:r>
      <w:proofErr w:type="spellEnd"/>
      <w:r w:rsidRPr="00162C25">
        <w:t xml:space="preserve">. až na úroveň 0,25% </w:t>
      </w:r>
      <w:proofErr w:type="spellStart"/>
      <w:r w:rsidRPr="00162C25">
        <w:t>p.a</w:t>
      </w:r>
      <w:proofErr w:type="spellEnd"/>
      <w:r w:rsidRPr="00162C25">
        <w:t>. platnou od 11. 5. 2020</w:t>
      </w:r>
      <w:r>
        <w:t>.</w:t>
      </w:r>
    </w:p>
    <w:p w:rsidR="00FE2A58" w:rsidRPr="00ED5E34" w:rsidRDefault="00FE2A58" w:rsidP="00A42745">
      <w:pPr>
        <w:pStyle w:val="Nzev"/>
      </w:pPr>
      <w:bookmarkStart w:id="18" w:name="_Toc58236259"/>
      <w:r>
        <w:t xml:space="preserve">Graf č. </w:t>
      </w:r>
      <w:fldSimple w:instr=" SEQ Graf_č. \* ARABIC ">
        <w:r>
          <w:rPr>
            <w:noProof/>
          </w:rPr>
          <w:t>4</w:t>
        </w:r>
      </w:fldSimple>
      <w:r>
        <w:t xml:space="preserve">: Vývoj </w:t>
      </w:r>
      <w:r w:rsidR="00B14F42">
        <w:t>krátkodobých úrokových sazeb (</w:t>
      </w:r>
      <w:r>
        <w:t xml:space="preserve">% </w:t>
      </w:r>
      <w:proofErr w:type="spellStart"/>
      <w:proofErr w:type="gramStart"/>
      <w:r>
        <w:t>p.a</w:t>
      </w:r>
      <w:proofErr w:type="spellEnd"/>
      <w:r>
        <w:t>.</w:t>
      </w:r>
      <w:proofErr w:type="gramEnd"/>
      <w:r>
        <w:t>)</w:t>
      </w:r>
      <w:bookmarkEnd w:id="18"/>
    </w:p>
    <w:p w:rsidR="00FE2A58" w:rsidRDefault="002866BC" w:rsidP="00A42745">
      <w:pPr>
        <w:pStyle w:val="Tabgraf"/>
        <w:rPr>
          <w:highlight w:val="yellow"/>
        </w:rPr>
      </w:pPr>
      <w:r>
        <w:rPr>
          <w:noProof/>
          <w:lang w:eastAsia="cs-CZ"/>
        </w:rPr>
        <w:drawing>
          <wp:inline distT="0" distB="0" distL="0" distR="0" wp14:anchorId="5A128DC5">
            <wp:extent cx="6498590" cy="2767965"/>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98590" cy="2767965"/>
                    </a:xfrm>
                    <a:prstGeom prst="rect">
                      <a:avLst/>
                    </a:prstGeom>
                    <a:noFill/>
                  </pic:spPr>
                </pic:pic>
              </a:graphicData>
            </a:graphic>
          </wp:inline>
        </w:drawing>
      </w:r>
    </w:p>
    <w:p w:rsidR="00FE2A58" w:rsidRPr="00D24252" w:rsidRDefault="00FE2A58" w:rsidP="00FE2A58">
      <w:pPr>
        <w:pStyle w:val="Podtitul"/>
      </w:pPr>
      <w:r w:rsidRPr="00B96570">
        <w:t>Zdroj: MF</w:t>
      </w:r>
    </w:p>
    <w:p w:rsidR="00FE2A58" w:rsidRPr="00085E9F" w:rsidRDefault="00162C25" w:rsidP="00FE2A58">
      <w:r w:rsidRPr="00162C25">
        <w:rPr>
          <w:bCs/>
        </w:rPr>
        <w:t>V souladu s ustanovením § 36 zákona 218/2000 Sb. o rozpočtových pravidlech byly od roku 2008 do roku 2012 investovány rovněž volné finanční prostředky uložené na zvláštním účtu rezervy pro důchodovou reformu / pro důchodové pojištění. S ohledem na charakter těchto prostředků nebylo možno realizovat investiční transakce s využitím dlouhodobých instrumentů se splatností př</w:t>
      </w:r>
      <w:r w:rsidR="00AB2EAC">
        <w:rPr>
          <w:bCs/>
        </w:rPr>
        <w:t>esahující horizont roku 2012. V </w:t>
      </w:r>
      <w:r w:rsidRPr="00162C25">
        <w:rPr>
          <w:bCs/>
        </w:rPr>
        <w:t>návaznosti na změnu metodiky jsou pak od roku 2012 veškeré volné peněžní prostředky ponechány ve stejném režimu jako prostředky uložené na ostatních účtech SFA. Tyto likvidní prostředky jsou součástí souhrnného účtu státní pokladny a byly investovány do krátkodobých instrumentů finančního trhu v rámci řízení likvidity, což se pozitivně odrazilo ve snížení nákladů kapitoly 396 - Státní dluh</w:t>
      </w:r>
      <w:r w:rsidR="00FE2A58" w:rsidRPr="00085E9F">
        <w:rPr>
          <w:bCs/>
        </w:rPr>
        <w:t>.</w:t>
      </w:r>
      <w:r w:rsidR="00FE2A58" w:rsidRPr="00085E9F">
        <w:t xml:space="preserve"> </w:t>
      </w:r>
    </w:p>
    <w:p w:rsidR="00FE2A58" w:rsidRDefault="00FE2A58" w:rsidP="00A42745">
      <w:pPr>
        <w:pStyle w:val="Nadpis1"/>
      </w:pPr>
      <w:bookmarkStart w:id="19" w:name="_Toc35012241"/>
      <w:bookmarkStart w:id="20" w:name="_Toc56599066"/>
      <w:r>
        <w:t>Státní zahraniční pohledávky</w:t>
      </w:r>
      <w:bookmarkEnd w:id="14"/>
      <w:bookmarkEnd w:id="19"/>
      <w:bookmarkEnd w:id="20"/>
      <w:r>
        <w:t xml:space="preserve"> </w:t>
      </w:r>
    </w:p>
    <w:p w:rsidR="00FE2A58" w:rsidRDefault="00577EDD" w:rsidP="00FE2A58">
      <w:bookmarkStart w:id="21" w:name="_Toc289699702"/>
      <w:bookmarkStart w:id="22" w:name="_Toc289699704"/>
      <w:r w:rsidRPr="00577EDD">
        <w:t xml:space="preserve">Podíl státních zahraničních pohledávek z vládních úvěrů a pohledávek převzatých od ČSOB, a.s. (včetně pohledávek za </w:t>
      </w:r>
      <w:proofErr w:type="spellStart"/>
      <w:r w:rsidRPr="00577EDD">
        <w:t>deblokátory</w:t>
      </w:r>
      <w:proofErr w:type="spellEnd"/>
      <w:r w:rsidRPr="00577EDD">
        <w:t>) na celkovém stavu státních finančních aktiv se v roce</w:t>
      </w:r>
      <w:r w:rsidR="00AB2EAC">
        <w:t xml:space="preserve"> 2020 snížil na 9,6 % (tj. o </w:t>
      </w:r>
      <w:r w:rsidRPr="00577EDD">
        <w:t>2,5 %), přičemž celkový stav těchto pohledávek se snížil o 992,1 mil. Kč, což představovalo jejich relativní pokles o 6,0 %. Současně došlo rovněž k mírné změně ve struktuře této kategorie státních finančních aktiv, když mírně poklesl podíl pohledávek z vládních úvěrů na úkor pohledávek převzatých od ČSOB, a.s. Jako doplňující informace bez přímého dopadu na vykazované stavy státních finančních aktiv lze uvést, že u části pohledávek, které jsou klasifikovány jako nedobytné, jsou</w:t>
      </w:r>
      <w:r w:rsidR="00AB2EAC">
        <w:t xml:space="preserve"> v souladu se zákonem o </w:t>
      </w:r>
      <w:r w:rsidRPr="00577EDD">
        <w:t>účetnictví vytvářeny opravné položky. Obdobně jako v předchozích letech byla i v roce 2020 část pohledávek převedena v účetnictví Ministerstva financí na podrozvahové účty</w:t>
      </w:r>
      <w:r w:rsidR="00FE2A58">
        <w:t xml:space="preserve">. </w:t>
      </w:r>
    </w:p>
    <w:p w:rsidR="00FE2A58" w:rsidRDefault="00FE2A58" w:rsidP="00A42745">
      <w:pPr>
        <w:pStyle w:val="Nzev"/>
      </w:pPr>
      <w:bookmarkStart w:id="23" w:name="_Toc58236238"/>
      <w:r>
        <w:t xml:space="preserve">Tabulka č. </w:t>
      </w:r>
      <w:fldSimple w:instr=" SEQ Tabulka_č. \* ARABIC ">
        <w:r>
          <w:rPr>
            <w:noProof/>
          </w:rPr>
          <w:t>3</w:t>
        </w:r>
      </w:fldSimple>
      <w:r>
        <w:t>: Vývoj a struktura celkových stavů stát</w:t>
      </w:r>
      <w:r w:rsidR="00B14F42">
        <w:t>ních zahraničních pohledávek (</w:t>
      </w:r>
      <w:r>
        <w:t>mil. Kč)</w:t>
      </w:r>
      <w:bookmarkEnd w:id="23"/>
    </w:p>
    <w:p w:rsidR="00FE2A58" w:rsidRPr="00CD4E3F" w:rsidRDefault="00577EDD" w:rsidP="00A42745">
      <w:pPr>
        <w:pStyle w:val="Tabgraf"/>
      </w:pPr>
      <w:r w:rsidRPr="00577EDD">
        <w:rPr>
          <w:noProof/>
          <w:lang w:eastAsia="cs-CZ"/>
        </w:rPr>
        <w:drawing>
          <wp:inline distT="0" distB="0" distL="0" distR="0" wp14:anchorId="5A455B4F" wp14:editId="31CCCDDA">
            <wp:extent cx="5819775" cy="1439894"/>
            <wp:effectExtent l="0" t="0" r="0" b="825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8741" cy="1439638"/>
                    </a:xfrm>
                    <a:prstGeom prst="rect">
                      <a:avLst/>
                    </a:prstGeom>
                    <a:noFill/>
                    <a:ln>
                      <a:noFill/>
                    </a:ln>
                  </pic:spPr>
                </pic:pic>
              </a:graphicData>
            </a:graphic>
          </wp:inline>
        </w:drawing>
      </w:r>
    </w:p>
    <w:p w:rsidR="00FE2A58" w:rsidRPr="009043D8" w:rsidRDefault="00FE2A58" w:rsidP="00FE2A58">
      <w:pPr>
        <w:pStyle w:val="Podtitul"/>
      </w:pPr>
      <w:r w:rsidRPr="00B96570">
        <w:t>Zdroj: MF</w:t>
      </w:r>
    </w:p>
    <w:p w:rsidR="00FE2A58" w:rsidRDefault="00FE2A58" w:rsidP="00FE2A58">
      <w:r w:rsidRPr="0062559F">
        <w:t>Změny ve stavech zahrani</w:t>
      </w:r>
      <w:r>
        <w:t>čních pohledávek byly vedle kurz</w:t>
      </w:r>
      <w:r w:rsidRPr="0062559F">
        <w:t>ových rozdílů a připisovaných úroků, realizovaných dle příslušných smluvních dokumentů, ovlivněny i dalšími operacemi, jak je zřejmé s následujících přehledů, členěných dle jednotlivých bloků.</w:t>
      </w:r>
    </w:p>
    <w:p w:rsidR="00FE2A58" w:rsidRDefault="00FE2A58" w:rsidP="00A42745">
      <w:pPr>
        <w:pStyle w:val="Nzev"/>
      </w:pPr>
      <w:bookmarkStart w:id="24" w:name="_Toc58236239"/>
      <w:r>
        <w:t xml:space="preserve">Tabulka č. </w:t>
      </w:r>
      <w:fldSimple w:instr=" SEQ Tabulka_č. \* ARABIC ">
        <w:r>
          <w:rPr>
            <w:noProof/>
          </w:rPr>
          <w:t>4</w:t>
        </w:r>
      </w:fldSimple>
      <w:r>
        <w:t>: Změny ve stavech vládní</w:t>
      </w:r>
      <w:r w:rsidR="00B14F42">
        <w:t>ch pohledávek vůči zahraničí (</w:t>
      </w:r>
      <w:r>
        <w:t>mil. Kč)</w:t>
      </w:r>
      <w:bookmarkEnd w:id="24"/>
    </w:p>
    <w:p w:rsidR="00FE2A58" w:rsidRPr="002B1F38" w:rsidRDefault="00A23FDD" w:rsidP="00A42745">
      <w:pPr>
        <w:pStyle w:val="Tabgraf"/>
      </w:pPr>
      <w:r w:rsidRPr="00A23FDD">
        <w:rPr>
          <w:noProof/>
          <w:lang w:eastAsia="cs-CZ"/>
        </w:rPr>
        <w:drawing>
          <wp:inline distT="0" distB="0" distL="0" distR="0" wp14:anchorId="1901EA1B" wp14:editId="797ED357">
            <wp:extent cx="5252640" cy="2409825"/>
            <wp:effectExtent l="0" t="0" r="571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3407" cy="2410177"/>
                    </a:xfrm>
                    <a:prstGeom prst="rect">
                      <a:avLst/>
                    </a:prstGeom>
                    <a:noFill/>
                    <a:ln>
                      <a:noFill/>
                    </a:ln>
                  </pic:spPr>
                </pic:pic>
              </a:graphicData>
            </a:graphic>
          </wp:inline>
        </w:drawing>
      </w:r>
    </w:p>
    <w:p w:rsidR="00FE2A58" w:rsidRPr="009043D8" w:rsidRDefault="00FE2A58" w:rsidP="00FE2A58">
      <w:pPr>
        <w:pStyle w:val="Podtitul"/>
      </w:pPr>
      <w:r w:rsidRPr="00B96570">
        <w:t>Zdroj: MF</w:t>
      </w:r>
    </w:p>
    <w:p w:rsidR="00FE2A58" w:rsidRDefault="00EC31C3" w:rsidP="00EC31C3">
      <w:r>
        <w:t>U pohledávek z vládních úvěrů, které tvoří převážnou část zahraničních pohledávek státu, došlo vlivem převahy vyúčtovaných debetních kurzových rozdílů a uhrazených splátek nad připsanými úroky k snížení jejich stavu o cca 907,6 mil. Kč, tj. o 6,9 %. Nejvýraznějším vlivem byly kurzové rozdíly (649,6 mil. Kč) a snížení pohledávky vůči Kubě z titulu jejího přecenění, resp. změny přepočítacího kurzu Kč vůči převoditelnému rublu (279,5 mil. Kč). Splátky do státního rozpočtu v úhrnné částce 138,9 mil. Kč, se týkaly pravidelných splátek jistiny (98,3 mil. Kč) a úroků (40,6 mil. Kč) z Iráku, inkasovaných na základě uzavřené mezivládní dohody. Úroky byly v průběhu roku 2020 připsány v celkové výši 160,4 mil. Kč, a to zejména na účty pohledávek z vládních úvěrů speciál (135,9 mil. Kč)</w:t>
      </w:r>
      <w:r w:rsidR="00FE2A58" w:rsidRPr="00161B41">
        <w:t>.</w:t>
      </w:r>
      <w:r w:rsidR="00FE2A58">
        <w:t xml:space="preserve"> </w:t>
      </w:r>
    </w:p>
    <w:p w:rsidR="00FE2A58" w:rsidRDefault="00FE2A58" w:rsidP="00A42745">
      <w:pPr>
        <w:pStyle w:val="Nzev"/>
      </w:pPr>
      <w:bookmarkStart w:id="25" w:name="_Toc58236240"/>
      <w:r>
        <w:t xml:space="preserve">Tabulka č. </w:t>
      </w:r>
      <w:fldSimple w:instr=" SEQ Tabulka_č. \* ARABIC ">
        <w:r>
          <w:rPr>
            <w:noProof/>
          </w:rPr>
          <w:t>5</w:t>
        </w:r>
      </w:fldSimple>
      <w:r>
        <w:t>: Změny ve stavech převza</w:t>
      </w:r>
      <w:r w:rsidR="00B14F42">
        <w:t>tých zahraničních pohledávek (</w:t>
      </w:r>
      <w:r>
        <w:t>mil. Kč)</w:t>
      </w:r>
      <w:bookmarkEnd w:id="25"/>
    </w:p>
    <w:p w:rsidR="00FE2A58" w:rsidRPr="00CE724B" w:rsidRDefault="00EC31C3" w:rsidP="00A42745">
      <w:pPr>
        <w:pStyle w:val="Tabgraf"/>
      </w:pPr>
      <w:r w:rsidRPr="00EC31C3">
        <w:rPr>
          <w:noProof/>
          <w:lang w:eastAsia="cs-CZ"/>
        </w:rPr>
        <w:drawing>
          <wp:inline distT="0" distB="0" distL="0" distR="0" wp14:anchorId="117EA007" wp14:editId="41CDE3EA">
            <wp:extent cx="5495925" cy="2313595"/>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13993" cy="2321201"/>
                    </a:xfrm>
                    <a:prstGeom prst="rect">
                      <a:avLst/>
                    </a:prstGeom>
                    <a:noFill/>
                    <a:ln>
                      <a:noFill/>
                    </a:ln>
                  </pic:spPr>
                </pic:pic>
              </a:graphicData>
            </a:graphic>
          </wp:inline>
        </w:drawing>
      </w:r>
    </w:p>
    <w:p w:rsidR="00FE2A58" w:rsidRDefault="00FE2A58" w:rsidP="00FE2A58">
      <w:pPr>
        <w:pStyle w:val="Podtitul"/>
      </w:pPr>
      <w:r w:rsidRPr="006B11A1">
        <w:t>1</w:t>
      </w:r>
      <w:r>
        <w:t>) ve stavech je u Číny proveden zápočet mezi stavem pohl</w:t>
      </w:r>
      <w:r w:rsidR="002C77B2">
        <w:t>edávky a závazkem (k</w:t>
      </w:r>
      <w:r w:rsidR="00EC31C3">
        <w:t xml:space="preserve"> 31.</w:t>
      </w:r>
      <w:r w:rsidR="002C77B2">
        <w:t xml:space="preserve"> </w:t>
      </w:r>
      <w:r w:rsidR="00EC31C3">
        <w:t>12.</w:t>
      </w:r>
      <w:r w:rsidR="002C77B2">
        <w:t xml:space="preserve"> 2020</w:t>
      </w:r>
      <w:r w:rsidR="00EC31C3">
        <w:t xml:space="preserve"> činí pohledávka 557,8</w:t>
      </w:r>
      <w:r w:rsidR="00D20098">
        <w:t xml:space="preserve"> mil. Kč a závazek 296,1</w:t>
      </w:r>
      <w:r>
        <w:t xml:space="preserve"> mil. Kč)</w:t>
      </w:r>
    </w:p>
    <w:p w:rsidR="00FE2A58" w:rsidRPr="009043D8" w:rsidRDefault="00FE2A58" w:rsidP="00FE2A58">
      <w:pPr>
        <w:pStyle w:val="Podtitul"/>
      </w:pPr>
      <w:r w:rsidRPr="00B96570">
        <w:t>Zdroj: MF</w:t>
      </w:r>
    </w:p>
    <w:p w:rsidR="00FE2A58" w:rsidRPr="00E72109" w:rsidRDefault="00D20098" w:rsidP="00FE2A58">
      <w:r w:rsidRPr="00D20098">
        <w:t>U převzatých pohledávek došlo k jejich mírnému snížení o 38,4 mil. Kč, tj. o 1,6 %, což bylo v převážné míře ovlivněno vývojem směnného kurzu koruny (debetní kurzové rozdíly dosáhly v roce 2020 celkové hodnoty 33,6 mil. Kč). U zahraničních pohledávek převzatých od ČSOB, a.s. došlo k účetnímu převedení pohledávky za Běloruskem na Ministerstvo zahraničních věcí. Současně bylo na základě příslušné dohody zahájeno nepeněžní plnění ze strany Běloruska ve výši 3,0 mil. Kč</w:t>
      </w:r>
      <w:r w:rsidR="00FE2A58" w:rsidRPr="00E72109">
        <w:t>.</w:t>
      </w:r>
    </w:p>
    <w:p w:rsidR="00FE2A58" w:rsidRDefault="00FE2A58" w:rsidP="00A42745">
      <w:pPr>
        <w:pStyle w:val="Nzev"/>
      </w:pPr>
      <w:bookmarkStart w:id="26" w:name="_Toc58236241"/>
      <w:r>
        <w:t xml:space="preserve">Tabulka č. </w:t>
      </w:r>
      <w:fldSimple w:instr=" SEQ Tabulka_č. \* ARABIC ">
        <w:r>
          <w:rPr>
            <w:noProof/>
          </w:rPr>
          <w:t>6</w:t>
        </w:r>
      </w:fldSimple>
      <w:r>
        <w:t xml:space="preserve">: Změny ve stavech pohledávek za </w:t>
      </w:r>
      <w:proofErr w:type="spellStart"/>
      <w:r>
        <w:t>deblokátory</w:t>
      </w:r>
      <w:proofErr w:type="spellEnd"/>
      <w:r>
        <w:t xml:space="preserve"> zahraničních pohledá</w:t>
      </w:r>
      <w:r w:rsidR="00B14F42">
        <w:t>vek (</w:t>
      </w:r>
      <w:r>
        <w:t>mil. Kč)</w:t>
      </w:r>
      <w:bookmarkEnd w:id="26"/>
    </w:p>
    <w:p w:rsidR="00FE2A58" w:rsidRPr="00CD4E3F" w:rsidRDefault="00D20098" w:rsidP="00DC158D">
      <w:pPr>
        <w:pStyle w:val="Tabgraf"/>
      </w:pPr>
      <w:r w:rsidRPr="00D20098">
        <w:rPr>
          <w:noProof/>
          <w:lang w:eastAsia="cs-CZ"/>
        </w:rPr>
        <w:drawing>
          <wp:inline distT="0" distB="0" distL="0" distR="0" wp14:anchorId="12AD6AC4" wp14:editId="21E5A41E">
            <wp:extent cx="5314950" cy="2087850"/>
            <wp:effectExtent l="0" t="0" r="0" b="825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24250" cy="2091503"/>
                    </a:xfrm>
                    <a:prstGeom prst="rect">
                      <a:avLst/>
                    </a:prstGeom>
                    <a:noFill/>
                    <a:ln>
                      <a:noFill/>
                    </a:ln>
                  </pic:spPr>
                </pic:pic>
              </a:graphicData>
            </a:graphic>
          </wp:inline>
        </w:drawing>
      </w:r>
    </w:p>
    <w:p w:rsidR="00FE2A58" w:rsidRPr="00DC158D" w:rsidRDefault="00FE2A58" w:rsidP="00DC158D">
      <w:pPr>
        <w:pStyle w:val="Podtitul"/>
      </w:pPr>
      <w:r w:rsidRPr="00DC158D">
        <w:t>Zdroj: MF</w:t>
      </w:r>
    </w:p>
    <w:p w:rsidR="00FE2A58" w:rsidRDefault="00D20098" w:rsidP="00FE2A58">
      <w:r w:rsidRPr="00D20098">
        <w:t xml:space="preserve">U pohledávek převedených na společnosti </w:t>
      </w:r>
      <w:proofErr w:type="spellStart"/>
      <w:r w:rsidRPr="00D20098">
        <w:t>deblokující</w:t>
      </w:r>
      <w:proofErr w:type="spellEnd"/>
      <w:r w:rsidRPr="00D20098">
        <w:t xml:space="preserve"> zahraniční pohledá</w:t>
      </w:r>
      <w:r w:rsidR="00AB2EAC">
        <w:t>vky došlo v průběhu roku 2020 k </w:t>
      </w:r>
      <w:r w:rsidRPr="00D20098">
        <w:t xml:space="preserve">mírnému poklesu jejich hodnoty o 46,1 mil. Kč, tj. o 4,8 %. Toto snížení bylo důsledkem převažujícího vlivu debetních kurzových změn, které dosáhly úhrnné hodnoty cca 44,8 mil. Kč. K celkovému snížení výrazně přispělo rovněž snížení pohledávky za společností </w:t>
      </w:r>
      <w:proofErr w:type="spellStart"/>
      <w:r w:rsidRPr="00D20098">
        <w:t>Lanatex</w:t>
      </w:r>
      <w:proofErr w:type="spellEnd"/>
      <w:r w:rsidRPr="00D20098">
        <w:t>, a.s., která se vztahuje k deblokaci dluhu Indie, kde pokračovalo splácení v rámci probíhajícího exekučního řízení. Částka inkasovaná v roce 2020 do státního rozpočtu činila cca 4,5 mil. Kč. Částečnou korekci pak představovalo připsání úroků v celkovém rozsahu 3,2 mil. Kč</w:t>
      </w:r>
      <w:r>
        <w:t>.</w:t>
      </w:r>
    </w:p>
    <w:p w:rsidR="00D20098" w:rsidRPr="00B6272A" w:rsidRDefault="00D20098" w:rsidP="00FE2A58">
      <w:r w:rsidRPr="00D20098">
        <w:t xml:space="preserve">Do kategorie zahraničních pohledávek byla až do nabytí účinnosti zákona č. 465/2011 Sb. zahrnována rovněž pohledávka státu ve výši cca 1,4 mld. Kč za iránskou státní společností </w:t>
      </w:r>
      <w:proofErr w:type="spellStart"/>
      <w:r w:rsidRPr="00D20098">
        <w:t>Alumina</w:t>
      </w:r>
      <w:proofErr w:type="spellEnd"/>
      <w:r w:rsidRPr="00D20098">
        <w:t xml:space="preserve"> Plant Project </w:t>
      </w:r>
      <w:proofErr w:type="spellStart"/>
      <w:r w:rsidRPr="00D20098">
        <w:t>of</w:t>
      </w:r>
      <w:proofErr w:type="spellEnd"/>
      <w:r w:rsidRPr="00D20098">
        <w:t xml:space="preserve"> </w:t>
      </w:r>
      <w:proofErr w:type="spellStart"/>
      <w:r w:rsidRPr="00D20098">
        <w:t>Iran</w:t>
      </w:r>
      <w:proofErr w:type="spellEnd"/>
      <w:r w:rsidRPr="00D20098">
        <w:t xml:space="preserve"> (APPI) z titulu státní záruky realizované z prostředků rozpočtové kapitoly </w:t>
      </w:r>
      <w:r w:rsidR="00AB2EAC">
        <w:t>398 - VPS. Na základě zákona č. </w:t>
      </w:r>
      <w:r w:rsidRPr="00D20098">
        <w:t>465/2011 Sb., kterým byl změněn zákon č. 218/2000 Sb. o rozpočtových pravidlech České republiky, byla tato pohledávka ze státních finančních aktiv vyjmuta.</w:t>
      </w:r>
    </w:p>
    <w:p w:rsidR="00FE2A58" w:rsidRPr="00F8279B" w:rsidRDefault="00FE2A58" w:rsidP="00A42745">
      <w:pPr>
        <w:pStyle w:val="Nadpis1"/>
      </w:pPr>
      <w:bookmarkStart w:id="27" w:name="_Toc35012242"/>
      <w:bookmarkStart w:id="28" w:name="_Toc56599067"/>
      <w:r w:rsidRPr="00F8279B">
        <w:rPr>
          <w:szCs w:val="28"/>
        </w:rPr>
        <w:t>Majetkové účasti</w:t>
      </w:r>
      <w:r w:rsidRPr="00F8279B">
        <w:t xml:space="preserve"> u mezinárodních a tuzemských společností</w:t>
      </w:r>
      <w:bookmarkEnd w:id="21"/>
      <w:bookmarkEnd w:id="27"/>
      <w:bookmarkEnd w:id="28"/>
    </w:p>
    <w:p w:rsidR="00D20098" w:rsidRDefault="00D20098" w:rsidP="00D20098">
      <w:bookmarkStart w:id="29" w:name="_Toc289699703"/>
      <w:r>
        <w:t>Podíl mezinárodních a tuzemských majetkových účastí na celkovém stavu státních finančních aktiv se v roce 2020 zvýšil z 22,8 % na 37,6 %. Převažujícím vlivem bylo poměrně razantní zvýšení vykazovaného stavu majetkových účastí, které převýšilo celkový nárůst úhrnného stavu státních finančních aktiv o cca 4,5 mld. Kč. Na uvedeném zvýšení stavu majetkových účastí se podílely jak změny</w:t>
      </w:r>
      <w:r w:rsidR="00AB2EAC">
        <w:t xml:space="preserve"> v majetkových účastech státu u </w:t>
      </w:r>
      <w:r>
        <w:t>tuzemských společností, tak změny, které proběhly u mezinárodních finančních institucí. Ke konci roku 2020 tedy absolutní stav majetkových účastí vykazovaných v rámci státních finančních aktiv postupně dosáhl hodnoty téměř 61,2 mld. Kč.</w:t>
      </w:r>
    </w:p>
    <w:p w:rsidR="00FE2A58" w:rsidRPr="008234FF" w:rsidRDefault="00D20098" w:rsidP="00D20098">
      <w:r>
        <w:t>Podíl závazků z titulu nesplacené části upsaného kapitálu na celkovém stavu státních finančních pasiv se oproti roku 2020 mírně snížil na úroveň 3,9 %, což souviselo především s výrazným růstem státních finančních pasiv o 419,4 mld. Kč. S ohledem na uvedený nárůst státních finančních pasiv, představovalo současné zvýšení stavu těchto potenciálních závazků státu o cca 9,8 mld. Kč pouze mírnou korekci. Tato kategorie závazků se týká výhradně majetkových účastí státu u mezinárodních finančních institucí a její faktický nárůst v průběhu roku 2020 byl ovlivněn zejména zvýšením nesplacené části upsaného kapitálu Evropské investiční banky (dále EIB) o 8,6 mld. Kč, Mezinárodní banky hospodářské spolupráce (dále MBHS) o 0,1 mld. Kč a Mezinárodní banky pro obnovu a rozvoj (dále IBRD) o 0,7 mld</w:t>
      </w:r>
      <w:r w:rsidR="00AB2EAC">
        <w:t>. Kč, přičemž v rozsahu cca 0,4 </w:t>
      </w:r>
      <w:r>
        <w:t>mld. Kč se na celkovém zvýšení stavu podílely i vyúčtované kreditní kurzové rozdíly</w:t>
      </w:r>
      <w:r w:rsidR="00FE2A58" w:rsidRPr="002145FB">
        <w:t>.</w:t>
      </w:r>
    </w:p>
    <w:p w:rsidR="00FE2A58" w:rsidRPr="002D7CA7" w:rsidRDefault="00FE2A58" w:rsidP="00A42745">
      <w:pPr>
        <w:pStyle w:val="Nadpis2"/>
      </w:pPr>
      <w:bookmarkStart w:id="30" w:name="_Toc35012243"/>
      <w:bookmarkStart w:id="31" w:name="_Toc56599068"/>
      <w:r w:rsidRPr="002D7CA7">
        <w:t>Účasti u mezinárodních finančních institucí a zahraničních společností</w:t>
      </w:r>
      <w:bookmarkEnd w:id="29"/>
      <w:bookmarkEnd w:id="30"/>
      <w:bookmarkEnd w:id="31"/>
      <w:r w:rsidRPr="002D7CA7">
        <w:t xml:space="preserve"> </w:t>
      </w:r>
    </w:p>
    <w:p w:rsidR="00FE2A58" w:rsidRDefault="00A4279E" w:rsidP="00FE2A58">
      <w:r w:rsidRPr="00A4279E">
        <w:t>Do vykazovaného stavu zahraničních majetkových účastí státu je vedle splacené části upsaného kapitálu zahrnut i uhrazený podíl na rezervách a rezervních fondech, což se týká EIB (159,1 mil. EUR) a Rozvojové banky Rady Evropy (662,0 tis. EUR). Zvýšení stavu zahraničních majetkov</w:t>
      </w:r>
      <w:r w:rsidR="00AB2EAC">
        <w:t>ých účastí v r. 2020 zhruba o 2 </w:t>
      </w:r>
      <w:r w:rsidRPr="00A4279E">
        <w:t>538,0 mil. Kč bylo zásadním způsobem ovlivněno navýšením spla</w:t>
      </w:r>
      <w:r w:rsidR="00AB2EAC">
        <w:t>ceného podílu České republiky v </w:t>
      </w:r>
      <w:r w:rsidRPr="00A4279E">
        <w:t>Mezinárodní finanční korporaci (dále IFC) o cca 64,6 mil. USD (tj. o cca 1 5</w:t>
      </w:r>
      <w:r w:rsidR="00AB2EAC">
        <w:t>86,7 mil. Kč), v IBRD o cca 4,8 </w:t>
      </w:r>
      <w:r w:rsidRPr="00A4279E">
        <w:t>mil. USD (tj. o cca 103,3 mil. Kč), a v EIB o cca 31,7 mil. EUR (tj. o cca 848,0 mil. Kč). Co se týká výše splaceného kapitálu u mezinárodních finančních institucí, zde se proj</w:t>
      </w:r>
      <w:r w:rsidR="00AB2EAC">
        <w:t>evily rovněž kurzové rozdíly. S </w:t>
      </w:r>
      <w:r w:rsidRPr="00A4279E">
        <w:t xml:space="preserve">ohledem na rozdílný vývoj směnného kurzu Kč vůči </w:t>
      </w:r>
      <w:proofErr w:type="gramStart"/>
      <w:r w:rsidRPr="00A4279E">
        <w:t>EUR</w:t>
      </w:r>
      <w:proofErr w:type="gramEnd"/>
      <w:r w:rsidRPr="00A4279E">
        <w:t xml:space="preserve"> a vůči USD však celkový debetní dopad činil pouze 42 mil. Kč. U </w:t>
      </w:r>
      <w:proofErr w:type="gramStart"/>
      <w:r w:rsidRPr="00A4279E">
        <w:t>společností E.ON</w:t>
      </w:r>
      <w:proofErr w:type="gramEnd"/>
      <w:r w:rsidRPr="00A4279E">
        <w:t xml:space="preserve"> S.E. a UNIPER S.E. byly kreditní dopady vývoje směnného kurzu Kč vůči EUR převáženy poklesem ceny akcií, což ve výsledku znamenalo snížení vykazovaného stavu k 31. 12. 2020 oproti závěru roku 2019 o cca 17,5 mil. Kč</w:t>
      </w:r>
      <w:r w:rsidR="00FE2A58">
        <w:t>.</w:t>
      </w:r>
    </w:p>
    <w:p w:rsidR="00FE2A58" w:rsidRDefault="00FE2A58" w:rsidP="00A42745">
      <w:pPr>
        <w:pStyle w:val="Nzev"/>
      </w:pPr>
      <w:bookmarkStart w:id="32" w:name="_Toc58236242"/>
      <w:r>
        <w:t xml:space="preserve">Tabulka č. </w:t>
      </w:r>
      <w:fldSimple w:instr=" SEQ Tabulka_č. \* ARABIC ">
        <w:r>
          <w:rPr>
            <w:noProof/>
          </w:rPr>
          <w:t>7</w:t>
        </w:r>
      </w:fldSimple>
      <w:r>
        <w:t>: Stavy</w:t>
      </w:r>
      <w:r w:rsidRPr="005C4FE1">
        <w:t xml:space="preserve"> </w:t>
      </w:r>
      <w:r>
        <w:t>splaceného kapitálu a jejic</w:t>
      </w:r>
      <w:r w:rsidR="00B14F42">
        <w:t>h změny (</w:t>
      </w:r>
      <w:r>
        <w:t>mil. Kč)</w:t>
      </w:r>
      <w:bookmarkEnd w:id="32"/>
    </w:p>
    <w:p w:rsidR="00FE2A58" w:rsidRPr="00704DB1" w:rsidRDefault="00A4279E" w:rsidP="00A42745">
      <w:pPr>
        <w:pStyle w:val="Tabgraf"/>
      </w:pPr>
      <w:r w:rsidRPr="00A4279E">
        <w:rPr>
          <w:noProof/>
          <w:lang w:eastAsia="cs-CZ"/>
        </w:rPr>
        <w:drawing>
          <wp:inline distT="0" distB="0" distL="0" distR="0" wp14:anchorId="60048A10" wp14:editId="293170B7">
            <wp:extent cx="5543550" cy="2511635"/>
            <wp:effectExtent l="0" t="0" r="0" b="317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5736" cy="2512625"/>
                    </a:xfrm>
                    <a:prstGeom prst="rect">
                      <a:avLst/>
                    </a:prstGeom>
                    <a:noFill/>
                    <a:ln>
                      <a:noFill/>
                    </a:ln>
                  </pic:spPr>
                </pic:pic>
              </a:graphicData>
            </a:graphic>
          </wp:inline>
        </w:drawing>
      </w:r>
    </w:p>
    <w:p w:rsidR="00FE2A58" w:rsidRDefault="00FE2A58" w:rsidP="00FE2A58">
      <w:pPr>
        <w:pStyle w:val="Podtitul"/>
      </w:pPr>
      <w:r w:rsidRPr="00712B85">
        <w:rPr>
          <w:vertAlign w:val="superscript"/>
        </w:rPr>
        <w:t xml:space="preserve">1 </w:t>
      </w:r>
      <w:r>
        <w:t>včetně splaceného podílu na rezervách a rezervních fondech</w:t>
      </w:r>
    </w:p>
    <w:p w:rsidR="00FE2A58" w:rsidRDefault="00FE2A58" w:rsidP="00FE2A58">
      <w:pPr>
        <w:pStyle w:val="Podtitul"/>
      </w:pPr>
      <w:r w:rsidRPr="00712B85">
        <w:rPr>
          <w:vertAlign w:val="superscript"/>
        </w:rPr>
        <w:t>2</w:t>
      </w:r>
      <w:r>
        <w:t xml:space="preserve"> IDA - zohlednění příspěvků a přecenění na reálnou hodnotu</w:t>
      </w:r>
    </w:p>
    <w:p w:rsidR="00FE2A58" w:rsidRPr="008679EB" w:rsidRDefault="00FE2A58" w:rsidP="00FE2A58">
      <w:pPr>
        <w:pStyle w:val="Podtitul"/>
      </w:pPr>
      <w:r w:rsidRPr="00B96570">
        <w:t>Zdroj: MF</w:t>
      </w:r>
    </w:p>
    <w:p w:rsidR="000A79ED" w:rsidRDefault="000A79ED" w:rsidP="000A79ED">
      <w:r>
        <w:t xml:space="preserve">Co se týká upsaného kapitálu u zahraničních a mezinárodních společností, zde se vedle vývoje směnného kurzu Kč vůči </w:t>
      </w:r>
      <w:proofErr w:type="gramStart"/>
      <w:r>
        <w:t>EUR</w:t>
      </w:r>
      <w:proofErr w:type="gramEnd"/>
      <w:r>
        <w:t xml:space="preserve"> a USD s celkovým kreditním dopadem 170,7 mil. Kč výrazně projevilo především navýšení upsaného kapitálu u institucí ze skupiny Světové banky. Konkrétně u IBRD, kde se jednalo o druhou splátku navyšování kapitálu ve výši cca 35,1 mil. USD (tj. 762,3 mil. Kč) a u IFC, kde </w:t>
      </w:r>
      <w:r w:rsidR="00AB2EAC">
        <w:t>navýšení představovalo cca 64,6 </w:t>
      </w:r>
      <w:r>
        <w:t>mil. USD (tj. 1 586,7 mil. Kč). Díky konverzi části zisku IFC na splacený kap</w:t>
      </w:r>
      <w:r w:rsidR="00AB2EAC">
        <w:t>itál akcionářů došlo dne 16. 4. </w:t>
      </w:r>
      <w:r>
        <w:t>2020 k navýšení upsaného splaceného kapitálu České republiky o 59 045 tis. USD. Účast České republiky na navyšování kapitálu v IFC schválila vláda svým usnesením č. 1310 dne 14. prosince 2020. Vzhledem k tomu, že 100 % upsaného kapitálu je splatných a první splátka ve</w:t>
      </w:r>
      <w:r w:rsidR="00AB2EAC">
        <w:t xml:space="preserve"> výši 5 559 tis. USD (tj. 118,6 </w:t>
      </w:r>
      <w:r>
        <w:t xml:space="preserve">mil. Kč) proběhla již 22. 12. 2020, činil stav upsaného (a splaceného) kapitálu České republiky </w:t>
      </w:r>
      <w:r w:rsidR="00C5025F">
        <w:t>v IFC ke konci roku 2020 cca 73,</w:t>
      </w:r>
      <w:r>
        <w:t>5 mil. USD. Další významný přírůstek upsaného kapitálu se týkal EIB. Z důvodu odchodu Velké Británie z Evropské unie se všechny členské státy podílely na doplnění kapitálu EIB v poměru k jejich procentuálnímu podílu na základním kapitálu banky. Podíl České repu</w:t>
      </w:r>
      <w:r w:rsidR="00AB2EAC">
        <w:t>bliky se tak zvýšil o cca 355,6 </w:t>
      </w:r>
      <w:r>
        <w:t xml:space="preserve">mil. EUR (tj. o 9 507,5 mil. Kč) bez nutnosti plateb ze státního rozpočtu, neboť zvýšení bylo realizováno z vlastních rezerv banky a formou </w:t>
      </w:r>
      <w:proofErr w:type="spellStart"/>
      <w:r>
        <w:t>callable</w:t>
      </w:r>
      <w:proofErr w:type="spellEnd"/>
      <w:r>
        <w:t xml:space="preserve"> </w:t>
      </w:r>
      <w:proofErr w:type="spellStart"/>
      <w:r>
        <w:t>capital</w:t>
      </w:r>
      <w:proofErr w:type="spellEnd"/>
      <w:r>
        <w:t>. V roce 2020 by</w:t>
      </w:r>
      <w:r w:rsidR="00AB2EAC">
        <w:t>l rovněž ratifikován Protokol o </w:t>
      </w:r>
      <w:r>
        <w:t>změně Dohody o zřízení a činnosti MBHS. Tímto Protokolem oficiálně vzrostla výše upsaného kapitálu České republiky v této instituci o cca 5,4 mil. EUR (tj. o 143,3 mil. Kč)</w:t>
      </w:r>
      <w:r w:rsidR="008F796C">
        <w:t>.</w:t>
      </w:r>
    </w:p>
    <w:p w:rsidR="000A79ED" w:rsidRDefault="000A79ED" w:rsidP="000A79ED">
      <w:r>
        <w:t xml:space="preserve">Vzhledem k tomu, že v případě </w:t>
      </w:r>
      <w:proofErr w:type="gramStart"/>
      <w:r>
        <w:t>společností E.ON</w:t>
      </w:r>
      <w:proofErr w:type="gramEnd"/>
      <w:r>
        <w:t xml:space="preserve"> S.E. a UNIPER S.E. se jedná o veřejně obchodovatelné akcie bez uvedení jmenovité hodnoty, je pro vývoj hodnoty podílu na základním kapitálu jedním z určujících faktorů i dosažená tržní cena. V průběhu roku 2020 se tato cena snížila celkem</w:t>
      </w:r>
      <w:r w:rsidR="00AB2EAC">
        <w:t xml:space="preserve"> o 2,1 mil. EUR (tj. o cca 55,9 </w:t>
      </w:r>
      <w:r>
        <w:t xml:space="preserve">mil. Kč). Po částečné korekci zahrnutím vlivu směnného kurzu Kč vůči </w:t>
      </w:r>
      <w:proofErr w:type="gramStart"/>
      <w:r>
        <w:t>EUR</w:t>
      </w:r>
      <w:proofErr w:type="gramEnd"/>
      <w:r>
        <w:t xml:space="preserve"> činily v tomto případě celkové debetní kurzové rozdíly 17,4 mil. Kč. </w:t>
      </w:r>
    </w:p>
    <w:p w:rsidR="00FE2A58" w:rsidRDefault="000A79ED" w:rsidP="000A79ED">
      <w:r>
        <w:t>Celková hodnota upsaného kapitálu v důsledku výše uvedených změn v průběhu roku 2020 poměrně výrazně vzrostla, a to z 85,1 mld. Kč na téměř 97,3 mld. Kč, tj. o 14,3 %</w:t>
      </w:r>
      <w:r w:rsidR="00FE2A58" w:rsidRPr="00FF255D">
        <w:t>.</w:t>
      </w:r>
    </w:p>
    <w:p w:rsidR="00FE2A58" w:rsidRDefault="00FE2A58" w:rsidP="00A42745">
      <w:pPr>
        <w:pStyle w:val="Nzev"/>
      </w:pPr>
      <w:bookmarkStart w:id="33" w:name="_Toc58236243"/>
      <w:r>
        <w:t xml:space="preserve">Tabulka č. </w:t>
      </w:r>
      <w:fldSimple w:instr=" SEQ Tabulka_č. \* ARABIC ">
        <w:r>
          <w:rPr>
            <w:noProof/>
          </w:rPr>
          <w:t>8</w:t>
        </w:r>
      </w:fldSimple>
      <w:r>
        <w:t>: Stavy celkového upsa</w:t>
      </w:r>
      <w:r w:rsidR="00B14F42">
        <w:t>ného kapitálu a jejich změny (</w:t>
      </w:r>
      <w:r>
        <w:t>mil. Kč)</w:t>
      </w:r>
      <w:bookmarkEnd w:id="33"/>
    </w:p>
    <w:p w:rsidR="00FE2A58" w:rsidRPr="000F4DA7" w:rsidRDefault="00AB2EAC" w:rsidP="00A42745">
      <w:pPr>
        <w:pStyle w:val="Tabgraf"/>
      </w:pPr>
      <w:r w:rsidRPr="00AB2EAC">
        <w:rPr>
          <w:noProof/>
          <w:lang w:eastAsia="cs-CZ"/>
        </w:rPr>
        <w:drawing>
          <wp:inline distT="0" distB="0" distL="0" distR="0" wp14:anchorId="2E44822E" wp14:editId="1542E66C">
            <wp:extent cx="6120130" cy="2638619"/>
            <wp:effectExtent l="0" t="0" r="0" b="9525"/>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2638619"/>
                    </a:xfrm>
                    <a:prstGeom prst="rect">
                      <a:avLst/>
                    </a:prstGeom>
                    <a:noFill/>
                    <a:ln>
                      <a:noFill/>
                    </a:ln>
                  </pic:spPr>
                </pic:pic>
              </a:graphicData>
            </a:graphic>
          </wp:inline>
        </w:drawing>
      </w:r>
    </w:p>
    <w:p w:rsidR="00FE2A58" w:rsidRPr="00B96570" w:rsidRDefault="00FE2A58" w:rsidP="00FE2A58">
      <w:pPr>
        <w:pStyle w:val="Podtitul"/>
      </w:pPr>
      <w:r w:rsidRPr="00B96570">
        <w:t>Zdroj: MF</w:t>
      </w:r>
    </w:p>
    <w:p w:rsidR="000A79ED" w:rsidRDefault="000A79ED" w:rsidP="000A79ED">
      <w:r>
        <w:t xml:space="preserve">Závazky z titulu nesplacené části upsaného kapitálu nejsou dle zákona č. 25/2015 Sb., kterým se mění zákon č. 218/2000 Sb. o rozpočtových pravidlech zahrnovány do státního dluhu </w:t>
      </w:r>
    </w:p>
    <w:p w:rsidR="000A79ED" w:rsidRDefault="000A79ED" w:rsidP="000A79ED">
      <w:r>
        <w:t xml:space="preserve">a představují rozdíl mezi upsaným kapitálem a kapitálem splaceným. Jak je zřejmé z předchozích přehledů, jedná se o závazky vůči těmto mezinárodním bankovním institucím: </w:t>
      </w:r>
    </w:p>
    <w:p w:rsidR="000A79ED" w:rsidRDefault="000A79ED" w:rsidP="000A79ED">
      <w:r>
        <w:t xml:space="preserve">Mezinárodní banka hospodářské spolupráce, Mezinárodní investiční banka, Evropská banka pro obnovu a rozvoj, Evropská investiční banka, Rozvojová banka Rady Evropy a rovněž Mezinárodní banka pro obnovu a rozvoj a Mnohostranná agentura pro investiční záruky ze skupiny Světové banky. </w:t>
      </w:r>
    </w:p>
    <w:p w:rsidR="00FE2A58" w:rsidRDefault="000A79ED" w:rsidP="000A79ED">
      <w:r>
        <w:t xml:space="preserve">Stav závazků z nesplacené části upsaného kapitálu se ze 73,1 mld. Kč zvýšil na 82,9 mld. Kč, což představuje nárůst o 13,4 %, vyjádřeno v absolutní hodnotě o cca 9,8 mld. Kč. Vývoj byl do značné míry ovlivněn, obdobně jako tomu bylo u stavů upsaného kapitálu, změnou podílu České republiky u EIB (zvýšení o cca 323,8 mil. EUR), u IBRD (zvýšení o cca 30,3 mil. USD) a u MBHS (zvýšení o cca 5,4 mil. EUR). Vlivem vývoje směnného kurzu Kč vůči </w:t>
      </w:r>
      <w:proofErr w:type="gramStart"/>
      <w:r>
        <w:t>EUR</w:t>
      </w:r>
      <w:proofErr w:type="gramEnd"/>
      <w:r>
        <w:t xml:space="preserve"> a USD se na celkovém nárůstu závazků z tohoto titulu podílely i kreditní kurzové rozdíly v celkovém rozsahu 363,5 mil. Kč</w:t>
      </w:r>
      <w:r w:rsidR="00FE2A58" w:rsidRPr="000B308A">
        <w:t>.</w:t>
      </w:r>
      <w:r w:rsidR="00FE2A58">
        <w:t xml:space="preserve"> </w:t>
      </w:r>
    </w:p>
    <w:p w:rsidR="00FE2A58" w:rsidRDefault="00FE2A58" w:rsidP="00A42745">
      <w:pPr>
        <w:pStyle w:val="Nzev"/>
      </w:pPr>
      <w:bookmarkStart w:id="34" w:name="_Toc58236244"/>
      <w:r>
        <w:t xml:space="preserve">Tabulka č. </w:t>
      </w:r>
      <w:fldSimple w:instr=" SEQ Tabulka_č. \* ARABIC ">
        <w:r>
          <w:rPr>
            <w:noProof/>
          </w:rPr>
          <w:t>9</w:t>
        </w:r>
      </w:fldSimple>
      <w:r>
        <w:t>: Závazky z nespla</w:t>
      </w:r>
      <w:r w:rsidR="00B14F42">
        <w:t>cené části upsaného kapitálu (</w:t>
      </w:r>
      <w:r>
        <w:t>mil. Kč)</w:t>
      </w:r>
      <w:bookmarkEnd w:id="34"/>
    </w:p>
    <w:p w:rsidR="00FE2A58" w:rsidRPr="000F4DA7" w:rsidRDefault="00B66C5A" w:rsidP="00A42745">
      <w:pPr>
        <w:pStyle w:val="Tabgraf"/>
      </w:pPr>
      <w:r w:rsidRPr="00B66C5A">
        <w:rPr>
          <w:noProof/>
          <w:lang w:eastAsia="cs-CZ"/>
        </w:rPr>
        <w:drawing>
          <wp:inline distT="0" distB="0" distL="0" distR="0" wp14:anchorId="64F90D91" wp14:editId="418A55E8">
            <wp:extent cx="6120130" cy="2119526"/>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2119526"/>
                    </a:xfrm>
                    <a:prstGeom prst="rect">
                      <a:avLst/>
                    </a:prstGeom>
                    <a:noFill/>
                    <a:ln>
                      <a:noFill/>
                    </a:ln>
                  </pic:spPr>
                </pic:pic>
              </a:graphicData>
            </a:graphic>
          </wp:inline>
        </w:drawing>
      </w:r>
    </w:p>
    <w:p w:rsidR="00FE2A58" w:rsidRPr="00B96570" w:rsidRDefault="00FE2A58" w:rsidP="00FE2A58">
      <w:pPr>
        <w:pStyle w:val="Podtitul"/>
      </w:pPr>
      <w:r w:rsidRPr="00B96570">
        <w:t>Zdroj: MF</w:t>
      </w:r>
    </w:p>
    <w:p w:rsidR="00FE2A58" w:rsidRPr="00F8279B" w:rsidRDefault="00FE2A58" w:rsidP="00A42745">
      <w:pPr>
        <w:pStyle w:val="Nadpis2"/>
      </w:pPr>
      <w:bookmarkStart w:id="35" w:name="_Toc35012244"/>
      <w:bookmarkStart w:id="36" w:name="_Toc56599069"/>
      <w:r>
        <w:t>Majetkové ú</w:t>
      </w:r>
      <w:r w:rsidRPr="00F8279B">
        <w:t>časti u tuzemských společností</w:t>
      </w:r>
      <w:bookmarkEnd w:id="22"/>
      <w:bookmarkEnd w:id="35"/>
      <w:bookmarkEnd w:id="36"/>
      <w:r w:rsidRPr="00F8279B">
        <w:t xml:space="preserve"> </w:t>
      </w:r>
    </w:p>
    <w:p w:rsidR="00FE2A58" w:rsidRDefault="00FE2A58" w:rsidP="00FE2A58">
      <w:bookmarkStart w:id="37" w:name="_Toc289699705"/>
      <w:r>
        <w:t xml:space="preserve">Upsaný kapitál je u všech tuzemských majetkových účastí v plné výši splacen. </w:t>
      </w:r>
    </w:p>
    <w:p w:rsidR="00FE2A58" w:rsidRDefault="00FE2A58" w:rsidP="00A42745">
      <w:pPr>
        <w:pStyle w:val="Nzev"/>
      </w:pPr>
      <w:bookmarkStart w:id="38" w:name="_Toc58236245"/>
      <w:r>
        <w:t xml:space="preserve">Tabulka č. </w:t>
      </w:r>
      <w:fldSimple w:instr=" SEQ Tabulka_č. \* ARABIC ">
        <w:r>
          <w:rPr>
            <w:noProof/>
          </w:rPr>
          <w:t>10</w:t>
        </w:r>
      </w:fldSimple>
      <w:r>
        <w:t>: Účast u tuzemských společností ve</w:t>
      </w:r>
      <w:r w:rsidR="00B14F42">
        <w:t xml:space="preserve"> správě Ministerstva financí (</w:t>
      </w:r>
      <w:r>
        <w:t>mil. Kč)</w:t>
      </w:r>
      <w:bookmarkEnd w:id="38"/>
    </w:p>
    <w:p w:rsidR="00FE2A58" w:rsidRPr="00704DB1" w:rsidRDefault="00B66C5A" w:rsidP="00A42745">
      <w:pPr>
        <w:pStyle w:val="Tabgraf"/>
      </w:pPr>
      <w:r w:rsidRPr="00B66C5A">
        <w:rPr>
          <w:noProof/>
          <w:lang w:eastAsia="cs-CZ"/>
        </w:rPr>
        <w:drawing>
          <wp:inline distT="0" distB="0" distL="0" distR="0" wp14:anchorId="7DE9E9FE" wp14:editId="11C2C37E">
            <wp:extent cx="6120130" cy="2440977"/>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2440977"/>
                    </a:xfrm>
                    <a:prstGeom prst="rect">
                      <a:avLst/>
                    </a:prstGeom>
                    <a:noFill/>
                    <a:ln>
                      <a:noFill/>
                    </a:ln>
                  </pic:spPr>
                </pic:pic>
              </a:graphicData>
            </a:graphic>
          </wp:inline>
        </w:drawing>
      </w:r>
    </w:p>
    <w:p w:rsidR="00FE2A58" w:rsidRPr="00B96570" w:rsidRDefault="00FE2A58" w:rsidP="00FE2A58">
      <w:pPr>
        <w:pStyle w:val="Podtitul"/>
      </w:pPr>
      <w:r w:rsidRPr="00B96570">
        <w:t>Zdroj: MF</w:t>
      </w:r>
    </w:p>
    <w:p w:rsidR="002D40CE" w:rsidRDefault="002D40CE" w:rsidP="002D40CE">
      <w:r>
        <w:t>Stav majetkových účastí u tuzemských společností, vykazovaný ve státníc</w:t>
      </w:r>
      <w:r w:rsidR="00B66C5A">
        <w:t>h finančních aktivech k 31. 12. </w:t>
      </w:r>
      <w:r>
        <w:t>2020 se oproti stavu vykazovanému k 31. 12. 2019 celkově zv</w:t>
      </w:r>
      <w:r w:rsidR="00B66C5A">
        <w:t>ýšil na hodnotu 42,6 mld. Kč. V </w:t>
      </w:r>
      <w:r>
        <w:t xml:space="preserve">průběhu roku 2020 došlo k několika významným změnám, které ovlivnily výši této kategorie majetkových účastí státu. Zásadní dopad na celkový nárůst stavu majetkových účastí mělo zvýšení základního kapitálu Letiště Praha, a.s., z původních 2 512,2 mil. Kč na 27 031,6 mil. Kč. Zvýšení proběhlo na základě rozhodnutí jediného akcionáře (Ministerstvo financí) v působnosti valné hromady z vlastních zdrojů společnosti zvýšením jmenovité hodnoty akcií. Rovněž u Exportní garanční a pojišťovací společnosti, a.s. došlo v roce 2020 na základě rozhodnutí jediného akcionáře (Ministerstvo financí) v působnosti valné hromady ke zvýšení základního kapitálu, a to úpisem nových akcií ve jmenovité hodnotě 1,5 mld. Kč. U majetkových účastí, které přešly na Ministerstvo financí z bývalé České konsolidační agentury, byl rozhodnutím jediného akcionáře (Ministerstvo financí) v působnosti valné hromady </w:t>
      </w:r>
      <w:proofErr w:type="gramStart"/>
      <w:r>
        <w:t>navýšen</w:t>
      </w:r>
      <w:proofErr w:type="gramEnd"/>
      <w:r>
        <w:t xml:space="preserve"> základní kapitál společnosti </w:t>
      </w:r>
      <w:proofErr w:type="gramStart"/>
      <w:r>
        <w:t>Prisko</w:t>
      </w:r>
      <w:proofErr w:type="gramEnd"/>
      <w:r>
        <w:t>, a.s. úpisem nových akcií o celkové jmenovité hodnotě 1273,0 mil. Kč.</w:t>
      </w:r>
    </w:p>
    <w:p w:rsidR="00FE2A58" w:rsidRDefault="002D40CE" w:rsidP="002D40CE">
      <w:r>
        <w:t>Jako doplňující informaci uvádíme, že u majetkové účasti státu v Českomoravské záruční a rozvojové bance je příslušnost hospodaření rozdělena mezi Ministerstvo financí a ostatní resorty, konkrétně Ministerstvo průmyslu a obchodu a Ministerstvo pro místní rozvoj. Hodnoty, uvedené v následující tabulce, představují jmenovitou hodnotu akcií odpovídající příslušnému podílu na základním kapitálu</w:t>
      </w:r>
      <w:r w:rsidR="00FE2A58" w:rsidRPr="008D1874">
        <w:t>.</w:t>
      </w:r>
    </w:p>
    <w:p w:rsidR="00FE2A58" w:rsidRDefault="00FE2A58" w:rsidP="00A42745">
      <w:pPr>
        <w:pStyle w:val="Nzev"/>
      </w:pPr>
      <w:bookmarkStart w:id="39" w:name="_Toc58236246"/>
      <w:r>
        <w:t xml:space="preserve">Tabulka č. </w:t>
      </w:r>
      <w:fldSimple w:instr=" SEQ Tabulka_č. \* ARABIC ">
        <w:r>
          <w:rPr>
            <w:noProof/>
          </w:rPr>
          <w:t>11</w:t>
        </w:r>
      </w:fldSimple>
      <w:r>
        <w:t>: Účast u tuzemských společností ve</w:t>
      </w:r>
      <w:r w:rsidR="00B14F42">
        <w:t xml:space="preserve"> správě MF a dalších resortů (</w:t>
      </w:r>
      <w:r>
        <w:t>mil. Kč)</w:t>
      </w:r>
      <w:bookmarkEnd w:id="39"/>
    </w:p>
    <w:p w:rsidR="00FE2A58" w:rsidRDefault="002D40CE" w:rsidP="00A42745">
      <w:pPr>
        <w:pStyle w:val="Tabgraf"/>
      </w:pPr>
      <w:r w:rsidRPr="002D40CE">
        <w:rPr>
          <w:noProof/>
          <w:lang w:eastAsia="cs-CZ"/>
        </w:rPr>
        <w:drawing>
          <wp:inline distT="0" distB="0" distL="0" distR="0" wp14:anchorId="58D7944A" wp14:editId="6160C7FA">
            <wp:extent cx="6120130" cy="1172600"/>
            <wp:effectExtent l="0" t="0" r="0" b="889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172600"/>
                    </a:xfrm>
                    <a:prstGeom prst="rect">
                      <a:avLst/>
                    </a:prstGeom>
                    <a:noFill/>
                    <a:ln>
                      <a:noFill/>
                    </a:ln>
                  </pic:spPr>
                </pic:pic>
              </a:graphicData>
            </a:graphic>
          </wp:inline>
        </w:drawing>
      </w:r>
    </w:p>
    <w:p w:rsidR="00FE2A58" w:rsidRDefault="00FE2A58" w:rsidP="00FE2A58">
      <w:pPr>
        <w:pStyle w:val="Podtitul"/>
      </w:pPr>
      <w:r w:rsidRPr="00B96570">
        <w:t>Zdroj: MF</w:t>
      </w:r>
    </w:p>
    <w:p w:rsidR="00FE2A58" w:rsidRDefault="002D40CE" w:rsidP="00FE2A58">
      <w:r w:rsidRPr="002D40CE">
        <w:t xml:space="preserve">Příjmy z dividend z titulu příslušnosti hospodařit s majetkovými účastmi státu, byly inkasovány v úhrnné výši cca 121,1 mil. Kč. Z této částky bylo téměř celých 121,1 mil. Kč v souladu s usnesením vlády č. 797/2004 převedeno na zvláštní účet státních finančních aktiv rezervy důchodového pojištění. To se týkalo dividend od společnosti ČEZ, a.s. ve výši 75,2 mil. Kč a dividend od </w:t>
      </w:r>
      <w:proofErr w:type="gramStart"/>
      <w:r w:rsidRPr="002D40CE">
        <w:t>společností E.ON</w:t>
      </w:r>
      <w:proofErr w:type="gramEnd"/>
      <w:r w:rsidRPr="002D40CE">
        <w:t xml:space="preserve"> S.E. a UNIPER S.E (včetně vratky části odvedené srážkové daně) v úhrnné výši 45,8 mil. Kč. Zbývající část dividend inkasovaných na ostatní účty SFA tvořila dividenda od společnosti ČEZ, a.s. ve výši 35,7 tis. Kč</w:t>
      </w:r>
      <w:r w:rsidR="00FE2A58" w:rsidRPr="00642D48">
        <w:t>.</w:t>
      </w:r>
    </w:p>
    <w:p w:rsidR="00FE2A58" w:rsidRPr="00A55037" w:rsidRDefault="00FE2A58" w:rsidP="00A42745">
      <w:pPr>
        <w:pStyle w:val="Nadpis1"/>
        <w:rPr>
          <w:szCs w:val="28"/>
        </w:rPr>
      </w:pPr>
      <w:bookmarkStart w:id="40" w:name="_Toc35012245"/>
      <w:bookmarkStart w:id="41" w:name="_Toc56599070"/>
      <w:r w:rsidRPr="00A55037">
        <w:t>Státní půjčky,</w:t>
      </w:r>
      <w:r>
        <w:t xml:space="preserve"> návratné finanční výpomoci a ji</w:t>
      </w:r>
      <w:r w:rsidRPr="00A55037">
        <w:t>né tuzemské</w:t>
      </w:r>
      <w:r w:rsidRPr="00A55037">
        <w:rPr>
          <w:szCs w:val="28"/>
        </w:rPr>
        <w:t xml:space="preserve"> pohledávky státu</w:t>
      </w:r>
      <w:bookmarkEnd w:id="37"/>
      <w:bookmarkEnd w:id="40"/>
      <w:bookmarkEnd w:id="41"/>
    </w:p>
    <w:p w:rsidR="00FE2A58" w:rsidRDefault="00FE2A58" w:rsidP="00FE2A58">
      <w:bookmarkStart w:id="42" w:name="_Toc289699706"/>
      <w:r>
        <w:rPr>
          <w:b/>
          <w:bCs/>
        </w:rPr>
        <w:t>Státní půjčky a návratné finanční výpomoci</w:t>
      </w:r>
      <w:r>
        <w:t xml:space="preserve"> jsou až na výjimky poskytovány bezúročně na vymezené účely územně samosprávným celkům a podnikatelským a jiným subjektům z p</w:t>
      </w:r>
      <w:r w:rsidR="00B66C5A">
        <w:t>rostředků státního rozpočtu vč. </w:t>
      </w:r>
      <w:r>
        <w:t>případného krytí z účtů státních finančních aktiv. Instrument návratných finančních výpomocí v některých případech nahrazuje nebo doplňuje nenávratné rozpočtové dotace.</w:t>
      </w:r>
    </w:p>
    <w:p w:rsidR="00FE2A58" w:rsidRPr="006A1308" w:rsidRDefault="00FE2A58" w:rsidP="00FE2A58">
      <w:r w:rsidRPr="00DD69D2">
        <w:t xml:space="preserve">Rozsah pohledávek státu z poskytnutých </w:t>
      </w:r>
      <w:r w:rsidRPr="00DD69D2">
        <w:rPr>
          <w:bCs/>
        </w:rPr>
        <w:t>státních půjček a návratných finančních výpomocí (</w:t>
      </w:r>
      <w:r>
        <w:rPr>
          <w:bCs/>
        </w:rPr>
        <w:t xml:space="preserve">dále </w:t>
      </w:r>
      <w:r w:rsidRPr="00DD69D2">
        <w:rPr>
          <w:bCs/>
        </w:rPr>
        <w:t>NFV) evidovaných v rámci státních finančních aktiv</w:t>
      </w:r>
      <w:r w:rsidRPr="00DD69D2">
        <w:t xml:space="preserve"> byl </w:t>
      </w:r>
      <w:r>
        <w:t xml:space="preserve">zásadním způsobem </w:t>
      </w:r>
      <w:r w:rsidRPr="00DD69D2">
        <w:t>omezen zákonem č. 465/2011 Sb., kterým byl novelizován zákon č. 218/2000 Sb. o rozpočtových pravidlech. Změnou ustanovení § 36 zákona č. 218/2000 Sb. došlo k vyjmutí pohledávek z</w:t>
      </w:r>
      <w:r>
        <w:t> </w:t>
      </w:r>
      <w:r w:rsidRPr="00DD69D2">
        <w:t>titulu</w:t>
      </w:r>
      <w:r>
        <w:t xml:space="preserve"> NFV</w:t>
      </w:r>
      <w:r w:rsidRPr="00DD69D2">
        <w:t>, poskytnutých z rozpočtové kapitoly VPS</w:t>
      </w:r>
      <w:r>
        <w:t>,</w:t>
      </w:r>
      <w:r w:rsidRPr="00DD69D2">
        <w:t xml:space="preserve"> ze státních finančních aktiv. </w:t>
      </w:r>
    </w:p>
    <w:p w:rsidR="00327101" w:rsidRDefault="00327101" w:rsidP="00327101">
      <w:r>
        <w:t>Pokud jde o pohledávky evidované ve státních finančních aktivech v průběhu roku 2020, pak z prostředků státních finančních aktiv nebyly poskytnuty žádné NFV. Veškeré NFV poskytnuté v minulosti z prostředků státních finančních aktiv jsou splaceny. V případě pohledávky z titulu s</w:t>
      </w:r>
      <w:r w:rsidR="00B66C5A">
        <w:t>tátních půjček, poskytovaných v </w:t>
      </w:r>
      <w:r>
        <w:t xml:space="preserve">letech 1993 až 2000 společnosti Transgas na realizaci plynárenských </w:t>
      </w:r>
      <w:proofErr w:type="gramStart"/>
      <w:r>
        <w:t>VIA</w:t>
      </w:r>
      <w:proofErr w:type="gramEnd"/>
      <w:r>
        <w:t xml:space="preserve"> na teritoriu bývalého SSSR, nedošlo v roce 2020 k žádné změně vykazovaného stavu. Stav pohledávky z</w:t>
      </w:r>
      <w:r w:rsidR="00B66C5A">
        <w:t xml:space="preserve"> tohoto titulu činí cca 4 566,3 </w:t>
      </w:r>
      <w:r>
        <w:t>mil. Kč.</w:t>
      </w:r>
    </w:p>
    <w:p w:rsidR="00327101" w:rsidRDefault="00327101" w:rsidP="00327101">
      <w:r>
        <w:t xml:space="preserve">Kromě pohledávek vedených za státy a </w:t>
      </w:r>
      <w:proofErr w:type="spellStart"/>
      <w:r>
        <w:t>deblokátory</w:t>
      </w:r>
      <w:proofErr w:type="spellEnd"/>
      <w:r>
        <w:t xml:space="preserve"> – právnickými </w:t>
      </w:r>
      <w:r w:rsidR="00B66C5A">
        <w:t>osobami je vedena pohledávka za </w:t>
      </w:r>
      <w:r>
        <w:t>fyzickými osobami z titulu náhrady škody z trestního a občanskoprávního řízení týkajícího se podvodné deblokace části pohledávky České republiky za Peru. Pohledávka je vymáhána pomocí exekučního řízení na majetek dlužníků. Hodnota pohledávky z tohoto titulu v průběhu roku 2020 p</w:t>
      </w:r>
      <w:r w:rsidR="00B66C5A">
        <w:t>oklesla o téměř 2,8 mil. Kč a k </w:t>
      </w:r>
      <w:r>
        <w:t>31. 12. 2020 činila cca 26,25 mil. Kč.</w:t>
      </w:r>
    </w:p>
    <w:p w:rsidR="00327101" w:rsidRDefault="00327101" w:rsidP="00327101">
      <w:r>
        <w:t>V podrozvahové evidenci státních finančních aktiv jsou vedeny pohledávky státu za organizacemi, kterým byly v roce 1991 ze státních prostředků poskytnuty zálohy na budoucí odkoupení splatných pohledávek za odběrateli v Iráku v souvislosti s uvalením hospodářského embarga na Irák a Kuvajt. Ukončení procesu vyrovnání irácké vlády s většinou věřitelů iráckých odběratelů bylo uskutečněno v roce 2006 formou rekonciliace pohledávek</w:t>
      </w:r>
    </w:p>
    <w:p w:rsidR="00327101" w:rsidRDefault="00327101" w:rsidP="00327101">
      <w:r>
        <w:t>a uzavřením dohody o náhradním plnění, která vychází z obecných principů Pařížského klubu věřitelů. Celková hodnota pohledávky státu z tohoto titulu představovala cca 1 334,7 mil. Kč, přičemž u části této pohledávky ve výši 106,5 mil. Kč bylo trvale upuštěno od jejího vymáhání. Na základě výsledků kontrolní inventury provedené v roce 2017, byla odúčtována část zmíněné pohledávky ve výši cca 679,2 mil. Kč a na příslušném podrozvahovém účtu je tak k 31. 12. 2020 vedena pouze pohledávka za společností VLT Brno, a.s. ve výši cca 549,0 mil. Kč. Z pohledávek, u nichž bylo trvale upuštěno od vymáhání, byla již v roce 2017 odúčtována část ve výši cca 15,3 mil. Kč.</w:t>
      </w:r>
    </w:p>
    <w:p w:rsidR="00327101" w:rsidRDefault="00327101" w:rsidP="00327101">
      <w:r>
        <w:t>Obdobně jsou vedeny i pohledávky státu, vyplývající ze zákona č. 499/1990 Sb., o přepočtu devizových aktiv a pasiv v oblasti zahraničních pohledávek a závazků v souvislosti s kursovými opatřeními. Tento zákon stanovil povinnost bývalým organizacím zahraničního obchodu provést přepočet svých devizových aktiv a pasiv v oblasti zahraničních pohledávek</w:t>
      </w:r>
    </w:p>
    <w:p w:rsidR="00327101" w:rsidRDefault="00327101" w:rsidP="00327101">
      <w:r>
        <w:t>a závazků v důsledku změn kursů čs. koruny. U části pohledávky státu z tohoto titulu ve výši 722,5 mil. Kč bylo trvale upuštěno od jejího vymáhání. Z pohledávek, u nichž bylo trvale upuštěno od vymáhání, byla na základě výsledků kontrolní inventury provedené v roce 2017, odúčtována část ve výši cca 349,4 mil. Kč.</w:t>
      </w:r>
    </w:p>
    <w:p w:rsidR="00FE2A58" w:rsidRDefault="00327101" w:rsidP="00327101">
      <w:r>
        <w:t xml:space="preserve">Od roku 2017 jsou na podrozvahových účtech nově vedeny i podmíněné pohledávky za společnostmi CS </w:t>
      </w:r>
      <w:proofErr w:type="spellStart"/>
      <w:r>
        <w:t>Trading</w:t>
      </w:r>
      <w:proofErr w:type="spellEnd"/>
      <w:r>
        <w:t xml:space="preserve">, </w:t>
      </w:r>
      <w:proofErr w:type="spellStart"/>
      <w:r>
        <w:t>Ligna</w:t>
      </w:r>
      <w:proofErr w:type="spellEnd"/>
      <w:r>
        <w:t xml:space="preserve"> a AK </w:t>
      </w:r>
      <w:proofErr w:type="spellStart"/>
      <w:r>
        <w:t>Krouský</w:t>
      </w:r>
      <w:proofErr w:type="spellEnd"/>
      <w:r>
        <w:t xml:space="preserve"> v celkové výši cca 53,5 mil. Kč. V tomto případě se jedná o původně zahraniční pohledávku vůči Indonésii. Nárůst pohledávky o cca 3 mil. Kč oproti stavu evidovanému k 31. 12. 2019 představují narostlé úroky</w:t>
      </w:r>
      <w:r w:rsidR="00FE2A58">
        <w:t xml:space="preserve">. </w:t>
      </w:r>
    </w:p>
    <w:p w:rsidR="00FE2A58" w:rsidRDefault="00FE2A58" w:rsidP="00A42745">
      <w:pPr>
        <w:pStyle w:val="Bezmezer"/>
      </w:pPr>
      <w:bookmarkStart w:id="43" w:name="_Toc35012246"/>
      <w:bookmarkStart w:id="44" w:name="_Toc56599071"/>
      <w:r w:rsidRPr="00A2657A">
        <w:t>Přehled</w:t>
      </w:r>
      <w:r>
        <w:t xml:space="preserve"> o stavu a vývoji státních záruk</w:t>
      </w:r>
      <w:bookmarkEnd w:id="42"/>
      <w:bookmarkEnd w:id="43"/>
      <w:bookmarkEnd w:id="44"/>
    </w:p>
    <w:p w:rsidR="00FE2A58" w:rsidRDefault="00FE2A58" w:rsidP="00A42745">
      <w:pPr>
        <w:pStyle w:val="Nadpis1"/>
        <w:numPr>
          <w:ilvl w:val="0"/>
          <w:numId w:val="5"/>
        </w:numPr>
      </w:pPr>
      <w:bookmarkStart w:id="45" w:name="_Toc289699707"/>
      <w:bookmarkStart w:id="46" w:name="_Toc35012247"/>
      <w:bookmarkStart w:id="47" w:name="_Toc56599072"/>
      <w:r>
        <w:t>Standardní státní záruky</w:t>
      </w:r>
      <w:bookmarkEnd w:id="45"/>
      <w:bookmarkEnd w:id="46"/>
      <w:bookmarkEnd w:id="47"/>
      <w:r>
        <w:t xml:space="preserve"> </w:t>
      </w:r>
    </w:p>
    <w:p w:rsidR="00FE2A58" w:rsidRDefault="00327101" w:rsidP="00FE2A58">
      <w:bookmarkStart w:id="48" w:name="_Toc289699708"/>
      <w:r w:rsidRPr="00327101">
        <w:t>Úhrn standardních státních záruk, tj. celkový rozsah potenciálních závazků státu z poskytnutých bankovních úvěrů krytých standardními státními zárukami ČR se v roce 2020 poměrně výrazně snížil z 1,20 mld. Kč na 0,56 mld. Kč. Na tomto poklesu stavu o 0,64 mld. Kč, tj. o 53,7 %, se v převážné míře podílely uskutečněné úhrady splatných částek úvěrů, a to jak z vlastních prostředků jednotlivých dlužníků (celkem 0,1 mld. Kč), tak i z prostředků státního rozpočtu včetně splácení formou realizace státních záruk (celkem cca 641,6 mil. Kč). Celkové snížení bylo v menším rozsahu korigováno vyúčtování připsaných úroků (51,8 mil. Kč) a zahrnutím kurzových rozdílů v celkové výši 56,0 mil. Kč</w:t>
      </w:r>
      <w:r w:rsidR="00FE2A58" w:rsidRPr="00E80269">
        <w:t>.</w:t>
      </w:r>
    </w:p>
    <w:p w:rsidR="00FE2A58" w:rsidRDefault="00FE2A58" w:rsidP="00A42745">
      <w:pPr>
        <w:pStyle w:val="Nzev"/>
      </w:pPr>
      <w:bookmarkStart w:id="49" w:name="_Toc58236247"/>
      <w:r>
        <w:t xml:space="preserve">Tabulka č. </w:t>
      </w:r>
      <w:fldSimple w:instr=" SEQ Tabulka_č. \* ARABIC ">
        <w:r>
          <w:rPr>
            <w:noProof/>
          </w:rPr>
          <w:t>12</w:t>
        </w:r>
      </w:fldSimple>
      <w:r>
        <w:t>: Vývoj</w:t>
      </w:r>
      <w:r w:rsidR="00B14F42">
        <w:t xml:space="preserve"> standardních státních záruk (m</w:t>
      </w:r>
      <w:r>
        <w:t>il. Kč)</w:t>
      </w:r>
      <w:bookmarkEnd w:id="49"/>
    </w:p>
    <w:p w:rsidR="00FE2A58" w:rsidRPr="008B7B03" w:rsidRDefault="00327101" w:rsidP="00A42745">
      <w:pPr>
        <w:pStyle w:val="Tabgraf"/>
        <w:rPr>
          <w:sz w:val="20"/>
          <w:szCs w:val="20"/>
        </w:rPr>
      </w:pPr>
      <w:r w:rsidRPr="00327101">
        <w:rPr>
          <w:noProof/>
          <w:lang w:eastAsia="cs-CZ"/>
        </w:rPr>
        <w:drawing>
          <wp:inline distT="0" distB="0" distL="0" distR="0" wp14:anchorId="564B3F8B" wp14:editId="1FD18C51">
            <wp:extent cx="6120130" cy="1962537"/>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1962537"/>
                    </a:xfrm>
                    <a:prstGeom prst="rect">
                      <a:avLst/>
                    </a:prstGeom>
                    <a:noFill/>
                    <a:ln>
                      <a:noFill/>
                    </a:ln>
                  </pic:spPr>
                </pic:pic>
              </a:graphicData>
            </a:graphic>
          </wp:inline>
        </w:drawing>
      </w:r>
    </w:p>
    <w:p w:rsidR="00FE2A58" w:rsidRPr="00DC158D" w:rsidRDefault="00FE2A58" w:rsidP="00DC158D">
      <w:pPr>
        <w:pStyle w:val="Podtitul"/>
      </w:pPr>
      <w:r w:rsidRPr="00DC158D">
        <w:t>Zdroj: MF</w:t>
      </w:r>
    </w:p>
    <w:p w:rsidR="00327101" w:rsidRDefault="00327101" w:rsidP="00327101">
      <w:r>
        <w:t>V roce 2020 nebyla poskytnuta žádná nová státní záruka. V případě garance, poskytnuté v roce 2018 podle zákona č. 179/2018 Sb., o poskytnutí státní záruky České republiky na zajištění zápůjčky České národní banky pro Mezinárodní měnový fond v limitní výši jistiny 1,5 mld. EUR a úroků, nedošlo dosud v průběhu let 2018 až 2020 k čerpání peněžních prostředků.</w:t>
      </w:r>
    </w:p>
    <w:p w:rsidR="00327101" w:rsidRDefault="00327101" w:rsidP="00327101">
      <w:r>
        <w:t xml:space="preserve">Na zvyšování potenciálních závazků státu z tohoto titulu se v roce 2020 vedle kurzových vlivů podílelo pouze započítávání splatných úroků do celkové hodnoty vykazovaných úvěrů v úhrnném rozsahu </w:t>
      </w:r>
      <w:r w:rsidR="00B66C5A">
        <w:t>cca 51,8 </w:t>
      </w:r>
      <w:r>
        <w:t xml:space="preserve">mil. Kč. </w:t>
      </w:r>
    </w:p>
    <w:p w:rsidR="00327101" w:rsidRDefault="00327101" w:rsidP="00327101">
      <w:r>
        <w:t>Převládající snížení stavu závazků ze státem zaručovaných úvěrů bylo ovlivněno výhradně úhradami splatných částí jistin a úroků, které v roce 2020 dosáhly celkové hodnoty 753,3 mil. Kč. Na uvedené výši úhrad se podílely platby zajišťované z vlastních zdrojů dlužníků (tyto platby představovaly cca 14,8 %) i</w:t>
      </w:r>
      <w:r w:rsidR="0047302E">
        <w:t> </w:t>
      </w:r>
      <w:r>
        <w:t>úhrady zajišťované z prostředků státu, ať již se jednalo o přímou úhradu ze státního rozpočtu (cca 43,7 %) nebo o faktickou realizaci státních záruk (cca 41,5 %).</w:t>
      </w:r>
    </w:p>
    <w:p w:rsidR="00327101" w:rsidRDefault="00327101" w:rsidP="00327101">
      <w:r>
        <w:t xml:space="preserve">Splátky z vlastních zdrojů dlužníků ve výši cca 111,7 mil. Kč, představují splatnou část jistiny úvěru poskytnutého na podporu vodohospodářských investic, kterou uhradila ČMZRB, a.s. </w:t>
      </w:r>
    </w:p>
    <w:p w:rsidR="00327101" w:rsidRDefault="00327101" w:rsidP="00327101">
      <w:r>
        <w:t>Významná část splátek jistin a úroků ze státem zaručených úvěrů v úhrnné výši 328,9 mil. Kč byla, obdobně jako v předchozích letech, provedena z prostředků státního rozpočtu</w:t>
      </w:r>
      <w:r w:rsidR="00B66C5A">
        <w:t>, aniž by se fakticky jednalo o </w:t>
      </w:r>
      <w:r>
        <w:t>standardní realizaci státních záruk, neboť příslušní dlužníci nebyli z tohoto titulu zavázáni státu. Tyto úhrady se týkaly jmenovitě splácení jistin a příslušenství úvěrů poskytnutých v minulých letech na rozvojové projekty Evropskou investiční bankou, kde jako finanční manažer vystupuje ČMZRB, a.s. Ze státního rozpočtu tak byly uhrazeny splátky úvěrů včetně příslušenství na program odstranění povodňových škod (cca 328,2 mil. Kč) a podporu vodohospodářských investic (pouze úroky ve výši 0,6 mil. Kč). V roce 2020 byl zcela splacen úvěr od EIB na program výstavby železničního koridoru II (Projek</w:t>
      </w:r>
      <w:r w:rsidR="00B66C5A">
        <w:t>t III) z roku 2000 (jistina 160 </w:t>
      </w:r>
      <w:r>
        <w:t>mil. EUR) a rovněž úvěr od EIB na program vodohospodářských akcí z roku 2000 (jistina 100 mil. EUR).</w:t>
      </w:r>
    </w:p>
    <w:p w:rsidR="00327101" w:rsidRDefault="00327101" w:rsidP="00327101">
      <w:r>
        <w:t xml:space="preserve">Vlastní realizace standardních státních záruk, tj. úhrada splatných částek ze státního rozpočtu při neschopnosti dlužníků plnit své závazky, byla v roce 2020 provedena v celkovém rozsahu 312,7 mil. Kč a týkala se výhradně státní organizace Správa železnic, tj. bývalé Správy železniční dopravní cesty, s. o. (dále SŽ, </w:t>
      </w:r>
      <w:proofErr w:type="spellStart"/>
      <w:proofErr w:type="gramStart"/>
      <w:r>
        <w:t>s.o</w:t>
      </w:r>
      <w:proofErr w:type="spellEnd"/>
      <w:r>
        <w:t>.</w:t>
      </w:r>
      <w:proofErr w:type="gramEnd"/>
      <w:r>
        <w:t xml:space="preserve">), která se na základě zákona č. 77/2002 Sb. stala nástupcem státní organizace České dráhy. SŽ, </w:t>
      </w:r>
      <w:proofErr w:type="spellStart"/>
      <w:proofErr w:type="gramStart"/>
      <w:r>
        <w:t>s.o</w:t>
      </w:r>
      <w:proofErr w:type="spellEnd"/>
      <w:r>
        <w:t>.</w:t>
      </w:r>
      <w:proofErr w:type="gramEnd"/>
      <w:r>
        <w:t xml:space="preserve"> prokázala nesolventnost k úhradám splátek jistin a úroků u všech splatných úvěrových závazků, a proto byly z prostředků státního rozpočtu formou realizace státních záruk hrazeny splátky úvěru poskytnutého na výstavbu železničního koridoru II. V roce 2020 tak bylo uhrazeno na koridor II celkem 312,7 mil. Kč. Z této částky připadá 302,1 mil. Kč na úhradu splatných částí jistiny a 10,6 mil. Kč na úhradu úroků a příslušenství úvěru.</w:t>
      </w:r>
    </w:p>
    <w:p w:rsidR="00FE2A58" w:rsidRDefault="00327101" w:rsidP="00327101">
      <w:r>
        <w:t>Stav pohledávek státu z realizovaných státních záruk se v roce 2020 snížil, a to o 402,5 mil. Kč, což představuje pokles o 7,2 %. K 31. 12. 2020 tak výše pohledávek z tohoto titulu dosáhla hodnoty 5 165,0 mil. Kč a týkala se výhradně standardních státních záruk</w:t>
      </w:r>
      <w:r w:rsidR="00FE2A58" w:rsidRPr="00D83233">
        <w:t>.</w:t>
      </w:r>
      <w:r w:rsidR="00FE2A58">
        <w:t xml:space="preserve"> </w:t>
      </w:r>
    </w:p>
    <w:p w:rsidR="00FE2A58" w:rsidRDefault="00FE2A58" w:rsidP="00A42745">
      <w:pPr>
        <w:pStyle w:val="Nzev"/>
      </w:pPr>
      <w:bookmarkStart w:id="50" w:name="_Toc58236248"/>
      <w:r>
        <w:t xml:space="preserve">Tabulka č. </w:t>
      </w:r>
      <w:fldSimple w:instr=" SEQ Tabulka_č. \* ARABIC ">
        <w:r>
          <w:rPr>
            <w:noProof/>
          </w:rPr>
          <w:t>13</w:t>
        </w:r>
      </w:fldSimple>
      <w:r>
        <w:t>: Pohledávky státu z </w:t>
      </w:r>
      <w:r w:rsidR="00B14F42">
        <w:t>realizovaných státních záruk (</w:t>
      </w:r>
      <w:r>
        <w:t>mil. Kč)</w:t>
      </w:r>
      <w:bookmarkEnd w:id="50"/>
    </w:p>
    <w:p w:rsidR="00FE2A58" w:rsidRPr="0039533C" w:rsidRDefault="00327101" w:rsidP="00A42745">
      <w:pPr>
        <w:pStyle w:val="Tabgraf"/>
      </w:pPr>
      <w:r w:rsidRPr="00327101">
        <w:rPr>
          <w:noProof/>
          <w:lang w:eastAsia="cs-CZ"/>
        </w:rPr>
        <w:drawing>
          <wp:inline distT="0" distB="0" distL="0" distR="0" wp14:anchorId="4500CA94" wp14:editId="4A6870B9">
            <wp:extent cx="6120130" cy="1334079"/>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334079"/>
                    </a:xfrm>
                    <a:prstGeom prst="rect">
                      <a:avLst/>
                    </a:prstGeom>
                    <a:noFill/>
                    <a:ln>
                      <a:noFill/>
                    </a:ln>
                  </pic:spPr>
                </pic:pic>
              </a:graphicData>
            </a:graphic>
          </wp:inline>
        </w:drawing>
      </w:r>
    </w:p>
    <w:p w:rsidR="00FE2A58" w:rsidRPr="00363117" w:rsidRDefault="00FE2A58" w:rsidP="00FE2A58">
      <w:pPr>
        <w:pStyle w:val="Podtitul"/>
      </w:pPr>
      <w:r w:rsidRPr="00B96570">
        <w:t>Zdroj: MF</w:t>
      </w:r>
    </w:p>
    <w:p w:rsidR="00A006EA" w:rsidRDefault="00A006EA" w:rsidP="00A006EA">
      <w:r>
        <w:t xml:space="preserve">Výsledný stav pohledávek vůči SŽ, </w:t>
      </w:r>
      <w:proofErr w:type="spellStart"/>
      <w:proofErr w:type="gramStart"/>
      <w:r>
        <w:t>s.o</w:t>
      </w:r>
      <w:proofErr w:type="spellEnd"/>
      <w:r>
        <w:t>.</w:t>
      </w:r>
      <w:proofErr w:type="gramEnd"/>
      <w:r>
        <w:t xml:space="preserve"> byl ovlivněn vedle realizace jednotlivých splátek státem zaručeného úvěru (celkem 312,7 mil. Kč), rovněž prominutím části závazku v úhrnném rozsahu 583,8 mil. Kč, a to na základě usnesení vlády ze dne 19. 10. 2020 č. 1066. Celková zadluženost SŽ, </w:t>
      </w:r>
      <w:proofErr w:type="spellStart"/>
      <w:proofErr w:type="gramStart"/>
      <w:r>
        <w:t>s.o</w:t>
      </w:r>
      <w:proofErr w:type="spellEnd"/>
      <w:r>
        <w:t>.</w:t>
      </w:r>
      <w:proofErr w:type="gramEnd"/>
      <w:r>
        <w:t>, představovaná závazky společnosti z titulu realizace ručení státu, oproti konc</w:t>
      </w:r>
      <w:r w:rsidR="0047302E">
        <w:t>i předchozího roku klesla k 31. 1</w:t>
      </w:r>
      <w:r>
        <w:t>2.</w:t>
      </w:r>
      <w:r w:rsidR="0047302E">
        <w:t xml:space="preserve"> </w:t>
      </w:r>
      <w:r>
        <w:t xml:space="preserve">2020 o 271,1 mil. Kč a dosáhla úhrnné úrovně 1 311,8 mil. Kč. </w:t>
      </w:r>
    </w:p>
    <w:p w:rsidR="00FE2A58" w:rsidRPr="002D5010" w:rsidRDefault="00A006EA" w:rsidP="00A006EA">
      <w:r>
        <w:t xml:space="preserve">Vývoj stavu pohledávek státu z realizovaných státních záruk byl v případě pohledávek za společností </w:t>
      </w:r>
      <w:proofErr w:type="spellStart"/>
      <w:r>
        <w:t>Cheteng</w:t>
      </w:r>
      <w:proofErr w:type="spellEnd"/>
      <w:r>
        <w:t xml:space="preserve">, s.r.o. (původně </w:t>
      </w:r>
      <w:proofErr w:type="spellStart"/>
      <w:r>
        <w:t>Chepos</w:t>
      </w:r>
      <w:proofErr w:type="spellEnd"/>
      <w:r>
        <w:t xml:space="preserve"> </w:t>
      </w:r>
      <w:proofErr w:type="spellStart"/>
      <w:r>
        <w:t>Engineering</w:t>
      </w:r>
      <w:proofErr w:type="spellEnd"/>
      <w:r>
        <w:t>, s.r.o.) a za iránskou státní firmou APPI, které jsou od roku 2002 vedeny v USD, ovlivněn také kurzovými dopady. Vzhledem k posílení směnného kurzu české koruny vůči USD se kurzové rozdíly projevily v tomto případě snížením stavu pohledávek státu o 131,3 mil. Kč. Tyto pohledávky byly již v roce 2017 pro jejich faktickou nevymahatelnost vyřazeny v účetnictví Ministerstva financí z rozvahy a převedeny do podrozvahy</w:t>
      </w:r>
      <w:r w:rsidR="00FE2A58" w:rsidRPr="00110196">
        <w:t>.</w:t>
      </w:r>
    </w:p>
    <w:p w:rsidR="00FE2A58" w:rsidRDefault="00FE2A58" w:rsidP="00A42745">
      <w:pPr>
        <w:pStyle w:val="Nadpis1"/>
      </w:pPr>
      <w:bookmarkStart w:id="51" w:name="_Toc35012248"/>
      <w:bookmarkStart w:id="52" w:name="_Toc56599073"/>
      <w:r w:rsidRPr="004714EE">
        <w:t>Nestandardní státní záruky</w:t>
      </w:r>
      <w:bookmarkEnd w:id="48"/>
      <w:bookmarkEnd w:id="51"/>
      <w:bookmarkEnd w:id="52"/>
    </w:p>
    <w:p w:rsidR="00FE2A58" w:rsidRPr="00184C58" w:rsidRDefault="00FE2A58" w:rsidP="00FE2A58">
      <w:bookmarkStart w:id="53" w:name="_Toc289699709"/>
      <w:r>
        <w:t xml:space="preserve">V rámci </w:t>
      </w:r>
      <w:r w:rsidRPr="00D52011">
        <w:t xml:space="preserve">nestandardních státních záruk nedošlo </w:t>
      </w:r>
      <w:r w:rsidR="00A006EA">
        <w:t>v roce 2020</w:t>
      </w:r>
      <w:r w:rsidRPr="00D52011">
        <w:t xml:space="preserve"> k žádnému plnění státní záruky</w:t>
      </w:r>
      <w:r>
        <w:t xml:space="preserve"> a v</w:t>
      </w:r>
      <w:r w:rsidRPr="002D5010">
        <w:t>ykazovaný stav nestandardních státních záruk, tj. záruk, které nesplňují všechny podmínky sta</w:t>
      </w:r>
      <w:r>
        <w:t>novené rozpočtovým</w:t>
      </w:r>
      <w:r w:rsidR="00A006EA">
        <w:t>i pravidly, nedoznal v roce 2020</w:t>
      </w:r>
      <w:r>
        <w:t xml:space="preserve"> žádných změn a zůstal nulový</w:t>
      </w:r>
      <w:r w:rsidRPr="002D5010">
        <w:t>.</w:t>
      </w:r>
      <w:r>
        <w:t xml:space="preserve"> Obě záruky, vystavené v souvislosti s</w:t>
      </w:r>
      <w:r w:rsidRPr="00D52011">
        <w:t xml:space="preserve"> </w:t>
      </w:r>
      <w:r>
        <w:t>bývalou Investiční a poštovní bankou ve prospěch ČSOB, </w:t>
      </w:r>
      <w:r w:rsidRPr="00D52011">
        <w:t xml:space="preserve">a.s. </w:t>
      </w:r>
      <w:r>
        <w:t xml:space="preserve">a </w:t>
      </w:r>
      <w:r w:rsidRPr="00D52011">
        <w:t xml:space="preserve">ve prospěch ČNB </w:t>
      </w:r>
      <w:r>
        <w:t xml:space="preserve">jsou ukončeny. </w:t>
      </w:r>
    </w:p>
    <w:p w:rsidR="00FE2A58" w:rsidRDefault="00FE2A58" w:rsidP="00A42745">
      <w:pPr>
        <w:pStyle w:val="Nadpis1"/>
      </w:pPr>
      <w:bookmarkStart w:id="54" w:name="_Toc35012249"/>
      <w:bookmarkStart w:id="55" w:name="_Toc56599074"/>
      <w:r>
        <w:t>Ručení ze zákona</w:t>
      </w:r>
      <w:bookmarkEnd w:id="53"/>
      <w:bookmarkEnd w:id="54"/>
      <w:bookmarkEnd w:id="55"/>
    </w:p>
    <w:p w:rsidR="00A006EA" w:rsidRDefault="00A006EA" w:rsidP="00A006EA">
      <w:r>
        <w:t xml:space="preserve">Kromě standardních a nestandardních státních záruk, jejichž předmětem jsou smluvně určené konkrétní úvěrové či jiné závazky, existuje i ručení vyplývající ze zvláštních zákonů. </w:t>
      </w:r>
    </w:p>
    <w:p w:rsidR="00FE2A58" w:rsidRDefault="00A006EA" w:rsidP="00A006EA">
      <w:r>
        <w:t xml:space="preserve">Ze zákona č. 58/1995 Sb., o pojišťování a financování vývozu se státní </w:t>
      </w:r>
      <w:r w:rsidR="00B66C5A">
        <w:t>podporou a o doplnění zákona č. </w:t>
      </w:r>
      <w:r>
        <w:t>166/1993 Sb., o Nejvyšším kontrolním úřadu, ve znění pozdějších předpisů, stát ručí za závazky Exportní, garanční a pojišťovací společnosti, a.s. (EGAP) z pojištění vývozních úvěrových rizik a za závazky České exportní banky, a.s. (ČEB) za splácení úvěrových zdrojů získaných tou</w:t>
      </w:r>
      <w:r w:rsidR="00B66C5A">
        <w:t>to bankou, jakož i za závazky z </w:t>
      </w:r>
      <w:r>
        <w:t>ostatních operací na peněžních a kapitálových trzích směřujících k získání prostředků pro zvýhodněné financování exportu, pokud k nim byl dán souhlas Ministerstva financí a ČNB. Rozsah těchto závazků vyplývajících z uvedeného zákona a stanovených státním rozpočtem byl dodržen. V dokumentaci k rozpočtu na rok 2020 byl stanoven objem ručení za závazky ze splácení zdrojů získaných ČEB na finančních a kapitálových trzích. K 31. 12. 2020 dosahovaly závazky ČEB výše 33,3 mld. Kč. Limit garantovaných závazků EGAP (pojistná kapacita) byl na rok 2020 stanoven ve výši 142 mld. Kč, skutečná pojistná angažovanost představovala závazky v rozsahu 111,6 mld. Kč. Reálná hodnota neočekávaných rizik, která nejsou pokryta rezervami EGAP, činila 17,3 mld. Kč</w:t>
      </w:r>
      <w:r w:rsidR="00FE2A58" w:rsidRPr="00FF492B">
        <w:t>.</w:t>
      </w:r>
    </w:p>
    <w:p w:rsidR="00FE2A58" w:rsidRDefault="00FE2A58" w:rsidP="00A42745">
      <w:pPr>
        <w:pStyle w:val="Nadpis1"/>
      </w:pPr>
      <w:bookmarkStart w:id="56" w:name="_Toc35012250"/>
      <w:bookmarkStart w:id="57" w:name="_Toc56599075"/>
      <w:r>
        <w:t>Záruky související s mechanismem ESM a EFSM</w:t>
      </w:r>
      <w:bookmarkEnd w:id="56"/>
      <w:bookmarkEnd w:id="57"/>
    </w:p>
    <w:p w:rsidR="00FE2A58" w:rsidRDefault="00FE2A58" w:rsidP="00FE2A58">
      <w:r>
        <w:t xml:space="preserve">Pouze jako doplňující informaci lze uvést existenci závazku, souvisejícího s mechanismem ESM, resp. EFSM </w:t>
      </w:r>
      <w:r w:rsidRPr="009558DC">
        <w:t>(</w:t>
      </w:r>
      <w:proofErr w:type="spellStart"/>
      <w:r w:rsidRPr="009558DC">
        <w:t>European</w:t>
      </w:r>
      <w:proofErr w:type="spellEnd"/>
      <w:r w:rsidRPr="009558DC">
        <w:t xml:space="preserve"> </w:t>
      </w:r>
      <w:proofErr w:type="spellStart"/>
      <w:r w:rsidRPr="009558DC">
        <w:t>Fin</w:t>
      </w:r>
      <w:r>
        <w:t>ancial</w:t>
      </w:r>
      <w:proofErr w:type="spellEnd"/>
      <w:r>
        <w:t xml:space="preserve"> </w:t>
      </w:r>
      <w:proofErr w:type="spellStart"/>
      <w:r>
        <w:t>Stabilisation</w:t>
      </w:r>
      <w:proofErr w:type="spellEnd"/>
      <w:r>
        <w:t xml:space="preserve"> </w:t>
      </w:r>
      <w:proofErr w:type="spellStart"/>
      <w:r>
        <w:t>Mechanism</w:t>
      </w:r>
      <w:proofErr w:type="spellEnd"/>
      <w:r>
        <w:t xml:space="preserve">). </w:t>
      </w:r>
      <w:r w:rsidRPr="009558DC">
        <w:t>Evropský mechanismus finanční stabilizace a jednotlivá rozhodnutí o poskytnutí pomoci tohoto mechanismu mobilizují zdroje rozpočtu EU do výše, kterou se členské státy včetně Č</w:t>
      </w:r>
      <w:r>
        <w:t>eské republiky</w:t>
      </w:r>
      <w:r w:rsidRPr="009558DC">
        <w:t xml:space="preserve"> zavázaly respektovat, tj. zavázaly se v případě potřeby poskytnout tyto prostředky pro účely politik EU. Č</w:t>
      </w:r>
      <w:r>
        <w:t>eská republika</w:t>
      </w:r>
      <w:r w:rsidRPr="009558DC">
        <w:t xml:space="preserve"> může být žádána pouze o doplnění vlastních zdrojů do rozpočtu EU. </w:t>
      </w:r>
      <w:r w:rsidRPr="001064F4">
        <w:t>Na daný případ finanční pomoci z evropského mechanismu finanční stabilizace tedy nedopadá ustanovení § 73 zákona</w:t>
      </w:r>
      <w:r>
        <w:t xml:space="preserve"> č. 218/2000 Sb.,</w:t>
      </w:r>
      <w:r w:rsidRPr="001064F4">
        <w:t xml:space="preserve"> o rozpočtových pravidlech</w:t>
      </w:r>
      <w:r>
        <w:t xml:space="preserve"> a o změně některých souvisejících zákonů,</w:t>
      </w:r>
      <w:r w:rsidRPr="001064F4">
        <w:t xml:space="preserve"> upravující podmínky poskytování státních záruk.</w:t>
      </w:r>
      <w:r w:rsidRPr="009558DC">
        <w:rPr>
          <w:b/>
        </w:rPr>
        <w:t xml:space="preserve"> </w:t>
      </w:r>
      <w:r w:rsidRPr="009558DC">
        <w:t>V tomto případě je relevantn</w:t>
      </w:r>
      <w:r>
        <w:t>í ustanovení § 7 odst. 1 písm. r</w:t>
      </w:r>
      <w:r w:rsidRPr="009558DC">
        <w:t>) uvedeného zákona, které stanoví, že se ze státního rozpočtu hradí výdaje související s plněním závazků k Evropským společenstvím.</w:t>
      </w:r>
      <w:r>
        <w:t xml:space="preserve"> </w:t>
      </w:r>
      <w:r w:rsidRPr="009558DC">
        <w:t>Č</w:t>
      </w:r>
      <w:r>
        <w:t>eská republika</w:t>
      </w:r>
      <w:r w:rsidRPr="001064F4">
        <w:t xml:space="preserve"> není v ručitelském postavení vůči</w:t>
      </w:r>
      <w:r>
        <w:t xml:space="preserve"> žádnému konkrétnímu subjektu, </w:t>
      </w:r>
      <w:r w:rsidRPr="001064F4">
        <w:t>v uvedeném případě v pozici ručitele stojí rozpočet EU</w:t>
      </w:r>
      <w:r>
        <w:t>.</w:t>
      </w:r>
    </w:p>
    <w:p w:rsidR="00FE2A58" w:rsidRDefault="00FE2A58" w:rsidP="00A42745">
      <w:pPr>
        <w:pStyle w:val="Nadpis1"/>
      </w:pPr>
      <w:bookmarkStart w:id="58" w:name="_Toc35012251"/>
      <w:bookmarkStart w:id="59" w:name="_Toc56599076"/>
      <w:r>
        <w:t>Aval směnek, vystavených ČNB</w:t>
      </w:r>
      <w:bookmarkEnd w:id="58"/>
      <w:bookmarkEnd w:id="59"/>
    </w:p>
    <w:p w:rsidR="00FE2A58" w:rsidRPr="004335E1" w:rsidRDefault="00FE2A58" w:rsidP="00FE2A58">
      <w:r w:rsidRPr="00A86733">
        <w:t>Ručitelský vztah Ministerstva financí vůči Mezinárodnímu měnovému fondu (dále MMF) vychází z požadavků naplnění Dohody o MMF. Příslušný dluhopis (tzv. „směnka“) vystavený Českou národní bankou je součástí kvóty, kterou upsala Česká republika, a která pokrývá celkem 75 % této členské kvóty. Vystavený dluhopis je avalován ministrem financí, neboť členy MMF mohou být pouze státy, v případě České repu</w:t>
      </w:r>
      <w:r>
        <w:t>bliky pak bylo odsouhlaseno, že </w:t>
      </w:r>
      <w:r w:rsidRPr="00A86733">
        <w:t>dluhopis vystaví ČNB a stát (dle kompetenčního zákona Ministerstvo financí) jej bude avalovat. Potenciáln</w:t>
      </w:r>
      <w:r>
        <w:t>í závazek z tohoto titulu k 31.</w:t>
      </w:r>
      <w:r w:rsidR="00B66C5A">
        <w:t> </w:t>
      </w:r>
      <w:r w:rsidRPr="00A86733">
        <w:t>12</w:t>
      </w:r>
      <w:r w:rsidRPr="007C0DB3">
        <w:t>.</w:t>
      </w:r>
      <w:r w:rsidR="00B66C5A">
        <w:t> </w:t>
      </w:r>
      <w:r w:rsidR="00A006EA">
        <w:t>2020 představuje cca 44,7</w:t>
      </w:r>
      <w:r>
        <w:t> mld. </w:t>
      </w:r>
      <w:r w:rsidRPr="007C0DB3">
        <w:t>Kč,</w:t>
      </w:r>
      <w:r w:rsidRPr="00A86733">
        <w:t xml:space="preserve"> přičemž riziko, že Česká národní banka bude vyzvána k úhrad</w:t>
      </w:r>
      <w:r>
        <w:t>ě tohoto závazku lze označit za </w:t>
      </w:r>
      <w:r w:rsidRPr="00A86733">
        <w:t>velmi nízké.</w:t>
      </w:r>
      <w:r>
        <w:t xml:space="preserve"> </w:t>
      </w:r>
    </w:p>
    <w:p w:rsidR="00FE2A58" w:rsidRDefault="00FE2A58" w:rsidP="00A42745">
      <w:pPr>
        <w:pStyle w:val="Bezmezer"/>
      </w:pPr>
      <w:r>
        <w:br w:type="page"/>
      </w:r>
      <w:bookmarkStart w:id="60" w:name="_Toc382544695"/>
      <w:bookmarkStart w:id="61" w:name="_Toc35012252"/>
      <w:bookmarkStart w:id="62" w:name="_Toc56599077"/>
      <w:r w:rsidRPr="00C84EF9">
        <w:t>Tabulkov</w:t>
      </w:r>
      <w:r>
        <w:t xml:space="preserve">é </w:t>
      </w:r>
      <w:r w:rsidRPr="00C84EF9">
        <w:t>příloh</w:t>
      </w:r>
      <w:bookmarkEnd w:id="60"/>
      <w:r>
        <w:t>y</w:t>
      </w:r>
      <w:bookmarkEnd w:id="61"/>
      <w:bookmarkEnd w:id="62"/>
    </w:p>
    <w:p w:rsidR="00FE2A58" w:rsidRPr="00FA243D" w:rsidRDefault="00FE2A58" w:rsidP="00FE2A58">
      <w:pPr>
        <w:ind w:left="1560" w:hanging="1560"/>
        <w:jc w:val="left"/>
      </w:pPr>
      <w:r>
        <w:rPr>
          <w:b/>
        </w:rPr>
        <w:t xml:space="preserve">Tabulka č. </w:t>
      </w:r>
      <w:r w:rsidRPr="00FA243D">
        <w:rPr>
          <w:b/>
        </w:rPr>
        <w:t>1</w:t>
      </w:r>
      <w:r>
        <w:rPr>
          <w:b/>
        </w:rPr>
        <w:t>:</w:t>
      </w:r>
      <w:r>
        <w:t xml:space="preserve"> </w:t>
      </w:r>
      <w:r w:rsidRPr="00FA243D">
        <w:t>Podrobnější přehled o vývoji státních finančních aktiv a pasiv</w:t>
      </w:r>
    </w:p>
    <w:p w:rsidR="00FE2A58" w:rsidRPr="00F812A6" w:rsidRDefault="00FE2A58" w:rsidP="000F368A">
      <w:pPr>
        <w:ind w:left="1191" w:hanging="1191"/>
        <w:jc w:val="left"/>
      </w:pPr>
      <w:r>
        <w:rPr>
          <w:b/>
        </w:rPr>
        <w:t>Tabulka č. 2</w:t>
      </w:r>
      <w:r w:rsidRPr="00F812A6">
        <w:rPr>
          <w:b/>
        </w:rPr>
        <w:t>:</w:t>
      </w:r>
      <w:r w:rsidRPr="00F812A6">
        <w:t xml:space="preserve"> Podrobnější přehled o příjmových a výd</w:t>
      </w:r>
      <w:r>
        <w:t xml:space="preserve">ajových operacích na korunových </w:t>
      </w:r>
      <w:r w:rsidR="00F95538">
        <w:t xml:space="preserve">účtech státních </w:t>
      </w:r>
      <w:r w:rsidRPr="00F812A6">
        <w:t>finančních aktiv</w:t>
      </w:r>
    </w:p>
    <w:p w:rsidR="00FE2A58" w:rsidRPr="00F812A6" w:rsidRDefault="00FE2A58" w:rsidP="00FE2A58">
      <w:pPr>
        <w:ind w:left="1418" w:hanging="1418"/>
        <w:jc w:val="left"/>
      </w:pPr>
      <w:r>
        <w:rPr>
          <w:b/>
        </w:rPr>
        <w:t xml:space="preserve">Tabulka č. </w:t>
      </w:r>
      <w:r w:rsidRPr="00F812A6">
        <w:rPr>
          <w:b/>
        </w:rPr>
        <w:t>3</w:t>
      </w:r>
      <w:r w:rsidRPr="00F812A6">
        <w:t>: Přehled o peněžních prostředcích a operacích na korunových účtech státních finančních aktiv</w:t>
      </w:r>
    </w:p>
    <w:p w:rsidR="00FE2A58" w:rsidRDefault="00FE2A58" w:rsidP="00FE2A58">
      <w:pPr>
        <w:ind w:left="1418" w:hanging="1418"/>
        <w:jc w:val="left"/>
      </w:pPr>
      <w:r>
        <w:rPr>
          <w:b/>
        </w:rPr>
        <w:t xml:space="preserve">Tabulka č. </w:t>
      </w:r>
      <w:r w:rsidRPr="00F812A6">
        <w:rPr>
          <w:b/>
        </w:rPr>
        <w:t>4</w:t>
      </w:r>
      <w:r w:rsidRPr="00F812A6">
        <w:t xml:space="preserve">: </w:t>
      </w:r>
      <w:r w:rsidRPr="00FA243D">
        <w:t xml:space="preserve">Specifikace bankovních úvěrů krytých státní zárukou </w:t>
      </w:r>
      <w:r>
        <w:t xml:space="preserve">a jiných záruk státu </w:t>
      </w:r>
    </w:p>
    <w:p w:rsidR="00FE2A58" w:rsidRPr="00DB072C" w:rsidRDefault="00FE2A58" w:rsidP="00A42745">
      <w:pPr>
        <w:pStyle w:val="Nzev"/>
      </w:pPr>
      <w:r>
        <w:rPr>
          <w:noProof/>
        </w:rPr>
        <w:br w:type="page"/>
      </w:r>
      <w:r w:rsidRPr="00DB072C">
        <w:rPr>
          <w:noProof/>
        </w:rPr>
        <w:t>Tabulka č. 1: Podrobnější přehled o vývoji státních finančních aktiv a pasiv (mil. Kč)</w:t>
      </w:r>
    </w:p>
    <w:p w:rsidR="00FE2A58" w:rsidRDefault="00395E05" w:rsidP="00A42745">
      <w:pPr>
        <w:pStyle w:val="Tabgraf"/>
      </w:pPr>
      <w:r w:rsidRPr="00395E05">
        <w:rPr>
          <w:noProof/>
          <w:lang w:eastAsia="cs-CZ"/>
        </w:rPr>
        <w:drawing>
          <wp:inline distT="0" distB="0" distL="0" distR="0" wp14:anchorId="5943520C" wp14:editId="06AF7659">
            <wp:extent cx="6120130" cy="6514869"/>
            <wp:effectExtent l="0" t="0" r="0" b="63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6514869"/>
                    </a:xfrm>
                    <a:prstGeom prst="rect">
                      <a:avLst/>
                    </a:prstGeom>
                    <a:noFill/>
                    <a:ln>
                      <a:noFill/>
                    </a:ln>
                  </pic:spPr>
                </pic:pic>
              </a:graphicData>
            </a:graphic>
          </wp:inline>
        </w:drawing>
      </w:r>
    </w:p>
    <w:p w:rsidR="00FE2A58" w:rsidRDefault="00FE2A58" w:rsidP="00A42745">
      <w:pPr>
        <w:pStyle w:val="Podtitul"/>
      </w:pPr>
      <w:r w:rsidRPr="00DB072C">
        <w:t xml:space="preserve">*) v souladu s novelizovaným zněním ustanovení § 36 odst. 7 a) zákona č. 218/2000 Sb. není jmenovitá hodnota SDD nakoupených z prostředků jaderného </w:t>
      </w:r>
      <w:r w:rsidR="00B14F42" w:rsidRPr="00DB072C">
        <w:t>účtu zahrnuta</w:t>
      </w:r>
      <w:r w:rsidRPr="00DB072C">
        <w:t xml:space="preserve"> do státních finančních pasiv vykazovaných k 31.</w:t>
      </w:r>
      <w:r w:rsidR="00B14F42">
        <w:t xml:space="preserve"> </w:t>
      </w:r>
      <w:r w:rsidRPr="00DB072C">
        <w:t>12.</w:t>
      </w:r>
    </w:p>
    <w:p w:rsidR="00FE2A58" w:rsidRPr="00DB072C" w:rsidRDefault="00FE2A58" w:rsidP="00A42745">
      <w:pPr>
        <w:pStyle w:val="Podtitul"/>
      </w:pPr>
      <w:r>
        <w:t>Zdroj: MF</w:t>
      </w:r>
    </w:p>
    <w:p w:rsidR="00FE2A58" w:rsidRDefault="00FE2A58" w:rsidP="00FE2A58"/>
    <w:p w:rsidR="00FE2A58" w:rsidRDefault="00FE2A58" w:rsidP="00FE2A58"/>
    <w:p w:rsidR="00FE2A58" w:rsidRDefault="00FE2A58" w:rsidP="00FE2A58">
      <w:pPr>
        <w:sectPr w:rsidR="00FE2A58" w:rsidSect="00DC158D">
          <w:footerReference w:type="default" r:id="rId28"/>
          <w:pgSz w:w="11906" w:h="16838"/>
          <w:pgMar w:top="1418" w:right="1134" w:bottom="1418" w:left="1134" w:header="709" w:footer="709" w:gutter="0"/>
          <w:pgNumType w:start="1"/>
          <w:cols w:space="708"/>
          <w:docGrid w:linePitch="360"/>
        </w:sectPr>
      </w:pPr>
    </w:p>
    <w:p w:rsidR="00FE2A58" w:rsidRPr="00DB072C" w:rsidRDefault="00FE2A58" w:rsidP="00A42745">
      <w:pPr>
        <w:pStyle w:val="Nzev"/>
      </w:pPr>
      <w:r w:rsidRPr="00DB072C">
        <w:t>Tabulka č. 2: Podrobnější přehled o příjmových a výdajových operacích na korunových účtech státních finančních aktiv</w:t>
      </w:r>
      <w:r w:rsidR="00B14F42">
        <w:t xml:space="preserve"> (</w:t>
      </w:r>
      <w:r>
        <w:t>mil. Kč)</w:t>
      </w:r>
    </w:p>
    <w:p w:rsidR="00FE2A58" w:rsidRDefault="00D7252E" w:rsidP="00A42745">
      <w:pPr>
        <w:pStyle w:val="Tabgraf"/>
      </w:pPr>
      <w:r w:rsidRPr="00D7252E">
        <w:rPr>
          <w:noProof/>
          <w:lang w:eastAsia="cs-CZ"/>
        </w:rPr>
        <w:drawing>
          <wp:inline distT="0" distB="0" distL="0" distR="0">
            <wp:extent cx="9128125" cy="5629275"/>
            <wp:effectExtent l="0" t="0" r="0" b="952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28125" cy="5629275"/>
                    </a:xfrm>
                    <a:prstGeom prst="rect">
                      <a:avLst/>
                    </a:prstGeom>
                    <a:noFill/>
                    <a:ln>
                      <a:noFill/>
                    </a:ln>
                  </pic:spPr>
                </pic:pic>
              </a:graphicData>
            </a:graphic>
          </wp:inline>
        </w:drawing>
      </w:r>
    </w:p>
    <w:p w:rsidR="00FE2A58" w:rsidRPr="00DB072C" w:rsidRDefault="00FE2A58" w:rsidP="00A42745">
      <w:pPr>
        <w:pStyle w:val="Podtitul"/>
      </w:pPr>
      <w:r w:rsidRPr="00DB072C">
        <w:t>Zdroj: MF</w:t>
      </w:r>
    </w:p>
    <w:p w:rsidR="00FE2A58" w:rsidRPr="00DB072C" w:rsidRDefault="00FE2A58" w:rsidP="00A42745">
      <w:pPr>
        <w:pStyle w:val="Nzev"/>
      </w:pPr>
      <w:r w:rsidRPr="00DB072C">
        <w:t xml:space="preserve">Tabulka č. </w:t>
      </w:r>
      <w:r>
        <w:t>3</w:t>
      </w:r>
      <w:r w:rsidRPr="00DB072C">
        <w:t>: Přehled o peněžních prostředcích a operacích na korunových účtech státních finančních aktiv</w:t>
      </w:r>
      <w:r w:rsidR="00B14F42">
        <w:t xml:space="preserve"> (</w:t>
      </w:r>
      <w:r>
        <w:t>mil. Kč)</w:t>
      </w:r>
    </w:p>
    <w:p w:rsidR="00FE2A58" w:rsidRDefault="00D7252E" w:rsidP="00A42745">
      <w:pPr>
        <w:pStyle w:val="Tabgraf"/>
      </w:pPr>
      <w:r w:rsidRPr="00D7252E">
        <w:rPr>
          <w:noProof/>
          <w:lang w:eastAsia="cs-CZ"/>
        </w:rPr>
        <w:drawing>
          <wp:inline distT="0" distB="0" distL="0" distR="0" wp14:anchorId="28911F4E" wp14:editId="626ACBD3">
            <wp:extent cx="9251950" cy="3179102"/>
            <wp:effectExtent l="0" t="0" r="6350" b="254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251950" cy="3179102"/>
                    </a:xfrm>
                    <a:prstGeom prst="rect">
                      <a:avLst/>
                    </a:prstGeom>
                    <a:noFill/>
                    <a:ln>
                      <a:noFill/>
                    </a:ln>
                  </pic:spPr>
                </pic:pic>
              </a:graphicData>
            </a:graphic>
          </wp:inline>
        </w:drawing>
      </w:r>
    </w:p>
    <w:p w:rsidR="00FE2A58" w:rsidRPr="003310EE" w:rsidRDefault="00FE2A58" w:rsidP="00A42745">
      <w:pPr>
        <w:pStyle w:val="Podtitul"/>
      </w:pPr>
      <w:r w:rsidRPr="003310EE">
        <w:t>*) jde o převod práva čerpat výdaje z rozpočtu kapitol</w:t>
      </w:r>
      <w:r>
        <w:t>y O</w:t>
      </w:r>
      <w:r w:rsidRPr="003310EE">
        <w:t>SFA do rozpočtu jiných kapitol, na základě čehož se výdaje původně rozpočtov</w:t>
      </w:r>
      <w:r>
        <w:t>ané v kapitole OSFA realizují v </w:t>
      </w:r>
      <w:r w:rsidRPr="003310EE">
        <w:t>těchto jiných kapitolách státního rozpočtu. Prostředky na činnost SÚRAO jsou rozpočtovány v kapitole MPO a kryty z jaderného účtu.</w:t>
      </w:r>
    </w:p>
    <w:p w:rsidR="00FE2A58" w:rsidRPr="003310EE" w:rsidRDefault="00FE2A58" w:rsidP="00A42745">
      <w:pPr>
        <w:pStyle w:val="Podtitul"/>
      </w:pPr>
      <w:r w:rsidRPr="003310EE">
        <w:t>Zdroj: MF</w:t>
      </w:r>
    </w:p>
    <w:p w:rsidR="00FE2A58" w:rsidRPr="00DB072C" w:rsidRDefault="00FE2A58" w:rsidP="00A42745">
      <w:pPr>
        <w:pStyle w:val="Nzev"/>
      </w:pPr>
      <w:r w:rsidRPr="00DB072C">
        <w:t xml:space="preserve">Tabulka č. </w:t>
      </w:r>
      <w:r>
        <w:t>4</w:t>
      </w:r>
      <w:r w:rsidRPr="00DB072C">
        <w:t xml:space="preserve">: </w:t>
      </w:r>
      <w:r w:rsidRPr="003310EE">
        <w:t>Specifikace bankovních úvěrů krytých stát</w:t>
      </w:r>
      <w:r w:rsidR="003B247E">
        <w:t>ní zárukou a jiných záruk státu</w:t>
      </w:r>
      <w:r w:rsidR="00B14F42">
        <w:t xml:space="preserve"> (</w:t>
      </w:r>
      <w:r>
        <w:t>mil. Kč)</w:t>
      </w:r>
    </w:p>
    <w:p w:rsidR="00FE2A58" w:rsidRDefault="004D5BE0" w:rsidP="00A42745">
      <w:pPr>
        <w:pStyle w:val="Tabgraf"/>
      </w:pPr>
      <w:r w:rsidRPr="004D5BE0">
        <w:rPr>
          <w:noProof/>
          <w:lang w:eastAsia="cs-CZ"/>
        </w:rPr>
        <w:drawing>
          <wp:inline distT="0" distB="0" distL="0" distR="0" wp14:anchorId="69FCA00D" wp14:editId="1B94FFD2">
            <wp:extent cx="9251950" cy="4335078"/>
            <wp:effectExtent l="0" t="0" r="6350" b="889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251950" cy="4335078"/>
                    </a:xfrm>
                    <a:prstGeom prst="rect">
                      <a:avLst/>
                    </a:prstGeom>
                    <a:noFill/>
                    <a:ln>
                      <a:noFill/>
                    </a:ln>
                  </pic:spPr>
                </pic:pic>
              </a:graphicData>
            </a:graphic>
          </wp:inline>
        </w:drawing>
      </w:r>
    </w:p>
    <w:p w:rsidR="00FE2A58" w:rsidRPr="003310EE" w:rsidRDefault="00FE2A58" w:rsidP="00A42745">
      <w:pPr>
        <w:pStyle w:val="Podtitul"/>
      </w:pPr>
      <w:r w:rsidRPr="003310EE">
        <w:t>Zdroj: MF</w:t>
      </w:r>
      <w:bookmarkEnd w:id="2"/>
      <w:bookmarkEnd w:id="3"/>
      <w:bookmarkEnd w:id="4"/>
      <w:bookmarkEnd w:id="5"/>
    </w:p>
    <w:sectPr w:rsidR="00FE2A58" w:rsidRPr="003310EE" w:rsidSect="00BD27A7">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549" w:rsidRDefault="008E5549" w:rsidP="009D4D6B">
      <w:pPr>
        <w:spacing w:before="0"/>
      </w:pPr>
      <w:r>
        <w:separator/>
      </w:r>
    </w:p>
  </w:endnote>
  <w:endnote w:type="continuationSeparator" w:id="0">
    <w:p w:rsidR="008E5549" w:rsidRDefault="008E5549" w:rsidP="009D4D6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C5A" w:rsidRDefault="00B66C5A">
    <w:pPr>
      <w:pStyle w:val="Zpat"/>
      <w:jc w:val="center"/>
    </w:pPr>
  </w:p>
  <w:p w:rsidR="00B66C5A" w:rsidRDefault="00B66C5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678550"/>
      <w:docPartObj>
        <w:docPartGallery w:val="Page Numbers (Bottom of Page)"/>
        <w:docPartUnique/>
      </w:docPartObj>
    </w:sdtPr>
    <w:sdtEndPr/>
    <w:sdtContent>
      <w:p w:rsidR="00B66C5A" w:rsidRDefault="00B66C5A">
        <w:pPr>
          <w:pStyle w:val="Zpat"/>
          <w:jc w:val="center"/>
        </w:pPr>
        <w:r>
          <w:fldChar w:fldCharType="begin"/>
        </w:r>
        <w:r>
          <w:instrText>PAGE   \* MERGEFORMAT</w:instrText>
        </w:r>
        <w:r>
          <w:fldChar w:fldCharType="separate"/>
        </w:r>
        <w:r w:rsidR="000F368A">
          <w:rPr>
            <w:noProof/>
          </w:rPr>
          <w:t>15</w:t>
        </w:r>
        <w:r>
          <w:fldChar w:fldCharType="end"/>
        </w:r>
      </w:p>
    </w:sdtContent>
  </w:sdt>
  <w:p w:rsidR="00B66C5A" w:rsidRDefault="00B66C5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549" w:rsidRDefault="008E5549" w:rsidP="009D4D6B">
      <w:pPr>
        <w:spacing w:before="0"/>
      </w:pPr>
      <w:r>
        <w:separator/>
      </w:r>
    </w:p>
  </w:footnote>
  <w:footnote w:type="continuationSeparator" w:id="0">
    <w:p w:rsidR="008E5549" w:rsidRDefault="008E5549" w:rsidP="009D4D6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93982"/>
    <w:multiLevelType w:val="hybridMultilevel"/>
    <w:tmpl w:val="BF84BBA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3866575F"/>
    <w:multiLevelType w:val="hybridMultilevel"/>
    <w:tmpl w:val="D44AD13C"/>
    <w:lvl w:ilvl="0" w:tplc="A43ACE8E">
      <w:start w:val="1"/>
      <w:numFmt w:val="upperRoman"/>
      <w:pStyle w:val="Bezmezer"/>
      <w:lvlText w:val="%1."/>
      <w:lvlJc w:val="right"/>
      <w:pPr>
        <w:ind w:left="41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E8A2792"/>
    <w:multiLevelType w:val="multilevel"/>
    <w:tmpl w:val="AB7C24A6"/>
    <w:lvl w:ilvl="0">
      <w:start w:val="1"/>
      <w:numFmt w:val="upperRoman"/>
      <w:lvlText w:val="%1."/>
      <w:lvlJc w:val="left"/>
      <w:pPr>
        <w:tabs>
          <w:tab w:val="num" w:pos="709"/>
        </w:tabs>
        <w:ind w:left="709" w:hanging="709"/>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66830073"/>
    <w:multiLevelType w:val="hybridMultilevel"/>
    <w:tmpl w:val="5770E0DE"/>
    <w:lvl w:ilvl="0" w:tplc="3B64EAF4">
      <w:numFmt w:val="bullet"/>
      <w:pStyle w:val="odrka"/>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27845C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4"/>
  </w:num>
  <w:num w:numId="2">
    <w:abstractNumId w:val="1"/>
  </w:num>
  <w:num w:numId="3">
    <w:abstractNumId w:val="3"/>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D8D"/>
    <w:rsid w:val="000053C4"/>
    <w:rsid w:val="000068BD"/>
    <w:rsid w:val="0000776D"/>
    <w:rsid w:val="00010A97"/>
    <w:rsid w:val="00011C95"/>
    <w:rsid w:val="00016AEE"/>
    <w:rsid w:val="00022099"/>
    <w:rsid w:val="00042B15"/>
    <w:rsid w:val="00044621"/>
    <w:rsid w:val="0005152D"/>
    <w:rsid w:val="00056846"/>
    <w:rsid w:val="0007218B"/>
    <w:rsid w:val="00073147"/>
    <w:rsid w:val="000738B7"/>
    <w:rsid w:val="000837DC"/>
    <w:rsid w:val="0009568F"/>
    <w:rsid w:val="000A03E1"/>
    <w:rsid w:val="000A79ED"/>
    <w:rsid w:val="000B74E9"/>
    <w:rsid w:val="000C6C21"/>
    <w:rsid w:val="000D0288"/>
    <w:rsid w:val="000D47DB"/>
    <w:rsid w:val="000D61FB"/>
    <w:rsid w:val="000D6B7A"/>
    <w:rsid w:val="000E37A4"/>
    <w:rsid w:val="000E63C4"/>
    <w:rsid w:val="000E70DA"/>
    <w:rsid w:val="000F368A"/>
    <w:rsid w:val="001004FF"/>
    <w:rsid w:val="0010241A"/>
    <w:rsid w:val="001029EC"/>
    <w:rsid w:val="00103C4D"/>
    <w:rsid w:val="0010483A"/>
    <w:rsid w:val="00106040"/>
    <w:rsid w:val="00120085"/>
    <w:rsid w:val="00120A86"/>
    <w:rsid w:val="0012124C"/>
    <w:rsid w:val="00121ED5"/>
    <w:rsid w:val="00125121"/>
    <w:rsid w:val="00127808"/>
    <w:rsid w:val="001279B4"/>
    <w:rsid w:val="0014140B"/>
    <w:rsid w:val="00146A3B"/>
    <w:rsid w:val="00150346"/>
    <w:rsid w:val="00155BDE"/>
    <w:rsid w:val="00162957"/>
    <w:rsid w:val="00162C25"/>
    <w:rsid w:val="00167E7D"/>
    <w:rsid w:val="001706BB"/>
    <w:rsid w:val="00181F70"/>
    <w:rsid w:val="001830E1"/>
    <w:rsid w:val="00190050"/>
    <w:rsid w:val="00191400"/>
    <w:rsid w:val="001A158A"/>
    <w:rsid w:val="001A1E75"/>
    <w:rsid w:val="001A255C"/>
    <w:rsid w:val="001C3152"/>
    <w:rsid w:val="001C6E21"/>
    <w:rsid w:val="001E4633"/>
    <w:rsid w:val="001F1391"/>
    <w:rsid w:val="001F246F"/>
    <w:rsid w:val="001F751C"/>
    <w:rsid w:val="001F7B90"/>
    <w:rsid w:val="00202160"/>
    <w:rsid w:val="00204D4E"/>
    <w:rsid w:val="0021646C"/>
    <w:rsid w:val="00224353"/>
    <w:rsid w:val="002265A6"/>
    <w:rsid w:val="0023490B"/>
    <w:rsid w:val="002378FE"/>
    <w:rsid w:val="002402F4"/>
    <w:rsid w:val="00241F86"/>
    <w:rsid w:val="00242732"/>
    <w:rsid w:val="00245FEF"/>
    <w:rsid w:val="00251670"/>
    <w:rsid w:val="00251787"/>
    <w:rsid w:val="002524AE"/>
    <w:rsid w:val="0026420F"/>
    <w:rsid w:val="002662F5"/>
    <w:rsid w:val="00267487"/>
    <w:rsid w:val="002702F4"/>
    <w:rsid w:val="002753FB"/>
    <w:rsid w:val="002769C5"/>
    <w:rsid w:val="002815E9"/>
    <w:rsid w:val="002831DB"/>
    <w:rsid w:val="002855D7"/>
    <w:rsid w:val="002866BC"/>
    <w:rsid w:val="0029789A"/>
    <w:rsid w:val="002A6140"/>
    <w:rsid w:val="002B034F"/>
    <w:rsid w:val="002B0CF5"/>
    <w:rsid w:val="002B2B38"/>
    <w:rsid w:val="002C60EB"/>
    <w:rsid w:val="002C6F8A"/>
    <w:rsid w:val="002C77B2"/>
    <w:rsid w:val="002D40CE"/>
    <w:rsid w:val="002D4C60"/>
    <w:rsid w:val="002D573C"/>
    <w:rsid w:val="002D649B"/>
    <w:rsid w:val="002D68C4"/>
    <w:rsid w:val="002D6D57"/>
    <w:rsid w:val="002E0A17"/>
    <w:rsid w:val="002E2A2C"/>
    <w:rsid w:val="002E3018"/>
    <w:rsid w:val="002E44A2"/>
    <w:rsid w:val="002E7BE4"/>
    <w:rsid w:val="002F12A0"/>
    <w:rsid w:val="002F5A23"/>
    <w:rsid w:val="00300D07"/>
    <w:rsid w:val="003066E1"/>
    <w:rsid w:val="00313262"/>
    <w:rsid w:val="00316BFA"/>
    <w:rsid w:val="00322737"/>
    <w:rsid w:val="00322FA8"/>
    <w:rsid w:val="00325817"/>
    <w:rsid w:val="0032587B"/>
    <w:rsid w:val="00327101"/>
    <w:rsid w:val="00327E17"/>
    <w:rsid w:val="00331BAC"/>
    <w:rsid w:val="00336CF7"/>
    <w:rsid w:val="00340B83"/>
    <w:rsid w:val="00345335"/>
    <w:rsid w:val="003472D2"/>
    <w:rsid w:val="00350144"/>
    <w:rsid w:val="00350E9F"/>
    <w:rsid w:val="003510E7"/>
    <w:rsid w:val="00354C56"/>
    <w:rsid w:val="00360023"/>
    <w:rsid w:val="00364B93"/>
    <w:rsid w:val="00371597"/>
    <w:rsid w:val="00376210"/>
    <w:rsid w:val="00377B57"/>
    <w:rsid w:val="003853FC"/>
    <w:rsid w:val="003923B9"/>
    <w:rsid w:val="00395E05"/>
    <w:rsid w:val="003A0844"/>
    <w:rsid w:val="003B247E"/>
    <w:rsid w:val="003B3C3F"/>
    <w:rsid w:val="003C053D"/>
    <w:rsid w:val="003C18D5"/>
    <w:rsid w:val="003C2CC2"/>
    <w:rsid w:val="003D261D"/>
    <w:rsid w:val="003D3B46"/>
    <w:rsid w:val="003E414A"/>
    <w:rsid w:val="00401AC0"/>
    <w:rsid w:val="00404D4F"/>
    <w:rsid w:val="004107A2"/>
    <w:rsid w:val="004200AF"/>
    <w:rsid w:val="0042029C"/>
    <w:rsid w:val="004220F7"/>
    <w:rsid w:val="0042365B"/>
    <w:rsid w:val="00430162"/>
    <w:rsid w:val="004363C4"/>
    <w:rsid w:val="00441150"/>
    <w:rsid w:val="00443A42"/>
    <w:rsid w:val="0044468C"/>
    <w:rsid w:val="004607D3"/>
    <w:rsid w:val="00462A94"/>
    <w:rsid w:val="004633C6"/>
    <w:rsid w:val="00463732"/>
    <w:rsid w:val="00464713"/>
    <w:rsid w:val="0047302E"/>
    <w:rsid w:val="004750D2"/>
    <w:rsid w:val="004769D5"/>
    <w:rsid w:val="004830CC"/>
    <w:rsid w:val="0048466F"/>
    <w:rsid w:val="00486099"/>
    <w:rsid w:val="00486A67"/>
    <w:rsid w:val="004923A5"/>
    <w:rsid w:val="004A5EC4"/>
    <w:rsid w:val="004B11AF"/>
    <w:rsid w:val="004B4766"/>
    <w:rsid w:val="004C0070"/>
    <w:rsid w:val="004C0CDF"/>
    <w:rsid w:val="004D5BE0"/>
    <w:rsid w:val="004D6D77"/>
    <w:rsid w:val="004E006D"/>
    <w:rsid w:val="004E29A5"/>
    <w:rsid w:val="004E6719"/>
    <w:rsid w:val="004E6F02"/>
    <w:rsid w:val="004F4A5D"/>
    <w:rsid w:val="0050536B"/>
    <w:rsid w:val="005075EC"/>
    <w:rsid w:val="00510248"/>
    <w:rsid w:val="00512D8D"/>
    <w:rsid w:val="00512EB0"/>
    <w:rsid w:val="005148E3"/>
    <w:rsid w:val="005231B2"/>
    <w:rsid w:val="00523EA6"/>
    <w:rsid w:val="00527562"/>
    <w:rsid w:val="005332F6"/>
    <w:rsid w:val="00542CF3"/>
    <w:rsid w:val="00556C94"/>
    <w:rsid w:val="005612EA"/>
    <w:rsid w:val="005638F5"/>
    <w:rsid w:val="005705CE"/>
    <w:rsid w:val="005757C5"/>
    <w:rsid w:val="005763F2"/>
    <w:rsid w:val="00577EDD"/>
    <w:rsid w:val="00592157"/>
    <w:rsid w:val="0059345F"/>
    <w:rsid w:val="0059513A"/>
    <w:rsid w:val="00596385"/>
    <w:rsid w:val="00596E0F"/>
    <w:rsid w:val="005A0478"/>
    <w:rsid w:val="005A1DB6"/>
    <w:rsid w:val="005A31FE"/>
    <w:rsid w:val="005C464E"/>
    <w:rsid w:val="005C568D"/>
    <w:rsid w:val="005D0374"/>
    <w:rsid w:val="005D39EE"/>
    <w:rsid w:val="005D5CFD"/>
    <w:rsid w:val="005D646F"/>
    <w:rsid w:val="005E3F16"/>
    <w:rsid w:val="005E61A7"/>
    <w:rsid w:val="005E7CD2"/>
    <w:rsid w:val="005E7D33"/>
    <w:rsid w:val="005F000E"/>
    <w:rsid w:val="005F6B1C"/>
    <w:rsid w:val="005F6BF8"/>
    <w:rsid w:val="00602C45"/>
    <w:rsid w:val="006056AC"/>
    <w:rsid w:val="006170C2"/>
    <w:rsid w:val="006260BC"/>
    <w:rsid w:val="00626D52"/>
    <w:rsid w:val="00633051"/>
    <w:rsid w:val="00640316"/>
    <w:rsid w:val="006425FB"/>
    <w:rsid w:val="00642CC0"/>
    <w:rsid w:val="0064332B"/>
    <w:rsid w:val="00646AF4"/>
    <w:rsid w:val="006534F0"/>
    <w:rsid w:val="00661427"/>
    <w:rsid w:val="00675E41"/>
    <w:rsid w:val="0068060A"/>
    <w:rsid w:val="00685A6A"/>
    <w:rsid w:val="00693AF4"/>
    <w:rsid w:val="006A5362"/>
    <w:rsid w:val="006A61B5"/>
    <w:rsid w:val="006A70F1"/>
    <w:rsid w:val="006B5C07"/>
    <w:rsid w:val="006C1A0B"/>
    <w:rsid w:val="006C1C2A"/>
    <w:rsid w:val="006E6E15"/>
    <w:rsid w:val="006F42D8"/>
    <w:rsid w:val="006F529C"/>
    <w:rsid w:val="007002E6"/>
    <w:rsid w:val="0070595A"/>
    <w:rsid w:val="00705CBD"/>
    <w:rsid w:val="007101E6"/>
    <w:rsid w:val="007102F1"/>
    <w:rsid w:val="00711AEC"/>
    <w:rsid w:val="007134B3"/>
    <w:rsid w:val="00726119"/>
    <w:rsid w:val="00734A24"/>
    <w:rsid w:val="007372E1"/>
    <w:rsid w:val="00742801"/>
    <w:rsid w:val="00753BA0"/>
    <w:rsid w:val="007567FE"/>
    <w:rsid w:val="007617F7"/>
    <w:rsid w:val="00762DB2"/>
    <w:rsid w:val="00775422"/>
    <w:rsid w:val="00782B26"/>
    <w:rsid w:val="00783165"/>
    <w:rsid w:val="007849E5"/>
    <w:rsid w:val="00791F20"/>
    <w:rsid w:val="007947C9"/>
    <w:rsid w:val="00795E6E"/>
    <w:rsid w:val="0079794A"/>
    <w:rsid w:val="00797C55"/>
    <w:rsid w:val="007A48FA"/>
    <w:rsid w:val="007B0411"/>
    <w:rsid w:val="007B3801"/>
    <w:rsid w:val="007B56E1"/>
    <w:rsid w:val="007C5189"/>
    <w:rsid w:val="007C7262"/>
    <w:rsid w:val="007D50D8"/>
    <w:rsid w:val="00801914"/>
    <w:rsid w:val="008069BE"/>
    <w:rsid w:val="00807060"/>
    <w:rsid w:val="00820AC7"/>
    <w:rsid w:val="00821529"/>
    <w:rsid w:val="008244C8"/>
    <w:rsid w:val="00825EB2"/>
    <w:rsid w:val="0083188D"/>
    <w:rsid w:val="00833017"/>
    <w:rsid w:val="00834E4F"/>
    <w:rsid w:val="00835A67"/>
    <w:rsid w:val="008445E7"/>
    <w:rsid w:val="00847339"/>
    <w:rsid w:val="00847F8E"/>
    <w:rsid w:val="008500EC"/>
    <w:rsid w:val="00852D95"/>
    <w:rsid w:val="00853BDF"/>
    <w:rsid w:val="00861A81"/>
    <w:rsid w:val="0086366A"/>
    <w:rsid w:val="008669E6"/>
    <w:rsid w:val="00871F86"/>
    <w:rsid w:val="008818BE"/>
    <w:rsid w:val="0088219C"/>
    <w:rsid w:val="00882C98"/>
    <w:rsid w:val="00887C2E"/>
    <w:rsid w:val="0089732E"/>
    <w:rsid w:val="008A1318"/>
    <w:rsid w:val="008A334D"/>
    <w:rsid w:val="008A374E"/>
    <w:rsid w:val="008B3D58"/>
    <w:rsid w:val="008B76D7"/>
    <w:rsid w:val="008B788A"/>
    <w:rsid w:val="008D14AA"/>
    <w:rsid w:val="008E03F5"/>
    <w:rsid w:val="008E5549"/>
    <w:rsid w:val="008E5FBA"/>
    <w:rsid w:val="008F1CF1"/>
    <w:rsid w:val="008F2CE0"/>
    <w:rsid w:val="008F7159"/>
    <w:rsid w:val="008F796C"/>
    <w:rsid w:val="0090211C"/>
    <w:rsid w:val="0090674F"/>
    <w:rsid w:val="00907EDF"/>
    <w:rsid w:val="0091141C"/>
    <w:rsid w:val="00913506"/>
    <w:rsid w:val="0091442E"/>
    <w:rsid w:val="0092019B"/>
    <w:rsid w:val="00924500"/>
    <w:rsid w:val="00932A68"/>
    <w:rsid w:val="00934407"/>
    <w:rsid w:val="00934927"/>
    <w:rsid w:val="00942539"/>
    <w:rsid w:val="00945887"/>
    <w:rsid w:val="0094612C"/>
    <w:rsid w:val="009503FC"/>
    <w:rsid w:val="009507E6"/>
    <w:rsid w:val="00951EE0"/>
    <w:rsid w:val="0095265D"/>
    <w:rsid w:val="00957BAF"/>
    <w:rsid w:val="00963305"/>
    <w:rsid w:val="00971B28"/>
    <w:rsid w:val="00976C33"/>
    <w:rsid w:val="00997BC9"/>
    <w:rsid w:val="009A07C9"/>
    <w:rsid w:val="009A09AA"/>
    <w:rsid w:val="009A5B69"/>
    <w:rsid w:val="009A675A"/>
    <w:rsid w:val="009C3D57"/>
    <w:rsid w:val="009C4D0F"/>
    <w:rsid w:val="009C4FAF"/>
    <w:rsid w:val="009C5DE2"/>
    <w:rsid w:val="009C6BC9"/>
    <w:rsid w:val="009D2FE4"/>
    <w:rsid w:val="009D317B"/>
    <w:rsid w:val="009D4D6B"/>
    <w:rsid w:val="009E4726"/>
    <w:rsid w:val="009F1290"/>
    <w:rsid w:val="009F3529"/>
    <w:rsid w:val="009F666C"/>
    <w:rsid w:val="00A006EA"/>
    <w:rsid w:val="00A0354D"/>
    <w:rsid w:val="00A04F11"/>
    <w:rsid w:val="00A1508C"/>
    <w:rsid w:val="00A23FDD"/>
    <w:rsid w:val="00A41D7D"/>
    <w:rsid w:val="00A42745"/>
    <w:rsid w:val="00A4279E"/>
    <w:rsid w:val="00A451BE"/>
    <w:rsid w:val="00A5009A"/>
    <w:rsid w:val="00A52AA8"/>
    <w:rsid w:val="00A555B5"/>
    <w:rsid w:val="00A67B81"/>
    <w:rsid w:val="00A712D7"/>
    <w:rsid w:val="00A73BBC"/>
    <w:rsid w:val="00A948D3"/>
    <w:rsid w:val="00A96B2B"/>
    <w:rsid w:val="00AA4779"/>
    <w:rsid w:val="00AA520C"/>
    <w:rsid w:val="00AA5DED"/>
    <w:rsid w:val="00AB0B7E"/>
    <w:rsid w:val="00AB2EAC"/>
    <w:rsid w:val="00AB553C"/>
    <w:rsid w:val="00AB703A"/>
    <w:rsid w:val="00AC1E91"/>
    <w:rsid w:val="00AC52D5"/>
    <w:rsid w:val="00AC6CB5"/>
    <w:rsid w:val="00AD04D3"/>
    <w:rsid w:val="00AD18F9"/>
    <w:rsid w:val="00AD48A0"/>
    <w:rsid w:val="00AD7121"/>
    <w:rsid w:val="00AD7B5A"/>
    <w:rsid w:val="00AF3290"/>
    <w:rsid w:val="00AF5742"/>
    <w:rsid w:val="00AF67FF"/>
    <w:rsid w:val="00B0206E"/>
    <w:rsid w:val="00B04F03"/>
    <w:rsid w:val="00B1087A"/>
    <w:rsid w:val="00B12E47"/>
    <w:rsid w:val="00B14F42"/>
    <w:rsid w:val="00B16849"/>
    <w:rsid w:val="00B16AF0"/>
    <w:rsid w:val="00B17449"/>
    <w:rsid w:val="00B179D2"/>
    <w:rsid w:val="00B3204F"/>
    <w:rsid w:val="00B33F6E"/>
    <w:rsid w:val="00B35F33"/>
    <w:rsid w:val="00B35F3C"/>
    <w:rsid w:val="00B41167"/>
    <w:rsid w:val="00B43511"/>
    <w:rsid w:val="00B53788"/>
    <w:rsid w:val="00B54D92"/>
    <w:rsid w:val="00B66C5A"/>
    <w:rsid w:val="00B71D8F"/>
    <w:rsid w:val="00B73FED"/>
    <w:rsid w:val="00B92690"/>
    <w:rsid w:val="00B9622B"/>
    <w:rsid w:val="00BA09D8"/>
    <w:rsid w:val="00BA4580"/>
    <w:rsid w:val="00BA567E"/>
    <w:rsid w:val="00BB39F9"/>
    <w:rsid w:val="00BB5FB3"/>
    <w:rsid w:val="00BC3851"/>
    <w:rsid w:val="00BC4149"/>
    <w:rsid w:val="00BC4C51"/>
    <w:rsid w:val="00BD27A7"/>
    <w:rsid w:val="00BD5074"/>
    <w:rsid w:val="00BE4341"/>
    <w:rsid w:val="00BE4902"/>
    <w:rsid w:val="00BE7118"/>
    <w:rsid w:val="00BF1DD6"/>
    <w:rsid w:val="00BF307E"/>
    <w:rsid w:val="00BF5DC6"/>
    <w:rsid w:val="00C019EE"/>
    <w:rsid w:val="00C1761C"/>
    <w:rsid w:val="00C23F32"/>
    <w:rsid w:val="00C319C7"/>
    <w:rsid w:val="00C31D28"/>
    <w:rsid w:val="00C35853"/>
    <w:rsid w:val="00C37559"/>
    <w:rsid w:val="00C405B4"/>
    <w:rsid w:val="00C44ACA"/>
    <w:rsid w:val="00C45520"/>
    <w:rsid w:val="00C5025F"/>
    <w:rsid w:val="00C80280"/>
    <w:rsid w:val="00C97FF1"/>
    <w:rsid w:val="00CB1D32"/>
    <w:rsid w:val="00CB4ED8"/>
    <w:rsid w:val="00CB4EF5"/>
    <w:rsid w:val="00CB6218"/>
    <w:rsid w:val="00CC0735"/>
    <w:rsid w:val="00CF1C09"/>
    <w:rsid w:val="00CF1CDB"/>
    <w:rsid w:val="00CF42CE"/>
    <w:rsid w:val="00D0245A"/>
    <w:rsid w:val="00D0390B"/>
    <w:rsid w:val="00D03965"/>
    <w:rsid w:val="00D1468F"/>
    <w:rsid w:val="00D15AF8"/>
    <w:rsid w:val="00D16E49"/>
    <w:rsid w:val="00D20098"/>
    <w:rsid w:val="00D307F7"/>
    <w:rsid w:val="00D5039F"/>
    <w:rsid w:val="00D54239"/>
    <w:rsid w:val="00D6181D"/>
    <w:rsid w:val="00D662C1"/>
    <w:rsid w:val="00D7252E"/>
    <w:rsid w:val="00D812F7"/>
    <w:rsid w:val="00D90FD6"/>
    <w:rsid w:val="00D91ADA"/>
    <w:rsid w:val="00D9594C"/>
    <w:rsid w:val="00DA008A"/>
    <w:rsid w:val="00DA4571"/>
    <w:rsid w:val="00DA4D34"/>
    <w:rsid w:val="00DA62CE"/>
    <w:rsid w:val="00DA77D9"/>
    <w:rsid w:val="00DB0C7E"/>
    <w:rsid w:val="00DB51B2"/>
    <w:rsid w:val="00DC158D"/>
    <w:rsid w:val="00DC3B3B"/>
    <w:rsid w:val="00DD3EBC"/>
    <w:rsid w:val="00DF07B3"/>
    <w:rsid w:val="00DF3DB6"/>
    <w:rsid w:val="00DF4C52"/>
    <w:rsid w:val="00E00E5A"/>
    <w:rsid w:val="00E0630D"/>
    <w:rsid w:val="00E109A1"/>
    <w:rsid w:val="00E11AE2"/>
    <w:rsid w:val="00E226AE"/>
    <w:rsid w:val="00E226C3"/>
    <w:rsid w:val="00E25EC6"/>
    <w:rsid w:val="00E3724F"/>
    <w:rsid w:val="00E554E6"/>
    <w:rsid w:val="00E61452"/>
    <w:rsid w:val="00E61AD0"/>
    <w:rsid w:val="00E6353D"/>
    <w:rsid w:val="00E670B0"/>
    <w:rsid w:val="00E76909"/>
    <w:rsid w:val="00E80B5D"/>
    <w:rsid w:val="00E86746"/>
    <w:rsid w:val="00E90E0B"/>
    <w:rsid w:val="00E97A99"/>
    <w:rsid w:val="00EB0A59"/>
    <w:rsid w:val="00EB203B"/>
    <w:rsid w:val="00EC31C3"/>
    <w:rsid w:val="00EC6F9C"/>
    <w:rsid w:val="00ED1B50"/>
    <w:rsid w:val="00ED226F"/>
    <w:rsid w:val="00ED46B6"/>
    <w:rsid w:val="00ED505C"/>
    <w:rsid w:val="00ED56C0"/>
    <w:rsid w:val="00ED6FAE"/>
    <w:rsid w:val="00EE72E8"/>
    <w:rsid w:val="00EE790C"/>
    <w:rsid w:val="00EF5431"/>
    <w:rsid w:val="00EF7624"/>
    <w:rsid w:val="00F06053"/>
    <w:rsid w:val="00F12295"/>
    <w:rsid w:val="00F151BE"/>
    <w:rsid w:val="00F168E8"/>
    <w:rsid w:val="00F24DFA"/>
    <w:rsid w:val="00F267D3"/>
    <w:rsid w:val="00F26F6A"/>
    <w:rsid w:val="00F36E99"/>
    <w:rsid w:val="00F41E05"/>
    <w:rsid w:val="00F55CDD"/>
    <w:rsid w:val="00F5713A"/>
    <w:rsid w:val="00F60452"/>
    <w:rsid w:val="00F71090"/>
    <w:rsid w:val="00F72EAE"/>
    <w:rsid w:val="00F72FF3"/>
    <w:rsid w:val="00F73B91"/>
    <w:rsid w:val="00F9336D"/>
    <w:rsid w:val="00F95538"/>
    <w:rsid w:val="00F95B88"/>
    <w:rsid w:val="00F95DDF"/>
    <w:rsid w:val="00F9601E"/>
    <w:rsid w:val="00FA6EC2"/>
    <w:rsid w:val="00FA7C62"/>
    <w:rsid w:val="00FB038A"/>
    <w:rsid w:val="00FB3C13"/>
    <w:rsid w:val="00FB46C7"/>
    <w:rsid w:val="00FC1144"/>
    <w:rsid w:val="00FD2EB4"/>
    <w:rsid w:val="00FE0A24"/>
    <w:rsid w:val="00FE23A2"/>
    <w:rsid w:val="00FE2A58"/>
    <w:rsid w:val="00FE4D6E"/>
    <w:rsid w:val="00FF1908"/>
    <w:rsid w:val="00FF1A17"/>
    <w:rsid w:val="00FF2F3A"/>
    <w:rsid w:val="00FF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footnote reference" w:uiPriority="0"/>
    <w:lsdException w:name="page number" w:uiPriority="0"/>
    <w:lsdException w:name="endnote reference" w:uiPriority="0"/>
    <w:lsdException w:name="endnote tex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Strong" w:semiHidden="0" w:uiPriority="0" w:unhideWhenUsed="0"/>
    <w:lsdException w:name="Emphasis" w:semiHidden="0" w:uiPriority="0" w:unhideWhenUsed="0"/>
    <w:lsdException w:name="HTML Top of Form" w:uiPriority="0"/>
    <w:lsdException w:name="HTML Bottom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BC4C51"/>
    <w:pPr>
      <w:spacing w:before="120" w:after="0" w:line="240" w:lineRule="auto"/>
      <w:jc w:val="both"/>
    </w:pPr>
  </w:style>
  <w:style w:type="paragraph" w:styleId="Nadpis1">
    <w:name w:val="heading 1"/>
    <w:basedOn w:val="Normln"/>
    <w:next w:val="Normln"/>
    <w:link w:val="Nadpis1Char"/>
    <w:qFormat/>
    <w:rsid w:val="005763F2"/>
    <w:pPr>
      <w:keepNext/>
      <w:keepLines/>
      <w:numPr>
        <w:numId w:val="1"/>
      </w:numPr>
      <w:spacing w:before="240" w:after="240"/>
      <w:ind w:left="431" w:hanging="431"/>
      <w:jc w:val="left"/>
      <w:outlineLvl w:val="0"/>
    </w:pPr>
    <w:rPr>
      <w:rFonts w:ascii="Calibri" w:eastAsiaTheme="majorEastAsia" w:hAnsi="Calibri" w:cstheme="majorBidi"/>
      <w:b/>
      <w:sz w:val="28"/>
      <w:szCs w:val="32"/>
    </w:rPr>
  </w:style>
  <w:style w:type="paragraph" w:styleId="Nadpis2">
    <w:name w:val="heading 2"/>
    <w:basedOn w:val="Normln"/>
    <w:next w:val="Normln"/>
    <w:link w:val="Nadpis2Char"/>
    <w:unhideWhenUsed/>
    <w:qFormat/>
    <w:rsid w:val="005763F2"/>
    <w:pPr>
      <w:keepNext/>
      <w:keepLines/>
      <w:numPr>
        <w:ilvl w:val="1"/>
        <w:numId w:val="1"/>
      </w:numPr>
      <w:spacing w:after="120"/>
      <w:ind w:left="578" w:hanging="578"/>
      <w:jc w:val="left"/>
      <w:outlineLvl w:val="1"/>
    </w:pPr>
    <w:rPr>
      <w:rFonts w:ascii="Calibri" w:eastAsiaTheme="majorEastAsia" w:hAnsi="Calibri" w:cstheme="majorBidi"/>
      <w:b/>
      <w:sz w:val="26"/>
      <w:szCs w:val="26"/>
    </w:rPr>
  </w:style>
  <w:style w:type="paragraph" w:styleId="Nadpis3">
    <w:name w:val="heading 3"/>
    <w:basedOn w:val="Normln"/>
    <w:next w:val="Normln"/>
    <w:link w:val="Nadpis3Char"/>
    <w:unhideWhenUsed/>
    <w:qFormat/>
    <w:rsid w:val="00BA09D8"/>
    <w:pPr>
      <w:keepNext/>
      <w:keepLines/>
      <w:numPr>
        <w:ilvl w:val="2"/>
        <w:numId w:val="1"/>
      </w:numPr>
      <w:spacing w:after="120"/>
      <w:jc w:val="left"/>
      <w:outlineLvl w:val="2"/>
    </w:pPr>
    <w:rPr>
      <w:rFonts w:ascii="Calibri" w:eastAsiaTheme="majorEastAsia" w:hAnsi="Calibri" w:cstheme="majorBidi"/>
      <w:b/>
      <w:sz w:val="24"/>
      <w:szCs w:val="24"/>
    </w:rPr>
  </w:style>
  <w:style w:type="paragraph" w:styleId="Nadpis4">
    <w:name w:val="heading 4"/>
    <w:aliases w:val="Hlavní nadpis"/>
    <w:basedOn w:val="Normln"/>
    <w:next w:val="Normln"/>
    <w:link w:val="Nadpis4Char"/>
    <w:unhideWhenUsed/>
    <w:qFormat/>
    <w:rsid w:val="005763F2"/>
    <w:pPr>
      <w:keepNext/>
      <w:keepLines/>
      <w:spacing w:before="360" w:after="360"/>
      <w:jc w:val="center"/>
      <w:outlineLvl w:val="3"/>
    </w:pPr>
    <w:rPr>
      <w:rFonts w:eastAsiaTheme="majorEastAsia" w:cstheme="majorBidi"/>
      <w:b/>
      <w:iCs/>
      <w:color w:val="2F5496" w:themeColor="accent5" w:themeShade="BF"/>
      <w:sz w:val="32"/>
    </w:rPr>
  </w:style>
  <w:style w:type="paragraph" w:styleId="Nadpis5">
    <w:name w:val="heading 5"/>
    <w:basedOn w:val="Normln"/>
    <w:next w:val="Normln"/>
    <w:link w:val="Nadpis5Char"/>
    <w:unhideWhenUsed/>
    <w:rsid w:val="009A09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rsid w:val="009A09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nhideWhenUsed/>
    <w:rsid w:val="009A09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nhideWhenUsed/>
    <w:rsid w:val="009A09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rsid w:val="009A09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763F2"/>
    <w:rPr>
      <w:rFonts w:ascii="Calibri" w:eastAsiaTheme="majorEastAsia" w:hAnsi="Calibri" w:cstheme="majorBidi"/>
      <w:b/>
      <w:sz w:val="28"/>
      <w:szCs w:val="32"/>
    </w:rPr>
  </w:style>
  <w:style w:type="character" w:customStyle="1" w:styleId="Nadpis2Char">
    <w:name w:val="Nadpis 2 Char"/>
    <w:basedOn w:val="Standardnpsmoodstavce"/>
    <w:link w:val="Nadpis2"/>
    <w:rsid w:val="005763F2"/>
    <w:rPr>
      <w:rFonts w:ascii="Calibri" w:eastAsiaTheme="majorEastAsia" w:hAnsi="Calibri" w:cstheme="majorBidi"/>
      <w:b/>
      <w:sz w:val="26"/>
      <w:szCs w:val="26"/>
    </w:rPr>
  </w:style>
  <w:style w:type="character" w:customStyle="1" w:styleId="Nadpis3Char">
    <w:name w:val="Nadpis 3 Char"/>
    <w:basedOn w:val="Standardnpsmoodstavce"/>
    <w:link w:val="Nadpis3"/>
    <w:rsid w:val="00BA09D8"/>
    <w:rPr>
      <w:rFonts w:ascii="Calibri" w:eastAsiaTheme="majorEastAsia" w:hAnsi="Calibri" w:cstheme="majorBidi"/>
      <w:b/>
      <w:sz w:val="24"/>
      <w:szCs w:val="24"/>
    </w:rPr>
  </w:style>
  <w:style w:type="character" w:customStyle="1" w:styleId="Nadpis4Char">
    <w:name w:val="Nadpis 4 Char"/>
    <w:aliases w:val="Hlavní nadpis Char"/>
    <w:basedOn w:val="Standardnpsmoodstavce"/>
    <w:link w:val="Nadpis4"/>
    <w:uiPriority w:val="99"/>
    <w:rsid w:val="005763F2"/>
    <w:rPr>
      <w:rFonts w:eastAsiaTheme="majorEastAsia" w:cstheme="majorBidi"/>
      <w:b/>
      <w:iCs/>
      <w:color w:val="2F5496" w:themeColor="accent5" w:themeShade="BF"/>
      <w:sz w:val="32"/>
    </w:rPr>
  </w:style>
  <w:style w:type="character" w:customStyle="1" w:styleId="Nadpis5Char">
    <w:name w:val="Nadpis 5 Char"/>
    <w:basedOn w:val="Standardnpsmoodstavce"/>
    <w:link w:val="Nadpis5"/>
    <w:rsid w:val="009A09AA"/>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rsid w:val="009A09AA"/>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rsid w:val="009A09AA"/>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rsid w:val="009A09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rsid w:val="009A09AA"/>
    <w:rPr>
      <w:rFonts w:asciiTheme="majorHAnsi" w:eastAsiaTheme="majorEastAsia" w:hAnsiTheme="majorHAnsi" w:cstheme="majorBidi"/>
      <w:i/>
      <w:iCs/>
      <w:color w:val="272727" w:themeColor="text1" w:themeTint="D8"/>
      <w:sz w:val="21"/>
      <w:szCs w:val="21"/>
    </w:rPr>
  </w:style>
  <w:style w:type="paragraph" w:styleId="Bezmezer">
    <w:name w:val="No Spacing"/>
    <w:aliases w:val="Nadpis římské č."/>
    <w:basedOn w:val="Nadpis1"/>
    <w:next w:val="Normln"/>
    <w:link w:val="BezmezerChar"/>
    <w:uiPriority w:val="1"/>
    <w:qFormat/>
    <w:rsid w:val="002265A6"/>
    <w:pPr>
      <w:numPr>
        <w:numId w:val="2"/>
      </w:numPr>
      <w:pBdr>
        <w:bottom w:val="single" w:sz="18" w:space="1" w:color="BDD6EE" w:themeColor="accent1" w:themeTint="66"/>
      </w:pBdr>
      <w:ind w:left="0" w:firstLine="284"/>
    </w:pPr>
    <w:rPr>
      <w:color w:val="2F5496" w:themeColor="accent5" w:themeShade="BF"/>
    </w:rPr>
  </w:style>
  <w:style w:type="character" w:customStyle="1" w:styleId="BezmezerChar">
    <w:name w:val="Bez mezer Char"/>
    <w:aliases w:val="Nadpis římské č. Char"/>
    <w:basedOn w:val="Standardnpsmoodstavce"/>
    <w:link w:val="Bezmezer"/>
    <w:uiPriority w:val="1"/>
    <w:rsid w:val="002265A6"/>
    <w:rPr>
      <w:rFonts w:ascii="Calibri" w:eastAsiaTheme="majorEastAsia" w:hAnsi="Calibri" w:cstheme="majorBidi"/>
      <w:b/>
      <w:color w:val="2F5496" w:themeColor="accent5" w:themeShade="BF"/>
      <w:sz w:val="28"/>
      <w:szCs w:val="32"/>
    </w:rPr>
  </w:style>
  <w:style w:type="paragraph" w:styleId="Titulek">
    <w:name w:val="caption"/>
    <w:basedOn w:val="Normln"/>
    <w:next w:val="Normln"/>
    <w:link w:val="TitulekChar"/>
    <w:unhideWhenUsed/>
    <w:rsid w:val="00056846"/>
    <w:pPr>
      <w:spacing w:before="0" w:after="200"/>
    </w:pPr>
    <w:rPr>
      <w:i/>
      <w:iCs/>
      <w:color w:val="44546A" w:themeColor="text2"/>
      <w:sz w:val="18"/>
      <w:szCs w:val="18"/>
    </w:rPr>
  </w:style>
  <w:style w:type="character" w:customStyle="1" w:styleId="TitulekChar">
    <w:name w:val="Titulek Char"/>
    <w:link w:val="Titulek"/>
    <w:uiPriority w:val="99"/>
    <w:rsid w:val="000C6C21"/>
    <w:rPr>
      <w:i/>
      <w:iCs/>
      <w:color w:val="44546A" w:themeColor="text2"/>
      <w:sz w:val="18"/>
      <w:szCs w:val="18"/>
    </w:rPr>
  </w:style>
  <w:style w:type="paragraph" w:styleId="Nzev">
    <w:name w:val="Title"/>
    <w:aliases w:val="Titulky"/>
    <w:basedOn w:val="Normln"/>
    <w:next w:val="Normln"/>
    <w:link w:val="NzevChar"/>
    <w:qFormat/>
    <w:rsid w:val="00443A42"/>
    <w:pPr>
      <w:keepNext/>
      <w:contextualSpacing/>
    </w:pPr>
    <w:rPr>
      <w:rFonts w:eastAsiaTheme="majorEastAsia" w:cstheme="majorBidi"/>
      <w:b/>
      <w:color w:val="2F5496" w:themeColor="accent5" w:themeShade="BF"/>
      <w:spacing w:val="-10"/>
      <w:kern w:val="28"/>
      <w:szCs w:val="56"/>
    </w:rPr>
  </w:style>
  <w:style w:type="character" w:customStyle="1" w:styleId="NzevChar">
    <w:name w:val="Název Char"/>
    <w:aliases w:val="Titulky Char"/>
    <w:basedOn w:val="Standardnpsmoodstavce"/>
    <w:link w:val="Nzev"/>
    <w:rsid w:val="00443A42"/>
    <w:rPr>
      <w:rFonts w:eastAsiaTheme="majorEastAsia" w:cstheme="majorBidi"/>
      <w:b/>
      <w:color w:val="2F5496" w:themeColor="accent5" w:themeShade="BF"/>
      <w:spacing w:val="-10"/>
      <w:kern w:val="28"/>
      <w:szCs w:val="56"/>
    </w:rPr>
  </w:style>
  <w:style w:type="paragraph" w:styleId="Podtitul">
    <w:name w:val="Subtitle"/>
    <w:aliases w:val="Pramen,Poznámka pod čarou"/>
    <w:basedOn w:val="Normln"/>
    <w:next w:val="Normln"/>
    <w:link w:val="PodtitulChar"/>
    <w:qFormat/>
    <w:rsid w:val="00833017"/>
    <w:pPr>
      <w:numPr>
        <w:ilvl w:val="1"/>
      </w:numPr>
      <w:spacing w:before="0" w:after="40"/>
    </w:pPr>
    <w:rPr>
      <w:rFonts w:eastAsiaTheme="minorEastAsia"/>
      <w:i/>
      <w:color w:val="000000" w:themeColor="text1"/>
      <w:sz w:val="16"/>
    </w:rPr>
  </w:style>
  <w:style w:type="character" w:customStyle="1" w:styleId="PodtitulChar">
    <w:name w:val="Podtitul Char"/>
    <w:aliases w:val="Pramen Char,Poznámka pod čarou Char"/>
    <w:basedOn w:val="Standardnpsmoodstavce"/>
    <w:link w:val="Podtitul"/>
    <w:rsid w:val="00833017"/>
    <w:rPr>
      <w:rFonts w:eastAsiaTheme="minorEastAsia"/>
      <w:i/>
      <w:color w:val="000000" w:themeColor="text1"/>
      <w:sz w:val="16"/>
    </w:rPr>
  </w:style>
  <w:style w:type="paragraph" w:customStyle="1" w:styleId="Tabgraf">
    <w:name w:val="Tab_graf"/>
    <w:basedOn w:val="Normln"/>
    <w:next w:val="Normln"/>
    <w:link w:val="TabgrafChar"/>
    <w:qFormat/>
    <w:rsid w:val="009D4D6B"/>
    <w:pPr>
      <w:spacing w:before="0"/>
    </w:pPr>
  </w:style>
  <w:style w:type="character" w:customStyle="1" w:styleId="TabgrafChar">
    <w:name w:val="Tab_graf Char"/>
    <w:basedOn w:val="Standardnpsmoodstavce"/>
    <w:link w:val="Tabgraf"/>
    <w:rsid w:val="009D4D6B"/>
  </w:style>
  <w:style w:type="paragraph" w:styleId="Textpoznpodarou">
    <w:name w:val="footnote text"/>
    <w:aliases w:val="Schriftart: 9 pt,Schriftart: 10 pt,Schriftart: 8 pt,pozn. pod čarou,Podrozdział,Footnote,Podrozdzia3"/>
    <w:basedOn w:val="Normln"/>
    <w:link w:val="TextpoznpodarouChar"/>
    <w:uiPriority w:val="99"/>
    <w:unhideWhenUsed/>
    <w:rsid w:val="009D4D6B"/>
    <w:pPr>
      <w:spacing w:before="0"/>
    </w:pPr>
    <w:rPr>
      <w:sz w:val="20"/>
      <w:szCs w:val="20"/>
    </w:rPr>
  </w:style>
  <w:style w:type="character" w:customStyle="1" w:styleId="TextpoznpodarouChar">
    <w:name w:val="Text pozn. pod čarou Char"/>
    <w:aliases w:val="Schriftart: 9 pt Char,Schriftart: 10 pt Char,Schriftart: 8 pt Char,pozn. pod čarou Char,Podrozdział Char,Footnote Char,Podrozdzia3 Char"/>
    <w:basedOn w:val="Standardnpsmoodstavce"/>
    <w:link w:val="Textpoznpodarou"/>
    <w:uiPriority w:val="99"/>
    <w:rsid w:val="009D4D6B"/>
    <w:rPr>
      <w:sz w:val="20"/>
      <w:szCs w:val="20"/>
    </w:rPr>
  </w:style>
  <w:style w:type="character" w:styleId="Znakapoznpodarou">
    <w:name w:val="footnote reference"/>
    <w:aliases w:val="PGI Fußnote Ziffer"/>
    <w:basedOn w:val="Standardnpsmoodstavce"/>
    <w:unhideWhenUsed/>
    <w:rsid w:val="009D4D6B"/>
    <w:rPr>
      <w:vertAlign w:val="superscript"/>
    </w:rPr>
  </w:style>
  <w:style w:type="paragraph" w:styleId="Zhlav">
    <w:name w:val="header"/>
    <w:basedOn w:val="Normln"/>
    <w:link w:val="ZhlavChar"/>
    <w:uiPriority w:val="99"/>
    <w:unhideWhenUsed/>
    <w:rsid w:val="00F9601E"/>
    <w:pPr>
      <w:tabs>
        <w:tab w:val="center" w:pos="4536"/>
        <w:tab w:val="right" w:pos="9072"/>
      </w:tabs>
      <w:spacing w:before="0"/>
    </w:pPr>
  </w:style>
  <w:style w:type="character" w:customStyle="1" w:styleId="ZhlavChar">
    <w:name w:val="Záhlaví Char"/>
    <w:basedOn w:val="Standardnpsmoodstavce"/>
    <w:link w:val="Zhlav"/>
    <w:uiPriority w:val="99"/>
    <w:rsid w:val="00F9601E"/>
  </w:style>
  <w:style w:type="paragraph" w:styleId="Zpat">
    <w:name w:val="footer"/>
    <w:basedOn w:val="Normln"/>
    <w:link w:val="ZpatChar"/>
    <w:uiPriority w:val="99"/>
    <w:unhideWhenUsed/>
    <w:rsid w:val="00F9601E"/>
    <w:pPr>
      <w:tabs>
        <w:tab w:val="center" w:pos="4536"/>
        <w:tab w:val="right" w:pos="9072"/>
      </w:tabs>
      <w:spacing w:before="0"/>
    </w:pPr>
  </w:style>
  <w:style w:type="character" w:customStyle="1" w:styleId="ZpatChar">
    <w:name w:val="Zápatí Char"/>
    <w:basedOn w:val="Standardnpsmoodstavce"/>
    <w:link w:val="Zpat"/>
    <w:uiPriority w:val="99"/>
    <w:rsid w:val="00F9601E"/>
  </w:style>
  <w:style w:type="paragraph" w:styleId="Nadpisobsahu">
    <w:name w:val="TOC Heading"/>
    <w:basedOn w:val="Nadpis1"/>
    <w:next w:val="Normln"/>
    <w:uiPriority w:val="39"/>
    <w:unhideWhenUsed/>
    <w:rsid w:val="00626D52"/>
    <w:pPr>
      <w:numPr>
        <w:numId w:val="0"/>
      </w:numPr>
      <w:spacing w:after="0" w:line="259" w:lineRule="auto"/>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F73B91"/>
    <w:pPr>
      <w:tabs>
        <w:tab w:val="left" w:pos="440"/>
        <w:tab w:val="right" w:leader="dot" w:pos="9628"/>
      </w:tabs>
      <w:spacing w:before="0"/>
      <w:ind w:left="426" w:hanging="426"/>
    </w:pPr>
    <w:rPr>
      <w:noProof/>
    </w:rPr>
  </w:style>
  <w:style w:type="paragraph" w:styleId="Obsah2">
    <w:name w:val="toc 2"/>
    <w:basedOn w:val="Normln"/>
    <w:next w:val="Normln"/>
    <w:autoRedefine/>
    <w:uiPriority w:val="39"/>
    <w:unhideWhenUsed/>
    <w:rsid w:val="00251787"/>
    <w:pPr>
      <w:tabs>
        <w:tab w:val="left" w:pos="709"/>
        <w:tab w:val="right" w:leader="dot" w:pos="9628"/>
      </w:tabs>
      <w:spacing w:before="0"/>
      <w:ind w:left="220"/>
    </w:pPr>
  </w:style>
  <w:style w:type="paragraph" w:styleId="Obsah3">
    <w:name w:val="toc 3"/>
    <w:basedOn w:val="Normln"/>
    <w:next w:val="Normln"/>
    <w:autoRedefine/>
    <w:uiPriority w:val="39"/>
    <w:unhideWhenUsed/>
    <w:rsid w:val="00251787"/>
    <w:pPr>
      <w:tabs>
        <w:tab w:val="left" w:pos="1134"/>
        <w:tab w:val="right" w:leader="dot" w:pos="9628"/>
      </w:tabs>
      <w:spacing w:before="0"/>
      <w:ind w:left="440"/>
    </w:pPr>
  </w:style>
  <w:style w:type="character" w:styleId="Hypertextovodkaz">
    <w:name w:val="Hyperlink"/>
    <w:basedOn w:val="Standardnpsmoodstavce"/>
    <w:uiPriority w:val="99"/>
    <w:unhideWhenUsed/>
    <w:rsid w:val="00626D52"/>
    <w:rPr>
      <w:color w:val="0563C1" w:themeColor="hyperlink"/>
      <w:u w:val="single"/>
    </w:rPr>
  </w:style>
  <w:style w:type="paragraph" w:styleId="Seznamobrzk">
    <w:name w:val="table of figures"/>
    <w:basedOn w:val="Normln"/>
    <w:next w:val="Normln"/>
    <w:uiPriority w:val="99"/>
    <w:unhideWhenUsed/>
    <w:rsid w:val="00BC4C51"/>
  </w:style>
  <w:style w:type="paragraph" w:styleId="Textbubliny">
    <w:name w:val="Balloon Text"/>
    <w:basedOn w:val="Normln"/>
    <w:link w:val="TextbublinyChar"/>
    <w:uiPriority w:val="99"/>
    <w:unhideWhenUsed/>
    <w:rsid w:val="002B2B38"/>
    <w:pPr>
      <w:spacing w:before="0"/>
    </w:pPr>
    <w:rPr>
      <w:rFonts w:ascii="Tahoma" w:hAnsi="Tahoma" w:cs="Tahoma"/>
      <w:sz w:val="16"/>
      <w:szCs w:val="16"/>
    </w:rPr>
  </w:style>
  <w:style w:type="character" w:customStyle="1" w:styleId="TextbublinyChar">
    <w:name w:val="Text bubliny Char"/>
    <w:basedOn w:val="Standardnpsmoodstavce"/>
    <w:link w:val="Textbubliny"/>
    <w:uiPriority w:val="99"/>
    <w:rsid w:val="002B2B38"/>
    <w:rPr>
      <w:rFonts w:ascii="Tahoma" w:hAnsi="Tahoma" w:cs="Tahoma"/>
      <w:sz w:val="16"/>
      <w:szCs w:val="16"/>
    </w:rPr>
  </w:style>
  <w:style w:type="paragraph" w:customStyle="1" w:styleId="tabgraf0">
    <w:name w:val="tab_graf"/>
    <w:link w:val="tabgrafChar0"/>
    <w:rsid w:val="000C6C21"/>
    <w:pPr>
      <w:spacing w:after="120" w:line="240" w:lineRule="auto"/>
    </w:pPr>
    <w:rPr>
      <w:rFonts w:ascii="Times New Roman" w:eastAsia="Times New Roman" w:hAnsi="Times New Roman" w:cs="Times New Roman"/>
      <w:sz w:val="20"/>
      <w:szCs w:val="20"/>
      <w:lang w:eastAsia="cs-CZ"/>
    </w:rPr>
  </w:style>
  <w:style w:type="character" w:customStyle="1" w:styleId="tabgrafChar0">
    <w:name w:val="tab_graf Char"/>
    <w:link w:val="tabgraf0"/>
    <w:rsid w:val="000C6C21"/>
    <w:rPr>
      <w:rFonts w:ascii="Times New Roman" w:eastAsia="Times New Roman" w:hAnsi="Times New Roman" w:cs="Times New Roman"/>
      <w:sz w:val="20"/>
      <w:szCs w:val="20"/>
      <w:lang w:eastAsia="cs-CZ"/>
    </w:rPr>
  </w:style>
  <w:style w:type="character" w:styleId="slostrnky">
    <w:name w:val="page number"/>
    <w:basedOn w:val="Standardnpsmoodstavce"/>
    <w:rsid w:val="00E109A1"/>
  </w:style>
  <w:style w:type="paragraph" w:styleId="Rejstk1">
    <w:name w:val="index 1"/>
    <w:basedOn w:val="Normln"/>
    <w:next w:val="Normln"/>
    <w:uiPriority w:val="99"/>
    <w:semiHidden/>
    <w:rsid w:val="00E109A1"/>
    <w:pPr>
      <w:tabs>
        <w:tab w:val="left" w:pos="7797"/>
        <w:tab w:val="left" w:pos="8080"/>
        <w:tab w:val="left" w:pos="8789"/>
      </w:tabs>
      <w:spacing w:line="360" w:lineRule="auto"/>
      <w:ind w:right="-1" w:firstLine="720"/>
    </w:pPr>
    <w:rPr>
      <w:rFonts w:ascii="Times New Roman" w:eastAsia="Times New Roman" w:hAnsi="Times New Roman" w:cs="Times New Roman"/>
      <w:sz w:val="24"/>
      <w:szCs w:val="20"/>
      <w:lang w:eastAsia="cs-CZ"/>
    </w:rPr>
  </w:style>
  <w:style w:type="paragraph" w:styleId="Obsah4">
    <w:name w:val="toc 4"/>
    <w:basedOn w:val="Normln"/>
    <w:next w:val="Normln"/>
    <w:autoRedefine/>
    <w:uiPriority w:val="39"/>
    <w:rsid w:val="00E109A1"/>
    <w:pPr>
      <w:spacing w:before="0"/>
      <w:ind w:left="720"/>
      <w:jc w:val="left"/>
    </w:pPr>
    <w:rPr>
      <w:rFonts w:ascii="Times New Roman" w:eastAsia="Times New Roman" w:hAnsi="Times New Roman" w:cs="Times New Roman"/>
      <w:sz w:val="18"/>
      <w:szCs w:val="18"/>
      <w:lang w:eastAsia="cs-CZ"/>
    </w:rPr>
  </w:style>
  <w:style w:type="paragraph" w:styleId="Rozloendokumentu">
    <w:name w:val="Document Map"/>
    <w:basedOn w:val="Normln"/>
    <w:link w:val="RozloendokumentuChar"/>
    <w:uiPriority w:val="99"/>
    <w:semiHidden/>
    <w:rsid w:val="00E109A1"/>
    <w:pPr>
      <w:shd w:val="clear" w:color="auto" w:fill="000080"/>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uiPriority w:val="99"/>
    <w:semiHidden/>
    <w:rsid w:val="00E109A1"/>
    <w:rPr>
      <w:rFonts w:ascii="Tahoma" w:eastAsia="Times New Roman" w:hAnsi="Tahoma" w:cs="Tahoma"/>
      <w:sz w:val="20"/>
      <w:szCs w:val="20"/>
      <w:shd w:val="clear" w:color="auto" w:fill="000080"/>
      <w:lang w:eastAsia="cs-CZ"/>
    </w:rPr>
  </w:style>
  <w:style w:type="character" w:styleId="Odkaznakoment">
    <w:name w:val="annotation reference"/>
    <w:uiPriority w:val="99"/>
    <w:rsid w:val="00E109A1"/>
    <w:rPr>
      <w:sz w:val="16"/>
      <w:szCs w:val="16"/>
    </w:rPr>
  </w:style>
  <w:style w:type="character" w:customStyle="1" w:styleId="StylZnakapoznpodarouTun">
    <w:name w:val="Styl Značka pozn. pod čarou + Tučné"/>
    <w:rsid w:val="00E109A1"/>
    <w:rPr>
      <w:bCs/>
      <w:position w:val="6"/>
      <w:sz w:val="16"/>
    </w:rPr>
  </w:style>
  <w:style w:type="paragraph" w:styleId="Textkomente">
    <w:name w:val="annotation text"/>
    <w:basedOn w:val="Normln"/>
    <w:link w:val="TextkomenteChar"/>
    <w:uiPriority w:val="99"/>
    <w:rsid w:val="00E109A1"/>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E10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E109A1"/>
    <w:rPr>
      <w:b/>
      <w:bCs/>
    </w:rPr>
  </w:style>
  <w:style w:type="character" w:customStyle="1" w:styleId="PedmtkomenteChar">
    <w:name w:val="Předmět komentáře Char"/>
    <w:basedOn w:val="TextkomenteChar"/>
    <w:link w:val="Pedmtkomente"/>
    <w:uiPriority w:val="99"/>
    <w:rsid w:val="00E109A1"/>
    <w:rPr>
      <w:rFonts w:ascii="Times New Roman" w:eastAsia="Times New Roman" w:hAnsi="Times New Roman" w:cs="Times New Roman"/>
      <w:b/>
      <w:bCs/>
      <w:sz w:val="20"/>
      <w:szCs w:val="20"/>
      <w:lang w:eastAsia="cs-CZ"/>
    </w:rPr>
  </w:style>
  <w:style w:type="paragraph" w:customStyle="1" w:styleId="Box">
    <w:name w:val="Box"/>
    <w:basedOn w:val="Normln"/>
    <w:next w:val="Normln"/>
    <w:uiPriority w:val="99"/>
    <w:rsid w:val="00E109A1"/>
    <w:pPr>
      <w:pBdr>
        <w:top w:val="single" w:sz="4" w:space="1" w:color="auto"/>
        <w:left w:val="single" w:sz="4" w:space="4" w:color="auto"/>
        <w:bottom w:val="single" w:sz="4" w:space="1" w:color="auto"/>
        <w:right w:val="single" w:sz="4" w:space="4" w:color="auto"/>
      </w:pBdr>
      <w:shd w:val="clear" w:color="auto" w:fill="E6E6E6"/>
    </w:pPr>
    <w:rPr>
      <w:rFonts w:ascii="Times New Roman" w:eastAsia="Times New Roman" w:hAnsi="Times New Roman" w:cs="Times New Roman"/>
      <w:sz w:val="20"/>
      <w:szCs w:val="24"/>
      <w:lang w:eastAsia="cs-CZ"/>
    </w:rPr>
  </w:style>
  <w:style w:type="paragraph" w:customStyle="1" w:styleId="Styl18bTunzarovnnnasted">
    <w:name w:val="Styl 18 b. Tučné zarovnání na střed"/>
    <w:basedOn w:val="Normln"/>
    <w:uiPriority w:val="99"/>
    <w:rsid w:val="00E109A1"/>
    <w:pPr>
      <w:jc w:val="center"/>
    </w:pPr>
    <w:rPr>
      <w:rFonts w:ascii="Times New Roman" w:eastAsia="Times New Roman" w:hAnsi="Times New Roman" w:cs="Times New Roman"/>
      <w:b/>
      <w:bCs/>
      <w:caps/>
      <w:sz w:val="40"/>
      <w:szCs w:val="40"/>
      <w:lang w:eastAsia="cs-CZ"/>
    </w:rPr>
  </w:style>
  <w:style w:type="paragraph" w:styleId="Obsah5">
    <w:name w:val="toc 5"/>
    <w:basedOn w:val="Normln"/>
    <w:next w:val="Normln"/>
    <w:autoRedefine/>
    <w:uiPriority w:val="39"/>
    <w:rsid w:val="00E109A1"/>
    <w:pPr>
      <w:spacing w:before="0"/>
      <w:ind w:left="960"/>
      <w:jc w:val="left"/>
    </w:pPr>
    <w:rPr>
      <w:rFonts w:ascii="Times New Roman" w:eastAsia="Times New Roman" w:hAnsi="Times New Roman" w:cs="Times New Roman"/>
      <w:sz w:val="18"/>
      <w:szCs w:val="18"/>
      <w:lang w:eastAsia="cs-CZ"/>
    </w:rPr>
  </w:style>
  <w:style w:type="paragraph" w:styleId="Obsah6">
    <w:name w:val="toc 6"/>
    <w:basedOn w:val="Normln"/>
    <w:next w:val="Normln"/>
    <w:autoRedefine/>
    <w:uiPriority w:val="39"/>
    <w:rsid w:val="00E109A1"/>
    <w:pPr>
      <w:spacing w:before="0"/>
      <w:ind w:left="1200"/>
      <w:jc w:val="left"/>
    </w:pPr>
    <w:rPr>
      <w:rFonts w:ascii="Times New Roman" w:eastAsia="Times New Roman" w:hAnsi="Times New Roman" w:cs="Times New Roman"/>
      <w:sz w:val="18"/>
      <w:szCs w:val="18"/>
      <w:lang w:eastAsia="cs-CZ"/>
    </w:rPr>
  </w:style>
  <w:style w:type="paragraph" w:styleId="Obsah7">
    <w:name w:val="toc 7"/>
    <w:basedOn w:val="Normln"/>
    <w:next w:val="Normln"/>
    <w:autoRedefine/>
    <w:uiPriority w:val="39"/>
    <w:rsid w:val="00E109A1"/>
    <w:pPr>
      <w:spacing w:before="0"/>
      <w:ind w:left="1440"/>
      <w:jc w:val="left"/>
    </w:pPr>
    <w:rPr>
      <w:rFonts w:ascii="Times New Roman" w:eastAsia="Times New Roman" w:hAnsi="Times New Roman" w:cs="Times New Roman"/>
      <w:sz w:val="18"/>
      <w:szCs w:val="18"/>
      <w:lang w:eastAsia="cs-CZ"/>
    </w:rPr>
  </w:style>
  <w:style w:type="paragraph" w:styleId="Obsah8">
    <w:name w:val="toc 8"/>
    <w:basedOn w:val="Normln"/>
    <w:next w:val="Normln"/>
    <w:autoRedefine/>
    <w:uiPriority w:val="39"/>
    <w:rsid w:val="00E109A1"/>
    <w:pPr>
      <w:spacing w:before="0"/>
      <w:ind w:left="1680"/>
      <w:jc w:val="left"/>
    </w:pPr>
    <w:rPr>
      <w:rFonts w:ascii="Times New Roman" w:eastAsia="Times New Roman" w:hAnsi="Times New Roman" w:cs="Times New Roman"/>
      <w:sz w:val="18"/>
      <w:szCs w:val="18"/>
      <w:lang w:eastAsia="cs-CZ"/>
    </w:rPr>
  </w:style>
  <w:style w:type="paragraph" w:styleId="Obsah9">
    <w:name w:val="toc 9"/>
    <w:basedOn w:val="Normln"/>
    <w:next w:val="Normln"/>
    <w:autoRedefine/>
    <w:uiPriority w:val="39"/>
    <w:rsid w:val="00E109A1"/>
    <w:pPr>
      <w:spacing w:before="0"/>
      <w:ind w:left="1920"/>
      <w:jc w:val="left"/>
    </w:pPr>
    <w:rPr>
      <w:rFonts w:ascii="Times New Roman" w:eastAsia="Times New Roman" w:hAnsi="Times New Roman" w:cs="Times New Roman"/>
      <w:sz w:val="18"/>
      <w:szCs w:val="18"/>
      <w:lang w:eastAsia="cs-CZ"/>
    </w:rPr>
  </w:style>
  <w:style w:type="paragraph" w:customStyle="1" w:styleId="hlnadpis4">
    <w:name w:val="hl nadpis4"/>
    <w:basedOn w:val="Normln"/>
    <w:rsid w:val="00E109A1"/>
    <w:pPr>
      <w:overflowPunct w:val="0"/>
      <w:autoSpaceDE w:val="0"/>
      <w:autoSpaceDN w:val="0"/>
      <w:adjustRightInd w:val="0"/>
      <w:spacing w:before="360" w:after="120" w:line="360" w:lineRule="auto"/>
      <w:ind w:left="567"/>
      <w:jc w:val="center"/>
      <w:textAlignment w:val="baseline"/>
    </w:pPr>
    <w:rPr>
      <w:rFonts w:ascii="Times New Roman" w:eastAsia="Times New Roman" w:hAnsi="Times New Roman" w:cs="Times New Roman"/>
      <w:caps/>
      <w:spacing w:val="20"/>
      <w:sz w:val="24"/>
      <w:szCs w:val="20"/>
      <w:lang w:eastAsia="cs-CZ"/>
    </w:rPr>
  </w:style>
  <w:style w:type="paragraph" w:customStyle="1" w:styleId="ObalSZU">
    <w:name w:val="Obal SZU"/>
    <w:basedOn w:val="Normln"/>
    <w:rsid w:val="00E109A1"/>
    <w:pPr>
      <w:jc w:val="center"/>
    </w:pPr>
    <w:rPr>
      <w:rFonts w:ascii="Times New Roman" w:eastAsia="Times New Roman" w:hAnsi="Times New Roman" w:cs="Times New Roman"/>
      <w:b/>
      <w:caps/>
      <w:sz w:val="40"/>
      <w:szCs w:val="24"/>
      <w:lang w:eastAsia="cs-CZ"/>
    </w:rPr>
  </w:style>
  <w:style w:type="paragraph" w:customStyle="1" w:styleId="ObalSZUmodre">
    <w:name w:val="Obal SZU modre"/>
    <w:basedOn w:val="ObalSZU"/>
    <w:rsid w:val="00E109A1"/>
    <w:rPr>
      <w:color w:val="000080"/>
    </w:rPr>
  </w:style>
  <w:style w:type="paragraph" w:customStyle="1" w:styleId="Standardnstyl">
    <w:name w:val="Standardní styl"/>
    <w:link w:val="StandardnstylChar"/>
    <w:autoRedefine/>
    <w:rsid w:val="00E109A1"/>
    <w:pPr>
      <w:spacing w:after="0" w:line="240" w:lineRule="auto"/>
      <w:ind w:firstLine="539"/>
      <w:jc w:val="both"/>
    </w:pPr>
    <w:rPr>
      <w:rFonts w:ascii="Times New Roman" w:eastAsia="Times New Roman" w:hAnsi="Times New Roman" w:cs="Times New Roman"/>
      <w:sz w:val="20"/>
      <w:szCs w:val="20"/>
      <w:lang w:eastAsia="cs-CZ"/>
    </w:rPr>
  </w:style>
  <w:style w:type="character" w:customStyle="1" w:styleId="StandardnstylChar">
    <w:name w:val="Standardní styl Char"/>
    <w:link w:val="Standardnstyl"/>
    <w:rsid w:val="00E109A1"/>
    <w:rPr>
      <w:rFonts w:ascii="Times New Roman" w:eastAsia="Times New Roman" w:hAnsi="Times New Roman" w:cs="Times New Roman"/>
      <w:sz w:val="20"/>
      <w:szCs w:val="20"/>
      <w:lang w:eastAsia="cs-CZ"/>
    </w:rPr>
  </w:style>
  <w:style w:type="paragraph" w:styleId="Zkladntext">
    <w:name w:val="Body Text"/>
    <w:aliases w:val="block style"/>
    <w:basedOn w:val="Normln"/>
    <w:link w:val="ZkladntextChar"/>
    <w:rsid w:val="00E109A1"/>
    <w:pPr>
      <w:tabs>
        <w:tab w:val="left" w:pos="7797"/>
        <w:tab w:val="left" w:pos="8080"/>
        <w:tab w:val="left" w:pos="8789"/>
      </w:tabs>
      <w:spacing w:after="120" w:line="240" w:lineRule="atLeast"/>
      <w:ind w:right="-1"/>
      <w:jc w:val="left"/>
    </w:pPr>
    <w:rPr>
      <w:rFonts w:ascii="Times New Roman" w:eastAsia="Times New Roman" w:hAnsi="Times New Roman" w:cs="Times New Roman"/>
      <w:sz w:val="24"/>
      <w:szCs w:val="20"/>
      <w:lang w:eastAsia="cs-CZ"/>
    </w:rPr>
  </w:style>
  <w:style w:type="character" w:customStyle="1" w:styleId="ZkladntextChar">
    <w:name w:val="Základní text Char"/>
    <w:aliases w:val="block style Char"/>
    <w:basedOn w:val="Standardnpsmoodstavce"/>
    <w:link w:val="Zkladntext"/>
    <w:rsid w:val="00E109A1"/>
    <w:rPr>
      <w:rFonts w:ascii="Times New Roman" w:eastAsia="Times New Roman" w:hAnsi="Times New Roman" w:cs="Times New Roman"/>
      <w:sz w:val="24"/>
      <w:szCs w:val="20"/>
      <w:lang w:eastAsia="cs-CZ"/>
    </w:rPr>
  </w:style>
  <w:style w:type="paragraph" w:customStyle="1" w:styleId="Zkladntext21">
    <w:name w:val="Základní text 21"/>
    <w:basedOn w:val="Normln"/>
    <w:link w:val="BodyText2Char"/>
    <w:rsid w:val="00E109A1"/>
    <w:pPr>
      <w:overflowPunct w:val="0"/>
      <w:autoSpaceDE w:val="0"/>
      <w:autoSpaceDN w:val="0"/>
      <w:adjustRightInd w:val="0"/>
      <w:spacing w:before="0"/>
      <w:textAlignment w:val="baseline"/>
    </w:pPr>
    <w:rPr>
      <w:rFonts w:ascii="Times New Roman" w:eastAsia="Times New Roman" w:hAnsi="Times New Roman" w:cs="Times New Roman"/>
      <w:sz w:val="24"/>
      <w:szCs w:val="20"/>
      <w:lang w:eastAsia="cs-CZ"/>
    </w:rPr>
  </w:style>
  <w:style w:type="character" w:customStyle="1" w:styleId="BodyText2Char">
    <w:name w:val="Body Text 2 Char"/>
    <w:link w:val="Zkladntext21"/>
    <w:rsid w:val="00E109A1"/>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E109A1"/>
    <w:pPr>
      <w:spacing w:line="360" w:lineRule="atLeast"/>
      <w:ind w:firstLine="567"/>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rsid w:val="00E109A1"/>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E109A1"/>
    <w:rPr>
      <w:rFonts w:ascii="Times New Roman" w:eastAsia="Times New Roman" w:hAnsi="Times New Roman" w:cs="Times New Roman"/>
      <w:sz w:val="24"/>
      <w:szCs w:val="24"/>
      <w:lang w:eastAsia="cs-CZ"/>
    </w:rPr>
  </w:style>
  <w:style w:type="paragraph" w:customStyle="1" w:styleId="Nadpis5tun">
    <w:name w:val="Nadpis 5 (tučně"/>
    <w:aliases w:val="bez číslování)"/>
    <w:basedOn w:val="Nadpis4"/>
    <w:link w:val="Nadpis5tunChar"/>
    <w:uiPriority w:val="99"/>
    <w:rsid w:val="00E109A1"/>
    <w:pPr>
      <w:spacing w:before="120" w:after="120"/>
      <w:jc w:val="both"/>
    </w:pPr>
    <w:rPr>
      <w:rFonts w:ascii="Times New Roman" w:eastAsia="Times New Roman" w:hAnsi="Times New Roman" w:cs="Times New Roman"/>
      <w:iCs w:val="0"/>
      <w:sz w:val="24"/>
      <w:szCs w:val="20"/>
      <w:lang w:eastAsia="cs-CZ"/>
    </w:rPr>
  </w:style>
  <w:style w:type="character" w:customStyle="1" w:styleId="Nadpis5tunChar">
    <w:name w:val="Nadpis 5 (tučně Char"/>
    <w:aliases w:val="bez číslování) Char"/>
    <w:basedOn w:val="Nadpis4Char"/>
    <w:link w:val="Nadpis5tun"/>
    <w:uiPriority w:val="99"/>
    <w:rsid w:val="00E109A1"/>
    <w:rPr>
      <w:rFonts w:ascii="Times New Roman" w:eastAsia="Times New Roman" w:hAnsi="Times New Roman" w:cs="Times New Roman"/>
      <w:b/>
      <w:iCs w:val="0"/>
      <w:color w:val="2F5496" w:themeColor="accent5" w:themeShade="BF"/>
      <w:sz w:val="24"/>
      <w:szCs w:val="20"/>
      <w:lang w:eastAsia="cs-CZ"/>
    </w:rPr>
  </w:style>
  <w:style w:type="paragraph" w:styleId="Zkladntextodsazen2">
    <w:name w:val="Body Text Indent 2"/>
    <w:basedOn w:val="Normln"/>
    <w:link w:val="Zkladntextodsazen2Char"/>
    <w:rsid w:val="00E109A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E109A1"/>
    <w:rPr>
      <w:rFonts w:ascii="Times New Roman" w:eastAsia="Times New Roman" w:hAnsi="Times New Roman" w:cs="Times New Roman"/>
      <w:sz w:val="24"/>
      <w:szCs w:val="24"/>
      <w:lang w:eastAsia="cs-CZ"/>
    </w:rPr>
  </w:style>
  <w:style w:type="paragraph" w:styleId="Seznamsodrkami2">
    <w:name w:val="List Bullet 2"/>
    <w:basedOn w:val="Normln"/>
    <w:autoRedefine/>
    <w:rsid w:val="00E109A1"/>
    <w:pPr>
      <w:spacing w:line="360" w:lineRule="atLeast"/>
      <w:ind w:firstLine="567"/>
    </w:pPr>
    <w:rPr>
      <w:rFonts w:ascii="Times New Roman" w:eastAsia="Times New Roman" w:hAnsi="Times New Roman" w:cs="Times New Roman"/>
      <w:bCs/>
      <w:sz w:val="24"/>
      <w:szCs w:val="24"/>
      <w:lang w:eastAsia="cs-CZ"/>
    </w:rPr>
  </w:style>
  <w:style w:type="paragraph" w:customStyle="1" w:styleId="KOMtext">
    <w:name w:val="KOMtext"/>
    <w:basedOn w:val="Zkladntext"/>
    <w:link w:val="KOMtextChar"/>
    <w:rsid w:val="00E109A1"/>
    <w:pPr>
      <w:tabs>
        <w:tab w:val="clear" w:pos="7797"/>
        <w:tab w:val="clear" w:pos="8080"/>
        <w:tab w:val="clear" w:pos="8789"/>
      </w:tabs>
      <w:spacing w:before="0" w:line="240" w:lineRule="auto"/>
      <w:ind w:right="0" w:firstLine="567"/>
      <w:jc w:val="both"/>
    </w:pPr>
  </w:style>
  <w:style w:type="character" w:customStyle="1" w:styleId="KOMtextChar">
    <w:name w:val="KOMtext Char"/>
    <w:link w:val="KOMtext"/>
    <w:rsid w:val="00E109A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E109A1"/>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E109A1"/>
    <w:rPr>
      <w:rFonts w:ascii="Times New Roman" w:eastAsia="Times New Roman" w:hAnsi="Times New Roman" w:cs="Times New Roman"/>
      <w:sz w:val="24"/>
      <w:szCs w:val="24"/>
      <w:lang w:eastAsia="cs-CZ"/>
    </w:rPr>
  </w:style>
  <w:style w:type="paragraph" w:styleId="Normlnweb">
    <w:name w:val="Normal (Web)"/>
    <w:basedOn w:val="Normln"/>
    <w:uiPriority w:val="99"/>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rsid w:val="00E109A1"/>
    <w:rPr>
      <w:b/>
      <w:bCs/>
    </w:rPr>
  </w:style>
  <w:style w:type="paragraph" w:styleId="Zkladntextodsazen3">
    <w:name w:val="Body Text Indent 3"/>
    <w:basedOn w:val="Normln"/>
    <w:link w:val="Zkladntextodsazen3Char"/>
    <w:rsid w:val="00E109A1"/>
    <w:pPr>
      <w:spacing w:before="0" w:after="120"/>
      <w:ind w:left="283"/>
      <w:jc w:val="left"/>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E109A1"/>
    <w:rPr>
      <w:rFonts w:ascii="Times New Roman" w:eastAsia="Times New Roman" w:hAnsi="Times New Roman" w:cs="Times New Roman"/>
      <w:sz w:val="16"/>
      <w:szCs w:val="16"/>
      <w:lang w:eastAsia="cs-CZ"/>
    </w:rPr>
  </w:style>
  <w:style w:type="paragraph" w:customStyle="1" w:styleId="xl26">
    <w:name w:val="xl26"/>
    <w:basedOn w:val="Normln"/>
    <w:rsid w:val="00E109A1"/>
    <w:pPr>
      <w:spacing w:before="100" w:beforeAutospacing="1" w:after="100" w:afterAutospacing="1"/>
      <w:jc w:val="right"/>
    </w:pPr>
    <w:rPr>
      <w:rFonts w:ascii="Times New Roman" w:eastAsia="Arial Unicode MS" w:hAnsi="Times New Roman" w:cs="Times New Roman"/>
      <w:sz w:val="16"/>
      <w:szCs w:val="16"/>
      <w:lang w:eastAsia="cs-CZ"/>
    </w:rPr>
  </w:style>
  <w:style w:type="paragraph" w:styleId="Zkladntext3">
    <w:name w:val="Body Text 3"/>
    <w:basedOn w:val="Normln"/>
    <w:link w:val="Zkladntext3Char"/>
    <w:uiPriority w:val="99"/>
    <w:rsid w:val="00E109A1"/>
    <w:pPr>
      <w:spacing w:before="0" w:after="120"/>
      <w:jc w:val="left"/>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sid w:val="00E109A1"/>
    <w:rPr>
      <w:rFonts w:ascii="Times New Roman" w:eastAsia="Times New Roman" w:hAnsi="Times New Roman" w:cs="Times New Roman"/>
      <w:sz w:val="16"/>
      <w:szCs w:val="16"/>
      <w:lang w:eastAsia="cs-CZ"/>
    </w:rPr>
  </w:style>
  <w:style w:type="paragraph" w:customStyle="1" w:styleId="Poznpodarou">
    <w:name w:val="Pozn.pod čarou"/>
    <w:basedOn w:val="Textpoznpodarou"/>
    <w:link w:val="PoznpodarouChar"/>
    <w:rsid w:val="00E109A1"/>
    <w:pPr>
      <w:tabs>
        <w:tab w:val="left" w:pos="7797"/>
        <w:tab w:val="left" w:pos="8080"/>
        <w:tab w:val="left" w:pos="8789"/>
      </w:tabs>
    </w:pPr>
    <w:rPr>
      <w:rFonts w:ascii="Times New Roman" w:eastAsia="Times New Roman" w:hAnsi="Times New Roman" w:cs="Times New Roman"/>
      <w:lang w:eastAsia="cs-CZ"/>
    </w:rPr>
  </w:style>
  <w:style w:type="character" w:customStyle="1" w:styleId="PoznpodarouChar">
    <w:name w:val="Pozn.pod čarou Char"/>
    <w:link w:val="Poznpodarou"/>
    <w:rsid w:val="00E109A1"/>
    <w:rPr>
      <w:rFonts w:ascii="Times New Roman" w:eastAsia="Times New Roman" w:hAnsi="Times New Roman" w:cs="Times New Roman"/>
      <w:sz w:val="20"/>
      <w:szCs w:val="20"/>
      <w:lang w:eastAsia="cs-CZ"/>
    </w:rPr>
  </w:style>
  <w:style w:type="character" w:customStyle="1" w:styleId="FootnoteTextChar">
    <w:name w:val="Footnote Text Char"/>
    <w:aliases w:val="Schriftart: 9 pt Char1,Schriftart: 10 pt Char1,Schriftart: 8 pt Char1,Podrozdzia3 Char Char"/>
    <w:uiPriority w:val="99"/>
    <w:locked/>
    <w:rsid w:val="00E109A1"/>
    <w:rPr>
      <w:lang w:val="cs-CZ" w:eastAsia="cs-CZ" w:bidi="ar-SA"/>
    </w:rPr>
  </w:style>
  <w:style w:type="character" w:customStyle="1" w:styleId="CharChar">
    <w:name w:val="Char Char"/>
    <w:basedOn w:val="Standardnpsmoodstavce"/>
    <w:semiHidden/>
    <w:locked/>
    <w:rsid w:val="00E109A1"/>
  </w:style>
  <w:style w:type="character" w:styleId="Sledovanodkaz">
    <w:name w:val="FollowedHyperlink"/>
    <w:uiPriority w:val="99"/>
    <w:rsid w:val="00E109A1"/>
    <w:rPr>
      <w:color w:val="800080"/>
      <w:u w:val="single"/>
    </w:rPr>
  </w:style>
  <w:style w:type="character" w:customStyle="1" w:styleId="TextpoznpodarouChar1">
    <w:name w:val="Text pozn. pod čarou Char1"/>
    <w:rsid w:val="00E109A1"/>
  </w:style>
  <w:style w:type="paragraph" w:customStyle="1" w:styleId="Popisky">
    <w:name w:val="Popisky"/>
    <w:rsid w:val="00E109A1"/>
    <w:pPr>
      <w:spacing w:after="0" w:line="240" w:lineRule="auto"/>
    </w:pPr>
    <w:rPr>
      <w:rFonts w:ascii="Arial" w:eastAsia="Times New Roman" w:hAnsi="Arial" w:cs="Times New Roman"/>
      <w:sz w:val="20"/>
      <w:szCs w:val="20"/>
      <w:lang w:eastAsia="cs-CZ"/>
    </w:rPr>
  </w:style>
  <w:style w:type="table" w:styleId="Mkatabulky">
    <w:name w:val="Table Grid"/>
    <w:basedOn w:val="Normlntabulka"/>
    <w:uiPriority w:val="59"/>
    <w:rsid w:val="00E109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Kurzva">
    <w:name w:val="Styl Kurzíva"/>
    <w:basedOn w:val="Normln"/>
    <w:next w:val="Normln"/>
    <w:rsid w:val="00E109A1"/>
    <w:rPr>
      <w:rFonts w:ascii="Times New Roman" w:eastAsia="Times New Roman" w:hAnsi="Times New Roman" w:cs="Times New Roman"/>
      <w:i/>
      <w:iCs/>
      <w:sz w:val="24"/>
      <w:szCs w:val="24"/>
      <w:lang w:eastAsia="cs-CZ"/>
    </w:rPr>
  </w:style>
  <w:style w:type="paragraph" w:customStyle="1" w:styleId="StylKurzvaPed6b">
    <w:name w:val="Styl Kurzíva Před:  6 b."/>
    <w:basedOn w:val="Normln"/>
    <w:rsid w:val="00E109A1"/>
    <w:rPr>
      <w:rFonts w:ascii="Times New Roman" w:eastAsia="Times New Roman" w:hAnsi="Times New Roman" w:cs="Times New Roman"/>
      <w:i/>
      <w:iCs/>
      <w:sz w:val="24"/>
      <w:szCs w:val="20"/>
      <w:lang w:eastAsia="cs-CZ"/>
    </w:rPr>
  </w:style>
  <w:style w:type="paragraph" w:customStyle="1" w:styleId="xl30">
    <w:name w:val="xl30"/>
    <w:basedOn w:val="Normln"/>
    <w:rsid w:val="00E109A1"/>
    <w:pPr>
      <w:pBdr>
        <w:left w:val="single" w:sz="4" w:space="0" w:color="auto"/>
        <w:bottom w:val="single" w:sz="4" w:space="0" w:color="auto"/>
        <w:right w:val="single" w:sz="4" w:space="0" w:color="auto"/>
      </w:pBdr>
      <w:spacing w:before="100" w:after="100"/>
      <w:jc w:val="left"/>
      <w:textAlignment w:val="center"/>
    </w:pPr>
    <w:rPr>
      <w:rFonts w:ascii="Times New Roman" w:eastAsia="Arial Unicode MS" w:hAnsi="Times New Roman" w:cs="Times New Roman"/>
      <w:sz w:val="24"/>
      <w:szCs w:val="20"/>
      <w:lang w:eastAsia="cs-CZ"/>
    </w:rPr>
  </w:style>
  <w:style w:type="paragraph" w:customStyle="1" w:styleId="title1">
    <w:name w:val="title1"/>
    <w:basedOn w:val="Normln"/>
    <w:rsid w:val="00E109A1"/>
    <w:pPr>
      <w:spacing w:before="100" w:beforeAutospacing="1" w:after="100" w:afterAutospacing="1"/>
      <w:jc w:val="left"/>
    </w:pPr>
    <w:rPr>
      <w:rFonts w:ascii="Verdana" w:eastAsia="Times New Roman" w:hAnsi="Verdana" w:cs="Times New Roman"/>
      <w:color w:val="000000"/>
      <w:sz w:val="12"/>
      <w:szCs w:val="12"/>
      <w:lang w:eastAsia="cs-CZ"/>
    </w:rPr>
  </w:style>
  <w:style w:type="paragraph" w:customStyle="1" w:styleId="one-row">
    <w:name w:val="one-row"/>
    <w:basedOn w:val="Normln"/>
    <w:rsid w:val="00E109A1"/>
    <w:pPr>
      <w:spacing w:before="50" w:after="60"/>
      <w:ind w:left="20"/>
      <w:jc w:val="left"/>
    </w:pPr>
    <w:rPr>
      <w:rFonts w:ascii="Times New Roman" w:eastAsia="Times New Roman" w:hAnsi="Times New Roman" w:cs="Times New Roman"/>
      <w:color w:val="444444"/>
      <w:sz w:val="24"/>
      <w:szCs w:val="24"/>
      <w:lang w:eastAsia="cs-CZ"/>
    </w:rPr>
  </w:style>
  <w:style w:type="character" w:styleId="Zvraznn">
    <w:name w:val="Emphasis"/>
    <w:rsid w:val="00E109A1"/>
    <w:rPr>
      <w:i/>
      <w:iCs/>
    </w:rPr>
  </w:style>
  <w:style w:type="paragraph" w:styleId="z-Zatekformule">
    <w:name w:val="HTML Top of Form"/>
    <w:basedOn w:val="Normln"/>
    <w:next w:val="Normln"/>
    <w:link w:val="z-ZatekformuleChar"/>
    <w:hidden/>
    <w:rsid w:val="00E109A1"/>
    <w:pPr>
      <w:pBdr>
        <w:bottom w:val="single" w:sz="6" w:space="1" w:color="auto"/>
      </w:pBdr>
      <w:spacing w:before="0"/>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E109A1"/>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rsid w:val="00E109A1"/>
    <w:pPr>
      <w:pBdr>
        <w:top w:val="single" w:sz="6" w:space="1" w:color="auto"/>
      </w:pBdr>
      <w:spacing w:before="0"/>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E109A1"/>
    <w:rPr>
      <w:rFonts w:ascii="Arial" w:eastAsia="Times New Roman" w:hAnsi="Arial" w:cs="Arial"/>
      <w:vanish/>
      <w:sz w:val="16"/>
      <w:szCs w:val="16"/>
      <w:lang w:eastAsia="cs-CZ"/>
    </w:rPr>
  </w:style>
  <w:style w:type="character" w:customStyle="1" w:styleId="13127">
    <w:name w:val="13127"/>
    <w:semiHidden/>
    <w:rsid w:val="00E109A1"/>
    <w:rPr>
      <w:rFonts w:ascii="Arial" w:hAnsi="Arial" w:cs="Arial"/>
      <w:color w:val="000080"/>
      <w:sz w:val="20"/>
      <w:szCs w:val="20"/>
    </w:rPr>
  </w:style>
  <w:style w:type="paragraph" w:customStyle="1" w:styleId="Zkladntext210">
    <w:name w:val="Základní text 21"/>
    <w:basedOn w:val="Normln"/>
    <w:uiPriority w:val="99"/>
    <w:rsid w:val="00E109A1"/>
    <w:pPr>
      <w:overflowPunct w:val="0"/>
      <w:autoSpaceDE w:val="0"/>
      <w:autoSpaceDN w:val="0"/>
      <w:adjustRightInd w:val="0"/>
      <w:spacing w:before="240" w:after="120"/>
      <w:ind w:firstLine="709"/>
      <w:textAlignment w:val="baseline"/>
    </w:pPr>
    <w:rPr>
      <w:rFonts w:ascii="Times New Roman" w:eastAsia="Times New Roman" w:hAnsi="Times New Roman" w:cs="Times New Roman"/>
      <w:sz w:val="24"/>
      <w:szCs w:val="20"/>
      <w:lang w:eastAsia="cs-CZ"/>
    </w:rPr>
  </w:style>
  <w:style w:type="character" w:customStyle="1" w:styleId="CharChar0">
    <w:name w:val="Char Char"/>
    <w:uiPriority w:val="99"/>
    <w:semiHidden/>
    <w:locked/>
    <w:rsid w:val="00E109A1"/>
  </w:style>
  <w:style w:type="paragraph" w:styleId="Revize">
    <w:name w:val="Revision"/>
    <w:hidden/>
    <w:uiPriority w:val="99"/>
    <w:semiHidden/>
    <w:rsid w:val="00E109A1"/>
    <w:pPr>
      <w:spacing w:after="0" w:line="240" w:lineRule="auto"/>
    </w:pPr>
    <w:rPr>
      <w:rFonts w:ascii="Times New Roman" w:eastAsia="Times New Roman" w:hAnsi="Times New Roman" w:cs="Times New Roman"/>
      <w:sz w:val="24"/>
      <w:szCs w:val="24"/>
      <w:lang w:eastAsia="cs-CZ"/>
    </w:rPr>
  </w:style>
  <w:style w:type="paragraph" w:styleId="Zkladntext-prvnodsazen">
    <w:name w:val="Body Text First Indent"/>
    <w:basedOn w:val="Zkladntext"/>
    <w:link w:val="Zkladntext-prvnodsazenChar"/>
    <w:rsid w:val="00E109A1"/>
    <w:pPr>
      <w:tabs>
        <w:tab w:val="clear" w:pos="7797"/>
        <w:tab w:val="clear" w:pos="8080"/>
        <w:tab w:val="clear" w:pos="8789"/>
      </w:tabs>
      <w:spacing w:line="240" w:lineRule="auto"/>
      <w:ind w:right="0" w:firstLine="210"/>
      <w:jc w:val="both"/>
    </w:pPr>
    <w:rPr>
      <w:szCs w:val="24"/>
    </w:rPr>
  </w:style>
  <w:style w:type="character" w:customStyle="1" w:styleId="Zkladntext-prvnodsazenChar">
    <w:name w:val="Základní text - první odsazený Char"/>
    <w:basedOn w:val="ZkladntextChar"/>
    <w:link w:val="Zkladntext-prvnodsazen"/>
    <w:rsid w:val="00E109A1"/>
    <w:rPr>
      <w:rFonts w:ascii="Times New Roman" w:eastAsia="Times New Roman" w:hAnsi="Times New Roman" w:cs="Times New Roman"/>
      <w:sz w:val="24"/>
      <w:szCs w:val="24"/>
      <w:lang w:eastAsia="cs-CZ"/>
    </w:rPr>
  </w:style>
  <w:style w:type="character" w:customStyle="1" w:styleId="HlavnodstavecChar">
    <w:name w:val="Hlavní odstavec Char"/>
    <w:link w:val="Hlavnodstavec"/>
    <w:locked/>
    <w:rsid w:val="00E109A1"/>
    <w:rPr>
      <w:rFonts w:ascii="Calibri" w:hAnsi="Calibri" w:cs="Arial"/>
    </w:rPr>
  </w:style>
  <w:style w:type="paragraph" w:customStyle="1" w:styleId="Hlavnodstavec">
    <w:name w:val="Hlavní odstavec"/>
    <w:basedOn w:val="Normln"/>
    <w:link w:val="HlavnodstavecChar"/>
    <w:rsid w:val="00E109A1"/>
    <w:pPr>
      <w:spacing w:after="120"/>
    </w:pPr>
    <w:rPr>
      <w:rFonts w:ascii="Calibri" w:hAnsi="Calibri" w:cs="Arial"/>
    </w:rPr>
  </w:style>
  <w:style w:type="paragraph" w:customStyle="1" w:styleId="Odstavecseseznamem1">
    <w:name w:val="Odstavec se seznamem1"/>
    <w:aliases w:val="Nadpis pro KZ,odrážky,Odstavec se seznamem11"/>
    <w:basedOn w:val="Normln"/>
    <w:link w:val="OdstavecseseznamemChar"/>
    <w:uiPriority w:val="34"/>
    <w:rsid w:val="00E109A1"/>
    <w:pPr>
      <w:spacing w:before="0" w:after="200" w:line="276" w:lineRule="auto"/>
      <w:ind w:left="720"/>
      <w:contextualSpacing/>
      <w:jc w:val="left"/>
    </w:pPr>
    <w:rPr>
      <w:rFonts w:ascii="Arial" w:eastAsia="Calibri" w:hAnsi="Arial" w:cs="Arial"/>
    </w:rPr>
  </w:style>
  <w:style w:type="character" w:customStyle="1" w:styleId="OdstavecseseznamemChar">
    <w:name w:val="Odstavec se seznamem Char"/>
    <w:aliases w:val="Nadpis pro KZ Char,odrážky Char"/>
    <w:link w:val="Odstavecseseznamem1"/>
    <w:uiPriority w:val="34"/>
    <w:locked/>
    <w:rsid w:val="00E109A1"/>
    <w:rPr>
      <w:rFonts w:ascii="Arial" w:eastAsia="Calibri" w:hAnsi="Arial" w:cs="Arial"/>
    </w:rPr>
  </w:style>
  <w:style w:type="paragraph" w:customStyle="1" w:styleId="Bezmezer1">
    <w:name w:val="Bez mezer1"/>
    <w:rsid w:val="00E109A1"/>
    <w:pPr>
      <w:spacing w:after="0" w:line="240" w:lineRule="auto"/>
    </w:pPr>
    <w:rPr>
      <w:rFonts w:ascii="Calibri" w:eastAsia="Times New Roman" w:hAnsi="Calibri" w:cs="Times New Roman"/>
    </w:rPr>
  </w:style>
  <w:style w:type="paragraph" w:customStyle="1" w:styleId="ZKDvousloupcov">
    <w:name w:val="ZK_Dvousloupcový"/>
    <w:basedOn w:val="Normln"/>
    <w:link w:val="ZKDvousloupcovChar"/>
    <w:rsid w:val="00E109A1"/>
    <w:pPr>
      <w:spacing w:before="0" w:after="120" w:line="264" w:lineRule="auto"/>
    </w:pPr>
    <w:rPr>
      <w:rFonts w:ascii="Calibri" w:eastAsia="Times New Roman" w:hAnsi="Calibri" w:cs="Times New Roman"/>
      <w:kern w:val="20"/>
      <w:sz w:val="20"/>
      <w:szCs w:val="24"/>
      <w:lang w:eastAsia="cs-CZ"/>
    </w:rPr>
  </w:style>
  <w:style w:type="character" w:customStyle="1" w:styleId="ZKDvousloupcovChar">
    <w:name w:val="ZK_Dvousloupcový Char"/>
    <w:link w:val="ZKDvousloupcov"/>
    <w:rsid w:val="00E109A1"/>
    <w:rPr>
      <w:rFonts w:ascii="Calibri" w:eastAsia="Times New Roman" w:hAnsi="Calibri" w:cs="Times New Roman"/>
      <w:kern w:val="20"/>
      <w:sz w:val="20"/>
      <w:szCs w:val="24"/>
      <w:lang w:eastAsia="cs-CZ"/>
    </w:rPr>
  </w:style>
  <w:style w:type="paragraph" w:customStyle="1" w:styleId="Styl3">
    <w:name w:val="Styl3"/>
    <w:basedOn w:val="Normln"/>
    <w:rsid w:val="00E109A1"/>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paragraph" w:customStyle="1" w:styleId="Default">
    <w:name w:val="Default"/>
    <w:rsid w:val="00E109A1"/>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rsid w:val="00E109A1"/>
    <w:pPr>
      <w:ind w:left="708"/>
    </w:pPr>
    <w:rPr>
      <w:rFonts w:ascii="Times New Roman" w:eastAsia="Times New Roman" w:hAnsi="Times New Roman" w:cs="Times New Roman"/>
      <w:sz w:val="24"/>
      <w:szCs w:val="24"/>
      <w:lang w:eastAsia="cs-CZ"/>
    </w:rPr>
  </w:style>
  <w:style w:type="character" w:customStyle="1" w:styleId="icon">
    <w:name w:val="icon"/>
    <w:rsid w:val="00E109A1"/>
  </w:style>
  <w:style w:type="paragraph" w:customStyle="1" w:styleId="publishdate">
    <w:name w:val="publishdate"/>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summary">
    <w:name w:val="summary"/>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ote">
    <w:name w:val="note"/>
    <w:rsid w:val="00E109A1"/>
  </w:style>
  <w:style w:type="paragraph" w:customStyle="1" w:styleId="Zkladntext31">
    <w:name w:val="Základní text 31"/>
    <w:basedOn w:val="Normln"/>
    <w:rsid w:val="00E109A1"/>
    <w:pPr>
      <w:overflowPunct w:val="0"/>
      <w:autoSpaceDE w:val="0"/>
      <w:autoSpaceDN w:val="0"/>
      <w:adjustRightInd w:val="0"/>
      <w:spacing w:before="0"/>
      <w:textAlignment w:val="baseline"/>
    </w:pPr>
    <w:rPr>
      <w:rFonts w:ascii="Times New Roman" w:eastAsia="Times New Roman" w:hAnsi="Times New Roman" w:cs="Times New Roman"/>
      <w:sz w:val="28"/>
      <w:szCs w:val="20"/>
      <w:lang w:eastAsia="cs-CZ"/>
    </w:rPr>
  </w:style>
  <w:style w:type="paragraph" w:customStyle="1" w:styleId="Nadpisparagrafu">
    <w:name w:val="Nadpis paragrafu"/>
    <w:basedOn w:val="Normln"/>
    <w:next w:val="Normln"/>
    <w:rsid w:val="00E109A1"/>
    <w:pPr>
      <w:keepNext/>
      <w:keepLines/>
      <w:overflowPunct w:val="0"/>
      <w:autoSpaceDE w:val="0"/>
      <w:autoSpaceDN w:val="0"/>
      <w:adjustRightInd w:val="0"/>
      <w:spacing w:before="240"/>
      <w:jc w:val="center"/>
      <w:textAlignment w:val="baseline"/>
    </w:pPr>
    <w:rPr>
      <w:rFonts w:ascii="Times New Roman" w:eastAsia="Times New Roman" w:hAnsi="Times New Roman" w:cs="Times New Roman"/>
      <w:b/>
      <w:sz w:val="24"/>
      <w:szCs w:val="20"/>
      <w:lang w:eastAsia="cs-CZ"/>
    </w:rPr>
  </w:style>
  <w:style w:type="paragraph" w:customStyle="1" w:styleId="xl27">
    <w:name w:val="xl27"/>
    <w:basedOn w:val="Normln"/>
    <w:rsid w:val="00E109A1"/>
    <w:pPr>
      <w:pBdr>
        <w:left w:val="single" w:sz="6" w:space="0" w:color="auto"/>
        <w:bottom w:val="single" w:sz="6" w:space="0" w:color="auto"/>
        <w:right w:val="single" w:sz="6" w:space="0" w:color="auto"/>
      </w:pBdr>
      <w:spacing w:before="100" w:after="100"/>
      <w:jc w:val="left"/>
    </w:pPr>
    <w:rPr>
      <w:rFonts w:ascii="Times New Roman" w:eastAsia="Times New Roman" w:hAnsi="Times New Roman" w:cs="Times New Roman"/>
      <w:sz w:val="24"/>
      <w:szCs w:val="20"/>
      <w:lang w:eastAsia="cs-CZ"/>
    </w:rPr>
  </w:style>
  <w:style w:type="paragraph" w:customStyle="1" w:styleId="Zkladntext22">
    <w:name w:val="Základní text 22"/>
    <w:basedOn w:val="Normln"/>
    <w:rsid w:val="00E109A1"/>
    <w:pPr>
      <w:overflowPunct w:val="0"/>
      <w:autoSpaceDE w:val="0"/>
      <w:autoSpaceDN w:val="0"/>
      <w:adjustRightInd w:val="0"/>
      <w:spacing w:before="0" w:line="360" w:lineRule="auto"/>
      <w:ind w:firstLine="709"/>
      <w:textAlignment w:val="baseline"/>
    </w:pPr>
    <w:rPr>
      <w:rFonts w:ascii="Times New Roman" w:eastAsia="Times New Roman" w:hAnsi="Times New Roman" w:cs="Times New Roman"/>
      <w:sz w:val="24"/>
      <w:szCs w:val="20"/>
      <w:lang w:eastAsia="cs-CZ"/>
    </w:rPr>
  </w:style>
  <w:style w:type="paragraph" w:customStyle="1" w:styleId="Pa13">
    <w:name w:val="Pa13"/>
    <w:basedOn w:val="Normln"/>
    <w:next w:val="Normln"/>
    <w:uiPriority w:val="99"/>
    <w:rsid w:val="00E109A1"/>
    <w:pPr>
      <w:autoSpaceDE w:val="0"/>
      <w:autoSpaceDN w:val="0"/>
      <w:adjustRightInd w:val="0"/>
      <w:spacing w:before="0" w:line="181" w:lineRule="atLeast"/>
      <w:jc w:val="left"/>
    </w:pPr>
    <w:rPr>
      <w:rFonts w:ascii="Verdana" w:eastAsia="Times New Roman" w:hAnsi="Verdana" w:cs="Times New Roman"/>
      <w:sz w:val="24"/>
      <w:szCs w:val="24"/>
      <w:lang w:eastAsia="cs-CZ"/>
    </w:rPr>
  </w:style>
  <w:style w:type="paragraph" w:styleId="Textvysvtlivek">
    <w:name w:val="endnote text"/>
    <w:basedOn w:val="Normln"/>
    <w:link w:val="TextvysvtlivekChar"/>
    <w:rsid w:val="00E109A1"/>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E109A1"/>
    <w:rPr>
      <w:rFonts w:ascii="Times New Roman" w:eastAsia="Times New Roman" w:hAnsi="Times New Roman" w:cs="Times New Roman"/>
      <w:sz w:val="20"/>
      <w:szCs w:val="20"/>
      <w:lang w:eastAsia="cs-CZ"/>
    </w:rPr>
  </w:style>
  <w:style w:type="character" w:styleId="Odkaznavysvtlivky">
    <w:name w:val="endnote reference"/>
    <w:rsid w:val="00E109A1"/>
    <w:rPr>
      <w:vertAlign w:val="superscript"/>
    </w:rPr>
  </w:style>
  <w:style w:type="paragraph" w:customStyle="1" w:styleId="odrka">
    <w:name w:val="odrážka"/>
    <w:basedOn w:val="Odstavecseseznamem"/>
    <w:qFormat/>
    <w:rsid w:val="00596385"/>
    <w:pPr>
      <w:numPr>
        <w:numId w:val="3"/>
      </w:numPr>
      <w:spacing w:before="60"/>
      <w:ind w:left="284" w:hanging="284"/>
    </w:pPr>
    <w:rPr>
      <w:rFonts w:ascii="Calibri" w:hAnsi="Calibri"/>
      <w:sz w:val="22"/>
    </w:rPr>
  </w:style>
  <w:style w:type="character" w:customStyle="1" w:styleId="apple-converted-space">
    <w:name w:val="apple-converted-space"/>
    <w:basedOn w:val="Standardnpsmoodstavce"/>
    <w:rsid w:val="00DD3EBC"/>
  </w:style>
  <w:style w:type="character" w:customStyle="1" w:styleId="urtxtemph">
    <w:name w:val="urtxtemph"/>
    <w:rsid w:val="00DD3EBC"/>
  </w:style>
  <w:style w:type="character" w:customStyle="1" w:styleId="urtxtstd">
    <w:name w:val="urtxtstd"/>
    <w:rsid w:val="00DD3EBC"/>
  </w:style>
  <w:style w:type="paragraph" w:styleId="Seznamsodrkami">
    <w:name w:val="List Bullet"/>
    <w:basedOn w:val="Normln"/>
    <w:uiPriority w:val="99"/>
    <w:unhideWhenUsed/>
    <w:rsid w:val="00E6353D"/>
    <w:pPr>
      <w:tabs>
        <w:tab w:val="num" w:pos="360"/>
      </w:tabs>
      <w:ind w:left="360" w:hanging="360"/>
      <w:contextualSpacing/>
    </w:pPr>
  </w:style>
  <w:style w:type="character" w:customStyle="1" w:styleId="UnresolvedMention1">
    <w:name w:val="Unresolved Mention1"/>
    <w:basedOn w:val="Standardnpsmoodstavce"/>
    <w:uiPriority w:val="99"/>
    <w:semiHidden/>
    <w:unhideWhenUsed/>
    <w:rsid w:val="0079794A"/>
    <w:rPr>
      <w:color w:val="605E5C"/>
      <w:shd w:val="clear" w:color="auto" w:fill="E1DFDD"/>
    </w:rPr>
  </w:style>
  <w:style w:type="character" w:customStyle="1" w:styleId="Nevyeenzmnka1">
    <w:name w:val="Nevyřešená zmínka1"/>
    <w:basedOn w:val="Standardnpsmoodstavce"/>
    <w:uiPriority w:val="99"/>
    <w:semiHidden/>
    <w:unhideWhenUsed/>
    <w:rsid w:val="008244C8"/>
    <w:rPr>
      <w:color w:val="605E5C"/>
      <w:shd w:val="clear" w:color="auto" w:fill="E1DFDD"/>
    </w:rPr>
  </w:style>
  <w:style w:type="paragraph" w:styleId="slovanseznam">
    <w:name w:val="List Number"/>
    <w:basedOn w:val="Normln"/>
    <w:rsid w:val="0050536B"/>
    <w:pPr>
      <w:tabs>
        <w:tab w:val="num" w:pos="360"/>
      </w:tabs>
      <w:ind w:left="360" w:hanging="360"/>
    </w:pPr>
    <w:rPr>
      <w:rFonts w:ascii="Times New Roman" w:eastAsia="Times New Roman" w:hAnsi="Times New Roman" w:cs="Times New Roman"/>
      <w:sz w:val="24"/>
      <w:szCs w:val="24"/>
      <w:lang w:eastAsia="cs-CZ"/>
    </w:rPr>
  </w:style>
  <w:style w:type="paragraph" w:customStyle="1" w:styleId="ObalSZ">
    <w:name w:val="Obal SZÚ"/>
    <w:rsid w:val="00FE2A58"/>
    <w:pPr>
      <w:spacing w:before="120" w:after="0" w:line="240" w:lineRule="auto"/>
      <w:jc w:val="center"/>
    </w:pPr>
    <w:rPr>
      <w:rFonts w:ascii="Times New Roman" w:eastAsia="Times New Roman" w:hAnsi="Times New Roman" w:cs="Times New Roman"/>
      <w:b/>
      <w:caps/>
      <w:sz w:val="40"/>
      <w:szCs w:val="24"/>
      <w:lang w:eastAsia="cs-CZ"/>
    </w:rPr>
  </w:style>
  <w:style w:type="paragraph" w:customStyle="1" w:styleId="ObalSZmode">
    <w:name w:val="Obal SZÚ modře"/>
    <w:basedOn w:val="ObalSZ"/>
    <w:rsid w:val="00FE2A58"/>
    <w:rPr>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footnote reference" w:uiPriority="0"/>
    <w:lsdException w:name="page number" w:uiPriority="0"/>
    <w:lsdException w:name="endnote reference" w:uiPriority="0"/>
    <w:lsdException w:name="endnote tex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2" w:uiPriority="0"/>
    <w:lsdException w:name="Body Text Indent 2" w:uiPriority="0"/>
    <w:lsdException w:name="Body Text Indent 3" w:uiPriority="0"/>
    <w:lsdException w:name="Strong" w:semiHidden="0" w:uiPriority="0" w:unhideWhenUsed="0"/>
    <w:lsdException w:name="Emphasis" w:semiHidden="0" w:uiPriority="0" w:unhideWhenUsed="0"/>
    <w:lsdException w:name="HTML Top of Form" w:uiPriority="0"/>
    <w:lsdException w:name="HTML Bottom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BC4C51"/>
    <w:pPr>
      <w:spacing w:before="120" w:after="0" w:line="240" w:lineRule="auto"/>
      <w:jc w:val="both"/>
    </w:pPr>
  </w:style>
  <w:style w:type="paragraph" w:styleId="Nadpis1">
    <w:name w:val="heading 1"/>
    <w:basedOn w:val="Normln"/>
    <w:next w:val="Normln"/>
    <w:link w:val="Nadpis1Char"/>
    <w:qFormat/>
    <w:rsid w:val="005763F2"/>
    <w:pPr>
      <w:keepNext/>
      <w:keepLines/>
      <w:numPr>
        <w:numId w:val="1"/>
      </w:numPr>
      <w:spacing w:before="240" w:after="240"/>
      <w:ind w:left="431" w:hanging="431"/>
      <w:jc w:val="left"/>
      <w:outlineLvl w:val="0"/>
    </w:pPr>
    <w:rPr>
      <w:rFonts w:ascii="Calibri" w:eastAsiaTheme="majorEastAsia" w:hAnsi="Calibri" w:cstheme="majorBidi"/>
      <w:b/>
      <w:sz w:val="28"/>
      <w:szCs w:val="32"/>
    </w:rPr>
  </w:style>
  <w:style w:type="paragraph" w:styleId="Nadpis2">
    <w:name w:val="heading 2"/>
    <w:basedOn w:val="Normln"/>
    <w:next w:val="Normln"/>
    <w:link w:val="Nadpis2Char"/>
    <w:unhideWhenUsed/>
    <w:qFormat/>
    <w:rsid w:val="005763F2"/>
    <w:pPr>
      <w:keepNext/>
      <w:keepLines/>
      <w:numPr>
        <w:ilvl w:val="1"/>
        <w:numId w:val="1"/>
      </w:numPr>
      <w:spacing w:after="120"/>
      <w:ind w:left="578" w:hanging="578"/>
      <w:jc w:val="left"/>
      <w:outlineLvl w:val="1"/>
    </w:pPr>
    <w:rPr>
      <w:rFonts w:ascii="Calibri" w:eastAsiaTheme="majorEastAsia" w:hAnsi="Calibri" w:cstheme="majorBidi"/>
      <w:b/>
      <w:sz w:val="26"/>
      <w:szCs w:val="26"/>
    </w:rPr>
  </w:style>
  <w:style w:type="paragraph" w:styleId="Nadpis3">
    <w:name w:val="heading 3"/>
    <w:basedOn w:val="Normln"/>
    <w:next w:val="Normln"/>
    <w:link w:val="Nadpis3Char"/>
    <w:unhideWhenUsed/>
    <w:qFormat/>
    <w:rsid w:val="00BA09D8"/>
    <w:pPr>
      <w:keepNext/>
      <w:keepLines/>
      <w:numPr>
        <w:ilvl w:val="2"/>
        <w:numId w:val="1"/>
      </w:numPr>
      <w:spacing w:after="120"/>
      <w:jc w:val="left"/>
      <w:outlineLvl w:val="2"/>
    </w:pPr>
    <w:rPr>
      <w:rFonts w:ascii="Calibri" w:eastAsiaTheme="majorEastAsia" w:hAnsi="Calibri" w:cstheme="majorBidi"/>
      <w:b/>
      <w:sz w:val="24"/>
      <w:szCs w:val="24"/>
    </w:rPr>
  </w:style>
  <w:style w:type="paragraph" w:styleId="Nadpis4">
    <w:name w:val="heading 4"/>
    <w:aliases w:val="Hlavní nadpis"/>
    <w:basedOn w:val="Normln"/>
    <w:next w:val="Normln"/>
    <w:link w:val="Nadpis4Char"/>
    <w:unhideWhenUsed/>
    <w:qFormat/>
    <w:rsid w:val="005763F2"/>
    <w:pPr>
      <w:keepNext/>
      <w:keepLines/>
      <w:spacing w:before="360" w:after="360"/>
      <w:jc w:val="center"/>
      <w:outlineLvl w:val="3"/>
    </w:pPr>
    <w:rPr>
      <w:rFonts w:eastAsiaTheme="majorEastAsia" w:cstheme="majorBidi"/>
      <w:b/>
      <w:iCs/>
      <w:color w:val="2F5496" w:themeColor="accent5" w:themeShade="BF"/>
      <w:sz w:val="32"/>
    </w:rPr>
  </w:style>
  <w:style w:type="paragraph" w:styleId="Nadpis5">
    <w:name w:val="heading 5"/>
    <w:basedOn w:val="Normln"/>
    <w:next w:val="Normln"/>
    <w:link w:val="Nadpis5Char"/>
    <w:unhideWhenUsed/>
    <w:rsid w:val="009A09A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rsid w:val="009A09A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nhideWhenUsed/>
    <w:rsid w:val="009A09A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nhideWhenUsed/>
    <w:rsid w:val="009A09A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rsid w:val="009A09A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763F2"/>
    <w:rPr>
      <w:rFonts w:ascii="Calibri" w:eastAsiaTheme="majorEastAsia" w:hAnsi="Calibri" w:cstheme="majorBidi"/>
      <w:b/>
      <w:sz w:val="28"/>
      <w:szCs w:val="32"/>
    </w:rPr>
  </w:style>
  <w:style w:type="character" w:customStyle="1" w:styleId="Nadpis2Char">
    <w:name w:val="Nadpis 2 Char"/>
    <w:basedOn w:val="Standardnpsmoodstavce"/>
    <w:link w:val="Nadpis2"/>
    <w:rsid w:val="005763F2"/>
    <w:rPr>
      <w:rFonts w:ascii="Calibri" w:eastAsiaTheme="majorEastAsia" w:hAnsi="Calibri" w:cstheme="majorBidi"/>
      <w:b/>
      <w:sz w:val="26"/>
      <w:szCs w:val="26"/>
    </w:rPr>
  </w:style>
  <w:style w:type="character" w:customStyle="1" w:styleId="Nadpis3Char">
    <w:name w:val="Nadpis 3 Char"/>
    <w:basedOn w:val="Standardnpsmoodstavce"/>
    <w:link w:val="Nadpis3"/>
    <w:rsid w:val="00BA09D8"/>
    <w:rPr>
      <w:rFonts w:ascii="Calibri" w:eastAsiaTheme="majorEastAsia" w:hAnsi="Calibri" w:cstheme="majorBidi"/>
      <w:b/>
      <w:sz w:val="24"/>
      <w:szCs w:val="24"/>
    </w:rPr>
  </w:style>
  <w:style w:type="character" w:customStyle="1" w:styleId="Nadpis4Char">
    <w:name w:val="Nadpis 4 Char"/>
    <w:aliases w:val="Hlavní nadpis Char"/>
    <w:basedOn w:val="Standardnpsmoodstavce"/>
    <w:link w:val="Nadpis4"/>
    <w:uiPriority w:val="99"/>
    <w:rsid w:val="005763F2"/>
    <w:rPr>
      <w:rFonts w:eastAsiaTheme="majorEastAsia" w:cstheme="majorBidi"/>
      <w:b/>
      <w:iCs/>
      <w:color w:val="2F5496" w:themeColor="accent5" w:themeShade="BF"/>
      <w:sz w:val="32"/>
    </w:rPr>
  </w:style>
  <w:style w:type="character" w:customStyle="1" w:styleId="Nadpis5Char">
    <w:name w:val="Nadpis 5 Char"/>
    <w:basedOn w:val="Standardnpsmoodstavce"/>
    <w:link w:val="Nadpis5"/>
    <w:rsid w:val="009A09AA"/>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rsid w:val="009A09AA"/>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rsid w:val="009A09AA"/>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rsid w:val="009A09A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rsid w:val="009A09AA"/>
    <w:rPr>
      <w:rFonts w:asciiTheme="majorHAnsi" w:eastAsiaTheme="majorEastAsia" w:hAnsiTheme="majorHAnsi" w:cstheme="majorBidi"/>
      <w:i/>
      <w:iCs/>
      <w:color w:val="272727" w:themeColor="text1" w:themeTint="D8"/>
      <w:sz w:val="21"/>
      <w:szCs w:val="21"/>
    </w:rPr>
  </w:style>
  <w:style w:type="paragraph" w:styleId="Bezmezer">
    <w:name w:val="No Spacing"/>
    <w:aliases w:val="Nadpis římské č."/>
    <w:basedOn w:val="Nadpis1"/>
    <w:next w:val="Normln"/>
    <w:link w:val="BezmezerChar"/>
    <w:uiPriority w:val="1"/>
    <w:qFormat/>
    <w:rsid w:val="002265A6"/>
    <w:pPr>
      <w:numPr>
        <w:numId w:val="2"/>
      </w:numPr>
      <w:pBdr>
        <w:bottom w:val="single" w:sz="18" w:space="1" w:color="BDD6EE" w:themeColor="accent1" w:themeTint="66"/>
      </w:pBdr>
      <w:ind w:left="0" w:firstLine="284"/>
    </w:pPr>
    <w:rPr>
      <w:color w:val="2F5496" w:themeColor="accent5" w:themeShade="BF"/>
    </w:rPr>
  </w:style>
  <w:style w:type="character" w:customStyle="1" w:styleId="BezmezerChar">
    <w:name w:val="Bez mezer Char"/>
    <w:aliases w:val="Nadpis římské č. Char"/>
    <w:basedOn w:val="Standardnpsmoodstavce"/>
    <w:link w:val="Bezmezer"/>
    <w:uiPriority w:val="1"/>
    <w:rsid w:val="002265A6"/>
    <w:rPr>
      <w:rFonts w:ascii="Calibri" w:eastAsiaTheme="majorEastAsia" w:hAnsi="Calibri" w:cstheme="majorBidi"/>
      <w:b/>
      <w:color w:val="2F5496" w:themeColor="accent5" w:themeShade="BF"/>
      <w:sz w:val="28"/>
      <w:szCs w:val="32"/>
    </w:rPr>
  </w:style>
  <w:style w:type="paragraph" w:styleId="Titulek">
    <w:name w:val="caption"/>
    <w:basedOn w:val="Normln"/>
    <w:next w:val="Normln"/>
    <w:link w:val="TitulekChar"/>
    <w:unhideWhenUsed/>
    <w:rsid w:val="00056846"/>
    <w:pPr>
      <w:spacing w:before="0" w:after="200"/>
    </w:pPr>
    <w:rPr>
      <w:i/>
      <w:iCs/>
      <w:color w:val="44546A" w:themeColor="text2"/>
      <w:sz w:val="18"/>
      <w:szCs w:val="18"/>
    </w:rPr>
  </w:style>
  <w:style w:type="character" w:customStyle="1" w:styleId="TitulekChar">
    <w:name w:val="Titulek Char"/>
    <w:link w:val="Titulek"/>
    <w:uiPriority w:val="99"/>
    <w:rsid w:val="000C6C21"/>
    <w:rPr>
      <w:i/>
      <w:iCs/>
      <w:color w:val="44546A" w:themeColor="text2"/>
      <w:sz w:val="18"/>
      <w:szCs w:val="18"/>
    </w:rPr>
  </w:style>
  <w:style w:type="paragraph" w:styleId="Nzev">
    <w:name w:val="Title"/>
    <w:aliases w:val="Titulky"/>
    <w:basedOn w:val="Normln"/>
    <w:next w:val="Normln"/>
    <w:link w:val="NzevChar"/>
    <w:qFormat/>
    <w:rsid w:val="00443A42"/>
    <w:pPr>
      <w:keepNext/>
      <w:contextualSpacing/>
    </w:pPr>
    <w:rPr>
      <w:rFonts w:eastAsiaTheme="majorEastAsia" w:cstheme="majorBidi"/>
      <w:b/>
      <w:color w:val="2F5496" w:themeColor="accent5" w:themeShade="BF"/>
      <w:spacing w:val="-10"/>
      <w:kern w:val="28"/>
      <w:szCs w:val="56"/>
    </w:rPr>
  </w:style>
  <w:style w:type="character" w:customStyle="1" w:styleId="NzevChar">
    <w:name w:val="Název Char"/>
    <w:aliases w:val="Titulky Char"/>
    <w:basedOn w:val="Standardnpsmoodstavce"/>
    <w:link w:val="Nzev"/>
    <w:rsid w:val="00443A42"/>
    <w:rPr>
      <w:rFonts w:eastAsiaTheme="majorEastAsia" w:cstheme="majorBidi"/>
      <w:b/>
      <w:color w:val="2F5496" w:themeColor="accent5" w:themeShade="BF"/>
      <w:spacing w:val="-10"/>
      <w:kern w:val="28"/>
      <w:szCs w:val="56"/>
    </w:rPr>
  </w:style>
  <w:style w:type="paragraph" w:styleId="Podtitul">
    <w:name w:val="Subtitle"/>
    <w:aliases w:val="Pramen,Poznámka pod čarou"/>
    <w:basedOn w:val="Normln"/>
    <w:next w:val="Normln"/>
    <w:link w:val="PodtitulChar"/>
    <w:qFormat/>
    <w:rsid w:val="00833017"/>
    <w:pPr>
      <w:numPr>
        <w:ilvl w:val="1"/>
      </w:numPr>
      <w:spacing w:before="0" w:after="40"/>
    </w:pPr>
    <w:rPr>
      <w:rFonts w:eastAsiaTheme="minorEastAsia"/>
      <w:i/>
      <w:color w:val="000000" w:themeColor="text1"/>
      <w:sz w:val="16"/>
    </w:rPr>
  </w:style>
  <w:style w:type="character" w:customStyle="1" w:styleId="PodtitulChar">
    <w:name w:val="Podtitul Char"/>
    <w:aliases w:val="Pramen Char,Poznámka pod čarou Char"/>
    <w:basedOn w:val="Standardnpsmoodstavce"/>
    <w:link w:val="Podtitul"/>
    <w:rsid w:val="00833017"/>
    <w:rPr>
      <w:rFonts w:eastAsiaTheme="minorEastAsia"/>
      <w:i/>
      <w:color w:val="000000" w:themeColor="text1"/>
      <w:sz w:val="16"/>
    </w:rPr>
  </w:style>
  <w:style w:type="paragraph" w:customStyle="1" w:styleId="Tabgraf">
    <w:name w:val="Tab_graf"/>
    <w:basedOn w:val="Normln"/>
    <w:next w:val="Normln"/>
    <w:link w:val="TabgrafChar"/>
    <w:qFormat/>
    <w:rsid w:val="009D4D6B"/>
    <w:pPr>
      <w:spacing w:before="0"/>
    </w:pPr>
  </w:style>
  <w:style w:type="character" w:customStyle="1" w:styleId="TabgrafChar">
    <w:name w:val="Tab_graf Char"/>
    <w:basedOn w:val="Standardnpsmoodstavce"/>
    <w:link w:val="Tabgraf"/>
    <w:rsid w:val="009D4D6B"/>
  </w:style>
  <w:style w:type="paragraph" w:styleId="Textpoznpodarou">
    <w:name w:val="footnote text"/>
    <w:aliases w:val="Schriftart: 9 pt,Schriftart: 10 pt,Schriftart: 8 pt,pozn. pod čarou,Podrozdział,Footnote,Podrozdzia3"/>
    <w:basedOn w:val="Normln"/>
    <w:link w:val="TextpoznpodarouChar"/>
    <w:uiPriority w:val="99"/>
    <w:unhideWhenUsed/>
    <w:rsid w:val="009D4D6B"/>
    <w:pPr>
      <w:spacing w:before="0"/>
    </w:pPr>
    <w:rPr>
      <w:sz w:val="20"/>
      <w:szCs w:val="20"/>
    </w:rPr>
  </w:style>
  <w:style w:type="character" w:customStyle="1" w:styleId="TextpoznpodarouChar">
    <w:name w:val="Text pozn. pod čarou Char"/>
    <w:aliases w:val="Schriftart: 9 pt Char,Schriftart: 10 pt Char,Schriftart: 8 pt Char,pozn. pod čarou Char,Podrozdział Char,Footnote Char,Podrozdzia3 Char"/>
    <w:basedOn w:val="Standardnpsmoodstavce"/>
    <w:link w:val="Textpoznpodarou"/>
    <w:uiPriority w:val="99"/>
    <w:rsid w:val="009D4D6B"/>
    <w:rPr>
      <w:sz w:val="20"/>
      <w:szCs w:val="20"/>
    </w:rPr>
  </w:style>
  <w:style w:type="character" w:styleId="Znakapoznpodarou">
    <w:name w:val="footnote reference"/>
    <w:aliases w:val="PGI Fußnote Ziffer"/>
    <w:basedOn w:val="Standardnpsmoodstavce"/>
    <w:unhideWhenUsed/>
    <w:rsid w:val="009D4D6B"/>
    <w:rPr>
      <w:vertAlign w:val="superscript"/>
    </w:rPr>
  </w:style>
  <w:style w:type="paragraph" w:styleId="Zhlav">
    <w:name w:val="header"/>
    <w:basedOn w:val="Normln"/>
    <w:link w:val="ZhlavChar"/>
    <w:uiPriority w:val="99"/>
    <w:unhideWhenUsed/>
    <w:rsid w:val="00F9601E"/>
    <w:pPr>
      <w:tabs>
        <w:tab w:val="center" w:pos="4536"/>
        <w:tab w:val="right" w:pos="9072"/>
      </w:tabs>
      <w:spacing w:before="0"/>
    </w:pPr>
  </w:style>
  <w:style w:type="character" w:customStyle="1" w:styleId="ZhlavChar">
    <w:name w:val="Záhlaví Char"/>
    <w:basedOn w:val="Standardnpsmoodstavce"/>
    <w:link w:val="Zhlav"/>
    <w:uiPriority w:val="99"/>
    <w:rsid w:val="00F9601E"/>
  </w:style>
  <w:style w:type="paragraph" w:styleId="Zpat">
    <w:name w:val="footer"/>
    <w:basedOn w:val="Normln"/>
    <w:link w:val="ZpatChar"/>
    <w:uiPriority w:val="99"/>
    <w:unhideWhenUsed/>
    <w:rsid w:val="00F9601E"/>
    <w:pPr>
      <w:tabs>
        <w:tab w:val="center" w:pos="4536"/>
        <w:tab w:val="right" w:pos="9072"/>
      </w:tabs>
      <w:spacing w:before="0"/>
    </w:pPr>
  </w:style>
  <w:style w:type="character" w:customStyle="1" w:styleId="ZpatChar">
    <w:name w:val="Zápatí Char"/>
    <w:basedOn w:val="Standardnpsmoodstavce"/>
    <w:link w:val="Zpat"/>
    <w:uiPriority w:val="99"/>
    <w:rsid w:val="00F9601E"/>
  </w:style>
  <w:style w:type="paragraph" w:styleId="Nadpisobsahu">
    <w:name w:val="TOC Heading"/>
    <w:basedOn w:val="Nadpis1"/>
    <w:next w:val="Normln"/>
    <w:uiPriority w:val="39"/>
    <w:unhideWhenUsed/>
    <w:rsid w:val="00626D52"/>
    <w:pPr>
      <w:numPr>
        <w:numId w:val="0"/>
      </w:numPr>
      <w:spacing w:after="0" w:line="259" w:lineRule="auto"/>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F73B91"/>
    <w:pPr>
      <w:tabs>
        <w:tab w:val="left" w:pos="440"/>
        <w:tab w:val="right" w:leader="dot" w:pos="9628"/>
      </w:tabs>
      <w:spacing w:before="0"/>
      <w:ind w:left="426" w:hanging="426"/>
    </w:pPr>
    <w:rPr>
      <w:noProof/>
    </w:rPr>
  </w:style>
  <w:style w:type="paragraph" w:styleId="Obsah2">
    <w:name w:val="toc 2"/>
    <w:basedOn w:val="Normln"/>
    <w:next w:val="Normln"/>
    <w:autoRedefine/>
    <w:uiPriority w:val="39"/>
    <w:unhideWhenUsed/>
    <w:rsid w:val="00251787"/>
    <w:pPr>
      <w:tabs>
        <w:tab w:val="left" w:pos="709"/>
        <w:tab w:val="right" w:leader="dot" w:pos="9628"/>
      </w:tabs>
      <w:spacing w:before="0"/>
      <w:ind w:left="220"/>
    </w:pPr>
  </w:style>
  <w:style w:type="paragraph" w:styleId="Obsah3">
    <w:name w:val="toc 3"/>
    <w:basedOn w:val="Normln"/>
    <w:next w:val="Normln"/>
    <w:autoRedefine/>
    <w:uiPriority w:val="39"/>
    <w:unhideWhenUsed/>
    <w:rsid w:val="00251787"/>
    <w:pPr>
      <w:tabs>
        <w:tab w:val="left" w:pos="1134"/>
        <w:tab w:val="right" w:leader="dot" w:pos="9628"/>
      </w:tabs>
      <w:spacing w:before="0"/>
      <w:ind w:left="440"/>
    </w:pPr>
  </w:style>
  <w:style w:type="character" w:styleId="Hypertextovodkaz">
    <w:name w:val="Hyperlink"/>
    <w:basedOn w:val="Standardnpsmoodstavce"/>
    <w:uiPriority w:val="99"/>
    <w:unhideWhenUsed/>
    <w:rsid w:val="00626D52"/>
    <w:rPr>
      <w:color w:val="0563C1" w:themeColor="hyperlink"/>
      <w:u w:val="single"/>
    </w:rPr>
  </w:style>
  <w:style w:type="paragraph" w:styleId="Seznamobrzk">
    <w:name w:val="table of figures"/>
    <w:basedOn w:val="Normln"/>
    <w:next w:val="Normln"/>
    <w:uiPriority w:val="99"/>
    <w:unhideWhenUsed/>
    <w:rsid w:val="00BC4C51"/>
  </w:style>
  <w:style w:type="paragraph" w:styleId="Textbubliny">
    <w:name w:val="Balloon Text"/>
    <w:basedOn w:val="Normln"/>
    <w:link w:val="TextbublinyChar"/>
    <w:uiPriority w:val="99"/>
    <w:unhideWhenUsed/>
    <w:rsid w:val="002B2B38"/>
    <w:pPr>
      <w:spacing w:before="0"/>
    </w:pPr>
    <w:rPr>
      <w:rFonts w:ascii="Tahoma" w:hAnsi="Tahoma" w:cs="Tahoma"/>
      <w:sz w:val="16"/>
      <w:szCs w:val="16"/>
    </w:rPr>
  </w:style>
  <w:style w:type="character" w:customStyle="1" w:styleId="TextbublinyChar">
    <w:name w:val="Text bubliny Char"/>
    <w:basedOn w:val="Standardnpsmoodstavce"/>
    <w:link w:val="Textbubliny"/>
    <w:uiPriority w:val="99"/>
    <w:rsid w:val="002B2B38"/>
    <w:rPr>
      <w:rFonts w:ascii="Tahoma" w:hAnsi="Tahoma" w:cs="Tahoma"/>
      <w:sz w:val="16"/>
      <w:szCs w:val="16"/>
    </w:rPr>
  </w:style>
  <w:style w:type="paragraph" w:customStyle="1" w:styleId="tabgraf0">
    <w:name w:val="tab_graf"/>
    <w:link w:val="tabgrafChar0"/>
    <w:rsid w:val="000C6C21"/>
    <w:pPr>
      <w:spacing w:after="120" w:line="240" w:lineRule="auto"/>
    </w:pPr>
    <w:rPr>
      <w:rFonts w:ascii="Times New Roman" w:eastAsia="Times New Roman" w:hAnsi="Times New Roman" w:cs="Times New Roman"/>
      <w:sz w:val="20"/>
      <w:szCs w:val="20"/>
      <w:lang w:eastAsia="cs-CZ"/>
    </w:rPr>
  </w:style>
  <w:style w:type="character" w:customStyle="1" w:styleId="tabgrafChar0">
    <w:name w:val="tab_graf Char"/>
    <w:link w:val="tabgraf0"/>
    <w:rsid w:val="000C6C21"/>
    <w:rPr>
      <w:rFonts w:ascii="Times New Roman" w:eastAsia="Times New Roman" w:hAnsi="Times New Roman" w:cs="Times New Roman"/>
      <w:sz w:val="20"/>
      <w:szCs w:val="20"/>
      <w:lang w:eastAsia="cs-CZ"/>
    </w:rPr>
  </w:style>
  <w:style w:type="character" w:styleId="slostrnky">
    <w:name w:val="page number"/>
    <w:basedOn w:val="Standardnpsmoodstavce"/>
    <w:rsid w:val="00E109A1"/>
  </w:style>
  <w:style w:type="paragraph" w:styleId="Rejstk1">
    <w:name w:val="index 1"/>
    <w:basedOn w:val="Normln"/>
    <w:next w:val="Normln"/>
    <w:uiPriority w:val="99"/>
    <w:semiHidden/>
    <w:rsid w:val="00E109A1"/>
    <w:pPr>
      <w:tabs>
        <w:tab w:val="left" w:pos="7797"/>
        <w:tab w:val="left" w:pos="8080"/>
        <w:tab w:val="left" w:pos="8789"/>
      </w:tabs>
      <w:spacing w:line="360" w:lineRule="auto"/>
      <w:ind w:right="-1" w:firstLine="720"/>
    </w:pPr>
    <w:rPr>
      <w:rFonts w:ascii="Times New Roman" w:eastAsia="Times New Roman" w:hAnsi="Times New Roman" w:cs="Times New Roman"/>
      <w:sz w:val="24"/>
      <w:szCs w:val="20"/>
      <w:lang w:eastAsia="cs-CZ"/>
    </w:rPr>
  </w:style>
  <w:style w:type="paragraph" w:styleId="Obsah4">
    <w:name w:val="toc 4"/>
    <w:basedOn w:val="Normln"/>
    <w:next w:val="Normln"/>
    <w:autoRedefine/>
    <w:uiPriority w:val="39"/>
    <w:rsid w:val="00E109A1"/>
    <w:pPr>
      <w:spacing w:before="0"/>
      <w:ind w:left="720"/>
      <w:jc w:val="left"/>
    </w:pPr>
    <w:rPr>
      <w:rFonts w:ascii="Times New Roman" w:eastAsia="Times New Roman" w:hAnsi="Times New Roman" w:cs="Times New Roman"/>
      <w:sz w:val="18"/>
      <w:szCs w:val="18"/>
      <w:lang w:eastAsia="cs-CZ"/>
    </w:rPr>
  </w:style>
  <w:style w:type="paragraph" w:styleId="Rozloendokumentu">
    <w:name w:val="Document Map"/>
    <w:basedOn w:val="Normln"/>
    <w:link w:val="RozloendokumentuChar"/>
    <w:uiPriority w:val="99"/>
    <w:semiHidden/>
    <w:rsid w:val="00E109A1"/>
    <w:pPr>
      <w:shd w:val="clear" w:color="auto" w:fill="000080"/>
    </w:pPr>
    <w:rPr>
      <w:rFonts w:ascii="Tahoma" w:eastAsia="Times New Roman" w:hAnsi="Tahoma" w:cs="Tahoma"/>
      <w:sz w:val="20"/>
      <w:szCs w:val="20"/>
      <w:lang w:eastAsia="cs-CZ"/>
    </w:rPr>
  </w:style>
  <w:style w:type="character" w:customStyle="1" w:styleId="RozloendokumentuChar">
    <w:name w:val="Rozložení dokumentu Char"/>
    <w:basedOn w:val="Standardnpsmoodstavce"/>
    <w:link w:val="Rozloendokumentu"/>
    <w:uiPriority w:val="99"/>
    <w:semiHidden/>
    <w:rsid w:val="00E109A1"/>
    <w:rPr>
      <w:rFonts w:ascii="Tahoma" w:eastAsia="Times New Roman" w:hAnsi="Tahoma" w:cs="Tahoma"/>
      <w:sz w:val="20"/>
      <w:szCs w:val="20"/>
      <w:shd w:val="clear" w:color="auto" w:fill="000080"/>
      <w:lang w:eastAsia="cs-CZ"/>
    </w:rPr>
  </w:style>
  <w:style w:type="character" w:styleId="Odkaznakoment">
    <w:name w:val="annotation reference"/>
    <w:uiPriority w:val="99"/>
    <w:rsid w:val="00E109A1"/>
    <w:rPr>
      <w:sz w:val="16"/>
      <w:szCs w:val="16"/>
    </w:rPr>
  </w:style>
  <w:style w:type="character" w:customStyle="1" w:styleId="StylZnakapoznpodarouTun">
    <w:name w:val="Styl Značka pozn. pod čarou + Tučné"/>
    <w:rsid w:val="00E109A1"/>
    <w:rPr>
      <w:bCs/>
      <w:position w:val="6"/>
      <w:sz w:val="16"/>
    </w:rPr>
  </w:style>
  <w:style w:type="paragraph" w:styleId="Textkomente">
    <w:name w:val="annotation text"/>
    <w:basedOn w:val="Normln"/>
    <w:link w:val="TextkomenteChar"/>
    <w:uiPriority w:val="99"/>
    <w:rsid w:val="00E109A1"/>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E10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E109A1"/>
    <w:rPr>
      <w:b/>
      <w:bCs/>
    </w:rPr>
  </w:style>
  <w:style w:type="character" w:customStyle="1" w:styleId="PedmtkomenteChar">
    <w:name w:val="Předmět komentáře Char"/>
    <w:basedOn w:val="TextkomenteChar"/>
    <w:link w:val="Pedmtkomente"/>
    <w:uiPriority w:val="99"/>
    <w:rsid w:val="00E109A1"/>
    <w:rPr>
      <w:rFonts w:ascii="Times New Roman" w:eastAsia="Times New Roman" w:hAnsi="Times New Roman" w:cs="Times New Roman"/>
      <w:b/>
      <w:bCs/>
      <w:sz w:val="20"/>
      <w:szCs w:val="20"/>
      <w:lang w:eastAsia="cs-CZ"/>
    </w:rPr>
  </w:style>
  <w:style w:type="paragraph" w:customStyle="1" w:styleId="Box">
    <w:name w:val="Box"/>
    <w:basedOn w:val="Normln"/>
    <w:next w:val="Normln"/>
    <w:uiPriority w:val="99"/>
    <w:rsid w:val="00E109A1"/>
    <w:pPr>
      <w:pBdr>
        <w:top w:val="single" w:sz="4" w:space="1" w:color="auto"/>
        <w:left w:val="single" w:sz="4" w:space="4" w:color="auto"/>
        <w:bottom w:val="single" w:sz="4" w:space="1" w:color="auto"/>
        <w:right w:val="single" w:sz="4" w:space="4" w:color="auto"/>
      </w:pBdr>
      <w:shd w:val="clear" w:color="auto" w:fill="E6E6E6"/>
    </w:pPr>
    <w:rPr>
      <w:rFonts w:ascii="Times New Roman" w:eastAsia="Times New Roman" w:hAnsi="Times New Roman" w:cs="Times New Roman"/>
      <w:sz w:val="20"/>
      <w:szCs w:val="24"/>
      <w:lang w:eastAsia="cs-CZ"/>
    </w:rPr>
  </w:style>
  <w:style w:type="paragraph" w:customStyle="1" w:styleId="Styl18bTunzarovnnnasted">
    <w:name w:val="Styl 18 b. Tučné zarovnání na střed"/>
    <w:basedOn w:val="Normln"/>
    <w:uiPriority w:val="99"/>
    <w:rsid w:val="00E109A1"/>
    <w:pPr>
      <w:jc w:val="center"/>
    </w:pPr>
    <w:rPr>
      <w:rFonts w:ascii="Times New Roman" w:eastAsia="Times New Roman" w:hAnsi="Times New Roman" w:cs="Times New Roman"/>
      <w:b/>
      <w:bCs/>
      <w:caps/>
      <w:sz w:val="40"/>
      <w:szCs w:val="40"/>
      <w:lang w:eastAsia="cs-CZ"/>
    </w:rPr>
  </w:style>
  <w:style w:type="paragraph" w:styleId="Obsah5">
    <w:name w:val="toc 5"/>
    <w:basedOn w:val="Normln"/>
    <w:next w:val="Normln"/>
    <w:autoRedefine/>
    <w:uiPriority w:val="39"/>
    <w:rsid w:val="00E109A1"/>
    <w:pPr>
      <w:spacing w:before="0"/>
      <w:ind w:left="960"/>
      <w:jc w:val="left"/>
    </w:pPr>
    <w:rPr>
      <w:rFonts w:ascii="Times New Roman" w:eastAsia="Times New Roman" w:hAnsi="Times New Roman" w:cs="Times New Roman"/>
      <w:sz w:val="18"/>
      <w:szCs w:val="18"/>
      <w:lang w:eastAsia="cs-CZ"/>
    </w:rPr>
  </w:style>
  <w:style w:type="paragraph" w:styleId="Obsah6">
    <w:name w:val="toc 6"/>
    <w:basedOn w:val="Normln"/>
    <w:next w:val="Normln"/>
    <w:autoRedefine/>
    <w:uiPriority w:val="39"/>
    <w:rsid w:val="00E109A1"/>
    <w:pPr>
      <w:spacing w:before="0"/>
      <w:ind w:left="1200"/>
      <w:jc w:val="left"/>
    </w:pPr>
    <w:rPr>
      <w:rFonts w:ascii="Times New Roman" w:eastAsia="Times New Roman" w:hAnsi="Times New Roman" w:cs="Times New Roman"/>
      <w:sz w:val="18"/>
      <w:szCs w:val="18"/>
      <w:lang w:eastAsia="cs-CZ"/>
    </w:rPr>
  </w:style>
  <w:style w:type="paragraph" w:styleId="Obsah7">
    <w:name w:val="toc 7"/>
    <w:basedOn w:val="Normln"/>
    <w:next w:val="Normln"/>
    <w:autoRedefine/>
    <w:uiPriority w:val="39"/>
    <w:rsid w:val="00E109A1"/>
    <w:pPr>
      <w:spacing w:before="0"/>
      <w:ind w:left="1440"/>
      <w:jc w:val="left"/>
    </w:pPr>
    <w:rPr>
      <w:rFonts w:ascii="Times New Roman" w:eastAsia="Times New Roman" w:hAnsi="Times New Roman" w:cs="Times New Roman"/>
      <w:sz w:val="18"/>
      <w:szCs w:val="18"/>
      <w:lang w:eastAsia="cs-CZ"/>
    </w:rPr>
  </w:style>
  <w:style w:type="paragraph" w:styleId="Obsah8">
    <w:name w:val="toc 8"/>
    <w:basedOn w:val="Normln"/>
    <w:next w:val="Normln"/>
    <w:autoRedefine/>
    <w:uiPriority w:val="39"/>
    <w:rsid w:val="00E109A1"/>
    <w:pPr>
      <w:spacing w:before="0"/>
      <w:ind w:left="1680"/>
      <w:jc w:val="left"/>
    </w:pPr>
    <w:rPr>
      <w:rFonts w:ascii="Times New Roman" w:eastAsia="Times New Roman" w:hAnsi="Times New Roman" w:cs="Times New Roman"/>
      <w:sz w:val="18"/>
      <w:szCs w:val="18"/>
      <w:lang w:eastAsia="cs-CZ"/>
    </w:rPr>
  </w:style>
  <w:style w:type="paragraph" w:styleId="Obsah9">
    <w:name w:val="toc 9"/>
    <w:basedOn w:val="Normln"/>
    <w:next w:val="Normln"/>
    <w:autoRedefine/>
    <w:uiPriority w:val="39"/>
    <w:rsid w:val="00E109A1"/>
    <w:pPr>
      <w:spacing w:before="0"/>
      <w:ind w:left="1920"/>
      <w:jc w:val="left"/>
    </w:pPr>
    <w:rPr>
      <w:rFonts w:ascii="Times New Roman" w:eastAsia="Times New Roman" w:hAnsi="Times New Roman" w:cs="Times New Roman"/>
      <w:sz w:val="18"/>
      <w:szCs w:val="18"/>
      <w:lang w:eastAsia="cs-CZ"/>
    </w:rPr>
  </w:style>
  <w:style w:type="paragraph" w:customStyle="1" w:styleId="hlnadpis4">
    <w:name w:val="hl nadpis4"/>
    <w:basedOn w:val="Normln"/>
    <w:rsid w:val="00E109A1"/>
    <w:pPr>
      <w:overflowPunct w:val="0"/>
      <w:autoSpaceDE w:val="0"/>
      <w:autoSpaceDN w:val="0"/>
      <w:adjustRightInd w:val="0"/>
      <w:spacing w:before="360" w:after="120" w:line="360" w:lineRule="auto"/>
      <w:ind w:left="567"/>
      <w:jc w:val="center"/>
      <w:textAlignment w:val="baseline"/>
    </w:pPr>
    <w:rPr>
      <w:rFonts w:ascii="Times New Roman" w:eastAsia="Times New Roman" w:hAnsi="Times New Roman" w:cs="Times New Roman"/>
      <w:caps/>
      <w:spacing w:val="20"/>
      <w:sz w:val="24"/>
      <w:szCs w:val="20"/>
      <w:lang w:eastAsia="cs-CZ"/>
    </w:rPr>
  </w:style>
  <w:style w:type="paragraph" w:customStyle="1" w:styleId="ObalSZU">
    <w:name w:val="Obal SZU"/>
    <w:basedOn w:val="Normln"/>
    <w:rsid w:val="00E109A1"/>
    <w:pPr>
      <w:jc w:val="center"/>
    </w:pPr>
    <w:rPr>
      <w:rFonts w:ascii="Times New Roman" w:eastAsia="Times New Roman" w:hAnsi="Times New Roman" w:cs="Times New Roman"/>
      <w:b/>
      <w:caps/>
      <w:sz w:val="40"/>
      <w:szCs w:val="24"/>
      <w:lang w:eastAsia="cs-CZ"/>
    </w:rPr>
  </w:style>
  <w:style w:type="paragraph" w:customStyle="1" w:styleId="ObalSZUmodre">
    <w:name w:val="Obal SZU modre"/>
    <w:basedOn w:val="ObalSZU"/>
    <w:rsid w:val="00E109A1"/>
    <w:rPr>
      <w:color w:val="000080"/>
    </w:rPr>
  </w:style>
  <w:style w:type="paragraph" w:customStyle="1" w:styleId="Standardnstyl">
    <w:name w:val="Standardní styl"/>
    <w:link w:val="StandardnstylChar"/>
    <w:autoRedefine/>
    <w:rsid w:val="00E109A1"/>
    <w:pPr>
      <w:spacing w:after="0" w:line="240" w:lineRule="auto"/>
      <w:ind w:firstLine="539"/>
      <w:jc w:val="both"/>
    </w:pPr>
    <w:rPr>
      <w:rFonts w:ascii="Times New Roman" w:eastAsia="Times New Roman" w:hAnsi="Times New Roman" w:cs="Times New Roman"/>
      <w:sz w:val="20"/>
      <w:szCs w:val="20"/>
      <w:lang w:eastAsia="cs-CZ"/>
    </w:rPr>
  </w:style>
  <w:style w:type="character" w:customStyle="1" w:styleId="StandardnstylChar">
    <w:name w:val="Standardní styl Char"/>
    <w:link w:val="Standardnstyl"/>
    <w:rsid w:val="00E109A1"/>
    <w:rPr>
      <w:rFonts w:ascii="Times New Roman" w:eastAsia="Times New Roman" w:hAnsi="Times New Roman" w:cs="Times New Roman"/>
      <w:sz w:val="20"/>
      <w:szCs w:val="20"/>
      <w:lang w:eastAsia="cs-CZ"/>
    </w:rPr>
  </w:style>
  <w:style w:type="paragraph" w:styleId="Zkladntext">
    <w:name w:val="Body Text"/>
    <w:aliases w:val="block style"/>
    <w:basedOn w:val="Normln"/>
    <w:link w:val="ZkladntextChar"/>
    <w:rsid w:val="00E109A1"/>
    <w:pPr>
      <w:tabs>
        <w:tab w:val="left" w:pos="7797"/>
        <w:tab w:val="left" w:pos="8080"/>
        <w:tab w:val="left" w:pos="8789"/>
      </w:tabs>
      <w:spacing w:after="120" w:line="240" w:lineRule="atLeast"/>
      <w:ind w:right="-1"/>
      <w:jc w:val="left"/>
    </w:pPr>
    <w:rPr>
      <w:rFonts w:ascii="Times New Roman" w:eastAsia="Times New Roman" w:hAnsi="Times New Roman" w:cs="Times New Roman"/>
      <w:sz w:val="24"/>
      <w:szCs w:val="20"/>
      <w:lang w:eastAsia="cs-CZ"/>
    </w:rPr>
  </w:style>
  <w:style w:type="character" w:customStyle="1" w:styleId="ZkladntextChar">
    <w:name w:val="Základní text Char"/>
    <w:aliases w:val="block style Char"/>
    <w:basedOn w:val="Standardnpsmoodstavce"/>
    <w:link w:val="Zkladntext"/>
    <w:rsid w:val="00E109A1"/>
    <w:rPr>
      <w:rFonts w:ascii="Times New Roman" w:eastAsia="Times New Roman" w:hAnsi="Times New Roman" w:cs="Times New Roman"/>
      <w:sz w:val="24"/>
      <w:szCs w:val="20"/>
      <w:lang w:eastAsia="cs-CZ"/>
    </w:rPr>
  </w:style>
  <w:style w:type="paragraph" w:customStyle="1" w:styleId="Zkladntext21">
    <w:name w:val="Základní text 21"/>
    <w:basedOn w:val="Normln"/>
    <w:link w:val="BodyText2Char"/>
    <w:rsid w:val="00E109A1"/>
    <w:pPr>
      <w:overflowPunct w:val="0"/>
      <w:autoSpaceDE w:val="0"/>
      <w:autoSpaceDN w:val="0"/>
      <w:adjustRightInd w:val="0"/>
      <w:spacing w:before="0"/>
      <w:textAlignment w:val="baseline"/>
    </w:pPr>
    <w:rPr>
      <w:rFonts w:ascii="Times New Roman" w:eastAsia="Times New Roman" w:hAnsi="Times New Roman" w:cs="Times New Roman"/>
      <w:sz w:val="24"/>
      <w:szCs w:val="20"/>
      <w:lang w:eastAsia="cs-CZ"/>
    </w:rPr>
  </w:style>
  <w:style w:type="character" w:customStyle="1" w:styleId="BodyText2Char">
    <w:name w:val="Body Text 2 Char"/>
    <w:link w:val="Zkladntext21"/>
    <w:rsid w:val="00E109A1"/>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E109A1"/>
    <w:pPr>
      <w:spacing w:line="360" w:lineRule="atLeast"/>
      <w:ind w:firstLine="567"/>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rsid w:val="00E109A1"/>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E109A1"/>
    <w:rPr>
      <w:rFonts w:ascii="Times New Roman" w:eastAsia="Times New Roman" w:hAnsi="Times New Roman" w:cs="Times New Roman"/>
      <w:sz w:val="24"/>
      <w:szCs w:val="24"/>
      <w:lang w:eastAsia="cs-CZ"/>
    </w:rPr>
  </w:style>
  <w:style w:type="paragraph" w:customStyle="1" w:styleId="Nadpis5tun">
    <w:name w:val="Nadpis 5 (tučně"/>
    <w:aliases w:val="bez číslování)"/>
    <w:basedOn w:val="Nadpis4"/>
    <w:link w:val="Nadpis5tunChar"/>
    <w:uiPriority w:val="99"/>
    <w:rsid w:val="00E109A1"/>
    <w:pPr>
      <w:spacing w:before="120" w:after="120"/>
      <w:jc w:val="both"/>
    </w:pPr>
    <w:rPr>
      <w:rFonts w:ascii="Times New Roman" w:eastAsia="Times New Roman" w:hAnsi="Times New Roman" w:cs="Times New Roman"/>
      <w:iCs w:val="0"/>
      <w:sz w:val="24"/>
      <w:szCs w:val="20"/>
      <w:lang w:eastAsia="cs-CZ"/>
    </w:rPr>
  </w:style>
  <w:style w:type="character" w:customStyle="1" w:styleId="Nadpis5tunChar">
    <w:name w:val="Nadpis 5 (tučně Char"/>
    <w:aliases w:val="bez číslování) Char"/>
    <w:basedOn w:val="Nadpis4Char"/>
    <w:link w:val="Nadpis5tun"/>
    <w:uiPriority w:val="99"/>
    <w:rsid w:val="00E109A1"/>
    <w:rPr>
      <w:rFonts w:ascii="Times New Roman" w:eastAsia="Times New Roman" w:hAnsi="Times New Roman" w:cs="Times New Roman"/>
      <w:b/>
      <w:iCs w:val="0"/>
      <w:color w:val="2F5496" w:themeColor="accent5" w:themeShade="BF"/>
      <w:sz w:val="24"/>
      <w:szCs w:val="20"/>
      <w:lang w:eastAsia="cs-CZ"/>
    </w:rPr>
  </w:style>
  <w:style w:type="paragraph" w:styleId="Zkladntextodsazen2">
    <w:name w:val="Body Text Indent 2"/>
    <w:basedOn w:val="Normln"/>
    <w:link w:val="Zkladntextodsazen2Char"/>
    <w:rsid w:val="00E109A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E109A1"/>
    <w:rPr>
      <w:rFonts w:ascii="Times New Roman" w:eastAsia="Times New Roman" w:hAnsi="Times New Roman" w:cs="Times New Roman"/>
      <w:sz w:val="24"/>
      <w:szCs w:val="24"/>
      <w:lang w:eastAsia="cs-CZ"/>
    </w:rPr>
  </w:style>
  <w:style w:type="paragraph" w:styleId="Seznamsodrkami2">
    <w:name w:val="List Bullet 2"/>
    <w:basedOn w:val="Normln"/>
    <w:autoRedefine/>
    <w:rsid w:val="00E109A1"/>
    <w:pPr>
      <w:spacing w:line="360" w:lineRule="atLeast"/>
      <w:ind w:firstLine="567"/>
    </w:pPr>
    <w:rPr>
      <w:rFonts w:ascii="Times New Roman" w:eastAsia="Times New Roman" w:hAnsi="Times New Roman" w:cs="Times New Roman"/>
      <w:bCs/>
      <w:sz w:val="24"/>
      <w:szCs w:val="24"/>
      <w:lang w:eastAsia="cs-CZ"/>
    </w:rPr>
  </w:style>
  <w:style w:type="paragraph" w:customStyle="1" w:styleId="KOMtext">
    <w:name w:val="KOMtext"/>
    <w:basedOn w:val="Zkladntext"/>
    <w:link w:val="KOMtextChar"/>
    <w:rsid w:val="00E109A1"/>
    <w:pPr>
      <w:tabs>
        <w:tab w:val="clear" w:pos="7797"/>
        <w:tab w:val="clear" w:pos="8080"/>
        <w:tab w:val="clear" w:pos="8789"/>
      </w:tabs>
      <w:spacing w:before="0" w:line="240" w:lineRule="auto"/>
      <w:ind w:right="0" w:firstLine="567"/>
      <w:jc w:val="both"/>
    </w:pPr>
  </w:style>
  <w:style w:type="character" w:customStyle="1" w:styleId="KOMtextChar">
    <w:name w:val="KOMtext Char"/>
    <w:link w:val="KOMtext"/>
    <w:rsid w:val="00E109A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E109A1"/>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E109A1"/>
    <w:rPr>
      <w:rFonts w:ascii="Times New Roman" w:eastAsia="Times New Roman" w:hAnsi="Times New Roman" w:cs="Times New Roman"/>
      <w:sz w:val="24"/>
      <w:szCs w:val="24"/>
      <w:lang w:eastAsia="cs-CZ"/>
    </w:rPr>
  </w:style>
  <w:style w:type="paragraph" w:styleId="Normlnweb">
    <w:name w:val="Normal (Web)"/>
    <w:basedOn w:val="Normln"/>
    <w:uiPriority w:val="99"/>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rsid w:val="00E109A1"/>
    <w:rPr>
      <w:b/>
      <w:bCs/>
    </w:rPr>
  </w:style>
  <w:style w:type="paragraph" w:styleId="Zkladntextodsazen3">
    <w:name w:val="Body Text Indent 3"/>
    <w:basedOn w:val="Normln"/>
    <w:link w:val="Zkladntextodsazen3Char"/>
    <w:rsid w:val="00E109A1"/>
    <w:pPr>
      <w:spacing w:before="0" w:after="120"/>
      <w:ind w:left="283"/>
      <w:jc w:val="left"/>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E109A1"/>
    <w:rPr>
      <w:rFonts w:ascii="Times New Roman" w:eastAsia="Times New Roman" w:hAnsi="Times New Roman" w:cs="Times New Roman"/>
      <w:sz w:val="16"/>
      <w:szCs w:val="16"/>
      <w:lang w:eastAsia="cs-CZ"/>
    </w:rPr>
  </w:style>
  <w:style w:type="paragraph" w:customStyle="1" w:styleId="xl26">
    <w:name w:val="xl26"/>
    <w:basedOn w:val="Normln"/>
    <w:rsid w:val="00E109A1"/>
    <w:pPr>
      <w:spacing w:before="100" w:beforeAutospacing="1" w:after="100" w:afterAutospacing="1"/>
      <w:jc w:val="right"/>
    </w:pPr>
    <w:rPr>
      <w:rFonts w:ascii="Times New Roman" w:eastAsia="Arial Unicode MS" w:hAnsi="Times New Roman" w:cs="Times New Roman"/>
      <w:sz w:val="16"/>
      <w:szCs w:val="16"/>
      <w:lang w:eastAsia="cs-CZ"/>
    </w:rPr>
  </w:style>
  <w:style w:type="paragraph" w:styleId="Zkladntext3">
    <w:name w:val="Body Text 3"/>
    <w:basedOn w:val="Normln"/>
    <w:link w:val="Zkladntext3Char"/>
    <w:uiPriority w:val="99"/>
    <w:rsid w:val="00E109A1"/>
    <w:pPr>
      <w:spacing w:before="0" w:after="120"/>
      <w:jc w:val="left"/>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sid w:val="00E109A1"/>
    <w:rPr>
      <w:rFonts w:ascii="Times New Roman" w:eastAsia="Times New Roman" w:hAnsi="Times New Roman" w:cs="Times New Roman"/>
      <w:sz w:val="16"/>
      <w:szCs w:val="16"/>
      <w:lang w:eastAsia="cs-CZ"/>
    </w:rPr>
  </w:style>
  <w:style w:type="paragraph" w:customStyle="1" w:styleId="Poznpodarou">
    <w:name w:val="Pozn.pod čarou"/>
    <w:basedOn w:val="Textpoznpodarou"/>
    <w:link w:val="PoznpodarouChar"/>
    <w:rsid w:val="00E109A1"/>
    <w:pPr>
      <w:tabs>
        <w:tab w:val="left" w:pos="7797"/>
        <w:tab w:val="left" w:pos="8080"/>
        <w:tab w:val="left" w:pos="8789"/>
      </w:tabs>
    </w:pPr>
    <w:rPr>
      <w:rFonts w:ascii="Times New Roman" w:eastAsia="Times New Roman" w:hAnsi="Times New Roman" w:cs="Times New Roman"/>
      <w:lang w:eastAsia="cs-CZ"/>
    </w:rPr>
  </w:style>
  <w:style w:type="character" w:customStyle="1" w:styleId="PoznpodarouChar">
    <w:name w:val="Pozn.pod čarou Char"/>
    <w:link w:val="Poznpodarou"/>
    <w:rsid w:val="00E109A1"/>
    <w:rPr>
      <w:rFonts w:ascii="Times New Roman" w:eastAsia="Times New Roman" w:hAnsi="Times New Roman" w:cs="Times New Roman"/>
      <w:sz w:val="20"/>
      <w:szCs w:val="20"/>
      <w:lang w:eastAsia="cs-CZ"/>
    </w:rPr>
  </w:style>
  <w:style w:type="character" w:customStyle="1" w:styleId="FootnoteTextChar">
    <w:name w:val="Footnote Text Char"/>
    <w:aliases w:val="Schriftart: 9 pt Char1,Schriftart: 10 pt Char1,Schriftart: 8 pt Char1,Podrozdzia3 Char Char"/>
    <w:uiPriority w:val="99"/>
    <w:locked/>
    <w:rsid w:val="00E109A1"/>
    <w:rPr>
      <w:lang w:val="cs-CZ" w:eastAsia="cs-CZ" w:bidi="ar-SA"/>
    </w:rPr>
  </w:style>
  <w:style w:type="character" w:customStyle="1" w:styleId="CharChar">
    <w:name w:val="Char Char"/>
    <w:basedOn w:val="Standardnpsmoodstavce"/>
    <w:semiHidden/>
    <w:locked/>
    <w:rsid w:val="00E109A1"/>
  </w:style>
  <w:style w:type="character" w:styleId="Sledovanodkaz">
    <w:name w:val="FollowedHyperlink"/>
    <w:uiPriority w:val="99"/>
    <w:rsid w:val="00E109A1"/>
    <w:rPr>
      <w:color w:val="800080"/>
      <w:u w:val="single"/>
    </w:rPr>
  </w:style>
  <w:style w:type="character" w:customStyle="1" w:styleId="TextpoznpodarouChar1">
    <w:name w:val="Text pozn. pod čarou Char1"/>
    <w:rsid w:val="00E109A1"/>
  </w:style>
  <w:style w:type="paragraph" w:customStyle="1" w:styleId="Popisky">
    <w:name w:val="Popisky"/>
    <w:rsid w:val="00E109A1"/>
    <w:pPr>
      <w:spacing w:after="0" w:line="240" w:lineRule="auto"/>
    </w:pPr>
    <w:rPr>
      <w:rFonts w:ascii="Arial" w:eastAsia="Times New Roman" w:hAnsi="Arial" w:cs="Times New Roman"/>
      <w:sz w:val="20"/>
      <w:szCs w:val="20"/>
      <w:lang w:eastAsia="cs-CZ"/>
    </w:rPr>
  </w:style>
  <w:style w:type="table" w:styleId="Mkatabulky">
    <w:name w:val="Table Grid"/>
    <w:basedOn w:val="Normlntabulka"/>
    <w:uiPriority w:val="59"/>
    <w:rsid w:val="00E109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Kurzva">
    <w:name w:val="Styl Kurzíva"/>
    <w:basedOn w:val="Normln"/>
    <w:next w:val="Normln"/>
    <w:rsid w:val="00E109A1"/>
    <w:rPr>
      <w:rFonts w:ascii="Times New Roman" w:eastAsia="Times New Roman" w:hAnsi="Times New Roman" w:cs="Times New Roman"/>
      <w:i/>
      <w:iCs/>
      <w:sz w:val="24"/>
      <w:szCs w:val="24"/>
      <w:lang w:eastAsia="cs-CZ"/>
    </w:rPr>
  </w:style>
  <w:style w:type="paragraph" w:customStyle="1" w:styleId="StylKurzvaPed6b">
    <w:name w:val="Styl Kurzíva Před:  6 b."/>
    <w:basedOn w:val="Normln"/>
    <w:rsid w:val="00E109A1"/>
    <w:rPr>
      <w:rFonts w:ascii="Times New Roman" w:eastAsia="Times New Roman" w:hAnsi="Times New Roman" w:cs="Times New Roman"/>
      <w:i/>
      <w:iCs/>
      <w:sz w:val="24"/>
      <w:szCs w:val="20"/>
      <w:lang w:eastAsia="cs-CZ"/>
    </w:rPr>
  </w:style>
  <w:style w:type="paragraph" w:customStyle="1" w:styleId="xl30">
    <w:name w:val="xl30"/>
    <w:basedOn w:val="Normln"/>
    <w:rsid w:val="00E109A1"/>
    <w:pPr>
      <w:pBdr>
        <w:left w:val="single" w:sz="4" w:space="0" w:color="auto"/>
        <w:bottom w:val="single" w:sz="4" w:space="0" w:color="auto"/>
        <w:right w:val="single" w:sz="4" w:space="0" w:color="auto"/>
      </w:pBdr>
      <w:spacing w:before="100" w:after="100"/>
      <w:jc w:val="left"/>
      <w:textAlignment w:val="center"/>
    </w:pPr>
    <w:rPr>
      <w:rFonts w:ascii="Times New Roman" w:eastAsia="Arial Unicode MS" w:hAnsi="Times New Roman" w:cs="Times New Roman"/>
      <w:sz w:val="24"/>
      <w:szCs w:val="20"/>
      <w:lang w:eastAsia="cs-CZ"/>
    </w:rPr>
  </w:style>
  <w:style w:type="paragraph" w:customStyle="1" w:styleId="title1">
    <w:name w:val="title1"/>
    <w:basedOn w:val="Normln"/>
    <w:rsid w:val="00E109A1"/>
    <w:pPr>
      <w:spacing w:before="100" w:beforeAutospacing="1" w:after="100" w:afterAutospacing="1"/>
      <w:jc w:val="left"/>
    </w:pPr>
    <w:rPr>
      <w:rFonts w:ascii="Verdana" w:eastAsia="Times New Roman" w:hAnsi="Verdana" w:cs="Times New Roman"/>
      <w:color w:val="000000"/>
      <w:sz w:val="12"/>
      <w:szCs w:val="12"/>
      <w:lang w:eastAsia="cs-CZ"/>
    </w:rPr>
  </w:style>
  <w:style w:type="paragraph" w:customStyle="1" w:styleId="one-row">
    <w:name w:val="one-row"/>
    <w:basedOn w:val="Normln"/>
    <w:rsid w:val="00E109A1"/>
    <w:pPr>
      <w:spacing w:before="50" w:after="60"/>
      <w:ind w:left="20"/>
      <w:jc w:val="left"/>
    </w:pPr>
    <w:rPr>
      <w:rFonts w:ascii="Times New Roman" w:eastAsia="Times New Roman" w:hAnsi="Times New Roman" w:cs="Times New Roman"/>
      <w:color w:val="444444"/>
      <w:sz w:val="24"/>
      <w:szCs w:val="24"/>
      <w:lang w:eastAsia="cs-CZ"/>
    </w:rPr>
  </w:style>
  <w:style w:type="character" w:styleId="Zvraznn">
    <w:name w:val="Emphasis"/>
    <w:rsid w:val="00E109A1"/>
    <w:rPr>
      <w:i/>
      <w:iCs/>
    </w:rPr>
  </w:style>
  <w:style w:type="paragraph" w:styleId="z-Zatekformule">
    <w:name w:val="HTML Top of Form"/>
    <w:basedOn w:val="Normln"/>
    <w:next w:val="Normln"/>
    <w:link w:val="z-ZatekformuleChar"/>
    <w:hidden/>
    <w:rsid w:val="00E109A1"/>
    <w:pPr>
      <w:pBdr>
        <w:bottom w:val="single" w:sz="6" w:space="1" w:color="auto"/>
      </w:pBdr>
      <w:spacing w:before="0"/>
      <w:jc w:val="center"/>
    </w:pPr>
    <w:rPr>
      <w:rFonts w:ascii="Arial" w:eastAsia="Times New Roman" w:hAnsi="Arial" w:cs="Arial"/>
      <w:vanish/>
      <w:sz w:val="16"/>
      <w:szCs w:val="16"/>
      <w:lang w:eastAsia="cs-CZ"/>
    </w:rPr>
  </w:style>
  <w:style w:type="character" w:customStyle="1" w:styleId="z-ZatekformuleChar">
    <w:name w:val="z-Začátek formuláře Char"/>
    <w:basedOn w:val="Standardnpsmoodstavce"/>
    <w:link w:val="z-Zatekformule"/>
    <w:rsid w:val="00E109A1"/>
    <w:rPr>
      <w:rFonts w:ascii="Arial" w:eastAsia="Times New Roman" w:hAnsi="Arial" w:cs="Arial"/>
      <w:vanish/>
      <w:sz w:val="16"/>
      <w:szCs w:val="16"/>
      <w:lang w:eastAsia="cs-CZ"/>
    </w:rPr>
  </w:style>
  <w:style w:type="paragraph" w:styleId="z-Konecformule">
    <w:name w:val="HTML Bottom of Form"/>
    <w:basedOn w:val="Normln"/>
    <w:next w:val="Normln"/>
    <w:link w:val="z-KonecformuleChar"/>
    <w:hidden/>
    <w:rsid w:val="00E109A1"/>
    <w:pPr>
      <w:pBdr>
        <w:top w:val="single" w:sz="6" w:space="1" w:color="auto"/>
      </w:pBdr>
      <w:spacing w:before="0"/>
      <w:jc w:val="center"/>
    </w:pPr>
    <w:rPr>
      <w:rFonts w:ascii="Arial" w:eastAsia="Times New Roman" w:hAnsi="Arial" w:cs="Arial"/>
      <w:vanish/>
      <w:sz w:val="16"/>
      <w:szCs w:val="16"/>
      <w:lang w:eastAsia="cs-CZ"/>
    </w:rPr>
  </w:style>
  <w:style w:type="character" w:customStyle="1" w:styleId="z-KonecformuleChar">
    <w:name w:val="z-Konec formuláře Char"/>
    <w:basedOn w:val="Standardnpsmoodstavce"/>
    <w:link w:val="z-Konecformule"/>
    <w:rsid w:val="00E109A1"/>
    <w:rPr>
      <w:rFonts w:ascii="Arial" w:eastAsia="Times New Roman" w:hAnsi="Arial" w:cs="Arial"/>
      <w:vanish/>
      <w:sz w:val="16"/>
      <w:szCs w:val="16"/>
      <w:lang w:eastAsia="cs-CZ"/>
    </w:rPr>
  </w:style>
  <w:style w:type="character" w:customStyle="1" w:styleId="13127">
    <w:name w:val="13127"/>
    <w:semiHidden/>
    <w:rsid w:val="00E109A1"/>
    <w:rPr>
      <w:rFonts w:ascii="Arial" w:hAnsi="Arial" w:cs="Arial"/>
      <w:color w:val="000080"/>
      <w:sz w:val="20"/>
      <w:szCs w:val="20"/>
    </w:rPr>
  </w:style>
  <w:style w:type="paragraph" w:customStyle="1" w:styleId="Zkladntext210">
    <w:name w:val="Základní text 21"/>
    <w:basedOn w:val="Normln"/>
    <w:uiPriority w:val="99"/>
    <w:rsid w:val="00E109A1"/>
    <w:pPr>
      <w:overflowPunct w:val="0"/>
      <w:autoSpaceDE w:val="0"/>
      <w:autoSpaceDN w:val="0"/>
      <w:adjustRightInd w:val="0"/>
      <w:spacing w:before="240" w:after="120"/>
      <w:ind w:firstLine="709"/>
      <w:textAlignment w:val="baseline"/>
    </w:pPr>
    <w:rPr>
      <w:rFonts w:ascii="Times New Roman" w:eastAsia="Times New Roman" w:hAnsi="Times New Roman" w:cs="Times New Roman"/>
      <w:sz w:val="24"/>
      <w:szCs w:val="20"/>
      <w:lang w:eastAsia="cs-CZ"/>
    </w:rPr>
  </w:style>
  <w:style w:type="character" w:customStyle="1" w:styleId="CharChar0">
    <w:name w:val="Char Char"/>
    <w:uiPriority w:val="99"/>
    <w:semiHidden/>
    <w:locked/>
    <w:rsid w:val="00E109A1"/>
  </w:style>
  <w:style w:type="paragraph" w:styleId="Revize">
    <w:name w:val="Revision"/>
    <w:hidden/>
    <w:uiPriority w:val="99"/>
    <w:semiHidden/>
    <w:rsid w:val="00E109A1"/>
    <w:pPr>
      <w:spacing w:after="0" w:line="240" w:lineRule="auto"/>
    </w:pPr>
    <w:rPr>
      <w:rFonts w:ascii="Times New Roman" w:eastAsia="Times New Roman" w:hAnsi="Times New Roman" w:cs="Times New Roman"/>
      <w:sz w:val="24"/>
      <w:szCs w:val="24"/>
      <w:lang w:eastAsia="cs-CZ"/>
    </w:rPr>
  </w:style>
  <w:style w:type="paragraph" w:styleId="Zkladntext-prvnodsazen">
    <w:name w:val="Body Text First Indent"/>
    <w:basedOn w:val="Zkladntext"/>
    <w:link w:val="Zkladntext-prvnodsazenChar"/>
    <w:rsid w:val="00E109A1"/>
    <w:pPr>
      <w:tabs>
        <w:tab w:val="clear" w:pos="7797"/>
        <w:tab w:val="clear" w:pos="8080"/>
        <w:tab w:val="clear" w:pos="8789"/>
      </w:tabs>
      <w:spacing w:line="240" w:lineRule="auto"/>
      <w:ind w:right="0" w:firstLine="210"/>
      <w:jc w:val="both"/>
    </w:pPr>
    <w:rPr>
      <w:szCs w:val="24"/>
    </w:rPr>
  </w:style>
  <w:style w:type="character" w:customStyle="1" w:styleId="Zkladntext-prvnodsazenChar">
    <w:name w:val="Základní text - první odsazený Char"/>
    <w:basedOn w:val="ZkladntextChar"/>
    <w:link w:val="Zkladntext-prvnodsazen"/>
    <w:rsid w:val="00E109A1"/>
    <w:rPr>
      <w:rFonts w:ascii="Times New Roman" w:eastAsia="Times New Roman" w:hAnsi="Times New Roman" w:cs="Times New Roman"/>
      <w:sz w:val="24"/>
      <w:szCs w:val="24"/>
      <w:lang w:eastAsia="cs-CZ"/>
    </w:rPr>
  </w:style>
  <w:style w:type="character" w:customStyle="1" w:styleId="HlavnodstavecChar">
    <w:name w:val="Hlavní odstavec Char"/>
    <w:link w:val="Hlavnodstavec"/>
    <w:locked/>
    <w:rsid w:val="00E109A1"/>
    <w:rPr>
      <w:rFonts w:ascii="Calibri" w:hAnsi="Calibri" w:cs="Arial"/>
    </w:rPr>
  </w:style>
  <w:style w:type="paragraph" w:customStyle="1" w:styleId="Hlavnodstavec">
    <w:name w:val="Hlavní odstavec"/>
    <w:basedOn w:val="Normln"/>
    <w:link w:val="HlavnodstavecChar"/>
    <w:rsid w:val="00E109A1"/>
    <w:pPr>
      <w:spacing w:after="120"/>
    </w:pPr>
    <w:rPr>
      <w:rFonts w:ascii="Calibri" w:hAnsi="Calibri" w:cs="Arial"/>
    </w:rPr>
  </w:style>
  <w:style w:type="paragraph" w:customStyle="1" w:styleId="Odstavecseseznamem1">
    <w:name w:val="Odstavec se seznamem1"/>
    <w:aliases w:val="Nadpis pro KZ,odrážky,Odstavec se seznamem11"/>
    <w:basedOn w:val="Normln"/>
    <w:link w:val="OdstavecseseznamemChar"/>
    <w:uiPriority w:val="34"/>
    <w:rsid w:val="00E109A1"/>
    <w:pPr>
      <w:spacing w:before="0" w:after="200" w:line="276" w:lineRule="auto"/>
      <w:ind w:left="720"/>
      <w:contextualSpacing/>
      <w:jc w:val="left"/>
    </w:pPr>
    <w:rPr>
      <w:rFonts w:ascii="Arial" w:eastAsia="Calibri" w:hAnsi="Arial" w:cs="Arial"/>
    </w:rPr>
  </w:style>
  <w:style w:type="character" w:customStyle="1" w:styleId="OdstavecseseznamemChar">
    <w:name w:val="Odstavec se seznamem Char"/>
    <w:aliases w:val="Nadpis pro KZ Char,odrážky Char"/>
    <w:link w:val="Odstavecseseznamem1"/>
    <w:uiPriority w:val="34"/>
    <w:locked/>
    <w:rsid w:val="00E109A1"/>
    <w:rPr>
      <w:rFonts w:ascii="Arial" w:eastAsia="Calibri" w:hAnsi="Arial" w:cs="Arial"/>
    </w:rPr>
  </w:style>
  <w:style w:type="paragraph" w:customStyle="1" w:styleId="Bezmezer1">
    <w:name w:val="Bez mezer1"/>
    <w:rsid w:val="00E109A1"/>
    <w:pPr>
      <w:spacing w:after="0" w:line="240" w:lineRule="auto"/>
    </w:pPr>
    <w:rPr>
      <w:rFonts w:ascii="Calibri" w:eastAsia="Times New Roman" w:hAnsi="Calibri" w:cs="Times New Roman"/>
    </w:rPr>
  </w:style>
  <w:style w:type="paragraph" w:customStyle="1" w:styleId="ZKDvousloupcov">
    <w:name w:val="ZK_Dvousloupcový"/>
    <w:basedOn w:val="Normln"/>
    <w:link w:val="ZKDvousloupcovChar"/>
    <w:rsid w:val="00E109A1"/>
    <w:pPr>
      <w:spacing w:before="0" w:after="120" w:line="264" w:lineRule="auto"/>
    </w:pPr>
    <w:rPr>
      <w:rFonts w:ascii="Calibri" w:eastAsia="Times New Roman" w:hAnsi="Calibri" w:cs="Times New Roman"/>
      <w:kern w:val="20"/>
      <w:sz w:val="20"/>
      <w:szCs w:val="24"/>
      <w:lang w:eastAsia="cs-CZ"/>
    </w:rPr>
  </w:style>
  <w:style w:type="character" w:customStyle="1" w:styleId="ZKDvousloupcovChar">
    <w:name w:val="ZK_Dvousloupcový Char"/>
    <w:link w:val="ZKDvousloupcov"/>
    <w:rsid w:val="00E109A1"/>
    <w:rPr>
      <w:rFonts w:ascii="Calibri" w:eastAsia="Times New Roman" w:hAnsi="Calibri" w:cs="Times New Roman"/>
      <w:kern w:val="20"/>
      <w:sz w:val="20"/>
      <w:szCs w:val="24"/>
      <w:lang w:eastAsia="cs-CZ"/>
    </w:rPr>
  </w:style>
  <w:style w:type="paragraph" w:customStyle="1" w:styleId="Styl3">
    <w:name w:val="Styl3"/>
    <w:basedOn w:val="Normln"/>
    <w:rsid w:val="00E109A1"/>
    <w:pPr>
      <w:overflowPunct w:val="0"/>
      <w:autoSpaceDE w:val="0"/>
      <w:autoSpaceDN w:val="0"/>
      <w:adjustRightInd w:val="0"/>
      <w:spacing w:before="0"/>
      <w:jc w:val="left"/>
      <w:textAlignment w:val="baseline"/>
    </w:pPr>
    <w:rPr>
      <w:rFonts w:ascii="Times New Roman" w:eastAsia="Times New Roman" w:hAnsi="Times New Roman" w:cs="Times New Roman"/>
      <w:sz w:val="24"/>
      <w:szCs w:val="20"/>
      <w:lang w:eastAsia="cs-CZ"/>
    </w:rPr>
  </w:style>
  <w:style w:type="paragraph" w:customStyle="1" w:styleId="Default">
    <w:name w:val="Default"/>
    <w:rsid w:val="00E109A1"/>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rsid w:val="00E109A1"/>
    <w:pPr>
      <w:ind w:left="708"/>
    </w:pPr>
    <w:rPr>
      <w:rFonts w:ascii="Times New Roman" w:eastAsia="Times New Roman" w:hAnsi="Times New Roman" w:cs="Times New Roman"/>
      <w:sz w:val="24"/>
      <w:szCs w:val="24"/>
      <w:lang w:eastAsia="cs-CZ"/>
    </w:rPr>
  </w:style>
  <w:style w:type="character" w:customStyle="1" w:styleId="icon">
    <w:name w:val="icon"/>
    <w:rsid w:val="00E109A1"/>
  </w:style>
  <w:style w:type="paragraph" w:customStyle="1" w:styleId="publishdate">
    <w:name w:val="publishdate"/>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summary">
    <w:name w:val="summary"/>
    <w:basedOn w:val="Normln"/>
    <w:rsid w:val="00E109A1"/>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ote">
    <w:name w:val="note"/>
    <w:rsid w:val="00E109A1"/>
  </w:style>
  <w:style w:type="paragraph" w:customStyle="1" w:styleId="Zkladntext31">
    <w:name w:val="Základní text 31"/>
    <w:basedOn w:val="Normln"/>
    <w:rsid w:val="00E109A1"/>
    <w:pPr>
      <w:overflowPunct w:val="0"/>
      <w:autoSpaceDE w:val="0"/>
      <w:autoSpaceDN w:val="0"/>
      <w:adjustRightInd w:val="0"/>
      <w:spacing w:before="0"/>
      <w:textAlignment w:val="baseline"/>
    </w:pPr>
    <w:rPr>
      <w:rFonts w:ascii="Times New Roman" w:eastAsia="Times New Roman" w:hAnsi="Times New Roman" w:cs="Times New Roman"/>
      <w:sz w:val="28"/>
      <w:szCs w:val="20"/>
      <w:lang w:eastAsia="cs-CZ"/>
    </w:rPr>
  </w:style>
  <w:style w:type="paragraph" w:customStyle="1" w:styleId="Nadpisparagrafu">
    <w:name w:val="Nadpis paragrafu"/>
    <w:basedOn w:val="Normln"/>
    <w:next w:val="Normln"/>
    <w:rsid w:val="00E109A1"/>
    <w:pPr>
      <w:keepNext/>
      <w:keepLines/>
      <w:overflowPunct w:val="0"/>
      <w:autoSpaceDE w:val="0"/>
      <w:autoSpaceDN w:val="0"/>
      <w:adjustRightInd w:val="0"/>
      <w:spacing w:before="240"/>
      <w:jc w:val="center"/>
      <w:textAlignment w:val="baseline"/>
    </w:pPr>
    <w:rPr>
      <w:rFonts w:ascii="Times New Roman" w:eastAsia="Times New Roman" w:hAnsi="Times New Roman" w:cs="Times New Roman"/>
      <w:b/>
      <w:sz w:val="24"/>
      <w:szCs w:val="20"/>
      <w:lang w:eastAsia="cs-CZ"/>
    </w:rPr>
  </w:style>
  <w:style w:type="paragraph" w:customStyle="1" w:styleId="xl27">
    <w:name w:val="xl27"/>
    <w:basedOn w:val="Normln"/>
    <w:rsid w:val="00E109A1"/>
    <w:pPr>
      <w:pBdr>
        <w:left w:val="single" w:sz="6" w:space="0" w:color="auto"/>
        <w:bottom w:val="single" w:sz="6" w:space="0" w:color="auto"/>
        <w:right w:val="single" w:sz="6" w:space="0" w:color="auto"/>
      </w:pBdr>
      <w:spacing w:before="100" w:after="100"/>
      <w:jc w:val="left"/>
    </w:pPr>
    <w:rPr>
      <w:rFonts w:ascii="Times New Roman" w:eastAsia="Times New Roman" w:hAnsi="Times New Roman" w:cs="Times New Roman"/>
      <w:sz w:val="24"/>
      <w:szCs w:val="20"/>
      <w:lang w:eastAsia="cs-CZ"/>
    </w:rPr>
  </w:style>
  <w:style w:type="paragraph" w:customStyle="1" w:styleId="Zkladntext22">
    <w:name w:val="Základní text 22"/>
    <w:basedOn w:val="Normln"/>
    <w:rsid w:val="00E109A1"/>
    <w:pPr>
      <w:overflowPunct w:val="0"/>
      <w:autoSpaceDE w:val="0"/>
      <w:autoSpaceDN w:val="0"/>
      <w:adjustRightInd w:val="0"/>
      <w:spacing w:before="0" w:line="360" w:lineRule="auto"/>
      <w:ind w:firstLine="709"/>
      <w:textAlignment w:val="baseline"/>
    </w:pPr>
    <w:rPr>
      <w:rFonts w:ascii="Times New Roman" w:eastAsia="Times New Roman" w:hAnsi="Times New Roman" w:cs="Times New Roman"/>
      <w:sz w:val="24"/>
      <w:szCs w:val="20"/>
      <w:lang w:eastAsia="cs-CZ"/>
    </w:rPr>
  </w:style>
  <w:style w:type="paragraph" w:customStyle="1" w:styleId="Pa13">
    <w:name w:val="Pa13"/>
    <w:basedOn w:val="Normln"/>
    <w:next w:val="Normln"/>
    <w:uiPriority w:val="99"/>
    <w:rsid w:val="00E109A1"/>
    <w:pPr>
      <w:autoSpaceDE w:val="0"/>
      <w:autoSpaceDN w:val="0"/>
      <w:adjustRightInd w:val="0"/>
      <w:spacing w:before="0" w:line="181" w:lineRule="atLeast"/>
      <w:jc w:val="left"/>
    </w:pPr>
    <w:rPr>
      <w:rFonts w:ascii="Verdana" w:eastAsia="Times New Roman" w:hAnsi="Verdana" w:cs="Times New Roman"/>
      <w:sz w:val="24"/>
      <w:szCs w:val="24"/>
      <w:lang w:eastAsia="cs-CZ"/>
    </w:rPr>
  </w:style>
  <w:style w:type="paragraph" w:styleId="Textvysvtlivek">
    <w:name w:val="endnote text"/>
    <w:basedOn w:val="Normln"/>
    <w:link w:val="TextvysvtlivekChar"/>
    <w:rsid w:val="00E109A1"/>
    <w:rPr>
      <w:rFonts w:ascii="Times New Roman" w:eastAsia="Times New Roman" w:hAnsi="Times New Roman" w:cs="Times New Roman"/>
      <w:sz w:val="20"/>
      <w:szCs w:val="20"/>
      <w:lang w:eastAsia="cs-CZ"/>
    </w:rPr>
  </w:style>
  <w:style w:type="character" w:customStyle="1" w:styleId="TextvysvtlivekChar">
    <w:name w:val="Text vysvětlivek Char"/>
    <w:basedOn w:val="Standardnpsmoodstavce"/>
    <w:link w:val="Textvysvtlivek"/>
    <w:rsid w:val="00E109A1"/>
    <w:rPr>
      <w:rFonts w:ascii="Times New Roman" w:eastAsia="Times New Roman" w:hAnsi="Times New Roman" w:cs="Times New Roman"/>
      <w:sz w:val="20"/>
      <w:szCs w:val="20"/>
      <w:lang w:eastAsia="cs-CZ"/>
    </w:rPr>
  </w:style>
  <w:style w:type="character" w:styleId="Odkaznavysvtlivky">
    <w:name w:val="endnote reference"/>
    <w:rsid w:val="00E109A1"/>
    <w:rPr>
      <w:vertAlign w:val="superscript"/>
    </w:rPr>
  </w:style>
  <w:style w:type="paragraph" w:customStyle="1" w:styleId="odrka">
    <w:name w:val="odrážka"/>
    <w:basedOn w:val="Odstavecseseznamem"/>
    <w:qFormat/>
    <w:rsid w:val="00596385"/>
    <w:pPr>
      <w:numPr>
        <w:numId w:val="3"/>
      </w:numPr>
      <w:spacing w:before="60"/>
      <w:ind w:left="284" w:hanging="284"/>
    </w:pPr>
    <w:rPr>
      <w:rFonts w:ascii="Calibri" w:hAnsi="Calibri"/>
      <w:sz w:val="22"/>
    </w:rPr>
  </w:style>
  <w:style w:type="character" w:customStyle="1" w:styleId="apple-converted-space">
    <w:name w:val="apple-converted-space"/>
    <w:basedOn w:val="Standardnpsmoodstavce"/>
    <w:rsid w:val="00DD3EBC"/>
  </w:style>
  <w:style w:type="character" w:customStyle="1" w:styleId="urtxtemph">
    <w:name w:val="urtxtemph"/>
    <w:rsid w:val="00DD3EBC"/>
  </w:style>
  <w:style w:type="character" w:customStyle="1" w:styleId="urtxtstd">
    <w:name w:val="urtxtstd"/>
    <w:rsid w:val="00DD3EBC"/>
  </w:style>
  <w:style w:type="paragraph" w:styleId="Seznamsodrkami">
    <w:name w:val="List Bullet"/>
    <w:basedOn w:val="Normln"/>
    <w:uiPriority w:val="99"/>
    <w:unhideWhenUsed/>
    <w:rsid w:val="00E6353D"/>
    <w:pPr>
      <w:tabs>
        <w:tab w:val="num" w:pos="360"/>
      </w:tabs>
      <w:ind w:left="360" w:hanging="360"/>
      <w:contextualSpacing/>
    </w:pPr>
  </w:style>
  <w:style w:type="character" w:customStyle="1" w:styleId="UnresolvedMention1">
    <w:name w:val="Unresolved Mention1"/>
    <w:basedOn w:val="Standardnpsmoodstavce"/>
    <w:uiPriority w:val="99"/>
    <w:semiHidden/>
    <w:unhideWhenUsed/>
    <w:rsid w:val="0079794A"/>
    <w:rPr>
      <w:color w:val="605E5C"/>
      <w:shd w:val="clear" w:color="auto" w:fill="E1DFDD"/>
    </w:rPr>
  </w:style>
  <w:style w:type="character" w:customStyle="1" w:styleId="Nevyeenzmnka1">
    <w:name w:val="Nevyřešená zmínka1"/>
    <w:basedOn w:val="Standardnpsmoodstavce"/>
    <w:uiPriority w:val="99"/>
    <w:semiHidden/>
    <w:unhideWhenUsed/>
    <w:rsid w:val="008244C8"/>
    <w:rPr>
      <w:color w:val="605E5C"/>
      <w:shd w:val="clear" w:color="auto" w:fill="E1DFDD"/>
    </w:rPr>
  </w:style>
  <w:style w:type="paragraph" w:styleId="slovanseznam">
    <w:name w:val="List Number"/>
    <w:basedOn w:val="Normln"/>
    <w:rsid w:val="0050536B"/>
    <w:pPr>
      <w:tabs>
        <w:tab w:val="num" w:pos="360"/>
      </w:tabs>
      <w:ind w:left="360" w:hanging="360"/>
    </w:pPr>
    <w:rPr>
      <w:rFonts w:ascii="Times New Roman" w:eastAsia="Times New Roman" w:hAnsi="Times New Roman" w:cs="Times New Roman"/>
      <w:sz w:val="24"/>
      <w:szCs w:val="24"/>
      <w:lang w:eastAsia="cs-CZ"/>
    </w:rPr>
  </w:style>
  <w:style w:type="paragraph" w:customStyle="1" w:styleId="ObalSZ">
    <w:name w:val="Obal SZÚ"/>
    <w:rsid w:val="00FE2A58"/>
    <w:pPr>
      <w:spacing w:before="120" w:after="0" w:line="240" w:lineRule="auto"/>
      <w:jc w:val="center"/>
    </w:pPr>
    <w:rPr>
      <w:rFonts w:ascii="Times New Roman" w:eastAsia="Times New Roman" w:hAnsi="Times New Roman" w:cs="Times New Roman"/>
      <w:b/>
      <w:caps/>
      <w:sz w:val="40"/>
      <w:szCs w:val="24"/>
      <w:lang w:eastAsia="cs-CZ"/>
    </w:rPr>
  </w:style>
  <w:style w:type="paragraph" w:customStyle="1" w:styleId="ObalSZmode">
    <w:name w:val="Obal SZÚ modře"/>
    <w:basedOn w:val="ObalSZ"/>
    <w:rsid w:val="00FE2A58"/>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904012">
      <w:bodyDiv w:val="1"/>
      <w:marLeft w:val="0"/>
      <w:marRight w:val="0"/>
      <w:marTop w:val="0"/>
      <w:marBottom w:val="0"/>
      <w:divBdr>
        <w:top w:val="none" w:sz="0" w:space="0" w:color="auto"/>
        <w:left w:val="none" w:sz="0" w:space="0" w:color="auto"/>
        <w:bottom w:val="none" w:sz="0" w:space="0" w:color="auto"/>
        <w:right w:val="none" w:sz="0" w:space="0" w:color="auto"/>
      </w:divBdr>
    </w:div>
    <w:div w:id="499085715">
      <w:bodyDiv w:val="1"/>
      <w:marLeft w:val="0"/>
      <w:marRight w:val="0"/>
      <w:marTop w:val="0"/>
      <w:marBottom w:val="0"/>
      <w:divBdr>
        <w:top w:val="none" w:sz="0" w:space="0" w:color="auto"/>
        <w:left w:val="none" w:sz="0" w:space="0" w:color="auto"/>
        <w:bottom w:val="none" w:sz="0" w:space="0" w:color="auto"/>
        <w:right w:val="none" w:sz="0" w:space="0" w:color="auto"/>
      </w:divBdr>
    </w:div>
    <w:div w:id="1752658125">
      <w:bodyDiv w:val="1"/>
      <w:marLeft w:val="0"/>
      <w:marRight w:val="0"/>
      <w:marTop w:val="0"/>
      <w:marBottom w:val="0"/>
      <w:divBdr>
        <w:top w:val="none" w:sz="0" w:space="0" w:color="auto"/>
        <w:left w:val="none" w:sz="0" w:space="0" w:color="auto"/>
        <w:bottom w:val="none" w:sz="0" w:space="0" w:color="auto"/>
        <w:right w:val="none" w:sz="0" w:space="0" w:color="auto"/>
      </w:divBdr>
    </w:div>
    <w:div w:id="210483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emf"/><Relationship Id="rId28"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image" Target="media/image10.emf"/><Relationship Id="rId31" Type="http://schemas.openxmlformats.org/officeDocument/2006/relationships/image" Target="media/image2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0.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395DFC24-C620-41D4-8EED-A0ADADEDA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7378</Words>
  <Characters>43534</Characters>
  <Application>Microsoft Office Word</Application>
  <DocSecurity>0</DocSecurity>
  <Lines>362</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financí</Company>
  <LinksUpToDate>false</LinksUpToDate>
  <CharactersWithSpaces>50811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Pavlíček Jan Ing.</dc:creator>
  <cp:lastModifiedBy>Pavlíček Jan Ing.</cp:lastModifiedBy>
  <cp:revision>2</cp:revision>
  <cp:lastPrinted>2020-09-30T11:02:00Z</cp:lastPrinted>
  <dcterms:created xsi:type="dcterms:W3CDTF">2021-03-24T08:59:00Z</dcterms:created>
  <dcterms:modified xsi:type="dcterms:W3CDTF">2021-03-24T08:59:00Z</dcterms:modified>
</cp:coreProperties>
</file>