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051" w:rsidRDefault="00633051" w:rsidP="0050536B">
      <w:pPr>
        <w:pStyle w:val="Nadpis4"/>
      </w:pPr>
    </w:p>
    <w:p w:rsidR="00633051" w:rsidRDefault="00633051" w:rsidP="0050536B">
      <w:pPr>
        <w:pStyle w:val="Nadpis4"/>
      </w:pPr>
    </w:p>
    <w:p w:rsidR="00633051" w:rsidRDefault="00633051" w:rsidP="0050536B">
      <w:pPr>
        <w:pStyle w:val="Nadpis4"/>
      </w:pPr>
    </w:p>
    <w:p w:rsidR="00782B26" w:rsidRDefault="0050536B" w:rsidP="0050536B">
      <w:pPr>
        <w:pStyle w:val="Nadpis4"/>
      </w:pPr>
      <w:r>
        <w:t>N</w:t>
      </w:r>
      <w:r w:rsidR="0010483A">
        <w:t xml:space="preserve">ávrh státního závěrečného účtu </w:t>
      </w:r>
      <w:r>
        <w:t>Č</w:t>
      </w:r>
      <w:r w:rsidR="0010483A">
        <w:t>eské republiky za rok</w:t>
      </w:r>
      <w:r>
        <w:t xml:space="preserve"> 2020</w:t>
      </w:r>
    </w:p>
    <w:p w:rsidR="00633051" w:rsidRDefault="00633051" w:rsidP="0050536B">
      <w:pPr>
        <w:pStyle w:val="Nadpis4"/>
      </w:pPr>
    </w:p>
    <w:p w:rsidR="0050536B" w:rsidRPr="0082316E" w:rsidRDefault="0050536B" w:rsidP="0050536B">
      <w:pPr>
        <w:pStyle w:val="Nadpis4"/>
      </w:pPr>
      <w:r>
        <w:t xml:space="preserve">Sešit </w:t>
      </w:r>
      <w:r w:rsidR="00BD1E4E">
        <w:t>I</w:t>
      </w:r>
    </w:p>
    <w:p w:rsidR="0050536B" w:rsidRPr="0050536B" w:rsidRDefault="00BD1E4E" w:rsidP="0050536B">
      <w:pPr>
        <w:pStyle w:val="Nadpis4"/>
      </w:pPr>
      <w:r>
        <w:t xml:space="preserve">Informace o postupu privatizace a o stavu a použití prostředků vedených na zvláštních účtech </w:t>
      </w:r>
      <w:r w:rsidRPr="00BD1E4E">
        <w:t>(dle zákona č. 178/2005 Sb.)</w:t>
      </w:r>
    </w:p>
    <w:p w:rsidR="00782B26" w:rsidRPr="00167E7D" w:rsidRDefault="00782B26" w:rsidP="00782B26">
      <w:pPr>
        <w:rPr>
          <w:rFonts w:eastAsiaTheme="majorEastAsia" w:cstheme="majorBidi"/>
          <w:color w:val="2E74B5" w:themeColor="accent1" w:themeShade="BF"/>
          <w:sz w:val="32"/>
        </w:rPr>
      </w:pPr>
      <w:r w:rsidRPr="00167E7D">
        <w:br w:type="page"/>
      </w:r>
    </w:p>
    <w:sdt>
      <w:sdtPr>
        <w:rPr>
          <w:rFonts w:asciiTheme="minorHAnsi" w:eastAsiaTheme="minorHAnsi" w:hAnsiTheme="minorHAnsi" w:cstheme="minorBidi"/>
          <w:color w:val="auto"/>
          <w:sz w:val="20"/>
          <w:szCs w:val="20"/>
          <w:lang w:eastAsia="en-US"/>
        </w:rPr>
        <w:id w:val="551581784"/>
        <w:docPartObj>
          <w:docPartGallery w:val="Table of Contents"/>
          <w:docPartUnique/>
        </w:docPartObj>
      </w:sdtPr>
      <w:sdtEndPr>
        <w:rPr>
          <w:b/>
          <w:bCs/>
        </w:rPr>
      </w:sdtEndPr>
      <w:sdtContent>
        <w:p w:rsidR="00782B26" w:rsidRPr="00167E7D" w:rsidRDefault="00782B26" w:rsidP="00782B26">
          <w:pPr>
            <w:pStyle w:val="Nadpisobsahu"/>
            <w:rPr>
              <w:b/>
              <w:sz w:val="28"/>
              <w:szCs w:val="28"/>
            </w:rPr>
          </w:pPr>
          <w:r w:rsidRPr="00167E7D">
            <w:rPr>
              <w:b/>
              <w:sz w:val="28"/>
              <w:szCs w:val="28"/>
            </w:rPr>
            <w:t>Obsah</w:t>
          </w:r>
        </w:p>
        <w:p w:rsidR="006F3E16" w:rsidRPr="00CA5106" w:rsidRDefault="00782B26" w:rsidP="00CA5106">
          <w:pPr>
            <w:pStyle w:val="Obsah1"/>
            <w:rPr>
              <w:rFonts w:eastAsiaTheme="minorEastAsia"/>
              <w:lang w:eastAsia="cs-CZ"/>
            </w:rPr>
          </w:pPr>
          <w:r w:rsidRPr="00167E7D">
            <w:rPr>
              <w:sz w:val="18"/>
              <w:szCs w:val="18"/>
            </w:rPr>
            <w:fldChar w:fldCharType="begin"/>
          </w:r>
          <w:r w:rsidRPr="00167E7D">
            <w:rPr>
              <w:sz w:val="18"/>
              <w:szCs w:val="18"/>
            </w:rPr>
            <w:instrText xml:space="preserve"> TOC \o "1-3" \h \z \u </w:instrText>
          </w:r>
          <w:r w:rsidRPr="00167E7D">
            <w:rPr>
              <w:sz w:val="18"/>
              <w:szCs w:val="18"/>
            </w:rPr>
            <w:fldChar w:fldCharType="separate"/>
          </w:r>
          <w:hyperlink w:anchor="_Toc65836211" w:history="1">
            <w:r w:rsidR="006F3E16" w:rsidRPr="00CA5106">
              <w:rPr>
                <w:rStyle w:val="Hypertextovodkaz"/>
                <w:b/>
              </w:rPr>
              <w:t>I.</w:t>
            </w:r>
            <w:r w:rsidR="006F3E16" w:rsidRPr="00CA5106">
              <w:rPr>
                <w:rFonts w:eastAsiaTheme="minorEastAsia"/>
                <w:lang w:eastAsia="cs-CZ"/>
              </w:rPr>
              <w:tab/>
            </w:r>
            <w:r w:rsidR="006F3E16" w:rsidRPr="00CA5106">
              <w:rPr>
                <w:rStyle w:val="Hypertextovodkaz"/>
                <w:b/>
              </w:rPr>
              <w:t>Informace o postupu privatizace</w:t>
            </w:r>
            <w:r w:rsidR="006F3E16" w:rsidRPr="00CA5106">
              <w:rPr>
                <w:webHidden/>
              </w:rPr>
              <w:tab/>
            </w:r>
            <w:r w:rsidR="006F3E16" w:rsidRPr="00CA5106">
              <w:rPr>
                <w:webHidden/>
              </w:rPr>
              <w:fldChar w:fldCharType="begin"/>
            </w:r>
            <w:r w:rsidR="006F3E16" w:rsidRPr="00CA5106">
              <w:rPr>
                <w:webHidden/>
              </w:rPr>
              <w:instrText xml:space="preserve"> PAGEREF _Toc65836211 \h </w:instrText>
            </w:r>
            <w:r w:rsidR="006F3E16" w:rsidRPr="00CA5106">
              <w:rPr>
                <w:webHidden/>
              </w:rPr>
            </w:r>
            <w:r w:rsidR="006F3E16" w:rsidRPr="00CA5106">
              <w:rPr>
                <w:webHidden/>
              </w:rPr>
              <w:fldChar w:fldCharType="separate"/>
            </w:r>
            <w:r w:rsidR="00DF0B50">
              <w:rPr>
                <w:webHidden/>
              </w:rPr>
              <w:t>1</w:t>
            </w:r>
            <w:r w:rsidR="006F3E16" w:rsidRPr="00CA5106">
              <w:rPr>
                <w:webHidden/>
              </w:rPr>
              <w:fldChar w:fldCharType="end"/>
            </w:r>
          </w:hyperlink>
        </w:p>
        <w:p w:rsidR="006F3E16" w:rsidRDefault="00E13D9D" w:rsidP="00CA5106">
          <w:pPr>
            <w:pStyle w:val="Obsah1"/>
            <w:rPr>
              <w:rFonts w:eastAsiaTheme="minorEastAsia"/>
              <w:lang w:eastAsia="cs-CZ"/>
            </w:rPr>
          </w:pPr>
          <w:hyperlink w:anchor="_Toc65836212" w:history="1">
            <w:r w:rsidR="006F3E16" w:rsidRPr="003A4E07">
              <w:rPr>
                <w:rStyle w:val="Hypertextovodkaz"/>
              </w:rPr>
              <w:t>1</w:t>
            </w:r>
            <w:r w:rsidR="006F3E16">
              <w:rPr>
                <w:rFonts w:eastAsiaTheme="minorEastAsia"/>
                <w:lang w:eastAsia="cs-CZ"/>
              </w:rPr>
              <w:tab/>
            </w:r>
            <w:r w:rsidR="006F3E16" w:rsidRPr="003A4E07">
              <w:rPr>
                <w:rStyle w:val="Hypertextovodkaz"/>
              </w:rPr>
              <w:t>Prodej akcií</w:t>
            </w:r>
            <w:r w:rsidR="006F3E16">
              <w:rPr>
                <w:webHidden/>
              </w:rPr>
              <w:tab/>
            </w:r>
            <w:r w:rsidR="006F3E16">
              <w:rPr>
                <w:webHidden/>
              </w:rPr>
              <w:fldChar w:fldCharType="begin"/>
            </w:r>
            <w:r w:rsidR="006F3E16">
              <w:rPr>
                <w:webHidden/>
              </w:rPr>
              <w:instrText xml:space="preserve"> PAGEREF _Toc65836212 \h </w:instrText>
            </w:r>
            <w:r w:rsidR="006F3E16">
              <w:rPr>
                <w:webHidden/>
              </w:rPr>
            </w:r>
            <w:r w:rsidR="006F3E16">
              <w:rPr>
                <w:webHidden/>
              </w:rPr>
              <w:fldChar w:fldCharType="separate"/>
            </w:r>
            <w:r w:rsidR="00DF0B50">
              <w:rPr>
                <w:webHidden/>
              </w:rPr>
              <w:t>1</w:t>
            </w:r>
            <w:r w:rsidR="006F3E16">
              <w:rPr>
                <w:webHidden/>
              </w:rPr>
              <w:fldChar w:fldCharType="end"/>
            </w:r>
          </w:hyperlink>
        </w:p>
        <w:p w:rsidR="006F3E16" w:rsidRDefault="00E13D9D" w:rsidP="00CA5106">
          <w:pPr>
            <w:pStyle w:val="Obsah1"/>
            <w:rPr>
              <w:rFonts w:eastAsiaTheme="minorEastAsia"/>
              <w:lang w:eastAsia="cs-CZ"/>
            </w:rPr>
          </w:pPr>
          <w:hyperlink w:anchor="_Toc65836213" w:history="1">
            <w:r w:rsidR="006F3E16" w:rsidRPr="003A4E07">
              <w:rPr>
                <w:rStyle w:val="Hypertextovodkaz"/>
              </w:rPr>
              <w:t>2</w:t>
            </w:r>
            <w:r w:rsidR="006F3E16">
              <w:rPr>
                <w:rFonts w:eastAsiaTheme="minorEastAsia"/>
                <w:lang w:eastAsia="cs-CZ"/>
              </w:rPr>
              <w:tab/>
            </w:r>
            <w:r w:rsidR="006F3E16" w:rsidRPr="003A4E07">
              <w:rPr>
                <w:rStyle w:val="Hypertextovodkaz"/>
              </w:rPr>
              <w:t>Prodej majetku</w:t>
            </w:r>
            <w:r w:rsidR="006F3E16">
              <w:rPr>
                <w:webHidden/>
              </w:rPr>
              <w:tab/>
            </w:r>
            <w:r w:rsidR="006F3E16">
              <w:rPr>
                <w:webHidden/>
              </w:rPr>
              <w:fldChar w:fldCharType="begin"/>
            </w:r>
            <w:r w:rsidR="006F3E16">
              <w:rPr>
                <w:webHidden/>
              </w:rPr>
              <w:instrText xml:space="preserve"> PAGEREF _Toc65836213 \h </w:instrText>
            </w:r>
            <w:r w:rsidR="006F3E16">
              <w:rPr>
                <w:webHidden/>
              </w:rPr>
            </w:r>
            <w:r w:rsidR="006F3E16">
              <w:rPr>
                <w:webHidden/>
              </w:rPr>
              <w:fldChar w:fldCharType="separate"/>
            </w:r>
            <w:r w:rsidR="00DF0B50">
              <w:rPr>
                <w:webHidden/>
              </w:rPr>
              <w:t>1</w:t>
            </w:r>
            <w:r w:rsidR="006F3E16">
              <w:rPr>
                <w:webHidden/>
              </w:rPr>
              <w:fldChar w:fldCharType="end"/>
            </w:r>
          </w:hyperlink>
        </w:p>
        <w:p w:rsidR="006F3E16" w:rsidRDefault="00E13D9D" w:rsidP="00CA5106">
          <w:pPr>
            <w:pStyle w:val="Obsah1"/>
            <w:rPr>
              <w:rFonts w:eastAsiaTheme="minorEastAsia"/>
              <w:lang w:eastAsia="cs-CZ"/>
            </w:rPr>
          </w:pPr>
          <w:hyperlink w:anchor="_Toc65836214" w:history="1">
            <w:r w:rsidR="006F3E16" w:rsidRPr="003A4E07">
              <w:rPr>
                <w:rStyle w:val="Hypertextovodkaz"/>
              </w:rPr>
              <w:t>3</w:t>
            </w:r>
            <w:r w:rsidR="006F3E16">
              <w:rPr>
                <w:rFonts w:eastAsiaTheme="minorEastAsia"/>
                <w:lang w:eastAsia="cs-CZ"/>
              </w:rPr>
              <w:tab/>
            </w:r>
            <w:r w:rsidR="006F3E16" w:rsidRPr="003A4E07">
              <w:rPr>
                <w:rStyle w:val="Hypertextovodkaz"/>
              </w:rPr>
              <w:t>Výkon akcionářských práv</w:t>
            </w:r>
            <w:r w:rsidR="006F3E16">
              <w:rPr>
                <w:webHidden/>
              </w:rPr>
              <w:tab/>
            </w:r>
            <w:r w:rsidR="006F3E16">
              <w:rPr>
                <w:webHidden/>
              </w:rPr>
              <w:fldChar w:fldCharType="begin"/>
            </w:r>
            <w:r w:rsidR="006F3E16">
              <w:rPr>
                <w:webHidden/>
              </w:rPr>
              <w:instrText xml:space="preserve"> PAGEREF _Toc65836214 \h </w:instrText>
            </w:r>
            <w:r w:rsidR="006F3E16">
              <w:rPr>
                <w:webHidden/>
              </w:rPr>
            </w:r>
            <w:r w:rsidR="006F3E16">
              <w:rPr>
                <w:webHidden/>
              </w:rPr>
              <w:fldChar w:fldCharType="separate"/>
            </w:r>
            <w:r w:rsidR="00DF0B50">
              <w:rPr>
                <w:webHidden/>
              </w:rPr>
              <w:t>1</w:t>
            </w:r>
            <w:r w:rsidR="006F3E16">
              <w:rPr>
                <w:webHidden/>
              </w:rPr>
              <w:fldChar w:fldCharType="end"/>
            </w:r>
          </w:hyperlink>
        </w:p>
        <w:p w:rsidR="006F3E16" w:rsidRDefault="00E13D9D" w:rsidP="00CA5106">
          <w:pPr>
            <w:pStyle w:val="Obsah1"/>
            <w:rPr>
              <w:rFonts w:eastAsiaTheme="minorEastAsia"/>
              <w:lang w:eastAsia="cs-CZ"/>
            </w:rPr>
          </w:pPr>
          <w:hyperlink w:anchor="_Toc65836215" w:history="1">
            <w:r w:rsidR="006F3E16" w:rsidRPr="003A4E07">
              <w:rPr>
                <w:rStyle w:val="Hypertextovodkaz"/>
              </w:rPr>
              <w:t>4</w:t>
            </w:r>
            <w:r w:rsidR="006F3E16">
              <w:rPr>
                <w:rFonts w:eastAsiaTheme="minorEastAsia"/>
                <w:lang w:eastAsia="cs-CZ"/>
              </w:rPr>
              <w:tab/>
            </w:r>
            <w:r w:rsidR="006F3E16" w:rsidRPr="003A4E07">
              <w:rPr>
                <w:rStyle w:val="Hypertextovodkaz"/>
              </w:rPr>
              <w:t>Soudní řízení</w:t>
            </w:r>
            <w:r w:rsidR="006F3E16">
              <w:rPr>
                <w:webHidden/>
              </w:rPr>
              <w:tab/>
            </w:r>
            <w:r w:rsidR="006F3E16">
              <w:rPr>
                <w:webHidden/>
              </w:rPr>
              <w:fldChar w:fldCharType="begin"/>
            </w:r>
            <w:r w:rsidR="006F3E16">
              <w:rPr>
                <w:webHidden/>
              </w:rPr>
              <w:instrText xml:space="preserve"> PAGEREF _Toc65836215 \h </w:instrText>
            </w:r>
            <w:r w:rsidR="006F3E16">
              <w:rPr>
                <w:webHidden/>
              </w:rPr>
            </w:r>
            <w:r w:rsidR="006F3E16">
              <w:rPr>
                <w:webHidden/>
              </w:rPr>
              <w:fldChar w:fldCharType="separate"/>
            </w:r>
            <w:r w:rsidR="00DF0B50">
              <w:rPr>
                <w:webHidden/>
              </w:rPr>
              <w:t>2</w:t>
            </w:r>
            <w:r w:rsidR="006F3E16">
              <w:rPr>
                <w:webHidden/>
              </w:rPr>
              <w:fldChar w:fldCharType="end"/>
            </w:r>
          </w:hyperlink>
        </w:p>
        <w:p w:rsidR="006F3E16" w:rsidRDefault="00E13D9D" w:rsidP="00CA5106">
          <w:pPr>
            <w:pStyle w:val="Obsah1"/>
            <w:rPr>
              <w:rFonts w:eastAsiaTheme="minorEastAsia"/>
              <w:lang w:eastAsia="cs-CZ"/>
            </w:rPr>
          </w:pPr>
          <w:hyperlink w:anchor="_Toc65836216" w:history="1">
            <w:r w:rsidR="006F3E16" w:rsidRPr="003A4E07">
              <w:rPr>
                <w:rStyle w:val="Hypertextovodkaz"/>
              </w:rPr>
              <w:t>5</w:t>
            </w:r>
            <w:r w:rsidR="006F3E16">
              <w:rPr>
                <w:rFonts w:eastAsiaTheme="minorEastAsia"/>
                <w:lang w:eastAsia="cs-CZ"/>
              </w:rPr>
              <w:tab/>
            </w:r>
            <w:r w:rsidR="006F3E16" w:rsidRPr="003A4E07">
              <w:rPr>
                <w:rStyle w:val="Hypertextovodkaz"/>
              </w:rPr>
              <w:t>Odstraňování ekologických zátěží vzniklých před privatizací, rekultivace a revitalizace krajů, regionů a státních podniků</w:t>
            </w:r>
            <w:r w:rsidR="006F3E16">
              <w:rPr>
                <w:webHidden/>
              </w:rPr>
              <w:tab/>
            </w:r>
            <w:r w:rsidR="006F3E16">
              <w:rPr>
                <w:webHidden/>
              </w:rPr>
              <w:fldChar w:fldCharType="begin"/>
            </w:r>
            <w:r w:rsidR="006F3E16">
              <w:rPr>
                <w:webHidden/>
              </w:rPr>
              <w:instrText xml:space="preserve"> PAGEREF _Toc65836216 \h </w:instrText>
            </w:r>
            <w:r w:rsidR="006F3E16">
              <w:rPr>
                <w:webHidden/>
              </w:rPr>
            </w:r>
            <w:r w:rsidR="006F3E16">
              <w:rPr>
                <w:webHidden/>
              </w:rPr>
              <w:fldChar w:fldCharType="separate"/>
            </w:r>
            <w:r w:rsidR="00DF0B50">
              <w:rPr>
                <w:webHidden/>
              </w:rPr>
              <w:t>3</w:t>
            </w:r>
            <w:r w:rsidR="006F3E16">
              <w:rPr>
                <w:webHidden/>
              </w:rPr>
              <w:fldChar w:fldCharType="end"/>
            </w:r>
          </w:hyperlink>
        </w:p>
        <w:p w:rsidR="006F3E16" w:rsidRDefault="00E13D9D" w:rsidP="00CA5106">
          <w:pPr>
            <w:pStyle w:val="Obsah1"/>
            <w:rPr>
              <w:rFonts w:eastAsiaTheme="minorEastAsia"/>
              <w:lang w:eastAsia="cs-CZ"/>
            </w:rPr>
          </w:pPr>
          <w:hyperlink w:anchor="_Toc65836217" w:history="1">
            <w:r w:rsidR="006F3E16" w:rsidRPr="003A4E07">
              <w:rPr>
                <w:rStyle w:val="Hypertextovodkaz"/>
              </w:rPr>
              <w:t>6</w:t>
            </w:r>
            <w:r w:rsidR="006F3E16">
              <w:rPr>
                <w:rFonts w:eastAsiaTheme="minorEastAsia"/>
                <w:lang w:eastAsia="cs-CZ"/>
              </w:rPr>
              <w:tab/>
            </w:r>
            <w:r w:rsidR="006F3E16" w:rsidRPr="003A4E07">
              <w:rPr>
                <w:rStyle w:val="Hypertextovodkaz"/>
              </w:rPr>
              <w:t>Řešení restitučních nároků</w:t>
            </w:r>
            <w:r w:rsidR="006F3E16">
              <w:rPr>
                <w:webHidden/>
              </w:rPr>
              <w:tab/>
            </w:r>
            <w:r w:rsidR="006F3E16">
              <w:rPr>
                <w:webHidden/>
              </w:rPr>
              <w:fldChar w:fldCharType="begin"/>
            </w:r>
            <w:r w:rsidR="006F3E16">
              <w:rPr>
                <w:webHidden/>
              </w:rPr>
              <w:instrText xml:space="preserve"> PAGEREF _Toc65836217 \h </w:instrText>
            </w:r>
            <w:r w:rsidR="006F3E16">
              <w:rPr>
                <w:webHidden/>
              </w:rPr>
            </w:r>
            <w:r w:rsidR="006F3E16">
              <w:rPr>
                <w:webHidden/>
              </w:rPr>
              <w:fldChar w:fldCharType="separate"/>
            </w:r>
            <w:r w:rsidR="00DF0B50">
              <w:rPr>
                <w:webHidden/>
              </w:rPr>
              <w:t>4</w:t>
            </w:r>
            <w:r w:rsidR="006F3E16">
              <w:rPr>
                <w:webHidden/>
              </w:rPr>
              <w:fldChar w:fldCharType="end"/>
            </w:r>
          </w:hyperlink>
        </w:p>
        <w:p w:rsidR="006F3E16" w:rsidRDefault="00E13D9D" w:rsidP="00CA5106">
          <w:pPr>
            <w:pStyle w:val="Obsah1"/>
            <w:rPr>
              <w:rFonts w:eastAsiaTheme="minorEastAsia"/>
              <w:lang w:eastAsia="cs-CZ"/>
            </w:rPr>
          </w:pPr>
          <w:hyperlink w:anchor="_Toc65836218" w:history="1">
            <w:r w:rsidR="006F3E16" w:rsidRPr="003A4E07">
              <w:rPr>
                <w:rStyle w:val="Hypertextovodkaz"/>
              </w:rPr>
              <w:t>7</w:t>
            </w:r>
            <w:r w:rsidR="006F3E16">
              <w:rPr>
                <w:rFonts w:eastAsiaTheme="minorEastAsia"/>
                <w:lang w:eastAsia="cs-CZ"/>
              </w:rPr>
              <w:tab/>
            </w:r>
            <w:r w:rsidR="006F3E16" w:rsidRPr="003A4E07">
              <w:rPr>
                <w:rStyle w:val="Hypertextovodkaz"/>
              </w:rPr>
              <w:t>Stav realizace privatizačních projektů k 31. 12. 2020</w:t>
            </w:r>
            <w:r w:rsidR="006F3E16">
              <w:rPr>
                <w:webHidden/>
              </w:rPr>
              <w:tab/>
            </w:r>
            <w:r w:rsidR="006F3E16">
              <w:rPr>
                <w:webHidden/>
              </w:rPr>
              <w:fldChar w:fldCharType="begin"/>
            </w:r>
            <w:r w:rsidR="006F3E16">
              <w:rPr>
                <w:webHidden/>
              </w:rPr>
              <w:instrText xml:space="preserve"> PAGEREF _Toc65836218 \h </w:instrText>
            </w:r>
            <w:r w:rsidR="006F3E16">
              <w:rPr>
                <w:webHidden/>
              </w:rPr>
            </w:r>
            <w:r w:rsidR="006F3E16">
              <w:rPr>
                <w:webHidden/>
              </w:rPr>
              <w:fldChar w:fldCharType="separate"/>
            </w:r>
            <w:r w:rsidR="00DF0B50">
              <w:rPr>
                <w:webHidden/>
              </w:rPr>
              <w:t>4</w:t>
            </w:r>
            <w:r w:rsidR="006F3E16">
              <w:rPr>
                <w:webHidden/>
              </w:rPr>
              <w:fldChar w:fldCharType="end"/>
            </w:r>
          </w:hyperlink>
        </w:p>
        <w:p w:rsidR="006F3E16" w:rsidRPr="00CA5106" w:rsidRDefault="00E13D9D" w:rsidP="00CA5106">
          <w:pPr>
            <w:pStyle w:val="Obsah1"/>
            <w:rPr>
              <w:rFonts w:eastAsiaTheme="minorEastAsia"/>
              <w:lang w:eastAsia="cs-CZ"/>
            </w:rPr>
          </w:pPr>
          <w:hyperlink w:anchor="_Toc65836219" w:history="1">
            <w:r w:rsidR="006F3E16" w:rsidRPr="00CA5106">
              <w:rPr>
                <w:rStyle w:val="Hypertextovodkaz"/>
                <w:b/>
              </w:rPr>
              <w:t>II.</w:t>
            </w:r>
            <w:r w:rsidR="006F3E16" w:rsidRPr="00CA5106">
              <w:rPr>
                <w:rFonts w:eastAsiaTheme="minorEastAsia"/>
                <w:lang w:eastAsia="cs-CZ"/>
              </w:rPr>
              <w:tab/>
            </w:r>
            <w:r w:rsidR="006F3E16" w:rsidRPr="00CA5106">
              <w:rPr>
                <w:rStyle w:val="Hypertextovodkaz"/>
                <w:b/>
              </w:rPr>
              <w:t>Informace o stavu a použití peněžních prostředků vedených na zvláštních účtech (velká a malá privatizace) k 31. 12. 2020</w:t>
            </w:r>
            <w:r w:rsidR="006F3E16" w:rsidRPr="00CA5106">
              <w:rPr>
                <w:webHidden/>
              </w:rPr>
              <w:tab/>
            </w:r>
            <w:r w:rsidR="006F3E16" w:rsidRPr="00CA5106">
              <w:rPr>
                <w:webHidden/>
              </w:rPr>
              <w:fldChar w:fldCharType="begin"/>
            </w:r>
            <w:r w:rsidR="006F3E16" w:rsidRPr="00CA5106">
              <w:rPr>
                <w:webHidden/>
              </w:rPr>
              <w:instrText xml:space="preserve"> PAGEREF _Toc65836219 \h </w:instrText>
            </w:r>
            <w:r w:rsidR="006F3E16" w:rsidRPr="00CA5106">
              <w:rPr>
                <w:webHidden/>
              </w:rPr>
            </w:r>
            <w:r w:rsidR="006F3E16" w:rsidRPr="00CA5106">
              <w:rPr>
                <w:webHidden/>
              </w:rPr>
              <w:fldChar w:fldCharType="separate"/>
            </w:r>
            <w:r w:rsidR="00DF0B50">
              <w:rPr>
                <w:webHidden/>
              </w:rPr>
              <w:t>9</w:t>
            </w:r>
            <w:r w:rsidR="006F3E16" w:rsidRPr="00CA5106">
              <w:rPr>
                <w:webHidden/>
              </w:rPr>
              <w:fldChar w:fldCharType="end"/>
            </w:r>
          </w:hyperlink>
        </w:p>
        <w:p w:rsidR="006F3E16" w:rsidRDefault="00E13D9D" w:rsidP="00CA5106">
          <w:pPr>
            <w:pStyle w:val="Obsah1"/>
            <w:rPr>
              <w:rFonts w:eastAsiaTheme="minorEastAsia"/>
              <w:lang w:eastAsia="cs-CZ"/>
            </w:rPr>
          </w:pPr>
          <w:hyperlink w:anchor="_Toc65836220" w:history="1">
            <w:r w:rsidR="006F3E16" w:rsidRPr="003A4E07">
              <w:rPr>
                <w:rStyle w:val="Hypertextovodkaz"/>
              </w:rPr>
              <w:t>1</w:t>
            </w:r>
            <w:r w:rsidR="006F3E16">
              <w:rPr>
                <w:rFonts w:eastAsiaTheme="minorEastAsia"/>
                <w:lang w:eastAsia="cs-CZ"/>
              </w:rPr>
              <w:tab/>
            </w:r>
            <w:r w:rsidR="006F3E16" w:rsidRPr="003A4E07">
              <w:rPr>
                <w:rStyle w:val="Hypertextovodkaz"/>
              </w:rPr>
              <w:t>Velká privatizace</w:t>
            </w:r>
            <w:r w:rsidR="006F3E16">
              <w:rPr>
                <w:webHidden/>
              </w:rPr>
              <w:tab/>
            </w:r>
            <w:r w:rsidR="006F3E16">
              <w:rPr>
                <w:webHidden/>
              </w:rPr>
              <w:fldChar w:fldCharType="begin"/>
            </w:r>
            <w:r w:rsidR="006F3E16">
              <w:rPr>
                <w:webHidden/>
              </w:rPr>
              <w:instrText xml:space="preserve"> PAGEREF _Toc65836220 \h </w:instrText>
            </w:r>
            <w:r w:rsidR="006F3E16">
              <w:rPr>
                <w:webHidden/>
              </w:rPr>
            </w:r>
            <w:r w:rsidR="006F3E16">
              <w:rPr>
                <w:webHidden/>
              </w:rPr>
              <w:fldChar w:fldCharType="separate"/>
            </w:r>
            <w:r w:rsidR="00DF0B50">
              <w:rPr>
                <w:webHidden/>
              </w:rPr>
              <w:t>9</w:t>
            </w:r>
            <w:r w:rsidR="006F3E16">
              <w:rPr>
                <w:webHidden/>
              </w:rPr>
              <w:fldChar w:fldCharType="end"/>
            </w:r>
          </w:hyperlink>
        </w:p>
        <w:p w:rsidR="006F3E16" w:rsidRDefault="00E13D9D" w:rsidP="00CA5106">
          <w:pPr>
            <w:pStyle w:val="Obsah1"/>
            <w:rPr>
              <w:rFonts w:eastAsiaTheme="minorEastAsia"/>
              <w:lang w:eastAsia="cs-CZ"/>
            </w:rPr>
          </w:pPr>
          <w:hyperlink w:anchor="_Toc65836221" w:history="1">
            <w:r w:rsidR="006F3E16" w:rsidRPr="003A4E07">
              <w:rPr>
                <w:rStyle w:val="Hypertextovodkaz"/>
              </w:rPr>
              <w:t>2</w:t>
            </w:r>
            <w:r w:rsidR="006F3E16">
              <w:rPr>
                <w:rFonts w:eastAsiaTheme="minorEastAsia"/>
                <w:lang w:eastAsia="cs-CZ"/>
              </w:rPr>
              <w:tab/>
            </w:r>
            <w:r w:rsidR="006F3E16" w:rsidRPr="003A4E07">
              <w:rPr>
                <w:rStyle w:val="Hypertextovodkaz"/>
              </w:rPr>
              <w:t>Malá privatizace</w:t>
            </w:r>
            <w:r w:rsidR="006F3E16">
              <w:rPr>
                <w:webHidden/>
              </w:rPr>
              <w:tab/>
            </w:r>
            <w:r w:rsidR="006F3E16">
              <w:rPr>
                <w:webHidden/>
              </w:rPr>
              <w:fldChar w:fldCharType="begin"/>
            </w:r>
            <w:r w:rsidR="006F3E16">
              <w:rPr>
                <w:webHidden/>
              </w:rPr>
              <w:instrText xml:space="preserve"> PAGEREF _Toc65836221 \h </w:instrText>
            </w:r>
            <w:r w:rsidR="006F3E16">
              <w:rPr>
                <w:webHidden/>
              </w:rPr>
            </w:r>
            <w:r w:rsidR="006F3E16">
              <w:rPr>
                <w:webHidden/>
              </w:rPr>
              <w:fldChar w:fldCharType="separate"/>
            </w:r>
            <w:r w:rsidR="00DF0B50">
              <w:rPr>
                <w:webHidden/>
              </w:rPr>
              <w:t>15</w:t>
            </w:r>
            <w:r w:rsidR="006F3E16">
              <w:rPr>
                <w:webHidden/>
              </w:rPr>
              <w:fldChar w:fldCharType="end"/>
            </w:r>
          </w:hyperlink>
        </w:p>
        <w:p w:rsidR="006F3E16" w:rsidRPr="00CA5106" w:rsidRDefault="00E13D9D" w:rsidP="00CA5106">
          <w:pPr>
            <w:pStyle w:val="Obsah1"/>
            <w:rPr>
              <w:rFonts w:eastAsiaTheme="minorEastAsia"/>
              <w:lang w:eastAsia="cs-CZ"/>
            </w:rPr>
          </w:pPr>
          <w:hyperlink w:anchor="_Toc65836222" w:history="1">
            <w:r w:rsidR="006F3E16" w:rsidRPr="00CA5106">
              <w:rPr>
                <w:rStyle w:val="Hypertextovodkaz"/>
                <w:b/>
              </w:rPr>
              <w:t>III.</w:t>
            </w:r>
            <w:r w:rsidR="006F3E16" w:rsidRPr="00CA5106">
              <w:rPr>
                <w:rFonts w:eastAsiaTheme="minorEastAsia"/>
                <w:lang w:eastAsia="cs-CZ"/>
              </w:rPr>
              <w:tab/>
            </w:r>
            <w:r w:rsidR="006F3E16" w:rsidRPr="00CA5106">
              <w:rPr>
                <w:rStyle w:val="Hypertextovodkaz"/>
                <w:b/>
              </w:rPr>
              <w:t>Tabulková příloha</w:t>
            </w:r>
            <w:r w:rsidR="006F3E16" w:rsidRPr="00CA5106">
              <w:rPr>
                <w:webHidden/>
              </w:rPr>
              <w:tab/>
            </w:r>
            <w:r w:rsidR="006F3E16" w:rsidRPr="00CA5106">
              <w:rPr>
                <w:webHidden/>
              </w:rPr>
              <w:fldChar w:fldCharType="begin"/>
            </w:r>
            <w:r w:rsidR="006F3E16" w:rsidRPr="00CA5106">
              <w:rPr>
                <w:webHidden/>
              </w:rPr>
              <w:instrText xml:space="preserve"> PAGEREF _Toc65836222 \h </w:instrText>
            </w:r>
            <w:r w:rsidR="006F3E16" w:rsidRPr="00CA5106">
              <w:rPr>
                <w:webHidden/>
              </w:rPr>
            </w:r>
            <w:r w:rsidR="006F3E16" w:rsidRPr="00CA5106">
              <w:rPr>
                <w:webHidden/>
              </w:rPr>
              <w:fldChar w:fldCharType="separate"/>
            </w:r>
            <w:r w:rsidR="00DF0B50">
              <w:rPr>
                <w:webHidden/>
              </w:rPr>
              <w:t>18</w:t>
            </w:r>
            <w:r w:rsidR="006F3E16" w:rsidRPr="00CA5106">
              <w:rPr>
                <w:webHidden/>
              </w:rPr>
              <w:fldChar w:fldCharType="end"/>
            </w:r>
          </w:hyperlink>
        </w:p>
        <w:p w:rsidR="00782B26" w:rsidRDefault="00782B26" w:rsidP="00782B26">
          <w:r w:rsidRPr="00167E7D">
            <w:rPr>
              <w:b/>
              <w:bCs/>
              <w:sz w:val="18"/>
              <w:szCs w:val="18"/>
            </w:rPr>
            <w:fldChar w:fldCharType="end"/>
          </w:r>
        </w:p>
      </w:sdtContent>
    </w:sdt>
    <w:p w:rsidR="00782B26" w:rsidRDefault="00782B26">
      <w:pPr>
        <w:spacing w:before="0" w:after="160" w:line="259" w:lineRule="auto"/>
        <w:jc w:val="left"/>
      </w:pPr>
      <w:r>
        <w:br w:type="page"/>
      </w:r>
    </w:p>
    <w:p w:rsidR="00BC4C51" w:rsidRPr="00167E7D" w:rsidRDefault="00DF07B3" w:rsidP="003066E1">
      <w:pPr>
        <w:spacing w:before="0" w:after="120"/>
        <w:rPr>
          <w:b/>
          <w:sz w:val="24"/>
          <w:szCs w:val="24"/>
        </w:rPr>
      </w:pPr>
      <w:r w:rsidRPr="00167E7D">
        <w:rPr>
          <w:b/>
          <w:sz w:val="24"/>
          <w:szCs w:val="24"/>
        </w:rPr>
        <w:lastRenderedPageBreak/>
        <w:t>S</w:t>
      </w:r>
      <w:r w:rsidR="00BC4C51" w:rsidRPr="00167E7D">
        <w:rPr>
          <w:b/>
          <w:sz w:val="24"/>
          <w:szCs w:val="24"/>
        </w:rPr>
        <w:t>eznam zkratek</w:t>
      </w:r>
    </w:p>
    <w:p w:rsidR="00CE7C09" w:rsidRDefault="00CE7C09" w:rsidP="004E6719">
      <w:pPr>
        <w:spacing w:before="0"/>
        <w:rPr>
          <w:sz w:val="18"/>
          <w:szCs w:val="18"/>
        </w:rPr>
      </w:pPr>
      <w:r>
        <w:rPr>
          <w:sz w:val="18"/>
          <w:szCs w:val="18"/>
        </w:rPr>
        <w:t>ČKA</w:t>
      </w:r>
      <w:r>
        <w:rPr>
          <w:sz w:val="18"/>
          <w:szCs w:val="18"/>
        </w:rPr>
        <w:tab/>
      </w:r>
      <w:r>
        <w:rPr>
          <w:sz w:val="18"/>
          <w:szCs w:val="18"/>
        </w:rPr>
        <w:tab/>
        <w:t>Česká konsolidační agentura</w:t>
      </w:r>
    </w:p>
    <w:p w:rsidR="00CE7C09" w:rsidRDefault="00CE7C09" w:rsidP="004E6719">
      <w:pPr>
        <w:spacing w:before="0"/>
        <w:rPr>
          <w:sz w:val="18"/>
          <w:szCs w:val="18"/>
        </w:rPr>
      </w:pPr>
      <w:r>
        <w:rPr>
          <w:sz w:val="18"/>
          <w:szCs w:val="18"/>
        </w:rPr>
        <w:t>ČNB</w:t>
      </w:r>
      <w:r>
        <w:rPr>
          <w:sz w:val="18"/>
          <w:szCs w:val="18"/>
        </w:rPr>
        <w:tab/>
      </w:r>
      <w:r>
        <w:rPr>
          <w:sz w:val="18"/>
          <w:szCs w:val="18"/>
        </w:rPr>
        <w:tab/>
        <w:t>Česká národní banka</w:t>
      </w:r>
    </w:p>
    <w:p w:rsidR="00CE7C09" w:rsidRDefault="00CE7C09" w:rsidP="004E6719">
      <w:pPr>
        <w:spacing w:before="0"/>
        <w:rPr>
          <w:sz w:val="18"/>
          <w:szCs w:val="18"/>
        </w:rPr>
      </w:pPr>
      <w:r>
        <w:rPr>
          <w:sz w:val="18"/>
          <w:szCs w:val="18"/>
        </w:rPr>
        <w:t>FNM</w:t>
      </w:r>
      <w:r>
        <w:rPr>
          <w:sz w:val="18"/>
          <w:szCs w:val="18"/>
        </w:rPr>
        <w:tab/>
      </w:r>
      <w:r>
        <w:rPr>
          <w:sz w:val="18"/>
          <w:szCs w:val="18"/>
        </w:rPr>
        <w:tab/>
        <w:t>Fond národního majetku</w:t>
      </w:r>
    </w:p>
    <w:p w:rsidR="00CE7C09" w:rsidRDefault="00CE7C09" w:rsidP="004E6719">
      <w:pPr>
        <w:spacing w:before="0"/>
        <w:rPr>
          <w:sz w:val="18"/>
          <w:szCs w:val="18"/>
        </w:rPr>
      </w:pPr>
      <w:r>
        <w:rPr>
          <w:sz w:val="18"/>
          <w:szCs w:val="18"/>
        </w:rPr>
        <w:t>FFNM</w:t>
      </w:r>
      <w:r>
        <w:rPr>
          <w:sz w:val="18"/>
          <w:szCs w:val="18"/>
        </w:rPr>
        <w:tab/>
      </w:r>
      <w:r>
        <w:rPr>
          <w:sz w:val="18"/>
          <w:szCs w:val="18"/>
        </w:rPr>
        <w:tab/>
        <w:t>Federální fond národního majetku</w:t>
      </w:r>
    </w:p>
    <w:p w:rsidR="00D83850" w:rsidRDefault="00D83850" w:rsidP="004E6719">
      <w:pPr>
        <w:spacing w:before="0"/>
        <w:rPr>
          <w:sz w:val="18"/>
          <w:szCs w:val="18"/>
        </w:rPr>
      </w:pPr>
      <w:r>
        <w:rPr>
          <w:sz w:val="18"/>
          <w:szCs w:val="18"/>
        </w:rPr>
        <w:t>MF</w:t>
      </w:r>
      <w:r>
        <w:rPr>
          <w:sz w:val="18"/>
          <w:szCs w:val="18"/>
        </w:rPr>
        <w:tab/>
      </w:r>
      <w:r>
        <w:rPr>
          <w:sz w:val="18"/>
          <w:szCs w:val="18"/>
        </w:rPr>
        <w:tab/>
        <w:t>Ministerstvo financí</w:t>
      </w:r>
    </w:p>
    <w:p w:rsidR="00CE7C09" w:rsidRDefault="00CE7C09" w:rsidP="004E6719">
      <w:pPr>
        <w:spacing w:before="0"/>
        <w:rPr>
          <w:sz w:val="18"/>
          <w:szCs w:val="18"/>
        </w:rPr>
      </w:pPr>
      <w:r>
        <w:rPr>
          <w:sz w:val="18"/>
          <w:szCs w:val="18"/>
        </w:rPr>
        <w:t>MP</w:t>
      </w:r>
      <w:r>
        <w:rPr>
          <w:sz w:val="18"/>
          <w:szCs w:val="18"/>
        </w:rPr>
        <w:tab/>
      </w:r>
      <w:r>
        <w:rPr>
          <w:sz w:val="18"/>
          <w:szCs w:val="18"/>
        </w:rPr>
        <w:tab/>
        <w:t>malá privatizace</w:t>
      </w:r>
    </w:p>
    <w:p w:rsidR="00CE7C09" w:rsidRDefault="00CE7C09" w:rsidP="004E6719">
      <w:pPr>
        <w:spacing w:before="0"/>
        <w:rPr>
          <w:sz w:val="18"/>
          <w:szCs w:val="18"/>
        </w:rPr>
      </w:pPr>
      <w:r>
        <w:rPr>
          <w:sz w:val="18"/>
          <w:szCs w:val="18"/>
        </w:rPr>
        <w:t>MPO</w:t>
      </w:r>
      <w:r>
        <w:rPr>
          <w:sz w:val="18"/>
          <w:szCs w:val="18"/>
        </w:rPr>
        <w:tab/>
      </w:r>
      <w:r>
        <w:rPr>
          <w:sz w:val="18"/>
          <w:szCs w:val="18"/>
        </w:rPr>
        <w:tab/>
        <w:t>ministerstvo průmyslu a obchodu</w:t>
      </w:r>
    </w:p>
    <w:p w:rsidR="00CE7C09" w:rsidRDefault="00CE7C09" w:rsidP="004E6719">
      <w:pPr>
        <w:spacing w:before="0"/>
        <w:rPr>
          <w:sz w:val="18"/>
          <w:szCs w:val="18"/>
        </w:rPr>
      </w:pPr>
      <w:r>
        <w:rPr>
          <w:sz w:val="18"/>
          <w:szCs w:val="18"/>
        </w:rPr>
        <w:t>MPSV</w:t>
      </w:r>
      <w:r>
        <w:rPr>
          <w:sz w:val="18"/>
          <w:szCs w:val="18"/>
        </w:rPr>
        <w:tab/>
      </w:r>
      <w:r>
        <w:rPr>
          <w:sz w:val="18"/>
          <w:szCs w:val="18"/>
        </w:rPr>
        <w:tab/>
        <w:t>ministerstvo práce a sociálních věcí</w:t>
      </w:r>
    </w:p>
    <w:p w:rsidR="00CE7C09" w:rsidRDefault="00CE7C09" w:rsidP="00CE7C09">
      <w:pPr>
        <w:spacing w:before="0"/>
        <w:rPr>
          <w:sz w:val="18"/>
          <w:szCs w:val="18"/>
        </w:rPr>
      </w:pPr>
      <w:r>
        <w:rPr>
          <w:sz w:val="18"/>
          <w:szCs w:val="18"/>
        </w:rPr>
        <w:t>NIF</w:t>
      </w:r>
      <w:r>
        <w:rPr>
          <w:sz w:val="18"/>
          <w:szCs w:val="18"/>
        </w:rPr>
        <w:tab/>
      </w:r>
      <w:r>
        <w:rPr>
          <w:sz w:val="18"/>
          <w:szCs w:val="18"/>
        </w:rPr>
        <w:tab/>
        <w:t>Nadační investiční fond</w:t>
      </w:r>
    </w:p>
    <w:p w:rsidR="00D83850" w:rsidRDefault="00D83850" w:rsidP="00CE7C09">
      <w:pPr>
        <w:spacing w:before="0"/>
        <w:rPr>
          <w:sz w:val="18"/>
          <w:szCs w:val="18"/>
        </w:rPr>
      </w:pPr>
      <w:r>
        <w:rPr>
          <w:sz w:val="18"/>
          <w:szCs w:val="18"/>
        </w:rPr>
        <w:t>OP</w:t>
      </w:r>
      <w:r>
        <w:rPr>
          <w:sz w:val="18"/>
          <w:szCs w:val="18"/>
        </w:rPr>
        <w:tab/>
      </w:r>
      <w:r>
        <w:rPr>
          <w:sz w:val="18"/>
          <w:szCs w:val="18"/>
        </w:rPr>
        <w:tab/>
        <w:t>opravné položky</w:t>
      </w:r>
    </w:p>
    <w:p w:rsidR="00D83850" w:rsidRDefault="00D83850" w:rsidP="004E6719">
      <w:pPr>
        <w:spacing w:before="0"/>
        <w:rPr>
          <w:sz w:val="18"/>
          <w:szCs w:val="18"/>
        </w:rPr>
      </w:pPr>
      <w:r>
        <w:rPr>
          <w:sz w:val="18"/>
          <w:szCs w:val="18"/>
        </w:rPr>
        <w:t>SR</w:t>
      </w:r>
      <w:r>
        <w:rPr>
          <w:sz w:val="18"/>
          <w:szCs w:val="18"/>
        </w:rPr>
        <w:tab/>
      </w:r>
      <w:r>
        <w:rPr>
          <w:sz w:val="18"/>
          <w:szCs w:val="18"/>
        </w:rPr>
        <w:tab/>
        <w:t>státní rozpočet</w:t>
      </w:r>
    </w:p>
    <w:p w:rsidR="00D83850" w:rsidRDefault="00D83850" w:rsidP="00D83850">
      <w:pPr>
        <w:spacing w:before="0"/>
        <w:rPr>
          <w:sz w:val="18"/>
          <w:szCs w:val="18"/>
        </w:rPr>
      </w:pPr>
      <w:r>
        <w:rPr>
          <w:sz w:val="18"/>
          <w:szCs w:val="18"/>
        </w:rPr>
        <w:t>RIF</w:t>
      </w:r>
      <w:r>
        <w:rPr>
          <w:sz w:val="18"/>
          <w:szCs w:val="18"/>
        </w:rPr>
        <w:tab/>
      </w:r>
      <w:r>
        <w:rPr>
          <w:sz w:val="18"/>
          <w:szCs w:val="18"/>
        </w:rPr>
        <w:tab/>
        <w:t>Restituční investiční fond</w:t>
      </w:r>
    </w:p>
    <w:p w:rsidR="00D83850" w:rsidRDefault="00D83850" w:rsidP="004E6719">
      <w:pPr>
        <w:spacing w:before="0"/>
        <w:rPr>
          <w:sz w:val="18"/>
          <w:szCs w:val="18"/>
        </w:rPr>
      </w:pPr>
      <w:r>
        <w:rPr>
          <w:sz w:val="18"/>
          <w:szCs w:val="18"/>
        </w:rPr>
        <w:t>UV</w:t>
      </w:r>
      <w:r>
        <w:rPr>
          <w:sz w:val="18"/>
          <w:szCs w:val="18"/>
        </w:rPr>
        <w:tab/>
      </w:r>
      <w:r>
        <w:rPr>
          <w:sz w:val="18"/>
          <w:szCs w:val="18"/>
        </w:rPr>
        <w:tab/>
        <w:t>usnesení vlády</w:t>
      </w:r>
    </w:p>
    <w:p w:rsidR="00CE7C09" w:rsidRDefault="00D83850" w:rsidP="004E6719">
      <w:pPr>
        <w:spacing w:before="0"/>
        <w:rPr>
          <w:sz w:val="18"/>
          <w:szCs w:val="18"/>
        </w:rPr>
      </w:pPr>
      <w:r>
        <w:rPr>
          <w:sz w:val="18"/>
          <w:szCs w:val="18"/>
        </w:rPr>
        <w:t>VP</w:t>
      </w:r>
      <w:r>
        <w:rPr>
          <w:sz w:val="18"/>
          <w:szCs w:val="18"/>
        </w:rPr>
        <w:tab/>
      </w:r>
      <w:r>
        <w:rPr>
          <w:sz w:val="18"/>
          <w:szCs w:val="18"/>
        </w:rPr>
        <w:tab/>
        <w:t>velká privatizace</w:t>
      </w:r>
      <w:r w:rsidR="00CE7C09">
        <w:rPr>
          <w:sz w:val="18"/>
          <w:szCs w:val="18"/>
        </w:rPr>
        <w:tab/>
      </w:r>
    </w:p>
    <w:p w:rsidR="00F151BE" w:rsidRPr="00167E7D" w:rsidRDefault="00F151BE" w:rsidP="003923B9">
      <w:pPr>
        <w:spacing w:before="0"/>
        <w:rPr>
          <w:sz w:val="18"/>
          <w:szCs w:val="18"/>
        </w:rPr>
      </w:pPr>
    </w:p>
    <w:p w:rsidR="00BC4C51" w:rsidRPr="003066E1" w:rsidRDefault="00BC4C51" w:rsidP="003066E1">
      <w:pPr>
        <w:spacing w:before="0" w:after="120"/>
        <w:rPr>
          <w:b/>
          <w:sz w:val="24"/>
          <w:szCs w:val="24"/>
        </w:rPr>
      </w:pPr>
      <w:r w:rsidRPr="003066E1">
        <w:rPr>
          <w:b/>
          <w:sz w:val="24"/>
          <w:szCs w:val="24"/>
        </w:rPr>
        <w:t>Seznam tabulek</w:t>
      </w:r>
    </w:p>
    <w:p w:rsidR="006F3E16" w:rsidRPr="003046D9" w:rsidRDefault="003923B9" w:rsidP="003A1B79">
      <w:pPr>
        <w:pStyle w:val="Seznamobrzk"/>
        <w:tabs>
          <w:tab w:val="right" w:leader="dot" w:pos="9628"/>
        </w:tabs>
        <w:spacing w:before="0"/>
        <w:rPr>
          <w:rFonts w:eastAsiaTheme="minorEastAsia"/>
          <w:noProof/>
          <w:sz w:val="18"/>
          <w:szCs w:val="18"/>
          <w:lang w:eastAsia="cs-CZ"/>
        </w:rPr>
      </w:pPr>
      <w:r w:rsidRPr="003046D9">
        <w:rPr>
          <w:sz w:val="18"/>
          <w:szCs w:val="18"/>
        </w:rPr>
        <w:fldChar w:fldCharType="begin"/>
      </w:r>
      <w:r w:rsidRPr="003046D9">
        <w:rPr>
          <w:sz w:val="18"/>
          <w:szCs w:val="18"/>
        </w:rPr>
        <w:instrText xml:space="preserve"> TOC \h \z \c "Tabulka č." </w:instrText>
      </w:r>
      <w:r w:rsidRPr="003046D9">
        <w:rPr>
          <w:sz w:val="18"/>
          <w:szCs w:val="18"/>
        </w:rPr>
        <w:fldChar w:fldCharType="separate"/>
      </w:r>
      <w:hyperlink w:anchor="_Toc65836223" w:history="1">
        <w:r w:rsidR="006F3E16" w:rsidRPr="003046D9">
          <w:rPr>
            <w:rStyle w:val="Hypertextovodkaz"/>
            <w:noProof/>
            <w:sz w:val="18"/>
            <w:szCs w:val="18"/>
          </w:rPr>
          <w:t xml:space="preserve">Tabulka č. 1: Seznam společností strategického významu v portfoliu MF </w:t>
        </w:r>
        <w:r w:rsidR="006F3E16" w:rsidRPr="003046D9">
          <w:rPr>
            <w:rStyle w:val="Hypertextovodkaz"/>
            <w:noProof/>
            <w:snapToGrid w:val="0"/>
            <w:sz w:val="18"/>
            <w:szCs w:val="18"/>
          </w:rPr>
          <w:t>k 31. 12. 2020</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_Toc65836223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2</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24" w:history="1">
        <w:r w:rsidR="006F3E16" w:rsidRPr="003046D9">
          <w:rPr>
            <w:rStyle w:val="Hypertextovodkaz"/>
            <w:noProof/>
            <w:sz w:val="18"/>
            <w:szCs w:val="18"/>
          </w:rPr>
          <w:t>Tabulka č. 2: Struktura portfolia akcií MF</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_Toc65836224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2</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25" w:history="1">
        <w:r w:rsidR="006F3E16" w:rsidRPr="003046D9">
          <w:rPr>
            <w:rStyle w:val="Hypertextovodkaz"/>
            <w:noProof/>
            <w:sz w:val="18"/>
            <w:szCs w:val="18"/>
          </w:rPr>
          <w:t>Tabulka č. 3: Proplacené splatné směnky v roce 2020</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_Toc65836225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4</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26" w:history="1">
        <w:r w:rsidR="006F3E16" w:rsidRPr="003046D9">
          <w:rPr>
            <w:rStyle w:val="Hypertextovodkaz"/>
            <w:noProof/>
            <w:sz w:val="18"/>
            <w:szCs w:val="18"/>
          </w:rPr>
          <w:t>Tabulka č. 4: Stav realizace privatizačních projektů</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_Toc65836226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6</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27" w:history="1">
        <w:r w:rsidR="006F3E16" w:rsidRPr="003046D9">
          <w:rPr>
            <w:rStyle w:val="Hypertextovodkaz"/>
            <w:noProof/>
            <w:sz w:val="18"/>
            <w:szCs w:val="18"/>
          </w:rPr>
          <w:t>Tabulka č. 5: Přehled o privatizaci akcií akciových společností do konce roku 2020(tis.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_Toc65836227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8</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28" w:history="1">
        <w:r w:rsidR="006F3E16" w:rsidRPr="003046D9">
          <w:rPr>
            <w:rStyle w:val="Hypertextovodkaz"/>
            <w:noProof/>
            <w:sz w:val="18"/>
            <w:szCs w:val="18"/>
          </w:rPr>
          <w:t>Tabulka č. 6: Přehled peněžních příjmů a výdajů zvláštního účtu velké privatizace k 31. 12. 2020 (tis.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_Toc65836228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9</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29" w:history="1">
        <w:r w:rsidR="006F3E16" w:rsidRPr="003046D9">
          <w:rPr>
            <w:rStyle w:val="Hypertextovodkaz"/>
            <w:noProof/>
            <w:sz w:val="18"/>
            <w:szCs w:val="18"/>
          </w:rPr>
          <w:t>Tabulka č. 7: Rozpis konečného zůstatku peněžních prostředků k 31. 12. 2020 (tis.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_Toc65836229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9</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30" w:history="1">
        <w:r w:rsidR="006F3E16" w:rsidRPr="003046D9">
          <w:rPr>
            <w:rStyle w:val="Hypertextovodkaz"/>
            <w:noProof/>
            <w:sz w:val="18"/>
            <w:szCs w:val="18"/>
          </w:rPr>
          <w:t>Tabulka č. 8: Rekapitulace uložení peněžních prostředků z velké privatizace k 31. 12. 2020 (tis.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_Toc65836230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10</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31" w:history="1">
        <w:r w:rsidR="006F3E16" w:rsidRPr="003046D9">
          <w:rPr>
            <w:rStyle w:val="Hypertextovodkaz"/>
            <w:noProof/>
            <w:sz w:val="18"/>
            <w:szCs w:val="18"/>
          </w:rPr>
          <w:t>Tabulka č. 9: Druhová struktura ostatních příjmů velké privatizace v roce 2020 (tis.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_Toc65836231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11</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32" w:history="1">
        <w:r w:rsidR="006F3E16" w:rsidRPr="003046D9">
          <w:rPr>
            <w:rStyle w:val="Hypertextovodkaz"/>
            <w:noProof/>
            <w:sz w:val="18"/>
            <w:szCs w:val="18"/>
          </w:rPr>
          <w:t>Tabulka č. 10: Druhová struktura celkových výdajů v roce 2020 (tis.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_Toc65836232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12</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33" w:history="1">
        <w:r w:rsidR="006F3E16" w:rsidRPr="003046D9">
          <w:rPr>
            <w:rStyle w:val="Hypertextovodkaz"/>
            <w:noProof/>
            <w:sz w:val="18"/>
            <w:szCs w:val="18"/>
          </w:rPr>
          <w:t>Tabulka č. 11: Přehled peněžních příjmů a výdajů zvláštního účtu malé privatizace k 31. 12. 2020 (tis.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_Toc65836233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15</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34" w:history="1">
        <w:r w:rsidR="006F3E16" w:rsidRPr="003046D9">
          <w:rPr>
            <w:rStyle w:val="Hypertextovodkaz"/>
            <w:noProof/>
            <w:sz w:val="18"/>
            <w:szCs w:val="18"/>
          </w:rPr>
          <w:t>Tabulka č. 12: Peněžní prostředky na běžných bankovních účtech malé privatizace (tis.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_Toc65836234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15</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35" w:history="1">
        <w:r w:rsidR="006F3E16" w:rsidRPr="003046D9">
          <w:rPr>
            <w:rStyle w:val="Hypertextovodkaz"/>
            <w:noProof/>
            <w:sz w:val="18"/>
            <w:szCs w:val="18"/>
          </w:rPr>
          <w:t>Tabulka č. 13: Přehled nevrácených termínovaných vkladů a úroků, evidovaných jako pohledávky (banky v likvidaci či konkursním řízení) malé privatizace (tis.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_Toc65836235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16</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36" w:history="1">
        <w:r w:rsidR="006F3E16" w:rsidRPr="003046D9">
          <w:rPr>
            <w:rStyle w:val="Hypertextovodkaz"/>
            <w:noProof/>
            <w:sz w:val="18"/>
            <w:szCs w:val="18"/>
          </w:rPr>
          <w:t>Tabulka č. 14: Stav pohledávek Fondu privatizace ke dni 31. 12. 2020 (tis.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_Toc65836236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16</w:t>
        </w:r>
        <w:r w:rsidR="006F3E16" w:rsidRPr="003046D9">
          <w:rPr>
            <w:noProof/>
            <w:webHidden/>
            <w:sz w:val="18"/>
            <w:szCs w:val="18"/>
          </w:rPr>
          <w:fldChar w:fldCharType="end"/>
        </w:r>
      </w:hyperlink>
    </w:p>
    <w:p w:rsidR="006F3E16" w:rsidRPr="003046D9" w:rsidRDefault="00E13D9D" w:rsidP="003A1B79">
      <w:pPr>
        <w:pStyle w:val="Seznamobrzk"/>
        <w:tabs>
          <w:tab w:val="right" w:leader="dot" w:pos="9628"/>
        </w:tabs>
        <w:spacing w:before="0"/>
        <w:rPr>
          <w:rFonts w:eastAsiaTheme="minorEastAsia"/>
          <w:noProof/>
          <w:sz w:val="18"/>
          <w:szCs w:val="18"/>
          <w:lang w:eastAsia="cs-CZ"/>
        </w:rPr>
      </w:pPr>
      <w:hyperlink w:anchor="_Toc65836237" w:history="1">
        <w:r w:rsidR="006F3E16" w:rsidRPr="003046D9">
          <w:rPr>
            <w:rStyle w:val="Hypertextovodkaz"/>
            <w:noProof/>
            <w:sz w:val="18"/>
            <w:szCs w:val="18"/>
          </w:rPr>
          <w:t>Tabulka č. 15: Přehled největších dlužníků Fondu privatizace (tis. Kč)</w:t>
        </w:r>
        <w:r w:rsidR="006F3E16" w:rsidRPr="003046D9">
          <w:rPr>
            <w:noProof/>
            <w:webHidden/>
            <w:sz w:val="18"/>
            <w:szCs w:val="18"/>
          </w:rPr>
          <w:tab/>
        </w:r>
        <w:r w:rsidR="006F3E16" w:rsidRPr="003046D9">
          <w:rPr>
            <w:noProof/>
            <w:webHidden/>
            <w:sz w:val="18"/>
            <w:szCs w:val="18"/>
          </w:rPr>
          <w:fldChar w:fldCharType="begin"/>
        </w:r>
        <w:r w:rsidR="006F3E16" w:rsidRPr="003046D9">
          <w:rPr>
            <w:noProof/>
            <w:webHidden/>
            <w:sz w:val="18"/>
            <w:szCs w:val="18"/>
          </w:rPr>
          <w:instrText xml:space="preserve"> PAGEREF _Toc65836237 \h </w:instrText>
        </w:r>
        <w:r w:rsidR="006F3E16" w:rsidRPr="003046D9">
          <w:rPr>
            <w:noProof/>
            <w:webHidden/>
            <w:sz w:val="18"/>
            <w:szCs w:val="18"/>
          </w:rPr>
        </w:r>
        <w:r w:rsidR="006F3E16" w:rsidRPr="003046D9">
          <w:rPr>
            <w:noProof/>
            <w:webHidden/>
            <w:sz w:val="18"/>
            <w:szCs w:val="18"/>
          </w:rPr>
          <w:fldChar w:fldCharType="separate"/>
        </w:r>
        <w:r w:rsidR="008A4BFD" w:rsidRPr="003046D9">
          <w:rPr>
            <w:noProof/>
            <w:webHidden/>
            <w:sz w:val="18"/>
            <w:szCs w:val="18"/>
          </w:rPr>
          <w:t>17</w:t>
        </w:r>
        <w:r w:rsidR="006F3E16" w:rsidRPr="003046D9">
          <w:rPr>
            <w:noProof/>
            <w:webHidden/>
            <w:sz w:val="18"/>
            <w:szCs w:val="18"/>
          </w:rPr>
          <w:fldChar w:fldCharType="end"/>
        </w:r>
      </w:hyperlink>
    </w:p>
    <w:p w:rsidR="004F4A5D" w:rsidRDefault="003923B9" w:rsidP="003A1B79">
      <w:pPr>
        <w:spacing w:before="0"/>
        <w:rPr>
          <w:rFonts w:ascii="Calibri" w:hAnsi="Calibri"/>
          <w:sz w:val="16"/>
          <w:szCs w:val="16"/>
        </w:rPr>
      </w:pPr>
      <w:r w:rsidRPr="003046D9">
        <w:rPr>
          <w:sz w:val="18"/>
          <w:szCs w:val="18"/>
        </w:rPr>
        <w:fldChar w:fldCharType="end"/>
      </w:r>
    </w:p>
    <w:p w:rsidR="00626D52" w:rsidRPr="00167E7D" w:rsidRDefault="00626D52" w:rsidP="003066E1">
      <w:pPr>
        <w:spacing w:before="0"/>
        <w:jc w:val="left"/>
        <w:sectPr w:rsidR="00626D52" w:rsidRPr="00167E7D" w:rsidSect="0079758A">
          <w:footerReference w:type="default" r:id="rId8"/>
          <w:pgSz w:w="11906" w:h="16838"/>
          <w:pgMar w:top="1134" w:right="1134" w:bottom="1134" w:left="1134" w:header="709" w:footer="709" w:gutter="0"/>
          <w:cols w:space="708"/>
          <w:docGrid w:linePitch="360"/>
        </w:sectPr>
      </w:pPr>
    </w:p>
    <w:p w:rsidR="00BD1E4E" w:rsidRPr="00CE5892" w:rsidRDefault="00BD1E4E" w:rsidP="00BD1E4E">
      <w:pPr>
        <w:pStyle w:val="Bezmezer"/>
      </w:pPr>
      <w:bookmarkStart w:id="0" w:name="_Toc34922950"/>
      <w:bookmarkStart w:id="1" w:name="_Toc65836211"/>
      <w:bookmarkStart w:id="2" w:name="_Toc378076269"/>
      <w:bookmarkStart w:id="3" w:name="_Toc378076660"/>
      <w:bookmarkStart w:id="4" w:name="_Toc378076708"/>
      <w:bookmarkStart w:id="5" w:name="_Toc35600634"/>
      <w:r w:rsidRPr="00CE5892">
        <w:lastRenderedPageBreak/>
        <w:t>Informace o postupu privatizace</w:t>
      </w:r>
      <w:bookmarkEnd w:id="0"/>
      <w:bookmarkEnd w:id="1"/>
    </w:p>
    <w:p w:rsidR="00BD1E4E" w:rsidRPr="00034EC9" w:rsidRDefault="00BD1E4E" w:rsidP="00BD1E4E">
      <w:pPr>
        <w:pStyle w:val="Nadpis1"/>
      </w:pPr>
      <w:bookmarkStart w:id="6" w:name="_Toc34922951"/>
      <w:bookmarkStart w:id="7" w:name="_Toc65836212"/>
      <w:r w:rsidRPr="00034EC9">
        <w:t>Prodej akcií</w:t>
      </w:r>
      <w:bookmarkEnd w:id="6"/>
      <w:bookmarkEnd w:id="7"/>
    </w:p>
    <w:p w:rsidR="00D7628E" w:rsidRDefault="00D7628E" w:rsidP="00BD1E4E">
      <w:pPr>
        <w:rPr>
          <w:b/>
        </w:rPr>
      </w:pPr>
      <w:r w:rsidRPr="00D7628E">
        <w:rPr>
          <w:b/>
        </w:rPr>
        <w:t>Ovládané sp</w:t>
      </w:r>
      <w:r>
        <w:rPr>
          <w:b/>
        </w:rPr>
        <w:t>olečnosti strategického významu</w:t>
      </w:r>
      <w:r>
        <w:rPr>
          <w:rStyle w:val="Znakapoznpodarou"/>
          <w:b/>
        </w:rPr>
        <w:footnoteReference w:id="1"/>
      </w:r>
    </w:p>
    <w:p w:rsidR="00D7628E" w:rsidRDefault="00D31338" w:rsidP="00BD1E4E">
      <w:r>
        <w:t>V </w:t>
      </w:r>
      <w:r w:rsidR="00D7628E" w:rsidRPr="00D7628E">
        <w:t>roce 2020 nebyl realizován žádný prodej akcií společností strategického významu.</w:t>
      </w:r>
    </w:p>
    <w:p w:rsidR="00BD1E4E" w:rsidRPr="006F2953" w:rsidRDefault="00BD1E4E" w:rsidP="00BD1E4E">
      <w:pPr>
        <w:rPr>
          <w:b/>
        </w:rPr>
      </w:pPr>
      <w:r w:rsidRPr="006F2953">
        <w:rPr>
          <w:b/>
        </w:rPr>
        <w:t>Ostatní společnosti</w:t>
      </w:r>
    </w:p>
    <w:p w:rsidR="00D7628E" w:rsidRDefault="00D31338" w:rsidP="00D7628E">
      <w:r>
        <w:t>Dne 8. 9. </w:t>
      </w:r>
      <w:r w:rsidR="00D7628E">
        <w:t>2020 byla z Veřejného rejstříku vymazána společnos</w:t>
      </w:r>
      <w:r>
        <w:t>t TRANZA Strojírny a.s. Dne 14. 10. 2020 bylo v </w:t>
      </w:r>
      <w:r w:rsidR="00D7628E">
        <w:t>budově MF, Letenská 15, Praha 1 zlikvidováno – skartováno 5 ks kmenových akcií ve jmenovité hodnotě 11</w:t>
      </w:r>
      <w:r w:rsidR="007730FB">
        <w:t>3</w:t>
      </w:r>
      <w:r>
        <w:t> </w:t>
      </w:r>
      <w:r w:rsidR="00D7628E">
        <w:t>Kč, 3 ks hromadných listin nahrazujících 10 ks akci</w:t>
      </w:r>
      <w:r w:rsidR="000F72B5">
        <w:t>í v </w:t>
      </w:r>
      <w:r w:rsidR="007730FB">
        <w:t>celkové jmenovité hodnotě 1</w:t>
      </w:r>
      <w:r w:rsidR="000F72B5">
        <w:t> </w:t>
      </w:r>
      <w:r w:rsidR="007730FB">
        <w:t>130</w:t>
      </w:r>
      <w:r w:rsidR="000F72B5">
        <w:t> </w:t>
      </w:r>
      <w:r>
        <w:t>Kč a 31 </w:t>
      </w:r>
      <w:r w:rsidR="00D7628E">
        <w:t>ks hromadných listin nahrazujících 100 ks akcií</w:t>
      </w:r>
      <w:r w:rsidR="000F72B5">
        <w:t xml:space="preserve"> v </w:t>
      </w:r>
      <w:r w:rsidR="007730FB">
        <w:t>celkové jmenovité hodnotě 11</w:t>
      </w:r>
      <w:r>
        <w:t> </w:t>
      </w:r>
      <w:r w:rsidR="007730FB">
        <w:t>300</w:t>
      </w:r>
      <w:r>
        <w:t> </w:t>
      </w:r>
      <w:r w:rsidR="00D7628E">
        <w:t>Kč.</w:t>
      </w:r>
    </w:p>
    <w:p w:rsidR="00D7628E" w:rsidRDefault="00D7628E" w:rsidP="00D7628E">
      <w:r>
        <w:t>Dne 17. 12. 2019 byla z Veřejného rejstříku vymazána společno</w:t>
      </w:r>
      <w:r w:rsidR="00D31338">
        <w:t>st ČKD DOPRAVNÍ SYSTÉMY, a.s. v </w:t>
      </w:r>
      <w:r>
        <w:t>likvidaci. Po uplynutí roční lhůty byla v prosinci 2020 zrušena emise zaknihovaných cenných papírů této společnosti na majetkovém účtu MF v Centrálním depozitáři cenných papírů.</w:t>
      </w:r>
    </w:p>
    <w:p w:rsidR="00D7628E" w:rsidRDefault="000F72B5" w:rsidP="00D7628E">
      <w:r>
        <w:t>Ke dni 3. 7. </w:t>
      </w:r>
      <w:r w:rsidR="00D7628E">
        <w:t>2017 byla v Centrálním depozitáři cenných papírů zrušena 1 akcie společnosti Ú</w:t>
      </w:r>
      <w:r>
        <w:t>stav nerostných surovin, a.s. v </w:t>
      </w:r>
      <w:r w:rsidR="00D7628E">
        <w:t>likvidaci. Do konce roku 2020</w:t>
      </w:r>
      <w:r>
        <w:t xml:space="preserve"> nedošlo k výmazu společnosti z </w:t>
      </w:r>
      <w:r w:rsidR="00D7628E">
        <w:t xml:space="preserve">Veřejného rejstříku z důvodu nesouhlasu Finančního úřadu v Kutné Hoře s ukončením likvidace společnosti. </w:t>
      </w:r>
    </w:p>
    <w:p w:rsidR="00D7628E" w:rsidRDefault="000F72B5" w:rsidP="00D7628E">
      <w:r>
        <w:t>Z </w:t>
      </w:r>
      <w:r w:rsidR="00D7628E">
        <w:t xml:space="preserve">celkového počtu 276 kusů akcií převzatých MF z navýšení základního kapitálu společnosti Vodovody a kanalizace Zlín, a.s. bylo v souladu s příslušným rozhodnutím o privatizaci v průběhu let 2017 </w:t>
      </w:r>
      <w:r>
        <w:t>–</w:t>
      </w:r>
      <w:r w:rsidR="00D7628E">
        <w:t xml:space="preserve"> </w:t>
      </w:r>
      <w:r>
        <w:t>2018</w:t>
      </w:r>
      <w:r>
        <w:br/>
      </w:r>
      <w:r w:rsidR="00D7628E">
        <w:t xml:space="preserve">bezúplatně převedeno 272 kusů akcií na 35 určených měst a obcí. </w:t>
      </w:r>
      <w:r>
        <w:t>Do konce roku 2020 si 4 akcie 3 </w:t>
      </w:r>
      <w:r w:rsidR="00D7628E">
        <w:t>obce dosud nepřevzaly.</w:t>
      </w:r>
    </w:p>
    <w:p w:rsidR="00BD1E4E" w:rsidRDefault="00BD1E4E" w:rsidP="00FD6B3B">
      <w:pPr>
        <w:rPr>
          <w:b/>
          <w:bCs/>
        </w:rPr>
      </w:pPr>
      <w:r w:rsidRPr="00034EC9">
        <w:rPr>
          <w:b/>
          <w:bCs/>
        </w:rPr>
        <w:t>Seznam ukončených privatizací nestrategických a</w:t>
      </w:r>
      <w:r w:rsidR="00034EC9">
        <w:rPr>
          <w:b/>
          <w:bCs/>
        </w:rPr>
        <w:t>kciových společností v roce 2020</w:t>
      </w:r>
    </w:p>
    <w:p w:rsidR="00D7628E" w:rsidRPr="00D7628E" w:rsidRDefault="00D7628E" w:rsidP="00D7628E">
      <w:pPr>
        <w:pStyle w:val="odrka"/>
        <w:ind w:left="284" w:hanging="284"/>
      </w:pPr>
      <w:r w:rsidRPr="00D7628E">
        <w:t>TRANZA Strojírny, a.s.</w:t>
      </w:r>
    </w:p>
    <w:p w:rsidR="00D7628E" w:rsidRPr="00D7628E" w:rsidRDefault="00D7628E" w:rsidP="00D7628E">
      <w:pPr>
        <w:pStyle w:val="odrka"/>
        <w:ind w:left="284" w:hanging="284"/>
        <w:rPr>
          <w:b/>
          <w:bCs/>
        </w:rPr>
      </w:pPr>
      <w:r w:rsidRPr="00D7628E">
        <w:t>ČKD DOPRAVNÍ SYSTÉMY, a.s. v</w:t>
      </w:r>
      <w:r>
        <w:t> </w:t>
      </w:r>
      <w:r w:rsidRPr="00D7628E">
        <w:t>likvidaci</w:t>
      </w:r>
    </w:p>
    <w:p w:rsidR="00D7628E" w:rsidRDefault="00BD1E4E" w:rsidP="00D7628E">
      <w:pPr>
        <w:pStyle w:val="Nadpis1"/>
      </w:pPr>
      <w:bookmarkStart w:id="8" w:name="_Toc34922952"/>
      <w:bookmarkStart w:id="9" w:name="_Toc65836213"/>
      <w:r w:rsidRPr="00CE5892">
        <w:t>Prodej majetku</w:t>
      </w:r>
      <w:bookmarkStart w:id="10" w:name="_Toc34922953"/>
      <w:bookmarkEnd w:id="8"/>
      <w:bookmarkEnd w:id="9"/>
    </w:p>
    <w:p w:rsidR="00D7628E" w:rsidRPr="00D7628E" w:rsidRDefault="00D7628E" w:rsidP="00412000">
      <w:r w:rsidRPr="00412000">
        <w:t>V roce 2020 bylo vyhlášeno celkem 41 veřejných soutěží na prodej majetku. Na základě vyhodnocení přijatých soutěžních nabídek bylo uzavřeno celkem 15 smluv na prodej</w:t>
      </w:r>
      <w:r w:rsidR="00D31338">
        <w:t xml:space="preserve"> majetku v celkové hodnotě 51,7 </w:t>
      </w:r>
      <w:r w:rsidRPr="00412000">
        <w:t>m</w:t>
      </w:r>
      <w:r w:rsidR="00D31338">
        <w:t>il. </w:t>
      </w:r>
      <w:r w:rsidRPr="00412000">
        <w:t>Kč.</w:t>
      </w:r>
    </w:p>
    <w:p w:rsidR="00D7628E" w:rsidRPr="00412000" w:rsidRDefault="00D7628E" w:rsidP="00412000">
      <w:r w:rsidRPr="00412000">
        <w:t xml:space="preserve">Realizovány byly především prodeje majetku Státního pozemkového úřadu (pozemky, rybníky, budovy, zemědělské objekty a areály) a majetku Ministerstva financí (pozemky, budovy). </w:t>
      </w:r>
    </w:p>
    <w:p w:rsidR="00D7628E" w:rsidRPr="00412000" w:rsidRDefault="00D7628E" w:rsidP="00412000">
      <w:r w:rsidRPr="00412000">
        <w:t xml:space="preserve"> Formou přímého prodeje určeným nabyvatelům bylo privatizováno celkem 84 privatizačních jednotek za celkovou kupní cenu 1,699 mld. Kč. Celkový objem prodaného majetku byl tvořen příjmy z prodeje majetku Úřadu pro zastupování státu ve věcech majetkových (převážně pozemky Technických služeb České Budějovice), Správy železnic, s.o. (pozemky), Státního pozemkového úřadu (pozemky, rybníky, zemědělské areály) a státního podniku Správa letiště Praha (pozemky).</w:t>
      </w:r>
    </w:p>
    <w:p w:rsidR="00D7628E" w:rsidRPr="00412000" w:rsidRDefault="00D7628E" w:rsidP="00412000">
      <w:r w:rsidRPr="00412000">
        <w:t>Dále bylo v roce 2020 realizováno celkem 25 b</w:t>
      </w:r>
      <w:r w:rsidR="00D31338">
        <w:t>ezúplatných převodů, převážně z </w:t>
      </w:r>
      <w:r w:rsidRPr="00412000">
        <w:t>majetku Státního pozemkového úřadu (pozemky) a dále majetek Úřadu pro zastupování státu ve věcech majetkových (pozemky bývalých Technických služeb České Budějovice). Účetn</w:t>
      </w:r>
      <w:r w:rsidR="00D31338">
        <w:t>í hodnota převáděného majetku v </w:t>
      </w:r>
      <w:r w:rsidRPr="00412000">
        <w:t>celkovém objemu činila 11,8 mil. Kč.</w:t>
      </w:r>
    </w:p>
    <w:p w:rsidR="00BD1E4E" w:rsidRPr="00034EC9" w:rsidRDefault="00BD1E4E" w:rsidP="00D7628E">
      <w:pPr>
        <w:pStyle w:val="Nadpis1"/>
      </w:pPr>
      <w:bookmarkStart w:id="11" w:name="_Toc65836214"/>
      <w:r w:rsidRPr="00034EC9">
        <w:t>Výkon akcionářských práv</w:t>
      </w:r>
      <w:bookmarkEnd w:id="10"/>
      <w:bookmarkEnd w:id="11"/>
    </w:p>
    <w:p w:rsidR="00412000" w:rsidRDefault="00545A33" w:rsidP="003046D9">
      <w:pPr>
        <w:rPr>
          <w:b/>
        </w:rPr>
      </w:pPr>
      <w:r>
        <w:t>MF vykonávalo k</w:t>
      </w:r>
      <w:r w:rsidR="000F72B5">
        <w:t> 31. 12. </w:t>
      </w:r>
      <w:r w:rsidR="00412000" w:rsidRPr="00412000">
        <w:t>2020 akcionářská práva státu ve 4 akciových společn</w:t>
      </w:r>
      <w:r w:rsidR="00D31338">
        <w:t xml:space="preserve">ostech strategického významu s </w:t>
      </w:r>
      <w:r w:rsidR="00412000" w:rsidRPr="00412000">
        <w:t>majoritním podílem o celkové jmenovité hodnotě 51,75 mld. Kč.</w:t>
      </w:r>
    </w:p>
    <w:p w:rsidR="00BD1E4E" w:rsidRPr="003046D9" w:rsidRDefault="00BD1E4E" w:rsidP="003046D9">
      <w:pPr>
        <w:pStyle w:val="Nzev"/>
      </w:pPr>
      <w:bookmarkStart w:id="12" w:name="_Toc65836223"/>
      <w:r w:rsidRPr="003046D9">
        <w:lastRenderedPageBreak/>
        <w:t xml:space="preserve">Tabulka č. </w:t>
      </w:r>
      <w:r w:rsidR="00E13D9D">
        <w:fldChar w:fldCharType="begin"/>
      </w:r>
      <w:r w:rsidR="00E13D9D">
        <w:instrText xml:space="preserve"> SEQ Tabulka_č. \* ARABIC </w:instrText>
      </w:r>
      <w:r w:rsidR="00E13D9D">
        <w:fldChar w:fldCharType="separate"/>
      </w:r>
      <w:r w:rsidR="008A4BFD" w:rsidRPr="003046D9">
        <w:t>1</w:t>
      </w:r>
      <w:r w:rsidR="00E13D9D">
        <w:fldChar w:fldCharType="end"/>
      </w:r>
      <w:r w:rsidRPr="003046D9">
        <w:t xml:space="preserve">: Seznam společností strategického významu v portfoliu MF </w:t>
      </w:r>
      <w:r w:rsidR="00D31338" w:rsidRPr="003046D9">
        <w:t>k </w:t>
      </w:r>
      <w:r w:rsidRPr="003046D9">
        <w:t>31.</w:t>
      </w:r>
      <w:r w:rsidR="000A6461" w:rsidRPr="003046D9">
        <w:t xml:space="preserve"> </w:t>
      </w:r>
      <w:r w:rsidRPr="003046D9">
        <w:t>12.</w:t>
      </w:r>
      <w:r w:rsidR="000A6461" w:rsidRPr="003046D9">
        <w:t xml:space="preserve"> </w:t>
      </w:r>
      <w:r w:rsidRPr="003046D9">
        <w:t>20</w:t>
      </w:r>
      <w:r w:rsidR="00034EC9" w:rsidRPr="003046D9">
        <w:t>20</w:t>
      </w:r>
      <w:bookmarkEnd w:id="12"/>
    </w:p>
    <w:p w:rsidR="00D31338" w:rsidRPr="00D31338" w:rsidRDefault="00D31338" w:rsidP="00D31338">
      <w:pPr>
        <w:pStyle w:val="Tabgraf"/>
      </w:pPr>
      <w:r>
        <w:rPr>
          <w:noProof/>
          <w:lang w:eastAsia="cs-CZ"/>
        </w:rPr>
        <w:drawing>
          <wp:inline distT="0" distB="0" distL="0" distR="0" wp14:anchorId="75119B4C" wp14:editId="3F7FA77F">
            <wp:extent cx="4514850" cy="1447800"/>
            <wp:effectExtent l="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4850" cy="14478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E26228" w:rsidRDefault="00E26228" w:rsidP="00D31338">
      <w:pPr>
        <w:pStyle w:val="Podnadpis"/>
      </w:pPr>
      <w:r w:rsidRPr="00E26228">
        <w:t>*/ pouze podíl v režimu zákona č. 92/1991 Sb. (celkové držení MF ve Výzkumném a zkušebním leteckém ústavu, a.s. včetně podílu po bývalé ČKA činí 750.968</w:t>
      </w:r>
      <w:r w:rsidR="00D31338">
        <w:t xml:space="preserve"> tis. Kč, tj. 100%,</w:t>
      </w:r>
      <w:r w:rsidRPr="00E26228">
        <w:t xml:space="preserve"> a v ČEZ, a.s. včetně tzv. odúmrtí státu a akcií převedených z MPSV činí držení MF 37.541.089,6 tis. Kč, tj. 69,78%).</w:t>
      </w:r>
    </w:p>
    <w:p w:rsidR="00E26228" w:rsidRDefault="00D31338" w:rsidP="00E26228">
      <w:pPr>
        <w:pStyle w:val="Nzev"/>
        <w:rPr>
          <w:rFonts w:eastAsiaTheme="minorHAnsi" w:cstheme="minorBidi"/>
          <w:b w:val="0"/>
          <w:color w:val="auto"/>
          <w:spacing w:val="0"/>
          <w:kern w:val="0"/>
          <w:szCs w:val="22"/>
        </w:rPr>
      </w:pPr>
      <w:r>
        <w:rPr>
          <w:rFonts w:eastAsiaTheme="minorHAnsi" w:cstheme="minorBidi"/>
          <w:b w:val="0"/>
          <w:color w:val="auto"/>
          <w:spacing w:val="0"/>
          <w:kern w:val="0"/>
          <w:szCs w:val="22"/>
        </w:rPr>
        <w:t>K 31. 12. </w:t>
      </w:r>
      <w:r w:rsidR="00E26228" w:rsidRPr="00E26228">
        <w:rPr>
          <w:rFonts w:eastAsiaTheme="minorHAnsi" w:cstheme="minorBidi"/>
          <w:b w:val="0"/>
          <w:color w:val="auto"/>
          <w:spacing w:val="0"/>
          <w:kern w:val="0"/>
          <w:szCs w:val="22"/>
        </w:rPr>
        <w:t>2020 evidovalo MF ve svém portfoliu celkem 14 os</w:t>
      </w:r>
      <w:r>
        <w:rPr>
          <w:rFonts w:eastAsiaTheme="minorHAnsi" w:cstheme="minorBidi"/>
          <w:b w:val="0"/>
          <w:color w:val="auto"/>
          <w:spacing w:val="0"/>
          <w:kern w:val="0"/>
          <w:szCs w:val="22"/>
        </w:rPr>
        <w:t>tatních akciových společností s </w:t>
      </w:r>
      <w:r w:rsidR="00E26228" w:rsidRPr="00E26228">
        <w:rPr>
          <w:rFonts w:eastAsiaTheme="minorHAnsi" w:cstheme="minorBidi"/>
          <w:b w:val="0"/>
          <w:color w:val="auto"/>
          <w:spacing w:val="0"/>
          <w:kern w:val="0"/>
          <w:szCs w:val="22"/>
        </w:rPr>
        <w:t>celkovou jmenovitou hodnoto</w:t>
      </w:r>
      <w:r w:rsidR="002429F8">
        <w:rPr>
          <w:rFonts w:eastAsiaTheme="minorHAnsi" w:cstheme="minorBidi"/>
          <w:b w:val="0"/>
          <w:color w:val="auto"/>
          <w:spacing w:val="0"/>
          <w:kern w:val="0"/>
          <w:szCs w:val="22"/>
        </w:rPr>
        <w:t>u akcií ve výši 7,55 mld. Kč. Z </w:t>
      </w:r>
      <w:r w:rsidR="00E26228" w:rsidRPr="00E26228">
        <w:rPr>
          <w:rFonts w:eastAsiaTheme="minorHAnsi" w:cstheme="minorBidi"/>
          <w:b w:val="0"/>
          <w:color w:val="auto"/>
          <w:spacing w:val="0"/>
          <w:kern w:val="0"/>
          <w:szCs w:val="22"/>
        </w:rPr>
        <w:t>uvedeného počtu ostatních akciových společností evidovalo MF 9 společností, na jejichž majetek byl soudem prohlášen</w:t>
      </w:r>
      <w:r w:rsidR="00E26228">
        <w:rPr>
          <w:rFonts w:eastAsiaTheme="minorHAnsi" w:cstheme="minorBidi"/>
          <w:b w:val="0"/>
          <w:color w:val="auto"/>
          <w:spacing w:val="0"/>
          <w:kern w:val="0"/>
          <w:szCs w:val="22"/>
        </w:rPr>
        <w:t xml:space="preserve"> konkurz nebo jsou v likvidaci.</w:t>
      </w:r>
    </w:p>
    <w:p w:rsidR="00E26228" w:rsidRPr="00E26228" w:rsidRDefault="002429F8" w:rsidP="00E26228">
      <w:r>
        <w:t>V </w:t>
      </w:r>
      <w:r w:rsidR="00E26228" w:rsidRPr="00E26228">
        <w:t>roce 2020 zajistilo MF výkon akcionářských práv u společností strategického významu na 22 valných hromadách včetně rozhodnutí jediného akcionáře učiněných při v</w:t>
      </w:r>
      <w:r>
        <w:t>ýkonu působnosti valné hromady.</w:t>
      </w:r>
    </w:p>
    <w:p w:rsidR="00E26228" w:rsidRDefault="00BD1E4E" w:rsidP="00E26228">
      <w:pPr>
        <w:pStyle w:val="Nzev"/>
      </w:pPr>
      <w:bookmarkStart w:id="13" w:name="_Toc65836224"/>
      <w:r w:rsidRPr="00B16D31">
        <w:t xml:space="preserve">Tabulka č. </w:t>
      </w:r>
      <w:r w:rsidR="00E13D9D">
        <w:fldChar w:fldCharType="begin"/>
      </w:r>
      <w:r w:rsidR="00E13D9D">
        <w:instrText xml:space="preserve"> SEQ Tabulka_č. \* ARABIC </w:instrText>
      </w:r>
      <w:r w:rsidR="00E13D9D">
        <w:fldChar w:fldCharType="separate"/>
      </w:r>
      <w:r w:rsidR="008A4BFD">
        <w:rPr>
          <w:noProof/>
        </w:rPr>
        <w:t>2</w:t>
      </w:r>
      <w:r w:rsidR="00E13D9D">
        <w:rPr>
          <w:noProof/>
        </w:rPr>
        <w:fldChar w:fldCharType="end"/>
      </w:r>
      <w:r w:rsidRPr="00B16D31">
        <w:t>: Struktura portfolia akcií MF</w:t>
      </w:r>
      <w:bookmarkEnd w:id="13"/>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30" w:type="dxa"/>
          <w:right w:w="30" w:type="dxa"/>
        </w:tblCellMar>
        <w:tblLook w:val="0000" w:firstRow="0" w:lastRow="0" w:firstColumn="0" w:lastColumn="0" w:noHBand="0" w:noVBand="0"/>
      </w:tblPr>
      <w:tblGrid>
        <w:gridCol w:w="3291"/>
        <w:gridCol w:w="708"/>
        <w:gridCol w:w="2127"/>
        <w:gridCol w:w="708"/>
        <w:gridCol w:w="2196"/>
      </w:tblGrid>
      <w:tr w:rsidR="00E26228" w:rsidRPr="00E26228" w:rsidTr="009D6F19">
        <w:trPr>
          <w:cantSplit/>
          <w:trHeight w:val="274"/>
        </w:trPr>
        <w:tc>
          <w:tcPr>
            <w:tcW w:w="3291" w:type="dxa"/>
            <w:vMerge w:val="restart"/>
            <w:vAlign w:val="center"/>
          </w:tcPr>
          <w:p w:rsidR="00E26228" w:rsidRPr="00E26228" w:rsidRDefault="00E26228" w:rsidP="00E26228">
            <w:pPr>
              <w:keepNext/>
              <w:numPr>
                <w:ilvl w:val="0"/>
                <w:numId w:val="14"/>
              </w:numPr>
              <w:spacing w:before="0"/>
              <w:ind w:left="0" w:firstLine="0"/>
              <w:jc w:val="center"/>
              <w:outlineLvl w:val="6"/>
              <w:rPr>
                <w:rFonts w:eastAsia="Times New Roman" w:cs="Times New Roman"/>
                <w:b/>
                <w:snapToGrid w:val="0"/>
                <w:color w:val="000000"/>
                <w:sz w:val="20"/>
                <w:szCs w:val="20"/>
                <w:lang w:eastAsia="cs-CZ"/>
              </w:rPr>
            </w:pPr>
            <w:r w:rsidRPr="00E26228">
              <w:rPr>
                <w:rFonts w:eastAsia="Times New Roman" w:cs="Times New Roman"/>
                <w:b/>
                <w:snapToGrid w:val="0"/>
                <w:color w:val="000000"/>
                <w:sz w:val="20"/>
                <w:szCs w:val="20"/>
                <w:lang w:eastAsia="cs-CZ"/>
              </w:rPr>
              <w:t>DRŽENÍ MF</w:t>
            </w:r>
          </w:p>
        </w:tc>
        <w:tc>
          <w:tcPr>
            <w:tcW w:w="2835" w:type="dxa"/>
            <w:gridSpan w:val="2"/>
            <w:vAlign w:val="center"/>
          </w:tcPr>
          <w:p w:rsidR="00E26228" w:rsidRPr="00E26228" w:rsidRDefault="00E26228" w:rsidP="00E26228">
            <w:pPr>
              <w:spacing w:before="0"/>
              <w:jc w:val="center"/>
              <w:rPr>
                <w:rFonts w:eastAsia="Times New Roman" w:cs="Times New Roman"/>
                <w:b/>
                <w:snapToGrid w:val="0"/>
                <w:color w:val="000000"/>
                <w:sz w:val="20"/>
                <w:szCs w:val="20"/>
                <w:lang w:eastAsia="cs-CZ"/>
              </w:rPr>
            </w:pPr>
            <w:r w:rsidRPr="00E26228">
              <w:rPr>
                <w:rFonts w:eastAsia="Times New Roman" w:cs="Times New Roman"/>
                <w:b/>
                <w:snapToGrid w:val="0"/>
                <w:color w:val="000000"/>
                <w:sz w:val="20"/>
                <w:szCs w:val="20"/>
                <w:lang w:eastAsia="cs-CZ"/>
              </w:rPr>
              <w:t>Stav k 31. 12. 2019</w:t>
            </w:r>
          </w:p>
        </w:tc>
        <w:tc>
          <w:tcPr>
            <w:tcW w:w="2904" w:type="dxa"/>
            <w:gridSpan w:val="2"/>
            <w:vAlign w:val="center"/>
          </w:tcPr>
          <w:p w:rsidR="00E26228" w:rsidRPr="00E26228" w:rsidRDefault="00E26228" w:rsidP="00E26228">
            <w:pPr>
              <w:spacing w:before="0"/>
              <w:jc w:val="center"/>
              <w:rPr>
                <w:rFonts w:eastAsia="Times New Roman" w:cs="Times New Roman"/>
                <w:b/>
                <w:snapToGrid w:val="0"/>
                <w:color w:val="000000"/>
                <w:sz w:val="20"/>
                <w:szCs w:val="20"/>
                <w:lang w:eastAsia="cs-CZ"/>
              </w:rPr>
            </w:pPr>
            <w:r w:rsidRPr="00E26228">
              <w:rPr>
                <w:rFonts w:eastAsia="Times New Roman" w:cs="Times New Roman"/>
                <w:b/>
                <w:snapToGrid w:val="0"/>
                <w:color w:val="000000"/>
                <w:sz w:val="20"/>
                <w:szCs w:val="20"/>
                <w:lang w:eastAsia="cs-CZ"/>
              </w:rPr>
              <w:t>Stav k 31. 12. 2020</w:t>
            </w:r>
          </w:p>
        </w:tc>
      </w:tr>
      <w:tr w:rsidR="00E26228" w:rsidRPr="00E26228" w:rsidTr="009D6F19">
        <w:trPr>
          <w:cantSplit/>
          <w:trHeight w:val="473"/>
        </w:trPr>
        <w:tc>
          <w:tcPr>
            <w:tcW w:w="3291" w:type="dxa"/>
            <w:vMerge/>
          </w:tcPr>
          <w:p w:rsidR="00E26228" w:rsidRPr="00E26228" w:rsidRDefault="00E26228" w:rsidP="00E26228">
            <w:pPr>
              <w:keepNext/>
              <w:numPr>
                <w:ilvl w:val="0"/>
                <w:numId w:val="14"/>
              </w:numPr>
              <w:spacing w:before="0"/>
              <w:ind w:left="0" w:firstLine="0"/>
              <w:jc w:val="left"/>
              <w:outlineLvl w:val="6"/>
              <w:rPr>
                <w:rFonts w:eastAsia="Times New Roman" w:cs="Times New Roman"/>
                <w:b/>
                <w:snapToGrid w:val="0"/>
                <w:color w:val="000000"/>
                <w:sz w:val="20"/>
                <w:szCs w:val="20"/>
                <w:lang w:eastAsia="cs-CZ"/>
              </w:rPr>
            </w:pPr>
          </w:p>
        </w:tc>
        <w:tc>
          <w:tcPr>
            <w:tcW w:w="708" w:type="dxa"/>
            <w:vAlign w:val="center"/>
          </w:tcPr>
          <w:p w:rsidR="00E26228" w:rsidRPr="00E26228" w:rsidRDefault="00E26228" w:rsidP="00E26228">
            <w:pPr>
              <w:spacing w:before="0"/>
              <w:jc w:val="center"/>
              <w:rPr>
                <w:rFonts w:eastAsia="Times New Roman" w:cs="Times New Roman"/>
                <w:b/>
                <w:snapToGrid w:val="0"/>
                <w:color w:val="000000"/>
                <w:sz w:val="20"/>
                <w:szCs w:val="20"/>
                <w:lang w:val="fr-FR" w:eastAsia="cs-CZ"/>
              </w:rPr>
            </w:pPr>
            <w:r w:rsidRPr="00E26228">
              <w:rPr>
                <w:rFonts w:eastAsia="Times New Roman" w:cs="Times New Roman"/>
                <w:b/>
                <w:snapToGrid w:val="0"/>
                <w:color w:val="000000"/>
                <w:sz w:val="20"/>
                <w:szCs w:val="20"/>
                <w:lang w:val="fr-FR" w:eastAsia="cs-CZ"/>
              </w:rPr>
              <w:t>Počet a. s.</w:t>
            </w:r>
          </w:p>
        </w:tc>
        <w:tc>
          <w:tcPr>
            <w:tcW w:w="2127" w:type="dxa"/>
            <w:vAlign w:val="center"/>
          </w:tcPr>
          <w:p w:rsidR="00E26228" w:rsidRPr="00E26228" w:rsidRDefault="00E26228" w:rsidP="00E26228">
            <w:pPr>
              <w:spacing w:before="0"/>
              <w:jc w:val="center"/>
              <w:rPr>
                <w:rFonts w:eastAsia="Times New Roman" w:cs="Times New Roman"/>
                <w:b/>
                <w:snapToGrid w:val="0"/>
                <w:color w:val="000000"/>
                <w:sz w:val="20"/>
                <w:szCs w:val="20"/>
                <w:lang w:val="fr-FR" w:eastAsia="cs-CZ"/>
              </w:rPr>
            </w:pPr>
            <w:r w:rsidRPr="00E26228">
              <w:rPr>
                <w:rFonts w:eastAsia="Times New Roman" w:cs="Times New Roman"/>
                <w:b/>
                <w:snapToGrid w:val="0"/>
                <w:color w:val="000000"/>
                <w:sz w:val="20"/>
                <w:szCs w:val="20"/>
                <w:lang w:val="fr-FR" w:eastAsia="cs-CZ"/>
              </w:rPr>
              <w:t xml:space="preserve">Jmen. hodnota akcií </w:t>
            </w:r>
          </w:p>
          <w:p w:rsidR="00E26228" w:rsidRPr="00E26228" w:rsidRDefault="00E26228" w:rsidP="00E26228">
            <w:pPr>
              <w:spacing w:before="0"/>
              <w:jc w:val="center"/>
              <w:rPr>
                <w:rFonts w:eastAsia="Times New Roman" w:cs="Times New Roman"/>
                <w:b/>
                <w:snapToGrid w:val="0"/>
                <w:color w:val="000000"/>
                <w:sz w:val="20"/>
                <w:szCs w:val="20"/>
                <w:lang w:val="fr-FR" w:eastAsia="cs-CZ"/>
              </w:rPr>
            </w:pPr>
            <w:r w:rsidRPr="00E26228">
              <w:rPr>
                <w:rFonts w:eastAsia="Times New Roman" w:cs="Times New Roman"/>
                <w:b/>
                <w:snapToGrid w:val="0"/>
                <w:color w:val="000000"/>
                <w:sz w:val="20"/>
                <w:szCs w:val="20"/>
                <w:lang w:val="fr-FR" w:eastAsia="cs-CZ"/>
              </w:rPr>
              <w:t>(v tis. Kč)</w:t>
            </w:r>
          </w:p>
        </w:tc>
        <w:tc>
          <w:tcPr>
            <w:tcW w:w="708" w:type="dxa"/>
            <w:vAlign w:val="center"/>
          </w:tcPr>
          <w:p w:rsidR="00E26228" w:rsidRPr="00E26228" w:rsidRDefault="00E26228" w:rsidP="00E26228">
            <w:pPr>
              <w:spacing w:before="0"/>
              <w:jc w:val="center"/>
              <w:rPr>
                <w:rFonts w:eastAsia="Times New Roman" w:cs="Times New Roman"/>
                <w:b/>
                <w:snapToGrid w:val="0"/>
                <w:color w:val="000000"/>
                <w:sz w:val="20"/>
                <w:szCs w:val="20"/>
                <w:lang w:val="fr-FR" w:eastAsia="cs-CZ"/>
              </w:rPr>
            </w:pPr>
            <w:r w:rsidRPr="00E26228">
              <w:rPr>
                <w:rFonts w:eastAsia="Times New Roman" w:cs="Times New Roman"/>
                <w:b/>
                <w:snapToGrid w:val="0"/>
                <w:color w:val="000000"/>
                <w:sz w:val="20"/>
                <w:szCs w:val="20"/>
                <w:lang w:val="fr-FR" w:eastAsia="cs-CZ"/>
              </w:rPr>
              <w:t>Počet a. s.</w:t>
            </w:r>
          </w:p>
        </w:tc>
        <w:tc>
          <w:tcPr>
            <w:tcW w:w="2196" w:type="dxa"/>
            <w:vAlign w:val="center"/>
          </w:tcPr>
          <w:p w:rsidR="00E26228" w:rsidRPr="00E26228" w:rsidRDefault="00E26228" w:rsidP="00E26228">
            <w:pPr>
              <w:spacing w:before="0"/>
              <w:jc w:val="center"/>
              <w:rPr>
                <w:rFonts w:eastAsia="Times New Roman" w:cs="Times New Roman"/>
                <w:b/>
                <w:snapToGrid w:val="0"/>
                <w:color w:val="000000"/>
                <w:sz w:val="20"/>
                <w:szCs w:val="20"/>
                <w:lang w:val="fr-FR" w:eastAsia="cs-CZ"/>
              </w:rPr>
            </w:pPr>
            <w:r w:rsidRPr="00E26228">
              <w:rPr>
                <w:rFonts w:eastAsia="Times New Roman" w:cs="Times New Roman"/>
                <w:b/>
                <w:snapToGrid w:val="0"/>
                <w:color w:val="000000"/>
                <w:sz w:val="20"/>
                <w:szCs w:val="20"/>
                <w:lang w:val="fr-FR" w:eastAsia="cs-CZ"/>
              </w:rPr>
              <w:t xml:space="preserve">Jmen. hodnota akcií </w:t>
            </w:r>
          </w:p>
          <w:p w:rsidR="00E26228" w:rsidRPr="00E26228" w:rsidRDefault="00E26228" w:rsidP="00E26228">
            <w:pPr>
              <w:spacing w:before="0"/>
              <w:jc w:val="center"/>
              <w:rPr>
                <w:rFonts w:eastAsia="Times New Roman" w:cs="Times New Roman"/>
                <w:b/>
                <w:snapToGrid w:val="0"/>
                <w:color w:val="000000"/>
                <w:sz w:val="20"/>
                <w:szCs w:val="20"/>
                <w:lang w:val="fr-FR" w:eastAsia="cs-CZ"/>
              </w:rPr>
            </w:pPr>
            <w:r w:rsidRPr="00E26228">
              <w:rPr>
                <w:rFonts w:eastAsia="Times New Roman" w:cs="Times New Roman"/>
                <w:b/>
                <w:snapToGrid w:val="0"/>
                <w:color w:val="000000"/>
                <w:sz w:val="20"/>
                <w:szCs w:val="20"/>
                <w:lang w:val="fr-FR" w:eastAsia="cs-CZ"/>
              </w:rPr>
              <w:t xml:space="preserve">         (v tis. Kč)      </w:t>
            </w:r>
          </w:p>
        </w:tc>
      </w:tr>
      <w:tr w:rsidR="00E26228" w:rsidRPr="00E26228" w:rsidTr="009D6F19">
        <w:trPr>
          <w:trHeight w:val="324"/>
        </w:trPr>
        <w:tc>
          <w:tcPr>
            <w:tcW w:w="3291" w:type="dxa"/>
            <w:vAlign w:val="center"/>
          </w:tcPr>
          <w:p w:rsidR="00E26228" w:rsidRPr="00E26228" w:rsidRDefault="00E26228" w:rsidP="00E26228">
            <w:pPr>
              <w:spacing w:before="0"/>
              <w:ind w:left="142"/>
              <w:jc w:val="left"/>
              <w:rPr>
                <w:rFonts w:eastAsia="Times New Roman" w:cs="Times New Roman"/>
                <w:b/>
                <w:snapToGrid w:val="0"/>
                <w:color w:val="000000"/>
                <w:sz w:val="20"/>
                <w:szCs w:val="20"/>
                <w:lang w:val="fr-FR" w:eastAsia="cs-CZ"/>
              </w:rPr>
            </w:pPr>
            <w:r w:rsidRPr="00E26228">
              <w:rPr>
                <w:rFonts w:eastAsia="Times New Roman" w:cs="Times New Roman"/>
                <w:b/>
                <w:snapToGrid w:val="0"/>
                <w:color w:val="000000"/>
                <w:sz w:val="20"/>
                <w:szCs w:val="20"/>
                <w:lang w:val="fr-FR" w:eastAsia="cs-CZ"/>
              </w:rPr>
              <w:t>Akciové společnosti celkem</w:t>
            </w:r>
          </w:p>
        </w:tc>
        <w:tc>
          <w:tcPr>
            <w:tcW w:w="708" w:type="dxa"/>
            <w:vAlign w:val="center"/>
          </w:tcPr>
          <w:p w:rsidR="00E26228" w:rsidRPr="00E26228" w:rsidRDefault="00E26228" w:rsidP="00E26228">
            <w:pPr>
              <w:spacing w:before="0"/>
              <w:jc w:val="center"/>
              <w:rPr>
                <w:rFonts w:eastAsia="Times New Roman" w:cs="Times New Roman"/>
                <w:b/>
                <w:snapToGrid w:val="0"/>
                <w:color w:val="000000"/>
                <w:sz w:val="20"/>
                <w:szCs w:val="20"/>
                <w:lang w:val="de-DE" w:eastAsia="cs-CZ"/>
              </w:rPr>
            </w:pPr>
            <w:r w:rsidRPr="00E26228">
              <w:rPr>
                <w:rFonts w:eastAsia="Times New Roman" w:cs="Times New Roman"/>
                <w:b/>
                <w:snapToGrid w:val="0"/>
                <w:color w:val="000000"/>
                <w:sz w:val="20"/>
                <w:szCs w:val="20"/>
                <w:lang w:val="de-DE" w:eastAsia="cs-CZ"/>
              </w:rPr>
              <w:t>20</w:t>
            </w:r>
          </w:p>
        </w:tc>
        <w:tc>
          <w:tcPr>
            <w:tcW w:w="2127" w:type="dxa"/>
            <w:vAlign w:val="center"/>
          </w:tcPr>
          <w:p w:rsidR="00E26228" w:rsidRPr="00E26228" w:rsidRDefault="00E26228" w:rsidP="00E26228">
            <w:pPr>
              <w:spacing w:before="0"/>
              <w:ind w:right="39"/>
              <w:jc w:val="right"/>
              <w:rPr>
                <w:rFonts w:eastAsia="Times New Roman" w:cs="Times New Roman"/>
                <w:snapToGrid w:val="0"/>
                <w:color w:val="000000"/>
                <w:sz w:val="20"/>
                <w:szCs w:val="20"/>
                <w:lang w:val="de-DE" w:eastAsia="cs-CZ"/>
              </w:rPr>
            </w:pPr>
            <w:r w:rsidRPr="00E26228">
              <w:rPr>
                <w:rFonts w:eastAsia="Times New Roman" w:cs="Times New Roman"/>
                <w:snapToGrid w:val="0"/>
                <w:color w:val="000000"/>
                <w:sz w:val="20"/>
                <w:szCs w:val="20"/>
                <w:lang w:val="de-DE" w:eastAsia="cs-CZ"/>
              </w:rPr>
              <w:t>59 322 143</w:t>
            </w:r>
          </w:p>
        </w:tc>
        <w:tc>
          <w:tcPr>
            <w:tcW w:w="708" w:type="dxa"/>
            <w:vAlign w:val="center"/>
          </w:tcPr>
          <w:p w:rsidR="00E26228" w:rsidRPr="00E26228" w:rsidRDefault="00E26228" w:rsidP="00E26228">
            <w:pPr>
              <w:spacing w:before="0"/>
              <w:jc w:val="center"/>
              <w:rPr>
                <w:rFonts w:eastAsia="Times New Roman" w:cs="Times New Roman"/>
                <w:b/>
                <w:snapToGrid w:val="0"/>
                <w:color w:val="000000"/>
                <w:sz w:val="20"/>
                <w:szCs w:val="20"/>
                <w:lang w:val="de-DE" w:eastAsia="cs-CZ"/>
              </w:rPr>
            </w:pPr>
            <w:r w:rsidRPr="00E26228">
              <w:rPr>
                <w:rFonts w:eastAsia="Times New Roman" w:cs="Times New Roman"/>
                <w:b/>
                <w:snapToGrid w:val="0"/>
                <w:color w:val="000000"/>
                <w:sz w:val="20"/>
                <w:szCs w:val="20"/>
                <w:lang w:val="de-DE" w:eastAsia="cs-CZ"/>
              </w:rPr>
              <w:t>18</w:t>
            </w:r>
          </w:p>
        </w:tc>
        <w:tc>
          <w:tcPr>
            <w:tcW w:w="2196" w:type="dxa"/>
            <w:vAlign w:val="center"/>
          </w:tcPr>
          <w:p w:rsidR="00E26228" w:rsidRPr="00E26228" w:rsidRDefault="00E26228" w:rsidP="00E26228">
            <w:pPr>
              <w:spacing w:before="0"/>
              <w:ind w:right="39"/>
              <w:jc w:val="right"/>
              <w:rPr>
                <w:rFonts w:eastAsia="Times New Roman" w:cs="Times New Roman"/>
                <w:snapToGrid w:val="0"/>
                <w:color w:val="000000"/>
                <w:sz w:val="20"/>
                <w:szCs w:val="20"/>
                <w:lang w:val="de-DE" w:eastAsia="cs-CZ"/>
              </w:rPr>
            </w:pPr>
            <w:r w:rsidRPr="00E26228">
              <w:rPr>
                <w:rFonts w:eastAsia="Times New Roman" w:cs="Times New Roman"/>
                <w:snapToGrid w:val="0"/>
                <w:color w:val="000000"/>
                <w:sz w:val="20"/>
                <w:szCs w:val="20"/>
                <w:lang w:val="de-DE" w:eastAsia="cs-CZ"/>
              </w:rPr>
              <w:t>59 300 356</w:t>
            </w:r>
          </w:p>
        </w:tc>
      </w:tr>
      <w:tr w:rsidR="00E26228" w:rsidRPr="00E26228" w:rsidTr="009D6F19">
        <w:trPr>
          <w:cantSplit/>
          <w:trHeight w:val="324"/>
        </w:trPr>
        <w:tc>
          <w:tcPr>
            <w:tcW w:w="9030" w:type="dxa"/>
            <w:gridSpan w:val="5"/>
            <w:vAlign w:val="center"/>
          </w:tcPr>
          <w:p w:rsidR="00E26228" w:rsidRPr="00E26228" w:rsidRDefault="00E26228" w:rsidP="00E26228">
            <w:pPr>
              <w:spacing w:before="0"/>
              <w:ind w:left="142"/>
              <w:jc w:val="left"/>
              <w:rPr>
                <w:rFonts w:eastAsia="Times New Roman" w:cs="Times New Roman"/>
                <w:snapToGrid w:val="0"/>
                <w:color w:val="000000"/>
                <w:sz w:val="20"/>
                <w:szCs w:val="20"/>
                <w:lang w:val="de-DE" w:eastAsia="cs-CZ"/>
              </w:rPr>
            </w:pPr>
            <w:r w:rsidRPr="00E26228">
              <w:rPr>
                <w:rFonts w:eastAsia="Times New Roman" w:cs="Times New Roman"/>
                <w:snapToGrid w:val="0"/>
                <w:color w:val="000000"/>
                <w:sz w:val="20"/>
                <w:szCs w:val="20"/>
                <w:lang w:val="de-DE" w:eastAsia="cs-CZ"/>
              </w:rPr>
              <w:t>Z toho:</w:t>
            </w:r>
          </w:p>
        </w:tc>
      </w:tr>
      <w:tr w:rsidR="00E26228" w:rsidRPr="00E26228" w:rsidTr="009D6F19">
        <w:trPr>
          <w:cantSplit/>
          <w:trHeight w:val="324"/>
        </w:trPr>
        <w:tc>
          <w:tcPr>
            <w:tcW w:w="3291" w:type="dxa"/>
            <w:vAlign w:val="center"/>
          </w:tcPr>
          <w:p w:rsidR="00E26228" w:rsidRPr="00E26228" w:rsidRDefault="00E26228" w:rsidP="00E26228">
            <w:pPr>
              <w:numPr>
                <w:ilvl w:val="0"/>
                <w:numId w:val="15"/>
              </w:numPr>
              <w:spacing w:before="0"/>
              <w:jc w:val="left"/>
              <w:rPr>
                <w:rFonts w:eastAsia="Times New Roman" w:cs="Times New Roman"/>
                <w:b/>
                <w:snapToGrid w:val="0"/>
                <w:color w:val="000000"/>
                <w:sz w:val="20"/>
                <w:szCs w:val="20"/>
                <w:lang w:val="de-DE" w:eastAsia="cs-CZ"/>
              </w:rPr>
            </w:pPr>
            <w:r w:rsidRPr="00E26228">
              <w:rPr>
                <w:rFonts w:eastAsia="Times New Roman" w:cs="Times New Roman"/>
                <w:b/>
                <w:snapToGrid w:val="0"/>
                <w:color w:val="000000"/>
                <w:sz w:val="20"/>
                <w:szCs w:val="20"/>
                <w:lang w:val="de-DE" w:eastAsia="cs-CZ"/>
              </w:rPr>
              <w:t>Ovládané společnosti</w:t>
            </w:r>
          </w:p>
          <w:p w:rsidR="00E26228" w:rsidRPr="00E26228" w:rsidRDefault="00E26228" w:rsidP="00E26228">
            <w:pPr>
              <w:spacing w:before="0"/>
              <w:ind w:left="142"/>
              <w:jc w:val="left"/>
              <w:rPr>
                <w:rFonts w:eastAsia="Times New Roman" w:cs="Times New Roman"/>
                <w:b/>
                <w:snapToGrid w:val="0"/>
                <w:color w:val="000000"/>
                <w:sz w:val="20"/>
                <w:szCs w:val="20"/>
                <w:lang w:val="de-DE" w:eastAsia="cs-CZ"/>
              </w:rPr>
            </w:pPr>
            <w:r w:rsidRPr="00E26228">
              <w:rPr>
                <w:rFonts w:eastAsia="Times New Roman" w:cs="Times New Roman"/>
                <w:b/>
                <w:snapToGrid w:val="0"/>
                <w:color w:val="000000"/>
                <w:sz w:val="20"/>
                <w:szCs w:val="20"/>
                <w:lang w:val="de-DE" w:eastAsia="cs-CZ"/>
              </w:rPr>
              <w:t xml:space="preserve">     </w:t>
            </w:r>
            <w:r>
              <w:rPr>
                <w:rFonts w:eastAsia="Times New Roman" w:cs="Times New Roman"/>
                <w:b/>
                <w:snapToGrid w:val="0"/>
                <w:color w:val="000000"/>
                <w:sz w:val="20"/>
                <w:szCs w:val="20"/>
                <w:lang w:val="de-DE" w:eastAsia="cs-CZ"/>
              </w:rPr>
              <w:t xml:space="preserve">   </w:t>
            </w:r>
            <w:r w:rsidRPr="00E26228">
              <w:rPr>
                <w:rFonts w:eastAsia="Times New Roman" w:cs="Times New Roman"/>
                <w:b/>
                <w:snapToGrid w:val="0"/>
                <w:color w:val="000000"/>
                <w:sz w:val="20"/>
                <w:szCs w:val="20"/>
                <w:lang w:val="de-DE" w:eastAsia="cs-CZ"/>
              </w:rPr>
              <w:t xml:space="preserve">strategického významu      </w:t>
            </w:r>
          </w:p>
        </w:tc>
        <w:tc>
          <w:tcPr>
            <w:tcW w:w="708" w:type="dxa"/>
            <w:vAlign w:val="center"/>
          </w:tcPr>
          <w:p w:rsidR="00E26228" w:rsidRPr="00E26228" w:rsidRDefault="00E26228" w:rsidP="00E26228">
            <w:pPr>
              <w:spacing w:before="0"/>
              <w:jc w:val="center"/>
              <w:rPr>
                <w:rFonts w:eastAsia="Times New Roman" w:cs="Times New Roman"/>
                <w:b/>
                <w:snapToGrid w:val="0"/>
                <w:color w:val="000000"/>
                <w:sz w:val="20"/>
                <w:szCs w:val="20"/>
                <w:lang w:val="de-DE" w:eastAsia="cs-CZ"/>
              </w:rPr>
            </w:pPr>
            <w:r w:rsidRPr="00E26228">
              <w:rPr>
                <w:rFonts w:eastAsia="Times New Roman" w:cs="Times New Roman"/>
                <w:b/>
                <w:snapToGrid w:val="0"/>
                <w:color w:val="000000"/>
                <w:sz w:val="20"/>
                <w:szCs w:val="20"/>
                <w:lang w:val="de-DE" w:eastAsia="cs-CZ"/>
              </w:rPr>
              <w:t>4</w:t>
            </w:r>
          </w:p>
        </w:tc>
        <w:tc>
          <w:tcPr>
            <w:tcW w:w="2127" w:type="dxa"/>
            <w:vAlign w:val="center"/>
          </w:tcPr>
          <w:p w:rsidR="00E26228" w:rsidRPr="00E26228" w:rsidRDefault="00E26228" w:rsidP="00E26228">
            <w:pPr>
              <w:spacing w:before="0"/>
              <w:ind w:right="39"/>
              <w:jc w:val="right"/>
              <w:rPr>
                <w:rFonts w:eastAsia="Times New Roman" w:cs="Times New Roman"/>
                <w:snapToGrid w:val="0"/>
                <w:color w:val="000000"/>
                <w:sz w:val="20"/>
                <w:szCs w:val="20"/>
                <w:lang w:val="de-DE" w:eastAsia="cs-CZ"/>
              </w:rPr>
            </w:pPr>
            <w:r w:rsidRPr="00E26228">
              <w:rPr>
                <w:rFonts w:eastAsia="Times New Roman" w:cs="Times New Roman"/>
                <w:snapToGrid w:val="0"/>
                <w:color w:val="000000"/>
                <w:sz w:val="20"/>
                <w:szCs w:val="20"/>
                <w:lang w:val="de-DE" w:eastAsia="cs-CZ"/>
              </w:rPr>
              <w:t xml:space="preserve">51 745 604    </w:t>
            </w:r>
          </w:p>
        </w:tc>
        <w:tc>
          <w:tcPr>
            <w:tcW w:w="708" w:type="dxa"/>
            <w:vAlign w:val="center"/>
          </w:tcPr>
          <w:p w:rsidR="00E26228" w:rsidRPr="00E26228" w:rsidRDefault="00E26228" w:rsidP="00E26228">
            <w:pPr>
              <w:spacing w:before="0"/>
              <w:jc w:val="center"/>
              <w:rPr>
                <w:rFonts w:eastAsia="Times New Roman" w:cs="Times New Roman"/>
                <w:b/>
                <w:snapToGrid w:val="0"/>
                <w:color w:val="000000"/>
                <w:sz w:val="20"/>
                <w:szCs w:val="20"/>
                <w:lang w:val="de-DE" w:eastAsia="cs-CZ"/>
              </w:rPr>
            </w:pPr>
            <w:r w:rsidRPr="00E26228">
              <w:rPr>
                <w:rFonts w:eastAsia="Times New Roman" w:cs="Times New Roman"/>
                <w:b/>
                <w:snapToGrid w:val="0"/>
                <w:color w:val="000000"/>
                <w:sz w:val="20"/>
                <w:szCs w:val="20"/>
                <w:lang w:val="de-DE" w:eastAsia="cs-CZ"/>
              </w:rPr>
              <w:t>4</w:t>
            </w:r>
          </w:p>
        </w:tc>
        <w:tc>
          <w:tcPr>
            <w:tcW w:w="2196" w:type="dxa"/>
            <w:vAlign w:val="center"/>
          </w:tcPr>
          <w:p w:rsidR="00E26228" w:rsidRPr="00E26228" w:rsidRDefault="00E26228" w:rsidP="00E26228">
            <w:pPr>
              <w:spacing w:before="0"/>
              <w:ind w:right="39"/>
              <w:jc w:val="right"/>
              <w:rPr>
                <w:rFonts w:eastAsia="Times New Roman" w:cs="Times New Roman"/>
                <w:snapToGrid w:val="0"/>
                <w:color w:val="000000"/>
                <w:sz w:val="20"/>
                <w:szCs w:val="20"/>
                <w:lang w:val="de-DE" w:eastAsia="cs-CZ"/>
              </w:rPr>
            </w:pPr>
            <w:r w:rsidRPr="00E26228">
              <w:rPr>
                <w:rFonts w:eastAsia="Times New Roman" w:cs="Times New Roman"/>
                <w:snapToGrid w:val="0"/>
                <w:color w:val="000000"/>
                <w:sz w:val="20"/>
                <w:szCs w:val="20"/>
                <w:lang w:val="de-DE" w:eastAsia="cs-CZ"/>
              </w:rPr>
              <w:t xml:space="preserve">51 745 604    </w:t>
            </w:r>
          </w:p>
        </w:tc>
      </w:tr>
      <w:tr w:rsidR="00E26228" w:rsidRPr="00E26228" w:rsidTr="009D6F19">
        <w:trPr>
          <w:cantSplit/>
          <w:trHeight w:val="324"/>
        </w:trPr>
        <w:tc>
          <w:tcPr>
            <w:tcW w:w="3291" w:type="dxa"/>
            <w:vAlign w:val="center"/>
          </w:tcPr>
          <w:p w:rsidR="00E26228" w:rsidRPr="00E26228" w:rsidRDefault="00E26228" w:rsidP="00E26228">
            <w:pPr>
              <w:spacing w:before="0"/>
              <w:ind w:left="142"/>
              <w:jc w:val="left"/>
              <w:rPr>
                <w:rFonts w:eastAsia="Times New Roman" w:cs="Times New Roman"/>
                <w:b/>
                <w:snapToGrid w:val="0"/>
                <w:color w:val="000000"/>
                <w:sz w:val="20"/>
                <w:szCs w:val="20"/>
                <w:lang w:val="de-DE" w:eastAsia="cs-CZ"/>
              </w:rPr>
            </w:pPr>
            <w:r w:rsidRPr="00E26228">
              <w:rPr>
                <w:rFonts w:eastAsia="Times New Roman" w:cs="Times New Roman"/>
                <w:b/>
                <w:snapToGrid w:val="0"/>
                <w:color w:val="000000"/>
                <w:sz w:val="20"/>
                <w:szCs w:val="20"/>
                <w:lang w:val="de-DE" w:eastAsia="cs-CZ"/>
              </w:rPr>
              <w:t xml:space="preserve">2.   </w:t>
            </w:r>
            <w:r>
              <w:rPr>
                <w:rFonts w:eastAsia="Times New Roman" w:cs="Times New Roman"/>
                <w:b/>
                <w:snapToGrid w:val="0"/>
                <w:color w:val="000000"/>
                <w:sz w:val="20"/>
                <w:szCs w:val="20"/>
                <w:lang w:val="de-DE" w:eastAsia="cs-CZ"/>
              </w:rPr>
              <w:t xml:space="preserve"> </w:t>
            </w:r>
            <w:r w:rsidRPr="00E26228">
              <w:rPr>
                <w:rFonts w:eastAsia="Times New Roman" w:cs="Times New Roman"/>
                <w:b/>
                <w:snapToGrid w:val="0"/>
                <w:color w:val="000000"/>
                <w:sz w:val="20"/>
                <w:szCs w:val="20"/>
                <w:lang w:val="de-DE" w:eastAsia="cs-CZ"/>
              </w:rPr>
              <w:t>Ostatní společnosti</w:t>
            </w:r>
          </w:p>
        </w:tc>
        <w:tc>
          <w:tcPr>
            <w:tcW w:w="708" w:type="dxa"/>
            <w:vAlign w:val="center"/>
          </w:tcPr>
          <w:p w:rsidR="00E26228" w:rsidRPr="00E26228" w:rsidRDefault="00E26228" w:rsidP="00E26228">
            <w:pPr>
              <w:spacing w:before="0"/>
              <w:jc w:val="center"/>
              <w:rPr>
                <w:rFonts w:eastAsia="Times New Roman" w:cs="Times New Roman"/>
                <w:b/>
                <w:snapToGrid w:val="0"/>
                <w:color w:val="000000"/>
                <w:sz w:val="20"/>
                <w:szCs w:val="20"/>
                <w:lang w:val="de-DE" w:eastAsia="cs-CZ"/>
              </w:rPr>
            </w:pPr>
            <w:r w:rsidRPr="00E26228">
              <w:rPr>
                <w:rFonts w:eastAsia="Times New Roman" w:cs="Times New Roman"/>
                <w:b/>
                <w:snapToGrid w:val="0"/>
                <w:color w:val="000000"/>
                <w:sz w:val="20"/>
                <w:szCs w:val="20"/>
                <w:lang w:val="de-DE" w:eastAsia="cs-CZ"/>
              </w:rPr>
              <w:t>16</w:t>
            </w:r>
          </w:p>
        </w:tc>
        <w:tc>
          <w:tcPr>
            <w:tcW w:w="2127" w:type="dxa"/>
            <w:vAlign w:val="center"/>
          </w:tcPr>
          <w:p w:rsidR="00E26228" w:rsidRPr="00E26228" w:rsidRDefault="00E26228" w:rsidP="00E26228">
            <w:pPr>
              <w:spacing w:before="0"/>
              <w:ind w:right="39"/>
              <w:jc w:val="right"/>
              <w:rPr>
                <w:rFonts w:eastAsia="Times New Roman" w:cs="Times New Roman"/>
                <w:snapToGrid w:val="0"/>
                <w:color w:val="000000"/>
                <w:sz w:val="20"/>
                <w:szCs w:val="20"/>
                <w:lang w:val="de-DE" w:eastAsia="cs-CZ"/>
              </w:rPr>
            </w:pPr>
            <w:r w:rsidRPr="00E26228">
              <w:rPr>
                <w:rFonts w:eastAsia="Times New Roman" w:cs="Times New Roman"/>
                <w:snapToGrid w:val="0"/>
                <w:color w:val="000000"/>
                <w:sz w:val="20"/>
                <w:szCs w:val="20"/>
                <w:lang w:val="de-DE" w:eastAsia="cs-CZ"/>
              </w:rPr>
              <w:t>7 576 539</w:t>
            </w:r>
          </w:p>
        </w:tc>
        <w:tc>
          <w:tcPr>
            <w:tcW w:w="708" w:type="dxa"/>
            <w:vAlign w:val="center"/>
          </w:tcPr>
          <w:p w:rsidR="00E26228" w:rsidRPr="00E26228" w:rsidRDefault="00E26228" w:rsidP="00E26228">
            <w:pPr>
              <w:spacing w:before="0"/>
              <w:jc w:val="center"/>
              <w:rPr>
                <w:rFonts w:eastAsia="Times New Roman" w:cs="Times New Roman"/>
                <w:b/>
                <w:snapToGrid w:val="0"/>
                <w:color w:val="000000"/>
                <w:sz w:val="20"/>
                <w:szCs w:val="20"/>
                <w:lang w:val="de-DE" w:eastAsia="cs-CZ"/>
              </w:rPr>
            </w:pPr>
            <w:r w:rsidRPr="00E26228">
              <w:rPr>
                <w:rFonts w:eastAsia="Times New Roman" w:cs="Times New Roman"/>
                <w:b/>
                <w:snapToGrid w:val="0"/>
                <w:color w:val="000000"/>
                <w:sz w:val="20"/>
                <w:szCs w:val="20"/>
                <w:lang w:val="de-DE" w:eastAsia="cs-CZ"/>
              </w:rPr>
              <w:t>14</w:t>
            </w:r>
          </w:p>
        </w:tc>
        <w:tc>
          <w:tcPr>
            <w:tcW w:w="2196" w:type="dxa"/>
            <w:vAlign w:val="center"/>
          </w:tcPr>
          <w:p w:rsidR="00E26228" w:rsidRPr="00E26228" w:rsidRDefault="00E26228" w:rsidP="00E26228">
            <w:pPr>
              <w:spacing w:before="0"/>
              <w:ind w:right="39"/>
              <w:jc w:val="right"/>
              <w:rPr>
                <w:rFonts w:eastAsia="Times New Roman" w:cs="Times New Roman"/>
                <w:snapToGrid w:val="0"/>
                <w:color w:val="000000"/>
                <w:sz w:val="20"/>
                <w:szCs w:val="20"/>
                <w:lang w:val="de-DE" w:eastAsia="cs-CZ"/>
              </w:rPr>
            </w:pPr>
            <w:r w:rsidRPr="00E26228">
              <w:rPr>
                <w:rFonts w:eastAsia="Times New Roman" w:cs="Times New Roman"/>
                <w:snapToGrid w:val="0"/>
                <w:color w:val="000000"/>
                <w:sz w:val="20"/>
                <w:szCs w:val="20"/>
                <w:lang w:val="de-DE" w:eastAsia="cs-CZ"/>
              </w:rPr>
              <w:t>7 554 752</w:t>
            </w:r>
          </w:p>
        </w:tc>
      </w:tr>
    </w:tbl>
    <w:p w:rsidR="00BD1E4E" w:rsidRPr="00034EC9" w:rsidRDefault="00E26228" w:rsidP="00FD6B3B">
      <w:pPr>
        <w:pStyle w:val="Nadpis1"/>
      </w:pPr>
      <w:bookmarkStart w:id="14" w:name="_Toc34922954"/>
      <w:bookmarkStart w:id="15" w:name="_Toc65836215"/>
      <w:r w:rsidRPr="00034EC9">
        <w:t>S</w:t>
      </w:r>
      <w:r w:rsidR="00BD1E4E" w:rsidRPr="00034EC9">
        <w:t>oudní řízení</w:t>
      </w:r>
      <w:bookmarkEnd w:id="14"/>
      <w:bookmarkEnd w:id="15"/>
    </w:p>
    <w:p w:rsidR="00E26228" w:rsidRPr="00E26228" w:rsidRDefault="002429F8" w:rsidP="00E26228">
      <w:bookmarkStart w:id="16" w:name="_Toc34922955"/>
      <w:r>
        <w:t>MF evidovalo ke </w:t>
      </w:r>
      <w:r w:rsidR="00E26228" w:rsidRPr="00E26228">
        <w:t xml:space="preserve">dni 31. 12. 2020 celkem 221 neukončených </w:t>
      </w:r>
      <w:r>
        <w:t>soudních sporů souvisejících s privatizací, z </w:t>
      </w:r>
      <w:r w:rsidR="00E26228" w:rsidRPr="00E26228">
        <w:t xml:space="preserve">čehož 90 (40,72%) připadalo na aktivní spory (žaloby, bezúročné půjčky, příslušenství, apod.), 78 (35,29%) na pasivní spory a 53 (23,99%) na konkurzy.       </w:t>
      </w:r>
    </w:p>
    <w:p w:rsidR="00E26228" w:rsidRPr="00E26228" w:rsidRDefault="00E26228" w:rsidP="00E26228">
      <w:r w:rsidRPr="00E26228">
        <w:t>Mezi neukončenými aktivními žalobami připadá rozhodující</w:t>
      </w:r>
      <w:r w:rsidR="002429F8">
        <w:t xml:space="preserve"> podíl na vymáhání pohledávek z </w:t>
      </w:r>
      <w:r w:rsidRPr="00E26228">
        <w:t>titulu nezaplacené kupní ceny, kde zbývá k dořešení 53 (58,89%) z neskončených aktivních sporů. Samostatnými žalobami byla ze strany MF také vymáhána příslušenství k nedoplatkům kupních cen, kde bylo dosud neukončeno 10 případů (11,11%) z neskončených aktivních sporů. Dále vymáhání nesplacených bezúročných půjček z programu celostátního snížení druhotné platební neschopnosti, kde zbývá k dořešení 10 případů (11,11%) z neskončených aktivních sporů. Osta</w:t>
      </w:r>
      <w:r w:rsidR="002429F8">
        <w:t>tní dosud neskončené spory – 17 </w:t>
      </w:r>
      <w:r w:rsidRPr="00E26228">
        <w:t>případů (18,89%) tvoří spory z různých právních titulů, většinou za nezaplacené pokuty, určovací žaloby apod.</w:t>
      </w:r>
    </w:p>
    <w:p w:rsidR="00E26228" w:rsidRPr="00E26228" w:rsidRDefault="00E26228" w:rsidP="00E26228">
      <w:r w:rsidRPr="00E26228">
        <w:t>MF eviduje v souvislosti s privatizací celkem 53 dosud neukončených konkurzů a insolvenčních řízení.</w:t>
      </w:r>
    </w:p>
    <w:p w:rsidR="00E26228" w:rsidRPr="00E26228" w:rsidRDefault="00E26228" w:rsidP="00E26228">
      <w:r w:rsidRPr="00E26228">
        <w:t>Podstatnou část pravomocně přiznaných pohledávek je MF nuceno vymáhat prostřednictvím exekutorů, případně cestou</w:t>
      </w:r>
      <w:r w:rsidR="002429F8">
        <w:t xml:space="preserve"> soudního výkonu rozhodnutí. K 31. 12. </w:t>
      </w:r>
      <w:r w:rsidRPr="00E26228">
        <w:t xml:space="preserve">2020 </w:t>
      </w:r>
      <w:r w:rsidR="002429F8">
        <w:t>bylo cestou exekuce vymáháno 47 pohledávek, v </w:t>
      </w:r>
      <w:r w:rsidRPr="00E26228">
        <w:t>roce 2019 bylo vymáháno 64 pohledávek.</w:t>
      </w:r>
    </w:p>
    <w:p w:rsidR="00E26228" w:rsidRPr="00E26228" w:rsidRDefault="002429F8" w:rsidP="00E26228">
      <w:r>
        <w:t>K 31. 12. </w:t>
      </w:r>
      <w:r w:rsidR="00E26228" w:rsidRPr="00E26228">
        <w:t>2020 bylo MF stranou žalovanou v celkem 78 soudních řízeních, která dosud nebyla ukončena, takže oproti roku 2019 (kdy nebylo ukončeno 100 sporů), došlo ke snížení počtu</w:t>
      </w:r>
      <w:r>
        <w:t xml:space="preserve"> neukončených pasivních sporů o </w:t>
      </w:r>
      <w:r w:rsidR="00E26228" w:rsidRPr="00E26228">
        <w:t>22 sporů.</w:t>
      </w:r>
    </w:p>
    <w:p w:rsidR="00E26228" w:rsidRDefault="002429F8" w:rsidP="00E26228">
      <w:r>
        <w:t>V porovnání s</w:t>
      </w:r>
      <w:r w:rsidR="00E26228" w:rsidRPr="00E26228">
        <w:t xml:space="preserve"> předcházejícím obdobím vznikly 2 nové pasivní spory, ve kterých je MF žalováno, nové spory aktivní nevznikly žádné.</w:t>
      </w:r>
    </w:p>
    <w:p w:rsidR="00BD1E4E" w:rsidRPr="00034EC9" w:rsidRDefault="00BD1E4E" w:rsidP="00E26228">
      <w:pPr>
        <w:pStyle w:val="Nadpis1"/>
      </w:pPr>
      <w:bookmarkStart w:id="17" w:name="_Toc65836216"/>
      <w:r w:rsidRPr="00034EC9">
        <w:lastRenderedPageBreak/>
        <w:t>Odstraňování ekologických zátěží vzniklých před privatizací, rekultivace a revitalizace krajů, regionů a státních podniků</w:t>
      </w:r>
      <w:bookmarkEnd w:id="16"/>
      <w:bookmarkEnd w:id="17"/>
    </w:p>
    <w:p w:rsidR="00BD1E4E" w:rsidRPr="006F2953" w:rsidRDefault="00BD1E4E" w:rsidP="00BD1E4E">
      <w:r w:rsidRPr="006F2953">
        <w:t>Na základě jednotli</w:t>
      </w:r>
      <w:r w:rsidR="007F52D8">
        <w:t>vých usnesení vlády ČR uzavřel již zrušen</w:t>
      </w:r>
      <w:r w:rsidRPr="006F2953">
        <w:t>ý Fond národního majetku ČR a</w:t>
      </w:r>
      <w:r>
        <w:t> </w:t>
      </w:r>
      <w:r w:rsidR="002429F8">
        <w:t>Ministerstvo financí s </w:t>
      </w:r>
      <w:r w:rsidRPr="006F2953">
        <w:t>nabyvateli privatizovaného majetku nebo s jejich právními nástupci právně vymahatelné smlouvy na odstranění ekologických škod vzniklých před privatizací dosavadní činno</w:t>
      </w:r>
      <w:r w:rsidR="007720CF">
        <w:t>stí podniků, které jsou spolu s </w:t>
      </w:r>
      <w:r w:rsidRPr="006F2953">
        <w:t>dalšími ekologickými závazky vyplývajícími z</w:t>
      </w:r>
      <w:r>
        <w:t> </w:t>
      </w:r>
      <w:r w:rsidRPr="006F2953">
        <w:t>podmínek privatizačních kupních smluv označovány jako ekologické smlouvy. Ekologické smlouvy obsah</w:t>
      </w:r>
      <w:r w:rsidR="002429F8">
        <w:t>ují maximální částky potřebné k </w:t>
      </w:r>
      <w:r w:rsidRPr="006F2953">
        <w:t xml:space="preserve">odstranění starých ekologických zátěží privatizovaného majetku dle správního rozhodnutí vydaného Českou inspekcí životního prostředí, tzv. garance. </w:t>
      </w:r>
    </w:p>
    <w:p w:rsidR="00BD1E4E" w:rsidRPr="006F2953" w:rsidRDefault="00BD1E4E" w:rsidP="00BD1E4E">
      <w:r w:rsidRPr="006F2953">
        <w:t xml:space="preserve">Realizaci těchto ekologických závazků </w:t>
      </w:r>
      <w:r w:rsidR="002429F8">
        <w:t>provádí MF na základě zákona č. </w:t>
      </w:r>
      <w:r w:rsidRPr="006F2953">
        <w:t>178/2005 Sb., o</w:t>
      </w:r>
      <w:r>
        <w:t> </w:t>
      </w:r>
      <w:r w:rsidRPr="006F2953">
        <w:t>zrušení Fondu národního majetku ČR, ve znění pozdějších předpisů, z dos</w:t>
      </w:r>
      <w:r w:rsidR="002429F8">
        <w:t>ažených privatizačních výnosů z </w:t>
      </w:r>
      <w:r w:rsidRPr="006F2953">
        <w:t>prodeje majetku státu a ze zisku z majetkových účastí státu v</w:t>
      </w:r>
      <w:r>
        <w:t> </w:t>
      </w:r>
      <w:r w:rsidRPr="006F2953">
        <w:t>obchodních společnostech, které jsou uložené na zvláštním účtu MF (</w:t>
      </w:r>
      <w:r>
        <w:t xml:space="preserve">tzv. </w:t>
      </w:r>
      <w:r w:rsidRPr="006F2953">
        <w:t>Fond privatizace). Zdrojem finančního vypořádání tak není stá</w:t>
      </w:r>
      <w:r w:rsidR="007720CF">
        <w:t>tní rozpočet; nejedná se tedy o </w:t>
      </w:r>
      <w:r w:rsidRPr="006F2953">
        <w:t xml:space="preserve">dotační tituly. </w:t>
      </w:r>
    </w:p>
    <w:p w:rsidR="00BD1E4E" w:rsidRPr="00B16D31" w:rsidRDefault="00BD1E4E" w:rsidP="00BD1E4E">
      <w:pPr>
        <w:rPr>
          <w:b/>
          <w:color w:val="000000"/>
        </w:rPr>
      </w:pPr>
      <w:r w:rsidRPr="00B16D31">
        <w:rPr>
          <w:b/>
        </w:rPr>
        <w:t xml:space="preserve">Sanace starých ekologických škod vzniklých před privatizací </w:t>
      </w:r>
      <w:r w:rsidRPr="00B16D31">
        <w:rPr>
          <w:b/>
          <w:color w:val="000000"/>
        </w:rPr>
        <w:t>– program Ekologie</w:t>
      </w:r>
    </w:p>
    <w:p w:rsidR="00BD1E4E" w:rsidRPr="006F2953" w:rsidRDefault="00BD1E4E" w:rsidP="00BD1E4E">
      <w:r w:rsidRPr="006F2953">
        <w:t>Od začát</w:t>
      </w:r>
      <w:r w:rsidR="00B6436F">
        <w:t>ku privatizace do konce roku 2020</w:t>
      </w:r>
      <w:r w:rsidRPr="006F2953">
        <w:t xml:space="preserve"> evidovalo MF k uzavřeným </w:t>
      </w:r>
      <w:r w:rsidR="00CB0B2C">
        <w:t>ekologickým smlouvám celkem 327</w:t>
      </w:r>
      <w:r w:rsidR="000A6461">
        <w:t> </w:t>
      </w:r>
      <w:r w:rsidRPr="006F2953">
        <w:t xml:space="preserve">smluvních partnerů, z toho bylo ukončeno již </w:t>
      </w:r>
      <w:r w:rsidR="00CB0B2C">
        <w:t>199</w:t>
      </w:r>
      <w:r w:rsidRPr="006F2953">
        <w:t xml:space="preserve"> smluvních závazků. Ministerstvo financí tedy k 31.</w:t>
      </w:r>
      <w:r w:rsidR="007720CF">
        <w:t> </w:t>
      </w:r>
      <w:r w:rsidRPr="006F2953">
        <w:t>12.</w:t>
      </w:r>
      <w:r w:rsidR="007720CF">
        <w:t> </w:t>
      </w:r>
      <w:r w:rsidR="00CB0B2C">
        <w:t>2020</w:t>
      </w:r>
      <w:r w:rsidRPr="006F2953">
        <w:t xml:space="preserve"> evidovalo celkem </w:t>
      </w:r>
      <w:r w:rsidR="00CB0B2C">
        <w:t>128</w:t>
      </w:r>
      <w:r w:rsidRPr="006F2953">
        <w:t xml:space="preserve"> aktuálních smluvních stran ekologický</w:t>
      </w:r>
      <w:r w:rsidR="002429F8">
        <w:t>ch smluv s celkovou garancí ve </w:t>
      </w:r>
      <w:r w:rsidRPr="006F2953">
        <w:t xml:space="preserve">výši </w:t>
      </w:r>
      <w:r w:rsidR="000A6461">
        <w:t>137 </w:t>
      </w:r>
      <w:r w:rsidR="00CB0B2C">
        <w:t>219</w:t>
      </w:r>
      <w:r w:rsidRPr="006F2953">
        <w:t xml:space="preserve"> mil. Kč.</w:t>
      </w:r>
    </w:p>
    <w:p w:rsidR="00BD1E4E" w:rsidRPr="006F2953" w:rsidRDefault="00BD1E4E" w:rsidP="00BD1E4E">
      <w:r w:rsidRPr="006F2953">
        <w:t>Snížení garance</w:t>
      </w:r>
      <w:r w:rsidR="007F52D8">
        <w:t>:</w:t>
      </w:r>
      <w:r w:rsidRPr="006F2953">
        <w:t xml:space="preserve"> </w:t>
      </w:r>
    </w:p>
    <w:p w:rsidR="00CB0B2C" w:rsidRDefault="00BD1E4E" w:rsidP="00CB0B2C">
      <w:r w:rsidRPr="006F2953">
        <w:t xml:space="preserve">V roce </w:t>
      </w:r>
      <w:r w:rsidR="00CB0B2C">
        <w:t>2020</w:t>
      </w:r>
      <w:r w:rsidRPr="006F2953">
        <w:t xml:space="preserve"> vláda ČR neschválila žádnou novou smluvní garanci na vypořádání staré ekologické zátěže, naopak v roce </w:t>
      </w:r>
      <w:r w:rsidR="00CB0B2C">
        <w:t>2020</w:t>
      </w:r>
      <w:r w:rsidRPr="006F2953">
        <w:t xml:space="preserve"> byly ukončeny eko</w:t>
      </w:r>
      <w:r>
        <w:t>logické závazky s</w:t>
      </w:r>
      <w:r w:rsidRPr="006F2953">
        <w:t xml:space="preserve"> </w:t>
      </w:r>
      <w:r w:rsidR="00CB0B2C">
        <w:t>5</w:t>
      </w:r>
      <w:r w:rsidRPr="006F2953">
        <w:t xml:space="preserve"> smluvními </w:t>
      </w:r>
      <w:r w:rsidR="00CB0B2C">
        <w:t>partnery, a to se společnostmi:</w:t>
      </w:r>
    </w:p>
    <w:p w:rsidR="00CB0B2C" w:rsidRDefault="00CB0B2C" w:rsidP="009D6F19">
      <w:pPr>
        <w:pStyle w:val="odrka"/>
      </w:pPr>
      <w:r>
        <w:t>TIBERINA AUTOMOTIVE BĚLÁ spol. s r.o.</w:t>
      </w:r>
    </w:p>
    <w:p w:rsidR="00CB0B2C" w:rsidRDefault="00CB0B2C" w:rsidP="009D6F19">
      <w:pPr>
        <w:pStyle w:val="odrka"/>
      </w:pPr>
      <w:r>
        <w:t>ON SEMICONDUCTOR CZECH REPUBLIC, s.r.o.</w:t>
      </w:r>
    </w:p>
    <w:p w:rsidR="00CB0B2C" w:rsidRDefault="00CB0B2C" w:rsidP="009D6F19">
      <w:pPr>
        <w:pStyle w:val="odrka"/>
      </w:pPr>
      <w:r>
        <w:t>MZ areál s.r.o.</w:t>
      </w:r>
    </w:p>
    <w:p w:rsidR="00CB0B2C" w:rsidRDefault="00CB0B2C" w:rsidP="009D6F19">
      <w:pPr>
        <w:pStyle w:val="odrka"/>
      </w:pPr>
      <w:r>
        <w:t>Saft Ferak a.s.</w:t>
      </w:r>
    </w:p>
    <w:p w:rsidR="00CB0B2C" w:rsidRPr="007F52D8" w:rsidRDefault="00CB0B2C" w:rsidP="009D6F19">
      <w:pPr>
        <w:pStyle w:val="odrka"/>
      </w:pPr>
      <w:r>
        <w:t>ČEZ Korporátní služby, s.r.o.</w:t>
      </w:r>
    </w:p>
    <w:p w:rsidR="00B51E0A" w:rsidRDefault="002429F8" w:rsidP="00FD6B3B">
      <w:r>
        <w:t>V </w:t>
      </w:r>
      <w:r w:rsidR="00CB0B2C" w:rsidRPr="00CB0B2C">
        <w:t>roce 2020 došlo u ekologické smlouvy č. 001/94/0</w:t>
      </w:r>
      <w:r>
        <w:t>1 nabyvatele KOVOŠROT GROUP, a. s. k </w:t>
      </w:r>
      <w:r w:rsidR="00CB0B2C" w:rsidRPr="00CB0B2C">
        <w:t>prodeji části majetku společnosti Accolade  CZ XXXVII, s.r.o. a tím převodu čá</w:t>
      </w:r>
      <w:r>
        <w:t>sti garance v částce 63,55 mil. </w:t>
      </w:r>
      <w:r w:rsidR="00CB0B2C" w:rsidRPr="00CB0B2C">
        <w:t>Kč na novou ekologickou smlouvu č. 001/94/02</w:t>
      </w:r>
      <w:r w:rsidR="007F52D8">
        <w:t>.</w:t>
      </w:r>
    </w:p>
    <w:p w:rsidR="00BD1E4E" w:rsidRPr="00FD6B3B" w:rsidRDefault="00BD1E4E" w:rsidP="00FD6B3B">
      <w:pPr>
        <w:rPr>
          <w:b/>
          <w:bCs/>
        </w:rPr>
      </w:pPr>
      <w:r w:rsidRPr="00FD6B3B">
        <w:rPr>
          <w:b/>
          <w:bCs/>
        </w:rPr>
        <w:t>Náprava ekologických škod způsobených těžbou nerostů a revitalizace - program Revitalizace</w:t>
      </w:r>
    </w:p>
    <w:p w:rsidR="00BD1E4E" w:rsidRPr="006F2953" w:rsidRDefault="00BD1E4E" w:rsidP="00BD1E4E">
      <w:pPr>
        <w:ind w:right="23"/>
      </w:pPr>
      <w:r w:rsidRPr="006F2953">
        <w:t>Podle § 5, odst. 3, písm. c), bod 4 výše uvedeného zákona a zároveň podle níže uvedených usnesení vlády MF financuje také projekty mezirezortních komisí řízených Ministerstvem průmyslu a obchodu (revitalizace Karlovarského, Ústeckého, Moravskoslezského a</w:t>
      </w:r>
      <w:r>
        <w:t> </w:t>
      </w:r>
      <w:r w:rsidRPr="006F2953">
        <w:t>Jihomoravského kraje a k</w:t>
      </w:r>
      <w:r w:rsidR="000A6461">
        <w:t>ladenského regionu). Jedná se o </w:t>
      </w:r>
      <w:r w:rsidRPr="006F2953">
        <w:t>realizaci usnesení vlády č.</w:t>
      </w:r>
      <w:r>
        <w:t> </w:t>
      </w:r>
      <w:r w:rsidRPr="006F2953">
        <w:t>50/2002, č. 189/2002, č. 198/2002, č. 272/</w:t>
      </w:r>
      <w:r w:rsidR="002429F8">
        <w:t>2002, č. 592/2002, č. 552/2003,</w:t>
      </w:r>
      <w:r w:rsidR="002429F8">
        <w:br/>
      </w:r>
      <w:r w:rsidRPr="006F2953">
        <w:t>č.</w:t>
      </w:r>
      <w:r w:rsidR="000A6461">
        <w:t> </w:t>
      </w:r>
      <w:r w:rsidRPr="006F2953">
        <w:t>18/2004, č.</w:t>
      </w:r>
      <w:r>
        <w:t> </w:t>
      </w:r>
      <w:r w:rsidRPr="006F2953">
        <w:t>1075/2004, č. 888/2005, č. 637/2006, č. 726/2006, č. 1467/</w:t>
      </w:r>
      <w:r w:rsidR="002429F8">
        <w:t>2006, č. 931/2007, č. 624/2008,</w:t>
      </w:r>
      <w:r w:rsidR="002429F8">
        <w:br/>
      </w:r>
      <w:r w:rsidRPr="006F2953">
        <w:t>č.</w:t>
      </w:r>
      <w:r w:rsidR="000A6461">
        <w:t> </w:t>
      </w:r>
      <w:r w:rsidRPr="006F2953">
        <w:t xml:space="preserve">688/2008, č. 119/2009, č. 879/2010, č. 296/2017 </w:t>
      </w:r>
      <w:r>
        <w:t xml:space="preserve">, </w:t>
      </w:r>
      <w:r w:rsidRPr="006F2953">
        <w:t>č. 625/2017</w:t>
      </w:r>
      <w:r w:rsidR="002429F8">
        <w:t xml:space="preserve"> a č. </w:t>
      </w:r>
      <w:r w:rsidRPr="00BF693F">
        <w:t>777/2019</w:t>
      </w:r>
      <w:r w:rsidR="002429F8">
        <w:t xml:space="preserve"> v celkové výši 40 727 mil. </w:t>
      </w:r>
      <w:r w:rsidRPr="006F2953">
        <w:t>Kč.</w:t>
      </w:r>
    </w:p>
    <w:p w:rsidR="00BD1E4E" w:rsidRPr="006F2953" w:rsidRDefault="002429F8" w:rsidP="00BD1E4E">
      <w:r>
        <w:t>V souladu s </w:t>
      </w:r>
      <w:r w:rsidR="00BD1E4E" w:rsidRPr="006F2953">
        <w:t xml:space="preserve">usnesením vlády ČR </w:t>
      </w:r>
      <w:r w:rsidR="00BD1E4E">
        <w:t>č. 51/200, a nově dle usnesení</w:t>
      </w:r>
      <w:r>
        <w:t xml:space="preserve"> vlády č. 556/2019, je vláda 1x </w:t>
      </w:r>
      <w:r w:rsidR="00BD1E4E">
        <w:t xml:space="preserve">ročně informována </w:t>
      </w:r>
      <w:r>
        <w:t>o </w:t>
      </w:r>
      <w:r w:rsidR="00BD1E4E" w:rsidRPr="006F2953">
        <w:t>dosažených výsledcích procesu odstraňování starých</w:t>
      </w:r>
      <w:r>
        <w:t xml:space="preserve"> ekologických škod jak v </w:t>
      </w:r>
      <w:r w:rsidR="00BD1E4E" w:rsidRPr="006F2953">
        <w:t>programu Ekologie, tak i v programu Revitalizace samostatným materiálem MF.</w:t>
      </w:r>
    </w:p>
    <w:p w:rsidR="0043457D" w:rsidRPr="0043457D" w:rsidRDefault="0043457D" w:rsidP="0043457D">
      <w:pPr>
        <w:rPr>
          <w:b/>
          <w:color w:val="000000"/>
        </w:rPr>
      </w:pPr>
      <w:r w:rsidRPr="0043457D">
        <w:rPr>
          <w:b/>
          <w:color w:val="000000"/>
        </w:rPr>
        <w:t>Realizace ekologických závazků</w:t>
      </w:r>
    </w:p>
    <w:p w:rsidR="0043457D" w:rsidRPr="0043457D" w:rsidRDefault="0043457D" w:rsidP="0043457D">
      <w:pPr>
        <w:rPr>
          <w:color w:val="000000"/>
        </w:rPr>
      </w:pPr>
      <w:r w:rsidRPr="0043457D">
        <w:rPr>
          <w:color w:val="000000"/>
        </w:rPr>
        <w:t>MF má v soulad</w:t>
      </w:r>
      <w:r w:rsidR="002429F8">
        <w:rPr>
          <w:color w:val="000000"/>
        </w:rPr>
        <w:t>u se zákonem č. 134/2016 Sb., o </w:t>
      </w:r>
      <w:r w:rsidRPr="0043457D">
        <w:rPr>
          <w:color w:val="000000"/>
        </w:rPr>
        <w:t>zadávání veřejných zakázek, vytvořen systém zadávání a realizace ekologických zakázek. Podle věcného charakteru zakázky využívá též meziresortní směrnice Ministerstva financí a Ministerstva životního prostředí nebo Ministerstva p</w:t>
      </w:r>
      <w:r w:rsidR="002429F8">
        <w:rPr>
          <w:color w:val="000000"/>
        </w:rPr>
        <w:t xml:space="preserve">růmyslu a obchodu. MF uzavírá </w:t>
      </w:r>
      <w:r w:rsidR="002429F8">
        <w:rPr>
          <w:color w:val="000000"/>
        </w:rPr>
        <w:lastRenderedPageBreak/>
        <w:t>v </w:t>
      </w:r>
      <w:r w:rsidRPr="0043457D">
        <w:rPr>
          <w:color w:val="000000"/>
        </w:rPr>
        <w:t xml:space="preserve">rámci ekologických smluv vzniklých před privatizací nebo v rámci nápravy ekologických škod způsobených těžbou nerostů a revitalizace </w:t>
      </w:r>
      <w:r w:rsidR="000F72B5">
        <w:rPr>
          <w:color w:val="000000"/>
        </w:rPr>
        <w:t>jednotlivé realizační smlouvy k </w:t>
      </w:r>
      <w:r w:rsidRPr="0043457D">
        <w:rPr>
          <w:color w:val="000000"/>
        </w:rPr>
        <w:t>plnění ekologických závazků.</w:t>
      </w:r>
    </w:p>
    <w:p w:rsidR="0043457D" w:rsidRPr="0043457D" w:rsidRDefault="002429F8" w:rsidP="0043457D">
      <w:pPr>
        <w:rPr>
          <w:color w:val="000000"/>
        </w:rPr>
      </w:pPr>
      <w:r>
        <w:rPr>
          <w:color w:val="000000"/>
        </w:rPr>
        <w:t>V </w:t>
      </w:r>
      <w:r w:rsidR="0043457D" w:rsidRPr="0043457D">
        <w:rPr>
          <w:color w:val="000000"/>
        </w:rPr>
        <w:t>roce 2020 pokračovalo 19 zadávacích řízení započatých v roce</w:t>
      </w:r>
      <w:r>
        <w:rPr>
          <w:color w:val="000000"/>
        </w:rPr>
        <w:t xml:space="preserve"> 2019. Zahájeno bylo dalších 28 zadávacích řízení, z </w:t>
      </w:r>
      <w:r w:rsidR="0043457D" w:rsidRPr="0043457D">
        <w:rPr>
          <w:color w:val="000000"/>
        </w:rPr>
        <w:t xml:space="preserve">toho v 20 případech budou probíhat další kroky k zadání zakázky i v roce 2021. </w:t>
      </w:r>
    </w:p>
    <w:p w:rsidR="0043457D" w:rsidRPr="0043457D" w:rsidRDefault="002429F8" w:rsidP="0043457D">
      <w:pPr>
        <w:rPr>
          <w:color w:val="000000"/>
        </w:rPr>
      </w:pPr>
      <w:r>
        <w:rPr>
          <w:color w:val="000000"/>
        </w:rPr>
        <w:t>Celkem bylo v </w:t>
      </w:r>
      <w:r w:rsidR="0043457D" w:rsidRPr="0043457D">
        <w:rPr>
          <w:color w:val="000000"/>
        </w:rPr>
        <w:t>roce 2020 uzavřeno 25 realizačních smluv (</w:t>
      </w:r>
      <w:r>
        <w:rPr>
          <w:color w:val="000000"/>
        </w:rPr>
        <w:t>vyjma zakázek malého rozsahu) v </w:t>
      </w:r>
      <w:r w:rsidR="0043457D" w:rsidRPr="0043457D">
        <w:rPr>
          <w:color w:val="000000"/>
        </w:rPr>
        <w:t>souhrnné výši 1</w:t>
      </w:r>
      <w:r>
        <w:rPr>
          <w:color w:val="000000"/>
        </w:rPr>
        <w:t> 909 642 </w:t>
      </w:r>
      <w:r w:rsidR="007F52D8">
        <w:rPr>
          <w:color w:val="000000"/>
        </w:rPr>
        <w:t>683,00Kč (bez DPH)</w:t>
      </w:r>
      <w:r>
        <w:rPr>
          <w:color w:val="000000"/>
        </w:rPr>
        <w:t xml:space="preserve"> – z toho závazky MF 1 758 835 </w:t>
      </w:r>
      <w:r w:rsidR="0043457D" w:rsidRPr="0043457D">
        <w:rPr>
          <w:color w:val="000000"/>
        </w:rPr>
        <w:t xml:space="preserve">095,00 </w:t>
      </w:r>
      <w:r w:rsidR="007F52D8">
        <w:rPr>
          <w:color w:val="000000"/>
        </w:rPr>
        <w:t>(tj.</w:t>
      </w:r>
      <w:r w:rsidR="0043457D" w:rsidRPr="0043457D">
        <w:rPr>
          <w:color w:val="000000"/>
        </w:rPr>
        <w:t xml:space="preserve"> po odečtení spoluzadavatelů</w:t>
      </w:r>
      <w:r w:rsidR="007F52D8">
        <w:rPr>
          <w:color w:val="000000"/>
        </w:rPr>
        <w:t>)</w:t>
      </w:r>
      <w:r w:rsidR="00DF0B50">
        <w:rPr>
          <w:color w:val="000000"/>
        </w:rPr>
        <w:t>.</w:t>
      </w:r>
    </w:p>
    <w:p w:rsidR="0043457D" w:rsidRPr="0043457D" w:rsidRDefault="0043457D" w:rsidP="0043457D">
      <w:pPr>
        <w:rPr>
          <w:color w:val="000000"/>
        </w:rPr>
      </w:pPr>
      <w:r w:rsidRPr="0043457D">
        <w:rPr>
          <w:color w:val="000000"/>
        </w:rPr>
        <w:t>Kromě výše zmíněnýc</w:t>
      </w:r>
      <w:r w:rsidR="002429F8">
        <w:rPr>
          <w:color w:val="000000"/>
        </w:rPr>
        <w:t>h veřejných zakázek zadalo MF v </w:t>
      </w:r>
      <w:r w:rsidRPr="0043457D">
        <w:rPr>
          <w:color w:val="000000"/>
        </w:rPr>
        <w:t>roce 2020 dalších celkem 187 ekologických veřejných zakázek malého rozsahu v souhrn</w:t>
      </w:r>
      <w:r w:rsidR="002429F8">
        <w:rPr>
          <w:color w:val="000000"/>
        </w:rPr>
        <w:t>né výši 55 063 </w:t>
      </w:r>
      <w:r w:rsidR="00483C72">
        <w:rPr>
          <w:color w:val="000000"/>
        </w:rPr>
        <w:t xml:space="preserve">067 Kč </w:t>
      </w:r>
      <w:r w:rsidRPr="0043457D">
        <w:rPr>
          <w:color w:val="000000"/>
        </w:rPr>
        <w:t xml:space="preserve">bez DPH </w:t>
      </w:r>
      <w:r w:rsidR="000F72B5">
        <w:rPr>
          <w:color w:val="000000"/>
        </w:rPr>
        <w:t>(tj. s </w:t>
      </w:r>
      <w:r w:rsidR="002429F8">
        <w:rPr>
          <w:color w:val="000000"/>
        </w:rPr>
        <w:t>jednotlivým plněním do 2 mil. </w:t>
      </w:r>
      <w:r w:rsidRPr="0043457D">
        <w:rPr>
          <w:color w:val="000000"/>
        </w:rPr>
        <w:t>Kč bez DPH a do 6</w:t>
      </w:r>
      <w:r w:rsidR="002429F8">
        <w:rPr>
          <w:color w:val="000000"/>
        </w:rPr>
        <w:t xml:space="preserve"> mil. Kč bez DPH, jedná-li se o </w:t>
      </w:r>
      <w:r w:rsidRPr="0043457D">
        <w:rPr>
          <w:color w:val="000000"/>
        </w:rPr>
        <w:t>stavební práce):</w:t>
      </w:r>
    </w:p>
    <w:p w:rsidR="0043457D" w:rsidRPr="0043457D" w:rsidRDefault="0043457D" w:rsidP="0043457D">
      <w:pPr>
        <w:pStyle w:val="odrka"/>
      </w:pPr>
      <w:r w:rsidRPr="0043457D">
        <w:t>163 ekologických veřejných zakázek k uzavřeným ekologickým smlouvám,</w:t>
      </w:r>
    </w:p>
    <w:p w:rsidR="0043457D" w:rsidRPr="0043457D" w:rsidRDefault="0043457D" w:rsidP="0043457D">
      <w:pPr>
        <w:pStyle w:val="odrka"/>
      </w:pPr>
      <w:r w:rsidRPr="0043457D">
        <w:t>18 ekologických veřejných zakázek pro Moravskoslezský a Jihomoravský kraj,</w:t>
      </w:r>
    </w:p>
    <w:p w:rsidR="0043457D" w:rsidRPr="0043457D" w:rsidRDefault="0043457D" w:rsidP="0043457D">
      <w:pPr>
        <w:pStyle w:val="odrka"/>
      </w:pPr>
      <w:r w:rsidRPr="0043457D">
        <w:t>5 ekologických veřejných zakázek pro Ústecký a Karlovarský kraj</w:t>
      </w:r>
    </w:p>
    <w:p w:rsidR="0043457D" w:rsidRPr="0043457D" w:rsidRDefault="0043457D" w:rsidP="0043457D">
      <w:pPr>
        <w:pStyle w:val="odrka"/>
      </w:pPr>
      <w:r w:rsidRPr="0043457D">
        <w:t>1 Vládní usnesení č. 777/2019 bod IV.1 - průmyslová zóna Kladno</w:t>
      </w:r>
    </w:p>
    <w:p w:rsidR="0043457D" w:rsidRPr="00034EC9" w:rsidRDefault="00483C72" w:rsidP="00483C72">
      <w:pPr>
        <w:pStyle w:val="odrka"/>
      </w:pPr>
      <w:r>
        <w:t>0 obecné veřejné zakázky</w:t>
      </w:r>
    </w:p>
    <w:p w:rsidR="00BD1E4E" w:rsidRPr="00FD6B3B" w:rsidRDefault="00EF09BC" w:rsidP="00FD6B3B">
      <w:pPr>
        <w:rPr>
          <w:b/>
          <w:bCs/>
        </w:rPr>
      </w:pPr>
      <w:r>
        <w:rPr>
          <w:b/>
          <w:bCs/>
        </w:rPr>
        <w:t>Úhrada za rok 2020</w:t>
      </w:r>
    </w:p>
    <w:p w:rsidR="00BD1E4E" w:rsidRPr="006F2953" w:rsidRDefault="000F72B5" w:rsidP="00BD1E4E">
      <w:r>
        <w:t>Za </w:t>
      </w:r>
      <w:r w:rsidR="00BD1E4E" w:rsidRPr="006F2953">
        <w:t xml:space="preserve">rok </w:t>
      </w:r>
      <w:r w:rsidR="00EF09BC">
        <w:t>2020</w:t>
      </w:r>
      <w:r w:rsidR="00BD1E4E" w:rsidRPr="006F2953">
        <w:t xml:space="preserve"> došlo k celkovému vypořádání (včetně promlčeného zádržného a zápočtu pohledávek) ekologických šk</w:t>
      </w:r>
      <w:r w:rsidR="008C3D41">
        <w:t>od vzniklých před privatizací v </w:t>
      </w:r>
      <w:r w:rsidR="00BD1E4E" w:rsidRPr="006F2953">
        <w:t xml:space="preserve">hodnotě </w:t>
      </w:r>
      <w:r w:rsidR="00EF09BC">
        <w:t>917</w:t>
      </w:r>
      <w:r>
        <w:t> mil. </w:t>
      </w:r>
      <w:r w:rsidR="00BD1E4E" w:rsidRPr="006F2953">
        <w:t xml:space="preserve">Kč a nápravy ekologických škod způsobených </w:t>
      </w:r>
      <w:r>
        <w:t>těžbou nerostů a revitalizaci v </w:t>
      </w:r>
      <w:r w:rsidR="00BD1E4E" w:rsidRPr="006F2953">
        <w:t xml:space="preserve">hodnotě </w:t>
      </w:r>
      <w:r w:rsidR="00EF09BC">
        <w:t>873</w:t>
      </w:r>
      <w:r w:rsidR="00BD1E4E" w:rsidRPr="006F2953">
        <w:t xml:space="preserve"> mil. Kč. </w:t>
      </w:r>
    </w:p>
    <w:p w:rsidR="00BD1E4E" w:rsidRPr="00B51E0A" w:rsidRDefault="00BD1E4E" w:rsidP="00FD6B3B">
      <w:pPr>
        <w:pStyle w:val="Nadpis1"/>
      </w:pPr>
      <w:bookmarkStart w:id="18" w:name="_Toc34922956"/>
      <w:bookmarkStart w:id="19" w:name="_Toc65836217"/>
      <w:r w:rsidRPr="00B51E0A">
        <w:t>Řešení restitučních nároků</w:t>
      </w:r>
      <w:bookmarkEnd w:id="18"/>
      <w:bookmarkEnd w:id="19"/>
    </w:p>
    <w:p w:rsidR="00BD1E4E" w:rsidRPr="006F2953" w:rsidRDefault="00BD1E4E" w:rsidP="00BD1E4E">
      <w:r w:rsidRPr="006F2953">
        <w:t>Restituční nároky oprávněných osob podle zákona č. 87/1991 Sb., o mimosoud</w:t>
      </w:r>
      <w:r w:rsidR="008C3D41">
        <w:t>ních rehabilitacích a zákona č. 229/1991 Sb., o </w:t>
      </w:r>
      <w:r w:rsidRPr="006F2953">
        <w:t>úpravě vlastnických vztahů k půdě a jinému zemědělskému maj</w:t>
      </w:r>
      <w:r w:rsidR="00213E61">
        <w:t>etku, byly i v průběhu roku 2020</w:t>
      </w:r>
      <w:r w:rsidRPr="006F2953">
        <w:t xml:space="preserve"> vypořádávány formou směnek. </w:t>
      </w:r>
    </w:p>
    <w:p w:rsidR="00BD1E4E" w:rsidRPr="006F2953" w:rsidRDefault="00BD1E4E" w:rsidP="00BD1E4E">
      <w:r w:rsidRPr="006F2953">
        <w:t>Pokyny k vystave</w:t>
      </w:r>
      <w:r w:rsidR="008C3D41">
        <w:t>ní směnek, respektive žádosti o </w:t>
      </w:r>
      <w:r w:rsidRPr="006F2953">
        <w:t xml:space="preserve">zrušení dříve emitovaných směnek, vydávají povinné subjekty, tj. Ministerstvo zemědělství, Státní pozemkový úřad a Ministerstvo financí. </w:t>
      </w:r>
    </w:p>
    <w:p w:rsidR="00CF4644" w:rsidRDefault="00BD1E4E" w:rsidP="00BD1E4E">
      <w:r w:rsidRPr="006F2953">
        <w:t>Směnky jsou rušeny po uplynutí doby platnosti směnky.</w:t>
      </w:r>
    </w:p>
    <w:p w:rsidR="00BD1E4E" w:rsidRDefault="00BD1E4E" w:rsidP="00FD6B3B">
      <w:pPr>
        <w:pStyle w:val="Nzev"/>
      </w:pPr>
      <w:bookmarkStart w:id="20" w:name="_Toc65836225"/>
      <w:r w:rsidRPr="00442C9B">
        <w:t xml:space="preserve">Tabulka č. </w:t>
      </w:r>
      <w:r w:rsidR="00E13D9D">
        <w:fldChar w:fldCharType="begin"/>
      </w:r>
      <w:r w:rsidR="00E13D9D">
        <w:instrText xml:space="preserve"> SEQ Tabulka_č. \* ARABIC </w:instrText>
      </w:r>
      <w:r w:rsidR="00E13D9D">
        <w:fldChar w:fldCharType="separate"/>
      </w:r>
      <w:r w:rsidR="008A4BFD">
        <w:rPr>
          <w:noProof/>
        </w:rPr>
        <w:t>3</w:t>
      </w:r>
      <w:r w:rsidR="00E13D9D">
        <w:rPr>
          <w:noProof/>
        </w:rPr>
        <w:fldChar w:fldCharType="end"/>
      </w:r>
      <w:r w:rsidRPr="00442C9B">
        <w:t>: Proplacené splatné směnky v roce 20</w:t>
      </w:r>
      <w:r w:rsidR="006B5046">
        <w:t>20</w:t>
      </w:r>
      <w:bookmarkEnd w:id="20"/>
    </w:p>
    <w:tbl>
      <w:tblPr>
        <w:tblW w:w="6946" w:type="dxa"/>
        <w:tblInd w:w="70" w:type="dxa"/>
        <w:tblCellMar>
          <w:left w:w="70" w:type="dxa"/>
          <w:right w:w="70" w:type="dxa"/>
        </w:tblCellMar>
        <w:tblLook w:val="04A0" w:firstRow="1" w:lastRow="0" w:firstColumn="1" w:lastColumn="0" w:noHBand="0" w:noVBand="1"/>
      </w:tblPr>
      <w:tblGrid>
        <w:gridCol w:w="2694"/>
        <w:gridCol w:w="2126"/>
        <w:gridCol w:w="2126"/>
      </w:tblGrid>
      <w:tr w:rsidR="006B5046" w:rsidRPr="006B5046" w:rsidTr="00D65396">
        <w:trPr>
          <w:trHeight w:val="290"/>
        </w:trPr>
        <w:tc>
          <w:tcPr>
            <w:tcW w:w="2694"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rsidR="006B5046" w:rsidRPr="006B5046" w:rsidRDefault="006B5046" w:rsidP="006B5046">
            <w:pPr>
              <w:spacing w:before="0"/>
              <w:jc w:val="left"/>
              <w:rPr>
                <w:rFonts w:eastAsia="Times New Roman" w:cs="Times New Roman"/>
                <w:b/>
                <w:bCs/>
                <w:color w:val="000000"/>
                <w:lang w:eastAsia="cs-CZ"/>
              </w:rPr>
            </w:pPr>
            <w:r w:rsidRPr="006B5046">
              <w:rPr>
                <w:rFonts w:eastAsia="Times New Roman" w:cs="Times New Roman"/>
                <w:b/>
                <w:bCs/>
                <w:color w:val="000000"/>
                <w:lang w:eastAsia="cs-CZ"/>
              </w:rPr>
              <w:t>SMĚNKY</w:t>
            </w:r>
          </w:p>
        </w:tc>
        <w:tc>
          <w:tcPr>
            <w:tcW w:w="4252" w:type="dxa"/>
            <w:gridSpan w:val="2"/>
            <w:tcBorders>
              <w:top w:val="single" w:sz="12" w:space="0" w:color="auto"/>
              <w:left w:val="nil"/>
              <w:bottom w:val="single" w:sz="4" w:space="0" w:color="auto"/>
              <w:right w:val="single" w:sz="12" w:space="0" w:color="auto"/>
            </w:tcBorders>
            <w:shd w:val="clear" w:color="auto" w:fill="auto"/>
            <w:noWrap/>
            <w:vAlign w:val="bottom"/>
            <w:hideMark/>
          </w:tcPr>
          <w:p w:rsidR="006B5046" w:rsidRPr="006B5046" w:rsidRDefault="006B5046" w:rsidP="006B5046">
            <w:pPr>
              <w:spacing w:before="0"/>
              <w:jc w:val="center"/>
              <w:rPr>
                <w:rFonts w:eastAsia="Times New Roman" w:cs="Times New Roman"/>
                <w:b/>
                <w:bCs/>
                <w:color w:val="000000"/>
                <w:lang w:eastAsia="cs-CZ"/>
              </w:rPr>
            </w:pPr>
            <w:r w:rsidRPr="006B5046">
              <w:rPr>
                <w:rFonts w:eastAsia="Times New Roman" w:cs="Times New Roman"/>
                <w:b/>
                <w:bCs/>
                <w:color w:val="000000"/>
                <w:lang w:eastAsia="cs-CZ"/>
              </w:rPr>
              <w:t>1.</w:t>
            </w:r>
            <w:r w:rsidR="008C3D41">
              <w:rPr>
                <w:rFonts w:eastAsia="Times New Roman" w:cs="Times New Roman"/>
                <w:b/>
                <w:bCs/>
                <w:color w:val="000000"/>
                <w:lang w:eastAsia="cs-CZ"/>
              </w:rPr>
              <w:t> </w:t>
            </w:r>
            <w:r w:rsidRPr="006B5046">
              <w:rPr>
                <w:rFonts w:eastAsia="Times New Roman" w:cs="Times New Roman"/>
                <w:b/>
                <w:bCs/>
                <w:color w:val="000000"/>
                <w:lang w:eastAsia="cs-CZ"/>
              </w:rPr>
              <w:t>1.</w:t>
            </w:r>
            <w:r w:rsidR="008C3D41">
              <w:rPr>
                <w:rFonts w:eastAsia="Times New Roman" w:cs="Times New Roman"/>
                <w:b/>
                <w:bCs/>
                <w:color w:val="000000"/>
                <w:lang w:eastAsia="cs-CZ"/>
              </w:rPr>
              <w:t> </w:t>
            </w:r>
            <w:r w:rsidRPr="006B5046">
              <w:rPr>
                <w:rFonts w:eastAsia="Times New Roman" w:cs="Times New Roman"/>
                <w:b/>
                <w:bCs/>
                <w:color w:val="000000"/>
                <w:lang w:eastAsia="cs-CZ"/>
              </w:rPr>
              <w:t>2020 - 31.</w:t>
            </w:r>
            <w:r w:rsidR="008C3D41">
              <w:rPr>
                <w:rFonts w:eastAsia="Times New Roman" w:cs="Times New Roman"/>
                <w:b/>
                <w:bCs/>
                <w:color w:val="000000"/>
                <w:lang w:eastAsia="cs-CZ"/>
              </w:rPr>
              <w:t> </w:t>
            </w:r>
            <w:r w:rsidRPr="006B5046">
              <w:rPr>
                <w:rFonts w:eastAsia="Times New Roman" w:cs="Times New Roman"/>
                <w:b/>
                <w:bCs/>
                <w:color w:val="000000"/>
                <w:lang w:eastAsia="cs-CZ"/>
              </w:rPr>
              <w:t>12.</w:t>
            </w:r>
            <w:r w:rsidR="008C3D41">
              <w:rPr>
                <w:rFonts w:eastAsia="Times New Roman" w:cs="Times New Roman"/>
                <w:b/>
                <w:bCs/>
                <w:color w:val="000000"/>
                <w:lang w:eastAsia="cs-CZ"/>
              </w:rPr>
              <w:t> </w:t>
            </w:r>
            <w:r w:rsidRPr="006B5046">
              <w:rPr>
                <w:rFonts w:eastAsia="Times New Roman" w:cs="Times New Roman"/>
                <w:b/>
                <w:bCs/>
                <w:color w:val="000000"/>
                <w:lang w:eastAsia="cs-CZ"/>
              </w:rPr>
              <w:t>2020</w:t>
            </w:r>
          </w:p>
        </w:tc>
      </w:tr>
      <w:tr w:rsidR="006B5046" w:rsidRPr="006B5046" w:rsidTr="00D65396">
        <w:trPr>
          <w:trHeight w:val="290"/>
        </w:trPr>
        <w:tc>
          <w:tcPr>
            <w:tcW w:w="2694" w:type="dxa"/>
            <w:vMerge/>
            <w:tcBorders>
              <w:top w:val="single" w:sz="8" w:space="0" w:color="auto"/>
              <w:left w:val="single" w:sz="12" w:space="0" w:color="auto"/>
              <w:bottom w:val="single" w:sz="8" w:space="0" w:color="auto"/>
              <w:right w:val="single" w:sz="4" w:space="0" w:color="auto"/>
            </w:tcBorders>
            <w:vAlign w:val="center"/>
            <w:hideMark/>
          </w:tcPr>
          <w:p w:rsidR="006B5046" w:rsidRPr="006B5046" w:rsidRDefault="006B5046" w:rsidP="006B5046">
            <w:pPr>
              <w:spacing w:before="0"/>
              <w:jc w:val="left"/>
              <w:rPr>
                <w:rFonts w:eastAsia="Times New Roman" w:cs="Times New Roman"/>
                <w:b/>
                <w:bCs/>
                <w:color w:val="000000"/>
                <w:lang w:eastAsia="cs-CZ"/>
              </w:rPr>
            </w:pPr>
          </w:p>
        </w:tc>
        <w:tc>
          <w:tcPr>
            <w:tcW w:w="2126" w:type="dxa"/>
            <w:tcBorders>
              <w:top w:val="nil"/>
              <w:left w:val="nil"/>
              <w:bottom w:val="single" w:sz="8" w:space="0" w:color="auto"/>
              <w:right w:val="single" w:sz="4" w:space="0" w:color="auto"/>
            </w:tcBorders>
            <w:shd w:val="clear" w:color="auto" w:fill="auto"/>
            <w:noWrap/>
            <w:vAlign w:val="bottom"/>
            <w:hideMark/>
          </w:tcPr>
          <w:p w:rsidR="006B5046" w:rsidRPr="006B5046" w:rsidRDefault="006B5046" w:rsidP="006B5046">
            <w:pPr>
              <w:spacing w:before="0"/>
              <w:jc w:val="center"/>
              <w:rPr>
                <w:rFonts w:eastAsia="Times New Roman" w:cs="Times New Roman"/>
                <w:b/>
                <w:bCs/>
                <w:color w:val="000000"/>
                <w:lang w:eastAsia="cs-CZ"/>
              </w:rPr>
            </w:pPr>
            <w:r w:rsidRPr="006B5046">
              <w:rPr>
                <w:rFonts w:eastAsia="Times New Roman" w:cs="Times New Roman"/>
                <w:b/>
                <w:bCs/>
                <w:color w:val="000000"/>
                <w:lang w:eastAsia="cs-CZ"/>
              </w:rPr>
              <w:t>Počet ks</w:t>
            </w:r>
          </w:p>
        </w:tc>
        <w:tc>
          <w:tcPr>
            <w:tcW w:w="2126" w:type="dxa"/>
            <w:tcBorders>
              <w:top w:val="nil"/>
              <w:left w:val="nil"/>
              <w:bottom w:val="single" w:sz="8" w:space="0" w:color="auto"/>
              <w:right w:val="single" w:sz="12" w:space="0" w:color="auto"/>
            </w:tcBorders>
            <w:shd w:val="clear" w:color="auto" w:fill="auto"/>
            <w:noWrap/>
            <w:vAlign w:val="bottom"/>
            <w:hideMark/>
          </w:tcPr>
          <w:p w:rsidR="006B5046" w:rsidRPr="006B5046" w:rsidRDefault="006B5046" w:rsidP="006B5046">
            <w:pPr>
              <w:spacing w:before="0"/>
              <w:jc w:val="center"/>
              <w:rPr>
                <w:rFonts w:eastAsia="Times New Roman" w:cs="Times New Roman"/>
                <w:b/>
                <w:bCs/>
                <w:color w:val="000000"/>
                <w:lang w:eastAsia="cs-CZ"/>
              </w:rPr>
            </w:pPr>
            <w:r w:rsidRPr="006B5046">
              <w:rPr>
                <w:rFonts w:eastAsia="Times New Roman" w:cs="Times New Roman"/>
                <w:b/>
                <w:bCs/>
                <w:color w:val="000000"/>
                <w:lang w:eastAsia="cs-CZ"/>
              </w:rPr>
              <w:t>Částka v tis. Kč</w:t>
            </w:r>
          </w:p>
        </w:tc>
      </w:tr>
      <w:tr w:rsidR="006B5046" w:rsidRPr="006B5046" w:rsidTr="00D65396">
        <w:trPr>
          <w:trHeight w:val="280"/>
        </w:trPr>
        <w:tc>
          <w:tcPr>
            <w:tcW w:w="2694" w:type="dxa"/>
            <w:tcBorders>
              <w:top w:val="single" w:sz="8" w:space="0" w:color="auto"/>
              <w:left w:val="single" w:sz="12" w:space="0" w:color="auto"/>
              <w:bottom w:val="single" w:sz="4" w:space="0" w:color="auto"/>
              <w:right w:val="single" w:sz="4" w:space="0" w:color="auto"/>
            </w:tcBorders>
            <w:shd w:val="clear" w:color="auto" w:fill="auto"/>
            <w:noWrap/>
            <w:vAlign w:val="bottom"/>
            <w:hideMark/>
          </w:tcPr>
          <w:p w:rsidR="006B5046" w:rsidRPr="006B5046" w:rsidRDefault="006B5046" w:rsidP="006B5046">
            <w:pPr>
              <w:spacing w:before="0"/>
              <w:jc w:val="left"/>
              <w:rPr>
                <w:rFonts w:eastAsia="Times New Roman" w:cs="Times New Roman"/>
                <w:color w:val="000000"/>
                <w:lang w:eastAsia="cs-CZ"/>
              </w:rPr>
            </w:pPr>
            <w:r w:rsidRPr="006B5046">
              <w:rPr>
                <w:rFonts w:eastAsia="Times New Roman" w:cs="Times New Roman"/>
                <w:color w:val="000000"/>
                <w:lang w:eastAsia="cs-CZ"/>
              </w:rPr>
              <w:t>Vystaveno</w:t>
            </w:r>
          </w:p>
        </w:tc>
        <w:tc>
          <w:tcPr>
            <w:tcW w:w="2126" w:type="dxa"/>
            <w:tcBorders>
              <w:top w:val="single" w:sz="8" w:space="0" w:color="auto"/>
              <w:left w:val="nil"/>
              <w:bottom w:val="single" w:sz="4" w:space="0" w:color="auto"/>
              <w:right w:val="single" w:sz="4" w:space="0" w:color="auto"/>
            </w:tcBorders>
            <w:shd w:val="clear" w:color="auto" w:fill="auto"/>
            <w:noWrap/>
            <w:vAlign w:val="bottom"/>
            <w:hideMark/>
          </w:tcPr>
          <w:p w:rsidR="006B5046" w:rsidRPr="006B5046" w:rsidRDefault="006B5046" w:rsidP="006B5046">
            <w:pPr>
              <w:spacing w:before="0"/>
              <w:jc w:val="right"/>
              <w:rPr>
                <w:rFonts w:eastAsia="Times New Roman" w:cs="Times New Roman"/>
                <w:color w:val="000000"/>
                <w:lang w:eastAsia="cs-CZ"/>
              </w:rPr>
            </w:pPr>
            <w:r w:rsidRPr="006B5046">
              <w:rPr>
                <w:rFonts w:eastAsia="Times New Roman" w:cs="Times New Roman"/>
                <w:color w:val="000000"/>
                <w:lang w:eastAsia="cs-CZ"/>
              </w:rPr>
              <w:t>11</w:t>
            </w:r>
          </w:p>
        </w:tc>
        <w:tc>
          <w:tcPr>
            <w:tcW w:w="2126" w:type="dxa"/>
            <w:tcBorders>
              <w:top w:val="single" w:sz="8" w:space="0" w:color="auto"/>
              <w:left w:val="nil"/>
              <w:bottom w:val="single" w:sz="4" w:space="0" w:color="auto"/>
              <w:right w:val="single" w:sz="12" w:space="0" w:color="auto"/>
            </w:tcBorders>
            <w:shd w:val="clear" w:color="auto" w:fill="auto"/>
            <w:noWrap/>
            <w:vAlign w:val="bottom"/>
            <w:hideMark/>
          </w:tcPr>
          <w:p w:rsidR="006B5046" w:rsidRPr="006B5046" w:rsidRDefault="006B5046" w:rsidP="006B5046">
            <w:pPr>
              <w:spacing w:before="0"/>
              <w:jc w:val="right"/>
              <w:rPr>
                <w:rFonts w:eastAsia="Times New Roman" w:cs="Times New Roman"/>
                <w:color w:val="000000"/>
                <w:lang w:eastAsia="cs-CZ"/>
              </w:rPr>
            </w:pPr>
            <w:r w:rsidRPr="006B5046">
              <w:rPr>
                <w:rFonts w:eastAsia="Times New Roman" w:cs="Times New Roman"/>
                <w:color w:val="000000"/>
                <w:lang w:eastAsia="cs-CZ"/>
              </w:rPr>
              <w:t>2 325</w:t>
            </w:r>
          </w:p>
        </w:tc>
      </w:tr>
      <w:tr w:rsidR="006B5046" w:rsidRPr="006B5046" w:rsidTr="00D65396">
        <w:trPr>
          <w:trHeight w:val="280"/>
        </w:trPr>
        <w:tc>
          <w:tcPr>
            <w:tcW w:w="2694" w:type="dxa"/>
            <w:tcBorders>
              <w:top w:val="nil"/>
              <w:left w:val="single" w:sz="12" w:space="0" w:color="auto"/>
              <w:bottom w:val="single" w:sz="4" w:space="0" w:color="auto"/>
              <w:right w:val="single" w:sz="4" w:space="0" w:color="auto"/>
            </w:tcBorders>
            <w:shd w:val="clear" w:color="auto" w:fill="auto"/>
            <w:noWrap/>
            <w:vAlign w:val="bottom"/>
            <w:hideMark/>
          </w:tcPr>
          <w:p w:rsidR="006B5046" w:rsidRPr="006B5046" w:rsidRDefault="006B5046" w:rsidP="006B5046">
            <w:pPr>
              <w:spacing w:before="0"/>
              <w:jc w:val="left"/>
              <w:rPr>
                <w:rFonts w:eastAsia="Times New Roman" w:cs="Times New Roman"/>
                <w:color w:val="000000"/>
                <w:lang w:eastAsia="cs-CZ"/>
              </w:rPr>
            </w:pPr>
            <w:r w:rsidRPr="006B5046">
              <w:rPr>
                <w:rFonts w:eastAsia="Times New Roman" w:cs="Times New Roman"/>
                <w:color w:val="000000"/>
                <w:lang w:eastAsia="cs-CZ"/>
              </w:rPr>
              <w:t>Zrušeno/stornováno</w:t>
            </w:r>
          </w:p>
        </w:tc>
        <w:tc>
          <w:tcPr>
            <w:tcW w:w="2126" w:type="dxa"/>
            <w:tcBorders>
              <w:top w:val="nil"/>
              <w:left w:val="nil"/>
              <w:bottom w:val="single" w:sz="4" w:space="0" w:color="auto"/>
              <w:right w:val="single" w:sz="4" w:space="0" w:color="auto"/>
            </w:tcBorders>
            <w:shd w:val="clear" w:color="auto" w:fill="auto"/>
            <w:noWrap/>
            <w:vAlign w:val="bottom"/>
            <w:hideMark/>
          </w:tcPr>
          <w:p w:rsidR="006B5046" w:rsidRPr="006B5046" w:rsidRDefault="006B5046" w:rsidP="006B5046">
            <w:pPr>
              <w:spacing w:before="0"/>
              <w:jc w:val="right"/>
              <w:rPr>
                <w:rFonts w:eastAsia="Times New Roman" w:cs="Times New Roman"/>
                <w:color w:val="000000"/>
                <w:lang w:eastAsia="cs-CZ"/>
              </w:rPr>
            </w:pPr>
            <w:r w:rsidRPr="006B5046">
              <w:rPr>
                <w:rFonts w:eastAsia="Times New Roman" w:cs="Times New Roman"/>
                <w:color w:val="000000"/>
                <w:lang w:eastAsia="cs-CZ"/>
              </w:rPr>
              <w:t>3</w:t>
            </w:r>
          </w:p>
        </w:tc>
        <w:tc>
          <w:tcPr>
            <w:tcW w:w="2126" w:type="dxa"/>
            <w:tcBorders>
              <w:top w:val="nil"/>
              <w:left w:val="nil"/>
              <w:bottom w:val="single" w:sz="4" w:space="0" w:color="auto"/>
              <w:right w:val="single" w:sz="12" w:space="0" w:color="auto"/>
            </w:tcBorders>
            <w:shd w:val="clear" w:color="auto" w:fill="auto"/>
            <w:noWrap/>
            <w:vAlign w:val="bottom"/>
            <w:hideMark/>
          </w:tcPr>
          <w:p w:rsidR="006B5046" w:rsidRPr="006B5046" w:rsidRDefault="006B5046" w:rsidP="006B5046">
            <w:pPr>
              <w:spacing w:before="0"/>
              <w:jc w:val="right"/>
              <w:rPr>
                <w:rFonts w:eastAsia="Times New Roman" w:cs="Times New Roman"/>
                <w:color w:val="000000"/>
                <w:lang w:eastAsia="cs-CZ"/>
              </w:rPr>
            </w:pPr>
            <w:r w:rsidRPr="006B5046">
              <w:rPr>
                <w:rFonts w:eastAsia="Times New Roman" w:cs="Times New Roman"/>
                <w:color w:val="000000"/>
                <w:lang w:eastAsia="cs-CZ"/>
              </w:rPr>
              <w:t>70</w:t>
            </w:r>
          </w:p>
        </w:tc>
      </w:tr>
      <w:tr w:rsidR="006B5046" w:rsidRPr="006B5046" w:rsidTr="00D65396">
        <w:trPr>
          <w:trHeight w:val="290"/>
        </w:trPr>
        <w:tc>
          <w:tcPr>
            <w:tcW w:w="2694" w:type="dxa"/>
            <w:tcBorders>
              <w:top w:val="nil"/>
              <w:left w:val="single" w:sz="12" w:space="0" w:color="auto"/>
              <w:bottom w:val="single" w:sz="12" w:space="0" w:color="auto"/>
              <w:right w:val="single" w:sz="4" w:space="0" w:color="auto"/>
            </w:tcBorders>
            <w:shd w:val="clear" w:color="auto" w:fill="auto"/>
            <w:noWrap/>
            <w:vAlign w:val="bottom"/>
            <w:hideMark/>
          </w:tcPr>
          <w:p w:rsidR="006B5046" w:rsidRPr="006B5046" w:rsidRDefault="006B5046" w:rsidP="006B5046">
            <w:pPr>
              <w:spacing w:before="0"/>
              <w:jc w:val="left"/>
              <w:rPr>
                <w:rFonts w:eastAsia="Times New Roman" w:cs="Times New Roman"/>
                <w:color w:val="000000"/>
                <w:lang w:eastAsia="cs-CZ"/>
              </w:rPr>
            </w:pPr>
            <w:r w:rsidRPr="006B5046">
              <w:rPr>
                <w:rFonts w:eastAsia="Times New Roman" w:cs="Times New Roman"/>
                <w:color w:val="000000"/>
                <w:lang w:eastAsia="cs-CZ"/>
              </w:rPr>
              <w:t>Proplaceno</w:t>
            </w:r>
          </w:p>
        </w:tc>
        <w:tc>
          <w:tcPr>
            <w:tcW w:w="2126" w:type="dxa"/>
            <w:tcBorders>
              <w:top w:val="nil"/>
              <w:left w:val="nil"/>
              <w:bottom w:val="single" w:sz="12" w:space="0" w:color="auto"/>
              <w:right w:val="single" w:sz="4" w:space="0" w:color="auto"/>
            </w:tcBorders>
            <w:shd w:val="clear" w:color="auto" w:fill="auto"/>
            <w:noWrap/>
            <w:vAlign w:val="bottom"/>
            <w:hideMark/>
          </w:tcPr>
          <w:p w:rsidR="006B5046" w:rsidRPr="006B5046" w:rsidRDefault="006B5046" w:rsidP="006B5046">
            <w:pPr>
              <w:spacing w:before="0"/>
              <w:jc w:val="right"/>
              <w:rPr>
                <w:rFonts w:eastAsia="Times New Roman" w:cs="Times New Roman"/>
                <w:color w:val="000000"/>
                <w:lang w:eastAsia="cs-CZ"/>
              </w:rPr>
            </w:pPr>
            <w:r w:rsidRPr="006B5046">
              <w:rPr>
                <w:rFonts w:eastAsia="Times New Roman" w:cs="Times New Roman"/>
                <w:color w:val="000000"/>
                <w:lang w:eastAsia="cs-CZ"/>
              </w:rPr>
              <w:t>9</w:t>
            </w:r>
          </w:p>
        </w:tc>
        <w:tc>
          <w:tcPr>
            <w:tcW w:w="2126" w:type="dxa"/>
            <w:tcBorders>
              <w:top w:val="nil"/>
              <w:left w:val="nil"/>
              <w:bottom w:val="single" w:sz="12" w:space="0" w:color="auto"/>
              <w:right w:val="single" w:sz="12" w:space="0" w:color="auto"/>
            </w:tcBorders>
            <w:shd w:val="clear" w:color="auto" w:fill="auto"/>
            <w:noWrap/>
            <w:vAlign w:val="bottom"/>
            <w:hideMark/>
          </w:tcPr>
          <w:p w:rsidR="006B5046" w:rsidRPr="006B5046" w:rsidRDefault="006B5046" w:rsidP="006B5046">
            <w:pPr>
              <w:spacing w:before="0"/>
              <w:jc w:val="right"/>
              <w:rPr>
                <w:rFonts w:eastAsia="Times New Roman" w:cs="Times New Roman"/>
                <w:color w:val="000000"/>
                <w:lang w:eastAsia="cs-CZ"/>
              </w:rPr>
            </w:pPr>
            <w:r w:rsidRPr="006B5046">
              <w:rPr>
                <w:rFonts w:eastAsia="Times New Roman" w:cs="Times New Roman"/>
                <w:color w:val="000000"/>
                <w:lang w:eastAsia="cs-CZ"/>
              </w:rPr>
              <w:t>530</w:t>
            </w:r>
          </w:p>
        </w:tc>
      </w:tr>
    </w:tbl>
    <w:p w:rsidR="00BD1E4E" w:rsidRPr="006F2953" w:rsidRDefault="00CF4644" w:rsidP="00BD1E4E">
      <w:r>
        <w:t>O</w:t>
      </w:r>
      <w:r w:rsidR="00BD1E4E" w:rsidRPr="006F2953">
        <w:t xml:space="preserve">právněným subjektům byly v roce </w:t>
      </w:r>
      <w:r w:rsidR="00545A33">
        <w:t>2020</w:t>
      </w:r>
      <w:r w:rsidR="00BD1E4E" w:rsidRPr="006F2953">
        <w:t xml:space="preserve"> proplaceny sp</w:t>
      </w:r>
      <w:r w:rsidR="00545A33">
        <w:t>latné směnky v celkovém počtu 9</w:t>
      </w:r>
      <w:r w:rsidR="000F72B5">
        <w:t> </w:t>
      </w:r>
      <w:r w:rsidR="00BD1E4E" w:rsidRPr="006F2953">
        <w:t xml:space="preserve">ks v hodnotě </w:t>
      </w:r>
      <w:r w:rsidR="00545A33">
        <w:t>530</w:t>
      </w:r>
      <w:r w:rsidR="008C3D41">
        <w:t> tis. </w:t>
      </w:r>
      <w:r w:rsidR="00BD1E4E" w:rsidRPr="006F2953">
        <w:t>Kč.</w:t>
      </w:r>
    </w:p>
    <w:p w:rsidR="00BD1E4E" w:rsidRPr="00EE21C8" w:rsidRDefault="00BD1E4E" w:rsidP="00FD6B3B">
      <w:pPr>
        <w:pStyle w:val="Nadpis1"/>
      </w:pPr>
      <w:bookmarkStart w:id="21" w:name="_Toc34922957"/>
      <w:bookmarkStart w:id="22" w:name="_Toc65836218"/>
      <w:r w:rsidRPr="00EE21C8">
        <w:t>Stav realizace privatizačních projektů k 31.</w:t>
      </w:r>
      <w:r w:rsidR="000F72B5">
        <w:t> </w:t>
      </w:r>
      <w:r w:rsidRPr="00EE21C8">
        <w:t>12.</w:t>
      </w:r>
      <w:r w:rsidR="000F72B5">
        <w:t> </w:t>
      </w:r>
      <w:r w:rsidRPr="00EE21C8">
        <w:t>20</w:t>
      </w:r>
      <w:bookmarkEnd w:id="21"/>
      <w:r w:rsidR="00545A33">
        <w:t>20</w:t>
      </w:r>
      <w:bookmarkEnd w:id="22"/>
    </w:p>
    <w:p w:rsidR="00350F0F" w:rsidRDefault="008C3D41" w:rsidP="00014CFB">
      <w:r>
        <w:t>V </w:t>
      </w:r>
      <w:r w:rsidR="00350F0F">
        <w:t>průběhu roku 2020 převzalo MF 125 privatizačních projektů, obsahujících</w:t>
      </w:r>
      <w:r>
        <w:t xml:space="preserve"> 125 privatizačních jednotek v </w:t>
      </w:r>
      <w:r w:rsidR="000F72B5">
        <w:t>celkové účetní hodnotě 703,84 mil. </w:t>
      </w:r>
      <w:r w:rsidR="00350F0F">
        <w:t>Kč, realizováno bylo 125 privatizačních jednotek, jejichž účetní hodnota činila (dle priva</w:t>
      </w:r>
      <w:r>
        <w:t>tizačních projektů) 697,59 mil. </w:t>
      </w:r>
      <w:r w:rsidR="00350F0F">
        <w:t xml:space="preserve">Kč. </w:t>
      </w:r>
    </w:p>
    <w:p w:rsidR="00350F0F" w:rsidRDefault="00350F0F" w:rsidP="00014CFB">
      <w:r>
        <w:t>Real</w:t>
      </w:r>
      <w:r w:rsidR="008C3D41">
        <w:t>izace privatizačních projektů v </w:t>
      </w:r>
      <w:r>
        <w:t xml:space="preserve">roce 2020 byla negativně poznamenána vyhlášeným </w:t>
      </w:r>
      <w:r w:rsidR="008C3D41">
        <w:t>nouzovým stavem v</w:t>
      </w:r>
      <w:r w:rsidR="00DF0B50">
        <w:t> </w:t>
      </w:r>
      <w:bookmarkStart w:id="23" w:name="_GoBack"/>
      <w:bookmarkEnd w:id="23"/>
      <w:r w:rsidR="008C3D41">
        <w:t>souvislosti s </w:t>
      </w:r>
      <w:r>
        <w:t>covidovou pandemií, což ovlivnilo zejména prodeje majetku formou veřejných soutěží, kdy v</w:t>
      </w:r>
      <w:r w:rsidR="008C3D41">
        <w:t> </w:t>
      </w:r>
      <w:r>
        <w:t>březnu 2020 muselo být 15 veřejných soutěží před datem podávání nabí</w:t>
      </w:r>
      <w:r w:rsidR="008C3D41">
        <w:t>dek zrušeno a znovu vyhlášeno v </w:t>
      </w:r>
      <w:r>
        <w:t>pozdějším termínu (až v květnu 2020).</w:t>
      </w:r>
    </w:p>
    <w:p w:rsidR="00350F0F" w:rsidRDefault="00350F0F" w:rsidP="00014CFB">
      <w:r>
        <w:t xml:space="preserve">Od počátku privatizace (od roku 1991) bylo převzato k realizaci 8 447 privatizačních projektů s 18 839 privatizačními jednotkami. Celkově byla ukončena privatizace u 8 313 privatizačních projektů, tzn., že bylo </w:t>
      </w:r>
      <w:r>
        <w:lastRenderedPageBreak/>
        <w:t>realizováno celkem 98,41% převzat</w:t>
      </w:r>
      <w:r w:rsidR="00CA5106">
        <w:t>ých privatizačních projektů. K </w:t>
      </w:r>
      <w:r>
        <w:t>31.</w:t>
      </w:r>
      <w:r w:rsidR="00CA5106">
        <w:t xml:space="preserve"> 12. 2020 zůstává rozpracováno 134 projektů s </w:t>
      </w:r>
      <w:r>
        <w:t>271 privatizačními jednotkami.</w:t>
      </w:r>
    </w:p>
    <w:p w:rsidR="00BD1E4E" w:rsidRPr="00EE21C8" w:rsidRDefault="008C3D41" w:rsidP="00014CFB">
      <w:r>
        <w:t xml:space="preserve">Podrobný průběh privatizace včetně údajů o použitých transformačních </w:t>
      </w:r>
      <w:r w:rsidR="00350F0F">
        <w:t>metodách dokumentuje následující tabulka:</w:t>
      </w:r>
    </w:p>
    <w:p w:rsidR="00BD1E4E" w:rsidRPr="00EE21C8" w:rsidRDefault="00BD1E4E" w:rsidP="00BD1E4E">
      <w:pPr>
        <w:sectPr w:rsidR="00BD1E4E" w:rsidRPr="00EE21C8" w:rsidSect="0079758A">
          <w:footerReference w:type="default" r:id="rId10"/>
          <w:pgSz w:w="11906" w:h="16838"/>
          <w:pgMar w:top="1134" w:right="1134" w:bottom="1134" w:left="1134" w:header="709" w:footer="709" w:gutter="0"/>
          <w:pgNumType w:start="1"/>
          <w:cols w:space="708"/>
          <w:docGrid w:linePitch="360"/>
        </w:sectPr>
      </w:pPr>
    </w:p>
    <w:p w:rsidR="00BD1E4E" w:rsidRDefault="00BD1E4E" w:rsidP="00FD6B3B">
      <w:pPr>
        <w:pStyle w:val="Nzev"/>
      </w:pPr>
      <w:bookmarkStart w:id="24" w:name="_Toc65836226"/>
      <w:r w:rsidRPr="000E560D">
        <w:lastRenderedPageBreak/>
        <w:t xml:space="preserve">Tabulka č. </w:t>
      </w:r>
      <w:r w:rsidR="00E13D9D">
        <w:fldChar w:fldCharType="begin"/>
      </w:r>
      <w:r w:rsidR="00E13D9D">
        <w:instrText xml:space="preserve"> SEQ Tabulka_č. \* ARABIC </w:instrText>
      </w:r>
      <w:r w:rsidR="00E13D9D">
        <w:fldChar w:fldCharType="separate"/>
      </w:r>
      <w:r w:rsidR="008A4BFD">
        <w:rPr>
          <w:noProof/>
        </w:rPr>
        <w:t>4</w:t>
      </w:r>
      <w:r w:rsidR="00E13D9D">
        <w:rPr>
          <w:noProof/>
        </w:rPr>
        <w:fldChar w:fldCharType="end"/>
      </w:r>
      <w:r w:rsidRPr="000E560D">
        <w:t>: Stav realizace privatizačních projektů</w:t>
      </w:r>
      <w:bookmarkEnd w:id="24"/>
    </w:p>
    <w:p w:rsidR="00BE57A9" w:rsidRPr="00BE57A9" w:rsidRDefault="00BE57A9" w:rsidP="00BE57A9"/>
    <w:tbl>
      <w:tblPr>
        <w:tblW w:w="14937" w:type="dxa"/>
        <w:tblCellMar>
          <w:left w:w="0" w:type="dxa"/>
          <w:right w:w="0" w:type="dxa"/>
        </w:tblCellMar>
        <w:tblLook w:val="0000" w:firstRow="0" w:lastRow="0" w:firstColumn="0" w:lastColumn="0" w:noHBand="0" w:noVBand="0"/>
      </w:tblPr>
      <w:tblGrid>
        <w:gridCol w:w="2804"/>
        <w:gridCol w:w="1558"/>
        <w:gridCol w:w="1659"/>
        <w:gridCol w:w="1493"/>
        <w:gridCol w:w="1573"/>
        <w:gridCol w:w="1515"/>
        <w:gridCol w:w="1522"/>
        <w:gridCol w:w="1536"/>
        <w:gridCol w:w="1525"/>
      </w:tblGrid>
      <w:tr w:rsidR="0081403D" w:rsidRPr="0081403D" w:rsidTr="00EB2FFB">
        <w:trPr>
          <w:trHeight w:val="349"/>
        </w:trPr>
        <w:tc>
          <w:tcPr>
            <w:tcW w:w="14937" w:type="dxa"/>
            <w:gridSpan w:val="9"/>
            <w:noWrap/>
            <w:vAlign w:val="center"/>
          </w:tcPr>
          <w:p w:rsidR="0081403D" w:rsidRPr="00F322FE" w:rsidRDefault="0081403D" w:rsidP="0081403D">
            <w:pPr>
              <w:spacing w:before="0"/>
              <w:rPr>
                <w:rFonts w:eastAsia="Times New Roman" w:cs="Times New Roman"/>
                <w:b/>
                <w:bCs/>
                <w:lang w:eastAsia="cs-CZ"/>
              </w:rPr>
            </w:pPr>
            <w:r w:rsidRPr="0081403D">
              <w:rPr>
                <w:rFonts w:eastAsia="Times New Roman" w:cs="Times New Roman"/>
                <w:b/>
                <w:bCs/>
                <w:lang w:eastAsia="cs-CZ"/>
              </w:rPr>
              <w:t>Realizace privatizačních projektů a použití transformačních forem</w:t>
            </w:r>
          </w:p>
          <w:p w:rsidR="00BE57A9" w:rsidRPr="0081403D" w:rsidRDefault="00BE57A9" w:rsidP="0081403D">
            <w:pPr>
              <w:spacing w:before="0"/>
              <w:rPr>
                <w:rFonts w:eastAsia="Arial Unicode MS" w:cs="Times New Roman"/>
                <w:b/>
                <w:bCs/>
                <w:lang w:eastAsia="cs-CZ"/>
              </w:rPr>
            </w:pPr>
          </w:p>
        </w:tc>
      </w:tr>
      <w:tr w:rsidR="0081403D" w:rsidRPr="0081403D" w:rsidTr="00EB2FFB">
        <w:trPr>
          <w:cantSplit/>
          <w:trHeight w:val="349"/>
        </w:trPr>
        <w:tc>
          <w:tcPr>
            <w:tcW w:w="0" w:type="auto"/>
            <w:gridSpan w:val="9"/>
            <w:noWrap/>
            <w:vAlign w:val="center"/>
          </w:tcPr>
          <w:p w:rsidR="0081403D" w:rsidRPr="0081403D" w:rsidRDefault="0081403D" w:rsidP="0081403D">
            <w:pPr>
              <w:spacing w:before="0"/>
              <w:jc w:val="left"/>
              <w:rPr>
                <w:rFonts w:eastAsia="Arial Unicode MS" w:cs="Times New Roman"/>
                <w:lang w:eastAsia="cs-CZ"/>
              </w:rPr>
            </w:pPr>
            <w:r w:rsidRPr="0081403D">
              <w:rPr>
                <w:rFonts w:eastAsia="Times New Roman" w:cs="Times New Roman"/>
                <w:b/>
                <w:bCs/>
                <w:lang w:eastAsia="cs-CZ"/>
              </w:rPr>
              <w:t>I. Stav realizace privatizačních projektů</w:t>
            </w:r>
          </w:p>
        </w:tc>
      </w:tr>
      <w:tr w:rsidR="0081403D" w:rsidRPr="0081403D" w:rsidTr="00EB2FFB">
        <w:trPr>
          <w:cantSplit/>
          <w:trHeight w:val="289"/>
        </w:trPr>
        <w:tc>
          <w:tcPr>
            <w:tcW w:w="0" w:type="auto"/>
            <w:vMerge w:val="restart"/>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jc w:val="center"/>
              <w:rPr>
                <w:rFonts w:eastAsia="Arial Unicode MS" w:cs="Times New Roman"/>
                <w:lang w:eastAsia="cs-CZ"/>
              </w:rPr>
            </w:pPr>
            <w:r w:rsidRPr="0081403D">
              <w:rPr>
                <w:rFonts w:eastAsia="Times New Roman" w:cs="Times New Roman"/>
                <w:b/>
                <w:bCs/>
                <w:lang w:eastAsia="cs-CZ"/>
              </w:rPr>
              <w:t>Projekty</w:t>
            </w:r>
          </w:p>
        </w:tc>
        <w:tc>
          <w:tcPr>
            <w:tcW w:w="6283" w:type="dxa"/>
            <w:gridSpan w:val="4"/>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Arial Unicode MS" w:cs="Times New Roman"/>
                <w:lang w:eastAsia="cs-CZ"/>
              </w:rPr>
            </w:pPr>
            <w:r w:rsidRPr="0081403D">
              <w:rPr>
                <w:rFonts w:eastAsia="Times New Roman" w:cs="Times New Roman"/>
                <w:b/>
                <w:bCs/>
                <w:lang w:eastAsia="cs-CZ"/>
              </w:rPr>
              <w:t>Od začátku privatizace do 31. 12. 2020</w:t>
            </w:r>
          </w:p>
        </w:tc>
        <w:tc>
          <w:tcPr>
            <w:tcW w:w="6098" w:type="dxa"/>
            <w:gridSpan w:val="4"/>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z toho rok 2020</w:t>
            </w:r>
          </w:p>
        </w:tc>
      </w:tr>
      <w:tr w:rsidR="00EB2FFB" w:rsidRPr="00F322FE" w:rsidTr="009D6F19">
        <w:trPr>
          <w:cantSplit/>
          <w:trHeight w:val="535"/>
        </w:trPr>
        <w:tc>
          <w:tcPr>
            <w:tcW w:w="0" w:type="auto"/>
            <w:vMerge/>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jc w:val="right"/>
              <w:rPr>
                <w:rFonts w:eastAsia="Arial Unicode MS" w:cs="Arial"/>
                <w:b/>
                <w:bCs/>
                <w:lang w:eastAsia="cs-CZ"/>
              </w:rPr>
            </w:pPr>
          </w:p>
        </w:tc>
        <w:tc>
          <w:tcPr>
            <w:tcW w:w="1558"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Times New Roman" w:cs="Times New Roman"/>
                <w:b/>
                <w:bCs/>
                <w:lang w:eastAsia="cs-CZ"/>
              </w:rPr>
            </w:pPr>
            <w:r w:rsidRPr="0081403D">
              <w:rPr>
                <w:rFonts w:eastAsia="Times New Roman" w:cs="Times New Roman"/>
                <w:b/>
                <w:bCs/>
                <w:lang w:eastAsia="cs-CZ"/>
              </w:rPr>
              <w:t>Předané</w:t>
            </w:r>
          </w:p>
          <w:p w:rsidR="0081403D" w:rsidRPr="0081403D" w:rsidRDefault="0081403D" w:rsidP="0081403D">
            <w:pPr>
              <w:spacing w:before="0"/>
              <w:jc w:val="center"/>
              <w:rPr>
                <w:rFonts w:eastAsia="Times New Roman" w:cs="Times New Roman"/>
                <w:b/>
                <w:bCs/>
                <w:lang w:eastAsia="cs-CZ"/>
              </w:rPr>
            </w:pPr>
            <w:r w:rsidRPr="0081403D">
              <w:rPr>
                <w:rFonts w:eastAsia="Times New Roman" w:cs="Times New Roman"/>
                <w:b/>
                <w:bCs/>
                <w:lang w:eastAsia="cs-CZ"/>
              </w:rPr>
              <w:t>počet</w:t>
            </w:r>
          </w:p>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projektů</w:t>
            </w:r>
          </w:p>
        </w:tc>
        <w:tc>
          <w:tcPr>
            <w:tcW w:w="1659"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tis. Kč</w:t>
            </w:r>
          </w:p>
        </w:tc>
        <w:tc>
          <w:tcPr>
            <w:tcW w:w="1493"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Times New Roman" w:cs="Times New Roman"/>
                <w:b/>
                <w:bCs/>
                <w:lang w:eastAsia="cs-CZ"/>
              </w:rPr>
            </w:pPr>
            <w:r w:rsidRPr="0081403D">
              <w:rPr>
                <w:rFonts w:eastAsia="Times New Roman" w:cs="Times New Roman"/>
                <w:b/>
                <w:bCs/>
                <w:lang w:eastAsia="cs-CZ"/>
              </w:rPr>
              <w:t>Ukončené počet</w:t>
            </w:r>
          </w:p>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projektů</w:t>
            </w:r>
          </w:p>
        </w:tc>
        <w:tc>
          <w:tcPr>
            <w:tcW w:w="1573"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tis. Kč</w:t>
            </w:r>
          </w:p>
        </w:tc>
        <w:tc>
          <w:tcPr>
            <w:tcW w:w="1515"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Times New Roman" w:cs="Times New Roman"/>
                <w:b/>
                <w:bCs/>
                <w:lang w:eastAsia="cs-CZ"/>
              </w:rPr>
            </w:pPr>
            <w:r w:rsidRPr="0081403D">
              <w:rPr>
                <w:rFonts w:eastAsia="Times New Roman" w:cs="Times New Roman"/>
                <w:b/>
                <w:bCs/>
                <w:lang w:eastAsia="cs-CZ"/>
              </w:rPr>
              <w:t>Předané</w:t>
            </w:r>
          </w:p>
          <w:p w:rsidR="0081403D" w:rsidRPr="0081403D" w:rsidRDefault="0081403D" w:rsidP="0081403D">
            <w:pPr>
              <w:spacing w:before="0"/>
              <w:jc w:val="center"/>
              <w:rPr>
                <w:rFonts w:eastAsia="Times New Roman" w:cs="Times New Roman"/>
                <w:b/>
                <w:bCs/>
                <w:lang w:eastAsia="cs-CZ"/>
              </w:rPr>
            </w:pPr>
            <w:r w:rsidRPr="0081403D">
              <w:rPr>
                <w:rFonts w:eastAsia="Times New Roman" w:cs="Times New Roman"/>
                <w:b/>
                <w:bCs/>
                <w:lang w:eastAsia="cs-CZ"/>
              </w:rPr>
              <w:t>počet</w:t>
            </w:r>
          </w:p>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projektů</w:t>
            </w:r>
          </w:p>
        </w:tc>
        <w:tc>
          <w:tcPr>
            <w:tcW w:w="1522"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tis. Kč</w:t>
            </w:r>
          </w:p>
        </w:tc>
        <w:tc>
          <w:tcPr>
            <w:tcW w:w="1536"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Times New Roman" w:cs="Times New Roman"/>
                <w:b/>
                <w:bCs/>
                <w:lang w:eastAsia="cs-CZ"/>
              </w:rPr>
            </w:pPr>
            <w:r w:rsidRPr="0081403D">
              <w:rPr>
                <w:rFonts w:eastAsia="Times New Roman" w:cs="Times New Roman"/>
                <w:b/>
                <w:bCs/>
                <w:lang w:eastAsia="cs-CZ"/>
              </w:rPr>
              <w:t>Ukončené počet</w:t>
            </w:r>
          </w:p>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projektů</w:t>
            </w:r>
          </w:p>
        </w:tc>
        <w:tc>
          <w:tcPr>
            <w:tcW w:w="1525"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tis. Kč</w:t>
            </w:r>
          </w:p>
        </w:tc>
      </w:tr>
      <w:tr w:rsidR="00EB2FFB" w:rsidRPr="00F322FE" w:rsidTr="009D6F19">
        <w:trPr>
          <w:cantSplit/>
          <w:trHeight w:val="63"/>
        </w:trPr>
        <w:tc>
          <w:tcPr>
            <w:tcW w:w="0" w:type="auto"/>
            <w:vMerge/>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right"/>
              <w:rPr>
                <w:rFonts w:eastAsia="Arial Unicode MS" w:cs="Arial"/>
                <w:lang w:eastAsia="cs-CZ"/>
              </w:rPr>
            </w:pPr>
          </w:p>
        </w:tc>
        <w:tc>
          <w:tcPr>
            <w:tcW w:w="1558"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51"/>
              </w:tabs>
              <w:spacing w:before="0"/>
              <w:ind w:right="159"/>
              <w:jc w:val="right"/>
              <w:rPr>
                <w:rFonts w:eastAsia="Arial Unicode MS" w:cs="Times New Roman"/>
                <w:lang w:eastAsia="cs-CZ"/>
              </w:rPr>
            </w:pPr>
            <w:r w:rsidRPr="0081403D">
              <w:rPr>
                <w:rFonts w:eastAsia="Arial Unicode MS" w:cs="Times New Roman"/>
                <w:lang w:eastAsia="cs-CZ"/>
              </w:rPr>
              <w:t>8 447</w:t>
            </w:r>
          </w:p>
        </w:tc>
        <w:tc>
          <w:tcPr>
            <w:tcW w:w="1659"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51"/>
              </w:tabs>
              <w:spacing w:before="0"/>
              <w:ind w:right="159"/>
              <w:jc w:val="right"/>
              <w:rPr>
                <w:rFonts w:eastAsia="Arial Unicode MS" w:cs="Times New Roman"/>
                <w:lang w:eastAsia="cs-CZ"/>
              </w:rPr>
            </w:pPr>
            <w:r w:rsidRPr="0081403D">
              <w:rPr>
                <w:rFonts w:eastAsia="Arial Unicode MS" w:cs="Times New Roman"/>
                <w:lang w:eastAsia="cs-CZ"/>
              </w:rPr>
              <w:t>1 017 924 465</w:t>
            </w:r>
          </w:p>
        </w:tc>
        <w:tc>
          <w:tcPr>
            <w:tcW w:w="1493"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51"/>
              </w:tabs>
              <w:spacing w:before="0"/>
              <w:ind w:right="159"/>
              <w:jc w:val="right"/>
              <w:rPr>
                <w:rFonts w:eastAsia="Arial Unicode MS" w:cs="Times New Roman"/>
                <w:lang w:eastAsia="cs-CZ"/>
              </w:rPr>
            </w:pPr>
            <w:r w:rsidRPr="0081403D">
              <w:rPr>
                <w:rFonts w:eastAsia="Arial Unicode MS" w:cs="Times New Roman"/>
                <w:lang w:eastAsia="cs-CZ"/>
              </w:rPr>
              <w:t>8 313</w:t>
            </w:r>
          </w:p>
        </w:tc>
        <w:tc>
          <w:tcPr>
            <w:tcW w:w="1573"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8"/>
              </w:tabs>
              <w:spacing w:before="0"/>
              <w:ind w:right="159"/>
              <w:jc w:val="right"/>
              <w:rPr>
                <w:rFonts w:eastAsia="Arial Unicode MS" w:cs="Times New Roman"/>
                <w:lang w:eastAsia="cs-CZ"/>
              </w:rPr>
            </w:pPr>
            <w:r w:rsidRPr="0081403D">
              <w:rPr>
                <w:rFonts w:eastAsia="Arial Unicode MS" w:cs="Times New Roman"/>
                <w:lang w:eastAsia="cs-CZ"/>
              </w:rPr>
              <w:t>987 398 477</w:t>
            </w:r>
          </w:p>
        </w:tc>
        <w:tc>
          <w:tcPr>
            <w:tcW w:w="1515"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8"/>
              </w:tabs>
              <w:spacing w:before="0"/>
              <w:ind w:right="159"/>
              <w:jc w:val="right"/>
              <w:rPr>
                <w:rFonts w:eastAsia="Arial Unicode MS" w:cs="Times New Roman"/>
                <w:lang w:eastAsia="cs-CZ"/>
              </w:rPr>
            </w:pPr>
            <w:r w:rsidRPr="0081403D">
              <w:rPr>
                <w:rFonts w:eastAsia="Arial Unicode MS" w:cs="Times New Roman"/>
                <w:lang w:eastAsia="cs-CZ"/>
              </w:rPr>
              <w:t>125</w:t>
            </w:r>
          </w:p>
        </w:tc>
        <w:tc>
          <w:tcPr>
            <w:tcW w:w="1522"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8"/>
              </w:tabs>
              <w:spacing w:before="0"/>
              <w:ind w:right="159"/>
              <w:jc w:val="right"/>
              <w:rPr>
                <w:rFonts w:eastAsia="Arial Unicode MS" w:cs="Times New Roman"/>
                <w:lang w:eastAsia="cs-CZ"/>
              </w:rPr>
            </w:pPr>
            <w:r w:rsidRPr="0081403D">
              <w:rPr>
                <w:rFonts w:eastAsia="Arial Unicode MS" w:cs="Times New Roman"/>
                <w:lang w:eastAsia="cs-CZ"/>
              </w:rPr>
              <w:t>703 839</w:t>
            </w:r>
          </w:p>
        </w:tc>
        <w:tc>
          <w:tcPr>
            <w:tcW w:w="1536"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8"/>
              </w:tabs>
              <w:spacing w:before="0"/>
              <w:ind w:right="159"/>
              <w:jc w:val="right"/>
              <w:rPr>
                <w:rFonts w:eastAsia="Arial Unicode MS" w:cs="Times New Roman"/>
                <w:lang w:eastAsia="cs-CZ"/>
              </w:rPr>
            </w:pPr>
            <w:r w:rsidRPr="0081403D">
              <w:rPr>
                <w:rFonts w:eastAsia="Arial Unicode MS" w:cs="Times New Roman"/>
                <w:lang w:eastAsia="cs-CZ"/>
              </w:rPr>
              <w:t>125</w:t>
            </w:r>
          </w:p>
        </w:tc>
        <w:tc>
          <w:tcPr>
            <w:tcW w:w="1525"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8"/>
              </w:tabs>
              <w:spacing w:before="0"/>
              <w:ind w:right="159"/>
              <w:jc w:val="right"/>
              <w:rPr>
                <w:rFonts w:eastAsia="Arial Unicode MS" w:cs="Times New Roman"/>
                <w:lang w:eastAsia="cs-CZ"/>
              </w:rPr>
            </w:pPr>
            <w:r w:rsidRPr="0081403D">
              <w:rPr>
                <w:rFonts w:eastAsia="Arial Unicode MS" w:cs="Times New Roman"/>
                <w:lang w:eastAsia="cs-CZ"/>
              </w:rPr>
              <w:t>697 594</w:t>
            </w:r>
          </w:p>
        </w:tc>
      </w:tr>
      <w:tr w:rsidR="0081403D" w:rsidRPr="0081403D" w:rsidTr="00EB2FFB">
        <w:trPr>
          <w:cantSplit/>
          <w:trHeight w:val="300"/>
        </w:trPr>
        <w:tc>
          <w:tcPr>
            <w:tcW w:w="0" w:type="auto"/>
            <w:gridSpan w:val="9"/>
            <w:tcBorders>
              <w:top w:val="single" w:sz="12" w:space="0" w:color="auto"/>
            </w:tcBorders>
            <w:noWrap/>
            <w:vAlign w:val="center"/>
          </w:tcPr>
          <w:p w:rsidR="0081403D" w:rsidRPr="0081403D" w:rsidRDefault="0081403D" w:rsidP="0081403D">
            <w:pPr>
              <w:tabs>
                <w:tab w:val="left" w:pos="1338"/>
              </w:tabs>
              <w:spacing w:before="0"/>
              <w:ind w:right="17"/>
              <w:jc w:val="right"/>
              <w:rPr>
                <w:rFonts w:eastAsia="Arial Unicode MS" w:cs="Times New Roman"/>
                <w:lang w:eastAsia="cs-CZ"/>
              </w:rPr>
            </w:pPr>
          </w:p>
        </w:tc>
      </w:tr>
      <w:tr w:rsidR="0081403D" w:rsidRPr="0081403D" w:rsidTr="00EB2FFB">
        <w:trPr>
          <w:cantSplit/>
          <w:trHeight w:val="349"/>
        </w:trPr>
        <w:tc>
          <w:tcPr>
            <w:tcW w:w="0" w:type="auto"/>
            <w:gridSpan w:val="9"/>
            <w:noWrap/>
            <w:vAlign w:val="center"/>
          </w:tcPr>
          <w:p w:rsidR="00432824" w:rsidRPr="00F322FE" w:rsidRDefault="00432824" w:rsidP="00432824">
            <w:pPr>
              <w:spacing w:before="0"/>
              <w:jc w:val="left"/>
              <w:rPr>
                <w:rFonts w:eastAsia="Times New Roman" w:cs="Times New Roman"/>
                <w:b/>
                <w:bCs/>
                <w:lang w:eastAsia="cs-CZ"/>
              </w:rPr>
            </w:pPr>
            <w:r w:rsidRPr="00F322FE">
              <w:rPr>
                <w:rFonts w:eastAsia="Times New Roman" w:cs="Times New Roman"/>
                <w:b/>
                <w:bCs/>
                <w:lang w:eastAsia="cs-CZ"/>
              </w:rPr>
              <w:t>II. Stav realizace v jednotlivých transformačních metodách</w:t>
            </w:r>
          </w:p>
          <w:p w:rsidR="00432824" w:rsidRPr="0081403D" w:rsidRDefault="00432824" w:rsidP="0081403D">
            <w:pPr>
              <w:tabs>
                <w:tab w:val="left" w:pos="1338"/>
              </w:tabs>
              <w:spacing w:before="0"/>
              <w:ind w:right="17"/>
              <w:jc w:val="left"/>
              <w:rPr>
                <w:rFonts w:eastAsia="Arial Unicode MS" w:cs="Times New Roman"/>
                <w:lang w:eastAsia="cs-CZ"/>
              </w:rPr>
            </w:pPr>
          </w:p>
        </w:tc>
      </w:tr>
      <w:tr w:rsidR="0081403D" w:rsidRPr="0081403D" w:rsidTr="00EB2FFB">
        <w:trPr>
          <w:cantSplit/>
          <w:trHeight w:val="300"/>
        </w:trPr>
        <w:tc>
          <w:tcPr>
            <w:tcW w:w="0" w:type="auto"/>
            <w:gridSpan w:val="9"/>
            <w:noWrap/>
            <w:vAlign w:val="center"/>
          </w:tcPr>
          <w:p w:rsidR="0081403D" w:rsidRPr="0081403D" w:rsidRDefault="0081403D" w:rsidP="0081403D">
            <w:pPr>
              <w:tabs>
                <w:tab w:val="left" w:pos="1338"/>
              </w:tabs>
              <w:spacing w:before="0"/>
              <w:ind w:right="17"/>
              <w:jc w:val="left"/>
              <w:rPr>
                <w:rFonts w:eastAsia="Arial Unicode MS" w:cs="Times New Roman"/>
                <w:lang w:eastAsia="cs-CZ"/>
              </w:rPr>
            </w:pPr>
            <w:r w:rsidRPr="0081403D">
              <w:rPr>
                <w:rFonts w:eastAsia="Times New Roman" w:cs="Times New Roman"/>
                <w:b/>
                <w:bCs/>
                <w:lang w:eastAsia="cs-CZ"/>
              </w:rPr>
              <w:t>1. Prodej majetku a restituce</w:t>
            </w:r>
          </w:p>
        </w:tc>
      </w:tr>
      <w:tr w:rsidR="0081403D" w:rsidRPr="0081403D" w:rsidTr="009D6F19">
        <w:trPr>
          <w:cantSplit/>
          <w:trHeight w:val="62"/>
        </w:trPr>
        <w:tc>
          <w:tcPr>
            <w:tcW w:w="0" w:type="auto"/>
            <w:vMerge w:val="restart"/>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Druh transformace</w:t>
            </w:r>
          </w:p>
        </w:tc>
        <w:tc>
          <w:tcPr>
            <w:tcW w:w="6283" w:type="dxa"/>
            <w:gridSpan w:val="4"/>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Arial Unicode MS" w:cs="Times New Roman"/>
                <w:lang w:eastAsia="cs-CZ"/>
              </w:rPr>
            </w:pPr>
            <w:r w:rsidRPr="0081403D">
              <w:rPr>
                <w:rFonts w:eastAsia="Times New Roman" w:cs="Times New Roman"/>
                <w:b/>
                <w:bCs/>
                <w:lang w:eastAsia="cs-CZ"/>
              </w:rPr>
              <w:t>Od začátku privatizace do 31. 12. 2020</w:t>
            </w:r>
          </w:p>
        </w:tc>
        <w:tc>
          <w:tcPr>
            <w:tcW w:w="6098" w:type="dxa"/>
            <w:gridSpan w:val="4"/>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Arial Unicode MS" w:cs="Times New Roman"/>
                <w:lang w:eastAsia="cs-CZ"/>
              </w:rPr>
            </w:pPr>
            <w:r w:rsidRPr="0081403D">
              <w:rPr>
                <w:rFonts w:eastAsia="Times New Roman" w:cs="Times New Roman"/>
                <w:b/>
                <w:bCs/>
                <w:lang w:eastAsia="cs-CZ"/>
              </w:rPr>
              <w:t>z toho rok 2020</w:t>
            </w:r>
          </w:p>
        </w:tc>
      </w:tr>
      <w:tr w:rsidR="00EB2FFB" w:rsidRPr="00F322FE" w:rsidTr="00EB2FFB">
        <w:trPr>
          <w:cantSplit/>
          <w:trHeight w:val="718"/>
        </w:trPr>
        <w:tc>
          <w:tcPr>
            <w:tcW w:w="0" w:type="auto"/>
            <w:vMerge/>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right"/>
              <w:rPr>
                <w:rFonts w:eastAsia="Arial Unicode MS" w:cs="Times New Roman"/>
                <w:b/>
                <w:bCs/>
                <w:lang w:eastAsia="cs-CZ"/>
              </w:rPr>
            </w:pPr>
          </w:p>
        </w:tc>
        <w:tc>
          <w:tcPr>
            <w:tcW w:w="1558"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Předané</w:t>
            </w:r>
          </w:p>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počet</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jednotek</w:t>
            </w:r>
          </w:p>
        </w:tc>
        <w:tc>
          <w:tcPr>
            <w:tcW w:w="1659"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tis. Kč</w:t>
            </w:r>
          </w:p>
        </w:tc>
        <w:tc>
          <w:tcPr>
            <w:tcW w:w="1493"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Ukončené počet</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jednotek</w:t>
            </w:r>
          </w:p>
        </w:tc>
        <w:tc>
          <w:tcPr>
            <w:tcW w:w="1573"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tis. Kč</w:t>
            </w:r>
          </w:p>
        </w:tc>
        <w:tc>
          <w:tcPr>
            <w:tcW w:w="1515"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Předané</w:t>
            </w:r>
          </w:p>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počet</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jednotek</w:t>
            </w:r>
          </w:p>
        </w:tc>
        <w:tc>
          <w:tcPr>
            <w:tcW w:w="1522"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tis. Kč</w:t>
            </w:r>
          </w:p>
        </w:tc>
        <w:tc>
          <w:tcPr>
            <w:tcW w:w="1536"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Ukončené počet</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jednotek</w:t>
            </w:r>
          </w:p>
        </w:tc>
        <w:tc>
          <w:tcPr>
            <w:tcW w:w="1525"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tis. Kč</w:t>
            </w:r>
          </w:p>
        </w:tc>
      </w:tr>
      <w:tr w:rsidR="00EB2FFB" w:rsidRPr="00F322FE" w:rsidTr="009D6F19">
        <w:trPr>
          <w:trHeight w:val="283"/>
        </w:trPr>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jc w:val="left"/>
              <w:rPr>
                <w:rFonts w:eastAsia="Arial Unicode MS" w:cs="Times New Roman"/>
                <w:lang w:eastAsia="cs-CZ"/>
              </w:rPr>
            </w:pPr>
            <w:r w:rsidRPr="0081403D">
              <w:rPr>
                <w:rFonts w:eastAsia="Times New Roman" w:cs="Times New Roman"/>
                <w:lang w:eastAsia="cs-CZ"/>
              </w:rPr>
              <w:t xml:space="preserve"> Veřejné dražby</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s>
              <w:spacing w:before="0"/>
              <w:ind w:right="159"/>
              <w:jc w:val="right"/>
              <w:rPr>
                <w:rFonts w:eastAsia="Arial Unicode MS" w:cs="Times New Roman"/>
                <w:lang w:eastAsia="cs-CZ"/>
              </w:rPr>
            </w:pPr>
            <w:r w:rsidRPr="0081403D">
              <w:rPr>
                <w:rFonts w:eastAsia="Arial Unicode MS" w:cs="Times New Roman"/>
                <w:lang w:eastAsia="cs-CZ"/>
              </w:rPr>
              <w:t>1 210</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8 495 341</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1 208</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8 486 540</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0</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0</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0</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8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0</w:t>
            </w:r>
          </w:p>
        </w:tc>
      </w:tr>
      <w:tr w:rsidR="00EB2FFB" w:rsidRPr="00F322FE" w:rsidTr="009D6F19">
        <w:trPr>
          <w:trHeight w:val="283"/>
        </w:trPr>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jc w:val="left"/>
              <w:rPr>
                <w:rFonts w:eastAsia="Arial Unicode MS" w:cs="Times New Roman"/>
                <w:lang w:eastAsia="cs-CZ"/>
              </w:rPr>
            </w:pPr>
            <w:r w:rsidRPr="0081403D">
              <w:rPr>
                <w:rFonts w:eastAsia="Times New Roman" w:cs="Times New Roman"/>
                <w:lang w:eastAsia="cs-CZ"/>
              </w:rPr>
              <w:t xml:space="preserve"> Veřejné soutěže</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s>
              <w:spacing w:before="0"/>
              <w:ind w:right="159"/>
              <w:jc w:val="right"/>
              <w:rPr>
                <w:rFonts w:eastAsia="Arial Unicode MS" w:cs="Times New Roman"/>
                <w:lang w:eastAsia="cs-CZ"/>
              </w:rPr>
            </w:pPr>
            <w:r w:rsidRPr="0081403D">
              <w:rPr>
                <w:rFonts w:eastAsia="Arial Unicode MS" w:cs="Times New Roman"/>
                <w:lang w:eastAsia="cs-CZ"/>
              </w:rPr>
              <w:t>1 745</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34 745 314</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1 614</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34 618 527</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38</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58 633</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15</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8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16 267</w:t>
            </w:r>
          </w:p>
        </w:tc>
      </w:tr>
      <w:tr w:rsidR="00EB2FFB" w:rsidRPr="00F322FE" w:rsidTr="009D6F19">
        <w:trPr>
          <w:trHeight w:val="283"/>
        </w:trPr>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jc w:val="left"/>
              <w:rPr>
                <w:rFonts w:eastAsia="Arial Unicode MS" w:cs="Times New Roman"/>
                <w:lang w:eastAsia="cs-CZ"/>
              </w:rPr>
            </w:pPr>
            <w:r w:rsidRPr="0081403D">
              <w:rPr>
                <w:rFonts w:eastAsia="Times New Roman" w:cs="Times New Roman"/>
                <w:lang w:eastAsia="cs-CZ"/>
              </w:rPr>
              <w:t xml:space="preserve"> Přímé prodeje</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s>
              <w:spacing w:before="0"/>
              <w:ind w:right="159"/>
              <w:jc w:val="right"/>
              <w:rPr>
                <w:rFonts w:eastAsia="Arial Unicode MS" w:cs="Times New Roman"/>
                <w:lang w:eastAsia="cs-CZ"/>
              </w:rPr>
            </w:pPr>
            <w:r w:rsidRPr="0081403D">
              <w:rPr>
                <w:rFonts w:eastAsia="Arial Unicode MS" w:cs="Times New Roman"/>
                <w:lang w:eastAsia="cs-CZ"/>
              </w:rPr>
              <w:t>8 300</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72 738 320</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8 238</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72 083 588</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64</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639 619</w:t>
            </w:r>
          </w:p>
        </w:tc>
        <w:tc>
          <w:tcPr>
            <w:tcW w:w="1536" w:type="dxa"/>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84</w:t>
            </w:r>
          </w:p>
        </w:tc>
        <w:tc>
          <w:tcPr>
            <w:tcW w:w="1525" w:type="dxa"/>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28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667 575</w:t>
            </w:r>
          </w:p>
        </w:tc>
      </w:tr>
      <w:tr w:rsidR="00EB2FFB" w:rsidRPr="00F322FE" w:rsidTr="009D6F19">
        <w:trPr>
          <w:trHeight w:val="300"/>
        </w:trPr>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left"/>
              <w:rPr>
                <w:rFonts w:eastAsia="Arial Unicode MS" w:cs="Times New Roman"/>
                <w:lang w:eastAsia="cs-CZ"/>
              </w:rPr>
            </w:pPr>
            <w:r w:rsidRPr="0081403D">
              <w:rPr>
                <w:rFonts w:eastAsia="Times New Roman" w:cs="Times New Roman"/>
                <w:lang w:eastAsia="cs-CZ"/>
              </w:rPr>
              <w:t xml:space="preserve"> Bezúpl.př.,rest.s dok.,restituce</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9"/>
              </w:tabs>
              <w:spacing w:before="0"/>
              <w:ind w:right="159"/>
              <w:jc w:val="right"/>
              <w:rPr>
                <w:rFonts w:eastAsia="Arial Unicode MS" w:cs="Times New Roman"/>
                <w:lang w:eastAsia="cs-CZ"/>
              </w:rPr>
            </w:pPr>
            <w:r w:rsidRPr="0081403D">
              <w:rPr>
                <w:rFonts w:eastAsia="Arial Unicode MS" w:cs="Times New Roman"/>
                <w:lang w:eastAsia="cs-CZ"/>
              </w:rPr>
              <w:t>5 699</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74 760 244</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5 630</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72 962  067</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23</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5 587</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26</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285"/>
                <w:tab w:val="left" w:pos="1339"/>
                <w:tab w:val="left" w:pos="1906"/>
              </w:tabs>
              <w:spacing w:before="0"/>
              <w:ind w:right="159"/>
              <w:jc w:val="right"/>
              <w:rPr>
                <w:rFonts w:eastAsia="Arial Unicode MS" w:cs="Times New Roman"/>
                <w:lang w:eastAsia="cs-CZ"/>
              </w:rPr>
            </w:pPr>
            <w:r w:rsidRPr="0081403D">
              <w:rPr>
                <w:rFonts w:eastAsia="Arial Unicode MS" w:cs="Times New Roman"/>
                <w:lang w:eastAsia="cs-CZ"/>
              </w:rPr>
              <w:t>13 752</w:t>
            </w:r>
          </w:p>
        </w:tc>
      </w:tr>
      <w:tr w:rsidR="00EB2FFB" w:rsidRPr="00F322FE" w:rsidTr="009D6F19">
        <w:trPr>
          <w:trHeight w:val="66"/>
        </w:trPr>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left"/>
              <w:rPr>
                <w:rFonts w:eastAsia="Arial Unicode MS" w:cs="Times New Roman"/>
                <w:b/>
                <w:bCs/>
                <w:lang w:eastAsia="cs-CZ"/>
              </w:rPr>
            </w:pPr>
            <w:r w:rsidRPr="0081403D">
              <w:rPr>
                <w:rFonts w:eastAsia="Times New Roman" w:cs="Times New Roman"/>
                <w:b/>
                <w:bCs/>
                <w:lang w:eastAsia="cs-CZ"/>
              </w:rPr>
              <w:t xml:space="preserve"> C e l k e m</w:t>
            </w:r>
          </w:p>
        </w:tc>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9"/>
              </w:tabs>
              <w:spacing w:before="0"/>
              <w:ind w:right="159"/>
              <w:jc w:val="right"/>
              <w:rPr>
                <w:rFonts w:eastAsia="Arial Unicode MS" w:cs="Times New Roman"/>
                <w:b/>
                <w:bCs/>
                <w:lang w:eastAsia="cs-CZ"/>
              </w:rPr>
            </w:pPr>
            <w:r w:rsidRPr="0081403D">
              <w:rPr>
                <w:rFonts w:eastAsia="Arial Unicode MS" w:cs="Times New Roman"/>
                <w:b/>
                <w:bCs/>
                <w:lang w:eastAsia="cs-CZ"/>
              </w:rPr>
              <w:t>16 954</w:t>
            </w:r>
          </w:p>
        </w:tc>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b/>
                <w:bCs/>
                <w:lang w:eastAsia="cs-CZ"/>
              </w:rPr>
            </w:pPr>
            <w:r w:rsidRPr="0081403D">
              <w:rPr>
                <w:rFonts w:eastAsia="Arial Unicode MS" w:cs="Times New Roman"/>
                <w:b/>
                <w:bCs/>
                <w:lang w:eastAsia="cs-CZ"/>
              </w:rPr>
              <w:t>190 739 219</w:t>
            </w:r>
          </w:p>
        </w:tc>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b/>
                <w:bCs/>
                <w:lang w:eastAsia="cs-CZ"/>
              </w:rPr>
            </w:pPr>
            <w:r w:rsidRPr="0081403D">
              <w:rPr>
                <w:rFonts w:eastAsia="Arial Unicode MS" w:cs="Times New Roman"/>
                <w:b/>
                <w:bCs/>
                <w:lang w:eastAsia="cs-CZ"/>
              </w:rPr>
              <w:t>16 690</w:t>
            </w:r>
          </w:p>
        </w:tc>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39"/>
                <w:tab w:val="left" w:pos="1906"/>
              </w:tabs>
              <w:spacing w:before="0"/>
              <w:ind w:right="159"/>
              <w:jc w:val="right"/>
              <w:rPr>
                <w:rFonts w:eastAsia="Arial Unicode MS" w:cs="Times New Roman"/>
                <w:b/>
                <w:bCs/>
                <w:lang w:eastAsia="cs-CZ"/>
              </w:rPr>
            </w:pPr>
            <w:r w:rsidRPr="0081403D">
              <w:rPr>
                <w:rFonts w:eastAsia="Arial Unicode MS" w:cs="Times New Roman"/>
                <w:b/>
                <w:bCs/>
                <w:lang w:eastAsia="cs-CZ"/>
              </w:rPr>
              <w:t>188 150 722</w:t>
            </w:r>
          </w:p>
        </w:tc>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b/>
                <w:bCs/>
                <w:lang w:eastAsia="cs-CZ"/>
              </w:rPr>
            </w:pPr>
            <w:r w:rsidRPr="0081403D">
              <w:rPr>
                <w:rFonts w:eastAsia="Arial Unicode MS" w:cs="Times New Roman"/>
                <w:b/>
                <w:bCs/>
                <w:lang w:eastAsia="cs-CZ"/>
              </w:rPr>
              <w:t>125</w:t>
            </w:r>
          </w:p>
        </w:tc>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b/>
                <w:bCs/>
                <w:lang w:eastAsia="cs-CZ"/>
              </w:rPr>
            </w:pPr>
            <w:r w:rsidRPr="0081403D">
              <w:rPr>
                <w:rFonts w:eastAsia="Arial Unicode MS" w:cs="Times New Roman"/>
                <w:b/>
                <w:bCs/>
                <w:lang w:eastAsia="cs-CZ"/>
              </w:rPr>
              <w:t>703 839</w:t>
            </w:r>
          </w:p>
        </w:tc>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295"/>
                <w:tab w:val="left" w:pos="1339"/>
                <w:tab w:val="left" w:pos="1906"/>
              </w:tabs>
              <w:spacing w:before="0"/>
              <w:ind w:right="159"/>
              <w:jc w:val="right"/>
              <w:rPr>
                <w:rFonts w:eastAsia="Arial Unicode MS" w:cs="Times New Roman"/>
                <w:b/>
                <w:bCs/>
                <w:lang w:eastAsia="cs-CZ"/>
              </w:rPr>
            </w:pPr>
            <w:r w:rsidRPr="0081403D">
              <w:rPr>
                <w:rFonts w:eastAsia="Arial Unicode MS" w:cs="Times New Roman"/>
                <w:b/>
                <w:bCs/>
                <w:lang w:eastAsia="cs-CZ"/>
              </w:rPr>
              <w:t>125</w:t>
            </w:r>
          </w:p>
        </w:tc>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285"/>
                <w:tab w:val="left" w:pos="1339"/>
                <w:tab w:val="left" w:pos="1906"/>
              </w:tabs>
              <w:spacing w:before="0"/>
              <w:ind w:right="159"/>
              <w:jc w:val="right"/>
              <w:rPr>
                <w:rFonts w:eastAsia="Arial Unicode MS" w:cs="Times New Roman"/>
                <w:b/>
                <w:bCs/>
                <w:lang w:eastAsia="cs-CZ"/>
              </w:rPr>
            </w:pPr>
            <w:r w:rsidRPr="0081403D">
              <w:rPr>
                <w:rFonts w:eastAsia="Arial Unicode MS" w:cs="Times New Roman"/>
                <w:b/>
                <w:bCs/>
                <w:lang w:eastAsia="cs-CZ"/>
              </w:rPr>
              <w:t>697 594</w:t>
            </w:r>
          </w:p>
        </w:tc>
      </w:tr>
    </w:tbl>
    <w:p w:rsidR="00BE57A9" w:rsidRPr="00F322FE" w:rsidRDefault="00BE57A9" w:rsidP="0081403D">
      <w:pPr>
        <w:tabs>
          <w:tab w:val="left" w:pos="6804"/>
        </w:tabs>
        <w:spacing w:before="0"/>
        <w:rPr>
          <w:rFonts w:eastAsia="Times New Roman" w:cs="Times New Roman"/>
          <w:bCs/>
          <w:iCs/>
          <w:lang w:eastAsia="cs-CZ"/>
        </w:rPr>
      </w:pPr>
    </w:p>
    <w:p w:rsidR="00BE57A9" w:rsidRPr="00F322FE" w:rsidRDefault="00BE57A9" w:rsidP="0081403D">
      <w:pPr>
        <w:tabs>
          <w:tab w:val="left" w:pos="6804"/>
        </w:tabs>
        <w:spacing w:before="0"/>
        <w:rPr>
          <w:rFonts w:eastAsia="Times New Roman" w:cs="Times New Roman"/>
          <w:bCs/>
          <w:iCs/>
          <w:lang w:eastAsia="cs-CZ"/>
        </w:rPr>
      </w:pPr>
    </w:p>
    <w:p w:rsidR="00BE57A9" w:rsidRPr="00F322FE" w:rsidRDefault="00BE57A9" w:rsidP="0081403D">
      <w:pPr>
        <w:tabs>
          <w:tab w:val="left" w:pos="6804"/>
        </w:tabs>
        <w:spacing w:before="0"/>
        <w:rPr>
          <w:rFonts w:eastAsia="Times New Roman" w:cs="Times New Roman"/>
          <w:bCs/>
          <w:iCs/>
          <w:lang w:eastAsia="cs-CZ"/>
        </w:rPr>
      </w:pPr>
    </w:p>
    <w:p w:rsidR="00BE57A9" w:rsidRPr="00F322FE" w:rsidRDefault="00BE57A9" w:rsidP="0081403D">
      <w:pPr>
        <w:tabs>
          <w:tab w:val="left" w:pos="6804"/>
        </w:tabs>
        <w:spacing w:before="0"/>
        <w:rPr>
          <w:rFonts w:eastAsia="Times New Roman" w:cs="Times New Roman"/>
          <w:bCs/>
          <w:iCs/>
          <w:lang w:eastAsia="cs-CZ"/>
        </w:rPr>
      </w:pPr>
    </w:p>
    <w:p w:rsidR="00BE57A9" w:rsidRPr="00F322FE" w:rsidRDefault="00BE57A9" w:rsidP="0081403D">
      <w:pPr>
        <w:tabs>
          <w:tab w:val="left" w:pos="6804"/>
        </w:tabs>
        <w:spacing w:before="0"/>
        <w:rPr>
          <w:rFonts w:eastAsia="Times New Roman" w:cs="Times New Roman"/>
          <w:bCs/>
          <w:iCs/>
          <w:lang w:eastAsia="cs-CZ"/>
        </w:rPr>
      </w:pPr>
    </w:p>
    <w:p w:rsidR="00BE57A9" w:rsidRPr="00F322FE" w:rsidRDefault="00BE57A9" w:rsidP="0081403D">
      <w:pPr>
        <w:tabs>
          <w:tab w:val="left" w:pos="6804"/>
        </w:tabs>
        <w:spacing w:before="0"/>
        <w:rPr>
          <w:rFonts w:eastAsia="Times New Roman" w:cs="Times New Roman"/>
          <w:bCs/>
          <w:iCs/>
          <w:lang w:eastAsia="cs-CZ"/>
        </w:rPr>
      </w:pPr>
    </w:p>
    <w:p w:rsidR="00BE57A9" w:rsidRPr="00F322FE" w:rsidRDefault="00BE57A9" w:rsidP="0081403D">
      <w:pPr>
        <w:tabs>
          <w:tab w:val="left" w:pos="6804"/>
        </w:tabs>
        <w:spacing w:before="0"/>
        <w:rPr>
          <w:rFonts w:eastAsia="Times New Roman" w:cs="Times New Roman"/>
          <w:bCs/>
          <w:iCs/>
          <w:lang w:eastAsia="cs-CZ"/>
        </w:rPr>
      </w:pPr>
    </w:p>
    <w:p w:rsidR="00BE57A9" w:rsidRPr="00F322FE" w:rsidRDefault="00BE57A9" w:rsidP="0081403D">
      <w:pPr>
        <w:tabs>
          <w:tab w:val="left" w:pos="6804"/>
        </w:tabs>
        <w:spacing w:before="0"/>
        <w:rPr>
          <w:rFonts w:eastAsia="Times New Roman" w:cs="Times New Roman"/>
          <w:bCs/>
          <w:iCs/>
          <w:lang w:eastAsia="cs-CZ"/>
        </w:rPr>
      </w:pPr>
    </w:p>
    <w:p w:rsidR="00BE57A9" w:rsidRPr="00F322FE" w:rsidRDefault="00BE57A9" w:rsidP="0081403D">
      <w:pPr>
        <w:tabs>
          <w:tab w:val="left" w:pos="6804"/>
        </w:tabs>
        <w:spacing w:before="0"/>
        <w:rPr>
          <w:rFonts w:eastAsia="Times New Roman" w:cs="Times New Roman"/>
          <w:bCs/>
          <w:iCs/>
          <w:lang w:eastAsia="cs-CZ"/>
        </w:rPr>
      </w:pPr>
    </w:p>
    <w:p w:rsidR="00F322FE" w:rsidRPr="00F322FE" w:rsidRDefault="00F322FE" w:rsidP="0081403D">
      <w:pPr>
        <w:tabs>
          <w:tab w:val="left" w:pos="6804"/>
        </w:tabs>
        <w:spacing w:before="0"/>
        <w:rPr>
          <w:rFonts w:eastAsia="Times New Roman" w:cs="Times New Roman"/>
          <w:bCs/>
          <w:iCs/>
          <w:lang w:eastAsia="cs-CZ"/>
        </w:rPr>
      </w:pPr>
    </w:p>
    <w:tbl>
      <w:tblPr>
        <w:tblW w:w="14601" w:type="dxa"/>
        <w:tblLayout w:type="fixed"/>
        <w:tblCellMar>
          <w:left w:w="0" w:type="dxa"/>
          <w:right w:w="0" w:type="dxa"/>
        </w:tblCellMar>
        <w:tblLook w:val="0000" w:firstRow="0" w:lastRow="0" w:firstColumn="0" w:lastColumn="0" w:noHBand="0" w:noVBand="0"/>
      </w:tblPr>
      <w:tblGrid>
        <w:gridCol w:w="2835"/>
        <w:gridCol w:w="1443"/>
        <w:gridCol w:w="1529"/>
        <w:gridCol w:w="1423"/>
        <w:gridCol w:w="1559"/>
        <w:gridCol w:w="1417"/>
        <w:gridCol w:w="1560"/>
        <w:gridCol w:w="1417"/>
        <w:gridCol w:w="1418"/>
      </w:tblGrid>
      <w:tr w:rsidR="0081403D" w:rsidRPr="0081403D" w:rsidTr="00B6436F">
        <w:trPr>
          <w:cantSplit/>
          <w:trHeight w:val="282"/>
        </w:trPr>
        <w:tc>
          <w:tcPr>
            <w:tcW w:w="5807" w:type="dxa"/>
            <w:gridSpan w:val="3"/>
            <w:noWrap/>
            <w:vAlign w:val="center"/>
          </w:tcPr>
          <w:p w:rsidR="0081403D" w:rsidRPr="0081403D" w:rsidRDefault="0081403D" w:rsidP="0081403D">
            <w:pPr>
              <w:spacing w:before="0"/>
              <w:jc w:val="left"/>
              <w:rPr>
                <w:rFonts w:eastAsia="Times New Roman" w:cs="Times New Roman"/>
                <w:b/>
                <w:bCs/>
                <w:lang w:eastAsia="cs-CZ"/>
              </w:rPr>
            </w:pPr>
            <w:r w:rsidRPr="0081403D">
              <w:rPr>
                <w:rFonts w:eastAsia="Times New Roman" w:cs="Times New Roman"/>
                <w:b/>
                <w:bCs/>
                <w:lang w:eastAsia="cs-CZ"/>
              </w:rPr>
              <w:t>2. Zakládání a.s. a převzetí majetkových účastí</w:t>
            </w:r>
          </w:p>
        </w:tc>
        <w:tc>
          <w:tcPr>
            <w:tcW w:w="8794" w:type="dxa"/>
            <w:gridSpan w:val="6"/>
            <w:noWrap/>
            <w:vAlign w:val="center"/>
          </w:tcPr>
          <w:p w:rsidR="0081403D" w:rsidRPr="0081403D" w:rsidRDefault="0081403D" w:rsidP="0081403D">
            <w:pPr>
              <w:spacing w:before="0"/>
              <w:jc w:val="left"/>
              <w:rPr>
                <w:rFonts w:eastAsia="Arial Unicode MS" w:cs="Times New Roman"/>
                <w:lang w:eastAsia="cs-CZ"/>
              </w:rPr>
            </w:pPr>
          </w:p>
        </w:tc>
      </w:tr>
      <w:tr w:rsidR="0081403D" w:rsidRPr="0081403D" w:rsidTr="00EB2FFB">
        <w:trPr>
          <w:cantSplit/>
          <w:trHeight w:val="193"/>
        </w:trPr>
        <w:tc>
          <w:tcPr>
            <w:tcW w:w="2835" w:type="dxa"/>
            <w:vMerge w:val="restart"/>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Druh transformace</w:t>
            </w:r>
          </w:p>
        </w:tc>
        <w:tc>
          <w:tcPr>
            <w:tcW w:w="5954" w:type="dxa"/>
            <w:gridSpan w:val="4"/>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Arial Unicode MS" w:cs="Times New Roman"/>
                <w:lang w:eastAsia="cs-CZ"/>
              </w:rPr>
            </w:pPr>
            <w:r w:rsidRPr="0081403D">
              <w:rPr>
                <w:rFonts w:eastAsia="Times New Roman" w:cs="Times New Roman"/>
                <w:b/>
                <w:bCs/>
                <w:lang w:eastAsia="cs-CZ"/>
              </w:rPr>
              <w:t>Od začátku privatizace do 31. 12. 2020</w:t>
            </w:r>
          </w:p>
        </w:tc>
        <w:tc>
          <w:tcPr>
            <w:tcW w:w="5812" w:type="dxa"/>
            <w:gridSpan w:val="4"/>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z toho rok 2020</w:t>
            </w:r>
          </w:p>
        </w:tc>
      </w:tr>
      <w:tr w:rsidR="0081403D" w:rsidRPr="0081403D" w:rsidTr="009D6F19">
        <w:trPr>
          <w:cantSplit/>
          <w:trHeight w:val="338"/>
        </w:trPr>
        <w:tc>
          <w:tcPr>
            <w:tcW w:w="2835" w:type="dxa"/>
            <w:vMerge/>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right"/>
              <w:rPr>
                <w:rFonts w:eastAsia="Arial Unicode MS" w:cs="Times New Roman"/>
                <w:b/>
                <w:bCs/>
                <w:lang w:eastAsia="cs-CZ"/>
              </w:rPr>
            </w:pPr>
          </w:p>
        </w:tc>
        <w:tc>
          <w:tcPr>
            <w:tcW w:w="1443"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Předané</w:t>
            </w:r>
          </w:p>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počet</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jednotek</w:t>
            </w:r>
          </w:p>
        </w:tc>
        <w:tc>
          <w:tcPr>
            <w:tcW w:w="1529"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tis. Kč</w:t>
            </w:r>
          </w:p>
        </w:tc>
        <w:tc>
          <w:tcPr>
            <w:tcW w:w="1423"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Ukončené počet</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 xml:space="preserve">jednotek </w:t>
            </w:r>
          </w:p>
        </w:tc>
        <w:tc>
          <w:tcPr>
            <w:tcW w:w="1559"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tis. Kč</w:t>
            </w:r>
          </w:p>
        </w:tc>
        <w:tc>
          <w:tcPr>
            <w:tcW w:w="1417"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Předané</w:t>
            </w:r>
          </w:p>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počet</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jednotek</w:t>
            </w:r>
          </w:p>
        </w:tc>
        <w:tc>
          <w:tcPr>
            <w:tcW w:w="156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tis. Kč</w:t>
            </w:r>
          </w:p>
        </w:tc>
        <w:tc>
          <w:tcPr>
            <w:tcW w:w="1417"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Ukončené počet</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jednotek</w:t>
            </w:r>
          </w:p>
        </w:tc>
        <w:tc>
          <w:tcPr>
            <w:tcW w:w="1418"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tabs>
                <w:tab w:val="left" w:pos="1338"/>
              </w:tabs>
              <w:spacing w:before="0"/>
              <w:ind w:right="17"/>
              <w:jc w:val="center"/>
              <w:rPr>
                <w:rFonts w:eastAsia="Times New Roman" w:cs="Times New Roman"/>
                <w:b/>
                <w:bCs/>
                <w:lang w:eastAsia="cs-CZ"/>
              </w:rPr>
            </w:pPr>
            <w:r w:rsidRPr="0081403D">
              <w:rPr>
                <w:rFonts w:eastAsia="Times New Roman" w:cs="Times New Roman"/>
                <w:b/>
                <w:bCs/>
                <w:lang w:eastAsia="cs-CZ"/>
              </w:rPr>
              <w:t>Majetek</w:t>
            </w:r>
          </w:p>
          <w:p w:rsidR="0081403D" w:rsidRPr="0081403D" w:rsidRDefault="0081403D" w:rsidP="0081403D">
            <w:pPr>
              <w:tabs>
                <w:tab w:val="left" w:pos="1338"/>
              </w:tabs>
              <w:spacing w:before="0"/>
              <w:ind w:right="17"/>
              <w:jc w:val="center"/>
              <w:rPr>
                <w:rFonts w:eastAsia="Arial Unicode MS" w:cs="Times New Roman"/>
                <w:b/>
                <w:bCs/>
                <w:lang w:eastAsia="cs-CZ"/>
              </w:rPr>
            </w:pPr>
            <w:r w:rsidRPr="0081403D">
              <w:rPr>
                <w:rFonts w:eastAsia="Times New Roman" w:cs="Times New Roman"/>
                <w:b/>
                <w:bCs/>
                <w:lang w:eastAsia="cs-CZ"/>
              </w:rPr>
              <w:t>tis. Kč</w:t>
            </w:r>
          </w:p>
        </w:tc>
      </w:tr>
      <w:tr w:rsidR="0081403D" w:rsidRPr="0081403D" w:rsidTr="009D6F19">
        <w:trPr>
          <w:trHeight w:val="266"/>
        </w:trPr>
        <w:tc>
          <w:tcPr>
            <w:tcW w:w="2835" w:type="dxa"/>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jc w:val="left"/>
              <w:rPr>
                <w:rFonts w:eastAsia="Arial Unicode MS" w:cs="Times New Roman"/>
                <w:lang w:eastAsia="cs-CZ"/>
              </w:rPr>
            </w:pPr>
            <w:r w:rsidRPr="0081403D">
              <w:rPr>
                <w:rFonts w:eastAsia="Times New Roman" w:cs="Times New Roman"/>
                <w:lang w:eastAsia="cs-CZ"/>
              </w:rPr>
              <w:t xml:space="preserve"> Převod s. p. na a. s.</w:t>
            </w:r>
          </w:p>
        </w:tc>
        <w:tc>
          <w:tcPr>
            <w:tcW w:w="1443" w:type="dxa"/>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1 561</w:t>
            </w:r>
          </w:p>
        </w:tc>
        <w:tc>
          <w:tcPr>
            <w:tcW w:w="1529" w:type="dxa"/>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608 772 180</w:t>
            </w:r>
          </w:p>
        </w:tc>
        <w:tc>
          <w:tcPr>
            <w:tcW w:w="1423" w:type="dxa"/>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1553</w:t>
            </w:r>
          </w:p>
        </w:tc>
        <w:tc>
          <w:tcPr>
            <w:tcW w:w="1559" w:type="dxa"/>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580 817 184</w:t>
            </w:r>
          </w:p>
        </w:tc>
        <w:tc>
          <w:tcPr>
            <w:tcW w:w="1417" w:type="dxa"/>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0</w:t>
            </w:r>
          </w:p>
        </w:tc>
        <w:tc>
          <w:tcPr>
            <w:tcW w:w="1560" w:type="dxa"/>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0</w:t>
            </w:r>
          </w:p>
        </w:tc>
        <w:tc>
          <w:tcPr>
            <w:tcW w:w="1417" w:type="dxa"/>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0</w:t>
            </w:r>
          </w:p>
        </w:tc>
        <w:tc>
          <w:tcPr>
            <w:tcW w:w="1418" w:type="dxa"/>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0</w:t>
            </w:r>
          </w:p>
        </w:tc>
      </w:tr>
      <w:tr w:rsidR="0081403D" w:rsidRPr="0081403D" w:rsidTr="009D6F19">
        <w:trPr>
          <w:trHeight w:val="282"/>
        </w:trPr>
        <w:tc>
          <w:tcPr>
            <w:tcW w:w="2835" w:type="dxa"/>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left"/>
              <w:rPr>
                <w:rFonts w:eastAsia="Arial Unicode MS" w:cs="Times New Roman"/>
                <w:lang w:eastAsia="cs-CZ"/>
              </w:rPr>
            </w:pPr>
            <w:r w:rsidRPr="0081403D">
              <w:rPr>
                <w:rFonts w:eastAsia="Times New Roman" w:cs="Times New Roman"/>
                <w:lang w:eastAsia="cs-CZ"/>
              </w:rPr>
              <w:t xml:space="preserve"> Převod z a. s. na a. s.</w:t>
            </w:r>
          </w:p>
        </w:tc>
        <w:tc>
          <w:tcPr>
            <w:tcW w:w="1443" w:type="dxa"/>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324</w:t>
            </w:r>
          </w:p>
        </w:tc>
        <w:tc>
          <w:tcPr>
            <w:tcW w:w="1529" w:type="dxa"/>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218 413 066</w:t>
            </w:r>
          </w:p>
        </w:tc>
        <w:tc>
          <w:tcPr>
            <w:tcW w:w="1423" w:type="dxa"/>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325</w:t>
            </w:r>
          </w:p>
        </w:tc>
        <w:tc>
          <w:tcPr>
            <w:tcW w:w="1559" w:type="dxa"/>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218 430 571</w:t>
            </w:r>
          </w:p>
        </w:tc>
        <w:tc>
          <w:tcPr>
            <w:tcW w:w="1417" w:type="dxa"/>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0</w:t>
            </w:r>
          </w:p>
        </w:tc>
        <w:tc>
          <w:tcPr>
            <w:tcW w:w="1560" w:type="dxa"/>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0</w:t>
            </w:r>
          </w:p>
        </w:tc>
        <w:tc>
          <w:tcPr>
            <w:tcW w:w="1417" w:type="dxa"/>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0</w:t>
            </w:r>
          </w:p>
        </w:tc>
        <w:tc>
          <w:tcPr>
            <w:tcW w:w="1418" w:type="dxa"/>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r w:rsidRPr="0081403D">
              <w:rPr>
                <w:rFonts w:eastAsia="Arial Unicode MS" w:cs="Times New Roman"/>
                <w:lang w:eastAsia="cs-CZ"/>
              </w:rPr>
              <w:t>0</w:t>
            </w:r>
          </w:p>
        </w:tc>
      </w:tr>
      <w:tr w:rsidR="0081403D" w:rsidRPr="0081403D" w:rsidTr="009D6F19">
        <w:trPr>
          <w:trHeight w:val="282"/>
        </w:trPr>
        <w:tc>
          <w:tcPr>
            <w:tcW w:w="2835"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left"/>
              <w:rPr>
                <w:rFonts w:eastAsia="Arial Unicode MS" w:cs="Times New Roman"/>
                <w:b/>
                <w:bCs/>
                <w:lang w:eastAsia="cs-CZ"/>
              </w:rPr>
            </w:pPr>
            <w:r w:rsidRPr="0081403D">
              <w:rPr>
                <w:rFonts w:eastAsia="Times New Roman" w:cs="Times New Roman"/>
                <w:b/>
                <w:bCs/>
                <w:lang w:eastAsia="cs-CZ"/>
              </w:rPr>
              <w:t xml:space="preserve"> C e l k e m</w:t>
            </w:r>
          </w:p>
        </w:tc>
        <w:tc>
          <w:tcPr>
            <w:tcW w:w="1443"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1 885</w:t>
            </w:r>
          </w:p>
        </w:tc>
        <w:tc>
          <w:tcPr>
            <w:tcW w:w="1529"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827 185 246</w:t>
            </w:r>
          </w:p>
        </w:tc>
        <w:tc>
          <w:tcPr>
            <w:tcW w:w="1423"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1 878</w:t>
            </w:r>
          </w:p>
        </w:tc>
        <w:tc>
          <w:tcPr>
            <w:tcW w:w="1559"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799 247 755</w:t>
            </w:r>
          </w:p>
        </w:tc>
        <w:tc>
          <w:tcPr>
            <w:tcW w:w="1417"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0</w:t>
            </w:r>
          </w:p>
        </w:tc>
        <w:tc>
          <w:tcPr>
            <w:tcW w:w="1560"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0</w:t>
            </w:r>
          </w:p>
        </w:tc>
        <w:tc>
          <w:tcPr>
            <w:tcW w:w="1417"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0</w:t>
            </w:r>
          </w:p>
        </w:tc>
        <w:tc>
          <w:tcPr>
            <w:tcW w:w="1418"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0</w:t>
            </w:r>
          </w:p>
        </w:tc>
      </w:tr>
      <w:tr w:rsidR="0081403D" w:rsidRPr="0081403D" w:rsidTr="009D6F19">
        <w:trPr>
          <w:trHeight w:val="282"/>
        </w:trPr>
        <w:tc>
          <w:tcPr>
            <w:tcW w:w="2835" w:type="dxa"/>
            <w:tcBorders>
              <w:top w:val="single" w:sz="12" w:space="0" w:color="auto"/>
              <w:bottom w:val="single" w:sz="12" w:space="0" w:color="auto"/>
            </w:tcBorders>
            <w:noWrap/>
            <w:vAlign w:val="center"/>
          </w:tcPr>
          <w:p w:rsidR="0081403D" w:rsidRPr="0081403D" w:rsidRDefault="0081403D" w:rsidP="0081403D">
            <w:pPr>
              <w:spacing w:before="0"/>
              <w:jc w:val="right"/>
              <w:rPr>
                <w:rFonts w:eastAsia="Arial Unicode MS" w:cs="Times New Roman"/>
                <w:lang w:eastAsia="cs-CZ"/>
              </w:rPr>
            </w:pPr>
          </w:p>
        </w:tc>
        <w:tc>
          <w:tcPr>
            <w:tcW w:w="1443" w:type="dxa"/>
            <w:tcBorders>
              <w:top w:val="single" w:sz="12" w:space="0" w:color="auto"/>
              <w:bottom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p>
        </w:tc>
        <w:tc>
          <w:tcPr>
            <w:tcW w:w="1529" w:type="dxa"/>
            <w:tcBorders>
              <w:top w:val="single" w:sz="12" w:space="0" w:color="auto"/>
              <w:bottom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p>
        </w:tc>
        <w:tc>
          <w:tcPr>
            <w:tcW w:w="1423" w:type="dxa"/>
            <w:tcBorders>
              <w:top w:val="single" w:sz="12" w:space="0" w:color="auto"/>
              <w:bottom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p>
        </w:tc>
        <w:tc>
          <w:tcPr>
            <w:tcW w:w="1559" w:type="dxa"/>
            <w:tcBorders>
              <w:top w:val="single" w:sz="12" w:space="0" w:color="auto"/>
              <w:bottom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p>
        </w:tc>
        <w:tc>
          <w:tcPr>
            <w:tcW w:w="1417" w:type="dxa"/>
            <w:tcBorders>
              <w:top w:val="single" w:sz="12" w:space="0" w:color="auto"/>
              <w:bottom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p>
        </w:tc>
        <w:tc>
          <w:tcPr>
            <w:tcW w:w="1560" w:type="dxa"/>
            <w:tcBorders>
              <w:top w:val="single" w:sz="12" w:space="0" w:color="auto"/>
              <w:bottom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p>
        </w:tc>
        <w:tc>
          <w:tcPr>
            <w:tcW w:w="1417" w:type="dxa"/>
            <w:tcBorders>
              <w:top w:val="single" w:sz="12" w:space="0" w:color="auto"/>
              <w:bottom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p>
        </w:tc>
        <w:tc>
          <w:tcPr>
            <w:tcW w:w="1418" w:type="dxa"/>
            <w:tcBorders>
              <w:top w:val="single" w:sz="12" w:space="0" w:color="auto"/>
              <w:bottom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lang w:eastAsia="cs-CZ"/>
              </w:rPr>
            </w:pPr>
          </w:p>
        </w:tc>
      </w:tr>
      <w:tr w:rsidR="0081403D" w:rsidRPr="0081403D" w:rsidTr="009D6F19">
        <w:trPr>
          <w:trHeight w:val="299"/>
        </w:trPr>
        <w:tc>
          <w:tcPr>
            <w:tcW w:w="2835"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left"/>
              <w:rPr>
                <w:rFonts w:eastAsia="Arial Unicode MS" w:cs="Times New Roman"/>
                <w:b/>
                <w:bCs/>
                <w:lang w:eastAsia="cs-CZ"/>
              </w:rPr>
            </w:pPr>
            <w:r w:rsidRPr="0081403D">
              <w:rPr>
                <w:rFonts w:eastAsia="Times New Roman" w:cs="Times New Roman"/>
                <w:b/>
                <w:bCs/>
                <w:lang w:eastAsia="cs-CZ"/>
              </w:rPr>
              <w:t xml:space="preserve"> C e l k e m 1 + 2</w:t>
            </w:r>
          </w:p>
        </w:tc>
        <w:tc>
          <w:tcPr>
            <w:tcW w:w="1443"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lang w:eastAsia="cs-CZ"/>
              </w:rPr>
            </w:pPr>
            <w:r w:rsidRPr="0081403D">
              <w:rPr>
                <w:rFonts w:eastAsia="Arial Unicode MS" w:cs="Times New Roman"/>
                <w:b/>
                <w:lang w:eastAsia="cs-CZ"/>
              </w:rPr>
              <w:t>18 839</w:t>
            </w:r>
          </w:p>
        </w:tc>
        <w:tc>
          <w:tcPr>
            <w:tcW w:w="1529"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lang w:eastAsia="cs-CZ"/>
              </w:rPr>
            </w:pPr>
            <w:r w:rsidRPr="0081403D">
              <w:rPr>
                <w:rFonts w:eastAsia="Arial Unicode MS" w:cs="Times New Roman"/>
                <w:b/>
                <w:lang w:eastAsia="cs-CZ"/>
              </w:rPr>
              <w:t>1 017 924 465</w:t>
            </w:r>
          </w:p>
        </w:tc>
        <w:tc>
          <w:tcPr>
            <w:tcW w:w="1423"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lang w:eastAsia="cs-CZ"/>
              </w:rPr>
            </w:pPr>
            <w:r w:rsidRPr="0081403D">
              <w:rPr>
                <w:rFonts w:eastAsia="Arial Unicode MS" w:cs="Times New Roman"/>
                <w:b/>
                <w:lang w:eastAsia="cs-CZ"/>
              </w:rPr>
              <w:t>18 568</w:t>
            </w:r>
          </w:p>
        </w:tc>
        <w:tc>
          <w:tcPr>
            <w:tcW w:w="1559"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987 398 477</w:t>
            </w:r>
          </w:p>
        </w:tc>
        <w:tc>
          <w:tcPr>
            <w:tcW w:w="1417"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125</w:t>
            </w:r>
          </w:p>
        </w:tc>
        <w:tc>
          <w:tcPr>
            <w:tcW w:w="1560"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703 839</w:t>
            </w:r>
          </w:p>
        </w:tc>
        <w:tc>
          <w:tcPr>
            <w:tcW w:w="1417"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125</w:t>
            </w:r>
          </w:p>
        </w:tc>
        <w:tc>
          <w:tcPr>
            <w:tcW w:w="1418" w:type="dxa"/>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tabs>
                <w:tab w:val="left" w:pos="1301"/>
              </w:tabs>
              <w:spacing w:before="0"/>
              <w:ind w:right="105"/>
              <w:jc w:val="right"/>
              <w:rPr>
                <w:rFonts w:eastAsia="Arial Unicode MS" w:cs="Times New Roman"/>
                <w:b/>
                <w:bCs/>
                <w:lang w:eastAsia="cs-CZ"/>
              </w:rPr>
            </w:pPr>
            <w:r w:rsidRPr="0081403D">
              <w:rPr>
                <w:rFonts w:eastAsia="Arial Unicode MS" w:cs="Times New Roman"/>
                <w:b/>
                <w:bCs/>
                <w:lang w:eastAsia="cs-CZ"/>
              </w:rPr>
              <w:t>697 594</w:t>
            </w:r>
          </w:p>
        </w:tc>
      </w:tr>
      <w:tr w:rsidR="0081403D" w:rsidRPr="0081403D" w:rsidTr="00AD1F82">
        <w:trPr>
          <w:trHeight w:val="299"/>
        </w:trPr>
        <w:tc>
          <w:tcPr>
            <w:tcW w:w="2835" w:type="dxa"/>
            <w:tcBorders>
              <w:top w:val="single" w:sz="12" w:space="0" w:color="auto"/>
            </w:tcBorders>
            <w:noWrap/>
            <w:vAlign w:val="center"/>
          </w:tcPr>
          <w:p w:rsidR="0081403D" w:rsidRPr="0081403D" w:rsidRDefault="0081403D" w:rsidP="0081403D">
            <w:pPr>
              <w:spacing w:before="0"/>
              <w:jc w:val="left"/>
              <w:rPr>
                <w:rFonts w:ascii="Times New Roman" w:eastAsia="Times New Roman" w:hAnsi="Times New Roman" w:cs="Times New Roman"/>
                <w:b/>
                <w:bCs/>
                <w:sz w:val="24"/>
                <w:szCs w:val="24"/>
                <w:lang w:eastAsia="cs-CZ"/>
              </w:rPr>
            </w:pPr>
          </w:p>
        </w:tc>
        <w:tc>
          <w:tcPr>
            <w:tcW w:w="1443" w:type="dxa"/>
            <w:tcBorders>
              <w:top w:val="single" w:sz="12" w:space="0" w:color="auto"/>
            </w:tcBorders>
            <w:noWrap/>
            <w:vAlign w:val="center"/>
          </w:tcPr>
          <w:p w:rsidR="0081403D" w:rsidRPr="0081403D" w:rsidRDefault="0081403D" w:rsidP="0081403D">
            <w:pPr>
              <w:tabs>
                <w:tab w:val="left" w:pos="1301"/>
              </w:tabs>
              <w:spacing w:before="0"/>
              <w:ind w:right="105"/>
              <w:jc w:val="right"/>
              <w:rPr>
                <w:rFonts w:ascii="Times New Roman" w:eastAsia="Times New Roman" w:hAnsi="Times New Roman" w:cs="Times New Roman"/>
                <w:b/>
                <w:bCs/>
                <w:sz w:val="24"/>
                <w:szCs w:val="24"/>
                <w:lang w:eastAsia="cs-CZ"/>
              </w:rPr>
            </w:pPr>
          </w:p>
        </w:tc>
        <w:tc>
          <w:tcPr>
            <w:tcW w:w="1529" w:type="dxa"/>
            <w:tcBorders>
              <w:top w:val="single" w:sz="12" w:space="0" w:color="auto"/>
            </w:tcBorders>
            <w:noWrap/>
            <w:vAlign w:val="center"/>
          </w:tcPr>
          <w:p w:rsidR="0081403D" w:rsidRPr="0081403D" w:rsidRDefault="0081403D" w:rsidP="0081403D">
            <w:pPr>
              <w:tabs>
                <w:tab w:val="left" w:pos="1301"/>
              </w:tabs>
              <w:spacing w:before="0"/>
              <w:ind w:right="105"/>
              <w:jc w:val="right"/>
              <w:rPr>
                <w:rFonts w:ascii="Times New Roman" w:eastAsia="Times New Roman" w:hAnsi="Times New Roman" w:cs="Times New Roman"/>
                <w:b/>
                <w:bCs/>
                <w:sz w:val="24"/>
                <w:szCs w:val="24"/>
                <w:lang w:eastAsia="cs-CZ"/>
              </w:rPr>
            </w:pPr>
          </w:p>
        </w:tc>
        <w:tc>
          <w:tcPr>
            <w:tcW w:w="1423" w:type="dxa"/>
            <w:tcBorders>
              <w:top w:val="single" w:sz="12" w:space="0" w:color="auto"/>
            </w:tcBorders>
            <w:noWrap/>
            <w:vAlign w:val="center"/>
          </w:tcPr>
          <w:p w:rsidR="0081403D" w:rsidRPr="0081403D" w:rsidRDefault="0081403D" w:rsidP="0081403D">
            <w:pPr>
              <w:tabs>
                <w:tab w:val="left" w:pos="1301"/>
              </w:tabs>
              <w:spacing w:before="0"/>
              <w:ind w:right="105"/>
              <w:jc w:val="right"/>
              <w:rPr>
                <w:rFonts w:ascii="Times New Roman" w:eastAsia="Times New Roman" w:hAnsi="Times New Roman" w:cs="Times New Roman"/>
                <w:b/>
                <w:bCs/>
                <w:sz w:val="24"/>
                <w:szCs w:val="24"/>
                <w:lang w:eastAsia="cs-CZ"/>
              </w:rPr>
            </w:pPr>
          </w:p>
        </w:tc>
        <w:tc>
          <w:tcPr>
            <w:tcW w:w="1559" w:type="dxa"/>
            <w:tcBorders>
              <w:top w:val="single" w:sz="12" w:space="0" w:color="auto"/>
            </w:tcBorders>
            <w:noWrap/>
            <w:vAlign w:val="center"/>
          </w:tcPr>
          <w:p w:rsidR="0081403D" w:rsidRPr="0081403D" w:rsidRDefault="0081403D" w:rsidP="0081403D">
            <w:pPr>
              <w:tabs>
                <w:tab w:val="left" w:pos="1301"/>
              </w:tabs>
              <w:spacing w:before="0"/>
              <w:ind w:right="105"/>
              <w:jc w:val="right"/>
              <w:rPr>
                <w:rFonts w:ascii="Times New Roman" w:eastAsia="Times New Roman" w:hAnsi="Times New Roman" w:cs="Times New Roman"/>
                <w:b/>
                <w:bCs/>
                <w:sz w:val="24"/>
                <w:szCs w:val="24"/>
                <w:lang w:eastAsia="cs-CZ"/>
              </w:rPr>
            </w:pPr>
          </w:p>
        </w:tc>
        <w:tc>
          <w:tcPr>
            <w:tcW w:w="1417" w:type="dxa"/>
            <w:tcBorders>
              <w:top w:val="single" w:sz="12" w:space="0" w:color="auto"/>
            </w:tcBorders>
            <w:noWrap/>
            <w:vAlign w:val="center"/>
          </w:tcPr>
          <w:p w:rsidR="0081403D" w:rsidRPr="0081403D" w:rsidRDefault="0081403D" w:rsidP="0081403D">
            <w:pPr>
              <w:tabs>
                <w:tab w:val="left" w:pos="1301"/>
              </w:tabs>
              <w:spacing w:before="0"/>
              <w:ind w:right="105"/>
              <w:jc w:val="right"/>
              <w:rPr>
                <w:rFonts w:ascii="Times New Roman" w:eastAsia="Times New Roman" w:hAnsi="Times New Roman" w:cs="Times New Roman"/>
                <w:b/>
                <w:bCs/>
                <w:sz w:val="24"/>
                <w:szCs w:val="24"/>
                <w:lang w:eastAsia="cs-CZ"/>
              </w:rPr>
            </w:pPr>
          </w:p>
        </w:tc>
        <w:tc>
          <w:tcPr>
            <w:tcW w:w="1560" w:type="dxa"/>
            <w:tcBorders>
              <w:top w:val="single" w:sz="12" w:space="0" w:color="auto"/>
            </w:tcBorders>
            <w:noWrap/>
            <w:vAlign w:val="center"/>
          </w:tcPr>
          <w:p w:rsidR="0081403D" w:rsidRPr="0081403D" w:rsidRDefault="0081403D" w:rsidP="0081403D">
            <w:pPr>
              <w:tabs>
                <w:tab w:val="left" w:pos="1301"/>
              </w:tabs>
              <w:spacing w:before="0"/>
              <w:ind w:right="105"/>
              <w:jc w:val="right"/>
              <w:rPr>
                <w:rFonts w:ascii="Times New Roman" w:eastAsia="Times New Roman" w:hAnsi="Times New Roman" w:cs="Times New Roman"/>
                <w:b/>
                <w:bCs/>
                <w:sz w:val="24"/>
                <w:szCs w:val="24"/>
                <w:lang w:eastAsia="cs-CZ"/>
              </w:rPr>
            </w:pPr>
          </w:p>
        </w:tc>
        <w:tc>
          <w:tcPr>
            <w:tcW w:w="1417" w:type="dxa"/>
            <w:tcBorders>
              <w:top w:val="single" w:sz="12" w:space="0" w:color="auto"/>
            </w:tcBorders>
            <w:noWrap/>
            <w:vAlign w:val="center"/>
          </w:tcPr>
          <w:p w:rsidR="0081403D" w:rsidRPr="0081403D" w:rsidRDefault="0081403D" w:rsidP="0081403D">
            <w:pPr>
              <w:tabs>
                <w:tab w:val="left" w:pos="1301"/>
              </w:tabs>
              <w:spacing w:before="0"/>
              <w:ind w:right="105"/>
              <w:jc w:val="right"/>
              <w:rPr>
                <w:rFonts w:ascii="Times New Roman" w:eastAsia="Times New Roman" w:hAnsi="Times New Roman" w:cs="Times New Roman"/>
                <w:b/>
                <w:bCs/>
                <w:sz w:val="24"/>
                <w:szCs w:val="24"/>
                <w:lang w:eastAsia="cs-CZ"/>
              </w:rPr>
            </w:pPr>
          </w:p>
        </w:tc>
        <w:tc>
          <w:tcPr>
            <w:tcW w:w="1418" w:type="dxa"/>
            <w:tcBorders>
              <w:top w:val="single" w:sz="12" w:space="0" w:color="auto"/>
            </w:tcBorders>
            <w:noWrap/>
            <w:vAlign w:val="center"/>
          </w:tcPr>
          <w:p w:rsidR="0081403D" w:rsidRPr="0081403D" w:rsidRDefault="0081403D" w:rsidP="0081403D">
            <w:pPr>
              <w:tabs>
                <w:tab w:val="left" w:pos="1301"/>
              </w:tabs>
              <w:spacing w:before="0"/>
              <w:ind w:right="105"/>
              <w:jc w:val="right"/>
              <w:rPr>
                <w:rFonts w:ascii="Times New Roman" w:eastAsia="Times New Roman" w:hAnsi="Times New Roman" w:cs="Times New Roman"/>
                <w:b/>
                <w:bCs/>
                <w:sz w:val="24"/>
                <w:szCs w:val="24"/>
                <w:lang w:eastAsia="cs-CZ"/>
              </w:rPr>
            </w:pPr>
          </w:p>
        </w:tc>
      </w:tr>
    </w:tbl>
    <w:p w:rsidR="0081403D" w:rsidRPr="00EE21C8" w:rsidRDefault="0081403D" w:rsidP="0081403D">
      <w:pPr>
        <w:pStyle w:val="Podnadpis"/>
      </w:pPr>
      <w:r w:rsidRPr="00EE21C8">
        <w:t>Poznámka:</w:t>
      </w:r>
    </w:p>
    <w:p w:rsidR="0081403D" w:rsidRPr="00EE21C8" w:rsidRDefault="0081403D" w:rsidP="0081403D">
      <w:pPr>
        <w:pStyle w:val="Podnadpis"/>
      </w:pPr>
      <w:bookmarkStart w:id="25" w:name="OLE_LINK6"/>
      <w:r w:rsidRPr="00EE21C8">
        <w:t>Předaným privatizačním projektem se rozumí projekt, u kterého bylo vydáno vládou ČR nebo Ministerstvem financí rozhodnutí o privatizaci a byl převzat k realizaci.</w:t>
      </w:r>
      <w:bookmarkEnd w:id="25"/>
    </w:p>
    <w:p w:rsidR="0081403D" w:rsidRPr="00EE21C8" w:rsidRDefault="0081403D" w:rsidP="0081403D">
      <w:pPr>
        <w:pStyle w:val="Podnadpis"/>
      </w:pPr>
      <w:r w:rsidRPr="000E560D">
        <w:t>Ukončeným privatizačním projektem je projekt, podle kterého byla uzavřena kupní smlouva nebo dohoda o vydání věci, či smlouva o bezúplatném převodu majetku, akcií nebo byla ukončena dražba. Tam, kde na základě privatizačního projektu, resp. privatizační jednotky vzniká akciová společnost, pokládá se za ukončení projektu (pouze pro účely této tabulky) založení akciové společnosti.</w:t>
      </w:r>
    </w:p>
    <w:p w:rsidR="0081403D" w:rsidRPr="00EE21C8" w:rsidRDefault="0081403D" w:rsidP="0081403D">
      <w:pPr>
        <w:pStyle w:val="Podnadpis"/>
      </w:pPr>
      <w:r w:rsidRPr="000E560D">
        <w:t>U privatizačních projektů na privatizaci dříve založených státních akciových společností se (pro účely této tabulky) považuje za ukončení privatizačního projektu převzetí majetkové účasti státu od zakladatele. Hodnota majetku uváděná v této tabulce je přebírána z aktualizovaných privatizačních projektů a neshoduje se proto se skutečnou hodnotou privatizovaného majetku, která je následně zjišťována z účetních závěrek privatizovaných subjektů.</w:t>
      </w:r>
    </w:p>
    <w:p w:rsidR="00BE57A9" w:rsidRDefault="00BE57A9">
      <w:pPr>
        <w:spacing w:before="0" w:after="160" w:line="259" w:lineRule="auto"/>
        <w:jc w:val="left"/>
        <w:rPr>
          <w:rFonts w:ascii="Times New Roman" w:eastAsia="Times New Roman" w:hAnsi="Times New Roman" w:cs="Times New Roman"/>
          <w:b/>
          <w:bCs/>
          <w:iCs/>
          <w:sz w:val="24"/>
          <w:szCs w:val="24"/>
          <w:lang w:eastAsia="cs-CZ"/>
        </w:rPr>
      </w:pPr>
      <w:r>
        <w:rPr>
          <w:rFonts w:ascii="Times New Roman" w:eastAsia="Times New Roman" w:hAnsi="Times New Roman" w:cs="Times New Roman"/>
          <w:b/>
          <w:bCs/>
          <w:iCs/>
          <w:sz w:val="24"/>
          <w:szCs w:val="24"/>
          <w:lang w:eastAsia="cs-CZ"/>
        </w:rPr>
        <w:br w:type="page"/>
      </w:r>
    </w:p>
    <w:p w:rsidR="0081403D" w:rsidRPr="00034EC9" w:rsidRDefault="00F322FE" w:rsidP="00034EC9">
      <w:pPr>
        <w:pStyle w:val="Nzev"/>
      </w:pPr>
      <w:bookmarkStart w:id="26" w:name="_Toc65836227"/>
      <w:r w:rsidRPr="00F06413">
        <w:lastRenderedPageBreak/>
        <w:t xml:space="preserve">Tabulka č. </w:t>
      </w:r>
      <w:r w:rsidR="00E13D9D">
        <w:fldChar w:fldCharType="begin"/>
      </w:r>
      <w:r w:rsidR="00E13D9D">
        <w:instrText xml:space="preserve"> SEQ Tabulka_č. \* ARABIC </w:instrText>
      </w:r>
      <w:r w:rsidR="00E13D9D">
        <w:fldChar w:fldCharType="separate"/>
      </w:r>
      <w:r w:rsidR="008A4BFD">
        <w:rPr>
          <w:noProof/>
        </w:rPr>
        <w:t>5</w:t>
      </w:r>
      <w:r w:rsidR="00E13D9D">
        <w:rPr>
          <w:noProof/>
        </w:rPr>
        <w:fldChar w:fldCharType="end"/>
      </w:r>
      <w:r w:rsidRPr="00F06413">
        <w:t>: Přehled o privatizaci akcií akciový</w:t>
      </w:r>
      <w:r w:rsidR="00034EC9">
        <w:t>ch společností do konce roku 2020</w:t>
      </w:r>
      <w:r w:rsidR="009D6F19">
        <w:t xml:space="preserve"> </w:t>
      </w:r>
      <w:r w:rsidRPr="00F06413">
        <w:t>(tis. Kč)</w:t>
      </w:r>
      <w:bookmarkEnd w:id="26"/>
    </w:p>
    <w:tbl>
      <w:tblPr>
        <w:tblW w:w="11186" w:type="dxa"/>
        <w:tblInd w:w="-20" w:type="dxa"/>
        <w:tblCellMar>
          <w:left w:w="0" w:type="dxa"/>
          <w:right w:w="0" w:type="dxa"/>
        </w:tblCellMar>
        <w:tblLook w:val="0000" w:firstRow="0" w:lastRow="0" w:firstColumn="0" w:lastColumn="0" w:noHBand="0" w:noVBand="0"/>
      </w:tblPr>
      <w:tblGrid>
        <w:gridCol w:w="871"/>
        <w:gridCol w:w="4855"/>
        <w:gridCol w:w="1820"/>
        <w:gridCol w:w="1820"/>
        <w:gridCol w:w="1820"/>
      </w:tblGrid>
      <w:tr w:rsidR="0081403D" w:rsidRPr="0081403D" w:rsidTr="009D6F19">
        <w:trPr>
          <w:cantSplit/>
          <w:trHeight w:val="345"/>
        </w:trPr>
        <w:tc>
          <w:tcPr>
            <w:tcW w:w="5726" w:type="dxa"/>
            <w:gridSpan w:val="2"/>
            <w:vMerge w:val="restart"/>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Struktura akcií a forma jejich privatizace</w:t>
            </w:r>
          </w:p>
        </w:tc>
        <w:tc>
          <w:tcPr>
            <w:tcW w:w="5460" w:type="dxa"/>
            <w:gridSpan w:val="3"/>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v tis. Kč jmenovité hodnoty</w:t>
            </w:r>
          </w:p>
        </w:tc>
      </w:tr>
      <w:tr w:rsidR="0081403D" w:rsidRPr="0081403D" w:rsidTr="00B6436F">
        <w:trPr>
          <w:cantSplit/>
          <w:trHeight w:val="345"/>
        </w:trPr>
        <w:tc>
          <w:tcPr>
            <w:tcW w:w="5726" w:type="dxa"/>
            <w:gridSpan w:val="2"/>
            <w:vMerge/>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jc w:val="right"/>
              <w:rPr>
                <w:rFonts w:eastAsia="Arial Unicode MS" w:cs="Times New Roman"/>
                <w:b/>
                <w:bCs/>
                <w:lang w:eastAsia="cs-CZ"/>
              </w:rPr>
            </w:pP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k 31. 12. 2019</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k 31. 12. 2020</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jc w:val="center"/>
              <w:rPr>
                <w:rFonts w:eastAsia="Arial Unicode MS" w:cs="Times New Roman"/>
                <w:b/>
                <w:bCs/>
                <w:lang w:eastAsia="cs-CZ"/>
              </w:rPr>
            </w:pPr>
            <w:r w:rsidRPr="0081403D">
              <w:rPr>
                <w:rFonts w:eastAsia="Times New Roman" w:cs="Times New Roman"/>
                <w:b/>
                <w:bCs/>
                <w:lang w:eastAsia="cs-CZ"/>
              </w:rPr>
              <w:t>za rok 2020</w:t>
            </w:r>
          </w:p>
        </w:tc>
      </w:tr>
      <w:tr w:rsidR="0081403D" w:rsidRPr="0081403D" w:rsidTr="009D6F19">
        <w:trPr>
          <w:trHeight w:val="345"/>
        </w:trPr>
        <w:tc>
          <w:tcPr>
            <w:tcW w:w="5726" w:type="dxa"/>
            <w:gridSpan w:val="2"/>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left="20" w:firstLine="142"/>
              <w:jc w:val="left"/>
              <w:rPr>
                <w:rFonts w:eastAsia="Arial Unicode MS" w:cs="Times New Roman"/>
                <w:b/>
                <w:bCs/>
                <w:lang w:eastAsia="cs-CZ"/>
              </w:rPr>
            </w:pPr>
            <w:r w:rsidRPr="0081403D">
              <w:rPr>
                <w:rFonts w:eastAsia="Times New Roman" w:cs="Times New Roman"/>
                <w:b/>
                <w:bCs/>
                <w:lang w:eastAsia="cs-CZ"/>
              </w:rPr>
              <w:t>AKCIE PŘEVZATÉ NA MF</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794 220 416</w:t>
            </w:r>
          </w:p>
        </w:tc>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794 220 416</w:t>
            </w:r>
          </w:p>
        </w:tc>
        <w:tc>
          <w:tcPr>
            <w:tcW w:w="0" w:type="auto"/>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0</w:t>
            </w:r>
          </w:p>
        </w:tc>
      </w:tr>
      <w:tr w:rsidR="0081403D" w:rsidRPr="0081403D" w:rsidTr="009D6F19">
        <w:trPr>
          <w:trHeight w:val="345"/>
        </w:trPr>
        <w:tc>
          <w:tcPr>
            <w:tcW w:w="5726" w:type="dxa"/>
            <w:gridSpan w:val="2"/>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left="20" w:firstLine="142"/>
              <w:jc w:val="left"/>
              <w:rPr>
                <w:rFonts w:eastAsia="Arial Unicode MS" w:cs="Times New Roman"/>
                <w:b/>
                <w:bCs/>
                <w:lang w:eastAsia="cs-CZ"/>
              </w:rPr>
            </w:pPr>
            <w:r w:rsidRPr="0081403D">
              <w:rPr>
                <w:rFonts w:eastAsia="Times New Roman" w:cs="Times New Roman"/>
                <w:b/>
                <w:bCs/>
                <w:lang w:eastAsia="cs-CZ"/>
              </w:rPr>
              <w:t>PRIVATIZACE AKCIÍ</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733 467 165</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733 488 952</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21 787</w:t>
            </w:r>
          </w:p>
        </w:tc>
      </w:tr>
      <w:tr w:rsidR="0081403D" w:rsidRPr="0081403D" w:rsidTr="009D6F19">
        <w:trPr>
          <w:trHeight w:val="345"/>
        </w:trPr>
        <w:tc>
          <w:tcPr>
            <w:tcW w:w="5726" w:type="dxa"/>
            <w:gridSpan w:val="2"/>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left="20" w:firstLine="142"/>
              <w:jc w:val="left"/>
              <w:rPr>
                <w:rFonts w:eastAsia="Arial Unicode MS" w:cs="Times New Roman"/>
                <w:b/>
                <w:bCs/>
                <w:lang w:eastAsia="cs-CZ"/>
              </w:rPr>
            </w:pPr>
            <w:r w:rsidRPr="0081403D">
              <w:rPr>
                <w:rFonts w:eastAsia="Times New Roman" w:cs="Times New Roman"/>
                <w:b/>
                <w:bCs/>
                <w:lang w:eastAsia="cs-CZ"/>
              </w:rPr>
              <w:t>Akcie určené k prodeji celkem</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255 861 038</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 xml:space="preserve">255 861 038 </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0</w:t>
            </w:r>
          </w:p>
        </w:tc>
      </w:tr>
      <w:tr w:rsidR="0081403D" w:rsidRPr="0081403D" w:rsidTr="009D6F19">
        <w:trPr>
          <w:cantSplit/>
          <w:trHeight w:val="345"/>
        </w:trPr>
        <w:tc>
          <w:tcPr>
            <w:tcW w:w="871" w:type="dxa"/>
            <w:vMerge w:val="restart"/>
            <w:tcBorders>
              <w:top w:val="single" w:sz="12" w:space="0" w:color="auto"/>
              <w:left w:val="single" w:sz="12" w:space="0" w:color="auto"/>
              <w:bottom w:val="single" w:sz="6" w:space="0" w:color="auto"/>
              <w:right w:val="single" w:sz="6" w:space="0" w:color="auto"/>
            </w:tcBorders>
            <w:noWrap/>
            <w:vAlign w:val="center"/>
          </w:tcPr>
          <w:p w:rsidR="0081403D" w:rsidRPr="0081403D" w:rsidRDefault="0081403D" w:rsidP="0081403D">
            <w:pPr>
              <w:spacing w:before="0"/>
              <w:ind w:left="20" w:firstLine="142"/>
              <w:jc w:val="left"/>
              <w:rPr>
                <w:rFonts w:eastAsia="Arial Unicode MS" w:cs="Times New Roman"/>
                <w:lang w:eastAsia="cs-CZ"/>
              </w:rPr>
            </w:pPr>
            <w:r w:rsidRPr="0081403D">
              <w:rPr>
                <w:rFonts w:eastAsia="Times New Roman" w:cs="Times New Roman"/>
                <w:lang w:eastAsia="cs-CZ"/>
              </w:rPr>
              <w:t>z toho:</w:t>
            </w:r>
          </w:p>
        </w:tc>
        <w:tc>
          <w:tcPr>
            <w:tcW w:w="4855" w:type="dxa"/>
            <w:tcBorders>
              <w:top w:val="single" w:sz="12" w:space="0" w:color="auto"/>
              <w:left w:val="single" w:sz="6" w:space="0" w:color="auto"/>
              <w:bottom w:val="single" w:sz="6" w:space="0" w:color="auto"/>
              <w:right w:val="single" w:sz="12" w:space="0" w:color="auto"/>
            </w:tcBorders>
            <w:vAlign w:val="center"/>
          </w:tcPr>
          <w:p w:rsidR="0081403D" w:rsidRPr="0081403D" w:rsidRDefault="0081403D" w:rsidP="0081403D">
            <w:pPr>
              <w:spacing w:before="0"/>
              <w:ind w:left="20" w:firstLine="142"/>
              <w:jc w:val="left"/>
              <w:rPr>
                <w:rFonts w:eastAsia="Arial Unicode MS" w:cs="Times New Roman"/>
                <w:lang w:eastAsia="cs-CZ"/>
              </w:rPr>
            </w:pPr>
            <w:r w:rsidRPr="0081403D">
              <w:rPr>
                <w:rFonts w:eastAsia="Times New Roman" w:cs="Times New Roman"/>
                <w:lang w:eastAsia="cs-CZ"/>
              </w:rPr>
              <w:t>Veřejná nabídka</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29 904 461</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29 904 461</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0</w:t>
            </w:r>
          </w:p>
        </w:tc>
      </w:tr>
      <w:tr w:rsidR="0081403D" w:rsidRPr="0081403D" w:rsidTr="009D6F19">
        <w:trPr>
          <w:cantSplit/>
          <w:trHeight w:val="345"/>
        </w:trPr>
        <w:tc>
          <w:tcPr>
            <w:tcW w:w="871" w:type="dxa"/>
            <w:vMerge/>
            <w:tcBorders>
              <w:top w:val="single" w:sz="6" w:space="0" w:color="auto"/>
              <w:left w:val="single" w:sz="12" w:space="0" w:color="auto"/>
              <w:bottom w:val="single" w:sz="6" w:space="0" w:color="auto"/>
              <w:right w:val="single" w:sz="6" w:space="0" w:color="auto"/>
            </w:tcBorders>
            <w:noWrap/>
            <w:vAlign w:val="center"/>
          </w:tcPr>
          <w:p w:rsidR="0081403D" w:rsidRPr="0081403D" w:rsidRDefault="0081403D" w:rsidP="0081403D">
            <w:pPr>
              <w:spacing w:before="0"/>
              <w:ind w:left="20" w:firstLine="142"/>
              <w:jc w:val="left"/>
              <w:rPr>
                <w:rFonts w:eastAsia="Arial Unicode MS" w:cs="Times New Roman"/>
                <w:lang w:eastAsia="cs-CZ"/>
              </w:rPr>
            </w:pPr>
          </w:p>
        </w:tc>
        <w:tc>
          <w:tcPr>
            <w:tcW w:w="4855" w:type="dxa"/>
            <w:tcBorders>
              <w:top w:val="single" w:sz="6" w:space="0" w:color="auto"/>
              <w:left w:val="single" w:sz="6" w:space="0" w:color="auto"/>
              <w:bottom w:val="single" w:sz="6" w:space="0" w:color="auto"/>
              <w:right w:val="single" w:sz="12" w:space="0" w:color="auto"/>
            </w:tcBorders>
            <w:vAlign w:val="center"/>
          </w:tcPr>
          <w:p w:rsidR="0081403D" w:rsidRPr="0081403D" w:rsidRDefault="0081403D" w:rsidP="000F72B5">
            <w:pPr>
              <w:spacing w:before="0"/>
              <w:ind w:left="20" w:firstLine="142"/>
              <w:jc w:val="left"/>
              <w:rPr>
                <w:rFonts w:eastAsia="Arial Unicode MS" w:cs="Times New Roman"/>
                <w:lang w:eastAsia="cs-CZ"/>
              </w:rPr>
            </w:pPr>
            <w:r w:rsidRPr="0081403D">
              <w:rPr>
                <w:rFonts w:eastAsia="Times New Roman" w:cs="Times New Roman"/>
                <w:lang w:eastAsia="cs-CZ"/>
              </w:rPr>
              <w:t>Přímý prodej zahr. či tuz. zájemcům</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196 656 180</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196 656 180</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0</w:t>
            </w:r>
          </w:p>
        </w:tc>
      </w:tr>
      <w:tr w:rsidR="0081403D" w:rsidRPr="0081403D" w:rsidTr="009D6F19">
        <w:trPr>
          <w:cantSplit/>
          <w:trHeight w:val="345"/>
        </w:trPr>
        <w:tc>
          <w:tcPr>
            <w:tcW w:w="871" w:type="dxa"/>
            <w:vMerge/>
            <w:tcBorders>
              <w:top w:val="single" w:sz="6" w:space="0" w:color="auto"/>
              <w:left w:val="single" w:sz="12" w:space="0" w:color="auto"/>
              <w:bottom w:val="single" w:sz="6" w:space="0" w:color="auto"/>
              <w:right w:val="single" w:sz="6" w:space="0" w:color="auto"/>
            </w:tcBorders>
            <w:noWrap/>
            <w:vAlign w:val="center"/>
          </w:tcPr>
          <w:p w:rsidR="0081403D" w:rsidRPr="0081403D" w:rsidRDefault="0081403D" w:rsidP="0081403D">
            <w:pPr>
              <w:spacing w:before="0"/>
              <w:ind w:left="20" w:firstLine="142"/>
              <w:jc w:val="left"/>
              <w:rPr>
                <w:rFonts w:eastAsia="Arial Unicode MS" w:cs="Times New Roman"/>
                <w:lang w:eastAsia="cs-CZ"/>
              </w:rPr>
            </w:pPr>
          </w:p>
        </w:tc>
        <w:tc>
          <w:tcPr>
            <w:tcW w:w="4855" w:type="dxa"/>
            <w:tcBorders>
              <w:top w:val="single" w:sz="6" w:space="0" w:color="auto"/>
              <w:left w:val="single" w:sz="6" w:space="0" w:color="auto"/>
              <w:bottom w:val="single" w:sz="6" w:space="0" w:color="auto"/>
              <w:right w:val="single" w:sz="12" w:space="0" w:color="auto"/>
            </w:tcBorders>
            <w:vAlign w:val="center"/>
          </w:tcPr>
          <w:p w:rsidR="0081403D" w:rsidRPr="0081403D" w:rsidRDefault="0081403D" w:rsidP="0081403D">
            <w:pPr>
              <w:spacing w:before="0"/>
              <w:ind w:left="20" w:firstLine="142"/>
              <w:jc w:val="left"/>
              <w:rPr>
                <w:rFonts w:eastAsia="Arial Unicode MS" w:cs="Times New Roman"/>
                <w:lang w:eastAsia="cs-CZ"/>
              </w:rPr>
            </w:pPr>
            <w:r w:rsidRPr="0081403D">
              <w:rPr>
                <w:rFonts w:eastAsia="Times New Roman" w:cs="Times New Roman"/>
                <w:lang w:eastAsia="cs-CZ"/>
              </w:rPr>
              <w:t>Zaměstnanecké akcie</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2 266 765</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2 266 765</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0</w:t>
            </w:r>
          </w:p>
        </w:tc>
      </w:tr>
      <w:tr w:rsidR="0081403D" w:rsidRPr="0081403D" w:rsidTr="009D6F19">
        <w:trPr>
          <w:cantSplit/>
          <w:trHeight w:val="345"/>
        </w:trPr>
        <w:tc>
          <w:tcPr>
            <w:tcW w:w="871" w:type="dxa"/>
            <w:vMerge/>
            <w:tcBorders>
              <w:top w:val="single" w:sz="6" w:space="0" w:color="auto"/>
              <w:left w:val="single" w:sz="12" w:space="0" w:color="auto"/>
              <w:bottom w:val="single" w:sz="12" w:space="0" w:color="auto"/>
              <w:right w:val="single" w:sz="6" w:space="0" w:color="auto"/>
            </w:tcBorders>
            <w:noWrap/>
            <w:vAlign w:val="center"/>
          </w:tcPr>
          <w:p w:rsidR="0081403D" w:rsidRPr="0081403D" w:rsidRDefault="0081403D" w:rsidP="0081403D">
            <w:pPr>
              <w:spacing w:before="0"/>
              <w:ind w:left="20" w:firstLine="142"/>
              <w:jc w:val="left"/>
              <w:rPr>
                <w:rFonts w:eastAsia="Arial Unicode MS" w:cs="Times New Roman"/>
                <w:lang w:eastAsia="cs-CZ"/>
              </w:rPr>
            </w:pPr>
          </w:p>
        </w:tc>
        <w:tc>
          <w:tcPr>
            <w:tcW w:w="4855" w:type="dxa"/>
            <w:tcBorders>
              <w:top w:val="single" w:sz="6" w:space="0" w:color="auto"/>
              <w:left w:val="single" w:sz="6" w:space="0" w:color="auto"/>
              <w:bottom w:val="single" w:sz="12" w:space="0" w:color="auto"/>
              <w:right w:val="single" w:sz="12" w:space="0" w:color="auto"/>
            </w:tcBorders>
            <w:vAlign w:val="center"/>
          </w:tcPr>
          <w:p w:rsidR="0081403D" w:rsidRPr="0081403D" w:rsidRDefault="0081403D" w:rsidP="0081403D">
            <w:pPr>
              <w:spacing w:before="0"/>
              <w:ind w:left="20" w:firstLine="142"/>
              <w:jc w:val="left"/>
              <w:rPr>
                <w:rFonts w:eastAsia="Arial Unicode MS" w:cs="Times New Roman"/>
                <w:lang w:eastAsia="cs-CZ"/>
              </w:rPr>
            </w:pPr>
            <w:r w:rsidRPr="0081403D">
              <w:rPr>
                <w:rFonts w:eastAsia="Times New Roman" w:cs="Times New Roman"/>
                <w:lang w:eastAsia="cs-CZ"/>
              </w:rPr>
              <w:t>Veřejné soutěže</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27 033 632</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27 033 632</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0</w:t>
            </w:r>
          </w:p>
        </w:tc>
      </w:tr>
      <w:tr w:rsidR="0081403D" w:rsidRPr="0081403D" w:rsidTr="009D6F19">
        <w:trPr>
          <w:trHeight w:val="345"/>
        </w:trPr>
        <w:tc>
          <w:tcPr>
            <w:tcW w:w="5726" w:type="dxa"/>
            <w:gridSpan w:val="2"/>
            <w:tcBorders>
              <w:top w:val="single" w:sz="12"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left="20" w:firstLine="142"/>
              <w:jc w:val="left"/>
              <w:rPr>
                <w:rFonts w:eastAsia="Arial Unicode MS" w:cs="Times New Roman"/>
                <w:b/>
                <w:bCs/>
                <w:lang w:eastAsia="cs-CZ"/>
              </w:rPr>
            </w:pPr>
            <w:r w:rsidRPr="0081403D">
              <w:rPr>
                <w:rFonts w:eastAsia="Times New Roman" w:cs="Times New Roman"/>
                <w:b/>
                <w:bCs/>
                <w:lang w:eastAsia="cs-CZ"/>
              </w:rPr>
              <w:t>Akcie určené k bezúplatnému převodu celkem</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477 606 127</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477 627 914</w:t>
            </w:r>
          </w:p>
        </w:tc>
        <w:tc>
          <w:tcPr>
            <w:tcW w:w="1820" w:type="dxa"/>
            <w:tcBorders>
              <w:top w:val="single" w:sz="12" w:space="0" w:color="auto"/>
              <w:left w:val="single" w:sz="12" w:space="0" w:color="auto"/>
              <w:bottom w:val="single" w:sz="12" w:space="0" w:color="auto"/>
              <w:right w:val="single" w:sz="12" w:space="0" w:color="auto"/>
            </w:tcBorders>
            <w:vAlign w:val="center"/>
          </w:tcPr>
          <w:p w:rsidR="0081403D" w:rsidRPr="0081403D" w:rsidRDefault="0081403D" w:rsidP="0081403D">
            <w:pPr>
              <w:spacing w:before="0"/>
              <w:ind w:right="150"/>
              <w:jc w:val="right"/>
              <w:rPr>
                <w:rFonts w:eastAsia="Arial Unicode MS" w:cs="Times New Roman"/>
                <w:b/>
                <w:bCs/>
                <w:lang w:eastAsia="cs-CZ"/>
              </w:rPr>
            </w:pPr>
            <w:r w:rsidRPr="0081403D">
              <w:rPr>
                <w:rFonts w:eastAsia="Arial Unicode MS" w:cs="Times New Roman"/>
                <w:b/>
                <w:bCs/>
                <w:lang w:eastAsia="cs-CZ"/>
              </w:rPr>
              <w:t>21 787</w:t>
            </w:r>
          </w:p>
        </w:tc>
      </w:tr>
      <w:tr w:rsidR="0081403D" w:rsidRPr="0081403D" w:rsidTr="009D6F19">
        <w:trPr>
          <w:cantSplit/>
          <w:trHeight w:val="345"/>
        </w:trPr>
        <w:tc>
          <w:tcPr>
            <w:tcW w:w="871" w:type="dxa"/>
            <w:vMerge w:val="restart"/>
            <w:tcBorders>
              <w:top w:val="single" w:sz="12" w:space="0" w:color="auto"/>
              <w:left w:val="single" w:sz="12" w:space="0" w:color="auto"/>
              <w:bottom w:val="single" w:sz="6" w:space="0" w:color="auto"/>
              <w:right w:val="single" w:sz="6" w:space="0" w:color="auto"/>
            </w:tcBorders>
            <w:noWrap/>
            <w:vAlign w:val="center"/>
          </w:tcPr>
          <w:p w:rsidR="0081403D" w:rsidRPr="0081403D" w:rsidRDefault="0081403D" w:rsidP="0081403D">
            <w:pPr>
              <w:spacing w:before="0"/>
              <w:ind w:left="20" w:firstLine="142"/>
              <w:jc w:val="left"/>
              <w:rPr>
                <w:rFonts w:eastAsia="Arial Unicode MS" w:cs="Times New Roman"/>
                <w:lang w:eastAsia="cs-CZ"/>
              </w:rPr>
            </w:pPr>
            <w:r w:rsidRPr="0081403D">
              <w:rPr>
                <w:rFonts w:eastAsia="Times New Roman" w:cs="Times New Roman"/>
                <w:lang w:eastAsia="cs-CZ"/>
              </w:rPr>
              <w:t>z toho:</w:t>
            </w:r>
          </w:p>
        </w:tc>
        <w:tc>
          <w:tcPr>
            <w:tcW w:w="4855" w:type="dxa"/>
            <w:tcBorders>
              <w:top w:val="single" w:sz="12" w:space="0" w:color="auto"/>
              <w:left w:val="single" w:sz="6" w:space="0" w:color="auto"/>
              <w:bottom w:val="single" w:sz="6" w:space="0" w:color="auto"/>
              <w:right w:val="single" w:sz="12" w:space="0" w:color="auto"/>
            </w:tcBorders>
            <w:vAlign w:val="center"/>
          </w:tcPr>
          <w:p w:rsidR="0081403D" w:rsidRPr="0081403D" w:rsidRDefault="0081403D" w:rsidP="0081403D">
            <w:pPr>
              <w:spacing w:before="0"/>
              <w:ind w:left="20" w:firstLine="142"/>
              <w:jc w:val="left"/>
              <w:rPr>
                <w:rFonts w:eastAsia="Arial Unicode MS" w:cs="Times New Roman"/>
                <w:lang w:eastAsia="cs-CZ"/>
              </w:rPr>
            </w:pPr>
            <w:r w:rsidRPr="0081403D">
              <w:rPr>
                <w:rFonts w:eastAsia="Times New Roman" w:cs="Times New Roman"/>
                <w:lang w:eastAsia="cs-CZ"/>
              </w:rPr>
              <w:t>Kupony</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341 873 387</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341 873 387</w:t>
            </w:r>
          </w:p>
        </w:tc>
        <w:tc>
          <w:tcPr>
            <w:tcW w:w="0" w:type="auto"/>
            <w:tcBorders>
              <w:top w:val="single" w:sz="12"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0</w:t>
            </w:r>
          </w:p>
        </w:tc>
      </w:tr>
      <w:tr w:rsidR="0081403D" w:rsidRPr="0081403D" w:rsidTr="009D6F19">
        <w:trPr>
          <w:cantSplit/>
          <w:trHeight w:val="345"/>
        </w:trPr>
        <w:tc>
          <w:tcPr>
            <w:tcW w:w="871" w:type="dxa"/>
            <w:vMerge/>
            <w:tcBorders>
              <w:top w:val="single" w:sz="6" w:space="0" w:color="auto"/>
              <w:left w:val="single" w:sz="12" w:space="0" w:color="auto"/>
              <w:bottom w:val="single" w:sz="6" w:space="0" w:color="auto"/>
              <w:right w:val="single" w:sz="6" w:space="0" w:color="auto"/>
            </w:tcBorders>
            <w:noWrap/>
            <w:vAlign w:val="center"/>
          </w:tcPr>
          <w:p w:rsidR="0081403D" w:rsidRPr="0081403D" w:rsidRDefault="0081403D" w:rsidP="0081403D">
            <w:pPr>
              <w:spacing w:before="0"/>
              <w:ind w:left="20" w:firstLine="142"/>
              <w:jc w:val="left"/>
              <w:rPr>
                <w:rFonts w:eastAsia="Arial Unicode MS" w:cs="Times New Roman"/>
                <w:lang w:eastAsia="cs-CZ"/>
              </w:rPr>
            </w:pPr>
          </w:p>
        </w:tc>
        <w:tc>
          <w:tcPr>
            <w:tcW w:w="4855" w:type="dxa"/>
            <w:tcBorders>
              <w:top w:val="single" w:sz="6" w:space="0" w:color="auto"/>
              <w:left w:val="single" w:sz="6" w:space="0" w:color="auto"/>
              <w:bottom w:val="single" w:sz="6" w:space="0" w:color="auto"/>
              <w:right w:val="single" w:sz="12" w:space="0" w:color="auto"/>
            </w:tcBorders>
            <w:vAlign w:val="center"/>
          </w:tcPr>
          <w:p w:rsidR="0081403D" w:rsidRPr="0081403D" w:rsidRDefault="0081403D" w:rsidP="0081403D">
            <w:pPr>
              <w:spacing w:before="0"/>
              <w:ind w:left="20" w:firstLine="142"/>
              <w:jc w:val="left"/>
              <w:rPr>
                <w:rFonts w:eastAsia="Arial Unicode MS" w:cs="Times New Roman"/>
                <w:lang w:eastAsia="cs-CZ"/>
              </w:rPr>
            </w:pPr>
            <w:r w:rsidRPr="0081403D">
              <w:rPr>
                <w:rFonts w:eastAsia="Times New Roman" w:cs="Times New Roman"/>
                <w:lang w:eastAsia="cs-CZ"/>
              </w:rPr>
              <w:t>Bezúplatný převod akcií</w:t>
            </w:r>
          </w:p>
        </w:tc>
        <w:tc>
          <w:tcPr>
            <w:tcW w:w="0" w:type="auto"/>
            <w:tcBorders>
              <w:top w:val="single" w:sz="6" w:space="0" w:color="auto"/>
              <w:left w:val="single" w:sz="12" w:space="0" w:color="auto"/>
              <w:bottom w:val="single" w:sz="6" w:space="0" w:color="auto"/>
              <w:right w:val="single" w:sz="12" w:space="0" w:color="auto"/>
            </w:tcBorders>
            <w:shd w:val="clear" w:color="auto" w:fill="auto"/>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58 580 188</w:t>
            </w:r>
          </w:p>
        </w:tc>
        <w:tc>
          <w:tcPr>
            <w:tcW w:w="0" w:type="auto"/>
            <w:tcBorders>
              <w:top w:val="single" w:sz="6" w:space="0" w:color="auto"/>
              <w:left w:val="single" w:sz="12" w:space="0" w:color="auto"/>
              <w:bottom w:val="single" w:sz="6" w:space="0" w:color="auto"/>
              <w:right w:val="single" w:sz="12" w:space="0" w:color="auto"/>
            </w:tcBorders>
            <w:shd w:val="clear" w:color="auto" w:fill="auto"/>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58 580 188</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0</w:t>
            </w:r>
          </w:p>
        </w:tc>
      </w:tr>
      <w:tr w:rsidR="0081403D" w:rsidRPr="0081403D" w:rsidTr="009D6F19">
        <w:trPr>
          <w:cantSplit/>
          <w:trHeight w:val="345"/>
        </w:trPr>
        <w:tc>
          <w:tcPr>
            <w:tcW w:w="871" w:type="dxa"/>
            <w:vMerge/>
            <w:tcBorders>
              <w:top w:val="single" w:sz="6" w:space="0" w:color="auto"/>
              <w:left w:val="single" w:sz="12" w:space="0" w:color="auto"/>
              <w:bottom w:val="single" w:sz="6" w:space="0" w:color="auto"/>
              <w:right w:val="single" w:sz="6" w:space="0" w:color="auto"/>
            </w:tcBorders>
            <w:noWrap/>
            <w:vAlign w:val="center"/>
          </w:tcPr>
          <w:p w:rsidR="0081403D" w:rsidRPr="0081403D" w:rsidRDefault="0081403D" w:rsidP="0081403D">
            <w:pPr>
              <w:spacing w:before="0"/>
              <w:ind w:left="20" w:firstLine="142"/>
              <w:jc w:val="left"/>
              <w:rPr>
                <w:rFonts w:eastAsia="Arial Unicode MS" w:cs="Times New Roman"/>
                <w:lang w:eastAsia="cs-CZ"/>
              </w:rPr>
            </w:pPr>
          </w:p>
        </w:tc>
        <w:tc>
          <w:tcPr>
            <w:tcW w:w="4855" w:type="dxa"/>
            <w:tcBorders>
              <w:top w:val="single" w:sz="6" w:space="0" w:color="auto"/>
              <w:left w:val="single" w:sz="6" w:space="0" w:color="auto"/>
              <w:bottom w:val="single" w:sz="6" w:space="0" w:color="auto"/>
              <w:right w:val="single" w:sz="12" w:space="0" w:color="auto"/>
            </w:tcBorders>
            <w:vAlign w:val="center"/>
          </w:tcPr>
          <w:p w:rsidR="0081403D" w:rsidRPr="0081403D" w:rsidRDefault="0081403D" w:rsidP="0081403D">
            <w:pPr>
              <w:spacing w:before="0"/>
              <w:ind w:left="20" w:firstLine="142"/>
              <w:jc w:val="left"/>
              <w:rPr>
                <w:rFonts w:eastAsia="Arial Unicode MS" w:cs="Times New Roman"/>
                <w:lang w:eastAsia="cs-CZ"/>
              </w:rPr>
            </w:pPr>
            <w:r w:rsidRPr="0081403D">
              <w:rPr>
                <w:rFonts w:eastAsia="Times New Roman" w:cs="Times New Roman"/>
                <w:lang w:eastAsia="cs-CZ"/>
              </w:rPr>
              <w:t>Akcie pro RIF</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19 828 102</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19 828 102</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0</w:t>
            </w:r>
          </w:p>
        </w:tc>
      </w:tr>
      <w:tr w:rsidR="0081403D" w:rsidRPr="0081403D" w:rsidTr="009D6F19">
        <w:trPr>
          <w:cantSplit/>
          <w:trHeight w:val="345"/>
        </w:trPr>
        <w:tc>
          <w:tcPr>
            <w:tcW w:w="871" w:type="dxa"/>
            <w:vMerge/>
            <w:tcBorders>
              <w:top w:val="single" w:sz="6" w:space="0" w:color="auto"/>
              <w:left w:val="single" w:sz="12" w:space="0" w:color="auto"/>
              <w:bottom w:val="single" w:sz="6" w:space="0" w:color="auto"/>
              <w:right w:val="single" w:sz="6" w:space="0" w:color="auto"/>
            </w:tcBorders>
            <w:noWrap/>
            <w:vAlign w:val="center"/>
          </w:tcPr>
          <w:p w:rsidR="0081403D" w:rsidRPr="0081403D" w:rsidRDefault="0081403D" w:rsidP="0081403D">
            <w:pPr>
              <w:spacing w:before="0"/>
              <w:ind w:left="20" w:firstLine="142"/>
              <w:jc w:val="left"/>
              <w:rPr>
                <w:rFonts w:eastAsia="Arial Unicode MS" w:cs="Times New Roman"/>
                <w:lang w:eastAsia="cs-CZ"/>
              </w:rPr>
            </w:pPr>
          </w:p>
        </w:tc>
        <w:tc>
          <w:tcPr>
            <w:tcW w:w="4855" w:type="dxa"/>
            <w:tcBorders>
              <w:top w:val="single" w:sz="6" w:space="0" w:color="auto"/>
              <w:left w:val="single" w:sz="6" w:space="0" w:color="auto"/>
              <w:bottom w:val="single" w:sz="6" w:space="0" w:color="auto"/>
              <w:right w:val="single" w:sz="12" w:space="0" w:color="auto"/>
            </w:tcBorders>
            <w:vAlign w:val="center"/>
          </w:tcPr>
          <w:p w:rsidR="0081403D" w:rsidRPr="0081403D" w:rsidRDefault="0081403D" w:rsidP="0081403D">
            <w:pPr>
              <w:spacing w:before="0"/>
              <w:ind w:left="20" w:firstLine="142"/>
              <w:jc w:val="left"/>
              <w:rPr>
                <w:rFonts w:eastAsia="Arial Unicode MS" w:cs="Times New Roman"/>
                <w:lang w:eastAsia="cs-CZ"/>
              </w:rPr>
            </w:pPr>
            <w:r w:rsidRPr="0081403D">
              <w:rPr>
                <w:rFonts w:eastAsia="Times New Roman" w:cs="Times New Roman"/>
                <w:lang w:eastAsia="cs-CZ"/>
              </w:rPr>
              <w:t>Restituce</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2 679 220</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2 701 007</w:t>
            </w:r>
          </w:p>
        </w:tc>
        <w:tc>
          <w:tcPr>
            <w:tcW w:w="0" w:type="auto"/>
            <w:tcBorders>
              <w:top w:val="single" w:sz="6" w:space="0" w:color="auto"/>
              <w:left w:val="single" w:sz="12" w:space="0" w:color="auto"/>
              <w:bottom w:val="single" w:sz="6"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21 787</w:t>
            </w:r>
          </w:p>
        </w:tc>
      </w:tr>
      <w:tr w:rsidR="0081403D" w:rsidRPr="0081403D" w:rsidTr="009D6F19">
        <w:trPr>
          <w:cantSplit/>
          <w:trHeight w:val="345"/>
        </w:trPr>
        <w:tc>
          <w:tcPr>
            <w:tcW w:w="871" w:type="dxa"/>
            <w:vMerge/>
            <w:tcBorders>
              <w:top w:val="single" w:sz="6" w:space="0" w:color="auto"/>
              <w:left w:val="single" w:sz="12" w:space="0" w:color="auto"/>
              <w:bottom w:val="single" w:sz="12" w:space="0" w:color="auto"/>
              <w:right w:val="single" w:sz="6" w:space="0" w:color="auto"/>
            </w:tcBorders>
            <w:noWrap/>
            <w:vAlign w:val="center"/>
          </w:tcPr>
          <w:p w:rsidR="0081403D" w:rsidRPr="0081403D" w:rsidRDefault="0081403D" w:rsidP="0081403D">
            <w:pPr>
              <w:spacing w:before="0"/>
              <w:ind w:left="20" w:firstLine="142"/>
              <w:jc w:val="left"/>
              <w:rPr>
                <w:rFonts w:eastAsia="Arial Unicode MS" w:cs="Times New Roman"/>
                <w:lang w:eastAsia="cs-CZ"/>
              </w:rPr>
            </w:pPr>
          </w:p>
        </w:tc>
        <w:tc>
          <w:tcPr>
            <w:tcW w:w="0" w:type="auto"/>
            <w:tcBorders>
              <w:top w:val="single" w:sz="6" w:space="0" w:color="auto"/>
              <w:left w:val="single" w:sz="6" w:space="0" w:color="auto"/>
              <w:bottom w:val="single" w:sz="12" w:space="0" w:color="auto"/>
              <w:right w:val="single" w:sz="12" w:space="0" w:color="auto"/>
            </w:tcBorders>
            <w:noWrap/>
            <w:vAlign w:val="center"/>
          </w:tcPr>
          <w:p w:rsidR="0081403D" w:rsidRPr="0081403D" w:rsidRDefault="0081403D" w:rsidP="0081403D">
            <w:pPr>
              <w:spacing w:before="0"/>
              <w:ind w:left="20" w:firstLine="142"/>
              <w:jc w:val="left"/>
              <w:rPr>
                <w:rFonts w:eastAsia="Arial Unicode MS" w:cs="Times New Roman"/>
                <w:lang w:eastAsia="cs-CZ"/>
              </w:rPr>
            </w:pPr>
            <w:r w:rsidRPr="0081403D">
              <w:rPr>
                <w:rFonts w:eastAsia="Times New Roman" w:cs="Times New Roman"/>
                <w:lang w:eastAsia="cs-CZ"/>
              </w:rPr>
              <w:t>Převod na NIF a. s., realiz. veřejnou nabídkou</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2 451 195</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2 453 026</w:t>
            </w:r>
          </w:p>
        </w:tc>
        <w:tc>
          <w:tcPr>
            <w:tcW w:w="0" w:type="auto"/>
            <w:tcBorders>
              <w:top w:val="single" w:sz="6" w:space="0" w:color="auto"/>
              <w:left w:val="single" w:sz="12" w:space="0" w:color="auto"/>
              <w:bottom w:val="single" w:sz="12" w:space="0" w:color="auto"/>
              <w:right w:val="single" w:sz="12" w:space="0" w:color="auto"/>
            </w:tcBorders>
            <w:noWrap/>
            <w:vAlign w:val="center"/>
          </w:tcPr>
          <w:p w:rsidR="0081403D" w:rsidRPr="0081403D" w:rsidRDefault="0081403D" w:rsidP="0081403D">
            <w:pPr>
              <w:spacing w:before="0"/>
              <w:ind w:right="150"/>
              <w:jc w:val="right"/>
              <w:rPr>
                <w:rFonts w:eastAsia="Arial Unicode MS" w:cs="Times New Roman"/>
                <w:lang w:eastAsia="cs-CZ"/>
              </w:rPr>
            </w:pPr>
            <w:r w:rsidRPr="0081403D">
              <w:rPr>
                <w:rFonts w:eastAsia="Arial Unicode MS" w:cs="Times New Roman"/>
                <w:lang w:eastAsia="cs-CZ"/>
              </w:rPr>
              <w:t>0</w:t>
            </w:r>
          </w:p>
        </w:tc>
      </w:tr>
    </w:tbl>
    <w:p w:rsidR="0081403D" w:rsidRPr="00F322FE" w:rsidRDefault="0081403D" w:rsidP="0081403D"/>
    <w:p w:rsidR="0081403D" w:rsidRDefault="0081403D" w:rsidP="0081403D"/>
    <w:p w:rsidR="0081403D" w:rsidRDefault="0081403D" w:rsidP="0081403D"/>
    <w:p w:rsidR="0081403D" w:rsidRDefault="0081403D" w:rsidP="0081403D"/>
    <w:p w:rsidR="0081403D" w:rsidRPr="0081403D" w:rsidRDefault="0081403D" w:rsidP="0081403D"/>
    <w:p w:rsidR="00BD1E4E" w:rsidRPr="00393001" w:rsidRDefault="00BD1E4E" w:rsidP="00FD6B3B">
      <w:pPr>
        <w:pStyle w:val="Tabgraf"/>
      </w:pPr>
    </w:p>
    <w:p w:rsidR="00BD1E4E" w:rsidRDefault="00BD1E4E" w:rsidP="00FD6B3B">
      <w:pPr>
        <w:pStyle w:val="Tabgraf"/>
      </w:pPr>
    </w:p>
    <w:p w:rsidR="00BD1E4E" w:rsidRPr="006F2953" w:rsidRDefault="00BD1E4E" w:rsidP="00BD1E4E"/>
    <w:p w:rsidR="00BD1E4E" w:rsidRPr="00EE21C8" w:rsidRDefault="00BD1E4E" w:rsidP="00BD1E4E">
      <w:pPr>
        <w:pStyle w:val="Titulek"/>
        <w:sectPr w:rsidR="00BD1E4E" w:rsidRPr="00EE21C8" w:rsidSect="0079758A">
          <w:pgSz w:w="16838" w:h="11906" w:orient="landscape"/>
          <w:pgMar w:top="1134" w:right="1134" w:bottom="1134" w:left="1134" w:header="709" w:footer="709" w:gutter="0"/>
          <w:cols w:space="708"/>
          <w:docGrid w:linePitch="360"/>
        </w:sectPr>
      </w:pPr>
    </w:p>
    <w:p w:rsidR="00BD1E4E" w:rsidRPr="00EE21C8" w:rsidRDefault="00BD1E4E" w:rsidP="00FD6B3B">
      <w:pPr>
        <w:pStyle w:val="Bezmezer"/>
      </w:pPr>
      <w:bookmarkStart w:id="27" w:name="_Toc34922958"/>
      <w:bookmarkStart w:id="28" w:name="_Toc65836219"/>
      <w:r w:rsidRPr="00EE21C8">
        <w:lastRenderedPageBreak/>
        <w:t>Informace o stavu a použití peněžních prostředků vedených na zvláštních účte</w:t>
      </w:r>
      <w:r w:rsidR="008C3D41">
        <w:t>ch (velká a malá privatizace) k </w:t>
      </w:r>
      <w:r w:rsidRPr="00EE21C8">
        <w:t>31.</w:t>
      </w:r>
      <w:r w:rsidR="008C3D41">
        <w:t> </w:t>
      </w:r>
      <w:r w:rsidRPr="00EE21C8">
        <w:t>12.</w:t>
      </w:r>
      <w:r w:rsidR="008C3D41">
        <w:t> </w:t>
      </w:r>
      <w:r w:rsidRPr="00EE21C8">
        <w:t>20</w:t>
      </w:r>
      <w:bookmarkEnd w:id="27"/>
      <w:r w:rsidR="00EF09BC">
        <w:t>20</w:t>
      </w:r>
      <w:bookmarkEnd w:id="28"/>
    </w:p>
    <w:p w:rsidR="00BD1E4E" w:rsidRPr="008E6DE6" w:rsidRDefault="00BD1E4E" w:rsidP="00FD6B3B">
      <w:pPr>
        <w:pStyle w:val="Nadpis1"/>
        <w:numPr>
          <w:ilvl w:val="0"/>
          <w:numId w:val="12"/>
        </w:numPr>
      </w:pPr>
      <w:bookmarkStart w:id="29" w:name="_Toc34922959"/>
      <w:bookmarkStart w:id="30" w:name="_Toc65836220"/>
      <w:r w:rsidRPr="008E6DE6">
        <w:t>Velká privatizace</w:t>
      </w:r>
      <w:bookmarkEnd w:id="29"/>
      <w:bookmarkEnd w:id="30"/>
    </w:p>
    <w:p w:rsidR="00BD1E4E" w:rsidRDefault="00BD1E4E" w:rsidP="00FD6B3B">
      <w:pPr>
        <w:pStyle w:val="Nzev"/>
      </w:pPr>
      <w:bookmarkStart w:id="31" w:name="_Toc65836228"/>
      <w:r w:rsidRPr="00307CAA">
        <w:t xml:space="preserve">Tabulka č. </w:t>
      </w:r>
      <w:r w:rsidR="00E13D9D">
        <w:fldChar w:fldCharType="begin"/>
      </w:r>
      <w:r w:rsidR="00E13D9D">
        <w:instrText xml:space="preserve"> SEQ Tabulka_č. \* ARABIC </w:instrText>
      </w:r>
      <w:r w:rsidR="00E13D9D">
        <w:fldChar w:fldCharType="separate"/>
      </w:r>
      <w:r w:rsidR="008A4BFD">
        <w:rPr>
          <w:noProof/>
        </w:rPr>
        <w:t>6</w:t>
      </w:r>
      <w:r w:rsidR="00E13D9D">
        <w:rPr>
          <w:noProof/>
        </w:rPr>
        <w:fldChar w:fldCharType="end"/>
      </w:r>
      <w:r w:rsidRPr="00307CAA">
        <w:t>: Přehled peněžních příjmů a výdajů zvlá</w:t>
      </w:r>
      <w:r w:rsidR="008C3D41">
        <w:t>štního účtu velké privatizace k </w:t>
      </w:r>
      <w:r w:rsidRPr="00307CAA">
        <w:t>31.</w:t>
      </w:r>
      <w:r w:rsidR="008C3D41">
        <w:t> </w:t>
      </w:r>
      <w:r w:rsidRPr="00307CAA">
        <w:t>12.</w:t>
      </w:r>
      <w:r w:rsidR="008C3D41">
        <w:t> </w:t>
      </w:r>
      <w:r w:rsidR="00034EC9">
        <w:t>2020</w:t>
      </w:r>
      <w:r w:rsidRPr="00307CAA">
        <w:t xml:space="preserve"> (tis. Kč)</w:t>
      </w:r>
      <w:bookmarkEnd w:id="31"/>
    </w:p>
    <w:tbl>
      <w:tblPr>
        <w:tblW w:w="9498" w:type="dxa"/>
        <w:tblInd w:w="-10" w:type="dxa"/>
        <w:tblCellMar>
          <w:left w:w="70" w:type="dxa"/>
          <w:right w:w="70" w:type="dxa"/>
        </w:tblCellMar>
        <w:tblLook w:val="04A0" w:firstRow="1" w:lastRow="0" w:firstColumn="1" w:lastColumn="0" w:noHBand="0" w:noVBand="1"/>
      </w:tblPr>
      <w:tblGrid>
        <w:gridCol w:w="3560"/>
        <w:gridCol w:w="1880"/>
        <w:gridCol w:w="1980"/>
        <w:gridCol w:w="2078"/>
      </w:tblGrid>
      <w:tr w:rsidR="00717CC4" w:rsidRPr="00717CC4" w:rsidTr="00717CC4">
        <w:trPr>
          <w:trHeight w:val="310"/>
        </w:trPr>
        <w:tc>
          <w:tcPr>
            <w:tcW w:w="35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17CC4" w:rsidRPr="00717CC4" w:rsidRDefault="00717CC4" w:rsidP="00717CC4">
            <w:pPr>
              <w:spacing w:before="0"/>
              <w:jc w:val="lef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Položka</w:t>
            </w:r>
          </w:p>
        </w:tc>
        <w:tc>
          <w:tcPr>
            <w:tcW w:w="188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717CC4" w:rsidRPr="00717CC4" w:rsidRDefault="00717CC4" w:rsidP="006C02EC">
            <w:pPr>
              <w:spacing w:before="0"/>
              <w:jc w:val="center"/>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1991 - 2019</w:t>
            </w:r>
          </w:p>
        </w:tc>
        <w:tc>
          <w:tcPr>
            <w:tcW w:w="1980" w:type="dxa"/>
            <w:tcBorders>
              <w:top w:val="single" w:sz="12" w:space="0" w:color="auto"/>
              <w:left w:val="nil"/>
              <w:bottom w:val="single" w:sz="12" w:space="0" w:color="auto"/>
              <w:right w:val="single" w:sz="4" w:space="0" w:color="auto"/>
            </w:tcBorders>
            <w:shd w:val="clear" w:color="auto" w:fill="auto"/>
            <w:noWrap/>
            <w:vAlign w:val="bottom"/>
            <w:hideMark/>
          </w:tcPr>
          <w:p w:rsidR="00717CC4" w:rsidRPr="00717CC4" w:rsidRDefault="00717CC4" w:rsidP="006C02EC">
            <w:pPr>
              <w:spacing w:before="0"/>
              <w:jc w:val="center"/>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Rok 2020</w:t>
            </w:r>
          </w:p>
        </w:tc>
        <w:tc>
          <w:tcPr>
            <w:tcW w:w="2078" w:type="dxa"/>
            <w:tcBorders>
              <w:top w:val="single" w:sz="12" w:space="0" w:color="auto"/>
              <w:left w:val="nil"/>
              <w:bottom w:val="single" w:sz="12" w:space="0" w:color="auto"/>
              <w:right w:val="single" w:sz="12" w:space="0" w:color="auto"/>
            </w:tcBorders>
            <w:shd w:val="clear" w:color="auto" w:fill="auto"/>
            <w:noWrap/>
            <w:vAlign w:val="bottom"/>
            <w:hideMark/>
          </w:tcPr>
          <w:p w:rsidR="00717CC4" w:rsidRPr="00717CC4" w:rsidRDefault="00717CC4" w:rsidP="00717CC4">
            <w:pPr>
              <w:spacing w:before="0"/>
              <w:jc w:val="lef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Celkem od roku 1991</w:t>
            </w:r>
          </w:p>
        </w:tc>
      </w:tr>
      <w:tr w:rsidR="00717CC4" w:rsidRPr="00717CC4" w:rsidTr="00717CC4">
        <w:trPr>
          <w:trHeight w:val="290"/>
        </w:trPr>
        <w:tc>
          <w:tcPr>
            <w:tcW w:w="3560"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717CC4" w:rsidRPr="00717CC4" w:rsidRDefault="00717CC4" w:rsidP="00717CC4">
            <w:pPr>
              <w:spacing w:before="0"/>
              <w:jc w:val="lef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Příjem z prodeje majetku a akcií</w:t>
            </w:r>
          </w:p>
        </w:tc>
        <w:tc>
          <w:tcPr>
            <w:tcW w:w="188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573 737 980</w:t>
            </w:r>
          </w:p>
        </w:tc>
        <w:tc>
          <w:tcPr>
            <w:tcW w:w="1980" w:type="dxa"/>
            <w:tcBorders>
              <w:top w:val="single" w:sz="12" w:space="0" w:color="auto"/>
              <w:left w:val="nil"/>
              <w:bottom w:val="single" w:sz="4" w:space="0" w:color="auto"/>
              <w:right w:val="single" w:sz="4"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1 750 527</w:t>
            </w:r>
          </w:p>
        </w:tc>
        <w:tc>
          <w:tcPr>
            <w:tcW w:w="2078" w:type="dxa"/>
            <w:tcBorders>
              <w:top w:val="single" w:sz="12" w:space="0" w:color="auto"/>
              <w:left w:val="nil"/>
              <w:bottom w:val="single" w:sz="4" w:space="0" w:color="auto"/>
              <w:right w:val="single" w:sz="12"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575 488 507</w:t>
            </w:r>
          </w:p>
        </w:tc>
      </w:tr>
      <w:tr w:rsidR="00717CC4" w:rsidRPr="00717CC4" w:rsidTr="00717CC4">
        <w:trPr>
          <w:trHeight w:val="290"/>
        </w:trPr>
        <w:tc>
          <w:tcPr>
            <w:tcW w:w="3560" w:type="dxa"/>
            <w:tcBorders>
              <w:top w:val="nil"/>
              <w:left w:val="single" w:sz="12" w:space="0" w:color="auto"/>
              <w:bottom w:val="single" w:sz="4" w:space="0" w:color="auto"/>
              <w:right w:val="single" w:sz="12" w:space="0" w:color="auto"/>
            </w:tcBorders>
            <w:shd w:val="clear" w:color="auto" w:fill="auto"/>
            <w:noWrap/>
            <w:vAlign w:val="bottom"/>
            <w:hideMark/>
          </w:tcPr>
          <w:p w:rsidR="00717CC4" w:rsidRPr="00717CC4" w:rsidRDefault="00717CC4" w:rsidP="00717CC4">
            <w:pPr>
              <w:spacing w:before="0"/>
              <w:jc w:val="lef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Příjem z úvěru</w:t>
            </w:r>
          </w:p>
        </w:tc>
        <w:tc>
          <w:tcPr>
            <w:tcW w:w="1880" w:type="dxa"/>
            <w:tcBorders>
              <w:top w:val="nil"/>
              <w:left w:val="single" w:sz="12"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36 410 267</w:t>
            </w:r>
          </w:p>
        </w:tc>
        <w:tc>
          <w:tcPr>
            <w:tcW w:w="1980" w:type="dxa"/>
            <w:tcBorders>
              <w:top w:val="nil"/>
              <w:left w:val="nil"/>
              <w:bottom w:val="single" w:sz="4" w:space="0" w:color="auto"/>
              <w:right w:val="single" w:sz="4"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2078" w:type="dxa"/>
            <w:tcBorders>
              <w:top w:val="nil"/>
              <w:left w:val="nil"/>
              <w:bottom w:val="single" w:sz="4" w:space="0" w:color="auto"/>
              <w:right w:val="single" w:sz="12"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36 410 267</w:t>
            </w:r>
          </w:p>
        </w:tc>
      </w:tr>
      <w:tr w:rsidR="00717CC4" w:rsidRPr="00717CC4" w:rsidTr="00717CC4">
        <w:trPr>
          <w:trHeight w:val="300"/>
        </w:trPr>
        <w:tc>
          <w:tcPr>
            <w:tcW w:w="3560" w:type="dxa"/>
            <w:tcBorders>
              <w:top w:val="nil"/>
              <w:left w:val="single" w:sz="12" w:space="0" w:color="auto"/>
              <w:bottom w:val="single" w:sz="12" w:space="0" w:color="auto"/>
              <w:right w:val="single" w:sz="12" w:space="0" w:color="auto"/>
            </w:tcBorders>
            <w:shd w:val="clear" w:color="auto" w:fill="auto"/>
            <w:noWrap/>
            <w:vAlign w:val="bottom"/>
            <w:hideMark/>
          </w:tcPr>
          <w:p w:rsidR="00717CC4" w:rsidRPr="00717CC4" w:rsidRDefault="00717CC4" w:rsidP="00717CC4">
            <w:pPr>
              <w:spacing w:before="0"/>
              <w:jc w:val="lef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Ostatní příjmy</w:t>
            </w:r>
          </w:p>
        </w:tc>
        <w:tc>
          <w:tcPr>
            <w:tcW w:w="1880" w:type="dxa"/>
            <w:tcBorders>
              <w:top w:val="nil"/>
              <w:left w:val="single" w:sz="12" w:space="0" w:color="auto"/>
              <w:bottom w:val="single" w:sz="12"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257 435 031</w:t>
            </w:r>
          </w:p>
        </w:tc>
        <w:tc>
          <w:tcPr>
            <w:tcW w:w="1980" w:type="dxa"/>
            <w:tcBorders>
              <w:top w:val="nil"/>
              <w:left w:val="nil"/>
              <w:bottom w:val="single" w:sz="12" w:space="0" w:color="auto"/>
              <w:right w:val="single" w:sz="4"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15 184 650</w:t>
            </w:r>
          </w:p>
        </w:tc>
        <w:tc>
          <w:tcPr>
            <w:tcW w:w="2078" w:type="dxa"/>
            <w:tcBorders>
              <w:top w:val="nil"/>
              <w:left w:val="nil"/>
              <w:bottom w:val="single" w:sz="12" w:space="0" w:color="auto"/>
              <w:right w:val="single" w:sz="12"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272 619 681</w:t>
            </w:r>
          </w:p>
        </w:tc>
      </w:tr>
      <w:tr w:rsidR="00717CC4" w:rsidRPr="00717CC4" w:rsidTr="00717CC4">
        <w:trPr>
          <w:trHeight w:val="300"/>
        </w:trPr>
        <w:tc>
          <w:tcPr>
            <w:tcW w:w="35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17CC4" w:rsidRPr="00717CC4" w:rsidRDefault="00717CC4" w:rsidP="00717CC4">
            <w:pPr>
              <w:spacing w:before="0"/>
              <w:jc w:val="lef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Příjem celkem</w:t>
            </w:r>
          </w:p>
        </w:tc>
        <w:tc>
          <w:tcPr>
            <w:tcW w:w="188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867 583 278</w:t>
            </w:r>
          </w:p>
        </w:tc>
        <w:tc>
          <w:tcPr>
            <w:tcW w:w="1980" w:type="dxa"/>
            <w:tcBorders>
              <w:top w:val="single" w:sz="12" w:space="0" w:color="auto"/>
              <w:left w:val="nil"/>
              <w:bottom w:val="single" w:sz="12" w:space="0" w:color="auto"/>
              <w:right w:val="single" w:sz="4"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16 935 177</w:t>
            </w:r>
          </w:p>
        </w:tc>
        <w:tc>
          <w:tcPr>
            <w:tcW w:w="2078" w:type="dxa"/>
            <w:tcBorders>
              <w:top w:val="single" w:sz="12" w:space="0" w:color="auto"/>
              <w:left w:val="nil"/>
              <w:bottom w:val="single" w:sz="12" w:space="0" w:color="auto"/>
              <w:right w:val="single" w:sz="12"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884 518 455</w:t>
            </w:r>
          </w:p>
        </w:tc>
      </w:tr>
      <w:tr w:rsidR="00717CC4" w:rsidRPr="00717CC4" w:rsidTr="00717CC4">
        <w:trPr>
          <w:trHeight w:val="300"/>
        </w:trPr>
        <w:tc>
          <w:tcPr>
            <w:tcW w:w="35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17CC4" w:rsidRPr="00717CC4" w:rsidRDefault="00717CC4" w:rsidP="00717CC4">
            <w:pPr>
              <w:spacing w:before="0"/>
              <w:jc w:val="lef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Výdaje celkem</w:t>
            </w:r>
          </w:p>
        </w:tc>
        <w:tc>
          <w:tcPr>
            <w:tcW w:w="188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848 218 234</w:t>
            </w:r>
          </w:p>
        </w:tc>
        <w:tc>
          <w:tcPr>
            <w:tcW w:w="1980" w:type="dxa"/>
            <w:tcBorders>
              <w:top w:val="single" w:sz="12" w:space="0" w:color="auto"/>
              <w:left w:val="nil"/>
              <w:bottom w:val="single" w:sz="12" w:space="0" w:color="auto"/>
              <w:right w:val="single" w:sz="4"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19 588 607</w:t>
            </w:r>
          </w:p>
        </w:tc>
        <w:tc>
          <w:tcPr>
            <w:tcW w:w="2078" w:type="dxa"/>
            <w:tcBorders>
              <w:top w:val="single" w:sz="12" w:space="0" w:color="auto"/>
              <w:left w:val="nil"/>
              <w:bottom w:val="single" w:sz="12" w:space="0" w:color="auto"/>
              <w:right w:val="single" w:sz="12"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867 806 841</w:t>
            </w:r>
          </w:p>
        </w:tc>
      </w:tr>
      <w:tr w:rsidR="00717CC4" w:rsidRPr="00717CC4" w:rsidTr="00717CC4">
        <w:trPr>
          <w:trHeight w:val="310"/>
        </w:trPr>
        <w:tc>
          <w:tcPr>
            <w:tcW w:w="35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17CC4" w:rsidRPr="00717CC4" w:rsidRDefault="00717CC4" w:rsidP="00717CC4">
            <w:pPr>
              <w:spacing w:before="0"/>
              <w:jc w:val="left"/>
              <w:rPr>
                <w:rFonts w:ascii="Calibri" w:eastAsia="Times New Roman" w:hAnsi="Calibri" w:cs="Calibri"/>
                <w:b/>
                <w:bCs/>
                <w:color w:val="000000"/>
                <w:lang w:eastAsia="cs-CZ"/>
              </w:rPr>
            </w:pPr>
            <w:r w:rsidRPr="00717CC4">
              <w:rPr>
                <w:rFonts w:ascii="Calibri" w:eastAsia="Times New Roman" w:hAnsi="Calibri" w:cs="Calibri"/>
                <w:b/>
                <w:bCs/>
                <w:color w:val="000000"/>
                <w:lang w:eastAsia="cs-CZ"/>
              </w:rPr>
              <w:t>Konečný zůstatek</w:t>
            </w:r>
          </w:p>
        </w:tc>
        <w:tc>
          <w:tcPr>
            <w:tcW w:w="188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19 365 044</w:t>
            </w:r>
          </w:p>
        </w:tc>
        <w:tc>
          <w:tcPr>
            <w:tcW w:w="1980" w:type="dxa"/>
            <w:tcBorders>
              <w:top w:val="single" w:sz="12" w:space="0" w:color="auto"/>
              <w:left w:val="nil"/>
              <w:bottom w:val="single" w:sz="12" w:space="0" w:color="auto"/>
              <w:right w:val="single" w:sz="4"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-2 653 430</w:t>
            </w:r>
          </w:p>
        </w:tc>
        <w:tc>
          <w:tcPr>
            <w:tcW w:w="2078" w:type="dxa"/>
            <w:tcBorders>
              <w:top w:val="single" w:sz="12" w:space="0" w:color="auto"/>
              <w:left w:val="nil"/>
              <w:bottom w:val="single" w:sz="12" w:space="0" w:color="auto"/>
              <w:right w:val="single" w:sz="12" w:space="0" w:color="auto"/>
            </w:tcBorders>
            <w:shd w:val="clear" w:color="auto" w:fill="auto"/>
            <w:noWrap/>
            <w:vAlign w:val="bottom"/>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16 711 614</w:t>
            </w:r>
          </w:p>
        </w:tc>
      </w:tr>
    </w:tbl>
    <w:p w:rsidR="00BD1E4E" w:rsidRDefault="00BD1E4E" w:rsidP="00BD1E4E">
      <w:r w:rsidRPr="00EB4523">
        <w:t>Stav peněžních prostředků na bankovní</w:t>
      </w:r>
      <w:r w:rsidR="008C3D41">
        <w:t>ch účtech z velké privatizace k </w:t>
      </w:r>
      <w:r w:rsidRPr="00EB4523">
        <w:t>1.</w:t>
      </w:r>
      <w:r w:rsidR="008C3D41">
        <w:t> </w:t>
      </w:r>
      <w:r w:rsidRPr="00EB4523">
        <w:t>1.</w:t>
      </w:r>
      <w:r w:rsidR="008C3D41">
        <w:t> </w:t>
      </w:r>
      <w:r w:rsidR="002B0739">
        <w:t>2020</w:t>
      </w:r>
      <w:r w:rsidR="000A6461">
        <w:t xml:space="preserve"> dosahoval výše </w:t>
      </w:r>
      <w:r w:rsidR="008C3D41">
        <w:t>19 </w:t>
      </w:r>
      <w:r w:rsidR="002B0739" w:rsidRPr="002B0739">
        <w:t>365</w:t>
      </w:r>
      <w:r w:rsidR="008C3D41">
        <w:t> </w:t>
      </w:r>
      <w:r w:rsidR="002B0739" w:rsidRPr="002B0739">
        <w:t>044</w:t>
      </w:r>
      <w:r w:rsidR="008C3D41">
        <w:t> </w:t>
      </w:r>
      <w:r w:rsidRPr="00EB4523">
        <w:t>t</w:t>
      </w:r>
      <w:r w:rsidR="008C3D41">
        <w:t>is. </w:t>
      </w:r>
      <w:r w:rsidR="00AD1F82">
        <w:t>Kč, celkové příjmy roku 2020</w:t>
      </w:r>
      <w:r w:rsidRPr="00EB4523">
        <w:t xml:space="preserve"> činily </w:t>
      </w:r>
      <w:r w:rsidR="008C3D41">
        <w:t>16 935 </w:t>
      </w:r>
      <w:r w:rsidR="002B0739" w:rsidRPr="002B0739">
        <w:t>177</w:t>
      </w:r>
      <w:r w:rsidR="008C3D41">
        <w:t> tis. </w:t>
      </w:r>
      <w:r w:rsidRPr="00EB4523">
        <w:t xml:space="preserve">Kč a celkové výdaje byly </w:t>
      </w:r>
      <w:r w:rsidR="008C3D41">
        <w:t>19 </w:t>
      </w:r>
      <w:r w:rsidR="002B0739" w:rsidRPr="002B0739">
        <w:t>588</w:t>
      </w:r>
      <w:r w:rsidR="008C3D41">
        <w:t> </w:t>
      </w:r>
      <w:r w:rsidR="002B0739" w:rsidRPr="002B0739">
        <w:t>607</w:t>
      </w:r>
      <w:r w:rsidR="008C3D41">
        <w:t> tis. </w:t>
      </w:r>
      <w:r w:rsidRPr="00EB4523">
        <w:t>Kč. Celk</w:t>
      </w:r>
      <w:r w:rsidR="008C3D41">
        <w:t>ové výdaje převyšovaly příjmy o 2 </w:t>
      </w:r>
      <w:r w:rsidR="002B0739" w:rsidRPr="002B0739">
        <w:t>653</w:t>
      </w:r>
      <w:r w:rsidR="008C3D41">
        <w:t> </w:t>
      </w:r>
      <w:r w:rsidR="002B0739" w:rsidRPr="002B0739">
        <w:t>430</w:t>
      </w:r>
      <w:r w:rsidR="008C3D41">
        <w:t> tis. </w:t>
      </w:r>
      <w:r w:rsidRPr="00EB4523">
        <w:t xml:space="preserve">Kč. </w:t>
      </w:r>
      <w:r w:rsidR="00034EC9">
        <w:t xml:space="preserve">Pokles prostředků není </w:t>
      </w:r>
      <w:r w:rsidR="00AD1F82">
        <w:t>nijak výrazný a na konci roku</w:t>
      </w:r>
      <w:r w:rsidR="00034EC9">
        <w:t xml:space="preserve"> na zvláštních účtech privatizace je pro úhradu závazků stále vysoká peněžní zásoba.</w:t>
      </w:r>
    </w:p>
    <w:p w:rsidR="002B0739" w:rsidRDefault="00BD1E4E" w:rsidP="002B0739">
      <w:pPr>
        <w:pStyle w:val="Nzev"/>
      </w:pPr>
      <w:bookmarkStart w:id="32" w:name="_Ref444520061"/>
      <w:bookmarkStart w:id="33" w:name="_Toc65836229"/>
      <w:r w:rsidRPr="00307CAA">
        <w:t xml:space="preserve">Tabulka č. </w:t>
      </w:r>
      <w:r w:rsidR="00E13D9D">
        <w:fldChar w:fldCharType="begin"/>
      </w:r>
      <w:r w:rsidR="00E13D9D">
        <w:instrText xml:space="preserve"> SEQ Tabulka_č. \* ARABIC </w:instrText>
      </w:r>
      <w:r w:rsidR="00E13D9D">
        <w:fldChar w:fldCharType="separate"/>
      </w:r>
      <w:r w:rsidR="008A4BFD">
        <w:rPr>
          <w:noProof/>
        </w:rPr>
        <w:t>7</w:t>
      </w:r>
      <w:r w:rsidR="00E13D9D">
        <w:rPr>
          <w:noProof/>
        </w:rPr>
        <w:fldChar w:fldCharType="end"/>
      </w:r>
      <w:r w:rsidRPr="00307CAA">
        <w:t>: Rozpis konečného zůstatku peněžních prostředků k 31.</w:t>
      </w:r>
      <w:r w:rsidR="000A6461">
        <w:t xml:space="preserve"> </w:t>
      </w:r>
      <w:r w:rsidRPr="00307CAA">
        <w:t>12.</w:t>
      </w:r>
      <w:r w:rsidR="000A6461">
        <w:t xml:space="preserve"> </w:t>
      </w:r>
      <w:r w:rsidR="00D65396">
        <w:t>2020</w:t>
      </w:r>
      <w:r w:rsidRPr="00307CAA">
        <w:t xml:space="preserve"> (tis. Kč</w:t>
      </w:r>
      <w:bookmarkEnd w:id="32"/>
      <w:r w:rsidR="009C4A50">
        <w:t>)</w:t>
      </w:r>
      <w:bookmarkEnd w:id="33"/>
    </w:p>
    <w:tbl>
      <w:tblPr>
        <w:tblW w:w="9426" w:type="dxa"/>
        <w:tblCellMar>
          <w:left w:w="70" w:type="dxa"/>
          <w:right w:w="70" w:type="dxa"/>
        </w:tblCellMar>
        <w:tblLook w:val="04A0" w:firstRow="1" w:lastRow="0" w:firstColumn="1" w:lastColumn="0" w:noHBand="0" w:noVBand="1"/>
      </w:tblPr>
      <w:tblGrid>
        <w:gridCol w:w="4748"/>
        <w:gridCol w:w="709"/>
        <w:gridCol w:w="2126"/>
        <w:gridCol w:w="1843"/>
      </w:tblGrid>
      <w:tr w:rsidR="00034EC9" w:rsidRPr="002B0739" w:rsidTr="00034EC9">
        <w:trPr>
          <w:trHeight w:val="310"/>
        </w:trPr>
        <w:tc>
          <w:tcPr>
            <w:tcW w:w="4748" w:type="dxa"/>
            <w:tcBorders>
              <w:top w:val="single" w:sz="12" w:space="0" w:color="auto"/>
              <w:left w:val="single" w:sz="12" w:space="0" w:color="auto"/>
              <w:bottom w:val="single" w:sz="12" w:space="0" w:color="auto"/>
              <w:right w:val="single" w:sz="4" w:space="0" w:color="auto"/>
            </w:tcBorders>
            <w:shd w:val="clear" w:color="000000" w:fill="FFFFFF"/>
            <w:noWrap/>
            <w:vAlign w:val="bottom"/>
            <w:hideMark/>
          </w:tcPr>
          <w:p w:rsidR="00034EC9" w:rsidRPr="002B0739" w:rsidRDefault="00034EC9" w:rsidP="00034EC9">
            <w:pPr>
              <w:spacing w:before="0"/>
              <w:jc w:val="center"/>
              <w:rPr>
                <w:rFonts w:ascii="Calibri" w:eastAsia="Times New Roman" w:hAnsi="Calibri" w:cs="Times New Roman"/>
                <w:b/>
                <w:bCs/>
                <w:sz w:val="21"/>
                <w:szCs w:val="21"/>
                <w:lang w:eastAsia="cs-CZ"/>
              </w:rPr>
            </w:pPr>
            <w:r w:rsidRPr="002B0739">
              <w:rPr>
                <w:rFonts w:ascii="Calibri" w:eastAsia="Times New Roman" w:hAnsi="Calibri" w:cs="Times New Roman"/>
                <w:b/>
                <w:bCs/>
                <w:sz w:val="21"/>
                <w:szCs w:val="21"/>
                <w:lang w:eastAsia="cs-CZ"/>
              </w:rPr>
              <w:t>Účet</w:t>
            </w:r>
          </w:p>
        </w:tc>
        <w:tc>
          <w:tcPr>
            <w:tcW w:w="709" w:type="dxa"/>
            <w:tcBorders>
              <w:top w:val="single" w:sz="12" w:space="0" w:color="auto"/>
              <w:left w:val="nil"/>
              <w:bottom w:val="single" w:sz="12" w:space="0" w:color="auto"/>
              <w:right w:val="single" w:sz="4" w:space="0" w:color="auto"/>
            </w:tcBorders>
            <w:shd w:val="clear" w:color="000000" w:fill="FFFFFF"/>
            <w:noWrap/>
            <w:vAlign w:val="bottom"/>
            <w:hideMark/>
          </w:tcPr>
          <w:p w:rsidR="00034EC9" w:rsidRPr="002B0739" w:rsidRDefault="00034EC9" w:rsidP="00034EC9">
            <w:pPr>
              <w:spacing w:before="0"/>
              <w:jc w:val="center"/>
              <w:rPr>
                <w:rFonts w:ascii="Calibri" w:eastAsia="Times New Roman" w:hAnsi="Calibri" w:cs="Times New Roman"/>
                <w:b/>
                <w:bCs/>
                <w:sz w:val="21"/>
                <w:szCs w:val="21"/>
                <w:lang w:eastAsia="cs-CZ"/>
              </w:rPr>
            </w:pPr>
            <w:r w:rsidRPr="002B0739">
              <w:rPr>
                <w:rFonts w:ascii="Calibri" w:eastAsia="Times New Roman" w:hAnsi="Calibri" w:cs="Times New Roman"/>
                <w:b/>
                <w:bCs/>
                <w:sz w:val="21"/>
                <w:szCs w:val="21"/>
                <w:lang w:eastAsia="cs-CZ"/>
              </w:rPr>
              <w:t>Banka</w:t>
            </w:r>
          </w:p>
        </w:tc>
        <w:tc>
          <w:tcPr>
            <w:tcW w:w="2126" w:type="dxa"/>
            <w:tcBorders>
              <w:top w:val="single" w:sz="12" w:space="0" w:color="auto"/>
              <w:left w:val="nil"/>
              <w:bottom w:val="single" w:sz="12" w:space="0" w:color="auto"/>
              <w:right w:val="single" w:sz="4" w:space="0" w:color="auto"/>
            </w:tcBorders>
            <w:shd w:val="clear" w:color="000000" w:fill="FFFFFF"/>
            <w:noWrap/>
            <w:vAlign w:val="bottom"/>
            <w:hideMark/>
          </w:tcPr>
          <w:p w:rsidR="00034EC9" w:rsidRPr="002B0739" w:rsidRDefault="00034EC9" w:rsidP="00034EC9">
            <w:pPr>
              <w:spacing w:before="0"/>
              <w:jc w:val="center"/>
              <w:rPr>
                <w:rFonts w:ascii="Calibri" w:eastAsia="Times New Roman" w:hAnsi="Calibri" w:cs="Times New Roman"/>
                <w:b/>
                <w:bCs/>
                <w:sz w:val="21"/>
                <w:szCs w:val="21"/>
                <w:lang w:eastAsia="cs-CZ"/>
              </w:rPr>
            </w:pPr>
            <w:r w:rsidRPr="002B0739">
              <w:rPr>
                <w:rFonts w:ascii="Calibri" w:eastAsia="Times New Roman" w:hAnsi="Calibri" w:cs="Times New Roman"/>
                <w:b/>
                <w:bCs/>
                <w:sz w:val="21"/>
                <w:szCs w:val="21"/>
                <w:lang w:eastAsia="cs-CZ"/>
              </w:rPr>
              <w:t>Číslo účtu</w:t>
            </w:r>
          </w:p>
        </w:tc>
        <w:tc>
          <w:tcPr>
            <w:tcW w:w="1843" w:type="dxa"/>
            <w:tcBorders>
              <w:top w:val="single" w:sz="12" w:space="0" w:color="auto"/>
              <w:left w:val="nil"/>
              <w:bottom w:val="single" w:sz="12" w:space="0" w:color="auto"/>
              <w:right w:val="single" w:sz="12" w:space="0" w:color="auto"/>
            </w:tcBorders>
            <w:shd w:val="clear" w:color="000000" w:fill="FFFFFF"/>
            <w:noWrap/>
            <w:vAlign w:val="bottom"/>
            <w:hideMark/>
          </w:tcPr>
          <w:p w:rsidR="00034EC9" w:rsidRPr="002B0739" w:rsidRDefault="00034EC9" w:rsidP="00034EC9">
            <w:pPr>
              <w:spacing w:before="0"/>
              <w:jc w:val="center"/>
              <w:rPr>
                <w:rFonts w:ascii="Calibri" w:eastAsia="Times New Roman" w:hAnsi="Calibri" w:cs="Times New Roman"/>
                <w:b/>
                <w:bCs/>
                <w:sz w:val="21"/>
                <w:szCs w:val="21"/>
                <w:lang w:eastAsia="cs-CZ"/>
              </w:rPr>
            </w:pPr>
            <w:r w:rsidRPr="002B0739">
              <w:rPr>
                <w:rFonts w:ascii="Calibri" w:eastAsia="Times New Roman" w:hAnsi="Calibri" w:cs="Times New Roman"/>
                <w:b/>
                <w:bCs/>
                <w:sz w:val="21"/>
                <w:szCs w:val="21"/>
                <w:lang w:eastAsia="cs-CZ"/>
              </w:rPr>
              <w:t>Stav k 31. 12. 2020</w:t>
            </w:r>
          </w:p>
        </w:tc>
      </w:tr>
      <w:tr w:rsidR="00034EC9" w:rsidRPr="002B0739" w:rsidTr="00034EC9">
        <w:trPr>
          <w:trHeight w:val="1333"/>
        </w:trPr>
        <w:tc>
          <w:tcPr>
            <w:tcW w:w="4748" w:type="dxa"/>
            <w:tcBorders>
              <w:top w:val="nil"/>
              <w:left w:val="single" w:sz="12" w:space="0" w:color="auto"/>
              <w:bottom w:val="single" w:sz="4" w:space="0" w:color="auto"/>
              <w:right w:val="single" w:sz="4" w:space="0" w:color="auto"/>
            </w:tcBorders>
            <w:shd w:val="clear" w:color="000000" w:fill="FFFFFF"/>
            <w:vAlign w:val="bottom"/>
            <w:hideMark/>
          </w:tcPr>
          <w:p w:rsidR="00034EC9" w:rsidRPr="002B0739" w:rsidRDefault="00034EC9" w:rsidP="00034EC9">
            <w:pPr>
              <w:spacing w:before="0"/>
              <w:jc w:val="left"/>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Prostředky držené pro účely úhrad závazků vyplývající z platných ekologických smluv a prostředky držené pro účely překlenutí doby od počátku roku do doby inkasa dividend majetkových účasti ve 3</w:t>
            </w:r>
            <w:r w:rsidR="00D83850">
              <w:rPr>
                <w:rFonts w:ascii="Calibri" w:eastAsia="Times New Roman" w:hAnsi="Calibri" w:cs="Times New Roman"/>
                <w:sz w:val="21"/>
                <w:szCs w:val="21"/>
                <w:lang w:eastAsia="cs-CZ"/>
              </w:rPr>
              <w:t>.</w:t>
            </w:r>
            <w:r w:rsidRPr="002B0739">
              <w:rPr>
                <w:rFonts w:ascii="Calibri" w:eastAsia="Times New Roman" w:hAnsi="Calibri" w:cs="Times New Roman"/>
                <w:sz w:val="21"/>
                <w:szCs w:val="21"/>
                <w:lang w:eastAsia="cs-CZ"/>
              </w:rPr>
              <w:t xml:space="preserve"> čtvrtletí (dle UV č. 610/2017)</w:t>
            </w:r>
          </w:p>
        </w:tc>
        <w:tc>
          <w:tcPr>
            <w:tcW w:w="709" w:type="dxa"/>
            <w:tcBorders>
              <w:top w:val="nil"/>
              <w:left w:val="nil"/>
              <w:bottom w:val="single" w:sz="4" w:space="0" w:color="auto"/>
              <w:right w:val="single" w:sz="4" w:space="0" w:color="auto"/>
            </w:tcBorders>
            <w:shd w:val="clear" w:color="auto" w:fill="auto"/>
            <w:noWrap/>
            <w:vAlign w:val="center"/>
            <w:hideMark/>
          </w:tcPr>
          <w:p w:rsidR="00034EC9" w:rsidRPr="002B0739" w:rsidRDefault="00034EC9" w:rsidP="00034EC9">
            <w:pPr>
              <w:spacing w:before="0"/>
              <w:jc w:val="center"/>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ČNB</w:t>
            </w:r>
          </w:p>
        </w:tc>
        <w:tc>
          <w:tcPr>
            <w:tcW w:w="2126" w:type="dxa"/>
            <w:tcBorders>
              <w:top w:val="nil"/>
              <w:left w:val="nil"/>
              <w:bottom w:val="single" w:sz="4" w:space="0" w:color="auto"/>
              <w:right w:val="single" w:sz="4" w:space="0" w:color="auto"/>
            </w:tcBorders>
            <w:shd w:val="clear" w:color="000000" w:fill="FFFFFF"/>
            <w:noWrap/>
            <w:vAlign w:val="center"/>
            <w:hideMark/>
          </w:tcPr>
          <w:p w:rsidR="00034EC9" w:rsidRPr="002B0739" w:rsidRDefault="00034EC9" w:rsidP="00034EC9">
            <w:pPr>
              <w:spacing w:before="0"/>
              <w:jc w:val="left"/>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2629881/0710</w:t>
            </w:r>
          </w:p>
        </w:tc>
        <w:tc>
          <w:tcPr>
            <w:tcW w:w="1843" w:type="dxa"/>
            <w:tcBorders>
              <w:top w:val="nil"/>
              <w:left w:val="nil"/>
              <w:bottom w:val="single" w:sz="4" w:space="0" w:color="auto"/>
              <w:right w:val="single" w:sz="12" w:space="0" w:color="auto"/>
            </w:tcBorders>
            <w:shd w:val="clear" w:color="000000" w:fill="FFFFFF"/>
            <w:noWrap/>
            <w:vAlign w:val="center"/>
            <w:hideMark/>
          </w:tcPr>
          <w:p w:rsidR="00034EC9" w:rsidRPr="002B0739" w:rsidRDefault="006F2B4F" w:rsidP="00034EC9">
            <w:pPr>
              <w:spacing w:before="0"/>
              <w:jc w:val="right"/>
              <w:rPr>
                <w:rFonts w:ascii="Calibri" w:eastAsia="Times New Roman" w:hAnsi="Calibri" w:cs="Times New Roman"/>
                <w:sz w:val="21"/>
                <w:szCs w:val="21"/>
                <w:lang w:eastAsia="cs-CZ"/>
              </w:rPr>
            </w:pPr>
            <w:r w:rsidRPr="006F2B4F">
              <w:rPr>
                <w:rFonts w:ascii="Calibri" w:eastAsia="Times New Roman" w:hAnsi="Calibri" w:cs="Times New Roman"/>
                <w:sz w:val="21"/>
                <w:szCs w:val="21"/>
                <w:lang w:eastAsia="cs-CZ"/>
              </w:rPr>
              <w:t>4 015 710</w:t>
            </w:r>
          </w:p>
        </w:tc>
      </w:tr>
      <w:tr w:rsidR="00034EC9" w:rsidRPr="002B0739" w:rsidTr="00034EC9">
        <w:trPr>
          <w:trHeight w:val="560"/>
        </w:trPr>
        <w:tc>
          <w:tcPr>
            <w:tcW w:w="4748" w:type="dxa"/>
            <w:tcBorders>
              <w:top w:val="nil"/>
              <w:left w:val="single" w:sz="12" w:space="0" w:color="auto"/>
              <w:bottom w:val="single" w:sz="4" w:space="0" w:color="auto"/>
              <w:right w:val="single" w:sz="4" w:space="0" w:color="auto"/>
            </w:tcBorders>
            <w:shd w:val="clear" w:color="000000" w:fill="FFFFFF"/>
            <w:vAlign w:val="bottom"/>
            <w:hideMark/>
          </w:tcPr>
          <w:p w:rsidR="00034EC9" w:rsidRPr="002B0739" w:rsidRDefault="00034EC9" w:rsidP="00034EC9">
            <w:pPr>
              <w:spacing w:before="0"/>
              <w:jc w:val="left"/>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Účet zřízený pro účely skládání a vrácení jistot veřejných zakázek</w:t>
            </w:r>
          </w:p>
        </w:tc>
        <w:tc>
          <w:tcPr>
            <w:tcW w:w="709" w:type="dxa"/>
            <w:tcBorders>
              <w:top w:val="nil"/>
              <w:left w:val="nil"/>
              <w:bottom w:val="single" w:sz="4" w:space="0" w:color="auto"/>
              <w:right w:val="single" w:sz="4" w:space="0" w:color="auto"/>
            </w:tcBorders>
            <w:shd w:val="clear" w:color="auto" w:fill="auto"/>
            <w:noWrap/>
            <w:vAlign w:val="center"/>
            <w:hideMark/>
          </w:tcPr>
          <w:p w:rsidR="00034EC9" w:rsidRPr="002B0739" w:rsidRDefault="00034EC9" w:rsidP="00034EC9">
            <w:pPr>
              <w:spacing w:before="0"/>
              <w:jc w:val="center"/>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ČNB</w:t>
            </w:r>
          </w:p>
        </w:tc>
        <w:tc>
          <w:tcPr>
            <w:tcW w:w="2126" w:type="dxa"/>
            <w:tcBorders>
              <w:top w:val="nil"/>
              <w:left w:val="nil"/>
              <w:bottom w:val="single" w:sz="4" w:space="0" w:color="auto"/>
              <w:right w:val="single" w:sz="4" w:space="0" w:color="auto"/>
            </w:tcBorders>
            <w:shd w:val="clear" w:color="000000" w:fill="FFFFFF"/>
            <w:noWrap/>
            <w:vAlign w:val="center"/>
            <w:hideMark/>
          </w:tcPr>
          <w:p w:rsidR="00034EC9" w:rsidRPr="002B0739" w:rsidRDefault="00034EC9" w:rsidP="00034EC9">
            <w:pPr>
              <w:spacing w:before="0"/>
              <w:jc w:val="left"/>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20001-2629881/0710</w:t>
            </w:r>
          </w:p>
        </w:tc>
        <w:tc>
          <w:tcPr>
            <w:tcW w:w="1843" w:type="dxa"/>
            <w:tcBorders>
              <w:top w:val="nil"/>
              <w:left w:val="nil"/>
              <w:bottom w:val="single" w:sz="4" w:space="0" w:color="auto"/>
              <w:right w:val="single" w:sz="12" w:space="0" w:color="auto"/>
            </w:tcBorders>
            <w:shd w:val="clear" w:color="000000" w:fill="FFFFFF"/>
            <w:noWrap/>
            <w:vAlign w:val="center"/>
            <w:hideMark/>
          </w:tcPr>
          <w:p w:rsidR="00034EC9" w:rsidRPr="002B0739" w:rsidRDefault="00034EC9" w:rsidP="00034EC9">
            <w:pPr>
              <w:spacing w:before="0"/>
              <w:jc w:val="right"/>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519</w:t>
            </w:r>
          </w:p>
        </w:tc>
      </w:tr>
      <w:tr w:rsidR="00034EC9" w:rsidRPr="002B0739" w:rsidTr="00034EC9">
        <w:trPr>
          <w:trHeight w:val="275"/>
        </w:trPr>
        <w:tc>
          <w:tcPr>
            <w:tcW w:w="4748" w:type="dxa"/>
            <w:tcBorders>
              <w:top w:val="nil"/>
              <w:left w:val="single" w:sz="12" w:space="0" w:color="auto"/>
              <w:bottom w:val="nil"/>
              <w:right w:val="single" w:sz="4" w:space="0" w:color="auto"/>
            </w:tcBorders>
            <w:shd w:val="clear" w:color="000000" w:fill="FFFFFF"/>
            <w:vAlign w:val="bottom"/>
            <w:hideMark/>
          </w:tcPr>
          <w:p w:rsidR="00034EC9" w:rsidRPr="002B0739" w:rsidRDefault="00034EC9" w:rsidP="00034EC9">
            <w:pPr>
              <w:spacing w:before="0"/>
              <w:jc w:val="left"/>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Účet určený pro skládání a vrácení bankovních záruk</w:t>
            </w:r>
          </w:p>
        </w:tc>
        <w:tc>
          <w:tcPr>
            <w:tcW w:w="709" w:type="dxa"/>
            <w:tcBorders>
              <w:top w:val="nil"/>
              <w:left w:val="nil"/>
              <w:bottom w:val="nil"/>
              <w:right w:val="single" w:sz="4" w:space="0" w:color="auto"/>
            </w:tcBorders>
            <w:shd w:val="clear" w:color="auto" w:fill="auto"/>
            <w:noWrap/>
            <w:vAlign w:val="center"/>
            <w:hideMark/>
          </w:tcPr>
          <w:p w:rsidR="00034EC9" w:rsidRPr="002B0739" w:rsidRDefault="00034EC9" w:rsidP="00034EC9">
            <w:pPr>
              <w:spacing w:before="0"/>
              <w:jc w:val="center"/>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ČNB</w:t>
            </w:r>
          </w:p>
        </w:tc>
        <w:tc>
          <w:tcPr>
            <w:tcW w:w="2126" w:type="dxa"/>
            <w:tcBorders>
              <w:top w:val="nil"/>
              <w:left w:val="nil"/>
              <w:bottom w:val="nil"/>
              <w:right w:val="single" w:sz="4" w:space="0" w:color="auto"/>
            </w:tcBorders>
            <w:shd w:val="clear" w:color="000000" w:fill="FFFFFF"/>
            <w:noWrap/>
            <w:vAlign w:val="center"/>
            <w:hideMark/>
          </w:tcPr>
          <w:p w:rsidR="00034EC9" w:rsidRPr="002B0739" w:rsidRDefault="00034EC9" w:rsidP="00034EC9">
            <w:pPr>
              <w:spacing w:before="0"/>
              <w:jc w:val="left"/>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50008-2629881/0710</w:t>
            </w:r>
          </w:p>
        </w:tc>
        <w:tc>
          <w:tcPr>
            <w:tcW w:w="1843" w:type="dxa"/>
            <w:tcBorders>
              <w:top w:val="nil"/>
              <w:left w:val="nil"/>
              <w:bottom w:val="nil"/>
              <w:right w:val="single" w:sz="12" w:space="0" w:color="auto"/>
            </w:tcBorders>
            <w:shd w:val="clear" w:color="000000" w:fill="FFFFFF"/>
            <w:noWrap/>
            <w:vAlign w:val="center"/>
            <w:hideMark/>
          </w:tcPr>
          <w:p w:rsidR="00034EC9" w:rsidRPr="002B0739" w:rsidRDefault="00034EC9" w:rsidP="00034EC9">
            <w:pPr>
              <w:spacing w:before="0"/>
              <w:jc w:val="right"/>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15 658</w:t>
            </w:r>
          </w:p>
        </w:tc>
      </w:tr>
      <w:tr w:rsidR="00034EC9" w:rsidRPr="002B0739" w:rsidTr="00034EC9">
        <w:trPr>
          <w:trHeight w:val="310"/>
        </w:trPr>
        <w:tc>
          <w:tcPr>
            <w:tcW w:w="7583" w:type="dxa"/>
            <w:gridSpan w:val="3"/>
            <w:tcBorders>
              <w:top w:val="single" w:sz="12" w:space="0" w:color="auto"/>
              <w:left w:val="single" w:sz="12" w:space="0" w:color="auto"/>
              <w:bottom w:val="single" w:sz="12" w:space="0" w:color="auto"/>
              <w:right w:val="single" w:sz="4" w:space="0" w:color="000000"/>
            </w:tcBorders>
            <w:shd w:val="clear" w:color="000000" w:fill="FFFFFF"/>
            <w:vAlign w:val="bottom"/>
            <w:hideMark/>
          </w:tcPr>
          <w:p w:rsidR="00034EC9" w:rsidRPr="002B0739" w:rsidRDefault="00034EC9" w:rsidP="00034EC9">
            <w:pPr>
              <w:spacing w:before="0"/>
              <w:jc w:val="left"/>
              <w:rPr>
                <w:rFonts w:ascii="Calibri" w:eastAsia="Times New Roman" w:hAnsi="Calibri" w:cs="Times New Roman"/>
                <w:b/>
                <w:bCs/>
                <w:sz w:val="21"/>
                <w:szCs w:val="21"/>
                <w:lang w:eastAsia="cs-CZ"/>
              </w:rPr>
            </w:pPr>
            <w:r w:rsidRPr="002B0739">
              <w:rPr>
                <w:rFonts w:ascii="Calibri" w:eastAsia="Times New Roman" w:hAnsi="Calibri" w:cs="Times New Roman"/>
                <w:b/>
                <w:bCs/>
                <w:sz w:val="21"/>
                <w:szCs w:val="21"/>
                <w:lang w:eastAsia="cs-CZ"/>
              </w:rPr>
              <w:t>Vázané prostředky celkem</w:t>
            </w:r>
          </w:p>
        </w:tc>
        <w:tc>
          <w:tcPr>
            <w:tcW w:w="1843" w:type="dxa"/>
            <w:tcBorders>
              <w:top w:val="single" w:sz="12" w:space="0" w:color="auto"/>
              <w:left w:val="nil"/>
              <w:bottom w:val="single" w:sz="12" w:space="0" w:color="auto"/>
              <w:right w:val="single" w:sz="12" w:space="0" w:color="auto"/>
            </w:tcBorders>
            <w:shd w:val="clear" w:color="000000" w:fill="FFFFFF"/>
            <w:noWrap/>
            <w:vAlign w:val="bottom"/>
            <w:hideMark/>
          </w:tcPr>
          <w:p w:rsidR="00034EC9" w:rsidRPr="002B0739" w:rsidRDefault="006F2B4F" w:rsidP="00034EC9">
            <w:pPr>
              <w:spacing w:before="0"/>
              <w:jc w:val="right"/>
              <w:rPr>
                <w:rFonts w:ascii="Calibri" w:eastAsia="Times New Roman" w:hAnsi="Calibri" w:cs="Times New Roman"/>
                <w:b/>
                <w:bCs/>
                <w:sz w:val="21"/>
                <w:szCs w:val="21"/>
                <w:lang w:eastAsia="cs-CZ"/>
              </w:rPr>
            </w:pPr>
            <w:r w:rsidRPr="006F2B4F">
              <w:rPr>
                <w:rFonts w:ascii="Calibri" w:eastAsia="Times New Roman" w:hAnsi="Calibri" w:cs="Times New Roman"/>
                <w:b/>
                <w:bCs/>
                <w:sz w:val="21"/>
                <w:szCs w:val="21"/>
                <w:lang w:eastAsia="cs-CZ"/>
              </w:rPr>
              <w:t>4 031 887</w:t>
            </w:r>
          </w:p>
        </w:tc>
      </w:tr>
      <w:tr w:rsidR="00034EC9" w:rsidRPr="002B0739" w:rsidTr="00034EC9">
        <w:trPr>
          <w:trHeight w:val="310"/>
        </w:trPr>
        <w:tc>
          <w:tcPr>
            <w:tcW w:w="4748" w:type="dxa"/>
            <w:tcBorders>
              <w:top w:val="nil"/>
              <w:left w:val="single" w:sz="12" w:space="0" w:color="auto"/>
              <w:bottom w:val="nil"/>
              <w:right w:val="single" w:sz="4" w:space="0" w:color="auto"/>
            </w:tcBorders>
            <w:shd w:val="clear" w:color="000000" w:fill="FFFFFF"/>
            <w:vAlign w:val="bottom"/>
            <w:hideMark/>
          </w:tcPr>
          <w:p w:rsidR="00034EC9" w:rsidRPr="002B0739" w:rsidRDefault="00034EC9" w:rsidP="00034EC9">
            <w:pPr>
              <w:spacing w:before="0"/>
              <w:jc w:val="left"/>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Běžný účet ČNB</w:t>
            </w:r>
          </w:p>
        </w:tc>
        <w:tc>
          <w:tcPr>
            <w:tcW w:w="709" w:type="dxa"/>
            <w:tcBorders>
              <w:top w:val="nil"/>
              <w:left w:val="nil"/>
              <w:bottom w:val="nil"/>
              <w:right w:val="single" w:sz="4" w:space="0" w:color="auto"/>
            </w:tcBorders>
            <w:shd w:val="clear" w:color="auto" w:fill="auto"/>
            <w:noWrap/>
            <w:vAlign w:val="bottom"/>
            <w:hideMark/>
          </w:tcPr>
          <w:p w:rsidR="00034EC9" w:rsidRPr="002B0739" w:rsidRDefault="00034EC9" w:rsidP="00034EC9">
            <w:pPr>
              <w:spacing w:before="0"/>
              <w:jc w:val="center"/>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ČNB</w:t>
            </w:r>
          </w:p>
        </w:tc>
        <w:tc>
          <w:tcPr>
            <w:tcW w:w="2126" w:type="dxa"/>
            <w:tcBorders>
              <w:top w:val="nil"/>
              <w:left w:val="nil"/>
              <w:bottom w:val="nil"/>
              <w:right w:val="single" w:sz="4" w:space="0" w:color="auto"/>
            </w:tcBorders>
            <w:shd w:val="clear" w:color="000000" w:fill="FFFFFF"/>
            <w:noWrap/>
            <w:vAlign w:val="bottom"/>
            <w:hideMark/>
          </w:tcPr>
          <w:p w:rsidR="00034EC9" w:rsidRPr="002B0739" w:rsidRDefault="00034EC9" w:rsidP="00034EC9">
            <w:pPr>
              <w:spacing w:before="0"/>
              <w:jc w:val="left"/>
              <w:rPr>
                <w:rFonts w:ascii="Calibri" w:eastAsia="Times New Roman" w:hAnsi="Calibri" w:cs="Times New Roman"/>
                <w:sz w:val="21"/>
                <w:szCs w:val="21"/>
                <w:lang w:eastAsia="cs-CZ"/>
              </w:rPr>
            </w:pPr>
            <w:r w:rsidRPr="002B0739">
              <w:rPr>
                <w:rFonts w:ascii="Calibri" w:eastAsia="Times New Roman" w:hAnsi="Calibri" w:cs="Times New Roman"/>
                <w:sz w:val="21"/>
                <w:szCs w:val="21"/>
                <w:lang w:eastAsia="cs-CZ"/>
              </w:rPr>
              <w:t>2629881/0710</w:t>
            </w:r>
          </w:p>
        </w:tc>
        <w:tc>
          <w:tcPr>
            <w:tcW w:w="1843" w:type="dxa"/>
            <w:tcBorders>
              <w:top w:val="nil"/>
              <w:left w:val="nil"/>
              <w:bottom w:val="nil"/>
              <w:right w:val="single" w:sz="12" w:space="0" w:color="auto"/>
            </w:tcBorders>
            <w:shd w:val="clear" w:color="000000" w:fill="FFFFFF"/>
            <w:noWrap/>
            <w:vAlign w:val="bottom"/>
            <w:hideMark/>
          </w:tcPr>
          <w:p w:rsidR="00034EC9" w:rsidRPr="002B0739" w:rsidRDefault="006F2B4F" w:rsidP="00034EC9">
            <w:pPr>
              <w:spacing w:before="0"/>
              <w:jc w:val="right"/>
              <w:rPr>
                <w:rFonts w:ascii="Calibri" w:eastAsia="Times New Roman" w:hAnsi="Calibri" w:cs="Times New Roman"/>
                <w:sz w:val="21"/>
                <w:szCs w:val="21"/>
                <w:lang w:eastAsia="cs-CZ"/>
              </w:rPr>
            </w:pPr>
            <w:r w:rsidRPr="006F2B4F">
              <w:rPr>
                <w:rFonts w:ascii="Calibri" w:eastAsia="Times New Roman" w:hAnsi="Calibri" w:cs="Times New Roman"/>
                <w:sz w:val="21"/>
                <w:szCs w:val="21"/>
                <w:lang w:eastAsia="cs-CZ"/>
              </w:rPr>
              <w:t>12 679 727</w:t>
            </w:r>
          </w:p>
        </w:tc>
      </w:tr>
      <w:tr w:rsidR="00034EC9" w:rsidRPr="002B0739" w:rsidTr="00034EC9">
        <w:trPr>
          <w:trHeight w:val="310"/>
        </w:trPr>
        <w:tc>
          <w:tcPr>
            <w:tcW w:w="7583" w:type="dxa"/>
            <w:gridSpan w:val="3"/>
            <w:tcBorders>
              <w:top w:val="single" w:sz="12" w:space="0" w:color="auto"/>
              <w:left w:val="single" w:sz="12" w:space="0" w:color="auto"/>
              <w:bottom w:val="single" w:sz="12" w:space="0" w:color="auto"/>
              <w:right w:val="single" w:sz="4" w:space="0" w:color="000000"/>
            </w:tcBorders>
            <w:shd w:val="clear" w:color="000000" w:fill="FFFFFF"/>
            <w:vAlign w:val="bottom"/>
            <w:hideMark/>
          </w:tcPr>
          <w:p w:rsidR="00034EC9" w:rsidRPr="002B0739" w:rsidRDefault="00034EC9" w:rsidP="00034EC9">
            <w:pPr>
              <w:spacing w:before="0"/>
              <w:jc w:val="left"/>
              <w:rPr>
                <w:rFonts w:ascii="Calibri" w:eastAsia="Times New Roman" w:hAnsi="Calibri" w:cs="Times New Roman"/>
                <w:b/>
                <w:bCs/>
                <w:sz w:val="21"/>
                <w:szCs w:val="21"/>
                <w:lang w:eastAsia="cs-CZ"/>
              </w:rPr>
            </w:pPr>
            <w:r w:rsidRPr="002B0739">
              <w:rPr>
                <w:rFonts w:ascii="Calibri" w:eastAsia="Times New Roman" w:hAnsi="Calibri" w:cs="Times New Roman"/>
                <w:b/>
                <w:bCs/>
                <w:sz w:val="21"/>
                <w:szCs w:val="21"/>
                <w:lang w:eastAsia="cs-CZ"/>
              </w:rPr>
              <w:t>Volné prostředky celkem</w:t>
            </w:r>
          </w:p>
        </w:tc>
        <w:tc>
          <w:tcPr>
            <w:tcW w:w="1843" w:type="dxa"/>
            <w:tcBorders>
              <w:top w:val="single" w:sz="12" w:space="0" w:color="auto"/>
              <w:left w:val="nil"/>
              <w:bottom w:val="single" w:sz="12" w:space="0" w:color="auto"/>
              <w:right w:val="single" w:sz="12" w:space="0" w:color="auto"/>
            </w:tcBorders>
            <w:shd w:val="clear" w:color="000000" w:fill="FFFFFF"/>
            <w:noWrap/>
            <w:vAlign w:val="bottom"/>
            <w:hideMark/>
          </w:tcPr>
          <w:p w:rsidR="00034EC9" w:rsidRPr="002B0739" w:rsidRDefault="006F2B4F" w:rsidP="00034EC9">
            <w:pPr>
              <w:spacing w:before="0"/>
              <w:jc w:val="right"/>
              <w:rPr>
                <w:rFonts w:ascii="Calibri" w:eastAsia="Times New Roman" w:hAnsi="Calibri" w:cs="Times New Roman"/>
                <w:b/>
                <w:bCs/>
                <w:sz w:val="21"/>
                <w:szCs w:val="21"/>
                <w:lang w:eastAsia="cs-CZ"/>
              </w:rPr>
            </w:pPr>
            <w:r w:rsidRPr="006F2B4F">
              <w:rPr>
                <w:rFonts w:ascii="Calibri" w:eastAsia="Times New Roman" w:hAnsi="Calibri" w:cs="Times New Roman"/>
                <w:b/>
                <w:bCs/>
                <w:sz w:val="21"/>
                <w:szCs w:val="21"/>
                <w:lang w:eastAsia="cs-CZ"/>
              </w:rPr>
              <w:t>12 679 727</w:t>
            </w:r>
          </w:p>
        </w:tc>
      </w:tr>
    </w:tbl>
    <w:p w:rsidR="00BD1E4E" w:rsidRDefault="008F0623" w:rsidP="00BD1E4E">
      <w:r>
        <w:t xml:space="preserve">Tabulka č. 7 </w:t>
      </w:r>
      <w:r w:rsidR="00BD1E4E" w:rsidRPr="006F2953">
        <w:t>zobrazuje stav peněžních prostředků vázaných a</w:t>
      </w:r>
      <w:r w:rsidR="00BD1E4E">
        <w:t xml:space="preserve"> volných na bankovních účtech k </w:t>
      </w:r>
      <w:r w:rsidR="00BD1E4E" w:rsidRPr="006F2953">
        <w:t>31.</w:t>
      </w:r>
      <w:r w:rsidR="000A6461">
        <w:t xml:space="preserve"> </w:t>
      </w:r>
      <w:r w:rsidR="00BD1E4E" w:rsidRPr="006F2953">
        <w:t>12.</w:t>
      </w:r>
      <w:r w:rsidR="000A6461">
        <w:t xml:space="preserve"> </w:t>
      </w:r>
      <w:r w:rsidR="009C4A50">
        <w:t>2020</w:t>
      </w:r>
      <w:r w:rsidR="00BD1E4E" w:rsidRPr="006F2953">
        <w:t>. Od</w:t>
      </w:r>
      <w:r w:rsidR="009A1859">
        <w:t> </w:t>
      </w:r>
      <w:r w:rsidR="00BD1E4E" w:rsidRPr="006F2953">
        <w:t>1.</w:t>
      </w:r>
      <w:r w:rsidR="009A1859">
        <w:t> </w:t>
      </w:r>
      <w:r w:rsidR="00BD1E4E" w:rsidRPr="006F2953">
        <w:t>4.</w:t>
      </w:r>
      <w:r w:rsidR="009A1859">
        <w:t> </w:t>
      </w:r>
      <w:r w:rsidR="00BD1E4E" w:rsidRPr="006F2953">
        <w:t>2013 jsou tyto peněžní prostředky převedeny na účty České národní banky.</w:t>
      </w:r>
    </w:p>
    <w:p w:rsidR="00BD1E4E" w:rsidRDefault="00BD1E4E" w:rsidP="00BD1E4E">
      <w:r>
        <w:t>V roce 2019 byl u ČNB založen účet č. 50008-2629881/0710 určený pro skládání a vrácení bankovních záruk. Bankovní záruka slouží jako zajišťovací instrument při sanaci ekologických škod vzniklých před privatizaci a revitalizaci území poškozených těžbou nerostů.</w:t>
      </w:r>
    </w:p>
    <w:p w:rsidR="00BD1E4E" w:rsidRPr="006F2953" w:rsidRDefault="00BD1E4E" w:rsidP="00BD1E4E">
      <w:pPr>
        <w:keepNext/>
        <w:rPr>
          <w:b/>
        </w:rPr>
      </w:pPr>
      <w:r w:rsidRPr="006F2953">
        <w:rPr>
          <w:b/>
        </w:rPr>
        <w:t>Vázané prostředky Fondu privatizace</w:t>
      </w:r>
    </w:p>
    <w:p w:rsidR="00BD1E4E" w:rsidRPr="006F2953" w:rsidRDefault="00BD1E4E" w:rsidP="00BD1E4E">
      <w:pPr>
        <w:keepNext/>
      </w:pPr>
      <w:r w:rsidRPr="006F2953">
        <w:t xml:space="preserve">Vázané prostředky Fondu privatizace činí </w:t>
      </w:r>
      <w:r w:rsidR="006F2B4F" w:rsidRPr="006F2B4F">
        <w:t>4 031</w:t>
      </w:r>
      <w:r w:rsidR="006F2B4F">
        <w:t> </w:t>
      </w:r>
      <w:r w:rsidR="006F2B4F" w:rsidRPr="006F2B4F">
        <w:t>887</w:t>
      </w:r>
      <w:r w:rsidR="006F2B4F">
        <w:t xml:space="preserve"> </w:t>
      </w:r>
      <w:r w:rsidRPr="006F2953">
        <w:t>tis. Kč, z toho:</w:t>
      </w:r>
    </w:p>
    <w:p w:rsidR="00BD1E4E" w:rsidRDefault="00BD1E4E" w:rsidP="00270FBB">
      <w:pPr>
        <w:pStyle w:val="odrka"/>
      </w:pPr>
      <w:r w:rsidRPr="006F2953">
        <w:t xml:space="preserve">Konečný zůstatek na bankovním účtu č. 20001-2629881/0710 zřízeném pro účely skládání a vrácení jistot veřejných zakázek v hodnotě </w:t>
      </w:r>
      <w:r w:rsidR="00270FBB" w:rsidRPr="00270FBB">
        <w:t>519</w:t>
      </w:r>
      <w:r>
        <w:t xml:space="preserve"> </w:t>
      </w:r>
      <w:r w:rsidRPr="006F2953">
        <w:t>tis. Kč. Na účtu jsou přijímány</w:t>
      </w:r>
      <w:r w:rsidR="007720CF">
        <w:t xml:space="preserve"> a drženy finanční prostředky v </w:t>
      </w:r>
      <w:r w:rsidRPr="006F2953">
        <w:t>rámci realizace výběrových řízení na vyhlašované veřejné zakázky pro účely realizace odstraňování ekologických škod vzniklých před privatizací. Neúspěšným zájemcům jsou tyto prostředky vráceny. Prostředky z tohoto účtu se nezapojují do úhrad privatizačních výdajů.</w:t>
      </w:r>
    </w:p>
    <w:p w:rsidR="00BD1E4E" w:rsidRPr="006F2953" w:rsidRDefault="00BD1E4E" w:rsidP="00FD6B3B">
      <w:pPr>
        <w:pStyle w:val="odrka"/>
      </w:pPr>
      <w:r w:rsidRPr="00F00477">
        <w:t>Konečný</w:t>
      </w:r>
      <w:r>
        <w:t xml:space="preserve"> zůstatek na bankovním účtu č. 50008</w:t>
      </w:r>
      <w:r w:rsidRPr="00F00477">
        <w:t xml:space="preserve">-2629881/0710 zřízeném pro účely skládání a vrácení </w:t>
      </w:r>
      <w:r w:rsidRPr="003456BF">
        <w:t>bankovních záruk</w:t>
      </w:r>
      <w:r>
        <w:t xml:space="preserve"> </w:t>
      </w:r>
      <w:r w:rsidRPr="00F00477">
        <w:t xml:space="preserve">v hodnotě </w:t>
      </w:r>
      <w:r w:rsidR="009C4A50">
        <w:t>15</w:t>
      </w:r>
      <w:r w:rsidR="00520328">
        <w:t> </w:t>
      </w:r>
      <w:r w:rsidR="009C4A50">
        <w:t>658</w:t>
      </w:r>
      <w:r w:rsidR="00520328">
        <w:t> </w:t>
      </w:r>
      <w:r w:rsidRPr="00F00477">
        <w:t xml:space="preserve">tis. Kč. Na účtu jsou přijímány a </w:t>
      </w:r>
      <w:r w:rsidR="00520328">
        <w:t>drženy finanční prostředky v </w:t>
      </w:r>
      <w:r w:rsidRPr="00F00477">
        <w:t xml:space="preserve">rámci realizace </w:t>
      </w:r>
      <w:r>
        <w:t xml:space="preserve">zakázek při sanaci ekologických škod vzniklých před privatizaci a </w:t>
      </w:r>
      <w:r>
        <w:lastRenderedPageBreak/>
        <w:t>revitalizaci území poškozených těžbou nerostů. Po ukončení povinnosti mít složenu bankovní záruku jsou tyto prostředky vráceny zpět zhotoviteli.</w:t>
      </w:r>
    </w:p>
    <w:p w:rsidR="00BD1E4E" w:rsidRPr="006F2953" w:rsidRDefault="00BD1E4E" w:rsidP="006F2B4F">
      <w:pPr>
        <w:pStyle w:val="odrka"/>
      </w:pPr>
      <w:r w:rsidRPr="006F2953">
        <w:t>Prostředky držené pro úč</w:t>
      </w:r>
      <w:r w:rsidR="00520328">
        <w:t>ely úhrad závazků vyplývající z </w:t>
      </w:r>
      <w:r w:rsidRPr="006F2953">
        <w:t>platných ekologických smluv a prostředky držené pro účely překlenutí doby od počátku roku do doby inkasa di</w:t>
      </w:r>
      <w:r w:rsidR="007720CF">
        <w:t>vidend majetkových účasti ve 3. </w:t>
      </w:r>
      <w:r w:rsidRPr="006F2953">
        <w:t xml:space="preserve">čtvrtletí ve výši </w:t>
      </w:r>
      <w:r w:rsidR="00520328">
        <w:t>4 </w:t>
      </w:r>
      <w:r w:rsidR="006F2B4F" w:rsidRPr="006F2B4F">
        <w:t>015</w:t>
      </w:r>
      <w:r w:rsidR="006F2B4F">
        <w:t> </w:t>
      </w:r>
      <w:r w:rsidR="006F2B4F" w:rsidRPr="006F2B4F">
        <w:t>710</w:t>
      </w:r>
      <w:r w:rsidR="006F2B4F">
        <w:t xml:space="preserve"> </w:t>
      </w:r>
      <w:r w:rsidRPr="006F2953">
        <w:t xml:space="preserve">tis. Kč. </w:t>
      </w:r>
    </w:p>
    <w:p w:rsidR="00BD1E4E" w:rsidRPr="006F2953" w:rsidRDefault="00BD1E4E" w:rsidP="00FD6B3B">
      <w:r w:rsidRPr="006F2953">
        <w:t>Prostředky jsou vázány (drženy) na základě materiálu s názvem „Koncepce stabilizace finančního stavu zvláštních účtů privatizace“, schváleného u</w:t>
      </w:r>
      <w:r w:rsidR="00520328">
        <w:t>snesením vlády č. 610 ze dne 4. září </w:t>
      </w:r>
      <w:r w:rsidRPr="006F2953">
        <w:t>2017, na zvláštním účtu privatizace č. 2629881/0710 pro tyto účely:</w:t>
      </w:r>
    </w:p>
    <w:p w:rsidR="00BD1E4E" w:rsidRPr="006F2953" w:rsidRDefault="00BD1E4E" w:rsidP="00FD6B3B">
      <w:pPr>
        <w:pStyle w:val="odrka"/>
      </w:pPr>
      <w:r w:rsidRPr="006F2953">
        <w:t>Prostředky držené pro účely úhrad závazků vyplývajících z platných ekologických smluv</w:t>
      </w:r>
      <w:r>
        <w:t>.</w:t>
      </w:r>
    </w:p>
    <w:p w:rsidR="00BD1E4E" w:rsidRPr="006F2953" w:rsidRDefault="00BD1E4E" w:rsidP="00FD6B3B">
      <w:r w:rsidRPr="006F2953">
        <w:rPr>
          <w:b/>
        </w:rPr>
        <w:t>Důvod:</w:t>
      </w:r>
      <w:r w:rsidRPr="006F2953">
        <w:t xml:space="preserve"> V případě poklesu či výpadku příjmů nevzniká riziko neplnění smluvně podložených závazků a tedy vzniku nákladů za neplnění závazků (náklady na soudní spory, pokuty, penále).</w:t>
      </w:r>
    </w:p>
    <w:p w:rsidR="00BD1E4E" w:rsidRPr="006F2953" w:rsidRDefault="00BD1E4E" w:rsidP="00FD6B3B">
      <w:pPr>
        <w:pStyle w:val="odrka"/>
      </w:pPr>
      <w:r w:rsidRPr="006F2953">
        <w:t xml:space="preserve">Prostředky držené pro účely překlenutí doby od počátku roku do doby inkasa dividend majetkových účasti ve 3. </w:t>
      </w:r>
      <w:r>
        <w:t>č</w:t>
      </w:r>
      <w:r w:rsidRPr="006F2953">
        <w:t>tvrtletí</w:t>
      </w:r>
      <w:r>
        <w:t>.</w:t>
      </w:r>
    </w:p>
    <w:p w:rsidR="00BD1E4E" w:rsidRDefault="00BD1E4E" w:rsidP="00FD6B3B">
      <w:r w:rsidRPr="006F2953">
        <w:rPr>
          <w:b/>
        </w:rPr>
        <w:t>Důvod:</w:t>
      </w:r>
      <w:r w:rsidRPr="006F2953">
        <w:t xml:space="preserve"> Překlenutí období mezi počátkem roku a dobou inkasa di</w:t>
      </w:r>
      <w:r w:rsidR="00520328">
        <w:t>vidend majetkových účastí ve 3. </w:t>
      </w:r>
      <w:r w:rsidRPr="006F2953">
        <w:t>čtvrtletí. Dividendy majetkových účastí jsou hlavními příjmy zvláštních účtů privatizace a v posledních letech tvoří více než 90 % všech příjmů.</w:t>
      </w:r>
    </w:p>
    <w:p w:rsidR="00BD1E4E" w:rsidRDefault="00BD1E4E" w:rsidP="00FD6B3B">
      <w:pPr>
        <w:pStyle w:val="Nzev"/>
      </w:pPr>
      <w:bookmarkStart w:id="34" w:name="_Toc65836230"/>
      <w:r w:rsidRPr="00307CAA">
        <w:t xml:space="preserve">Tabulka č. </w:t>
      </w:r>
      <w:r w:rsidR="00E13D9D">
        <w:fldChar w:fldCharType="begin"/>
      </w:r>
      <w:r w:rsidR="00E13D9D">
        <w:instrText xml:space="preserve"> SEQ Tabulka_č. \* ARABIC </w:instrText>
      </w:r>
      <w:r w:rsidR="00E13D9D">
        <w:fldChar w:fldCharType="separate"/>
      </w:r>
      <w:r w:rsidR="008A4BFD">
        <w:rPr>
          <w:noProof/>
        </w:rPr>
        <w:t>8</w:t>
      </w:r>
      <w:r w:rsidR="00E13D9D">
        <w:rPr>
          <w:noProof/>
        </w:rPr>
        <w:fldChar w:fldCharType="end"/>
      </w:r>
      <w:r w:rsidRPr="00307CAA">
        <w:t>: Rekapitulace uložení peněžních p</w:t>
      </w:r>
      <w:r w:rsidR="00520328">
        <w:t>rostředků z velké privatizace k </w:t>
      </w:r>
      <w:r w:rsidRPr="00307CAA">
        <w:t>31.</w:t>
      </w:r>
      <w:r w:rsidR="00520328">
        <w:t> </w:t>
      </w:r>
      <w:r w:rsidRPr="00307CAA">
        <w:t>12.</w:t>
      </w:r>
      <w:r w:rsidR="00520328">
        <w:t> </w:t>
      </w:r>
      <w:r w:rsidR="00D65396">
        <w:t>2020</w:t>
      </w:r>
      <w:r w:rsidRPr="00307CAA">
        <w:t xml:space="preserve"> (tis. Kč)</w:t>
      </w:r>
      <w:bookmarkEnd w:id="34"/>
    </w:p>
    <w:tbl>
      <w:tblPr>
        <w:tblW w:w="7797" w:type="dxa"/>
        <w:tblInd w:w="-15" w:type="dxa"/>
        <w:tblCellMar>
          <w:left w:w="70" w:type="dxa"/>
          <w:right w:w="70" w:type="dxa"/>
        </w:tblCellMar>
        <w:tblLook w:val="04A0" w:firstRow="1" w:lastRow="0" w:firstColumn="1" w:lastColumn="0" w:noHBand="0" w:noVBand="1"/>
      </w:tblPr>
      <w:tblGrid>
        <w:gridCol w:w="4520"/>
        <w:gridCol w:w="3277"/>
      </w:tblGrid>
      <w:tr w:rsidR="005D5F81" w:rsidRPr="005D5F81" w:rsidTr="00F47A5B">
        <w:trPr>
          <w:trHeight w:val="310"/>
        </w:trPr>
        <w:tc>
          <w:tcPr>
            <w:tcW w:w="45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5D5F81" w:rsidRPr="005D5F81" w:rsidRDefault="005D5F81" w:rsidP="005D5F81">
            <w:pPr>
              <w:spacing w:before="0"/>
              <w:jc w:val="center"/>
              <w:rPr>
                <w:rFonts w:ascii="Calibri" w:eastAsia="Times New Roman" w:hAnsi="Calibri" w:cs="Times New Roman"/>
                <w:b/>
                <w:bCs/>
                <w:sz w:val="21"/>
                <w:szCs w:val="21"/>
                <w:lang w:eastAsia="cs-CZ"/>
              </w:rPr>
            </w:pPr>
            <w:r w:rsidRPr="005D5F81">
              <w:rPr>
                <w:rFonts w:ascii="Calibri" w:eastAsia="Times New Roman" w:hAnsi="Calibri" w:cs="Times New Roman"/>
                <w:b/>
                <w:bCs/>
                <w:sz w:val="21"/>
                <w:szCs w:val="21"/>
                <w:lang w:eastAsia="cs-CZ"/>
              </w:rPr>
              <w:t xml:space="preserve">Peněžní prostředky </w:t>
            </w:r>
          </w:p>
        </w:tc>
        <w:tc>
          <w:tcPr>
            <w:tcW w:w="3277" w:type="dxa"/>
            <w:tcBorders>
              <w:top w:val="single" w:sz="12" w:space="0" w:color="auto"/>
              <w:left w:val="nil"/>
              <w:bottom w:val="single" w:sz="12" w:space="0" w:color="auto"/>
              <w:right w:val="single" w:sz="12" w:space="0" w:color="auto"/>
            </w:tcBorders>
            <w:shd w:val="clear" w:color="auto" w:fill="auto"/>
            <w:noWrap/>
            <w:vAlign w:val="bottom"/>
            <w:hideMark/>
          </w:tcPr>
          <w:p w:rsidR="005D5F81" w:rsidRPr="005D5F81" w:rsidRDefault="005D5F81" w:rsidP="005D5F81">
            <w:pPr>
              <w:spacing w:before="0"/>
              <w:jc w:val="center"/>
              <w:rPr>
                <w:rFonts w:ascii="Calibri" w:eastAsia="Times New Roman" w:hAnsi="Calibri" w:cs="Times New Roman"/>
                <w:b/>
                <w:bCs/>
                <w:sz w:val="21"/>
                <w:szCs w:val="21"/>
                <w:lang w:eastAsia="cs-CZ"/>
              </w:rPr>
            </w:pPr>
            <w:r w:rsidRPr="005D5F81">
              <w:rPr>
                <w:rFonts w:ascii="Calibri" w:eastAsia="Times New Roman" w:hAnsi="Calibri" w:cs="Times New Roman"/>
                <w:b/>
                <w:bCs/>
                <w:sz w:val="21"/>
                <w:szCs w:val="21"/>
                <w:lang w:eastAsia="cs-CZ"/>
              </w:rPr>
              <w:t>Stav k 31. 12. 2020</w:t>
            </w:r>
          </w:p>
        </w:tc>
      </w:tr>
      <w:tr w:rsidR="005D5F81" w:rsidRPr="005D5F81" w:rsidTr="00F47A5B">
        <w:trPr>
          <w:trHeight w:val="300"/>
        </w:trPr>
        <w:tc>
          <w:tcPr>
            <w:tcW w:w="4520" w:type="dxa"/>
            <w:tcBorders>
              <w:top w:val="nil"/>
              <w:left w:val="single" w:sz="12" w:space="0" w:color="auto"/>
              <w:bottom w:val="single" w:sz="4" w:space="0" w:color="auto"/>
              <w:right w:val="single" w:sz="4" w:space="0" w:color="auto"/>
            </w:tcBorders>
            <w:shd w:val="clear" w:color="auto" w:fill="auto"/>
            <w:noWrap/>
            <w:vAlign w:val="center"/>
            <w:hideMark/>
          </w:tcPr>
          <w:p w:rsidR="005D5F81" w:rsidRPr="005D5F81" w:rsidRDefault="005D5F81" w:rsidP="005D5F81">
            <w:pPr>
              <w:spacing w:before="0"/>
              <w:jc w:val="left"/>
              <w:rPr>
                <w:rFonts w:ascii="Calibri" w:eastAsia="Times New Roman" w:hAnsi="Calibri" w:cs="Times New Roman"/>
                <w:sz w:val="21"/>
                <w:szCs w:val="21"/>
                <w:lang w:eastAsia="cs-CZ"/>
              </w:rPr>
            </w:pPr>
            <w:r w:rsidRPr="005D5F81">
              <w:rPr>
                <w:rFonts w:ascii="Calibri" w:eastAsia="Times New Roman" w:hAnsi="Calibri" w:cs="Times New Roman"/>
                <w:sz w:val="21"/>
                <w:szCs w:val="21"/>
                <w:lang w:eastAsia="cs-CZ"/>
              </w:rPr>
              <w:t>Vázané prostředky</w:t>
            </w:r>
          </w:p>
        </w:tc>
        <w:tc>
          <w:tcPr>
            <w:tcW w:w="3277" w:type="dxa"/>
            <w:tcBorders>
              <w:top w:val="nil"/>
              <w:left w:val="nil"/>
              <w:bottom w:val="single" w:sz="4" w:space="0" w:color="auto"/>
              <w:right w:val="single" w:sz="12" w:space="0" w:color="auto"/>
            </w:tcBorders>
            <w:shd w:val="clear" w:color="auto" w:fill="auto"/>
            <w:noWrap/>
            <w:vAlign w:val="center"/>
            <w:hideMark/>
          </w:tcPr>
          <w:p w:rsidR="005D5F81" w:rsidRPr="005D5F81" w:rsidRDefault="00FF5D65" w:rsidP="005D5F81">
            <w:pPr>
              <w:spacing w:before="0"/>
              <w:jc w:val="right"/>
              <w:rPr>
                <w:rFonts w:ascii="Calibri" w:eastAsia="Times New Roman" w:hAnsi="Calibri" w:cs="Times New Roman"/>
                <w:sz w:val="21"/>
                <w:szCs w:val="21"/>
                <w:lang w:eastAsia="cs-CZ"/>
              </w:rPr>
            </w:pPr>
            <w:r w:rsidRPr="00FF5D65">
              <w:rPr>
                <w:rFonts w:ascii="Calibri" w:eastAsia="Times New Roman" w:hAnsi="Calibri" w:cs="Times New Roman"/>
                <w:sz w:val="21"/>
                <w:szCs w:val="21"/>
                <w:lang w:eastAsia="cs-CZ"/>
              </w:rPr>
              <w:t>4 031 887</w:t>
            </w:r>
          </w:p>
        </w:tc>
      </w:tr>
      <w:tr w:rsidR="005D5F81" w:rsidRPr="005D5F81" w:rsidTr="00F47A5B">
        <w:trPr>
          <w:trHeight w:val="300"/>
        </w:trPr>
        <w:tc>
          <w:tcPr>
            <w:tcW w:w="4520" w:type="dxa"/>
            <w:tcBorders>
              <w:top w:val="nil"/>
              <w:left w:val="single" w:sz="12" w:space="0" w:color="auto"/>
              <w:bottom w:val="nil"/>
              <w:right w:val="single" w:sz="4" w:space="0" w:color="auto"/>
            </w:tcBorders>
            <w:shd w:val="clear" w:color="auto" w:fill="auto"/>
            <w:noWrap/>
            <w:vAlign w:val="center"/>
            <w:hideMark/>
          </w:tcPr>
          <w:p w:rsidR="005D5F81" w:rsidRPr="005D5F81" w:rsidRDefault="005D5F81" w:rsidP="005D5F81">
            <w:pPr>
              <w:spacing w:before="0"/>
              <w:jc w:val="left"/>
              <w:rPr>
                <w:rFonts w:ascii="Calibri" w:eastAsia="Times New Roman" w:hAnsi="Calibri" w:cs="Times New Roman"/>
                <w:sz w:val="21"/>
                <w:szCs w:val="21"/>
                <w:lang w:eastAsia="cs-CZ"/>
              </w:rPr>
            </w:pPr>
            <w:r w:rsidRPr="005D5F81">
              <w:rPr>
                <w:rFonts w:ascii="Calibri" w:eastAsia="Times New Roman" w:hAnsi="Calibri" w:cs="Times New Roman"/>
                <w:sz w:val="21"/>
                <w:szCs w:val="21"/>
                <w:lang w:eastAsia="cs-CZ"/>
              </w:rPr>
              <w:t xml:space="preserve">Volné prostředky </w:t>
            </w:r>
          </w:p>
        </w:tc>
        <w:tc>
          <w:tcPr>
            <w:tcW w:w="3277" w:type="dxa"/>
            <w:tcBorders>
              <w:top w:val="nil"/>
              <w:left w:val="nil"/>
              <w:bottom w:val="nil"/>
              <w:right w:val="single" w:sz="12" w:space="0" w:color="auto"/>
            </w:tcBorders>
            <w:shd w:val="clear" w:color="auto" w:fill="auto"/>
            <w:noWrap/>
            <w:vAlign w:val="center"/>
            <w:hideMark/>
          </w:tcPr>
          <w:p w:rsidR="005D5F81" w:rsidRPr="005D5F81" w:rsidRDefault="00FF5D65" w:rsidP="005D5F81">
            <w:pPr>
              <w:spacing w:before="0"/>
              <w:jc w:val="right"/>
              <w:rPr>
                <w:rFonts w:ascii="Calibri" w:eastAsia="Times New Roman" w:hAnsi="Calibri" w:cs="Times New Roman"/>
                <w:sz w:val="21"/>
                <w:szCs w:val="21"/>
                <w:lang w:eastAsia="cs-CZ"/>
              </w:rPr>
            </w:pPr>
            <w:r w:rsidRPr="00FF5D65">
              <w:rPr>
                <w:rFonts w:ascii="Calibri" w:eastAsia="Times New Roman" w:hAnsi="Calibri" w:cs="Times New Roman"/>
                <w:sz w:val="21"/>
                <w:szCs w:val="21"/>
                <w:lang w:eastAsia="cs-CZ"/>
              </w:rPr>
              <w:t>12 679 727</w:t>
            </w:r>
          </w:p>
        </w:tc>
      </w:tr>
      <w:tr w:rsidR="005D5F81" w:rsidRPr="005D5F81" w:rsidTr="00F47A5B">
        <w:trPr>
          <w:trHeight w:val="310"/>
        </w:trPr>
        <w:tc>
          <w:tcPr>
            <w:tcW w:w="45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5F81" w:rsidRPr="005D5F81" w:rsidRDefault="005D5F81" w:rsidP="005D5F81">
            <w:pPr>
              <w:spacing w:before="0"/>
              <w:jc w:val="left"/>
              <w:rPr>
                <w:rFonts w:ascii="Calibri" w:eastAsia="Times New Roman" w:hAnsi="Calibri" w:cs="Times New Roman"/>
                <w:b/>
                <w:bCs/>
                <w:sz w:val="21"/>
                <w:szCs w:val="21"/>
                <w:lang w:eastAsia="cs-CZ"/>
              </w:rPr>
            </w:pPr>
            <w:r w:rsidRPr="005D5F81">
              <w:rPr>
                <w:rFonts w:ascii="Calibri" w:eastAsia="Times New Roman" w:hAnsi="Calibri" w:cs="Times New Roman"/>
                <w:b/>
                <w:bCs/>
                <w:sz w:val="21"/>
                <w:szCs w:val="21"/>
                <w:lang w:eastAsia="cs-CZ"/>
              </w:rPr>
              <w:t>Prostředky VP celkem</w:t>
            </w:r>
          </w:p>
        </w:tc>
        <w:tc>
          <w:tcPr>
            <w:tcW w:w="3277" w:type="dxa"/>
            <w:tcBorders>
              <w:top w:val="single" w:sz="12" w:space="0" w:color="auto"/>
              <w:left w:val="nil"/>
              <w:bottom w:val="single" w:sz="12" w:space="0" w:color="auto"/>
              <w:right w:val="single" w:sz="12" w:space="0" w:color="auto"/>
            </w:tcBorders>
            <w:shd w:val="clear" w:color="auto" w:fill="auto"/>
            <w:noWrap/>
            <w:vAlign w:val="center"/>
            <w:hideMark/>
          </w:tcPr>
          <w:p w:rsidR="005D5F81" w:rsidRPr="005D5F81" w:rsidRDefault="005D5F81" w:rsidP="005D5F81">
            <w:pPr>
              <w:spacing w:before="0"/>
              <w:jc w:val="right"/>
              <w:rPr>
                <w:rFonts w:ascii="Calibri" w:eastAsia="Times New Roman" w:hAnsi="Calibri" w:cs="Times New Roman"/>
                <w:b/>
                <w:bCs/>
                <w:sz w:val="21"/>
                <w:szCs w:val="21"/>
                <w:lang w:eastAsia="cs-CZ"/>
              </w:rPr>
            </w:pPr>
            <w:r>
              <w:rPr>
                <w:rFonts w:ascii="Calibri" w:eastAsia="Times New Roman" w:hAnsi="Calibri" w:cs="Times New Roman"/>
                <w:b/>
                <w:bCs/>
                <w:sz w:val="21"/>
                <w:szCs w:val="21"/>
                <w:lang w:eastAsia="cs-CZ"/>
              </w:rPr>
              <w:t>16 711 614</w:t>
            </w:r>
          </w:p>
        </w:tc>
      </w:tr>
    </w:tbl>
    <w:p w:rsidR="005D5F81" w:rsidRDefault="005D5F81" w:rsidP="005D5F81"/>
    <w:p w:rsidR="005D5F81" w:rsidRPr="005D5F81" w:rsidRDefault="005D5F81" w:rsidP="005D5F81"/>
    <w:p w:rsidR="00BD1E4E" w:rsidRDefault="00BD1E4E" w:rsidP="00FD6B3B">
      <w:pPr>
        <w:pStyle w:val="Tabgraf"/>
      </w:pPr>
    </w:p>
    <w:p w:rsidR="005D5F81" w:rsidRDefault="00BD1E4E" w:rsidP="005D5F81">
      <w:pPr>
        <w:pStyle w:val="Nzev"/>
      </w:pPr>
      <w:r>
        <w:br w:type="page"/>
      </w:r>
      <w:bookmarkStart w:id="35" w:name="_Toc65836231"/>
      <w:r w:rsidRPr="003C4961">
        <w:lastRenderedPageBreak/>
        <w:t xml:space="preserve">Tabulka č. </w:t>
      </w:r>
      <w:r w:rsidR="00E13D9D">
        <w:fldChar w:fldCharType="begin"/>
      </w:r>
      <w:r w:rsidR="00E13D9D">
        <w:instrText xml:space="preserve"> SEQ Tabulka_č. \* ARABIC </w:instrText>
      </w:r>
      <w:r w:rsidR="00E13D9D">
        <w:fldChar w:fldCharType="separate"/>
      </w:r>
      <w:r w:rsidR="008A4BFD">
        <w:rPr>
          <w:noProof/>
        </w:rPr>
        <w:t>9</w:t>
      </w:r>
      <w:r w:rsidR="00E13D9D">
        <w:rPr>
          <w:noProof/>
        </w:rPr>
        <w:fldChar w:fldCharType="end"/>
      </w:r>
      <w:r w:rsidRPr="003C4961">
        <w:t>: Druhová struktura ostatních příj</w:t>
      </w:r>
      <w:r w:rsidR="00520328">
        <w:t>mů velké privatizace v roce </w:t>
      </w:r>
      <w:r w:rsidR="00213E61">
        <w:t>2020</w:t>
      </w:r>
      <w:r w:rsidRPr="003C4961">
        <w:t xml:space="preserve"> (tis. Kč)</w:t>
      </w:r>
      <w:bookmarkEnd w:id="35"/>
    </w:p>
    <w:tbl>
      <w:tblPr>
        <w:tblW w:w="9660" w:type="dxa"/>
        <w:tblInd w:w="-15" w:type="dxa"/>
        <w:tblCellMar>
          <w:left w:w="70" w:type="dxa"/>
          <w:right w:w="70" w:type="dxa"/>
        </w:tblCellMar>
        <w:tblLook w:val="04A0" w:firstRow="1" w:lastRow="0" w:firstColumn="1" w:lastColumn="0" w:noHBand="0" w:noVBand="1"/>
      </w:tblPr>
      <w:tblGrid>
        <w:gridCol w:w="5387"/>
        <w:gridCol w:w="1276"/>
        <w:gridCol w:w="1275"/>
        <w:gridCol w:w="1722"/>
      </w:tblGrid>
      <w:tr w:rsidR="00717CC4" w:rsidRPr="00717CC4" w:rsidTr="00717CC4">
        <w:trPr>
          <w:trHeight w:val="310"/>
        </w:trPr>
        <w:tc>
          <w:tcPr>
            <w:tcW w:w="5387" w:type="dxa"/>
            <w:tcBorders>
              <w:top w:val="single" w:sz="12" w:space="0" w:color="auto"/>
              <w:left w:val="single" w:sz="12" w:space="0" w:color="auto"/>
              <w:bottom w:val="single" w:sz="12" w:space="0" w:color="auto"/>
              <w:right w:val="single" w:sz="8" w:space="0" w:color="auto"/>
            </w:tcBorders>
            <w:shd w:val="clear" w:color="auto" w:fill="auto"/>
            <w:noWrap/>
            <w:vAlign w:val="center"/>
            <w:hideMark/>
          </w:tcPr>
          <w:p w:rsidR="00717CC4" w:rsidRPr="00717CC4" w:rsidRDefault="00717CC4" w:rsidP="00717CC4">
            <w:pPr>
              <w:spacing w:before="0"/>
              <w:jc w:val="center"/>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Druh příjmu</w:t>
            </w:r>
          </w:p>
        </w:tc>
        <w:tc>
          <w:tcPr>
            <w:tcW w:w="1276" w:type="dxa"/>
            <w:tcBorders>
              <w:top w:val="single" w:sz="12" w:space="0" w:color="auto"/>
              <w:left w:val="nil"/>
              <w:bottom w:val="single" w:sz="12" w:space="0" w:color="auto"/>
              <w:right w:val="single" w:sz="4" w:space="0" w:color="auto"/>
            </w:tcBorders>
            <w:shd w:val="clear" w:color="auto" w:fill="auto"/>
            <w:noWrap/>
            <w:vAlign w:val="center"/>
            <w:hideMark/>
          </w:tcPr>
          <w:p w:rsidR="00717CC4" w:rsidRPr="00717CC4" w:rsidRDefault="00717CC4" w:rsidP="00717CC4">
            <w:pPr>
              <w:spacing w:before="0"/>
              <w:jc w:val="center"/>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1991 - 2019</w:t>
            </w:r>
          </w:p>
        </w:tc>
        <w:tc>
          <w:tcPr>
            <w:tcW w:w="1275" w:type="dxa"/>
            <w:tcBorders>
              <w:top w:val="single" w:sz="12" w:space="0" w:color="auto"/>
              <w:left w:val="nil"/>
              <w:bottom w:val="single" w:sz="12" w:space="0" w:color="auto"/>
              <w:right w:val="single" w:sz="4" w:space="0" w:color="auto"/>
            </w:tcBorders>
            <w:shd w:val="clear" w:color="auto" w:fill="auto"/>
            <w:noWrap/>
            <w:vAlign w:val="center"/>
            <w:hideMark/>
          </w:tcPr>
          <w:p w:rsidR="00717CC4" w:rsidRPr="00717CC4" w:rsidRDefault="00717CC4" w:rsidP="00717CC4">
            <w:pPr>
              <w:spacing w:before="0"/>
              <w:jc w:val="center"/>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Rok 2020</w:t>
            </w:r>
          </w:p>
        </w:tc>
        <w:tc>
          <w:tcPr>
            <w:tcW w:w="1722" w:type="dxa"/>
            <w:tcBorders>
              <w:top w:val="single" w:sz="12" w:space="0" w:color="auto"/>
              <w:left w:val="nil"/>
              <w:bottom w:val="single" w:sz="12" w:space="0" w:color="auto"/>
              <w:right w:val="single" w:sz="12" w:space="0" w:color="auto"/>
            </w:tcBorders>
            <w:shd w:val="clear" w:color="auto" w:fill="auto"/>
            <w:noWrap/>
            <w:vAlign w:val="center"/>
            <w:hideMark/>
          </w:tcPr>
          <w:p w:rsidR="00717CC4" w:rsidRPr="00717CC4" w:rsidRDefault="00717CC4" w:rsidP="00717CC4">
            <w:pPr>
              <w:spacing w:before="0"/>
              <w:jc w:val="center"/>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Celkem</w:t>
            </w:r>
          </w:p>
        </w:tc>
      </w:tr>
      <w:tr w:rsidR="00717CC4" w:rsidRPr="00717CC4" w:rsidTr="00717CC4">
        <w:trPr>
          <w:trHeight w:val="30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 xml:space="preserve">Příjmy ze Státního pozemkového úřadu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1 185 444</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116 145</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1 301 589</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Úroky z běžných účtů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3 657 416</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3 657 416</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Úroky z termínovaných vkladů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5 259 430</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5 259 430</w:t>
            </w:r>
          </w:p>
        </w:tc>
      </w:tr>
      <w:tr w:rsidR="00717CC4" w:rsidRPr="00717CC4" w:rsidTr="00717CC4">
        <w:trPr>
          <w:trHeight w:val="151"/>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Výnos REPO</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1 094 392</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1 094 392</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Úroky z podřízených vkladů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1 993 782</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1 993 782</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Dodatkový odvod daně z úroků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-36 422</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-36 422</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Úroky - splátkový prodej</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1 883 554</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1 883 554</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Sankční úroky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542 650</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542 650</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Propadlé záruky 10 % kupní ceny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493 754</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493 754</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Propadlé dražební jistoty a ostatní platby dražby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95 128</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95 128</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Ostatní sankční platby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3 336 319</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1 395</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3 337 714</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Pokuty vyměřené OÚ, dle zákona č. 438/1991 Sb.,</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18</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18</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Výnosy z organizování veřejných soutěží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108 048</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108 051</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Výnosy z prodeje majetku a.s. v souladu s privatizačním projektem</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609</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609</w:t>
            </w:r>
          </w:p>
        </w:tc>
      </w:tr>
      <w:tr w:rsidR="00717CC4" w:rsidRPr="00717CC4" w:rsidTr="00717CC4">
        <w:trPr>
          <w:trHeight w:val="73"/>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 xml:space="preserve">Nájemné z pronájmu majetku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117 406</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21</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117 427</w:t>
            </w:r>
          </w:p>
        </w:tc>
      </w:tr>
      <w:tr w:rsidR="00717CC4" w:rsidRPr="00717CC4" w:rsidTr="00717CC4">
        <w:trPr>
          <w:trHeight w:val="78"/>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 xml:space="preserve">Příjem z prodeje majetku správy FNM ČR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3 435</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3 435</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Výnos z prodeje věcí OÚ, dle zákona č. 162/1992 Sb.</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47 185</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47 185</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Příjem z likvidace družstev, dle zákona č.  42/1992 Sb.</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8 649</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8 649</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Přijaté náhrady - soudní rozhodnutí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575 159</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153 573</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728 732</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Příjmy z konkurzů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357 246</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18</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282F66" w:rsidP="00717CC4">
            <w:pPr>
              <w:spacing w:before="0"/>
              <w:jc w:val="right"/>
              <w:rPr>
                <w:rFonts w:ascii="Calibri" w:eastAsia="Times New Roman" w:hAnsi="Calibri" w:cs="Calibri"/>
                <w:sz w:val="21"/>
                <w:szCs w:val="21"/>
                <w:lang w:eastAsia="cs-CZ"/>
              </w:rPr>
            </w:pPr>
            <w:r>
              <w:rPr>
                <w:rFonts w:ascii="Calibri" w:eastAsia="Times New Roman" w:hAnsi="Calibri" w:cs="Calibri"/>
                <w:sz w:val="21"/>
                <w:szCs w:val="21"/>
                <w:lang w:eastAsia="cs-CZ"/>
              </w:rPr>
              <w:t>357 264</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Výnos z domu Františkánská 5, Plzeň</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898</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898</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Dividendy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224 391 291</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14 894 265</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239 285 556</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Zvýšení nominální hodnoty akcií ze zisku obchodní společnosti</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33</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33</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Výnosy z prodeje investičních kuponů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8 765 495</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8 765 495</w:t>
            </w:r>
          </w:p>
        </w:tc>
      </w:tr>
      <w:tr w:rsidR="00717CC4" w:rsidRPr="00717CC4" w:rsidTr="00717CC4">
        <w:trPr>
          <w:trHeight w:val="315"/>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Rozdíl mezi výnosem z prodeje obligací FNM ČR na dotaci do RF ČKA</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26</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26</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Závazky z nákupu akcií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-10 582</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-10 582</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Fakturace služeb FNM ČR, pojistné</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14 534</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14 534</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Úhrady směnečných pohledávek</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77</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77</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Převzaté finanční prostředky od České inkasní (ČKD)</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434 305</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434 305</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Úhrada pohledávky převzaté od privatizačních subjektů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76 495</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13 478</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89 973</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Příjem z neuplatněného předkupního práva FNM ČR</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1 673</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1 673</w:t>
            </w:r>
          </w:p>
        </w:tc>
      </w:tr>
      <w:tr w:rsidR="00717CC4" w:rsidRPr="00717CC4" w:rsidTr="006460E9">
        <w:trPr>
          <w:trHeight w:val="139"/>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Zhodnocení finančních prostředků uložených na účtu správce</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25 415</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25 415</w:t>
            </w:r>
          </w:p>
        </w:tc>
      </w:tr>
      <w:tr w:rsidR="00717CC4" w:rsidRPr="00717CC4" w:rsidTr="006460E9">
        <w:trPr>
          <w:trHeight w:val="116"/>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ČEPRO, a. s. - Kompenzace ručení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18 412</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18 412</w:t>
            </w:r>
          </w:p>
        </w:tc>
      </w:tr>
      <w:tr w:rsidR="00717CC4" w:rsidRPr="00717CC4" w:rsidTr="00717CC4">
        <w:trPr>
          <w:trHeight w:val="76"/>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Ostatní závazky (přeplatky KC)</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1 655</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1 655</w:t>
            </w:r>
          </w:p>
        </w:tc>
      </w:tr>
      <w:tr w:rsidR="00717CC4" w:rsidRPr="00717CC4" w:rsidTr="00717CC4">
        <w:trPr>
          <w:trHeight w:val="66"/>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Kurzové rozdíly celkem 1991-2000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681 976</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681 976</w:t>
            </w:r>
          </w:p>
        </w:tc>
      </w:tr>
      <w:tr w:rsidR="00717CC4" w:rsidRPr="00717CC4" w:rsidTr="00717CC4">
        <w:trPr>
          <w:trHeight w:val="56"/>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Haléřové vyrovnání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Přijaté jistoty vyhlášených veřejných zakázek</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221 625</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2 470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224 095</w:t>
            </w:r>
          </w:p>
        </w:tc>
      </w:tr>
      <w:tr w:rsidR="00717CC4" w:rsidRPr="00717CC4" w:rsidTr="006460E9">
        <w:trPr>
          <w:trHeight w:val="136"/>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Přijaté bankovní záruky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15 655</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1 523</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17 178</w:t>
            </w:r>
          </w:p>
        </w:tc>
      </w:tr>
      <w:tr w:rsidR="00717CC4" w:rsidRPr="00717CC4" w:rsidTr="00717CC4">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Odměna za výkon funkce člena věřitelského výboru</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334</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334</w:t>
            </w:r>
          </w:p>
        </w:tc>
      </w:tr>
      <w:tr w:rsidR="00717CC4" w:rsidRPr="00717CC4" w:rsidTr="00717CC4">
        <w:trPr>
          <w:trHeight w:val="129"/>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Vrácené zálohy RPP</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-353</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-353</w:t>
            </w:r>
          </w:p>
        </w:tc>
      </w:tr>
      <w:tr w:rsidR="00717CC4" w:rsidRPr="00717CC4" w:rsidTr="00717CC4">
        <w:trPr>
          <w:trHeight w:val="106"/>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Pojistné plnění KUPA</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505</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505</w:t>
            </w:r>
          </w:p>
        </w:tc>
      </w:tr>
      <w:tr w:rsidR="00717CC4" w:rsidRPr="00717CC4" w:rsidTr="00717CC4">
        <w:trPr>
          <w:trHeight w:val="96"/>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Převod z účtu FFNM</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2 000 000</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2 000 000</w:t>
            </w:r>
          </w:p>
        </w:tc>
      </w:tr>
      <w:tr w:rsidR="00717CC4" w:rsidRPr="00717CC4" w:rsidTr="00717CC4">
        <w:trPr>
          <w:trHeight w:val="72"/>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Neidentifikovatelné platby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21</w:t>
            </w:r>
          </w:p>
        </w:tc>
        <w:tc>
          <w:tcPr>
            <w:tcW w:w="1275" w:type="dxa"/>
            <w:tcBorders>
              <w:top w:val="nil"/>
              <w:left w:val="nil"/>
              <w:bottom w:val="single" w:sz="4"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0</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21</w:t>
            </w:r>
          </w:p>
        </w:tc>
      </w:tr>
      <w:tr w:rsidR="00717CC4" w:rsidRPr="00717CC4" w:rsidTr="00717CC4">
        <w:trPr>
          <w:trHeight w:val="300"/>
        </w:trPr>
        <w:tc>
          <w:tcPr>
            <w:tcW w:w="5387" w:type="dxa"/>
            <w:tcBorders>
              <w:top w:val="nil"/>
              <w:left w:val="single" w:sz="12" w:space="0" w:color="auto"/>
              <w:bottom w:val="nil"/>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color w:val="000000"/>
                <w:sz w:val="21"/>
                <w:szCs w:val="21"/>
                <w:lang w:eastAsia="cs-CZ"/>
              </w:rPr>
            </w:pPr>
            <w:r w:rsidRPr="00717CC4">
              <w:rPr>
                <w:rFonts w:ascii="Calibri" w:eastAsia="Times New Roman" w:hAnsi="Calibri" w:cs="Calibri"/>
                <w:color w:val="000000"/>
                <w:sz w:val="21"/>
                <w:szCs w:val="21"/>
                <w:lang w:eastAsia="cs-CZ"/>
              </w:rPr>
              <w:t>Další platby</w:t>
            </w:r>
          </w:p>
        </w:tc>
        <w:tc>
          <w:tcPr>
            <w:tcW w:w="1276" w:type="dxa"/>
            <w:tcBorders>
              <w:top w:val="nil"/>
              <w:left w:val="single" w:sz="4" w:space="0" w:color="auto"/>
              <w:bottom w:val="nil"/>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72 338</w:t>
            </w:r>
          </w:p>
        </w:tc>
        <w:tc>
          <w:tcPr>
            <w:tcW w:w="1275" w:type="dxa"/>
            <w:tcBorders>
              <w:top w:val="nil"/>
              <w:left w:val="nil"/>
              <w:bottom w:val="nil"/>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1 759</w:t>
            </w:r>
          </w:p>
        </w:tc>
        <w:tc>
          <w:tcPr>
            <w:tcW w:w="1722" w:type="dxa"/>
            <w:tcBorders>
              <w:top w:val="nil"/>
              <w:left w:val="nil"/>
              <w:bottom w:val="single" w:sz="4"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sz w:val="21"/>
                <w:szCs w:val="21"/>
                <w:lang w:eastAsia="cs-CZ"/>
              </w:rPr>
            </w:pPr>
            <w:r w:rsidRPr="00717CC4">
              <w:rPr>
                <w:rFonts w:ascii="Calibri" w:eastAsia="Times New Roman" w:hAnsi="Calibri" w:cs="Calibri"/>
                <w:sz w:val="21"/>
                <w:szCs w:val="21"/>
                <w:lang w:eastAsia="cs-CZ"/>
              </w:rPr>
              <w:t>74 097</w:t>
            </w:r>
          </w:p>
        </w:tc>
      </w:tr>
      <w:tr w:rsidR="00717CC4" w:rsidRPr="00717CC4" w:rsidTr="00717CC4">
        <w:trPr>
          <w:trHeight w:val="310"/>
        </w:trPr>
        <w:tc>
          <w:tcPr>
            <w:tcW w:w="5387" w:type="dxa"/>
            <w:tcBorders>
              <w:top w:val="single" w:sz="12" w:space="0" w:color="auto"/>
              <w:left w:val="single" w:sz="12" w:space="0" w:color="auto"/>
              <w:bottom w:val="single" w:sz="12" w:space="0" w:color="auto"/>
              <w:right w:val="single" w:sz="8" w:space="0" w:color="auto"/>
            </w:tcBorders>
            <w:shd w:val="clear" w:color="auto" w:fill="auto"/>
            <w:noWrap/>
            <w:vAlign w:val="center"/>
            <w:hideMark/>
          </w:tcPr>
          <w:p w:rsidR="00717CC4" w:rsidRPr="00717CC4" w:rsidRDefault="00717CC4" w:rsidP="00717CC4">
            <w:pPr>
              <w:spacing w:before="0"/>
              <w:jc w:val="left"/>
              <w:rPr>
                <w:rFonts w:ascii="Calibri" w:eastAsia="Times New Roman" w:hAnsi="Calibri" w:cs="Calibri"/>
                <w:b/>
                <w:bCs/>
                <w:color w:val="000000"/>
                <w:sz w:val="21"/>
                <w:szCs w:val="21"/>
                <w:lang w:eastAsia="cs-CZ"/>
              </w:rPr>
            </w:pPr>
            <w:r w:rsidRPr="00717CC4">
              <w:rPr>
                <w:rFonts w:ascii="Calibri" w:eastAsia="Times New Roman" w:hAnsi="Calibri" w:cs="Calibri"/>
                <w:b/>
                <w:bCs/>
                <w:color w:val="000000"/>
                <w:sz w:val="21"/>
                <w:szCs w:val="21"/>
                <w:lang w:eastAsia="cs-CZ"/>
              </w:rPr>
              <w:t>Ostatní příjmy celkem</w:t>
            </w:r>
          </w:p>
        </w:tc>
        <w:tc>
          <w:tcPr>
            <w:tcW w:w="1276"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257 435 031</w:t>
            </w:r>
          </w:p>
        </w:tc>
        <w:tc>
          <w:tcPr>
            <w:tcW w:w="1275" w:type="dxa"/>
            <w:tcBorders>
              <w:top w:val="single" w:sz="12" w:space="0" w:color="auto"/>
              <w:left w:val="nil"/>
              <w:bottom w:val="single" w:sz="12" w:space="0" w:color="auto"/>
              <w:right w:val="single" w:sz="4"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15 184 650</w:t>
            </w:r>
          </w:p>
        </w:tc>
        <w:tc>
          <w:tcPr>
            <w:tcW w:w="1722" w:type="dxa"/>
            <w:tcBorders>
              <w:top w:val="single" w:sz="12" w:space="0" w:color="auto"/>
              <w:left w:val="nil"/>
              <w:bottom w:val="single" w:sz="12" w:space="0" w:color="auto"/>
              <w:right w:val="single" w:sz="12" w:space="0" w:color="auto"/>
            </w:tcBorders>
            <w:shd w:val="clear" w:color="auto" w:fill="auto"/>
            <w:noWrap/>
            <w:vAlign w:val="center"/>
            <w:hideMark/>
          </w:tcPr>
          <w:p w:rsidR="00717CC4" w:rsidRPr="00717CC4" w:rsidRDefault="00717CC4" w:rsidP="00717CC4">
            <w:pPr>
              <w:spacing w:before="0"/>
              <w:jc w:val="right"/>
              <w:rPr>
                <w:rFonts w:ascii="Calibri" w:eastAsia="Times New Roman" w:hAnsi="Calibri" w:cs="Calibri"/>
                <w:b/>
                <w:bCs/>
                <w:sz w:val="21"/>
                <w:szCs w:val="21"/>
                <w:lang w:eastAsia="cs-CZ"/>
              </w:rPr>
            </w:pPr>
            <w:r w:rsidRPr="00717CC4">
              <w:rPr>
                <w:rFonts w:ascii="Calibri" w:eastAsia="Times New Roman" w:hAnsi="Calibri" w:cs="Calibri"/>
                <w:b/>
                <w:bCs/>
                <w:sz w:val="21"/>
                <w:szCs w:val="21"/>
                <w:lang w:eastAsia="cs-CZ"/>
              </w:rPr>
              <w:t>272 619 681</w:t>
            </w:r>
          </w:p>
        </w:tc>
      </w:tr>
    </w:tbl>
    <w:p w:rsidR="00BD1E4E" w:rsidRPr="00D65396" w:rsidRDefault="00BD1E4E" w:rsidP="00BD1E4E">
      <w:r w:rsidRPr="00110FAF">
        <w:lastRenderedPageBreak/>
        <w:t>N</w:t>
      </w:r>
      <w:r w:rsidR="005D5F81">
        <w:t>ejvýznamnějším příjmem roku 2020</w:t>
      </w:r>
      <w:r w:rsidRPr="00110FAF">
        <w:t xml:space="preserve"> byly přijaté dividendy především ze společnosti </w:t>
      </w:r>
      <w:r w:rsidRPr="00D65396">
        <w:t>ČEZ, a. s.</w:t>
      </w:r>
      <w:r w:rsidR="004B63C6" w:rsidRPr="00D65396">
        <w:t xml:space="preserve"> ve výši 12 688 685 114</w:t>
      </w:r>
      <w:r w:rsidRPr="00D65396">
        <w:t xml:space="preserve"> tis. </w:t>
      </w:r>
      <w:r w:rsidR="009D22D1" w:rsidRPr="00D65396">
        <w:t>Kč, ČEPRO, a. s. ve výši 1 205</w:t>
      </w:r>
      <w:r w:rsidR="00520328">
        <w:t> </w:t>
      </w:r>
      <w:r w:rsidR="009D22D1" w:rsidRPr="00D65396">
        <w:t>580</w:t>
      </w:r>
      <w:r w:rsidR="00520328">
        <w:t> tis. </w:t>
      </w:r>
      <w:r w:rsidRPr="00D65396">
        <w:t>Kč</w:t>
      </w:r>
      <w:r w:rsidR="009D22D1" w:rsidRPr="00D65396">
        <w:t>, MERO Č</w:t>
      </w:r>
      <w:r w:rsidR="00520328">
        <w:t>R, a. s. ve výši 1 000 000 tis. </w:t>
      </w:r>
      <w:r w:rsidR="009D22D1" w:rsidRPr="00D65396">
        <w:t>Kč a Slovácké</w:t>
      </w:r>
      <w:r w:rsidR="00520328">
        <w:t xml:space="preserve"> vodárny a kanalizace ve výši 4 </w:t>
      </w:r>
      <w:r w:rsidR="009D22D1" w:rsidRPr="00D65396">
        <w:t>Kč.</w:t>
      </w:r>
    </w:p>
    <w:p w:rsidR="00BD1E4E" w:rsidRPr="00110FAF" w:rsidRDefault="00BD1E4E" w:rsidP="00BD1E4E">
      <w:r w:rsidRPr="0043457D">
        <w:t xml:space="preserve">Příjmy z prodeje majetku činily </w:t>
      </w:r>
      <w:r w:rsidR="00520328">
        <w:t>1 </w:t>
      </w:r>
      <w:r w:rsidR="008F5C09" w:rsidRPr="008F5C09">
        <w:t>750</w:t>
      </w:r>
      <w:r w:rsidR="00520328">
        <w:t> </w:t>
      </w:r>
      <w:r w:rsidR="008F5C09" w:rsidRPr="008F5C09">
        <w:t>527</w:t>
      </w:r>
      <w:r w:rsidR="00520328">
        <w:t> tis. </w:t>
      </w:r>
      <w:r w:rsidR="001A7F87" w:rsidRPr="0043457D">
        <w:t xml:space="preserve">Kč, </w:t>
      </w:r>
      <w:r w:rsidR="00D65396" w:rsidRPr="0043457D">
        <w:t>a to především z prodeje pozemků</w:t>
      </w:r>
      <w:r w:rsidR="007E6AB4" w:rsidRPr="0043457D">
        <w:t xml:space="preserve"> státního podniku Správa</w:t>
      </w:r>
      <w:r w:rsidR="00D65396" w:rsidRPr="0043457D">
        <w:t xml:space="preserve"> letiště Praha.</w:t>
      </w:r>
    </w:p>
    <w:p w:rsidR="00BD1E4E" w:rsidRPr="006F2953" w:rsidRDefault="00BD1E4E" w:rsidP="00BD1E4E">
      <w:r w:rsidRPr="00110FAF">
        <w:t xml:space="preserve">Dalším významným příjmem je příjem ze Státního pozemkového úřadu v hodnotě </w:t>
      </w:r>
      <w:r w:rsidR="00AD7466" w:rsidRPr="00AD7466">
        <w:t>116</w:t>
      </w:r>
      <w:r w:rsidR="00AD7466">
        <w:t> </w:t>
      </w:r>
      <w:r w:rsidR="00AD7466" w:rsidRPr="00AD7466">
        <w:t>145</w:t>
      </w:r>
      <w:r w:rsidR="00AD7466">
        <w:t xml:space="preserve"> </w:t>
      </w:r>
      <w:r w:rsidR="00520328">
        <w:t>tis. </w:t>
      </w:r>
      <w:r w:rsidRPr="00110FAF">
        <w:t>Kč. Částka byla obdržena na základě novelizace zákona č. 503/2012 Sb.,</w:t>
      </w:r>
      <w:r>
        <w:t xml:space="preserve"> </w:t>
      </w:r>
      <w:r w:rsidRPr="00110FAF">
        <w:t>o</w:t>
      </w:r>
      <w:r>
        <w:t> </w:t>
      </w:r>
      <w:r w:rsidRPr="00110FAF">
        <w:t>Státním pozemkovém úřadu. V dalších letech je očekáván příjem z toho</w:t>
      </w:r>
      <w:r w:rsidR="00520328">
        <w:t>to titulu v hodnotě cca 100 000 tis. </w:t>
      </w:r>
      <w:r w:rsidRPr="00110FAF">
        <w:t>Kč/rok.</w:t>
      </w:r>
    </w:p>
    <w:p w:rsidR="00BD1E4E" w:rsidRDefault="00BD1E4E" w:rsidP="00FD6B3B">
      <w:pPr>
        <w:pStyle w:val="Nzev"/>
      </w:pPr>
      <w:bookmarkStart w:id="36" w:name="_Toc65836232"/>
      <w:r w:rsidRPr="00307CAA">
        <w:t xml:space="preserve">Tabulka č. </w:t>
      </w:r>
      <w:r w:rsidR="00E13D9D">
        <w:fldChar w:fldCharType="begin"/>
      </w:r>
      <w:r w:rsidR="00E13D9D">
        <w:instrText xml:space="preserve"> SEQ Tabulka_č. \* ARABIC </w:instrText>
      </w:r>
      <w:r w:rsidR="00E13D9D">
        <w:fldChar w:fldCharType="separate"/>
      </w:r>
      <w:r w:rsidR="008A4BFD">
        <w:rPr>
          <w:noProof/>
        </w:rPr>
        <w:t>10</w:t>
      </w:r>
      <w:r w:rsidR="00E13D9D">
        <w:rPr>
          <w:noProof/>
        </w:rPr>
        <w:fldChar w:fldCharType="end"/>
      </w:r>
      <w:r w:rsidRPr="00307CAA">
        <w:t xml:space="preserve">: Druhová struktura celkových výdajů v </w:t>
      </w:r>
      <w:r w:rsidR="00AD7466">
        <w:t>roce 2020</w:t>
      </w:r>
      <w:r w:rsidRPr="00307CAA">
        <w:t xml:space="preserve"> (tis. Kč)</w:t>
      </w:r>
      <w:bookmarkEnd w:id="36"/>
    </w:p>
    <w:tbl>
      <w:tblPr>
        <w:tblW w:w="9498" w:type="dxa"/>
        <w:tblInd w:w="-15" w:type="dxa"/>
        <w:tblCellMar>
          <w:left w:w="70" w:type="dxa"/>
          <w:right w:w="70" w:type="dxa"/>
        </w:tblCellMar>
        <w:tblLook w:val="04A0" w:firstRow="1" w:lastRow="0" w:firstColumn="1" w:lastColumn="0" w:noHBand="0" w:noVBand="1"/>
      </w:tblPr>
      <w:tblGrid>
        <w:gridCol w:w="5387"/>
        <w:gridCol w:w="1276"/>
        <w:gridCol w:w="1275"/>
        <w:gridCol w:w="1560"/>
      </w:tblGrid>
      <w:tr w:rsidR="00AD7466" w:rsidRPr="00AD7466" w:rsidTr="00F47A5B">
        <w:trPr>
          <w:trHeight w:val="310"/>
          <w:tblHeader/>
        </w:trPr>
        <w:tc>
          <w:tcPr>
            <w:tcW w:w="5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D7466" w:rsidRPr="00AD7466" w:rsidRDefault="00AD7466" w:rsidP="00AD7466">
            <w:pPr>
              <w:spacing w:before="0"/>
              <w:jc w:val="center"/>
              <w:rPr>
                <w:rFonts w:ascii="Calibri" w:eastAsia="Times New Roman" w:hAnsi="Calibri" w:cs="Times New Roman"/>
                <w:b/>
                <w:bCs/>
                <w:sz w:val="21"/>
                <w:szCs w:val="21"/>
                <w:lang w:eastAsia="cs-CZ"/>
              </w:rPr>
            </w:pPr>
            <w:r w:rsidRPr="00AD7466">
              <w:rPr>
                <w:rFonts w:ascii="Calibri" w:eastAsia="Times New Roman" w:hAnsi="Calibri" w:cs="Times New Roman"/>
                <w:b/>
                <w:bCs/>
                <w:sz w:val="21"/>
                <w:szCs w:val="21"/>
                <w:lang w:eastAsia="cs-CZ"/>
              </w:rPr>
              <w:t>Druh výdaje</w:t>
            </w:r>
          </w:p>
        </w:tc>
        <w:tc>
          <w:tcPr>
            <w:tcW w:w="1276" w:type="dxa"/>
            <w:tcBorders>
              <w:top w:val="single" w:sz="12" w:space="0" w:color="auto"/>
              <w:left w:val="nil"/>
              <w:bottom w:val="single" w:sz="12" w:space="0" w:color="auto"/>
              <w:right w:val="single" w:sz="4" w:space="0" w:color="auto"/>
            </w:tcBorders>
            <w:shd w:val="clear" w:color="auto" w:fill="auto"/>
            <w:noWrap/>
            <w:vAlign w:val="center"/>
            <w:hideMark/>
          </w:tcPr>
          <w:p w:rsidR="00AD7466" w:rsidRPr="00AD7466" w:rsidRDefault="00AD7466" w:rsidP="00AD7466">
            <w:pPr>
              <w:spacing w:before="0"/>
              <w:jc w:val="center"/>
              <w:rPr>
                <w:rFonts w:ascii="Calibri" w:eastAsia="Times New Roman" w:hAnsi="Calibri" w:cs="Times New Roman"/>
                <w:b/>
                <w:bCs/>
                <w:sz w:val="21"/>
                <w:szCs w:val="21"/>
                <w:lang w:eastAsia="cs-CZ"/>
              </w:rPr>
            </w:pPr>
            <w:r w:rsidRPr="00AD7466">
              <w:rPr>
                <w:rFonts w:ascii="Calibri" w:eastAsia="Times New Roman" w:hAnsi="Calibri" w:cs="Times New Roman"/>
                <w:b/>
                <w:bCs/>
                <w:sz w:val="21"/>
                <w:szCs w:val="21"/>
                <w:lang w:eastAsia="cs-CZ"/>
              </w:rPr>
              <w:t>1991 - 2019</w:t>
            </w:r>
          </w:p>
        </w:tc>
        <w:tc>
          <w:tcPr>
            <w:tcW w:w="1275" w:type="dxa"/>
            <w:tcBorders>
              <w:top w:val="single" w:sz="12" w:space="0" w:color="auto"/>
              <w:left w:val="nil"/>
              <w:bottom w:val="single" w:sz="12" w:space="0" w:color="auto"/>
              <w:right w:val="single" w:sz="4" w:space="0" w:color="auto"/>
            </w:tcBorders>
            <w:shd w:val="clear" w:color="auto" w:fill="auto"/>
            <w:noWrap/>
            <w:vAlign w:val="center"/>
            <w:hideMark/>
          </w:tcPr>
          <w:p w:rsidR="00AD7466" w:rsidRPr="00AD7466" w:rsidRDefault="00AD7466" w:rsidP="00AD7466">
            <w:pPr>
              <w:spacing w:before="0"/>
              <w:jc w:val="center"/>
              <w:rPr>
                <w:rFonts w:ascii="Calibri" w:eastAsia="Times New Roman" w:hAnsi="Calibri" w:cs="Times New Roman"/>
                <w:b/>
                <w:bCs/>
                <w:sz w:val="21"/>
                <w:szCs w:val="21"/>
                <w:lang w:eastAsia="cs-CZ"/>
              </w:rPr>
            </w:pPr>
            <w:r w:rsidRPr="00AD7466">
              <w:rPr>
                <w:rFonts w:ascii="Calibri" w:eastAsia="Times New Roman" w:hAnsi="Calibri" w:cs="Times New Roman"/>
                <w:b/>
                <w:bCs/>
                <w:sz w:val="21"/>
                <w:szCs w:val="21"/>
                <w:lang w:eastAsia="cs-CZ"/>
              </w:rPr>
              <w:t>Rok 2020</w:t>
            </w:r>
          </w:p>
        </w:tc>
        <w:tc>
          <w:tcPr>
            <w:tcW w:w="1560" w:type="dxa"/>
            <w:tcBorders>
              <w:top w:val="single" w:sz="12" w:space="0" w:color="auto"/>
              <w:left w:val="nil"/>
              <w:bottom w:val="single" w:sz="12" w:space="0" w:color="auto"/>
              <w:right w:val="single" w:sz="12" w:space="0" w:color="auto"/>
            </w:tcBorders>
            <w:shd w:val="clear" w:color="auto" w:fill="auto"/>
            <w:noWrap/>
            <w:vAlign w:val="center"/>
            <w:hideMark/>
          </w:tcPr>
          <w:p w:rsidR="00AD7466" w:rsidRPr="00AD7466" w:rsidRDefault="00AD7466" w:rsidP="00AD7466">
            <w:pPr>
              <w:spacing w:before="0"/>
              <w:jc w:val="center"/>
              <w:rPr>
                <w:rFonts w:ascii="Calibri" w:eastAsia="Times New Roman" w:hAnsi="Calibri" w:cs="Times New Roman"/>
                <w:b/>
                <w:bCs/>
                <w:sz w:val="21"/>
                <w:szCs w:val="21"/>
                <w:lang w:eastAsia="cs-CZ"/>
              </w:rPr>
            </w:pPr>
            <w:r w:rsidRPr="00AD7466">
              <w:rPr>
                <w:rFonts w:ascii="Calibri" w:eastAsia="Times New Roman" w:hAnsi="Calibri" w:cs="Times New Roman"/>
                <w:b/>
                <w:bCs/>
                <w:sz w:val="21"/>
                <w:szCs w:val="21"/>
                <w:lang w:eastAsia="cs-CZ"/>
              </w:rPr>
              <w:t>Celkem</w:t>
            </w:r>
          </w:p>
        </w:tc>
      </w:tr>
      <w:tr w:rsidR="00AD7466" w:rsidRPr="00AD7466" w:rsidTr="00F47A5B">
        <w:trPr>
          <w:trHeight w:val="33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Náklady na tvorbu a realizaci privatizačních projektů</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449 235</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2 768</w:t>
            </w:r>
          </w:p>
        </w:tc>
        <w:tc>
          <w:tcPr>
            <w:tcW w:w="1560" w:type="dxa"/>
            <w:tcBorders>
              <w:top w:val="single" w:sz="4" w:space="0" w:color="auto"/>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452 003</w:t>
            </w:r>
          </w:p>
        </w:tc>
      </w:tr>
      <w:tr w:rsidR="00AD7466" w:rsidRPr="00AD7466" w:rsidTr="00F47A5B">
        <w:trPr>
          <w:trHeight w:val="30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Náklady na organizování veřejných soutěží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5 156</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5 156</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závazků privatizovaných subjektů - ekologické závazky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90 808 605</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1 788 516</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92 597 121</w:t>
            </w:r>
          </w:p>
        </w:tc>
      </w:tr>
      <w:tr w:rsidR="00AD7466" w:rsidRPr="00AD7466" w:rsidTr="00F47A5B">
        <w:trPr>
          <w:trHeight w:val="30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závazků privatizovaných subjektů  - ostatní závazky dle PP a usnesení vlády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2 427 171</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2 427 171</w:t>
            </w:r>
          </w:p>
        </w:tc>
      </w:tr>
      <w:tr w:rsidR="00AD7466" w:rsidRPr="00AD7466" w:rsidTr="00F47A5B">
        <w:trPr>
          <w:trHeight w:val="31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nákladů soudních sporů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332 862</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14</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332 876</w:t>
            </w:r>
          </w:p>
        </w:tc>
      </w:tr>
      <w:tr w:rsidR="00AD7466" w:rsidRPr="00AD7466" w:rsidTr="00F47A5B">
        <w:trPr>
          <w:trHeight w:val="30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 odškodnění FNM ČR</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1 775 199</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6 349</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1 781 548</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dle § 15 odst. 3 zákona č. 92/1991 Sb.,</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2 473 933</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2 473 933</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Vypořádání restitučních náhrad, směnky FNM ČR</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4 337 668</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530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4 338 198</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Vracení jistot veřejných zakázek</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223 957</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950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224 907</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Vrácené bankovní záruky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1 379</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141</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1 520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Převody peněžních prostředků na účet správy FNM</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5 210 131</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5 210 131</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Zhodnocení zpět vzatého majetku</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457</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457</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Provozní zálohy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468</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3 370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3 838</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Zálohy na směnky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174</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406</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580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Poplatky z inkasa směnek</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2 042</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2 043</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Bankovní poplatky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12 378</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12 378</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Darovací daň</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Haléřové vyrovnání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Poplatky za centrální depozitář</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77 417</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8 361</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85 778</w:t>
            </w:r>
          </w:p>
        </w:tc>
      </w:tr>
      <w:tr w:rsidR="00AD7466" w:rsidRPr="00AD7466" w:rsidTr="00F47A5B">
        <w:trPr>
          <w:trHeight w:val="285"/>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Převod DPH - nájemné městys Štěchovice</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6</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6</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Převod na REPO</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Převod do státních finančních aktiv Ministerstvo zemědělství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2 872 860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2 872 860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SŽDC</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1 143 165</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1 143 165</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SFDI -účelové určení SŽDC</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226 762</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226 762</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Dotace Státnímu fondu dopravní infrastruktury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219 655 502</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219 655 502</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Převod na Ministerstvo spravedlnosti (přes SFDI)</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Převod na MPO</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7 578 614</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7 578 614</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MPSV - podpora výstavby domovů důchodců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486 688</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486 688</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Ministerstvo zdravotnictví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2 570 420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2 570 420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Ministerstvo kultury - usnesení vlády 883/2006</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1 994 049</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1 994 049</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Převod do státních finančních aktiv -ČEPS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2 955 790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2 955 790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Dotace Státního fondu rozvoje bydlení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33 193 000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33 193 000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Odstranění povodňových škod vzniklých v roce 2006</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5 000 000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5 000 000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DIAMO, státní podnik</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13 719 844</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1 277 190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14 997 034</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Převod na MPO pro DIAMO, s. p. dle UV č. 610/2017</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1 342 015</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1 342 015</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Další převody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73 763</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73 766</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lastRenderedPageBreak/>
              <w:t>Kurzové rozdíly - přecenění devizového účtu (Ingolstadt)</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334 539</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334 539</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Kurzové rozdíly celkem v roce 1991-2000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1 046 568</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1 046 568</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Kurzové rozdíly  -přecenění devizového privatizačního účtu</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1 353 021</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1 353 021</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Kurzové rozdíly - konverze měny EUR na CZK</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10 226 452</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10 226 452</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Splátka obligací "oddlužení podniků"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22 200 000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22 200 000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Splátka obligací "rekapitalizace bank"</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7 800 000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7 800 000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Splátky krátkodobých obligací "posílení rezervního fondu ČKA"</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16 000 000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16 000 000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Splátka obligací "kapitálové posílení ČKA"</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3 000 000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3 000 000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Splátka obligací "posílení rezervního fondu ČKA"</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15 000 000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15 000 000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Úroky z dluhopisů celkem</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7 537 915</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7 537 915</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dle zákona ČNR č. 10/1993 Sb. (zákon o Státním rozpočtu)</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9 500 000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9 500 000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dle zákona č. 331/1993 Sb. (zákon o Státním rozpočtu)</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18 339 000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18 339 000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dle zákona č. 268/1994 Sb. (zákon o Státním rozpočtu)</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10 700 000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10 700 000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dle usnesení vlády 617/2002</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20 600 000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20 600 000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 xml:space="preserve">Úhrada dle usnesení vlády 545/1999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11 367 463</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11 367 463</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Převod z VP do SR na kompenzaci deficitu důchodového systému</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57 300 000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57 300 000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Převod do státního rozpočtu dle zákona č. 308/2018 Sb., který novelizuje zákon č. 178/2005 Sb.</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18 000 000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16 500 000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34 500 000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závazků zemědělských podniků dle usnesení vlády 266/1994</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6 927 054</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6 927 054</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Financování rozvoje železniční dopravní cesty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319 696</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319 696</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Dotace rozpočtu Pozemkového fondu</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1 130 094</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1 130 094</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Dotace hospodaření zbytkových státních podniků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1 777 207</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1 777 207</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MF ČR NSŘ</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9 570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9 570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 xml:space="preserve">Převod finančních prostředků získaných z prodeje akcií NIF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2 724 906</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2 724 906</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Garant Hospital</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-80 512</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-80 512</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Nadace - vzdělávací programy (účelová dotace dle prezidia FNM)</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úvěru (záruka FNM ČR) za Škoda MB, s.</w:t>
            </w:r>
            <w:r w:rsidR="00F47A5B">
              <w:rPr>
                <w:rFonts w:ascii="Calibri" w:eastAsia="Times New Roman" w:hAnsi="Calibri" w:cs="Times New Roman"/>
                <w:color w:val="000000"/>
                <w:sz w:val="21"/>
                <w:szCs w:val="21"/>
                <w:lang w:eastAsia="cs-CZ"/>
              </w:rPr>
              <w:t xml:space="preserve"> </w:t>
            </w:r>
            <w:r w:rsidRPr="00AD7466">
              <w:rPr>
                <w:rFonts w:ascii="Calibri" w:eastAsia="Times New Roman" w:hAnsi="Calibri" w:cs="Times New Roman"/>
                <w:color w:val="000000"/>
                <w:sz w:val="21"/>
                <w:szCs w:val="21"/>
                <w:lang w:eastAsia="cs-CZ"/>
              </w:rPr>
              <w:t>p.</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901 620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901 620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úvěru (záruka FNM ČR) za První brněnskou strojírnu a.s.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394 500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394 500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úvěru (záruka FNM ČR) za ČKD Praha a.s.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350 547</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350 547</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Úhrada úvěru za ČKD Praha a.s. (převzaté závazky Česká inkasní, s. r. o.)</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1 013 975</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1 013 975</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Ostatní poplatky za úvěr ČKD Praha a.s.</w:t>
            </w:r>
            <w:r w:rsidR="00F47A5B">
              <w:rPr>
                <w:rFonts w:ascii="Calibri" w:eastAsia="Times New Roman" w:hAnsi="Calibri" w:cs="Times New Roman"/>
                <w:color w:val="000000"/>
                <w:sz w:val="21"/>
                <w:szCs w:val="21"/>
                <w:lang w:eastAsia="cs-CZ"/>
              </w:rPr>
              <w:t xml:space="preserve"> </w:t>
            </w:r>
            <w:r w:rsidRPr="00AD7466">
              <w:rPr>
                <w:rFonts w:ascii="Calibri" w:eastAsia="Times New Roman" w:hAnsi="Calibri" w:cs="Times New Roman"/>
                <w:color w:val="000000"/>
                <w:sz w:val="21"/>
                <w:szCs w:val="21"/>
                <w:lang w:eastAsia="cs-CZ"/>
              </w:rPr>
              <w:t>(agenturní poplatek ČSOB)</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520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520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Nákup akcií (peněžní vklad a členský příspěvek) Burzy cenných papírů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5 400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5 400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Poplatky spojené s prodejem akcií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29 216</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29 216</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Peněžní vklad - úpis akcií, nákup akcií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56 309 222</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56 309 222</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Přechodné posílení zdrojů IPB v procesu konkurzu a vyrovnávání řízeného Průmyslovým zápočtovým ústavem</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457 960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457 960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Česká inkasní s.r.o. (doplnění zdrojů)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41 583 907</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41 583 907</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Česká inkasní s.r.o. - řešení Vítkovice, a. 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999 847</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999 847</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F47A5B" w:rsidP="00AD7466">
            <w:pPr>
              <w:spacing w:before="0"/>
              <w:jc w:val="lef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 xml:space="preserve">ČKA, odkup pohledávka za Hornickou zaměstnaneckou </w:t>
            </w:r>
            <w:r>
              <w:rPr>
                <w:rFonts w:ascii="Calibri" w:eastAsia="Times New Roman" w:hAnsi="Calibri" w:cs="Times New Roman"/>
                <w:color w:val="000000"/>
                <w:sz w:val="21"/>
                <w:szCs w:val="21"/>
                <w:lang w:eastAsia="cs-CZ"/>
              </w:rPr>
              <w:lastRenderedPageBreak/>
              <w:t>zdravotní pojišťovnou</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lastRenderedPageBreak/>
              <w:t>791 631</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791 631</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F47A5B" w:rsidP="00AD7466">
            <w:pPr>
              <w:spacing w:before="0"/>
              <w:jc w:val="left"/>
              <w:rPr>
                <w:rFonts w:ascii="Calibri" w:eastAsia="Times New Roman" w:hAnsi="Calibri" w:cs="Times New Roman"/>
                <w:color w:val="000000"/>
                <w:sz w:val="21"/>
                <w:szCs w:val="21"/>
                <w:lang w:eastAsia="cs-CZ"/>
              </w:rPr>
            </w:pPr>
            <w:r>
              <w:rPr>
                <w:rFonts w:ascii="Calibri" w:eastAsia="Times New Roman" w:hAnsi="Calibri" w:cs="Times New Roman"/>
                <w:color w:val="000000"/>
                <w:sz w:val="21"/>
                <w:szCs w:val="21"/>
                <w:lang w:eastAsia="cs-CZ"/>
              </w:rPr>
              <w:t xml:space="preserve">ČKA, odkup pohledávek </w:t>
            </w:r>
            <w:r w:rsidR="00AD7466" w:rsidRPr="00AD7466">
              <w:rPr>
                <w:rFonts w:ascii="Calibri" w:eastAsia="Times New Roman" w:hAnsi="Calibri" w:cs="Times New Roman"/>
                <w:color w:val="000000"/>
                <w:sz w:val="21"/>
                <w:szCs w:val="21"/>
                <w:lang w:eastAsia="cs-CZ"/>
              </w:rPr>
              <w:t>a úhrada nákladů banky na Garant-Hospital</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281 406</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281 406</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západočeská energetika, a.s.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508 711</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508 711</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úhrada nákladů a ztrát - ostatní zdravotní pojišťovny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394 341</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394 341</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Majetková újma ČKA z navýšení základního jmění v Aero Vodochody, a.s.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760 652</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760 652</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Majetková újma ČKA z prodeje akcií v Aero Holding, a.s.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18 551</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18 551</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restrukturalizace aktiv KB, a.s. - Konpo, s.r.o.</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29 433 033</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29 433 033</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restrukturalizace aktiv ČS, a.s.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7 729 158</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7 729 158</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restrukturalizace aktiv ČKD Vagonka Studénka , a.s.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611 390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611 390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restrukturalizace Spolana Neratovice, a.s.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397 146</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397 146</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ztráta z prodeje majetkové účasti Koramo</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146 646</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146 646</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ztráta z prodeje akcií Letov, a.s.</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281 670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281 670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garance KB</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4 286 551</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4 286 551</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stabilizační program banko</w:t>
            </w:r>
            <w:r w:rsidR="00F47A5B">
              <w:rPr>
                <w:rFonts w:ascii="Calibri" w:eastAsia="Times New Roman" w:hAnsi="Calibri" w:cs="Times New Roman"/>
                <w:color w:val="000000"/>
                <w:sz w:val="21"/>
                <w:szCs w:val="21"/>
                <w:lang w:eastAsia="cs-CZ"/>
              </w:rPr>
              <w:t xml:space="preserve">vního sektoru (Česká finanční, </w:t>
            </w:r>
            <w:r w:rsidRPr="00AD7466">
              <w:rPr>
                <w:rFonts w:ascii="Calibri" w:eastAsia="Times New Roman" w:hAnsi="Calibri" w:cs="Times New Roman"/>
                <w:color w:val="000000"/>
                <w:sz w:val="21"/>
                <w:szCs w:val="21"/>
                <w:lang w:eastAsia="cs-CZ"/>
              </w:rPr>
              <w:t>s.</w:t>
            </w:r>
            <w:r w:rsidR="00F47A5B">
              <w:rPr>
                <w:rFonts w:ascii="Calibri" w:eastAsia="Times New Roman" w:hAnsi="Calibri" w:cs="Times New Roman"/>
                <w:color w:val="000000"/>
                <w:sz w:val="21"/>
                <w:szCs w:val="21"/>
                <w:lang w:eastAsia="cs-CZ"/>
              </w:rPr>
              <w:t xml:space="preserve"> </w:t>
            </w:r>
            <w:r w:rsidRPr="00AD7466">
              <w:rPr>
                <w:rFonts w:ascii="Calibri" w:eastAsia="Times New Roman" w:hAnsi="Calibri" w:cs="Times New Roman"/>
                <w:color w:val="000000"/>
                <w:sz w:val="21"/>
                <w:szCs w:val="21"/>
                <w:lang w:eastAsia="cs-CZ"/>
              </w:rPr>
              <w:t>r.o.)</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17 271 848</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17 271 848</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Unipetrol</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402 593</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402 593</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ZVVZ</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12 658</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12 658</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právní služby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10 113</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10 114</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finanční služby</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2 007</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2 007</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ČKA - náklady soudního řízení</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12 532</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12 532</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Úroky z úvěru</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2 326 490</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2 326 490</w:t>
            </w:r>
          </w:p>
        </w:tc>
      </w:tr>
      <w:tr w:rsidR="00AD7466" w:rsidRPr="00AD7466" w:rsidTr="00F47A5B">
        <w:trPr>
          <w:trHeight w:val="290"/>
        </w:trPr>
        <w:tc>
          <w:tcPr>
            <w:tcW w:w="5387" w:type="dxa"/>
            <w:tcBorders>
              <w:top w:val="nil"/>
              <w:left w:val="single" w:sz="12" w:space="0" w:color="auto"/>
              <w:bottom w:val="single" w:sz="4"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Splátka úvěrů</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36 410 267</w:t>
            </w:r>
          </w:p>
        </w:tc>
        <w:tc>
          <w:tcPr>
            <w:tcW w:w="1275" w:type="dxa"/>
            <w:tcBorders>
              <w:top w:val="nil"/>
              <w:left w:val="nil"/>
              <w:bottom w:val="single" w:sz="4"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36 410 267</w:t>
            </w:r>
          </w:p>
        </w:tc>
      </w:tr>
      <w:tr w:rsidR="00AD7466" w:rsidRPr="00AD7466" w:rsidTr="00F47A5B">
        <w:trPr>
          <w:trHeight w:val="300"/>
        </w:trPr>
        <w:tc>
          <w:tcPr>
            <w:tcW w:w="5387" w:type="dxa"/>
            <w:tcBorders>
              <w:top w:val="nil"/>
              <w:left w:val="single" w:sz="12" w:space="0" w:color="auto"/>
              <w:bottom w:val="nil"/>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color w:val="000000"/>
                <w:sz w:val="21"/>
                <w:szCs w:val="21"/>
                <w:lang w:eastAsia="cs-CZ"/>
              </w:rPr>
            </w:pPr>
            <w:r w:rsidRPr="00AD7466">
              <w:rPr>
                <w:rFonts w:ascii="Calibri" w:eastAsia="Times New Roman" w:hAnsi="Calibri" w:cs="Times New Roman"/>
                <w:color w:val="000000"/>
                <w:sz w:val="21"/>
                <w:szCs w:val="21"/>
                <w:lang w:eastAsia="cs-CZ"/>
              </w:rPr>
              <w:t>Poplatky za poskytnutí a prolongaci úvěrů</w:t>
            </w:r>
          </w:p>
        </w:tc>
        <w:tc>
          <w:tcPr>
            <w:tcW w:w="1276" w:type="dxa"/>
            <w:tcBorders>
              <w:top w:val="nil"/>
              <w:left w:val="single" w:sz="4" w:space="0" w:color="auto"/>
              <w:bottom w:val="nil"/>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18 250</w:t>
            </w:r>
          </w:p>
        </w:tc>
        <w:tc>
          <w:tcPr>
            <w:tcW w:w="1275" w:type="dxa"/>
            <w:tcBorders>
              <w:top w:val="nil"/>
              <w:left w:val="nil"/>
              <w:bottom w:val="nil"/>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0</w:t>
            </w:r>
          </w:p>
        </w:tc>
        <w:tc>
          <w:tcPr>
            <w:tcW w:w="1560" w:type="dxa"/>
            <w:tcBorders>
              <w:top w:val="nil"/>
              <w:left w:val="nil"/>
              <w:bottom w:val="single" w:sz="4"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sz w:val="21"/>
                <w:szCs w:val="21"/>
                <w:lang w:eastAsia="cs-CZ"/>
              </w:rPr>
            </w:pPr>
            <w:r w:rsidRPr="00AD7466">
              <w:rPr>
                <w:rFonts w:ascii="Calibri" w:eastAsia="Times New Roman" w:hAnsi="Calibri" w:cs="Times New Roman"/>
                <w:sz w:val="21"/>
                <w:szCs w:val="21"/>
                <w:lang w:eastAsia="cs-CZ"/>
              </w:rPr>
              <w:t>18 250</w:t>
            </w:r>
          </w:p>
        </w:tc>
      </w:tr>
      <w:tr w:rsidR="00AD7466" w:rsidRPr="00AD7466" w:rsidTr="00F47A5B">
        <w:trPr>
          <w:trHeight w:val="310"/>
        </w:trPr>
        <w:tc>
          <w:tcPr>
            <w:tcW w:w="5387" w:type="dxa"/>
            <w:tcBorders>
              <w:top w:val="single" w:sz="12" w:space="0" w:color="auto"/>
              <w:left w:val="single" w:sz="12" w:space="0" w:color="auto"/>
              <w:bottom w:val="single" w:sz="12" w:space="0" w:color="auto"/>
              <w:right w:val="single" w:sz="8" w:space="0" w:color="auto"/>
            </w:tcBorders>
            <w:shd w:val="clear" w:color="auto" w:fill="auto"/>
            <w:noWrap/>
            <w:vAlign w:val="center"/>
            <w:hideMark/>
          </w:tcPr>
          <w:p w:rsidR="00AD7466" w:rsidRPr="00AD7466" w:rsidRDefault="00AD7466" w:rsidP="00AD7466">
            <w:pPr>
              <w:spacing w:before="0"/>
              <w:jc w:val="left"/>
              <w:rPr>
                <w:rFonts w:ascii="Calibri" w:eastAsia="Times New Roman" w:hAnsi="Calibri" w:cs="Times New Roman"/>
                <w:b/>
                <w:bCs/>
                <w:color w:val="000000"/>
                <w:sz w:val="21"/>
                <w:szCs w:val="21"/>
                <w:lang w:eastAsia="cs-CZ"/>
              </w:rPr>
            </w:pPr>
            <w:r w:rsidRPr="00AD7466">
              <w:rPr>
                <w:rFonts w:ascii="Calibri" w:eastAsia="Times New Roman" w:hAnsi="Calibri" w:cs="Times New Roman"/>
                <w:b/>
                <w:bCs/>
                <w:color w:val="000000"/>
                <w:sz w:val="21"/>
                <w:szCs w:val="21"/>
                <w:lang w:eastAsia="cs-CZ"/>
              </w:rPr>
              <w:t>Ostatní výdaje celkem</w:t>
            </w:r>
          </w:p>
        </w:tc>
        <w:tc>
          <w:tcPr>
            <w:tcW w:w="1276"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b/>
                <w:bCs/>
                <w:sz w:val="21"/>
                <w:szCs w:val="21"/>
                <w:lang w:eastAsia="cs-CZ"/>
              </w:rPr>
            </w:pPr>
            <w:r w:rsidRPr="00AD7466">
              <w:rPr>
                <w:rFonts w:ascii="Calibri" w:eastAsia="Times New Roman" w:hAnsi="Calibri" w:cs="Times New Roman"/>
                <w:b/>
                <w:bCs/>
                <w:sz w:val="21"/>
                <w:szCs w:val="21"/>
                <w:lang w:eastAsia="cs-CZ"/>
              </w:rPr>
              <w:t>848 218 234</w:t>
            </w:r>
          </w:p>
        </w:tc>
        <w:tc>
          <w:tcPr>
            <w:tcW w:w="1275" w:type="dxa"/>
            <w:tcBorders>
              <w:top w:val="single" w:sz="12" w:space="0" w:color="auto"/>
              <w:left w:val="nil"/>
              <w:bottom w:val="single" w:sz="12" w:space="0" w:color="auto"/>
              <w:right w:val="single" w:sz="4"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b/>
                <w:bCs/>
                <w:sz w:val="21"/>
                <w:szCs w:val="21"/>
                <w:lang w:eastAsia="cs-CZ"/>
              </w:rPr>
            </w:pPr>
            <w:r w:rsidRPr="00AD7466">
              <w:rPr>
                <w:rFonts w:ascii="Calibri" w:eastAsia="Times New Roman" w:hAnsi="Calibri" w:cs="Times New Roman"/>
                <w:b/>
                <w:bCs/>
                <w:sz w:val="21"/>
                <w:szCs w:val="21"/>
                <w:lang w:eastAsia="cs-CZ"/>
              </w:rPr>
              <w:t>19 588 607</w:t>
            </w:r>
          </w:p>
        </w:tc>
        <w:tc>
          <w:tcPr>
            <w:tcW w:w="1560" w:type="dxa"/>
            <w:tcBorders>
              <w:top w:val="single" w:sz="12" w:space="0" w:color="auto"/>
              <w:left w:val="nil"/>
              <w:bottom w:val="single" w:sz="12" w:space="0" w:color="auto"/>
              <w:right w:val="single" w:sz="12" w:space="0" w:color="auto"/>
            </w:tcBorders>
            <w:shd w:val="clear" w:color="auto" w:fill="auto"/>
            <w:noWrap/>
            <w:vAlign w:val="center"/>
            <w:hideMark/>
          </w:tcPr>
          <w:p w:rsidR="00AD7466" w:rsidRPr="00AD7466" w:rsidRDefault="00AD7466" w:rsidP="00AD7466">
            <w:pPr>
              <w:spacing w:before="0"/>
              <w:jc w:val="right"/>
              <w:rPr>
                <w:rFonts w:ascii="Calibri" w:eastAsia="Times New Roman" w:hAnsi="Calibri" w:cs="Times New Roman"/>
                <w:b/>
                <w:bCs/>
                <w:sz w:val="21"/>
                <w:szCs w:val="21"/>
                <w:lang w:eastAsia="cs-CZ"/>
              </w:rPr>
            </w:pPr>
            <w:r w:rsidRPr="00AD7466">
              <w:rPr>
                <w:rFonts w:ascii="Calibri" w:eastAsia="Times New Roman" w:hAnsi="Calibri" w:cs="Times New Roman"/>
                <w:b/>
                <w:bCs/>
                <w:sz w:val="21"/>
                <w:szCs w:val="21"/>
                <w:lang w:eastAsia="cs-CZ"/>
              </w:rPr>
              <w:t>867 806 841</w:t>
            </w:r>
          </w:p>
        </w:tc>
      </w:tr>
    </w:tbl>
    <w:p w:rsidR="00BD1E4E" w:rsidRDefault="00BD1E4E" w:rsidP="00BD1E4E">
      <w:r>
        <w:t>Nejvýznamnějším výdajem zvláštn</w:t>
      </w:r>
      <w:r w:rsidR="006A3938">
        <w:t>ích účtů privatizace v roce 2020 je převod 16 5</w:t>
      </w:r>
      <w:r w:rsidR="00520328">
        <w:t>00 000 tis. </w:t>
      </w:r>
      <w:r>
        <w:t>Kč do kapitoly státního rozpočtu 398 – Všeobecná pokladní správa, který byl realizo</w:t>
      </w:r>
      <w:r w:rsidR="000A6461">
        <w:t>ván na základě novely zákona č. </w:t>
      </w:r>
      <w:r>
        <w:t>178/2005 Sb., (zákon č. 308/2018). Tato novela mimo jiné nově umožňuje převod do státního rozpočtu bez konkrétního účelu.</w:t>
      </w:r>
    </w:p>
    <w:p w:rsidR="00BD1E4E" w:rsidRPr="006F2953" w:rsidRDefault="00BD1E4E" w:rsidP="00BD1E4E">
      <w:r w:rsidRPr="006F2953">
        <w:t>Položka Úhrada závazků priv</w:t>
      </w:r>
      <w:r w:rsidR="00520328">
        <w:t>atizovaných subjektů obsahuje v </w:t>
      </w:r>
      <w:r w:rsidRPr="006F2953">
        <w:t xml:space="preserve">roce </w:t>
      </w:r>
      <w:r w:rsidR="006A3938">
        <w:t>2020</w:t>
      </w:r>
      <w:r w:rsidRPr="006F2953">
        <w:t xml:space="preserve"> úhradu nákladů na odstranění starých ekologických škod a na revitalizace krajiny v celkové výši </w:t>
      </w:r>
      <w:r w:rsidR="00520328">
        <w:t>1 </w:t>
      </w:r>
      <w:r w:rsidR="006A3938" w:rsidRPr="006A3938">
        <w:t>788</w:t>
      </w:r>
      <w:r w:rsidR="00520328">
        <w:t> </w:t>
      </w:r>
      <w:r w:rsidR="006A3938" w:rsidRPr="006A3938">
        <w:t>516</w:t>
      </w:r>
      <w:r w:rsidR="00520328">
        <w:t> tis. </w:t>
      </w:r>
      <w:r w:rsidRPr="006F2953">
        <w:t xml:space="preserve">Kč. </w:t>
      </w:r>
    </w:p>
    <w:p w:rsidR="00BD1E4E" w:rsidRPr="006F2953" w:rsidRDefault="00BD1E4E" w:rsidP="00BD1E4E">
      <w:r w:rsidRPr="006F2953">
        <w:t>Dalšími významnými výdaji dle zákona č. 178/2005 Sb.,</w:t>
      </w:r>
      <w:r w:rsidR="00520328">
        <w:t xml:space="preserve"> o </w:t>
      </w:r>
      <w:r w:rsidRPr="006F2953">
        <w:t>zrušení Fondu národního majetku,</w:t>
      </w:r>
      <w:r>
        <w:t> </w:t>
      </w:r>
      <w:r w:rsidRPr="006F2953">
        <w:t>a příslušných novel a d</w:t>
      </w:r>
      <w:r w:rsidR="00520328">
        <w:t>le příslušných usnesení vlády v </w:t>
      </w:r>
      <w:r w:rsidRPr="006F2953">
        <w:t xml:space="preserve">roce </w:t>
      </w:r>
      <w:r w:rsidR="00673DD3">
        <w:t>2020</w:t>
      </w:r>
      <w:r w:rsidRPr="006F2953">
        <w:t xml:space="preserve"> jsou: </w:t>
      </w:r>
    </w:p>
    <w:p w:rsidR="00BD1E4E" w:rsidRPr="006F2953" w:rsidRDefault="00BD1E4E" w:rsidP="006A3938">
      <w:pPr>
        <w:pStyle w:val="odrka"/>
      </w:pPr>
      <w:r w:rsidRPr="000175D4">
        <w:t>Převod na MPO pro DIAMO, s. p. dle UV č. 610/2017</w:t>
      </w:r>
      <w:r>
        <w:t xml:space="preserve"> </w:t>
      </w:r>
      <w:r w:rsidRPr="006F2953">
        <w:t xml:space="preserve">ve výši </w:t>
      </w:r>
      <w:r w:rsidR="006A3938" w:rsidRPr="006A3938">
        <w:t>1 277</w:t>
      </w:r>
      <w:r w:rsidR="00520328">
        <w:t> </w:t>
      </w:r>
      <w:r w:rsidR="006A3938" w:rsidRPr="006A3938">
        <w:t>190</w:t>
      </w:r>
      <w:r w:rsidR="00520328">
        <w:t> tis. </w:t>
      </w:r>
      <w:r w:rsidR="00673DD3">
        <w:t>Kč.</w:t>
      </w:r>
      <w:r w:rsidRPr="006F2953">
        <w:t xml:space="preserve"> Celá částka byla využita na financování nákladů a výdajů spojených s řešením důsledků po chemické těžbě u</w:t>
      </w:r>
      <w:r w:rsidR="00520328">
        <w:t>ranu a souvisejících činností v </w:t>
      </w:r>
      <w:r w:rsidRPr="006F2953">
        <w:t xml:space="preserve">oblasti Stráže pod Ralskem. </w:t>
      </w:r>
    </w:p>
    <w:p w:rsidR="00BD1E4E" w:rsidRPr="006F2953" w:rsidRDefault="00BD1E4E" w:rsidP="006A3938">
      <w:pPr>
        <w:pStyle w:val="odrka"/>
      </w:pPr>
      <w:r w:rsidRPr="006F2953">
        <w:t xml:space="preserve">poplatky za centrální depozitář v hodnotě </w:t>
      </w:r>
      <w:r w:rsidR="006A3938" w:rsidRPr="006A3938">
        <w:t>8</w:t>
      </w:r>
      <w:r w:rsidR="00520328">
        <w:t> </w:t>
      </w:r>
      <w:r w:rsidR="006A3938" w:rsidRPr="006A3938">
        <w:t>361</w:t>
      </w:r>
      <w:r w:rsidR="00520328">
        <w:t> tis. </w:t>
      </w:r>
      <w:r w:rsidRPr="006F2953">
        <w:t>Kč. Od 7.</w:t>
      </w:r>
      <w:r w:rsidR="00520328">
        <w:t> </w:t>
      </w:r>
      <w:r w:rsidRPr="006F2953">
        <w:t>7.</w:t>
      </w:r>
      <w:r w:rsidR="00520328">
        <w:t> </w:t>
      </w:r>
      <w:r w:rsidRPr="006F2953">
        <w:t>2010 přešly veškeré služby zajišťované bývalým Střediskem cenných papírů na Centrální depozitář</w:t>
      </w:r>
      <w:r w:rsidR="00520328">
        <w:t xml:space="preserve"> cenných papírů, a. </w:t>
      </w:r>
      <w:r w:rsidRPr="006F2953">
        <w:t>s. a současně se změnily podmínky pro majitele zaknihovan</w:t>
      </w:r>
      <w:r w:rsidR="00520328">
        <w:t>ých cenných papírů uložených na majetkových účtech v tom smyslu, že nakládání s </w:t>
      </w:r>
      <w:r w:rsidRPr="006F2953">
        <w:t xml:space="preserve">nimi je možné pouze elektronicky prostřednictvím účastníka Centrálního depozitáře cenných papírů, kterým je i MF. Na účtu zřízeném u Centrálního depozitáře cenných papírů je vedeno mimo jiných </w:t>
      </w:r>
      <w:r w:rsidR="00520328">
        <w:t>účastí i 373 196 </w:t>
      </w:r>
      <w:r w:rsidRPr="0043457D">
        <w:t>621</w:t>
      </w:r>
      <w:r w:rsidR="00520328">
        <w:t> </w:t>
      </w:r>
      <w:r w:rsidRPr="006F2953">
        <w:t>ks akcií ČEZ, a.s., které jsou kótovanými cennými papíry a vzhledem k tomu, že poplatek za vedení kotovaných cenných papírů se odvíjí od aktuální tržní ceny akcií, je výše a pohyb fakturované částky odvislý od pohybu tržní hodnoty akcií ČEZ, a.s.</w:t>
      </w:r>
    </w:p>
    <w:p w:rsidR="00BD1E4E" w:rsidRPr="006F2953" w:rsidRDefault="00520328" w:rsidP="006A3938">
      <w:pPr>
        <w:pStyle w:val="odrka"/>
      </w:pPr>
      <w:r>
        <w:t>výdaje z </w:t>
      </w:r>
      <w:r w:rsidR="00BD1E4E" w:rsidRPr="006F2953">
        <w:t xml:space="preserve">titulu Zálohy na směnky ve výši </w:t>
      </w:r>
      <w:r w:rsidR="006A3938" w:rsidRPr="006A3938">
        <w:t>406</w:t>
      </w:r>
      <w:r w:rsidR="00BD1E4E" w:rsidRPr="006F2953">
        <w:t xml:space="preserve"> tis. Kč. Položka byla zřízena pro zúčtování záloh restitučních nároků (podle zákona č. 87/1991 Sb., o mimosoudních rehabilitacích a zákona </w:t>
      </w:r>
      <w:r w:rsidR="00BD1E4E" w:rsidRPr="006F2953">
        <w:lastRenderedPageBreak/>
        <w:t>č.</w:t>
      </w:r>
      <w:r>
        <w:t> </w:t>
      </w:r>
      <w:r w:rsidR="00BD1E4E" w:rsidRPr="006F2953">
        <w:t>229/1991 Sb., o úpravě vlastnických vztahů k půdě a jinému zemědělskému majetku), které jsou vypořádávány formou směnek. Jelik</w:t>
      </w:r>
      <w:r>
        <w:t>ož dle zákona č. 218/2000 Sb. o </w:t>
      </w:r>
      <w:r w:rsidR="00BD1E4E" w:rsidRPr="006F2953">
        <w:t>rozpočtových pravidlech § 33, odst. 8 nesmějí být mimo jiné i privatizační prostředky vedeny mimo účty státní poklady (účty vede Česká národní banka), byl pro účel vypláce</w:t>
      </w:r>
      <w:r>
        <w:t>ní směnek zřízen inkasní účet u </w:t>
      </w:r>
      <w:r w:rsidR="00BD1E4E" w:rsidRPr="006F2953">
        <w:t xml:space="preserve">Komerční banky, na který jsou dle potřeby zasílány zálohy na </w:t>
      </w:r>
      <w:r>
        <w:t>výplatu jednotlivých směnek. Od </w:t>
      </w:r>
      <w:r w:rsidR="00BD1E4E" w:rsidRPr="006F2953">
        <w:t xml:space="preserve">částky zaslané jako zálohy na směnky jsou odčítány samostatné výdajové položky Inkaso vystavených směnek a Poplatky z inkasa směnek a dále storna směnek. Sloupec Celkem udává, jaká výše záloh stále čeká na proplacení z účtu Komerční banky, a. s. </w:t>
      </w:r>
    </w:p>
    <w:p w:rsidR="00BD1E4E" w:rsidRDefault="00BD1E4E" w:rsidP="00FD6B3B">
      <w:pPr>
        <w:pStyle w:val="Nadpis1"/>
      </w:pPr>
      <w:bookmarkStart w:id="37" w:name="_Toc34922960"/>
      <w:bookmarkStart w:id="38" w:name="_Toc65836221"/>
      <w:r w:rsidRPr="001951AF">
        <w:t>Malá</w:t>
      </w:r>
      <w:r>
        <w:t xml:space="preserve"> privatizace</w:t>
      </w:r>
      <w:bookmarkEnd w:id="37"/>
      <w:bookmarkEnd w:id="38"/>
    </w:p>
    <w:p w:rsidR="00BD1E4E" w:rsidRDefault="00BD1E4E" w:rsidP="00FD6B3B">
      <w:pPr>
        <w:pStyle w:val="Nzev"/>
      </w:pPr>
      <w:bookmarkStart w:id="39" w:name="_Toc65836233"/>
      <w:r w:rsidRPr="00307CAA">
        <w:t xml:space="preserve">Tabulka č. </w:t>
      </w:r>
      <w:r w:rsidR="00E13D9D">
        <w:fldChar w:fldCharType="begin"/>
      </w:r>
      <w:r w:rsidR="00E13D9D">
        <w:instrText xml:space="preserve"> SEQ Tabulka_č. \* ARABIC </w:instrText>
      </w:r>
      <w:r w:rsidR="00E13D9D">
        <w:fldChar w:fldCharType="separate"/>
      </w:r>
      <w:r w:rsidR="008A4BFD">
        <w:rPr>
          <w:noProof/>
        </w:rPr>
        <w:t>11</w:t>
      </w:r>
      <w:r w:rsidR="00E13D9D">
        <w:rPr>
          <w:noProof/>
        </w:rPr>
        <w:fldChar w:fldCharType="end"/>
      </w:r>
      <w:r w:rsidRPr="00307CAA">
        <w:t>: Přehled peněžních příjmů a výdajů zvláštního účtu malé privatizace k 31.</w:t>
      </w:r>
      <w:r w:rsidR="000A6461">
        <w:t xml:space="preserve"> </w:t>
      </w:r>
      <w:r w:rsidRPr="00307CAA">
        <w:t>12.</w:t>
      </w:r>
      <w:r w:rsidR="000A6461">
        <w:t xml:space="preserve"> </w:t>
      </w:r>
      <w:r w:rsidR="00CD19ED">
        <w:t>2020</w:t>
      </w:r>
      <w:r w:rsidRPr="00307CAA">
        <w:t xml:space="preserve"> (tis. Kč)</w:t>
      </w:r>
      <w:bookmarkEnd w:id="39"/>
    </w:p>
    <w:tbl>
      <w:tblPr>
        <w:tblW w:w="9639" w:type="dxa"/>
        <w:tblInd w:w="-15" w:type="dxa"/>
        <w:tblCellMar>
          <w:left w:w="70" w:type="dxa"/>
          <w:right w:w="70" w:type="dxa"/>
        </w:tblCellMar>
        <w:tblLook w:val="04A0" w:firstRow="1" w:lastRow="0" w:firstColumn="1" w:lastColumn="0" w:noHBand="0" w:noVBand="1"/>
      </w:tblPr>
      <w:tblGrid>
        <w:gridCol w:w="5387"/>
        <w:gridCol w:w="1276"/>
        <w:gridCol w:w="1275"/>
        <w:gridCol w:w="1701"/>
      </w:tblGrid>
      <w:tr w:rsidR="00CD19ED" w:rsidRPr="00CD19ED" w:rsidTr="00F47A5B">
        <w:trPr>
          <w:trHeight w:val="310"/>
        </w:trPr>
        <w:tc>
          <w:tcPr>
            <w:tcW w:w="538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center"/>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Druh příjmu</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center"/>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1991 - 2019</w:t>
            </w:r>
          </w:p>
        </w:tc>
        <w:tc>
          <w:tcPr>
            <w:tcW w:w="1275" w:type="dxa"/>
            <w:tcBorders>
              <w:top w:val="single" w:sz="12" w:space="0" w:color="auto"/>
              <w:left w:val="nil"/>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center"/>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Rok 2020</w:t>
            </w:r>
          </w:p>
        </w:tc>
        <w:tc>
          <w:tcPr>
            <w:tcW w:w="1701" w:type="dxa"/>
            <w:tcBorders>
              <w:top w:val="single" w:sz="12" w:space="0" w:color="auto"/>
              <w:left w:val="nil"/>
              <w:bottom w:val="single" w:sz="12" w:space="0" w:color="auto"/>
              <w:right w:val="single" w:sz="12" w:space="0" w:color="auto"/>
            </w:tcBorders>
            <w:shd w:val="clear" w:color="auto" w:fill="auto"/>
            <w:noWrap/>
            <w:vAlign w:val="bottom"/>
            <w:hideMark/>
          </w:tcPr>
          <w:p w:rsidR="00CD19ED" w:rsidRPr="00CD19ED" w:rsidRDefault="00CD19ED" w:rsidP="00CD19ED">
            <w:pPr>
              <w:spacing w:before="0"/>
              <w:jc w:val="center"/>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Celkem</w:t>
            </w:r>
          </w:p>
        </w:tc>
      </w:tr>
      <w:tr w:rsidR="00CD19ED" w:rsidRPr="00CD19ED" w:rsidTr="00F47A5B">
        <w:trPr>
          <w:trHeight w:val="30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Prodej majetku</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30 655 410</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30 655 410</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Ostatní příjmy MP</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6 954 787</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21 666</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6 976 453</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Úroky</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15 622 343</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15 622 343</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Dodatková daň z úroku</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-150 849</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-150 849</w:t>
            </w:r>
          </w:p>
        </w:tc>
      </w:tr>
      <w:tr w:rsidR="00CD19ED" w:rsidRPr="00CD19ED" w:rsidTr="00F47A5B">
        <w:trPr>
          <w:trHeight w:val="300"/>
        </w:trPr>
        <w:tc>
          <w:tcPr>
            <w:tcW w:w="5387" w:type="dxa"/>
            <w:tcBorders>
              <w:top w:val="nil"/>
              <w:left w:val="single" w:sz="12" w:space="0" w:color="auto"/>
              <w:bottom w:val="nil"/>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Navýšení pohledávky k termínovanému vkladu u České banky</w:t>
            </w:r>
          </w:p>
        </w:tc>
        <w:tc>
          <w:tcPr>
            <w:tcW w:w="1276" w:type="dxa"/>
            <w:tcBorders>
              <w:top w:val="nil"/>
              <w:left w:val="nil"/>
              <w:bottom w:val="nil"/>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275" w:type="dxa"/>
            <w:tcBorders>
              <w:top w:val="nil"/>
              <w:left w:val="nil"/>
              <w:bottom w:val="nil"/>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nil"/>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r>
      <w:tr w:rsidR="00CD19ED" w:rsidRPr="00CD19ED" w:rsidTr="00F47A5B">
        <w:trPr>
          <w:trHeight w:val="310"/>
        </w:trPr>
        <w:tc>
          <w:tcPr>
            <w:tcW w:w="538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Celkem příjmy</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53 081 691</w:t>
            </w:r>
          </w:p>
        </w:tc>
        <w:tc>
          <w:tcPr>
            <w:tcW w:w="1275" w:type="dxa"/>
            <w:tcBorders>
              <w:top w:val="single" w:sz="12" w:space="0" w:color="auto"/>
              <w:left w:val="nil"/>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21 666</w:t>
            </w:r>
          </w:p>
        </w:tc>
        <w:tc>
          <w:tcPr>
            <w:tcW w:w="1701" w:type="dxa"/>
            <w:tcBorders>
              <w:top w:val="single" w:sz="12" w:space="0" w:color="auto"/>
              <w:left w:val="nil"/>
              <w:bottom w:val="single" w:sz="12"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53 103 357</w:t>
            </w:r>
          </w:p>
        </w:tc>
      </w:tr>
      <w:tr w:rsidR="00CD19ED" w:rsidRPr="00CD19ED" w:rsidTr="00F47A5B">
        <w:trPr>
          <w:trHeight w:val="30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Restituce MP</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1 956 479</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1 956 479</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Náklady na likvidace státních podniků MP</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2 798 879</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2 798 879</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Ostatní platby MP</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1 304 992</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14</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435CE7" w:rsidP="00CD19ED">
            <w:pPr>
              <w:spacing w:before="0"/>
              <w:jc w:val="right"/>
              <w:rPr>
                <w:rFonts w:ascii="Calibri" w:eastAsia="Times New Roman" w:hAnsi="Calibri" w:cs="Times New Roman"/>
                <w:sz w:val="21"/>
                <w:szCs w:val="21"/>
                <w:lang w:eastAsia="cs-CZ"/>
              </w:rPr>
            </w:pPr>
            <w:r>
              <w:rPr>
                <w:rFonts w:ascii="Calibri" w:eastAsia="Times New Roman" w:hAnsi="Calibri" w:cs="Times New Roman"/>
                <w:sz w:val="21"/>
                <w:szCs w:val="21"/>
                <w:lang w:eastAsia="cs-CZ"/>
              </w:rPr>
              <w:t>1 305 006</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Náklady na okresní privatizační komise</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266 417</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266 417</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Dotace k zvýhodněným úvěrům při privatizaci zdravotnictví</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572 962</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572 962</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Státní fond životního prostředí</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6 100 000</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6 100 000</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Ministerstvo školství</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3 000 000</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3 000 000</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Odstranění následků povodní</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9 000 000</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9 000 000</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Věcná břemena</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13 814 000</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13 814 000</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Vodní zákon a zákon o vodovodech a kanalizacích</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4 500 000</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4 500 000</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Dopravní stavby pro hokejovou halu</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1 000 000</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1 000 000</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Převod na MF - kompenzace pro zemědělství</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1 400 000</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1 400 000</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Převod do SR na kompenzaci schodku důchodového účtu</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2 600 000</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2 600 000</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Ztráta z termínovaného vkladu v Podnikatelské bance</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96 040</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96 040</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Ztráta z termínovaného vkladu v První slezské bance, a. s.</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89 399</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89 399</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Ztráta z termínovaného vkladu v Pragobance a.s.</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1 371 579</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1 371 579</w:t>
            </w:r>
          </w:p>
        </w:tc>
      </w:tr>
      <w:tr w:rsidR="00CD19ED" w:rsidRPr="00CD19ED" w:rsidTr="00F47A5B">
        <w:trPr>
          <w:trHeight w:val="29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Ztráta z termínovaného vkladu Česká banka, a. s.</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240 697</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240 697</w:t>
            </w:r>
          </w:p>
        </w:tc>
      </w:tr>
      <w:tr w:rsidR="00CD19ED" w:rsidRPr="00CD19ED" w:rsidTr="00F47A5B">
        <w:trPr>
          <w:trHeight w:val="300"/>
        </w:trPr>
        <w:tc>
          <w:tcPr>
            <w:tcW w:w="5387" w:type="dxa"/>
            <w:tcBorders>
              <w:top w:val="nil"/>
              <w:left w:val="single" w:sz="12" w:space="0" w:color="auto"/>
              <w:bottom w:val="single" w:sz="4"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Ztráta z termínovaného vkladu Kreditní banka Plzeň, a. s.</w:t>
            </w:r>
          </w:p>
        </w:tc>
        <w:tc>
          <w:tcPr>
            <w:tcW w:w="1276"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346 263</w:t>
            </w:r>
          </w:p>
        </w:tc>
        <w:tc>
          <w:tcPr>
            <w:tcW w:w="1275" w:type="dxa"/>
            <w:tcBorders>
              <w:top w:val="nil"/>
              <w:left w:val="nil"/>
              <w:bottom w:val="single" w:sz="4"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nil"/>
              <w:left w:val="nil"/>
              <w:bottom w:val="single" w:sz="4"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346 263</w:t>
            </w:r>
          </w:p>
        </w:tc>
      </w:tr>
      <w:tr w:rsidR="00CD19ED" w:rsidRPr="00CD19ED" w:rsidTr="00F47A5B">
        <w:trPr>
          <w:trHeight w:val="310"/>
        </w:trPr>
        <w:tc>
          <w:tcPr>
            <w:tcW w:w="538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Historické výdaje</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50 457 707</w:t>
            </w:r>
          </w:p>
        </w:tc>
        <w:tc>
          <w:tcPr>
            <w:tcW w:w="1275" w:type="dxa"/>
            <w:tcBorders>
              <w:top w:val="single" w:sz="12" w:space="0" w:color="auto"/>
              <w:left w:val="nil"/>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14</w:t>
            </w:r>
          </w:p>
        </w:tc>
        <w:tc>
          <w:tcPr>
            <w:tcW w:w="1701" w:type="dxa"/>
            <w:tcBorders>
              <w:top w:val="single" w:sz="12" w:space="0" w:color="auto"/>
              <w:left w:val="nil"/>
              <w:bottom w:val="single" w:sz="12" w:space="0" w:color="auto"/>
              <w:right w:val="single" w:sz="12" w:space="0" w:color="auto"/>
            </w:tcBorders>
            <w:shd w:val="clear" w:color="auto" w:fill="auto"/>
            <w:noWrap/>
            <w:vAlign w:val="bottom"/>
            <w:hideMark/>
          </w:tcPr>
          <w:p w:rsidR="00CD19ED" w:rsidRPr="00CD19ED" w:rsidRDefault="00435CE7" w:rsidP="00CD19ED">
            <w:pPr>
              <w:spacing w:before="0"/>
              <w:jc w:val="right"/>
              <w:rPr>
                <w:rFonts w:ascii="Calibri" w:eastAsia="Times New Roman" w:hAnsi="Calibri" w:cs="Times New Roman"/>
                <w:b/>
                <w:bCs/>
                <w:sz w:val="21"/>
                <w:szCs w:val="21"/>
                <w:lang w:eastAsia="cs-CZ"/>
              </w:rPr>
            </w:pPr>
            <w:r>
              <w:rPr>
                <w:rFonts w:ascii="Calibri" w:eastAsia="Times New Roman" w:hAnsi="Calibri" w:cs="Times New Roman"/>
                <w:b/>
                <w:bCs/>
                <w:sz w:val="21"/>
                <w:szCs w:val="21"/>
                <w:lang w:eastAsia="cs-CZ"/>
              </w:rPr>
              <w:t>50 457 721</w:t>
            </w:r>
          </w:p>
        </w:tc>
      </w:tr>
      <w:tr w:rsidR="00CD19ED" w:rsidRPr="00CD19ED" w:rsidTr="00F47A5B">
        <w:trPr>
          <w:trHeight w:val="310"/>
        </w:trPr>
        <w:tc>
          <w:tcPr>
            <w:tcW w:w="5387" w:type="dxa"/>
            <w:tcBorders>
              <w:top w:val="nil"/>
              <w:left w:val="single" w:sz="12" w:space="0" w:color="auto"/>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Nevrácené termínované vklady od bank</w:t>
            </w:r>
          </w:p>
        </w:tc>
        <w:tc>
          <w:tcPr>
            <w:tcW w:w="1276" w:type="dxa"/>
            <w:tcBorders>
              <w:top w:val="nil"/>
              <w:left w:val="nil"/>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320 293</w:t>
            </w:r>
          </w:p>
        </w:tc>
        <w:tc>
          <w:tcPr>
            <w:tcW w:w="1275" w:type="dxa"/>
            <w:tcBorders>
              <w:top w:val="nil"/>
              <w:left w:val="nil"/>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0</w:t>
            </w:r>
          </w:p>
        </w:tc>
        <w:tc>
          <w:tcPr>
            <w:tcW w:w="1701" w:type="dxa"/>
            <w:tcBorders>
              <w:top w:val="single" w:sz="4" w:space="0" w:color="auto"/>
              <w:left w:val="nil"/>
              <w:bottom w:val="single" w:sz="12"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320 293</w:t>
            </w:r>
          </w:p>
        </w:tc>
      </w:tr>
      <w:tr w:rsidR="00CD19ED" w:rsidRPr="00CD19ED" w:rsidTr="00F47A5B">
        <w:trPr>
          <w:trHeight w:val="310"/>
        </w:trPr>
        <w:tc>
          <w:tcPr>
            <w:tcW w:w="5387"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lef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Konečný zůstatek</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b/>
                <w:bCs/>
                <w:sz w:val="21"/>
                <w:szCs w:val="21"/>
                <w:lang w:eastAsia="cs-CZ"/>
              </w:rPr>
            </w:pPr>
            <w:r>
              <w:rPr>
                <w:rFonts w:ascii="Calibri" w:eastAsia="Times New Roman" w:hAnsi="Calibri" w:cs="Times New Roman"/>
                <w:b/>
                <w:bCs/>
                <w:sz w:val="21"/>
                <w:szCs w:val="21"/>
                <w:lang w:eastAsia="cs-CZ"/>
              </w:rPr>
              <w:t>2 303 691</w:t>
            </w:r>
          </w:p>
        </w:tc>
        <w:tc>
          <w:tcPr>
            <w:tcW w:w="1275" w:type="dxa"/>
            <w:tcBorders>
              <w:top w:val="single" w:sz="12" w:space="0" w:color="auto"/>
              <w:left w:val="nil"/>
              <w:bottom w:val="single" w:sz="12" w:space="0" w:color="auto"/>
              <w:right w:val="single" w:sz="4"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21 652</w:t>
            </w:r>
          </w:p>
        </w:tc>
        <w:tc>
          <w:tcPr>
            <w:tcW w:w="1701" w:type="dxa"/>
            <w:tcBorders>
              <w:top w:val="single" w:sz="12" w:space="0" w:color="auto"/>
              <w:left w:val="nil"/>
              <w:bottom w:val="single" w:sz="12"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2 325 344</w:t>
            </w:r>
          </w:p>
        </w:tc>
      </w:tr>
    </w:tbl>
    <w:p w:rsidR="00BD1E4E" w:rsidRDefault="00CD19ED" w:rsidP="00BD1E4E">
      <w:r>
        <w:t>V roce 2020</w:t>
      </w:r>
      <w:r w:rsidR="00BD1E4E">
        <w:t xml:space="preserve"> byly čisté příjmy v hodnotě </w:t>
      </w:r>
      <w:r w:rsidRPr="00CD19ED">
        <w:t>21</w:t>
      </w:r>
      <w:r w:rsidR="00323604">
        <w:t> </w:t>
      </w:r>
      <w:r w:rsidRPr="00CD19ED">
        <w:t>666</w:t>
      </w:r>
      <w:r w:rsidR="00323604">
        <w:t xml:space="preserve"> </w:t>
      </w:r>
      <w:r w:rsidR="00BD1E4E">
        <w:t>tis. Kč především z titulu inkasa likvidačních zůstatků státních podniků.</w:t>
      </w:r>
    </w:p>
    <w:p w:rsidR="00BD1E4E" w:rsidRDefault="00BD1E4E" w:rsidP="00FD6B3B">
      <w:pPr>
        <w:pStyle w:val="Nzev"/>
      </w:pPr>
      <w:bookmarkStart w:id="40" w:name="_Toc65836234"/>
      <w:r w:rsidRPr="00307CAA">
        <w:t xml:space="preserve">Tabulka č. </w:t>
      </w:r>
      <w:r w:rsidR="00E13D9D">
        <w:fldChar w:fldCharType="begin"/>
      </w:r>
      <w:r w:rsidR="00E13D9D">
        <w:instrText xml:space="preserve"> SEQ Tabulka_č. \* ARABIC </w:instrText>
      </w:r>
      <w:r w:rsidR="00E13D9D">
        <w:fldChar w:fldCharType="separate"/>
      </w:r>
      <w:r w:rsidR="008A4BFD">
        <w:rPr>
          <w:noProof/>
        </w:rPr>
        <w:t>12</w:t>
      </w:r>
      <w:r w:rsidR="00E13D9D">
        <w:rPr>
          <w:noProof/>
        </w:rPr>
        <w:fldChar w:fldCharType="end"/>
      </w:r>
      <w:r w:rsidR="0079758A">
        <w:rPr>
          <w:noProof/>
        </w:rPr>
        <w:t xml:space="preserve">: </w:t>
      </w:r>
      <w:r w:rsidRPr="00307CAA">
        <w:t>Peněžní prostředky na běžných bankovních účtech malé privatizace (tis. Kč)</w:t>
      </w:r>
      <w:bookmarkEnd w:id="40"/>
    </w:p>
    <w:tbl>
      <w:tblPr>
        <w:tblW w:w="9639" w:type="dxa"/>
        <w:tblInd w:w="-15" w:type="dxa"/>
        <w:tblCellMar>
          <w:left w:w="70" w:type="dxa"/>
          <w:right w:w="70" w:type="dxa"/>
        </w:tblCellMar>
        <w:tblLook w:val="04A0" w:firstRow="1" w:lastRow="0" w:firstColumn="1" w:lastColumn="0" w:noHBand="0" w:noVBand="1"/>
      </w:tblPr>
      <w:tblGrid>
        <w:gridCol w:w="4820"/>
        <w:gridCol w:w="2126"/>
        <w:gridCol w:w="2693"/>
      </w:tblGrid>
      <w:tr w:rsidR="00CD19ED" w:rsidRPr="00CD19ED" w:rsidTr="006F3E16">
        <w:trPr>
          <w:trHeight w:val="310"/>
        </w:trPr>
        <w:tc>
          <w:tcPr>
            <w:tcW w:w="48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CD19ED" w:rsidRPr="00CD19ED" w:rsidRDefault="00CD19ED" w:rsidP="00CD19ED">
            <w:pPr>
              <w:spacing w:before="0"/>
              <w:jc w:val="lef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Účet</w:t>
            </w:r>
          </w:p>
        </w:tc>
        <w:tc>
          <w:tcPr>
            <w:tcW w:w="2126" w:type="dxa"/>
            <w:tcBorders>
              <w:top w:val="single" w:sz="12" w:space="0" w:color="auto"/>
              <w:left w:val="nil"/>
              <w:bottom w:val="single" w:sz="12" w:space="0" w:color="auto"/>
              <w:right w:val="single" w:sz="4" w:space="0" w:color="auto"/>
            </w:tcBorders>
            <w:shd w:val="clear" w:color="auto" w:fill="auto"/>
            <w:noWrap/>
            <w:vAlign w:val="center"/>
            <w:hideMark/>
          </w:tcPr>
          <w:p w:rsidR="00CD19ED" w:rsidRPr="00CD19ED" w:rsidRDefault="00CD19ED" w:rsidP="006C02EC">
            <w:pPr>
              <w:spacing w:before="0"/>
              <w:jc w:val="center"/>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Číslo účtu</w:t>
            </w:r>
          </w:p>
        </w:tc>
        <w:tc>
          <w:tcPr>
            <w:tcW w:w="2693" w:type="dxa"/>
            <w:tcBorders>
              <w:top w:val="single" w:sz="12" w:space="0" w:color="auto"/>
              <w:left w:val="nil"/>
              <w:bottom w:val="single" w:sz="12" w:space="0" w:color="auto"/>
              <w:right w:val="single" w:sz="12" w:space="0" w:color="auto"/>
            </w:tcBorders>
            <w:shd w:val="clear" w:color="auto" w:fill="auto"/>
            <w:noWrap/>
            <w:vAlign w:val="center"/>
            <w:hideMark/>
          </w:tcPr>
          <w:p w:rsidR="00CD19ED" w:rsidRPr="00CD19ED" w:rsidRDefault="00CD19ED" w:rsidP="006C02EC">
            <w:pPr>
              <w:spacing w:before="0"/>
              <w:jc w:val="center"/>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Stav k 31. 12. 2020</w:t>
            </w:r>
          </w:p>
        </w:tc>
      </w:tr>
      <w:tr w:rsidR="00CD19ED" w:rsidRPr="00CD19ED" w:rsidTr="006F3E16">
        <w:trPr>
          <w:trHeight w:val="300"/>
        </w:trPr>
        <w:tc>
          <w:tcPr>
            <w:tcW w:w="4820" w:type="dxa"/>
            <w:tcBorders>
              <w:top w:val="nil"/>
              <w:left w:val="single" w:sz="12" w:space="0" w:color="auto"/>
              <w:bottom w:val="single" w:sz="12" w:space="0" w:color="auto"/>
              <w:right w:val="single" w:sz="4" w:space="0" w:color="auto"/>
            </w:tcBorders>
            <w:shd w:val="clear" w:color="auto" w:fill="auto"/>
            <w:noWrap/>
            <w:vAlign w:val="center"/>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Účet MP</w:t>
            </w:r>
          </w:p>
        </w:tc>
        <w:tc>
          <w:tcPr>
            <w:tcW w:w="2126" w:type="dxa"/>
            <w:tcBorders>
              <w:top w:val="nil"/>
              <w:left w:val="nil"/>
              <w:bottom w:val="single" w:sz="12" w:space="0" w:color="auto"/>
              <w:right w:val="single" w:sz="4" w:space="0" w:color="auto"/>
            </w:tcBorders>
            <w:shd w:val="clear" w:color="auto" w:fill="auto"/>
            <w:noWrap/>
            <w:vAlign w:val="center"/>
            <w:hideMark/>
          </w:tcPr>
          <w:p w:rsidR="00CD19ED" w:rsidRPr="00CD19ED" w:rsidRDefault="00CD19ED" w:rsidP="00CD19ED">
            <w:pPr>
              <w:spacing w:before="0"/>
              <w:jc w:val="lef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30007-2629881/0710</w:t>
            </w:r>
          </w:p>
        </w:tc>
        <w:tc>
          <w:tcPr>
            <w:tcW w:w="2693" w:type="dxa"/>
            <w:tcBorders>
              <w:top w:val="nil"/>
              <w:left w:val="nil"/>
              <w:bottom w:val="single" w:sz="12" w:space="0" w:color="auto"/>
              <w:right w:val="single" w:sz="12" w:space="0" w:color="auto"/>
            </w:tcBorders>
            <w:shd w:val="clear" w:color="auto" w:fill="auto"/>
            <w:noWrap/>
            <w:vAlign w:val="bottom"/>
            <w:hideMark/>
          </w:tcPr>
          <w:p w:rsidR="00CD19ED" w:rsidRPr="00CD19ED" w:rsidRDefault="00CD19ED" w:rsidP="00CD19ED">
            <w:pPr>
              <w:spacing w:before="0"/>
              <w:jc w:val="right"/>
              <w:rPr>
                <w:rFonts w:ascii="Calibri" w:eastAsia="Times New Roman" w:hAnsi="Calibri" w:cs="Times New Roman"/>
                <w:sz w:val="21"/>
                <w:szCs w:val="21"/>
                <w:lang w:eastAsia="cs-CZ"/>
              </w:rPr>
            </w:pPr>
            <w:r w:rsidRPr="00CD19ED">
              <w:rPr>
                <w:rFonts w:ascii="Calibri" w:eastAsia="Times New Roman" w:hAnsi="Calibri" w:cs="Times New Roman"/>
                <w:sz w:val="21"/>
                <w:szCs w:val="21"/>
                <w:lang w:eastAsia="cs-CZ"/>
              </w:rPr>
              <w:t>2 325 344</w:t>
            </w:r>
          </w:p>
        </w:tc>
      </w:tr>
      <w:tr w:rsidR="00CD19ED" w:rsidRPr="00CD19ED" w:rsidTr="006F3E16">
        <w:trPr>
          <w:trHeight w:val="300"/>
        </w:trPr>
        <w:tc>
          <w:tcPr>
            <w:tcW w:w="6946" w:type="dxa"/>
            <w:gridSpan w:val="2"/>
            <w:tcBorders>
              <w:top w:val="single" w:sz="12" w:space="0" w:color="auto"/>
              <w:left w:val="single" w:sz="12" w:space="0" w:color="auto"/>
              <w:bottom w:val="single" w:sz="12" w:space="0" w:color="auto"/>
              <w:right w:val="single" w:sz="4" w:space="0" w:color="000000"/>
            </w:tcBorders>
            <w:shd w:val="clear" w:color="auto" w:fill="auto"/>
            <w:noWrap/>
            <w:vAlign w:val="center"/>
            <w:hideMark/>
          </w:tcPr>
          <w:p w:rsidR="00CD19ED" w:rsidRPr="00CD19ED" w:rsidRDefault="00CD19ED" w:rsidP="00CD19ED">
            <w:pPr>
              <w:spacing w:before="0"/>
              <w:jc w:val="lef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Celkem malá privatizace</w:t>
            </w:r>
          </w:p>
        </w:tc>
        <w:tc>
          <w:tcPr>
            <w:tcW w:w="2693" w:type="dxa"/>
            <w:tcBorders>
              <w:top w:val="single" w:sz="12" w:space="0" w:color="auto"/>
              <w:left w:val="nil"/>
              <w:bottom w:val="single" w:sz="12" w:space="0" w:color="auto"/>
              <w:right w:val="single" w:sz="12" w:space="0" w:color="auto"/>
            </w:tcBorders>
            <w:shd w:val="clear" w:color="auto" w:fill="auto"/>
            <w:noWrap/>
            <w:vAlign w:val="center"/>
            <w:hideMark/>
          </w:tcPr>
          <w:p w:rsidR="00CD19ED" w:rsidRPr="00CD19ED" w:rsidRDefault="00CD19ED" w:rsidP="00CD19ED">
            <w:pPr>
              <w:spacing w:before="0"/>
              <w:jc w:val="right"/>
              <w:rPr>
                <w:rFonts w:ascii="Calibri" w:eastAsia="Times New Roman" w:hAnsi="Calibri" w:cs="Times New Roman"/>
                <w:b/>
                <w:bCs/>
                <w:sz w:val="21"/>
                <w:szCs w:val="21"/>
                <w:lang w:eastAsia="cs-CZ"/>
              </w:rPr>
            </w:pPr>
            <w:r w:rsidRPr="00CD19ED">
              <w:rPr>
                <w:rFonts w:ascii="Calibri" w:eastAsia="Times New Roman" w:hAnsi="Calibri" w:cs="Times New Roman"/>
                <w:b/>
                <w:bCs/>
                <w:sz w:val="21"/>
                <w:szCs w:val="21"/>
                <w:lang w:eastAsia="cs-CZ"/>
              </w:rPr>
              <w:t>2 325 344</w:t>
            </w:r>
          </w:p>
        </w:tc>
      </w:tr>
    </w:tbl>
    <w:p w:rsidR="00BD1E4E" w:rsidRPr="006F2953" w:rsidRDefault="00BD1E4E" w:rsidP="00BD1E4E">
      <w:r w:rsidRPr="006F2953">
        <w:lastRenderedPageBreak/>
        <w:t>Konečný zůstatek peněžních prostředků zvl</w:t>
      </w:r>
      <w:r w:rsidR="00520328">
        <w:t>áštního účtu malé privatizace k </w:t>
      </w:r>
      <w:r w:rsidRPr="006F2953">
        <w:t>31.</w:t>
      </w:r>
      <w:r w:rsidR="00520328">
        <w:t> </w:t>
      </w:r>
      <w:r w:rsidRPr="006F2953">
        <w:t>12.</w:t>
      </w:r>
      <w:r w:rsidR="00520328">
        <w:t> </w:t>
      </w:r>
      <w:r w:rsidR="00CD19ED">
        <w:t>2020</w:t>
      </w:r>
      <w:r w:rsidRPr="006F2953">
        <w:t xml:space="preserve"> činí </w:t>
      </w:r>
      <w:r w:rsidRPr="006F2953">
        <w:br/>
      </w:r>
      <w:r w:rsidR="00520328">
        <w:t>2 </w:t>
      </w:r>
      <w:r w:rsidR="00CD19ED" w:rsidRPr="00CD19ED">
        <w:t>325</w:t>
      </w:r>
      <w:r w:rsidR="00520328">
        <w:t> </w:t>
      </w:r>
      <w:r w:rsidR="00CD19ED" w:rsidRPr="00CD19ED">
        <w:t>344</w:t>
      </w:r>
      <w:r w:rsidR="00520328">
        <w:t> tis. </w:t>
      </w:r>
      <w:r w:rsidRPr="006F2953">
        <w:t>Kč.</w:t>
      </w:r>
    </w:p>
    <w:p w:rsidR="00BD1E4E" w:rsidRDefault="00BD1E4E" w:rsidP="00FD6B3B">
      <w:pPr>
        <w:pStyle w:val="Nzev"/>
      </w:pPr>
      <w:bookmarkStart w:id="41" w:name="_Toc65836235"/>
      <w:r w:rsidRPr="00307CAA">
        <w:t xml:space="preserve">Tabulka č. </w:t>
      </w:r>
      <w:r w:rsidR="00E13D9D">
        <w:fldChar w:fldCharType="begin"/>
      </w:r>
      <w:r w:rsidR="00E13D9D">
        <w:instrText xml:space="preserve"> SEQ Tabulka_č. \* ARABIC </w:instrText>
      </w:r>
      <w:r w:rsidR="00E13D9D">
        <w:fldChar w:fldCharType="separate"/>
      </w:r>
      <w:r w:rsidR="008A4BFD">
        <w:rPr>
          <w:noProof/>
        </w:rPr>
        <w:t>13</w:t>
      </w:r>
      <w:r w:rsidR="00E13D9D">
        <w:rPr>
          <w:noProof/>
        </w:rPr>
        <w:fldChar w:fldCharType="end"/>
      </w:r>
      <w:r w:rsidRPr="00307CAA">
        <w:t>: Přehled nevrácených termínovaných vkladů a úroků, evido</w:t>
      </w:r>
      <w:r w:rsidR="004A4A6C">
        <w:t>vaných jako pohledávky (banky v </w:t>
      </w:r>
      <w:r w:rsidRPr="00307CAA">
        <w:t>likvidaci či konkursním řízení) malé privatizace (tis. Kč)</w:t>
      </w:r>
      <w:bookmarkEnd w:id="41"/>
    </w:p>
    <w:p w:rsidR="004A4A6C" w:rsidRPr="004A4A6C" w:rsidRDefault="004A4A6C" w:rsidP="004A4A6C">
      <w:pPr>
        <w:pStyle w:val="Tabgraf"/>
      </w:pPr>
      <w:r>
        <w:rPr>
          <w:noProof/>
          <w:lang w:eastAsia="cs-CZ"/>
        </w:rPr>
        <w:drawing>
          <wp:inline distT="0" distB="0" distL="0" distR="0" wp14:anchorId="3F4127D5" wp14:editId="41A1E6DA">
            <wp:extent cx="4572000" cy="609600"/>
            <wp:effectExtent l="0" t="0" r="0" b="0"/>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60960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CD19ED" w:rsidRPr="006F2953" w:rsidRDefault="00BD1E4E" w:rsidP="00BD1E4E">
      <w:r w:rsidRPr="006F2953">
        <w:t>Výše u</w:t>
      </w:r>
      <w:r w:rsidR="004A4A6C">
        <w:t>vedená tabulka podává přehled o </w:t>
      </w:r>
      <w:r w:rsidRPr="006F2953">
        <w:t>pohledávkách vzniklých nevrácenými termínovaný</w:t>
      </w:r>
      <w:r w:rsidR="004A4A6C">
        <w:t>mi vklady, které byly uloženy u </w:t>
      </w:r>
      <w:r w:rsidRPr="006F2953">
        <w:t>bank (v likvidaci či konkurzním řízení), a to včetně vyčísl</w:t>
      </w:r>
      <w:r w:rsidR="007720CF">
        <w:t>ených úroků a sankčních úroků k </w:t>
      </w:r>
      <w:r w:rsidRPr="006F2953">
        <w:t>datu vstupu do likvi</w:t>
      </w:r>
      <w:r w:rsidR="004A4A6C">
        <w:t>dace nebo prohlášení konkurzu k </w:t>
      </w:r>
      <w:r w:rsidRPr="006F2953">
        <w:t>31.</w:t>
      </w:r>
      <w:r w:rsidR="004A4A6C">
        <w:t> </w:t>
      </w:r>
      <w:r w:rsidRPr="006F2953">
        <w:t>12.</w:t>
      </w:r>
      <w:r w:rsidR="004A4A6C">
        <w:t> </w:t>
      </w:r>
      <w:r w:rsidR="00CD19ED">
        <w:t>2020</w:t>
      </w:r>
      <w:r w:rsidRPr="006F2953">
        <w:t>.</w:t>
      </w:r>
      <w:r w:rsidR="00673DD3">
        <w:t xml:space="preserve"> V roce 2020 nedošlo v této oblasti k žádným změnám.</w:t>
      </w:r>
    </w:p>
    <w:p w:rsidR="00BD1E4E" w:rsidRDefault="00BD1E4E" w:rsidP="00FD6B3B">
      <w:pPr>
        <w:pStyle w:val="Nzev"/>
      </w:pPr>
      <w:bookmarkStart w:id="42" w:name="_Toc65836236"/>
      <w:r w:rsidRPr="00EB4523">
        <w:t xml:space="preserve">Tabulka č. </w:t>
      </w:r>
      <w:r w:rsidR="00E13D9D">
        <w:fldChar w:fldCharType="begin"/>
      </w:r>
      <w:r w:rsidR="00E13D9D">
        <w:instrText xml:space="preserve"> SEQ Tabulka_č. \* ARABIC </w:instrText>
      </w:r>
      <w:r w:rsidR="00E13D9D">
        <w:fldChar w:fldCharType="separate"/>
      </w:r>
      <w:r w:rsidR="008A4BFD">
        <w:rPr>
          <w:noProof/>
        </w:rPr>
        <w:t>14</w:t>
      </w:r>
      <w:r w:rsidR="00E13D9D">
        <w:rPr>
          <w:noProof/>
        </w:rPr>
        <w:fldChar w:fldCharType="end"/>
      </w:r>
      <w:r w:rsidRPr="00EB4523">
        <w:t>: Stav pohledávek Fondu privatizace ke dni 31.</w:t>
      </w:r>
      <w:r w:rsidR="000A6461">
        <w:t xml:space="preserve"> </w:t>
      </w:r>
      <w:r w:rsidRPr="00EB4523">
        <w:t>12.</w:t>
      </w:r>
      <w:r w:rsidR="000A6461">
        <w:t xml:space="preserve"> </w:t>
      </w:r>
      <w:r w:rsidR="00481D83">
        <w:t>2020</w:t>
      </w:r>
      <w:r w:rsidRPr="00EB4523">
        <w:t xml:space="preserve"> (tis. Kč)</w:t>
      </w:r>
      <w:bookmarkEnd w:id="42"/>
    </w:p>
    <w:tbl>
      <w:tblPr>
        <w:tblW w:w="9412" w:type="dxa"/>
        <w:tblCellMar>
          <w:left w:w="70" w:type="dxa"/>
          <w:right w:w="70" w:type="dxa"/>
        </w:tblCellMar>
        <w:tblLook w:val="04A0" w:firstRow="1" w:lastRow="0" w:firstColumn="1" w:lastColumn="0" w:noHBand="0" w:noVBand="1"/>
      </w:tblPr>
      <w:tblGrid>
        <w:gridCol w:w="2820"/>
        <w:gridCol w:w="1276"/>
        <w:gridCol w:w="1418"/>
        <w:gridCol w:w="1408"/>
        <w:gridCol w:w="2490"/>
      </w:tblGrid>
      <w:tr w:rsidR="006F3E16" w:rsidRPr="006F3E16" w:rsidTr="006F3E16">
        <w:trPr>
          <w:trHeight w:val="322"/>
        </w:trPr>
        <w:tc>
          <w:tcPr>
            <w:tcW w:w="2820" w:type="dxa"/>
            <w:tcBorders>
              <w:top w:val="single" w:sz="12" w:space="0" w:color="auto"/>
              <w:left w:val="single" w:sz="12" w:space="0" w:color="auto"/>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center"/>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Název pohledávek</w:t>
            </w:r>
          </w:p>
        </w:tc>
        <w:tc>
          <w:tcPr>
            <w:tcW w:w="1276" w:type="dxa"/>
            <w:tcBorders>
              <w:top w:val="single" w:sz="12" w:space="0" w:color="auto"/>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center"/>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Celková výše</w:t>
            </w:r>
          </w:p>
        </w:tc>
        <w:tc>
          <w:tcPr>
            <w:tcW w:w="1418" w:type="dxa"/>
            <w:tcBorders>
              <w:top w:val="single" w:sz="12" w:space="0" w:color="auto"/>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center"/>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Vytvořené OP</w:t>
            </w:r>
          </w:p>
        </w:tc>
        <w:tc>
          <w:tcPr>
            <w:tcW w:w="1408" w:type="dxa"/>
            <w:tcBorders>
              <w:top w:val="single" w:sz="12" w:space="0" w:color="auto"/>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center"/>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Netto hodnota</w:t>
            </w:r>
          </w:p>
        </w:tc>
        <w:tc>
          <w:tcPr>
            <w:tcW w:w="2490" w:type="dxa"/>
            <w:tcBorders>
              <w:top w:val="single" w:sz="12" w:space="0" w:color="auto"/>
              <w:left w:val="nil"/>
              <w:bottom w:val="single" w:sz="12" w:space="0" w:color="auto"/>
              <w:right w:val="single" w:sz="12" w:space="0" w:color="auto"/>
            </w:tcBorders>
            <w:shd w:val="clear" w:color="auto" w:fill="auto"/>
            <w:noWrap/>
            <w:vAlign w:val="center"/>
            <w:hideMark/>
          </w:tcPr>
          <w:p w:rsidR="006F3E16" w:rsidRPr="006F3E16" w:rsidRDefault="006F3E16" w:rsidP="006F3E16">
            <w:pPr>
              <w:spacing w:before="0"/>
              <w:jc w:val="center"/>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Poznámka</w:t>
            </w:r>
          </w:p>
        </w:tc>
      </w:tr>
      <w:tr w:rsidR="006F3E16" w:rsidRPr="006F3E16" w:rsidTr="006F3E16">
        <w:trPr>
          <w:trHeight w:val="322"/>
        </w:trPr>
        <w:tc>
          <w:tcPr>
            <w:tcW w:w="2820" w:type="dxa"/>
            <w:tcBorders>
              <w:top w:val="nil"/>
              <w:left w:val="single" w:sz="12" w:space="0" w:color="auto"/>
              <w:bottom w:val="single" w:sz="8"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Dlouhodobé poskytnuté zálohy</w:t>
            </w:r>
          </w:p>
        </w:tc>
        <w:tc>
          <w:tcPr>
            <w:tcW w:w="1276" w:type="dxa"/>
            <w:tcBorders>
              <w:top w:val="nil"/>
              <w:left w:val="nil"/>
              <w:bottom w:val="single" w:sz="8" w:space="0" w:color="auto"/>
              <w:right w:val="single" w:sz="8" w:space="0" w:color="auto"/>
            </w:tcBorders>
            <w:shd w:val="clear" w:color="000000" w:fill="FFFFFF"/>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61</w:t>
            </w:r>
          </w:p>
        </w:tc>
        <w:tc>
          <w:tcPr>
            <w:tcW w:w="141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0</w:t>
            </w:r>
          </w:p>
        </w:tc>
        <w:tc>
          <w:tcPr>
            <w:tcW w:w="140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61</w:t>
            </w:r>
          </w:p>
        </w:tc>
        <w:tc>
          <w:tcPr>
            <w:tcW w:w="2490" w:type="dxa"/>
            <w:tcBorders>
              <w:top w:val="nil"/>
              <w:left w:val="nil"/>
              <w:bottom w:val="single" w:sz="8"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Provozní záloha</w:t>
            </w:r>
          </w:p>
        </w:tc>
      </w:tr>
      <w:tr w:rsidR="006F3E16" w:rsidRPr="006F3E16" w:rsidTr="006F3E16">
        <w:trPr>
          <w:trHeight w:val="551"/>
        </w:trPr>
        <w:tc>
          <w:tcPr>
            <w:tcW w:w="2820" w:type="dxa"/>
            <w:tcBorders>
              <w:top w:val="nil"/>
              <w:left w:val="single" w:sz="12" w:space="0" w:color="auto"/>
              <w:bottom w:val="single" w:sz="8"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Dlouhodobé zálohy na transfery</w:t>
            </w:r>
          </w:p>
        </w:tc>
        <w:tc>
          <w:tcPr>
            <w:tcW w:w="1276" w:type="dxa"/>
            <w:tcBorders>
              <w:top w:val="nil"/>
              <w:left w:val="nil"/>
              <w:bottom w:val="single" w:sz="8" w:space="0" w:color="auto"/>
              <w:right w:val="single" w:sz="8" w:space="0" w:color="auto"/>
            </w:tcBorders>
            <w:shd w:val="clear" w:color="000000" w:fill="FFFFFF"/>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0</w:t>
            </w:r>
          </w:p>
        </w:tc>
        <w:tc>
          <w:tcPr>
            <w:tcW w:w="141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0</w:t>
            </w:r>
          </w:p>
        </w:tc>
        <w:tc>
          <w:tcPr>
            <w:tcW w:w="140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0</w:t>
            </w:r>
          </w:p>
        </w:tc>
        <w:tc>
          <w:tcPr>
            <w:tcW w:w="2490" w:type="dxa"/>
            <w:tcBorders>
              <w:top w:val="nil"/>
              <w:left w:val="nil"/>
              <w:bottom w:val="single" w:sz="8"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Zálohy na transfery určené DIAMO, s. p.</w:t>
            </w:r>
          </w:p>
        </w:tc>
      </w:tr>
      <w:tr w:rsidR="006F3E16" w:rsidRPr="006F3E16" w:rsidTr="006F3E16">
        <w:trPr>
          <w:trHeight w:val="311"/>
        </w:trPr>
        <w:tc>
          <w:tcPr>
            <w:tcW w:w="2820" w:type="dxa"/>
            <w:tcBorders>
              <w:top w:val="nil"/>
              <w:left w:val="single" w:sz="12" w:space="0" w:color="auto"/>
              <w:bottom w:val="single" w:sz="8"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Odběratelé</w:t>
            </w:r>
          </w:p>
        </w:tc>
        <w:tc>
          <w:tcPr>
            <w:tcW w:w="1276"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2 286 716</w:t>
            </w:r>
          </w:p>
        </w:tc>
        <w:tc>
          <w:tcPr>
            <w:tcW w:w="141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2 061 586,34</w:t>
            </w:r>
          </w:p>
        </w:tc>
        <w:tc>
          <w:tcPr>
            <w:tcW w:w="140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225 130</w:t>
            </w:r>
          </w:p>
        </w:tc>
        <w:tc>
          <w:tcPr>
            <w:tcW w:w="2490" w:type="dxa"/>
            <w:tcBorders>
              <w:top w:val="nil"/>
              <w:left w:val="nil"/>
              <w:bottom w:val="single" w:sz="8"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Splátkové prodeje, KC, konkurzy</w:t>
            </w:r>
          </w:p>
        </w:tc>
      </w:tr>
      <w:tr w:rsidR="006F3E16" w:rsidRPr="006F3E16" w:rsidTr="006F3E16">
        <w:trPr>
          <w:trHeight w:val="311"/>
        </w:trPr>
        <w:tc>
          <w:tcPr>
            <w:tcW w:w="2820" w:type="dxa"/>
            <w:tcBorders>
              <w:top w:val="nil"/>
              <w:left w:val="single" w:sz="12" w:space="0" w:color="auto"/>
              <w:bottom w:val="single" w:sz="8"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Krátkodobé poskytnuté zálohy</w:t>
            </w:r>
          </w:p>
        </w:tc>
        <w:tc>
          <w:tcPr>
            <w:tcW w:w="1276"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579</w:t>
            </w:r>
          </w:p>
        </w:tc>
        <w:tc>
          <w:tcPr>
            <w:tcW w:w="141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0</w:t>
            </w:r>
          </w:p>
        </w:tc>
        <w:tc>
          <w:tcPr>
            <w:tcW w:w="140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579</w:t>
            </w:r>
          </w:p>
        </w:tc>
        <w:tc>
          <w:tcPr>
            <w:tcW w:w="2490" w:type="dxa"/>
            <w:tcBorders>
              <w:top w:val="nil"/>
              <w:left w:val="nil"/>
              <w:bottom w:val="single" w:sz="8"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Provozní zálohy a zálohy notářům</w:t>
            </w:r>
          </w:p>
        </w:tc>
      </w:tr>
      <w:tr w:rsidR="006F3E16" w:rsidRPr="006F3E16" w:rsidTr="006F3E16">
        <w:trPr>
          <w:trHeight w:val="311"/>
        </w:trPr>
        <w:tc>
          <w:tcPr>
            <w:tcW w:w="2820" w:type="dxa"/>
            <w:tcBorders>
              <w:top w:val="nil"/>
              <w:left w:val="single" w:sz="12" w:space="0" w:color="auto"/>
              <w:bottom w:val="single" w:sz="8"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Jiné pohledávky z hlavní činnosti</w:t>
            </w:r>
          </w:p>
        </w:tc>
        <w:tc>
          <w:tcPr>
            <w:tcW w:w="1276"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33 323</w:t>
            </w:r>
          </w:p>
        </w:tc>
        <w:tc>
          <w:tcPr>
            <w:tcW w:w="141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7 909,53</w:t>
            </w:r>
          </w:p>
        </w:tc>
        <w:tc>
          <w:tcPr>
            <w:tcW w:w="140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25 413</w:t>
            </w:r>
          </w:p>
        </w:tc>
        <w:tc>
          <w:tcPr>
            <w:tcW w:w="2490" w:type="dxa"/>
            <w:tcBorders>
              <w:top w:val="nil"/>
              <w:left w:val="nil"/>
              <w:bottom w:val="single" w:sz="8"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Smluvní pokuty</w:t>
            </w:r>
          </w:p>
        </w:tc>
      </w:tr>
      <w:tr w:rsidR="006F3E16" w:rsidRPr="006F3E16" w:rsidTr="006F3E16">
        <w:trPr>
          <w:trHeight w:val="551"/>
        </w:trPr>
        <w:tc>
          <w:tcPr>
            <w:tcW w:w="2820" w:type="dxa"/>
            <w:tcBorders>
              <w:top w:val="nil"/>
              <w:left w:val="single" w:sz="12" w:space="0" w:color="auto"/>
              <w:bottom w:val="single" w:sz="8"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Pohledávky za vybranými ústředními vládními institucemi</w:t>
            </w:r>
          </w:p>
        </w:tc>
        <w:tc>
          <w:tcPr>
            <w:tcW w:w="1276"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61 930</w:t>
            </w:r>
          </w:p>
        </w:tc>
        <w:tc>
          <w:tcPr>
            <w:tcW w:w="141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0</w:t>
            </w:r>
          </w:p>
        </w:tc>
        <w:tc>
          <w:tcPr>
            <w:tcW w:w="140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61 930</w:t>
            </w:r>
          </w:p>
        </w:tc>
        <w:tc>
          <w:tcPr>
            <w:tcW w:w="2490" w:type="dxa"/>
            <w:tcBorders>
              <w:top w:val="nil"/>
              <w:left w:val="nil"/>
              <w:bottom w:val="single" w:sz="8"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příjmy z prodeje majetku  SPÚ určeného k privatizaci</w:t>
            </w:r>
          </w:p>
        </w:tc>
      </w:tr>
      <w:tr w:rsidR="006F3E16" w:rsidRPr="006F3E16" w:rsidTr="006F3E16">
        <w:trPr>
          <w:trHeight w:val="311"/>
        </w:trPr>
        <w:tc>
          <w:tcPr>
            <w:tcW w:w="2820" w:type="dxa"/>
            <w:tcBorders>
              <w:top w:val="nil"/>
              <w:left w:val="single" w:sz="12" w:space="0" w:color="auto"/>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Krátkodobé pohledávky z ručení</w:t>
            </w:r>
          </w:p>
        </w:tc>
        <w:tc>
          <w:tcPr>
            <w:tcW w:w="1276"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3 459</w:t>
            </w:r>
          </w:p>
        </w:tc>
        <w:tc>
          <w:tcPr>
            <w:tcW w:w="1418"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3 458,99</w:t>
            </w:r>
          </w:p>
        </w:tc>
        <w:tc>
          <w:tcPr>
            <w:tcW w:w="1408"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0</w:t>
            </w:r>
          </w:p>
        </w:tc>
        <w:tc>
          <w:tcPr>
            <w:tcW w:w="2490" w:type="dxa"/>
            <w:tcBorders>
              <w:top w:val="nil"/>
              <w:left w:val="nil"/>
              <w:bottom w:val="single" w:sz="12"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Pohledávky z ručení</w:t>
            </w:r>
          </w:p>
        </w:tc>
      </w:tr>
      <w:tr w:rsidR="006F3E16" w:rsidRPr="006F3E16" w:rsidTr="006F3E16">
        <w:trPr>
          <w:trHeight w:val="322"/>
        </w:trPr>
        <w:tc>
          <w:tcPr>
            <w:tcW w:w="2820" w:type="dxa"/>
            <w:tcBorders>
              <w:top w:val="nil"/>
              <w:left w:val="single" w:sz="12" w:space="0" w:color="auto"/>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Celkem za VP</w:t>
            </w:r>
          </w:p>
        </w:tc>
        <w:tc>
          <w:tcPr>
            <w:tcW w:w="1276"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2 386 069</w:t>
            </w:r>
          </w:p>
        </w:tc>
        <w:tc>
          <w:tcPr>
            <w:tcW w:w="1418"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2 072 955</w:t>
            </w:r>
          </w:p>
        </w:tc>
        <w:tc>
          <w:tcPr>
            <w:tcW w:w="1408"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313 114</w:t>
            </w:r>
          </w:p>
        </w:tc>
        <w:tc>
          <w:tcPr>
            <w:tcW w:w="2490" w:type="dxa"/>
            <w:tcBorders>
              <w:top w:val="nil"/>
              <w:left w:val="nil"/>
              <w:bottom w:val="single" w:sz="12"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 </w:t>
            </w:r>
          </w:p>
        </w:tc>
      </w:tr>
      <w:tr w:rsidR="006F3E16" w:rsidRPr="006F3E16" w:rsidTr="006F3E16">
        <w:trPr>
          <w:trHeight w:val="322"/>
        </w:trPr>
        <w:tc>
          <w:tcPr>
            <w:tcW w:w="2820" w:type="dxa"/>
            <w:tcBorders>
              <w:top w:val="nil"/>
              <w:left w:val="single" w:sz="12" w:space="0" w:color="auto"/>
              <w:bottom w:val="single" w:sz="8"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Dlouhodobé poskytnuté zálohy</w:t>
            </w:r>
          </w:p>
        </w:tc>
        <w:tc>
          <w:tcPr>
            <w:tcW w:w="1276"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1</w:t>
            </w:r>
          </w:p>
        </w:tc>
        <w:tc>
          <w:tcPr>
            <w:tcW w:w="141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0</w:t>
            </w:r>
          </w:p>
        </w:tc>
        <w:tc>
          <w:tcPr>
            <w:tcW w:w="140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1</w:t>
            </w:r>
          </w:p>
        </w:tc>
        <w:tc>
          <w:tcPr>
            <w:tcW w:w="2490" w:type="dxa"/>
            <w:tcBorders>
              <w:top w:val="nil"/>
              <w:left w:val="nil"/>
              <w:bottom w:val="single" w:sz="8"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Provozní zálohy exekutorům</w:t>
            </w:r>
          </w:p>
        </w:tc>
      </w:tr>
      <w:tr w:rsidR="006F3E16" w:rsidRPr="006F3E16" w:rsidTr="006F3E16">
        <w:trPr>
          <w:trHeight w:val="551"/>
        </w:trPr>
        <w:tc>
          <w:tcPr>
            <w:tcW w:w="2820" w:type="dxa"/>
            <w:tcBorders>
              <w:top w:val="nil"/>
              <w:left w:val="single" w:sz="12" w:space="0" w:color="auto"/>
              <w:bottom w:val="single" w:sz="8"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Dlouhodobé poskytnuté zálohy na transfery</w:t>
            </w:r>
          </w:p>
        </w:tc>
        <w:tc>
          <w:tcPr>
            <w:tcW w:w="1276"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34 100</w:t>
            </w:r>
          </w:p>
        </w:tc>
        <w:tc>
          <w:tcPr>
            <w:tcW w:w="141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0</w:t>
            </w:r>
          </w:p>
        </w:tc>
        <w:tc>
          <w:tcPr>
            <w:tcW w:w="140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34 100</w:t>
            </w:r>
          </w:p>
        </w:tc>
        <w:tc>
          <w:tcPr>
            <w:tcW w:w="2490" w:type="dxa"/>
            <w:tcBorders>
              <w:top w:val="nil"/>
              <w:left w:val="nil"/>
              <w:bottom w:val="single" w:sz="8"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zálohy na likvidační zůstatky státních podniků</w:t>
            </w:r>
          </w:p>
        </w:tc>
      </w:tr>
      <w:tr w:rsidR="006F3E16" w:rsidRPr="006F3E16" w:rsidTr="006F3E16">
        <w:trPr>
          <w:trHeight w:val="551"/>
        </w:trPr>
        <w:tc>
          <w:tcPr>
            <w:tcW w:w="2820" w:type="dxa"/>
            <w:tcBorders>
              <w:top w:val="nil"/>
              <w:left w:val="single" w:sz="12" w:space="0" w:color="auto"/>
              <w:bottom w:val="single" w:sz="8"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Odběratelé</w:t>
            </w:r>
          </w:p>
        </w:tc>
        <w:tc>
          <w:tcPr>
            <w:tcW w:w="1276"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4 409</w:t>
            </w:r>
          </w:p>
        </w:tc>
        <w:tc>
          <w:tcPr>
            <w:tcW w:w="141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3 734</w:t>
            </w:r>
          </w:p>
        </w:tc>
        <w:tc>
          <w:tcPr>
            <w:tcW w:w="1408" w:type="dxa"/>
            <w:tcBorders>
              <w:top w:val="nil"/>
              <w:left w:val="nil"/>
              <w:bottom w:val="single" w:sz="8"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675</w:t>
            </w:r>
          </w:p>
        </w:tc>
        <w:tc>
          <w:tcPr>
            <w:tcW w:w="2490" w:type="dxa"/>
            <w:tcBorders>
              <w:top w:val="nil"/>
              <w:left w:val="nil"/>
              <w:bottom w:val="single" w:sz="8"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Pohledávky malá privatizace – po splatnosti, pohledávky soudní spory</w:t>
            </w:r>
          </w:p>
        </w:tc>
      </w:tr>
      <w:tr w:rsidR="006F3E16" w:rsidRPr="006F3E16" w:rsidTr="006F3E16">
        <w:trPr>
          <w:trHeight w:val="821"/>
        </w:trPr>
        <w:tc>
          <w:tcPr>
            <w:tcW w:w="2820" w:type="dxa"/>
            <w:tcBorders>
              <w:top w:val="nil"/>
              <w:left w:val="single" w:sz="12" w:space="0" w:color="auto"/>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Ostatní krátkodobé pohledávky</w:t>
            </w:r>
          </w:p>
        </w:tc>
        <w:tc>
          <w:tcPr>
            <w:tcW w:w="1276"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601 211</w:t>
            </w:r>
          </w:p>
        </w:tc>
        <w:tc>
          <w:tcPr>
            <w:tcW w:w="1418"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601 211</w:t>
            </w:r>
          </w:p>
        </w:tc>
        <w:tc>
          <w:tcPr>
            <w:tcW w:w="1408"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0</w:t>
            </w:r>
          </w:p>
        </w:tc>
        <w:tc>
          <w:tcPr>
            <w:tcW w:w="2490" w:type="dxa"/>
            <w:tcBorders>
              <w:top w:val="nil"/>
              <w:left w:val="nil"/>
              <w:bottom w:val="single" w:sz="12"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Pohledávky za peněžními ústavy v konkurzu, jistiny a úroky, po splatnosti</w:t>
            </w:r>
          </w:p>
        </w:tc>
      </w:tr>
      <w:tr w:rsidR="006F3E16" w:rsidRPr="006F3E16" w:rsidTr="006F3E16">
        <w:trPr>
          <w:trHeight w:val="322"/>
        </w:trPr>
        <w:tc>
          <w:tcPr>
            <w:tcW w:w="2820" w:type="dxa"/>
            <w:tcBorders>
              <w:top w:val="nil"/>
              <w:left w:val="single" w:sz="12" w:space="0" w:color="auto"/>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Celkem za MP</w:t>
            </w:r>
          </w:p>
        </w:tc>
        <w:tc>
          <w:tcPr>
            <w:tcW w:w="1276"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639 720</w:t>
            </w:r>
          </w:p>
        </w:tc>
        <w:tc>
          <w:tcPr>
            <w:tcW w:w="1418"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604 944</w:t>
            </w:r>
          </w:p>
        </w:tc>
        <w:tc>
          <w:tcPr>
            <w:tcW w:w="1408"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34 776</w:t>
            </w:r>
          </w:p>
        </w:tc>
        <w:tc>
          <w:tcPr>
            <w:tcW w:w="2490" w:type="dxa"/>
            <w:tcBorders>
              <w:top w:val="nil"/>
              <w:left w:val="nil"/>
              <w:bottom w:val="single" w:sz="12"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 </w:t>
            </w:r>
          </w:p>
        </w:tc>
      </w:tr>
      <w:tr w:rsidR="006F3E16" w:rsidRPr="006F3E16" w:rsidTr="006F3E16">
        <w:trPr>
          <w:trHeight w:val="322"/>
        </w:trPr>
        <w:tc>
          <w:tcPr>
            <w:tcW w:w="2820" w:type="dxa"/>
            <w:tcBorders>
              <w:top w:val="nil"/>
              <w:left w:val="single" w:sz="12" w:space="0" w:color="auto"/>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lef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Celkem</w:t>
            </w:r>
          </w:p>
        </w:tc>
        <w:tc>
          <w:tcPr>
            <w:tcW w:w="1276"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3 025 789</w:t>
            </w:r>
          </w:p>
        </w:tc>
        <w:tc>
          <w:tcPr>
            <w:tcW w:w="1418"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2 677 899</w:t>
            </w:r>
          </w:p>
        </w:tc>
        <w:tc>
          <w:tcPr>
            <w:tcW w:w="1408" w:type="dxa"/>
            <w:tcBorders>
              <w:top w:val="nil"/>
              <w:left w:val="nil"/>
              <w:bottom w:val="single" w:sz="12" w:space="0" w:color="auto"/>
              <w:right w:val="single" w:sz="8" w:space="0" w:color="auto"/>
            </w:tcBorders>
            <w:shd w:val="clear" w:color="auto" w:fill="auto"/>
            <w:noWrap/>
            <w:vAlign w:val="center"/>
            <w:hideMark/>
          </w:tcPr>
          <w:p w:rsidR="006F3E16" w:rsidRPr="006F3E16" w:rsidRDefault="006F3E16" w:rsidP="006F3E16">
            <w:pPr>
              <w:spacing w:before="0"/>
              <w:jc w:val="right"/>
              <w:rPr>
                <w:rFonts w:ascii="Calibri" w:eastAsia="Times New Roman" w:hAnsi="Calibri" w:cs="Calibri"/>
                <w:b/>
                <w:bCs/>
                <w:color w:val="000000"/>
                <w:sz w:val="20"/>
                <w:szCs w:val="20"/>
                <w:lang w:eastAsia="cs-CZ"/>
              </w:rPr>
            </w:pPr>
            <w:r w:rsidRPr="006F3E16">
              <w:rPr>
                <w:rFonts w:ascii="Calibri" w:eastAsia="Times New Roman" w:hAnsi="Calibri" w:cs="Calibri"/>
                <w:b/>
                <w:bCs/>
                <w:color w:val="000000"/>
                <w:sz w:val="20"/>
                <w:szCs w:val="20"/>
                <w:lang w:eastAsia="cs-CZ"/>
              </w:rPr>
              <w:t>347 890</w:t>
            </w:r>
          </w:p>
        </w:tc>
        <w:tc>
          <w:tcPr>
            <w:tcW w:w="2490" w:type="dxa"/>
            <w:tcBorders>
              <w:top w:val="nil"/>
              <w:left w:val="nil"/>
              <w:bottom w:val="single" w:sz="12" w:space="0" w:color="auto"/>
              <w:right w:val="single" w:sz="12" w:space="0" w:color="auto"/>
            </w:tcBorders>
            <w:shd w:val="clear" w:color="auto" w:fill="auto"/>
            <w:vAlign w:val="center"/>
            <w:hideMark/>
          </w:tcPr>
          <w:p w:rsidR="006F3E16" w:rsidRPr="006F3E16" w:rsidRDefault="006F3E16" w:rsidP="006F3E16">
            <w:pPr>
              <w:spacing w:before="0"/>
              <w:jc w:val="left"/>
              <w:rPr>
                <w:rFonts w:ascii="Calibri" w:eastAsia="Times New Roman" w:hAnsi="Calibri" w:cs="Calibri"/>
                <w:color w:val="000000"/>
                <w:sz w:val="20"/>
                <w:szCs w:val="20"/>
                <w:lang w:eastAsia="cs-CZ"/>
              </w:rPr>
            </w:pPr>
            <w:r w:rsidRPr="006F3E16">
              <w:rPr>
                <w:rFonts w:ascii="Calibri" w:eastAsia="Times New Roman" w:hAnsi="Calibri" w:cs="Calibri"/>
                <w:color w:val="000000"/>
                <w:sz w:val="20"/>
                <w:szCs w:val="20"/>
                <w:lang w:eastAsia="cs-CZ"/>
              </w:rPr>
              <w:t> </w:t>
            </w:r>
          </w:p>
        </w:tc>
      </w:tr>
    </w:tbl>
    <w:p w:rsidR="00BD1E4E" w:rsidRPr="006F2953" w:rsidRDefault="00BD1E4E" w:rsidP="00BD1E4E">
      <w:r w:rsidRPr="006F2953">
        <w:t>Celkový stav pohledáv</w:t>
      </w:r>
      <w:r w:rsidR="004A4A6C">
        <w:t>ek Fondu privatizace dosahuje k </w:t>
      </w:r>
      <w:r w:rsidRPr="006F2953">
        <w:t>31.</w:t>
      </w:r>
      <w:r w:rsidR="004A4A6C">
        <w:t> </w:t>
      </w:r>
      <w:r w:rsidRPr="006F2953">
        <w:t>12.</w:t>
      </w:r>
      <w:r w:rsidR="004A4A6C">
        <w:t> </w:t>
      </w:r>
      <w:r w:rsidR="00481D83">
        <w:t>2020</w:t>
      </w:r>
      <w:r w:rsidRPr="006F2953">
        <w:t xml:space="preserve"> výše </w:t>
      </w:r>
      <w:r w:rsidR="00481D83" w:rsidRPr="00481D83">
        <w:t>3 025</w:t>
      </w:r>
      <w:r w:rsidR="004A4A6C">
        <w:t> </w:t>
      </w:r>
      <w:r w:rsidR="00481D83" w:rsidRPr="00481D83">
        <w:t>789</w:t>
      </w:r>
      <w:r w:rsidR="004A4A6C">
        <w:t> tis. </w:t>
      </w:r>
      <w:r w:rsidRPr="006F2953">
        <w:t>Kč, k</w:t>
      </w:r>
      <w:r>
        <w:t> </w:t>
      </w:r>
      <w:r w:rsidRPr="006F2953">
        <w:t>pohledávkám po lhůtě splatnosti b</w:t>
      </w:r>
      <w:r w:rsidR="004A4A6C">
        <w:t>yly vytvořeny opravné položky v </w:t>
      </w:r>
      <w:r w:rsidRPr="006F2953">
        <w:t xml:space="preserve">celkové výši </w:t>
      </w:r>
      <w:r w:rsidR="004A4A6C">
        <w:t>2 677 </w:t>
      </w:r>
      <w:r w:rsidR="00481D83" w:rsidRPr="00481D83">
        <w:t>899</w:t>
      </w:r>
      <w:r>
        <w:t> </w:t>
      </w:r>
      <w:r w:rsidR="004A4A6C">
        <w:t>tis. </w:t>
      </w:r>
      <w:r w:rsidRPr="006F2953">
        <w:t xml:space="preserve">Kč, čistá hodnota pohledávek dosahuje výše </w:t>
      </w:r>
      <w:r w:rsidR="00481D83" w:rsidRPr="00481D83">
        <w:t>347</w:t>
      </w:r>
      <w:r w:rsidR="00481D83">
        <w:t> </w:t>
      </w:r>
      <w:r w:rsidR="00481D83" w:rsidRPr="00481D83">
        <w:t>890</w:t>
      </w:r>
      <w:r w:rsidR="00481D83">
        <w:t xml:space="preserve"> </w:t>
      </w:r>
      <w:r w:rsidR="004A4A6C">
        <w:t>tis. </w:t>
      </w:r>
      <w:r w:rsidRPr="006F2953">
        <w:t xml:space="preserve">Kč. </w:t>
      </w:r>
    </w:p>
    <w:p w:rsidR="00BD1E4E" w:rsidRPr="006F2953" w:rsidRDefault="00BD1E4E" w:rsidP="00BD1E4E">
      <w:r w:rsidRPr="006F2953">
        <w:t xml:space="preserve">Pohledávky po splatnosti tvoří především pohledávky za odběrateli: </w:t>
      </w:r>
    </w:p>
    <w:p w:rsidR="00BD1E4E" w:rsidRPr="006F2953" w:rsidRDefault="00BD1E4E" w:rsidP="00FD6B3B">
      <w:pPr>
        <w:pStyle w:val="odrka"/>
      </w:pPr>
      <w:r w:rsidRPr="006F2953">
        <w:t xml:space="preserve">za nezaplacenými kupními cenami privatizovaného majetku (v případě </w:t>
      </w:r>
      <w:r w:rsidR="000A6461">
        <w:t>prodeje majetku) a pohledávky z </w:t>
      </w:r>
      <w:r w:rsidR="004A4A6C">
        <w:t>úroků z </w:t>
      </w:r>
      <w:r w:rsidRPr="006F2953">
        <w:t xml:space="preserve">prodlení, </w:t>
      </w:r>
    </w:p>
    <w:p w:rsidR="00BD1E4E" w:rsidRDefault="00BD1E4E" w:rsidP="00FD6B3B">
      <w:pPr>
        <w:pStyle w:val="odrka"/>
      </w:pPr>
      <w:r w:rsidRPr="006F2953">
        <w:t>pohledávky ze splátkových prodejů (kdy měl být</w:t>
      </w:r>
      <w:r w:rsidR="000A6461">
        <w:t xml:space="preserve"> majetek zap</w:t>
      </w:r>
      <w:r w:rsidR="004A4A6C">
        <w:t>lacen splátkami) a pohledávky z </w:t>
      </w:r>
      <w:r w:rsidR="000A6461">
        <w:t>úroků z </w:t>
      </w:r>
      <w:r w:rsidRPr="006F2953">
        <w:t xml:space="preserve">prodlení a další. </w:t>
      </w:r>
    </w:p>
    <w:p w:rsidR="004A4A6C" w:rsidRDefault="004A4A6C" w:rsidP="004A4A6C">
      <w:pPr>
        <w:pStyle w:val="odrka"/>
        <w:numPr>
          <w:ilvl w:val="0"/>
          <w:numId w:val="0"/>
        </w:numPr>
        <w:ind w:left="1065" w:hanging="705"/>
      </w:pPr>
    </w:p>
    <w:p w:rsidR="004A4A6C" w:rsidRDefault="004A4A6C" w:rsidP="004A4A6C">
      <w:pPr>
        <w:pStyle w:val="odrka"/>
        <w:numPr>
          <w:ilvl w:val="0"/>
          <w:numId w:val="0"/>
        </w:numPr>
        <w:ind w:left="1065" w:hanging="705"/>
      </w:pPr>
    </w:p>
    <w:p w:rsidR="004A4A6C" w:rsidRDefault="004A4A6C" w:rsidP="004A4A6C">
      <w:pPr>
        <w:pStyle w:val="odrka"/>
        <w:numPr>
          <w:ilvl w:val="0"/>
          <w:numId w:val="0"/>
        </w:numPr>
        <w:ind w:left="1065" w:hanging="705"/>
      </w:pPr>
    </w:p>
    <w:p w:rsidR="00481D83" w:rsidRDefault="00BD1E4E" w:rsidP="00CA5106">
      <w:pPr>
        <w:pStyle w:val="Nzev"/>
      </w:pPr>
      <w:bookmarkStart w:id="43" w:name="_Toc65836237"/>
      <w:r w:rsidRPr="00EB6F1A">
        <w:lastRenderedPageBreak/>
        <w:t xml:space="preserve">Tabulka č. </w:t>
      </w:r>
      <w:r w:rsidR="00E13D9D">
        <w:fldChar w:fldCharType="begin"/>
      </w:r>
      <w:r w:rsidR="00E13D9D">
        <w:instrText xml:space="preserve"> SEQ Tabulka_č. \* ARABIC </w:instrText>
      </w:r>
      <w:r w:rsidR="00E13D9D">
        <w:fldChar w:fldCharType="separate"/>
      </w:r>
      <w:r w:rsidR="008A4BFD">
        <w:rPr>
          <w:noProof/>
        </w:rPr>
        <w:t>15</w:t>
      </w:r>
      <w:r w:rsidR="00E13D9D">
        <w:rPr>
          <w:noProof/>
        </w:rPr>
        <w:fldChar w:fldCharType="end"/>
      </w:r>
      <w:r w:rsidRPr="00EB6F1A">
        <w:t>: Přehled největších dlužníků Fondu privatizace (tis. Kč)</w:t>
      </w:r>
      <w:bookmarkEnd w:id="43"/>
    </w:p>
    <w:p w:rsidR="00481D83" w:rsidRDefault="00CA5106" w:rsidP="00CA5106">
      <w:pPr>
        <w:pStyle w:val="Tabgraf"/>
      </w:pPr>
      <w:r>
        <w:rPr>
          <w:noProof/>
          <w:lang w:eastAsia="cs-CZ"/>
        </w:rPr>
        <w:drawing>
          <wp:inline distT="0" distB="0" distL="0" distR="0" wp14:anchorId="4CFE0E46" wp14:editId="49767B6E">
            <wp:extent cx="5505450" cy="3629025"/>
            <wp:effectExtent l="0" t="0" r="0" b="9525"/>
            <wp:docPr id="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05450" cy="362902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481D83" w:rsidRPr="00481D83" w:rsidRDefault="00481D83" w:rsidP="00481D83"/>
    <w:p w:rsidR="00BD1E4E" w:rsidRDefault="00BD1E4E" w:rsidP="00BD1E4E"/>
    <w:p w:rsidR="00BD1E4E" w:rsidRDefault="00BD1E4E" w:rsidP="00BD1E4E"/>
    <w:p w:rsidR="00BD1E4E" w:rsidRDefault="00BD1E4E" w:rsidP="00BD1E4E">
      <w:pPr>
        <w:sectPr w:rsidR="00BD1E4E" w:rsidSect="0079758A">
          <w:footerReference w:type="default" r:id="rId13"/>
          <w:pgSz w:w="11906" w:h="16838"/>
          <w:pgMar w:top="1134" w:right="1134" w:bottom="1134" w:left="1134" w:header="709" w:footer="709" w:gutter="0"/>
          <w:cols w:space="708"/>
          <w:docGrid w:linePitch="360"/>
        </w:sectPr>
      </w:pPr>
    </w:p>
    <w:p w:rsidR="00BD1E4E" w:rsidRDefault="00BD1E4E" w:rsidP="00356520">
      <w:pPr>
        <w:pStyle w:val="Bezmezer"/>
      </w:pPr>
      <w:bookmarkStart w:id="44" w:name="_Toc445218022"/>
      <w:bookmarkStart w:id="45" w:name="_Toc34922961"/>
      <w:bookmarkStart w:id="46" w:name="_Toc65836222"/>
      <w:r>
        <w:lastRenderedPageBreak/>
        <w:t>Tabulková příloha</w:t>
      </w:r>
      <w:bookmarkEnd w:id="44"/>
      <w:bookmarkEnd w:id="45"/>
      <w:bookmarkEnd w:id="46"/>
    </w:p>
    <w:p w:rsidR="00BD1E4E" w:rsidRPr="00BC1F77" w:rsidRDefault="00BD1E4E" w:rsidP="00BD1E4E">
      <w:r w:rsidRPr="00BC1F77">
        <w:rPr>
          <w:b/>
        </w:rPr>
        <w:t>Příloha č. 1:</w:t>
      </w:r>
      <w:r w:rsidRPr="00BC1F77">
        <w:t xml:space="preserve"> Rozvaha Fondu privatizace k 31.</w:t>
      </w:r>
      <w:r w:rsidR="000A6461">
        <w:t xml:space="preserve"> </w:t>
      </w:r>
      <w:r w:rsidRPr="00BC1F77">
        <w:t>12.</w:t>
      </w:r>
      <w:r w:rsidR="000A6461">
        <w:t xml:space="preserve"> </w:t>
      </w:r>
      <w:r w:rsidR="00FC292F">
        <w:t>2020</w:t>
      </w:r>
    </w:p>
    <w:p w:rsidR="00BD1E4E" w:rsidRPr="00BC1F77" w:rsidRDefault="00BD1E4E" w:rsidP="00BD1E4E">
      <w:r w:rsidRPr="00BC1F77">
        <w:rPr>
          <w:b/>
        </w:rPr>
        <w:t>Příloha č. 2:</w:t>
      </w:r>
      <w:r w:rsidRPr="00BC1F77">
        <w:t xml:space="preserve"> Výkaz zisku a ztráty Fondu privatizace</w:t>
      </w:r>
      <w:r>
        <w:t xml:space="preserve"> k 31.</w:t>
      </w:r>
      <w:r w:rsidR="000A6461">
        <w:t xml:space="preserve"> </w:t>
      </w:r>
      <w:r>
        <w:t>12.</w:t>
      </w:r>
      <w:r w:rsidR="000A6461">
        <w:t xml:space="preserve"> </w:t>
      </w:r>
      <w:r w:rsidR="00FC292F">
        <w:t>2020</w:t>
      </w:r>
    </w:p>
    <w:p w:rsidR="00BD1E4E" w:rsidRDefault="00BD1E4E" w:rsidP="00BD1E4E"/>
    <w:p w:rsidR="00BD1E4E" w:rsidRDefault="00BD1E4E" w:rsidP="00BD1E4E">
      <w:pPr>
        <w:sectPr w:rsidR="00BD1E4E" w:rsidSect="0079758A">
          <w:footerReference w:type="default" r:id="rId14"/>
          <w:pgSz w:w="11906" w:h="16838"/>
          <w:pgMar w:top="1134" w:right="1134" w:bottom="1134" w:left="1134" w:header="709" w:footer="709" w:gutter="0"/>
          <w:cols w:space="708"/>
          <w:docGrid w:linePitch="360"/>
        </w:sectPr>
      </w:pPr>
    </w:p>
    <w:p w:rsidR="00BD1E4E" w:rsidRDefault="00BD1E4E" w:rsidP="00FE345A">
      <w:pPr>
        <w:pStyle w:val="Nzev"/>
      </w:pPr>
      <w:r w:rsidRPr="0051538D">
        <w:lastRenderedPageBreak/>
        <w:t xml:space="preserve">Příloha č. </w:t>
      </w:r>
      <w:r w:rsidR="00E13D9D">
        <w:fldChar w:fldCharType="begin"/>
      </w:r>
      <w:r w:rsidR="00E13D9D">
        <w:instrText xml:space="preserve"> SEQ Příloha_č. \* ARABIC </w:instrText>
      </w:r>
      <w:r w:rsidR="00E13D9D">
        <w:fldChar w:fldCharType="separate"/>
      </w:r>
      <w:r w:rsidR="008A4BFD">
        <w:rPr>
          <w:noProof/>
        </w:rPr>
        <w:t>1</w:t>
      </w:r>
      <w:r w:rsidR="00E13D9D">
        <w:rPr>
          <w:noProof/>
        </w:rPr>
        <w:fldChar w:fldCharType="end"/>
      </w:r>
      <w:r w:rsidRPr="0051538D">
        <w:t>: Rozvaha Fondu privatizace k 31.</w:t>
      </w:r>
      <w:r w:rsidR="000A6461">
        <w:t xml:space="preserve"> </w:t>
      </w:r>
      <w:r w:rsidRPr="0051538D">
        <w:t>12.</w:t>
      </w:r>
      <w:r w:rsidR="000A6461">
        <w:t xml:space="preserve"> </w:t>
      </w:r>
      <w:r w:rsidR="00FC292F">
        <w:t>2020</w:t>
      </w:r>
      <w:r w:rsidRPr="0051538D">
        <w:t xml:space="preserve"> (tis. Kč)</w:t>
      </w:r>
    </w:p>
    <w:tbl>
      <w:tblPr>
        <w:tblW w:w="14034" w:type="dxa"/>
        <w:tblInd w:w="-15" w:type="dxa"/>
        <w:tblCellMar>
          <w:left w:w="70" w:type="dxa"/>
          <w:right w:w="70" w:type="dxa"/>
        </w:tblCellMar>
        <w:tblLook w:val="04A0" w:firstRow="1" w:lastRow="0" w:firstColumn="1" w:lastColumn="0" w:noHBand="0" w:noVBand="1"/>
      </w:tblPr>
      <w:tblGrid>
        <w:gridCol w:w="282"/>
        <w:gridCol w:w="312"/>
        <w:gridCol w:w="399"/>
        <w:gridCol w:w="6250"/>
        <w:gridCol w:w="1404"/>
        <w:gridCol w:w="1562"/>
        <w:gridCol w:w="1272"/>
        <w:gridCol w:w="1412"/>
        <w:gridCol w:w="1141"/>
      </w:tblGrid>
      <w:tr w:rsidR="00E80814" w:rsidRPr="00FC292F" w:rsidTr="00A1110E">
        <w:trPr>
          <w:trHeight w:val="278"/>
        </w:trPr>
        <w:tc>
          <w:tcPr>
            <w:tcW w:w="993" w:type="dxa"/>
            <w:gridSpan w:val="3"/>
            <w:vMerge w:val="restart"/>
            <w:tcBorders>
              <w:top w:val="single" w:sz="12" w:space="0" w:color="auto"/>
              <w:left w:val="single" w:sz="12" w:space="0" w:color="auto"/>
              <w:bottom w:val="nil"/>
              <w:right w:val="single" w:sz="8" w:space="0" w:color="000000"/>
            </w:tcBorders>
            <w:shd w:val="clear" w:color="auto" w:fill="auto"/>
            <w:vAlign w:val="center"/>
            <w:hideMark/>
          </w:tcPr>
          <w:p w:rsidR="00FC292F" w:rsidRPr="00FC292F" w:rsidRDefault="00FC292F" w:rsidP="00FC292F">
            <w:pPr>
              <w:spacing w:before="0"/>
              <w:jc w:val="center"/>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Číslo položky</w:t>
            </w:r>
          </w:p>
        </w:tc>
        <w:tc>
          <w:tcPr>
            <w:tcW w:w="6250" w:type="dxa"/>
            <w:vMerge w:val="restart"/>
            <w:tcBorders>
              <w:top w:val="single" w:sz="12" w:space="0" w:color="auto"/>
              <w:left w:val="single" w:sz="8" w:space="0" w:color="000000"/>
              <w:bottom w:val="nil"/>
              <w:right w:val="single" w:sz="8" w:space="0" w:color="auto"/>
            </w:tcBorders>
            <w:shd w:val="clear" w:color="auto" w:fill="auto"/>
            <w:vAlign w:val="center"/>
            <w:hideMark/>
          </w:tcPr>
          <w:p w:rsidR="00FC292F" w:rsidRPr="00FC292F" w:rsidRDefault="00FC292F" w:rsidP="00FC292F">
            <w:pPr>
              <w:spacing w:before="0"/>
              <w:jc w:val="center"/>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Syntetický účet</w:t>
            </w:r>
          </w:p>
        </w:tc>
        <w:tc>
          <w:tcPr>
            <w:tcW w:w="1404" w:type="dxa"/>
            <w:vMerge w:val="restart"/>
            <w:tcBorders>
              <w:top w:val="single" w:sz="12" w:space="0" w:color="auto"/>
              <w:left w:val="single" w:sz="8" w:space="0" w:color="auto"/>
              <w:bottom w:val="nil"/>
              <w:right w:val="single" w:sz="8" w:space="0" w:color="auto"/>
            </w:tcBorders>
            <w:shd w:val="clear" w:color="auto" w:fill="auto"/>
            <w:vAlign w:val="center"/>
            <w:hideMark/>
          </w:tcPr>
          <w:p w:rsidR="00FC292F" w:rsidRPr="00FC292F" w:rsidRDefault="00FC292F" w:rsidP="00FC292F">
            <w:pPr>
              <w:spacing w:before="0"/>
              <w:jc w:val="center"/>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Číslo účtu</w:t>
            </w:r>
          </w:p>
        </w:tc>
        <w:tc>
          <w:tcPr>
            <w:tcW w:w="5387" w:type="dxa"/>
            <w:gridSpan w:val="4"/>
            <w:tcBorders>
              <w:top w:val="single" w:sz="12" w:space="0" w:color="auto"/>
              <w:left w:val="nil"/>
              <w:bottom w:val="single" w:sz="8" w:space="0" w:color="auto"/>
              <w:right w:val="single" w:sz="12" w:space="0" w:color="auto"/>
            </w:tcBorders>
            <w:shd w:val="clear" w:color="auto" w:fill="auto"/>
            <w:noWrap/>
            <w:vAlign w:val="center"/>
            <w:hideMark/>
          </w:tcPr>
          <w:p w:rsidR="00FC292F" w:rsidRPr="00FC292F" w:rsidRDefault="00FC292F" w:rsidP="00FC292F">
            <w:pPr>
              <w:spacing w:before="0"/>
              <w:jc w:val="center"/>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Období</w:t>
            </w:r>
          </w:p>
        </w:tc>
      </w:tr>
      <w:tr w:rsidR="00FC292F" w:rsidRPr="00FC292F" w:rsidTr="00E80814">
        <w:trPr>
          <w:trHeight w:val="268"/>
        </w:trPr>
        <w:tc>
          <w:tcPr>
            <w:tcW w:w="993" w:type="dxa"/>
            <w:gridSpan w:val="3"/>
            <w:vMerge/>
            <w:tcBorders>
              <w:top w:val="single" w:sz="12" w:space="0" w:color="auto"/>
              <w:left w:val="single" w:sz="12" w:space="0" w:color="auto"/>
              <w:bottom w:val="nil"/>
              <w:right w:val="single" w:sz="8" w:space="0" w:color="000000"/>
            </w:tcBorders>
            <w:vAlign w:val="center"/>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p>
        </w:tc>
        <w:tc>
          <w:tcPr>
            <w:tcW w:w="6250" w:type="dxa"/>
            <w:vMerge/>
            <w:tcBorders>
              <w:top w:val="single" w:sz="12" w:space="0" w:color="auto"/>
              <w:left w:val="single" w:sz="8" w:space="0" w:color="000000"/>
              <w:bottom w:val="nil"/>
              <w:right w:val="single" w:sz="8" w:space="0" w:color="auto"/>
            </w:tcBorders>
            <w:vAlign w:val="center"/>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p>
        </w:tc>
        <w:tc>
          <w:tcPr>
            <w:tcW w:w="1404" w:type="dxa"/>
            <w:vMerge/>
            <w:tcBorders>
              <w:top w:val="single" w:sz="12" w:space="0" w:color="auto"/>
              <w:left w:val="single" w:sz="8" w:space="0" w:color="auto"/>
              <w:bottom w:val="nil"/>
              <w:right w:val="single" w:sz="8" w:space="0" w:color="auto"/>
            </w:tcBorders>
            <w:vAlign w:val="center"/>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p>
        </w:tc>
        <w:tc>
          <w:tcPr>
            <w:tcW w:w="4246" w:type="dxa"/>
            <w:gridSpan w:val="3"/>
            <w:tcBorders>
              <w:top w:val="single" w:sz="8" w:space="0" w:color="auto"/>
              <w:left w:val="nil"/>
              <w:bottom w:val="single" w:sz="8" w:space="0" w:color="auto"/>
              <w:right w:val="single" w:sz="8" w:space="0" w:color="000000"/>
            </w:tcBorders>
            <w:shd w:val="clear" w:color="auto" w:fill="auto"/>
            <w:noWrap/>
            <w:vAlign w:val="center"/>
            <w:hideMark/>
          </w:tcPr>
          <w:p w:rsidR="00FC292F" w:rsidRPr="00FC292F" w:rsidRDefault="00FC292F" w:rsidP="00FC292F">
            <w:pPr>
              <w:spacing w:before="0"/>
              <w:jc w:val="center"/>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Běžné</w:t>
            </w:r>
          </w:p>
        </w:tc>
        <w:tc>
          <w:tcPr>
            <w:tcW w:w="1141" w:type="dxa"/>
            <w:vMerge w:val="restart"/>
            <w:tcBorders>
              <w:top w:val="nil"/>
              <w:left w:val="single" w:sz="8" w:space="0" w:color="auto"/>
              <w:bottom w:val="nil"/>
              <w:right w:val="single" w:sz="12" w:space="0" w:color="auto"/>
            </w:tcBorders>
            <w:shd w:val="clear" w:color="auto" w:fill="auto"/>
            <w:noWrap/>
            <w:vAlign w:val="center"/>
            <w:hideMark/>
          </w:tcPr>
          <w:p w:rsidR="00FC292F" w:rsidRPr="00FC292F" w:rsidRDefault="00FC292F" w:rsidP="00FC292F">
            <w:pPr>
              <w:spacing w:before="0"/>
              <w:jc w:val="center"/>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Minulé</w:t>
            </w:r>
          </w:p>
        </w:tc>
      </w:tr>
      <w:tr w:rsidR="00FC292F" w:rsidRPr="00FC292F" w:rsidTr="00A1110E">
        <w:trPr>
          <w:trHeight w:val="268"/>
        </w:trPr>
        <w:tc>
          <w:tcPr>
            <w:tcW w:w="993" w:type="dxa"/>
            <w:gridSpan w:val="3"/>
            <w:vMerge/>
            <w:tcBorders>
              <w:top w:val="single" w:sz="12" w:space="0" w:color="auto"/>
              <w:left w:val="single" w:sz="12" w:space="0" w:color="auto"/>
              <w:bottom w:val="single" w:sz="12" w:space="0" w:color="auto"/>
              <w:right w:val="single" w:sz="8" w:space="0" w:color="000000"/>
            </w:tcBorders>
            <w:vAlign w:val="center"/>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p>
        </w:tc>
        <w:tc>
          <w:tcPr>
            <w:tcW w:w="6250" w:type="dxa"/>
            <w:vMerge/>
            <w:tcBorders>
              <w:top w:val="single" w:sz="12" w:space="0" w:color="auto"/>
              <w:left w:val="single" w:sz="8" w:space="0" w:color="000000"/>
              <w:bottom w:val="single" w:sz="12" w:space="0" w:color="auto"/>
              <w:right w:val="single" w:sz="8" w:space="0" w:color="auto"/>
            </w:tcBorders>
            <w:vAlign w:val="center"/>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p>
        </w:tc>
        <w:tc>
          <w:tcPr>
            <w:tcW w:w="1404" w:type="dxa"/>
            <w:vMerge/>
            <w:tcBorders>
              <w:top w:val="single" w:sz="12" w:space="0" w:color="auto"/>
              <w:left w:val="single" w:sz="8" w:space="0" w:color="auto"/>
              <w:bottom w:val="single" w:sz="12" w:space="0" w:color="auto"/>
              <w:right w:val="single" w:sz="8" w:space="0" w:color="auto"/>
            </w:tcBorders>
            <w:vAlign w:val="center"/>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p>
        </w:tc>
        <w:tc>
          <w:tcPr>
            <w:tcW w:w="1562" w:type="dxa"/>
            <w:tcBorders>
              <w:top w:val="nil"/>
              <w:left w:val="nil"/>
              <w:bottom w:val="single" w:sz="12" w:space="0" w:color="auto"/>
              <w:right w:val="single" w:sz="8" w:space="0" w:color="auto"/>
            </w:tcBorders>
            <w:shd w:val="clear" w:color="auto" w:fill="auto"/>
            <w:noWrap/>
            <w:vAlign w:val="center"/>
            <w:hideMark/>
          </w:tcPr>
          <w:p w:rsidR="00FC292F" w:rsidRPr="00FC292F" w:rsidRDefault="00FC292F" w:rsidP="00FC292F">
            <w:pPr>
              <w:spacing w:before="0"/>
              <w:jc w:val="center"/>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Brutto</w:t>
            </w:r>
          </w:p>
        </w:tc>
        <w:tc>
          <w:tcPr>
            <w:tcW w:w="1272" w:type="dxa"/>
            <w:tcBorders>
              <w:top w:val="nil"/>
              <w:left w:val="nil"/>
              <w:bottom w:val="single" w:sz="12" w:space="0" w:color="auto"/>
              <w:right w:val="single" w:sz="8" w:space="0" w:color="auto"/>
            </w:tcBorders>
            <w:shd w:val="clear" w:color="auto" w:fill="auto"/>
            <w:noWrap/>
            <w:vAlign w:val="center"/>
            <w:hideMark/>
          </w:tcPr>
          <w:p w:rsidR="00FC292F" w:rsidRPr="00FC292F" w:rsidRDefault="00FC292F" w:rsidP="00FC292F">
            <w:pPr>
              <w:spacing w:before="0"/>
              <w:jc w:val="center"/>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Korekce</w:t>
            </w:r>
          </w:p>
        </w:tc>
        <w:tc>
          <w:tcPr>
            <w:tcW w:w="1412" w:type="dxa"/>
            <w:tcBorders>
              <w:top w:val="nil"/>
              <w:left w:val="nil"/>
              <w:bottom w:val="single" w:sz="12" w:space="0" w:color="auto"/>
              <w:right w:val="single" w:sz="8" w:space="0" w:color="auto"/>
            </w:tcBorders>
            <w:shd w:val="clear" w:color="auto" w:fill="auto"/>
            <w:noWrap/>
            <w:vAlign w:val="center"/>
            <w:hideMark/>
          </w:tcPr>
          <w:p w:rsidR="00FC292F" w:rsidRPr="00FC292F" w:rsidRDefault="00FC292F" w:rsidP="00FC292F">
            <w:pPr>
              <w:spacing w:before="0"/>
              <w:jc w:val="center"/>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Netto</w:t>
            </w:r>
          </w:p>
        </w:tc>
        <w:tc>
          <w:tcPr>
            <w:tcW w:w="1141" w:type="dxa"/>
            <w:vMerge/>
            <w:tcBorders>
              <w:top w:val="nil"/>
              <w:left w:val="single" w:sz="8" w:space="0" w:color="auto"/>
              <w:bottom w:val="single" w:sz="12" w:space="0" w:color="auto"/>
              <w:right w:val="single" w:sz="12" w:space="0" w:color="auto"/>
            </w:tcBorders>
            <w:vAlign w:val="center"/>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p>
        </w:tc>
      </w:tr>
      <w:tr w:rsidR="00FC292F" w:rsidRPr="00FC292F" w:rsidTr="00A1110E">
        <w:trPr>
          <w:trHeight w:val="298"/>
        </w:trPr>
        <w:tc>
          <w:tcPr>
            <w:tcW w:w="8647" w:type="dxa"/>
            <w:gridSpan w:val="5"/>
            <w:tcBorders>
              <w:top w:val="single" w:sz="12" w:space="0" w:color="auto"/>
              <w:left w:val="single" w:sz="12" w:space="0" w:color="auto"/>
              <w:bottom w:val="single" w:sz="12" w:space="0" w:color="auto"/>
              <w:right w:val="single" w:sz="4" w:space="0" w:color="000000"/>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AKTIVA CELKEM</w:t>
            </w:r>
          </w:p>
        </w:tc>
        <w:tc>
          <w:tcPr>
            <w:tcW w:w="156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73 732 640,86</w:t>
            </w:r>
          </w:p>
        </w:tc>
        <w:tc>
          <w:tcPr>
            <w:tcW w:w="127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2 677 899,03</w:t>
            </w:r>
          </w:p>
        </w:tc>
        <w:tc>
          <w:tcPr>
            <w:tcW w:w="141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71 054 741,82</w:t>
            </w:r>
          </w:p>
        </w:tc>
        <w:tc>
          <w:tcPr>
            <w:tcW w:w="1141" w:type="dxa"/>
            <w:tcBorders>
              <w:top w:val="single" w:sz="12" w:space="0" w:color="auto"/>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73 625 339</w:t>
            </w:r>
          </w:p>
        </w:tc>
      </w:tr>
      <w:tr w:rsidR="00FC292F" w:rsidRPr="00FC292F" w:rsidTr="00A1110E">
        <w:trPr>
          <w:trHeight w:val="298"/>
        </w:trPr>
        <w:tc>
          <w:tcPr>
            <w:tcW w:w="282" w:type="dxa"/>
            <w:tcBorders>
              <w:top w:val="single" w:sz="12" w:space="0" w:color="auto"/>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A</w:t>
            </w:r>
          </w:p>
        </w:tc>
        <w:tc>
          <w:tcPr>
            <w:tcW w:w="312" w:type="dxa"/>
            <w:tcBorders>
              <w:top w:val="single" w:sz="12" w:space="0" w:color="auto"/>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399"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7654" w:type="dxa"/>
            <w:gridSpan w:val="2"/>
            <w:tcBorders>
              <w:top w:val="single" w:sz="12" w:space="0" w:color="auto"/>
              <w:left w:val="nil"/>
              <w:bottom w:val="single" w:sz="12" w:space="0" w:color="auto"/>
              <w:right w:val="single" w:sz="4" w:space="0" w:color="000000"/>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Stálá aktiva</w:t>
            </w:r>
          </w:p>
        </w:tc>
        <w:tc>
          <w:tcPr>
            <w:tcW w:w="156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51 704 055,69</w:t>
            </w:r>
          </w:p>
        </w:tc>
        <w:tc>
          <w:tcPr>
            <w:tcW w:w="127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0,00</w:t>
            </w:r>
          </w:p>
        </w:tc>
        <w:tc>
          <w:tcPr>
            <w:tcW w:w="141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51 704 055,69</w:t>
            </w:r>
          </w:p>
        </w:tc>
        <w:tc>
          <w:tcPr>
            <w:tcW w:w="1141" w:type="dxa"/>
            <w:tcBorders>
              <w:top w:val="single" w:sz="12" w:space="0" w:color="auto"/>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51 779 344</w:t>
            </w:r>
          </w:p>
        </w:tc>
      </w:tr>
      <w:tr w:rsidR="00FC292F" w:rsidRPr="00FC292F" w:rsidTr="00A1110E">
        <w:trPr>
          <w:trHeight w:val="298"/>
        </w:trPr>
        <w:tc>
          <w:tcPr>
            <w:tcW w:w="282" w:type="dxa"/>
            <w:tcBorders>
              <w:top w:val="single" w:sz="12" w:space="0" w:color="auto"/>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312" w:type="dxa"/>
            <w:tcBorders>
              <w:top w:val="single" w:sz="12" w:space="0" w:color="auto"/>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II</w:t>
            </w:r>
          </w:p>
        </w:tc>
        <w:tc>
          <w:tcPr>
            <w:tcW w:w="399"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7654" w:type="dxa"/>
            <w:gridSpan w:val="2"/>
            <w:tcBorders>
              <w:top w:val="single" w:sz="12" w:space="0" w:color="auto"/>
              <w:left w:val="nil"/>
              <w:bottom w:val="single" w:sz="12" w:space="0" w:color="auto"/>
              <w:right w:val="single" w:sz="4" w:space="0" w:color="000000"/>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Dlouhodobý hmotný majetek</w:t>
            </w:r>
          </w:p>
        </w:tc>
        <w:tc>
          <w:tcPr>
            <w:tcW w:w="156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2 869,18</w:t>
            </w:r>
          </w:p>
        </w:tc>
        <w:tc>
          <w:tcPr>
            <w:tcW w:w="127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0,00</w:t>
            </w:r>
          </w:p>
        </w:tc>
        <w:tc>
          <w:tcPr>
            <w:tcW w:w="141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2 869,18</w:t>
            </w:r>
          </w:p>
        </w:tc>
        <w:tc>
          <w:tcPr>
            <w:tcW w:w="1141" w:type="dxa"/>
            <w:tcBorders>
              <w:top w:val="single" w:sz="12" w:space="0" w:color="auto"/>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16 004</w:t>
            </w:r>
          </w:p>
        </w:tc>
      </w:tr>
      <w:tr w:rsidR="00E80814" w:rsidRPr="00FC292F" w:rsidTr="00A1110E">
        <w:trPr>
          <w:trHeight w:val="258"/>
        </w:trPr>
        <w:tc>
          <w:tcPr>
            <w:tcW w:w="282" w:type="dxa"/>
            <w:tcBorders>
              <w:top w:val="single" w:sz="12" w:space="0" w:color="auto"/>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1</w:t>
            </w:r>
          </w:p>
        </w:tc>
        <w:tc>
          <w:tcPr>
            <w:tcW w:w="6250"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Pozemky</w:t>
            </w:r>
          </w:p>
        </w:tc>
        <w:tc>
          <w:tcPr>
            <w:tcW w:w="1404"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31</w:t>
            </w:r>
          </w:p>
        </w:tc>
        <w:tc>
          <w:tcPr>
            <w:tcW w:w="156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27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141" w:type="dxa"/>
            <w:tcBorders>
              <w:top w:val="single" w:sz="12" w:space="0" w:color="auto"/>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2 969</w:t>
            </w:r>
          </w:p>
        </w:tc>
      </w:tr>
      <w:tr w:rsidR="00E80814" w:rsidRPr="00FC292F" w:rsidTr="00A1110E">
        <w:trPr>
          <w:trHeight w:val="258"/>
        </w:trPr>
        <w:tc>
          <w:tcPr>
            <w:tcW w:w="282" w:type="dxa"/>
            <w:tcBorders>
              <w:top w:val="nil"/>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w:t>
            </w:r>
          </w:p>
        </w:tc>
        <w:tc>
          <w:tcPr>
            <w:tcW w:w="6250"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Stavby</w:t>
            </w:r>
          </w:p>
        </w:tc>
        <w:tc>
          <w:tcPr>
            <w:tcW w:w="1404"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21</w:t>
            </w:r>
          </w:p>
        </w:tc>
        <w:tc>
          <w:tcPr>
            <w:tcW w:w="156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27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141" w:type="dxa"/>
            <w:tcBorders>
              <w:top w:val="nil"/>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2 064</w:t>
            </w:r>
          </w:p>
        </w:tc>
      </w:tr>
      <w:tr w:rsidR="00E80814" w:rsidRPr="00FC292F" w:rsidTr="00A1110E">
        <w:trPr>
          <w:trHeight w:val="268"/>
        </w:trPr>
        <w:tc>
          <w:tcPr>
            <w:tcW w:w="282" w:type="dxa"/>
            <w:tcBorders>
              <w:top w:val="nil"/>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12" w:space="0" w:color="auto"/>
              <w:right w:val="single" w:sz="4" w:space="0" w:color="auto"/>
            </w:tcBorders>
            <w:shd w:val="clear" w:color="auto" w:fill="auto"/>
            <w:noWrap/>
            <w:vAlign w:val="bottom"/>
            <w:hideMark/>
          </w:tcPr>
          <w:p w:rsidR="00FC292F" w:rsidRPr="00FC292F" w:rsidRDefault="00E80814" w:rsidP="00E80814">
            <w:pPr>
              <w:spacing w:before="0"/>
              <w:jc w:val="right"/>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10</w:t>
            </w:r>
          </w:p>
        </w:tc>
        <w:tc>
          <w:tcPr>
            <w:tcW w:w="6250"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Dlouhodobý hmotný majetek určený k prodeji</w:t>
            </w:r>
          </w:p>
        </w:tc>
        <w:tc>
          <w:tcPr>
            <w:tcW w:w="1404"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36</w:t>
            </w:r>
          </w:p>
        </w:tc>
        <w:tc>
          <w:tcPr>
            <w:tcW w:w="156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2 869,18</w:t>
            </w:r>
          </w:p>
        </w:tc>
        <w:tc>
          <w:tcPr>
            <w:tcW w:w="127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2 869,18</w:t>
            </w:r>
          </w:p>
        </w:tc>
        <w:tc>
          <w:tcPr>
            <w:tcW w:w="1141" w:type="dxa"/>
            <w:tcBorders>
              <w:top w:val="nil"/>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10 970</w:t>
            </w:r>
          </w:p>
        </w:tc>
      </w:tr>
      <w:tr w:rsidR="00FC292F" w:rsidRPr="00FC292F" w:rsidTr="00A1110E">
        <w:trPr>
          <w:trHeight w:val="298"/>
        </w:trPr>
        <w:tc>
          <w:tcPr>
            <w:tcW w:w="282" w:type="dxa"/>
            <w:tcBorders>
              <w:top w:val="single" w:sz="12" w:space="0" w:color="auto"/>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III</w:t>
            </w:r>
          </w:p>
        </w:tc>
        <w:tc>
          <w:tcPr>
            <w:tcW w:w="399"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7654" w:type="dxa"/>
            <w:gridSpan w:val="2"/>
            <w:tcBorders>
              <w:top w:val="single" w:sz="12" w:space="0" w:color="auto"/>
              <w:left w:val="nil"/>
              <w:bottom w:val="single" w:sz="12" w:space="0" w:color="auto"/>
              <w:right w:val="single" w:sz="4" w:space="0" w:color="000000"/>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Dlouhodobý finanční majetek</w:t>
            </w:r>
          </w:p>
        </w:tc>
        <w:tc>
          <w:tcPr>
            <w:tcW w:w="156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51 667 024,50</w:t>
            </w:r>
          </w:p>
        </w:tc>
        <w:tc>
          <w:tcPr>
            <w:tcW w:w="127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0,00</w:t>
            </w:r>
          </w:p>
        </w:tc>
        <w:tc>
          <w:tcPr>
            <w:tcW w:w="141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51 667 024,50</w:t>
            </w:r>
          </w:p>
        </w:tc>
        <w:tc>
          <w:tcPr>
            <w:tcW w:w="1141" w:type="dxa"/>
            <w:tcBorders>
              <w:top w:val="single" w:sz="12" w:space="0" w:color="auto"/>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51 667 025</w:t>
            </w:r>
          </w:p>
        </w:tc>
      </w:tr>
      <w:tr w:rsidR="00E80814" w:rsidRPr="00FC292F" w:rsidTr="00A1110E">
        <w:trPr>
          <w:trHeight w:val="258"/>
        </w:trPr>
        <w:tc>
          <w:tcPr>
            <w:tcW w:w="282" w:type="dxa"/>
            <w:tcBorders>
              <w:top w:val="single" w:sz="12" w:space="0" w:color="auto"/>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1</w:t>
            </w:r>
          </w:p>
        </w:tc>
        <w:tc>
          <w:tcPr>
            <w:tcW w:w="6250"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Majetkové účasti v osobách s rozhodujícím vlivem</w:t>
            </w:r>
          </w:p>
        </w:tc>
        <w:tc>
          <w:tcPr>
            <w:tcW w:w="1404"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61</w:t>
            </w:r>
          </w:p>
        </w:tc>
        <w:tc>
          <w:tcPr>
            <w:tcW w:w="156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51 666 939,10</w:t>
            </w:r>
          </w:p>
        </w:tc>
        <w:tc>
          <w:tcPr>
            <w:tcW w:w="127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51 666 939,10</w:t>
            </w:r>
          </w:p>
        </w:tc>
        <w:tc>
          <w:tcPr>
            <w:tcW w:w="1141" w:type="dxa"/>
            <w:tcBorders>
              <w:top w:val="single" w:sz="12" w:space="0" w:color="auto"/>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51 666 939</w:t>
            </w:r>
          </w:p>
        </w:tc>
      </w:tr>
      <w:tr w:rsidR="00E80814" w:rsidRPr="00FC292F" w:rsidTr="00A1110E">
        <w:trPr>
          <w:trHeight w:val="268"/>
        </w:trPr>
        <w:tc>
          <w:tcPr>
            <w:tcW w:w="282" w:type="dxa"/>
            <w:tcBorders>
              <w:top w:val="nil"/>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6</w:t>
            </w:r>
          </w:p>
        </w:tc>
        <w:tc>
          <w:tcPr>
            <w:tcW w:w="6250"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Ostatní dlouhodobý finanční majetek</w:t>
            </w:r>
          </w:p>
        </w:tc>
        <w:tc>
          <w:tcPr>
            <w:tcW w:w="1404"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69</w:t>
            </w:r>
          </w:p>
        </w:tc>
        <w:tc>
          <w:tcPr>
            <w:tcW w:w="156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85,40</w:t>
            </w:r>
          </w:p>
        </w:tc>
        <w:tc>
          <w:tcPr>
            <w:tcW w:w="127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85,40</w:t>
            </w:r>
          </w:p>
        </w:tc>
        <w:tc>
          <w:tcPr>
            <w:tcW w:w="1141" w:type="dxa"/>
            <w:tcBorders>
              <w:top w:val="nil"/>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85</w:t>
            </w:r>
          </w:p>
        </w:tc>
      </w:tr>
      <w:tr w:rsidR="00FC292F" w:rsidRPr="00FC292F" w:rsidTr="00A1110E">
        <w:trPr>
          <w:trHeight w:val="298"/>
        </w:trPr>
        <w:tc>
          <w:tcPr>
            <w:tcW w:w="282" w:type="dxa"/>
            <w:tcBorders>
              <w:top w:val="single" w:sz="12" w:space="0" w:color="auto"/>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312" w:type="dxa"/>
            <w:tcBorders>
              <w:top w:val="single" w:sz="12" w:space="0" w:color="auto"/>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IV</w:t>
            </w:r>
          </w:p>
        </w:tc>
        <w:tc>
          <w:tcPr>
            <w:tcW w:w="399"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7654" w:type="dxa"/>
            <w:gridSpan w:val="2"/>
            <w:tcBorders>
              <w:top w:val="single" w:sz="12" w:space="0" w:color="auto"/>
              <w:left w:val="nil"/>
              <w:bottom w:val="single" w:sz="12" w:space="0" w:color="auto"/>
              <w:right w:val="single" w:sz="4" w:space="0" w:color="000000"/>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Dlouhodobé pohledávky</w:t>
            </w:r>
          </w:p>
        </w:tc>
        <w:tc>
          <w:tcPr>
            <w:tcW w:w="156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34 162,01</w:t>
            </w:r>
          </w:p>
        </w:tc>
        <w:tc>
          <w:tcPr>
            <w:tcW w:w="127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0,00</w:t>
            </w:r>
          </w:p>
        </w:tc>
        <w:tc>
          <w:tcPr>
            <w:tcW w:w="141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34 162,01</w:t>
            </w:r>
          </w:p>
        </w:tc>
        <w:tc>
          <w:tcPr>
            <w:tcW w:w="1141" w:type="dxa"/>
            <w:tcBorders>
              <w:top w:val="single" w:sz="12" w:space="0" w:color="auto"/>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96 316</w:t>
            </w:r>
          </w:p>
        </w:tc>
      </w:tr>
      <w:tr w:rsidR="00E80814" w:rsidRPr="00FC292F" w:rsidTr="00A1110E">
        <w:trPr>
          <w:trHeight w:val="258"/>
        </w:trPr>
        <w:tc>
          <w:tcPr>
            <w:tcW w:w="282" w:type="dxa"/>
            <w:tcBorders>
              <w:top w:val="single" w:sz="12" w:space="0" w:color="auto"/>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w:t>
            </w:r>
          </w:p>
        </w:tc>
        <w:tc>
          <w:tcPr>
            <w:tcW w:w="6250"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Dlouhodobé poskytnuté zálohy</w:t>
            </w:r>
          </w:p>
        </w:tc>
        <w:tc>
          <w:tcPr>
            <w:tcW w:w="1404"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465</w:t>
            </w:r>
          </w:p>
        </w:tc>
        <w:tc>
          <w:tcPr>
            <w:tcW w:w="156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62,01</w:t>
            </w:r>
          </w:p>
        </w:tc>
        <w:tc>
          <w:tcPr>
            <w:tcW w:w="127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62,01</w:t>
            </w:r>
          </w:p>
        </w:tc>
        <w:tc>
          <w:tcPr>
            <w:tcW w:w="1141" w:type="dxa"/>
            <w:tcBorders>
              <w:top w:val="single" w:sz="12" w:space="0" w:color="auto"/>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70</w:t>
            </w:r>
          </w:p>
        </w:tc>
      </w:tr>
      <w:tr w:rsidR="00E80814" w:rsidRPr="00FC292F" w:rsidTr="00A1110E">
        <w:trPr>
          <w:trHeight w:val="268"/>
        </w:trPr>
        <w:tc>
          <w:tcPr>
            <w:tcW w:w="282" w:type="dxa"/>
            <w:tcBorders>
              <w:top w:val="nil"/>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6</w:t>
            </w:r>
          </w:p>
        </w:tc>
        <w:tc>
          <w:tcPr>
            <w:tcW w:w="6250"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Dlouhodobé poskytnuté zálohy na transfery</w:t>
            </w:r>
          </w:p>
        </w:tc>
        <w:tc>
          <w:tcPr>
            <w:tcW w:w="1404"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471</w:t>
            </w:r>
          </w:p>
        </w:tc>
        <w:tc>
          <w:tcPr>
            <w:tcW w:w="156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34 100,00</w:t>
            </w:r>
          </w:p>
        </w:tc>
        <w:tc>
          <w:tcPr>
            <w:tcW w:w="127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34 100,00</w:t>
            </w:r>
          </w:p>
        </w:tc>
        <w:tc>
          <w:tcPr>
            <w:tcW w:w="1141" w:type="dxa"/>
            <w:tcBorders>
              <w:top w:val="nil"/>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96 246</w:t>
            </w:r>
          </w:p>
        </w:tc>
      </w:tr>
      <w:tr w:rsidR="00FC292F" w:rsidRPr="00FC292F" w:rsidTr="00A1110E">
        <w:trPr>
          <w:trHeight w:val="298"/>
        </w:trPr>
        <w:tc>
          <w:tcPr>
            <w:tcW w:w="282" w:type="dxa"/>
            <w:tcBorders>
              <w:top w:val="single" w:sz="12" w:space="0" w:color="auto"/>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B</w:t>
            </w:r>
          </w:p>
        </w:tc>
        <w:tc>
          <w:tcPr>
            <w:tcW w:w="312" w:type="dxa"/>
            <w:tcBorders>
              <w:top w:val="single" w:sz="12" w:space="0" w:color="auto"/>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399"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7654" w:type="dxa"/>
            <w:gridSpan w:val="2"/>
            <w:tcBorders>
              <w:top w:val="single" w:sz="12" w:space="0" w:color="auto"/>
              <w:left w:val="nil"/>
              <w:bottom w:val="single" w:sz="12" w:space="0" w:color="auto"/>
              <w:right w:val="single" w:sz="4" w:space="0" w:color="000000"/>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Oběžná aktiva</w:t>
            </w:r>
          </w:p>
        </w:tc>
        <w:tc>
          <w:tcPr>
            <w:tcW w:w="156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22 028 585,17</w:t>
            </w:r>
          </w:p>
        </w:tc>
        <w:tc>
          <w:tcPr>
            <w:tcW w:w="127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2 677 899,03</w:t>
            </w:r>
          </w:p>
        </w:tc>
        <w:tc>
          <w:tcPr>
            <w:tcW w:w="141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19 350 686,13</w:t>
            </w:r>
          </w:p>
        </w:tc>
        <w:tc>
          <w:tcPr>
            <w:tcW w:w="1141" w:type="dxa"/>
            <w:tcBorders>
              <w:top w:val="single" w:sz="12" w:space="0" w:color="auto"/>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21 845 995</w:t>
            </w:r>
          </w:p>
        </w:tc>
      </w:tr>
      <w:tr w:rsidR="00FC292F" w:rsidRPr="00FC292F" w:rsidTr="00A1110E">
        <w:trPr>
          <w:trHeight w:val="298"/>
        </w:trPr>
        <w:tc>
          <w:tcPr>
            <w:tcW w:w="282" w:type="dxa"/>
            <w:tcBorders>
              <w:top w:val="single" w:sz="12" w:space="0" w:color="auto"/>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312" w:type="dxa"/>
            <w:tcBorders>
              <w:top w:val="single" w:sz="12" w:space="0" w:color="auto"/>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II</w:t>
            </w:r>
          </w:p>
        </w:tc>
        <w:tc>
          <w:tcPr>
            <w:tcW w:w="399"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7654" w:type="dxa"/>
            <w:gridSpan w:val="2"/>
            <w:tcBorders>
              <w:top w:val="single" w:sz="12" w:space="0" w:color="auto"/>
              <w:left w:val="nil"/>
              <w:bottom w:val="single" w:sz="12" w:space="0" w:color="auto"/>
              <w:right w:val="single" w:sz="4" w:space="0" w:color="000000"/>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Krátkodobé pohledávky</w:t>
            </w:r>
          </w:p>
        </w:tc>
        <w:tc>
          <w:tcPr>
            <w:tcW w:w="156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2 991 626,93</w:t>
            </w:r>
          </w:p>
        </w:tc>
        <w:tc>
          <w:tcPr>
            <w:tcW w:w="127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2 677 899,03</w:t>
            </w:r>
          </w:p>
        </w:tc>
        <w:tc>
          <w:tcPr>
            <w:tcW w:w="141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313 727,90</w:t>
            </w:r>
          </w:p>
        </w:tc>
        <w:tc>
          <w:tcPr>
            <w:tcW w:w="1141" w:type="dxa"/>
            <w:tcBorders>
              <w:top w:val="single" w:sz="12" w:space="0" w:color="auto"/>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177 259</w:t>
            </w:r>
          </w:p>
        </w:tc>
      </w:tr>
      <w:tr w:rsidR="00E80814" w:rsidRPr="00FC292F" w:rsidTr="00A1110E">
        <w:trPr>
          <w:trHeight w:val="258"/>
        </w:trPr>
        <w:tc>
          <w:tcPr>
            <w:tcW w:w="282" w:type="dxa"/>
            <w:tcBorders>
              <w:top w:val="single" w:sz="12" w:space="0" w:color="auto"/>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single" w:sz="12" w:space="0" w:color="auto"/>
              <w:left w:val="nil"/>
              <w:bottom w:val="single" w:sz="4" w:space="0" w:color="auto"/>
              <w:right w:val="single" w:sz="4" w:space="0" w:color="auto"/>
            </w:tcBorders>
            <w:shd w:val="clear" w:color="auto" w:fill="auto"/>
            <w:noWrap/>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2869D6">
              <w:t>1</w:t>
            </w:r>
          </w:p>
        </w:tc>
        <w:tc>
          <w:tcPr>
            <w:tcW w:w="6250"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Odběratelé</w:t>
            </w:r>
          </w:p>
        </w:tc>
        <w:tc>
          <w:tcPr>
            <w:tcW w:w="1404"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311</w:t>
            </w:r>
          </w:p>
        </w:tc>
        <w:tc>
          <w:tcPr>
            <w:tcW w:w="156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2 291 124,97</w:t>
            </w:r>
          </w:p>
        </w:tc>
        <w:tc>
          <w:tcPr>
            <w:tcW w:w="127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2 065 319,92</w:t>
            </w:r>
          </w:p>
        </w:tc>
        <w:tc>
          <w:tcPr>
            <w:tcW w:w="141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225 805,04</w:t>
            </w:r>
          </w:p>
        </w:tc>
        <w:tc>
          <w:tcPr>
            <w:tcW w:w="1141" w:type="dxa"/>
            <w:tcBorders>
              <w:top w:val="single" w:sz="12" w:space="0" w:color="auto"/>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56 988</w:t>
            </w:r>
          </w:p>
        </w:tc>
      </w:tr>
      <w:tr w:rsidR="00E80814" w:rsidRPr="00FC292F" w:rsidTr="00A1110E">
        <w:trPr>
          <w:trHeight w:val="258"/>
        </w:trPr>
        <w:tc>
          <w:tcPr>
            <w:tcW w:w="282" w:type="dxa"/>
            <w:tcBorders>
              <w:top w:val="nil"/>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4" w:space="0" w:color="auto"/>
              <w:right w:val="single" w:sz="4" w:space="0" w:color="auto"/>
            </w:tcBorders>
            <w:shd w:val="clear" w:color="auto" w:fill="auto"/>
            <w:noWrap/>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2869D6">
              <w:t>4</w:t>
            </w:r>
          </w:p>
        </w:tc>
        <w:tc>
          <w:tcPr>
            <w:tcW w:w="6250"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Krátkodobé poskytnuté zálohy</w:t>
            </w:r>
          </w:p>
        </w:tc>
        <w:tc>
          <w:tcPr>
            <w:tcW w:w="1404"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314</w:t>
            </w:r>
          </w:p>
        </w:tc>
        <w:tc>
          <w:tcPr>
            <w:tcW w:w="156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579,18</w:t>
            </w:r>
          </w:p>
        </w:tc>
        <w:tc>
          <w:tcPr>
            <w:tcW w:w="127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579,18</w:t>
            </w:r>
          </w:p>
        </w:tc>
        <w:tc>
          <w:tcPr>
            <w:tcW w:w="1141" w:type="dxa"/>
            <w:tcBorders>
              <w:top w:val="nil"/>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173</w:t>
            </w:r>
          </w:p>
        </w:tc>
      </w:tr>
      <w:tr w:rsidR="00E80814" w:rsidRPr="00FC292F" w:rsidTr="00A1110E">
        <w:trPr>
          <w:trHeight w:val="258"/>
        </w:trPr>
        <w:tc>
          <w:tcPr>
            <w:tcW w:w="282" w:type="dxa"/>
            <w:tcBorders>
              <w:top w:val="nil"/>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4" w:space="0" w:color="auto"/>
              <w:right w:val="single" w:sz="4" w:space="0" w:color="auto"/>
            </w:tcBorders>
            <w:shd w:val="clear" w:color="auto" w:fill="auto"/>
            <w:noWrap/>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2869D6">
              <w:t>5</w:t>
            </w:r>
          </w:p>
        </w:tc>
        <w:tc>
          <w:tcPr>
            <w:tcW w:w="6250"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Jiné pohledávky z hlavní činnosti</w:t>
            </w:r>
          </w:p>
        </w:tc>
        <w:tc>
          <w:tcPr>
            <w:tcW w:w="1404"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315</w:t>
            </w:r>
          </w:p>
        </w:tc>
        <w:tc>
          <w:tcPr>
            <w:tcW w:w="156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33 322,97</w:t>
            </w:r>
          </w:p>
        </w:tc>
        <w:tc>
          <w:tcPr>
            <w:tcW w:w="127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7 909,53</w:t>
            </w:r>
          </w:p>
        </w:tc>
        <w:tc>
          <w:tcPr>
            <w:tcW w:w="141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25 413,44</w:t>
            </w:r>
          </w:p>
        </w:tc>
        <w:tc>
          <w:tcPr>
            <w:tcW w:w="1141" w:type="dxa"/>
            <w:tcBorders>
              <w:top w:val="nil"/>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27 101</w:t>
            </w:r>
          </w:p>
        </w:tc>
      </w:tr>
      <w:tr w:rsidR="00E80814" w:rsidRPr="00FC292F" w:rsidTr="00A1110E">
        <w:trPr>
          <w:trHeight w:val="258"/>
        </w:trPr>
        <w:tc>
          <w:tcPr>
            <w:tcW w:w="282" w:type="dxa"/>
            <w:tcBorders>
              <w:top w:val="nil"/>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4" w:space="0" w:color="auto"/>
              <w:right w:val="single" w:sz="4" w:space="0" w:color="auto"/>
            </w:tcBorders>
            <w:shd w:val="clear" w:color="auto" w:fill="auto"/>
            <w:noWrap/>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2869D6">
              <w:t>17</w:t>
            </w:r>
          </w:p>
        </w:tc>
        <w:tc>
          <w:tcPr>
            <w:tcW w:w="6250"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Pohledávky za vybranými ústředními vládními institucemi</w:t>
            </w:r>
          </w:p>
        </w:tc>
        <w:tc>
          <w:tcPr>
            <w:tcW w:w="1404"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346</w:t>
            </w:r>
          </w:p>
        </w:tc>
        <w:tc>
          <w:tcPr>
            <w:tcW w:w="156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61 930,23</w:t>
            </w:r>
          </w:p>
        </w:tc>
        <w:tc>
          <w:tcPr>
            <w:tcW w:w="127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61 930,23</w:t>
            </w:r>
          </w:p>
        </w:tc>
        <w:tc>
          <w:tcPr>
            <w:tcW w:w="1141" w:type="dxa"/>
            <w:tcBorders>
              <w:top w:val="nil"/>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89 265</w:t>
            </w:r>
          </w:p>
        </w:tc>
      </w:tr>
      <w:tr w:rsidR="00E80814" w:rsidRPr="00FC292F" w:rsidTr="00A1110E">
        <w:trPr>
          <w:trHeight w:val="258"/>
        </w:trPr>
        <w:tc>
          <w:tcPr>
            <w:tcW w:w="282" w:type="dxa"/>
            <w:tcBorders>
              <w:top w:val="nil"/>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4" w:space="0" w:color="auto"/>
              <w:right w:val="single" w:sz="4" w:space="0" w:color="auto"/>
            </w:tcBorders>
            <w:shd w:val="clear" w:color="auto" w:fill="auto"/>
            <w:noWrap/>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2869D6">
              <w:t>23</w:t>
            </w:r>
          </w:p>
        </w:tc>
        <w:tc>
          <w:tcPr>
            <w:tcW w:w="6250"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Krátkodobé pohledávky z ručení</w:t>
            </w:r>
          </w:p>
        </w:tc>
        <w:tc>
          <w:tcPr>
            <w:tcW w:w="1404"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361</w:t>
            </w:r>
          </w:p>
        </w:tc>
        <w:tc>
          <w:tcPr>
            <w:tcW w:w="156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3 458,99</w:t>
            </w:r>
          </w:p>
        </w:tc>
        <w:tc>
          <w:tcPr>
            <w:tcW w:w="127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3 458,99</w:t>
            </w:r>
          </w:p>
        </w:tc>
        <w:tc>
          <w:tcPr>
            <w:tcW w:w="141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141" w:type="dxa"/>
            <w:tcBorders>
              <w:top w:val="nil"/>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w:t>
            </w:r>
          </w:p>
        </w:tc>
      </w:tr>
      <w:tr w:rsidR="00E80814" w:rsidRPr="00FC292F" w:rsidTr="00A1110E">
        <w:trPr>
          <w:trHeight w:val="258"/>
        </w:trPr>
        <w:tc>
          <w:tcPr>
            <w:tcW w:w="282" w:type="dxa"/>
            <w:tcBorders>
              <w:top w:val="nil"/>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4" w:space="0" w:color="auto"/>
              <w:right w:val="single" w:sz="4" w:space="0" w:color="auto"/>
            </w:tcBorders>
            <w:shd w:val="clear" w:color="auto" w:fill="auto"/>
            <w:noWrap/>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2869D6">
              <w:t>32</w:t>
            </w:r>
          </w:p>
        </w:tc>
        <w:tc>
          <w:tcPr>
            <w:tcW w:w="6250"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Dohadné účty aktivní</w:t>
            </w:r>
          </w:p>
        </w:tc>
        <w:tc>
          <w:tcPr>
            <w:tcW w:w="1404"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388</w:t>
            </w:r>
          </w:p>
        </w:tc>
        <w:tc>
          <w:tcPr>
            <w:tcW w:w="156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27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nil"/>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141" w:type="dxa"/>
            <w:tcBorders>
              <w:top w:val="nil"/>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3 731</w:t>
            </w:r>
          </w:p>
        </w:tc>
      </w:tr>
      <w:tr w:rsidR="00E80814" w:rsidRPr="00FC292F" w:rsidTr="00A1110E">
        <w:trPr>
          <w:trHeight w:val="268"/>
        </w:trPr>
        <w:tc>
          <w:tcPr>
            <w:tcW w:w="282" w:type="dxa"/>
            <w:tcBorders>
              <w:top w:val="nil"/>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12" w:space="0" w:color="auto"/>
              <w:right w:val="single" w:sz="4" w:space="0" w:color="auto"/>
            </w:tcBorders>
            <w:shd w:val="clear" w:color="auto" w:fill="auto"/>
            <w:noWrap/>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2869D6">
              <w:t>33</w:t>
            </w:r>
          </w:p>
        </w:tc>
        <w:tc>
          <w:tcPr>
            <w:tcW w:w="6250"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Ostatní krátkodobé pohledávky</w:t>
            </w:r>
          </w:p>
        </w:tc>
        <w:tc>
          <w:tcPr>
            <w:tcW w:w="1404"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377</w:t>
            </w:r>
          </w:p>
        </w:tc>
        <w:tc>
          <w:tcPr>
            <w:tcW w:w="156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601 210,59</w:t>
            </w:r>
          </w:p>
        </w:tc>
        <w:tc>
          <w:tcPr>
            <w:tcW w:w="127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601 210,59</w:t>
            </w:r>
          </w:p>
        </w:tc>
        <w:tc>
          <w:tcPr>
            <w:tcW w:w="1412" w:type="dxa"/>
            <w:tcBorders>
              <w:top w:val="nil"/>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141" w:type="dxa"/>
            <w:tcBorders>
              <w:top w:val="nil"/>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w:t>
            </w:r>
          </w:p>
        </w:tc>
      </w:tr>
      <w:tr w:rsidR="00FC292F" w:rsidRPr="00FC292F" w:rsidTr="00A1110E">
        <w:trPr>
          <w:trHeight w:val="298"/>
        </w:trPr>
        <w:tc>
          <w:tcPr>
            <w:tcW w:w="282" w:type="dxa"/>
            <w:tcBorders>
              <w:top w:val="single" w:sz="12" w:space="0" w:color="auto"/>
              <w:left w:val="single" w:sz="12" w:space="0" w:color="auto"/>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312" w:type="dxa"/>
            <w:tcBorders>
              <w:top w:val="single" w:sz="12" w:space="0" w:color="auto"/>
              <w:left w:val="nil"/>
              <w:bottom w:val="single" w:sz="12"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III</w:t>
            </w:r>
          </w:p>
        </w:tc>
        <w:tc>
          <w:tcPr>
            <w:tcW w:w="399"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 </w:t>
            </w:r>
          </w:p>
        </w:tc>
        <w:tc>
          <w:tcPr>
            <w:tcW w:w="7654" w:type="dxa"/>
            <w:gridSpan w:val="2"/>
            <w:tcBorders>
              <w:top w:val="single" w:sz="12" w:space="0" w:color="auto"/>
              <w:left w:val="nil"/>
              <w:bottom w:val="single" w:sz="12" w:space="0" w:color="auto"/>
              <w:right w:val="single" w:sz="4" w:space="0" w:color="000000"/>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Krátkodobý finanční majetek</w:t>
            </w:r>
          </w:p>
        </w:tc>
        <w:tc>
          <w:tcPr>
            <w:tcW w:w="156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19 036 958,24</w:t>
            </w:r>
          </w:p>
        </w:tc>
        <w:tc>
          <w:tcPr>
            <w:tcW w:w="127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0,00</w:t>
            </w:r>
          </w:p>
        </w:tc>
        <w:tc>
          <w:tcPr>
            <w:tcW w:w="1412" w:type="dxa"/>
            <w:tcBorders>
              <w:top w:val="single" w:sz="12" w:space="0" w:color="auto"/>
              <w:left w:val="nil"/>
              <w:bottom w:val="single" w:sz="12"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19 036 958,24</w:t>
            </w:r>
          </w:p>
        </w:tc>
        <w:tc>
          <w:tcPr>
            <w:tcW w:w="1141" w:type="dxa"/>
            <w:tcBorders>
              <w:top w:val="single" w:sz="12" w:space="0" w:color="auto"/>
              <w:left w:val="nil"/>
              <w:bottom w:val="single" w:sz="12"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b/>
                <w:bCs/>
                <w:color w:val="000000"/>
                <w:sz w:val="20"/>
                <w:szCs w:val="20"/>
                <w:lang w:eastAsia="cs-CZ"/>
              </w:rPr>
            </w:pPr>
            <w:r w:rsidRPr="00FC292F">
              <w:rPr>
                <w:rFonts w:ascii="Calibri" w:eastAsia="Times New Roman" w:hAnsi="Calibri" w:cs="Times New Roman"/>
                <w:b/>
                <w:bCs/>
                <w:color w:val="000000"/>
                <w:sz w:val="20"/>
                <w:szCs w:val="20"/>
                <w:lang w:eastAsia="cs-CZ"/>
              </w:rPr>
              <w:t>21 668 736</w:t>
            </w:r>
          </w:p>
        </w:tc>
      </w:tr>
      <w:tr w:rsidR="00E80814" w:rsidRPr="00FC292F" w:rsidTr="00A1110E">
        <w:trPr>
          <w:trHeight w:val="258"/>
        </w:trPr>
        <w:tc>
          <w:tcPr>
            <w:tcW w:w="282" w:type="dxa"/>
            <w:tcBorders>
              <w:top w:val="single" w:sz="12" w:space="0" w:color="auto"/>
              <w:left w:val="single" w:sz="12" w:space="0" w:color="auto"/>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4"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5</w:t>
            </w:r>
          </w:p>
        </w:tc>
        <w:tc>
          <w:tcPr>
            <w:tcW w:w="6250"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Jiné běžné účty</w:t>
            </w:r>
          </w:p>
        </w:tc>
        <w:tc>
          <w:tcPr>
            <w:tcW w:w="1404"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245</w:t>
            </w:r>
          </w:p>
        </w:tc>
        <w:tc>
          <w:tcPr>
            <w:tcW w:w="156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16 177,35</w:t>
            </w:r>
          </w:p>
        </w:tc>
        <w:tc>
          <w:tcPr>
            <w:tcW w:w="127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single" w:sz="12" w:space="0" w:color="auto"/>
              <w:left w:val="nil"/>
              <w:bottom w:val="single" w:sz="4"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16 177,35</w:t>
            </w:r>
          </w:p>
        </w:tc>
        <w:tc>
          <w:tcPr>
            <w:tcW w:w="1141" w:type="dxa"/>
            <w:tcBorders>
              <w:top w:val="single" w:sz="12" w:space="0" w:color="auto"/>
              <w:left w:val="nil"/>
              <w:bottom w:val="single" w:sz="4"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16 645</w:t>
            </w:r>
          </w:p>
        </w:tc>
      </w:tr>
      <w:tr w:rsidR="00E80814" w:rsidRPr="00FC292F" w:rsidTr="00A1110E">
        <w:trPr>
          <w:trHeight w:val="268"/>
        </w:trPr>
        <w:tc>
          <w:tcPr>
            <w:tcW w:w="282" w:type="dxa"/>
            <w:tcBorders>
              <w:top w:val="nil"/>
              <w:left w:val="single" w:sz="12" w:space="0" w:color="auto"/>
              <w:bottom w:val="single" w:sz="8"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12" w:type="dxa"/>
            <w:tcBorders>
              <w:top w:val="nil"/>
              <w:left w:val="nil"/>
              <w:bottom w:val="single" w:sz="8" w:space="0" w:color="auto"/>
              <w:right w:val="nil"/>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 </w:t>
            </w:r>
          </w:p>
        </w:tc>
        <w:tc>
          <w:tcPr>
            <w:tcW w:w="399" w:type="dxa"/>
            <w:tcBorders>
              <w:top w:val="nil"/>
              <w:left w:val="nil"/>
              <w:bottom w:val="single" w:sz="8" w:space="0" w:color="auto"/>
              <w:right w:val="single" w:sz="4" w:space="0" w:color="auto"/>
            </w:tcBorders>
            <w:shd w:val="clear" w:color="auto" w:fill="auto"/>
            <w:noWrap/>
            <w:vAlign w:val="bottom"/>
            <w:hideMark/>
          </w:tcPr>
          <w:p w:rsidR="00FC292F" w:rsidRPr="00FC292F" w:rsidRDefault="00FC292F" w:rsidP="00E80814">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9</w:t>
            </w:r>
          </w:p>
        </w:tc>
        <w:tc>
          <w:tcPr>
            <w:tcW w:w="6250" w:type="dxa"/>
            <w:tcBorders>
              <w:top w:val="nil"/>
              <w:left w:val="nil"/>
              <w:bottom w:val="single" w:sz="8" w:space="0" w:color="auto"/>
              <w:right w:val="single" w:sz="4" w:space="0" w:color="auto"/>
            </w:tcBorders>
            <w:shd w:val="clear" w:color="auto" w:fill="auto"/>
            <w:noWrap/>
            <w:vAlign w:val="bottom"/>
            <w:hideMark/>
          </w:tcPr>
          <w:p w:rsidR="00FC292F" w:rsidRPr="00FC292F" w:rsidRDefault="00FC292F" w:rsidP="00FC292F">
            <w:pPr>
              <w:spacing w:before="0"/>
              <w:jc w:val="lef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Běžný účet</w:t>
            </w:r>
          </w:p>
        </w:tc>
        <w:tc>
          <w:tcPr>
            <w:tcW w:w="1404" w:type="dxa"/>
            <w:tcBorders>
              <w:top w:val="nil"/>
              <w:left w:val="nil"/>
              <w:bottom w:val="single" w:sz="8"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241</w:t>
            </w:r>
          </w:p>
        </w:tc>
        <w:tc>
          <w:tcPr>
            <w:tcW w:w="1562" w:type="dxa"/>
            <w:tcBorders>
              <w:top w:val="nil"/>
              <w:left w:val="nil"/>
              <w:bottom w:val="single" w:sz="8"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19 020 780,89</w:t>
            </w:r>
          </w:p>
        </w:tc>
        <w:tc>
          <w:tcPr>
            <w:tcW w:w="1272" w:type="dxa"/>
            <w:tcBorders>
              <w:top w:val="nil"/>
              <w:left w:val="nil"/>
              <w:bottom w:val="single" w:sz="8"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0,00</w:t>
            </w:r>
          </w:p>
        </w:tc>
        <w:tc>
          <w:tcPr>
            <w:tcW w:w="1412" w:type="dxa"/>
            <w:tcBorders>
              <w:top w:val="nil"/>
              <w:left w:val="nil"/>
              <w:bottom w:val="single" w:sz="8" w:space="0" w:color="auto"/>
              <w:right w:val="single" w:sz="4"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19 020 780,89</w:t>
            </w:r>
          </w:p>
        </w:tc>
        <w:tc>
          <w:tcPr>
            <w:tcW w:w="1141" w:type="dxa"/>
            <w:tcBorders>
              <w:top w:val="nil"/>
              <w:left w:val="nil"/>
              <w:bottom w:val="single" w:sz="8" w:space="0" w:color="auto"/>
              <w:right w:val="single" w:sz="12" w:space="0" w:color="auto"/>
            </w:tcBorders>
            <w:shd w:val="clear" w:color="auto" w:fill="auto"/>
            <w:noWrap/>
            <w:vAlign w:val="bottom"/>
            <w:hideMark/>
          </w:tcPr>
          <w:p w:rsidR="00FC292F" w:rsidRPr="00FC292F" w:rsidRDefault="00FC292F" w:rsidP="00FC292F">
            <w:pPr>
              <w:spacing w:before="0"/>
              <w:jc w:val="right"/>
              <w:rPr>
                <w:rFonts w:ascii="Calibri" w:eastAsia="Times New Roman" w:hAnsi="Calibri" w:cs="Times New Roman"/>
                <w:color w:val="000000"/>
                <w:sz w:val="20"/>
                <w:szCs w:val="20"/>
                <w:lang w:eastAsia="cs-CZ"/>
              </w:rPr>
            </w:pPr>
            <w:r w:rsidRPr="00FC292F">
              <w:rPr>
                <w:rFonts w:ascii="Calibri" w:eastAsia="Times New Roman" w:hAnsi="Calibri" w:cs="Times New Roman"/>
                <w:color w:val="000000"/>
                <w:sz w:val="20"/>
                <w:szCs w:val="20"/>
                <w:lang w:eastAsia="cs-CZ"/>
              </w:rPr>
              <w:t>21 652 091</w:t>
            </w:r>
          </w:p>
        </w:tc>
      </w:tr>
    </w:tbl>
    <w:p w:rsidR="00FC292F" w:rsidRDefault="00FC292F" w:rsidP="00FC292F"/>
    <w:p w:rsidR="00FC292F" w:rsidRDefault="00FC292F" w:rsidP="00FC292F"/>
    <w:p w:rsidR="00FC292F" w:rsidRDefault="00FC292F" w:rsidP="00FC292F"/>
    <w:tbl>
      <w:tblPr>
        <w:tblW w:w="14127" w:type="dxa"/>
        <w:tblInd w:w="-10" w:type="dxa"/>
        <w:tblCellMar>
          <w:left w:w="70" w:type="dxa"/>
          <w:right w:w="70" w:type="dxa"/>
        </w:tblCellMar>
        <w:tblLook w:val="04A0" w:firstRow="1" w:lastRow="0" w:firstColumn="1" w:lastColumn="0" w:noHBand="0" w:noVBand="1"/>
      </w:tblPr>
      <w:tblGrid>
        <w:gridCol w:w="284"/>
        <w:gridCol w:w="300"/>
        <w:gridCol w:w="343"/>
        <w:gridCol w:w="66"/>
        <w:gridCol w:w="8456"/>
        <w:gridCol w:w="1276"/>
        <w:gridCol w:w="1842"/>
        <w:gridCol w:w="1560"/>
      </w:tblGrid>
      <w:tr w:rsidR="00E80814" w:rsidRPr="00E80814" w:rsidTr="00A1110E">
        <w:trPr>
          <w:trHeight w:val="270"/>
        </w:trPr>
        <w:tc>
          <w:tcPr>
            <w:tcW w:w="993" w:type="dxa"/>
            <w:gridSpan w:val="4"/>
            <w:vMerge w:val="restart"/>
            <w:tcBorders>
              <w:top w:val="single" w:sz="12" w:space="0" w:color="auto"/>
              <w:left w:val="single" w:sz="12" w:space="0" w:color="auto"/>
              <w:bottom w:val="nil"/>
              <w:right w:val="single" w:sz="8" w:space="0" w:color="000000"/>
            </w:tcBorders>
            <w:shd w:val="clear" w:color="auto" w:fill="auto"/>
            <w:vAlign w:val="bottom"/>
            <w:hideMark/>
          </w:tcPr>
          <w:p w:rsidR="00E80814" w:rsidRPr="00E80814" w:rsidRDefault="00E80814" w:rsidP="00E80814">
            <w:pPr>
              <w:spacing w:before="0"/>
              <w:jc w:val="center"/>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Číslo položky</w:t>
            </w:r>
          </w:p>
        </w:tc>
        <w:tc>
          <w:tcPr>
            <w:tcW w:w="8456" w:type="dxa"/>
            <w:vMerge w:val="restart"/>
            <w:tcBorders>
              <w:top w:val="single" w:sz="12" w:space="0" w:color="auto"/>
              <w:left w:val="single" w:sz="8" w:space="0" w:color="auto"/>
              <w:bottom w:val="single" w:sz="8" w:space="0" w:color="auto"/>
              <w:right w:val="single" w:sz="8" w:space="0" w:color="auto"/>
            </w:tcBorders>
            <w:shd w:val="clear" w:color="auto" w:fill="auto"/>
            <w:vAlign w:val="center"/>
            <w:hideMark/>
          </w:tcPr>
          <w:p w:rsidR="00E80814" w:rsidRPr="00E80814" w:rsidRDefault="00E80814" w:rsidP="00E80814">
            <w:pPr>
              <w:spacing w:before="0"/>
              <w:jc w:val="center"/>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Název položky</w:t>
            </w:r>
          </w:p>
        </w:tc>
        <w:tc>
          <w:tcPr>
            <w:tcW w:w="1276" w:type="dxa"/>
            <w:vMerge w:val="restart"/>
            <w:tcBorders>
              <w:top w:val="single" w:sz="12" w:space="0" w:color="auto"/>
              <w:left w:val="single" w:sz="8" w:space="0" w:color="auto"/>
              <w:bottom w:val="single" w:sz="8" w:space="0" w:color="auto"/>
              <w:right w:val="single" w:sz="8" w:space="0" w:color="auto"/>
            </w:tcBorders>
            <w:shd w:val="clear" w:color="auto" w:fill="auto"/>
            <w:vAlign w:val="center"/>
            <w:hideMark/>
          </w:tcPr>
          <w:p w:rsidR="00E80814" w:rsidRPr="00E80814" w:rsidRDefault="00E80814" w:rsidP="00E80814">
            <w:pPr>
              <w:spacing w:before="0"/>
              <w:jc w:val="center"/>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Syntetický účet</w:t>
            </w:r>
          </w:p>
        </w:tc>
        <w:tc>
          <w:tcPr>
            <w:tcW w:w="3402" w:type="dxa"/>
            <w:gridSpan w:val="2"/>
            <w:tcBorders>
              <w:top w:val="single" w:sz="12" w:space="0" w:color="auto"/>
              <w:left w:val="nil"/>
              <w:bottom w:val="single" w:sz="8" w:space="0" w:color="auto"/>
              <w:right w:val="single" w:sz="12" w:space="0" w:color="auto"/>
            </w:tcBorders>
            <w:shd w:val="clear" w:color="auto" w:fill="auto"/>
            <w:vAlign w:val="center"/>
            <w:hideMark/>
          </w:tcPr>
          <w:p w:rsidR="00E80814" w:rsidRPr="00E80814" w:rsidRDefault="00E80814" w:rsidP="00E80814">
            <w:pPr>
              <w:spacing w:before="0"/>
              <w:jc w:val="center"/>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Období</w:t>
            </w:r>
          </w:p>
        </w:tc>
      </w:tr>
      <w:tr w:rsidR="00E80814" w:rsidRPr="00E80814" w:rsidTr="00A1110E">
        <w:trPr>
          <w:trHeight w:val="270"/>
        </w:trPr>
        <w:tc>
          <w:tcPr>
            <w:tcW w:w="993" w:type="dxa"/>
            <w:gridSpan w:val="4"/>
            <w:vMerge/>
            <w:tcBorders>
              <w:top w:val="single" w:sz="8" w:space="0" w:color="auto"/>
              <w:left w:val="single" w:sz="12" w:space="0" w:color="auto"/>
              <w:bottom w:val="single" w:sz="12" w:space="0" w:color="auto"/>
              <w:right w:val="single" w:sz="8" w:space="0" w:color="000000"/>
            </w:tcBorders>
            <w:vAlign w:val="center"/>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p>
        </w:tc>
        <w:tc>
          <w:tcPr>
            <w:tcW w:w="8456" w:type="dxa"/>
            <w:vMerge/>
            <w:tcBorders>
              <w:top w:val="single" w:sz="8" w:space="0" w:color="auto"/>
              <w:left w:val="single" w:sz="8" w:space="0" w:color="auto"/>
              <w:bottom w:val="single" w:sz="12" w:space="0" w:color="auto"/>
              <w:right w:val="single" w:sz="8" w:space="0" w:color="auto"/>
            </w:tcBorders>
            <w:vAlign w:val="center"/>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p>
        </w:tc>
        <w:tc>
          <w:tcPr>
            <w:tcW w:w="1276" w:type="dxa"/>
            <w:vMerge/>
            <w:tcBorders>
              <w:top w:val="single" w:sz="8" w:space="0" w:color="auto"/>
              <w:left w:val="single" w:sz="8" w:space="0" w:color="auto"/>
              <w:bottom w:val="single" w:sz="12" w:space="0" w:color="auto"/>
              <w:right w:val="single" w:sz="8" w:space="0" w:color="auto"/>
            </w:tcBorders>
            <w:vAlign w:val="center"/>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p>
        </w:tc>
        <w:tc>
          <w:tcPr>
            <w:tcW w:w="1842" w:type="dxa"/>
            <w:tcBorders>
              <w:top w:val="nil"/>
              <w:left w:val="nil"/>
              <w:bottom w:val="single" w:sz="12" w:space="0" w:color="auto"/>
              <w:right w:val="single" w:sz="8" w:space="0" w:color="auto"/>
            </w:tcBorders>
            <w:shd w:val="clear" w:color="auto" w:fill="auto"/>
            <w:vAlign w:val="center"/>
            <w:hideMark/>
          </w:tcPr>
          <w:p w:rsidR="00E80814" w:rsidRPr="00E80814" w:rsidRDefault="00E80814" w:rsidP="00E80814">
            <w:pPr>
              <w:spacing w:before="0"/>
              <w:jc w:val="center"/>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Běžné</w:t>
            </w:r>
          </w:p>
        </w:tc>
        <w:tc>
          <w:tcPr>
            <w:tcW w:w="1560" w:type="dxa"/>
            <w:tcBorders>
              <w:top w:val="nil"/>
              <w:left w:val="nil"/>
              <w:bottom w:val="single" w:sz="12" w:space="0" w:color="auto"/>
              <w:right w:val="single" w:sz="12" w:space="0" w:color="auto"/>
            </w:tcBorders>
            <w:shd w:val="clear" w:color="auto" w:fill="auto"/>
            <w:vAlign w:val="center"/>
            <w:hideMark/>
          </w:tcPr>
          <w:p w:rsidR="00E80814" w:rsidRPr="00E80814" w:rsidRDefault="00E80814" w:rsidP="00E80814">
            <w:pPr>
              <w:spacing w:before="0"/>
              <w:jc w:val="center"/>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Minulé</w:t>
            </w:r>
          </w:p>
        </w:tc>
      </w:tr>
      <w:tr w:rsidR="00E80814" w:rsidRPr="00E80814" w:rsidTr="00A1110E">
        <w:trPr>
          <w:trHeight w:val="300"/>
        </w:trPr>
        <w:tc>
          <w:tcPr>
            <w:tcW w:w="10725" w:type="dxa"/>
            <w:gridSpan w:val="6"/>
            <w:tcBorders>
              <w:top w:val="single" w:sz="12" w:space="0" w:color="auto"/>
              <w:left w:val="single" w:sz="12" w:space="0" w:color="auto"/>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PASIVA CELKEM</w:t>
            </w:r>
          </w:p>
        </w:tc>
        <w:tc>
          <w:tcPr>
            <w:tcW w:w="1842"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71 054 742</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73 625 339</w:t>
            </w:r>
          </w:p>
        </w:tc>
      </w:tr>
      <w:tr w:rsidR="00E80814" w:rsidRPr="00E80814" w:rsidTr="00A1110E">
        <w:trPr>
          <w:trHeight w:val="300"/>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C</w:t>
            </w:r>
          </w:p>
        </w:tc>
        <w:tc>
          <w:tcPr>
            <w:tcW w:w="300" w:type="dxa"/>
            <w:tcBorders>
              <w:top w:val="single" w:sz="12" w:space="0" w:color="auto"/>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9798"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Vlastni kapitál</w:t>
            </w:r>
          </w:p>
        </w:tc>
        <w:tc>
          <w:tcPr>
            <w:tcW w:w="1842"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-4 445 235</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-5 088 727</w:t>
            </w:r>
          </w:p>
        </w:tc>
      </w:tr>
      <w:tr w:rsidR="00E80814" w:rsidRPr="00E80814" w:rsidTr="00A1110E">
        <w:trPr>
          <w:trHeight w:val="300"/>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I</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9798"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Jmění účetní jednotky a upravující položky</w:t>
            </w:r>
          </w:p>
        </w:tc>
        <w:tc>
          <w:tcPr>
            <w:tcW w:w="1842"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-5 096 420</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2 388 154</w:t>
            </w:r>
          </w:p>
        </w:tc>
      </w:tr>
      <w:tr w:rsidR="00E80814" w:rsidRPr="00E80814" w:rsidTr="00A1110E">
        <w:trPr>
          <w:trHeight w:val="260"/>
        </w:trPr>
        <w:tc>
          <w:tcPr>
            <w:tcW w:w="284" w:type="dxa"/>
            <w:tcBorders>
              <w:top w:val="single" w:sz="12" w:space="0" w:color="auto"/>
              <w:left w:val="single" w:sz="12" w:space="0" w:color="auto"/>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single" w:sz="12" w:space="0" w:color="auto"/>
              <w:left w:val="nil"/>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43" w:type="dxa"/>
            <w:tcBorders>
              <w:top w:val="single" w:sz="12" w:space="0" w:color="auto"/>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2</w:t>
            </w:r>
          </w:p>
        </w:tc>
        <w:tc>
          <w:tcPr>
            <w:tcW w:w="8522" w:type="dxa"/>
            <w:gridSpan w:val="2"/>
            <w:tcBorders>
              <w:top w:val="single" w:sz="12" w:space="0" w:color="auto"/>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Fond privatizace</w:t>
            </w:r>
          </w:p>
        </w:tc>
        <w:tc>
          <w:tcPr>
            <w:tcW w:w="1276" w:type="dxa"/>
            <w:tcBorders>
              <w:top w:val="single" w:sz="12" w:space="0" w:color="auto"/>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402</w:t>
            </w:r>
          </w:p>
        </w:tc>
        <w:tc>
          <w:tcPr>
            <w:tcW w:w="1842" w:type="dxa"/>
            <w:tcBorders>
              <w:top w:val="single" w:sz="12" w:space="0" w:color="auto"/>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84 894 093</w:t>
            </w:r>
          </w:p>
        </w:tc>
        <w:tc>
          <w:tcPr>
            <w:tcW w:w="1560" w:type="dxa"/>
            <w:tcBorders>
              <w:top w:val="single" w:sz="12" w:space="0" w:color="auto"/>
              <w:left w:val="nil"/>
              <w:bottom w:val="single" w:sz="4"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92 374 031</w:t>
            </w:r>
          </w:p>
        </w:tc>
      </w:tr>
      <w:tr w:rsidR="00E80814" w:rsidRPr="00E80814" w:rsidTr="00A1110E">
        <w:trPr>
          <w:trHeight w:val="260"/>
        </w:trPr>
        <w:tc>
          <w:tcPr>
            <w:tcW w:w="284" w:type="dxa"/>
            <w:tcBorders>
              <w:top w:val="nil"/>
              <w:left w:val="single" w:sz="12" w:space="0" w:color="auto"/>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5</w:t>
            </w:r>
          </w:p>
        </w:tc>
        <w:tc>
          <w:tcPr>
            <w:tcW w:w="8522" w:type="dxa"/>
            <w:gridSpan w:val="2"/>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Oceňovací rozdíly při prvotním použití metody</w:t>
            </w:r>
          </w:p>
        </w:tc>
        <w:tc>
          <w:tcPr>
            <w:tcW w:w="1276"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406</w:t>
            </w:r>
          </w:p>
        </w:tc>
        <w:tc>
          <w:tcPr>
            <w:tcW w:w="1842"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-6 682 331</w:t>
            </w:r>
          </w:p>
        </w:tc>
        <w:tc>
          <w:tcPr>
            <w:tcW w:w="1560" w:type="dxa"/>
            <w:tcBorders>
              <w:top w:val="nil"/>
              <w:left w:val="nil"/>
              <w:bottom w:val="single" w:sz="4"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-6 682 331</w:t>
            </w:r>
          </w:p>
        </w:tc>
      </w:tr>
      <w:tr w:rsidR="00E80814" w:rsidRPr="00E80814" w:rsidTr="00A1110E">
        <w:trPr>
          <w:trHeight w:val="260"/>
        </w:trPr>
        <w:tc>
          <w:tcPr>
            <w:tcW w:w="284" w:type="dxa"/>
            <w:tcBorders>
              <w:top w:val="nil"/>
              <w:left w:val="single" w:sz="12" w:space="0" w:color="auto"/>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6</w:t>
            </w:r>
          </w:p>
        </w:tc>
        <w:tc>
          <w:tcPr>
            <w:tcW w:w="8522" w:type="dxa"/>
            <w:gridSpan w:val="2"/>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Jiné oceňovací rozdíly</w:t>
            </w:r>
          </w:p>
        </w:tc>
        <w:tc>
          <w:tcPr>
            <w:tcW w:w="1276"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407</w:t>
            </w:r>
          </w:p>
        </w:tc>
        <w:tc>
          <w:tcPr>
            <w:tcW w:w="1842"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944</w:t>
            </w:r>
          </w:p>
        </w:tc>
        <w:tc>
          <w:tcPr>
            <w:tcW w:w="1560" w:type="dxa"/>
            <w:tcBorders>
              <w:top w:val="nil"/>
              <w:left w:val="nil"/>
              <w:bottom w:val="single" w:sz="4"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5 581</w:t>
            </w:r>
          </w:p>
        </w:tc>
      </w:tr>
      <w:tr w:rsidR="00E80814" w:rsidRPr="00E80814" w:rsidTr="00A1110E">
        <w:trPr>
          <w:trHeight w:val="270"/>
        </w:trPr>
        <w:tc>
          <w:tcPr>
            <w:tcW w:w="284" w:type="dxa"/>
            <w:tcBorders>
              <w:top w:val="nil"/>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nil"/>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43" w:type="dxa"/>
            <w:tcBorders>
              <w:top w:val="nil"/>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7</w:t>
            </w:r>
          </w:p>
        </w:tc>
        <w:tc>
          <w:tcPr>
            <w:tcW w:w="8522" w:type="dxa"/>
            <w:gridSpan w:val="2"/>
            <w:tcBorders>
              <w:top w:val="nil"/>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Opravy předcházejících účetních období</w:t>
            </w:r>
          </w:p>
        </w:tc>
        <w:tc>
          <w:tcPr>
            <w:tcW w:w="1276" w:type="dxa"/>
            <w:tcBorders>
              <w:top w:val="nil"/>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408</w:t>
            </w:r>
          </w:p>
        </w:tc>
        <w:tc>
          <w:tcPr>
            <w:tcW w:w="1842" w:type="dxa"/>
            <w:tcBorders>
              <w:top w:val="nil"/>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-83 309 126</w:t>
            </w:r>
          </w:p>
        </w:tc>
        <w:tc>
          <w:tcPr>
            <w:tcW w:w="1560" w:type="dxa"/>
            <w:tcBorders>
              <w:top w:val="nil"/>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-83 309 126</w:t>
            </w:r>
          </w:p>
        </w:tc>
      </w:tr>
      <w:tr w:rsidR="00E80814" w:rsidRPr="00E80814" w:rsidTr="00A1110E">
        <w:trPr>
          <w:trHeight w:val="300"/>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III</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9798"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Výsledek hospodaření</w:t>
            </w:r>
          </w:p>
        </w:tc>
        <w:tc>
          <w:tcPr>
            <w:tcW w:w="1842" w:type="dxa"/>
            <w:tcBorders>
              <w:top w:val="single" w:sz="12" w:space="0" w:color="auto"/>
              <w:left w:val="nil"/>
              <w:bottom w:val="single" w:sz="12" w:space="0" w:color="auto"/>
              <w:right w:val="single" w:sz="8"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651 185</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-7 476 882</w:t>
            </w:r>
          </w:p>
        </w:tc>
      </w:tr>
      <w:tr w:rsidR="00E80814" w:rsidRPr="00E80814" w:rsidTr="00A1110E">
        <w:trPr>
          <w:trHeight w:val="270"/>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1</w:t>
            </w:r>
          </w:p>
        </w:tc>
        <w:tc>
          <w:tcPr>
            <w:tcW w:w="8522" w:type="dxa"/>
            <w:gridSpan w:val="2"/>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Výsledek hospodaření běžného účetního období</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w:t>
            </w:r>
          </w:p>
        </w:tc>
        <w:tc>
          <w:tcPr>
            <w:tcW w:w="1842"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651 185</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-7 476 882</w:t>
            </w:r>
          </w:p>
        </w:tc>
      </w:tr>
      <w:tr w:rsidR="00E80814" w:rsidRPr="00E80814" w:rsidTr="00A1110E">
        <w:trPr>
          <w:trHeight w:val="270"/>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D</w:t>
            </w:r>
          </w:p>
        </w:tc>
        <w:tc>
          <w:tcPr>
            <w:tcW w:w="300" w:type="dxa"/>
            <w:tcBorders>
              <w:top w:val="single" w:sz="12" w:space="0" w:color="auto"/>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8522" w:type="dxa"/>
            <w:gridSpan w:val="2"/>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Cizí zdroje</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1842"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75 499 977</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78 714 066</w:t>
            </w:r>
          </w:p>
        </w:tc>
      </w:tr>
      <w:tr w:rsidR="00E80814" w:rsidRPr="00E80814" w:rsidTr="00A1110E">
        <w:trPr>
          <w:trHeight w:val="270"/>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I</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8522" w:type="dxa"/>
            <w:gridSpan w:val="2"/>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Rezervy</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1842"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75 030 917</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78 141 805</w:t>
            </w:r>
          </w:p>
        </w:tc>
      </w:tr>
      <w:tr w:rsidR="00E80814" w:rsidRPr="00E80814" w:rsidTr="00A1110E">
        <w:trPr>
          <w:trHeight w:val="270"/>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1</w:t>
            </w:r>
          </w:p>
        </w:tc>
        <w:tc>
          <w:tcPr>
            <w:tcW w:w="8522" w:type="dxa"/>
            <w:gridSpan w:val="2"/>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Rezervy</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441</w:t>
            </w:r>
          </w:p>
        </w:tc>
        <w:tc>
          <w:tcPr>
            <w:tcW w:w="1842"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75 030 917</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78 141 805</w:t>
            </w:r>
          </w:p>
        </w:tc>
      </w:tr>
      <w:tr w:rsidR="00E80814" w:rsidRPr="00E80814" w:rsidTr="00A1110E">
        <w:trPr>
          <w:trHeight w:val="300"/>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II</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9798"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Dlouhodobé závazky</w:t>
            </w:r>
          </w:p>
        </w:tc>
        <w:tc>
          <w:tcPr>
            <w:tcW w:w="1842"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0</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3 731</w:t>
            </w:r>
          </w:p>
        </w:tc>
      </w:tr>
      <w:tr w:rsidR="00E80814" w:rsidRPr="00E80814" w:rsidTr="00A1110E">
        <w:trPr>
          <w:trHeight w:val="270"/>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4</w:t>
            </w:r>
          </w:p>
        </w:tc>
        <w:tc>
          <w:tcPr>
            <w:tcW w:w="8522" w:type="dxa"/>
            <w:gridSpan w:val="2"/>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Dlouhodobé přijaté zálohy</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455</w:t>
            </w:r>
          </w:p>
        </w:tc>
        <w:tc>
          <w:tcPr>
            <w:tcW w:w="1842"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0</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3 731</w:t>
            </w:r>
          </w:p>
        </w:tc>
      </w:tr>
      <w:tr w:rsidR="00E80814" w:rsidRPr="00E80814" w:rsidTr="00A1110E">
        <w:trPr>
          <w:trHeight w:val="300"/>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III</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 </w:t>
            </w:r>
          </w:p>
        </w:tc>
        <w:tc>
          <w:tcPr>
            <w:tcW w:w="9798" w:type="dxa"/>
            <w:gridSpan w:val="3"/>
            <w:tcBorders>
              <w:top w:val="single" w:sz="12" w:space="0" w:color="auto"/>
              <w:left w:val="nil"/>
              <w:bottom w:val="single" w:sz="12" w:space="0" w:color="auto"/>
              <w:right w:val="single" w:sz="4" w:space="0" w:color="000000"/>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Krátkodobé závazky</w:t>
            </w:r>
          </w:p>
        </w:tc>
        <w:tc>
          <w:tcPr>
            <w:tcW w:w="1842" w:type="dxa"/>
            <w:tcBorders>
              <w:top w:val="single" w:sz="12" w:space="0" w:color="auto"/>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469 060</w:t>
            </w:r>
          </w:p>
        </w:tc>
        <w:tc>
          <w:tcPr>
            <w:tcW w:w="1560" w:type="dxa"/>
            <w:tcBorders>
              <w:top w:val="single" w:sz="12" w:space="0" w:color="auto"/>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b/>
                <w:bCs/>
                <w:color w:val="000000"/>
                <w:sz w:val="20"/>
                <w:szCs w:val="20"/>
                <w:lang w:eastAsia="cs-CZ"/>
              </w:rPr>
            </w:pPr>
            <w:r w:rsidRPr="00E80814">
              <w:rPr>
                <w:rFonts w:ascii="Calibri" w:eastAsia="Times New Roman" w:hAnsi="Calibri" w:cs="Times New Roman"/>
                <w:b/>
                <w:bCs/>
                <w:color w:val="000000"/>
                <w:sz w:val="20"/>
                <w:szCs w:val="20"/>
                <w:lang w:eastAsia="cs-CZ"/>
              </w:rPr>
              <w:t>568 530</w:t>
            </w:r>
          </w:p>
        </w:tc>
      </w:tr>
      <w:tr w:rsidR="00E80814" w:rsidRPr="00E80814" w:rsidTr="00A1110E">
        <w:trPr>
          <w:trHeight w:val="260"/>
        </w:trPr>
        <w:tc>
          <w:tcPr>
            <w:tcW w:w="284" w:type="dxa"/>
            <w:tcBorders>
              <w:top w:val="single" w:sz="12" w:space="0" w:color="auto"/>
              <w:left w:val="single" w:sz="12" w:space="0" w:color="auto"/>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single" w:sz="12" w:space="0" w:color="auto"/>
              <w:left w:val="nil"/>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43" w:type="dxa"/>
            <w:tcBorders>
              <w:top w:val="single" w:sz="12" w:space="0" w:color="auto"/>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5</w:t>
            </w:r>
          </w:p>
        </w:tc>
        <w:tc>
          <w:tcPr>
            <w:tcW w:w="8522" w:type="dxa"/>
            <w:gridSpan w:val="2"/>
            <w:tcBorders>
              <w:top w:val="single" w:sz="12" w:space="0" w:color="auto"/>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Dodavatelé</w:t>
            </w:r>
          </w:p>
        </w:tc>
        <w:tc>
          <w:tcPr>
            <w:tcW w:w="1276" w:type="dxa"/>
            <w:tcBorders>
              <w:top w:val="single" w:sz="12" w:space="0" w:color="auto"/>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321</w:t>
            </w:r>
          </w:p>
        </w:tc>
        <w:tc>
          <w:tcPr>
            <w:tcW w:w="1842" w:type="dxa"/>
            <w:tcBorders>
              <w:top w:val="single" w:sz="12" w:space="0" w:color="auto"/>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343 409</w:t>
            </w:r>
          </w:p>
        </w:tc>
        <w:tc>
          <w:tcPr>
            <w:tcW w:w="1560" w:type="dxa"/>
            <w:tcBorders>
              <w:top w:val="single" w:sz="12" w:space="0" w:color="auto"/>
              <w:left w:val="nil"/>
              <w:bottom w:val="single" w:sz="4"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432 851</w:t>
            </w:r>
          </w:p>
        </w:tc>
      </w:tr>
      <w:tr w:rsidR="00E80814" w:rsidRPr="00E80814" w:rsidTr="00A1110E">
        <w:trPr>
          <w:trHeight w:val="260"/>
        </w:trPr>
        <w:tc>
          <w:tcPr>
            <w:tcW w:w="284" w:type="dxa"/>
            <w:tcBorders>
              <w:top w:val="nil"/>
              <w:left w:val="single" w:sz="12" w:space="0" w:color="auto"/>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6</w:t>
            </w:r>
          </w:p>
        </w:tc>
        <w:tc>
          <w:tcPr>
            <w:tcW w:w="8522" w:type="dxa"/>
            <w:gridSpan w:val="2"/>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Směnky k úhradě</w:t>
            </w:r>
          </w:p>
        </w:tc>
        <w:tc>
          <w:tcPr>
            <w:tcW w:w="1276"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322</w:t>
            </w:r>
          </w:p>
        </w:tc>
        <w:tc>
          <w:tcPr>
            <w:tcW w:w="1842"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2 061</w:t>
            </w:r>
          </w:p>
        </w:tc>
        <w:tc>
          <w:tcPr>
            <w:tcW w:w="1560" w:type="dxa"/>
            <w:tcBorders>
              <w:top w:val="nil"/>
              <w:left w:val="nil"/>
              <w:bottom w:val="single" w:sz="4"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336</w:t>
            </w:r>
          </w:p>
        </w:tc>
      </w:tr>
      <w:tr w:rsidR="00E80814" w:rsidRPr="00E80814" w:rsidTr="00A1110E">
        <w:trPr>
          <w:trHeight w:val="260"/>
        </w:trPr>
        <w:tc>
          <w:tcPr>
            <w:tcW w:w="284" w:type="dxa"/>
            <w:tcBorders>
              <w:top w:val="nil"/>
              <w:left w:val="single" w:sz="12" w:space="0" w:color="auto"/>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7</w:t>
            </w:r>
          </w:p>
        </w:tc>
        <w:tc>
          <w:tcPr>
            <w:tcW w:w="8522" w:type="dxa"/>
            <w:gridSpan w:val="2"/>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Krátkodobé přijaté zálohy</w:t>
            </w:r>
          </w:p>
        </w:tc>
        <w:tc>
          <w:tcPr>
            <w:tcW w:w="1276"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324</w:t>
            </w:r>
          </w:p>
        </w:tc>
        <w:tc>
          <w:tcPr>
            <w:tcW w:w="1842"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73 582</w:t>
            </w:r>
          </w:p>
        </w:tc>
        <w:tc>
          <w:tcPr>
            <w:tcW w:w="1560" w:type="dxa"/>
            <w:tcBorders>
              <w:top w:val="nil"/>
              <w:left w:val="nil"/>
              <w:bottom w:val="single" w:sz="4"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22 206</w:t>
            </w:r>
          </w:p>
        </w:tc>
      </w:tr>
      <w:tr w:rsidR="00E80814" w:rsidRPr="00E80814" w:rsidTr="00A1110E">
        <w:trPr>
          <w:trHeight w:val="260"/>
        </w:trPr>
        <w:tc>
          <w:tcPr>
            <w:tcW w:w="284" w:type="dxa"/>
            <w:tcBorders>
              <w:top w:val="nil"/>
              <w:left w:val="single" w:sz="12" w:space="0" w:color="auto"/>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37</w:t>
            </w:r>
          </w:p>
        </w:tc>
        <w:tc>
          <w:tcPr>
            <w:tcW w:w="8522" w:type="dxa"/>
            <w:gridSpan w:val="2"/>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Dohadné účty pasivní</w:t>
            </w:r>
          </w:p>
        </w:tc>
        <w:tc>
          <w:tcPr>
            <w:tcW w:w="1276"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389</w:t>
            </w:r>
          </w:p>
        </w:tc>
        <w:tc>
          <w:tcPr>
            <w:tcW w:w="1842" w:type="dxa"/>
            <w:tcBorders>
              <w:top w:val="nil"/>
              <w:left w:val="nil"/>
              <w:bottom w:val="single" w:sz="4"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34 100</w:t>
            </w:r>
          </w:p>
        </w:tc>
        <w:tc>
          <w:tcPr>
            <w:tcW w:w="1560" w:type="dxa"/>
            <w:tcBorders>
              <w:top w:val="nil"/>
              <w:left w:val="nil"/>
              <w:bottom w:val="single" w:sz="4"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96 673</w:t>
            </w:r>
          </w:p>
        </w:tc>
      </w:tr>
      <w:tr w:rsidR="00E80814" w:rsidRPr="00E80814" w:rsidTr="00A1110E">
        <w:trPr>
          <w:trHeight w:val="270"/>
        </w:trPr>
        <w:tc>
          <w:tcPr>
            <w:tcW w:w="284" w:type="dxa"/>
            <w:tcBorders>
              <w:top w:val="nil"/>
              <w:left w:val="single" w:sz="12" w:space="0" w:color="auto"/>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00" w:type="dxa"/>
            <w:tcBorders>
              <w:top w:val="nil"/>
              <w:left w:val="nil"/>
              <w:bottom w:val="single" w:sz="12" w:space="0" w:color="auto"/>
              <w:right w:val="nil"/>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 </w:t>
            </w:r>
          </w:p>
        </w:tc>
        <w:tc>
          <w:tcPr>
            <w:tcW w:w="343" w:type="dxa"/>
            <w:tcBorders>
              <w:top w:val="nil"/>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38</w:t>
            </w:r>
          </w:p>
        </w:tc>
        <w:tc>
          <w:tcPr>
            <w:tcW w:w="8522" w:type="dxa"/>
            <w:gridSpan w:val="2"/>
            <w:tcBorders>
              <w:top w:val="nil"/>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lef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Ostatní krátkodobé závazky</w:t>
            </w:r>
          </w:p>
        </w:tc>
        <w:tc>
          <w:tcPr>
            <w:tcW w:w="1276" w:type="dxa"/>
            <w:tcBorders>
              <w:top w:val="nil"/>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378</w:t>
            </w:r>
          </w:p>
        </w:tc>
        <w:tc>
          <w:tcPr>
            <w:tcW w:w="1842" w:type="dxa"/>
            <w:tcBorders>
              <w:top w:val="nil"/>
              <w:left w:val="nil"/>
              <w:bottom w:val="single" w:sz="12" w:space="0" w:color="auto"/>
              <w:right w:val="single" w:sz="4"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15 908</w:t>
            </w:r>
          </w:p>
        </w:tc>
        <w:tc>
          <w:tcPr>
            <w:tcW w:w="1560" w:type="dxa"/>
            <w:tcBorders>
              <w:top w:val="nil"/>
              <w:left w:val="nil"/>
              <w:bottom w:val="single" w:sz="12" w:space="0" w:color="auto"/>
              <w:right w:val="single" w:sz="12" w:space="0" w:color="auto"/>
            </w:tcBorders>
            <w:shd w:val="clear" w:color="auto" w:fill="auto"/>
            <w:noWrap/>
            <w:vAlign w:val="bottom"/>
            <w:hideMark/>
          </w:tcPr>
          <w:p w:rsidR="00E80814" w:rsidRPr="00E80814" w:rsidRDefault="00E80814" w:rsidP="00E80814">
            <w:pPr>
              <w:spacing w:before="0"/>
              <w:jc w:val="right"/>
              <w:rPr>
                <w:rFonts w:ascii="Calibri" w:eastAsia="Times New Roman" w:hAnsi="Calibri" w:cs="Times New Roman"/>
                <w:color w:val="000000"/>
                <w:sz w:val="20"/>
                <w:szCs w:val="20"/>
                <w:lang w:eastAsia="cs-CZ"/>
              </w:rPr>
            </w:pPr>
            <w:r w:rsidRPr="00E80814">
              <w:rPr>
                <w:rFonts w:ascii="Calibri" w:eastAsia="Times New Roman" w:hAnsi="Calibri" w:cs="Times New Roman"/>
                <w:color w:val="000000"/>
                <w:sz w:val="20"/>
                <w:szCs w:val="20"/>
                <w:lang w:eastAsia="cs-CZ"/>
              </w:rPr>
              <w:t>16 465</w:t>
            </w:r>
          </w:p>
        </w:tc>
      </w:tr>
    </w:tbl>
    <w:p w:rsidR="00BD1E4E" w:rsidRDefault="00BD1E4E" w:rsidP="00BD1E4E">
      <w:pPr>
        <w:pStyle w:val="Titulek"/>
        <w:keepNext/>
      </w:pPr>
    </w:p>
    <w:p w:rsidR="00E80814" w:rsidRPr="00E80814" w:rsidRDefault="00E80814" w:rsidP="00E80814"/>
    <w:p w:rsidR="00E80814" w:rsidRPr="00E80814" w:rsidRDefault="00E80814" w:rsidP="00E80814"/>
    <w:p w:rsidR="00BD1E4E" w:rsidRDefault="00BD1E4E" w:rsidP="00BD1E4E"/>
    <w:p w:rsidR="00BD1E4E" w:rsidRDefault="00BD1E4E" w:rsidP="00FE345A">
      <w:pPr>
        <w:pStyle w:val="Nzev"/>
      </w:pPr>
      <w:r w:rsidRPr="006F2953">
        <w:br w:type="page"/>
      </w:r>
      <w:r w:rsidRPr="0051538D">
        <w:lastRenderedPageBreak/>
        <w:t xml:space="preserve">Příloha č. </w:t>
      </w:r>
      <w:r w:rsidR="00E13D9D">
        <w:fldChar w:fldCharType="begin"/>
      </w:r>
      <w:r w:rsidR="00E13D9D">
        <w:instrText xml:space="preserve"> SEQ Příloha_č. \* ARABIC </w:instrText>
      </w:r>
      <w:r w:rsidR="00E13D9D">
        <w:fldChar w:fldCharType="separate"/>
      </w:r>
      <w:r w:rsidR="008A4BFD">
        <w:rPr>
          <w:noProof/>
        </w:rPr>
        <w:t>2</w:t>
      </w:r>
      <w:r w:rsidR="00E13D9D">
        <w:rPr>
          <w:noProof/>
        </w:rPr>
        <w:fldChar w:fldCharType="end"/>
      </w:r>
      <w:r w:rsidRPr="0051538D">
        <w:t>: Výkaz zisku a ztráty Fondu privatizace k 31.</w:t>
      </w:r>
      <w:r w:rsidR="000A6461">
        <w:t xml:space="preserve"> </w:t>
      </w:r>
      <w:r w:rsidRPr="0051538D">
        <w:t>12.</w:t>
      </w:r>
      <w:r w:rsidR="000A6461">
        <w:t xml:space="preserve"> </w:t>
      </w:r>
      <w:r w:rsidR="002E18EB">
        <w:t xml:space="preserve">2020 </w:t>
      </w:r>
      <w:r w:rsidRPr="0051538D">
        <w:t>(tis. Kč)</w:t>
      </w:r>
    </w:p>
    <w:tbl>
      <w:tblPr>
        <w:tblW w:w="14091" w:type="dxa"/>
        <w:tblInd w:w="-10" w:type="dxa"/>
        <w:tblCellMar>
          <w:left w:w="70" w:type="dxa"/>
          <w:right w:w="70" w:type="dxa"/>
        </w:tblCellMar>
        <w:tblLook w:val="04A0" w:firstRow="1" w:lastRow="0" w:firstColumn="1" w:lastColumn="0" w:noHBand="0" w:noVBand="1"/>
      </w:tblPr>
      <w:tblGrid>
        <w:gridCol w:w="262"/>
        <w:gridCol w:w="300"/>
        <w:gridCol w:w="343"/>
        <w:gridCol w:w="148"/>
        <w:gridCol w:w="364"/>
        <w:gridCol w:w="146"/>
        <w:gridCol w:w="5383"/>
        <w:gridCol w:w="992"/>
        <w:gridCol w:w="1560"/>
        <w:gridCol w:w="1417"/>
        <w:gridCol w:w="1956"/>
        <w:gridCol w:w="1220"/>
      </w:tblGrid>
      <w:tr w:rsidR="00FA505D" w:rsidRPr="00FA505D" w:rsidTr="00FA505D">
        <w:trPr>
          <w:trHeight w:val="247"/>
        </w:trPr>
        <w:tc>
          <w:tcPr>
            <w:tcW w:w="905" w:type="dxa"/>
            <w:gridSpan w:val="3"/>
            <w:vMerge w:val="restart"/>
            <w:tcBorders>
              <w:top w:val="single" w:sz="12" w:space="0" w:color="auto"/>
              <w:left w:val="single" w:sz="12" w:space="0" w:color="auto"/>
              <w:bottom w:val="single" w:sz="6" w:space="0" w:color="auto"/>
              <w:right w:val="single" w:sz="6"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Číslo položky</w:t>
            </w:r>
          </w:p>
        </w:tc>
        <w:tc>
          <w:tcPr>
            <w:tcW w:w="6041" w:type="dxa"/>
            <w:gridSpan w:val="4"/>
            <w:vMerge w:val="restart"/>
            <w:tcBorders>
              <w:top w:val="single" w:sz="12" w:space="0" w:color="auto"/>
              <w:left w:val="single" w:sz="6" w:space="0" w:color="auto"/>
              <w:bottom w:val="single" w:sz="6" w:space="0" w:color="auto"/>
              <w:right w:val="single" w:sz="6"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Název položky</w:t>
            </w:r>
          </w:p>
        </w:tc>
        <w:tc>
          <w:tcPr>
            <w:tcW w:w="992" w:type="dxa"/>
            <w:vMerge w:val="restart"/>
            <w:tcBorders>
              <w:top w:val="single" w:sz="12" w:space="0" w:color="auto"/>
              <w:left w:val="single" w:sz="6" w:space="0" w:color="auto"/>
              <w:bottom w:val="single" w:sz="6" w:space="0" w:color="auto"/>
              <w:right w:val="single" w:sz="6"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Číslo účtu</w:t>
            </w:r>
          </w:p>
        </w:tc>
        <w:tc>
          <w:tcPr>
            <w:tcW w:w="2977" w:type="dxa"/>
            <w:gridSpan w:val="2"/>
            <w:tcBorders>
              <w:top w:val="single" w:sz="12" w:space="0" w:color="auto"/>
              <w:left w:val="single" w:sz="6" w:space="0" w:color="auto"/>
              <w:bottom w:val="single" w:sz="6" w:space="0" w:color="auto"/>
              <w:right w:val="single" w:sz="6"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Běžné období</w:t>
            </w:r>
          </w:p>
        </w:tc>
        <w:tc>
          <w:tcPr>
            <w:tcW w:w="3176" w:type="dxa"/>
            <w:gridSpan w:val="2"/>
            <w:tcBorders>
              <w:top w:val="single" w:sz="12" w:space="0" w:color="auto"/>
              <w:left w:val="single" w:sz="6" w:space="0" w:color="auto"/>
              <w:bottom w:val="single" w:sz="6" w:space="0" w:color="auto"/>
              <w:right w:val="single" w:sz="12"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Minulé období</w:t>
            </w:r>
          </w:p>
        </w:tc>
      </w:tr>
      <w:tr w:rsidR="00FA505D" w:rsidRPr="00FA505D" w:rsidTr="00FA505D">
        <w:trPr>
          <w:trHeight w:val="504"/>
        </w:trPr>
        <w:tc>
          <w:tcPr>
            <w:tcW w:w="905" w:type="dxa"/>
            <w:gridSpan w:val="3"/>
            <w:vMerge/>
            <w:tcBorders>
              <w:top w:val="single" w:sz="6" w:space="0" w:color="auto"/>
              <w:left w:val="single" w:sz="12" w:space="0" w:color="auto"/>
              <w:bottom w:val="single" w:sz="12" w:space="0" w:color="auto"/>
              <w:right w:val="single" w:sz="6" w:space="0" w:color="auto"/>
            </w:tcBorders>
            <w:vAlign w:val="center"/>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p>
        </w:tc>
        <w:tc>
          <w:tcPr>
            <w:tcW w:w="6041" w:type="dxa"/>
            <w:gridSpan w:val="4"/>
            <w:vMerge/>
            <w:tcBorders>
              <w:top w:val="single" w:sz="6" w:space="0" w:color="auto"/>
              <w:left w:val="single" w:sz="6" w:space="0" w:color="auto"/>
              <w:bottom w:val="single" w:sz="12" w:space="0" w:color="auto"/>
              <w:right w:val="single" w:sz="6" w:space="0" w:color="auto"/>
            </w:tcBorders>
            <w:vAlign w:val="center"/>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p>
        </w:tc>
        <w:tc>
          <w:tcPr>
            <w:tcW w:w="992" w:type="dxa"/>
            <w:vMerge/>
            <w:tcBorders>
              <w:top w:val="single" w:sz="6" w:space="0" w:color="auto"/>
              <w:left w:val="single" w:sz="6" w:space="0" w:color="auto"/>
              <w:bottom w:val="single" w:sz="12" w:space="0" w:color="auto"/>
              <w:right w:val="single" w:sz="6" w:space="0" w:color="auto"/>
            </w:tcBorders>
            <w:vAlign w:val="center"/>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p>
        </w:tc>
        <w:tc>
          <w:tcPr>
            <w:tcW w:w="1560" w:type="dxa"/>
            <w:tcBorders>
              <w:top w:val="single" w:sz="6" w:space="0" w:color="auto"/>
              <w:left w:val="single" w:sz="6" w:space="0" w:color="auto"/>
              <w:bottom w:val="single" w:sz="12" w:space="0" w:color="auto"/>
              <w:right w:val="single" w:sz="6"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Hlavní činnost</w:t>
            </w:r>
          </w:p>
        </w:tc>
        <w:tc>
          <w:tcPr>
            <w:tcW w:w="1417" w:type="dxa"/>
            <w:tcBorders>
              <w:top w:val="single" w:sz="6" w:space="0" w:color="auto"/>
              <w:left w:val="single" w:sz="6" w:space="0" w:color="auto"/>
              <w:bottom w:val="single" w:sz="12" w:space="0" w:color="auto"/>
              <w:right w:val="single" w:sz="6"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Hospodářská činnost</w:t>
            </w:r>
          </w:p>
        </w:tc>
        <w:tc>
          <w:tcPr>
            <w:tcW w:w="1956" w:type="dxa"/>
            <w:tcBorders>
              <w:top w:val="single" w:sz="6" w:space="0" w:color="auto"/>
              <w:left w:val="single" w:sz="6" w:space="0" w:color="auto"/>
              <w:bottom w:val="single" w:sz="12" w:space="0" w:color="auto"/>
              <w:right w:val="single" w:sz="6"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Hlavní činnost</w:t>
            </w:r>
          </w:p>
        </w:tc>
        <w:tc>
          <w:tcPr>
            <w:tcW w:w="1220" w:type="dxa"/>
            <w:tcBorders>
              <w:top w:val="single" w:sz="6" w:space="0" w:color="auto"/>
              <w:left w:val="single" w:sz="6" w:space="0" w:color="auto"/>
              <w:bottom w:val="single" w:sz="12" w:space="0" w:color="auto"/>
              <w:right w:val="single" w:sz="12"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Hospodářská činnost</w:t>
            </w:r>
          </w:p>
        </w:tc>
      </w:tr>
      <w:tr w:rsidR="00FA505D" w:rsidRPr="00FA505D" w:rsidTr="00FA505D">
        <w:trPr>
          <w:trHeight w:val="257"/>
        </w:trPr>
        <w:tc>
          <w:tcPr>
            <w:tcW w:w="262" w:type="dxa"/>
            <w:tcBorders>
              <w:top w:val="single" w:sz="12" w:space="0" w:color="auto"/>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A</w:t>
            </w:r>
          </w:p>
        </w:tc>
        <w:tc>
          <w:tcPr>
            <w:tcW w:w="300"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6041" w:type="dxa"/>
            <w:gridSpan w:val="4"/>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NÁKLADY CELKEM</w:t>
            </w:r>
          </w:p>
        </w:tc>
        <w:tc>
          <w:tcPr>
            <w:tcW w:w="992"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1560"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16 389 558,88</w:t>
            </w:r>
          </w:p>
        </w:tc>
        <w:tc>
          <w:tcPr>
            <w:tcW w:w="1417"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0,00</w:t>
            </w:r>
          </w:p>
        </w:tc>
        <w:tc>
          <w:tcPr>
            <w:tcW w:w="195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17 097 966,62</w:t>
            </w:r>
          </w:p>
        </w:tc>
        <w:tc>
          <w:tcPr>
            <w:tcW w:w="1220"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r>
      <w:tr w:rsidR="00FA505D" w:rsidRPr="00FA505D" w:rsidTr="00FA505D">
        <w:trPr>
          <w:trHeight w:val="257"/>
        </w:trPr>
        <w:tc>
          <w:tcPr>
            <w:tcW w:w="262" w:type="dxa"/>
            <w:tcBorders>
              <w:top w:val="single" w:sz="12" w:space="0" w:color="auto"/>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I</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6041" w:type="dxa"/>
            <w:gridSpan w:val="4"/>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Náklady z činnosti</w:t>
            </w:r>
          </w:p>
        </w:tc>
        <w:tc>
          <w:tcPr>
            <w:tcW w:w="992"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1560"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15 110 027,14</w:t>
            </w:r>
          </w:p>
        </w:tc>
        <w:tc>
          <w:tcPr>
            <w:tcW w:w="1417"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0,00</w:t>
            </w:r>
          </w:p>
        </w:tc>
        <w:tc>
          <w:tcPr>
            <w:tcW w:w="195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15 722 847,76</w:t>
            </w:r>
          </w:p>
        </w:tc>
        <w:tc>
          <w:tcPr>
            <w:tcW w:w="1220"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r>
      <w:tr w:rsidR="00FA505D" w:rsidRPr="00FA505D" w:rsidTr="00FA505D">
        <w:trPr>
          <w:trHeight w:val="247"/>
        </w:trPr>
        <w:tc>
          <w:tcPr>
            <w:tcW w:w="262" w:type="dxa"/>
            <w:tcBorders>
              <w:top w:val="single" w:sz="12" w:space="0" w:color="auto"/>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single" w:sz="12" w:space="0" w:color="auto"/>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12</w:t>
            </w:r>
          </w:p>
        </w:tc>
        <w:tc>
          <w:tcPr>
            <w:tcW w:w="6041" w:type="dxa"/>
            <w:gridSpan w:val="4"/>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Ostatní služby</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518</w:t>
            </w:r>
          </w:p>
        </w:tc>
        <w:tc>
          <w:tcPr>
            <w:tcW w:w="1560"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1 716 820,92</w:t>
            </w:r>
          </w:p>
        </w:tc>
        <w:tc>
          <w:tcPr>
            <w:tcW w:w="1417"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1 575 710,14</w:t>
            </w:r>
          </w:p>
        </w:tc>
        <w:tc>
          <w:tcPr>
            <w:tcW w:w="1220" w:type="dxa"/>
            <w:tcBorders>
              <w:top w:val="single" w:sz="12" w:space="0" w:color="auto"/>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47"/>
        </w:trPr>
        <w:tc>
          <w:tcPr>
            <w:tcW w:w="262"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25</w:t>
            </w:r>
          </w:p>
        </w:tc>
        <w:tc>
          <w:tcPr>
            <w:tcW w:w="6041" w:type="dxa"/>
            <w:gridSpan w:val="4"/>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Prodaný materiál</w:t>
            </w:r>
          </w:p>
        </w:tc>
        <w:tc>
          <w:tcPr>
            <w:tcW w:w="992"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544</w:t>
            </w:r>
          </w:p>
        </w:tc>
        <w:tc>
          <w:tcPr>
            <w:tcW w:w="1560"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41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72,00</w:t>
            </w:r>
          </w:p>
        </w:tc>
        <w:tc>
          <w:tcPr>
            <w:tcW w:w="1220"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47"/>
        </w:trPr>
        <w:tc>
          <w:tcPr>
            <w:tcW w:w="262"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28</w:t>
            </w:r>
          </w:p>
        </w:tc>
        <w:tc>
          <w:tcPr>
            <w:tcW w:w="6041" w:type="dxa"/>
            <w:gridSpan w:val="4"/>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Odpisy dlouhodobého majetku</w:t>
            </w:r>
          </w:p>
        </w:tc>
        <w:tc>
          <w:tcPr>
            <w:tcW w:w="992"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551</w:t>
            </w:r>
          </w:p>
        </w:tc>
        <w:tc>
          <w:tcPr>
            <w:tcW w:w="1560"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19,12</w:t>
            </w:r>
          </w:p>
        </w:tc>
        <w:tc>
          <w:tcPr>
            <w:tcW w:w="141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54,92</w:t>
            </w:r>
          </w:p>
        </w:tc>
        <w:tc>
          <w:tcPr>
            <w:tcW w:w="1220"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47"/>
        </w:trPr>
        <w:tc>
          <w:tcPr>
            <w:tcW w:w="262"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30</w:t>
            </w:r>
          </w:p>
        </w:tc>
        <w:tc>
          <w:tcPr>
            <w:tcW w:w="6041" w:type="dxa"/>
            <w:gridSpan w:val="4"/>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Prodaný dlouhodobý hmotný majetek</w:t>
            </w:r>
          </w:p>
        </w:tc>
        <w:tc>
          <w:tcPr>
            <w:tcW w:w="992"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553</w:t>
            </w:r>
          </w:p>
        </w:tc>
        <w:tc>
          <w:tcPr>
            <w:tcW w:w="1560"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7 596,76</w:t>
            </w:r>
          </w:p>
        </w:tc>
        <w:tc>
          <w:tcPr>
            <w:tcW w:w="141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38 659,30</w:t>
            </w:r>
          </w:p>
        </w:tc>
        <w:tc>
          <w:tcPr>
            <w:tcW w:w="1220"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47"/>
        </w:trPr>
        <w:tc>
          <w:tcPr>
            <w:tcW w:w="262"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31</w:t>
            </w:r>
          </w:p>
        </w:tc>
        <w:tc>
          <w:tcPr>
            <w:tcW w:w="6041" w:type="dxa"/>
            <w:gridSpan w:val="4"/>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Prodané pozemky</w:t>
            </w:r>
          </w:p>
        </w:tc>
        <w:tc>
          <w:tcPr>
            <w:tcW w:w="992"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554</w:t>
            </w:r>
          </w:p>
        </w:tc>
        <w:tc>
          <w:tcPr>
            <w:tcW w:w="1560"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4 031,15</w:t>
            </w:r>
          </w:p>
        </w:tc>
        <w:tc>
          <w:tcPr>
            <w:tcW w:w="141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58 083,46</w:t>
            </w:r>
          </w:p>
        </w:tc>
        <w:tc>
          <w:tcPr>
            <w:tcW w:w="1220"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47"/>
        </w:trPr>
        <w:tc>
          <w:tcPr>
            <w:tcW w:w="262"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32</w:t>
            </w:r>
          </w:p>
        </w:tc>
        <w:tc>
          <w:tcPr>
            <w:tcW w:w="6041" w:type="dxa"/>
            <w:gridSpan w:val="4"/>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Tvorba a zúčtování rezerv</w:t>
            </w:r>
          </w:p>
        </w:tc>
        <w:tc>
          <w:tcPr>
            <w:tcW w:w="992"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555</w:t>
            </w:r>
          </w:p>
        </w:tc>
        <w:tc>
          <w:tcPr>
            <w:tcW w:w="1560"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-3 110 888,23</w:t>
            </w:r>
          </w:p>
        </w:tc>
        <w:tc>
          <w:tcPr>
            <w:tcW w:w="141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-3 730 934,01</w:t>
            </w:r>
          </w:p>
        </w:tc>
        <w:tc>
          <w:tcPr>
            <w:tcW w:w="1220"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47"/>
        </w:trPr>
        <w:tc>
          <w:tcPr>
            <w:tcW w:w="262"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33</w:t>
            </w:r>
          </w:p>
        </w:tc>
        <w:tc>
          <w:tcPr>
            <w:tcW w:w="6041" w:type="dxa"/>
            <w:gridSpan w:val="4"/>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Tvorba a zúčtování opravných položek</w:t>
            </w:r>
          </w:p>
        </w:tc>
        <w:tc>
          <w:tcPr>
            <w:tcW w:w="992"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556</w:t>
            </w:r>
          </w:p>
        </w:tc>
        <w:tc>
          <w:tcPr>
            <w:tcW w:w="1560"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-158 105,79</w:t>
            </w:r>
          </w:p>
        </w:tc>
        <w:tc>
          <w:tcPr>
            <w:tcW w:w="141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-368 111,46</w:t>
            </w:r>
          </w:p>
        </w:tc>
        <w:tc>
          <w:tcPr>
            <w:tcW w:w="1220"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47"/>
        </w:trPr>
        <w:tc>
          <w:tcPr>
            <w:tcW w:w="262"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34</w:t>
            </w:r>
          </w:p>
        </w:tc>
        <w:tc>
          <w:tcPr>
            <w:tcW w:w="6041" w:type="dxa"/>
            <w:gridSpan w:val="4"/>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Náklady z vyřazených pohledávek</w:t>
            </w:r>
          </w:p>
        </w:tc>
        <w:tc>
          <w:tcPr>
            <w:tcW w:w="992"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557</w:t>
            </w:r>
          </w:p>
        </w:tc>
        <w:tc>
          <w:tcPr>
            <w:tcW w:w="1560"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144 187,74</w:t>
            </w:r>
          </w:p>
        </w:tc>
        <w:tc>
          <w:tcPr>
            <w:tcW w:w="141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147 968,02</w:t>
            </w:r>
          </w:p>
        </w:tc>
        <w:tc>
          <w:tcPr>
            <w:tcW w:w="1220"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57"/>
        </w:trPr>
        <w:tc>
          <w:tcPr>
            <w:tcW w:w="262" w:type="dxa"/>
            <w:tcBorders>
              <w:top w:val="nil"/>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nil"/>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36</w:t>
            </w:r>
          </w:p>
        </w:tc>
        <w:tc>
          <w:tcPr>
            <w:tcW w:w="6041" w:type="dxa"/>
            <w:gridSpan w:val="4"/>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Ostatní náklady z činnosti</w:t>
            </w:r>
          </w:p>
        </w:tc>
        <w:tc>
          <w:tcPr>
            <w:tcW w:w="992"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549</w:t>
            </w:r>
          </w:p>
        </w:tc>
        <w:tc>
          <w:tcPr>
            <w:tcW w:w="1560"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16 506 365,46</w:t>
            </w:r>
          </w:p>
        </w:tc>
        <w:tc>
          <w:tcPr>
            <w:tcW w:w="1417"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18 001 345,38</w:t>
            </w:r>
          </w:p>
        </w:tc>
        <w:tc>
          <w:tcPr>
            <w:tcW w:w="1220" w:type="dxa"/>
            <w:tcBorders>
              <w:top w:val="nil"/>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57"/>
        </w:trPr>
        <w:tc>
          <w:tcPr>
            <w:tcW w:w="262" w:type="dxa"/>
            <w:tcBorders>
              <w:top w:val="single" w:sz="12" w:space="0" w:color="auto"/>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II</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6041" w:type="dxa"/>
            <w:gridSpan w:val="4"/>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Finanční náklady</w:t>
            </w:r>
          </w:p>
        </w:tc>
        <w:tc>
          <w:tcPr>
            <w:tcW w:w="992"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1560"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2 341,74</w:t>
            </w:r>
          </w:p>
        </w:tc>
        <w:tc>
          <w:tcPr>
            <w:tcW w:w="1417"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0,00</w:t>
            </w:r>
          </w:p>
        </w:tc>
        <w:tc>
          <w:tcPr>
            <w:tcW w:w="195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33 655,32</w:t>
            </w:r>
          </w:p>
        </w:tc>
        <w:tc>
          <w:tcPr>
            <w:tcW w:w="1220"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r>
      <w:tr w:rsidR="00FA505D" w:rsidRPr="00FA505D" w:rsidTr="00FA505D">
        <w:trPr>
          <w:trHeight w:val="247"/>
        </w:trPr>
        <w:tc>
          <w:tcPr>
            <w:tcW w:w="262" w:type="dxa"/>
            <w:tcBorders>
              <w:top w:val="single" w:sz="12" w:space="0" w:color="auto"/>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single" w:sz="12" w:space="0" w:color="auto"/>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w:t>
            </w:r>
          </w:p>
        </w:tc>
        <w:tc>
          <w:tcPr>
            <w:tcW w:w="6041" w:type="dxa"/>
            <w:gridSpan w:val="4"/>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Kurzové ztráty</w:t>
            </w:r>
          </w:p>
        </w:tc>
        <w:tc>
          <w:tcPr>
            <w:tcW w:w="992"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563</w:t>
            </w:r>
          </w:p>
        </w:tc>
        <w:tc>
          <w:tcPr>
            <w:tcW w:w="1560"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417"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0,58</w:t>
            </w:r>
          </w:p>
        </w:tc>
        <w:tc>
          <w:tcPr>
            <w:tcW w:w="1220" w:type="dxa"/>
            <w:tcBorders>
              <w:top w:val="single" w:sz="12" w:space="0" w:color="auto"/>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47"/>
        </w:trPr>
        <w:tc>
          <w:tcPr>
            <w:tcW w:w="262"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4</w:t>
            </w:r>
          </w:p>
        </w:tc>
        <w:tc>
          <w:tcPr>
            <w:tcW w:w="6041" w:type="dxa"/>
            <w:gridSpan w:val="4"/>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Náklady z přecenění reálnou hodnotou</w:t>
            </w:r>
          </w:p>
        </w:tc>
        <w:tc>
          <w:tcPr>
            <w:tcW w:w="992"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564</w:t>
            </w:r>
          </w:p>
        </w:tc>
        <w:tc>
          <w:tcPr>
            <w:tcW w:w="1560"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16,51</w:t>
            </w:r>
          </w:p>
        </w:tc>
        <w:tc>
          <w:tcPr>
            <w:tcW w:w="141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20 028,58</w:t>
            </w:r>
          </w:p>
        </w:tc>
        <w:tc>
          <w:tcPr>
            <w:tcW w:w="1220"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57"/>
        </w:trPr>
        <w:tc>
          <w:tcPr>
            <w:tcW w:w="262" w:type="dxa"/>
            <w:tcBorders>
              <w:top w:val="nil"/>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nil"/>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w:t>
            </w:r>
          </w:p>
        </w:tc>
        <w:tc>
          <w:tcPr>
            <w:tcW w:w="6041" w:type="dxa"/>
            <w:gridSpan w:val="4"/>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Ostatní finanční náklady</w:t>
            </w:r>
          </w:p>
        </w:tc>
        <w:tc>
          <w:tcPr>
            <w:tcW w:w="992"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569</w:t>
            </w:r>
          </w:p>
        </w:tc>
        <w:tc>
          <w:tcPr>
            <w:tcW w:w="1560"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2 325,23</w:t>
            </w:r>
          </w:p>
        </w:tc>
        <w:tc>
          <w:tcPr>
            <w:tcW w:w="1417"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13 626,16</w:t>
            </w:r>
          </w:p>
        </w:tc>
        <w:tc>
          <w:tcPr>
            <w:tcW w:w="1220" w:type="dxa"/>
            <w:tcBorders>
              <w:top w:val="nil"/>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57"/>
        </w:trPr>
        <w:tc>
          <w:tcPr>
            <w:tcW w:w="262" w:type="dxa"/>
            <w:tcBorders>
              <w:top w:val="single" w:sz="12" w:space="0" w:color="auto"/>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III</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6041" w:type="dxa"/>
            <w:gridSpan w:val="4"/>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Náklady na transfery</w:t>
            </w:r>
          </w:p>
        </w:tc>
        <w:tc>
          <w:tcPr>
            <w:tcW w:w="992"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1560"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1 277 190,00</w:t>
            </w:r>
          </w:p>
        </w:tc>
        <w:tc>
          <w:tcPr>
            <w:tcW w:w="1417"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0,00</w:t>
            </w:r>
          </w:p>
        </w:tc>
        <w:tc>
          <w:tcPr>
            <w:tcW w:w="195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1 341 463,55</w:t>
            </w:r>
          </w:p>
        </w:tc>
        <w:tc>
          <w:tcPr>
            <w:tcW w:w="1220"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r>
      <w:tr w:rsidR="00FA505D" w:rsidRPr="00FA505D" w:rsidTr="00FA505D">
        <w:trPr>
          <w:trHeight w:val="257"/>
        </w:trPr>
        <w:tc>
          <w:tcPr>
            <w:tcW w:w="262" w:type="dxa"/>
            <w:tcBorders>
              <w:top w:val="single" w:sz="12" w:space="0" w:color="auto"/>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00"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w:t>
            </w:r>
          </w:p>
        </w:tc>
        <w:tc>
          <w:tcPr>
            <w:tcW w:w="6041" w:type="dxa"/>
            <w:gridSpan w:val="4"/>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Náklady vybraných ústředních vládních institucí na transfery</w:t>
            </w:r>
          </w:p>
        </w:tc>
        <w:tc>
          <w:tcPr>
            <w:tcW w:w="992"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571</w:t>
            </w:r>
          </w:p>
        </w:tc>
        <w:tc>
          <w:tcPr>
            <w:tcW w:w="1560"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1 277 190,00</w:t>
            </w:r>
          </w:p>
        </w:tc>
        <w:tc>
          <w:tcPr>
            <w:tcW w:w="1417"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0,00</w:t>
            </w:r>
          </w:p>
        </w:tc>
        <w:tc>
          <w:tcPr>
            <w:tcW w:w="195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1 341 463,55</w:t>
            </w:r>
          </w:p>
        </w:tc>
        <w:tc>
          <w:tcPr>
            <w:tcW w:w="1220"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FA505D">
        <w:trPr>
          <w:trHeight w:val="247"/>
        </w:trPr>
        <w:tc>
          <w:tcPr>
            <w:tcW w:w="1053" w:type="dxa"/>
            <w:gridSpan w:val="4"/>
            <w:tcBorders>
              <w:top w:val="single" w:sz="12" w:space="0" w:color="auto"/>
              <w:left w:val="nil"/>
              <w:bottom w:val="nil"/>
              <w:right w:val="nil"/>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p>
        </w:tc>
        <w:tc>
          <w:tcPr>
            <w:tcW w:w="364" w:type="dxa"/>
            <w:tcBorders>
              <w:top w:val="single" w:sz="12" w:space="0" w:color="auto"/>
              <w:left w:val="nil"/>
              <w:bottom w:val="nil"/>
              <w:right w:val="nil"/>
            </w:tcBorders>
            <w:shd w:val="clear" w:color="auto" w:fill="auto"/>
            <w:noWrap/>
            <w:vAlign w:val="bottom"/>
            <w:hideMark/>
          </w:tcPr>
          <w:p w:rsidR="00FA505D" w:rsidRPr="00FA505D" w:rsidRDefault="00FA505D" w:rsidP="00FA505D">
            <w:pPr>
              <w:spacing w:before="0"/>
              <w:jc w:val="left"/>
              <w:rPr>
                <w:rFonts w:ascii="Times New Roman" w:eastAsia="Times New Roman" w:hAnsi="Times New Roman" w:cs="Times New Roman"/>
                <w:sz w:val="20"/>
                <w:szCs w:val="20"/>
                <w:lang w:eastAsia="cs-CZ"/>
              </w:rPr>
            </w:pPr>
          </w:p>
        </w:tc>
        <w:tc>
          <w:tcPr>
            <w:tcW w:w="146" w:type="dxa"/>
            <w:tcBorders>
              <w:top w:val="single" w:sz="12" w:space="0" w:color="auto"/>
              <w:left w:val="nil"/>
              <w:bottom w:val="nil"/>
              <w:right w:val="nil"/>
            </w:tcBorders>
            <w:shd w:val="clear" w:color="auto" w:fill="auto"/>
            <w:noWrap/>
            <w:vAlign w:val="bottom"/>
            <w:hideMark/>
          </w:tcPr>
          <w:p w:rsidR="00FA505D" w:rsidRPr="00FA505D" w:rsidRDefault="00FA505D" w:rsidP="00FA505D">
            <w:pPr>
              <w:spacing w:before="0"/>
              <w:jc w:val="left"/>
              <w:rPr>
                <w:rFonts w:ascii="Times New Roman" w:eastAsia="Times New Roman" w:hAnsi="Times New Roman" w:cs="Times New Roman"/>
                <w:sz w:val="20"/>
                <w:szCs w:val="20"/>
                <w:lang w:eastAsia="cs-CZ"/>
              </w:rPr>
            </w:pPr>
          </w:p>
        </w:tc>
        <w:tc>
          <w:tcPr>
            <w:tcW w:w="5383" w:type="dxa"/>
            <w:tcBorders>
              <w:top w:val="single" w:sz="12" w:space="0" w:color="auto"/>
              <w:left w:val="nil"/>
              <w:bottom w:val="nil"/>
              <w:right w:val="nil"/>
            </w:tcBorders>
            <w:shd w:val="clear" w:color="auto" w:fill="auto"/>
            <w:noWrap/>
            <w:vAlign w:val="bottom"/>
            <w:hideMark/>
          </w:tcPr>
          <w:p w:rsidR="00FA505D" w:rsidRPr="00FA505D" w:rsidRDefault="00FA505D" w:rsidP="00FA505D">
            <w:pPr>
              <w:spacing w:before="0"/>
              <w:jc w:val="left"/>
              <w:rPr>
                <w:rFonts w:ascii="Times New Roman" w:eastAsia="Times New Roman" w:hAnsi="Times New Roman" w:cs="Times New Roman"/>
                <w:sz w:val="20"/>
                <w:szCs w:val="20"/>
                <w:lang w:eastAsia="cs-CZ"/>
              </w:rPr>
            </w:pPr>
          </w:p>
        </w:tc>
        <w:tc>
          <w:tcPr>
            <w:tcW w:w="992" w:type="dxa"/>
            <w:tcBorders>
              <w:top w:val="single" w:sz="12" w:space="0" w:color="auto"/>
              <w:left w:val="nil"/>
              <w:bottom w:val="nil"/>
              <w:right w:val="nil"/>
            </w:tcBorders>
            <w:shd w:val="clear" w:color="auto" w:fill="auto"/>
            <w:noWrap/>
            <w:vAlign w:val="bottom"/>
            <w:hideMark/>
          </w:tcPr>
          <w:p w:rsidR="00FA505D" w:rsidRPr="00FA505D" w:rsidRDefault="00FA505D" w:rsidP="00FA505D">
            <w:pPr>
              <w:spacing w:before="0"/>
              <w:jc w:val="left"/>
              <w:rPr>
                <w:rFonts w:ascii="Times New Roman" w:eastAsia="Times New Roman" w:hAnsi="Times New Roman" w:cs="Times New Roman"/>
                <w:sz w:val="20"/>
                <w:szCs w:val="20"/>
                <w:lang w:eastAsia="cs-CZ"/>
              </w:rPr>
            </w:pPr>
          </w:p>
        </w:tc>
        <w:tc>
          <w:tcPr>
            <w:tcW w:w="1560" w:type="dxa"/>
            <w:tcBorders>
              <w:top w:val="single" w:sz="12" w:space="0" w:color="auto"/>
              <w:left w:val="nil"/>
              <w:bottom w:val="nil"/>
              <w:right w:val="nil"/>
            </w:tcBorders>
            <w:shd w:val="clear" w:color="auto" w:fill="auto"/>
            <w:noWrap/>
            <w:vAlign w:val="bottom"/>
            <w:hideMark/>
          </w:tcPr>
          <w:p w:rsidR="00FA505D" w:rsidRPr="00FA505D" w:rsidRDefault="00FA505D" w:rsidP="00FA505D">
            <w:pPr>
              <w:spacing w:before="0"/>
              <w:jc w:val="left"/>
              <w:rPr>
                <w:rFonts w:ascii="Times New Roman" w:eastAsia="Times New Roman" w:hAnsi="Times New Roman" w:cs="Times New Roman"/>
                <w:sz w:val="20"/>
                <w:szCs w:val="20"/>
                <w:lang w:eastAsia="cs-CZ"/>
              </w:rPr>
            </w:pPr>
          </w:p>
        </w:tc>
        <w:tc>
          <w:tcPr>
            <w:tcW w:w="1417" w:type="dxa"/>
            <w:tcBorders>
              <w:top w:val="single" w:sz="12" w:space="0" w:color="auto"/>
              <w:left w:val="nil"/>
              <w:bottom w:val="nil"/>
              <w:right w:val="nil"/>
            </w:tcBorders>
            <w:shd w:val="clear" w:color="auto" w:fill="auto"/>
            <w:noWrap/>
            <w:vAlign w:val="bottom"/>
            <w:hideMark/>
          </w:tcPr>
          <w:p w:rsidR="00FA505D" w:rsidRPr="00FA505D" w:rsidRDefault="00FA505D" w:rsidP="00FA505D">
            <w:pPr>
              <w:spacing w:before="0"/>
              <w:jc w:val="left"/>
              <w:rPr>
                <w:rFonts w:ascii="Times New Roman" w:eastAsia="Times New Roman" w:hAnsi="Times New Roman" w:cs="Times New Roman"/>
                <w:sz w:val="20"/>
                <w:szCs w:val="20"/>
                <w:lang w:eastAsia="cs-CZ"/>
              </w:rPr>
            </w:pPr>
          </w:p>
        </w:tc>
        <w:tc>
          <w:tcPr>
            <w:tcW w:w="1956" w:type="dxa"/>
            <w:tcBorders>
              <w:top w:val="single" w:sz="12" w:space="0" w:color="auto"/>
              <w:left w:val="nil"/>
              <w:bottom w:val="nil"/>
              <w:right w:val="nil"/>
            </w:tcBorders>
            <w:shd w:val="clear" w:color="auto" w:fill="auto"/>
            <w:noWrap/>
            <w:vAlign w:val="bottom"/>
            <w:hideMark/>
          </w:tcPr>
          <w:p w:rsidR="00FA505D" w:rsidRPr="00FA505D" w:rsidRDefault="00FA505D" w:rsidP="00FA505D">
            <w:pPr>
              <w:spacing w:before="0"/>
              <w:jc w:val="left"/>
              <w:rPr>
                <w:rFonts w:ascii="Times New Roman" w:eastAsia="Times New Roman" w:hAnsi="Times New Roman" w:cs="Times New Roman"/>
                <w:sz w:val="20"/>
                <w:szCs w:val="20"/>
                <w:lang w:eastAsia="cs-CZ"/>
              </w:rPr>
            </w:pPr>
          </w:p>
        </w:tc>
        <w:tc>
          <w:tcPr>
            <w:tcW w:w="1220" w:type="dxa"/>
            <w:tcBorders>
              <w:top w:val="single" w:sz="12" w:space="0" w:color="auto"/>
              <w:left w:val="nil"/>
              <w:bottom w:val="nil"/>
              <w:right w:val="nil"/>
            </w:tcBorders>
            <w:shd w:val="clear" w:color="auto" w:fill="auto"/>
            <w:noWrap/>
            <w:vAlign w:val="bottom"/>
            <w:hideMark/>
          </w:tcPr>
          <w:p w:rsidR="00FA505D" w:rsidRPr="00FA505D" w:rsidRDefault="00FA505D" w:rsidP="00FA505D">
            <w:pPr>
              <w:spacing w:before="0"/>
              <w:jc w:val="left"/>
              <w:rPr>
                <w:rFonts w:ascii="Times New Roman" w:eastAsia="Times New Roman" w:hAnsi="Times New Roman" w:cs="Times New Roman"/>
                <w:sz w:val="20"/>
                <w:szCs w:val="20"/>
                <w:lang w:eastAsia="cs-CZ"/>
              </w:rPr>
            </w:pPr>
          </w:p>
        </w:tc>
      </w:tr>
    </w:tbl>
    <w:p w:rsidR="00FA505D" w:rsidRDefault="00FA505D" w:rsidP="00FA505D"/>
    <w:p w:rsidR="00FA505D" w:rsidRDefault="00FA505D" w:rsidP="00FA505D"/>
    <w:p w:rsidR="00FA505D" w:rsidRDefault="00FA505D" w:rsidP="00FA505D"/>
    <w:p w:rsidR="00FA505D" w:rsidRPr="00FA505D" w:rsidRDefault="00FA505D" w:rsidP="00FA505D"/>
    <w:p w:rsidR="00BD1E4E" w:rsidRDefault="00BD1E4E" w:rsidP="00BD1E4E">
      <w:pPr>
        <w:rPr>
          <w:b/>
        </w:rPr>
      </w:pPr>
    </w:p>
    <w:p w:rsidR="00BD1E4E" w:rsidRPr="006F2953" w:rsidRDefault="00BD1E4E" w:rsidP="00BD1E4E">
      <w:pPr>
        <w:rPr>
          <w:b/>
        </w:rPr>
      </w:pPr>
    </w:p>
    <w:p w:rsidR="00BD1E4E" w:rsidRDefault="00BD1E4E" w:rsidP="00BD1E4E">
      <w:pPr>
        <w:rPr>
          <w:b/>
        </w:rPr>
      </w:pPr>
    </w:p>
    <w:p w:rsidR="00BD1E4E" w:rsidRDefault="00BD1E4E" w:rsidP="00BD1E4E">
      <w:pPr>
        <w:rPr>
          <w:b/>
        </w:rPr>
      </w:pPr>
    </w:p>
    <w:p w:rsidR="00BD1E4E" w:rsidRDefault="00BD1E4E" w:rsidP="00BD1E4E">
      <w:pPr>
        <w:rPr>
          <w:b/>
        </w:rPr>
      </w:pPr>
    </w:p>
    <w:tbl>
      <w:tblPr>
        <w:tblW w:w="14175" w:type="dxa"/>
        <w:tblInd w:w="-10" w:type="dxa"/>
        <w:tblCellMar>
          <w:left w:w="70" w:type="dxa"/>
          <w:right w:w="70" w:type="dxa"/>
        </w:tblCellMar>
        <w:tblLook w:val="04A0" w:firstRow="1" w:lastRow="0" w:firstColumn="1" w:lastColumn="0" w:noHBand="0" w:noVBand="1"/>
      </w:tblPr>
      <w:tblGrid>
        <w:gridCol w:w="284"/>
        <w:gridCol w:w="312"/>
        <w:gridCol w:w="343"/>
        <w:gridCol w:w="6007"/>
        <w:gridCol w:w="1134"/>
        <w:gridCol w:w="1559"/>
        <w:gridCol w:w="1276"/>
        <w:gridCol w:w="1701"/>
        <w:gridCol w:w="1559"/>
      </w:tblGrid>
      <w:tr w:rsidR="00FA505D" w:rsidRPr="00FA505D" w:rsidTr="00A1110E">
        <w:trPr>
          <w:trHeight w:val="252"/>
        </w:trPr>
        <w:tc>
          <w:tcPr>
            <w:tcW w:w="939" w:type="dxa"/>
            <w:gridSpan w:val="3"/>
            <w:vMerge w:val="restart"/>
            <w:tcBorders>
              <w:top w:val="single" w:sz="12" w:space="0" w:color="auto"/>
              <w:left w:val="single" w:sz="12" w:space="0" w:color="auto"/>
              <w:bottom w:val="single" w:sz="4" w:space="0" w:color="auto"/>
              <w:right w:val="single" w:sz="8" w:space="0" w:color="000000"/>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Číslo položky</w:t>
            </w:r>
          </w:p>
        </w:tc>
        <w:tc>
          <w:tcPr>
            <w:tcW w:w="6007" w:type="dxa"/>
            <w:vMerge w:val="restart"/>
            <w:tcBorders>
              <w:top w:val="single" w:sz="12" w:space="0" w:color="auto"/>
              <w:left w:val="single" w:sz="8" w:space="0" w:color="auto"/>
              <w:bottom w:val="single" w:sz="4" w:space="0" w:color="auto"/>
              <w:right w:val="single" w:sz="8"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Název položky</w:t>
            </w:r>
          </w:p>
        </w:tc>
        <w:tc>
          <w:tcPr>
            <w:tcW w:w="1134" w:type="dxa"/>
            <w:vMerge w:val="restart"/>
            <w:tcBorders>
              <w:top w:val="single" w:sz="12" w:space="0" w:color="auto"/>
              <w:left w:val="single" w:sz="8" w:space="0" w:color="auto"/>
              <w:bottom w:val="single" w:sz="4" w:space="0" w:color="auto"/>
              <w:right w:val="single" w:sz="8"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Číslo účtu</w:t>
            </w:r>
          </w:p>
        </w:tc>
        <w:tc>
          <w:tcPr>
            <w:tcW w:w="2835" w:type="dxa"/>
            <w:gridSpan w:val="2"/>
            <w:tcBorders>
              <w:top w:val="single" w:sz="12" w:space="0" w:color="auto"/>
              <w:left w:val="nil"/>
              <w:bottom w:val="single" w:sz="4" w:space="0" w:color="auto"/>
              <w:right w:val="single" w:sz="8"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Běžné období</w:t>
            </w:r>
          </w:p>
        </w:tc>
        <w:tc>
          <w:tcPr>
            <w:tcW w:w="3260" w:type="dxa"/>
            <w:gridSpan w:val="2"/>
            <w:tcBorders>
              <w:top w:val="single" w:sz="12" w:space="0" w:color="auto"/>
              <w:left w:val="nil"/>
              <w:bottom w:val="single" w:sz="4" w:space="0" w:color="auto"/>
              <w:right w:val="single" w:sz="12"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Minulé období</w:t>
            </w:r>
          </w:p>
        </w:tc>
      </w:tr>
      <w:tr w:rsidR="00FA505D" w:rsidRPr="00FA505D" w:rsidTr="00A1110E">
        <w:trPr>
          <w:trHeight w:val="515"/>
        </w:trPr>
        <w:tc>
          <w:tcPr>
            <w:tcW w:w="939" w:type="dxa"/>
            <w:gridSpan w:val="3"/>
            <w:vMerge/>
            <w:tcBorders>
              <w:top w:val="single" w:sz="8" w:space="0" w:color="auto"/>
              <w:left w:val="single" w:sz="12" w:space="0" w:color="auto"/>
              <w:bottom w:val="single" w:sz="12" w:space="0" w:color="auto"/>
              <w:right w:val="single" w:sz="8" w:space="0" w:color="000000"/>
            </w:tcBorders>
            <w:vAlign w:val="center"/>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p>
        </w:tc>
        <w:tc>
          <w:tcPr>
            <w:tcW w:w="6007" w:type="dxa"/>
            <w:vMerge/>
            <w:tcBorders>
              <w:top w:val="single" w:sz="8" w:space="0" w:color="auto"/>
              <w:left w:val="single" w:sz="8" w:space="0" w:color="auto"/>
              <w:bottom w:val="single" w:sz="12" w:space="0" w:color="auto"/>
              <w:right w:val="single" w:sz="8" w:space="0" w:color="auto"/>
            </w:tcBorders>
            <w:vAlign w:val="center"/>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p>
        </w:tc>
        <w:tc>
          <w:tcPr>
            <w:tcW w:w="1134" w:type="dxa"/>
            <w:vMerge/>
            <w:tcBorders>
              <w:top w:val="single" w:sz="8" w:space="0" w:color="auto"/>
              <w:left w:val="single" w:sz="8" w:space="0" w:color="auto"/>
              <w:bottom w:val="single" w:sz="12" w:space="0" w:color="auto"/>
              <w:right w:val="single" w:sz="8" w:space="0" w:color="auto"/>
            </w:tcBorders>
            <w:vAlign w:val="center"/>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p>
        </w:tc>
        <w:tc>
          <w:tcPr>
            <w:tcW w:w="1559" w:type="dxa"/>
            <w:tcBorders>
              <w:top w:val="nil"/>
              <w:left w:val="nil"/>
              <w:bottom w:val="single" w:sz="12" w:space="0" w:color="auto"/>
              <w:right w:val="single" w:sz="8"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Hlavní činnost</w:t>
            </w:r>
          </w:p>
        </w:tc>
        <w:tc>
          <w:tcPr>
            <w:tcW w:w="1276" w:type="dxa"/>
            <w:tcBorders>
              <w:top w:val="nil"/>
              <w:left w:val="nil"/>
              <w:bottom w:val="single" w:sz="12" w:space="0" w:color="auto"/>
              <w:right w:val="single" w:sz="8"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Hospodářská činnost</w:t>
            </w:r>
          </w:p>
        </w:tc>
        <w:tc>
          <w:tcPr>
            <w:tcW w:w="1701" w:type="dxa"/>
            <w:tcBorders>
              <w:top w:val="nil"/>
              <w:left w:val="nil"/>
              <w:bottom w:val="single" w:sz="12" w:space="0" w:color="auto"/>
              <w:right w:val="single" w:sz="8"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Hlavní činnost</w:t>
            </w:r>
          </w:p>
        </w:tc>
        <w:tc>
          <w:tcPr>
            <w:tcW w:w="1559" w:type="dxa"/>
            <w:tcBorders>
              <w:top w:val="nil"/>
              <w:left w:val="nil"/>
              <w:bottom w:val="single" w:sz="12" w:space="0" w:color="auto"/>
              <w:right w:val="single" w:sz="12" w:space="0" w:color="auto"/>
            </w:tcBorders>
            <w:shd w:val="clear" w:color="auto" w:fill="auto"/>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Hospodářská činnost</w:t>
            </w:r>
          </w:p>
        </w:tc>
      </w:tr>
      <w:tr w:rsidR="00FA505D" w:rsidRPr="00FA505D" w:rsidTr="00A1110E">
        <w:trPr>
          <w:trHeight w:val="262"/>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B</w:t>
            </w:r>
          </w:p>
        </w:tc>
        <w:tc>
          <w:tcPr>
            <w:tcW w:w="312"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6007"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VÝNOSY CELKEM</w:t>
            </w:r>
          </w:p>
        </w:tc>
        <w:tc>
          <w:tcPr>
            <w:tcW w:w="1134"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1559"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17 040 744</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c>
          <w:tcPr>
            <w:tcW w:w="1701"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9 621 085</w:t>
            </w:r>
          </w:p>
        </w:tc>
        <w:tc>
          <w:tcPr>
            <w:tcW w:w="1559"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r>
      <w:tr w:rsidR="00FA505D" w:rsidRPr="00FA505D" w:rsidTr="00A1110E">
        <w:trPr>
          <w:trHeight w:val="262"/>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312"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I</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6007"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Výnosy z činnosti</w:t>
            </w:r>
          </w:p>
        </w:tc>
        <w:tc>
          <w:tcPr>
            <w:tcW w:w="1134"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1559"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2 029 475</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c>
          <w:tcPr>
            <w:tcW w:w="1701"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562 599</w:t>
            </w:r>
          </w:p>
        </w:tc>
        <w:tc>
          <w:tcPr>
            <w:tcW w:w="1559"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r>
      <w:tr w:rsidR="00FA505D" w:rsidRPr="00FA505D" w:rsidTr="00A1110E">
        <w:trPr>
          <w:trHeight w:val="252"/>
        </w:trPr>
        <w:tc>
          <w:tcPr>
            <w:tcW w:w="284" w:type="dxa"/>
            <w:tcBorders>
              <w:top w:val="single" w:sz="12" w:space="0" w:color="auto"/>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w:t>
            </w:r>
          </w:p>
        </w:tc>
        <w:tc>
          <w:tcPr>
            <w:tcW w:w="6007"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Výnosy z prodeje vlastních výrobků</w:t>
            </w:r>
          </w:p>
        </w:tc>
        <w:tc>
          <w:tcPr>
            <w:tcW w:w="1134"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601</w:t>
            </w:r>
          </w:p>
        </w:tc>
        <w:tc>
          <w:tcPr>
            <w:tcW w:w="1559"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28</w:t>
            </w:r>
          </w:p>
        </w:tc>
        <w:tc>
          <w:tcPr>
            <w:tcW w:w="1276"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22</w:t>
            </w:r>
          </w:p>
        </w:tc>
        <w:tc>
          <w:tcPr>
            <w:tcW w:w="1559" w:type="dxa"/>
            <w:tcBorders>
              <w:top w:val="single" w:sz="12" w:space="0" w:color="auto"/>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52"/>
        </w:trPr>
        <w:tc>
          <w:tcPr>
            <w:tcW w:w="284"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w:t>
            </w:r>
          </w:p>
        </w:tc>
        <w:tc>
          <w:tcPr>
            <w:tcW w:w="600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Výnosy z pronájmu</w:t>
            </w:r>
          </w:p>
        </w:tc>
        <w:tc>
          <w:tcPr>
            <w:tcW w:w="1134"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603</w:t>
            </w:r>
          </w:p>
        </w:tc>
        <w:tc>
          <w:tcPr>
            <w:tcW w:w="1559"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28</w:t>
            </w:r>
          </w:p>
        </w:tc>
        <w:tc>
          <w:tcPr>
            <w:tcW w:w="127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64</w:t>
            </w:r>
          </w:p>
        </w:tc>
        <w:tc>
          <w:tcPr>
            <w:tcW w:w="1559"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52"/>
        </w:trPr>
        <w:tc>
          <w:tcPr>
            <w:tcW w:w="284"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9</w:t>
            </w:r>
          </w:p>
        </w:tc>
        <w:tc>
          <w:tcPr>
            <w:tcW w:w="600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Smluvní pokuty a úroky z prodlení</w:t>
            </w:r>
          </w:p>
        </w:tc>
        <w:tc>
          <w:tcPr>
            <w:tcW w:w="1134"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641</w:t>
            </w:r>
          </w:p>
        </w:tc>
        <w:tc>
          <w:tcPr>
            <w:tcW w:w="1559"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13 860</w:t>
            </w:r>
          </w:p>
        </w:tc>
        <w:tc>
          <w:tcPr>
            <w:tcW w:w="127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62 375</w:t>
            </w:r>
          </w:p>
        </w:tc>
        <w:tc>
          <w:tcPr>
            <w:tcW w:w="1559"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52"/>
        </w:trPr>
        <w:tc>
          <w:tcPr>
            <w:tcW w:w="284"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12</w:t>
            </w:r>
          </w:p>
        </w:tc>
        <w:tc>
          <w:tcPr>
            <w:tcW w:w="600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Výnosy z prodeje materiálu</w:t>
            </w:r>
          </w:p>
        </w:tc>
        <w:tc>
          <w:tcPr>
            <w:tcW w:w="1134"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644</w:t>
            </w:r>
          </w:p>
        </w:tc>
        <w:tc>
          <w:tcPr>
            <w:tcW w:w="1559"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27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559"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52"/>
        </w:trPr>
        <w:tc>
          <w:tcPr>
            <w:tcW w:w="284"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14</w:t>
            </w:r>
          </w:p>
        </w:tc>
        <w:tc>
          <w:tcPr>
            <w:tcW w:w="600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Výnosy z prodeje dlouhodobého hmotného majetku kromě pozemků</w:t>
            </w:r>
          </w:p>
        </w:tc>
        <w:tc>
          <w:tcPr>
            <w:tcW w:w="1134"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646</w:t>
            </w:r>
          </w:p>
        </w:tc>
        <w:tc>
          <w:tcPr>
            <w:tcW w:w="1559"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26 493</w:t>
            </w:r>
          </w:p>
        </w:tc>
        <w:tc>
          <w:tcPr>
            <w:tcW w:w="127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42 882</w:t>
            </w:r>
          </w:p>
        </w:tc>
        <w:tc>
          <w:tcPr>
            <w:tcW w:w="1559"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52"/>
        </w:trPr>
        <w:tc>
          <w:tcPr>
            <w:tcW w:w="284"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15</w:t>
            </w:r>
          </w:p>
        </w:tc>
        <w:tc>
          <w:tcPr>
            <w:tcW w:w="600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Výnosy z prodeje pozemků</w:t>
            </w:r>
          </w:p>
        </w:tc>
        <w:tc>
          <w:tcPr>
            <w:tcW w:w="1134"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647</w:t>
            </w:r>
          </w:p>
        </w:tc>
        <w:tc>
          <w:tcPr>
            <w:tcW w:w="1559"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1 660 316</w:t>
            </w:r>
          </w:p>
        </w:tc>
        <w:tc>
          <w:tcPr>
            <w:tcW w:w="127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62 804</w:t>
            </w:r>
          </w:p>
        </w:tc>
        <w:tc>
          <w:tcPr>
            <w:tcW w:w="1559"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62"/>
        </w:trPr>
        <w:tc>
          <w:tcPr>
            <w:tcW w:w="284" w:type="dxa"/>
            <w:tcBorders>
              <w:top w:val="nil"/>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nil"/>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17</w:t>
            </w:r>
          </w:p>
        </w:tc>
        <w:tc>
          <w:tcPr>
            <w:tcW w:w="6007"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Ostatní výnosy z činnosti</w:t>
            </w:r>
          </w:p>
        </w:tc>
        <w:tc>
          <w:tcPr>
            <w:tcW w:w="1134"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649</w:t>
            </w:r>
          </w:p>
        </w:tc>
        <w:tc>
          <w:tcPr>
            <w:tcW w:w="1559"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328 750</w:t>
            </w:r>
          </w:p>
        </w:tc>
        <w:tc>
          <w:tcPr>
            <w:tcW w:w="1276"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394 453</w:t>
            </w:r>
          </w:p>
        </w:tc>
        <w:tc>
          <w:tcPr>
            <w:tcW w:w="1559" w:type="dxa"/>
            <w:tcBorders>
              <w:top w:val="nil"/>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62"/>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312"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II</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6007"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Finanční výnosy</w:t>
            </w:r>
          </w:p>
        </w:tc>
        <w:tc>
          <w:tcPr>
            <w:tcW w:w="1134"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1559"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14 900 571</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c>
          <w:tcPr>
            <w:tcW w:w="1701"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8 920 193</w:t>
            </w:r>
          </w:p>
        </w:tc>
        <w:tc>
          <w:tcPr>
            <w:tcW w:w="1559"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r>
      <w:tr w:rsidR="00FA505D" w:rsidRPr="00FA505D" w:rsidTr="00A1110E">
        <w:trPr>
          <w:trHeight w:val="252"/>
        </w:trPr>
        <w:tc>
          <w:tcPr>
            <w:tcW w:w="284" w:type="dxa"/>
            <w:tcBorders>
              <w:top w:val="single" w:sz="12" w:space="0" w:color="auto"/>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w:t>
            </w:r>
          </w:p>
        </w:tc>
        <w:tc>
          <w:tcPr>
            <w:tcW w:w="6007"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Kurzové zisky</w:t>
            </w:r>
          </w:p>
        </w:tc>
        <w:tc>
          <w:tcPr>
            <w:tcW w:w="1134"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663</w:t>
            </w:r>
          </w:p>
        </w:tc>
        <w:tc>
          <w:tcPr>
            <w:tcW w:w="1559"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276"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559" w:type="dxa"/>
            <w:tcBorders>
              <w:top w:val="single" w:sz="12" w:space="0" w:color="auto"/>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52"/>
        </w:trPr>
        <w:tc>
          <w:tcPr>
            <w:tcW w:w="284"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4</w:t>
            </w:r>
          </w:p>
        </w:tc>
        <w:tc>
          <w:tcPr>
            <w:tcW w:w="600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Výnosy z přecenění reálnou hodnotou</w:t>
            </w:r>
          </w:p>
        </w:tc>
        <w:tc>
          <w:tcPr>
            <w:tcW w:w="1134"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664</w:t>
            </w:r>
          </w:p>
        </w:tc>
        <w:tc>
          <w:tcPr>
            <w:tcW w:w="1559"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6 222</w:t>
            </w:r>
          </w:p>
        </w:tc>
        <w:tc>
          <w:tcPr>
            <w:tcW w:w="127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61 332</w:t>
            </w:r>
          </w:p>
        </w:tc>
        <w:tc>
          <w:tcPr>
            <w:tcW w:w="1559"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52"/>
        </w:trPr>
        <w:tc>
          <w:tcPr>
            <w:tcW w:w="284" w:type="dxa"/>
            <w:tcBorders>
              <w:top w:val="nil"/>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nil"/>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5</w:t>
            </w:r>
          </w:p>
        </w:tc>
        <w:tc>
          <w:tcPr>
            <w:tcW w:w="6007"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Výnosy z dlouhodobého finančního majetku</w:t>
            </w:r>
          </w:p>
        </w:tc>
        <w:tc>
          <w:tcPr>
            <w:tcW w:w="1134"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665</w:t>
            </w:r>
          </w:p>
        </w:tc>
        <w:tc>
          <w:tcPr>
            <w:tcW w:w="1559"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14 894 265</w:t>
            </w:r>
          </w:p>
        </w:tc>
        <w:tc>
          <w:tcPr>
            <w:tcW w:w="1276"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nil"/>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8 858 502</w:t>
            </w:r>
          </w:p>
        </w:tc>
        <w:tc>
          <w:tcPr>
            <w:tcW w:w="1559" w:type="dxa"/>
            <w:tcBorders>
              <w:top w:val="nil"/>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62"/>
        </w:trPr>
        <w:tc>
          <w:tcPr>
            <w:tcW w:w="284" w:type="dxa"/>
            <w:tcBorders>
              <w:top w:val="nil"/>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nil"/>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w:t>
            </w:r>
          </w:p>
        </w:tc>
        <w:tc>
          <w:tcPr>
            <w:tcW w:w="6007"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Ostatní finanční výnosy</w:t>
            </w:r>
          </w:p>
        </w:tc>
        <w:tc>
          <w:tcPr>
            <w:tcW w:w="1134"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669</w:t>
            </w:r>
          </w:p>
        </w:tc>
        <w:tc>
          <w:tcPr>
            <w:tcW w:w="1559"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84</w:t>
            </w:r>
          </w:p>
        </w:tc>
        <w:tc>
          <w:tcPr>
            <w:tcW w:w="1276"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nil"/>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359</w:t>
            </w:r>
          </w:p>
        </w:tc>
        <w:tc>
          <w:tcPr>
            <w:tcW w:w="1559" w:type="dxa"/>
            <w:tcBorders>
              <w:top w:val="nil"/>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62"/>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IV</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6007"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Výnosy z transferů</w:t>
            </w:r>
          </w:p>
        </w:tc>
        <w:tc>
          <w:tcPr>
            <w:tcW w:w="1134"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 </w:t>
            </w:r>
          </w:p>
        </w:tc>
        <w:tc>
          <w:tcPr>
            <w:tcW w:w="1559"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110 697</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c>
          <w:tcPr>
            <w:tcW w:w="1701"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138 293</w:t>
            </w:r>
          </w:p>
        </w:tc>
        <w:tc>
          <w:tcPr>
            <w:tcW w:w="1559"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r>
      <w:tr w:rsidR="00FA505D" w:rsidRPr="00FA505D" w:rsidTr="00A1110E">
        <w:trPr>
          <w:trHeight w:val="262"/>
        </w:trPr>
        <w:tc>
          <w:tcPr>
            <w:tcW w:w="284" w:type="dxa"/>
            <w:tcBorders>
              <w:top w:val="single" w:sz="12" w:space="0" w:color="auto"/>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w:t>
            </w:r>
          </w:p>
        </w:tc>
        <w:tc>
          <w:tcPr>
            <w:tcW w:w="6007"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Výnosy vybraných ústředních vládních institucí z transferů</w:t>
            </w:r>
          </w:p>
        </w:tc>
        <w:tc>
          <w:tcPr>
            <w:tcW w:w="1134"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671</w:t>
            </w:r>
          </w:p>
        </w:tc>
        <w:tc>
          <w:tcPr>
            <w:tcW w:w="1559"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110 697</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138 293</w:t>
            </w:r>
          </w:p>
        </w:tc>
        <w:tc>
          <w:tcPr>
            <w:tcW w:w="1559"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62"/>
        </w:trPr>
        <w:tc>
          <w:tcPr>
            <w:tcW w:w="284" w:type="dxa"/>
            <w:tcBorders>
              <w:top w:val="single" w:sz="12" w:space="0" w:color="auto"/>
              <w:left w:val="single" w:sz="12" w:space="0" w:color="auto"/>
              <w:bottom w:val="single" w:sz="12" w:space="0" w:color="auto"/>
              <w:right w:val="nil"/>
            </w:tcBorders>
            <w:shd w:val="clear" w:color="auto" w:fill="auto"/>
            <w:noWrap/>
            <w:vAlign w:val="center"/>
            <w:hideMark/>
          </w:tcPr>
          <w:p w:rsidR="00FA505D" w:rsidRPr="00FA505D" w:rsidRDefault="00FA505D" w:rsidP="00FA505D">
            <w:pPr>
              <w:spacing w:before="0"/>
              <w:jc w:val="center"/>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C</w:t>
            </w:r>
          </w:p>
        </w:tc>
        <w:tc>
          <w:tcPr>
            <w:tcW w:w="312"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single" w:sz="12"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6007" w:type="dxa"/>
            <w:tcBorders>
              <w:top w:val="single" w:sz="12" w:space="0" w:color="auto"/>
              <w:left w:val="single" w:sz="4" w:space="0" w:color="auto"/>
              <w:bottom w:val="single" w:sz="12" w:space="0" w:color="auto"/>
              <w:right w:val="nil"/>
            </w:tcBorders>
            <w:shd w:val="clear" w:color="auto" w:fill="auto"/>
            <w:noWrap/>
            <w:vAlign w:val="center"/>
            <w:hideMark/>
          </w:tcPr>
          <w:p w:rsidR="00FA505D" w:rsidRPr="00FA505D" w:rsidRDefault="00FA505D" w:rsidP="00FA505D">
            <w:pPr>
              <w:spacing w:before="0"/>
              <w:jc w:val="lef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VÝSLEDEK HOSPODAŘENÍ</w:t>
            </w:r>
          </w:p>
        </w:tc>
        <w:tc>
          <w:tcPr>
            <w:tcW w:w="1134" w:type="dxa"/>
            <w:tcBorders>
              <w:top w:val="single" w:sz="12" w:space="0" w:color="auto"/>
              <w:left w:val="single" w:sz="4" w:space="0" w:color="000000"/>
              <w:bottom w:val="single" w:sz="12" w:space="0" w:color="auto"/>
              <w:right w:val="single" w:sz="4" w:space="0" w:color="000000"/>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1559"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651 185</w:t>
            </w:r>
          </w:p>
        </w:tc>
        <w:tc>
          <w:tcPr>
            <w:tcW w:w="1276"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c>
          <w:tcPr>
            <w:tcW w:w="1701" w:type="dxa"/>
            <w:tcBorders>
              <w:top w:val="single" w:sz="12"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-7 476 882</w:t>
            </w:r>
          </w:p>
        </w:tc>
        <w:tc>
          <w:tcPr>
            <w:tcW w:w="1559" w:type="dxa"/>
            <w:tcBorders>
              <w:top w:val="single" w:sz="12"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b/>
                <w:bCs/>
                <w:color w:val="000000"/>
                <w:sz w:val="20"/>
                <w:szCs w:val="20"/>
                <w:lang w:eastAsia="cs-CZ"/>
              </w:rPr>
            </w:pPr>
            <w:r w:rsidRPr="00FA505D">
              <w:rPr>
                <w:rFonts w:ascii="Calibri" w:eastAsia="Times New Roman" w:hAnsi="Calibri" w:cs="Times New Roman"/>
                <w:b/>
                <w:bCs/>
                <w:color w:val="000000"/>
                <w:sz w:val="20"/>
                <w:szCs w:val="20"/>
                <w:lang w:eastAsia="cs-CZ"/>
              </w:rPr>
              <w:t>0</w:t>
            </w:r>
          </w:p>
        </w:tc>
      </w:tr>
      <w:tr w:rsidR="00FA505D" w:rsidRPr="00FA505D" w:rsidTr="00A1110E">
        <w:trPr>
          <w:trHeight w:val="252"/>
        </w:trPr>
        <w:tc>
          <w:tcPr>
            <w:tcW w:w="284" w:type="dxa"/>
            <w:tcBorders>
              <w:top w:val="single" w:sz="12" w:space="0" w:color="auto"/>
              <w:left w:val="single" w:sz="12" w:space="0" w:color="auto"/>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single" w:sz="12" w:space="0" w:color="auto"/>
              <w:left w:val="nil"/>
              <w:bottom w:val="single" w:sz="4"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1</w:t>
            </w:r>
          </w:p>
        </w:tc>
        <w:tc>
          <w:tcPr>
            <w:tcW w:w="6007"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Výsledek hospodaření před zdaněním</w:t>
            </w:r>
          </w:p>
        </w:tc>
        <w:tc>
          <w:tcPr>
            <w:tcW w:w="1134"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1559"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651 185</w:t>
            </w:r>
          </w:p>
        </w:tc>
        <w:tc>
          <w:tcPr>
            <w:tcW w:w="1276"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single" w:sz="12" w:space="0" w:color="auto"/>
              <w:left w:val="nil"/>
              <w:bottom w:val="single" w:sz="4"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-7 476 882</w:t>
            </w:r>
          </w:p>
        </w:tc>
        <w:tc>
          <w:tcPr>
            <w:tcW w:w="1559" w:type="dxa"/>
            <w:tcBorders>
              <w:top w:val="single" w:sz="12" w:space="0" w:color="auto"/>
              <w:left w:val="nil"/>
              <w:bottom w:val="single" w:sz="4"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r w:rsidR="00FA505D" w:rsidRPr="00FA505D" w:rsidTr="00A1110E">
        <w:trPr>
          <w:trHeight w:val="262"/>
        </w:trPr>
        <w:tc>
          <w:tcPr>
            <w:tcW w:w="284" w:type="dxa"/>
            <w:tcBorders>
              <w:top w:val="nil"/>
              <w:left w:val="single" w:sz="12" w:space="0" w:color="auto"/>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12" w:type="dxa"/>
            <w:tcBorders>
              <w:top w:val="single" w:sz="4" w:space="0" w:color="auto"/>
              <w:left w:val="nil"/>
              <w:bottom w:val="single" w:sz="12" w:space="0" w:color="auto"/>
              <w:right w:val="nil"/>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343" w:type="dxa"/>
            <w:tcBorders>
              <w:top w:val="single" w:sz="4"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2</w:t>
            </w:r>
          </w:p>
        </w:tc>
        <w:tc>
          <w:tcPr>
            <w:tcW w:w="6007" w:type="dxa"/>
            <w:tcBorders>
              <w:top w:val="single" w:sz="4"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Výsledek hospodaření běžného účetního období</w:t>
            </w:r>
          </w:p>
        </w:tc>
        <w:tc>
          <w:tcPr>
            <w:tcW w:w="1134" w:type="dxa"/>
            <w:tcBorders>
              <w:top w:val="single" w:sz="4"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lef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 </w:t>
            </w:r>
          </w:p>
        </w:tc>
        <w:tc>
          <w:tcPr>
            <w:tcW w:w="1559" w:type="dxa"/>
            <w:tcBorders>
              <w:top w:val="single" w:sz="4"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651 185</w:t>
            </w:r>
          </w:p>
        </w:tc>
        <w:tc>
          <w:tcPr>
            <w:tcW w:w="1276" w:type="dxa"/>
            <w:tcBorders>
              <w:top w:val="single" w:sz="4"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c>
          <w:tcPr>
            <w:tcW w:w="1701" w:type="dxa"/>
            <w:tcBorders>
              <w:top w:val="single" w:sz="4" w:space="0" w:color="auto"/>
              <w:left w:val="nil"/>
              <w:bottom w:val="single" w:sz="12" w:space="0" w:color="auto"/>
              <w:right w:val="single" w:sz="4"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-7 476 882</w:t>
            </w:r>
          </w:p>
        </w:tc>
        <w:tc>
          <w:tcPr>
            <w:tcW w:w="1559" w:type="dxa"/>
            <w:tcBorders>
              <w:top w:val="single" w:sz="4" w:space="0" w:color="auto"/>
              <w:left w:val="nil"/>
              <w:bottom w:val="single" w:sz="12" w:space="0" w:color="auto"/>
              <w:right w:val="single" w:sz="12" w:space="0" w:color="auto"/>
            </w:tcBorders>
            <w:shd w:val="clear" w:color="auto" w:fill="auto"/>
            <w:noWrap/>
            <w:vAlign w:val="bottom"/>
            <w:hideMark/>
          </w:tcPr>
          <w:p w:rsidR="00FA505D" w:rsidRPr="00FA505D" w:rsidRDefault="00FA505D" w:rsidP="00FA505D">
            <w:pPr>
              <w:spacing w:before="0"/>
              <w:jc w:val="right"/>
              <w:rPr>
                <w:rFonts w:ascii="Calibri" w:eastAsia="Times New Roman" w:hAnsi="Calibri" w:cs="Times New Roman"/>
                <w:color w:val="000000"/>
                <w:sz w:val="20"/>
                <w:szCs w:val="20"/>
                <w:lang w:eastAsia="cs-CZ"/>
              </w:rPr>
            </w:pPr>
            <w:r w:rsidRPr="00FA505D">
              <w:rPr>
                <w:rFonts w:ascii="Calibri" w:eastAsia="Times New Roman" w:hAnsi="Calibri" w:cs="Times New Roman"/>
                <w:color w:val="000000"/>
                <w:sz w:val="20"/>
                <w:szCs w:val="20"/>
                <w:lang w:eastAsia="cs-CZ"/>
              </w:rPr>
              <w:t>0</w:t>
            </w:r>
          </w:p>
        </w:tc>
      </w:tr>
    </w:tbl>
    <w:p w:rsidR="00BD1E4E" w:rsidRDefault="00BD1E4E" w:rsidP="00BD1E4E">
      <w:pPr>
        <w:rPr>
          <w:b/>
        </w:rPr>
      </w:pPr>
    </w:p>
    <w:p w:rsidR="00BD1E4E" w:rsidRDefault="00BD1E4E" w:rsidP="00BD1E4E">
      <w:pPr>
        <w:rPr>
          <w:b/>
        </w:rPr>
      </w:pPr>
    </w:p>
    <w:p w:rsidR="00BD1E4E" w:rsidRDefault="00BD1E4E" w:rsidP="00BD1E4E">
      <w:pPr>
        <w:pStyle w:val="Titulek"/>
        <w:keepNext/>
        <w:ind w:left="357" w:hanging="357"/>
      </w:pPr>
    </w:p>
    <w:bookmarkEnd w:id="2"/>
    <w:bookmarkEnd w:id="3"/>
    <w:bookmarkEnd w:id="4"/>
    <w:bookmarkEnd w:id="5"/>
    <w:p w:rsidR="00BD1E4E" w:rsidRDefault="00BD1E4E" w:rsidP="00BD1E4E">
      <w:pPr>
        <w:pStyle w:val="Titulek"/>
        <w:keepNext/>
      </w:pPr>
    </w:p>
    <w:sectPr w:rsidR="00BD1E4E" w:rsidSect="0079758A">
      <w:footerReference w:type="default" r:id="rId15"/>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D9D" w:rsidRDefault="00E13D9D" w:rsidP="009D4D6B">
      <w:pPr>
        <w:spacing w:before="0"/>
      </w:pPr>
      <w:r>
        <w:separator/>
      </w:r>
    </w:p>
  </w:endnote>
  <w:endnote w:type="continuationSeparator" w:id="0">
    <w:p w:rsidR="00E13D9D" w:rsidRDefault="00E13D9D" w:rsidP="009D4D6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449" w:rsidRDefault="00883449">
    <w:pPr>
      <w:pStyle w:val="Zpat"/>
      <w:jc w:val="center"/>
    </w:pPr>
  </w:p>
  <w:p w:rsidR="00883449" w:rsidRDefault="008834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449" w:rsidRDefault="00883449">
    <w:pPr>
      <w:pStyle w:val="Zpat"/>
      <w:jc w:val="center"/>
    </w:pPr>
    <w:r>
      <w:rPr>
        <w:rStyle w:val="slostrnky"/>
      </w:rPr>
      <w:fldChar w:fldCharType="begin"/>
    </w:r>
    <w:r>
      <w:rPr>
        <w:rStyle w:val="slostrnky"/>
      </w:rPr>
      <w:instrText xml:space="preserve"> PAGE </w:instrText>
    </w:r>
    <w:r>
      <w:rPr>
        <w:rStyle w:val="slostrnky"/>
      </w:rPr>
      <w:fldChar w:fldCharType="separate"/>
    </w:r>
    <w:r w:rsidR="00DF0B50">
      <w:rPr>
        <w:rStyle w:val="slostrnky"/>
        <w:noProof/>
      </w:rPr>
      <w:t>4</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449" w:rsidRDefault="00883449">
    <w:pPr>
      <w:pStyle w:val="Zpat"/>
      <w:jc w:val="center"/>
    </w:pPr>
    <w:r>
      <w:rPr>
        <w:rStyle w:val="slostrnky"/>
      </w:rPr>
      <w:fldChar w:fldCharType="begin"/>
    </w:r>
    <w:r>
      <w:rPr>
        <w:rStyle w:val="slostrnky"/>
      </w:rPr>
      <w:instrText xml:space="preserve"> PAGE </w:instrText>
    </w:r>
    <w:r>
      <w:rPr>
        <w:rStyle w:val="slostrnky"/>
      </w:rPr>
      <w:fldChar w:fldCharType="separate"/>
    </w:r>
    <w:r w:rsidR="00DF0B50">
      <w:rPr>
        <w:rStyle w:val="slostrnky"/>
        <w:noProof/>
      </w:rPr>
      <w:t>17</w:t>
    </w:r>
    <w:r>
      <w:rPr>
        <w:rStyle w:val="slostrnky"/>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449" w:rsidRDefault="00883449">
    <w:pPr>
      <w:pStyle w:val="Zpat"/>
      <w:jc w:val="center"/>
    </w:pPr>
    <w:r>
      <w:rPr>
        <w:rStyle w:val="slostrnky"/>
      </w:rPr>
      <w:fldChar w:fldCharType="begin"/>
    </w:r>
    <w:r>
      <w:rPr>
        <w:rStyle w:val="slostrnky"/>
      </w:rPr>
      <w:instrText xml:space="preserve"> PAGE </w:instrText>
    </w:r>
    <w:r>
      <w:rPr>
        <w:rStyle w:val="slostrnky"/>
      </w:rPr>
      <w:fldChar w:fldCharType="separate"/>
    </w:r>
    <w:r w:rsidR="00DF0B50">
      <w:rPr>
        <w:rStyle w:val="slostrnky"/>
        <w:noProof/>
      </w:rPr>
      <w:t>18</w:t>
    </w:r>
    <w:r>
      <w:rPr>
        <w:rStyle w:val="slostrnky"/>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979016"/>
      <w:docPartObj>
        <w:docPartGallery w:val="Page Numbers (Bottom of Page)"/>
        <w:docPartUnique/>
      </w:docPartObj>
    </w:sdtPr>
    <w:sdtEndPr/>
    <w:sdtContent>
      <w:p w:rsidR="00883449" w:rsidRDefault="00883449">
        <w:pPr>
          <w:pStyle w:val="Zpat"/>
          <w:jc w:val="center"/>
        </w:pPr>
        <w:r>
          <w:fldChar w:fldCharType="begin"/>
        </w:r>
        <w:r>
          <w:instrText>PAGE   \* MERGEFORMAT</w:instrText>
        </w:r>
        <w:r>
          <w:fldChar w:fldCharType="separate"/>
        </w:r>
        <w:r w:rsidR="00DF0B50">
          <w:rPr>
            <w:noProof/>
          </w:rPr>
          <w:t>21</w:t>
        </w:r>
        <w:r>
          <w:fldChar w:fldCharType="end"/>
        </w:r>
      </w:p>
    </w:sdtContent>
  </w:sdt>
  <w:p w:rsidR="00883449" w:rsidRDefault="008834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D9D" w:rsidRDefault="00E13D9D" w:rsidP="009D4D6B">
      <w:pPr>
        <w:spacing w:before="0"/>
      </w:pPr>
      <w:r>
        <w:separator/>
      </w:r>
    </w:p>
  </w:footnote>
  <w:footnote w:type="continuationSeparator" w:id="0">
    <w:p w:rsidR="00E13D9D" w:rsidRDefault="00E13D9D" w:rsidP="009D4D6B">
      <w:pPr>
        <w:spacing w:before="0"/>
      </w:pPr>
      <w:r>
        <w:continuationSeparator/>
      </w:r>
    </w:p>
  </w:footnote>
  <w:footnote w:id="1">
    <w:p w:rsidR="00883449" w:rsidRPr="00D31338" w:rsidRDefault="00883449">
      <w:pPr>
        <w:pStyle w:val="Textpoznpodarou"/>
        <w:rPr>
          <w:sz w:val="18"/>
          <w:szCs w:val="18"/>
        </w:rPr>
      </w:pPr>
      <w:r w:rsidRPr="00D31338">
        <w:rPr>
          <w:rStyle w:val="Znakapoznpodarou"/>
          <w:sz w:val="18"/>
          <w:szCs w:val="18"/>
        </w:rPr>
        <w:footnoteRef/>
      </w:r>
      <w:r w:rsidRPr="00D31338">
        <w:rPr>
          <w:sz w:val="18"/>
          <w:szCs w:val="18"/>
        </w:rPr>
        <w:t xml:space="preserve"> Společnostmi strategického významu se pro účely tohoto dokumentu rozumí pouze společnosti spadající pod informační povinnost o postupu privatizace.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D14DD"/>
    <w:multiLevelType w:val="hybridMultilevel"/>
    <w:tmpl w:val="5860D97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8B7475E"/>
    <w:multiLevelType w:val="hybridMultilevel"/>
    <w:tmpl w:val="3BDCE9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D235EC"/>
    <w:multiLevelType w:val="hybridMultilevel"/>
    <w:tmpl w:val="6E4251FE"/>
    <w:lvl w:ilvl="0" w:tplc="530A0B5E">
      <w:start w:val="1"/>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3" w15:restartNumberingAfterBreak="0">
    <w:nsid w:val="34322C24"/>
    <w:multiLevelType w:val="hybridMultilevel"/>
    <w:tmpl w:val="46AA5E7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66575F"/>
    <w:multiLevelType w:val="hybridMultilevel"/>
    <w:tmpl w:val="D44AD13C"/>
    <w:lvl w:ilvl="0" w:tplc="A43ACE8E">
      <w:start w:val="1"/>
      <w:numFmt w:val="upperRoman"/>
      <w:pStyle w:val="Bezmezer"/>
      <w:lvlText w:val="%1."/>
      <w:lvlJc w:val="right"/>
      <w:pPr>
        <w:ind w:left="41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5253C7A"/>
    <w:multiLevelType w:val="hybridMultilevel"/>
    <w:tmpl w:val="AFD64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5B17310"/>
    <w:multiLevelType w:val="hybridMultilevel"/>
    <w:tmpl w:val="1FF8E6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6830073"/>
    <w:multiLevelType w:val="hybridMultilevel"/>
    <w:tmpl w:val="5770E0DE"/>
    <w:lvl w:ilvl="0" w:tplc="3B64EAF4">
      <w:numFmt w:val="bullet"/>
      <w:pStyle w:val="odrka"/>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C6814BF"/>
    <w:multiLevelType w:val="hybridMultilevel"/>
    <w:tmpl w:val="A5F8CA4A"/>
    <w:lvl w:ilvl="0" w:tplc="350200DC">
      <w:start w:val="1"/>
      <w:numFmt w:val="decimal"/>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6CAD7CBD"/>
    <w:multiLevelType w:val="multilevel"/>
    <w:tmpl w:val="775EE252"/>
    <w:lvl w:ilvl="0">
      <w:start w:val="1"/>
      <w:numFmt w:val="upperRoman"/>
      <w:lvlText w:val="%1."/>
      <w:lvlJc w:val="left"/>
      <w:pPr>
        <w:ind w:left="357" w:hanging="357"/>
      </w:pPr>
      <w:rPr>
        <w:rFonts w:hint="default"/>
      </w:rPr>
    </w:lvl>
    <w:lvl w:ilvl="1">
      <w:start w:val="1"/>
      <w:numFmt w:val="decimal"/>
      <w:lvlText w:val="%2."/>
      <w:lvlJc w:val="left"/>
      <w:pPr>
        <w:ind w:left="680" w:hanging="680"/>
      </w:pPr>
      <w:rPr>
        <w:rFonts w:hint="default"/>
        <w:sz w:val="28"/>
        <w:szCs w:val="28"/>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0" w15:restartNumberingAfterBreak="0">
    <w:nsid w:val="727845C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779149FD"/>
    <w:multiLevelType w:val="hybridMultilevel"/>
    <w:tmpl w:val="F4C24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7"/>
  </w:num>
  <w:num w:numId="4">
    <w:abstractNumId w:val="3"/>
  </w:num>
  <w:num w:numId="5">
    <w:abstractNumId w:val="9"/>
  </w:num>
  <w:num w:numId="6">
    <w:abstractNumId w:val="5"/>
  </w:num>
  <w:num w:numId="7">
    <w:abstractNumId w:val="11"/>
  </w:num>
  <w:num w:numId="8">
    <w:abstractNumId w:val="1"/>
  </w:num>
  <w:num w:numId="9">
    <w:abstractNumId w:val="8"/>
  </w:num>
  <w:num w:numId="10">
    <w:abstractNumId w:val="3"/>
  </w:num>
  <w:num w:numId="11">
    <w:abstractNumId w:val="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 w:numId="15">
    <w:abstractNumId w:val="2"/>
  </w:num>
  <w:num w:numId="16">
    <w:abstractNumId w:val="7"/>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D8D"/>
    <w:rsid w:val="000053C4"/>
    <w:rsid w:val="000068BD"/>
    <w:rsid w:val="0000776D"/>
    <w:rsid w:val="00014CFB"/>
    <w:rsid w:val="00016AEE"/>
    <w:rsid w:val="00022099"/>
    <w:rsid w:val="00034EC9"/>
    <w:rsid w:val="00042B15"/>
    <w:rsid w:val="00056846"/>
    <w:rsid w:val="0007218B"/>
    <w:rsid w:val="00073147"/>
    <w:rsid w:val="000738B7"/>
    <w:rsid w:val="000837DC"/>
    <w:rsid w:val="0009568F"/>
    <w:rsid w:val="000A03E1"/>
    <w:rsid w:val="000A6461"/>
    <w:rsid w:val="000B74E9"/>
    <w:rsid w:val="000C6C21"/>
    <w:rsid w:val="000D0288"/>
    <w:rsid w:val="000D37D5"/>
    <w:rsid w:val="000D47DB"/>
    <w:rsid w:val="000D61FB"/>
    <w:rsid w:val="000D6B7A"/>
    <w:rsid w:val="000E37A4"/>
    <w:rsid w:val="000E63C4"/>
    <w:rsid w:val="000F72B5"/>
    <w:rsid w:val="001004FF"/>
    <w:rsid w:val="0010241A"/>
    <w:rsid w:val="00103C4D"/>
    <w:rsid w:val="0010483A"/>
    <w:rsid w:val="00106040"/>
    <w:rsid w:val="00120085"/>
    <w:rsid w:val="00120A86"/>
    <w:rsid w:val="0012124C"/>
    <w:rsid w:val="00121ED5"/>
    <w:rsid w:val="001221C5"/>
    <w:rsid w:val="00125121"/>
    <w:rsid w:val="00127808"/>
    <w:rsid w:val="001279B4"/>
    <w:rsid w:val="0014140B"/>
    <w:rsid w:val="00146A3B"/>
    <w:rsid w:val="00150346"/>
    <w:rsid w:val="00155BDE"/>
    <w:rsid w:val="00162957"/>
    <w:rsid w:val="00167E7D"/>
    <w:rsid w:val="001706BB"/>
    <w:rsid w:val="00176832"/>
    <w:rsid w:val="00181F70"/>
    <w:rsid w:val="001830E1"/>
    <w:rsid w:val="00191400"/>
    <w:rsid w:val="001A158A"/>
    <w:rsid w:val="001A1E75"/>
    <w:rsid w:val="001A255C"/>
    <w:rsid w:val="001A7F87"/>
    <w:rsid w:val="001B67F7"/>
    <w:rsid w:val="001C3152"/>
    <w:rsid w:val="001C6E21"/>
    <w:rsid w:val="001E4633"/>
    <w:rsid w:val="001F1391"/>
    <w:rsid w:val="001F246F"/>
    <w:rsid w:val="001F751C"/>
    <w:rsid w:val="001F7B90"/>
    <w:rsid w:val="00202160"/>
    <w:rsid w:val="00204D4E"/>
    <w:rsid w:val="00213E61"/>
    <w:rsid w:val="00215C0F"/>
    <w:rsid w:val="0021646C"/>
    <w:rsid w:val="00224353"/>
    <w:rsid w:val="002265A6"/>
    <w:rsid w:val="0023490B"/>
    <w:rsid w:val="002378FE"/>
    <w:rsid w:val="00241F86"/>
    <w:rsid w:val="00242732"/>
    <w:rsid w:val="002429F8"/>
    <w:rsid w:val="00245FEF"/>
    <w:rsid w:val="00251670"/>
    <w:rsid w:val="00251787"/>
    <w:rsid w:val="002524AE"/>
    <w:rsid w:val="0026420F"/>
    <w:rsid w:val="002662F5"/>
    <w:rsid w:val="002702F4"/>
    <w:rsid w:val="00270FBB"/>
    <w:rsid w:val="002753FB"/>
    <w:rsid w:val="0027760B"/>
    <w:rsid w:val="002815E9"/>
    <w:rsid w:val="00282F66"/>
    <w:rsid w:val="002831DB"/>
    <w:rsid w:val="002855D7"/>
    <w:rsid w:val="002856AF"/>
    <w:rsid w:val="0029789A"/>
    <w:rsid w:val="002A6140"/>
    <w:rsid w:val="002B034F"/>
    <w:rsid w:val="002B0739"/>
    <w:rsid w:val="002B0CF5"/>
    <w:rsid w:val="002B2B38"/>
    <w:rsid w:val="002C60EB"/>
    <w:rsid w:val="002C6F8A"/>
    <w:rsid w:val="002D4C60"/>
    <w:rsid w:val="002D573C"/>
    <w:rsid w:val="002D649B"/>
    <w:rsid w:val="002D68C4"/>
    <w:rsid w:val="002D6D57"/>
    <w:rsid w:val="002E0A17"/>
    <w:rsid w:val="002E18EB"/>
    <w:rsid w:val="002E2A2C"/>
    <w:rsid w:val="002E3018"/>
    <w:rsid w:val="002E44A2"/>
    <w:rsid w:val="002E7BE4"/>
    <w:rsid w:val="002F5A23"/>
    <w:rsid w:val="00300D07"/>
    <w:rsid w:val="003046D9"/>
    <w:rsid w:val="003066E1"/>
    <w:rsid w:val="00313262"/>
    <w:rsid w:val="003163EE"/>
    <w:rsid w:val="00316BFA"/>
    <w:rsid w:val="00322737"/>
    <w:rsid w:val="00322FA8"/>
    <w:rsid w:val="00323604"/>
    <w:rsid w:val="00325817"/>
    <w:rsid w:val="0032587B"/>
    <w:rsid w:val="00327E17"/>
    <w:rsid w:val="00331BAC"/>
    <w:rsid w:val="00336CF7"/>
    <w:rsid w:val="00345335"/>
    <w:rsid w:val="003472D2"/>
    <w:rsid w:val="00350144"/>
    <w:rsid w:val="00350E9F"/>
    <w:rsid w:val="00350F0F"/>
    <w:rsid w:val="003510E7"/>
    <w:rsid w:val="00354C56"/>
    <w:rsid w:val="00356520"/>
    <w:rsid w:val="00360023"/>
    <w:rsid w:val="00364B93"/>
    <w:rsid w:val="00371597"/>
    <w:rsid w:val="00376210"/>
    <w:rsid w:val="00377B57"/>
    <w:rsid w:val="003853FC"/>
    <w:rsid w:val="003923B9"/>
    <w:rsid w:val="003A0844"/>
    <w:rsid w:val="003A1B79"/>
    <w:rsid w:val="003B3C3F"/>
    <w:rsid w:val="003C18D5"/>
    <w:rsid w:val="003C2CC2"/>
    <w:rsid w:val="003C4BF7"/>
    <w:rsid w:val="003D261D"/>
    <w:rsid w:val="003E414A"/>
    <w:rsid w:val="00401AC0"/>
    <w:rsid w:val="00404D4F"/>
    <w:rsid w:val="004107A2"/>
    <w:rsid w:val="00412000"/>
    <w:rsid w:val="004200AF"/>
    <w:rsid w:val="0042029C"/>
    <w:rsid w:val="004220F7"/>
    <w:rsid w:val="0042365B"/>
    <w:rsid w:val="00430162"/>
    <w:rsid w:val="00432824"/>
    <w:rsid w:val="0043457D"/>
    <w:rsid w:val="00435CE7"/>
    <w:rsid w:val="004363C4"/>
    <w:rsid w:val="00441150"/>
    <w:rsid w:val="00443A42"/>
    <w:rsid w:val="0044468C"/>
    <w:rsid w:val="004607D3"/>
    <w:rsid w:val="00462A94"/>
    <w:rsid w:val="004633C6"/>
    <w:rsid w:val="00463732"/>
    <w:rsid w:val="00464713"/>
    <w:rsid w:val="004769D5"/>
    <w:rsid w:val="00481D83"/>
    <w:rsid w:val="004830CC"/>
    <w:rsid w:val="00483C72"/>
    <w:rsid w:val="00486099"/>
    <w:rsid w:val="004923A5"/>
    <w:rsid w:val="004932C6"/>
    <w:rsid w:val="004A4A6C"/>
    <w:rsid w:val="004A5EC4"/>
    <w:rsid w:val="004B11AF"/>
    <w:rsid w:val="004B4766"/>
    <w:rsid w:val="004B63C6"/>
    <w:rsid w:val="004C0070"/>
    <w:rsid w:val="004C0CDF"/>
    <w:rsid w:val="004D6D77"/>
    <w:rsid w:val="004E006D"/>
    <w:rsid w:val="004E29A5"/>
    <w:rsid w:val="004E6719"/>
    <w:rsid w:val="004E6F02"/>
    <w:rsid w:val="004F4A5D"/>
    <w:rsid w:val="0050536B"/>
    <w:rsid w:val="005075EC"/>
    <w:rsid w:val="00510248"/>
    <w:rsid w:val="00512D8D"/>
    <w:rsid w:val="00512EB0"/>
    <w:rsid w:val="005148E3"/>
    <w:rsid w:val="00515DBD"/>
    <w:rsid w:val="00520328"/>
    <w:rsid w:val="005231B2"/>
    <w:rsid w:val="00523EA6"/>
    <w:rsid w:val="00527562"/>
    <w:rsid w:val="005332F6"/>
    <w:rsid w:val="00542CF3"/>
    <w:rsid w:val="00545A33"/>
    <w:rsid w:val="00556C94"/>
    <w:rsid w:val="005612EA"/>
    <w:rsid w:val="005638F5"/>
    <w:rsid w:val="005705CE"/>
    <w:rsid w:val="005757C5"/>
    <w:rsid w:val="005763F2"/>
    <w:rsid w:val="00596385"/>
    <w:rsid w:val="00596E0F"/>
    <w:rsid w:val="005A0478"/>
    <w:rsid w:val="005A1DB6"/>
    <w:rsid w:val="005A2B30"/>
    <w:rsid w:val="005A31FE"/>
    <w:rsid w:val="005B5600"/>
    <w:rsid w:val="005C464E"/>
    <w:rsid w:val="005C568D"/>
    <w:rsid w:val="005D0374"/>
    <w:rsid w:val="005D39EE"/>
    <w:rsid w:val="005D5CFD"/>
    <w:rsid w:val="005D5F81"/>
    <w:rsid w:val="005D646F"/>
    <w:rsid w:val="005E3F16"/>
    <w:rsid w:val="005E61A7"/>
    <w:rsid w:val="005E7CD2"/>
    <w:rsid w:val="005E7D33"/>
    <w:rsid w:val="005F000E"/>
    <w:rsid w:val="005F6B1C"/>
    <w:rsid w:val="005F6BF8"/>
    <w:rsid w:val="00602C45"/>
    <w:rsid w:val="006056AC"/>
    <w:rsid w:val="006170C2"/>
    <w:rsid w:val="006260BC"/>
    <w:rsid w:val="00626D52"/>
    <w:rsid w:val="00633051"/>
    <w:rsid w:val="00640316"/>
    <w:rsid w:val="006425FB"/>
    <w:rsid w:val="00642CC0"/>
    <w:rsid w:val="006460E9"/>
    <w:rsid w:val="00646AF4"/>
    <w:rsid w:val="006534F0"/>
    <w:rsid w:val="00661427"/>
    <w:rsid w:val="00673DD3"/>
    <w:rsid w:val="00675E41"/>
    <w:rsid w:val="00685A6A"/>
    <w:rsid w:val="00693AF4"/>
    <w:rsid w:val="006A3938"/>
    <w:rsid w:val="006A5362"/>
    <w:rsid w:val="006A70F1"/>
    <w:rsid w:val="006B5046"/>
    <w:rsid w:val="006B5C07"/>
    <w:rsid w:val="006C02EC"/>
    <w:rsid w:val="006C1A0B"/>
    <w:rsid w:val="006C1C2A"/>
    <w:rsid w:val="006E6E15"/>
    <w:rsid w:val="006F2B4F"/>
    <w:rsid w:val="006F3E16"/>
    <w:rsid w:val="006F42D8"/>
    <w:rsid w:val="006F529C"/>
    <w:rsid w:val="007002E6"/>
    <w:rsid w:val="0070595A"/>
    <w:rsid w:val="00705CBD"/>
    <w:rsid w:val="007101E6"/>
    <w:rsid w:val="007102F1"/>
    <w:rsid w:val="00711AEC"/>
    <w:rsid w:val="007134B3"/>
    <w:rsid w:val="00716FFF"/>
    <w:rsid w:val="00717CC4"/>
    <w:rsid w:val="00726119"/>
    <w:rsid w:val="00734A24"/>
    <w:rsid w:val="007372E1"/>
    <w:rsid w:val="00742801"/>
    <w:rsid w:val="00753BA0"/>
    <w:rsid w:val="007567FE"/>
    <w:rsid w:val="007617F7"/>
    <w:rsid w:val="00762DB2"/>
    <w:rsid w:val="007720CF"/>
    <w:rsid w:val="007730FB"/>
    <w:rsid w:val="00775422"/>
    <w:rsid w:val="00782B26"/>
    <w:rsid w:val="00783165"/>
    <w:rsid w:val="007849E5"/>
    <w:rsid w:val="00791F20"/>
    <w:rsid w:val="007947C9"/>
    <w:rsid w:val="00795E6E"/>
    <w:rsid w:val="0079758A"/>
    <w:rsid w:val="0079794A"/>
    <w:rsid w:val="00797C55"/>
    <w:rsid w:val="007A48FA"/>
    <w:rsid w:val="007B0411"/>
    <w:rsid w:val="007B3801"/>
    <w:rsid w:val="007B4C71"/>
    <w:rsid w:val="007B56E1"/>
    <w:rsid w:val="007C5189"/>
    <w:rsid w:val="007C7262"/>
    <w:rsid w:val="007D50D8"/>
    <w:rsid w:val="007E6AB4"/>
    <w:rsid w:val="007F52D8"/>
    <w:rsid w:val="00801914"/>
    <w:rsid w:val="008069BE"/>
    <w:rsid w:val="0081403D"/>
    <w:rsid w:val="00820AC7"/>
    <w:rsid w:val="00821529"/>
    <w:rsid w:val="008244C8"/>
    <w:rsid w:val="00825EB2"/>
    <w:rsid w:val="0083188D"/>
    <w:rsid w:val="00833017"/>
    <w:rsid w:val="00834E4F"/>
    <w:rsid w:val="00835A67"/>
    <w:rsid w:val="008445E7"/>
    <w:rsid w:val="00847339"/>
    <w:rsid w:val="00847F8E"/>
    <w:rsid w:val="00852D95"/>
    <w:rsid w:val="00853BDF"/>
    <w:rsid w:val="00861A81"/>
    <w:rsid w:val="0086366A"/>
    <w:rsid w:val="008669E6"/>
    <w:rsid w:val="008818BE"/>
    <w:rsid w:val="0088219C"/>
    <w:rsid w:val="00882C98"/>
    <w:rsid w:val="00883449"/>
    <w:rsid w:val="00887C2E"/>
    <w:rsid w:val="0089732E"/>
    <w:rsid w:val="008A1318"/>
    <w:rsid w:val="008A334D"/>
    <w:rsid w:val="008A374E"/>
    <w:rsid w:val="008A4BFD"/>
    <w:rsid w:val="008B3D58"/>
    <w:rsid w:val="008B76D7"/>
    <w:rsid w:val="008C3D41"/>
    <w:rsid w:val="008D14AA"/>
    <w:rsid w:val="008E03F5"/>
    <w:rsid w:val="008F0623"/>
    <w:rsid w:val="008F1CF1"/>
    <w:rsid w:val="008F2CE0"/>
    <w:rsid w:val="008F5C09"/>
    <w:rsid w:val="008F7159"/>
    <w:rsid w:val="0090211C"/>
    <w:rsid w:val="0090674F"/>
    <w:rsid w:val="00907EDF"/>
    <w:rsid w:val="0091141C"/>
    <w:rsid w:val="00913506"/>
    <w:rsid w:val="0091442E"/>
    <w:rsid w:val="0092019B"/>
    <w:rsid w:val="00924500"/>
    <w:rsid w:val="00932A68"/>
    <w:rsid w:val="00934407"/>
    <w:rsid w:val="00934927"/>
    <w:rsid w:val="00942539"/>
    <w:rsid w:val="00945887"/>
    <w:rsid w:val="0094612C"/>
    <w:rsid w:val="009503FC"/>
    <w:rsid w:val="009507E6"/>
    <w:rsid w:val="00951EE0"/>
    <w:rsid w:val="0095265D"/>
    <w:rsid w:val="0095306B"/>
    <w:rsid w:val="00957BAF"/>
    <w:rsid w:val="00963305"/>
    <w:rsid w:val="00971B28"/>
    <w:rsid w:val="00976C33"/>
    <w:rsid w:val="00997BC9"/>
    <w:rsid w:val="009A09AA"/>
    <w:rsid w:val="009A1859"/>
    <w:rsid w:val="009A2D9A"/>
    <w:rsid w:val="009A5B69"/>
    <w:rsid w:val="009A675A"/>
    <w:rsid w:val="009C3D57"/>
    <w:rsid w:val="009C4A50"/>
    <w:rsid w:val="009C4D0F"/>
    <w:rsid w:val="009C4FAF"/>
    <w:rsid w:val="009C5DE2"/>
    <w:rsid w:val="009C6BC9"/>
    <w:rsid w:val="009D22D1"/>
    <w:rsid w:val="009D2EE7"/>
    <w:rsid w:val="009D2FE4"/>
    <w:rsid w:val="009D317B"/>
    <w:rsid w:val="009D4D6B"/>
    <w:rsid w:val="009D6F19"/>
    <w:rsid w:val="009E4726"/>
    <w:rsid w:val="009F1290"/>
    <w:rsid w:val="009F3529"/>
    <w:rsid w:val="009F666C"/>
    <w:rsid w:val="00A0354D"/>
    <w:rsid w:val="00A04F11"/>
    <w:rsid w:val="00A1110E"/>
    <w:rsid w:val="00A1508C"/>
    <w:rsid w:val="00A235E3"/>
    <w:rsid w:val="00A41D7D"/>
    <w:rsid w:val="00A451BE"/>
    <w:rsid w:val="00A47C62"/>
    <w:rsid w:val="00A5009A"/>
    <w:rsid w:val="00A52AA8"/>
    <w:rsid w:val="00A53C53"/>
    <w:rsid w:val="00A555B5"/>
    <w:rsid w:val="00A67B81"/>
    <w:rsid w:val="00A712D7"/>
    <w:rsid w:val="00A73BBC"/>
    <w:rsid w:val="00A93E3C"/>
    <w:rsid w:val="00A948D3"/>
    <w:rsid w:val="00A96B2B"/>
    <w:rsid w:val="00AA0760"/>
    <w:rsid w:val="00AA4779"/>
    <w:rsid w:val="00AA5DED"/>
    <w:rsid w:val="00AB0B7E"/>
    <w:rsid w:val="00AB553C"/>
    <w:rsid w:val="00AB703A"/>
    <w:rsid w:val="00AC1E91"/>
    <w:rsid w:val="00AC6CB5"/>
    <w:rsid w:val="00AD04D3"/>
    <w:rsid w:val="00AD18F9"/>
    <w:rsid w:val="00AD1F82"/>
    <w:rsid w:val="00AD48A0"/>
    <w:rsid w:val="00AD7121"/>
    <w:rsid w:val="00AD7466"/>
    <w:rsid w:val="00AD7B5A"/>
    <w:rsid w:val="00AF3290"/>
    <w:rsid w:val="00AF5742"/>
    <w:rsid w:val="00AF67FF"/>
    <w:rsid w:val="00B0206E"/>
    <w:rsid w:val="00B04F03"/>
    <w:rsid w:val="00B1087A"/>
    <w:rsid w:val="00B12E47"/>
    <w:rsid w:val="00B16849"/>
    <w:rsid w:val="00B16AF0"/>
    <w:rsid w:val="00B17449"/>
    <w:rsid w:val="00B179D2"/>
    <w:rsid w:val="00B3204F"/>
    <w:rsid w:val="00B33F6E"/>
    <w:rsid w:val="00B35F33"/>
    <w:rsid w:val="00B41167"/>
    <w:rsid w:val="00B43511"/>
    <w:rsid w:val="00B51E0A"/>
    <w:rsid w:val="00B53788"/>
    <w:rsid w:val="00B54D92"/>
    <w:rsid w:val="00B6436F"/>
    <w:rsid w:val="00B71D8F"/>
    <w:rsid w:val="00B73FED"/>
    <w:rsid w:val="00B92690"/>
    <w:rsid w:val="00B9622B"/>
    <w:rsid w:val="00BA09D8"/>
    <w:rsid w:val="00BA314C"/>
    <w:rsid w:val="00BA4580"/>
    <w:rsid w:val="00BA567E"/>
    <w:rsid w:val="00BB39F9"/>
    <w:rsid w:val="00BC3851"/>
    <w:rsid w:val="00BC4149"/>
    <w:rsid w:val="00BC4C51"/>
    <w:rsid w:val="00BD1E4E"/>
    <w:rsid w:val="00BD5074"/>
    <w:rsid w:val="00BE1E4A"/>
    <w:rsid w:val="00BE4341"/>
    <w:rsid w:val="00BE4902"/>
    <w:rsid w:val="00BE57A9"/>
    <w:rsid w:val="00BE7118"/>
    <w:rsid w:val="00BF307E"/>
    <w:rsid w:val="00BF5DC6"/>
    <w:rsid w:val="00C019EE"/>
    <w:rsid w:val="00C1089A"/>
    <w:rsid w:val="00C1761C"/>
    <w:rsid w:val="00C23F32"/>
    <w:rsid w:val="00C319C7"/>
    <w:rsid w:val="00C31D28"/>
    <w:rsid w:val="00C35853"/>
    <w:rsid w:val="00C37559"/>
    <w:rsid w:val="00C405B4"/>
    <w:rsid w:val="00C44ACA"/>
    <w:rsid w:val="00C45520"/>
    <w:rsid w:val="00C74E55"/>
    <w:rsid w:val="00C80280"/>
    <w:rsid w:val="00CA5106"/>
    <w:rsid w:val="00CA7232"/>
    <w:rsid w:val="00CB0B2C"/>
    <w:rsid w:val="00CB1D32"/>
    <w:rsid w:val="00CB4EF5"/>
    <w:rsid w:val="00CB6218"/>
    <w:rsid w:val="00CC049B"/>
    <w:rsid w:val="00CC0735"/>
    <w:rsid w:val="00CD19ED"/>
    <w:rsid w:val="00CE7C09"/>
    <w:rsid w:val="00CF1C09"/>
    <w:rsid w:val="00CF1CDB"/>
    <w:rsid w:val="00CF2CB1"/>
    <w:rsid w:val="00CF42CE"/>
    <w:rsid w:val="00CF4644"/>
    <w:rsid w:val="00D0390B"/>
    <w:rsid w:val="00D03965"/>
    <w:rsid w:val="00D1468F"/>
    <w:rsid w:val="00D15AF8"/>
    <w:rsid w:val="00D16E49"/>
    <w:rsid w:val="00D307F7"/>
    <w:rsid w:val="00D31338"/>
    <w:rsid w:val="00D45A05"/>
    <w:rsid w:val="00D5039F"/>
    <w:rsid w:val="00D54239"/>
    <w:rsid w:val="00D6181D"/>
    <w:rsid w:val="00D65123"/>
    <w:rsid w:val="00D65396"/>
    <w:rsid w:val="00D662C1"/>
    <w:rsid w:val="00D7628E"/>
    <w:rsid w:val="00D812F7"/>
    <w:rsid w:val="00D83850"/>
    <w:rsid w:val="00D8715A"/>
    <w:rsid w:val="00D90FD6"/>
    <w:rsid w:val="00D91ADA"/>
    <w:rsid w:val="00D9594C"/>
    <w:rsid w:val="00DA008A"/>
    <w:rsid w:val="00DA2217"/>
    <w:rsid w:val="00DA4571"/>
    <w:rsid w:val="00DA4D34"/>
    <w:rsid w:val="00DA62CE"/>
    <w:rsid w:val="00DA77D9"/>
    <w:rsid w:val="00DB0C7E"/>
    <w:rsid w:val="00DB51B2"/>
    <w:rsid w:val="00DD3EBC"/>
    <w:rsid w:val="00DD7859"/>
    <w:rsid w:val="00DF07B3"/>
    <w:rsid w:val="00DF0B50"/>
    <w:rsid w:val="00DF3DB6"/>
    <w:rsid w:val="00DF4302"/>
    <w:rsid w:val="00DF4C52"/>
    <w:rsid w:val="00E00E5A"/>
    <w:rsid w:val="00E0630D"/>
    <w:rsid w:val="00E109A1"/>
    <w:rsid w:val="00E11AE2"/>
    <w:rsid w:val="00E13D9D"/>
    <w:rsid w:val="00E226AE"/>
    <w:rsid w:val="00E226C3"/>
    <w:rsid w:val="00E25EC6"/>
    <w:rsid w:val="00E26228"/>
    <w:rsid w:val="00E3724F"/>
    <w:rsid w:val="00E554E6"/>
    <w:rsid w:val="00E61452"/>
    <w:rsid w:val="00E61AD0"/>
    <w:rsid w:val="00E6353D"/>
    <w:rsid w:val="00E670B0"/>
    <w:rsid w:val="00E76909"/>
    <w:rsid w:val="00E80814"/>
    <w:rsid w:val="00E80B5D"/>
    <w:rsid w:val="00E86746"/>
    <w:rsid w:val="00E90E0B"/>
    <w:rsid w:val="00E97A99"/>
    <w:rsid w:val="00EB0A59"/>
    <w:rsid w:val="00EB203B"/>
    <w:rsid w:val="00EB2FFB"/>
    <w:rsid w:val="00EC6F9C"/>
    <w:rsid w:val="00ED1B50"/>
    <w:rsid w:val="00ED226F"/>
    <w:rsid w:val="00ED46B6"/>
    <w:rsid w:val="00ED505C"/>
    <w:rsid w:val="00ED56C0"/>
    <w:rsid w:val="00EE72E8"/>
    <w:rsid w:val="00EE790C"/>
    <w:rsid w:val="00EF09BC"/>
    <w:rsid w:val="00EF5431"/>
    <w:rsid w:val="00EF7624"/>
    <w:rsid w:val="00F06053"/>
    <w:rsid w:val="00F151BE"/>
    <w:rsid w:val="00F168E8"/>
    <w:rsid w:val="00F24DFA"/>
    <w:rsid w:val="00F25FCC"/>
    <w:rsid w:val="00F267D3"/>
    <w:rsid w:val="00F26F6A"/>
    <w:rsid w:val="00F322FE"/>
    <w:rsid w:val="00F36E99"/>
    <w:rsid w:val="00F41E05"/>
    <w:rsid w:val="00F47A5B"/>
    <w:rsid w:val="00F54D03"/>
    <w:rsid w:val="00F55CDD"/>
    <w:rsid w:val="00F5713A"/>
    <w:rsid w:val="00F60452"/>
    <w:rsid w:val="00F71090"/>
    <w:rsid w:val="00F72EAE"/>
    <w:rsid w:val="00F72FF3"/>
    <w:rsid w:val="00F9336D"/>
    <w:rsid w:val="00F95B88"/>
    <w:rsid w:val="00F95DDF"/>
    <w:rsid w:val="00F9601E"/>
    <w:rsid w:val="00FA505D"/>
    <w:rsid w:val="00FA6EC2"/>
    <w:rsid w:val="00FA7C62"/>
    <w:rsid w:val="00FB038A"/>
    <w:rsid w:val="00FB3C13"/>
    <w:rsid w:val="00FB46C7"/>
    <w:rsid w:val="00FC1144"/>
    <w:rsid w:val="00FC292F"/>
    <w:rsid w:val="00FD2EB4"/>
    <w:rsid w:val="00FD6B3B"/>
    <w:rsid w:val="00FE0A24"/>
    <w:rsid w:val="00FE23A2"/>
    <w:rsid w:val="00FE345A"/>
    <w:rsid w:val="00FE4D6E"/>
    <w:rsid w:val="00FF1908"/>
    <w:rsid w:val="00FF1A17"/>
    <w:rsid w:val="00FF2F3A"/>
    <w:rsid w:val="00FF5D65"/>
    <w:rsid w:val="00FF62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D19C2"/>
  <w15:docId w15:val="{80122207-A74E-4709-BAF3-58DC8DAE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4C51"/>
    <w:pPr>
      <w:spacing w:before="120" w:after="0" w:line="240" w:lineRule="auto"/>
      <w:jc w:val="both"/>
    </w:pPr>
  </w:style>
  <w:style w:type="paragraph" w:styleId="Nadpis1">
    <w:name w:val="heading 1"/>
    <w:basedOn w:val="Normln"/>
    <w:next w:val="Normln"/>
    <w:link w:val="Nadpis1Char"/>
    <w:qFormat/>
    <w:rsid w:val="005763F2"/>
    <w:pPr>
      <w:keepNext/>
      <w:keepLines/>
      <w:numPr>
        <w:numId w:val="1"/>
      </w:numPr>
      <w:spacing w:before="240" w:after="240"/>
      <w:ind w:left="431" w:hanging="431"/>
      <w:jc w:val="left"/>
      <w:outlineLvl w:val="0"/>
    </w:pPr>
    <w:rPr>
      <w:rFonts w:ascii="Calibri" w:eastAsiaTheme="majorEastAsia" w:hAnsi="Calibri" w:cstheme="majorBidi"/>
      <w:b/>
      <w:sz w:val="28"/>
      <w:szCs w:val="32"/>
    </w:rPr>
  </w:style>
  <w:style w:type="paragraph" w:styleId="Nadpis2">
    <w:name w:val="heading 2"/>
    <w:basedOn w:val="Normln"/>
    <w:next w:val="Normln"/>
    <w:link w:val="Nadpis2Char"/>
    <w:unhideWhenUsed/>
    <w:qFormat/>
    <w:rsid w:val="005763F2"/>
    <w:pPr>
      <w:keepNext/>
      <w:keepLines/>
      <w:numPr>
        <w:ilvl w:val="1"/>
        <w:numId w:val="1"/>
      </w:numPr>
      <w:spacing w:after="120"/>
      <w:ind w:left="578" w:hanging="578"/>
      <w:jc w:val="left"/>
      <w:outlineLvl w:val="1"/>
    </w:pPr>
    <w:rPr>
      <w:rFonts w:ascii="Calibri" w:eastAsiaTheme="majorEastAsia" w:hAnsi="Calibri" w:cstheme="majorBidi"/>
      <w:b/>
      <w:sz w:val="26"/>
      <w:szCs w:val="26"/>
    </w:rPr>
  </w:style>
  <w:style w:type="paragraph" w:styleId="Nadpis3">
    <w:name w:val="heading 3"/>
    <w:basedOn w:val="Normln"/>
    <w:next w:val="Normln"/>
    <w:link w:val="Nadpis3Char"/>
    <w:unhideWhenUsed/>
    <w:qFormat/>
    <w:rsid w:val="00BA09D8"/>
    <w:pPr>
      <w:keepNext/>
      <w:keepLines/>
      <w:numPr>
        <w:ilvl w:val="2"/>
        <w:numId w:val="1"/>
      </w:numPr>
      <w:spacing w:after="120"/>
      <w:jc w:val="left"/>
      <w:outlineLvl w:val="2"/>
    </w:pPr>
    <w:rPr>
      <w:rFonts w:ascii="Calibri" w:eastAsiaTheme="majorEastAsia" w:hAnsi="Calibri" w:cstheme="majorBidi"/>
      <w:b/>
      <w:sz w:val="24"/>
      <w:szCs w:val="24"/>
    </w:rPr>
  </w:style>
  <w:style w:type="paragraph" w:styleId="Nadpis4">
    <w:name w:val="heading 4"/>
    <w:aliases w:val="Hlavní nadpis"/>
    <w:basedOn w:val="Normln"/>
    <w:next w:val="Normln"/>
    <w:link w:val="Nadpis4Char"/>
    <w:unhideWhenUsed/>
    <w:qFormat/>
    <w:rsid w:val="005763F2"/>
    <w:pPr>
      <w:keepNext/>
      <w:keepLines/>
      <w:spacing w:before="360" w:after="360"/>
      <w:jc w:val="center"/>
      <w:outlineLvl w:val="3"/>
    </w:pPr>
    <w:rPr>
      <w:rFonts w:eastAsiaTheme="majorEastAsia" w:cstheme="majorBidi"/>
      <w:b/>
      <w:iCs/>
      <w:color w:val="2F5496" w:themeColor="accent5" w:themeShade="BF"/>
      <w:sz w:val="32"/>
    </w:rPr>
  </w:style>
  <w:style w:type="paragraph" w:styleId="Nadpis5">
    <w:name w:val="heading 5"/>
    <w:basedOn w:val="Normln"/>
    <w:next w:val="Normln"/>
    <w:link w:val="Nadpis5Char"/>
    <w:unhideWhenUsed/>
    <w:rsid w:val="009A09A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nhideWhenUsed/>
    <w:rsid w:val="009A09A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nhideWhenUsed/>
    <w:rsid w:val="009A09A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nhideWhenUsed/>
    <w:rsid w:val="009A09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rsid w:val="009A09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763F2"/>
    <w:rPr>
      <w:rFonts w:ascii="Calibri" w:eastAsiaTheme="majorEastAsia" w:hAnsi="Calibri" w:cstheme="majorBidi"/>
      <w:b/>
      <w:sz w:val="28"/>
      <w:szCs w:val="32"/>
    </w:rPr>
  </w:style>
  <w:style w:type="character" w:customStyle="1" w:styleId="Nadpis2Char">
    <w:name w:val="Nadpis 2 Char"/>
    <w:basedOn w:val="Standardnpsmoodstavce"/>
    <w:link w:val="Nadpis2"/>
    <w:rsid w:val="005763F2"/>
    <w:rPr>
      <w:rFonts w:ascii="Calibri" w:eastAsiaTheme="majorEastAsia" w:hAnsi="Calibri" w:cstheme="majorBidi"/>
      <w:b/>
      <w:sz w:val="26"/>
      <w:szCs w:val="26"/>
    </w:rPr>
  </w:style>
  <w:style w:type="character" w:customStyle="1" w:styleId="Nadpis3Char">
    <w:name w:val="Nadpis 3 Char"/>
    <w:basedOn w:val="Standardnpsmoodstavce"/>
    <w:link w:val="Nadpis3"/>
    <w:rsid w:val="00BA09D8"/>
    <w:rPr>
      <w:rFonts w:ascii="Calibri" w:eastAsiaTheme="majorEastAsia" w:hAnsi="Calibri" w:cstheme="majorBidi"/>
      <w:b/>
      <w:sz w:val="24"/>
      <w:szCs w:val="24"/>
    </w:rPr>
  </w:style>
  <w:style w:type="character" w:customStyle="1" w:styleId="Nadpis4Char">
    <w:name w:val="Nadpis 4 Char"/>
    <w:aliases w:val="Hlavní nadpis Char"/>
    <w:basedOn w:val="Standardnpsmoodstavce"/>
    <w:link w:val="Nadpis4"/>
    <w:uiPriority w:val="99"/>
    <w:rsid w:val="005763F2"/>
    <w:rPr>
      <w:rFonts w:eastAsiaTheme="majorEastAsia" w:cstheme="majorBidi"/>
      <w:b/>
      <w:iCs/>
      <w:color w:val="2F5496" w:themeColor="accent5" w:themeShade="BF"/>
      <w:sz w:val="32"/>
    </w:rPr>
  </w:style>
  <w:style w:type="character" w:customStyle="1" w:styleId="Nadpis5Char">
    <w:name w:val="Nadpis 5 Char"/>
    <w:basedOn w:val="Standardnpsmoodstavce"/>
    <w:link w:val="Nadpis5"/>
    <w:rsid w:val="009A09AA"/>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rsid w:val="009A09AA"/>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rsid w:val="009A09AA"/>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rsid w:val="009A09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rsid w:val="009A09AA"/>
    <w:rPr>
      <w:rFonts w:asciiTheme="majorHAnsi" w:eastAsiaTheme="majorEastAsia" w:hAnsiTheme="majorHAnsi" w:cstheme="majorBidi"/>
      <w:i/>
      <w:iCs/>
      <w:color w:val="272727" w:themeColor="text1" w:themeTint="D8"/>
      <w:sz w:val="21"/>
      <w:szCs w:val="21"/>
    </w:rPr>
  </w:style>
  <w:style w:type="paragraph" w:styleId="Bezmezer">
    <w:name w:val="No Spacing"/>
    <w:aliases w:val="Nadpis římské č."/>
    <w:basedOn w:val="Nadpis1"/>
    <w:next w:val="Normln"/>
    <w:link w:val="BezmezerChar"/>
    <w:uiPriority w:val="1"/>
    <w:qFormat/>
    <w:rsid w:val="0079758A"/>
    <w:pPr>
      <w:numPr>
        <w:numId w:val="2"/>
      </w:numPr>
      <w:pBdr>
        <w:bottom w:val="single" w:sz="18" w:space="1" w:color="BDD6EE" w:themeColor="accent1" w:themeTint="66"/>
      </w:pBdr>
      <w:spacing w:before="0"/>
      <w:ind w:left="0" w:firstLine="284"/>
    </w:pPr>
    <w:rPr>
      <w:color w:val="2F5496" w:themeColor="accent5" w:themeShade="BF"/>
    </w:rPr>
  </w:style>
  <w:style w:type="character" w:customStyle="1" w:styleId="BezmezerChar">
    <w:name w:val="Bez mezer Char"/>
    <w:aliases w:val="Nadpis římské č. Char"/>
    <w:basedOn w:val="Standardnpsmoodstavce"/>
    <w:link w:val="Bezmezer"/>
    <w:uiPriority w:val="1"/>
    <w:rsid w:val="0079758A"/>
    <w:rPr>
      <w:rFonts w:ascii="Calibri" w:eastAsiaTheme="majorEastAsia" w:hAnsi="Calibri" w:cstheme="majorBidi"/>
      <w:b/>
      <w:color w:val="2F5496" w:themeColor="accent5" w:themeShade="BF"/>
      <w:sz w:val="28"/>
      <w:szCs w:val="32"/>
    </w:rPr>
  </w:style>
  <w:style w:type="paragraph" w:styleId="Titulek">
    <w:name w:val="caption"/>
    <w:basedOn w:val="Normln"/>
    <w:next w:val="Normln"/>
    <w:link w:val="TitulekChar"/>
    <w:unhideWhenUsed/>
    <w:rsid w:val="00056846"/>
    <w:pPr>
      <w:spacing w:before="0" w:after="200"/>
    </w:pPr>
    <w:rPr>
      <w:i/>
      <w:iCs/>
      <w:color w:val="44546A" w:themeColor="text2"/>
      <w:sz w:val="18"/>
      <w:szCs w:val="18"/>
    </w:rPr>
  </w:style>
  <w:style w:type="character" w:customStyle="1" w:styleId="TitulekChar">
    <w:name w:val="Titulek Char"/>
    <w:link w:val="Titulek"/>
    <w:uiPriority w:val="99"/>
    <w:rsid w:val="000C6C21"/>
    <w:rPr>
      <w:i/>
      <w:iCs/>
      <w:color w:val="44546A" w:themeColor="text2"/>
      <w:sz w:val="18"/>
      <w:szCs w:val="18"/>
    </w:rPr>
  </w:style>
  <w:style w:type="paragraph" w:styleId="Nzev">
    <w:name w:val="Title"/>
    <w:aliases w:val="Titulky"/>
    <w:basedOn w:val="Normln"/>
    <w:next w:val="Normln"/>
    <w:link w:val="NzevChar"/>
    <w:qFormat/>
    <w:rsid w:val="00443A42"/>
    <w:pPr>
      <w:keepNext/>
      <w:contextualSpacing/>
    </w:pPr>
    <w:rPr>
      <w:rFonts w:eastAsiaTheme="majorEastAsia" w:cstheme="majorBidi"/>
      <w:b/>
      <w:color w:val="2F5496" w:themeColor="accent5" w:themeShade="BF"/>
      <w:spacing w:val="-10"/>
      <w:kern w:val="28"/>
      <w:szCs w:val="56"/>
    </w:rPr>
  </w:style>
  <w:style w:type="character" w:customStyle="1" w:styleId="NzevChar">
    <w:name w:val="Název Char"/>
    <w:aliases w:val="Titulky Char"/>
    <w:basedOn w:val="Standardnpsmoodstavce"/>
    <w:link w:val="Nzev"/>
    <w:rsid w:val="00443A42"/>
    <w:rPr>
      <w:rFonts w:eastAsiaTheme="majorEastAsia" w:cstheme="majorBidi"/>
      <w:b/>
      <w:color w:val="2F5496" w:themeColor="accent5" w:themeShade="BF"/>
      <w:spacing w:val="-10"/>
      <w:kern w:val="28"/>
      <w:szCs w:val="56"/>
    </w:rPr>
  </w:style>
  <w:style w:type="paragraph" w:styleId="Podnadpis">
    <w:name w:val="Subtitle"/>
    <w:aliases w:val="Pramen,Poznámka pod čarou"/>
    <w:basedOn w:val="Normln"/>
    <w:next w:val="Normln"/>
    <w:link w:val="PodnadpisChar"/>
    <w:qFormat/>
    <w:rsid w:val="00833017"/>
    <w:pPr>
      <w:numPr>
        <w:ilvl w:val="1"/>
      </w:numPr>
      <w:spacing w:before="0" w:after="40"/>
    </w:pPr>
    <w:rPr>
      <w:rFonts w:eastAsiaTheme="minorEastAsia"/>
      <w:i/>
      <w:color w:val="000000" w:themeColor="text1"/>
      <w:sz w:val="16"/>
    </w:rPr>
  </w:style>
  <w:style w:type="character" w:customStyle="1" w:styleId="PodnadpisChar">
    <w:name w:val="Podnadpis Char"/>
    <w:aliases w:val="Pramen Char,Poznámka pod čarou Char"/>
    <w:basedOn w:val="Standardnpsmoodstavce"/>
    <w:link w:val="Podnadpis"/>
    <w:rsid w:val="00833017"/>
    <w:rPr>
      <w:rFonts w:eastAsiaTheme="minorEastAsia"/>
      <w:i/>
      <w:color w:val="000000" w:themeColor="text1"/>
      <w:sz w:val="16"/>
    </w:rPr>
  </w:style>
  <w:style w:type="paragraph" w:customStyle="1" w:styleId="Tabgraf">
    <w:name w:val="Tab_graf"/>
    <w:basedOn w:val="Normln"/>
    <w:next w:val="Normln"/>
    <w:link w:val="TabgrafChar"/>
    <w:qFormat/>
    <w:rsid w:val="009D4D6B"/>
    <w:pPr>
      <w:spacing w:before="0"/>
    </w:pPr>
  </w:style>
  <w:style w:type="character" w:customStyle="1" w:styleId="TabgrafChar">
    <w:name w:val="Tab_graf Char"/>
    <w:basedOn w:val="Standardnpsmoodstavce"/>
    <w:link w:val="Tabgraf"/>
    <w:rsid w:val="009D4D6B"/>
  </w:style>
  <w:style w:type="paragraph" w:styleId="Textpoznpodarou">
    <w:name w:val="footnote text"/>
    <w:aliases w:val="Schriftart: 9 pt,Schriftart: 10 pt,Schriftart: 8 pt,pozn. pod čarou,Podrozdział,Footnote,Podrozdzia3"/>
    <w:basedOn w:val="Normln"/>
    <w:link w:val="TextpoznpodarouChar"/>
    <w:uiPriority w:val="99"/>
    <w:unhideWhenUsed/>
    <w:rsid w:val="009D4D6B"/>
    <w:pPr>
      <w:spacing w:before="0"/>
    </w:pPr>
    <w:rPr>
      <w:sz w:val="20"/>
      <w:szCs w:val="20"/>
    </w:rPr>
  </w:style>
  <w:style w:type="character" w:customStyle="1" w:styleId="TextpoznpodarouChar">
    <w:name w:val="Text pozn. pod čarou Char"/>
    <w:aliases w:val="Schriftart: 9 pt Char,Schriftart: 10 pt Char,Schriftart: 8 pt Char,pozn. pod čarou Char,Podrozdział Char,Footnote Char,Podrozdzia3 Char"/>
    <w:basedOn w:val="Standardnpsmoodstavce"/>
    <w:link w:val="Textpoznpodarou"/>
    <w:uiPriority w:val="99"/>
    <w:rsid w:val="009D4D6B"/>
    <w:rPr>
      <w:sz w:val="20"/>
      <w:szCs w:val="20"/>
    </w:rPr>
  </w:style>
  <w:style w:type="character" w:styleId="Znakapoznpodarou">
    <w:name w:val="footnote reference"/>
    <w:aliases w:val="PGI Fußnote Ziffer"/>
    <w:basedOn w:val="Standardnpsmoodstavce"/>
    <w:unhideWhenUsed/>
    <w:rsid w:val="009D4D6B"/>
    <w:rPr>
      <w:vertAlign w:val="superscript"/>
    </w:rPr>
  </w:style>
  <w:style w:type="paragraph" w:styleId="Zhlav">
    <w:name w:val="header"/>
    <w:basedOn w:val="Normln"/>
    <w:link w:val="ZhlavChar"/>
    <w:unhideWhenUsed/>
    <w:rsid w:val="00F9601E"/>
    <w:pPr>
      <w:tabs>
        <w:tab w:val="center" w:pos="4536"/>
        <w:tab w:val="right" w:pos="9072"/>
      </w:tabs>
      <w:spacing w:before="0"/>
    </w:pPr>
  </w:style>
  <w:style w:type="character" w:customStyle="1" w:styleId="ZhlavChar">
    <w:name w:val="Záhlaví Char"/>
    <w:basedOn w:val="Standardnpsmoodstavce"/>
    <w:link w:val="Zhlav"/>
    <w:rsid w:val="00F9601E"/>
  </w:style>
  <w:style w:type="paragraph" w:styleId="Zpat">
    <w:name w:val="footer"/>
    <w:basedOn w:val="Normln"/>
    <w:link w:val="ZpatChar"/>
    <w:unhideWhenUsed/>
    <w:rsid w:val="00F9601E"/>
    <w:pPr>
      <w:tabs>
        <w:tab w:val="center" w:pos="4536"/>
        <w:tab w:val="right" w:pos="9072"/>
      </w:tabs>
      <w:spacing w:before="0"/>
    </w:pPr>
  </w:style>
  <w:style w:type="character" w:customStyle="1" w:styleId="ZpatChar">
    <w:name w:val="Zápatí Char"/>
    <w:basedOn w:val="Standardnpsmoodstavce"/>
    <w:link w:val="Zpat"/>
    <w:rsid w:val="00F9601E"/>
  </w:style>
  <w:style w:type="paragraph" w:styleId="Nadpisobsahu">
    <w:name w:val="TOC Heading"/>
    <w:basedOn w:val="Nadpis1"/>
    <w:next w:val="Normln"/>
    <w:uiPriority w:val="39"/>
    <w:unhideWhenUsed/>
    <w:rsid w:val="00626D52"/>
    <w:pPr>
      <w:numPr>
        <w:numId w:val="0"/>
      </w:numPr>
      <w:spacing w:after="0" w:line="259" w:lineRule="auto"/>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CA5106"/>
    <w:pPr>
      <w:tabs>
        <w:tab w:val="left" w:pos="440"/>
        <w:tab w:val="right" w:leader="dot" w:pos="9628"/>
      </w:tabs>
      <w:spacing w:before="0"/>
      <w:ind w:left="426" w:hanging="426"/>
    </w:pPr>
    <w:rPr>
      <w:noProof/>
    </w:rPr>
  </w:style>
  <w:style w:type="paragraph" w:styleId="Obsah2">
    <w:name w:val="toc 2"/>
    <w:basedOn w:val="Normln"/>
    <w:next w:val="Normln"/>
    <w:autoRedefine/>
    <w:uiPriority w:val="39"/>
    <w:unhideWhenUsed/>
    <w:rsid w:val="00251787"/>
    <w:pPr>
      <w:tabs>
        <w:tab w:val="left" w:pos="709"/>
        <w:tab w:val="right" w:leader="dot" w:pos="9628"/>
      </w:tabs>
      <w:spacing w:before="0"/>
      <w:ind w:left="220"/>
    </w:pPr>
  </w:style>
  <w:style w:type="paragraph" w:styleId="Obsah3">
    <w:name w:val="toc 3"/>
    <w:basedOn w:val="Normln"/>
    <w:next w:val="Normln"/>
    <w:autoRedefine/>
    <w:uiPriority w:val="39"/>
    <w:unhideWhenUsed/>
    <w:rsid w:val="00251787"/>
    <w:pPr>
      <w:tabs>
        <w:tab w:val="left" w:pos="1134"/>
        <w:tab w:val="right" w:leader="dot" w:pos="9628"/>
      </w:tabs>
      <w:spacing w:before="0"/>
      <w:ind w:left="440"/>
    </w:pPr>
  </w:style>
  <w:style w:type="character" w:styleId="Hypertextovodkaz">
    <w:name w:val="Hyperlink"/>
    <w:basedOn w:val="Standardnpsmoodstavce"/>
    <w:uiPriority w:val="99"/>
    <w:unhideWhenUsed/>
    <w:rsid w:val="00626D52"/>
    <w:rPr>
      <w:color w:val="0563C1" w:themeColor="hyperlink"/>
      <w:u w:val="single"/>
    </w:rPr>
  </w:style>
  <w:style w:type="paragraph" w:styleId="Seznamobrzk">
    <w:name w:val="table of figures"/>
    <w:basedOn w:val="Normln"/>
    <w:next w:val="Normln"/>
    <w:uiPriority w:val="99"/>
    <w:unhideWhenUsed/>
    <w:rsid w:val="00BC4C51"/>
  </w:style>
  <w:style w:type="paragraph" w:styleId="Textbubliny">
    <w:name w:val="Balloon Text"/>
    <w:basedOn w:val="Normln"/>
    <w:link w:val="TextbublinyChar"/>
    <w:unhideWhenUsed/>
    <w:rsid w:val="002B2B38"/>
    <w:pPr>
      <w:spacing w:before="0"/>
    </w:pPr>
    <w:rPr>
      <w:rFonts w:ascii="Tahoma" w:hAnsi="Tahoma" w:cs="Tahoma"/>
      <w:sz w:val="16"/>
      <w:szCs w:val="16"/>
    </w:rPr>
  </w:style>
  <w:style w:type="character" w:customStyle="1" w:styleId="TextbublinyChar">
    <w:name w:val="Text bubliny Char"/>
    <w:basedOn w:val="Standardnpsmoodstavce"/>
    <w:link w:val="Textbubliny"/>
    <w:rsid w:val="002B2B38"/>
    <w:rPr>
      <w:rFonts w:ascii="Tahoma" w:hAnsi="Tahoma" w:cs="Tahoma"/>
      <w:sz w:val="16"/>
      <w:szCs w:val="16"/>
    </w:rPr>
  </w:style>
  <w:style w:type="paragraph" w:customStyle="1" w:styleId="tabgraf0">
    <w:name w:val="tab_graf"/>
    <w:link w:val="tabgrafChar0"/>
    <w:rsid w:val="000C6C21"/>
    <w:pPr>
      <w:spacing w:after="120" w:line="240" w:lineRule="auto"/>
    </w:pPr>
    <w:rPr>
      <w:rFonts w:ascii="Times New Roman" w:eastAsia="Times New Roman" w:hAnsi="Times New Roman" w:cs="Times New Roman"/>
      <w:sz w:val="20"/>
      <w:szCs w:val="20"/>
      <w:lang w:eastAsia="cs-CZ"/>
    </w:rPr>
  </w:style>
  <w:style w:type="character" w:customStyle="1" w:styleId="tabgrafChar0">
    <w:name w:val="tab_graf Char"/>
    <w:link w:val="tabgraf0"/>
    <w:rsid w:val="000C6C21"/>
    <w:rPr>
      <w:rFonts w:ascii="Times New Roman" w:eastAsia="Times New Roman" w:hAnsi="Times New Roman" w:cs="Times New Roman"/>
      <w:sz w:val="20"/>
      <w:szCs w:val="20"/>
      <w:lang w:eastAsia="cs-CZ"/>
    </w:rPr>
  </w:style>
  <w:style w:type="character" w:styleId="slostrnky">
    <w:name w:val="page number"/>
    <w:basedOn w:val="Standardnpsmoodstavce"/>
    <w:rsid w:val="00E109A1"/>
  </w:style>
  <w:style w:type="paragraph" w:styleId="Rejstk1">
    <w:name w:val="index 1"/>
    <w:basedOn w:val="Normln"/>
    <w:next w:val="Normln"/>
    <w:uiPriority w:val="99"/>
    <w:semiHidden/>
    <w:rsid w:val="00E109A1"/>
    <w:pPr>
      <w:tabs>
        <w:tab w:val="left" w:pos="7797"/>
        <w:tab w:val="left" w:pos="8080"/>
        <w:tab w:val="left" w:pos="8789"/>
      </w:tabs>
      <w:spacing w:line="360" w:lineRule="auto"/>
      <w:ind w:right="-1" w:firstLine="720"/>
    </w:pPr>
    <w:rPr>
      <w:rFonts w:ascii="Times New Roman" w:eastAsia="Times New Roman" w:hAnsi="Times New Roman" w:cs="Times New Roman"/>
      <w:sz w:val="24"/>
      <w:szCs w:val="20"/>
      <w:lang w:eastAsia="cs-CZ"/>
    </w:rPr>
  </w:style>
  <w:style w:type="paragraph" w:styleId="Obsah4">
    <w:name w:val="toc 4"/>
    <w:basedOn w:val="Normln"/>
    <w:next w:val="Normln"/>
    <w:autoRedefine/>
    <w:uiPriority w:val="39"/>
    <w:rsid w:val="00E109A1"/>
    <w:pPr>
      <w:spacing w:before="0"/>
      <w:ind w:left="720"/>
      <w:jc w:val="left"/>
    </w:pPr>
    <w:rPr>
      <w:rFonts w:ascii="Times New Roman" w:eastAsia="Times New Roman" w:hAnsi="Times New Roman" w:cs="Times New Roman"/>
      <w:sz w:val="18"/>
      <w:szCs w:val="18"/>
      <w:lang w:eastAsia="cs-CZ"/>
    </w:rPr>
  </w:style>
  <w:style w:type="paragraph" w:styleId="Rozloendokumentu">
    <w:name w:val="Document Map"/>
    <w:basedOn w:val="Normln"/>
    <w:link w:val="RozloendokumentuChar"/>
    <w:semiHidden/>
    <w:rsid w:val="00E109A1"/>
    <w:pPr>
      <w:shd w:val="clear" w:color="auto" w:fill="000080"/>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uiPriority w:val="99"/>
    <w:semiHidden/>
    <w:rsid w:val="00E109A1"/>
    <w:rPr>
      <w:rFonts w:ascii="Tahoma" w:eastAsia="Times New Roman" w:hAnsi="Tahoma" w:cs="Tahoma"/>
      <w:sz w:val="20"/>
      <w:szCs w:val="20"/>
      <w:shd w:val="clear" w:color="auto" w:fill="000080"/>
      <w:lang w:eastAsia="cs-CZ"/>
    </w:rPr>
  </w:style>
  <w:style w:type="character" w:styleId="Odkaznakoment">
    <w:name w:val="annotation reference"/>
    <w:rsid w:val="00E109A1"/>
    <w:rPr>
      <w:sz w:val="16"/>
      <w:szCs w:val="16"/>
    </w:rPr>
  </w:style>
  <w:style w:type="character" w:customStyle="1" w:styleId="StylZnakapoznpodarouTun">
    <w:name w:val="Styl Značka pozn. pod čarou + Tučné"/>
    <w:rsid w:val="00E109A1"/>
    <w:rPr>
      <w:bCs/>
      <w:position w:val="6"/>
      <w:sz w:val="16"/>
    </w:rPr>
  </w:style>
  <w:style w:type="paragraph" w:styleId="Textkomente">
    <w:name w:val="annotation text"/>
    <w:basedOn w:val="Normln"/>
    <w:link w:val="TextkomenteChar"/>
    <w:rsid w:val="00E109A1"/>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E109A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E109A1"/>
    <w:rPr>
      <w:b/>
      <w:bCs/>
    </w:rPr>
  </w:style>
  <w:style w:type="character" w:customStyle="1" w:styleId="PedmtkomenteChar">
    <w:name w:val="Předmět komentáře Char"/>
    <w:basedOn w:val="TextkomenteChar"/>
    <w:link w:val="Pedmtkomente"/>
    <w:rsid w:val="00E109A1"/>
    <w:rPr>
      <w:rFonts w:ascii="Times New Roman" w:eastAsia="Times New Roman" w:hAnsi="Times New Roman" w:cs="Times New Roman"/>
      <w:b/>
      <w:bCs/>
      <w:sz w:val="20"/>
      <w:szCs w:val="20"/>
      <w:lang w:eastAsia="cs-CZ"/>
    </w:rPr>
  </w:style>
  <w:style w:type="paragraph" w:customStyle="1" w:styleId="Box">
    <w:name w:val="Box"/>
    <w:basedOn w:val="Normln"/>
    <w:next w:val="Normln"/>
    <w:uiPriority w:val="99"/>
    <w:rsid w:val="00E109A1"/>
    <w:pPr>
      <w:pBdr>
        <w:top w:val="single" w:sz="4" w:space="1" w:color="auto"/>
        <w:left w:val="single" w:sz="4" w:space="4" w:color="auto"/>
        <w:bottom w:val="single" w:sz="4" w:space="1" w:color="auto"/>
        <w:right w:val="single" w:sz="4" w:space="4" w:color="auto"/>
      </w:pBdr>
      <w:shd w:val="clear" w:color="auto" w:fill="E6E6E6"/>
    </w:pPr>
    <w:rPr>
      <w:rFonts w:ascii="Times New Roman" w:eastAsia="Times New Roman" w:hAnsi="Times New Roman" w:cs="Times New Roman"/>
      <w:sz w:val="20"/>
      <w:szCs w:val="24"/>
      <w:lang w:eastAsia="cs-CZ"/>
    </w:rPr>
  </w:style>
  <w:style w:type="paragraph" w:customStyle="1" w:styleId="Styl18bTunzarovnnnasted">
    <w:name w:val="Styl 18 b. Tučné zarovnání na střed"/>
    <w:basedOn w:val="Normln"/>
    <w:rsid w:val="00E109A1"/>
    <w:pPr>
      <w:jc w:val="center"/>
    </w:pPr>
    <w:rPr>
      <w:rFonts w:ascii="Times New Roman" w:eastAsia="Times New Roman" w:hAnsi="Times New Roman" w:cs="Times New Roman"/>
      <w:b/>
      <w:bCs/>
      <w:caps/>
      <w:sz w:val="40"/>
      <w:szCs w:val="40"/>
      <w:lang w:eastAsia="cs-CZ"/>
    </w:rPr>
  </w:style>
  <w:style w:type="paragraph" w:styleId="Obsah5">
    <w:name w:val="toc 5"/>
    <w:basedOn w:val="Normln"/>
    <w:next w:val="Normln"/>
    <w:autoRedefine/>
    <w:uiPriority w:val="39"/>
    <w:rsid w:val="00E109A1"/>
    <w:pPr>
      <w:spacing w:before="0"/>
      <w:ind w:left="960"/>
      <w:jc w:val="left"/>
    </w:pPr>
    <w:rPr>
      <w:rFonts w:ascii="Times New Roman" w:eastAsia="Times New Roman" w:hAnsi="Times New Roman" w:cs="Times New Roman"/>
      <w:sz w:val="18"/>
      <w:szCs w:val="18"/>
      <w:lang w:eastAsia="cs-CZ"/>
    </w:rPr>
  </w:style>
  <w:style w:type="paragraph" w:styleId="Obsah6">
    <w:name w:val="toc 6"/>
    <w:basedOn w:val="Normln"/>
    <w:next w:val="Normln"/>
    <w:autoRedefine/>
    <w:uiPriority w:val="39"/>
    <w:rsid w:val="00E109A1"/>
    <w:pPr>
      <w:spacing w:before="0"/>
      <w:ind w:left="1200"/>
      <w:jc w:val="left"/>
    </w:pPr>
    <w:rPr>
      <w:rFonts w:ascii="Times New Roman" w:eastAsia="Times New Roman" w:hAnsi="Times New Roman" w:cs="Times New Roman"/>
      <w:sz w:val="18"/>
      <w:szCs w:val="18"/>
      <w:lang w:eastAsia="cs-CZ"/>
    </w:rPr>
  </w:style>
  <w:style w:type="paragraph" w:styleId="Obsah7">
    <w:name w:val="toc 7"/>
    <w:basedOn w:val="Normln"/>
    <w:next w:val="Normln"/>
    <w:autoRedefine/>
    <w:uiPriority w:val="39"/>
    <w:rsid w:val="00E109A1"/>
    <w:pPr>
      <w:spacing w:before="0"/>
      <w:ind w:left="1440"/>
      <w:jc w:val="left"/>
    </w:pPr>
    <w:rPr>
      <w:rFonts w:ascii="Times New Roman" w:eastAsia="Times New Roman" w:hAnsi="Times New Roman" w:cs="Times New Roman"/>
      <w:sz w:val="18"/>
      <w:szCs w:val="18"/>
      <w:lang w:eastAsia="cs-CZ"/>
    </w:rPr>
  </w:style>
  <w:style w:type="paragraph" w:styleId="Obsah8">
    <w:name w:val="toc 8"/>
    <w:basedOn w:val="Normln"/>
    <w:next w:val="Normln"/>
    <w:autoRedefine/>
    <w:uiPriority w:val="39"/>
    <w:rsid w:val="00E109A1"/>
    <w:pPr>
      <w:spacing w:before="0"/>
      <w:ind w:left="1680"/>
      <w:jc w:val="left"/>
    </w:pPr>
    <w:rPr>
      <w:rFonts w:ascii="Times New Roman" w:eastAsia="Times New Roman" w:hAnsi="Times New Roman" w:cs="Times New Roman"/>
      <w:sz w:val="18"/>
      <w:szCs w:val="18"/>
      <w:lang w:eastAsia="cs-CZ"/>
    </w:rPr>
  </w:style>
  <w:style w:type="paragraph" w:styleId="Obsah9">
    <w:name w:val="toc 9"/>
    <w:basedOn w:val="Normln"/>
    <w:next w:val="Normln"/>
    <w:autoRedefine/>
    <w:uiPriority w:val="39"/>
    <w:rsid w:val="00E109A1"/>
    <w:pPr>
      <w:spacing w:before="0"/>
      <w:ind w:left="1920"/>
      <w:jc w:val="left"/>
    </w:pPr>
    <w:rPr>
      <w:rFonts w:ascii="Times New Roman" w:eastAsia="Times New Roman" w:hAnsi="Times New Roman" w:cs="Times New Roman"/>
      <w:sz w:val="18"/>
      <w:szCs w:val="18"/>
      <w:lang w:eastAsia="cs-CZ"/>
    </w:rPr>
  </w:style>
  <w:style w:type="paragraph" w:customStyle="1" w:styleId="hlnadpis4">
    <w:name w:val="hl nadpis4"/>
    <w:basedOn w:val="Normln"/>
    <w:rsid w:val="00E109A1"/>
    <w:pPr>
      <w:overflowPunct w:val="0"/>
      <w:autoSpaceDE w:val="0"/>
      <w:autoSpaceDN w:val="0"/>
      <w:adjustRightInd w:val="0"/>
      <w:spacing w:before="360" w:after="120" w:line="360" w:lineRule="auto"/>
      <w:ind w:left="567"/>
      <w:jc w:val="center"/>
      <w:textAlignment w:val="baseline"/>
    </w:pPr>
    <w:rPr>
      <w:rFonts w:ascii="Times New Roman" w:eastAsia="Times New Roman" w:hAnsi="Times New Roman" w:cs="Times New Roman"/>
      <w:caps/>
      <w:spacing w:val="20"/>
      <w:sz w:val="24"/>
      <w:szCs w:val="20"/>
      <w:lang w:eastAsia="cs-CZ"/>
    </w:rPr>
  </w:style>
  <w:style w:type="paragraph" w:customStyle="1" w:styleId="ObalSZU">
    <w:name w:val="Obal SZU"/>
    <w:basedOn w:val="Normln"/>
    <w:rsid w:val="00E109A1"/>
    <w:pPr>
      <w:jc w:val="center"/>
    </w:pPr>
    <w:rPr>
      <w:rFonts w:ascii="Times New Roman" w:eastAsia="Times New Roman" w:hAnsi="Times New Roman" w:cs="Times New Roman"/>
      <w:b/>
      <w:caps/>
      <w:sz w:val="40"/>
      <w:szCs w:val="24"/>
      <w:lang w:eastAsia="cs-CZ"/>
    </w:rPr>
  </w:style>
  <w:style w:type="paragraph" w:customStyle="1" w:styleId="ObalSZUmodre">
    <w:name w:val="Obal SZU modre"/>
    <w:basedOn w:val="ObalSZU"/>
    <w:rsid w:val="00E109A1"/>
    <w:rPr>
      <w:color w:val="000080"/>
    </w:rPr>
  </w:style>
  <w:style w:type="paragraph" w:customStyle="1" w:styleId="Standardnstyl">
    <w:name w:val="Standardní styl"/>
    <w:link w:val="StandardnstylChar"/>
    <w:autoRedefine/>
    <w:rsid w:val="00E109A1"/>
    <w:pPr>
      <w:spacing w:after="0" w:line="240" w:lineRule="auto"/>
      <w:ind w:firstLine="539"/>
      <w:jc w:val="both"/>
    </w:pPr>
    <w:rPr>
      <w:rFonts w:ascii="Times New Roman" w:eastAsia="Times New Roman" w:hAnsi="Times New Roman" w:cs="Times New Roman"/>
      <w:sz w:val="20"/>
      <w:szCs w:val="20"/>
      <w:lang w:eastAsia="cs-CZ"/>
    </w:rPr>
  </w:style>
  <w:style w:type="character" w:customStyle="1" w:styleId="StandardnstylChar">
    <w:name w:val="Standardní styl Char"/>
    <w:link w:val="Standardnstyl"/>
    <w:rsid w:val="00E109A1"/>
    <w:rPr>
      <w:rFonts w:ascii="Times New Roman" w:eastAsia="Times New Roman" w:hAnsi="Times New Roman" w:cs="Times New Roman"/>
      <w:sz w:val="20"/>
      <w:szCs w:val="20"/>
      <w:lang w:eastAsia="cs-CZ"/>
    </w:rPr>
  </w:style>
  <w:style w:type="paragraph" w:styleId="Zkladntext">
    <w:name w:val="Body Text"/>
    <w:aliases w:val="block style,b,BT,letter title,bt,bt wide,_SWBodyText,bt wide heading,Bodytext"/>
    <w:basedOn w:val="Normln"/>
    <w:link w:val="ZkladntextChar"/>
    <w:rsid w:val="00E109A1"/>
    <w:pPr>
      <w:tabs>
        <w:tab w:val="left" w:pos="7797"/>
        <w:tab w:val="left" w:pos="8080"/>
        <w:tab w:val="left" w:pos="8789"/>
      </w:tabs>
      <w:spacing w:after="120" w:line="240" w:lineRule="atLeast"/>
      <w:ind w:right="-1"/>
      <w:jc w:val="left"/>
    </w:pPr>
    <w:rPr>
      <w:rFonts w:ascii="Times New Roman" w:eastAsia="Times New Roman" w:hAnsi="Times New Roman" w:cs="Times New Roman"/>
      <w:sz w:val="24"/>
      <w:szCs w:val="20"/>
      <w:lang w:eastAsia="cs-CZ"/>
    </w:rPr>
  </w:style>
  <w:style w:type="character" w:customStyle="1" w:styleId="ZkladntextChar">
    <w:name w:val="Základní text Char"/>
    <w:aliases w:val="block style Char,b Char,BT Char,letter title Char,bt Char,bt wide Char,_SWBodyText Char,bt wide heading Char,Bodytext Char"/>
    <w:basedOn w:val="Standardnpsmoodstavce"/>
    <w:link w:val="Zkladntext"/>
    <w:rsid w:val="00E109A1"/>
    <w:rPr>
      <w:rFonts w:ascii="Times New Roman" w:eastAsia="Times New Roman" w:hAnsi="Times New Roman" w:cs="Times New Roman"/>
      <w:sz w:val="24"/>
      <w:szCs w:val="20"/>
      <w:lang w:eastAsia="cs-CZ"/>
    </w:rPr>
  </w:style>
  <w:style w:type="paragraph" w:customStyle="1" w:styleId="Zkladntext21">
    <w:name w:val="Základní text 21"/>
    <w:basedOn w:val="Normln"/>
    <w:link w:val="BodyText2Char"/>
    <w:rsid w:val="00E109A1"/>
    <w:pPr>
      <w:overflowPunct w:val="0"/>
      <w:autoSpaceDE w:val="0"/>
      <w:autoSpaceDN w:val="0"/>
      <w:adjustRightInd w:val="0"/>
      <w:spacing w:before="0"/>
      <w:textAlignment w:val="baseline"/>
    </w:pPr>
    <w:rPr>
      <w:rFonts w:ascii="Times New Roman" w:eastAsia="Times New Roman" w:hAnsi="Times New Roman" w:cs="Times New Roman"/>
      <w:sz w:val="24"/>
      <w:szCs w:val="20"/>
      <w:lang w:eastAsia="cs-CZ"/>
    </w:rPr>
  </w:style>
  <w:style w:type="character" w:customStyle="1" w:styleId="BodyText2Char">
    <w:name w:val="Body Text 2 Char"/>
    <w:link w:val="Zkladntext21"/>
    <w:rsid w:val="00E109A1"/>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E109A1"/>
    <w:pPr>
      <w:spacing w:line="360" w:lineRule="atLeast"/>
      <w:ind w:firstLine="567"/>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E109A1"/>
    <w:pPr>
      <w:spacing w:after="120"/>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E109A1"/>
    <w:rPr>
      <w:rFonts w:ascii="Times New Roman" w:eastAsia="Times New Roman" w:hAnsi="Times New Roman" w:cs="Times New Roman"/>
      <w:sz w:val="24"/>
      <w:szCs w:val="24"/>
      <w:lang w:eastAsia="cs-CZ"/>
    </w:rPr>
  </w:style>
  <w:style w:type="paragraph" w:customStyle="1" w:styleId="Nadpis5tun">
    <w:name w:val="Nadpis 5 (tučně"/>
    <w:aliases w:val="bez číslování)"/>
    <w:basedOn w:val="Nadpis4"/>
    <w:link w:val="Nadpis5tunChar"/>
    <w:uiPriority w:val="99"/>
    <w:rsid w:val="00E109A1"/>
    <w:pPr>
      <w:spacing w:before="120" w:after="120"/>
      <w:jc w:val="both"/>
    </w:pPr>
    <w:rPr>
      <w:rFonts w:ascii="Times New Roman" w:eastAsia="Times New Roman" w:hAnsi="Times New Roman" w:cs="Times New Roman"/>
      <w:iCs w:val="0"/>
      <w:sz w:val="24"/>
      <w:szCs w:val="20"/>
      <w:lang w:eastAsia="cs-CZ"/>
    </w:rPr>
  </w:style>
  <w:style w:type="character" w:customStyle="1" w:styleId="Nadpis5tunChar">
    <w:name w:val="Nadpis 5 (tučně Char"/>
    <w:aliases w:val="bez číslování) Char"/>
    <w:basedOn w:val="Nadpis4Char"/>
    <w:link w:val="Nadpis5tun"/>
    <w:uiPriority w:val="99"/>
    <w:rsid w:val="00E109A1"/>
    <w:rPr>
      <w:rFonts w:ascii="Times New Roman" w:eastAsia="Times New Roman" w:hAnsi="Times New Roman" w:cs="Times New Roman"/>
      <w:b/>
      <w:iCs w:val="0"/>
      <w:color w:val="2F5496" w:themeColor="accent5" w:themeShade="BF"/>
      <w:sz w:val="24"/>
      <w:szCs w:val="20"/>
      <w:lang w:eastAsia="cs-CZ"/>
    </w:rPr>
  </w:style>
  <w:style w:type="paragraph" w:styleId="Zkladntextodsazen2">
    <w:name w:val="Body Text Indent 2"/>
    <w:basedOn w:val="Normln"/>
    <w:link w:val="Zkladntextodsazen2Char"/>
    <w:rsid w:val="00E109A1"/>
    <w:pPr>
      <w:spacing w:after="120" w:line="480" w:lineRule="auto"/>
      <w:ind w:left="283"/>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E109A1"/>
    <w:rPr>
      <w:rFonts w:ascii="Times New Roman" w:eastAsia="Times New Roman" w:hAnsi="Times New Roman" w:cs="Times New Roman"/>
      <w:sz w:val="24"/>
      <w:szCs w:val="24"/>
      <w:lang w:eastAsia="cs-CZ"/>
    </w:rPr>
  </w:style>
  <w:style w:type="paragraph" w:styleId="Seznamsodrkami2">
    <w:name w:val="List Bullet 2"/>
    <w:basedOn w:val="Normln"/>
    <w:autoRedefine/>
    <w:rsid w:val="00E109A1"/>
    <w:pPr>
      <w:spacing w:line="360" w:lineRule="atLeast"/>
      <w:ind w:firstLine="567"/>
    </w:pPr>
    <w:rPr>
      <w:rFonts w:ascii="Times New Roman" w:eastAsia="Times New Roman" w:hAnsi="Times New Roman" w:cs="Times New Roman"/>
      <w:bCs/>
      <w:sz w:val="24"/>
      <w:szCs w:val="24"/>
      <w:lang w:eastAsia="cs-CZ"/>
    </w:rPr>
  </w:style>
  <w:style w:type="paragraph" w:customStyle="1" w:styleId="KOMtext">
    <w:name w:val="KOMtext"/>
    <w:basedOn w:val="Zkladntext"/>
    <w:link w:val="KOMtextChar"/>
    <w:rsid w:val="00E109A1"/>
    <w:pPr>
      <w:tabs>
        <w:tab w:val="clear" w:pos="7797"/>
        <w:tab w:val="clear" w:pos="8080"/>
        <w:tab w:val="clear" w:pos="8789"/>
      </w:tabs>
      <w:spacing w:before="0" w:line="240" w:lineRule="auto"/>
      <w:ind w:right="0" w:firstLine="567"/>
      <w:jc w:val="both"/>
    </w:pPr>
  </w:style>
  <w:style w:type="character" w:customStyle="1" w:styleId="KOMtextChar">
    <w:name w:val="KOMtext Char"/>
    <w:link w:val="KOMtext"/>
    <w:rsid w:val="00E109A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E109A1"/>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E109A1"/>
    <w:rPr>
      <w:rFonts w:ascii="Times New Roman" w:eastAsia="Times New Roman" w:hAnsi="Times New Roman" w:cs="Times New Roman"/>
      <w:sz w:val="24"/>
      <w:szCs w:val="24"/>
      <w:lang w:eastAsia="cs-CZ"/>
    </w:rPr>
  </w:style>
  <w:style w:type="paragraph" w:styleId="Normlnweb">
    <w:name w:val="Normal (Web)"/>
    <w:basedOn w:val="Normln"/>
    <w:uiPriority w:val="99"/>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rsid w:val="00E109A1"/>
    <w:rPr>
      <w:b/>
      <w:bCs/>
    </w:rPr>
  </w:style>
  <w:style w:type="paragraph" w:styleId="Zkladntextodsazen3">
    <w:name w:val="Body Text Indent 3"/>
    <w:basedOn w:val="Normln"/>
    <w:link w:val="Zkladntextodsazen3Char"/>
    <w:rsid w:val="00E109A1"/>
    <w:pPr>
      <w:spacing w:before="0" w:after="120"/>
      <w:ind w:left="283"/>
      <w:jc w:val="left"/>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E109A1"/>
    <w:rPr>
      <w:rFonts w:ascii="Times New Roman" w:eastAsia="Times New Roman" w:hAnsi="Times New Roman" w:cs="Times New Roman"/>
      <w:sz w:val="16"/>
      <w:szCs w:val="16"/>
      <w:lang w:eastAsia="cs-CZ"/>
    </w:rPr>
  </w:style>
  <w:style w:type="paragraph" w:customStyle="1" w:styleId="xl26">
    <w:name w:val="xl26"/>
    <w:basedOn w:val="Normln"/>
    <w:rsid w:val="00E109A1"/>
    <w:pPr>
      <w:spacing w:before="100" w:beforeAutospacing="1" w:after="100" w:afterAutospacing="1"/>
      <w:jc w:val="right"/>
    </w:pPr>
    <w:rPr>
      <w:rFonts w:ascii="Times New Roman" w:eastAsia="Arial Unicode MS" w:hAnsi="Times New Roman" w:cs="Times New Roman"/>
      <w:sz w:val="16"/>
      <w:szCs w:val="16"/>
      <w:lang w:eastAsia="cs-CZ"/>
    </w:rPr>
  </w:style>
  <w:style w:type="paragraph" w:styleId="Zkladntext3">
    <w:name w:val="Body Text 3"/>
    <w:basedOn w:val="Normln"/>
    <w:link w:val="Zkladntext3Char"/>
    <w:uiPriority w:val="99"/>
    <w:rsid w:val="00E109A1"/>
    <w:pPr>
      <w:spacing w:before="0" w:after="120"/>
      <w:jc w:val="left"/>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uiPriority w:val="99"/>
    <w:rsid w:val="00E109A1"/>
    <w:rPr>
      <w:rFonts w:ascii="Times New Roman" w:eastAsia="Times New Roman" w:hAnsi="Times New Roman" w:cs="Times New Roman"/>
      <w:sz w:val="16"/>
      <w:szCs w:val="16"/>
      <w:lang w:eastAsia="cs-CZ"/>
    </w:rPr>
  </w:style>
  <w:style w:type="paragraph" w:customStyle="1" w:styleId="Poznpodarou">
    <w:name w:val="Pozn.pod čarou"/>
    <w:basedOn w:val="Textpoznpodarou"/>
    <w:link w:val="PoznpodarouChar"/>
    <w:rsid w:val="00E109A1"/>
    <w:pPr>
      <w:tabs>
        <w:tab w:val="left" w:pos="7797"/>
        <w:tab w:val="left" w:pos="8080"/>
        <w:tab w:val="left" w:pos="8789"/>
      </w:tabs>
    </w:pPr>
    <w:rPr>
      <w:rFonts w:ascii="Times New Roman" w:eastAsia="Times New Roman" w:hAnsi="Times New Roman" w:cs="Times New Roman"/>
      <w:lang w:eastAsia="cs-CZ"/>
    </w:rPr>
  </w:style>
  <w:style w:type="character" w:customStyle="1" w:styleId="PoznpodarouChar">
    <w:name w:val="Pozn.pod čarou Char"/>
    <w:link w:val="Poznpodarou"/>
    <w:rsid w:val="00E109A1"/>
    <w:rPr>
      <w:rFonts w:ascii="Times New Roman" w:eastAsia="Times New Roman" w:hAnsi="Times New Roman" w:cs="Times New Roman"/>
      <w:sz w:val="20"/>
      <w:szCs w:val="20"/>
      <w:lang w:eastAsia="cs-CZ"/>
    </w:rPr>
  </w:style>
  <w:style w:type="character" w:customStyle="1" w:styleId="FootnoteTextChar">
    <w:name w:val="Footnote Text Char"/>
    <w:aliases w:val="Schriftart: 9 pt Char1,Schriftart: 10 pt Char1,Schriftart: 8 pt Char1,Podrozdzia3 Char Char"/>
    <w:uiPriority w:val="99"/>
    <w:locked/>
    <w:rsid w:val="00E109A1"/>
    <w:rPr>
      <w:lang w:val="cs-CZ" w:eastAsia="cs-CZ" w:bidi="ar-SA"/>
    </w:rPr>
  </w:style>
  <w:style w:type="character" w:customStyle="1" w:styleId="CharChar">
    <w:name w:val="Char Char"/>
    <w:basedOn w:val="Standardnpsmoodstavce"/>
    <w:semiHidden/>
    <w:locked/>
    <w:rsid w:val="00E109A1"/>
  </w:style>
  <w:style w:type="character" w:styleId="Sledovanodkaz">
    <w:name w:val="FollowedHyperlink"/>
    <w:uiPriority w:val="99"/>
    <w:rsid w:val="00E109A1"/>
    <w:rPr>
      <w:color w:val="800080"/>
      <w:u w:val="single"/>
    </w:rPr>
  </w:style>
  <w:style w:type="character" w:customStyle="1" w:styleId="TextpoznpodarouChar1">
    <w:name w:val="Text pozn. pod čarou Char1"/>
    <w:rsid w:val="00E109A1"/>
  </w:style>
  <w:style w:type="paragraph" w:customStyle="1" w:styleId="Popisky">
    <w:name w:val="Popisky"/>
    <w:rsid w:val="00E109A1"/>
    <w:pPr>
      <w:spacing w:after="0" w:line="240" w:lineRule="auto"/>
    </w:pPr>
    <w:rPr>
      <w:rFonts w:ascii="Arial" w:eastAsia="Times New Roman" w:hAnsi="Arial" w:cs="Times New Roman"/>
      <w:sz w:val="20"/>
      <w:szCs w:val="20"/>
      <w:lang w:eastAsia="cs-CZ"/>
    </w:rPr>
  </w:style>
  <w:style w:type="table" w:styleId="Mkatabulky">
    <w:name w:val="Table Grid"/>
    <w:basedOn w:val="Normlntabulka"/>
    <w:uiPriority w:val="59"/>
    <w:rsid w:val="00E109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Kurzva">
    <w:name w:val="Styl Kurzíva"/>
    <w:basedOn w:val="Normln"/>
    <w:next w:val="Normln"/>
    <w:rsid w:val="00E109A1"/>
    <w:rPr>
      <w:rFonts w:ascii="Times New Roman" w:eastAsia="Times New Roman" w:hAnsi="Times New Roman" w:cs="Times New Roman"/>
      <w:i/>
      <w:iCs/>
      <w:sz w:val="24"/>
      <w:szCs w:val="24"/>
      <w:lang w:eastAsia="cs-CZ"/>
    </w:rPr>
  </w:style>
  <w:style w:type="paragraph" w:customStyle="1" w:styleId="StylKurzvaPed6b">
    <w:name w:val="Styl Kurzíva Před:  6 b."/>
    <w:basedOn w:val="Normln"/>
    <w:rsid w:val="00E109A1"/>
    <w:rPr>
      <w:rFonts w:ascii="Times New Roman" w:eastAsia="Times New Roman" w:hAnsi="Times New Roman" w:cs="Times New Roman"/>
      <w:i/>
      <w:iCs/>
      <w:sz w:val="24"/>
      <w:szCs w:val="20"/>
      <w:lang w:eastAsia="cs-CZ"/>
    </w:rPr>
  </w:style>
  <w:style w:type="paragraph" w:customStyle="1" w:styleId="xl30">
    <w:name w:val="xl30"/>
    <w:basedOn w:val="Normln"/>
    <w:rsid w:val="00E109A1"/>
    <w:pPr>
      <w:pBdr>
        <w:left w:val="single" w:sz="4" w:space="0" w:color="auto"/>
        <w:bottom w:val="single" w:sz="4" w:space="0" w:color="auto"/>
        <w:right w:val="single" w:sz="4" w:space="0" w:color="auto"/>
      </w:pBdr>
      <w:spacing w:before="100" w:after="100"/>
      <w:jc w:val="left"/>
      <w:textAlignment w:val="center"/>
    </w:pPr>
    <w:rPr>
      <w:rFonts w:ascii="Times New Roman" w:eastAsia="Arial Unicode MS" w:hAnsi="Times New Roman" w:cs="Times New Roman"/>
      <w:sz w:val="24"/>
      <w:szCs w:val="20"/>
      <w:lang w:eastAsia="cs-CZ"/>
    </w:rPr>
  </w:style>
  <w:style w:type="paragraph" w:customStyle="1" w:styleId="title1">
    <w:name w:val="title1"/>
    <w:basedOn w:val="Normln"/>
    <w:rsid w:val="00E109A1"/>
    <w:pPr>
      <w:spacing w:before="100" w:beforeAutospacing="1" w:after="100" w:afterAutospacing="1"/>
      <w:jc w:val="left"/>
    </w:pPr>
    <w:rPr>
      <w:rFonts w:ascii="Verdana" w:eastAsia="Times New Roman" w:hAnsi="Verdana" w:cs="Times New Roman"/>
      <w:color w:val="000000"/>
      <w:sz w:val="12"/>
      <w:szCs w:val="12"/>
      <w:lang w:eastAsia="cs-CZ"/>
    </w:rPr>
  </w:style>
  <w:style w:type="paragraph" w:customStyle="1" w:styleId="one-row">
    <w:name w:val="one-row"/>
    <w:basedOn w:val="Normln"/>
    <w:rsid w:val="00E109A1"/>
    <w:pPr>
      <w:spacing w:before="50" w:after="60"/>
      <w:ind w:left="20"/>
      <w:jc w:val="left"/>
    </w:pPr>
    <w:rPr>
      <w:rFonts w:ascii="Times New Roman" w:eastAsia="Times New Roman" w:hAnsi="Times New Roman" w:cs="Times New Roman"/>
      <w:color w:val="444444"/>
      <w:sz w:val="24"/>
      <w:szCs w:val="24"/>
      <w:lang w:eastAsia="cs-CZ"/>
    </w:rPr>
  </w:style>
  <w:style w:type="character" w:styleId="Zdraznn">
    <w:name w:val="Emphasis"/>
    <w:rsid w:val="00E109A1"/>
    <w:rPr>
      <w:i/>
      <w:iCs/>
    </w:rPr>
  </w:style>
  <w:style w:type="paragraph" w:styleId="z-Zatekformule">
    <w:name w:val="HTML Top of Form"/>
    <w:basedOn w:val="Normln"/>
    <w:next w:val="Normln"/>
    <w:link w:val="z-ZatekformuleChar"/>
    <w:hidden/>
    <w:rsid w:val="00E109A1"/>
    <w:pPr>
      <w:pBdr>
        <w:bottom w:val="single" w:sz="6" w:space="1" w:color="auto"/>
      </w:pBdr>
      <w:spacing w:before="0"/>
      <w:jc w:val="center"/>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rsid w:val="00E109A1"/>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rsid w:val="00E109A1"/>
    <w:pPr>
      <w:pBdr>
        <w:top w:val="single" w:sz="6" w:space="1" w:color="auto"/>
      </w:pBdr>
      <w:spacing w:before="0"/>
      <w:jc w:val="center"/>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rsid w:val="00E109A1"/>
    <w:rPr>
      <w:rFonts w:ascii="Arial" w:eastAsia="Times New Roman" w:hAnsi="Arial" w:cs="Arial"/>
      <w:vanish/>
      <w:sz w:val="16"/>
      <w:szCs w:val="16"/>
      <w:lang w:eastAsia="cs-CZ"/>
    </w:rPr>
  </w:style>
  <w:style w:type="character" w:customStyle="1" w:styleId="13127">
    <w:name w:val="13127"/>
    <w:semiHidden/>
    <w:rsid w:val="00E109A1"/>
    <w:rPr>
      <w:rFonts w:ascii="Arial" w:hAnsi="Arial" w:cs="Arial"/>
      <w:color w:val="000080"/>
      <w:sz w:val="20"/>
      <w:szCs w:val="20"/>
    </w:rPr>
  </w:style>
  <w:style w:type="paragraph" w:customStyle="1" w:styleId="Zkladntext210">
    <w:name w:val="Základní text 21"/>
    <w:basedOn w:val="Normln"/>
    <w:uiPriority w:val="99"/>
    <w:rsid w:val="00E109A1"/>
    <w:pPr>
      <w:overflowPunct w:val="0"/>
      <w:autoSpaceDE w:val="0"/>
      <w:autoSpaceDN w:val="0"/>
      <w:adjustRightInd w:val="0"/>
      <w:spacing w:before="240" w:after="120"/>
      <w:ind w:firstLine="709"/>
      <w:textAlignment w:val="baseline"/>
    </w:pPr>
    <w:rPr>
      <w:rFonts w:ascii="Times New Roman" w:eastAsia="Times New Roman" w:hAnsi="Times New Roman" w:cs="Times New Roman"/>
      <w:sz w:val="24"/>
      <w:szCs w:val="20"/>
      <w:lang w:eastAsia="cs-CZ"/>
    </w:rPr>
  </w:style>
  <w:style w:type="character" w:customStyle="1" w:styleId="CharChar0">
    <w:name w:val="Char Char"/>
    <w:uiPriority w:val="99"/>
    <w:semiHidden/>
    <w:locked/>
    <w:rsid w:val="00E109A1"/>
  </w:style>
  <w:style w:type="paragraph" w:styleId="Revize">
    <w:name w:val="Revision"/>
    <w:hidden/>
    <w:uiPriority w:val="99"/>
    <w:semiHidden/>
    <w:rsid w:val="00E109A1"/>
    <w:pPr>
      <w:spacing w:after="0" w:line="240" w:lineRule="auto"/>
    </w:pPr>
    <w:rPr>
      <w:rFonts w:ascii="Times New Roman" w:eastAsia="Times New Roman" w:hAnsi="Times New Roman" w:cs="Times New Roman"/>
      <w:sz w:val="24"/>
      <w:szCs w:val="24"/>
      <w:lang w:eastAsia="cs-CZ"/>
    </w:rPr>
  </w:style>
  <w:style w:type="paragraph" w:styleId="Zkladntext-prvnodsazen">
    <w:name w:val="Body Text First Indent"/>
    <w:basedOn w:val="Zkladntext"/>
    <w:link w:val="Zkladntext-prvnodsazenChar"/>
    <w:rsid w:val="00E109A1"/>
    <w:pPr>
      <w:tabs>
        <w:tab w:val="clear" w:pos="7797"/>
        <w:tab w:val="clear" w:pos="8080"/>
        <w:tab w:val="clear" w:pos="8789"/>
      </w:tabs>
      <w:spacing w:line="240" w:lineRule="auto"/>
      <w:ind w:right="0" w:firstLine="210"/>
      <w:jc w:val="both"/>
    </w:pPr>
    <w:rPr>
      <w:szCs w:val="24"/>
    </w:rPr>
  </w:style>
  <w:style w:type="character" w:customStyle="1" w:styleId="Zkladntext-prvnodsazenChar">
    <w:name w:val="Základní text - první odsazený Char"/>
    <w:basedOn w:val="ZkladntextChar"/>
    <w:link w:val="Zkladntext-prvnodsazen"/>
    <w:rsid w:val="00E109A1"/>
    <w:rPr>
      <w:rFonts w:ascii="Times New Roman" w:eastAsia="Times New Roman" w:hAnsi="Times New Roman" w:cs="Times New Roman"/>
      <w:sz w:val="24"/>
      <w:szCs w:val="24"/>
      <w:lang w:eastAsia="cs-CZ"/>
    </w:rPr>
  </w:style>
  <w:style w:type="character" w:customStyle="1" w:styleId="HlavnodstavecChar">
    <w:name w:val="Hlavní odstavec Char"/>
    <w:link w:val="Hlavnodstavec"/>
    <w:locked/>
    <w:rsid w:val="00E109A1"/>
    <w:rPr>
      <w:rFonts w:ascii="Calibri" w:hAnsi="Calibri" w:cs="Arial"/>
    </w:rPr>
  </w:style>
  <w:style w:type="paragraph" w:customStyle="1" w:styleId="Hlavnodstavec">
    <w:name w:val="Hlavní odstavec"/>
    <w:basedOn w:val="Normln"/>
    <w:link w:val="HlavnodstavecChar"/>
    <w:rsid w:val="00E109A1"/>
    <w:pPr>
      <w:spacing w:after="120"/>
    </w:pPr>
    <w:rPr>
      <w:rFonts w:ascii="Calibri" w:hAnsi="Calibri" w:cs="Arial"/>
    </w:rPr>
  </w:style>
  <w:style w:type="paragraph" w:customStyle="1" w:styleId="Odstavecseseznamem1">
    <w:name w:val="Odstavec se seznamem1"/>
    <w:aliases w:val="Nadpis pro KZ,odrážky,Odstavec se seznamem11"/>
    <w:basedOn w:val="Normln"/>
    <w:link w:val="OdstavecseseznamemChar"/>
    <w:uiPriority w:val="34"/>
    <w:rsid w:val="00E109A1"/>
    <w:pPr>
      <w:spacing w:before="0" w:after="200" w:line="276" w:lineRule="auto"/>
      <w:ind w:left="720"/>
      <w:contextualSpacing/>
      <w:jc w:val="left"/>
    </w:pPr>
    <w:rPr>
      <w:rFonts w:ascii="Arial" w:eastAsia="Calibri" w:hAnsi="Arial" w:cs="Arial"/>
    </w:rPr>
  </w:style>
  <w:style w:type="character" w:customStyle="1" w:styleId="OdstavecseseznamemChar">
    <w:name w:val="Odstavec se seznamem Char"/>
    <w:aliases w:val="Nadpis pro KZ Char,odrážky Char"/>
    <w:link w:val="Odstavecseseznamem1"/>
    <w:uiPriority w:val="34"/>
    <w:locked/>
    <w:rsid w:val="00E109A1"/>
    <w:rPr>
      <w:rFonts w:ascii="Arial" w:eastAsia="Calibri" w:hAnsi="Arial" w:cs="Arial"/>
    </w:rPr>
  </w:style>
  <w:style w:type="paragraph" w:customStyle="1" w:styleId="Bezmezer1">
    <w:name w:val="Bez mezer1"/>
    <w:rsid w:val="00E109A1"/>
    <w:pPr>
      <w:spacing w:after="0" w:line="240" w:lineRule="auto"/>
    </w:pPr>
    <w:rPr>
      <w:rFonts w:ascii="Calibri" w:eastAsia="Times New Roman" w:hAnsi="Calibri" w:cs="Times New Roman"/>
    </w:rPr>
  </w:style>
  <w:style w:type="paragraph" w:customStyle="1" w:styleId="ZKDvousloupcov">
    <w:name w:val="ZK_Dvousloupcový"/>
    <w:basedOn w:val="Normln"/>
    <w:link w:val="ZKDvousloupcovChar"/>
    <w:rsid w:val="00E109A1"/>
    <w:pPr>
      <w:spacing w:before="0" w:after="120" w:line="264" w:lineRule="auto"/>
    </w:pPr>
    <w:rPr>
      <w:rFonts w:ascii="Calibri" w:eastAsia="Times New Roman" w:hAnsi="Calibri" w:cs="Times New Roman"/>
      <w:kern w:val="20"/>
      <w:sz w:val="20"/>
      <w:szCs w:val="24"/>
      <w:lang w:eastAsia="cs-CZ"/>
    </w:rPr>
  </w:style>
  <w:style w:type="character" w:customStyle="1" w:styleId="ZKDvousloupcovChar">
    <w:name w:val="ZK_Dvousloupcový Char"/>
    <w:link w:val="ZKDvousloupcov"/>
    <w:rsid w:val="00E109A1"/>
    <w:rPr>
      <w:rFonts w:ascii="Calibri" w:eastAsia="Times New Roman" w:hAnsi="Calibri" w:cs="Times New Roman"/>
      <w:kern w:val="20"/>
      <w:sz w:val="20"/>
      <w:szCs w:val="24"/>
      <w:lang w:eastAsia="cs-CZ"/>
    </w:rPr>
  </w:style>
  <w:style w:type="paragraph" w:customStyle="1" w:styleId="Styl3">
    <w:name w:val="Styl3"/>
    <w:basedOn w:val="Normln"/>
    <w:rsid w:val="00E109A1"/>
    <w:pPr>
      <w:overflowPunct w:val="0"/>
      <w:autoSpaceDE w:val="0"/>
      <w:autoSpaceDN w:val="0"/>
      <w:adjustRightInd w:val="0"/>
      <w:spacing w:before="0"/>
      <w:jc w:val="left"/>
      <w:textAlignment w:val="baseline"/>
    </w:pPr>
    <w:rPr>
      <w:rFonts w:ascii="Times New Roman" w:eastAsia="Times New Roman" w:hAnsi="Times New Roman" w:cs="Times New Roman"/>
      <w:sz w:val="24"/>
      <w:szCs w:val="20"/>
      <w:lang w:eastAsia="cs-CZ"/>
    </w:rPr>
  </w:style>
  <w:style w:type="paragraph" w:customStyle="1" w:styleId="Default">
    <w:name w:val="Default"/>
    <w:rsid w:val="00E109A1"/>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rsid w:val="00E109A1"/>
    <w:pPr>
      <w:ind w:left="708"/>
    </w:pPr>
    <w:rPr>
      <w:rFonts w:ascii="Times New Roman" w:eastAsia="Times New Roman" w:hAnsi="Times New Roman" w:cs="Times New Roman"/>
      <w:sz w:val="24"/>
      <w:szCs w:val="24"/>
      <w:lang w:eastAsia="cs-CZ"/>
    </w:rPr>
  </w:style>
  <w:style w:type="character" w:customStyle="1" w:styleId="icon">
    <w:name w:val="icon"/>
    <w:rsid w:val="00E109A1"/>
  </w:style>
  <w:style w:type="paragraph" w:customStyle="1" w:styleId="publishdate">
    <w:name w:val="publishdate"/>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summary">
    <w:name w:val="summary"/>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character" w:customStyle="1" w:styleId="note">
    <w:name w:val="note"/>
    <w:rsid w:val="00E109A1"/>
  </w:style>
  <w:style w:type="paragraph" w:customStyle="1" w:styleId="Zkladntext31">
    <w:name w:val="Základní text 31"/>
    <w:basedOn w:val="Normln"/>
    <w:rsid w:val="00E109A1"/>
    <w:pPr>
      <w:overflowPunct w:val="0"/>
      <w:autoSpaceDE w:val="0"/>
      <w:autoSpaceDN w:val="0"/>
      <w:adjustRightInd w:val="0"/>
      <w:spacing w:before="0"/>
      <w:textAlignment w:val="baseline"/>
    </w:pPr>
    <w:rPr>
      <w:rFonts w:ascii="Times New Roman" w:eastAsia="Times New Roman" w:hAnsi="Times New Roman" w:cs="Times New Roman"/>
      <w:sz w:val="28"/>
      <w:szCs w:val="20"/>
      <w:lang w:eastAsia="cs-CZ"/>
    </w:rPr>
  </w:style>
  <w:style w:type="paragraph" w:customStyle="1" w:styleId="Nadpisparagrafu">
    <w:name w:val="Nadpis paragrafu"/>
    <w:basedOn w:val="Normln"/>
    <w:next w:val="Normln"/>
    <w:rsid w:val="00E109A1"/>
    <w:pPr>
      <w:keepNext/>
      <w:keepLines/>
      <w:overflowPunct w:val="0"/>
      <w:autoSpaceDE w:val="0"/>
      <w:autoSpaceDN w:val="0"/>
      <w:adjustRightInd w:val="0"/>
      <w:spacing w:before="240"/>
      <w:jc w:val="center"/>
      <w:textAlignment w:val="baseline"/>
    </w:pPr>
    <w:rPr>
      <w:rFonts w:ascii="Times New Roman" w:eastAsia="Times New Roman" w:hAnsi="Times New Roman" w:cs="Times New Roman"/>
      <w:b/>
      <w:sz w:val="24"/>
      <w:szCs w:val="20"/>
      <w:lang w:eastAsia="cs-CZ"/>
    </w:rPr>
  </w:style>
  <w:style w:type="paragraph" w:customStyle="1" w:styleId="xl27">
    <w:name w:val="xl27"/>
    <w:basedOn w:val="Normln"/>
    <w:rsid w:val="00E109A1"/>
    <w:pPr>
      <w:pBdr>
        <w:left w:val="single" w:sz="6" w:space="0" w:color="auto"/>
        <w:bottom w:val="single" w:sz="6" w:space="0" w:color="auto"/>
        <w:right w:val="single" w:sz="6" w:space="0" w:color="auto"/>
      </w:pBdr>
      <w:spacing w:before="100" w:after="100"/>
      <w:jc w:val="left"/>
    </w:pPr>
    <w:rPr>
      <w:rFonts w:ascii="Times New Roman" w:eastAsia="Times New Roman" w:hAnsi="Times New Roman" w:cs="Times New Roman"/>
      <w:sz w:val="24"/>
      <w:szCs w:val="20"/>
      <w:lang w:eastAsia="cs-CZ"/>
    </w:rPr>
  </w:style>
  <w:style w:type="paragraph" w:customStyle="1" w:styleId="Zkladntext22">
    <w:name w:val="Základní text 22"/>
    <w:basedOn w:val="Normln"/>
    <w:rsid w:val="00E109A1"/>
    <w:pPr>
      <w:overflowPunct w:val="0"/>
      <w:autoSpaceDE w:val="0"/>
      <w:autoSpaceDN w:val="0"/>
      <w:adjustRightInd w:val="0"/>
      <w:spacing w:before="0" w:line="360" w:lineRule="auto"/>
      <w:ind w:firstLine="709"/>
      <w:textAlignment w:val="baseline"/>
    </w:pPr>
    <w:rPr>
      <w:rFonts w:ascii="Times New Roman" w:eastAsia="Times New Roman" w:hAnsi="Times New Roman" w:cs="Times New Roman"/>
      <w:sz w:val="24"/>
      <w:szCs w:val="20"/>
      <w:lang w:eastAsia="cs-CZ"/>
    </w:rPr>
  </w:style>
  <w:style w:type="paragraph" w:customStyle="1" w:styleId="Pa13">
    <w:name w:val="Pa13"/>
    <w:basedOn w:val="Normln"/>
    <w:next w:val="Normln"/>
    <w:uiPriority w:val="99"/>
    <w:rsid w:val="00E109A1"/>
    <w:pPr>
      <w:autoSpaceDE w:val="0"/>
      <w:autoSpaceDN w:val="0"/>
      <w:adjustRightInd w:val="0"/>
      <w:spacing w:before="0" w:line="181" w:lineRule="atLeast"/>
      <w:jc w:val="left"/>
    </w:pPr>
    <w:rPr>
      <w:rFonts w:ascii="Verdana" w:eastAsia="Times New Roman" w:hAnsi="Verdana" w:cs="Times New Roman"/>
      <w:sz w:val="24"/>
      <w:szCs w:val="24"/>
      <w:lang w:eastAsia="cs-CZ"/>
    </w:rPr>
  </w:style>
  <w:style w:type="paragraph" w:styleId="Textvysvtlivek">
    <w:name w:val="endnote text"/>
    <w:basedOn w:val="Normln"/>
    <w:link w:val="TextvysvtlivekChar"/>
    <w:rsid w:val="00E109A1"/>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rsid w:val="00E109A1"/>
    <w:rPr>
      <w:rFonts w:ascii="Times New Roman" w:eastAsia="Times New Roman" w:hAnsi="Times New Roman" w:cs="Times New Roman"/>
      <w:sz w:val="20"/>
      <w:szCs w:val="20"/>
      <w:lang w:eastAsia="cs-CZ"/>
    </w:rPr>
  </w:style>
  <w:style w:type="character" w:styleId="Odkaznavysvtlivky">
    <w:name w:val="endnote reference"/>
    <w:rsid w:val="00E109A1"/>
    <w:rPr>
      <w:vertAlign w:val="superscript"/>
    </w:rPr>
  </w:style>
  <w:style w:type="paragraph" w:customStyle="1" w:styleId="odrka">
    <w:name w:val="odrážka"/>
    <w:basedOn w:val="Odstavecseseznamem"/>
    <w:qFormat/>
    <w:rsid w:val="00596385"/>
    <w:pPr>
      <w:numPr>
        <w:numId w:val="3"/>
      </w:numPr>
      <w:spacing w:before="60"/>
    </w:pPr>
    <w:rPr>
      <w:rFonts w:ascii="Calibri" w:hAnsi="Calibri"/>
      <w:sz w:val="22"/>
    </w:rPr>
  </w:style>
  <w:style w:type="character" w:customStyle="1" w:styleId="apple-converted-space">
    <w:name w:val="apple-converted-space"/>
    <w:basedOn w:val="Standardnpsmoodstavce"/>
    <w:rsid w:val="00DD3EBC"/>
  </w:style>
  <w:style w:type="character" w:customStyle="1" w:styleId="urtxtemph">
    <w:name w:val="urtxtemph"/>
    <w:rsid w:val="00DD3EBC"/>
  </w:style>
  <w:style w:type="character" w:customStyle="1" w:styleId="urtxtstd">
    <w:name w:val="urtxtstd"/>
    <w:rsid w:val="00DD3EBC"/>
  </w:style>
  <w:style w:type="paragraph" w:styleId="Seznamsodrkami">
    <w:name w:val="List Bullet"/>
    <w:basedOn w:val="Normln"/>
    <w:uiPriority w:val="99"/>
    <w:unhideWhenUsed/>
    <w:rsid w:val="00E6353D"/>
    <w:pPr>
      <w:tabs>
        <w:tab w:val="num" w:pos="360"/>
      </w:tabs>
      <w:ind w:left="360" w:hanging="360"/>
      <w:contextualSpacing/>
    </w:pPr>
  </w:style>
  <w:style w:type="character" w:customStyle="1" w:styleId="UnresolvedMention1">
    <w:name w:val="Unresolved Mention1"/>
    <w:basedOn w:val="Standardnpsmoodstavce"/>
    <w:uiPriority w:val="99"/>
    <w:semiHidden/>
    <w:unhideWhenUsed/>
    <w:rsid w:val="0079794A"/>
    <w:rPr>
      <w:color w:val="605E5C"/>
      <w:shd w:val="clear" w:color="auto" w:fill="E1DFDD"/>
    </w:rPr>
  </w:style>
  <w:style w:type="character" w:customStyle="1" w:styleId="Nevyeenzmnka1">
    <w:name w:val="Nevyřešená zmínka1"/>
    <w:basedOn w:val="Standardnpsmoodstavce"/>
    <w:uiPriority w:val="99"/>
    <w:semiHidden/>
    <w:unhideWhenUsed/>
    <w:rsid w:val="008244C8"/>
    <w:rPr>
      <w:color w:val="605E5C"/>
      <w:shd w:val="clear" w:color="auto" w:fill="E1DFDD"/>
    </w:rPr>
  </w:style>
  <w:style w:type="paragraph" w:styleId="slovanseznam">
    <w:name w:val="List Number"/>
    <w:basedOn w:val="Normln"/>
    <w:rsid w:val="0050536B"/>
    <w:pPr>
      <w:tabs>
        <w:tab w:val="num" w:pos="360"/>
      </w:tabs>
      <w:ind w:left="360" w:hanging="360"/>
    </w:pPr>
    <w:rPr>
      <w:rFonts w:ascii="Times New Roman" w:eastAsia="Times New Roman" w:hAnsi="Times New Roman" w:cs="Times New Roman"/>
      <w:sz w:val="24"/>
      <w:szCs w:val="24"/>
      <w:lang w:eastAsia="cs-CZ"/>
    </w:rPr>
  </w:style>
  <w:style w:type="paragraph" w:customStyle="1" w:styleId="NormalJustified">
    <w:name w:val="Normal (Justified)"/>
    <w:basedOn w:val="Normln"/>
    <w:rsid w:val="00BD1E4E"/>
    <w:pPr>
      <w:widowControl w:val="0"/>
    </w:pPr>
    <w:rPr>
      <w:rFonts w:ascii="Times New Roman" w:eastAsia="Times New Roman" w:hAnsi="Times New Roman" w:cs="Times New Roman"/>
      <w:kern w:val="28"/>
      <w:sz w:val="24"/>
      <w:szCs w:val="20"/>
      <w:lang w:eastAsia="cs-CZ"/>
    </w:rPr>
  </w:style>
  <w:style w:type="paragraph" w:customStyle="1" w:styleId="Odstavec">
    <w:name w:val="Odstavec"/>
    <w:basedOn w:val="Normln"/>
    <w:rsid w:val="00BD1E4E"/>
    <w:pPr>
      <w:spacing w:after="120"/>
      <w:ind w:firstLine="720"/>
    </w:pPr>
    <w:rPr>
      <w:rFonts w:ascii="Times New Roman" w:eastAsia="Calibri" w:hAnsi="Times New Roman" w:cs="Times New Roman"/>
      <w:sz w:val="24"/>
      <w:szCs w:val="24"/>
      <w:lang w:eastAsia="cs-CZ"/>
    </w:rPr>
  </w:style>
  <w:style w:type="character" w:customStyle="1" w:styleId="platne1">
    <w:name w:val="platne1"/>
    <w:basedOn w:val="Standardnpsmoodstavce"/>
    <w:rsid w:val="00BD1E4E"/>
  </w:style>
  <w:style w:type="paragraph" w:customStyle="1" w:styleId="odstavec0">
    <w:name w:val="odstavec"/>
    <w:basedOn w:val="Normln"/>
    <w:rsid w:val="00BD1E4E"/>
    <w:pPr>
      <w:suppressAutoHyphens/>
      <w:spacing w:after="120"/>
    </w:pPr>
    <w:rPr>
      <w:rFonts w:ascii="Times New Roman" w:eastAsia="Times New Roman" w:hAnsi="Times New Roman" w:cs="Times New Roman"/>
      <w:sz w:val="24"/>
      <w:szCs w:val="24"/>
      <w:lang w:eastAsia="ar-SA"/>
    </w:rPr>
  </w:style>
  <w:style w:type="paragraph" w:customStyle="1" w:styleId="popisky0">
    <w:name w:val="popisky"/>
    <w:basedOn w:val="Normln"/>
    <w:rsid w:val="00BD1E4E"/>
    <w:pPr>
      <w:overflowPunct w:val="0"/>
      <w:autoSpaceDE w:val="0"/>
      <w:autoSpaceDN w:val="0"/>
    </w:pPr>
    <w:rPr>
      <w:rFonts w:ascii="Arial" w:eastAsia="Times New Roman" w:hAnsi="Arial" w:cs="Arial"/>
      <w:sz w:val="20"/>
      <w:szCs w:val="20"/>
      <w:lang w:eastAsia="cs-CZ"/>
    </w:rPr>
  </w:style>
  <w:style w:type="character" w:customStyle="1" w:styleId="charchar1">
    <w:name w:val="charchar"/>
    <w:rsid w:val="00BD1E4E"/>
    <w:rPr>
      <w:rFonts w:ascii="Verdana" w:hAnsi="Verdana" w:hint="default"/>
      <w:b/>
      <w:bCs/>
      <w:color w:val="B40000"/>
    </w:rPr>
  </w:style>
  <w:style w:type="paragraph" w:customStyle="1" w:styleId="Normlntu">
    <w:name w:val="Normální tuč"/>
    <w:basedOn w:val="Normln"/>
    <w:rsid w:val="00BD1E4E"/>
    <w:rPr>
      <w:rFonts w:ascii="Times New Roman" w:eastAsia="Times New Roman" w:hAnsi="Times New Roman" w:cs="Times New Roman"/>
      <w:b/>
      <w:sz w:val="24"/>
      <w:szCs w:val="24"/>
      <w:lang w:eastAsia="cs-CZ"/>
    </w:rPr>
  </w:style>
  <w:style w:type="paragraph" w:styleId="Citt">
    <w:name w:val="Quote"/>
    <w:basedOn w:val="Normln"/>
    <w:next w:val="Normln"/>
    <w:link w:val="CittChar"/>
    <w:uiPriority w:val="29"/>
    <w:rsid w:val="00BD1E4E"/>
    <w:rPr>
      <w:rFonts w:ascii="Times New Roman" w:eastAsia="Times New Roman" w:hAnsi="Times New Roman" w:cs="Times New Roman"/>
      <w:i/>
      <w:iCs/>
      <w:color w:val="000000"/>
      <w:sz w:val="24"/>
      <w:szCs w:val="24"/>
      <w:lang w:eastAsia="cs-CZ"/>
    </w:rPr>
  </w:style>
  <w:style w:type="character" w:customStyle="1" w:styleId="CittChar">
    <w:name w:val="Citát Char"/>
    <w:basedOn w:val="Standardnpsmoodstavce"/>
    <w:link w:val="Citt"/>
    <w:uiPriority w:val="29"/>
    <w:rsid w:val="00BD1E4E"/>
    <w:rPr>
      <w:rFonts w:ascii="Times New Roman" w:eastAsia="Times New Roman" w:hAnsi="Times New Roman" w:cs="Times New Roman"/>
      <w:i/>
      <w:iCs/>
      <w:color w:val="000000"/>
      <w:sz w:val="24"/>
      <w:szCs w:val="24"/>
      <w:lang w:eastAsia="cs-CZ"/>
    </w:rPr>
  </w:style>
  <w:style w:type="paragraph" w:customStyle="1" w:styleId="Normlnslatabulky">
    <w:name w:val="Normální čísla tabulky"/>
    <w:basedOn w:val="Normln"/>
    <w:rsid w:val="00BD1E4E"/>
    <w:pPr>
      <w:spacing w:before="0"/>
      <w:ind w:right="57"/>
      <w:jc w:val="right"/>
    </w:pPr>
    <w:rPr>
      <w:rFonts w:ascii="Times New Roman" w:eastAsia="Times New Roman" w:hAnsi="Times New Roman" w:cs="Times New Roman"/>
      <w:sz w:val="21"/>
      <w:szCs w:val="24"/>
      <w:lang w:eastAsia="cs-CZ"/>
    </w:rPr>
  </w:style>
  <w:style w:type="paragraph" w:customStyle="1" w:styleId="pramen">
    <w:name w:val="pramen"/>
    <w:basedOn w:val="Podnadpis"/>
    <w:rsid w:val="00BD1E4E"/>
    <w:pPr>
      <w:numPr>
        <w:ilvl w:val="0"/>
      </w:numPr>
      <w:spacing w:after="0"/>
    </w:pPr>
    <w:rPr>
      <w:rFonts w:ascii="Times New Roman" w:eastAsia="Times New Roman" w:hAnsi="Times New Roman" w:cs="Times New Roman"/>
      <w:iCs/>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91014">
      <w:bodyDiv w:val="1"/>
      <w:marLeft w:val="0"/>
      <w:marRight w:val="0"/>
      <w:marTop w:val="0"/>
      <w:marBottom w:val="0"/>
      <w:divBdr>
        <w:top w:val="none" w:sz="0" w:space="0" w:color="auto"/>
        <w:left w:val="none" w:sz="0" w:space="0" w:color="auto"/>
        <w:bottom w:val="none" w:sz="0" w:space="0" w:color="auto"/>
        <w:right w:val="none" w:sz="0" w:space="0" w:color="auto"/>
      </w:divBdr>
    </w:div>
    <w:div w:id="135414912">
      <w:bodyDiv w:val="1"/>
      <w:marLeft w:val="0"/>
      <w:marRight w:val="0"/>
      <w:marTop w:val="0"/>
      <w:marBottom w:val="0"/>
      <w:divBdr>
        <w:top w:val="none" w:sz="0" w:space="0" w:color="auto"/>
        <w:left w:val="none" w:sz="0" w:space="0" w:color="auto"/>
        <w:bottom w:val="none" w:sz="0" w:space="0" w:color="auto"/>
        <w:right w:val="none" w:sz="0" w:space="0" w:color="auto"/>
      </w:divBdr>
    </w:div>
    <w:div w:id="219904012">
      <w:bodyDiv w:val="1"/>
      <w:marLeft w:val="0"/>
      <w:marRight w:val="0"/>
      <w:marTop w:val="0"/>
      <w:marBottom w:val="0"/>
      <w:divBdr>
        <w:top w:val="none" w:sz="0" w:space="0" w:color="auto"/>
        <w:left w:val="none" w:sz="0" w:space="0" w:color="auto"/>
        <w:bottom w:val="none" w:sz="0" w:space="0" w:color="auto"/>
        <w:right w:val="none" w:sz="0" w:space="0" w:color="auto"/>
      </w:divBdr>
    </w:div>
    <w:div w:id="272061277">
      <w:bodyDiv w:val="1"/>
      <w:marLeft w:val="0"/>
      <w:marRight w:val="0"/>
      <w:marTop w:val="0"/>
      <w:marBottom w:val="0"/>
      <w:divBdr>
        <w:top w:val="none" w:sz="0" w:space="0" w:color="auto"/>
        <w:left w:val="none" w:sz="0" w:space="0" w:color="auto"/>
        <w:bottom w:val="none" w:sz="0" w:space="0" w:color="auto"/>
        <w:right w:val="none" w:sz="0" w:space="0" w:color="auto"/>
      </w:divBdr>
    </w:div>
    <w:div w:id="401634430">
      <w:bodyDiv w:val="1"/>
      <w:marLeft w:val="0"/>
      <w:marRight w:val="0"/>
      <w:marTop w:val="0"/>
      <w:marBottom w:val="0"/>
      <w:divBdr>
        <w:top w:val="none" w:sz="0" w:space="0" w:color="auto"/>
        <w:left w:val="none" w:sz="0" w:space="0" w:color="auto"/>
        <w:bottom w:val="none" w:sz="0" w:space="0" w:color="auto"/>
        <w:right w:val="none" w:sz="0" w:space="0" w:color="auto"/>
      </w:divBdr>
    </w:div>
    <w:div w:id="499085715">
      <w:bodyDiv w:val="1"/>
      <w:marLeft w:val="0"/>
      <w:marRight w:val="0"/>
      <w:marTop w:val="0"/>
      <w:marBottom w:val="0"/>
      <w:divBdr>
        <w:top w:val="none" w:sz="0" w:space="0" w:color="auto"/>
        <w:left w:val="none" w:sz="0" w:space="0" w:color="auto"/>
        <w:bottom w:val="none" w:sz="0" w:space="0" w:color="auto"/>
        <w:right w:val="none" w:sz="0" w:space="0" w:color="auto"/>
      </w:divBdr>
    </w:div>
    <w:div w:id="637564218">
      <w:bodyDiv w:val="1"/>
      <w:marLeft w:val="0"/>
      <w:marRight w:val="0"/>
      <w:marTop w:val="0"/>
      <w:marBottom w:val="0"/>
      <w:divBdr>
        <w:top w:val="none" w:sz="0" w:space="0" w:color="auto"/>
        <w:left w:val="none" w:sz="0" w:space="0" w:color="auto"/>
        <w:bottom w:val="none" w:sz="0" w:space="0" w:color="auto"/>
        <w:right w:val="none" w:sz="0" w:space="0" w:color="auto"/>
      </w:divBdr>
    </w:div>
    <w:div w:id="801194558">
      <w:bodyDiv w:val="1"/>
      <w:marLeft w:val="0"/>
      <w:marRight w:val="0"/>
      <w:marTop w:val="0"/>
      <w:marBottom w:val="0"/>
      <w:divBdr>
        <w:top w:val="none" w:sz="0" w:space="0" w:color="auto"/>
        <w:left w:val="none" w:sz="0" w:space="0" w:color="auto"/>
        <w:bottom w:val="none" w:sz="0" w:space="0" w:color="auto"/>
        <w:right w:val="none" w:sz="0" w:space="0" w:color="auto"/>
      </w:divBdr>
    </w:div>
    <w:div w:id="857236757">
      <w:bodyDiv w:val="1"/>
      <w:marLeft w:val="0"/>
      <w:marRight w:val="0"/>
      <w:marTop w:val="0"/>
      <w:marBottom w:val="0"/>
      <w:divBdr>
        <w:top w:val="none" w:sz="0" w:space="0" w:color="auto"/>
        <w:left w:val="none" w:sz="0" w:space="0" w:color="auto"/>
        <w:bottom w:val="none" w:sz="0" w:space="0" w:color="auto"/>
        <w:right w:val="none" w:sz="0" w:space="0" w:color="auto"/>
      </w:divBdr>
    </w:div>
    <w:div w:id="858587979">
      <w:bodyDiv w:val="1"/>
      <w:marLeft w:val="0"/>
      <w:marRight w:val="0"/>
      <w:marTop w:val="0"/>
      <w:marBottom w:val="0"/>
      <w:divBdr>
        <w:top w:val="none" w:sz="0" w:space="0" w:color="auto"/>
        <w:left w:val="none" w:sz="0" w:space="0" w:color="auto"/>
        <w:bottom w:val="none" w:sz="0" w:space="0" w:color="auto"/>
        <w:right w:val="none" w:sz="0" w:space="0" w:color="auto"/>
      </w:divBdr>
    </w:div>
    <w:div w:id="888108217">
      <w:bodyDiv w:val="1"/>
      <w:marLeft w:val="0"/>
      <w:marRight w:val="0"/>
      <w:marTop w:val="0"/>
      <w:marBottom w:val="0"/>
      <w:divBdr>
        <w:top w:val="none" w:sz="0" w:space="0" w:color="auto"/>
        <w:left w:val="none" w:sz="0" w:space="0" w:color="auto"/>
        <w:bottom w:val="none" w:sz="0" w:space="0" w:color="auto"/>
        <w:right w:val="none" w:sz="0" w:space="0" w:color="auto"/>
      </w:divBdr>
    </w:div>
    <w:div w:id="999036950">
      <w:bodyDiv w:val="1"/>
      <w:marLeft w:val="0"/>
      <w:marRight w:val="0"/>
      <w:marTop w:val="0"/>
      <w:marBottom w:val="0"/>
      <w:divBdr>
        <w:top w:val="none" w:sz="0" w:space="0" w:color="auto"/>
        <w:left w:val="none" w:sz="0" w:space="0" w:color="auto"/>
        <w:bottom w:val="none" w:sz="0" w:space="0" w:color="auto"/>
        <w:right w:val="none" w:sz="0" w:space="0" w:color="auto"/>
      </w:divBdr>
    </w:div>
    <w:div w:id="1009528618">
      <w:bodyDiv w:val="1"/>
      <w:marLeft w:val="0"/>
      <w:marRight w:val="0"/>
      <w:marTop w:val="0"/>
      <w:marBottom w:val="0"/>
      <w:divBdr>
        <w:top w:val="none" w:sz="0" w:space="0" w:color="auto"/>
        <w:left w:val="none" w:sz="0" w:space="0" w:color="auto"/>
        <w:bottom w:val="none" w:sz="0" w:space="0" w:color="auto"/>
        <w:right w:val="none" w:sz="0" w:space="0" w:color="auto"/>
      </w:divBdr>
    </w:div>
    <w:div w:id="1055547195">
      <w:bodyDiv w:val="1"/>
      <w:marLeft w:val="0"/>
      <w:marRight w:val="0"/>
      <w:marTop w:val="0"/>
      <w:marBottom w:val="0"/>
      <w:divBdr>
        <w:top w:val="none" w:sz="0" w:space="0" w:color="auto"/>
        <w:left w:val="none" w:sz="0" w:space="0" w:color="auto"/>
        <w:bottom w:val="none" w:sz="0" w:space="0" w:color="auto"/>
        <w:right w:val="none" w:sz="0" w:space="0" w:color="auto"/>
      </w:divBdr>
    </w:div>
    <w:div w:id="1123842328">
      <w:bodyDiv w:val="1"/>
      <w:marLeft w:val="0"/>
      <w:marRight w:val="0"/>
      <w:marTop w:val="0"/>
      <w:marBottom w:val="0"/>
      <w:divBdr>
        <w:top w:val="none" w:sz="0" w:space="0" w:color="auto"/>
        <w:left w:val="none" w:sz="0" w:space="0" w:color="auto"/>
        <w:bottom w:val="none" w:sz="0" w:space="0" w:color="auto"/>
        <w:right w:val="none" w:sz="0" w:space="0" w:color="auto"/>
      </w:divBdr>
    </w:div>
    <w:div w:id="1211503231">
      <w:bodyDiv w:val="1"/>
      <w:marLeft w:val="0"/>
      <w:marRight w:val="0"/>
      <w:marTop w:val="0"/>
      <w:marBottom w:val="0"/>
      <w:divBdr>
        <w:top w:val="none" w:sz="0" w:space="0" w:color="auto"/>
        <w:left w:val="none" w:sz="0" w:space="0" w:color="auto"/>
        <w:bottom w:val="none" w:sz="0" w:space="0" w:color="auto"/>
        <w:right w:val="none" w:sz="0" w:space="0" w:color="auto"/>
      </w:divBdr>
    </w:div>
    <w:div w:id="1343315747">
      <w:bodyDiv w:val="1"/>
      <w:marLeft w:val="0"/>
      <w:marRight w:val="0"/>
      <w:marTop w:val="0"/>
      <w:marBottom w:val="0"/>
      <w:divBdr>
        <w:top w:val="none" w:sz="0" w:space="0" w:color="auto"/>
        <w:left w:val="none" w:sz="0" w:space="0" w:color="auto"/>
        <w:bottom w:val="none" w:sz="0" w:space="0" w:color="auto"/>
        <w:right w:val="none" w:sz="0" w:space="0" w:color="auto"/>
      </w:divBdr>
    </w:div>
    <w:div w:id="1495488500">
      <w:bodyDiv w:val="1"/>
      <w:marLeft w:val="0"/>
      <w:marRight w:val="0"/>
      <w:marTop w:val="0"/>
      <w:marBottom w:val="0"/>
      <w:divBdr>
        <w:top w:val="none" w:sz="0" w:space="0" w:color="auto"/>
        <w:left w:val="none" w:sz="0" w:space="0" w:color="auto"/>
        <w:bottom w:val="none" w:sz="0" w:space="0" w:color="auto"/>
        <w:right w:val="none" w:sz="0" w:space="0" w:color="auto"/>
      </w:divBdr>
    </w:div>
    <w:div w:id="1499033402">
      <w:bodyDiv w:val="1"/>
      <w:marLeft w:val="0"/>
      <w:marRight w:val="0"/>
      <w:marTop w:val="0"/>
      <w:marBottom w:val="0"/>
      <w:divBdr>
        <w:top w:val="none" w:sz="0" w:space="0" w:color="auto"/>
        <w:left w:val="none" w:sz="0" w:space="0" w:color="auto"/>
        <w:bottom w:val="none" w:sz="0" w:space="0" w:color="auto"/>
        <w:right w:val="none" w:sz="0" w:space="0" w:color="auto"/>
      </w:divBdr>
    </w:div>
    <w:div w:id="1639257709">
      <w:bodyDiv w:val="1"/>
      <w:marLeft w:val="0"/>
      <w:marRight w:val="0"/>
      <w:marTop w:val="0"/>
      <w:marBottom w:val="0"/>
      <w:divBdr>
        <w:top w:val="none" w:sz="0" w:space="0" w:color="auto"/>
        <w:left w:val="none" w:sz="0" w:space="0" w:color="auto"/>
        <w:bottom w:val="none" w:sz="0" w:space="0" w:color="auto"/>
        <w:right w:val="none" w:sz="0" w:space="0" w:color="auto"/>
      </w:divBdr>
    </w:div>
    <w:div w:id="1725176180">
      <w:bodyDiv w:val="1"/>
      <w:marLeft w:val="0"/>
      <w:marRight w:val="0"/>
      <w:marTop w:val="0"/>
      <w:marBottom w:val="0"/>
      <w:divBdr>
        <w:top w:val="none" w:sz="0" w:space="0" w:color="auto"/>
        <w:left w:val="none" w:sz="0" w:space="0" w:color="auto"/>
        <w:bottom w:val="none" w:sz="0" w:space="0" w:color="auto"/>
        <w:right w:val="none" w:sz="0" w:space="0" w:color="auto"/>
      </w:divBdr>
    </w:div>
    <w:div w:id="1735928115">
      <w:bodyDiv w:val="1"/>
      <w:marLeft w:val="0"/>
      <w:marRight w:val="0"/>
      <w:marTop w:val="0"/>
      <w:marBottom w:val="0"/>
      <w:divBdr>
        <w:top w:val="none" w:sz="0" w:space="0" w:color="auto"/>
        <w:left w:val="none" w:sz="0" w:space="0" w:color="auto"/>
        <w:bottom w:val="none" w:sz="0" w:space="0" w:color="auto"/>
        <w:right w:val="none" w:sz="0" w:space="0" w:color="auto"/>
      </w:divBdr>
    </w:div>
    <w:div w:id="1752658125">
      <w:bodyDiv w:val="1"/>
      <w:marLeft w:val="0"/>
      <w:marRight w:val="0"/>
      <w:marTop w:val="0"/>
      <w:marBottom w:val="0"/>
      <w:divBdr>
        <w:top w:val="none" w:sz="0" w:space="0" w:color="auto"/>
        <w:left w:val="none" w:sz="0" w:space="0" w:color="auto"/>
        <w:bottom w:val="none" w:sz="0" w:space="0" w:color="auto"/>
        <w:right w:val="none" w:sz="0" w:space="0" w:color="auto"/>
      </w:divBdr>
    </w:div>
    <w:div w:id="1845508635">
      <w:bodyDiv w:val="1"/>
      <w:marLeft w:val="0"/>
      <w:marRight w:val="0"/>
      <w:marTop w:val="0"/>
      <w:marBottom w:val="0"/>
      <w:divBdr>
        <w:top w:val="none" w:sz="0" w:space="0" w:color="auto"/>
        <w:left w:val="none" w:sz="0" w:space="0" w:color="auto"/>
        <w:bottom w:val="none" w:sz="0" w:space="0" w:color="auto"/>
        <w:right w:val="none" w:sz="0" w:space="0" w:color="auto"/>
      </w:divBdr>
    </w:div>
    <w:div w:id="2104838569">
      <w:bodyDiv w:val="1"/>
      <w:marLeft w:val="0"/>
      <w:marRight w:val="0"/>
      <w:marTop w:val="0"/>
      <w:marBottom w:val="0"/>
      <w:divBdr>
        <w:top w:val="none" w:sz="0" w:space="0" w:color="auto"/>
        <w:left w:val="none" w:sz="0" w:space="0" w:color="auto"/>
        <w:bottom w:val="none" w:sz="0" w:space="0" w:color="auto"/>
        <w:right w:val="none" w:sz="0" w:space="0" w:color="auto"/>
      </w:divBdr>
    </w:div>
    <w:div w:id="213524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D156-F1F6-4A3F-9A3D-FC1E22B8B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25</Pages>
  <Words>6878</Words>
  <Characters>40587</Characters>
  <Application>Microsoft Office Word</Application>
  <DocSecurity>0</DocSecurity>
  <Lines>338</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Ministerstvo financí</Company>
  <LinksUpToDate>false</LinksUpToDate>
  <CharactersWithSpaces>47371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Pavlíček Jan Ing.</dc:creator>
  <cp:lastModifiedBy>Rážová Jana Mgr.</cp:lastModifiedBy>
  <cp:revision>4</cp:revision>
  <cp:lastPrinted>2021-03-11T12:29:00Z</cp:lastPrinted>
  <dcterms:created xsi:type="dcterms:W3CDTF">2021-03-11T14:45:00Z</dcterms:created>
  <dcterms:modified xsi:type="dcterms:W3CDTF">2021-03-24T07:27:00Z</dcterms:modified>
</cp:coreProperties>
</file>