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charts/chart20.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D6DBF" w:rsidRPr="00BE536D" w:rsidRDefault="007D6DBF" w:rsidP="007D6DBF">
      <w:pPr>
        <w:pStyle w:val="Nzev"/>
        <w:spacing w:after="1680"/>
        <w:contextualSpacing w:val="0"/>
        <w:jc w:val="right"/>
        <w:rPr>
          <w:rFonts w:ascii="Arial" w:hAnsi="Arial" w:cs="Arial"/>
          <w:b/>
          <w:color w:val="auto"/>
          <w:spacing w:val="-10"/>
          <w:sz w:val="28"/>
          <w:szCs w:val="28"/>
        </w:rPr>
      </w:pPr>
      <w:bookmarkStart w:id="0" w:name="_GoBack"/>
      <w:bookmarkEnd w:id="0"/>
    </w:p>
    <w:p w:rsidR="00436F6E" w:rsidRDefault="00436F6E" w:rsidP="00917A5F">
      <w:pPr>
        <w:pStyle w:val="Nzev"/>
        <w:spacing w:before="1680" w:after="1680"/>
        <w:contextualSpacing w:val="0"/>
        <w:jc w:val="center"/>
        <w:rPr>
          <w:rFonts w:ascii="Calibri" w:hAnsi="Calibri"/>
          <w:b/>
          <w:spacing w:val="-10"/>
          <w:sz w:val="56"/>
          <w:szCs w:val="56"/>
        </w:rPr>
      </w:pPr>
      <w:r>
        <w:rPr>
          <w:rFonts w:ascii="Calibri" w:hAnsi="Calibri"/>
          <w:b/>
          <w:spacing w:val="-10"/>
          <w:sz w:val="56"/>
          <w:szCs w:val="56"/>
        </w:rPr>
        <w:t>H</w:t>
      </w:r>
      <w:r w:rsidRPr="005346E6">
        <w:rPr>
          <w:rFonts w:ascii="Calibri" w:hAnsi="Calibri"/>
          <w:b/>
          <w:spacing w:val="-10"/>
          <w:sz w:val="56"/>
          <w:szCs w:val="56"/>
        </w:rPr>
        <w:t xml:space="preserve">odnocení předpokládaného vývoje systému veřejného zdravotního pojištění na základě návrhů zdravotně pojistných plánů </w:t>
      </w:r>
      <w:r w:rsidR="007E6724" w:rsidRPr="005346E6">
        <w:rPr>
          <w:rFonts w:ascii="Calibri" w:hAnsi="Calibri"/>
          <w:b/>
          <w:spacing w:val="-10"/>
          <w:sz w:val="56"/>
          <w:szCs w:val="56"/>
        </w:rPr>
        <w:t>20</w:t>
      </w:r>
      <w:r w:rsidR="007E6724">
        <w:rPr>
          <w:rFonts w:ascii="Calibri" w:hAnsi="Calibri"/>
          <w:b/>
          <w:spacing w:val="-10"/>
          <w:sz w:val="56"/>
          <w:szCs w:val="56"/>
        </w:rPr>
        <w:t>2</w:t>
      </w:r>
      <w:r w:rsidR="006670AC">
        <w:rPr>
          <w:rFonts w:ascii="Calibri" w:hAnsi="Calibri"/>
          <w:b/>
          <w:spacing w:val="-10"/>
          <w:sz w:val="56"/>
          <w:szCs w:val="56"/>
        </w:rPr>
        <w:t>1</w:t>
      </w:r>
      <w:r w:rsidR="007E6724" w:rsidRPr="005346E6">
        <w:rPr>
          <w:rFonts w:ascii="Calibri" w:hAnsi="Calibri"/>
          <w:b/>
          <w:spacing w:val="-10"/>
          <w:sz w:val="56"/>
          <w:szCs w:val="56"/>
        </w:rPr>
        <w:t xml:space="preserve"> </w:t>
      </w:r>
      <w:r w:rsidRPr="005346E6">
        <w:rPr>
          <w:rFonts w:ascii="Calibri" w:hAnsi="Calibri"/>
          <w:b/>
          <w:spacing w:val="-10"/>
          <w:sz w:val="56"/>
          <w:szCs w:val="56"/>
        </w:rPr>
        <w:t xml:space="preserve">a střednědobých výhledů </w:t>
      </w:r>
      <w:r w:rsidRPr="005346E6">
        <w:rPr>
          <w:rFonts w:ascii="Calibri" w:hAnsi="Calibri"/>
          <w:b/>
          <w:spacing w:val="-10"/>
          <w:sz w:val="56"/>
          <w:szCs w:val="56"/>
        </w:rPr>
        <w:br/>
        <w:t xml:space="preserve">na roky </w:t>
      </w:r>
      <w:r w:rsidR="007E6724" w:rsidRPr="005346E6">
        <w:rPr>
          <w:rFonts w:ascii="Calibri" w:hAnsi="Calibri"/>
          <w:b/>
          <w:spacing w:val="-10"/>
          <w:sz w:val="56"/>
          <w:szCs w:val="56"/>
        </w:rPr>
        <w:t>202</w:t>
      </w:r>
      <w:r w:rsidR="006670AC">
        <w:rPr>
          <w:rFonts w:ascii="Calibri" w:hAnsi="Calibri"/>
          <w:b/>
          <w:spacing w:val="-10"/>
          <w:sz w:val="56"/>
          <w:szCs w:val="56"/>
        </w:rPr>
        <w:t>2</w:t>
      </w:r>
      <w:r w:rsidR="007E6724" w:rsidRPr="005346E6">
        <w:rPr>
          <w:rFonts w:ascii="Calibri" w:hAnsi="Calibri"/>
          <w:b/>
          <w:spacing w:val="-10"/>
          <w:sz w:val="56"/>
          <w:szCs w:val="56"/>
        </w:rPr>
        <w:t xml:space="preserve"> </w:t>
      </w:r>
      <w:r w:rsidRPr="005346E6">
        <w:rPr>
          <w:rFonts w:ascii="Calibri" w:hAnsi="Calibri"/>
          <w:b/>
          <w:spacing w:val="-10"/>
          <w:sz w:val="56"/>
          <w:szCs w:val="56"/>
        </w:rPr>
        <w:t xml:space="preserve">a </w:t>
      </w:r>
      <w:r w:rsidR="007E6724" w:rsidRPr="005346E6">
        <w:rPr>
          <w:rFonts w:ascii="Calibri" w:hAnsi="Calibri"/>
          <w:b/>
          <w:spacing w:val="-10"/>
          <w:sz w:val="56"/>
          <w:szCs w:val="56"/>
        </w:rPr>
        <w:t>202</w:t>
      </w:r>
      <w:r w:rsidR="006670AC">
        <w:rPr>
          <w:rFonts w:ascii="Calibri" w:hAnsi="Calibri"/>
          <w:b/>
          <w:spacing w:val="-10"/>
          <w:sz w:val="56"/>
          <w:szCs w:val="56"/>
        </w:rPr>
        <w:t>3</w:t>
      </w:r>
      <w:r w:rsidR="007E6724" w:rsidRPr="005346E6">
        <w:rPr>
          <w:rFonts w:ascii="Calibri" w:hAnsi="Calibri"/>
          <w:b/>
          <w:spacing w:val="-10"/>
          <w:sz w:val="56"/>
          <w:szCs w:val="56"/>
        </w:rPr>
        <w:t xml:space="preserve"> </w:t>
      </w:r>
      <w:r w:rsidRPr="005346E6">
        <w:rPr>
          <w:rFonts w:ascii="Calibri" w:hAnsi="Calibri"/>
          <w:b/>
          <w:spacing w:val="-10"/>
          <w:sz w:val="56"/>
          <w:szCs w:val="56"/>
        </w:rPr>
        <w:t>činných zdravotních pojišťoven</w:t>
      </w:r>
    </w:p>
    <w:p w:rsidR="00917A5F" w:rsidRDefault="00917A5F">
      <w:pPr>
        <w:spacing w:after="200" w:line="276" w:lineRule="auto"/>
      </w:pPr>
      <w:r>
        <w:br w:type="page"/>
      </w:r>
    </w:p>
    <w:sdt>
      <w:sdtPr>
        <w:rPr>
          <w:rFonts w:asciiTheme="minorHAnsi" w:eastAsiaTheme="minorHAnsi" w:hAnsiTheme="minorHAnsi" w:cstheme="minorBidi"/>
          <w:bCs w:val="0"/>
          <w:color w:val="auto"/>
          <w:spacing w:val="0"/>
          <w:sz w:val="21"/>
          <w:szCs w:val="22"/>
        </w:rPr>
        <w:id w:val="-1962419847"/>
        <w:docPartObj>
          <w:docPartGallery w:val="Table of Contents"/>
          <w:docPartUnique/>
        </w:docPartObj>
      </w:sdtPr>
      <w:sdtEndPr/>
      <w:sdtContent>
        <w:p w:rsidR="00436F6E" w:rsidRPr="002A3716" w:rsidRDefault="00436F6E" w:rsidP="00436F6E">
          <w:pPr>
            <w:pStyle w:val="Nadpisobsahu"/>
            <w:numPr>
              <w:ilvl w:val="0"/>
              <w:numId w:val="0"/>
            </w:numPr>
            <w:ind w:left="432" w:hanging="432"/>
            <w:rPr>
              <w:rStyle w:val="Nadpis1Char"/>
            </w:rPr>
          </w:pPr>
          <w:r w:rsidRPr="002A3716">
            <w:rPr>
              <w:rStyle w:val="Nadpis1Char"/>
            </w:rPr>
            <w:t>Obsah</w:t>
          </w:r>
        </w:p>
        <w:p w:rsidR="00DC2930" w:rsidRDefault="008E5E29">
          <w:pPr>
            <w:pStyle w:val="Obsah1"/>
            <w:rPr>
              <w:rFonts w:eastAsiaTheme="minorEastAsia"/>
              <w:noProof/>
              <w:sz w:val="22"/>
              <w:lang w:eastAsia="cs-CZ"/>
            </w:rPr>
          </w:pPr>
          <w:r>
            <w:fldChar w:fldCharType="begin"/>
          </w:r>
          <w:r w:rsidR="00436F6E">
            <w:instrText xml:space="preserve"> TOC \o "1-3" \h \z \u </w:instrText>
          </w:r>
          <w:r>
            <w:fldChar w:fldCharType="separate"/>
          </w:r>
          <w:hyperlink w:anchor="_Toc63684666" w:history="1">
            <w:r w:rsidR="00DC2930" w:rsidRPr="00107339">
              <w:rPr>
                <w:rStyle w:val="Hypertextovodkaz"/>
                <w:noProof/>
              </w:rPr>
              <w:t>1</w:t>
            </w:r>
            <w:r w:rsidR="00DC2930">
              <w:rPr>
                <w:rFonts w:eastAsiaTheme="minorEastAsia"/>
                <w:noProof/>
                <w:sz w:val="22"/>
                <w:lang w:eastAsia="cs-CZ"/>
              </w:rPr>
              <w:tab/>
            </w:r>
            <w:r w:rsidR="00DC2930" w:rsidRPr="00107339">
              <w:rPr>
                <w:rStyle w:val="Hypertextovodkaz"/>
                <w:noProof/>
              </w:rPr>
              <w:t>Manažerské shrnutí</w:t>
            </w:r>
            <w:r w:rsidR="00DC2930">
              <w:rPr>
                <w:noProof/>
                <w:webHidden/>
              </w:rPr>
              <w:tab/>
            </w:r>
            <w:r w:rsidR="00DC2930">
              <w:rPr>
                <w:noProof/>
                <w:webHidden/>
              </w:rPr>
              <w:fldChar w:fldCharType="begin"/>
            </w:r>
            <w:r w:rsidR="00DC2930">
              <w:rPr>
                <w:noProof/>
                <w:webHidden/>
              </w:rPr>
              <w:instrText xml:space="preserve"> PAGEREF _Toc63684666 \h </w:instrText>
            </w:r>
            <w:r w:rsidR="00DC2930">
              <w:rPr>
                <w:noProof/>
                <w:webHidden/>
              </w:rPr>
            </w:r>
            <w:r w:rsidR="00DC2930">
              <w:rPr>
                <w:noProof/>
                <w:webHidden/>
              </w:rPr>
              <w:fldChar w:fldCharType="separate"/>
            </w:r>
            <w:r w:rsidR="00DC2930">
              <w:rPr>
                <w:noProof/>
                <w:webHidden/>
              </w:rPr>
              <w:t>3</w:t>
            </w:r>
            <w:r w:rsidR="00DC2930">
              <w:rPr>
                <w:noProof/>
                <w:webHidden/>
              </w:rPr>
              <w:fldChar w:fldCharType="end"/>
            </w:r>
          </w:hyperlink>
        </w:p>
        <w:p w:rsidR="00DC2930" w:rsidRDefault="00904B42">
          <w:pPr>
            <w:pStyle w:val="Obsah1"/>
            <w:rPr>
              <w:rFonts w:eastAsiaTheme="minorEastAsia"/>
              <w:noProof/>
              <w:sz w:val="22"/>
              <w:lang w:eastAsia="cs-CZ"/>
            </w:rPr>
          </w:pPr>
          <w:hyperlink w:anchor="_Toc63684667" w:history="1">
            <w:r w:rsidR="00DC2930" w:rsidRPr="00107339">
              <w:rPr>
                <w:rStyle w:val="Hypertextovodkaz"/>
                <w:noProof/>
              </w:rPr>
              <w:t>2</w:t>
            </w:r>
            <w:r w:rsidR="00DC2930">
              <w:rPr>
                <w:rFonts w:eastAsiaTheme="minorEastAsia"/>
                <w:noProof/>
                <w:sz w:val="22"/>
                <w:lang w:eastAsia="cs-CZ"/>
              </w:rPr>
              <w:tab/>
            </w:r>
            <w:r w:rsidR="00DC2930" w:rsidRPr="00107339">
              <w:rPr>
                <w:rStyle w:val="Hypertextovodkaz"/>
                <w:noProof/>
              </w:rPr>
              <w:t>Úvod</w:t>
            </w:r>
            <w:r w:rsidR="00DC2930">
              <w:rPr>
                <w:noProof/>
                <w:webHidden/>
              </w:rPr>
              <w:tab/>
            </w:r>
            <w:r w:rsidR="00DC2930">
              <w:rPr>
                <w:noProof/>
                <w:webHidden/>
              </w:rPr>
              <w:fldChar w:fldCharType="begin"/>
            </w:r>
            <w:r w:rsidR="00DC2930">
              <w:rPr>
                <w:noProof/>
                <w:webHidden/>
              </w:rPr>
              <w:instrText xml:space="preserve"> PAGEREF _Toc63684667 \h </w:instrText>
            </w:r>
            <w:r w:rsidR="00DC2930">
              <w:rPr>
                <w:noProof/>
                <w:webHidden/>
              </w:rPr>
            </w:r>
            <w:r w:rsidR="00DC2930">
              <w:rPr>
                <w:noProof/>
                <w:webHidden/>
              </w:rPr>
              <w:fldChar w:fldCharType="separate"/>
            </w:r>
            <w:r w:rsidR="00DC2930">
              <w:rPr>
                <w:noProof/>
                <w:webHidden/>
              </w:rPr>
              <w:t>4</w:t>
            </w:r>
            <w:r w:rsidR="00DC2930">
              <w:rPr>
                <w:noProof/>
                <w:webHidden/>
              </w:rPr>
              <w:fldChar w:fldCharType="end"/>
            </w:r>
          </w:hyperlink>
        </w:p>
        <w:p w:rsidR="00DC2930" w:rsidRDefault="00904B42">
          <w:pPr>
            <w:pStyle w:val="Obsah1"/>
            <w:rPr>
              <w:rFonts w:eastAsiaTheme="minorEastAsia"/>
              <w:noProof/>
              <w:sz w:val="22"/>
              <w:lang w:eastAsia="cs-CZ"/>
            </w:rPr>
          </w:pPr>
          <w:hyperlink w:anchor="_Toc63684668" w:history="1">
            <w:r w:rsidR="00DC2930" w:rsidRPr="00107339">
              <w:rPr>
                <w:rStyle w:val="Hypertextovodkaz"/>
                <w:noProof/>
              </w:rPr>
              <w:t>3</w:t>
            </w:r>
            <w:r w:rsidR="00DC2930">
              <w:rPr>
                <w:rFonts w:eastAsiaTheme="minorEastAsia"/>
                <w:noProof/>
                <w:sz w:val="22"/>
                <w:lang w:eastAsia="cs-CZ"/>
              </w:rPr>
              <w:tab/>
            </w:r>
            <w:r w:rsidR="00DC2930" w:rsidRPr="00107339">
              <w:rPr>
                <w:rStyle w:val="Hypertextovodkaz"/>
                <w:noProof/>
              </w:rPr>
              <w:t>Ekonomické hodnocení</w:t>
            </w:r>
            <w:r w:rsidR="00DC2930">
              <w:rPr>
                <w:noProof/>
                <w:webHidden/>
              </w:rPr>
              <w:tab/>
            </w:r>
            <w:r w:rsidR="00DC2930">
              <w:rPr>
                <w:noProof/>
                <w:webHidden/>
              </w:rPr>
              <w:fldChar w:fldCharType="begin"/>
            </w:r>
            <w:r w:rsidR="00DC2930">
              <w:rPr>
                <w:noProof/>
                <w:webHidden/>
              </w:rPr>
              <w:instrText xml:space="preserve"> PAGEREF _Toc63684668 \h </w:instrText>
            </w:r>
            <w:r w:rsidR="00DC2930">
              <w:rPr>
                <w:noProof/>
                <w:webHidden/>
              </w:rPr>
            </w:r>
            <w:r w:rsidR="00DC2930">
              <w:rPr>
                <w:noProof/>
                <w:webHidden/>
              </w:rPr>
              <w:fldChar w:fldCharType="separate"/>
            </w:r>
            <w:r w:rsidR="00DC2930">
              <w:rPr>
                <w:noProof/>
                <w:webHidden/>
              </w:rPr>
              <w:t>5</w:t>
            </w:r>
            <w:r w:rsidR="00DC2930">
              <w:rPr>
                <w:noProof/>
                <w:webHidden/>
              </w:rPr>
              <w:fldChar w:fldCharType="end"/>
            </w:r>
          </w:hyperlink>
        </w:p>
        <w:p w:rsidR="00DC2930" w:rsidRDefault="00904B42">
          <w:pPr>
            <w:pStyle w:val="Obsah2"/>
            <w:rPr>
              <w:rFonts w:eastAsiaTheme="minorEastAsia"/>
              <w:noProof/>
              <w:sz w:val="22"/>
              <w:lang w:eastAsia="cs-CZ"/>
            </w:rPr>
          </w:pPr>
          <w:hyperlink w:anchor="_Toc63684669" w:history="1">
            <w:r w:rsidR="00DC2930" w:rsidRPr="00107339">
              <w:rPr>
                <w:rStyle w:val="Hypertextovodkaz"/>
                <w:noProof/>
              </w:rPr>
              <w:t>3.1</w:t>
            </w:r>
            <w:r w:rsidR="00DC2930">
              <w:rPr>
                <w:rFonts w:eastAsiaTheme="minorEastAsia"/>
                <w:noProof/>
                <w:sz w:val="22"/>
                <w:lang w:eastAsia="cs-CZ"/>
              </w:rPr>
              <w:tab/>
            </w:r>
            <w:r w:rsidR="00DC2930" w:rsidRPr="00107339">
              <w:rPr>
                <w:rStyle w:val="Hypertextovodkaz"/>
                <w:noProof/>
              </w:rPr>
              <w:t>Příjmy</w:t>
            </w:r>
            <w:r w:rsidR="00DC2930">
              <w:rPr>
                <w:noProof/>
                <w:webHidden/>
              </w:rPr>
              <w:tab/>
            </w:r>
            <w:r w:rsidR="00DC2930">
              <w:rPr>
                <w:noProof/>
                <w:webHidden/>
              </w:rPr>
              <w:fldChar w:fldCharType="begin"/>
            </w:r>
            <w:r w:rsidR="00DC2930">
              <w:rPr>
                <w:noProof/>
                <w:webHidden/>
              </w:rPr>
              <w:instrText xml:space="preserve"> PAGEREF _Toc63684669 \h </w:instrText>
            </w:r>
            <w:r w:rsidR="00DC2930">
              <w:rPr>
                <w:noProof/>
                <w:webHidden/>
              </w:rPr>
            </w:r>
            <w:r w:rsidR="00DC2930">
              <w:rPr>
                <w:noProof/>
                <w:webHidden/>
              </w:rPr>
              <w:fldChar w:fldCharType="separate"/>
            </w:r>
            <w:r w:rsidR="00DC2930">
              <w:rPr>
                <w:noProof/>
                <w:webHidden/>
              </w:rPr>
              <w:t>5</w:t>
            </w:r>
            <w:r w:rsidR="00DC2930">
              <w:rPr>
                <w:noProof/>
                <w:webHidden/>
              </w:rPr>
              <w:fldChar w:fldCharType="end"/>
            </w:r>
          </w:hyperlink>
        </w:p>
        <w:p w:rsidR="00DC2930" w:rsidRDefault="00904B42">
          <w:pPr>
            <w:pStyle w:val="Obsah2"/>
            <w:rPr>
              <w:rFonts w:eastAsiaTheme="minorEastAsia"/>
              <w:noProof/>
              <w:sz w:val="22"/>
              <w:lang w:eastAsia="cs-CZ"/>
            </w:rPr>
          </w:pPr>
          <w:hyperlink w:anchor="_Toc63684670" w:history="1">
            <w:r w:rsidR="00DC2930" w:rsidRPr="00107339">
              <w:rPr>
                <w:rStyle w:val="Hypertextovodkaz"/>
                <w:noProof/>
              </w:rPr>
              <w:t>3.2</w:t>
            </w:r>
            <w:r w:rsidR="00DC2930">
              <w:rPr>
                <w:rFonts w:eastAsiaTheme="minorEastAsia"/>
                <w:noProof/>
                <w:sz w:val="22"/>
                <w:lang w:eastAsia="cs-CZ"/>
              </w:rPr>
              <w:tab/>
            </w:r>
            <w:r w:rsidR="00DC2930" w:rsidRPr="00107339">
              <w:rPr>
                <w:rStyle w:val="Hypertextovodkaz"/>
                <w:noProof/>
              </w:rPr>
              <w:t>Výdaje</w:t>
            </w:r>
            <w:r w:rsidR="00DC2930">
              <w:rPr>
                <w:noProof/>
                <w:webHidden/>
              </w:rPr>
              <w:tab/>
            </w:r>
            <w:r w:rsidR="00DC2930">
              <w:rPr>
                <w:noProof/>
                <w:webHidden/>
              </w:rPr>
              <w:fldChar w:fldCharType="begin"/>
            </w:r>
            <w:r w:rsidR="00DC2930">
              <w:rPr>
                <w:noProof/>
                <w:webHidden/>
              </w:rPr>
              <w:instrText xml:space="preserve"> PAGEREF _Toc63684670 \h </w:instrText>
            </w:r>
            <w:r w:rsidR="00DC2930">
              <w:rPr>
                <w:noProof/>
                <w:webHidden/>
              </w:rPr>
            </w:r>
            <w:r w:rsidR="00DC2930">
              <w:rPr>
                <w:noProof/>
                <w:webHidden/>
              </w:rPr>
              <w:fldChar w:fldCharType="separate"/>
            </w:r>
            <w:r w:rsidR="00DC2930">
              <w:rPr>
                <w:noProof/>
                <w:webHidden/>
              </w:rPr>
              <w:t>7</w:t>
            </w:r>
            <w:r w:rsidR="00DC2930">
              <w:rPr>
                <w:noProof/>
                <w:webHidden/>
              </w:rPr>
              <w:fldChar w:fldCharType="end"/>
            </w:r>
          </w:hyperlink>
        </w:p>
        <w:p w:rsidR="00DC2930" w:rsidRDefault="00904B42">
          <w:pPr>
            <w:pStyle w:val="Obsah2"/>
            <w:rPr>
              <w:rFonts w:eastAsiaTheme="minorEastAsia"/>
              <w:noProof/>
              <w:sz w:val="22"/>
              <w:lang w:eastAsia="cs-CZ"/>
            </w:rPr>
          </w:pPr>
          <w:hyperlink w:anchor="_Toc63684671" w:history="1">
            <w:r w:rsidR="00DC2930" w:rsidRPr="00107339">
              <w:rPr>
                <w:rStyle w:val="Hypertextovodkaz"/>
                <w:noProof/>
              </w:rPr>
              <w:t>3.3</w:t>
            </w:r>
            <w:r w:rsidR="00DC2930">
              <w:rPr>
                <w:rFonts w:eastAsiaTheme="minorEastAsia"/>
                <w:noProof/>
                <w:sz w:val="22"/>
                <w:lang w:eastAsia="cs-CZ"/>
              </w:rPr>
              <w:tab/>
            </w:r>
            <w:r w:rsidR="00DC2930" w:rsidRPr="00107339">
              <w:rPr>
                <w:rStyle w:val="Hypertextovodkaz"/>
                <w:noProof/>
              </w:rPr>
              <w:t>Saldo</w:t>
            </w:r>
            <w:r w:rsidR="00DC2930">
              <w:rPr>
                <w:noProof/>
                <w:webHidden/>
              </w:rPr>
              <w:tab/>
            </w:r>
            <w:r w:rsidR="00DC2930">
              <w:rPr>
                <w:noProof/>
                <w:webHidden/>
              </w:rPr>
              <w:fldChar w:fldCharType="begin"/>
            </w:r>
            <w:r w:rsidR="00DC2930">
              <w:rPr>
                <w:noProof/>
                <w:webHidden/>
              </w:rPr>
              <w:instrText xml:space="preserve"> PAGEREF _Toc63684671 \h </w:instrText>
            </w:r>
            <w:r w:rsidR="00DC2930">
              <w:rPr>
                <w:noProof/>
                <w:webHidden/>
              </w:rPr>
            </w:r>
            <w:r w:rsidR="00DC2930">
              <w:rPr>
                <w:noProof/>
                <w:webHidden/>
              </w:rPr>
              <w:fldChar w:fldCharType="separate"/>
            </w:r>
            <w:r w:rsidR="00DC2930">
              <w:rPr>
                <w:noProof/>
                <w:webHidden/>
              </w:rPr>
              <w:t>10</w:t>
            </w:r>
            <w:r w:rsidR="00DC2930">
              <w:rPr>
                <w:noProof/>
                <w:webHidden/>
              </w:rPr>
              <w:fldChar w:fldCharType="end"/>
            </w:r>
          </w:hyperlink>
        </w:p>
        <w:p w:rsidR="00DC2930" w:rsidRDefault="00904B42">
          <w:pPr>
            <w:pStyle w:val="Obsah2"/>
            <w:rPr>
              <w:rFonts w:eastAsiaTheme="minorEastAsia"/>
              <w:noProof/>
              <w:sz w:val="22"/>
              <w:lang w:eastAsia="cs-CZ"/>
            </w:rPr>
          </w:pPr>
          <w:hyperlink w:anchor="_Toc63684672" w:history="1">
            <w:r w:rsidR="00DC2930" w:rsidRPr="00107339">
              <w:rPr>
                <w:rStyle w:val="Hypertextovodkaz"/>
                <w:noProof/>
              </w:rPr>
              <w:t>3.4</w:t>
            </w:r>
            <w:r w:rsidR="00DC2930">
              <w:rPr>
                <w:rFonts w:eastAsiaTheme="minorEastAsia"/>
                <w:noProof/>
                <w:sz w:val="22"/>
                <w:lang w:eastAsia="cs-CZ"/>
              </w:rPr>
              <w:tab/>
            </w:r>
            <w:r w:rsidR="00DC2930" w:rsidRPr="00107339">
              <w:rPr>
                <w:rStyle w:val="Hypertextovodkaz"/>
                <w:noProof/>
              </w:rPr>
              <w:t>Pohledávky a závazky</w:t>
            </w:r>
            <w:r w:rsidR="00DC2930">
              <w:rPr>
                <w:noProof/>
                <w:webHidden/>
              </w:rPr>
              <w:tab/>
            </w:r>
            <w:r w:rsidR="00DC2930">
              <w:rPr>
                <w:noProof/>
                <w:webHidden/>
              </w:rPr>
              <w:fldChar w:fldCharType="begin"/>
            </w:r>
            <w:r w:rsidR="00DC2930">
              <w:rPr>
                <w:noProof/>
                <w:webHidden/>
              </w:rPr>
              <w:instrText xml:space="preserve"> PAGEREF _Toc63684672 \h </w:instrText>
            </w:r>
            <w:r w:rsidR="00DC2930">
              <w:rPr>
                <w:noProof/>
                <w:webHidden/>
              </w:rPr>
            </w:r>
            <w:r w:rsidR="00DC2930">
              <w:rPr>
                <w:noProof/>
                <w:webHidden/>
              </w:rPr>
              <w:fldChar w:fldCharType="separate"/>
            </w:r>
            <w:r w:rsidR="00DC2930">
              <w:rPr>
                <w:noProof/>
                <w:webHidden/>
              </w:rPr>
              <w:t>12</w:t>
            </w:r>
            <w:r w:rsidR="00DC2930">
              <w:rPr>
                <w:noProof/>
                <w:webHidden/>
              </w:rPr>
              <w:fldChar w:fldCharType="end"/>
            </w:r>
          </w:hyperlink>
        </w:p>
        <w:p w:rsidR="00DC2930" w:rsidRDefault="00904B42">
          <w:pPr>
            <w:pStyle w:val="Obsah2"/>
            <w:rPr>
              <w:rFonts w:eastAsiaTheme="minorEastAsia"/>
              <w:noProof/>
              <w:sz w:val="22"/>
              <w:lang w:eastAsia="cs-CZ"/>
            </w:rPr>
          </w:pPr>
          <w:hyperlink w:anchor="_Toc63684673" w:history="1">
            <w:r w:rsidR="00DC2930" w:rsidRPr="00107339">
              <w:rPr>
                <w:rStyle w:val="Hypertextovodkaz"/>
                <w:noProof/>
              </w:rPr>
              <w:t>3.5</w:t>
            </w:r>
            <w:r w:rsidR="00DC2930">
              <w:rPr>
                <w:rFonts w:eastAsiaTheme="minorEastAsia"/>
                <w:noProof/>
                <w:sz w:val="22"/>
                <w:lang w:eastAsia="cs-CZ"/>
              </w:rPr>
              <w:tab/>
            </w:r>
            <w:r w:rsidR="00DC2930" w:rsidRPr="00107339">
              <w:rPr>
                <w:rStyle w:val="Hypertextovodkaz"/>
                <w:noProof/>
              </w:rPr>
              <w:t>Stavy peněžních prostředků zdravotních pojišťoven na BÚ</w:t>
            </w:r>
            <w:r w:rsidR="00DC2930">
              <w:rPr>
                <w:noProof/>
                <w:webHidden/>
              </w:rPr>
              <w:tab/>
            </w:r>
            <w:r w:rsidR="00DC2930">
              <w:rPr>
                <w:noProof/>
                <w:webHidden/>
              </w:rPr>
              <w:fldChar w:fldCharType="begin"/>
            </w:r>
            <w:r w:rsidR="00DC2930">
              <w:rPr>
                <w:noProof/>
                <w:webHidden/>
              </w:rPr>
              <w:instrText xml:space="preserve"> PAGEREF _Toc63684673 \h </w:instrText>
            </w:r>
            <w:r w:rsidR="00DC2930">
              <w:rPr>
                <w:noProof/>
                <w:webHidden/>
              </w:rPr>
            </w:r>
            <w:r w:rsidR="00DC2930">
              <w:rPr>
                <w:noProof/>
                <w:webHidden/>
              </w:rPr>
              <w:fldChar w:fldCharType="separate"/>
            </w:r>
            <w:r w:rsidR="00DC2930">
              <w:rPr>
                <w:noProof/>
                <w:webHidden/>
              </w:rPr>
              <w:t>14</w:t>
            </w:r>
            <w:r w:rsidR="00DC2930">
              <w:rPr>
                <w:noProof/>
                <w:webHidden/>
              </w:rPr>
              <w:fldChar w:fldCharType="end"/>
            </w:r>
          </w:hyperlink>
        </w:p>
        <w:p w:rsidR="00DC2930" w:rsidRDefault="00904B42">
          <w:pPr>
            <w:pStyle w:val="Obsah2"/>
            <w:rPr>
              <w:rFonts w:eastAsiaTheme="minorEastAsia"/>
              <w:noProof/>
              <w:sz w:val="22"/>
              <w:lang w:eastAsia="cs-CZ"/>
            </w:rPr>
          </w:pPr>
          <w:hyperlink w:anchor="_Toc63684674" w:history="1">
            <w:r w:rsidR="00DC2930" w:rsidRPr="00107339">
              <w:rPr>
                <w:rStyle w:val="Hypertextovodkaz"/>
                <w:noProof/>
              </w:rPr>
              <w:t>3.6</w:t>
            </w:r>
            <w:r w:rsidR="00DC2930">
              <w:rPr>
                <w:rFonts w:eastAsiaTheme="minorEastAsia"/>
                <w:noProof/>
                <w:sz w:val="22"/>
                <w:lang w:eastAsia="cs-CZ"/>
              </w:rPr>
              <w:tab/>
            </w:r>
            <w:r w:rsidR="00DC2930" w:rsidRPr="00107339">
              <w:rPr>
                <w:rStyle w:val="Hypertextovodkaz"/>
                <w:noProof/>
              </w:rPr>
              <w:t>Střednědobý výhled hospodaření 2022–2023</w:t>
            </w:r>
            <w:r w:rsidR="00DC2930">
              <w:rPr>
                <w:noProof/>
                <w:webHidden/>
              </w:rPr>
              <w:tab/>
            </w:r>
            <w:r w:rsidR="00DC2930">
              <w:rPr>
                <w:noProof/>
                <w:webHidden/>
              </w:rPr>
              <w:fldChar w:fldCharType="begin"/>
            </w:r>
            <w:r w:rsidR="00DC2930">
              <w:rPr>
                <w:noProof/>
                <w:webHidden/>
              </w:rPr>
              <w:instrText xml:space="preserve"> PAGEREF _Toc63684674 \h </w:instrText>
            </w:r>
            <w:r w:rsidR="00DC2930">
              <w:rPr>
                <w:noProof/>
                <w:webHidden/>
              </w:rPr>
            </w:r>
            <w:r w:rsidR="00DC2930">
              <w:rPr>
                <w:noProof/>
                <w:webHidden/>
              </w:rPr>
              <w:fldChar w:fldCharType="separate"/>
            </w:r>
            <w:r w:rsidR="00DC2930">
              <w:rPr>
                <w:noProof/>
                <w:webHidden/>
              </w:rPr>
              <w:t>16</w:t>
            </w:r>
            <w:r w:rsidR="00DC2930">
              <w:rPr>
                <w:noProof/>
                <w:webHidden/>
              </w:rPr>
              <w:fldChar w:fldCharType="end"/>
            </w:r>
          </w:hyperlink>
        </w:p>
        <w:p w:rsidR="00DC2930" w:rsidRDefault="00904B42">
          <w:pPr>
            <w:pStyle w:val="Obsah2"/>
            <w:rPr>
              <w:rFonts w:eastAsiaTheme="minorEastAsia"/>
              <w:noProof/>
              <w:sz w:val="22"/>
              <w:lang w:eastAsia="cs-CZ"/>
            </w:rPr>
          </w:pPr>
          <w:hyperlink w:anchor="_Toc63684675" w:history="1">
            <w:r w:rsidR="00DC2930" w:rsidRPr="00107339">
              <w:rPr>
                <w:rStyle w:val="Hypertextovodkaz"/>
                <w:noProof/>
              </w:rPr>
              <w:t>3.7</w:t>
            </w:r>
            <w:r w:rsidR="00DC2930">
              <w:rPr>
                <w:rFonts w:eastAsiaTheme="minorEastAsia"/>
                <w:noProof/>
                <w:sz w:val="22"/>
                <w:lang w:eastAsia="cs-CZ"/>
              </w:rPr>
              <w:tab/>
            </w:r>
            <w:r w:rsidR="00DC2930" w:rsidRPr="00107339">
              <w:rPr>
                <w:rStyle w:val="Hypertextovodkaz"/>
                <w:noProof/>
              </w:rPr>
              <w:t>Zátěžový test systému v. z. p.</w:t>
            </w:r>
            <w:r w:rsidR="00DC2930">
              <w:rPr>
                <w:noProof/>
                <w:webHidden/>
              </w:rPr>
              <w:tab/>
            </w:r>
            <w:r w:rsidR="00DC2930">
              <w:rPr>
                <w:noProof/>
                <w:webHidden/>
              </w:rPr>
              <w:fldChar w:fldCharType="begin"/>
            </w:r>
            <w:r w:rsidR="00DC2930">
              <w:rPr>
                <w:noProof/>
                <w:webHidden/>
              </w:rPr>
              <w:instrText xml:space="preserve"> PAGEREF _Toc63684675 \h </w:instrText>
            </w:r>
            <w:r w:rsidR="00DC2930">
              <w:rPr>
                <w:noProof/>
                <w:webHidden/>
              </w:rPr>
            </w:r>
            <w:r w:rsidR="00DC2930">
              <w:rPr>
                <w:noProof/>
                <w:webHidden/>
              </w:rPr>
              <w:fldChar w:fldCharType="separate"/>
            </w:r>
            <w:r w:rsidR="00DC2930">
              <w:rPr>
                <w:noProof/>
                <w:webHidden/>
              </w:rPr>
              <w:t>19</w:t>
            </w:r>
            <w:r w:rsidR="00DC2930">
              <w:rPr>
                <w:noProof/>
                <w:webHidden/>
              </w:rPr>
              <w:fldChar w:fldCharType="end"/>
            </w:r>
          </w:hyperlink>
        </w:p>
        <w:p w:rsidR="00DC2930" w:rsidRDefault="00904B42">
          <w:pPr>
            <w:pStyle w:val="Obsah3"/>
            <w:tabs>
              <w:tab w:val="left" w:pos="1100"/>
              <w:tab w:val="right" w:leader="dot" w:pos="9628"/>
            </w:tabs>
            <w:rPr>
              <w:rFonts w:eastAsiaTheme="minorEastAsia"/>
              <w:noProof/>
              <w:sz w:val="22"/>
              <w:lang w:eastAsia="cs-CZ"/>
            </w:rPr>
          </w:pPr>
          <w:hyperlink w:anchor="_Toc63684676" w:history="1">
            <w:r w:rsidR="00DC2930" w:rsidRPr="00107339">
              <w:rPr>
                <w:rStyle w:val="Hypertextovodkaz"/>
                <w:noProof/>
              </w:rPr>
              <w:t>3.7.1</w:t>
            </w:r>
            <w:r w:rsidR="00DC2930">
              <w:rPr>
                <w:rFonts w:eastAsiaTheme="minorEastAsia"/>
                <w:noProof/>
                <w:sz w:val="22"/>
                <w:lang w:eastAsia="cs-CZ"/>
              </w:rPr>
              <w:tab/>
            </w:r>
            <w:r w:rsidR="00DC2930" w:rsidRPr="00107339">
              <w:rPr>
                <w:rStyle w:val="Hypertextovodkaz"/>
                <w:noProof/>
              </w:rPr>
              <w:t>Růst celkových výdajů podle SDV</w:t>
            </w:r>
            <w:r w:rsidR="00DC2930">
              <w:rPr>
                <w:noProof/>
                <w:webHidden/>
              </w:rPr>
              <w:tab/>
            </w:r>
            <w:r w:rsidR="00DC2930">
              <w:rPr>
                <w:noProof/>
                <w:webHidden/>
              </w:rPr>
              <w:fldChar w:fldCharType="begin"/>
            </w:r>
            <w:r w:rsidR="00DC2930">
              <w:rPr>
                <w:noProof/>
                <w:webHidden/>
              </w:rPr>
              <w:instrText xml:space="preserve"> PAGEREF _Toc63684676 \h </w:instrText>
            </w:r>
            <w:r w:rsidR="00DC2930">
              <w:rPr>
                <w:noProof/>
                <w:webHidden/>
              </w:rPr>
            </w:r>
            <w:r w:rsidR="00DC2930">
              <w:rPr>
                <w:noProof/>
                <w:webHidden/>
              </w:rPr>
              <w:fldChar w:fldCharType="separate"/>
            </w:r>
            <w:r w:rsidR="00DC2930">
              <w:rPr>
                <w:noProof/>
                <w:webHidden/>
              </w:rPr>
              <w:t>20</w:t>
            </w:r>
            <w:r w:rsidR="00DC2930">
              <w:rPr>
                <w:noProof/>
                <w:webHidden/>
              </w:rPr>
              <w:fldChar w:fldCharType="end"/>
            </w:r>
          </w:hyperlink>
        </w:p>
        <w:p w:rsidR="00DC2930" w:rsidRDefault="00904B42">
          <w:pPr>
            <w:pStyle w:val="Obsah3"/>
            <w:tabs>
              <w:tab w:val="left" w:pos="1100"/>
              <w:tab w:val="right" w:leader="dot" w:pos="9628"/>
            </w:tabs>
            <w:rPr>
              <w:rFonts w:eastAsiaTheme="minorEastAsia"/>
              <w:noProof/>
              <w:sz w:val="22"/>
              <w:lang w:eastAsia="cs-CZ"/>
            </w:rPr>
          </w:pPr>
          <w:hyperlink w:anchor="_Toc63684677" w:history="1">
            <w:r w:rsidR="00DC2930" w:rsidRPr="00107339">
              <w:rPr>
                <w:rStyle w:val="Hypertextovodkaz"/>
                <w:noProof/>
              </w:rPr>
              <w:t>3.7.2</w:t>
            </w:r>
            <w:r w:rsidR="00DC2930">
              <w:rPr>
                <w:rFonts w:eastAsiaTheme="minorEastAsia"/>
                <w:noProof/>
                <w:sz w:val="22"/>
                <w:lang w:eastAsia="cs-CZ"/>
              </w:rPr>
              <w:tab/>
            </w:r>
            <w:r w:rsidR="00DC2930" w:rsidRPr="00107339">
              <w:rPr>
                <w:rStyle w:val="Hypertextovodkaz"/>
                <w:noProof/>
              </w:rPr>
              <w:t>Růst celkových výdajů podle 2020/2021</w:t>
            </w:r>
            <w:r w:rsidR="00DC2930">
              <w:rPr>
                <w:noProof/>
                <w:webHidden/>
              </w:rPr>
              <w:tab/>
            </w:r>
            <w:r w:rsidR="00DC2930">
              <w:rPr>
                <w:noProof/>
                <w:webHidden/>
              </w:rPr>
              <w:fldChar w:fldCharType="begin"/>
            </w:r>
            <w:r w:rsidR="00DC2930">
              <w:rPr>
                <w:noProof/>
                <w:webHidden/>
              </w:rPr>
              <w:instrText xml:space="preserve"> PAGEREF _Toc63684677 \h </w:instrText>
            </w:r>
            <w:r w:rsidR="00DC2930">
              <w:rPr>
                <w:noProof/>
                <w:webHidden/>
              </w:rPr>
            </w:r>
            <w:r w:rsidR="00DC2930">
              <w:rPr>
                <w:noProof/>
                <w:webHidden/>
              </w:rPr>
              <w:fldChar w:fldCharType="separate"/>
            </w:r>
            <w:r w:rsidR="00DC2930">
              <w:rPr>
                <w:noProof/>
                <w:webHidden/>
              </w:rPr>
              <w:t>22</w:t>
            </w:r>
            <w:r w:rsidR="00DC2930">
              <w:rPr>
                <w:noProof/>
                <w:webHidden/>
              </w:rPr>
              <w:fldChar w:fldCharType="end"/>
            </w:r>
          </w:hyperlink>
        </w:p>
        <w:p w:rsidR="00DC2930" w:rsidRDefault="00904B42">
          <w:pPr>
            <w:pStyle w:val="Obsah3"/>
            <w:tabs>
              <w:tab w:val="left" w:pos="1100"/>
              <w:tab w:val="right" w:leader="dot" w:pos="9628"/>
            </w:tabs>
            <w:rPr>
              <w:rFonts w:eastAsiaTheme="minorEastAsia"/>
              <w:noProof/>
              <w:sz w:val="22"/>
              <w:lang w:eastAsia="cs-CZ"/>
            </w:rPr>
          </w:pPr>
          <w:hyperlink w:anchor="_Toc63684678" w:history="1">
            <w:r w:rsidR="00DC2930" w:rsidRPr="00107339">
              <w:rPr>
                <w:rStyle w:val="Hypertextovodkaz"/>
                <w:noProof/>
              </w:rPr>
              <w:t>3.7.3</w:t>
            </w:r>
            <w:r w:rsidR="00DC2930">
              <w:rPr>
                <w:rFonts w:eastAsiaTheme="minorEastAsia"/>
                <w:noProof/>
                <w:sz w:val="22"/>
                <w:lang w:eastAsia="cs-CZ"/>
              </w:rPr>
              <w:tab/>
            </w:r>
            <w:r w:rsidR="00DC2930" w:rsidRPr="00107339">
              <w:rPr>
                <w:rStyle w:val="Hypertextovodkaz"/>
                <w:noProof/>
              </w:rPr>
              <w:t>Zhodnocení</w:t>
            </w:r>
            <w:r w:rsidR="00DC2930">
              <w:rPr>
                <w:noProof/>
                <w:webHidden/>
              </w:rPr>
              <w:tab/>
            </w:r>
            <w:r w:rsidR="00DC2930">
              <w:rPr>
                <w:noProof/>
                <w:webHidden/>
              </w:rPr>
              <w:fldChar w:fldCharType="begin"/>
            </w:r>
            <w:r w:rsidR="00DC2930">
              <w:rPr>
                <w:noProof/>
                <w:webHidden/>
              </w:rPr>
              <w:instrText xml:space="preserve"> PAGEREF _Toc63684678 \h </w:instrText>
            </w:r>
            <w:r w:rsidR="00DC2930">
              <w:rPr>
                <w:noProof/>
                <w:webHidden/>
              </w:rPr>
            </w:r>
            <w:r w:rsidR="00DC2930">
              <w:rPr>
                <w:noProof/>
                <w:webHidden/>
              </w:rPr>
              <w:fldChar w:fldCharType="separate"/>
            </w:r>
            <w:r w:rsidR="00DC2930">
              <w:rPr>
                <w:noProof/>
                <w:webHidden/>
              </w:rPr>
              <w:t>23</w:t>
            </w:r>
            <w:r w:rsidR="00DC2930">
              <w:rPr>
                <w:noProof/>
                <w:webHidden/>
              </w:rPr>
              <w:fldChar w:fldCharType="end"/>
            </w:r>
          </w:hyperlink>
        </w:p>
        <w:p w:rsidR="00DC2930" w:rsidRDefault="00904B42">
          <w:pPr>
            <w:pStyle w:val="Obsah2"/>
            <w:rPr>
              <w:rFonts w:eastAsiaTheme="minorEastAsia"/>
              <w:noProof/>
              <w:sz w:val="22"/>
              <w:lang w:eastAsia="cs-CZ"/>
            </w:rPr>
          </w:pPr>
          <w:hyperlink w:anchor="_Toc63684679" w:history="1">
            <w:r w:rsidR="00DC2930" w:rsidRPr="00107339">
              <w:rPr>
                <w:rStyle w:val="Hypertextovodkaz"/>
                <w:noProof/>
              </w:rPr>
              <w:t>3.8</w:t>
            </w:r>
            <w:r w:rsidR="00DC2930">
              <w:rPr>
                <w:rFonts w:eastAsiaTheme="minorEastAsia"/>
                <w:noProof/>
                <w:sz w:val="22"/>
                <w:lang w:eastAsia="cs-CZ"/>
              </w:rPr>
              <w:tab/>
            </w:r>
            <w:r w:rsidR="00DC2930" w:rsidRPr="00107339">
              <w:rPr>
                <w:rStyle w:val="Hypertextovodkaz"/>
                <w:noProof/>
              </w:rPr>
              <w:t>Pojištěnci a zaměstnanci systému v. z. p.</w:t>
            </w:r>
            <w:r w:rsidR="00DC2930">
              <w:rPr>
                <w:noProof/>
                <w:webHidden/>
              </w:rPr>
              <w:tab/>
            </w:r>
            <w:r w:rsidR="00DC2930">
              <w:rPr>
                <w:noProof/>
                <w:webHidden/>
              </w:rPr>
              <w:fldChar w:fldCharType="begin"/>
            </w:r>
            <w:r w:rsidR="00DC2930">
              <w:rPr>
                <w:noProof/>
                <w:webHidden/>
              </w:rPr>
              <w:instrText xml:space="preserve"> PAGEREF _Toc63684679 \h </w:instrText>
            </w:r>
            <w:r w:rsidR="00DC2930">
              <w:rPr>
                <w:noProof/>
                <w:webHidden/>
              </w:rPr>
            </w:r>
            <w:r w:rsidR="00DC2930">
              <w:rPr>
                <w:noProof/>
                <w:webHidden/>
              </w:rPr>
              <w:fldChar w:fldCharType="separate"/>
            </w:r>
            <w:r w:rsidR="00DC2930">
              <w:rPr>
                <w:noProof/>
                <w:webHidden/>
              </w:rPr>
              <w:t>24</w:t>
            </w:r>
            <w:r w:rsidR="00DC2930">
              <w:rPr>
                <w:noProof/>
                <w:webHidden/>
              </w:rPr>
              <w:fldChar w:fldCharType="end"/>
            </w:r>
          </w:hyperlink>
        </w:p>
        <w:p w:rsidR="00DC2930" w:rsidRDefault="00904B42">
          <w:pPr>
            <w:pStyle w:val="Obsah2"/>
            <w:rPr>
              <w:rFonts w:eastAsiaTheme="minorEastAsia"/>
              <w:noProof/>
              <w:sz w:val="22"/>
              <w:lang w:eastAsia="cs-CZ"/>
            </w:rPr>
          </w:pPr>
          <w:hyperlink w:anchor="_Toc63684680" w:history="1">
            <w:r w:rsidR="00DC2930" w:rsidRPr="00107339">
              <w:rPr>
                <w:rStyle w:val="Hypertextovodkaz"/>
                <w:noProof/>
              </w:rPr>
              <w:t>3.9</w:t>
            </w:r>
            <w:r w:rsidR="00DC2930">
              <w:rPr>
                <w:rFonts w:eastAsiaTheme="minorEastAsia"/>
                <w:noProof/>
                <w:sz w:val="22"/>
                <w:lang w:eastAsia="cs-CZ"/>
              </w:rPr>
              <w:tab/>
            </w:r>
            <w:r w:rsidR="00DC2930" w:rsidRPr="00107339">
              <w:rPr>
                <w:rStyle w:val="Hypertextovodkaz"/>
                <w:noProof/>
              </w:rPr>
              <w:t>Vlivy na systém veřejného zdravotního pojištění</w:t>
            </w:r>
            <w:r w:rsidR="00DC2930">
              <w:rPr>
                <w:noProof/>
                <w:webHidden/>
              </w:rPr>
              <w:tab/>
            </w:r>
            <w:r w:rsidR="00DC2930">
              <w:rPr>
                <w:noProof/>
                <w:webHidden/>
              </w:rPr>
              <w:fldChar w:fldCharType="begin"/>
            </w:r>
            <w:r w:rsidR="00DC2930">
              <w:rPr>
                <w:noProof/>
                <w:webHidden/>
              </w:rPr>
              <w:instrText xml:space="preserve"> PAGEREF _Toc63684680 \h </w:instrText>
            </w:r>
            <w:r w:rsidR="00DC2930">
              <w:rPr>
                <w:noProof/>
                <w:webHidden/>
              </w:rPr>
            </w:r>
            <w:r w:rsidR="00DC2930">
              <w:rPr>
                <w:noProof/>
                <w:webHidden/>
              </w:rPr>
              <w:fldChar w:fldCharType="separate"/>
            </w:r>
            <w:r w:rsidR="00DC2930">
              <w:rPr>
                <w:noProof/>
                <w:webHidden/>
              </w:rPr>
              <w:t>25</w:t>
            </w:r>
            <w:r w:rsidR="00DC2930">
              <w:rPr>
                <w:noProof/>
                <w:webHidden/>
              </w:rPr>
              <w:fldChar w:fldCharType="end"/>
            </w:r>
          </w:hyperlink>
        </w:p>
        <w:p w:rsidR="00DC2930" w:rsidRDefault="00904B42">
          <w:pPr>
            <w:pStyle w:val="Obsah1"/>
            <w:rPr>
              <w:rFonts w:eastAsiaTheme="minorEastAsia"/>
              <w:noProof/>
              <w:sz w:val="22"/>
              <w:lang w:eastAsia="cs-CZ"/>
            </w:rPr>
          </w:pPr>
          <w:hyperlink w:anchor="_Toc63684681" w:history="1">
            <w:r w:rsidR="00DC2930" w:rsidRPr="00107339">
              <w:rPr>
                <w:rStyle w:val="Hypertextovodkaz"/>
                <w:noProof/>
              </w:rPr>
              <w:t>4</w:t>
            </w:r>
            <w:r w:rsidR="00DC2930">
              <w:rPr>
                <w:rFonts w:eastAsiaTheme="minorEastAsia"/>
                <w:noProof/>
                <w:sz w:val="22"/>
                <w:lang w:eastAsia="cs-CZ"/>
              </w:rPr>
              <w:tab/>
            </w:r>
            <w:r w:rsidR="00DC2930" w:rsidRPr="00107339">
              <w:rPr>
                <w:rStyle w:val="Hypertextovodkaz"/>
                <w:noProof/>
              </w:rPr>
              <w:t>Zdravotní hodnocení</w:t>
            </w:r>
            <w:r w:rsidR="00DC2930">
              <w:rPr>
                <w:noProof/>
                <w:webHidden/>
              </w:rPr>
              <w:tab/>
            </w:r>
            <w:r w:rsidR="00DC2930">
              <w:rPr>
                <w:noProof/>
                <w:webHidden/>
              </w:rPr>
              <w:fldChar w:fldCharType="begin"/>
            </w:r>
            <w:r w:rsidR="00DC2930">
              <w:rPr>
                <w:noProof/>
                <w:webHidden/>
              </w:rPr>
              <w:instrText xml:space="preserve"> PAGEREF _Toc63684681 \h </w:instrText>
            </w:r>
            <w:r w:rsidR="00DC2930">
              <w:rPr>
                <w:noProof/>
                <w:webHidden/>
              </w:rPr>
            </w:r>
            <w:r w:rsidR="00DC2930">
              <w:rPr>
                <w:noProof/>
                <w:webHidden/>
              </w:rPr>
              <w:fldChar w:fldCharType="separate"/>
            </w:r>
            <w:r w:rsidR="00DC2930">
              <w:rPr>
                <w:noProof/>
                <w:webHidden/>
              </w:rPr>
              <w:t>27</w:t>
            </w:r>
            <w:r w:rsidR="00DC2930">
              <w:rPr>
                <w:noProof/>
                <w:webHidden/>
              </w:rPr>
              <w:fldChar w:fldCharType="end"/>
            </w:r>
          </w:hyperlink>
        </w:p>
        <w:p w:rsidR="00DC2930" w:rsidRDefault="00904B42">
          <w:pPr>
            <w:pStyle w:val="Obsah2"/>
            <w:rPr>
              <w:rFonts w:eastAsiaTheme="minorEastAsia"/>
              <w:noProof/>
              <w:sz w:val="22"/>
              <w:lang w:eastAsia="cs-CZ"/>
            </w:rPr>
          </w:pPr>
          <w:hyperlink w:anchor="_Toc63684682" w:history="1">
            <w:r w:rsidR="00DC2930" w:rsidRPr="00107339">
              <w:rPr>
                <w:rStyle w:val="Hypertextovodkaz"/>
                <w:noProof/>
              </w:rPr>
              <w:t>4.1</w:t>
            </w:r>
            <w:r w:rsidR="00DC2930">
              <w:rPr>
                <w:rFonts w:eastAsiaTheme="minorEastAsia"/>
                <w:noProof/>
                <w:sz w:val="22"/>
                <w:lang w:eastAsia="cs-CZ"/>
              </w:rPr>
              <w:tab/>
            </w:r>
            <w:r w:rsidR="00DC2930" w:rsidRPr="00107339">
              <w:rPr>
                <w:rStyle w:val="Hypertextovodkaz"/>
                <w:noProof/>
              </w:rPr>
              <w:t>Náklady na zdravotní služby</w:t>
            </w:r>
            <w:r w:rsidR="00DC2930">
              <w:rPr>
                <w:noProof/>
                <w:webHidden/>
              </w:rPr>
              <w:tab/>
            </w:r>
            <w:r w:rsidR="00DC2930">
              <w:rPr>
                <w:noProof/>
                <w:webHidden/>
              </w:rPr>
              <w:fldChar w:fldCharType="begin"/>
            </w:r>
            <w:r w:rsidR="00DC2930">
              <w:rPr>
                <w:noProof/>
                <w:webHidden/>
              </w:rPr>
              <w:instrText xml:space="preserve"> PAGEREF _Toc63684682 \h </w:instrText>
            </w:r>
            <w:r w:rsidR="00DC2930">
              <w:rPr>
                <w:noProof/>
                <w:webHidden/>
              </w:rPr>
            </w:r>
            <w:r w:rsidR="00DC2930">
              <w:rPr>
                <w:noProof/>
                <w:webHidden/>
              </w:rPr>
              <w:fldChar w:fldCharType="separate"/>
            </w:r>
            <w:r w:rsidR="00DC2930">
              <w:rPr>
                <w:noProof/>
                <w:webHidden/>
              </w:rPr>
              <w:t>27</w:t>
            </w:r>
            <w:r w:rsidR="00DC2930">
              <w:rPr>
                <w:noProof/>
                <w:webHidden/>
              </w:rPr>
              <w:fldChar w:fldCharType="end"/>
            </w:r>
          </w:hyperlink>
        </w:p>
        <w:p w:rsidR="00DC2930" w:rsidRDefault="00904B42">
          <w:pPr>
            <w:pStyle w:val="Obsah2"/>
            <w:rPr>
              <w:rFonts w:eastAsiaTheme="minorEastAsia"/>
              <w:noProof/>
              <w:sz w:val="22"/>
              <w:lang w:eastAsia="cs-CZ"/>
            </w:rPr>
          </w:pPr>
          <w:hyperlink w:anchor="_Toc63684683" w:history="1">
            <w:r w:rsidR="00DC2930" w:rsidRPr="00107339">
              <w:rPr>
                <w:rStyle w:val="Hypertextovodkaz"/>
                <w:noProof/>
              </w:rPr>
              <w:t>4.2</w:t>
            </w:r>
            <w:r w:rsidR="00DC2930">
              <w:rPr>
                <w:rFonts w:eastAsiaTheme="minorEastAsia"/>
                <w:noProof/>
                <w:sz w:val="22"/>
                <w:lang w:eastAsia="cs-CZ"/>
              </w:rPr>
              <w:tab/>
            </w:r>
            <w:r w:rsidR="00DC2930" w:rsidRPr="00107339">
              <w:rPr>
                <w:rStyle w:val="Hypertextovodkaz"/>
                <w:noProof/>
              </w:rPr>
              <w:t>Náklady na léčení zahraničních pojištěnců</w:t>
            </w:r>
            <w:r w:rsidR="00DC2930">
              <w:rPr>
                <w:noProof/>
                <w:webHidden/>
              </w:rPr>
              <w:tab/>
            </w:r>
            <w:r w:rsidR="00DC2930">
              <w:rPr>
                <w:noProof/>
                <w:webHidden/>
              </w:rPr>
              <w:fldChar w:fldCharType="begin"/>
            </w:r>
            <w:r w:rsidR="00DC2930">
              <w:rPr>
                <w:noProof/>
                <w:webHidden/>
              </w:rPr>
              <w:instrText xml:space="preserve"> PAGEREF _Toc63684683 \h </w:instrText>
            </w:r>
            <w:r w:rsidR="00DC2930">
              <w:rPr>
                <w:noProof/>
                <w:webHidden/>
              </w:rPr>
            </w:r>
            <w:r w:rsidR="00DC2930">
              <w:rPr>
                <w:noProof/>
                <w:webHidden/>
              </w:rPr>
              <w:fldChar w:fldCharType="separate"/>
            </w:r>
            <w:r w:rsidR="00DC2930">
              <w:rPr>
                <w:noProof/>
                <w:webHidden/>
              </w:rPr>
              <w:t>31</w:t>
            </w:r>
            <w:r w:rsidR="00DC2930">
              <w:rPr>
                <w:noProof/>
                <w:webHidden/>
              </w:rPr>
              <w:fldChar w:fldCharType="end"/>
            </w:r>
          </w:hyperlink>
        </w:p>
        <w:p w:rsidR="00DC2930" w:rsidRDefault="00904B42">
          <w:pPr>
            <w:pStyle w:val="Obsah2"/>
            <w:rPr>
              <w:rFonts w:eastAsiaTheme="minorEastAsia"/>
              <w:noProof/>
              <w:sz w:val="22"/>
              <w:lang w:eastAsia="cs-CZ"/>
            </w:rPr>
          </w:pPr>
          <w:hyperlink w:anchor="_Toc63684684" w:history="1">
            <w:r w:rsidR="00DC2930" w:rsidRPr="00107339">
              <w:rPr>
                <w:rStyle w:val="Hypertextovodkaz"/>
                <w:noProof/>
              </w:rPr>
              <w:t>4.3</w:t>
            </w:r>
            <w:r w:rsidR="00DC2930">
              <w:rPr>
                <w:rFonts w:eastAsiaTheme="minorEastAsia"/>
                <w:noProof/>
                <w:sz w:val="22"/>
                <w:lang w:eastAsia="cs-CZ"/>
              </w:rPr>
              <w:tab/>
            </w:r>
            <w:r w:rsidR="00DC2930" w:rsidRPr="00107339">
              <w:rPr>
                <w:rStyle w:val="Hypertextovodkaz"/>
                <w:noProof/>
              </w:rPr>
              <w:t>Náklady na preventivní zdravotní péči čerpané z fondu prevence</w:t>
            </w:r>
            <w:r w:rsidR="00DC2930">
              <w:rPr>
                <w:noProof/>
                <w:webHidden/>
              </w:rPr>
              <w:tab/>
            </w:r>
            <w:r w:rsidR="00DC2930">
              <w:rPr>
                <w:noProof/>
                <w:webHidden/>
              </w:rPr>
              <w:fldChar w:fldCharType="begin"/>
            </w:r>
            <w:r w:rsidR="00DC2930">
              <w:rPr>
                <w:noProof/>
                <w:webHidden/>
              </w:rPr>
              <w:instrText xml:space="preserve"> PAGEREF _Toc63684684 \h </w:instrText>
            </w:r>
            <w:r w:rsidR="00DC2930">
              <w:rPr>
                <w:noProof/>
                <w:webHidden/>
              </w:rPr>
            </w:r>
            <w:r w:rsidR="00DC2930">
              <w:rPr>
                <w:noProof/>
                <w:webHidden/>
              </w:rPr>
              <w:fldChar w:fldCharType="separate"/>
            </w:r>
            <w:r w:rsidR="00DC2930">
              <w:rPr>
                <w:noProof/>
                <w:webHidden/>
              </w:rPr>
              <w:t>33</w:t>
            </w:r>
            <w:r w:rsidR="00DC2930">
              <w:rPr>
                <w:noProof/>
                <w:webHidden/>
              </w:rPr>
              <w:fldChar w:fldCharType="end"/>
            </w:r>
          </w:hyperlink>
        </w:p>
        <w:p w:rsidR="00DC2930" w:rsidRDefault="00904B42">
          <w:pPr>
            <w:pStyle w:val="Obsah1"/>
            <w:rPr>
              <w:rFonts w:eastAsiaTheme="minorEastAsia"/>
              <w:noProof/>
              <w:sz w:val="22"/>
              <w:lang w:eastAsia="cs-CZ"/>
            </w:rPr>
          </w:pPr>
          <w:hyperlink w:anchor="_Toc63684685" w:history="1">
            <w:r w:rsidR="00DC2930" w:rsidRPr="00107339">
              <w:rPr>
                <w:rStyle w:val="Hypertextovodkaz"/>
                <w:noProof/>
              </w:rPr>
              <w:t>5</w:t>
            </w:r>
            <w:r w:rsidR="00DC2930">
              <w:rPr>
                <w:rFonts w:eastAsiaTheme="minorEastAsia"/>
                <w:noProof/>
                <w:sz w:val="22"/>
                <w:lang w:eastAsia="cs-CZ"/>
              </w:rPr>
              <w:tab/>
            </w:r>
            <w:r w:rsidR="00DC2930" w:rsidRPr="00107339">
              <w:rPr>
                <w:rStyle w:val="Hypertextovodkaz"/>
                <w:noProof/>
              </w:rPr>
              <w:t>Závěr</w:t>
            </w:r>
            <w:r w:rsidR="00DC2930">
              <w:rPr>
                <w:noProof/>
                <w:webHidden/>
              </w:rPr>
              <w:tab/>
            </w:r>
            <w:r w:rsidR="00DC2930">
              <w:rPr>
                <w:noProof/>
                <w:webHidden/>
              </w:rPr>
              <w:fldChar w:fldCharType="begin"/>
            </w:r>
            <w:r w:rsidR="00DC2930">
              <w:rPr>
                <w:noProof/>
                <w:webHidden/>
              </w:rPr>
              <w:instrText xml:space="preserve"> PAGEREF _Toc63684685 \h </w:instrText>
            </w:r>
            <w:r w:rsidR="00DC2930">
              <w:rPr>
                <w:noProof/>
                <w:webHidden/>
              </w:rPr>
            </w:r>
            <w:r w:rsidR="00DC2930">
              <w:rPr>
                <w:noProof/>
                <w:webHidden/>
              </w:rPr>
              <w:fldChar w:fldCharType="separate"/>
            </w:r>
            <w:r w:rsidR="00DC2930">
              <w:rPr>
                <w:noProof/>
                <w:webHidden/>
              </w:rPr>
              <w:t>35</w:t>
            </w:r>
            <w:r w:rsidR="00DC2930">
              <w:rPr>
                <w:noProof/>
                <w:webHidden/>
              </w:rPr>
              <w:fldChar w:fldCharType="end"/>
            </w:r>
          </w:hyperlink>
        </w:p>
        <w:p w:rsidR="00DC2930" w:rsidRDefault="00904B42">
          <w:pPr>
            <w:pStyle w:val="Obsah1"/>
            <w:rPr>
              <w:rFonts w:eastAsiaTheme="minorEastAsia"/>
              <w:noProof/>
              <w:sz w:val="22"/>
              <w:lang w:eastAsia="cs-CZ"/>
            </w:rPr>
          </w:pPr>
          <w:hyperlink w:anchor="_Toc63684686" w:history="1">
            <w:r w:rsidR="00DC2930" w:rsidRPr="00107339">
              <w:rPr>
                <w:rStyle w:val="Hypertextovodkaz"/>
                <w:noProof/>
              </w:rPr>
              <w:t>6</w:t>
            </w:r>
            <w:r w:rsidR="00DC2930">
              <w:rPr>
                <w:rFonts w:eastAsiaTheme="minorEastAsia"/>
                <w:noProof/>
                <w:sz w:val="22"/>
                <w:lang w:eastAsia="cs-CZ"/>
              </w:rPr>
              <w:tab/>
            </w:r>
            <w:r w:rsidR="00DC2930" w:rsidRPr="00107339">
              <w:rPr>
                <w:rStyle w:val="Hypertextovodkaz"/>
                <w:noProof/>
              </w:rPr>
              <w:t>Právní rámec</w:t>
            </w:r>
            <w:r w:rsidR="00DC2930">
              <w:rPr>
                <w:noProof/>
                <w:webHidden/>
              </w:rPr>
              <w:tab/>
            </w:r>
            <w:r w:rsidR="00DC2930">
              <w:rPr>
                <w:noProof/>
                <w:webHidden/>
              </w:rPr>
              <w:fldChar w:fldCharType="begin"/>
            </w:r>
            <w:r w:rsidR="00DC2930">
              <w:rPr>
                <w:noProof/>
                <w:webHidden/>
              </w:rPr>
              <w:instrText xml:space="preserve"> PAGEREF _Toc63684686 \h </w:instrText>
            </w:r>
            <w:r w:rsidR="00DC2930">
              <w:rPr>
                <w:noProof/>
                <w:webHidden/>
              </w:rPr>
            </w:r>
            <w:r w:rsidR="00DC2930">
              <w:rPr>
                <w:noProof/>
                <w:webHidden/>
              </w:rPr>
              <w:fldChar w:fldCharType="separate"/>
            </w:r>
            <w:r w:rsidR="00DC2930">
              <w:rPr>
                <w:noProof/>
                <w:webHidden/>
              </w:rPr>
              <w:t>36</w:t>
            </w:r>
            <w:r w:rsidR="00DC2930">
              <w:rPr>
                <w:noProof/>
                <w:webHidden/>
              </w:rPr>
              <w:fldChar w:fldCharType="end"/>
            </w:r>
          </w:hyperlink>
        </w:p>
        <w:p w:rsidR="00DC2930" w:rsidRDefault="00904B42">
          <w:pPr>
            <w:pStyle w:val="Obsah2"/>
            <w:rPr>
              <w:rFonts w:eastAsiaTheme="minorEastAsia"/>
              <w:noProof/>
              <w:sz w:val="22"/>
              <w:lang w:eastAsia="cs-CZ"/>
            </w:rPr>
          </w:pPr>
          <w:hyperlink w:anchor="_Toc63684687" w:history="1">
            <w:r w:rsidR="00DC2930" w:rsidRPr="00107339">
              <w:rPr>
                <w:rStyle w:val="Hypertextovodkaz"/>
                <w:noProof/>
              </w:rPr>
              <w:t>6.1</w:t>
            </w:r>
            <w:r w:rsidR="00DC2930">
              <w:rPr>
                <w:rFonts w:eastAsiaTheme="minorEastAsia"/>
                <w:noProof/>
                <w:sz w:val="22"/>
                <w:lang w:eastAsia="cs-CZ"/>
              </w:rPr>
              <w:tab/>
            </w:r>
            <w:r w:rsidR="00DC2930" w:rsidRPr="00107339">
              <w:rPr>
                <w:rStyle w:val="Hypertextovodkaz"/>
                <w:noProof/>
              </w:rPr>
              <w:t>Všeobecná zdravotní pojišťovna ČR</w:t>
            </w:r>
            <w:r w:rsidR="00DC2930">
              <w:rPr>
                <w:noProof/>
                <w:webHidden/>
              </w:rPr>
              <w:tab/>
            </w:r>
            <w:r w:rsidR="00DC2930">
              <w:rPr>
                <w:noProof/>
                <w:webHidden/>
              </w:rPr>
              <w:fldChar w:fldCharType="begin"/>
            </w:r>
            <w:r w:rsidR="00DC2930">
              <w:rPr>
                <w:noProof/>
                <w:webHidden/>
              </w:rPr>
              <w:instrText xml:space="preserve"> PAGEREF _Toc63684687 \h </w:instrText>
            </w:r>
            <w:r w:rsidR="00DC2930">
              <w:rPr>
                <w:noProof/>
                <w:webHidden/>
              </w:rPr>
            </w:r>
            <w:r w:rsidR="00DC2930">
              <w:rPr>
                <w:noProof/>
                <w:webHidden/>
              </w:rPr>
              <w:fldChar w:fldCharType="separate"/>
            </w:r>
            <w:r w:rsidR="00DC2930">
              <w:rPr>
                <w:noProof/>
                <w:webHidden/>
              </w:rPr>
              <w:t>36</w:t>
            </w:r>
            <w:r w:rsidR="00DC2930">
              <w:rPr>
                <w:noProof/>
                <w:webHidden/>
              </w:rPr>
              <w:fldChar w:fldCharType="end"/>
            </w:r>
          </w:hyperlink>
        </w:p>
        <w:p w:rsidR="00DC2930" w:rsidRDefault="00904B42">
          <w:pPr>
            <w:pStyle w:val="Obsah2"/>
            <w:rPr>
              <w:rFonts w:eastAsiaTheme="minorEastAsia"/>
              <w:noProof/>
              <w:sz w:val="22"/>
              <w:lang w:eastAsia="cs-CZ"/>
            </w:rPr>
          </w:pPr>
          <w:hyperlink w:anchor="_Toc63684688" w:history="1">
            <w:r w:rsidR="00DC2930" w:rsidRPr="00107339">
              <w:rPr>
                <w:rStyle w:val="Hypertextovodkaz"/>
                <w:noProof/>
              </w:rPr>
              <w:t>6.2</w:t>
            </w:r>
            <w:r w:rsidR="00DC2930">
              <w:rPr>
                <w:rFonts w:eastAsiaTheme="minorEastAsia"/>
                <w:noProof/>
                <w:sz w:val="22"/>
                <w:lang w:eastAsia="cs-CZ"/>
              </w:rPr>
              <w:tab/>
            </w:r>
            <w:r w:rsidR="00DC2930" w:rsidRPr="00107339">
              <w:rPr>
                <w:rStyle w:val="Hypertextovodkaz"/>
                <w:noProof/>
              </w:rPr>
              <w:t>Zaměstnanecké zdravotní pojišťovny</w:t>
            </w:r>
            <w:r w:rsidR="00DC2930">
              <w:rPr>
                <w:noProof/>
                <w:webHidden/>
              </w:rPr>
              <w:tab/>
            </w:r>
            <w:r w:rsidR="00DC2930">
              <w:rPr>
                <w:noProof/>
                <w:webHidden/>
              </w:rPr>
              <w:fldChar w:fldCharType="begin"/>
            </w:r>
            <w:r w:rsidR="00DC2930">
              <w:rPr>
                <w:noProof/>
                <w:webHidden/>
              </w:rPr>
              <w:instrText xml:space="preserve"> PAGEREF _Toc63684688 \h </w:instrText>
            </w:r>
            <w:r w:rsidR="00DC2930">
              <w:rPr>
                <w:noProof/>
                <w:webHidden/>
              </w:rPr>
            </w:r>
            <w:r w:rsidR="00DC2930">
              <w:rPr>
                <w:noProof/>
                <w:webHidden/>
              </w:rPr>
              <w:fldChar w:fldCharType="separate"/>
            </w:r>
            <w:r w:rsidR="00DC2930">
              <w:rPr>
                <w:noProof/>
                <w:webHidden/>
              </w:rPr>
              <w:t>37</w:t>
            </w:r>
            <w:r w:rsidR="00DC2930">
              <w:rPr>
                <w:noProof/>
                <w:webHidden/>
              </w:rPr>
              <w:fldChar w:fldCharType="end"/>
            </w:r>
          </w:hyperlink>
        </w:p>
        <w:p w:rsidR="00DC2930" w:rsidRDefault="00904B42">
          <w:pPr>
            <w:pStyle w:val="Obsah1"/>
            <w:rPr>
              <w:rFonts w:eastAsiaTheme="minorEastAsia"/>
              <w:noProof/>
              <w:sz w:val="22"/>
              <w:lang w:eastAsia="cs-CZ"/>
            </w:rPr>
          </w:pPr>
          <w:hyperlink w:anchor="_Toc63684689" w:history="1">
            <w:r w:rsidR="00DC2930" w:rsidRPr="00107339">
              <w:rPr>
                <w:rStyle w:val="Hypertextovodkaz"/>
                <w:noProof/>
              </w:rPr>
              <w:t>7</w:t>
            </w:r>
            <w:r w:rsidR="00DC2930">
              <w:rPr>
                <w:rFonts w:eastAsiaTheme="minorEastAsia"/>
                <w:noProof/>
                <w:sz w:val="22"/>
                <w:lang w:eastAsia="cs-CZ"/>
              </w:rPr>
              <w:tab/>
            </w:r>
            <w:r w:rsidR="00DC2930" w:rsidRPr="00107339">
              <w:rPr>
                <w:rStyle w:val="Hypertextovodkaz"/>
                <w:noProof/>
              </w:rPr>
              <w:t>Seznam grafů a tabulek v tomto dokumentu</w:t>
            </w:r>
            <w:r w:rsidR="00DC2930">
              <w:rPr>
                <w:noProof/>
                <w:webHidden/>
              </w:rPr>
              <w:tab/>
            </w:r>
            <w:r w:rsidR="00DC2930">
              <w:rPr>
                <w:noProof/>
                <w:webHidden/>
              </w:rPr>
              <w:fldChar w:fldCharType="begin"/>
            </w:r>
            <w:r w:rsidR="00DC2930">
              <w:rPr>
                <w:noProof/>
                <w:webHidden/>
              </w:rPr>
              <w:instrText xml:space="preserve"> PAGEREF _Toc63684689 \h </w:instrText>
            </w:r>
            <w:r w:rsidR="00DC2930">
              <w:rPr>
                <w:noProof/>
                <w:webHidden/>
              </w:rPr>
            </w:r>
            <w:r w:rsidR="00DC2930">
              <w:rPr>
                <w:noProof/>
                <w:webHidden/>
              </w:rPr>
              <w:fldChar w:fldCharType="separate"/>
            </w:r>
            <w:r w:rsidR="00DC2930">
              <w:rPr>
                <w:noProof/>
                <w:webHidden/>
              </w:rPr>
              <w:t>39</w:t>
            </w:r>
            <w:r w:rsidR="00DC2930">
              <w:rPr>
                <w:noProof/>
                <w:webHidden/>
              </w:rPr>
              <w:fldChar w:fldCharType="end"/>
            </w:r>
          </w:hyperlink>
        </w:p>
        <w:p w:rsidR="00DC2930" w:rsidRDefault="00904B42">
          <w:pPr>
            <w:pStyle w:val="Obsah2"/>
            <w:rPr>
              <w:rFonts w:eastAsiaTheme="minorEastAsia"/>
              <w:noProof/>
              <w:sz w:val="22"/>
              <w:lang w:eastAsia="cs-CZ"/>
            </w:rPr>
          </w:pPr>
          <w:hyperlink w:anchor="_Toc63684690" w:history="1">
            <w:r w:rsidR="00DC2930" w:rsidRPr="00107339">
              <w:rPr>
                <w:rStyle w:val="Hypertextovodkaz"/>
                <w:noProof/>
              </w:rPr>
              <w:t>7.1</w:t>
            </w:r>
            <w:r w:rsidR="00DC2930">
              <w:rPr>
                <w:rFonts w:eastAsiaTheme="minorEastAsia"/>
                <w:noProof/>
                <w:sz w:val="22"/>
                <w:lang w:eastAsia="cs-CZ"/>
              </w:rPr>
              <w:tab/>
            </w:r>
            <w:r w:rsidR="00DC2930" w:rsidRPr="00107339">
              <w:rPr>
                <w:rStyle w:val="Hypertextovodkaz"/>
                <w:noProof/>
              </w:rPr>
              <w:t>Grafy</w:t>
            </w:r>
            <w:r w:rsidR="00DC2930">
              <w:rPr>
                <w:noProof/>
                <w:webHidden/>
              </w:rPr>
              <w:tab/>
            </w:r>
            <w:r w:rsidR="00DC2930">
              <w:rPr>
                <w:noProof/>
                <w:webHidden/>
              </w:rPr>
              <w:fldChar w:fldCharType="begin"/>
            </w:r>
            <w:r w:rsidR="00DC2930">
              <w:rPr>
                <w:noProof/>
                <w:webHidden/>
              </w:rPr>
              <w:instrText xml:space="preserve"> PAGEREF _Toc63684690 \h </w:instrText>
            </w:r>
            <w:r w:rsidR="00DC2930">
              <w:rPr>
                <w:noProof/>
                <w:webHidden/>
              </w:rPr>
            </w:r>
            <w:r w:rsidR="00DC2930">
              <w:rPr>
                <w:noProof/>
                <w:webHidden/>
              </w:rPr>
              <w:fldChar w:fldCharType="separate"/>
            </w:r>
            <w:r w:rsidR="00DC2930">
              <w:rPr>
                <w:noProof/>
                <w:webHidden/>
              </w:rPr>
              <w:t>39</w:t>
            </w:r>
            <w:r w:rsidR="00DC2930">
              <w:rPr>
                <w:noProof/>
                <w:webHidden/>
              </w:rPr>
              <w:fldChar w:fldCharType="end"/>
            </w:r>
          </w:hyperlink>
        </w:p>
        <w:p w:rsidR="00DC2930" w:rsidRDefault="00904B42">
          <w:pPr>
            <w:pStyle w:val="Obsah2"/>
            <w:rPr>
              <w:rFonts w:eastAsiaTheme="minorEastAsia"/>
              <w:noProof/>
              <w:sz w:val="22"/>
              <w:lang w:eastAsia="cs-CZ"/>
            </w:rPr>
          </w:pPr>
          <w:hyperlink w:anchor="_Toc63684691" w:history="1">
            <w:r w:rsidR="00DC2930" w:rsidRPr="00107339">
              <w:rPr>
                <w:rStyle w:val="Hypertextovodkaz"/>
                <w:noProof/>
              </w:rPr>
              <w:t>7.2</w:t>
            </w:r>
            <w:r w:rsidR="00DC2930">
              <w:rPr>
                <w:rFonts w:eastAsiaTheme="minorEastAsia"/>
                <w:noProof/>
                <w:sz w:val="22"/>
                <w:lang w:eastAsia="cs-CZ"/>
              </w:rPr>
              <w:tab/>
            </w:r>
            <w:r w:rsidR="00DC2930" w:rsidRPr="00107339">
              <w:rPr>
                <w:rStyle w:val="Hypertextovodkaz"/>
                <w:noProof/>
              </w:rPr>
              <w:t>Tabulky</w:t>
            </w:r>
            <w:r w:rsidR="00DC2930">
              <w:rPr>
                <w:noProof/>
                <w:webHidden/>
              </w:rPr>
              <w:tab/>
            </w:r>
            <w:r w:rsidR="00DC2930">
              <w:rPr>
                <w:noProof/>
                <w:webHidden/>
              </w:rPr>
              <w:fldChar w:fldCharType="begin"/>
            </w:r>
            <w:r w:rsidR="00DC2930">
              <w:rPr>
                <w:noProof/>
                <w:webHidden/>
              </w:rPr>
              <w:instrText xml:space="preserve"> PAGEREF _Toc63684691 \h </w:instrText>
            </w:r>
            <w:r w:rsidR="00DC2930">
              <w:rPr>
                <w:noProof/>
                <w:webHidden/>
              </w:rPr>
            </w:r>
            <w:r w:rsidR="00DC2930">
              <w:rPr>
                <w:noProof/>
                <w:webHidden/>
              </w:rPr>
              <w:fldChar w:fldCharType="separate"/>
            </w:r>
            <w:r w:rsidR="00DC2930">
              <w:rPr>
                <w:noProof/>
                <w:webHidden/>
              </w:rPr>
              <w:t>39</w:t>
            </w:r>
            <w:r w:rsidR="00DC2930">
              <w:rPr>
                <w:noProof/>
                <w:webHidden/>
              </w:rPr>
              <w:fldChar w:fldCharType="end"/>
            </w:r>
          </w:hyperlink>
        </w:p>
        <w:p w:rsidR="00DC2930" w:rsidRDefault="00904B42">
          <w:pPr>
            <w:pStyle w:val="Obsah1"/>
            <w:rPr>
              <w:rFonts w:eastAsiaTheme="minorEastAsia"/>
              <w:noProof/>
              <w:sz w:val="22"/>
              <w:lang w:eastAsia="cs-CZ"/>
            </w:rPr>
          </w:pPr>
          <w:hyperlink w:anchor="_Toc63684692" w:history="1">
            <w:r w:rsidR="00DC2930" w:rsidRPr="00107339">
              <w:rPr>
                <w:rStyle w:val="Hypertextovodkaz"/>
                <w:noProof/>
              </w:rPr>
              <w:t>8</w:t>
            </w:r>
            <w:r w:rsidR="00DC2930">
              <w:rPr>
                <w:rFonts w:eastAsiaTheme="minorEastAsia"/>
                <w:noProof/>
                <w:sz w:val="22"/>
                <w:lang w:eastAsia="cs-CZ"/>
              </w:rPr>
              <w:tab/>
            </w:r>
            <w:r w:rsidR="00DC2930" w:rsidRPr="00107339">
              <w:rPr>
                <w:rStyle w:val="Hypertextovodkaz"/>
                <w:noProof/>
              </w:rPr>
              <w:t>Tabulková příloha</w:t>
            </w:r>
            <w:r w:rsidR="00DC2930">
              <w:rPr>
                <w:noProof/>
                <w:webHidden/>
              </w:rPr>
              <w:tab/>
            </w:r>
            <w:r w:rsidR="00DC2930">
              <w:rPr>
                <w:noProof/>
                <w:webHidden/>
              </w:rPr>
              <w:fldChar w:fldCharType="begin"/>
            </w:r>
            <w:r w:rsidR="00DC2930">
              <w:rPr>
                <w:noProof/>
                <w:webHidden/>
              </w:rPr>
              <w:instrText xml:space="preserve"> PAGEREF _Toc63684692 \h </w:instrText>
            </w:r>
            <w:r w:rsidR="00DC2930">
              <w:rPr>
                <w:noProof/>
                <w:webHidden/>
              </w:rPr>
            </w:r>
            <w:r w:rsidR="00DC2930">
              <w:rPr>
                <w:noProof/>
                <w:webHidden/>
              </w:rPr>
              <w:fldChar w:fldCharType="separate"/>
            </w:r>
            <w:r w:rsidR="00DC2930">
              <w:rPr>
                <w:noProof/>
                <w:webHidden/>
              </w:rPr>
              <w:t>41</w:t>
            </w:r>
            <w:r w:rsidR="00DC2930">
              <w:rPr>
                <w:noProof/>
                <w:webHidden/>
              </w:rPr>
              <w:fldChar w:fldCharType="end"/>
            </w:r>
          </w:hyperlink>
        </w:p>
        <w:p w:rsidR="00DC2930" w:rsidRDefault="00904B42">
          <w:pPr>
            <w:pStyle w:val="Obsah1"/>
            <w:rPr>
              <w:rFonts w:eastAsiaTheme="minorEastAsia"/>
              <w:noProof/>
              <w:sz w:val="22"/>
              <w:lang w:eastAsia="cs-CZ"/>
            </w:rPr>
          </w:pPr>
          <w:hyperlink w:anchor="_Toc63684693" w:history="1">
            <w:r w:rsidR="00DC2930" w:rsidRPr="00107339">
              <w:rPr>
                <w:rStyle w:val="Hypertextovodkaz"/>
                <w:noProof/>
              </w:rPr>
              <w:t>9</w:t>
            </w:r>
            <w:r w:rsidR="00DC2930">
              <w:rPr>
                <w:rFonts w:eastAsiaTheme="minorEastAsia"/>
                <w:noProof/>
                <w:sz w:val="22"/>
                <w:lang w:eastAsia="cs-CZ"/>
              </w:rPr>
              <w:tab/>
            </w:r>
            <w:r w:rsidR="00DC2930" w:rsidRPr="00107339">
              <w:rPr>
                <w:rStyle w:val="Hypertextovodkaz"/>
                <w:noProof/>
              </w:rPr>
              <w:t>Zkratky použité v textové části materiálu a tabulkových přílohách</w:t>
            </w:r>
            <w:r w:rsidR="00DC2930">
              <w:rPr>
                <w:noProof/>
                <w:webHidden/>
              </w:rPr>
              <w:tab/>
            </w:r>
            <w:r w:rsidR="00DC2930">
              <w:rPr>
                <w:noProof/>
                <w:webHidden/>
              </w:rPr>
              <w:fldChar w:fldCharType="begin"/>
            </w:r>
            <w:r w:rsidR="00DC2930">
              <w:rPr>
                <w:noProof/>
                <w:webHidden/>
              </w:rPr>
              <w:instrText xml:space="preserve"> PAGEREF _Toc63684693 \h </w:instrText>
            </w:r>
            <w:r w:rsidR="00DC2930">
              <w:rPr>
                <w:noProof/>
                <w:webHidden/>
              </w:rPr>
            </w:r>
            <w:r w:rsidR="00DC2930">
              <w:rPr>
                <w:noProof/>
                <w:webHidden/>
              </w:rPr>
              <w:fldChar w:fldCharType="separate"/>
            </w:r>
            <w:r w:rsidR="00DC2930">
              <w:rPr>
                <w:noProof/>
                <w:webHidden/>
              </w:rPr>
              <w:t>42</w:t>
            </w:r>
            <w:r w:rsidR="00DC2930">
              <w:rPr>
                <w:noProof/>
                <w:webHidden/>
              </w:rPr>
              <w:fldChar w:fldCharType="end"/>
            </w:r>
          </w:hyperlink>
        </w:p>
        <w:p w:rsidR="00DC2930" w:rsidRDefault="00904B42">
          <w:pPr>
            <w:pStyle w:val="Obsah1"/>
            <w:rPr>
              <w:rFonts w:eastAsiaTheme="minorEastAsia"/>
              <w:noProof/>
              <w:sz w:val="22"/>
              <w:lang w:eastAsia="cs-CZ"/>
            </w:rPr>
          </w:pPr>
          <w:hyperlink w:anchor="_Toc63684694" w:history="1">
            <w:r w:rsidR="00DC2930" w:rsidRPr="00107339">
              <w:rPr>
                <w:rStyle w:val="Hypertextovodkaz"/>
                <w:noProof/>
              </w:rPr>
              <w:t>10</w:t>
            </w:r>
            <w:r w:rsidR="00DC2930">
              <w:rPr>
                <w:rFonts w:eastAsiaTheme="minorEastAsia"/>
                <w:noProof/>
                <w:sz w:val="22"/>
                <w:lang w:eastAsia="cs-CZ"/>
              </w:rPr>
              <w:tab/>
            </w:r>
            <w:r w:rsidR="00DC2930" w:rsidRPr="00107339">
              <w:rPr>
                <w:rStyle w:val="Hypertextovodkaz"/>
                <w:noProof/>
              </w:rPr>
              <w:t>Právní předpisy citované v textové části materiálu a tabulkových přílohách</w:t>
            </w:r>
            <w:r w:rsidR="00DC2930">
              <w:rPr>
                <w:noProof/>
                <w:webHidden/>
              </w:rPr>
              <w:tab/>
            </w:r>
            <w:r w:rsidR="00DC2930">
              <w:rPr>
                <w:noProof/>
                <w:webHidden/>
              </w:rPr>
              <w:fldChar w:fldCharType="begin"/>
            </w:r>
            <w:r w:rsidR="00DC2930">
              <w:rPr>
                <w:noProof/>
                <w:webHidden/>
              </w:rPr>
              <w:instrText xml:space="preserve"> PAGEREF _Toc63684694 \h </w:instrText>
            </w:r>
            <w:r w:rsidR="00DC2930">
              <w:rPr>
                <w:noProof/>
                <w:webHidden/>
              </w:rPr>
            </w:r>
            <w:r w:rsidR="00DC2930">
              <w:rPr>
                <w:noProof/>
                <w:webHidden/>
              </w:rPr>
              <w:fldChar w:fldCharType="separate"/>
            </w:r>
            <w:r w:rsidR="00DC2930">
              <w:rPr>
                <w:noProof/>
                <w:webHidden/>
              </w:rPr>
              <w:t>45</w:t>
            </w:r>
            <w:r w:rsidR="00DC2930">
              <w:rPr>
                <w:noProof/>
                <w:webHidden/>
              </w:rPr>
              <w:fldChar w:fldCharType="end"/>
            </w:r>
          </w:hyperlink>
        </w:p>
        <w:p w:rsidR="005D233A" w:rsidRDefault="008E5E29" w:rsidP="00917A5F">
          <w:pPr>
            <w:jc w:val="both"/>
          </w:pPr>
          <w:r>
            <w:fldChar w:fldCharType="end"/>
          </w:r>
        </w:p>
      </w:sdtContent>
    </w:sdt>
    <w:p w:rsidR="00917A5F" w:rsidRPr="005A357D" w:rsidRDefault="00917A5F" w:rsidP="00917A5F">
      <w:pPr>
        <w:jc w:val="both"/>
        <w:rPr>
          <w:b/>
        </w:rPr>
      </w:pPr>
      <w:r w:rsidRPr="002A3716">
        <w:rPr>
          <w:b/>
        </w:rPr>
        <w:t xml:space="preserve">Zpracováno odbornými pracovišti Ministerstva zdravotnictví a Ministerstva financí </w:t>
      </w:r>
      <w:r>
        <w:rPr>
          <w:b/>
        </w:rPr>
        <w:t xml:space="preserve">během </w:t>
      </w:r>
      <w:r w:rsidRPr="002A3716">
        <w:rPr>
          <w:b/>
        </w:rPr>
        <w:t>prosince 20</w:t>
      </w:r>
      <w:r w:rsidR="006670AC">
        <w:rPr>
          <w:b/>
        </w:rPr>
        <w:t>20</w:t>
      </w:r>
      <w:r w:rsidRPr="002A3716">
        <w:rPr>
          <w:b/>
        </w:rPr>
        <w:t xml:space="preserve">. </w:t>
      </w:r>
      <w:r>
        <w:br w:type="page"/>
      </w:r>
    </w:p>
    <w:p w:rsidR="00436F6E" w:rsidRDefault="00436F6E" w:rsidP="00436F6E">
      <w:pPr>
        <w:pStyle w:val="Nadpis1"/>
      </w:pPr>
      <w:bookmarkStart w:id="1" w:name="_Toc63684666"/>
      <w:r>
        <w:lastRenderedPageBreak/>
        <w:t>Manažerské shrnutí</w:t>
      </w:r>
      <w:bookmarkEnd w:id="1"/>
    </w:p>
    <w:p w:rsidR="00436F6E" w:rsidRPr="005D233A" w:rsidRDefault="007E6724" w:rsidP="00D33329">
      <w:pPr>
        <w:jc w:val="both"/>
      </w:pPr>
      <w:r w:rsidRPr="005D233A">
        <w:t xml:space="preserve">Předkládaný dokument je obdobou návrhu státního rozpočtu pro zdravotní pojišťovny. Jedná se o standardní, každoroční materiál, jehož zpracování a schvalování </w:t>
      </w:r>
      <w:r w:rsidR="001A389D" w:rsidRPr="005D233A">
        <w:t>u</w:t>
      </w:r>
      <w:r w:rsidRPr="005D233A">
        <w:t xml:space="preserve">kládají </w:t>
      </w:r>
      <w:r w:rsidR="001A389D" w:rsidRPr="005D233A">
        <w:t xml:space="preserve">Ministerstvu zdravotnictví a Ministerstvu financí </w:t>
      </w:r>
      <w:r w:rsidRPr="005D233A">
        <w:t>zákony o zdravotních pojišťovnách</w:t>
      </w:r>
      <w:r w:rsidR="00F1454F" w:rsidRPr="005D233A">
        <w:t xml:space="preserve"> (viz </w:t>
      </w:r>
      <w:r w:rsidR="00885D78" w:rsidRPr="005D233A">
        <w:t>kapitola</w:t>
      </w:r>
      <w:r w:rsidR="00F1454F" w:rsidRPr="005D233A">
        <w:t xml:space="preserve"> </w:t>
      </w:r>
      <w:r w:rsidR="00885D78" w:rsidRPr="005D233A">
        <w:t>č. 6</w:t>
      </w:r>
      <w:r w:rsidR="00F1454F" w:rsidRPr="005D233A">
        <w:t>)</w:t>
      </w:r>
      <w:r w:rsidRPr="005D233A">
        <w:t xml:space="preserve">. </w:t>
      </w:r>
    </w:p>
    <w:p w:rsidR="001A389D" w:rsidRPr="000E744B" w:rsidRDefault="00736238" w:rsidP="001A389D">
      <w:pPr>
        <w:jc w:val="both"/>
      </w:pPr>
      <w:r w:rsidRPr="005D233A">
        <w:t>Struktura dokumentu je následující, klíčovou částí je samotné hodnocení, které je doplněno řadou tabulkových příloh</w:t>
      </w:r>
      <w:r w:rsidR="001A0BF8" w:rsidRPr="005D233A">
        <w:t xml:space="preserve"> (jejich přehled uveden v kapitole č.</w:t>
      </w:r>
      <w:r w:rsidR="005D233A" w:rsidRPr="005D233A">
        <w:t xml:space="preserve"> 8</w:t>
      </w:r>
      <w:r w:rsidR="001A0BF8" w:rsidRPr="005D233A">
        <w:t>)</w:t>
      </w:r>
      <w:r w:rsidRPr="005D233A">
        <w:t xml:space="preserve">. </w:t>
      </w:r>
      <w:r w:rsidR="001A0BF8" w:rsidRPr="005D233A">
        <w:t>Přiložen</w:t>
      </w:r>
      <w:r w:rsidRPr="005D233A">
        <w:t xml:space="preserve"> je i přehled použitých zkratek a citovaných </w:t>
      </w:r>
      <w:r w:rsidR="00BB71C8">
        <w:t xml:space="preserve">právních </w:t>
      </w:r>
      <w:r w:rsidRPr="005D233A">
        <w:t>předpisů</w:t>
      </w:r>
      <w:r w:rsidR="001A0BF8" w:rsidRPr="005D233A">
        <w:t>. Nedílnou součástí materiálu jsou pak i samotné zdravotně pojistné plány a střednědobé výhledy všech činných zdravotních pojišťoven.</w:t>
      </w:r>
    </w:p>
    <w:p w:rsidR="00C33CFA" w:rsidRDefault="00C33CFA" w:rsidP="00D33329">
      <w:pPr>
        <w:jc w:val="both"/>
      </w:pPr>
      <w:r>
        <w:t xml:space="preserve">Na začátek </w:t>
      </w:r>
      <w:r w:rsidR="001A0BF8" w:rsidRPr="0033722F">
        <w:t xml:space="preserve">je důležité </w:t>
      </w:r>
      <w:r>
        <w:t>uvést</w:t>
      </w:r>
      <w:r w:rsidR="001A0BF8" w:rsidRPr="0033722F">
        <w:t xml:space="preserve">, že </w:t>
      </w:r>
      <w:r>
        <w:t xml:space="preserve">dokument jako celek je zatížen velkými nejistotami jak na příjmové i výdajové straně systému především vzhledem k neznámému vývoji pandemie COVID-19 </w:t>
      </w:r>
      <w:r w:rsidR="0090049E">
        <w:t xml:space="preserve">a makroekonomickým vyhlídkám </w:t>
      </w:r>
      <w:r>
        <w:t xml:space="preserve">v následujících letech. </w:t>
      </w:r>
    </w:p>
    <w:p w:rsidR="000E744B" w:rsidRPr="00747151" w:rsidRDefault="00C33CFA" w:rsidP="00D33329">
      <w:pPr>
        <w:jc w:val="both"/>
        <w:rPr>
          <w:bCs/>
        </w:rPr>
      </w:pPr>
      <w:r w:rsidRPr="0033722F">
        <w:t xml:space="preserve">Z ekonomického hlediska </w:t>
      </w:r>
      <w:r w:rsidR="001A0BF8" w:rsidRPr="0033722F">
        <w:t xml:space="preserve">celkově systém </w:t>
      </w:r>
      <w:r w:rsidR="00F13C25" w:rsidRPr="0033722F">
        <w:t xml:space="preserve">veřejného zdravotního pojištění </w:t>
      </w:r>
      <w:r w:rsidR="004A4A22" w:rsidRPr="004A4A22">
        <w:rPr>
          <w:szCs w:val="21"/>
        </w:rPr>
        <w:t>(dále jen „v. z. p.“)</w:t>
      </w:r>
      <w:r w:rsidR="004A4A22">
        <w:rPr>
          <w:b/>
        </w:rPr>
        <w:t xml:space="preserve"> </w:t>
      </w:r>
      <w:r w:rsidR="00F13C25" w:rsidRPr="0033722F">
        <w:t xml:space="preserve">podle </w:t>
      </w:r>
      <w:r w:rsidR="001A0BF8" w:rsidRPr="0033722F">
        <w:t xml:space="preserve">očekávané skutečnosti roku </w:t>
      </w:r>
      <w:r w:rsidR="00962594" w:rsidRPr="0033722F">
        <w:t>20</w:t>
      </w:r>
      <w:r w:rsidR="00962594">
        <w:t>20</w:t>
      </w:r>
      <w:r w:rsidR="00962594" w:rsidRPr="0033722F">
        <w:t xml:space="preserve"> </w:t>
      </w:r>
      <w:r w:rsidR="001A0BF8" w:rsidRPr="0033722F">
        <w:t xml:space="preserve">vykázal příjmy ve výši </w:t>
      </w:r>
      <w:r w:rsidR="00962594">
        <w:t xml:space="preserve">354,8 </w:t>
      </w:r>
      <w:r w:rsidR="001A0BF8" w:rsidRPr="0033722F">
        <w:t xml:space="preserve">mld. Kč a výdaje </w:t>
      </w:r>
      <w:r w:rsidR="00962594" w:rsidRPr="00962594">
        <w:t>35</w:t>
      </w:r>
      <w:r w:rsidR="00554F45">
        <w:t xml:space="preserve">5,0 </w:t>
      </w:r>
      <w:r w:rsidR="001A0BF8" w:rsidRPr="0033722F">
        <w:t xml:space="preserve">mld. Kč. Dosáhl tak v tomto roce </w:t>
      </w:r>
      <w:r w:rsidR="00554F45">
        <w:t>deficitu</w:t>
      </w:r>
      <w:r w:rsidR="00554F45" w:rsidRPr="0033722F">
        <w:t xml:space="preserve"> </w:t>
      </w:r>
      <w:r w:rsidR="00970D83">
        <w:t xml:space="preserve">přibližně </w:t>
      </w:r>
      <w:r w:rsidR="00D30F4B">
        <w:t>−</w:t>
      </w:r>
      <w:r w:rsidR="00554F45">
        <w:t>0,2</w:t>
      </w:r>
      <w:r w:rsidR="00D30F4B">
        <w:t> </w:t>
      </w:r>
      <w:r w:rsidR="001A0BF8" w:rsidRPr="0033722F">
        <w:t xml:space="preserve">mld. Kč. </w:t>
      </w:r>
      <w:r w:rsidR="008506F4" w:rsidRPr="00747151">
        <w:rPr>
          <w:bCs/>
        </w:rPr>
        <w:t>Celkové náklady systému veřejného zdravotního podle očekávané skutečnosti roku 2020 byly ve výši 371,1 mld. Kč. Tento deficit mezi příjmy a náklady se ale na výdajích projeví až v roce 2021.</w:t>
      </w:r>
    </w:p>
    <w:p w:rsidR="0090049E" w:rsidRPr="004436DD" w:rsidRDefault="001A0BF8" w:rsidP="00CA3F17">
      <w:pPr>
        <w:spacing w:after="120" w:line="320" w:lineRule="atLeast"/>
        <w:jc w:val="both"/>
        <w:rPr>
          <w:szCs w:val="21"/>
        </w:rPr>
      </w:pPr>
      <w:r w:rsidRPr="00747151">
        <w:rPr>
          <w:bCs/>
          <w:szCs w:val="21"/>
        </w:rPr>
        <w:t xml:space="preserve">V roce </w:t>
      </w:r>
      <w:r w:rsidR="00D33329" w:rsidRPr="00747151">
        <w:rPr>
          <w:bCs/>
          <w:szCs w:val="21"/>
        </w:rPr>
        <w:t>202</w:t>
      </w:r>
      <w:r w:rsidR="00554F45" w:rsidRPr="00747151">
        <w:rPr>
          <w:bCs/>
          <w:szCs w:val="21"/>
        </w:rPr>
        <w:t>1</w:t>
      </w:r>
      <w:r w:rsidR="00D33329" w:rsidRPr="00747151">
        <w:rPr>
          <w:bCs/>
          <w:szCs w:val="21"/>
        </w:rPr>
        <w:t xml:space="preserve"> </w:t>
      </w:r>
      <w:r w:rsidRPr="00747151">
        <w:rPr>
          <w:bCs/>
          <w:szCs w:val="21"/>
        </w:rPr>
        <w:t xml:space="preserve">jsou naplánovány příjmy v částce </w:t>
      </w:r>
      <w:r w:rsidR="0090049E" w:rsidRPr="00747151">
        <w:rPr>
          <w:bCs/>
          <w:szCs w:val="21"/>
        </w:rPr>
        <w:t xml:space="preserve">385,4 </w:t>
      </w:r>
      <w:r w:rsidRPr="00747151">
        <w:rPr>
          <w:bCs/>
          <w:szCs w:val="21"/>
        </w:rPr>
        <w:t xml:space="preserve">mld. Kč a výdaje </w:t>
      </w:r>
      <w:r w:rsidR="00385871">
        <w:rPr>
          <w:bCs/>
          <w:szCs w:val="21"/>
        </w:rPr>
        <w:t>399,1</w:t>
      </w:r>
      <w:r w:rsidR="0090049E" w:rsidRPr="00747151">
        <w:rPr>
          <w:bCs/>
          <w:szCs w:val="21"/>
        </w:rPr>
        <w:t xml:space="preserve"> </w:t>
      </w:r>
      <w:r w:rsidRPr="00747151">
        <w:rPr>
          <w:bCs/>
          <w:szCs w:val="21"/>
        </w:rPr>
        <w:t xml:space="preserve">mld. Kč. </w:t>
      </w:r>
      <w:r w:rsidR="008506F4" w:rsidRPr="00747151">
        <w:rPr>
          <w:bCs/>
        </w:rPr>
        <w:t xml:space="preserve">Celkové náklady jsou plánovány ve výši 405,1 mld. Kč. </w:t>
      </w:r>
      <w:r w:rsidRPr="00747151">
        <w:rPr>
          <w:bCs/>
          <w:szCs w:val="21"/>
        </w:rPr>
        <w:t>Systém bude</w:t>
      </w:r>
      <w:r w:rsidRPr="00FA72D2">
        <w:rPr>
          <w:szCs w:val="21"/>
        </w:rPr>
        <w:t xml:space="preserve"> </w:t>
      </w:r>
      <w:r w:rsidR="0090049E" w:rsidRPr="00FA72D2">
        <w:rPr>
          <w:szCs w:val="21"/>
        </w:rPr>
        <w:t>jako v</w:t>
      </w:r>
      <w:r w:rsidR="00D30F4B">
        <w:rPr>
          <w:szCs w:val="21"/>
        </w:rPr>
        <w:t> </w:t>
      </w:r>
      <w:r w:rsidR="0090049E" w:rsidRPr="00FA72D2">
        <w:rPr>
          <w:szCs w:val="21"/>
        </w:rPr>
        <w:t>předchozím</w:t>
      </w:r>
      <w:r w:rsidRPr="00FA72D2">
        <w:rPr>
          <w:szCs w:val="21"/>
        </w:rPr>
        <w:t xml:space="preserve"> roce hospodařit s</w:t>
      </w:r>
      <w:r w:rsidR="0090049E" w:rsidRPr="00FA72D2">
        <w:rPr>
          <w:szCs w:val="21"/>
        </w:rPr>
        <w:t>e schodkem</w:t>
      </w:r>
      <w:r w:rsidR="00CC38FA" w:rsidRPr="00FA72D2">
        <w:rPr>
          <w:szCs w:val="21"/>
        </w:rPr>
        <w:t>, který se ale výrazně prohloubí na</w:t>
      </w:r>
      <w:r w:rsidRPr="00FA72D2">
        <w:rPr>
          <w:szCs w:val="21"/>
        </w:rPr>
        <w:t> </w:t>
      </w:r>
      <w:r w:rsidR="00D30F4B">
        <w:rPr>
          <w:szCs w:val="21"/>
        </w:rPr>
        <w:t>−</w:t>
      </w:r>
      <w:r w:rsidR="0090049E" w:rsidRPr="00FA72D2">
        <w:rPr>
          <w:szCs w:val="21"/>
        </w:rPr>
        <w:t xml:space="preserve">13,7 </w:t>
      </w:r>
      <w:r w:rsidRPr="00FA72D2">
        <w:rPr>
          <w:szCs w:val="21"/>
        </w:rPr>
        <w:t>mld. Kč</w:t>
      </w:r>
      <w:r w:rsidR="00CA3F17" w:rsidRPr="00FA72D2">
        <w:rPr>
          <w:szCs w:val="21"/>
        </w:rPr>
        <w:t>,</w:t>
      </w:r>
      <w:r w:rsidR="0090049E" w:rsidRPr="00FA72D2">
        <w:rPr>
          <w:szCs w:val="21"/>
        </w:rPr>
        <w:t xml:space="preserve"> což je způsobeno</w:t>
      </w:r>
      <w:r w:rsidR="00CA3F17" w:rsidRPr="00FA72D2">
        <w:rPr>
          <w:szCs w:val="21"/>
        </w:rPr>
        <w:t xml:space="preserve"> </w:t>
      </w:r>
      <w:r w:rsidR="0090049E" w:rsidRPr="00FA72D2">
        <w:rPr>
          <w:szCs w:val="21"/>
        </w:rPr>
        <w:t xml:space="preserve">vysokým </w:t>
      </w:r>
      <w:r w:rsidR="00CA3F17" w:rsidRPr="00FA72D2">
        <w:rPr>
          <w:szCs w:val="21"/>
        </w:rPr>
        <w:t>temp</w:t>
      </w:r>
      <w:r w:rsidR="0090049E" w:rsidRPr="00FA72D2">
        <w:rPr>
          <w:szCs w:val="21"/>
        </w:rPr>
        <w:t>em</w:t>
      </w:r>
      <w:r w:rsidR="00CA3F17" w:rsidRPr="00FA72D2">
        <w:rPr>
          <w:szCs w:val="21"/>
        </w:rPr>
        <w:t xml:space="preserve"> růstu výdajů na zdravotní služby</w:t>
      </w:r>
      <w:r w:rsidR="00970D83" w:rsidRPr="00FA72D2">
        <w:rPr>
          <w:szCs w:val="21"/>
        </w:rPr>
        <w:t xml:space="preserve"> a</w:t>
      </w:r>
      <w:r w:rsidR="0090049E" w:rsidRPr="00FA72D2">
        <w:rPr>
          <w:szCs w:val="21"/>
        </w:rPr>
        <w:t xml:space="preserve"> vyúčtováním zdravotních služeb za rok 2020</w:t>
      </w:r>
      <w:r w:rsidRPr="000E543C">
        <w:rPr>
          <w:szCs w:val="21"/>
        </w:rPr>
        <w:t xml:space="preserve">. </w:t>
      </w:r>
      <w:r w:rsidR="000C3AC1" w:rsidRPr="000E543C">
        <w:rPr>
          <w:szCs w:val="21"/>
        </w:rPr>
        <w:t>Navýšení prostředků ve sféře poskytovatelů zdravotních služeb by mělo sloužit především k navyšování platů zaměstnanců ve zdravotnictví a k podpoře poskytovatelů zdravotních služeb v lokalitách se zhoršenou možností zajištění místní a časové dostupnosti hrazených zdravotních služeb.</w:t>
      </w:r>
      <w:r w:rsidR="00CA3F17" w:rsidRPr="000E543C">
        <w:rPr>
          <w:szCs w:val="21"/>
        </w:rPr>
        <w:t xml:space="preserve"> </w:t>
      </w:r>
    </w:p>
    <w:p w:rsidR="001A0BF8" w:rsidRPr="00926688" w:rsidRDefault="001A0BF8" w:rsidP="00CA3F17">
      <w:pPr>
        <w:spacing w:after="120" w:line="320" w:lineRule="atLeast"/>
        <w:jc w:val="both"/>
        <w:rPr>
          <w:rFonts w:cstheme="minorHAnsi"/>
          <w:szCs w:val="21"/>
        </w:rPr>
      </w:pPr>
      <w:r w:rsidRPr="00926688">
        <w:rPr>
          <w:rFonts w:cstheme="minorHAnsi"/>
          <w:szCs w:val="21"/>
        </w:rPr>
        <w:t xml:space="preserve">Podrobnější členění příjmů a výdajů je obsahem následujících subkapitol a tabulkových příloh. Mírné rozdíly mezi </w:t>
      </w:r>
      <w:r w:rsidR="005054FF" w:rsidRPr="00926688">
        <w:rPr>
          <w:rFonts w:cstheme="minorHAnsi"/>
          <w:szCs w:val="21"/>
        </w:rPr>
        <w:t xml:space="preserve">hodnotami uvedenými v jednotlivých dokumentech </w:t>
      </w:r>
      <w:r w:rsidRPr="00926688">
        <w:rPr>
          <w:rFonts w:cstheme="minorHAnsi"/>
          <w:szCs w:val="21"/>
        </w:rPr>
        <w:t>mohou být způsobeny zaokrouhlováním vstupních veličin.</w:t>
      </w:r>
    </w:p>
    <w:p w:rsidR="006A5473" w:rsidRPr="00926688" w:rsidRDefault="006A5473" w:rsidP="006A5473">
      <w:pPr>
        <w:jc w:val="both"/>
        <w:rPr>
          <w:rFonts w:cstheme="minorHAnsi"/>
          <w:szCs w:val="21"/>
        </w:rPr>
      </w:pPr>
      <w:r w:rsidRPr="00926688">
        <w:rPr>
          <w:rFonts w:cstheme="minorHAnsi"/>
          <w:szCs w:val="21"/>
        </w:rPr>
        <w:t xml:space="preserve">Rekordní dynamika výdajů na zdravotní služby </w:t>
      </w:r>
      <w:r w:rsidR="00135CEE" w:rsidRPr="00926688">
        <w:rPr>
          <w:rFonts w:cstheme="minorHAnsi"/>
          <w:szCs w:val="21"/>
        </w:rPr>
        <w:t xml:space="preserve">a ekonomický pokles </w:t>
      </w:r>
      <w:r w:rsidRPr="00926688">
        <w:rPr>
          <w:rFonts w:cstheme="minorHAnsi"/>
          <w:szCs w:val="21"/>
        </w:rPr>
        <w:t>v</w:t>
      </w:r>
      <w:r w:rsidR="00135CEE" w:rsidRPr="00926688">
        <w:rPr>
          <w:rFonts w:cstheme="minorHAnsi"/>
          <w:szCs w:val="21"/>
        </w:rPr>
        <w:t> </w:t>
      </w:r>
      <w:r w:rsidR="00D17C56" w:rsidRPr="00926688">
        <w:rPr>
          <w:rFonts w:cstheme="minorHAnsi"/>
          <w:szCs w:val="21"/>
        </w:rPr>
        <w:t>roce</w:t>
      </w:r>
      <w:r w:rsidR="00135CEE" w:rsidRPr="00926688">
        <w:rPr>
          <w:rFonts w:cstheme="minorHAnsi"/>
          <w:szCs w:val="21"/>
        </w:rPr>
        <w:t xml:space="preserve"> 2020</w:t>
      </w:r>
      <w:r w:rsidRPr="00926688">
        <w:rPr>
          <w:rFonts w:cstheme="minorHAnsi"/>
          <w:szCs w:val="21"/>
        </w:rPr>
        <w:t xml:space="preserve"> způsobí, že systém v.</w:t>
      </w:r>
      <w:r w:rsidR="00970D83" w:rsidRPr="00926688">
        <w:rPr>
          <w:rFonts w:cstheme="minorHAnsi"/>
          <w:szCs w:val="21"/>
        </w:rPr>
        <w:t> </w:t>
      </w:r>
      <w:r w:rsidRPr="00926688">
        <w:rPr>
          <w:rFonts w:cstheme="minorHAnsi"/>
          <w:szCs w:val="21"/>
        </w:rPr>
        <w:t>z.</w:t>
      </w:r>
      <w:r w:rsidR="00BE2A5E" w:rsidRPr="00926688">
        <w:rPr>
          <w:rFonts w:cstheme="minorHAnsi"/>
          <w:szCs w:val="21"/>
        </w:rPr>
        <w:t xml:space="preserve"> </w:t>
      </w:r>
      <w:r w:rsidRPr="00926688">
        <w:rPr>
          <w:rFonts w:cstheme="minorHAnsi"/>
          <w:szCs w:val="21"/>
        </w:rPr>
        <w:t>p. bude poprvé od roku 2013 hospodařit deficitně. Finanční odolnost systému se</w:t>
      </w:r>
      <w:r w:rsidR="00135CEE" w:rsidRPr="00926688">
        <w:rPr>
          <w:rFonts w:cstheme="minorHAnsi"/>
          <w:szCs w:val="21"/>
        </w:rPr>
        <w:t xml:space="preserve"> tak oproti trajektorii z minulých let </w:t>
      </w:r>
      <w:r w:rsidRPr="00926688">
        <w:rPr>
          <w:rFonts w:cstheme="minorHAnsi"/>
          <w:szCs w:val="21"/>
        </w:rPr>
        <w:t>zhorší</w:t>
      </w:r>
      <w:r w:rsidR="00135CEE" w:rsidRPr="00926688">
        <w:rPr>
          <w:rFonts w:cstheme="minorHAnsi"/>
          <w:szCs w:val="21"/>
        </w:rPr>
        <w:t>, ale ani tak díky naakumulovaným rezervám nebude ohrožena dostupnost a kvalita zdravotních služeb.</w:t>
      </w:r>
    </w:p>
    <w:p w:rsidR="006A5473" w:rsidRPr="0033722F" w:rsidRDefault="00A65F2E" w:rsidP="006A5473">
      <w:pPr>
        <w:jc w:val="both"/>
      </w:pPr>
      <w:r w:rsidRPr="00F01A77">
        <w:t xml:space="preserve">Jak vyplývá ze zátěžových testů zdravotních pojišťoven, vysoký meziroční nárůst výdajů mezi lety 2020/2021 nelze dále opakovat. Střednědobé udržitelnosti systému </w:t>
      </w:r>
      <w:r w:rsidR="00D30F4B" w:rsidRPr="00F01A77">
        <w:t>v. z. p.</w:t>
      </w:r>
      <w:r w:rsidRPr="00F01A77">
        <w:t xml:space="preserve"> při dané predikci příjmů lze dosáhnout pouze významným snížením tempa růstu výdajů na zdravotní služby. </w:t>
      </w:r>
      <w:r w:rsidR="008E5E29" w:rsidRPr="00F01A77">
        <w:t>Tomuto závěru nezabránilo ani masivní jednorázové navýšení transferu ze státního rozpočtu v letech 2020 a 2021 s kumulativním dopadem oproti nastaven</w:t>
      </w:r>
      <w:r w:rsidR="00AE1155" w:rsidRPr="00F01A77">
        <w:t xml:space="preserve">é úrovni před pandemií COVID-19 </w:t>
      </w:r>
      <w:r w:rsidR="008E5E29" w:rsidRPr="00F01A77">
        <w:t xml:space="preserve">o cca </w:t>
      </w:r>
      <w:r w:rsidR="00AE1155" w:rsidRPr="00F01A77">
        <w:t>69</w:t>
      </w:r>
      <w:r w:rsidR="00DE182F" w:rsidRPr="00F01A77">
        <w:t xml:space="preserve"> </w:t>
      </w:r>
      <w:r w:rsidR="008E5E29" w:rsidRPr="00F01A77">
        <w:t>mld. Kč, u kterého nelze očekávat jeho opakování</w:t>
      </w:r>
      <w:r w:rsidRPr="00F01A77">
        <w:t>.</w:t>
      </w:r>
    </w:p>
    <w:p w:rsidR="00FA72D2" w:rsidRPr="000E543C" w:rsidRDefault="001A0BF8" w:rsidP="00D33329">
      <w:pPr>
        <w:jc w:val="both"/>
        <w:rPr>
          <w:b/>
        </w:rPr>
      </w:pPr>
      <w:r w:rsidRPr="000E543C">
        <w:rPr>
          <w:b/>
        </w:rPr>
        <w:t xml:space="preserve">Na základě obdržených zdravotně pojistných plánů na rok </w:t>
      </w:r>
      <w:r w:rsidR="00F91617" w:rsidRPr="000E543C">
        <w:rPr>
          <w:b/>
        </w:rPr>
        <w:t>202</w:t>
      </w:r>
      <w:r w:rsidR="00135CEE" w:rsidRPr="000E543C">
        <w:rPr>
          <w:b/>
        </w:rPr>
        <w:t>1</w:t>
      </w:r>
      <w:r w:rsidR="00F91617" w:rsidRPr="000E543C">
        <w:rPr>
          <w:b/>
        </w:rPr>
        <w:t xml:space="preserve"> </w:t>
      </w:r>
      <w:r w:rsidRPr="000E543C">
        <w:rPr>
          <w:b/>
        </w:rPr>
        <w:t xml:space="preserve">je možno konstatovat, že tyto plány jsou v souladu s právními předpisy, veřejným zájmem i požadavkem, aby umožnily naplnění cílů </w:t>
      </w:r>
      <w:r w:rsidR="002A3893" w:rsidRPr="000E543C">
        <w:rPr>
          <w:b/>
          <w:szCs w:val="21"/>
        </w:rPr>
        <w:t>vyhlášky č.</w:t>
      </w:r>
      <w:r w:rsidR="00DF5584">
        <w:rPr>
          <w:b/>
          <w:szCs w:val="21"/>
        </w:rPr>
        <w:t> </w:t>
      </w:r>
      <w:r w:rsidR="00135CEE" w:rsidRPr="000E543C">
        <w:rPr>
          <w:b/>
          <w:szCs w:val="21"/>
        </w:rPr>
        <w:t>428</w:t>
      </w:r>
      <w:r w:rsidR="002A3893" w:rsidRPr="000E543C">
        <w:rPr>
          <w:b/>
          <w:szCs w:val="21"/>
        </w:rPr>
        <w:t>/</w:t>
      </w:r>
      <w:r w:rsidR="00135CEE" w:rsidRPr="000E543C">
        <w:rPr>
          <w:b/>
          <w:szCs w:val="21"/>
        </w:rPr>
        <w:t xml:space="preserve">2020 </w:t>
      </w:r>
      <w:r w:rsidR="002A3893" w:rsidRPr="000E543C">
        <w:rPr>
          <w:b/>
          <w:szCs w:val="21"/>
        </w:rPr>
        <w:t>Sb., kterou se stanovují hodnoty bodu, výše úhrad hrazených služeb a regulační omezení pro rok 202</w:t>
      </w:r>
      <w:r w:rsidR="00135CEE" w:rsidRPr="000E543C">
        <w:rPr>
          <w:b/>
          <w:szCs w:val="21"/>
        </w:rPr>
        <w:t>1</w:t>
      </w:r>
      <w:r w:rsidR="002A3893" w:rsidRPr="000E543C">
        <w:rPr>
          <w:b/>
          <w:szCs w:val="21"/>
        </w:rPr>
        <w:t xml:space="preserve"> (dále jen „úhradová vyhláška 202</w:t>
      </w:r>
      <w:r w:rsidR="00135CEE" w:rsidRPr="000E543C">
        <w:rPr>
          <w:b/>
          <w:szCs w:val="21"/>
        </w:rPr>
        <w:t>1</w:t>
      </w:r>
      <w:r w:rsidR="002A3893" w:rsidRPr="000E543C">
        <w:rPr>
          <w:b/>
          <w:szCs w:val="21"/>
        </w:rPr>
        <w:t>“)</w:t>
      </w:r>
      <w:r w:rsidRPr="000E543C">
        <w:rPr>
          <w:b/>
        </w:rPr>
        <w:t>.</w:t>
      </w:r>
    </w:p>
    <w:p w:rsidR="00436F6E" w:rsidRDefault="00FA72D2" w:rsidP="00436F6E">
      <w:pPr>
        <w:pStyle w:val="Nadpis1"/>
      </w:pPr>
      <w:r>
        <w:rPr>
          <w:b w:val="0"/>
          <w:highlight w:val="yellow"/>
        </w:rPr>
        <w:br w:type="page"/>
      </w:r>
      <w:bookmarkStart w:id="2" w:name="_Toc63684667"/>
      <w:r w:rsidR="00436F6E">
        <w:lastRenderedPageBreak/>
        <w:t>Úvod</w:t>
      </w:r>
      <w:bookmarkEnd w:id="2"/>
    </w:p>
    <w:p w:rsidR="00436F6E" w:rsidRPr="00E73464" w:rsidRDefault="00436F6E" w:rsidP="00436F6E">
      <w:pPr>
        <w:spacing w:before="180" w:line="276" w:lineRule="auto"/>
        <w:jc w:val="both"/>
      </w:pPr>
      <w:r>
        <w:t>Hodnocení vychází z návrhů zdravotně pojistných plánů (ZPP) a s</w:t>
      </w:r>
      <w:r w:rsidRPr="0023592C">
        <w:t>třednědobý</w:t>
      </w:r>
      <w:r>
        <w:t>ch</w:t>
      </w:r>
      <w:r w:rsidRPr="0023592C">
        <w:t xml:space="preserve"> výhled</w:t>
      </w:r>
      <w:r>
        <w:t>ů (SDV)</w:t>
      </w:r>
      <w:r w:rsidRPr="0023592C">
        <w:t xml:space="preserve"> </w:t>
      </w:r>
      <w:r>
        <w:t xml:space="preserve">sedmi činných </w:t>
      </w:r>
      <w:r w:rsidRPr="00E73464">
        <w:t xml:space="preserve">zdravotních pojišťoven, které byly schváleny samosprávnými orgány ZP a doručeny k posouzení na Ministerstvo zdravotnictví (MZ) a Ministerstvo financí (MF). Ve všech případech byl dodržen soulad postupů zpracování ZPP </w:t>
      </w:r>
      <w:r w:rsidR="000E744B" w:rsidRPr="00E73464">
        <w:t>20</w:t>
      </w:r>
      <w:r w:rsidR="000E744B">
        <w:t>2</w:t>
      </w:r>
      <w:r w:rsidR="004F39F8">
        <w:t>1</w:t>
      </w:r>
      <w:r w:rsidR="000E744B" w:rsidRPr="00E73464">
        <w:t xml:space="preserve"> </w:t>
      </w:r>
      <w:r w:rsidRPr="00E73464">
        <w:t>s </w:t>
      </w:r>
      <w:r>
        <w:t>vyhláškou č. 125/2018 Sb., o informacích uváděných ve zdravotně pojistném plánu a výhledu a o způsobu jejich předkládání zdravotními pojišťovnami</w:t>
      </w:r>
      <w:r w:rsidRPr="00E73464">
        <w:t xml:space="preserve">. </w:t>
      </w:r>
    </w:p>
    <w:p w:rsidR="00436F6E" w:rsidRPr="00E73464" w:rsidRDefault="00436F6E" w:rsidP="00436F6E">
      <w:pPr>
        <w:spacing w:before="180" w:line="276" w:lineRule="auto"/>
        <w:jc w:val="both"/>
      </w:pPr>
      <w:r w:rsidRPr="002E0F51">
        <w:t xml:space="preserve">Formálním ověřením všech dokumentů ZPP </w:t>
      </w:r>
      <w:r w:rsidR="000E744B" w:rsidRPr="002E0F51">
        <w:t>202</w:t>
      </w:r>
      <w:r w:rsidR="004F39F8">
        <w:t>1</w:t>
      </w:r>
      <w:r w:rsidR="000E744B" w:rsidRPr="002E0F51">
        <w:t xml:space="preserve"> </w:t>
      </w:r>
      <w:r w:rsidRPr="002E0F51">
        <w:t xml:space="preserve">a SDV </w:t>
      </w:r>
      <w:r w:rsidR="000E744B" w:rsidRPr="002E0F51">
        <w:t>202</w:t>
      </w:r>
      <w:r w:rsidR="004F39F8">
        <w:t>2</w:t>
      </w:r>
      <w:r w:rsidRPr="002E0F51">
        <w:t>–</w:t>
      </w:r>
      <w:r w:rsidR="000E744B" w:rsidRPr="002E0F51">
        <w:t>202</w:t>
      </w:r>
      <w:r w:rsidR="004F39F8">
        <w:t>3</w:t>
      </w:r>
      <w:r w:rsidR="000E744B" w:rsidRPr="002E0F51">
        <w:t xml:space="preserve"> </w:t>
      </w:r>
      <w:r w:rsidRPr="002E0F51">
        <w:t>nebyly zjištěny žádné zásadní nedostatky. Zjištěné nesrovnalosti byly pojišťovnami vysvětleny nebo odstraněny. Vládě České republiky jsou předkládány všechny ověřené dokumenty s návrhem na jejich předložení do Poslanecké sněmovny Parlamentu České republiky k ukončení schvalovacího procesu.</w:t>
      </w:r>
    </w:p>
    <w:p w:rsidR="00436F6E" w:rsidRDefault="00436F6E" w:rsidP="00436F6E">
      <w:pPr>
        <w:spacing w:before="180" w:line="276" w:lineRule="auto"/>
        <w:jc w:val="both"/>
      </w:pPr>
      <w:r>
        <w:t>H</w:t>
      </w:r>
      <w:r w:rsidRPr="00E73464">
        <w:t>odnocení předpokládaného vývoje systému veřejného zdravotního pojištění (v. z. p.) vychází z dat získaných sumarizací údajů z tabulkových příloh j</w:t>
      </w:r>
      <w:r>
        <w:t xml:space="preserve">ednotlivých ZPP </w:t>
      </w:r>
      <w:r w:rsidR="000E744B">
        <w:t>202</w:t>
      </w:r>
      <w:r w:rsidR="004F39F8">
        <w:t>1</w:t>
      </w:r>
      <w:r w:rsidR="000E744B">
        <w:t xml:space="preserve"> </w:t>
      </w:r>
      <w:r>
        <w:t xml:space="preserve">a SDV </w:t>
      </w:r>
      <w:r w:rsidR="000E744B">
        <w:t>202</w:t>
      </w:r>
      <w:r w:rsidR="004F39F8">
        <w:t>2</w:t>
      </w:r>
      <w:r>
        <w:t>–</w:t>
      </w:r>
      <w:r w:rsidR="000E744B" w:rsidRPr="00E73464">
        <w:t>20</w:t>
      </w:r>
      <w:r w:rsidR="000E744B">
        <w:t>2</w:t>
      </w:r>
      <w:r w:rsidR="004F39F8">
        <w:t>3</w:t>
      </w:r>
      <w:r w:rsidRPr="00E73464">
        <w:t>. Zobrazuje jak údaje „cash-</w:t>
      </w:r>
      <w:proofErr w:type="spellStart"/>
      <w:r w:rsidRPr="00E73464">
        <w:t>flow</w:t>
      </w:r>
      <w:proofErr w:type="spellEnd"/>
      <w:r w:rsidRPr="00E73464">
        <w:t xml:space="preserve">“ na principu příjmově výdajovém (hotovostní metodika), tak poskytuje informace o vývoji a stavu </w:t>
      </w:r>
      <w:proofErr w:type="spellStart"/>
      <w:r w:rsidRPr="00E73464">
        <w:t>pohledávkových</w:t>
      </w:r>
      <w:proofErr w:type="spellEnd"/>
      <w:r w:rsidRPr="00E73464">
        <w:t xml:space="preserve"> a závazkových vztahů jednotlivých fondů spravovaných </w:t>
      </w:r>
      <w:r>
        <w:t>zdravotními pojišťovnami (</w:t>
      </w:r>
      <w:r w:rsidRPr="00E73464">
        <w:t>ZP</w:t>
      </w:r>
      <w:r>
        <w:t>)</w:t>
      </w:r>
      <w:r w:rsidRPr="00E73464">
        <w:t xml:space="preserve">. Obsahuje taktéž informace o nákladech na zdravotní služby celkem, členění podle jednotlivých segmentů zdravotních služeb i o meziročním srovnání plánovaných hodnot pro rok </w:t>
      </w:r>
      <w:r w:rsidR="000E744B" w:rsidRPr="00E73464">
        <w:t>20</w:t>
      </w:r>
      <w:r w:rsidR="000E744B">
        <w:t>2</w:t>
      </w:r>
      <w:r w:rsidR="004F39F8">
        <w:t>1</w:t>
      </w:r>
      <w:r w:rsidRPr="00E73464">
        <w:t xml:space="preserve">, které jsou srovnány s očekávanou skutečností roku </w:t>
      </w:r>
      <w:r w:rsidR="000E744B" w:rsidRPr="00E73464">
        <w:t>20</w:t>
      </w:r>
      <w:r w:rsidR="004F39F8">
        <w:t>20</w:t>
      </w:r>
      <w:r w:rsidRPr="00E73464">
        <w:t>.</w:t>
      </w:r>
    </w:p>
    <w:p w:rsidR="00436F6E" w:rsidRDefault="00436F6E" w:rsidP="00436F6E">
      <w:pPr>
        <w:spacing w:before="180" w:line="276" w:lineRule="auto"/>
        <w:jc w:val="both"/>
      </w:pPr>
      <w:r>
        <w:t xml:space="preserve">Při tvorbě návrhů ZPP </w:t>
      </w:r>
      <w:r w:rsidR="000E744B">
        <w:t>202</w:t>
      </w:r>
      <w:r w:rsidR="004F39F8">
        <w:t>1</w:t>
      </w:r>
      <w:r w:rsidR="000E744B" w:rsidRPr="000219A8">
        <w:t xml:space="preserve"> </w:t>
      </w:r>
      <w:r w:rsidRPr="000219A8">
        <w:t xml:space="preserve">a SDV </w:t>
      </w:r>
      <w:r w:rsidR="000E744B" w:rsidRPr="000219A8">
        <w:t>20</w:t>
      </w:r>
      <w:r w:rsidR="000E744B">
        <w:t>2</w:t>
      </w:r>
      <w:r w:rsidR="004F39F8">
        <w:t>2</w:t>
      </w:r>
      <w:r w:rsidR="00DF5584">
        <w:t>–</w:t>
      </w:r>
      <w:r w:rsidR="000E744B">
        <w:t>202</w:t>
      </w:r>
      <w:r w:rsidR="004F39F8">
        <w:t>3</w:t>
      </w:r>
      <w:r w:rsidR="000E744B" w:rsidRPr="000219A8">
        <w:t xml:space="preserve"> </w:t>
      </w:r>
      <w:r w:rsidRPr="000219A8">
        <w:t xml:space="preserve">zdravotní pojišťovny vycházely z predikovaných makroekonomických ukazatelů, </w:t>
      </w:r>
      <w:r w:rsidR="004F39F8">
        <w:t xml:space="preserve">jejich úhradové politiky, </w:t>
      </w:r>
      <w:r w:rsidRPr="000219A8">
        <w:t xml:space="preserve">regionálních specifik a vlastního výchozího stavu, </w:t>
      </w:r>
      <w:r>
        <w:t>zejména</w:t>
      </w:r>
      <w:r w:rsidRPr="000219A8">
        <w:t xml:space="preserve"> finančního</w:t>
      </w:r>
      <w:r>
        <w:t>.</w:t>
      </w:r>
    </w:p>
    <w:p w:rsidR="00436F6E" w:rsidRPr="008B21FA" w:rsidRDefault="00436F6E" w:rsidP="00436F6E">
      <w:pPr>
        <w:spacing w:before="180" w:line="276" w:lineRule="auto"/>
        <w:jc w:val="both"/>
      </w:pPr>
      <w:r w:rsidRPr="00761EAC">
        <w:t xml:space="preserve">V oblasti zdravotní politiky Ministerstvo zdravotnictví hodnotí především </w:t>
      </w:r>
      <w:r w:rsidRPr="00265A09">
        <w:t xml:space="preserve">soulad s modelacemi dopadů úhradové vyhlášky na rok </w:t>
      </w:r>
      <w:r w:rsidR="000E744B" w:rsidRPr="00265A09">
        <w:t>20</w:t>
      </w:r>
      <w:r w:rsidR="000E744B">
        <w:t>2</w:t>
      </w:r>
      <w:r w:rsidR="004F39F8">
        <w:t>1</w:t>
      </w:r>
      <w:r w:rsidRPr="00265A09">
        <w:t>. Úhradová vyhláška je na smluvní vztahy</w:t>
      </w:r>
      <w:r w:rsidRPr="00761EAC">
        <w:t xml:space="preserve"> aplikována pouze v případě, kdy nedojde k dohodě na odlišném úhradovém dodatku. Pro hypotetický případ, kdy k dohodám nedojde, a kdy by celý systém fungoval právě podle úhradové vyhlášky, je nutné dohlédnout na konstrukci zdravotně pojistného plánu </w:t>
      </w:r>
      <w:r w:rsidRPr="008B21FA">
        <w:t>v takové podobě, aby úhrady podle úhradové vyhlášky umožňoval.</w:t>
      </w:r>
    </w:p>
    <w:p w:rsidR="000E744B" w:rsidRPr="00732142" w:rsidRDefault="00436F6E" w:rsidP="00436F6E">
      <w:pPr>
        <w:spacing w:before="180" w:line="276" w:lineRule="auto"/>
        <w:jc w:val="both"/>
      </w:pPr>
      <w:r w:rsidRPr="008B21FA">
        <w:t xml:space="preserve">V rámci Dohodovacího řízení pro rok </w:t>
      </w:r>
      <w:r w:rsidR="000E744B" w:rsidRPr="008B21FA">
        <w:t>202</w:t>
      </w:r>
      <w:r w:rsidR="008B21FA" w:rsidRPr="008B21FA">
        <w:t>1</w:t>
      </w:r>
      <w:r w:rsidR="000E744B" w:rsidRPr="008B21FA">
        <w:t xml:space="preserve"> </w:t>
      </w:r>
      <w:r w:rsidRPr="008B21FA">
        <w:t xml:space="preserve">bylo dosaženo dohod </w:t>
      </w:r>
      <w:r w:rsidR="00863E7E" w:rsidRPr="008B21FA">
        <w:t>v</w:t>
      </w:r>
      <w:r w:rsidR="008B21FA" w:rsidRPr="008B21FA">
        <w:t>e dvanácti</w:t>
      </w:r>
      <w:r w:rsidR="00863E7E" w:rsidRPr="008B21FA">
        <w:t xml:space="preserve"> ze čtrnácti segmentů </w:t>
      </w:r>
      <w:r w:rsidRPr="008B21FA">
        <w:t xml:space="preserve">zdravotních služeb. MZ posoudilo, zda jsou tyto dohody v souladu s právními předpisy a veřejným zájmem a </w:t>
      </w:r>
      <w:r w:rsidR="007F5247" w:rsidRPr="008B21FA">
        <w:t xml:space="preserve">na základě předložených výsledků uvedeného dohodovacího řízení </w:t>
      </w:r>
      <w:r w:rsidRPr="008B21FA">
        <w:t>vydalo vyhlášku č. </w:t>
      </w:r>
      <w:r w:rsidR="004F39F8" w:rsidRPr="008B21FA">
        <w:t>428</w:t>
      </w:r>
      <w:r w:rsidRPr="008B21FA">
        <w:t>/</w:t>
      </w:r>
      <w:r w:rsidR="004F39F8" w:rsidRPr="008B21FA">
        <w:t>2020 </w:t>
      </w:r>
      <w:r w:rsidRPr="008B21FA">
        <w:t xml:space="preserve">Sb., o stanovení hodnot bodu, výše úhrad hrazených služeb a regulačních omezení pro rok </w:t>
      </w:r>
      <w:r w:rsidR="000E744B" w:rsidRPr="008B21FA">
        <w:t>202</w:t>
      </w:r>
      <w:r w:rsidR="004F39F8" w:rsidRPr="008B21FA">
        <w:t>1</w:t>
      </w:r>
      <w:r w:rsidRPr="008B21FA">
        <w:t>.</w:t>
      </w:r>
      <w:r w:rsidR="00F13C25" w:rsidRPr="00732142">
        <w:t xml:space="preserve"> </w:t>
      </w:r>
    </w:p>
    <w:p w:rsidR="00436F6E" w:rsidRPr="00C16D59" w:rsidRDefault="00436F6E" w:rsidP="00436F6E">
      <w:pPr>
        <w:spacing w:before="180" w:line="276" w:lineRule="auto"/>
        <w:jc w:val="both"/>
        <w:rPr>
          <w:b/>
          <w:bCs/>
          <w:iCs/>
        </w:rPr>
      </w:pPr>
      <w:r w:rsidRPr="00732142">
        <w:t>V ekonomické oblasti Ministerstvo financí hodnotí plánované hospodaření</w:t>
      </w:r>
      <w:r w:rsidRPr="00C16D59">
        <w:t xml:space="preserve"> celého systému veřejného zdravotního pojištění, jakožto významné součásti veřejných rozpočtů. To se odráží i v hodnocení ZPP </w:t>
      </w:r>
      <w:r w:rsidR="00F13C25" w:rsidRPr="00C16D59">
        <w:t>20</w:t>
      </w:r>
      <w:r w:rsidR="00F13C25">
        <w:t>2</w:t>
      </w:r>
      <w:r w:rsidR="004F39F8">
        <w:t>1</w:t>
      </w:r>
      <w:r w:rsidR="006F2FF7">
        <w:t xml:space="preserve"> </w:t>
      </w:r>
      <w:r w:rsidRPr="00C16D59">
        <w:t xml:space="preserve">jednotlivých zdravotních pojišťoven. Hodnocení MF se zaměřuje také na dodržování souladu ZPP </w:t>
      </w:r>
      <w:r w:rsidR="00F9399E" w:rsidRPr="00C16D59">
        <w:t>20</w:t>
      </w:r>
      <w:r w:rsidR="00F9399E">
        <w:t>2</w:t>
      </w:r>
      <w:r w:rsidR="004F39F8">
        <w:t>1</w:t>
      </w:r>
      <w:r w:rsidR="00F9399E">
        <w:t xml:space="preserve"> </w:t>
      </w:r>
      <w:r w:rsidRPr="00C16D59">
        <w:t>s tzv. fondovou vyhláškou MF.</w:t>
      </w:r>
      <w:r w:rsidR="00863E7E">
        <w:t xml:space="preserve"> </w:t>
      </w:r>
    </w:p>
    <w:p w:rsidR="00436F6E" w:rsidRPr="00AA6D1C" w:rsidRDefault="00436F6E" w:rsidP="00436F6E">
      <w:pPr>
        <w:spacing w:before="180" w:line="276" w:lineRule="auto"/>
        <w:jc w:val="both"/>
      </w:pPr>
      <w:r>
        <w:t>V souvislosti s</w:t>
      </w:r>
      <w:r w:rsidRPr="00C16D59">
        <w:t> transpozic</w:t>
      </w:r>
      <w:r>
        <w:t>í</w:t>
      </w:r>
      <w:r w:rsidRPr="00C16D59">
        <w:t xml:space="preserve"> evropské směrnice 2011/85/EU o požadavcích na rozpočtové rámce členských států</w:t>
      </w:r>
      <w:r>
        <w:t xml:space="preserve"> v podobě </w:t>
      </w:r>
      <w:r w:rsidRPr="00C16D59">
        <w:t>zákon</w:t>
      </w:r>
      <w:r>
        <w:t>a</w:t>
      </w:r>
      <w:r w:rsidRPr="00C16D59">
        <w:t xml:space="preserve"> č. 23/2017 Sb., o pravidlech rozpočtové odpovědnosti, pro zdravotní pojišťovny </w:t>
      </w:r>
      <w:r>
        <w:t xml:space="preserve">plyne </w:t>
      </w:r>
      <w:r w:rsidRPr="00C16D59">
        <w:t xml:space="preserve">povinnost sestavovat střednědobé výhledy svého hospodaření pro roky </w:t>
      </w:r>
      <w:r w:rsidR="00F13C25">
        <w:t>202</w:t>
      </w:r>
      <w:r w:rsidR="004F39F8">
        <w:t>2</w:t>
      </w:r>
      <w:r w:rsidR="00F13C25" w:rsidRPr="00C16D59">
        <w:t xml:space="preserve"> </w:t>
      </w:r>
      <w:r w:rsidRPr="00C16D59">
        <w:t>a 202</w:t>
      </w:r>
      <w:r w:rsidR="004F39F8">
        <w:t>3</w:t>
      </w:r>
      <w:r w:rsidRPr="00C16D59">
        <w:t>. Text byl tak doplněn i</w:t>
      </w:r>
      <w:r w:rsidR="00AE57B7">
        <w:t> </w:t>
      </w:r>
      <w:r w:rsidRPr="00C16D59">
        <w:t>o</w:t>
      </w:r>
      <w:r w:rsidR="00AE57B7">
        <w:t> </w:t>
      </w:r>
      <w:r w:rsidRPr="00C16D59">
        <w:t>hodnocení střednědobých výhledů hospodaření zdravotních pojišťoven v ČR.</w:t>
      </w:r>
      <w:r>
        <w:t xml:space="preserve"> </w:t>
      </w:r>
    </w:p>
    <w:p w:rsidR="00436F6E" w:rsidRDefault="00436F6E" w:rsidP="00436F6E">
      <w:pPr>
        <w:rPr>
          <w:rFonts w:eastAsia="Times New Roman" w:cs="Arial"/>
          <w:b/>
          <w:sz w:val="28"/>
          <w:szCs w:val="28"/>
          <w:lang w:eastAsia="cs-CZ"/>
        </w:rPr>
      </w:pPr>
      <w:r>
        <w:br w:type="page"/>
      </w:r>
    </w:p>
    <w:p w:rsidR="00436F6E" w:rsidRDefault="00436F6E" w:rsidP="00436F6E">
      <w:pPr>
        <w:pStyle w:val="Nadpis1"/>
      </w:pPr>
      <w:bookmarkStart w:id="3" w:name="_Toc63684668"/>
      <w:r>
        <w:lastRenderedPageBreak/>
        <w:t>Ekonomické hodnocení</w:t>
      </w:r>
      <w:bookmarkEnd w:id="3"/>
    </w:p>
    <w:p w:rsidR="00716E58" w:rsidRPr="008966D6" w:rsidRDefault="00F13C25" w:rsidP="00E450DF">
      <w:pPr>
        <w:jc w:val="both"/>
      </w:pPr>
      <w:r w:rsidRPr="006A5473">
        <w:t>Ministerstvo financí v jím zpracované části komplexně zhodnotilo hospodaření systému v.</w:t>
      </w:r>
      <w:r w:rsidR="005216C4">
        <w:t xml:space="preserve"> </w:t>
      </w:r>
      <w:r w:rsidRPr="006A5473">
        <w:t>z.</w:t>
      </w:r>
      <w:r w:rsidR="005216C4">
        <w:t xml:space="preserve"> </w:t>
      </w:r>
      <w:r w:rsidRPr="006A5473">
        <w:t>p. jako celku i jednotlivých zdravotních pojišťoven</w:t>
      </w:r>
      <w:r w:rsidR="006E0531" w:rsidRPr="006A5473">
        <w:t>, a to z pohledu vývoje příjmů</w:t>
      </w:r>
      <w:r w:rsidR="00D206C9" w:rsidRPr="006A5473">
        <w:t xml:space="preserve">, </w:t>
      </w:r>
      <w:r w:rsidR="00E450DF" w:rsidRPr="006A5473">
        <w:t>výdajů, salda, pohledávek a závazků</w:t>
      </w:r>
      <w:r w:rsidR="00716E58" w:rsidRPr="006A5473">
        <w:t xml:space="preserve"> a </w:t>
      </w:r>
      <w:r w:rsidR="00E450DF" w:rsidRPr="006A5473">
        <w:t>stav</w:t>
      </w:r>
      <w:r w:rsidR="00716E58" w:rsidRPr="006A5473">
        <w:t>ů</w:t>
      </w:r>
      <w:r w:rsidR="00E450DF" w:rsidRPr="006A5473">
        <w:t xml:space="preserve"> peněžních prostředků zdravotních pojišťoven na bankovních účtech</w:t>
      </w:r>
      <w:r w:rsidR="00716E58" w:rsidRPr="006A5473">
        <w:t>.</w:t>
      </w:r>
      <w:r w:rsidR="00E450DF" w:rsidRPr="006A5473">
        <w:t xml:space="preserve"> </w:t>
      </w:r>
      <w:r w:rsidR="00716E58" w:rsidRPr="006A5473">
        <w:t>Pro podchycení vývoje v da</w:t>
      </w:r>
      <w:r w:rsidR="006F2FF7">
        <w:t>lším časovém horizontu analyzovalo</w:t>
      </w:r>
      <w:r w:rsidR="00716E58" w:rsidRPr="006A5473">
        <w:t xml:space="preserve"> předložené střednědobé výhledy hospodaření pro roky </w:t>
      </w:r>
      <w:r w:rsidR="00046FEC" w:rsidRPr="006A5473">
        <w:t>202</w:t>
      </w:r>
      <w:r w:rsidR="004F39F8">
        <w:t>2</w:t>
      </w:r>
      <w:r w:rsidR="00716E58" w:rsidRPr="006A5473">
        <w:t>–</w:t>
      </w:r>
      <w:r w:rsidR="00046FEC" w:rsidRPr="006A5473">
        <w:t>202</w:t>
      </w:r>
      <w:r w:rsidR="004F39F8">
        <w:t>3</w:t>
      </w:r>
      <w:r w:rsidR="00046FEC" w:rsidRPr="006A5473">
        <w:t xml:space="preserve"> </w:t>
      </w:r>
      <w:r w:rsidR="00716E58" w:rsidRPr="006A5473">
        <w:t>a dále otestovalo udržitelnost systému v. z. p. zátěžovým testem. Poslední částí je pak rozbor pojištěnců systému v. z. p. a dalších fa</w:t>
      </w:r>
      <w:r w:rsidR="006F2FF7">
        <w:t>ktorů ovlivňujících</w:t>
      </w:r>
      <w:r w:rsidR="00716E58" w:rsidRPr="006A5473">
        <w:t xml:space="preserve"> systém veřejného zdravotního pojištění.</w:t>
      </w:r>
      <w:r w:rsidR="00716E58" w:rsidRPr="00716E58">
        <w:t xml:space="preserve"> </w:t>
      </w:r>
    </w:p>
    <w:p w:rsidR="00436F6E" w:rsidRDefault="00436F6E" w:rsidP="00AC25F3">
      <w:pPr>
        <w:pStyle w:val="Nadpis2"/>
      </w:pPr>
      <w:r>
        <w:t xml:space="preserve"> </w:t>
      </w:r>
      <w:bookmarkStart w:id="4" w:name="_Toc63684669"/>
      <w:r>
        <w:t>Příjmy</w:t>
      </w:r>
      <w:bookmarkEnd w:id="4"/>
    </w:p>
    <w:p w:rsidR="00F42639" w:rsidRDefault="00436F6E" w:rsidP="00436F6E">
      <w:pPr>
        <w:spacing w:before="180" w:line="276" w:lineRule="auto"/>
        <w:jc w:val="both"/>
      </w:pPr>
      <w:r w:rsidRPr="00456113">
        <w:rPr>
          <w:b/>
        </w:rPr>
        <w:t xml:space="preserve">Příjmy systému </w:t>
      </w:r>
      <w:r w:rsidRPr="00456113">
        <w:rPr>
          <w:b/>
          <w:spacing w:val="-20"/>
        </w:rPr>
        <w:t>v. z. p</w:t>
      </w:r>
      <w:r w:rsidRPr="00456113">
        <w:rPr>
          <w:b/>
        </w:rPr>
        <w:t>. v roce 20</w:t>
      </w:r>
      <w:r w:rsidR="00980B7E" w:rsidRPr="00456113">
        <w:rPr>
          <w:b/>
        </w:rPr>
        <w:t>2</w:t>
      </w:r>
      <w:r w:rsidR="004F39F8" w:rsidRPr="00456113">
        <w:rPr>
          <w:b/>
        </w:rPr>
        <w:t>1</w:t>
      </w:r>
      <w:r w:rsidRPr="00456113">
        <w:rPr>
          <w:b/>
        </w:rPr>
        <w:t xml:space="preserve"> </w:t>
      </w:r>
      <w:r w:rsidRPr="00456113">
        <w:t>(</w:t>
      </w:r>
      <w:r w:rsidRPr="00456113">
        <w:rPr>
          <w:i/>
        </w:rPr>
        <w:t>Tabulka č. 1</w:t>
      </w:r>
      <w:r w:rsidRPr="00456113">
        <w:t>) ovlivní v meziročním srovnání zvýšení částky vyměřovacího základu pojistného na veřejné zdravotní pojištění u osob, za něž je plátcem pojistného stát, a to z </w:t>
      </w:r>
      <w:r w:rsidR="0076006E" w:rsidRPr="00456113">
        <w:t xml:space="preserve">11 607 Kč </w:t>
      </w:r>
      <w:r w:rsidRPr="00456113">
        <w:t>na</w:t>
      </w:r>
      <w:r w:rsidR="00AE57B7" w:rsidRPr="00456113">
        <w:t> </w:t>
      </w:r>
      <w:r w:rsidR="0076006E" w:rsidRPr="00456113">
        <w:t xml:space="preserve">13 088 Kč </w:t>
      </w:r>
      <w:r w:rsidRPr="00456113">
        <w:t xml:space="preserve">za kalendářní měsíc (zákonem č. </w:t>
      </w:r>
      <w:r w:rsidR="0076006E" w:rsidRPr="00456113">
        <w:t>231</w:t>
      </w:r>
      <w:r w:rsidRPr="00456113">
        <w:t>/</w:t>
      </w:r>
      <w:r w:rsidR="0076006E" w:rsidRPr="00456113">
        <w:t xml:space="preserve">2020 </w:t>
      </w:r>
      <w:r w:rsidRPr="00456113">
        <w:t>Sb., kterým byl novelizován zákon č. 592/1992 Sb., o</w:t>
      </w:r>
      <w:r w:rsidR="00AE57B7" w:rsidRPr="00456113">
        <w:t> </w:t>
      </w:r>
      <w:r w:rsidRPr="00456113">
        <w:t>pojistném na veřejné zdravotní pojištění). To představuje zvýšení měsíční platby za</w:t>
      </w:r>
      <w:r w:rsidR="00F42639" w:rsidRPr="00456113">
        <w:t> </w:t>
      </w:r>
      <w:r w:rsidRPr="00456113">
        <w:t>každého „státního pojištěnce“ z </w:t>
      </w:r>
      <w:r w:rsidR="00247C26" w:rsidRPr="00456113">
        <w:t xml:space="preserve">1 </w:t>
      </w:r>
      <w:r w:rsidR="00F42639" w:rsidRPr="00456113">
        <w:t xml:space="preserve">567 </w:t>
      </w:r>
      <w:r w:rsidRPr="00456113">
        <w:t xml:space="preserve">Kč na 1 </w:t>
      </w:r>
      <w:r w:rsidR="00F42639" w:rsidRPr="00456113">
        <w:t xml:space="preserve">767 </w:t>
      </w:r>
      <w:r w:rsidRPr="00456113">
        <w:t>Kč, tj. o </w:t>
      </w:r>
      <w:r w:rsidR="0076006E" w:rsidRPr="00456113">
        <w:t xml:space="preserve">200 </w:t>
      </w:r>
      <w:r w:rsidRPr="00456113">
        <w:t xml:space="preserve">Kč (účinnost od 1. 1. </w:t>
      </w:r>
      <w:r w:rsidR="00247C26" w:rsidRPr="00456113">
        <w:t>202</w:t>
      </w:r>
      <w:r w:rsidR="0076006E" w:rsidRPr="00456113">
        <w:t>1</w:t>
      </w:r>
      <w:r w:rsidR="003D69AF" w:rsidRPr="00456113">
        <w:t>).</w:t>
      </w:r>
      <w:r w:rsidR="00F42639" w:rsidRPr="00456113">
        <w:rPr>
          <w:rStyle w:val="Znakapoznpodarou"/>
        </w:rPr>
        <w:footnoteReference w:id="1"/>
      </w:r>
      <w:r w:rsidR="003D69AF">
        <w:t xml:space="preserve"> </w:t>
      </w:r>
    </w:p>
    <w:p w:rsidR="00436F6E" w:rsidRDefault="003D69AF" w:rsidP="00436F6E">
      <w:pPr>
        <w:spacing w:before="180" w:line="276" w:lineRule="auto"/>
        <w:jc w:val="both"/>
      </w:pPr>
      <w:r>
        <w:t>Kromě toho se projeví</w:t>
      </w:r>
      <w:r w:rsidR="00436F6E">
        <w:t xml:space="preserve"> předpokládaný meziroční nárůst objemu mezd a platů v roce </w:t>
      </w:r>
      <w:r w:rsidR="00247C26">
        <w:t>202</w:t>
      </w:r>
      <w:r w:rsidR="00D8042D">
        <w:t>1</w:t>
      </w:r>
      <w:r w:rsidR="004C2733">
        <w:t xml:space="preserve"> </w:t>
      </w:r>
      <w:r w:rsidR="00436F6E">
        <w:t>odhadovaný v Makroekonomické predikci MF z</w:t>
      </w:r>
      <w:r w:rsidR="00D8042D">
        <w:t>e</w:t>
      </w:r>
      <w:r w:rsidR="00436F6E">
        <w:t> </w:t>
      </w:r>
      <w:r w:rsidR="00D8042D">
        <w:t xml:space="preserve">září 2020 </w:t>
      </w:r>
      <w:r w:rsidR="00436F6E">
        <w:t xml:space="preserve">na </w:t>
      </w:r>
      <w:r w:rsidR="00D8042D">
        <w:t>0,8</w:t>
      </w:r>
      <w:r w:rsidR="00436F6E">
        <w:t xml:space="preserve"> %</w:t>
      </w:r>
      <w:r w:rsidR="00D8042D">
        <w:t xml:space="preserve"> (indikátor by měl </w:t>
      </w:r>
      <w:r w:rsidR="00087BCF">
        <w:t>již</w:t>
      </w:r>
      <w:r w:rsidR="00D8042D">
        <w:t xml:space="preserve"> oproti roku 2020</w:t>
      </w:r>
      <w:r w:rsidR="00087BCF">
        <w:t xml:space="preserve"> růst</w:t>
      </w:r>
      <w:r w:rsidR="00D8042D">
        <w:t>, kdy MF předpoklá</w:t>
      </w:r>
      <w:r w:rsidR="00087BCF">
        <w:t>dalo</w:t>
      </w:r>
      <w:r w:rsidR="00D8042D">
        <w:t xml:space="preserve"> pokles </w:t>
      </w:r>
      <w:r w:rsidR="00DF5584">
        <w:t>−</w:t>
      </w:r>
      <w:r w:rsidR="00D8042D">
        <w:t>1,9 %</w:t>
      </w:r>
      <w:r w:rsidR="00087BCF">
        <w:t>)</w:t>
      </w:r>
      <w:r w:rsidR="00D8042D">
        <w:t xml:space="preserve">. </w:t>
      </w:r>
      <w:r w:rsidR="00247C26">
        <w:t xml:space="preserve"> </w:t>
      </w:r>
      <w:r w:rsidR="00980B7E">
        <w:t xml:space="preserve">Růst objemu mezd a platů je také ovlivněn zvýšením </w:t>
      </w:r>
      <w:r w:rsidR="00436F6E" w:rsidRPr="009D416F">
        <w:t>minimální mzdy</w:t>
      </w:r>
      <w:r w:rsidR="00087BCF">
        <w:t>.</w:t>
      </w:r>
      <w:r w:rsidR="00436F6E" w:rsidRPr="009D416F">
        <w:t xml:space="preserve"> </w:t>
      </w:r>
    </w:p>
    <w:p w:rsidR="00436F6E" w:rsidRPr="00C75FC6" w:rsidRDefault="00436F6E" w:rsidP="009A3F36">
      <w:pPr>
        <w:pStyle w:val="Titulek"/>
        <w:jc w:val="both"/>
      </w:pPr>
      <w:bookmarkStart w:id="5" w:name="_Toc63685254"/>
      <w:r w:rsidRPr="00C75FC6">
        <w:t xml:space="preserve">Tabulka č. </w:t>
      </w:r>
      <w:r w:rsidR="008E5E29">
        <w:rPr>
          <w:noProof/>
        </w:rPr>
        <w:fldChar w:fldCharType="begin"/>
      </w:r>
      <w:r w:rsidR="007F5247">
        <w:rPr>
          <w:noProof/>
        </w:rPr>
        <w:instrText xml:space="preserve"> SEQ Tabulka \* ARABIC </w:instrText>
      </w:r>
      <w:r w:rsidR="008E5E29">
        <w:rPr>
          <w:noProof/>
        </w:rPr>
        <w:fldChar w:fldCharType="separate"/>
      </w:r>
      <w:r w:rsidR="006D5C90">
        <w:rPr>
          <w:noProof/>
        </w:rPr>
        <w:t>1</w:t>
      </w:r>
      <w:r w:rsidR="008E5E29">
        <w:rPr>
          <w:noProof/>
        </w:rPr>
        <w:fldChar w:fldCharType="end"/>
      </w:r>
      <w:r w:rsidRPr="00C75FC6">
        <w:t xml:space="preserve">: Plánované příjmy systému v. z. p. </w:t>
      </w:r>
      <w:r w:rsidR="00B501F1" w:rsidRPr="00C75FC6">
        <w:t>20</w:t>
      </w:r>
      <w:r w:rsidR="00B501F1">
        <w:t>2</w:t>
      </w:r>
      <w:r w:rsidR="00087BCF">
        <w:t>1</w:t>
      </w:r>
      <w:bookmarkEnd w:id="5"/>
    </w:p>
    <w:tbl>
      <w:tblPr>
        <w:tblW w:w="6237" w:type="dxa"/>
        <w:tblBorders>
          <w:top w:val="single" w:sz="12" w:space="0" w:color="548DD4" w:themeColor="text2" w:themeTint="99"/>
          <w:left w:val="single" w:sz="12" w:space="0" w:color="548DD4" w:themeColor="text2" w:themeTint="99"/>
          <w:bottom w:val="single" w:sz="12" w:space="0" w:color="548DD4" w:themeColor="text2" w:themeTint="99"/>
          <w:right w:val="single" w:sz="12" w:space="0" w:color="548DD4" w:themeColor="text2" w:themeTint="99"/>
        </w:tblBorders>
        <w:tblLayout w:type="fixed"/>
        <w:tblCellMar>
          <w:left w:w="70" w:type="dxa"/>
          <w:right w:w="70" w:type="dxa"/>
        </w:tblCellMar>
        <w:tblLook w:val="04A0" w:firstRow="1" w:lastRow="0" w:firstColumn="1" w:lastColumn="0" w:noHBand="0" w:noVBand="1"/>
      </w:tblPr>
      <w:tblGrid>
        <w:gridCol w:w="4157"/>
        <w:gridCol w:w="1040"/>
        <w:gridCol w:w="1040"/>
      </w:tblGrid>
      <w:tr w:rsidR="00436F6E" w:rsidRPr="008A3131" w:rsidTr="007E01C6">
        <w:trPr>
          <w:trHeight w:hRule="exact" w:val="567"/>
        </w:trPr>
        <w:tc>
          <w:tcPr>
            <w:tcW w:w="4157" w:type="dxa"/>
            <w:shd w:val="clear" w:color="auto" w:fill="4F81BD"/>
            <w:noWrap/>
            <w:vAlign w:val="center"/>
            <w:hideMark/>
          </w:tcPr>
          <w:p w:rsidR="00436F6E" w:rsidRPr="008A3131" w:rsidRDefault="00436F6E" w:rsidP="00B501F1">
            <w:pPr>
              <w:spacing w:after="0" w:line="240" w:lineRule="auto"/>
              <w:rPr>
                <w:rFonts w:cs="Arial"/>
                <w:b/>
                <w:color w:val="FFFFFF" w:themeColor="background1"/>
                <w:szCs w:val="21"/>
                <w:lang w:eastAsia="cs-CZ"/>
              </w:rPr>
            </w:pPr>
            <w:r w:rsidRPr="008A3131">
              <w:rPr>
                <w:rFonts w:cs="Arial"/>
                <w:b/>
                <w:color w:val="FFFFFF" w:themeColor="background1"/>
                <w:szCs w:val="21"/>
                <w:lang w:eastAsia="cs-CZ"/>
              </w:rPr>
              <w:t xml:space="preserve">Plánované příjmy roku </w:t>
            </w:r>
            <w:r w:rsidR="00B501F1" w:rsidRPr="008A3131">
              <w:rPr>
                <w:rFonts w:cs="Arial"/>
                <w:b/>
                <w:color w:val="FFFFFF" w:themeColor="background1"/>
                <w:szCs w:val="21"/>
                <w:lang w:eastAsia="cs-CZ"/>
              </w:rPr>
              <w:t>20</w:t>
            </w:r>
            <w:r w:rsidR="00B501F1">
              <w:rPr>
                <w:rFonts w:cs="Arial"/>
                <w:b/>
                <w:color w:val="FFFFFF" w:themeColor="background1"/>
                <w:szCs w:val="21"/>
                <w:lang w:eastAsia="cs-CZ"/>
              </w:rPr>
              <w:t>2</w:t>
            </w:r>
            <w:r w:rsidR="00087BCF">
              <w:rPr>
                <w:rFonts w:cs="Arial"/>
                <w:b/>
                <w:color w:val="FFFFFF" w:themeColor="background1"/>
                <w:szCs w:val="21"/>
                <w:lang w:eastAsia="cs-CZ"/>
              </w:rPr>
              <w:t>1</w:t>
            </w:r>
            <w:r w:rsidR="00B501F1" w:rsidRPr="008A3131">
              <w:rPr>
                <w:rFonts w:cs="Arial"/>
                <w:b/>
                <w:color w:val="FFFFFF" w:themeColor="background1"/>
                <w:szCs w:val="21"/>
                <w:lang w:eastAsia="cs-CZ"/>
              </w:rPr>
              <w:t xml:space="preserve"> </w:t>
            </w:r>
            <w:r w:rsidRPr="008A3131">
              <w:rPr>
                <w:rFonts w:cs="Arial"/>
                <w:b/>
                <w:color w:val="FFFFFF" w:themeColor="background1"/>
                <w:szCs w:val="21"/>
                <w:lang w:eastAsia="cs-CZ"/>
              </w:rPr>
              <w:t xml:space="preserve">(ZPP </w:t>
            </w:r>
            <w:r w:rsidR="00B501F1" w:rsidRPr="008A3131">
              <w:rPr>
                <w:rFonts w:cs="Arial"/>
                <w:b/>
                <w:color w:val="FFFFFF" w:themeColor="background1"/>
                <w:szCs w:val="21"/>
                <w:lang w:eastAsia="cs-CZ"/>
              </w:rPr>
              <w:t>20</w:t>
            </w:r>
            <w:r w:rsidR="00B501F1">
              <w:rPr>
                <w:rFonts w:cs="Arial"/>
                <w:b/>
                <w:color w:val="FFFFFF" w:themeColor="background1"/>
                <w:szCs w:val="21"/>
                <w:lang w:eastAsia="cs-CZ"/>
              </w:rPr>
              <w:t>2</w:t>
            </w:r>
            <w:r w:rsidR="00087BCF">
              <w:rPr>
                <w:rFonts w:cs="Arial"/>
                <w:b/>
                <w:color w:val="FFFFFF" w:themeColor="background1"/>
                <w:szCs w:val="21"/>
                <w:lang w:eastAsia="cs-CZ"/>
              </w:rPr>
              <w:t>1</w:t>
            </w:r>
            <w:r w:rsidRPr="008A3131">
              <w:rPr>
                <w:rFonts w:cs="Arial"/>
                <w:b/>
                <w:color w:val="FFFFFF" w:themeColor="background1"/>
                <w:szCs w:val="21"/>
                <w:lang w:eastAsia="cs-CZ"/>
              </w:rPr>
              <w:t>)</w:t>
            </w:r>
          </w:p>
        </w:tc>
        <w:tc>
          <w:tcPr>
            <w:tcW w:w="1040" w:type="dxa"/>
            <w:shd w:val="clear" w:color="auto" w:fill="6691C6"/>
            <w:noWrap/>
            <w:vAlign w:val="center"/>
            <w:hideMark/>
          </w:tcPr>
          <w:p w:rsidR="00436F6E" w:rsidRPr="008A3131" w:rsidRDefault="00436F6E" w:rsidP="007E01C6">
            <w:pPr>
              <w:spacing w:after="0" w:line="240" w:lineRule="auto"/>
              <w:jc w:val="right"/>
              <w:rPr>
                <w:rFonts w:cs="Arial"/>
                <w:b/>
                <w:color w:val="FFFFFF" w:themeColor="background1"/>
                <w:szCs w:val="21"/>
                <w:lang w:eastAsia="cs-CZ"/>
              </w:rPr>
            </w:pPr>
            <w:r w:rsidRPr="008A3131">
              <w:rPr>
                <w:rFonts w:cs="Arial"/>
                <w:b/>
                <w:color w:val="FFFFFF" w:themeColor="background1"/>
                <w:szCs w:val="21"/>
                <w:lang w:eastAsia="cs-CZ"/>
              </w:rPr>
              <w:t>mld. Kč</w:t>
            </w:r>
          </w:p>
        </w:tc>
        <w:tc>
          <w:tcPr>
            <w:tcW w:w="1040" w:type="dxa"/>
            <w:tcBorders>
              <w:top w:val="single" w:sz="12" w:space="0" w:color="548DD4" w:themeColor="text2" w:themeTint="99"/>
              <w:bottom w:val="nil"/>
            </w:tcBorders>
            <w:shd w:val="clear" w:color="auto" w:fill="4F81BD" w:themeFill="accent1"/>
            <w:vAlign w:val="center"/>
          </w:tcPr>
          <w:p w:rsidR="00436F6E" w:rsidRPr="008A3131" w:rsidRDefault="00436F6E" w:rsidP="007E01C6">
            <w:pPr>
              <w:spacing w:after="0" w:line="240" w:lineRule="auto"/>
              <w:jc w:val="right"/>
              <w:rPr>
                <w:rFonts w:cs="Arial"/>
                <w:b/>
                <w:color w:val="FFFFFF" w:themeColor="background1"/>
                <w:szCs w:val="21"/>
                <w:lang w:eastAsia="cs-CZ"/>
              </w:rPr>
            </w:pPr>
            <w:r w:rsidRPr="008A3131">
              <w:rPr>
                <w:rFonts w:eastAsia="Times New Roman" w:cs="Arial"/>
                <w:b/>
                <w:bCs/>
                <w:color w:val="FFFFFF"/>
                <w:szCs w:val="21"/>
                <w:lang w:eastAsia="cs-CZ"/>
              </w:rPr>
              <w:t>%</w:t>
            </w:r>
          </w:p>
        </w:tc>
      </w:tr>
      <w:tr w:rsidR="00CC4DD1" w:rsidRPr="006B2F0C" w:rsidTr="00EC60EE">
        <w:trPr>
          <w:trHeight w:hRule="exact" w:val="284"/>
        </w:trPr>
        <w:tc>
          <w:tcPr>
            <w:tcW w:w="4157" w:type="dxa"/>
            <w:noWrap/>
            <w:vAlign w:val="center"/>
            <w:hideMark/>
          </w:tcPr>
          <w:p w:rsidR="00CC4DD1" w:rsidRPr="006B2F0C" w:rsidRDefault="00CC4DD1" w:rsidP="007E01C6">
            <w:pPr>
              <w:spacing w:after="0" w:line="240" w:lineRule="auto"/>
              <w:rPr>
                <w:rFonts w:cs="Arial"/>
                <w:b/>
                <w:bCs/>
                <w:color w:val="000000"/>
                <w:szCs w:val="21"/>
                <w:lang w:eastAsia="cs-CZ"/>
              </w:rPr>
            </w:pPr>
            <w:r w:rsidRPr="006B2F0C">
              <w:rPr>
                <w:rFonts w:cs="Arial"/>
                <w:b/>
                <w:bCs/>
                <w:color w:val="000000"/>
                <w:szCs w:val="21"/>
                <w:lang w:eastAsia="cs-CZ"/>
              </w:rPr>
              <w:t xml:space="preserve">Příjmy z vlastního výběru </w:t>
            </w:r>
          </w:p>
        </w:tc>
        <w:tc>
          <w:tcPr>
            <w:tcW w:w="1040" w:type="dxa"/>
            <w:shd w:val="clear" w:color="auto" w:fill="DBE5F1"/>
            <w:noWrap/>
            <w:vAlign w:val="center"/>
          </w:tcPr>
          <w:p w:rsidR="00CC4DD1" w:rsidRPr="00321E97" w:rsidRDefault="00087BCF" w:rsidP="007E01C6">
            <w:pPr>
              <w:spacing w:after="0" w:line="240" w:lineRule="auto"/>
              <w:jc w:val="right"/>
              <w:rPr>
                <w:rFonts w:cs="Arial"/>
                <w:bCs/>
                <w:color w:val="000000"/>
                <w:szCs w:val="21"/>
                <w:lang w:eastAsia="cs-CZ"/>
              </w:rPr>
            </w:pPr>
            <w:r w:rsidRPr="00087BCF">
              <w:rPr>
                <w:rFonts w:ascii="Calibri" w:hAnsi="Calibri" w:cs="Times New Roman CE"/>
                <w:szCs w:val="21"/>
              </w:rPr>
              <w:t>256,43</w:t>
            </w:r>
          </w:p>
        </w:tc>
        <w:tc>
          <w:tcPr>
            <w:tcW w:w="1040" w:type="dxa"/>
            <w:tcBorders>
              <w:top w:val="nil"/>
              <w:bottom w:val="nil"/>
            </w:tcBorders>
            <w:shd w:val="clear" w:color="auto" w:fill="auto"/>
          </w:tcPr>
          <w:p w:rsidR="00CC4DD1" w:rsidRPr="00321E97" w:rsidRDefault="00087BCF" w:rsidP="007E01C6">
            <w:pPr>
              <w:spacing w:after="0" w:line="240" w:lineRule="auto"/>
              <w:jc w:val="right"/>
              <w:rPr>
                <w:rFonts w:cs="Arial"/>
                <w:bCs/>
                <w:color w:val="000000"/>
                <w:szCs w:val="21"/>
                <w:lang w:eastAsia="cs-CZ"/>
              </w:rPr>
            </w:pPr>
            <w:r w:rsidRPr="00087BCF">
              <w:t>66,53</w:t>
            </w:r>
          </w:p>
        </w:tc>
      </w:tr>
      <w:tr w:rsidR="00CC4DD1" w:rsidRPr="006B2F0C" w:rsidTr="00EC60EE">
        <w:trPr>
          <w:trHeight w:hRule="exact" w:val="284"/>
        </w:trPr>
        <w:tc>
          <w:tcPr>
            <w:tcW w:w="4157" w:type="dxa"/>
            <w:shd w:val="clear" w:color="auto" w:fill="EEF3F8"/>
            <w:noWrap/>
            <w:vAlign w:val="center"/>
            <w:hideMark/>
          </w:tcPr>
          <w:p w:rsidR="00CC4DD1" w:rsidRPr="006B2F0C" w:rsidRDefault="00CC4DD1" w:rsidP="007E01C6">
            <w:pPr>
              <w:spacing w:after="0" w:line="240" w:lineRule="auto"/>
              <w:rPr>
                <w:rFonts w:cs="Arial"/>
                <w:b/>
                <w:bCs/>
                <w:color w:val="000000"/>
                <w:szCs w:val="21"/>
                <w:lang w:eastAsia="cs-CZ"/>
              </w:rPr>
            </w:pPr>
            <w:r w:rsidRPr="006B2F0C">
              <w:rPr>
                <w:rFonts w:cs="Arial"/>
                <w:b/>
                <w:bCs/>
                <w:color w:val="000000"/>
                <w:szCs w:val="21"/>
                <w:lang w:eastAsia="cs-CZ"/>
              </w:rPr>
              <w:t xml:space="preserve">Příjmy ze státního rozpočtu </w:t>
            </w:r>
          </w:p>
        </w:tc>
        <w:tc>
          <w:tcPr>
            <w:tcW w:w="1040" w:type="dxa"/>
            <w:shd w:val="clear" w:color="auto" w:fill="EEF3F8"/>
            <w:noWrap/>
            <w:vAlign w:val="center"/>
          </w:tcPr>
          <w:p w:rsidR="00CC4DD1" w:rsidRPr="00321E97" w:rsidRDefault="00087BCF" w:rsidP="007E01C6">
            <w:pPr>
              <w:spacing w:after="0" w:line="240" w:lineRule="auto"/>
              <w:jc w:val="right"/>
              <w:rPr>
                <w:rFonts w:cs="Arial"/>
                <w:bCs/>
                <w:color w:val="000000"/>
                <w:szCs w:val="21"/>
                <w:lang w:eastAsia="cs-CZ"/>
              </w:rPr>
            </w:pPr>
            <w:r w:rsidRPr="00087BCF">
              <w:rPr>
                <w:rFonts w:ascii="Calibri" w:hAnsi="Calibri" w:cs="Times New Roman CE"/>
                <w:szCs w:val="21"/>
              </w:rPr>
              <w:t>124,79</w:t>
            </w:r>
          </w:p>
        </w:tc>
        <w:tc>
          <w:tcPr>
            <w:tcW w:w="1040" w:type="dxa"/>
            <w:tcBorders>
              <w:top w:val="nil"/>
              <w:bottom w:val="nil"/>
            </w:tcBorders>
            <w:shd w:val="clear" w:color="auto" w:fill="EEF3F8"/>
          </w:tcPr>
          <w:p w:rsidR="00CC4DD1" w:rsidRPr="00321E97" w:rsidRDefault="00087BCF" w:rsidP="007E01C6">
            <w:pPr>
              <w:spacing w:after="0" w:line="240" w:lineRule="auto"/>
              <w:jc w:val="right"/>
              <w:rPr>
                <w:rFonts w:cs="Arial"/>
                <w:bCs/>
                <w:color w:val="000000"/>
                <w:szCs w:val="21"/>
                <w:lang w:eastAsia="cs-CZ"/>
              </w:rPr>
            </w:pPr>
            <w:r w:rsidRPr="00087BCF">
              <w:t>32,38</w:t>
            </w:r>
          </w:p>
        </w:tc>
      </w:tr>
      <w:tr w:rsidR="00CC4DD1" w:rsidRPr="006B2F0C" w:rsidTr="00EC60EE">
        <w:trPr>
          <w:trHeight w:hRule="exact" w:val="284"/>
        </w:trPr>
        <w:tc>
          <w:tcPr>
            <w:tcW w:w="4157" w:type="dxa"/>
            <w:noWrap/>
            <w:vAlign w:val="center"/>
            <w:hideMark/>
          </w:tcPr>
          <w:p w:rsidR="00CC4DD1" w:rsidRPr="006B2F0C" w:rsidRDefault="00CC4DD1" w:rsidP="007E01C6">
            <w:pPr>
              <w:spacing w:after="0" w:line="240" w:lineRule="auto"/>
              <w:rPr>
                <w:rFonts w:cs="Arial"/>
                <w:b/>
                <w:bCs/>
                <w:color w:val="000000"/>
                <w:szCs w:val="21"/>
                <w:lang w:eastAsia="cs-CZ"/>
              </w:rPr>
            </w:pPr>
            <w:r w:rsidRPr="006B2F0C">
              <w:rPr>
                <w:rFonts w:cs="Arial"/>
                <w:b/>
                <w:bCs/>
                <w:color w:val="000000"/>
                <w:szCs w:val="21"/>
                <w:lang w:eastAsia="cs-CZ"/>
              </w:rPr>
              <w:t>Ostatní příjmy systému v. z. p.</w:t>
            </w:r>
          </w:p>
        </w:tc>
        <w:tc>
          <w:tcPr>
            <w:tcW w:w="1040" w:type="dxa"/>
            <w:shd w:val="clear" w:color="auto" w:fill="DBE5F1"/>
            <w:noWrap/>
            <w:vAlign w:val="center"/>
          </w:tcPr>
          <w:p w:rsidR="00CC4DD1" w:rsidRPr="00A42B00" w:rsidRDefault="00087BCF" w:rsidP="007E01C6">
            <w:pPr>
              <w:spacing w:after="0" w:line="240" w:lineRule="auto"/>
              <w:jc w:val="right"/>
              <w:rPr>
                <w:rFonts w:cs="Arial"/>
                <w:bCs/>
                <w:color w:val="000000"/>
                <w:szCs w:val="21"/>
                <w:lang w:eastAsia="cs-CZ"/>
              </w:rPr>
            </w:pPr>
            <w:r w:rsidRPr="00087BCF">
              <w:rPr>
                <w:rFonts w:ascii="Calibri" w:hAnsi="Calibri" w:cs="Times New Roman CE"/>
                <w:szCs w:val="21"/>
              </w:rPr>
              <w:t>2,60</w:t>
            </w:r>
          </w:p>
        </w:tc>
        <w:tc>
          <w:tcPr>
            <w:tcW w:w="1040" w:type="dxa"/>
            <w:tcBorders>
              <w:top w:val="nil"/>
              <w:bottom w:val="nil"/>
            </w:tcBorders>
            <w:shd w:val="clear" w:color="auto" w:fill="auto"/>
          </w:tcPr>
          <w:p w:rsidR="00CC4DD1" w:rsidRPr="00A42B00" w:rsidRDefault="00087BCF" w:rsidP="007E01C6">
            <w:pPr>
              <w:spacing w:after="0" w:line="240" w:lineRule="auto"/>
              <w:jc w:val="right"/>
              <w:rPr>
                <w:rFonts w:cs="Arial"/>
                <w:bCs/>
                <w:color w:val="000000"/>
                <w:szCs w:val="21"/>
                <w:lang w:eastAsia="cs-CZ"/>
              </w:rPr>
            </w:pPr>
            <w:r w:rsidRPr="00087BCF">
              <w:t>0,68</w:t>
            </w:r>
          </w:p>
        </w:tc>
      </w:tr>
      <w:tr w:rsidR="00CC4DD1" w:rsidRPr="006B2F0C" w:rsidTr="00EC60EE">
        <w:trPr>
          <w:trHeight w:hRule="exact" w:val="284"/>
        </w:trPr>
        <w:tc>
          <w:tcPr>
            <w:tcW w:w="4157" w:type="dxa"/>
            <w:shd w:val="clear" w:color="auto" w:fill="EEF3F8"/>
            <w:noWrap/>
            <w:vAlign w:val="center"/>
            <w:hideMark/>
          </w:tcPr>
          <w:p w:rsidR="00CC4DD1" w:rsidRPr="006B2F0C" w:rsidRDefault="00CC4DD1" w:rsidP="007E01C6">
            <w:pPr>
              <w:spacing w:after="0" w:line="240" w:lineRule="auto"/>
              <w:rPr>
                <w:rFonts w:cs="Arial"/>
                <w:b/>
                <w:bCs/>
                <w:color w:val="000000"/>
                <w:szCs w:val="21"/>
                <w:lang w:eastAsia="cs-CZ"/>
              </w:rPr>
            </w:pPr>
            <w:r w:rsidRPr="006B2F0C">
              <w:rPr>
                <w:rFonts w:cs="Arial"/>
                <w:b/>
                <w:bCs/>
                <w:color w:val="000000"/>
                <w:szCs w:val="21"/>
                <w:lang w:eastAsia="cs-CZ"/>
              </w:rPr>
              <w:t xml:space="preserve">Příjmy od zahraničních </w:t>
            </w:r>
            <w:r w:rsidRPr="00EC60EE">
              <w:rPr>
                <w:rFonts w:cs="Arial"/>
                <w:b/>
                <w:bCs/>
                <w:color w:val="000000"/>
                <w:szCs w:val="21"/>
                <w:lang w:eastAsia="cs-CZ"/>
              </w:rPr>
              <w:t>pojišťoven a MO</w:t>
            </w:r>
          </w:p>
        </w:tc>
        <w:tc>
          <w:tcPr>
            <w:tcW w:w="1040" w:type="dxa"/>
            <w:shd w:val="clear" w:color="auto" w:fill="EEF3F8"/>
            <w:noWrap/>
            <w:vAlign w:val="center"/>
          </w:tcPr>
          <w:p w:rsidR="00CC4DD1" w:rsidRPr="00A42B00" w:rsidRDefault="00087BCF" w:rsidP="007E01C6">
            <w:pPr>
              <w:spacing w:after="0" w:line="240" w:lineRule="auto"/>
              <w:jc w:val="right"/>
              <w:rPr>
                <w:rFonts w:cs="Arial"/>
                <w:bCs/>
                <w:color w:val="000000"/>
                <w:szCs w:val="21"/>
                <w:lang w:eastAsia="cs-CZ"/>
              </w:rPr>
            </w:pPr>
            <w:r w:rsidRPr="00087BCF">
              <w:rPr>
                <w:rFonts w:ascii="Calibri" w:hAnsi="Calibri" w:cs="Times New Roman CE"/>
                <w:szCs w:val="21"/>
              </w:rPr>
              <w:t>1,53</w:t>
            </w:r>
          </w:p>
        </w:tc>
        <w:tc>
          <w:tcPr>
            <w:tcW w:w="1040" w:type="dxa"/>
            <w:tcBorders>
              <w:top w:val="nil"/>
              <w:bottom w:val="nil"/>
            </w:tcBorders>
            <w:shd w:val="clear" w:color="auto" w:fill="EEF3F8"/>
          </w:tcPr>
          <w:p w:rsidR="00CC4DD1" w:rsidRPr="00A42B00" w:rsidRDefault="00087BCF" w:rsidP="007E01C6">
            <w:pPr>
              <w:spacing w:after="0" w:line="240" w:lineRule="auto"/>
              <w:jc w:val="right"/>
              <w:rPr>
                <w:rFonts w:cs="Arial"/>
                <w:bCs/>
                <w:color w:val="000000"/>
                <w:szCs w:val="21"/>
                <w:lang w:eastAsia="cs-CZ"/>
              </w:rPr>
            </w:pPr>
            <w:r w:rsidRPr="00087BCF">
              <w:t>0,40</w:t>
            </w:r>
          </w:p>
        </w:tc>
      </w:tr>
      <w:tr w:rsidR="00CC4DD1" w:rsidRPr="006B2F0C" w:rsidTr="00EC60EE">
        <w:trPr>
          <w:trHeight w:hRule="exact" w:val="284"/>
        </w:trPr>
        <w:tc>
          <w:tcPr>
            <w:tcW w:w="4157" w:type="dxa"/>
            <w:noWrap/>
            <w:vAlign w:val="center"/>
            <w:hideMark/>
          </w:tcPr>
          <w:p w:rsidR="00CC4DD1" w:rsidRPr="006B2F0C" w:rsidRDefault="00597801" w:rsidP="005034B0">
            <w:pPr>
              <w:spacing w:after="0" w:line="240" w:lineRule="auto"/>
              <w:rPr>
                <w:rFonts w:cs="Arial"/>
                <w:b/>
                <w:bCs/>
                <w:color w:val="000000"/>
                <w:szCs w:val="21"/>
                <w:lang w:eastAsia="cs-CZ"/>
              </w:rPr>
            </w:pPr>
            <w:r>
              <w:rPr>
                <w:rFonts w:cs="Arial"/>
                <w:b/>
                <w:bCs/>
                <w:color w:val="000000"/>
                <w:szCs w:val="21"/>
                <w:lang w:eastAsia="cs-CZ"/>
              </w:rPr>
              <w:t>Výnosy</w:t>
            </w:r>
            <w:r w:rsidRPr="006B2F0C">
              <w:rPr>
                <w:rFonts w:cs="Arial"/>
                <w:b/>
                <w:bCs/>
                <w:color w:val="000000"/>
                <w:szCs w:val="21"/>
                <w:lang w:eastAsia="cs-CZ"/>
              </w:rPr>
              <w:t xml:space="preserve"> </w:t>
            </w:r>
            <w:r w:rsidR="00CC4DD1" w:rsidRPr="006B2F0C">
              <w:rPr>
                <w:rFonts w:cs="Arial"/>
                <w:b/>
                <w:bCs/>
                <w:color w:val="000000"/>
                <w:szCs w:val="21"/>
                <w:lang w:eastAsia="cs-CZ"/>
              </w:rPr>
              <w:t>z</w:t>
            </w:r>
            <w:r w:rsidR="00CC4DD1">
              <w:rPr>
                <w:rFonts w:cs="Arial"/>
                <w:b/>
                <w:bCs/>
                <w:color w:val="000000"/>
                <w:szCs w:val="21"/>
                <w:lang w:eastAsia="cs-CZ"/>
              </w:rPr>
              <w:t xml:space="preserve"> jiných</w:t>
            </w:r>
            <w:r w:rsidR="00CC4DD1" w:rsidRPr="006B2F0C">
              <w:rPr>
                <w:rFonts w:cs="Arial"/>
                <w:b/>
                <w:bCs/>
                <w:color w:val="000000"/>
                <w:szCs w:val="21"/>
                <w:lang w:eastAsia="cs-CZ"/>
              </w:rPr>
              <w:t xml:space="preserve"> činností</w:t>
            </w:r>
          </w:p>
        </w:tc>
        <w:tc>
          <w:tcPr>
            <w:tcW w:w="1040" w:type="dxa"/>
            <w:shd w:val="clear" w:color="auto" w:fill="DBE5F1"/>
            <w:noWrap/>
            <w:vAlign w:val="center"/>
          </w:tcPr>
          <w:p w:rsidR="00CC4DD1" w:rsidRPr="00A42B00" w:rsidRDefault="00087BCF" w:rsidP="007E01C6">
            <w:pPr>
              <w:spacing w:after="0" w:line="240" w:lineRule="auto"/>
              <w:jc w:val="right"/>
              <w:rPr>
                <w:rFonts w:cs="Arial"/>
                <w:bCs/>
                <w:color w:val="000000"/>
                <w:szCs w:val="21"/>
                <w:lang w:eastAsia="cs-CZ"/>
              </w:rPr>
            </w:pPr>
            <w:r w:rsidRPr="00087BCF">
              <w:rPr>
                <w:rFonts w:ascii="Calibri" w:hAnsi="Calibri" w:cs="Times New Roman CE"/>
                <w:szCs w:val="21"/>
              </w:rPr>
              <w:t>0,06</w:t>
            </w:r>
          </w:p>
        </w:tc>
        <w:tc>
          <w:tcPr>
            <w:tcW w:w="1040" w:type="dxa"/>
            <w:tcBorders>
              <w:top w:val="nil"/>
              <w:bottom w:val="nil"/>
            </w:tcBorders>
            <w:shd w:val="clear" w:color="auto" w:fill="auto"/>
          </w:tcPr>
          <w:p w:rsidR="00CC4DD1" w:rsidRPr="00A42B00" w:rsidRDefault="00087BCF" w:rsidP="007E01C6">
            <w:pPr>
              <w:spacing w:after="0" w:line="240" w:lineRule="auto"/>
              <w:jc w:val="right"/>
              <w:rPr>
                <w:rFonts w:cs="Arial"/>
                <w:bCs/>
                <w:color w:val="000000"/>
                <w:szCs w:val="21"/>
                <w:lang w:eastAsia="cs-CZ"/>
              </w:rPr>
            </w:pPr>
            <w:r w:rsidRPr="00087BCF">
              <w:t>0,02</w:t>
            </w:r>
          </w:p>
        </w:tc>
      </w:tr>
      <w:tr w:rsidR="00CC4DD1" w:rsidRPr="006B2F0C" w:rsidTr="00EC60EE">
        <w:trPr>
          <w:trHeight w:hRule="exact" w:val="284"/>
        </w:trPr>
        <w:tc>
          <w:tcPr>
            <w:tcW w:w="4157" w:type="dxa"/>
            <w:shd w:val="clear" w:color="auto" w:fill="EEF3F8"/>
            <w:noWrap/>
            <w:vAlign w:val="center"/>
            <w:hideMark/>
          </w:tcPr>
          <w:p w:rsidR="00CC4DD1" w:rsidRPr="006B2F0C" w:rsidRDefault="00CC4DD1" w:rsidP="007E01C6">
            <w:pPr>
              <w:spacing w:after="0" w:line="240" w:lineRule="auto"/>
              <w:rPr>
                <w:rFonts w:cs="Arial"/>
                <w:b/>
                <w:bCs/>
                <w:color w:val="000000"/>
                <w:szCs w:val="21"/>
                <w:lang w:eastAsia="cs-CZ"/>
              </w:rPr>
            </w:pPr>
            <w:r w:rsidRPr="006B2F0C">
              <w:rPr>
                <w:rFonts w:cs="Arial"/>
                <w:b/>
                <w:bCs/>
                <w:color w:val="000000"/>
                <w:szCs w:val="21"/>
                <w:lang w:eastAsia="cs-CZ"/>
              </w:rPr>
              <w:t>Celkové příjmy systému v. z. p.</w:t>
            </w:r>
          </w:p>
        </w:tc>
        <w:tc>
          <w:tcPr>
            <w:tcW w:w="1040" w:type="dxa"/>
            <w:shd w:val="clear" w:color="auto" w:fill="EEF3F8"/>
            <w:noWrap/>
            <w:vAlign w:val="center"/>
          </w:tcPr>
          <w:p w:rsidR="00CC4DD1" w:rsidRPr="00321E97" w:rsidRDefault="00087BCF" w:rsidP="007E01C6">
            <w:pPr>
              <w:spacing w:after="0" w:line="240" w:lineRule="auto"/>
              <w:jc w:val="right"/>
              <w:rPr>
                <w:rFonts w:cs="Arial"/>
                <w:b/>
                <w:bCs/>
                <w:color w:val="000000"/>
                <w:szCs w:val="21"/>
                <w:lang w:eastAsia="cs-CZ"/>
              </w:rPr>
            </w:pPr>
            <w:r w:rsidRPr="00087BCF">
              <w:rPr>
                <w:rFonts w:ascii="Calibri" w:hAnsi="Calibri" w:cs="Times New Roman CE"/>
                <w:b/>
                <w:bCs/>
                <w:color w:val="000000"/>
                <w:szCs w:val="21"/>
              </w:rPr>
              <w:t>385,42</w:t>
            </w:r>
          </w:p>
        </w:tc>
        <w:tc>
          <w:tcPr>
            <w:tcW w:w="1040" w:type="dxa"/>
            <w:tcBorders>
              <w:top w:val="nil"/>
            </w:tcBorders>
            <w:shd w:val="clear" w:color="auto" w:fill="EEF3F8"/>
          </w:tcPr>
          <w:p w:rsidR="00CC4DD1" w:rsidRPr="001975AE" w:rsidRDefault="00CC4DD1" w:rsidP="007E01C6">
            <w:pPr>
              <w:spacing w:after="0" w:line="240" w:lineRule="auto"/>
              <w:jc w:val="right"/>
              <w:rPr>
                <w:rFonts w:cs="Arial"/>
                <w:b/>
                <w:bCs/>
                <w:color w:val="000000"/>
                <w:szCs w:val="21"/>
                <w:lang w:eastAsia="cs-CZ"/>
              </w:rPr>
            </w:pPr>
            <w:r w:rsidRPr="00EC60EE">
              <w:rPr>
                <w:b/>
              </w:rPr>
              <w:t>100,00</w:t>
            </w:r>
          </w:p>
        </w:tc>
      </w:tr>
    </w:tbl>
    <w:p w:rsidR="00436F6E" w:rsidRDefault="00436F6E" w:rsidP="00436F6E">
      <w:pPr>
        <w:spacing w:before="240" w:line="276" w:lineRule="auto"/>
        <w:jc w:val="both"/>
      </w:pPr>
      <w:r w:rsidRPr="00C963EC">
        <w:rPr>
          <w:b/>
        </w:rPr>
        <w:t>Celkové příjmy systému v. z. p.</w:t>
      </w:r>
      <w:r>
        <w:rPr>
          <w:b/>
        </w:rPr>
        <w:t xml:space="preserve"> </w:t>
      </w:r>
      <w:r>
        <w:t xml:space="preserve">na rok </w:t>
      </w:r>
      <w:r w:rsidR="00CC4DD1">
        <w:t>202</w:t>
      </w:r>
      <w:r w:rsidR="00C963EC">
        <w:t>1</w:t>
      </w:r>
      <w:r w:rsidR="00CC4DD1">
        <w:t xml:space="preserve"> </w:t>
      </w:r>
      <w:r>
        <w:t xml:space="preserve">jsou plánovány ve výši </w:t>
      </w:r>
      <w:r w:rsidR="00C963EC" w:rsidRPr="00C963EC">
        <w:rPr>
          <w:b/>
        </w:rPr>
        <w:t>385,4</w:t>
      </w:r>
      <w:r w:rsidR="00C963EC">
        <w:rPr>
          <w:b/>
        </w:rPr>
        <w:t xml:space="preserve"> </w:t>
      </w:r>
      <w:r>
        <w:rPr>
          <w:b/>
        </w:rPr>
        <w:t>mld. Kč</w:t>
      </w:r>
      <w:r>
        <w:t xml:space="preserve"> s meziročním nárůstem o </w:t>
      </w:r>
      <w:r w:rsidR="009058CE">
        <w:t xml:space="preserve">8,6 </w:t>
      </w:r>
      <w:r>
        <w:t xml:space="preserve">% a v absolutní hodnotě o cca </w:t>
      </w:r>
      <w:r w:rsidR="009058CE">
        <w:t>30,6</w:t>
      </w:r>
      <w:r w:rsidR="00CC4DD1">
        <w:t xml:space="preserve"> </w:t>
      </w:r>
      <w:r>
        <w:t>mld. Kč.</w:t>
      </w:r>
    </w:p>
    <w:p w:rsidR="00436F6E" w:rsidRDefault="00436F6E" w:rsidP="00EB0A9A">
      <w:pPr>
        <w:spacing w:after="0"/>
        <w:jc w:val="both"/>
      </w:pPr>
      <w:r>
        <w:rPr>
          <w:b/>
        </w:rPr>
        <w:t>Příjmy z vlastního výběru</w:t>
      </w:r>
      <w:r>
        <w:t xml:space="preserve"> pojistného budou činit </w:t>
      </w:r>
      <w:r w:rsidR="00AC5EDB">
        <w:rPr>
          <w:b/>
        </w:rPr>
        <w:t xml:space="preserve">256,4 </w:t>
      </w:r>
      <w:r>
        <w:rPr>
          <w:b/>
        </w:rPr>
        <w:t>mld. Kč</w:t>
      </w:r>
      <w:r>
        <w:t xml:space="preserve"> (meziroční nárůst o </w:t>
      </w:r>
      <w:r w:rsidR="00C524DD">
        <w:rPr>
          <w:rFonts w:ascii="Calibri" w:eastAsia="Times New Roman" w:hAnsi="Calibri" w:cs="Times New Roman CE"/>
          <w:szCs w:val="21"/>
          <w:lang w:eastAsia="cs-CZ"/>
        </w:rPr>
        <w:t xml:space="preserve">2,7 </w:t>
      </w:r>
      <w:r>
        <w:t>mld. Kč, tj. o </w:t>
      </w:r>
      <w:r w:rsidR="00C524DD" w:rsidRPr="00C524DD">
        <w:t>1,</w:t>
      </w:r>
      <w:r w:rsidR="00C524DD">
        <w:t xml:space="preserve">1 </w:t>
      </w:r>
      <w:r>
        <w:t xml:space="preserve">%). Pozitivně se projeví </w:t>
      </w:r>
      <w:r w:rsidR="00C524DD">
        <w:t xml:space="preserve">očekávaný mírný růst </w:t>
      </w:r>
      <w:r>
        <w:t>české ekonomiky</w:t>
      </w:r>
      <w:r w:rsidR="00C524DD">
        <w:t xml:space="preserve"> a zvýšení minimální mzdy</w:t>
      </w:r>
      <w:r>
        <w:t xml:space="preserve">. </w:t>
      </w:r>
    </w:p>
    <w:p w:rsidR="00436F6E" w:rsidRDefault="00436F6E" w:rsidP="00436F6E">
      <w:pPr>
        <w:spacing w:before="240" w:line="276" w:lineRule="auto"/>
        <w:jc w:val="both"/>
        <w:rPr>
          <w:b/>
        </w:rPr>
      </w:pPr>
      <w:r>
        <w:rPr>
          <w:b/>
        </w:rPr>
        <w:t>Příjmy ze státního rozpočtu</w:t>
      </w:r>
      <w:r>
        <w:t xml:space="preserve"> za osoby, za které je plátcem pojistného stát (dále „platba státu“), které spolu s výběrem pojistného podléhají stoprocentnímu přerozdělování, tvoří </w:t>
      </w:r>
      <w:r w:rsidR="000029C8">
        <w:t xml:space="preserve">32,4 </w:t>
      </w:r>
      <w:r>
        <w:t xml:space="preserve">% z celkových příjmů systému v. z. p. v plánované hodnotě </w:t>
      </w:r>
      <w:r w:rsidR="000029C8">
        <w:rPr>
          <w:b/>
        </w:rPr>
        <w:t xml:space="preserve">124,8 </w:t>
      </w:r>
      <w:r>
        <w:rPr>
          <w:b/>
        </w:rPr>
        <w:t>mld. Kč</w:t>
      </w:r>
      <w:r>
        <w:t xml:space="preserve">. V roce </w:t>
      </w:r>
      <w:r w:rsidR="000029C8">
        <w:t xml:space="preserve">2020 </w:t>
      </w:r>
      <w:r>
        <w:t xml:space="preserve">je </w:t>
      </w:r>
      <w:r w:rsidR="000029C8">
        <w:t xml:space="preserve">zdravotními pojišťovnami </w:t>
      </w:r>
      <w:r>
        <w:t xml:space="preserve">očekávána hodnota </w:t>
      </w:r>
      <w:r w:rsidR="000029C8">
        <w:t>97,0</w:t>
      </w:r>
      <w:r>
        <w:t xml:space="preserve"> mld. Kč (tj. meziroční růst </w:t>
      </w:r>
      <w:r w:rsidR="000029C8">
        <w:t xml:space="preserve">28,7 </w:t>
      </w:r>
      <w:r>
        <w:t xml:space="preserve">%, v absolutní částce </w:t>
      </w:r>
      <w:r w:rsidR="000029C8" w:rsidRPr="000029C8">
        <w:t>27,</w:t>
      </w:r>
      <w:r w:rsidR="000029C8">
        <w:t xml:space="preserve">8 </w:t>
      </w:r>
      <w:r>
        <w:t xml:space="preserve">mld. Kč). </w:t>
      </w:r>
    </w:p>
    <w:p w:rsidR="00436F6E" w:rsidRDefault="00436F6E" w:rsidP="00436F6E">
      <w:pPr>
        <w:spacing w:before="240" w:line="276" w:lineRule="auto"/>
        <w:jc w:val="both"/>
      </w:pPr>
      <w:r>
        <w:rPr>
          <w:b/>
        </w:rPr>
        <w:t>Ostatní příjmy systému v. z. p.</w:t>
      </w:r>
      <w:r>
        <w:t xml:space="preserve"> ve výši cca </w:t>
      </w:r>
      <w:r w:rsidR="00544700">
        <w:t xml:space="preserve">0,7 </w:t>
      </w:r>
      <w:r>
        <w:t>% z celkových příjmů v hodnotě 2,</w:t>
      </w:r>
      <w:r w:rsidR="00E85204">
        <w:t>6 </w:t>
      </w:r>
      <w:r>
        <w:t xml:space="preserve">mld. Kč mají jen marginální význam a tvoří je zejména sankční příjmy (penále, pokuty, přirážky, náhrady škod). V roce </w:t>
      </w:r>
      <w:r w:rsidR="00544700">
        <w:t xml:space="preserve">2020 </w:t>
      </w:r>
      <w:r>
        <w:t xml:space="preserve">jsou očekávány v částce </w:t>
      </w:r>
      <w:r w:rsidR="00544700">
        <w:t xml:space="preserve">2,5 </w:t>
      </w:r>
      <w:r>
        <w:t>mld. Kč, tj. meziročně dojde k nepat</w:t>
      </w:r>
      <w:r w:rsidR="0011766D">
        <w:t>r</w:t>
      </w:r>
      <w:r>
        <w:t xml:space="preserve">nému </w:t>
      </w:r>
      <w:r w:rsidR="00E85204">
        <w:t xml:space="preserve">růstu </w:t>
      </w:r>
      <w:r>
        <w:t xml:space="preserve">o </w:t>
      </w:r>
      <w:r w:rsidR="00544700">
        <w:t xml:space="preserve">137 </w:t>
      </w:r>
      <w:r>
        <w:t>mil. Kč (</w:t>
      </w:r>
      <w:r w:rsidR="00597801">
        <w:t>5,5</w:t>
      </w:r>
      <w:r>
        <w:t xml:space="preserve"> %). </w:t>
      </w:r>
    </w:p>
    <w:p w:rsidR="00436F6E" w:rsidRDefault="00436F6E" w:rsidP="00436F6E">
      <w:pPr>
        <w:spacing w:before="240" w:line="276" w:lineRule="auto"/>
        <w:jc w:val="both"/>
      </w:pPr>
      <w:r>
        <w:rPr>
          <w:b/>
        </w:rPr>
        <w:lastRenderedPageBreak/>
        <w:t>Příjmy od zahraničních pojišťoven a Ministerstva obrany</w:t>
      </w:r>
      <w:r>
        <w:t xml:space="preserve"> se předpokládají ve výši 1,</w:t>
      </w:r>
      <w:r w:rsidR="00597801">
        <w:t>5 </w:t>
      </w:r>
      <w:r>
        <w:t xml:space="preserve">mld. Kč, tj. cca </w:t>
      </w:r>
      <w:r w:rsidR="00597801">
        <w:t xml:space="preserve">0,4 </w:t>
      </w:r>
      <w:r>
        <w:t xml:space="preserve">% celkových příjmů v. z. p. V roce </w:t>
      </w:r>
      <w:r w:rsidR="00597801">
        <w:t xml:space="preserve">2020 </w:t>
      </w:r>
      <w:r>
        <w:t xml:space="preserve">jsou očekávány </w:t>
      </w:r>
      <w:r w:rsidR="00597801">
        <w:t xml:space="preserve">na téměř shodné úrovni po zaokrouhlení taktéž </w:t>
      </w:r>
      <w:r>
        <w:t>v částce 1,</w:t>
      </w:r>
      <w:r w:rsidR="00597801">
        <w:t>5</w:t>
      </w:r>
      <w:r w:rsidR="00761E83">
        <w:t> </w:t>
      </w:r>
      <w:r>
        <w:t>mld. Kč, tj. meziročně dojde k růstu o</w:t>
      </w:r>
      <w:r w:rsidR="0053662E">
        <w:t> </w:t>
      </w:r>
      <w:r w:rsidR="00597801">
        <w:t>38 </w:t>
      </w:r>
      <w:r>
        <w:t>mil.</w:t>
      </w:r>
      <w:r w:rsidR="0053662E">
        <w:t> </w:t>
      </w:r>
      <w:r>
        <w:t>Kč (</w:t>
      </w:r>
      <w:r w:rsidR="00597801">
        <w:t>2,5</w:t>
      </w:r>
      <w:r w:rsidR="0053662E">
        <w:t xml:space="preserve"> </w:t>
      </w:r>
      <w:r>
        <w:t>%).</w:t>
      </w:r>
    </w:p>
    <w:p w:rsidR="00436F6E" w:rsidRPr="00EE54F6" w:rsidRDefault="00436F6E" w:rsidP="00436F6E">
      <w:pPr>
        <w:spacing w:before="240" w:line="276" w:lineRule="auto"/>
        <w:jc w:val="both"/>
      </w:pPr>
      <w:r>
        <w:t xml:space="preserve">Zcela minimální podíl na celkových příjmech mají </w:t>
      </w:r>
      <w:r w:rsidR="00597801">
        <w:rPr>
          <w:b/>
        </w:rPr>
        <w:t>výnosy</w:t>
      </w:r>
      <w:r w:rsidR="00597801" w:rsidRPr="00042923">
        <w:rPr>
          <w:b/>
        </w:rPr>
        <w:t xml:space="preserve"> </w:t>
      </w:r>
      <w:r w:rsidRPr="00042923">
        <w:rPr>
          <w:b/>
        </w:rPr>
        <w:t>z</w:t>
      </w:r>
      <w:r w:rsidR="005034B0">
        <w:rPr>
          <w:b/>
        </w:rPr>
        <w:t xml:space="preserve"> jiných</w:t>
      </w:r>
      <w:r w:rsidRPr="00042923">
        <w:rPr>
          <w:b/>
        </w:rPr>
        <w:t xml:space="preserve"> činností</w:t>
      </w:r>
      <w:r>
        <w:t>, a to ve výši 0,02 % v plánované hodnotě 0,</w:t>
      </w:r>
      <w:r w:rsidR="002F0D83">
        <w:t>0</w:t>
      </w:r>
      <w:r w:rsidR="00A6501B">
        <w:t>6</w:t>
      </w:r>
      <w:r w:rsidR="002F0D83">
        <w:t xml:space="preserve"> </w:t>
      </w:r>
      <w:r>
        <w:t xml:space="preserve">mld. Kč. V roce </w:t>
      </w:r>
      <w:r w:rsidR="00A6501B">
        <w:t xml:space="preserve">2020 </w:t>
      </w:r>
      <w:r>
        <w:t>jsou očekávány v částce 0,</w:t>
      </w:r>
      <w:r w:rsidR="002F0D83">
        <w:t>0</w:t>
      </w:r>
      <w:r w:rsidR="00A6501B">
        <w:t>5</w:t>
      </w:r>
      <w:r w:rsidR="002F0D83">
        <w:t xml:space="preserve"> </w:t>
      </w:r>
      <w:r>
        <w:t xml:space="preserve">mld. Kč, tj. meziročně dojde k růstu o </w:t>
      </w:r>
      <w:r w:rsidR="00A6501B">
        <w:t xml:space="preserve">8 </w:t>
      </w:r>
      <w:r>
        <w:t>mil. Kč (</w:t>
      </w:r>
      <w:r w:rsidR="00A6501B">
        <w:t>15,1</w:t>
      </w:r>
      <w:r>
        <w:t xml:space="preserve"> %). Struktura zdaňovaných činností se dlouhodobě nemění, neboť účinné právní předpisy zdravotním pojišťovnám umožňují pouze omezený rozsah vlastních aktivit. Jsou jimi především pronájmy nevyužitých nebytových prostor a zprostředkování prodeje komerčního pojištění. Zisky po zdanění z těchto činností využívají ZP v souladu se zákony a rozhodnutími správních rad na posilování fondů v. z. p., včetně Fondu prevence.</w:t>
      </w:r>
    </w:p>
    <w:p w:rsidR="00436F6E" w:rsidRDefault="00436F6E" w:rsidP="009A3F36">
      <w:pPr>
        <w:pStyle w:val="Titulek"/>
        <w:jc w:val="both"/>
      </w:pPr>
      <w:bookmarkStart w:id="6" w:name="_Toc63685255"/>
      <w:r w:rsidRPr="00C75FC6">
        <w:t xml:space="preserve">Tabulka č. </w:t>
      </w:r>
      <w:r w:rsidR="008E5E29">
        <w:rPr>
          <w:noProof/>
        </w:rPr>
        <w:fldChar w:fldCharType="begin"/>
      </w:r>
      <w:r w:rsidR="007F5247">
        <w:rPr>
          <w:noProof/>
        </w:rPr>
        <w:instrText xml:space="preserve"> SEQ Tabulka \* ARABIC </w:instrText>
      </w:r>
      <w:r w:rsidR="008E5E29">
        <w:rPr>
          <w:noProof/>
        </w:rPr>
        <w:fldChar w:fldCharType="separate"/>
      </w:r>
      <w:r w:rsidR="006D5C90">
        <w:rPr>
          <w:noProof/>
        </w:rPr>
        <w:t>2</w:t>
      </w:r>
      <w:r w:rsidR="008E5E29">
        <w:rPr>
          <w:noProof/>
        </w:rPr>
        <w:fldChar w:fldCharType="end"/>
      </w:r>
      <w:r w:rsidRPr="00C75FC6">
        <w:t xml:space="preserve">: Plánované příjmy systému v. z. p. </w:t>
      </w:r>
      <w:r w:rsidR="002F0D83" w:rsidRPr="00C75FC6">
        <w:t>20</w:t>
      </w:r>
      <w:r w:rsidR="002F0D83">
        <w:t>2</w:t>
      </w:r>
      <w:r w:rsidR="00A6501B">
        <w:t>1</w:t>
      </w:r>
      <w:r w:rsidR="002F0D83" w:rsidRPr="00C75FC6">
        <w:t xml:space="preserve"> </w:t>
      </w:r>
      <w:r w:rsidRPr="00C75FC6">
        <w:t>dle zdravotních pojišťoven</w:t>
      </w:r>
      <w:bookmarkEnd w:id="6"/>
    </w:p>
    <w:tbl>
      <w:tblPr>
        <w:tblW w:w="9800" w:type="dxa"/>
        <w:tblBorders>
          <w:top w:val="single" w:sz="12" w:space="0" w:color="4F81BD"/>
          <w:left w:val="single" w:sz="12" w:space="0" w:color="4F81BD"/>
          <w:bottom w:val="single" w:sz="12" w:space="0" w:color="4F81BD"/>
          <w:right w:val="single" w:sz="12" w:space="0" w:color="4F81BD"/>
        </w:tblBorders>
        <w:tblCellMar>
          <w:left w:w="70" w:type="dxa"/>
          <w:right w:w="70" w:type="dxa"/>
        </w:tblCellMar>
        <w:tblLook w:val="04A0" w:firstRow="1" w:lastRow="0" w:firstColumn="1" w:lastColumn="0" w:noHBand="0" w:noVBand="1"/>
      </w:tblPr>
      <w:tblGrid>
        <w:gridCol w:w="2780"/>
        <w:gridCol w:w="1118"/>
        <w:gridCol w:w="992"/>
        <w:gridCol w:w="992"/>
        <w:gridCol w:w="992"/>
        <w:gridCol w:w="866"/>
        <w:gridCol w:w="1040"/>
        <w:gridCol w:w="1020"/>
      </w:tblGrid>
      <w:tr w:rsidR="00436F6E" w:rsidRPr="004E1AFC" w:rsidTr="00E32C13">
        <w:trPr>
          <w:trHeight w:val="870"/>
        </w:trPr>
        <w:tc>
          <w:tcPr>
            <w:tcW w:w="2780" w:type="dxa"/>
            <w:shd w:val="clear" w:color="000000" w:fill="4F81BD"/>
            <w:vAlign w:val="center"/>
            <w:hideMark/>
          </w:tcPr>
          <w:p w:rsidR="00436F6E" w:rsidRPr="00321E97" w:rsidRDefault="00436F6E" w:rsidP="007E01C6">
            <w:pPr>
              <w:spacing w:after="0" w:line="240" w:lineRule="auto"/>
              <w:rPr>
                <w:rFonts w:ascii="Calibri" w:eastAsia="Times New Roman" w:hAnsi="Calibri" w:cs="Times New Roman"/>
                <w:b/>
                <w:bCs/>
                <w:color w:val="FFFFFF"/>
                <w:szCs w:val="21"/>
                <w:lang w:eastAsia="cs-CZ"/>
              </w:rPr>
            </w:pPr>
            <w:r w:rsidRPr="00321E97">
              <w:rPr>
                <w:rFonts w:ascii="Calibri" w:eastAsia="Times New Roman" w:hAnsi="Calibri" w:cs="Times New Roman"/>
                <w:b/>
                <w:bCs/>
                <w:color w:val="FFFFFF"/>
                <w:szCs w:val="21"/>
                <w:lang w:eastAsia="cs-CZ"/>
              </w:rPr>
              <w:t xml:space="preserve">ZPP </w:t>
            </w:r>
            <w:r w:rsidR="00A3085D" w:rsidRPr="00321E97">
              <w:rPr>
                <w:rFonts w:ascii="Calibri" w:eastAsia="Times New Roman" w:hAnsi="Calibri" w:cs="Times New Roman"/>
                <w:b/>
                <w:bCs/>
                <w:color w:val="FFFFFF"/>
                <w:szCs w:val="21"/>
                <w:lang w:eastAsia="cs-CZ"/>
              </w:rPr>
              <w:t>20</w:t>
            </w:r>
            <w:r w:rsidR="00A3085D">
              <w:rPr>
                <w:rFonts w:ascii="Calibri" w:eastAsia="Times New Roman" w:hAnsi="Calibri" w:cs="Times New Roman"/>
                <w:b/>
                <w:bCs/>
                <w:color w:val="FFFFFF"/>
                <w:szCs w:val="21"/>
                <w:lang w:eastAsia="cs-CZ"/>
              </w:rPr>
              <w:t>2</w:t>
            </w:r>
            <w:r w:rsidR="00FA55D5">
              <w:rPr>
                <w:rFonts w:ascii="Calibri" w:eastAsia="Times New Roman" w:hAnsi="Calibri" w:cs="Times New Roman"/>
                <w:b/>
                <w:bCs/>
                <w:color w:val="FFFFFF"/>
                <w:szCs w:val="21"/>
                <w:lang w:eastAsia="cs-CZ"/>
              </w:rPr>
              <w:t>1</w:t>
            </w:r>
          </w:p>
          <w:p w:rsidR="00436F6E" w:rsidRPr="00321E97" w:rsidRDefault="00436F6E" w:rsidP="007E01C6">
            <w:pPr>
              <w:spacing w:after="0" w:line="240" w:lineRule="auto"/>
              <w:rPr>
                <w:rFonts w:ascii="Calibri" w:eastAsia="Times New Roman" w:hAnsi="Calibri" w:cs="Times New Roman"/>
                <w:b/>
                <w:bCs/>
                <w:i/>
                <w:color w:val="FFFFFF"/>
                <w:szCs w:val="21"/>
                <w:lang w:eastAsia="cs-CZ"/>
              </w:rPr>
            </w:pPr>
            <w:r w:rsidRPr="00321E97">
              <w:rPr>
                <w:rFonts w:ascii="Calibri" w:eastAsia="Times New Roman" w:hAnsi="Calibri" w:cs="Times New Roman"/>
                <w:b/>
                <w:bCs/>
                <w:i/>
                <w:color w:val="FFFFFF"/>
                <w:szCs w:val="21"/>
                <w:lang w:eastAsia="cs-CZ"/>
              </w:rPr>
              <w:t>(v mil. Kč)</w:t>
            </w:r>
          </w:p>
        </w:tc>
        <w:tc>
          <w:tcPr>
            <w:tcW w:w="1118" w:type="dxa"/>
            <w:shd w:val="clear" w:color="000000" w:fill="6691C6"/>
            <w:noWrap/>
            <w:vAlign w:val="center"/>
          </w:tcPr>
          <w:p w:rsidR="00436F6E" w:rsidRPr="004E1AFC" w:rsidRDefault="00436F6E" w:rsidP="007E01C6">
            <w:pPr>
              <w:spacing w:after="0" w:line="240" w:lineRule="auto"/>
              <w:jc w:val="center"/>
              <w:rPr>
                <w:rFonts w:ascii="Calibri" w:eastAsia="Times New Roman" w:hAnsi="Calibri" w:cs="Times New Roman"/>
                <w:b/>
                <w:bCs/>
                <w:color w:val="FFFFFF" w:themeColor="background1"/>
                <w:szCs w:val="21"/>
                <w:lang w:eastAsia="cs-CZ"/>
              </w:rPr>
            </w:pPr>
            <w:r w:rsidRPr="004E1AFC">
              <w:rPr>
                <w:color w:val="FFFFFF" w:themeColor="background1"/>
                <w:szCs w:val="21"/>
              </w:rPr>
              <w:t>VZP ČR</w:t>
            </w:r>
          </w:p>
        </w:tc>
        <w:tc>
          <w:tcPr>
            <w:tcW w:w="992" w:type="dxa"/>
            <w:shd w:val="clear" w:color="000000" w:fill="4F81BD"/>
            <w:noWrap/>
            <w:vAlign w:val="center"/>
          </w:tcPr>
          <w:p w:rsidR="00436F6E" w:rsidRPr="004E1AFC" w:rsidRDefault="00436F6E" w:rsidP="007E01C6">
            <w:pPr>
              <w:spacing w:after="0" w:line="240" w:lineRule="auto"/>
              <w:jc w:val="center"/>
              <w:rPr>
                <w:rFonts w:ascii="Calibri" w:eastAsia="Times New Roman" w:hAnsi="Calibri" w:cs="Times New Roman"/>
                <w:b/>
                <w:bCs/>
                <w:color w:val="FFFFFF" w:themeColor="background1"/>
                <w:szCs w:val="21"/>
                <w:lang w:eastAsia="cs-CZ"/>
              </w:rPr>
            </w:pPr>
            <w:proofErr w:type="spellStart"/>
            <w:r w:rsidRPr="004E1AFC">
              <w:rPr>
                <w:color w:val="FFFFFF" w:themeColor="background1"/>
                <w:szCs w:val="21"/>
              </w:rPr>
              <w:t>VoZP</w:t>
            </w:r>
            <w:proofErr w:type="spellEnd"/>
            <w:r w:rsidRPr="004E1AFC">
              <w:rPr>
                <w:color w:val="FFFFFF" w:themeColor="background1"/>
                <w:szCs w:val="21"/>
              </w:rPr>
              <w:t xml:space="preserve"> ČR</w:t>
            </w:r>
          </w:p>
        </w:tc>
        <w:tc>
          <w:tcPr>
            <w:tcW w:w="992" w:type="dxa"/>
            <w:shd w:val="clear" w:color="000000" w:fill="6691C6"/>
            <w:noWrap/>
            <w:vAlign w:val="center"/>
          </w:tcPr>
          <w:p w:rsidR="00436F6E" w:rsidRPr="004E1AFC" w:rsidRDefault="00436F6E" w:rsidP="007E01C6">
            <w:pPr>
              <w:spacing w:after="0" w:line="240" w:lineRule="auto"/>
              <w:jc w:val="center"/>
              <w:rPr>
                <w:rFonts w:ascii="Calibri" w:eastAsia="Times New Roman" w:hAnsi="Calibri" w:cs="Times New Roman"/>
                <w:b/>
                <w:bCs/>
                <w:color w:val="FFFFFF" w:themeColor="background1"/>
                <w:szCs w:val="21"/>
                <w:lang w:eastAsia="cs-CZ"/>
              </w:rPr>
            </w:pPr>
            <w:r w:rsidRPr="004E1AFC">
              <w:rPr>
                <w:color w:val="FFFFFF" w:themeColor="background1"/>
                <w:szCs w:val="21"/>
              </w:rPr>
              <w:t>ČPZP</w:t>
            </w:r>
          </w:p>
        </w:tc>
        <w:tc>
          <w:tcPr>
            <w:tcW w:w="992" w:type="dxa"/>
            <w:shd w:val="clear" w:color="000000" w:fill="4F81BD"/>
            <w:vAlign w:val="center"/>
          </w:tcPr>
          <w:p w:rsidR="00436F6E" w:rsidRPr="004E1AFC" w:rsidRDefault="00436F6E" w:rsidP="007E01C6">
            <w:pPr>
              <w:spacing w:after="0" w:line="240" w:lineRule="auto"/>
              <w:jc w:val="center"/>
              <w:rPr>
                <w:rFonts w:ascii="Calibri" w:eastAsia="Times New Roman" w:hAnsi="Calibri" w:cs="Times New Roman"/>
                <w:b/>
                <w:bCs/>
                <w:color w:val="FFFFFF" w:themeColor="background1"/>
                <w:szCs w:val="21"/>
                <w:lang w:eastAsia="cs-CZ"/>
              </w:rPr>
            </w:pPr>
            <w:r w:rsidRPr="004E1AFC">
              <w:rPr>
                <w:color w:val="FFFFFF" w:themeColor="background1"/>
                <w:szCs w:val="21"/>
              </w:rPr>
              <w:t>OZP</w:t>
            </w:r>
          </w:p>
        </w:tc>
        <w:tc>
          <w:tcPr>
            <w:tcW w:w="866" w:type="dxa"/>
            <w:shd w:val="clear" w:color="000000" w:fill="6691C6"/>
            <w:vAlign w:val="center"/>
          </w:tcPr>
          <w:p w:rsidR="00436F6E" w:rsidRPr="004E1AFC" w:rsidRDefault="00436F6E" w:rsidP="007E01C6">
            <w:pPr>
              <w:spacing w:after="0" w:line="240" w:lineRule="auto"/>
              <w:jc w:val="center"/>
              <w:rPr>
                <w:rFonts w:ascii="Calibri" w:eastAsia="Times New Roman" w:hAnsi="Calibri" w:cs="Times New Roman"/>
                <w:b/>
                <w:bCs/>
                <w:color w:val="FFFFFF" w:themeColor="background1"/>
                <w:szCs w:val="21"/>
                <w:lang w:eastAsia="cs-CZ"/>
              </w:rPr>
            </w:pPr>
            <w:r w:rsidRPr="004E1AFC">
              <w:rPr>
                <w:color w:val="FFFFFF" w:themeColor="background1"/>
                <w:szCs w:val="21"/>
              </w:rPr>
              <w:t>ZPŠ</w:t>
            </w:r>
          </w:p>
        </w:tc>
        <w:tc>
          <w:tcPr>
            <w:tcW w:w="1040" w:type="dxa"/>
            <w:shd w:val="clear" w:color="000000" w:fill="4F81BD"/>
            <w:vAlign w:val="center"/>
          </w:tcPr>
          <w:p w:rsidR="00436F6E" w:rsidRPr="004E1AFC" w:rsidRDefault="00436F6E" w:rsidP="007E01C6">
            <w:pPr>
              <w:spacing w:after="0" w:line="240" w:lineRule="auto"/>
              <w:jc w:val="center"/>
              <w:rPr>
                <w:rFonts w:ascii="Calibri" w:eastAsia="Times New Roman" w:hAnsi="Calibri" w:cs="Times New Roman"/>
                <w:b/>
                <w:bCs/>
                <w:color w:val="FFFFFF" w:themeColor="background1"/>
                <w:szCs w:val="21"/>
                <w:lang w:eastAsia="cs-CZ"/>
              </w:rPr>
            </w:pPr>
            <w:r w:rsidRPr="004E1AFC">
              <w:rPr>
                <w:color w:val="FFFFFF" w:themeColor="background1"/>
                <w:szCs w:val="21"/>
              </w:rPr>
              <w:t>ZP</w:t>
            </w:r>
            <w:r w:rsidR="00DF5584">
              <w:rPr>
                <w:color w:val="FFFFFF" w:themeColor="background1"/>
                <w:szCs w:val="21"/>
              </w:rPr>
              <w:t xml:space="preserve"> </w:t>
            </w:r>
            <w:r w:rsidRPr="004E1AFC">
              <w:rPr>
                <w:color w:val="FFFFFF" w:themeColor="background1"/>
                <w:szCs w:val="21"/>
              </w:rPr>
              <w:t>MV ČR</w:t>
            </w:r>
          </w:p>
        </w:tc>
        <w:tc>
          <w:tcPr>
            <w:tcW w:w="1020" w:type="dxa"/>
            <w:shd w:val="clear" w:color="000000" w:fill="6691C6"/>
            <w:vAlign w:val="center"/>
          </w:tcPr>
          <w:p w:rsidR="00436F6E" w:rsidRPr="004E1AFC" w:rsidRDefault="00436F6E" w:rsidP="007E01C6">
            <w:pPr>
              <w:spacing w:after="0" w:line="240" w:lineRule="auto"/>
              <w:jc w:val="center"/>
              <w:rPr>
                <w:rFonts w:ascii="Calibri" w:eastAsia="Times New Roman" w:hAnsi="Calibri" w:cs="Times New Roman"/>
                <w:b/>
                <w:bCs/>
                <w:color w:val="FFFFFF" w:themeColor="background1"/>
                <w:szCs w:val="21"/>
                <w:lang w:eastAsia="cs-CZ"/>
              </w:rPr>
            </w:pPr>
            <w:r w:rsidRPr="004E1AFC">
              <w:rPr>
                <w:color w:val="FFFFFF" w:themeColor="background1"/>
                <w:szCs w:val="21"/>
              </w:rPr>
              <w:t>RBP</w:t>
            </w:r>
          </w:p>
        </w:tc>
      </w:tr>
      <w:tr w:rsidR="00FA55D5" w:rsidRPr="004E1AFC" w:rsidTr="00E32C13">
        <w:trPr>
          <w:trHeight w:val="300"/>
        </w:trPr>
        <w:tc>
          <w:tcPr>
            <w:tcW w:w="2780" w:type="dxa"/>
            <w:shd w:val="clear" w:color="auto" w:fill="auto"/>
          </w:tcPr>
          <w:p w:rsidR="00FA55D5" w:rsidRPr="00321E97" w:rsidRDefault="00FA55D5" w:rsidP="007E01C6">
            <w:pPr>
              <w:spacing w:after="0" w:line="240" w:lineRule="auto"/>
              <w:rPr>
                <w:rFonts w:ascii="Calibri" w:eastAsia="Times New Roman" w:hAnsi="Calibri" w:cs="Times New Roman"/>
                <w:b/>
                <w:bCs/>
                <w:color w:val="000000"/>
                <w:szCs w:val="21"/>
                <w:lang w:eastAsia="cs-CZ"/>
              </w:rPr>
            </w:pPr>
            <w:r>
              <w:rPr>
                <w:rFonts w:cs="Arial"/>
                <w:b/>
                <w:bCs/>
                <w:color w:val="000000"/>
                <w:szCs w:val="21"/>
                <w:lang w:eastAsia="cs-CZ"/>
              </w:rPr>
              <w:t>P</w:t>
            </w:r>
            <w:r w:rsidRPr="00321E97">
              <w:rPr>
                <w:rFonts w:cs="Arial"/>
                <w:b/>
                <w:bCs/>
                <w:color w:val="000000"/>
                <w:szCs w:val="21"/>
                <w:lang w:eastAsia="cs-CZ"/>
              </w:rPr>
              <w:t>říjmy celkem</w:t>
            </w:r>
          </w:p>
        </w:tc>
        <w:tc>
          <w:tcPr>
            <w:tcW w:w="1118" w:type="dxa"/>
            <w:shd w:val="clear" w:color="000000" w:fill="DCE6F1"/>
            <w:noWrap/>
            <w:vAlign w:val="center"/>
          </w:tcPr>
          <w:p w:rsidR="00FA55D5" w:rsidRPr="004E1AFC" w:rsidRDefault="00FA55D5" w:rsidP="007E01C6">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231 500</w:t>
            </w:r>
          </w:p>
        </w:tc>
        <w:tc>
          <w:tcPr>
            <w:tcW w:w="992" w:type="dxa"/>
            <w:shd w:val="clear" w:color="auto" w:fill="auto"/>
            <w:noWrap/>
            <w:vAlign w:val="center"/>
          </w:tcPr>
          <w:p w:rsidR="00FA55D5" w:rsidRPr="004E1AFC" w:rsidRDefault="00FA55D5" w:rsidP="007E01C6">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24 386</w:t>
            </w:r>
          </w:p>
        </w:tc>
        <w:tc>
          <w:tcPr>
            <w:tcW w:w="992" w:type="dxa"/>
            <w:shd w:val="clear" w:color="000000" w:fill="DCE6F1"/>
            <w:noWrap/>
            <w:vAlign w:val="center"/>
          </w:tcPr>
          <w:p w:rsidR="00FA55D5" w:rsidRPr="004E1AFC" w:rsidRDefault="00FA55D5" w:rsidP="007E01C6">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42 234</w:t>
            </w:r>
          </w:p>
        </w:tc>
        <w:tc>
          <w:tcPr>
            <w:tcW w:w="992" w:type="dxa"/>
            <w:shd w:val="clear" w:color="auto" w:fill="auto"/>
            <w:noWrap/>
            <w:vAlign w:val="center"/>
          </w:tcPr>
          <w:p w:rsidR="00FA55D5" w:rsidRPr="004E1AFC" w:rsidRDefault="00FA55D5" w:rsidP="007E01C6">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23 993</w:t>
            </w:r>
          </w:p>
        </w:tc>
        <w:tc>
          <w:tcPr>
            <w:tcW w:w="866" w:type="dxa"/>
            <w:shd w:val="clear" w:color="000000" w:fill="DCE6F1"/>
            <w:noWrap/>
            <w:vAlign w:val="center"/>
          </w:tcPr>
          <w:p w:rsidR="00FA55D5" w:rsidRPr="004E1AFC" w:rsidRDefault="00FA55D5" w:rsidP="007E01C6">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5 032</w:t>
            </w:r>
          </w:p>
        </w:tc>
        <w:tc>
          <w:tcPr>
            <w:tcW w:w="1040" w:type="dxa"/>
            <w:shd w:val="clear" w:color="auto" w:fill="auto"/>
            <w:noWrap/>
            <w:vAlign w:val="center"/>
          </w:tcPr>
          <w:p w:rsidR="00FA55D5" w:rsidRPr="004E1AFC" w:rsidRDefault="00FA55D5" w:rsidP="007E01C6">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44 336</w:t>
            </w:r>
          </w:p>
        </w:tc>
        <w:tc>
          <w:tcPr>
            <w:tcW w:w="1020" w:type="dxa"/>
            <w:shd w:val="clear" w:color="000000" w:fill="DCE6F1"/>
            <w:noWrap/>
            <w:vAlign w:val="center"/>
          </w:tcPr>
          <w:p w:rsidR="00FA55D5" w:rsidRPr="00321E97" w:rsidRDefault="00FA55D5" w:rsidP="007E01C6">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13 941</w:t>
            </w:r>
          </w:p>
        </w:tc>
      </w:tr>
      <w:tr w:rsidR="00FA55D5" w:rsidRPr="004E1AFC" w:rsidTr="00E32C13">
        <w:trPr>
          <w:trHeight w:val="300"/>
        </w:trPr>
        <w:tc>
          <w:tcPr>
            <w:tcW w:w="2780" w:type="dxa"/>
            <w:shd w:val="clear" w:color="000000" w:fill="EEF3F8"/>
          </w:tcPr>
          <w:p w:rsidR="00FA55D5" w:rsidRPr="00321E97" w:rsidRDefault="00FA55D5" w:rsidP="007E01C6">
            <w:pPr>
              <w:spacing w:after="0" w:line="240" w:lineRule="auto"/>
              <w:rPr>
                <w:rFonts w:ascii="Calibri" w:eastAsia="Times New Roman" w:hAnsi="Calibri" w:cs="Times New Roman"/>
                <w:color w:val="000000"/>
                <w:szCs w:val="21"/>
                <w:lang w:eastAsia="cs-CZ"/>
              </w:rPr>
            </w:pPr>
            <w:r>
              <w:rPr>
                <w:szCs w:val="21"/>
              </w:rPr>
              <w:t>P</w:t>
            </w:r>
            <w:r w:rsidRPr="004E1AFC">
              <w:rPr>
                <w:szCs w:val="21"/>
              </w:rPr>
              <w:t>ojistné po přerozdělování</w:t>
            </w:r>
          </w:p>
        </w:tc>
        <w:tc>
          <w:tcPr>
            <w:tcW w:w="1118" w:type="dxa"/>
            <w:shd w:val="clear" w:color="000000" w:fill="EEF3F8"/>
            <w:noWrap/>
            <w:vAlign w:val="center"/>
          </w:tcPr>
          <w:p w:rsidR="00FA55D5" w:rsidRPr="00321E97" w:rsidRDefault="00FA55D5"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szCs w:val="21"/>
              </w:rPr>
              <w:t>228 600</w:t>
            </w:r>
          </w:p>
        </w:tc>
        <w:tc>
          <w:tcPr>
            <w:tcW w:w="992" w:type="dxa"/>
            <w:shd w:val="clear" w:color="000000" w:fill="EEF3F8"/>
            <w:noWrap/>
            <w:vAlign w:val="center"/>
          </w:tcPr>
          <w:p w:rsidR="00FA55D5" w:rsidRPr="00321E97" w:rsidRDefault="00FA55D5"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szCs w:val="21"/>
              </w:rPr>
              <w:t>24 027</w:t>
            </w:r>
          </w:p>
        </w:tc>
        <w:tc>
          <w:tcPr>
            <w:tcW w:w="992" w:type="dxa"/>
            <w:shd w:val="clear" w:color="000000" w:fill="EEF3F8"/>
            <w:noWrap/>
            <w:vAlign w:val="center"/>
          </w:tcPr>
          <w:p w:rsidR="00FA55D5" w:rsidRPr="00321E97" w:rsidRDefault="00FA55D5"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szCs w:val="21"/>
              </w:rPr>
              <w:t>41 896</w:t>
            </w:r>
          </w:p>
        </w:tc>
        <w:tc>
          <w:tcPr>
            <w:tcW w:w="992" w:type="dxa"/>
            <w:shd w:val="clear" w:color="000000" w:fill="EEF3F8"/>
            <w:noWrap/>
            <w:vAlign w:val="center"/>
          </w:tcPr>
          <w:p w:rsidR="00FA55D5" w:rsidRPr="00321E97" w:rsidRDefault="00FA55D5"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szCs w:val="21"/>
              </w:rPr>
              <w:t>23 810</w:t>
            </w:r>
          </w:p>
        </w:tc>
        <w:tc>
          <w:tcPr>
            <w:tcW w:w="866" w:type="dxa"/>
            <w:shd w:val="clear" w:color="000000" w:fill="EEF3F8"/>
            <w:noWrap/>
            <w:vAlign w:val="center"/>
          </w:tcPr>
          <w:p w:rsidR="00FA55D5" w:rsidRPr="00321E97" w:rsidRDefault="00FA55D5"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szCs w:val="21"/>
              </w:rPr>
              <w:t>4 997</w:t>
            </w:r>
          </w:p>
        </w:tc>
        <w:tc>
          <w:tcPr>
            <w:tcW w:w="1040" w:type="dxa"/>
            <w:shd w:val="clear" w:color="000000" w:fill="EEF3F8"/>
            <w:noWrap/>
            <w:vAlign w:val="center"/>
          </w:tcPr>
          <w:p w:rsidR="00FA55D5" w:rsidRPr="00321E97" w:rsidRDefault="00FA55D5"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szCs w:val="21"/>
              </w:rPr>
              <w:t>44 021</w:t>
            </w:r>
          </w:p>
        </w:tc>
        <w:tc>
          <w:tcPr>
            <w:tcW w:w="1020" w:type="dxa"/>
            <w:shd w:val="clear" w:color="000000" w:fill="EEF3F8"/>
            <w:noWrap/>
            <w:vAlign w:val="center"/>
          </w:tcPr>
          <w:p w:rsidR="00FA55D5" w:rsidRPr="00321E97" w:rsidRDefault="00FA55D5"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szCs w:val="21"/>
              </w:rPr>
              <w:t>13 875</w:t>
            </w:r>
          </w:p>
        </w:tc>
      </w:tr>
      <w:tr w:rsidR="00FA55D5" w:rsidRPr="004E1AFC" w:rsidTr="00E32C13">
        <w:trPr>
          <w:trHeight w:val="300"/>
        </w:trPr>
        <w:tc>
          <w:tcPr>
            <w:tcW w:w="2780" w:type="dxa"/>
            <w:shd w:val="clear" w:color="auto" w:fill="auto"/>
          </w:tcPr>
          <w:p w:rsidR="00FA55D5" w:rsidRPr="004E1AFC" w:rsidRDefault="00FA55D5" w:rsidP="007E01C6">
            <w:pPr>
              <w:spacing w:after="0" w:line="240" w:lineRule="auto"/>
              <w:rPr>
                <w:rFonts w:ascii="Calibri" w:eastAsia="Times New Roman" w:hAnsi="Calibri" w:cs="Times New Roman"/>
                <w:bCs/>
                <w:color w:val="000000"/>
                <w:szCs w:val="21"/>
                <w:lang w:eastAsia="cs-CZ"/>
              </w:rPr>
            </w:pPr>
            <w:r>
              <w:rPr>
                <w:rFonts w:ascii="Calibri" w:eastAsia="Times New Roman" w:hAnsi="Calibri" w:cs="Times New Roman"/>
                <w:bCs/>
                <w:color w:val="000000"/>
                <w:szCs w:val="21"/>
                <w:lang w:eastAsia="cs-CZ"/>
              </w:rPr>
              <w:t>N</w:t>
            </w:r>
            <w:r w:rsidRPr="004E1AFC">
              <w:rPr>
                <w:rFonts w:ascii="Calibri" w:eastAsia="Times New Roman" w:hAnsi="Calibri" w:cs="Times New Roman"/>
                <w:bCs/>
                <w:color w:val="000000"/>
                <w:szCs w:val="21"/>
                <w:lang w:eastAsia="cs-CZ"/>
              </w:rPr>
              <w:t>a 1 pojištěnce (v Kč)</w:t>
            </w:r>
          </w:p>
        </w:tc>
        <w:tc>
          <w:tcPr>
            <w:tcW w:w="1118" w:type="dxa"/>
            <w:shd w:val="clear" w:color="000000" w:fill="DCE6F1"/>
            <w:noWrap/>
            <w:vAlign w:val="center"/>
          </w:tcPr>
          <w:p w:rsidR="00FA55D5" w:rsidRPr="00321E97" w:rsidRDefault="00FA55D5" w:rsidP="007E01C6">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szCs w:val="21"/>
              </w:rPr>
              <w:t>38 608</w:t>
            </w:r>
          </w:p>
        </w:tc>
        <w:tc>
          <w:tcPr>
            <w:tcW w:w="992" w:type="dxa"/>
            <w:shd w:val="clear" w:color="auto" w:fill="auto"/>
            <w:noWrap/>
            <w:vAlign w:val="center"/>
          </w:tcPr>
          <w:p w:rsidR="00FA55D5" w:rsidRPr="00321E97" w:rsidRDefault="00FA55D5" w:rsidP="007E01C6">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szCs w:val="21"/>
              </w:rPr>
              <w:t>34 311</w:t>
            </w:r>
          </w:p>
        </w:tc>
        <w:tc>
          <w:tcPr>
            <w:tcW w:w="992" w:type="dxa"/>
            <w:shd w:val="clear" w:color="000000" w:fill="DCE6F1"/>
            <w:noWrap/>
            <w:vAlign w:val="center"/>
          </w:tcPr>
          <w:p w:rsidR="00FA55D5" w:rsidRPr="00321E97" w:rsidRDefault="00FA55D5" w:rsidP="007E01C6">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szCs w:val="21"/>
              </w:rPr>
              <w:t>32 757</w:t>
            </w:r>
          </w:p>
        </w:tc>
        <w:tc>
          <w:tcPr>
            <w:tcW w:w="992" w:type="dxa"/>
            <w:shd w:val="clear" w:color="auto" w:fill="auto"/>
            <w:noWrap/>
            <w:vAlign w:val="center"/>
          </w:tcPr>
          <w:p w:rsidR="00FA55D5" w:rsidRPr="00321E97" w:rsidRDefault="00FA55D5" w:rsidP="007E01C6">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szCs w:val="21"/>
              </w:rPr>
              <w:t>32 174</w:t>
            </w:r>
          </w:p>
        </w:tc>
        <w:tc>
          <w:tcPr>
            <w:tcW w:w="866" w:type="dxa"/>
            <w:shd w:val="clear" w:color="000000" w:fill="DCE6F1"/>
            <w:noWrap/>
            <w:vAlign w:val="center"/>
          </w:tcPr>
          <w:p w:rsidR="00FA55D5" w:rsidRPr="00321E97" w:rsidRDefault="00FA55D5" w:rsidP="007E01C6">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szCs w:val="21"/>
              </w:rPr>
              <w:t>34 399</w:t>
            </w:r>
          </w:p>
        </w:tc>
        <w:tc>
          <w:tcPr>
            <w:tcW w:w="1040" w:type="dxa"/>
            <w:shd w:val="clear" w:color="auto" w:fill="auto"/>
            <w:noWrap/>
            <w:vAlign w:val="center"/>
          </w:tcPr>
          <w:p w:rsidR="00FA55D5" w:rsidRPr="00321E97" w:rsidRDefault="00FA55D5" w:rsidP="007E01C6">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szCs w:val="21"/>
              </w:rPr>
              <w:t>33 087</w:t>
            </w:r>
          </w:p>
        </w:tc>
        <w:tc>
          <w:tcPr>
            <w:tcW w:w="1020" w:type="dxa"/>
            <w:shd w:val="clear" w:color="000000" w:fill="DCE6F1"/>
            <w:noWrap/>
            <w:vAlign w:val="center"/>
          </w:tcPr>
          <w:p w:rsidR="00FA55D5" w:rsidRPr="00321E97" w:rsidRDefault="00FA55D5" w:rsidP="007E01C6">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szCs w:val="21"/>
              </w:rPr>
              <w:t>32 236</w:t>
            </w:r>
          </w:p>
        </w:tc>
      </w:tr>
    </w:tbl>
    <w:p w:rsidR="00436F6E" w:rsidRDefault="00436F6E" w:rsidP="00436F6E">
      <w:pPr>
        <w:spacing w:before="180" w:line="276" w:lineRule="auto"/>
        <w:rPr>
          <w:lang w:eastAsia="cs-CZ"/>
        </w:rPr>
      </w:pPr>
      <w:r w:rsidRPr="00456113">
        <w:rPr>
          <w:lang w:eastAsia="cs-CZ"/>
        </w:rPr>
        <w:t xml:space="preserve">Vývoj příjmů systému v. z. p. lze analyzovat i po jednotlivých zdravotních pojišťovnách. V roce </w:t>
      </w:r>
      <w:r w:rsidR="002B50F6" w:rsidRPr="00456113">
        <w:rPr>
          <w:lang w:eastAsia="cs-CZ"/>
        </w:rPr>
        <w:t>202</w:t>
      </w:r>
      <w:r w:rsidR="00FA55D5" w:rsidRPr="00456113">
        <w:rPr>
          <w:lang w:eastAsia="cs-CZ"/>
        </w:rPr>
        <w:t>1</w:t>
      </w:r>
      <w:r w:rsidR="002B50F6" w:rsidRPr="00456113">
        <w:rPr>
          <w:lang w:eastAsia="cs-CZ"/>
        </w:rPr>
        <w:t xml:space="preserve"> </w:t>
      </w:r>
      <w:r w:rsidRPr="00456113">
        <w:rPr>
          <w:lang w:eastAsia="cs-CZ"/>
        </w:rPr>
        <w:t>(</w:t>
      </w:r>
      <w:r w:rsidRPr="00456113">
        <w:rPr>
          <w:i/>
          <w:lang w:eastAsia="cs-CZ"/>
        </w:rPr>
        <w:t>Tabulka č. 2</w:t>
      </w:r>
      <w:r w:rsidRPr="00456113">
        <w:rPr>
          <w:lang w:eastAsia="cs-CZ"/>
        </w:rPr>
        <w:t xml:space="preserve">) by měla mít nejvyšší příjmy po přerozdělování na </w:t>
      </w:r>
      <w:r w:rsidR="00FA55D5" w:rsidRPr="00456113">
        <w:rPr>
          <w:lang w:eastAsia="cs-CZ"/>
        </w:rPr>
        <w:t xml:space="preserve">jednoho </w:t>
      </w:r>
      <w:r w:rsidRPr="00456113">
        <w:rPr>
          <w:lang w:eastAsia="cs-CZ"/>
        </w:rPr>
        <w:t xml:space="preserve">pojištěnce VZP ČR, nejnižší pak OZP. Obdobné relace vyplývají i z tabulky očekávané skutečnosti </w:t>
      </w:r>
      <w:r w:rsidR="00FA55D5" w:rsidRPr="00456113">
        <w:rPr>
          <w:lang w:eastAsia="cs-CZ"/>
        </w:rPr>
        <w:t xml:space="preserve">2020 </w:t>
      </w:r>
      <w:r w:rsidRPr="00456113">
        <w:rPr>
          <w:lang w:eastAsia="cs-CZ"/>
        </w:rPr>
        <w:t>(</w:t>
      </w:r>
      <w:r w:rsidRPr="00456113">
        <w:rPr>
          <w:i/>
          <w:lang w:eastAsia="cs-CZ"/>
        </w:rPr>
        <w:t>Tabulka č. 3</w:t>
      </w:r>
      <w:r w:rsidRPr="00456113">
        <w:rPr>
          <w:lang w:eastAsia="cs-CZ"/>
        </w:rPr>
        <w:t xml:space="preserve">), kde </w:t>
      </w:r>
      <w:r w:rsidR="002B50F6" w:rsidRPr="00456113">
        <w:rPr>
          <w:lang w:eastAsia="cs-CZ"/>
        </w:rPr>
        <w:t xml:space="preserve">opět </w:t>
      </w:r>
      <w:r w:rsidRPr="00456113">
        <w:rPr>
          <w:lang w:eastAsia="cs-CZ"/>
        </w:rPr>
        <w:t xml:space="preserve">nejnižší částku očekává </w:t>
      </w:r>
      <w:r w:rsidR="002B50F6" w:rsidRPr="00456113">
        <w:rPr>
          <w:lang w:eastAsia="cs-CZ"/>
        </w:rPr>
        <w:t>OZP, i když se pohybuje</w:t>
      </w:r>
      <w:r w:rsidR="00322D25" w:rsidRPr="00456113">
        <w:rPr>
          <w:lang w:eastAsia="cs-CZ"/>
        </w:rPr>
        <w:t xml:space="preserve"> </w:t>
      </w:r>
      <w:r w:rsidR="002B50F6" w:rsidRPr="00456113">
        <w:rPr>
          <w:lang w:eastAsia="cs-CZ"/>
        </w:rPr>
        <w:t>v podobných úrovních jako ČPZP</w:t>
      </w:r>
      <w:r w:rsidRPr="00456113">
        <w:rPr>
          <w:lang w:eastAsia="cs-CZ"/>
        </w:rPr>
        <w:t>.</w:t>
      </w:r>
      <w:r>
        <w:rPr>
          <w:lang w:eastAsia="cs-CZ"/>
        </w:rPr>
        <w:t xml:space="preserve"> </w:t>
      </w:r>
    </w:p>
    <w:p w:rsidR="00436F6E" w:rsidRDefault="00436F6E" w:rsidP="009A3F36">
      <w:pPr>
        <w:pStyle w:val="Titulek"/>
        <w:jc w:val="both"/>
      </w:pPr>
      <w:bookmarkStart w:id="7" w:name="_Toc63685256"/>
      <w:r w:rsidRPr="00C75FC6">
        <w:t xml:space="preserve">Tabulka č. </w:t>
      </w:r>
      <w:r w:rsidR="008E5E29">
        <w:rPr>
          <w:noProof/>
        </w:rPr>
        <w:fldChar w:fldCharType="begin"/>
      </w:r>
      <w:r w:rsidR="007F5247">
        <w:rPr>
          <w:noProof/>
        </w:rPr>
        <w:instrText xml:space="preserve"> SEQ Tabulka \* ARABIC </w:instrText>
      </w:r>
      <w:r w:rsidR="008E5E29">
        <w:rPr>
          <w:noProof/>
        </w:rPr>
        <w:fldChar w:fldCharType="separate"/>
      </w:r>
      <w:r w:rsidR="006D5C90">
        <w:rPr>
          <w:noProof/>
        </w:rPr>
        <w:t>3</w:t>
      </w:r>
      <w:r w:rsidR="008E5E29">
        <w:rPr>
          <w:noProof/>
        </w:rPr>
        <w:fldChar w:fldCharType="end"/>
      </w:r>
      <w:r w:rsidRPr="00C75FC6">
        <w:t xml:space="preserve">: Očekávané příjmy systému v. z. p. </w:t>
      </w:r>
      <w:r w:rsidR="00FA55D5" w:rsidRPr="00C75FC6">
        <w:t>20</w:t>
      </w:r>
      <w:r w:rsidR="00FA55D5">
        <w:t>20</w:t>
      </w:r>
      <w:r w:rsidR="00FA55D5" w:rsidRPr="00C75FC6">
        <w:t xml:space="preserve"> </w:t>
      </w:r>
      <w:r w:rsidRPr="00C75FC6">
        <w:t>dle zdravotních pojišťoven</w:t>
      </w:r>
      <w:bookmarkEnd w:id="7"/>
    </w:p>
    <w:tbl>
      <w:tblPr>
        <w:tblW w:w="9800" w:type="dxa"/>
        <w:tblInd w:w="55" w:type="dxa"/>
        <w:tblBorders>
          <w:top w:val="single" w:sz="12" w:space="0" w:color="4F81BD"/>
          <w:left w:val="single" w:sz="12" w:space="0" w:color="4F81BD"/>
          <w:bottom w:val="single" w:sz="12" w:space="0" w:color="4F81BD"/>
          <w:right w:val="single" w:sz="12" w:space="0" w:color="4F81BD"/>
        </w:tblBorders>
        <w:tblCellMar>
          <w:left w:w="70" w:type="dxa"/>
          <w:right w:w="70" w:type="dxa"/>
        </w:tblCellMar>
        <w:tblLook w:val="04A0" w:firstRow="1" w:lastRow="0" w:firstColumn="1" w:lastColumn="0" w:noHBand="0" w:noVBand="1"/>
      </w:tblPr>
      <w:tblGrid>
        <w:gridCol w:w="2780"/>
        <w:gridCol w:w="1063"/>
        <w:gridCol w:w="992"/>
        <w:gridCol w:w="992"/>
        <w:gridCol w:w="992"/>
        <w:gridCol w:w="921"/>
        <w:gridCol w:w="1040"/>
        <w:gridCol w:w="1020"/>
      </w:tblGrid>
      <w:tr w:rsidR="00436F6E" w:rsidRPr="004E1AFC" w:rsidTr="00E32C13">
        <w:trPr>
          <w:trHeight w:val="870"/>
        </w:trPr>
        <w:tc>
          <w:tcPr>
            <w:tcW w:w="2780" w:type="dxa"/>
            <w:shd w:val="clear" w:color="000000" w:fill="4F81BD"/>
            <w:vAlign w:val="center"/>
            <w:hideMark/>
          </w:tcPr>
          <w:p w:rsidR="00436F6E" w:rsidRPr="00321E97" w:rsidRDefault="00436F6E" w:rsidP="007E01C6">
            <w:pPr>
              <w:spacing w:after="0" w:line="240" w:lineRule="auto"/>
              <w:rPr>
                <w:rFonts w:ascii="Calibri" w:eastAsia="Times New Roman" w:hAnsi="Calibri" w:cs="Times New Roman"/>
                <w:b/>
                <w:bCs/>
                <w:color w:val="FFFFFF"/>
                <w:szCs w:val="21"/>
                <w:lang w:eastAsia="cs-CZ"/>
              </w:rPr>
            </w:pPr>
            <w:r>
              <w:rPr>
                <w:rFonts w:ascii="Calibri" w:eastAsia="Times New Roman" w:hAnsi="Calibri" w:cs="Times New Roman"/>
                <w:b/>
                <w:bCs/>
                <w:color w:val="FFFFFF"/>
                <w:szCs w:val="21"/>
                <w:lang w:eastAsia="cs-CZ"/>
              </w:rPr>
              <w:t xml:space="preserve">Oč. skut. </w:t>
            </w:r>
            <w:r w:rsidR="00FA55D5">
              <w:rPr>
                <w:rFonts w:ascii="Calibri" w:eastAsia="Times New Roman" w:hAnsi="Calibri" w:cs="Times New Roman"/>
                <w:b/>
                <w:bCs/>
                <w:color w:val="FFFFFF"/>
                <w:szCs w:val="21"/>
                <w:lang w:eastAsia="cs-CZ"/>
              </w:rPr>
              <w:t>2020</w:t>
            </w:r>
          </w:p>
          <w:p w:rsidR="00436F6E" w:rsidRPr="00321E97" w:rsidRDefault="00436F6E" w:rsidP="007E01C6">
            <w:pPr>
              <w:spacing w:after="0" w:line="240" w:lineRule="auto"/>
              <w:rPr>
                <w:rFonts w:ascii="Calibri" w:eastAsia="Times New Roman" w:hAnsi="Calibri" w:cs="Times New Roman"/>
                <w:b/>
                <w:bCs/>
                <w:i/>
                <w:color w:val="FFFFFF"/>
                <w:szCs w:val="21"/>
                <w:lang w:eastAsia="cs-CZ"/>
              </w:rPr>
            </w:pPr>
            <w:r w:rsidRPr="00321E97">
              <w:rPr>
                <w:rFonts w:ascii="Calibri" w:eastAsia="Times New Roman" w:hAnsi="Calibri" w:cs="Times New Roman"/>
                <w:b/>
                <w:bCs/>
                <w:i/>
                <w:color w:val="FFFFFF"/>
                <w:szCs w:val="21"/>
                <w:lang w:eastAsia="cs-CZ"/>
              </w:rPr>
              <w:t>(v mil. Kč)</w:t>
            </w:r>
          </w:p>
        </w:tc>
        <w:tc>
          <w:tcPr>
            <w:tcW w:w="1063" w:type="dxa"/>
            <w:shd w:val="clear" w:color="000000" w:fill="6691C6"/>
            <w:noWrap/>
            <w:vAlign w:val="center"/>
          </w:tcPr>
          <w:p w:rsidR="00436F6E" w:rsidRPr="004E1AFC" w:rsidRDefault="00436F6E" w:rsidP="007E01C6">
            <w:pPr>
              <w:spacing w:after="0" w:line="240" w:lineRule="auto"/>
              <w:jc w:val="center"/>
              <w:rPr>
                <w:rFonts w:ascii="Calibri" w:eastAsia="Times New Roman" w:hAnsi="Calibri" w:cs="Times New Roman"/>
                <w:b/>
                <w:bCs/>
                <w:color w:val="FFFFFF" w:themeColor="background1"/>
                <w:szCs w:val="21"/>
                <w:lang w:eastAsia="cs-CZ"/>
              </w:rPr>
            </w:pPr>
            <w:r w:rsidRPr="004E1AFC">
              <w:rPr>
                <w:color w:val="FFFFFF" w:themeColor="background1"/>
                <w:szCs w:val="21"/>
              </w:rPr>
              <w:t>VZP ČR</w:t>
            </w:r>
          </w:p>
        </w:tc>
        <w:tc>
          <w:tcPr>
            <w:tcW w:w="992" w:type="dxa"/>
            <w:shd w:val="clear" w:color="000000" w:fill="4F81BD"/>
            <w:noWrap/>
            <w:vAlign w:val="center"/>
          </w:tcPr>
          <w:p w:rsidR="00436F6E" w:rsidRPr="004E1AFC" w:rsidRDefault="00436F6E" w:rsidP="007E01C6">
            <w:pPr>
              <w:spacing w:after="0" w:line="240" w:lineRule="auto"/>
              <w:jc w:val="center"/>
              <w:rPr>
                <w:rFonts w:ascii="Calibri" w:eastAsia="Times New Roman" w:hAnsi="Calibri" w:cs="Times New Roman"/>
                <w:b/>
                <w:bCs/>
                <w:color w:val="FFFFFF" w:themeColor="background1"/>
                <w:szCs w:val="21"/>
                <w:lang w:eastAsia="cs-CZ"/>
              </w:rPr>
            </w:pPr>
            <w:proofErr w:type="spellStart"/>
            <w:r w:rsidRPr="004E1AFC">
              <w:rPr>
                <w:color w:val="FFFFFF" w:themeColor="background1"/>
                <w:szCs w:val="21"/>
              </w:rPr>
              <w:t>VoZP</w:t>
            </w:r>
            <w:proofErr w:type="spellEnd"/>
            <w:r w:rsidRPr="004E1AFC">
              <w:rPr>
                <w:color w:val="FFFFFF" w:themeColor="background1"/>
                <w:szCs w:val="21"/>
              </w:rPr>
              <w:t xml:space="preserve"> ČR</w:t>
            </w:r>
          </w:p>
        </w:tc>
        <w:tc>
          <w:tcPr>
            <w:tcW w:w="992" w:type="dxa"/>
            <w:shd w:val="clear" w:color="000000" w:fill="6691C6"/>
            <w:noWrap/>
            <w:vAlign w:val="center"/>
          </w:tcPr>
          <w:p w:rsidR="00436F6E" w:rsidRPr="004E1AFC" w:rsidRDefault="00436F6E" w:rsidP="007E01C6">
            <w:pPr>
              <w:spacing w:after="0" w:line="240" w:lineRule="auto"/>
              <w:jc w:val="center"/>
              <w:rPr>
                <w:rFonts w:ascii="Calibri" w:eastAsia="Times New Roman" w:hAnsi="Calibri" w:cs="Times New Roman"/>
                <w:b/>
                <w:bCs/>
                <w:color w:val="FFFFFF" w:themeColor="background1"/>
                <w:szCs w:val="21"/>
                <w:lang w:eastAsia="cs-CZ"/>
              </w:rPr>
            </w:pPr>
            <w:r w:rsidRPr="004E1AFC">
              <w:rPr>
                <w:color w:val="FFFFFF" w:themeColor="background1"/>
                <w:szCs w:val="21"/>
              </w:rPr>
              <w:t>ČPZP</w:t>
            </w:r>
          </w:p>
        </w:tc>
        <w:tc>
          <w:tcPr>
            <w:tcW w:w="992" w:type="dxa"/>
            <w:shd w:val="clear" w:color="000000" w:fill="4F81BD"/>
            <w:vAlign w:val="center"/>
          </w:tcPr>
          <w:p w:rsidR="00436F6E" w:rsidRPr="004E1AFC" w:rsidRDefault="00436F6E" w:rsidP="007E01C6">
            <w:pPr>
              <w:spacing w:after="0" w:line="240" w:lineRule="auto"/>
              <w:jc w:val="center"/>
              <w:rPr>
                <w:rFonts w:ascii="Calibri" w:eastAsia="Times New Roman" w:hAnsi="Calibri" w:cs="Times New Roman"/>
                <w:b/>
                <w:bCs/>
                <w:color w:val="FFFFFF" w:themeColor="background1"/>
                <w:szCs w:val="21"/>
                <w:lang w:eastAsia="cs-CZ"/>
              </w:rPr>
            </w:pPr>
            <w:r w:rsidRPr="004E1AFC">
              <w:rPr>
                <w:color w:val="FFFFFF" w:themeColor="background1"/>
                <w:szCs w:val="21"/>
              </w:rPr>
              <w:t>OZP</w:t>
            </w:r>
          </w:p>
        </w:tc>
        <w:tc>
          <w:tcPr>
            <w:tcW w:w="921" w:type="dxa"/>
            <w:shd w:val="clear" w:color="000000" w:fill="6691C6"/>
            <w:vAlign w:val="center"/>
          </w:tcPr>
          <w:p w:rsidR="00436F6E" w:rsidRPr="004E1AFC" w:rsidRDefault="00436F6E" w:rsidP="007E01C6">
            <w:pPr>
              <w:spacing w:after="0" w:line="240" w:lineRule="auto"/>
              <w:jc w:val="center"/>
              <w:rPr>
                <w:rFonts w:ascii="Calibri" w:eastAsia="Times New Roman" w:hAnsi="Calibri" w:cs="Times New Roman"/>
                <w:b/>
                <w:bCs/>
                <w:color w:val="FFFFFF" w:themeColor="background1"/>
                <w:szCs w:val="21"/>
                <w:lang w:eastAsia="cs-CZ"/>
              </w:rPr>
            </w:pPr>
            <w:r w:rsidRPr="004E1AFC">
              <w:rPr>
                <w:color w:val="FFFFFF" w:themeColor="background1"/>
                <w:szCs w:val="21"/>
              </w:rPr>
              <w:t>ZPŠ</w:t>
            </w:r>
          </w:p>
        </w:tc>
        <w:tc>
          <w:tcPr>
            <w:tcW w:w="1040" w:type="dxa"/>
            <w:shd w:val="clear" w:color="000000" w:fill="4F81BD"/>
            <w:vAlign w:val="center"/>
          </w:tcPr>
          <w:p w:rsidR="00436F6E" w:rsidRPr="004E1AFC" w:rsidRDefault="00436F6E" w:rsidP="007E01C6">
            <w:pPr>
              <w:spacing w:after="0" w:line="240" w:lineRule="auto"/>
              <w:jc w:val="center"/>
              <w:rPr>
                <w:rFonts w:ascii="Calibri" w:eastAsia="Times New Roman" w:hAnsi="Calibri" w:cs="Times New Roman"/>
                <w:b/>
                <w:bCs/>
                <w:color w:val="FFFFFF" w:themeColor="background1"/>
                <w:szCs w:val="21"/>
                <w:lang w:eastAsia="cs-CZ"/>
              </w:rPr>
            </w:pPr>
            <w:r w:rsidRPr="004E1AFC">
              <w:rPr>
                <w:color w:val="FFFFFF" w:themeColor="background1"/>
                <w:szCs w:val="21"/>
              </w:rPr>
              <w:t>ZP</w:t>
            </w:r>
            <w:r w:rsidR="00DF5584">
              <w:rPr>
                <w:color w:val="FFFFFF" w:themeColor="background1"/>
                <w:szCs w:val="21"/>
              </w:rPr>
              <w:t xml:space="preserve"> </w:t>
            </w:r>
            <w:r w:rsidRPr="004E1AFC">
              <w:rPr>
                <w:color w:val="FFFFFF" w:themeColor="background1"/>
                <w:szCs w:val="21"/>
              </w:rPr>
              <w:t>MV ČR</w:t>
            </w:r>
          </w:p>
        </w:tc>
        <w:tc>
          <w:tcPr>
            <w:tcW w:w="1020" w:type="dxa"/>
            <w:shd w:val="clear" w:color="000000" w:fill="6691C6"/>
            <w:vAlign w:val="center"/>
          </w:tcPr>
          <w:p w:rsidR="00436F6E" w:rsidRPr="004E1AFC" w:rsidRDefault="00436F6E" w:rsidP="007E01C6">
            <w:pPr>
              <w:spacing w:after="0" w:line="240" w:lineRule="auto"/>
              <w:jc w:val="center"/>
              <w:rPr>
                <w:rFonts w:ascii="Calibri" w:eastAsia="Times New Roman" w:hAnsi="Calibri" w:cs="Times New Roman"/>
                <w:b/>
                <w:bCs/>
                <w:color w:val="FFFFFF" w:themeColor="background1"/>
                <w:szCs w:val="21"/>
                <w:lang w:eastAsia="cs-CZ"/>
              </w:rPr>
            </w:pPr>
            <w:r w:rsidRPr="004E1AFC">
              <w:rPr>
                <w:color w:val="FFFFFF" w:themeColor="background1"/>
                <w:szCs w:val="21"/>
              </w:rPr>
              <w:t>RBP</w:t>
            </w:r>
          </w:p>
        </w:tc>
      </w:tr>
      <w:tr w:rsidR="00FA55D5" w:rsidRPr="004E1AFC" w:rsidTr="00E32C13">
        <w:trPr>
          <w:trHeight w:val="300"/>
        </w:trPr>
        <w:tc>
          <w:tcPr>
            <w:tcW w:w="2780" w:type="dxa"/>
            <w:shd w:val="clear" w:color="auto" w:fill="auto"/>
          </w:tcPr>
          <w:p w:rsidR="00FA55D5" w:rsidRPr="00321E97" w:rsidRDefault="00FA55D5" w:rsidP="007E01C6">
            <w:pPr>
              <w:spacing w:after="0" w:line="240" w:lineRule="auto"/>
              <w:rPr>
                <w:rFonts w:ascii="Calibri" w:eastAsia="Times New Roman" w:hAnsi="Calibri" w:cs="Times New Roman"/>
                <w:b/>
                <w:bCs/>
                <w:color w:val="000000"/>
                <w:szCs w:val="21"/>
                <w:lang w:eastAsia="cs-CZ"/>
              </w:rPr>
            </w:pPr>
            <w:r>
              <w:rPr>
                <w:rFonts w:cs="Arial"/>
                <w:b/>
                <w:bCs/>
                <w:color w:val="000000"/>
                <w:szCs w:val="21"/>
                <w:lang w:eastAsia="cs-CZ"/>
              </w:rPr>
              <w:t>P</w:t>
            </w:r>
            <w:r w:rsidRPr="00321E97">
              <w:rPr>
                <w:rFonts w:cs="Arial"/>
                <w:b/>
                <w:bCs/>
                <w:color w:val="000000"/>
                <w:szCs w:val="21"/>
                <w:lang w:eastAsia="cs-CZ"/>
              </w:rPr>
              <w:t>říjmy celkem</w:t>
            </w:r>
          </w:p>
        </w:tc>
        <w:tc>
          <w:tcPr>
            <w:tcW w:w="1063" w:type="dxa"/>
            <w:shd w:val="clear" w:color="000000" w:fill="DCE6F1"/>
            <w:noWrap/>
            <w:vAlign w:val="center"/>
          </w:tcPr>
          <w:p w:rsidR="00FA55D5" w:rsidRPr="004E1AFC" w:rsidRDefault="00FA55D5" w:rsidP="007E01C6">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212 385</w:t>
            </w:r>
          </w:p>
        </w:tc>
        <w:tc>
          <w:tcPr>
            <w:tcW w:w="992" w:type="dxa"/>
            <w:shd w:val="clear" w:color="auto" w:fill="auto"/>
            <w:noWrap/>
            <w:vAlign w:val="center"/>
          </w:tcPr>
          <w:p w:rsidR="00FA55D5" w:rsidRPr="004E1AFC" w:rsidRDefault="00FA55D5" w:rsidP="007E01C6">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22 405</w:t>
            </w:r>
          </w:p>
        </w:tc>
        <w:tc>
          <w:tcPr>
            <w:tcW w:w="992" w:type="dxa"/>
            <w:shd w:val="clear" w:color="000000" w:fill="DCE6F1"/>
            <w:noWrap/>
            <w:vAlign w:val="center"/>
          </w:tcPr>
          <w:p w:rsidR="00FA55D5" w:rsidRPr="004E1AFC" w:rsidRDefault="00FA55D5" w:rsidP="007E01C6">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38 505</w:t>
            </w:r>
          </w:p>
        </w:tc>
        <w:tc>
          <w:tcPr>
            <w:tcW w:w="992" w:type="dxa"/>
            <w:shd w:val="clear" w:color="auto" w:fill="auto"/>
            <w:noWrap/>
            <w:vAlign w:val="center"/>
          </w:tcPr>
          <w:p w:rsidR="00FA55D5" w:rsidRPr="004E1AFC" w:rsidRDefault="00FA55D5" w:rsidP="007E01C6">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21 849</w:t>
            </w:r>
          </w:p>
        </w:tc>
        <w:tc>
          <w:tcPr>
            <w:tcW w:w="921" w:type="dxa"/>
            <w:shd w:val="clear" w:color="000000" w:fill="DCE6F1"/>
            <w:noWrap/>
            <w:vAlign w:val="center"/>
          </w:tcPr>
          <w:p w:rsidR="00FA55D5" w:rsidRPr="004E1AFC" w:rsidRDefault="00FA55D5" w:rsidP="007E01C6">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4 670</w:t>
            </w:r>
          </w:p>
        </w:tc>
        <w:tc>
          <w:tcPr>
            <w:tcW w:w="1040" w:type="dxa"/>
            <w:shd w:val="clear" w:color="auto" w:fill="auto"/>
            <w:noWrap/>
            <w:vAlign w:val="center"/>
          </w:tcPr>
          <w:p w:rsidR="00FA55D5" w:rsidRPr="004E1AFC" w:rsidRDefault="00FA55D5" w:rsidP="007E01C6">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42 116</w:t>
            </w:r>
          </w:p>
        </w:tc>
        <w:tc>
          <w:tcPr>
            <w:tcW w:w="1020" w:type="dxa"/>
            <w:shd w:val="clear" w:color="000000" w:fill="DCE6F1"/>
            <w:noWrap/>
            <w:vAlign w:val="center"/>
          </w:tcPr>
          <w:p w:rsidR="00FA55D5" w:rsidRPr="00321E97" w:rsidRDefault="00FA55D5" w:rsidP="007E01C6">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12 862</w:t>
            </w:r>
          </w:p>
        </w:tc>
      </w:tr>
      <w:tr w:rsidR="00FA55D5" w:rsidRPr="004E1AFC" w:rsidTr="00E32C13">
        <w:trPr>
          <w:trHeight w:val="300"/>
        </w:trPr>
        <w:tc>
          <w:tcPr>
            <w:tcW w:w="2780" w:type="dxa"/>
            <w:shd w:val="clear" w:color="000000" w:fill="EEF3F8"/>
          </w:tcPr>
          <w:p w:rsidR="00FA55D5" w:rsidRPr="00321E97" w:rsidRDefault="00FA55D5" w:rsidP="007E01C6">
            <w:pPr>
              <w:spacing w:after="0" w:line="240" w:lineRule="auto"/>
              <w:rPr>
                <w:rFonts w:ascii="Calibri" w:eastAsia="Times New Roman" w:hAnsi="Calibri" w:cs="Times New Roman"/>
                <w:color w:val="000000"/>
                <w:szCs w:val="21"/>
                <w:lang w:eastAsia="cs-CZ"/>
              </w:rPr>
            </w:pPr>
            <w:r>
              <w:rPr>
                <w:szCs w:val="21"/>
              </w:rPr>
              <w:t>P</w:t>
            </w:r>
            <w:r w:rsidRPr="004E1AFC">
              <w:rPr>
                <w:szCs w:val="21"/>
              </w:rPr>
              <w:t>ojistné po přerozdělování</w:t>
            </w:r>
          </w:p>
        </w:tc>
        <w:tc>
          <w:tcPr>
            <w:tcW w:w="1063" w:type="dxa"/>
            <w:shd w:val="clear" w:color="000000" w:fill="EEF3F8"/>
            <w:noWrap/>
            <w:vAlign w:val="center"/>
          </w:tcPr>
          <w:p w:rsidR="00FA55D5" w:rsidRPr="00321E97" w:rsidRDefault="00FA55D5"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szCs w:val="21"/>
              </w:rPr>
              <w:t>209 650</w:t>
            </w:r>
          </w:p>
        </w:tc>
        <w:tc>
          <w:tcPr>
            <w:tcW w:w="992" w:type="dxa"/>
            <w:shd w:val="clear" w:color="000000" w:fill="EEF3F8"/>
            <w:noWrap/>
            <w:vAlign w:val="center"/>
          </w:tcPr>
          <w:p w:rsidR="00FA55D5" w:rsidRPr="00321E97" w:rsidRDefault="00FA55D5"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szCs w:val="21"/>
              </w:rPr>
              <w:t>22 045</w:t>
            </w:r>
          </w:p>
        </w:tc>
        <w:tc>
          <w:tcPr>
            <w:tcW w:w="992" w:type="dxa"/>
            <w:shd w:val="clear" w:color="000000" w:fill="EEF3F8"/>
            <w:noWrap/>
            <w:vAlign w:val="center"/>
          </w:tcPr>
          <w:p w:rsidR="00FA55D5" w:rsidRPr="00321E97" w:rsidRDefault="00FA55D5"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szCs w:val="21"/>
              </w:rPr>
              <w:t>38 173</w:t>
            </w:r>
          </w:p>
        </w:tc>
        <w:tc>
          <w:tcPr>
            <w:tcW w:w="992" w:type="dxa"/>
            <w:shd w:val="clear" w:color="000000" w:fill="EEF3F8"/>
            <w:noWrap/>
            <w:vAlign w:val="center"/>
          </w:tcPr>
          <w:p w:rsidR="00FA55D5" w:rsidRPr="00321E97" w:rsidRDefault="00FA55D5"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szCs w:val="21"/>
              </w:rPr>
              <w:t>21 672</w:t>
            </w:r>
          </w:p>
        </w:tc>
        <w:tc>
          <w:tcPr>
            <w:tcW w:w="921" w:type="dxa"/>
            <w:shd w:val="clear" w:color="000000" w:fill="EEF3F8"/>
            <w:noWrap/>
            <w:vAlign w:val="center"/>
          </w:tcPr>
          <w:p w:rsidR="00FA55D5" w:rsidRPr="00321E97" w:rsidRDefault="00FA55D5"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szCs w:val="21"/>
              </w:rPr>
              <w:t>4 638</w:t>
            </w:r>
          </w:p>
        </w:tc>
        <w:tc>
          <w:tcPr>
            <w:tcW w:w="1040" w:type="dxa"/>
            <w:shd w:val="clear" w:color="000000" w:fill="EEF3F8"/>
            <w:noWrap/>
            <w:vAlign w:val="center"/>
          </w:tcPr>
          <w:p w:rsidR="00FA55D5" w:rsidRPr="00321E97" w:rsidRDefault="00FA55D5"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szCs w:val="21"/>
              </w:rPr>
              <w:t>41 800</w:t>
            </w:r>
          </w:p>
        </w:tc>
        <w:tc>
          <w:tcPr>
            <w:tcW w:w="1020" w:type="dxa"/>
            <w:shd w:val="clear" w:color="000000" w:fill="EEF3F8"/>
            <w:noWrap/>
            <w:vAlign w:val="center"/>
          </w:tcPr>
          <w:p w:rsidR="00FA55D5" w:rsidRPr="00321E97" w:rsidRDefault="00FA55D5"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szCs w:val="21"/>
              </w:rPr>
              <w:t>12 800</w:t>
            </w:r>
          </w:p>
        </w:tc>
      </w:tr>
      <w:tr w:rsidR="00FA55D5" w:rsidRPr="004E1AFC" w:rsidTr="00E32C13">
        <w:trPr>
          <w:trHeight w:val="300"/>
        </w:trPr>
        <w:tc>
          <w:tcPr>
            <w:tcW w:w="2780" w:type="dxa"/>
            <w:shd w:val="clear" w:color="auto" w:fill="auto"/>
          </w:tcPr>
          <w:p w:rsidR="00FA55D5" w:rsidRPr="004E1AFC" w:rsidRDefault="00FA55D5" w:rsidP="007E01C6">
            <w:pPr>
              <w:spacing w:after="0" w:line="240" w:lineRule="auto"/>
              <w:rPr>
                <w:rFonts w:ascii="Calibri" w:eastAsia="Times New Roman" w:hAnsi="Calibri" w:cs="Times New Roman"/>
                <w:bCs/>
                <w:color w:val="000000"/>
                <w:szCs w:val="21"/>
                <w:lang w:eastAsia="cs-CZ"/>
              </w:rPr>
            </w:pPr>
            <w:r>
              <w:rPr>
                <w:rFonts w:ascii="Calibri" w:eastAsia="Times New Roman" w:hAnsi="Calibri" w:cs="Times New Roman"/>
                <w:bCs/>
                <w:color w:val="000000"/>
                <w:szCs w:val="21"/>
                <w:lang w:eastAsia="cs-CZ"/>
              </w:rPr>
              <w:t>N</w:t>
            </w:r>
            <w:r w:rsidRPr="004E1AFC">
              <w:rPr>
                <w:rFonts w:ascii="Calibri" w:eastAsia="Times New Roman" w:hAnsi="Calibri" w:cs="Times New Roman"/>
                <w:bCs/>
                <w:color w:val="000000"/>
                <w:szCs w:val="21"/>
                <w:lang w:eastAsia="cs-CZ"/>
              </w:rPr>
              <w:t>a 1 pojištěnce (v Kč)</w:t>
            </w:r>
          </w:p>
        </w:tc>
        <w:tc>
          <w:tcPr>
            <w:tcW w:w="1063" w:type="dxa"/>
            <w:shd w:val="clear" w:color="000000" w:fill="DCE6F1"/>
            <w:noWrap/>
            <w:vAlign w:val="center"/>
          </w:tcPr>
          <w:p w:rsidR="00FA55D5" w:rsidRPr="00132816" w:rsidRDefault="00FA55D5" w:rsidP="007E01C6">
            <w:pPr>
              <w:spacing w:after="0" w:line="240" w:lineRule="auto"/>
              <w:jc w:val="right"/>
              <w:rPr>
                <w:rFonts w:ascii="Calibri" w:eastAsia="Times New Roman" w:hAnsi="Calibri" w:cs="Times New Roman"/>
                <w:bCs/>
                <w:color w:val="000000"/>
                <w:szCs w:val="21"/>
                <w:lang w:eastAsia="cs-CZ"/>
              </w:rPr>
            </w:pPr>
            <w:r>
              <w:rPr>
                <w:rFonts w:ascii="Calibri" w:hAnsi="Calibri" w:cs="Times New Roman CE"/>
                <w:szCs w:val="21"/>
              </w:rPr>
              <w:t>35 269</w:t>
            </w:r>
          </w:p>
        </w:tc>
        <w:tc>
          <w:tcPr>
            <w:tcW w:w="992" w:type="dxa"/>
            <w:shd w:val="clear" w:color="auto" w:fill="auto"/>
            <w:noWrap/>
            <w:vAlign w:val="center"/>
          </w:tcPr>
          <w:p w:rsidR="00FA55D5" w:rsidRPr="00132816" w:rsidRDefault="00FA55D5" w:rsidP="007E01C6">
            <w:pPr>
              <w:spacing w:after="0" w:line="240" w:lineRule="auto"/>
              <w:jc w:val="right"/>
              <w:rPr>
                <w:rFonts w:ascii="Calibri" w:eastAsia="Times New Roman" w:hAnsi="Calibri" w:cs="Times New Roman"/>
                <w:bCs/>
                <w:color w:val="000000"/>
                <w:szCs w:val="21"/>
                <w:lang w:eastAsia="cs-CZ"/>
              </w:rPr>
            </w:pPr>
            <w:r>
              <w:rPr>
                <w:rFonts w:ascii="Calibri" w:hAnsi="Calibri" w:cs="Times New Roman CE"/>
                <w:szCs w:val="21"/>
              </w:rPr>
              <w:t>31 541</w:t>
            </w:r>
          </w:p>
        </w:tc>
        <w:tc>
          <w:tcPr>
            <w:tcW w:w="992" w:type="dxa"/>
            <w:shd w:val="clear" w:color="000000" w:fill="DCE6F1"/>
            <w:noWrap/>
            <w:vAlign w:val="center"/>
          </w:tcPr>
          <w:p w:rsidR="00FA55D5" w:rsidRPr="00132816" w:rsidRDefault="00FA55D5" w:rsidP="007E01C6">
            <w:pPr>
              <w:spacing w:after="0" w:line="240" w:lineRule="auto"/>
              <w:jc w:val="right"/>
              <w:rPr>
                <w:rFonts w:ascii="Calibri" w:eastAsia="Times New Roman" w:hAnsi="Calibri" w:cs="Times New Roman"/>
                <w:bCs/>
                <w:color w:val="000000"/>
                <w:szCs w:val="21"/>
                <w:lang w:eastAsia="cs-CZ"/>
              </w:rPr>
            </w:pPr>
            <w:r>
              <w:rPr>
                <w:rFonts w:ascii="Calibri" w:hAnsi="Calibri" w:cs="Times New Roman CE"/>
                <w:szCs w:val="21"/>
              </w:rPr>
              <w:t>29 949</w:t>
            </w:r>
          </w:p>
        </w:tc>
        <w:tc>
          <w:tcPr>
            <w:tcW w:w="992" w:type="dxa"/>
            <w:shd w:val="clear" w:color="auto" w:fill="auto"/>
            <w:noWrap/>
            <w:vAlign w:val="center"/>
          </w:tcPr>
          <w:p w:rsidR="00FA55D5" w:rsidRPr="00132816" w:rsidRDefault="00FA55D5" w:rsidP="007E01C6">
            <w:pPr>
              <w:spacing w:after="0" w:line="240" w:lineRule="auto"/>
              <w:jc w:val="right"/>
              <w:rPr>
                <w:rFonts w:ascii="Calibri" w:eastAsia="Times New Roman" w:hAnsi="Calibri" w:cs="Times New Roman"/>
                <w:bCs/>
                <w:color w:val="000000"/>
                <w:szCs w:val="21"/>
                <w:lang w:eastAsia="cs-CZ"/>
              </w:rPr>
            </w:pPr>
            <w:r>
              <w:rPr>
                <w:rFonts w:ascii="Calibri" w:hAnsi="Calibri" w:cs="Times New Roman CE"/>
                <w:szCs w:val="21"/>
              </w:rPr>
              <w:t>29 444</w:t>
            </w:r>
          </w:p>
        </w:tc>
        <w:tc>
          <w:tcPr>
            <w:tcW w:w="921" w:type="dxa"/>
            <w:shd w:val="clear" w:color="000000" w:fill="DCE6F1"/>
            <w:noWrap/>
            <w:vAlign w:val="center"/>
          </w:tcPr>
          <w:p w:rsidR="00FA55D5" w:rsidRPr="00132816" w:rsidRDefault="00FA55D5" w:rsidP="007E01C6">
            <w:pPr>
              <w:spacing w:after="0" w:line="240" w:lineRule="auto"/>
              <w:jc w:val="right"/>
              <w:rPr>
                <w:rFonts w:ascii="Calibri" w:eastAsia="Times New Roman" w:hAnsi="Calibri" w:cs="Times New Roman"/>
                <w:bCs/>
                <w:color w:val="000000"/>
                <w:szCs w:val="21"/>
                <w:lang w:eastAsia="cs-CZ"/>
              </w:rPr>
            </w:pPr>
            <w:r>
              <w:rPr>
                <w:rFonts w:ascii="Calibri" w:hAnsi="Calibri" w:cs="Times New Roman CE"/>
                <w:szCs w:val="21"/>
              </w:rPr>
              <w:t>31 964</w:t>
            </w:r>
          </w:p>
        </w:tc>
        <w:tc>
          <w:tcPr>
            <w:tcW w:w="1040" w:type="dxa"/>
            <w:shd w:val="clear" w:color="auto" w:fill="auto"/>
            <w:noWrap/>
            <w:vAlign w:val="center"/>
          </w:tcPr>
          <w:p w:rsidR="00FA55D5" w:rsidRPr="00132816" w:rsidRDefault="00FA55D5" w:rsidP="007E01C6">
            <w:pPr>
              <w:spacing w:after="0" w:line="240" w:lineRule="auto"/>
              <w:jc w:val="right"/>
              <w:rPr>
                <w:rFonts w:ascii="Calibri" w:eastAsia="Times New Roman" w:hAnsi="Calibri" w:cs="Times New Roman"/>
                <w:bCs/>
                <w:color w:val="000000"/>
                <w:szCs w:val="21"/>
                <w:lang w:eastAsia="cs-CZ"/>
              </w:rPr>
            </w:pPr>
            <w:r>
              <w:rPr>
                <w:rFonts w:ascii="Calibri" w:hAnsi="Calibri" w:cs="Times New Roman CE"/>
                <w:szCs w:val="21"/>
              </w:rPr>
              <w:t>31 507</w:t>
            </w:r>
          </w:p>
        </w:tc>
        <w:tc>
          <w:tcPr>
            <w:tcW w:w="1020" w:type="dxa"/>
            <w:shd w:val="clear" w:color="000000" w:fill="DCE6F1"/>
            <w:noWrap/>
            <w:vAlign w:val="center"/>
          </w:tcPr>
          <w:p w:rsidR="00FA55D5" w:rsidRPr="00132816" w:rsidRDefault="00FA55D5" w:rsidP="007E01C6">
            <w:pPr>
              <w:spacing w:after="0" w:line="240" w:lineRule="auto"/>
              <w:jc w:val="right"/>
              <w:rPr>
                <w:rFonts w:ascii="Calibri" w:eastAsia="Times New Roman" w:hAnsi="Calibri" w:cs="Times New Roman"/>
                <w:bCs/>
                <w:color w:val="000000"/>
                <w:szCs w:val="21"/>
                <w:lang w:eastAsia="cs-CZ"/>
              </w:rPr>
            </w:pPr>
            <w:r>
              <w:rPr>
                <w:rFonts w:ascii="Calibri" w:hAnsi="Calibri" w:cs="Times New Roman CE"/>
                <w:szCs w:val="21"/>
              </w:rPr>
              <w:t>29 957</w:t>
            </w:r>
          </w:p>
        </w:tc>
      </w:tr>
    </w:tbl>
    <w:p w:rsidR="001865E5" w:rsidRDefault="001865E5" w:rsidP="001865E5">
      <w:pPr>
        <w:spacing w:before="180"/>
      </w:pPr>
      <w:r>
        <w:t xml:space="preserve">Podrobnější informace viz </w:t>
      </w:r>
      <w:r w:rsidRPr="00E73464">
        <w:t xml:space="preserve">Tabulková příloha </w:t>
      </w:r>
      <w:r>
        <w:rPr>
          <w:i/>
        </w:rPr>
        <w:t>Tabulka č. 1 str. 2 a 3</w:t>
      </w:r>
      <w:r w:rsidR="00E7008D">
        <w:rPr>
          <w:i/>
        </w:rPr>
        <w:t xml:space="preserve"> a Tabulka 1c</w:t>
      </w:r>
      <w:r>
        <w:t>.</w:t>
      </w:r>
    </w:p>
    <w:p w:rsidR="00436F6E" w:rsidRPr="00E3299D" w:rsidRDefault="00436F6E" w:rsidP="00D061E1">
      <w:pPr>
        <w:spacing w:before="240" w:line="276" w:lineRule="auto"/>
        <w:jc w:val="both"/>
        <w:rPr>
          <w:b/>
        </w:rPr>
      </w:pPr>
      <w:r w:rsidRPr="00E3299D">
        <w:rPr>
          <w:b/>
        </w:rPr>
        <w:br w:type="page"/>
      </w:r>
    </w:p>
    <w:p w:rsidR="00436F6E" w:rsidRDefault="00436F6E" w:rsidP="00AC25F3">
      <w:pPr>
        <w:pStyle w:val="Nadpis2"/>
      </w:pPr>
      <w:bookmarkStart w:id="8" w:name="_Toc63684670"/>
      <w:r>
        <w:lastRenderedPageBreak/>
        <w:t>Výdaje</w:t>
      </w:r>
      <w:bookmarkEnd w:id="8"/>
      <w:r>
        <w:t xml:space="preserve"> </w:t>
      </w:r>
    </w:p>
    <w:p w:rsidR="00B501F1" w:rsidRDefault="00B501F1" w:rsidP="00B501F1">
      <w:pPr>
        <w:spacing w:before="180" w:line="276" w:lineRule="auto"/>
        <w:jc w:val="both"/>
      </w:pPr>
      <w:r w:rsidRPr="00456113">
        <w:rPr>
          <w:b/>
        </w:rPr>
        <w:t xml:space="preserve">Celkové výdaje systému v. z. p. </w:t>
      </w:r>
      <w:r w:rsidRPr="00456113">
        <w:t>na rok 20</w:t>
      </w:r>
      <w:r w:rsidR="00887B9E" w:rsidRPr="00456113">
        <w:t>2</w:t>
      </w:r>
      <w:r w:rsidR="00930D1F" w:rsidRPr="00456113">
        <w:t>1</w:t>
      </w:r>
      <w:r w:rsidRPr="00456113">
        <w:t xml:space="preserve"> (</w:t>
      </w:r>
      <w:r w:rsidRPr="00456113">
        <w:rPr>
          <w:i/>
        </w:rPr>
        <w:t>Tabulka č. 4</w:t>
      </w:r>
      <w:r w:rsidRPr="00456113">
        <w:t xml:space="preserve">) jsou plánovány ve výši </w:t>
      </w:r>
      <w:r w:rsidR="00D061E1" w:rsidRPr="00456113">
        <w:rPr>
          <w:b/>
        </w:rPr>
        <w:t>399,1</w:t>
      </w:r>
      <w:r w:rsidR="00930D1F" w:rsidRPr="00456113">
        <w:rPr>
          <w:b/>
        </w:rPr>
        <w:t xml:space="preserve"> </w:t>
      </w:r>
      <w:r w:rsidRPr="00456113">
        <w:rPr>
          <w:b/>
        </w:rPr>
        <w:t xml:space="preserve">mld. Kč. </w:t>
      </w:r>
      <w:r w:rsidRPr="00456113">
        <w:t xml:space="preserve">Při meziročním srovnání s rokem </w:t>
      </w:r>
      <w:r w:rsidR="00930D1F" w:rsidRPr="00456113">
        <w:t xml:space="preserve">2020 </w:t>
      </w:r>
      <w:r w:rsidRPr="00456113">
        <w:t>tak dojde k růstu o </w:t>
      </w:r>
      <w:r w:rsidR="005672BB" w:rsidRPr="00456113">
        <w:t>44,2</w:t>
      </w:r>
      <w:r w:rsidR="00930D1F" w:rsidRPr="00456113">
        <w:t xml:space="preserve"> </w:t>
      </w:r>
      <w:r w:rsidRPr="00456113">
        <w:t xml:space="preserve">mld. Kč z částky </w:t>
      </w:r>
      <w:r w:rsidR="00D061E1" w:rsidRPr="00456113">
        <w:t>355,0</w:t>
      </w:r>
      <w:r w:rsidR="00930D1F" w:rsidRPr="00456113">
        <w:t xml:space="preserve"> </w:t>
      </w:r>
      <w:r w:rsidRPr="00456113">
        <w:t xml:space="preserve">mld. Kč (tj. o </w:t>
      </w:r>
      <w:r w:rsidR="00930D1F" w:rsidRPr="00456113">
        <w:t>12,</w:t>
      </w:r>
      <w:r w:rsidR="00D061E1" w:rsidRPr="00456113">
        <w:t xml:space="preserve">4 </w:t>
      </w:r>
      <w:r w:rsidRPr="00456113">
        <w:t>%).</w:t>
      </w:r>
      <w:r>
        <w:t xml:space="preserve"> </w:t>
      </w:r>
    </w:p>
    <w:p w:rsidR="00436F6E" w:rsidRDefault="00436F6E" w:rsidP="009A3F36">
      <w:pPr>
        <w:pStyle w:val="Titulek"/>
        <w:jc w:val="both"/>
      </w:pPr>
      <w:bookmarkStart w:id="9" w:name="_Toc63685257"/>
      <w:r w:rsidRPr="00C75FC6">
        <w:t xml:space="preserve">Tabulka č. </w:t>
      </w:r>
      <w:r w:rsidR="008E5E29">
        <w:rPr>
          <w:noProof/>
        </w:rPr>
        <w:fldChar w:fldCharType="begin"/>
      </w:r>
      <w:r w:rsidR="007F5247">
        <w:rPr>
          <w:noProof/>
        </w:rPr>
        <w:instrText xml:space="preserve"> SEQ Tabulka \* ARABIC </w:instrText>
      </w:r>
      <w:r w:rsidR="008E5E29">
        <w:rPr>
          <w:noProof/>
        </w:rPr>
        <w:fldChar w:fldCharType="separate"/>
      </w:r>
      <w:r w:rsidR="006D5C90">
        <w:rPr>
          <w:noProof/>
        </w:rPr>
        <w:t>4</w:t>
      </w:r>
      <w:r w:rsidR="008E5E29">
        <w:rPr>
          <w:noProof/>
        </w:rPr>
        <w:fldChar w:fldCharType="end"/>
      </w:r>
      <w:r w:rsidRPr="00C75FC6">
        <w:t xml:space="preserve">: </w:t>
      </w:r>
      <w:r w:rsidRPr="00FF4ED8">
        <w:t xml:space="preserve">Plánované výdaje systému v. z. p. </w:t>
      </w:r>
      <w:r w:rsidR="00753E61" w:rsidRPr="00FF4ED8">
        <w:t>20</w:t>
      </w:r>
      <w:r w:rsidR="00753E61">
        <w:t>2</w:t>
      </w:r>
      <w:r w:rsidR="00930D1F">
        <w:t>1</w:t>
      </w:r>
      <w:bookmarkEnd w:id="9"/>
    </w:p>
    <w:tbl>
      <w:tblPr>
        <w:tblW w:w="6237" w:type="dxa"/>
        <w:tblInd w:w="113" w:type="dxa"/>
        <w:tblBorders>
          <w:top w:val="single" w:sz="12" w:space="0" w:color="548DD4" w:themeColor="text2" w:themeTint="99"/>
          <w:left w:val="single" w:sz="12" w:space="0" w:color="548DD4" w:themeColor="text2" w:themeTint="99"/>
          <w:bottom w:val="single" w:sz="12" w:space="0" w:color="548DD4" w:themeColor="text2" w:themeTint="99"/>
          <w:right w:val="single" w:sz="12" w:space="0" w:color="548DD4" w:themeColor="text2" w:themeTint="99"/>
        </w:tblBorders>
        <w:tblLayout w:type="fixed"/>
        <w:tblCellMar>
          <w:left w:w="70" w:type="dxa"/>
          <w:right w:w="70" w:type="dxa"/>
        </w:tblCellMar>
        <w:tblLook w:val="04A0" w:firstRow="1" w:lastRow="0" w:firstColumn="1" w:lastColumn="0" w:noHBand="0" w:noVBand="1"/>
      </w:tblPr>
      <w:tblGrid>
        <w:gridCol w:w="4157"/>
        <w:gridCol w:w="1040"/>
        <w:gridCol w:w="1040"/>
      </w:tblGrid>
      <w:tr w:rsidR="00436F6E" w:rsidRPr="00137535" w:rsidTr="007E01C6">
        <w:trPr>
          <w:trHeight w:hRule="exact" w:val="567"/>
        </w:trPr>
        <w:tc>
          <w:tcPr>
            <w:tcW w:w="4157" w:type="dxa"/>
            <w:shd w:val="clear" w:color="auto" w:fill="4F81BD"/>
            <w:noWrap/>
            <w:vAlign w:val="center"/>
            <w:hideMark/>
          </w:tcPr>
          <w:p w:rsidR="00436F6E" w:rsidRPr="008F4222" w:rsidRDefault="00436F6E" w:rsidP="00753E61">
            <w:pPr>
              <w:spacing w:after="0" w:line="252" w:lineRule="auto"/>
              <w:rPr>
                <w:rFonts w:cs="Arial"/>
                <w:b/>
                <w:color w:val="FFFFFF" w:themeColor="background1"/>
                <w:szCs w:val="21"/>
                <w:lang w:eastAsia="cs-CZ"/>
              </w:rPr>
            </w:pPr>
            <w:r w:rsidRPr="00137535">
              <w:rPr>
                <w:rFonts w:cs="Arial"/>
                <w:b/>
                <w:color w:val="FFFFFF" w:themeColor="background1"/>
                <w:szCs w:val="21"/>
                <w:lang w:eastAsia="cs-CZ"/>
              </w:rPr>
              <w:t xml:space="preserve">Plánované výdaje roku </w:t>
            </w:r>
            <w:r w:rsidR="00753E61" w:rsidRPr="00137535">
              <w:rPr>
                <w:rFonts w:cs="Arial"/>
                <w:b/>
                <w:color w:val="FFFFFF" w:themeColor="background1"/>
                <w:szCs w:val="21"/>
                <w:lang w:eastAsia="cs-CZ"/>
              </w:rPr>
              <w:t>2</w:t>
            </w:r>
            <w:r w:rsidR="00753E61">
              <w:rPr>
                <w:rFonts w:cs="Arial"/>
                <w:b/>
                <w:color w:val="FFFFFF" w:themeColor="background1"/>
                <w:szCs w:val="21"/>
                <w:lang w:eastAsia="cs-CZ"/>
              </w:rPr>
              <w:t>02</w:t>
            </w:r>
            <w:r w:rsidR="00930D1F">
              <w:rPr>
                <w:rFonts w:cs="Arial"/>
                <w:b/>
                <w:color w:val="FFFFFF" w:themeColor="background1"/>
                <w:szCs w:val="21"/>
                <w:lang w:eastAsia="cs-CZ"/>
              </w:rPr>
              <w:t>1</w:t>
            </w:r>
            <w:r w:rsidR="00753E61" w:rsidRPr="008F4222">
              <w:rPr>
                <w:rFonts w:cs="Arial"/>
                <w:b/>
                <w:color w:val="FFFFFF" w:themeColor="background1"/>
                <w:szCs w:val="21"/>
                <w:lang w:eastAsia="cs-CZ"/>
              </w:rPr>
              <w:t xml:space="preserve"> </w:t>
            </w:r>
            <w:r w:rsidRPr="008F4222">
              <w:rPr>
                <w:rFonts w:cs="Arial"/>
                <w:b/>
                <w:color w:val="FFFFFF" w:themeColor="background1"/>
                <w:szCs w:val="21"/>
                <w:lang w:eastAsia="cs-CZ"/>
              </w:rPr>
              <w:t xml:space="preserve">(ZPP </w:t>
            </w:r>
            <w:r w:rsidR="00753E61" w:rsidRPr="008F4222">
              <w:rPr>
                <w:rFonts w:cs="Arial"/>
                <w:b/>
                <w:color w:val="FFFFFF" w:themeColor="background1"/>
                <w:szCs w:val="21"/>
                <w:lang w:eastAsia="cs-CZ"/>
              </w:rPr>
              <w:t>20</w:t>
            </w:r>
            <w:r w:rsidR="00753E61">
              <w:rPr>
                <w:rFonts w:cs="Arial"/>
                <w:b/>
                <w:color w:val="FFFFFF" w:themeColor="background1"/>
                <w:szCs w:val="21"/>
                <w:lang w:eastAsia="cs-CZ"/>
              </w:rPr>
              <w:t>2</w:t>
            </w:r>
            <w:r w:rsidR="00930D1F">
              <w:rPr>
                <w:rFonts w:cs="Arial"/>
                <w:b/>
                <w:color w:val="FFFFFF" w:themeColor="background1"/>
                <w:szCs w:val="21"/>
                <w:lang w:eastAsia="cs-CZ"/>
              </w:rPr>
              <w:t>1</w:t>
            </w:r>
            <w:r w:rsidRPr="008F4222">
              <w:rPr>
                <w:rFonts w:cs="Arial"/>
                <w:b/>
                <w:color w:val="FFFFFF" w:themeColor="background1"/>
                <w:szCs w:val="21"/>
                <w:lang w:eastAsia="cs-CZ"/>
              </w:rPr>
              <w:t>)</w:t>
            </w:r>
          </w:p>
        </w:tc>
        <w:tc>
          <w:tcPr>
            <w:tcW w:w="1040" w:type="dxa"/>
            <w:shd w:val="clear" w:color="auto" w:fill="6691C6"/>
            <w:noWrap/>
            <w:vAlign w:val="center"/>
            <w:hideMark/>
          </w:tcPr>
          <w:p w:rsidR="00436F6E" w:rsidRPr="00FB233E" w:rsidRDefault="00436F6E" w:rsidP="007E01C6">
            <w:pPr>
              <w:spacing w:after="0" w:line="252" w:lineRule="auto"/>
              <w:jc w:val="right"/>
              <w:rPr>
                <w:rFonts w:cs="Arial"/>
                <w:b/>
                <w:color w:val="FFFFFF" w:themeColor="background1"/>
                <w:szCs w:val="21"/>
                <w:lang w:eastAsia="cs-CZ"/>
              </w:rPr>
            </w:pPr>
            <w:r w:rsidRPr="00FB233E">
              <w:rPr>
                <w:rFonts w:cs="Arial"/>
                <w:b/>
                <w:color w:val="FFFFFF" w:themeColor="background1"/>
                <w:szCs w:val="21"/>
                <w:lang w:eastAsia="cs-CZ"/>
              </w:rPr>
              <w:t>mld. Kč</w:t>
            </w:r>
          </w:p>
        </w:tc>
        <w:tc>
          <w:tcPr>
            <w:tcW w:w="1040" w:type="dxa"/>
            <w:tcBorders>
              <w:top w:val="single" w:sz="12" w:space="0" w:color="548DD4" w:themeColor="text2" w:themeTint="99"/>
              <w:bottom w:val="nil"/>
            </w:tcBorders>
            <w:shd w:val="clear" w:color="auto" w:fill="4F81BD" w:themeFill="accent1"/>
            <w:vAlign w:val="center"/>
          </w:tcPr>
          <w:p w:rsidR="00436F6E" w:rsidRPr="00FB233E" w:rsidRDefault="00436F6E" w:rsidP="007E01C6">
            <w:pPr>
              <w:spacing w:after="0" w:line="240" w:lineRule="auto"/>
              <w:jc w:val="right"/>
              <w:rPr>
                <w:rFonts w:eastAsia="Times New Roman" w:cs="Arial"/>
                <w:b/>
                <w:bCs/>
                <w:color w:val="FFFFFF"/>
                <w:szCs w:val="21"/>
                <w:lang w:eastAsia="cs-CZ"/>
              </w:rPr>
            </w:pPr>
            <w:r w:rsidRPr="00FB233E">
              <w:rPr>
                <w:rFonts w:eastAsia="Times New Roman" w:cs="Arial"/>
                <w:b/>
                <w:bCs/>
                <w:color w:val="FFFFFF"/>
                <w:szCs w:val="21"/>
                <w:lang w:eastAsia="cs-CZ"/>
              </w:rPr>
              <w:t>%</w:t>
            </w:r>
          </w:p>
        </w:tc>
      </w:tr>
      <w:tr w:rsidR="006608A1" w:rsidRPr="00137535" w:rsidTr="00D061E1">
        <w:trPr>
          <w:trHeight w:hRule="exact" w:val="284"/>
        </w:trPr>
        <w:tc>
          <w:tcPr>
            <w:tcW w:w="4157" w:type="dxa"/>
            <w:noWrap/>
            <w:vAlign w:val="bottom"/>
            <w:hideMark/>
          </w:tcPr>
          <w:p w:rsidR="006608A1" w:rsidRPr="008F4222" w:rsidRDefault="006608A1" w:rsidP="007E01C6">
            <w:pPr>
              <w:spacing w:after="0" w:line="240" w:lineRule="auto"/>
              <w:rPr>
                <w:rFonts w:cs="Arial"/>
                <w:b/>
                <w:bCs/>
                <w:color w:val="000000"/>
                <w:szCs w:val="21"/>
                <w:lang w:eastAsia="cs-CZ"/>
              </w:rPr>
            </w:pPr>
            <w:r w:rsidRPr="00137535">
              <w:rPr>
                <w:b/>
                <w:szCs w:val="21"/>
              </w:rPr>
              <w:t>Výdaje na zdravotní služby</w:t>
            </w:r>
          </w:p>
        </w:tc>
        <w:tc>
          <w:tcPr>
            <w:tcW w:w="1040" w:type="dxa"/>
            <w:shd w:val="clear" w:color="auto" w:fill="DBE5F1"/>
            <w:noWrap/>
            <w:vAlign w:val="center"/>
          </w:tcPr>
          <w:p w:rsidR="006608A1" w:rsidRPr="00FB233E" w:rsidRDefault="006608A1" w:rsidP="007E01C6">
            <w:pPr>
              <w:spacing w:after="0" w:line="252" w:lineRule="auto"/>
              <w:jc w:val="right"/>
              <w:rPr>
                <w:rFonts w:cs="Arial"/>
                <w:bCs/>
                <w:color w:val="000000"/>
                <w:szCs w:val="21"/>
                <w:lang w:eastAsia="cs-CZ"/>
              </w:rPr>
            </w:pPr>
            <w:r>
              <w:rPr>
                <w:rFonts w:ascii="Calibri" w:hAnsi="Calibri" w:cs="Times New Roman CE"/>
                <w:szCs w:val="21"/>
              </w:rPr>
              <w:t>388,05</w:t>
            </w:r>
          </w:p>
        </w:tc>
        <w:tc>
          <w:tcPr>
            <w:tcW w:w="1040" w:type="dxa"/>
            <w:tcBorders>
              <w:top w:val="nil"/>
              <w:bottom w:val="nil"/>
            </w:tcBorders>
            <w:shd w:val="clear" w:color="auto" w:fill="auto"/>
            <w:vAlign w:val="center"/>
          </w:tcPr>
          <w:p w:rsidR="006608A1" w:rsidRPr="00FB233E" w:rsidRDefault="006608A1" w:rsidP="007E01C6">
            <w:pPr>
              <w:spacing w:after="0" w:line="252" w:lineRule="auto"/>
              <w:jc w:val="right"/>
              <w:rPr>
                <w:szCs w:val="21"/>
              </w:rPr>
            </w:pPr>
            <w:r>
              <w:rPr>
                <w:rFonts w:ascii="Calibri" w:hAnsi="Calibri" w:cs="Times New Roman CE"/>
                <w:szCs w:val="21"/>
              </w:rPr>
              <w:t>97,22</w:t>
            </w:r>
          </w:p>
        </w:tc>
      </w:tr>
      <w:tr w:rsidR="006608A1" w:rsidRPr="00137535" w:rsidTr="00D061E1">
        <w:trPr>
          <w:trHeight w:hRule="exact" w:val="284"/>
        </w:trPr>
        <w:tc>
          <w:tcPr>
            <w:tcW w:w="4157" w:type="dxa"/>
            <w:shd w:val="clear" w:color="auto" w:fill="EEF3F8"/>
            <w:noWrap/>
            <w:vAlign w:val="bottom"/>
            <w:hideMark/>
          </w:tcPr>
          <w:p w:rsidR="006608A1" w:rsidRPr="008F4222" w:rsidRDefault="006608A1" w:rsidP="007E01C6">
            <w:pPr>
              <w:spacing w:after="0" w:line="240" w:lineRule="auto"/>
              <w:rPr>
                <w:rFonts w:cs="Arial"/>
                <w:b/>
                <w:bCs/>
                <w:color w:val="000000"/>
                <w:szCs w:val="21"/>
                <w:lang w:eastAsia="cs-CZ"/>
              </w:rPr>
            </w:pPr>
            <w:r w:rsidRPr="00137535">
              <w:rPr>
                <w:b/>
                <w:szCs w:val="21"/>
              </w:rPr>
              <w:t xml:space="preserve">Zálohy za cizince, specifické fondy </w:t>
            </w:r>
            <w:proofErr w:type="spellStart"/>
            <w:r w:rsidRPr="00137535">
              <w:rPr>
                <w:b/>
                <w:szCs w:val="21"/>
              </w:rPr>
              <w:t>VoZP</w:t>
            </w:r>
            <w:proofErr w:type="spellEnd"/>
            <w:r w:rsidRPr="00137535">
              <w:rPr>
                <w:b/>
                <w:szCs w:val="21"/>
              </w:rPr>
              <w:t xml:space="preserve"> ČR</w:t>
            </w:r>
          </w:p>
        </w:tc>
        <w:tc>
          <w:tcPr>
            <w:tcW w:w="1040" w:type="dxa"/>
            <w:shd w:val="clear" w:color="auto" w:fill="EEF3F8"/>
            <w:noWrap/>
            <w:vAlign w:val="center"/>
          </w:tcPr>
          <w:p w:rsidR="006608A1" w:rsidRPr="00FB233E" w:rsidRDefault="006608A1" w:rsidP="007E01C6">
            <w:pPr>
              <w:spacing w:after="0" w:line="252" w:lineRule="auto"/>
              <w:jc w:val="right"/>
              <w:rPr>
                <w:rFonts w:cs="Arial"/>
                <w:bCs/>
                <w:color w:val="000000"/>
                <w:szCs w:val="21"/>
                <w:lang w:eastAsia="cs-CZ"/>
              </w:rPr>
            </w:pPr>
            <w:r>
              <w:rPr>
                <w:rFonts w:ascii="Calibri" w:hAnsi="Calibri" w:cs="Times New Roman CE"/>
                <w:szCs w:val="21"/>
              </w:rPr>
              <w:t>1,77</w:t>
            </w:r>
          </w:p>
        </w:tc>
        <w:tc>
          <w:tcPr>
            <w:tcW w:w="1040" w:type="dxa"/>
            <w:tcBorders>
              <w:top w:val="nil"/>
              <w:bottom w:val="nil"/>
            </w:tcBorders>
            <w:shd w:val="clear" w:color="auto" w:fill="EEF3F8"/>
            <w:vAlign w:val="center"/>
          </w:tcPr>
          <w:p w:rsidR="006608A1" w:rsidRPr="008F4222" w:rsidRDefault="006608A1" w:rsidP="007E01C6">
            <w:pPr>
              <w:spacing w:after="0" w:line="252" w:lineRule="auto"/>
              <w:jc w:val="right"/>
              <w:rPr>
                <w:szCs w:val="21"/>
              </w:rPr>
            </w:pPr>
            <w:r>
              <w:rPr>
                <w:rFonts w:ascii="Calibri" w:hAnsi="Calibri" w:cs="Times New Roman CE"/>
                <w:szCs w:val="21"/>
              </w:rPr>
              <w:t>0,44</w:t>
            </w:r>
          </w:p>
        </w:tc>
      </w:tr>
      <w:tr w:rsidR="006608A1" w:rsidRPr="00137535" w:rsidTr="00D061E1">
        <w:trPr>
          <w:trHeight w:hRule="exact" w:val="284"/>
        </w:trPr>
        <w:tc>
          <w:tcPr>
            <w:tcW w:w="4157" w:type="dxa"/>
            <w:noWrap/>
            <w:vAlign w:val="bottom"/>
            <w:hideMark/>
          </w:tcPr>
          <w:p w:rsidR="006608A1" w:rsidRPr="008F4222" w:rsidRDefault="006608A1" w:rsidP="007E01C6">
            <w:pPr>
              <w:spacing w:after="0" w:line="240" w:lineRule="auto"/>
              <w:rPr>
                <w:rFonts w:cs="Arial"/>
                <w:b/>
                <w:bCs/>
                <w:color w:val="000000"/>
                <w:szCs w:val="21"/>
                <w:lang w:eastAsia="cs-CZ"/>
              </w:rPr>
            </w:pPr>
            <w:r w:rsidRPr="00137535">
              <w:rPr>
                <w:b/>
                <w:szCs w:val="21"/>
              </w:rPr>
              <w:t xml:space="preserve">Provozní výdaje </w:t>
            </w:r>
          </w:p>
        </w:tc>
        <w:tc>
          <w:tcPr>
            <w:tcW w:w="1040" w:type="dxa"/>
            <w:shd w:val="clear" w:color="auto" w:fill="DBE5F1"/>
            <w:noWrap/>
            <w:vAlign w:val="center"/>
          </w:tcPr>
          <w:p w:rsidR="006608A1" w:rsidRPr="00FB233E" w:rsidRDefault="006608A1" w:rsidP="007E01C6">
            <w:pPr>
              <w:spacing w:after="0" w:line="252" w:lineRule="auto"/>
              <w:jc w:val="right"/>
              <w:rPr>
                <w:rFonts w:cs="Arial"/>
                <w:bCs/>
                <w:color w:val="000000"/>
                <w:szCs w:val="21"/>
                <w:lang w:eastAsia="cs-CZ"/>
              </w:rPr>
            </w:pPr>
            <w:r>
              <w:rPr>
                <w:rFonts w:ascii="Calibri" w:hAnsi="Calibri" w:cs="Times New Roman CE"/>
                <w:szCs w:val="21"/>
              </w:rPr>
              <w:t>8,27</w:t>
            </w:r>
          </w:p>
        </w:tc>
        <w:tc>
          <w:tcPr>
            <w:tcW w:w="1040" w:type="dxa"/>
            <w:tcBorders>
              <w:top w:val="nil"/>
              <w:bottom w:val="nil"/>
            </w:tcBorders>
            <w:shd w:val="clear" w:color="auto" w:fill="auto"/>
            <w:vAlign w:val="center"/>
          </w:tcPr>
          <w:p w:rsidR="006608A1" w:rsidRPr="008F4222" w:rsidRDefault="006608A1" w:rsidP="007E01C6">
            <w:pPr>
              <w:spacing w:after="0" w:line="252" w:lineRule="auto"/>
              <w:jc w:val="right"/>
              <w:rPr>
                <w:szCs w:val="21"/>
              </w:rPr>
            </w:pPr>
            <w:r>
              <w:rPr>
                <w:rFonts w:ascii="Calibri" w:hAnsi="Calibri" w:cs="Times New Roman CE"/>
                <w:szCs w:val="21"/>
              </w:rPr>
              <w:t>2,07</w:t>
            </w:r>
          </w:p>
        </w:tc>
      </w:tr>
      <w:tr w:rsidR="006608A1" w:rsidRPr="00137535" w:rsidTr="00D061E1">
        <w:trPr>
          <w:trHeight w:hRule="exact" w:val="284"/>
        </w:trPr>
        <w:tc>
          <w:tcPr>
            <w:tcW w:w="4157" w:type="dxa"/>
            <w:shd w:val="clear" w:color="auto" w:fill="EEF3F8"/>
            <w:noWrap/>
            <w:vAlign w:val="bottom"/>
            <w:hideMark/>
          </w:tcPr>
          <w:p w:rsidR="006608A1" w:rsidRPr="008F4222" w:rsidRDefault="006608A1" w:rsidP="007E01C6">
            <w:pPr>
              <w:spacing w:after="0" w:line="240" w:lineRule="auto"/>
              <w:rPr>
                <w:rFonts w:cs="Arial"/>
                <w:b/>
                <w:bCs/>
                <w:color w:val="000000"/>
                <w:szCs w:val="21"/>
                <w:lang w:eastAsia="cs-CZ"/>
              </w:rPr>
            </w:pPr>
            <w:r w:rsidRPr="00137535">
              <w:rPr>
                <w:b/>
                <w:szCs w:val="21"/>
              </w:rPr>
              <w:t>Výdaje na investice z FRM</w:t>
            </w:r>
          </w:p>
        </w:tc>
        <w:tc>
          <w:tcPr>
            <w:tcW w:w="1040" w:type="dxa"/>
            <w:shd w:val="clear" w:color="auto" w:fill="EEF3F8"/>
            <w:noWrap/>
            <w:vAlign w:val="center"/>
          </w:tcPr>
          <w:p w:rsidR="006608A1" w:rsidRPr="00FB233E" w:rsidRDefault="006608A1" w:rsidP="007E01C6">
            <w:pPr>
              <w:spacing w:after="0" w:line="252" w:lineRule="auto"/>
              <w:jc w:val="right"/>
              <w:rPr>
                <w:rFonts w:cs="Arial"/>
                <w:bCs/>
                <w:color w:val="000000"/>
                <w:szCs w:val="21"/>
                <w:lang w:eastAsia="cs-CZ"/>
              </w:rPr>
            </w:pPr>
            <w:r>
              <w:rPr>
                <w:rFonts w:ascii="Calibri" w:hAnsi="Calibri" w:cs="Times New Roman CE"/>
                <w:szCs w:val="21"/>
              </w:rPr>
              <w:t>0,99</w:t>
            </w:r>
          </w:p>
        </w:tc>
        <w:tc>
          <w:tcPr>
            <w:tcW w:w="1040" w:type="dxa"/>
            <w:tcBorders>
              <w:top w:val="nil"/>
              <w:bottom w:val="nil"/>
            </w:tcBorders>
            <w:shd w:val="clear" w:color="auto" w:fill="EEF3F8"/>
            <w:vAlign w:val="center"/>
          </w:tcPr>
          <w:p w:rsidR="006608A1" w:rsidRPr="008F4222" w:rsidRDefault="006608A1" w:rsidP="007E01C6">
            <w:pPr>
              <w:spacing w:after="0" w:line="252" w:lineRule="auto"/>
              <w:jc w:val="right"/>
              <w:rPr>
                <w:szCs w:val="21"/>
              </w:rPr>
            </w:pPr>
            <w:r>
              <w:rPr>
                <w:rFonts w:ascii="Calibri" w:hAnsi="Calibri" w:cs="Times New Roman CE"/>
                <w:szCs w:val="21"/>
              </w:rPr>
              <w:t>0,25</w:t>
            </w:r>
          </w:p>
        </w:tc>
      </w:tr>
      <w:tr w:rsidR="006608A1" w:rsidRPr="00137535" w:rsidTr="00D061E1">
        <w:trPr>
          <w:trHeight w:hRule="exact" w:val="284"/>
        </w:trPr>
        <w:tc>
          <w:tcPr>
            <w:tcW w:w="4157" w:type="dxa"/>
            <w:noWrap/>
            <w:vAlign w:val="bottom"/>
            <w:hideMark/>
          </w:tcPr>
          <w:p w:rsidR="006608A1" w:rsidRPr="008F4222" w:rsidRDefault="006608A1" w:rsidP="00753E61">
            <w:pPr>
              <w:spacing w:after="0" w:line="240" w:lineRule="auto"/>
              <w:rPr>
                <w:rFonts w:cs="Arial"/>
                <w:b/>
                <w:bCs/>
                <w:color w:val="000000"/>
                <w:szCs w:val="21"/>
                <w:lang w:eastAsia="cs-CZ"/>
              </w:rPr>
            </w:pPr>
            <w:r>
              <w:rPr>
                <w:b/>
                <w:szCs w:val="21"/>
              </w:rPr>
              <w:t>Náklady</w:t>
            </w:r>
            <w:r w:rsidRPr="00137535">
              <w:rPr>
                <w:b/>
                <w:szCs w:val="21"/>
              </w:rPr>
              <w:t xml:space="preserve"> na </w:t>
            </w:r>
            <w:r>
              <w:rPr>
                <w:b/>
                <w:szCs w:val="21"/>
              </w:rPr>
              <w:t>jinou</w:t>
            </w:r>
            <w:r w:rsidRPr="00137535">
              <w:rPr>
                <w:b/>
                <w:szCs w:val="21"/>
              </w:rPr>
              <w:t xml:space="preserve"> činnost</w:t>
            </w:r>
          </w:p>
        </w:tc>
        <w:tc>
          <w:tcPr>
            <w:tcW w:w="1040" w:type="dxa"/>
            <w:shd w:val="clear" w:color="auto" w:fill="DBE5F1"/>
            <w:noWrap/>
            <w:vAlign w:val="center"/>
          </w:tcPr>
          <w:p w:rsidR="006608A1" w:rsidRPr="00FB233E" w:rsidRDefault="006608A1" w:rsidP="007E01C6">
            <w:pPr>
              <w:spacing w:after="0" w:line="252" w:lineRule="auto"/>
              <w:jc w:val="right"/>
              <w:rPr>
                <w:rFonts w:cs="Arial"/>
                <w:bCs/>
                <w:color w:val="000000"/>
                <w:szCs w:val="21"/>
                <w:lang w:eastAsia="cs-CZ"/>
              </w:rPr>
            </w:pPr>
            <w:r>
              <w:rPr>
                <w:rFonts w:ascii="Calibri" w:hAnsi="Calibri" w:cs="Times New Roman CE"/>
                <w:szCs w:val="21"/>
              </w:rPr>
              <w:t>0,05</w:t>
            </w:r>
          </w:p>
        </w:tc>
        <w:tc>
          <w:tcPr>
            <w:tcW w:w="1040" w:type="dxa"/>
            <w:tcBorders>
              <w:top w:val="nil"/>
              <w:bottom w:val="nil"/>
            </w:tcBorders>
            <w:shd w:val="clear" w:color="auto" w:fill="auto"/>
            <w:vAlign w:val="center"/>
          </w:tcPr>
          <w:p w:rsidR="006608A1" w:rsidRPr="008F4222" w:rsidRDefault="006608A1" w:rsidP="007E01C6">
            <w:pPr>
              <w:spacing w:after="0" w:line="252" w:lineRule="auto"/>
              <w:jc w:val="right"/>
              <w:rPr>
                <w:szCs w:val="21"/>
              </w:rPr>
            </w:pPr>
            <w:r>
              <w:rPr>
                <w:rFonts w:ascii="Calibri" w:hAnsi="Calibri" w:cs="Times New Roman CE"/>
                <w:szCs w:val="21"/>
              </w:rPr>
              <w:t>0,01</w:t>
            </w:r>
          </w:p>
        </w:tc>
      </w:tr>
      <w:tr w:rsidR="006608A1" w:rsidRPr="00D061E1" w:rsidTr="00D061E1">
        <w:trPr>
          <w:trHeight w:hRule="exact" w:val="284"/>
        </w:trPr>
        <w:tc>
          <w:tcPr>
            <w:tcW w:w="4157" w:type="dxa"/>
            <w:shd w:val="clear" w:color="auto" w:fill="EEF3F8"/>
            <w:noWrap/>
            <w:vAlign w:val="bottom"/>
            <w:hideMark/>
          </w:tcPr>
          <w:p w:rsidR="006608A1" w:rsidRPr="008F4222" w:rsidRDefault="006608A1" w:rsidP="007E01C6">
            <w:pPr>
              <w:spacing w:after="0" w:line="240" w:lineRule="auto"/>
              <w:rPr>
                <w:rFonts w:cs="Arial"/>
                <w:b/>
                <w:bCs/>
                <w:color w:val="000000"/>
                <w:szCs w:val="21"/>
                <w:lang w:eastAsia="cs-CZ"/>
              </w:rPr>
            </w:pPr>
            <w:r w:rsidRPr="00137535">
              <w:rPr>
                <w:b/>
                <w:szCs w:val="21"/>
              </w:rPr>
              <w:t>Celkové výdaje systému v. z. p.</w:t>
            </w:r>
          </w:p>
        </w:tc>
        <w:tc>
          <w:tcPr>
            <w:tcW w:w="1040" w:type="dxa"/>
            <w:shd w:val="clear" w:color="auto" w:fill="EEF3F8"/>
            <w:noWrap/>
            <w:vAlign w:val="center"/>
          </w:tcPr>
          <w:p w:rsidR="006608A1" w:rsidRPr="00D061E1" w:rsidRDefault="006608A1" w:rsidP="007E01C6">
            <w:pPr>
              <w:spacing w:after="0" w:line="252" w:lineRule="auto"/>
              <w:jc w:val="right"/>
              <w:rPr>
                <w:rFonts w:cs="Arial"/>
                <w:b/>
                <w:bCs/>
                <w:color w:val="000000"/>
                <w:szCs w:val="21"/>
                <w:lang w:eastAsia="cs-CZ"/>
              </w:rPr>
            </w:pPr>
            <w:r w:rsidRPr="00D061E1">
              <w:rPr>
                <w:rFonts w:ascii="Calibri" w:hAnsi="Calibri" w:cs="Times New Roman CE"/>
                <w:b/>
                <w:bCs/>
                <w:color w:val="000000"/>
                <w:szCs w:val="21"/>
              </w:rPr>
              <w:t>399,13</w:t>
            </w:r>
          </w:p>
        </w:tc>
        <w:tc>
          <w:tcPr>
            <w:tcW w:w="1040" w:type="dxa"/>
            <w:tcBorders>
              <w:top w:val="nil"/>
            </w:tcBorders>
            <w:shd w:val="clear" w:color="auto" w:fill="EEF3F8"/>
            <w:vAlign w:val="center"/>
          </w:tcPr>
          <w:p w:rsidR="006608A1" w:rsidRPr="00D061E1" w:rsidRDefault="00D061E1" w:rsidP="00D061E1">
            <w:pPr>
              <w:spacing w:after="0" w:line="240" w:lineRule="auto"/>
              <w:jc w:val="right"/>
              <w:rPr>
                <w:b/>
              </w:rPr>
            </w:pPr>
            <w:r w:rsidRPr="00EC60EE">
              <w:rPr>
                <w:b/>
              </w:rPr>
              <w:t>100,00</w:t>
            </w:r>
          </w:p>
        </w:tc>
      </w:tr>
    </w:tbl>
    <w:p w:rsidR="00436F6E" w:rsidRDefault="00436F6E" w:rsidP="00436F6E">
      <w:pPr>
        <w:spacing w:before="180" w:line="276" w:lineRule="auto"/>
        <w:jc w:val="both"/>
      </w:pPr>
      <w:r w:rsidRPr="007F07CC">
        <w:t xml:space="preserve">SDV předložené v minulém roce predikovaly na rok </w:t>
      </w:r>
      <w:r w:rsidR="00454986" w:rsidRPr="007F07CC">
        <w:t>20</w:t>
      </w:r>
      <w:r w:rsidR="00454986">
        <w:t>2</w:t>
      </w:r>
      <w:r w:rsidR="00945B12">
        <w:t>1</w:t>
      </w:r>
      <w:r w:rsidR="00454986" w:rsidRPr="007F07CC">
        <w:t xml:space="preserve"> </w:t>
      </w:r>
      <w:r w:rsidRPr="007F07CC">
        <w:t xml:space="preserve">růst výdajů o </w:t>
      </w:r>
      <w:r w:rsidR="00945B12">
        <w:t>1,8</w:t>
      </w:r>
      <w:r w:rsidRPr="007F07CC">
        <w:t xml:space="preserve"> %, tedy při srovnání je možné vidět u</w:t>
      </w:r>
      <w:r w:rsidR="00F663DD">
        <w:t> </w:t>
      </w:r>
      <w:r w:rsidRPr="007F07CC">
        <w:t xml:space="preserve">předložených ZPP významně vyšší dynamiku výdajů, a to o </w:t>
      </w:r>
      <w:r w:rsidR="00945B12">
        <w:t>10,6</w:t>
      </w:r>
      <w:r w:rsidR="00945B12" w:rsidRPr="007F07CC">
        <w:t xml:space="preserve"> </w:t>
      </w:r>
      <w:r w:rsidRPr="007F07CC">
        <w:t xml:space="preserve">p. b. Tento vývoj je možné zdůvodnit skutečností, že v roce </w:t>
      </w:r>
      <w:r w:rsidR="006C1A27" w:rsidRPr="007F07CC">
        <w:t>20</w:t>
      </w:r>
      <w:r w:rsidR="006C1A27">
        <w:t>1</w:t>
      </w:r>
      <w:r w:rsidR="00945B12">
        <w:t>9</w:t>
      </w:r>
      <w:r w:rsidRPr="007F07CC">
        <w:t xml:space="preserve">, kdy se tvořil SDV </w:t>
      </w:r>
      <w:r w:rsidR="006C1A27" w:rsidRPr="007F07CC">
        <w:t>20</w:t>
      </w:r>
      <w:r w:rsidR="006C1A27">
        <w:t>2</w:t>
      </w:r>
      <w:r w:rsidR="00945B12">
        <w:t>1</w:t>
      </w:r>
      <w:r w:rsidRPr="007F07CC">
        <w:t xml:space="preserve">, </w:t>
      </w:r>
      <w:r w:rsidR="00D47254">
        <w:t xml:space="preserve">především </w:t>
      </w:r>
      <w:r w:rsidR="00945B12">
        <w:t xml:space="preserve">nikdo </w:t>
      </w:r>
      <w:r w:rsidR="00485BEB">
        <w:t xml:space="preserve">nepočítal s epidemií onemocnění COVID-19, </w:t>
      </w:r>
      <w:r w:rsidRPr="007F07CC">
        <w:t xml:space="preserve">nebyly známy konkrétní nástroje realizace vládních priorit na r. </w:t>
      </w:r>
      <w:r w:rsidR="006C1A27" w:rsidRPr="007F07CC">
        <w:t>20</w:t>
      </w:r>
      <w:r w:rsidR="006C1A27">
        <w:t>2</w:t>
      </w:r>
      <w:r w:rsidR="00485BEB">
        <w:t>1</w:t>
      </w:r>
      <w:r w:rsidR="006C1A27" w:rsidRPr="007F07CC">
        <w:t xml:space="preserve"> </w:t>
      </w:r>
      <w:r w:rsidRPr="007F07CC">
        <w:t>ani výsledky dohodovacího řízení na r.</w:t>
      </w:r>
      <w:r w:rsidR="004751C4">
        <w:t> </w:t>
      </w:r>
      <w:r w:rsidR="006C1A27" w:rsidRPr="007F07CC">
        <w:t>20</w:t>
      </w:r>
      <w:r w:rsidR="006C1A27">
        <w:t>2</w:t>
      </w:r>
      <w:r w:rsidR="00485BEB">
        <w:t>1</w:t>
      </w:r>
      <w:r w:rsidRPr="007F07CC">
        <w:t xml:space="preserve">. </w:t>
      </w:r>
    </w:p>
    <w:p w:rsidR="00215570" w:rsidRDefault="00436F6E" w:rsidP="00436F6E">
      <w:pPr>
        <w:spacing w:before="180" w:line="276" w:lineRule="auto"/>
        <w:jc w:val="both"/>
      </w:pPr>
      <w:r>
        <w:t xml:space="preserve">V přepočtu na jednoho pojištěnce </w:t>
      </w:r>
      <w:r w:rsidR="00117B7D">
        <w:t xml:space="preserve">celkové predikované výdaje systému v. z. p. </w:t>
      </w:r>
      <w:r>
        <w:t xml:space="preserve">činí v roce </w:t>
      </w:r>
      <w:r w:rsidR="00D47254">
        <w:t xml:space="preserve">2020 </w:t>
      </w:r>
      <w:r w:rsidR="00D47254" w:rsidRPr="00D47254">
        <w:t>33</w:t>
      </w:r>
      <w:r w:rsidR="00D47254">
        <w:t> </w:t>
      </w:r>
      <w:r w:rsidR="00D47254" w:rsidRPr="00D47254">
        <w:t>637</w:t>
      </w:r>
      <w:r w:rsidR="00D47254">
        <w:t xml:space="preserve"> </w:t>
      </w:r>
      <w:r>
        <w:t>Kč a</w:t>
      </w:r>
      <w:r w:rsidR="005F53B5">
        <w:t> </w:t>
      </w:r>
      <w:r>
        <w:t xml:space="preserve">pro rok </w:t>
      </w:r>
      <w:r w:rsidR="00655F10">
        <w:t>202</w:t>
      </w:r>
      <w:r w:rsidR="00D47254">
        <w:t>1</w:t>
      </w:r>
      <w:r w:rsidR="00655F10">
        <w:t xml:space="preserve"> </w:t>
      </w:r>
      <w:r w:rsidR="00F663DD">
        <w:t xml:space="preserve">dosahují </w:t>
      </w:r>
      <w:r w:rsidR="00D47254">
        <w:t xml:space="preserve">37 845 </w:t>
      </w:r>
      <w:r>
        <w:t xml:space="preserve">Kč. Meziročně se výdaje na jednoho pojištěnce absolutně zvýší o </w:t>
      </w:r>
      <w:r w:rsidR="00D47254" w:rsidRPr="00D47254">
        <w:t>4</w:t>
      </w:r>
      <w:r w:rsidR="00D47254">
        <w:t> </w:t>
      </w:r>
      <w:r w:rsidR="00D47254" w:rsidRPr="00D47254">
        <w:t>208</w:t>
      </w:r>
      <w:r w:rsidR="00D47254">
        <w:t xml:space="preserve"> </w:t>
      </w:r>
      <w:r>
        <w:t>Kč (tedy o </w:t>
      </w:r>
      <w:r w:rsidR="00D47254">
        <w:t>12,5</w:t>
      </w:r>
      <w:r>
        <w:t> %).</w:t>
      </w:r>
    </w:p>
    <w:p w:rsidR="00436F6E" w:rsidRDefault="00436F6E" w:rsidP="00436F6E">
      <w:pPr>
        <w:spacing w:before="180" w:line="276" w:lineRule="auto"/>
        <w:jc w:val="both"/>
      </w:pPr>
      <w:r>
        <w:t xml:space="preserve">Z toho </w:t>
      </w:r>
      <w:r>
        <w:rPr>
          <w:b/>
        </w:rPr>
        <w:t xml:space="preserve">výdaje na zdravotní služby </w:t>
      </w:r>
      <w:r>
        <w:t xml:space="preserve">jsou </w:t>
      </w:r>
      <w:r w:rsidR="00D47254">
        <w:t xml:space="preserve">v roce 2021 </w:t>
      </w:r>
      <w:r>
        <w:t xml:space="preserve">plánovány ve výši </w:t>
      </w:r>
      <w:r w:rsidR="00D47254">
        <w:rPr>
          <w:b/>
        </w:rPr>
        <w:t xml:space="preserve">388,1 </w:t>
      </w:r>
      <w:r>
        <w:rPr>
          <w:b/>
        </w:rPr>
        <w:t>mld. Kč</w:t>
      </w:r>
      <w:r>
        <w:t xml:space="preserve"> s meziročním nárůstem o</w:t>
      </w:r>
      <w:r w:rsidR="00217938">
        <w:t> </w:t>
      </w:r>
      <w:r w:rsidR="00D47254">
        <w:t xml:space="preserve">43,5 </w:t>
      </w:r>
      <w:r>
        <w:t>mld. Kč (</w:t>
      </w:r>
      <w:r w:rsidR="00D47254">
        <w:t xml:space="preserve">12,6 </w:t>
      </w:r>
      <w:r>
        <w:t>%) z </w:t>
      </w:r>
      <w:r w:rsidR="003E0E51">
        <w:t xml:space="preserve">344,6 </w:t>
      </w:r>
      <w:r>
        <w:t xml:space="preserve">mld. Kč. </w:t>
      </w:r>
    </w:p>
    <w:p w:rsidR="00436F6E" w:rsidRDefault="00117B7D" w:rsidP="00436F6E">
      <w:pPr>
        <w:spacing w:before="180" w:line="276" w:lineRule="auto"/>
        <w:jc w:val="both"/>
      </w:pPr>
      <w:r>
        <w:rPr>
          <w:b/>
        </w:rPr>
        <w:t xml:space="preserve">Provozní výdaje </w:t>
      </w:r>
      <w:r>
        <w:t>jsou pro rok</w:t>
      </w:r>
      <w:r w:rsidR="00436F6E">
        <w:t xml:space="preserve"> </w:t>
      </w:r>
      <w:r>
        <w:t>202</w:t>
      </w:r>
      <w:r w:rsidR="00134C67">
        <w:t>1</w:t>
      </w:r>
      <w:r>
        <w:t xml:space="preserve"> plánovány v hodnotě</w:t>
      </w:r>
      <w:r w:rsidR="00436F6E">
        <w:t xml:space="preserve"> </w:t>
      </w:r>
      <w:r w:rsidR="004447DE">
        <w:rPr>
          <w:b/>
        </w:rPr>
        <w:t>8,</w:t>
      </w:r>
      <w:r w:rsidR="00BB6D50">
        <w:rPr>
          <w:b/>
        </w:rPr>
        <w:t xml:space="preserve">3 </w:t>
      </w:r>
      <w:r w:rsidR="00436F6E">
        <w:rPr>
          <w:b/>
        </w:rPr>
        <w:t xml:space="preserve">mld. Kč </w:t>
      </w:r>
      <w:r w:rsidR="00436F6E">
        <w:t xml:space="preserve">(bez výdajů na investice z FRM). Oproti roku </w:t>
      </w:r>
      <w:r w:rsidR="00BB6D50">
        <w:t xml:space="preserve">2020 </w:t>
      </w:r>
      <w:r w:rsidR="00436F6E">
        <w:t xml:space="preserve">vzrostou z částky </w:t>
      </w:r>
      <w:r w:rsidR="00BB6D50">
        <w:t>8,1</w:t>
      </w:r>
      <w:r w:rsidR="004447DE">
        <w:t xml:space="preserve"> </w:t>
      </w:r>
      <w:r w:rsidR="00436F6E">
        <w:t xml:space="preserve">mld. Kč, tj. o </w:t>
      </w:r>
      <w:r w:rsidR="00BB6D50">
        <w:t xml:space="preserve">0,2 </w:t>
      </w:r>
      <w:r w:rsidR="00436F6E">
        <w:t xml:space="preserve">mld. Kč (o </w:t>
      </w:r>
      <w:r w:rsidR="00BB6D50">
        <w:t xml:space="preserve">2,0 </w:t>
      </w:r>
      <w:r w:rsidR="00436F6E">
        <w:t xml:space="preserve">%). </w:t>
      </w:r>
      <w:r w:rsidR="00A17B6E">
        <w:t xml:space="preserve">Pro upřesnění, provozní výdaje jsou </w:t>
      </w:r>
      <w:proofErr w:type="spellStart"/>
      <w:r w:rsidR="00A17B6E">
        <w:t>dopočtovou</w:t>
      </w:r>
      <w:proofErr w:type="spellEnd"/>
      <w:r w:rsidR="00A17B6E">
        <w:t xml:space="preserve"> položkou. MF rovněž sleduje indikátor „výdaje na vlastní činnost“, který je rozebrán dále.</w:t>
      </w:r>
    </w:p>
    <w:p w:rsidR="00436F6E" w:rsidRDefault="00436F6E" w:rsidP="00436F6E">
      <w:pPr>
        <w:spacing w:before="180" w:line="276" w:lineRule="auto"/>
        <w:jc w:val="both"/>
      </w:pPr>
      <w:r>
        <w:t xml:space="preserve">Aktuální propočtené limity, limity zdravotně pojistných plánů a procenta jejich plnění viz </w:t>
      </w:r>
      <w:r w:rsidRPr="00E73464">
        <w:rPr>
          <w:i/>
        </w:rPr>
        <w:t>Tabulková příloha Tabulka č. 1a</w:t>
      </w:r>
      <w:r>
        <w:t xml:space="preserve">. Všechny zdravotní pojišťovny plánují s výjimkou </w:t>
      </w:r>
      <w:proofErr w:type="spellStart"/>
      <w:r>
        <w:t>VoZP</w:t>
      </w:r>
      <w:proofErr w:type="spellEnd"/>
      <w:r>
        <w:t xml:space="preserve"> ČR</w:t>
      </w:r>
      <w:r w:rsidR="004447DE">
        <w:t xml:space="preserve"> a </w:t>
      </w:r>
      <w:r w:rsidR="00DF5584">
        <w:t>ZP MV ČR</w:t>
      </w:r>
      <w:r>
        <w:t xml:space="preserve"> využít celý limit přídělu na</w:t>
      </w:r>
      <w:r w:rsidR="001B1852">
        <w:t> </w:t>
      </w:r>
      <w:r>
        <w:t xml:space="preserve">vlastní činnost. </w:t>
      </w:r>
    </w:p>
    <w:p w:rsidR="00436F6E" w:rsidRDefault="00436F6E" w:rsidP="00436F6E">
      <w:pPr>
        <w:spacing w:before="180" w:line="276" w:lineRule="auto"/>
        <w:jc w:val="both"/>
        <w:rPr>
          <w:b/>
        </w:rPr>
      </w:pPr>
      <w:r>
        <w:rPr>
          <w:b/>
        </w:rPr>
        <w:t>Výdaje na investice</w:t>
      </w:r>
      <w:r>
        <w:t xml:space="preserve"> z FRM se plánují ve výši cca </w:t>
      </w:r>
      <w:r w:rsidR="00BB6D50">
        <w:rPr>
          <w:b/>
        </w:rPr>
        <w:t>1,0</w:t>
      </w:r>
      <w:r w:rsidR="00C67FF5">
        <w:rPr>
          <w:b/>
        </w:rPr>
        <w:t> </w:t>
      </w:r>
      <w:r>
        <w:rPr>
          <w:b/>
        </w:rPr>
        <w:t>mld. Kč</w:t>
      </w:r>
      <w:r>
        <w:t xml:space="preserve">, což by znamenalo </w:t>
      </w:r>
      <w:r w:rsidR="00217938">
        <w:t xml:space="preserve">meziroční </w:t>
      </w:r>
      <w:r w:rsidR="00C67FF5">
        <w:t xml:space="preserve">zvýšení </w:t>
      </w:r>
      <w:r w:rsidR="00217938">
        <w:t>na dvojnásobek</w:t>
      </w:r>
      <w:r w:rsidR="00C67FF5">
        <w:t xml:space="preserve"> </w:t>
      </w:r>
      <w:r>
        <w:t>(z</w:t>
      </w:r>
      <w:r w:rsidR="001B1852">
        <w:t> </w:t>
      </w:r>
      <w:r>
        <w:t>částky</w:t>
      </w:r>
      <w:r w:rsidR="001B1852">
        <w:t> </w:t>
      </w:r>
      <w:r>
        <w:t>0,</w:t>
      </w:r>
      <w:r w:rsidR="00BB6D50">
        <w:t>5 </w:t>
      </w:r>
      <w:r>
        <w:t>mld.</w:t>
      </w:r>
      <w:r w:rsidR="001B1852">
        <w:t> </w:t>
      </w:r>
      <w:r>
        <w:t xml:space="preserve">Kč). </w:t>
      </w:r>
      <w:r w:rsidRPr="00BB6D50">
        <w:t>Příčinou jsou především odložené investice z předchozích let</w:t>
      </w:r>
      <w:r w:rsidR="007629DC">
        <w:t>, převážně z oblasti ICT</w:t>
      </w:r>
      <w:r w:rsidRPr="00217938">
        <w:t>.</w:t>
      </w:r>
      <w:r>
        <w:rPr>
          <w:b/>
        </w:rPr>
        <w:t xml:space="preserve"> </w:t>
      </w:r>
    </w:p>
    <w:p w:rsidR="00436F6E" w:rsidRDefault="00436F6E" w:rsidP="00436F6E">
      <w:pPr>
        <w:spacing w:before="180" w:line="276" w:lineRule="auto"/>
        <w:jc w:val="both"/>
      </w:pPr>
      <w:r>
        <w:t xml:space="preserve">Marginálními položkami na straně výdajů pak jsou </w:t>
      </w:r>
      <w:r>
        <w:rPr>
          <w:b/>
        </w:rPr>
        <w:t xml:space="preserve">zálohy za cizince a specifické fondy </w:t>
      </w:r>
      <w:proofErr w:type="spellStart"/>
      <w:r>
        <w:rPr>
          <w:b/>
        </w:rPr>
        <w:t>VoZP</w:t>
      </w:r>
      <w:proofErr w:type="spellEnd"/>
      <w:r>
        <w:rPr>
          <w:b/>
        </w:rPr>
        <w:t xml:space="preserve"> ČR </w:t>
      </w:r>
      <w:r>
        <w:t>v plánované částce 1,</w:t>
      </w:r>
      <w:r w:rsidR="00BB6D50">
        <w:t xml:space="preserve">8 </w:t>
      </w:r>
      <w:r>
        <w:t xml:space="preserve">mld. Kč. V roce </w:t>
      </w:r>
      <w:r w:rsidR="00BB6D50">
        <w:t xml:space="preserve">2020 </w:t>
      </w:r>
      <w:r>
        <w:t>jsou očekávány v částce 1,</w:t>
      </w:r>
      <w:r w:rsidR="00BB6D50">
        <w:t xml:space="preserve">7 </w:t>
      </w:r>
      <w:r>
        <w:t>mld. Kč, tj. meziročně dojde k růstu o 0,</w:t>
      </w:r>
      <w:r w:rsidR="00BB6D50">
        <w:t xml:space="preserve">1 </w:t>
      </w:r>
      <w:r>
        <w:t>mld. Kč (</w:t>
      </w:r>
      <w:r w:rsidR="00BB6D50">
        <w:t>2,0</w:t>
      </w:r>
      <w:r w:rsidR="007629DC">
        <w:t> </w:t>
      </w:r>
      <w:r>
        <w:t>%).</w:t>
      </w:r>
    </w:p>
    <w:p w:rsidR="00436F6E" w:rsidRDefault="00436F6E" w:rsidP="00436F6E">
      <w:pPr>
        <w:spacing w:before="180" w:line="276" w:lineRule="auto"/>
        <w:jc w:val="both"/>
      </w:pPr>
      <w:r>
        <w:t xml:space="preserve">Mezi výdaje jsou zařazeny i </w:t>
      </w:r>
      <w:r w:rsidR="009D7DC1">
        <w:rPr>
          <w:b/>
        </w:rPr>
        <w:t xml:space="preserve">náklady </w:t>
      </w:r>
      <w:r>
        <w:rPr>
          <w:b/>
        </w:rPr>
        <w:t xml:space="preserve">na </w:t>
      </w:r>
      <w:r w:rsidR="009D7DC1">
        <w:rPr>
          <w:b/>
        </w:rPr>
        <w:t xml:space="preserve">jinou </w:t>
      </w:r>
      <w:r>
        <w:rPr>
          <w:b/>
        </w:rPr>
        <w:t xml:space="preserve">činnost </w:t>
      </w:r>
      <w:r>
        <w:t>v částce 0,</w:t>
      </w:r>
      <w:r w:rsidR="00BB6D50">
        <w:t xml:space="preserve">05 </w:t>
      </w:r>
      <w:r>
        <w:t xml:space="preserve">mld. Kč. U nich je meziročně předpokládán minimální nárůst o </w:t>
      </w:r>
      <w:r w:rsidR="00BB6D50">
        <w:t xml:space="preserve">9 </w:t>
      </w:r>
      <w:r>
        <w:t>mil</w:t>
      </w:r>
      <w:r w:rsidR="00117B7D">
        <w:t>.</w:t>
      </w:r>
      <w:r>
        <w:t xml:space="preserve"> Kč. </w:t>
      </w:r>
    </w:p>
    <w:p w:rsidR="00436F6E" w:rsidRDefault="00436F6E" w:rsidP="00436F6E">
      <w:pPr>
        <w:spacing w:before="180" w:line="276" w:lineRule="auto"/>
        <w:jc w:val="both"/>
      </w:pPr>
      <w:r>
        <w:t>Pro lepší porovnatelnost je důležité i sledování hospodaření jednotlivých</w:t>
      </w:r>
      <w:r w:rsidR="00117B7D">
        <w:t xml:space="preserve"> zdravotních pojišťoven. K tomu</w:t>
      </w:r>
      <w:r>
        <w:t xml:space="preserve"> jednak slouží běžně požívané ukazatele celkových výdajů, výdajů</w:t>
      </w:r>
      <w:r w:rsidRPr="007F00C7">
        <w:t xml:space="preserve"> na zdravotní služby ze ZFZP</w:t>
      </w:r>
      <w:r>
        <w:t xml:space="preserve"> a jejich přepočtená hodnota na 1 pojištěnce. </w:t>
      </w:r>
    </w:p>
    <w:p w:rsidR="00436F6E" w:rsidRDefault="00436F6E" w:rsidP="006A5473">
      <w:pPr>
        <w:spacing w:before="180" w:after="0" w:line="276" w:lineRule="auto"/>
        <w:jc w:val="both"/>
      </w:pPr>
      <w:r>
        <w:lastRenderedPageBreak/>
        <w:t>Ministerstvo financí pak dále sleduje řadu dalších veličin, z nichž jsou uvedeny „výdaje</w:t>
      </w:r>
      <w:r w:rsidRPr="003045F3">
        <w:t xml:space="preserve"> na vlastní činnos</w:t>
      </w:r>
      <w:r>
        <w:t>t“</w:t>
      </w:r>
      <w:r>
        <w:rPr>
          <w:rStyle w:val="Znakapoznpodarou"/>
        </w:rPr>
        <w:footnoteReference w:id="2"/>
      </w:r>
      <w:r>
        <w:t xml:space="preserve"> a</w:t>
      </w:r>
      <w:r w:rsidR="005F53B5">
        <w:t> </w:t>
      </w:r>
      <w:r>
        <w:t>„</w:t>
      </w:r>
      <w:r w:rsidRPr="003045F3">
        <w:t>výdaje na preventivní programy</w:t>
      </w:r>
      <w:r>
        <w:t>“</w:t>
      </w:r>
      <w:r>
        <w:rPr>
          <w:rStyle w:val="Znakapoznpodarou"/>
        </w:rPr>
        <w:footnoteReference w:id="3"/>
      </w:r>
      <w:r>
        <w:t xml:space="preserve">. </w:t>
      </w:r>
    </w:p>
    <w:p w:rsidR="00436F6E" w:rsidRDefault="00436F6E" w:rsidP="009A3F36">
      <w:pPr>
        <w:pStyle w:val="Titulek"/>
        <w:jc w:val="both"/>
      </w:pPr>
      <w:bookmarkStart w:id="10" w:name="_Toc63685258"/>
      <w:r w:rsidRPr="00C75FC6">
        <w:t xml:space="preserve">Tabulka č. </w:t>
      </w:r>
      <w:r w:rsidR="008E5E29">
        <w:rPr>
          <w:noProof/>
        </w:rPr>
        <w:fldChar w:fldCharType="begin"/>
      </w:r>
      <w:r w:rsidR="007F5247">
        <w:rPr>
          <w:noProof/>
        </w:rPr>
        <w:instrText xml:space="preserve"> SEQ Tabulka \* ARABIC </w:instrText>
      </w:r>
      <w:r w:rsidR="008E5E29">
        <w:rPr>
          <w:noProof/>
        </w:rPr>
        <w:fldChar w:fldCharType="separate"/>
      </w:r>
      <w:r w:rsidR="006D5C90">
        <w:rPr>
          <w:noProof/>
        </w:rPr>
        <w:t>5</w:t>
      </w:r>
      <w:r w:rsidR="008E5E29">
        <w:rPr>
          <w:noProof/>
        </w:rPr>
        <w:fldChar w:fldCharType="end"/>
      </w:r>
      <w:r w:rsidRPr="00C75FC6">
        <w:t xml:space="preserve">: </w:t>
      </w:r>
      <w:r w:rsidRPr="00FF4ED8">
        <w:t xml:space="preserve">Plánované výdaje systému v. z. p. </w:t>
      </w:r>
      <w:r w:rsidR="00211333" w:rsidRPr="00FF4ED8">
        <w:t>20</w:t>
      </w:r>
      <w:r w:rsidR="00211333">
        <w:t>21</w:t>
      </w:r>
      <w:r w:rsidR="00211333" w:rsidRPr="00FF4ED8">
        <w:t xml:space="preserve"> </w:t>
      </w:r>
      <w:r w:rsidRPr="00FF4ED8">
        <w:t>dle zdravotních pojišťoven</w:t>
      </w:r>
      <w:bookmarkEnd w:id="10"/>
    </w:p>
    <w:tbl>
      <w:tblPr>
        <w:tblW w:w="9600" w:type="dxa"/>
        <w:tblInd w:w="55" w:type="dxa"/>
        <w:tblCellMar>
          <w:left w:w="70" w:type="dxa"/>
          <w:right w:w="70" w:type="dxa"/>
        </w:tblCellMar>
        <w:tblLook w:val="04A0" w:firstRow="1" w:lastRow="0" w:firstColumn="1" w:lastColumn="0" w:noHBand="0" w:noVBand="1"/>
      </w:tblPr>
      <w:tblGrid>
        <w:gridCol w:w="2880"/>
        <w:gridCol w:w="960"/>
        <w:gridCol w:w="960"/>
        <w:gridCol w:w="960"/>
        <w:gridCol w:w="960"/>
        <w:gridCol w:w="960"/>
        <w:gridCol w:w="960"/>
        <w:gridCol w:w="960"/>
      </w:tblGrid>
      <w:tr w:rsidR="00436F6E" w:rsidRPr="005F75BF" w:rsidTr="007E01C6">
        <w:trPr>
          <w:trHeight w:val="315"/>
        </w:trPr>
        <w:tc>
          <w:tcPr>
            <w:tcW w:w="2880" w:type="dxa"/>
            <w:tcBorders>
              <w:top w:val="single" w:sz="12" w:space="0" w:color="4F81BD"/>
              <w:left w:val="single" w:sz="12" w:space="0" w:color="4F81BD"/>
              <w:bottom w:val="nil"/>
              <w:right w:val="nil"/>
            </w:tcBorders>
            <w:shd w:val="clear" w:color="000000" w:fill="4F81BD"/>
            <w:vAlign w:val="center"/>
            <w:hideMark/>
          </w:tcPr>
          <w:p w:rsidR="00436F6E" w:rsidRPr="005F75BF" w:rsidRDefault="00436F6E" w:rsidP="009D7DC1">
            <w:pPr>
              <w:spacing w:after="0" w:line="240" w:lineRule="auto"/>
              <w:rPr>
                <w:rFonts w:ascii="Calibri" w:eastAsia="Times New Roman" w:hAnsi="Calibri" w:cs="Times New Roman"/>
                <w:b/>
                <w:bCs/>
                <w:color w:val="FFFFFF"/>
                <w:szCs w:val="21"/>
                <w:lang w:eastAsia="cs-CZ"/>
              </w:rPr>
            </w:pPr>
            <w:r w:rsidRPr="005F75BF">
              <w:rPr>
                <w:rFonts w:ascii="Calibri" w:eastAsia="Times New Roman" w:hAnsi="Calibri" w:cs="Times New Roman"/>
                <w:b/>
                <w:bCs/>
                <w:color w:val="FFFFFF"/>
                <w:szCs w:val="21"/>
                <w:lang w:eastAsia="cs-CZ"/>
              </w:rPr>
              <w:t xml:space="preserve">ZPP </w:t>
            </w:r>
            <w:r w:rsidR="009D7DC1" w:rsidRPr="005F75BF">
              <w:rPr>
                <w:rFonts w:ascii="Calibri" w:eastAsia="Times New Roman" w:hAnsi="Calibri" w:cs="Times New Roman"/>
                <w:b/>
                <w:bCs/>
                <w:color w:val="FFFFFF"/>
                <w:szCs w:val="21"/>
                <w:lang w:eastAsia="cs-CZ"/>
              </w:rPr>
              <w:t>20</w:t>
            </w:r>
            <w:r w:rsidR="009D7DC1">
              <w:rPr>
                <w:rFonts w:ascii="Calibri" w:eastAsia="Times New Roman" w:hAnsi="Calibri" w:cs="Times New Roman"/>
                <w:b/>
                <w:bCs/>
                <w:color w:val="FFFFFF"/>
                <w:szCs w:val="21"/>
                <w:lang w:eastAsia="cs-CZ"/>
              </w:rPr>
              <w:t>2</w:t>
            </w:r>
            <w:r w:rsidR="00211333">
              <w:rPr>
                <w:rFonts w:ascii="Calibri" w:eastAsia="Times New Roman" w:hAnsi="Calibri" w:cs="Times New Roman"/>
                <w:b/>
                <w:bCs/>
                <w:color w:val="FFFFFF"/>
                <w:szCs w:val="21"/>
                <w:lang w:eastAsia="cs-CZ"/>
              </w:rPr>
              <w:t>1</w:t>
            </w:r>
          </w:p>
        </w:tc>
        <w:tc>
          <w:tcPr>
            <w:tcW w:w="960" w:type="dxa"/>
            <w:vMerge w:val="restart"/>
            <w:tcBorders>
              <w:top w:val="single" w:sz="12" w:space="0" w:color="4F81BD"/>
              <w:left w:val="nil"/>
              <w:bottom w:val="nil"/>
              <w:right w:val="nil"/>
            </w:tcBorders>
            <w:shd w:val="clear" w:color="000000" w:fill="6691C6"/>
            <w:noWrap/>
            <w:vAlign w:val="center"/>
            <w:hideMark/>
          </w:tcPr>
          <w:p w:rsidR="00436F6E" w:rsidRPr="005F75BF" w:rsidRDefault="00436F6E" w:rsidP="007E01C6">
            <w:pPr>
              <w:spacing w:after="0" w:line="240" w:lineRule="auto"/>
              <w:jc w:val="center"/>
              <w:rPr>
                <w:rFonts w:ascii="Calibri" w:eastAsia="Times New Roman" w:hAnsi="Calibri" w:cs="Times New Roman"/>
                <w:color w:val="FFFFFF"/>
                <w:szCs w:val="21"/>
                <w:lang w:eastAsia="cs-CZ"/>
              </w:rPr>
            </w:pPr>
            <w:r w:rsidRPr="005F75BF">
              <w:rPr>
                <w:rFonts w:ascii="Calibri" w:eastAsia="Times New Roman" w:hAnsi="Calibri" w:cs="Times New Roman"/>
                <w:color w:val="FFFFFF" w:themeColor="background1"/>
                <w:szCs w:val="21"/>
                <w:lang w:eastAsia="cs-CZ"/>
              </w:rPr>
              <w:t>VZP ČR</w:t>
            </w:r>
          </w:p>
        </w:tc>
        <w:tc>
          <w:tcPr>
            <w:tcW w:w="960" w:type="dxa"/>
            <w:vMerge w:val="restart"/>
            <w:tcBorders>
              <w:top w:val="single" w:sz="12" w:space="0" w:color="4F81BD"/>
              <w:left w:val="nil"/>
              <w:bottom w:val="nil"/>
              <w:right w:val="nil"/>
            </w:tcBorders>
            <w:shd w:val="clear" w:color="000000" w:fill="4F81BD"/>
            <w:noWrap/>
            <w:vAlign w:val="center"/>
            <w:hideMark/>
          </w:tcPr>
          <w:p w:rsidR="00436F6E" w:rsidRPr="005F75BF" w:rsidRDefault="00436F6E" w:rsidP="007E01C6">
            <w:pPr>
              <w:spacing w:after="0" w:line="240" w:lineRule="auto"/>
              <w:jc w:val="center"/>
              <w:rPr>
                <w:rFonts w:ascii="Calibri" w:eastAsia="Times New Roman" w:hAnsi="Calibri" w:cs="Times New Roman"/>
                <w:color w:val="FFFFFF"/>
                <w:szCs w:val="21"/>
                <w:lang w:eastAsia="cs-CZ"/>
              </w:rPr>
            </w:pPr>
            <w:proofErr w:type="spellStart"/>
            <w:r w:rsidRPr="005F75BF">
              <w:rPr>
                <w:rFonts w:ascii="Calibri" w:eastAsia="Times New Roman" w:hAnsi="Calibri" w:cs="Times New Roman"/>
                <w:color w:val="FFFFFF" w:themeColor="background1"/>
                <w:szCs w:val="21"/>
                <w:lang w:eastAsia="cs-CZ"/>
              </w:rPr>
              <w:t>VoZP</w:t>
            </w:r>
            <w:proofErr w:type="spellEnd"/>
            <w:r w:rsidRPr="005F75BF">
              <w:rPr>
                <w:rFonts w:ascii="Calibri" w:eastAsia="Times New Roman" w:hAnsi="Calibri" w:cs="Times New Roman"/>
                <w:color w:val="FFFFFF" w:themeColor="background1"/>
                <w:szCs w:val="21"/>
                <w:lang w:eastAsia="cs-CZ"/>
              </w:rPr>
              <w:t xml:space="preserve"> ČR</w:t>
            </w:r>
          </w:p>
        </w:tc>
        <w:tc>
          <w:tcPr>
            <w:tcW w:w="960" w:type="dxa"/>
            <w:vMerge w:val="restart"/>
            <w:tcBorders>
              <w:top w:val="single" w:sz="12" w:space="0" w:color="4F81BD"/>
              <w:left w:val="nil"/>
              <w:bottom w:val="nil"/>
              <w:right w:val="nil"/>
            </w:tcBorders>
            <w:shd w:val="clear" w:color="000000" w:fill="6691C6"/>
            <w:noWrap/>
            <w:vAlign w:val="center"/>
            <w:hideMark/>
          </w:tcPr>
          <w:p w:rsidR="00436F6E" w:rsidRPr="005F75BF" w:rsidRDefault="00436F6E" w:rsidP="007E01C6">
            <w:pPr>
              <w:spacing w:after="0" w:line="240" w:lineRule="auto"/>
              <w:jc w:val="center"/>
              <w:rPr>
                <w:rFonts w:ascii="Calibri" w:eastAsia="Times New Roman" w:hAnsi="Calibri" w:cs="Times New Roman"/>
                <w:color w:val="FFFFFF"/>
                <w:szCs w:val="21"/>
                <w:lang w:eastAsia="cs-CZ"/>
              </w:rPr>
            </w:pPr>
            <w:r w:rsidRPr="005F75BF">
              <w:rPr>
                <w:rFonts w:ascii="Calibri" w:eastAsia="Times New Roman" w:hAnsi="Calibri" w:cs="Times New Roman"/>
                <w:color w:val="FFFFFF" w:themeColor="background1"/>
                <w:szCs w:val="21"/>
                <w:lang w:eastAsia="cs-CZ"/>
              </w:rPr>
              <w:t>ČPZP</w:t>
            </w:r>
          </w:p>
        </w:tc>
        <w:tc>
          <w:tcPr>
            <w:tcW w:w="960" w:type="dxa"/>
            <w:vMerge w:val="restart"/>
            <w:tcBorders>
              <w:top w:val="single" w:sz="12" w:space="0" w:color="4F81BD"/>
              <w:left w:val="nil"/>
              <w:bottom w:val="nil"/>
              <w:right w:val="nil"/>
            </w:tcBorders>
            <w:shd w:val="clear" w:color="000000" w:fill="4F81BD"/>
            <w:vAlign w:val="center"/>
            <w:hideMark/>
          </w:tcPr>
          <w:p w:rsidR="00436F6E" w:rsidRPr="005F75BF" w:rsidRDefault="00436F6E" w:rsidP="007E01C6">
            <w:pPr>
              <w:spacing w:after="0" w:line="240" w:lineRule="auto"/>
              <w:jc w:val="center"/>
              <w:rPr>
                <w:rFonts w:ascii="Calibri" w:eastAsia="Times New Roman" w:hAnsi="Calibri" w:cs="Times New Roman"/>
                <w:color w:val="FFFFFF"/>
                <w:szCs w:val="21"/>
                <w:lang w:eastAsia="cs-CZ"/>
              </w:rPr>
            </w:pPr>
            <w:r w:rsidRPr="005F75BF">
              <w:rPr>
                <w:rFonts w:ascii="Calibri" w:eastAsia="Times New Roman" w:hAnsi="Calibri" w:cs="Times New Roman"/>
                <w:color w:val="FFFFFF" w:themeColor="background1"/>
                <w:szCs w:val="21"/>
                <w:lang w:eastAsia="cs-CZ"/>
              </w:rPr>
              <w:t>OZP</w:t>
            </w:r>
          </w:p>
        </w:tc>
        <w:tc>
          <w:tcPr>
            <w:tcW w:w="960" w:type="dxa"/>
            <w:vMerge w:val="restart"/>
            <w:tcBorders>
              <w:top w:val="single" w:sz="12" w:space="0" w:color="4F81BD"/>
              <w:left w:val="nil"/>
              <w:bottom w:val="nil"/>
              <w:right w:val="nil"/>
            </w:tcBorders>
            <w:shd w:val="clear" w:color="000000" w:fill="6691C6"/>
            <w:vAlign w:val="center"/>
            <w:hideMark/>
          </w:tcPr>
          <w:p w:rsidR="00436F6E" w:rsidRPr="005F75BF" w:rsidRDefault="00436F6E" w:rsidP="007E01C6">
            <w:pPr>
              <w:spacing w:after="0" w:line="240" w:lineRule="auto"/>
              <w:jc w:val="center"/>
              <w:rPr>
                <w:rFonts w:ascii="Calibri" w:eastAsia="Times New Roman" w:hAnsi="Calibri" w:cs="Times New Roman"/>
                <w:color w:val="FFFFFF"/>
                <w:szCs w:val="21"/>
                <w:lang w:eastAsia="cs-CZ"/>
              </w:rPr>
            </w:pPr>
            <w:r w:rsidRPr="005F75BF">
              <w:rPr>
                <w:rFonts w:ascii="Calibri" w:eastAsia="Times New Roman" w:hAnsi="Calibri" w:cs="Times New Roman"/>
                <w:color w:val="FFFFFF" w:themeColor="background1"/>
                <w:szCs w:val="21"/>
                <w:lang w:eastAsia="cs-CZ"/>
              </w:rPr>
              <w:t>ZPŠ</w:t>
            </w:r>
          </w:p>
        </w:tc>
        <w:tc>
          <w:tcPr>
            <w:tcW w:w="960" w:type="dxa"/>
            <w:vMerge w:val="restart"/>
            <w:tcBorders>
              <w:top w:val="single" w:sz="12" w:space="0" w:color="4F81BD"/>
              <w:left w:val="nil"/>
              <w:bottom w:val="nil"/>
              <w:right w:val="nil"/>
            </w:tcBorders>
            <w:shd w:val="clear" w:color="000000" w:fill="4F81BD"/>
            <w:vAlign w:val="center"/>
            <w:hideMark/>
          </w:tcPr>
          <w:p w:rsidR="00436F6E" w:rsidRPr="00B34351" w:rsidRDefault="00DF5584" w:rsidP="007E01C6">
            <w:pPr>
              <w:spacing w:after="0" w:line="240" w:lineRule="auto"/>
              <w:jc w:val="center"/>
              <w:rPr>
                <w:rFonts w:ascii="Calibri" w:eastAsia="Times New Roman" w:hAnsi="Calibri" w:cs="Times New Roman"/>
                <w:color w:val="FFFFFF"/>
                <w:spacing w:val="-2"/>
                <w:szCs w:val="21"/>
                <w:lang w:eastAsia="cs-CZ"/>
              </w:rPr>
            </w:pPr>
            <w:r w:rsidRPr="00B34351">
              <w:rPr>
                <w:rFonts w:ascii="Calibri" w:eastAsia="Times New Roman" w:hAnsi="Calibri" w:cs="Times New Roman"/>
                <w:color w:val="FFFFFF" w:themeColor="background1"/>
                <w:spacing w:val="-2"/>
                <w:szCs w:val="21"/>
                <w:lang w:eastAsia="cs-CZ"/>
              </w:rPr>
              <w:t>ZP MV ČR</w:t>
            </w:r>
          </w:p>
        </w:tc>
        <w:tc>
          <w:tcPr>
            <w:tcW w:w="960" w:type="dxa"/>
            <w:vMerge w:val="restart"/>
            <w:tcBorders>
              <w:top w:val="single" w:sz="12" w:space="0" w:color="4F81BD"/>
              <w:left w:val="nil"/>
              <w:bottom w:val="nil"/>
              <w:right w:val="single" w:sz="12" w:space="0" w:color="4F81BD"/>
            </w:tcBorders>
            <w:shd w:val="clear" w:color="000000" w:fill="6691C6"/>
            <w:vAlign w:val="center"/>
            <w:hideMark/>
          </w:tcPr>
          <w:p w:rsidR="00436F6E" w:rsidRPr="005F75BF" w:rsidRDefault="00436F6E" w:rsidP="007E01C6">
            <w:pPr>
              <w:spacing w:after="0" w:line="240" w:lineRule="auto"/>
              <w:jc w:val="center"/>
              <w:rPr>
                <w:rFonts w:ascii="Calibri" w:eastAsia="Times New Roman" w:hAnsi="Calibri" w:cs="Times New Roman"/>
                <w:color w:val="FFFFFF"/>
                <w:szCs w:val="21"/>
                <w:lang w:eastAsia="cs-CZ"/>
              </w:rPr>
            </w:pPr>
            <w:r w:rsidRPr="005F75BF">
              <w:rPr>
                <w:rFonts w:ascii="Calibri" w:eastAsia="Times New Roman" w:hAnsi="Calibri" w:cs="Times New Roman"/>
                <w:color w:val="FFFFFF" w:themeColor="background1"/>
                <w:szCs w:val="21"/>
                <w:lang w:eastAsia="cs-CZ"/>
              </w:rPr>
              <w:t>RBP</w:t>
            </w:r>
          </w:p>
        </w:tc>
      </w:tr>
      <w:tr w:rsidR="00436F6E" w:rsidRPr="005F75BF" w:rsidTr="007E01C6">
        <w:trPr>
          <w:trHeight w:val="300"/>
        </w:trPr>
        <w:tc>
          <w:tcPr>
            <w:tcW w:w="2880" w:type="dxa"/>
            <w:tcBorders>
              <w:top w:val="nil"/>
              <w:left w:val="single" w:sz="12" w:space="0" w:color="4F81BD"/>
              <w:bottom w:val="nil"/>
              <w:right w:val="nil"/>
            </w:tcBorders>
            <w:shd w:val="clear" w:color="000000" w:fill="4F81BD"/>
            <w:vAlign w:val="center"/>
            <w:hideMark/>
          </w:tcPr>
          <w:p w:rsidR="00436F6E" w:rsidRPr="005F75BF" w:rsidRDefault="00436F6E" w:rsidP="007E01C6">
            <w:pPr>
              <w:spacing w:after="0" w:line="240" w:lineRule="auto"/>
              <w:rPr>
                <w:rFonts w:ascii="Calibri" w:eastAsia="Times New Roman" w:hAnsi="Calibri" w:cs="Times New Roman"/>
                <w:b/>
                <w:bCs/>
                <w:i/>
                <w:iCs/>
                <w:color w:val="FFFFFF"/>
                <w:szCs w:val="21"/>
                <w:lang w:eastAsia="cs-CZ"/>
              </w:rPr>
            </w:pPr>
            <w:r w:rsidRPr="005F75BF">
              <w:rPr>
                <w:rFonts w:ascii="Calibri" w:eastAsia="Times New Roman" w:hAnsi="Calibri" w:cs="Times New Roman"/>
                <w:b/>
                <w:bCs/>
                <w:i/>
                <w:iCs/>
                <w:color w:val="FFFFFF"/>
                <w:szCs w:val="21"/>
                <w:lang w:eastAsia="cs-CZ"/>
              </w:rPr>
              <w:t xml:space="preserve">(v mil. </w:t>
            </w:r>
            <w:proofErr w:type="gramStart"/>
            <w:r w:rsidRPr="005F75BF">
              <w:rPr>
                <w:rFonts w:ascii="Calibri" w:eastAsia="Times New Roman" w:hAnsi="Calibri" w:cs="Times New Roman"/>
                <w:b/>
                <w:bCs/>
                <w:i/>
                <w:iCs/>
                <w:color w:val="FFFFFF"/>
                <w:szCs w:val="21"/>
                <w:lang w:eastAsia="cs-CZ"/>
              </w:rPr>
              <w:t>Kč )</w:t>
            </w:r>
            <w:proofErr w:type="gramEnd"/>
          </w:p>
        </w:tc>
        <w:tc>
          <w:tcPr>
            <w:tcW w:w="960" w:type="dxa"/>
            <w:vMerge/>
            <w:tcBorders>
              <w:top w:val="single" w:sz="12" w:space="0" w:color="4F81BD"/>
              <w:left w:val="nil"/>
              <w:bottom w:val="nil"/>
              <w:right w:val="nil"/>
            </w:tcBorders>
            <w:vAlign w:val="center"/>
            <w:hideMark/>
          </w:tcPr>
          <w:p w:rsidR="00436F6E" w:rsidRPr="005F75BF" w:rsidRDefault="00436F6E" w:rsidP="007E01C6">
            <w:pPr>
              <w:spacing w:after="0" w:line="240" w:lineRule="auto"/>
              <w:rPr>
                <w:rFonts w:ascii="Calibri" w:eastAsia="Times New Roman" w:hAnsi="Calibri" w:cs="Times New Roman"/>
                <w:color w:val="FFFFFF"/>
                <w:szCs w:val="21"/>
                <w:lang w:eastAsia="cs-CZ"/>
              </w:rPr>
            </w:pPr>
          </w:p>
        </w:tc>
        <w:tc>
          <w:tcPr>
            <w:tcW w:w="960" w:type="dxa"/>
            <w:vMerge/>
            <w:tcBorders>
              <w:top w:val="single" w:sz="12" w:space="0" w:color="4F81BD"/>
              <w:left w:val="nil"/>
              <w:bottom w:val="nil"/>
              <w:right w:val="nil"/>
            </w:tcBorders>
            <w:vAlign w:val="center"/>
            <w:hideMark/>
          </w:tcPr>
          <w:p w:rsidR="00436F6E" w:rsidRPr="005F75BF" w:rsidRDefault="00436F6E" w:rsidP="007E01C6">
            <w:pPr>
              <w:spacing w:after="0" w:line="240" w:lineRule="auto"/>
              <w:rPr>
                <w:rFonts w:ascii="Calibri" w:eastAsia="Times New Roman" w:hAnsi="Calibri" w:cs="Times New Roman"/>
                <w:color w:val="FFFFFF"/>
                <w:szCs w:val="21"/>
                <w:lang w:eastAsia="cs-CZ"/>
              </w:rPr>
            </w:pPr>
          </w:p>
        </w:tc>
        <w:tc>
          <w:tcPr>
            <w:tcW w:w="960" w:type="dxa"/>
            <w:vMerge/>
            <w:tcBorders>
              <w:top w:val="single" w:sz="12" w:space="0" w:color="4F81BD"/>
              <w:left w:val="nil"/>
              <w:bottom w:val="nil"/>
              <w:right w:val="nil"/>
            </w:tcBorders>
            <w:vAlign w:val="center"/>
            <w:hideMark/>
          </w:tcPr>
          <w:p w:rsidR="00436F6E" w:rsidRPr="005F75BF" w:rsidRDefault="00436F6E" w:rsidP="007E01C6">
            <w:pPr>
              <w:spacing w:after="0" w:line="240" w:lineRule="auto"/>
              <w:rPr>
                <w:rFonts w:ascii="Calibri" w:eastAsia="Times New Roman" w:hAnsi="Calibri" w:cs="Times New Roman"/>
                <w:color w:val="FFFFFF"/>
                <w:szCs w:val="21"/>
                <w:lang w:eastAsia="cs-CZ"/>
              </w:rPr>
            </w:pPr>
          </w:p>
        </w:tc>
        <w:tc>
          <w:tcPr>
            <w:tcW w:w="960" w:type="dxa"/>
            <w:vMerge/>
            <w:tcBorders>
              <w:top w:val="single" w:sz="12" w:space="0" w:color="4F81BD"/>
              <w:left w:val="nil"/>
              <w:bottom w:val="nil"/>
              <w:right w:val="nil"/>
            </w:tcBorders>
            <w:vAlign w:val="center"/>
            <w:hideMark/>
          </w:tcPr>
          <w:p w:rsidR="00436F6E" w:rsidRPr="005F75BF" w:rsidRDefault="00436F6E" w:rsidP="007E01C6">
            <w:pPr>
              <w:spacing w:after="0" w:line="240" w:lineRule="auto"/>
              <w:rPr>
                <w:rFonts w:ascii="Calibri" w:eastAsia="Times New Roman" w:hAnsi="Calibri" w:cs="Times New Roman"/>
                <w:color w:val="FFFFFF"/>
                <w:szCs w:val="21"/>
                <w:lang w:eastAsia="cs-CZ"/>
              </w:rPr>
            </w:pPr>
          </w:p>
        </w:tc>
        <w:tc>
          <w:tcPr>
            <w:tcW w:w="960" w:type="dxa"/>
            <w:vMerge/>
            <w:tcBorders>
              <w:top w:val="single" w:sz="12" w:space="0" w:color="4F81BD"/>
              <w:left w:val="nil"/>
              <w:bottom w:val="nil"/>
              <w:right w:val="nil"/>
            </w:tcBorders>
            <w:vAlign w:val="center"/>
            <w:hideMark/>
          </w:tcPr>
          <w:p w:rsidR="00436F6E" w:rsidRPr="005F75BF" w:rsidRDefault="00436F6E" w:rsidP="007E01C6">
            <w:pPr>
              <w:spacing w:after="0" w:line="240" w:lineRule="auto"/>
              <w:rPr>
                <w:rFonts w:ascii="Calibri" w:eastAsia="Times New Roman" w:hAnsi="Calibri" w:cs="Times New Roman"/>
                <w:color w:val="FFFFFF"/>
                <w:szCs w:val="21"/>
                <w:lang w:eastAsia="cs-CZ"/>
              </w:rPr>
            </w:pPr>
          </w:p>
        </w:tc>
        <w:tc>
          <w:tcPr>
            <w:tcW w:w="960" w:type="dxa"/>
            <w:vMerge/>
            <w:tcBorders>
              <w:top w:val="single" w:sz="12" w:space="0" w:color="4F81BD"/>
              <w:left w:val="nil"/>
              <w:bottom w:val="nil"/>
              <w:right w:val="nil"/>
            </w:tcBorders>
            <w:vAlign w:val="center"/>
            <w:hideMark/>
          </w:tcPr>
          <w:p w:rsidR="00436F6E" w:rsidRPr="005F75BF" w:rsidRDefault="00436F6E" w:rsidP="007E01C6">
            <w:pPr>
              <w:spacing w:after="0" w:line="240" w:lineRule="auto"/>
              <w:rPr>
                <w:rFonts w:ascii="Calibri" w:eastAsia="Times New Roman" w:hAnsi="Calibri" w:cs="Times New Roman"/>
                <w:color w:val="FFFFFF"/>
                <w:szCs w:val="21"/>
                <w:lang w:eastAsia="cs-CZ"/>
              </w:rPr>
            </w:pPr>
          </w:p>
        </w:tc>
        <w:tc>
          <w:tcPr>
            <w:tcW w:w="960" w:type="dxa"/>
            <w:vMerge/>
            <w:tcBorders>
              <w:top w:val="single" w:sz="12" w:space="0" w:color="4F81BD"/>
              <w:left w:val="nil"/>
              <w:bottom w:val="nil"/>
              <w:right w:val="single" w:sz="12" w:space="0" w:color="4F81BD"/>
            </w:tcBorders>
            <w:vAlign w:val="center"/>
            <w:hideMark/>
          </w:tcPr>
          <w:p w:rsidR="00436F6E" w:rsidRPr="005F75BF" w:rsidRDefault="00436F6E" w:rsidP="007E01C6">
            <w:pPr>
              <w:spacing w:after="0" w:line="240" w:lineRule="auto"/>
              <w:rPr>
                <w:rFonts w:ascii="Calibri" w:eastAsia="Times New Roman" w:hAnsi="Calibri" w:cs="Times New Roman"/>
                <w:color w:val="FFFFFF"/>
                <w:szCs w:val="21"/>
                <w:lang w:eastAsia="cs-CZ"/>
              </w:rPr>
            </w:pPr>
          </w:p>
        </w:tc>
      </w:tr>
      <w:tr w:rsidR="00211333" w:rsidRPr="005F75BF" w:rsidTr="009D7DC1">
        <w:trPr>
          <w:trHeight w:val="300"/>
        </w:trPr>
        <w:tc>
          <w:tcPr>
            <w:tcW w:w="2880" w:type="dxa"/>
            <w:tcBorders>
              <w:top w:val="nil"/>
              <w:left w:val="single" w:sz="12" w:space="0" w:color="4F81BD"/>
              <w:bottom w:val="nil"/>
              <w:right w:val="nil"/>
            </w:tcBorders>
            <w:shd w:val="clear" w:color="auto" w:fill="auto"/>
            <w:vAlign w:val="center"/>
            <w:hideMark/>
          </w:tcPr>
          <w:p w:rsidR="00211333" w:rsidRPr="005F75BF" w:rsidRDefault="00211333" w:rsidP="007E01C6">
            <w:pPr>
              <w:spacing w:after="0" w:line="240" w:lineRule="auto"/>
              <w:rPr>
                <w:rFonts w:ascii="Calibri" w:eastAsia="Times New Roman" w:hAnsi="Calibri" w:cs="Times New Roman"/>
                <w:b/>
                <w:bCs/>
                <w:color w:val="000000"/>
                <w:szCs w:val="21"/>
                <w:lang w:eastAsia="cs-CZ"/>
              </w:rPr>
            </w:pPr>
            <w:r>
              <w:rPr>
                <w:rFonts w:ascii="Calibri" w:eastAsia="Times New Roman" w:hAnsi="Calibri" w:cs="Arial"/>
                <w:b/>
                <w:bCs/>
                <w:color w:val="000000"/>
                <w:szCs w:val="21"/>
                <w:lang w:eastAsia="cs-CZ"/>
              </w:rPr>
              <w:t>V</w:t>
            </w:r>
            <w:r w:rsidRPr="005F75BF">
              <w:rPr>
                <w:rFonts w:ascii="Calibri" w:eastAsia="Times New Roman" w:hAnsi="Calibri" w:cs="Arial"/>
                <w:b/>
                <w:bCs/>
                <w:color w:val="000000"/>
                <w:szCs w:val="21"/>
                <w:lang w:eastAsia="cs-CZ"/>
              </w:rPr>
              <w:t>ýdaje celkem</w:t>
            </w:r>
          </w:p>
        </w:tc>
        <w:tc>
          <w:tcPr>
            <w:tcW w:w="960" w:type="dxa"/>
            <w:tcBorders>
              <w:top w:val="nil"/>
              <w:left w:val="nil"/>
              <w:bottom w:val="nil"/>
              <w:right w:val="nil"/>
            </w:tcBorders>
            <w:shd w:val="clear" w:color="000000" w:fill="DCE6F1"/>
            <w:noWrap/>
            <w:vAlign w:val="center"/>
          </w:tcPr>
          <w:p w:rsidR="00211333" w:rsidRPr="009D7DC1" w:rsidRDefault="00211333" w:rsidP="009D7DC1">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241 865</w:t>
            </w:r>
          </w:p>
        </w:tc>
        <w:tc>
          <w:tcPr>
            <w:tcW w:w="960" w:type="dxa"/>
            <w:tcBorders>
              <w:top w:val="nil"/>
              <w:left w:val="nil"/>
              <w:bottom w:val="nil"/>
              <w:right w:val="nil"/>
            </w:tcBorders>
            <w:shd w:val="clear" w:color="auto" w:fill="auto"/>
            <w:noWrap/>
            <w:vAlign w:val="center"/>
          </w:tcPr>
          <w:p w:rsidR="00211333" w:rsidRPr="009D7DC1" w:rsidRDefault="00211333" w:rsidP="009D7DC1">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24 948</w:t>
            </w:r>
          </w:p>
        </w:tc>
        <w:tc>
          <w:tcPr>
            <w:tcW w:w="960" w:type="dxa"/>
            <w:tcBorders>
              <w:top w:val="nil"/>
              <w:left w:val="nil"/>
              <w:bottom w:val="nil"/>
              <w:right w:val="nil"/>
            </w:tcBorders>
            <w:shd w:val="clear" w:color="000000" w:fill="DCE6F1"/>
            <w:noWrap/>
            <w:vAlign w:val="center"/>
          </w:tcPr>
          <w:p w:rsidR="00211333" w:rsidRPr="009D7DC1" w:rsidRDefault="00211333" w:rsidP="009D7DC1">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41 862</w:t>
            </w:r>
          </w:p>
        </w:tc>
        <w:tc>
          <w:tcPr>
            <w:tcW w:w="960" w:type="dxa"/>
            <w:tcBorders>
              <w:top w:val="nil"/>
              <w:left w:val="nil"/>
              <w:bottom w:val="nil"/>
              <w:right w:val="nil"/>
            </w:tcBorders>
            <w:shd w:val="clear" w:color="auto" w:fill="auto"/>
            <w:noWrap/>
            <w:vAlign w:val="center"/>
          </w:tcPr>
          <w:p w:rsidR="00211333" w:rsidRPr="009D7DC1" w:rsidRDefault="00211333" w:rsidP="009D7DC1">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24 634</w:t>
            </w:r>
          </w:p>
        </w:tc>
        <w:tc>
          <w:tcPr>
            <w:tcW w:w="960" w:type="dxa"/>
            <w:tcBorders>
              <w:top w:val="nil"/>
              <w:left w:val="nil"/>
              <w:bottom w:val="nil"/>
              <w:right w:val="nil"/>
            </w:tcBorders>
            <w:shd w:val="clear" w:color="000000" w:fill="DCE6F1"/>
            <w:noWrap/>
            <w:vAlign w:val="center"/>
          </w:tcPr>
          <w:p w:rsidR="00211333" w:rsidRPr="009D7DC1" w:rsidRDefault="00211333" w:rsidP="009D7DC1">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5 471</w:t>
            </w:r>
          </w:p>
        </w:tc>
        <w:tc>
          <w:tcPr>
            <w:tcW w:w="960" w:type="dxa"/>
            <w:tcBorders>
              <w:top w:val="nil"/>
              <w:left w:val="nil"/>
              <w:bottom w:val="nil"/>
              <w:right w:val="nil"/>
            </w:tcBorders>
            <w:shd w:val="clear" w:color="auto" w:fill="auto"/>
            <w:noWrap/>
            <w:vAlign w:val="center"/>
          </w:tcPr>
          <w:p w:rsidR="00211333" w:rsidRPr="009D7DC1" w:rsidRDefault="00211333" w:rsidP="009D7DC1">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46 197</w:t>
            </w:r>
          </w:p>
        </w:tc>
        <w:tc>
          <w:tcPr>
            <w:tcW w:w="960" w:type="dxa"/>
            <w:tcBorders>
              <w:top w:val="nil"/>
              <w:left w:val="nil"/>
              <w:bottom w:val="nil"/>
              <w:right w:val="single" w:sz="12" w:space="0" w:color="4F81BD"/>
            </w:tcBorders>
            <w:shd w:val="clear" w:color="000000" w:fill="DCE6F1"/>
            <w:noWrap/>
            <w:vAlign w:val="center"/>
          </w:tcPr>
          <w:p w:rsidR="00211333" w:rsidRPr="009D7DC1" w:rsidRDefault="00211333" w:rsidP="009D7DC1">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14 153</w:t>
            </w:r>
          </w:p>
        </w:tc>
      </w:tr>
      <w:tr w:rsidR="00211333" w:rsidRPr="005F75BF" w:rsidTr="009D7DC1">
        <w:trPr>
          <w:trHeight w:val="570"/>
        </w:trPr>
        <w:tc>
          <w:tcPr>
            <w:tcW w:w="2880" w:type="dxa"/>
            <w:tcBorders>
              <w:top w:val="nil"/>
              <w:left w:val="single" w:sz="12" w:space="0" w:color="4F81BD"/>
              <w:bottom w:val="nil"/>
              <w:right w:val="nil"/>
            </w:tcBorders>
            <w:shd w:val="clear" w:color="000000" w:fill="EEF3F8"/>
            <w:vAlign w:val="center"/>
            <w:hideMark/>
          </w:tcPr>
          <w:p w:rsidR="00211333" w:rsidRPr="005F75BF" w:rsidRDefault="00211333" w:rsidP="007E01C6">
            <w:pPr>
              <w:spacing w:after="0" w:line="240" w:lineRule="auto"/>
              <w:rPr>
                <w:rFonts w:ascii="Calibri" w:eastAsia="Times New Roman" w:hAnsi="Calibri" w:cs="Times New Roman"/>
                <w:color w:val="000000"/>
                <w:szCs w:val="21"/>
                <w:lang w:eastAsia="cs-CZ"/>
              </w:rPr>
            </w:pPr>
            <w:r>
              <w:rPr>
                <w:rFonts w:ascii="Calibri" w:eastAsia="Times New Roman" w:hAnsi="Calibri" w:cs="Times New Roman"/>
                <w:color w:val="000000"/>
                <w:szCs w:val="21"/>
                <w:lang w:eastAsia="cs-CZ"/>
              </w:rPr>
              <w:t>V</w:t>
            </w:r>
            <w:r w:rsidRPr="005F75BF">
              <w:rPr>
                <w:rFonts w:ascii="Calibri" w:eastAsia="Times New Roman" w:hAnsi="Calibri" w:cs="Times New Roman"/>
                <w:color w:val="000000"/>
                <w:szCs w:val="21"/>
                <w:lang w:eastAsia="cs-CZ"/>
              </w:rPr>
              <w:t>ýdaje na zdravotní služby ze ZFZP</w:t>
            </w:r>
          </w:p>
        </w:tc>
        <w:tc>
          <w:tcPr>
            <w:tcW w:w="960" w:type="dxa"/>
            <w:tcBorders>
              <w:top w:val="nil"/>
              <w:left w:val="nil"/>
              <w:bottom w:val="nil"/>
              <w:right w:val="nil"/>
            </w:tcBorders>
            <w:shd w:val="clear" w:color="000000" w:fill="EEF3F8"/>
            <w:noWrap/>
            <w:vAlign w:val="center"/>
          </w:tcPr>
          <w:p w:rsidR="00211333" w:rsidRPr="005F75BF" w:rsidRDefault="00211333" w:rsidP="009D7DC1">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235 014</w:t>
            </w:r>
          </w:p>
        </w:tc>
        <w:tc>
          <w:tcPr>
            <w:tcW w:w="960" w:type="dxa"/>
            <w:tcBorders>
              <w:top w:val="nil"/>
              <w:left w:val="nil"/>
              <w:bottom w:val="nil"/>
              <w:right w:val="nil"/>
            </w:tcBorders>
            <w:shd w:val="clear" w:color="000000" w:fill="EEF3F8"/>
            <w:noWrap/>
            <w:vAlign w:val="center"/>
          </w:tcPr>
          <w:p w:rsidR="00211333" w:rsidRPr="005F75BF" w:rsidRDefault="00211333" w:rsidP="009D7DC1">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23 907</w:t>
            </w:r>
          </w:p>
        </w:tc>
        <w:tc>
          <w:tcPr>
            <w:tcW w:w="960" w:type="dxa"/>
            <w:tcBorders>
              <w:top w:val="nil"/>
              <w:left w:val="nil"/>
              <w:bottom w:val="nil"/>
              <w:right w:val="nil"/>
            </w:tcBorders>
            <w:shd w:val="clear" w:color="000000" w:fill="EEF3F8"/>
            <w:noWrap/>
            <w:vAlign w:val="center"/>
          </w:tcPr>
          <w:p w:rsidR="00211333" w:rsidRPr="005F75BF" w:rsidRDefault="00211333" w:rsidP="009D7DC1">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40 379</w:t>
            </w:r>
          </w:p>
        </w:tc>
        <w:tc>
          <w:tcPr>
            <w:tcW w:w="960" w:type="dxa"/>
            <w:tcBorders>
              <w:top w:val="nil"/>
              <w:left w:val="nil"/>
              <w:bottom w:val="nil"/>
              <w:right w:val="nil"/>
            </w:tcBorders>
            <w:shd w:val="clear" w:color="000000" w:fill="EEF3F8"/>
            <w:noWrap/>
            <w:vAlign w:val="center"/>
          </w:tcPr>
          <w:p w:rsidR="00211333" w:rsidRPr="005F75BF" w:rsidRDefault="00211333" w:rsidP="009D7DC1">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23 670</w:t>
            </w:r>
          </w:p>
        </w:tc>
        <w:tc>
          <w:tcPr>
            <w:tcW w:w="960" w:type="dxa"/>
            <w:tcBorders>
              <w:top w:val="nil"/>
              <w:left w:val="nil"/>
              <w:bottom w:val="nil"/>
              <w:right w:val="nil"/>
            </w:tcBorders>
            <w:shd w:val="clear" w:color="000000" w:fill="EEF3F8"/>
            <w:noWrap/>
            <w:vAlign w:val="center"/>
          </w:tcPr>
          <w:p w:rsidR="00211333" w:rsidRPr="005F75BF" w:rsidRDefault="00211333" w:rsidP="009D7DC1">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5 261</w:t>
            </w:r>
          </w:p>
        </w:tc>
        <w:tc>
          <w:tcPr>
            <w:tcW w:w="960" w:type="dxa"/>
            <w:tcBorders>
              <w:top w:val="nil"/>
              <w:left w:val="nil"/>
              <w:bottom w:val="nil"/>
              <w:right w:val="nil"/>
            </w:tcBorders>
            <w:shd w:val="clear" w:color="000000" w:fill="EEF3F8"/>
            <w:noWrap/>
            <w:vAlign w:val="center"/>
          </w:tcPr>
          <w:p w:rsidR="00211333" w:rsidRPr="005F75BF" w:rsidRDefault="00211333" w:rsidP="009D7DC1">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44 426</w:t>
            </w:r>
          </w:p>
        </w:tc>
        <w:tc>
          <w:tcPr>
            <w:tcW w:w="960" w:type="dxa"/>
            <w:tcBorders>
              <w:top w:val="nil"/>
              <w:left w:val="nil"/>
              <w:bottom w:val="nil"/>
              <w:right w:val="single" w:sz="12" w:space="0" w:color="4F81BD"/>
            </w:tcBorders>
            <w:shd w:val="clear" w:color="000000" w:fill="EEF3F8"/>
            <w:noWrap/>
            <w:vAlign w:val="center"/>
          </w:tcPr>
          <w:p w:rsidR="00211333" w:rsidRPr="005F75BF" w:rsidRDefault="00211333" w:rsidP="009D7DC1">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13 650</w:t>
            </w:r>
          </w:p>
        </w:tc>
      </w:tr>
      <w:tr w:rsidR="00211333" w:rsidRPr="005F75BF" w:rsidTr="009D7DC1">
        <w:trPr>
          <w:trHeight w:val="300"/>
        </w:trPr>
        <w:tc>
          <w:tcPr>
            <w:tcW w:w="2880" w:type="dxa"/>
            <w:tcBorders>
              <w:top w:val="nil"/>
              <w:left w:val="single" w:sz="12" w:space="0" w:color="4F81BD"/>
              <w:bottom w:val="nil"/>
              <w:right w:val="nil"/>
            </w:tcBorders>
            <w:shd w:val="clear" w:color="auto" w:fill="auto"/>
            <w:vAlign w:val="center"/>
            <w:hideMark/>
          </w:tcPr>
          <w:p w:rsidR="00211333" w:rsidRPr="005F75BF" w:rsidRDefault="00211333" w:rsidP="007E01C6">
            <w:pPr>
              <w:spacing w:after="0" w:line="240" w:lineRule="auto"/>
              <w:rPr>
                <w:rFonts w:ascii="Calibri" w:eastAsia="Times New Roman" w:hAnsi="Calibri" w:cs="Times New Roman"/>
                <w:color w:val="000000"/>
                <w:szCs w:val="21"/>
                <w:lang w:eastAsia="cs-CZ"/>
              </w:rPr>
            </w:pPr>
            <w:r>
              <w:rPr>
                <w:rFonts w:ascii="Calibri" w:eastAsia="Times New Roman" w:hAnsi="Calibri" w:cs="Times New Roman"/>
                <w:color w:val="000000"/>
                <w:szCs w:val="21"/>
                <w:lang w:eastAsia="cs-CZ"/>
              </w:rPr>
              <w:t>N</w:t>
            </w:r>
            <w:r w:rsidRPr="005F75BF">
              <w:rPr>
                <w:rFonts w:ascii="Calibri" w:eastAsia="Times New Roman" w:hAnsi="Calibri" w:cs="Times New Roman"/>
                <w:color w:val="000000"/>
                <w:szCs w:val="21"/>
                <w:lang w:eastAsia="cs-CZ"/>
              </w:rPr>
              <w:t>a 1 pojištěnce (v Kč)</w:t>
            </w:r>
          </w:p>
        </w:tc>
        <w:tc>
          <w:tcPr>
            <w:tcW w:w="960" w:type="dxa"/>
            <w:tcBorders>
              <w:top w:val="nil"/>
              <w:left w:val="nil"/>
              <w:bottom w:val="nil"/>
              <w:right w:val="nil"/>
            </w:tcBorders>
            <w:shd w:val="clear" w:color="000000" w:fill="DCE6F1"/>
            <w:noWrap/>
            <w:vAlign w:val="center"/>
          </w:tcPr>
          <w:p w:rsidR="00211333" w:rsidRPr="005F75BF" w:rsidRDefault="00211333" w:rsidP="009D7DC1">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39 692</w:t>
            </w:r>
          </w:p>
        </w:tc>
        <w:tc>
          <w:tcPr>
            <w:tcW w:w="960" w:type="dxa"/>
            <w:tcBorders>
              <w:top w:val="nil"/>
              <w:left w:val="nil"/>
              <w:bottom w:val="nil"/>
              <w:right w:val="nil"/>
            </w:tcBorders>
            <w:shd w:val="clear" w:color="auto" w:fill="auto"/>
            <w:noWrap/>
            <w:vAlign w:val="center"/>
          </w:tcPr>
          <w:p w:rsidR="00211333" w:rsidRPr="005F75BF" w:rsidRDefault="00211333" w:rsidP="009D7DC1">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34 141</w:t>
            </w:r>
          </w:p>
        </w:tc>
        <w:tc>
          <w:tcPr>
            <w:tcW w:w="960" w:type="dxa"/>
            <w:tcBorders>
              <w:top w:val="nil"/>
              <w:left w:val="nil"/>
              <w:bottom w:val="nil"/>
              <w:right w:val="nil"/>
            </w:tcBorders>
            <w:shd w:val="clear" w:color="000000" w:fill="DCE6F1"/>
            <w:noWrap/>
            <w:vAlign w:val="center"/>
          </w:tcPr>
          <w:p w:rsidR="00211333" w:rsidRPr="005F75BF" w:rsidRDefault="00211333" w:rsidP="009D7DC1">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31 570</w:t>
            </w:r>
          </w:p>
        </w:tc>
        <w:tc>
          <w:tcPr>
            <w:tcW w:w="960" w:type="dxa"/>
            <w:tcBorders>
              <w:top w:val="nil"/>
              <w:left w:val="nil"/>
              <w:bottom w:val="nil"/>
              <w:right w:val="nil"/>
            </w:tcBorders>
            <w:shd w:val="clear" w:color="auto" w:fill="auto"/>
            <w:noWrap/>
            <w:vAlign w:val="center"/>
          </w:tcPr>
          <w:p w:rsidR="00211333" w:rsidRPr="005F75BF" w:rsidRDefault="00211333" w:rsidP="009D7DC1">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31 985</w:t>
            </w:r>
          </w:p>
        </w:tc>
        <w:tc>
          <w:tcPr>
            <w:tcW w:w="960" w:type="dxa"/>
            <w:tcBorders>
              <w:top w:val="nil"/>
              <w:left w:val="nil"/>
              <w:bottom w:val="nil"/>
              <w:right w:val="nil"/>
            </w:tcBorders>
            <w:shd w:val="clear" w:color="000000" w:fill="DCE6F1"/>
            <w:noWrap/>
            <w:vAlign w:val="center"/>
          </w:tcPr>
          <w:p w:rsidR="00211333" w:rsidRPr="005F75BF" w:rsidRDefault="00211333" w:rsidP="009D7DC1">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36 211</w:t>
            </w:r>
          </w:p>
        </w:tc>
        <w:tc>
          <w:tcPr>
            <w:tcW w:w="960" w:type="dxa"/>
            <w:tcBorders>
              <w:top w:val="nil"/>
              <w:left w:val="nil"/>
              <w:bottom w:val="nil"/>
              <w:right w:val="nil"/>
            </w:tcBorders>
            <w:shd w:val="clear" w:color="auto" w:fill="auto"/>
            <w:noWrap/>
            <w:vAlign w:val="center"/>
          </w:tcPr>
          <w:p w:rsidR="00211333" w:rsidRPr="005F75BF" w:rsidRDefault="00211333" w:rsidP="009D7DC1">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33 391</w:t>
            </w:r>
          </w:p>
        </w:tc>
        <w:tc>
          <w:tcPr>
            <w:tcW w:w="960" w:type="dxa"/>
            <w:tcBorders>
              <w:top w:val="nil"/>
              <w:left w:val="nil"/>
              <w:bottom w:val="nil"/>
              <w:right w:val="single" w:sz="12" w:space="0" w:color="4F81BD"/>
            </w:tcBorders>
            <w:shd w:val="clear" w:color="000000" w:fill="DCE6F1"/>
            <w:noWrap/>
            <w:vAlign w:val="center"/>
          </w:tcPr>
          <w:p w:rsidR="00211333" w:rsidRPr="005F75BF" w:rsidRDefault="00211333" w:rsidP="009D7DC1">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31 714</w:t>
            </w:r>
          </w:p>
        </w:tc>
      </w:tr>
      <w:tr w:rsidR="00211333" w:rsidRPr="005F75BF" w:rsidTr="009D7DC1">
        <w:trPr>
          <w:trHeight w:val="570"/>
        </w:trPr>
        <w:tc>
          <w:tcPr>
            <w:tcW w:w="2880" w:type="dxa"/>
            <w:tcBorders>
              <w:top w:val="nil"/>
              <w:left w:val="single" w:sz="12" w:space="0" w:color="4F81BD"/>
              <w:bottom w:val="nil"/>
              <w:right w:val="nil"/>
            </w:tcBorders>
            <w:shd w:val="clear" w:color="000000" w:fill="EEF3F8"/>
            <w:vAlign w:val="center"/>
            <w:hideMark/>
          </w:tcPr>
          <w:p w:rsidR="00211333" w:rsidRPr="005F75BF" w:rsidRDefault="00211333" w:rsidP="007E01C6">
            <w:pPr>
              <w:spacing w:after="0" w:line="240" w:lineRule="auto"/>
              <w:rPr>
                <w:rFonts w:ascii="Calibri" w:eastAsia="Times New Roman" w:hAnsi="Calibri" w:cs="Times New Roman"/>
                <w:b/>
                <w:bCs/>
                <w:color w:val="000000"/>
                <w:szCs w:val="21"/>
                <w:lang w:eastAsia="cs-CZ"/>
              </w:rPr>
            </w:pPr>
            <w:r>
              <w:rPr>
                <w:rFonts w:ascii="Calibri" w:eastAsia="Times New Roman" w:hAnsi="Calibri" w:cs="Arial"/>
                <w:b/>
                <w:bCs/>
                <w:color w:val="000000"/>
                <w:szCs w:val="21"/>
                <w:lang w:eastAsia="cs-CZ"/>
              </w:rPr>
              <w:t>V</w:t>
            </w:r>
            <w:r w:rsidRPr="005F75BF">
              <w:rPr>
                <w:rFonts w:ascii="Calibri" w:eastAsia="Times New Roman" w:hAnsi="Calibri" w:cs="Arial"/>
                <w:b/>
                <w:bCs/>
                <w:color w:val="000000"/>
                <w:szCs w:val="21"/>
                <w:lang w:eastAsia="cs-CZ"/>
              </w:rPr>
              <w:t>ýdaje na preventivní programy</w:t>
            </w:r>
          </w:p>
        </w:tc>
        <w:tc>
          <w:tcPr>
            <w:tcW w:w="960" w:type="dxa"/>
            <w:tcBorders>
              <w:top w:val="nil"/>
              <w:left w:val="nil"/>
              <w:bottom w:val="nil"/>
              <w:right w:val="nil"/>
            </w:tcBorders>
            <w:shd w:val="clear" w:color="000000" w:fill="EEF3F8"/>
            <w:noWrap/>
            <w:vAlign w:val="center"/>
          </w:tcPr>
          <w:p w:rsidR="00211333" w:rsidRPr="0053662E" w:rsidRDefault="00211333" w:rsidP="009D7DC1">
            <w:pPr>
              <w:spacing w:after="0" w:line="240" w:lineRule="auto"/>
              <w:jc w:val="right"/>
              <w:rPr>
                <w:rFonts w:ascii="Calibri" w:eastAsia="Times New Roman" w:hAnsi="Calibri" w:cs="Times New Roman"/>
                <w:b/>
                <w:color w:val="000000"/>
                <w:szCs w:val="21"/>
                <w:lang w:eastAsia="cs-CZ"/>
              </w:rPr>
            </w:pPr>
            <w:r>
              <w:rPr>
                <w:rFonts w:ascii="Calibri" w:hAnsi="Calibri" w:cs="Times New Roman CE"/>
                <w:b/>
                <w:bCs/>
                <w:color w:val="000000"/>
                <w:szCs w:val="21"/>
              </w:rPr>
              <w:t>710</w:t>
            </w:r>
          </w:p>
        </w:tc>
        <w:tc>
          <w:tcPr>
            <w:tcW w:w="960" w:type="dxa"/>
            <w:tcBorders>
              <w:top w:val="nil"/>
              <w:left w:val="nil"/>
              <w:bottom w:val="nil"/>
              <w:right w:val="nil"/>
            </w:tcBorders>
            <w:shd w:val="clear" w:color="000000" w:fill="EEF3F8"/>
            <w:noWrap/>
            <w:vAlign w:val="center"/>
          </w:tcPr>
          <w:p w:rsidR="00211333" w:rsidRPr="0053662E" w:rsidRDefault="00211333" w:rsidP="009D7DC1">
            <w:pPr>
              <w:spacing w:after="0" w:line="240" w:lineRule="auto"/>
              <w:jc w:val="right"/>
              <w:rPr>
                <w:rFonts w:ascii="Calibri" w:eastAsia="Times New Roman" w:hAnsi="Calibri" w:cs="Times New Roman"/>
                <w:b/>
                <w:color w:val="000000"/>
                <w:szCs w:val="21"/>
                <w:lang w:eastAsia="cs-CZ"/>
              </w:rPr>
            </w:pPr>
            <w:r>
              <w:rPr>
                <w:rFonts w:ascii="Calibri" w:hAnsi="Calibri" w:cs="Times New Roman CE"/>
                <w:b/>
                <w:bCs/>
                <w:color w:val="000000"/>
                <w:szCs w:val="21"/>
              </w:rPr>
              <w:t>152</w:t>
            </w:r>
          </w:p>
        </w:tc>
        <w:tc>
          <w:tcPr>
            <w:tcW w:w="960" w:type="dxa"/>
            <w:tcBorders>
              <w:top w:val="nil"/>
              <w:left w:val="nil"/>
              <w:bottom w:val="nil"/>
              <w:right w:val="nil"/>
            </w:tcBorders>
            <w:shd w:val="clear" w:color="000000" w:fill="EEF3F8"/>
            <w:noWrap/>
            <w:vAlign w:val="center"/>
          </w:tcPr>
          <w:p w:rsidR="00211333" w:rsidRPr="0053662E" w:rsidRDefault="00211333" w:rsidP="009D7DC1">
            <w:pPr>
              <w:spacing w:after="0" w:line="240" w:lineRule="auto"/>
              <w:jc w:val="right"/>
              <w:rPr>
                <w:rFonts w:ascii="Calibri" w:eastAsia="Times New Roman" w:hAnsi="Calibri" w:cs="Times New Roman"/>
                <w:b/>
                <w:color w:val="000000"/>
                <w:szCs w:val="21"/>
                <w:lang w:eastAsia="cs-CZ"/>
              </w:rPr>
            </w:pPr>
            <w:r>
              <w:rPr>
                <w:rFonts w:ascii="Calibri" w:hAnsi="Calibri" w:cs="Times New Roman CE"/>
                <w:b/>
                <w:bCs/>
                <w:color w:val="000000"/>
                <w:szCs w:val="21"/>
              </w:rPr>
              <w:t>290</w:t>
            </w:r>
          </w:p>
        </w:tc>
        <w:tc>
          <w:tcPr>
            <w:tcW w:w="960" w:type="dxa"/>
            <w:tcBorders>
              <w:top w:val="nil"/>
              <w:left w:val="nil"/>
              <w:bottom w:val="nil"/>
              <w:right w:val="nil"/>
            </w:tcBorders>
            <w:shd w:val="clear" w:color="000000" w:fill="EEF3F8"/>
            <w:noWrap/>
            <w:vAlign w:val="center"/>
          </w:tcPr>
          <w:p w:rsidR="00211333" w:rsidRPr="0053662E" w:rsidRDefault="00211333" w:rsidP="009D7DC1">
            <w:pPr>
              <w:spacing w:after="0" w:line="240" w:lineRule="auto"/>
              <w:jc w:val="right"/>
              <w:rPr>
                <w:rFonts w:ascii="Calibri" w:eastAsia="Times New Roman" w:hAnsi="Calibri" w:cs="Times New Roman"/>
                <w:b/>
                <w:color w:val="000000"/>
                <w:szCs w:val="21"/>
                <w:lang w:eastAsia="cs-CZ"/>
              </w:rPr>
            </w:pPr>
            <w:r>
              <w:rPr>
                <w:rFonts w:ascii="Calibri" w:hAnsi="Calibri" w:cs="Times New Roman CE"/>
                <w:b/>
                <w:bCs/>
                <w:color w:val="000000"/>
                <w:szCs w:val="21"/>
              </w:rPr>
              <w:t>163</w:t>
            </w:r>
          </w:p>
        </w:tc>
        <w:tc>
          <w:tcPr>
            <w:tcW w:w="960" w:type="dxa"/>
            <w:tcBorders>
              <w:top w:val="nil"/>
              <w:left w:val="nil"/>
              <w:bottom w:val="nil"/>
              <w:right w:val="nil"/>
            </w:tcBorders>
            <w:shd w:val="clear" w:color="000000" w:fill="EEF3F8"/>
            <w:noWrap/>
            <w:vAlign w:val="center"/>
          </w:tcPr>
          <w:p w:rsidR="00211333" w:rsidRPr="0053662E" w:rsidRDefault="00211333" w:rsidP="009D7DC1">
            <w:pPr>
              <w:spacing w:after="0" w:line="240" w:lineRule="auto"/>
              <w:jc w:val="right"/>
              <w:rPr>
                <w:rFonts w:ascii="Calibri" w:eastAsia="Times New Roman" w:hAnsi="Calibri" w:cs="Times New Roman"/>
                <w:b/>
                <w:color w:val="000000"/>
                <w:szCs w:val="21"/>
                <w:lang w:eastAsia="cs-CZ"/>
              </w:rPr>
            </w:pPr>
            <w:r>
              <w:rPr>
                <w:rFonts w:ascii="Calibri" w:hAnsi="Calibri" w:cs="Times New Roman CE"/>
                <w:b/>
                <w:bCs/>
                <w:color w:val="000000"/>
                <w:szCs w:val="21"/>
              </w:rPr>
              <w:t>43</w:t>
            </w:r>
          </w:p>
        </w:tc>
        <w:tc>
          <w:tcPr>
            <w:tcW w:w="960" w:type="dxa"/>
            <w:tcBorders>
              <w:top w:val="nil"/>
              <w:left w:val="nil"/>
              <w:bottom w:val="nil"/>
              <w:right w:val="nil"/>
            </w:tcBorders>
            <w:shd w:val="clear" w:color="000000" w:fill="EEF3F8"/>
            <w:noWrap/>
            <w:vAlign w:val="center"/>
          </w:tcPr>
          <w:p w:rsidR="00211333" w:rsidRPr="0053662E" w:rsidRDefault="00211333" w:rsidP="009D7DC1">
            <w:pPr>
              <w:spacing w:after="0" w:line="240" w:lineRule="auto"/>
              <w:jc w:val="right"/>
              <w:rPr>
                <w:rFonts w:ascii="Calibri" w:eastAsia="Times New Roman" w:hAnsi="Calibri" w:cs="Times New Roman"/>
                <w:b/>
                <w:color w:val="000000"/>
                <w:szCs w:val="21"/>
                <w:lang w:eastAsia="cs-CZ"/>
              </w:rPr>
            </w:pPr>
            <w:r>
              <w:rPr>
                <w:rFonts w:ascii="Calibri" w:hAnsi="Calibri" w:cs="Times New Roman CE"/>
                <w:b/>
                <w:bCs/>
                <w:color w:val="000000"/>
                <w:szCs w:val="21"/>
              </w:rPr>
              <w:t>287</w:t>
            </w:r>
          </w:p>
        </w:tc>
        <w:tc>
          <w:tcPr>
            <w:tcW w:w="960" w:type="dxa"/>
            <w:tcBorders>
              <w:top w:val="nil"/>
              <w:left w:val="nil"/>
              <w:bottom w:val="nil"/>
              <w:right w:val="single" w:sz="12" w:space="0" w:color="4F81BD"/>
            </w:tcBorders>
            <w:shd w:val="clear" w:color="000000" w:fill="EEF3F8"/>
            <w:noWrap/>
            <w:vAlign w:val="center"/>
          </w:tcPr>
          <w:p w:rsidR="00211333" w:rsidRPr="0053662E" w:rsidRDefault="00211333" w:rsidP="009D7DC1">
            <w:pPr>
              <w:spacing w:after="0" w:line="240" w:lineRule="auto"/>
              <w:jc w:val="right"/>
              <w:rPr>
                <w:rFonts w:ascii="Calibri" w:eastAsia="Times New Roman" w:hAnsi="Calibri" w:cs="Times New Roman"/>
                <w:b/>
                <w:color w:val="000000"/>
                <w:szCs w:val="21"/>
                <w:lang w:eastAsia="cs-CZ"/>
              </w:rPr>
            </w:pPr>
            <w:r>
              <w:rPr>
                <w:rFonts w:ascii="Calibri" w:hAnsi="Calibri" w:cs="Times New Roman CE"/>
                <w:b/>
                <w:bCs/>
                <w:color w:val="000000"/>
                <w:szCs w:val="21"/>
              </w:rPr>
              <w:t>88</w:t>
            </w:r>
          </w:p>
        </w:tc>
      </w:tr>
      <w:tr w:rsidR="00211333" w:rsidRPr="005F75BF" w:rsidTr="009D7DC1">
        <w:trPr>
          <w:trHeight w:val="300"/>
        </w:trPr>
        <w:tc>
          <w:tcPr>
            <w:tcW w:w="2880" w:type="dxa"/>
            <w:tcBorders>
              <w:top w:val="nil"/>
              <w:left w:val="single" w:sz="12" w:space="0" w:color="4F81BD"/>
              <w:bottom w:val="nil"/>
              <w:right w:val="nil"/>
            </w:tcBorders>
            <w:shd w:val="clear" w:color="auto" w:fill="auto"/>
            <w:vAlign w:val="center"/>
            <w:hideMark/>
          </w:tcPr>
          <w:p w:rsidR="00211333" w:rsidRPr="005F75BF" w:rsidRDefault="00211333" w:rsidP="007E01C6">
            <w:pPr>
              <w:spacing w:after="0" w:line="240" w:lineRule="auto"/>
              <w:rPr>
                <w:rFonts w:ascii="Calibri" w:eastAsia="Times New Roman" w:hAnsi="Calibri" w:cs="Times New Roman"/>
                <w:color w:val="000000"/>
                <w:szCs w:val="21"/>
                <w:lang w:eastAsia="cs-CZ"/>
              </w:rPr>
            </w:pPr>
            <w:r>
              <w:rPr>
                <w:rFonts w:ascii="Calibri" w:eastAsia="Times New Roman" w:hAnsi="Calibri" w:cs="Times New Roman"/>
                <w:color w:val="000000"/>
                <w:szCs w:val="21"/>
                <w:lang w:eastAsia="cs-CZ"/>
              </w:rPr>
              <w:t>N</w:t>
            </w:r>
            <w:r w:rsidRPr="005F75BF">
              <w:rPr>
                <w:rFonts w:ascii="Calibri" w:eastAsia="Times New Roman" w:hAnsi="Calibri" w:cs="Times New Roman"/>
                <w:color w:val="000000"/>
                <w:szCs w:val="21"/>
                <w:lang w:eastAsia="cs-CZ"/>
              </w:rPr>
              <w:t>a 1 pojištěnce (v Kč)</w:t>
            </w:r>
          </w:p>
        </w:tc>
        <w:tc>
          <w:tcPr>
            <w:tcW w:w="960" w:type="dxa"/>
            <w:tcBorders>
              <w:top w:val="nil"/>
              <w:left w:val="nil"/>
              <w:bottom w:val="nil"/>
              <w:right w:val="nil"/>
            </w:tcBorders>
            <w:shd w:val="clear" w:color="000000" w:fill="DCE6F1"/>
            <w:noWrap/>
            <w:vAlign w:val="center"/>
          </w:tcPr>
          <w:p w:rsidR="00211333" w:rsidRPr="005F75BF" w:rsidRDefault="00211333" w:rsidP="009D7DC1">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120</w:t>
            </w:r>
          </w:p>
        </w:tc>
        <w:tc>
          <w:tcPr>
            <w:tcW w:w="960" w:type="dxa"/>
            <w:tcBorders>
              <w:top w:val="nil"/>
              <w:left w:val="nil"/>
              <w:bottom w:val="nil"/>
              <w:right w:val="nil"/>
            </w:tcBorders>
            <w:shd w:val="clear" w:color="auto" w:fill="auto"/>
            <w:noWrap/>
            <w:vAlign w:val="center"/>
          </w:tcPr>
          <w:p w:rsidR="00211333" w:rsidRPr="005F75BF" w:rsidRDefault="00211333" w:rsidP="009D7DC1">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217</w:t>
            </w:r>
          </w:p>
        </w:tc>
        <w:tc>
          <w:tcPr>
            <w:tcW w:w="960" w:type="dxa"/>
            <w:tcBorders>
              <w:top w:val="nil"/>
              <w:left w:val="nil"/>
              <w:bottom w:val="nil"/>
              <w:right w:val="nil"/>
            </w:tcBorders>
            <w:shd w:val="clear" w:color="000000" w:fill="DCE6F1"/>
            <w:noWrap/>
            <w:vAlign w:val="center"/>
          </w:tcPr>
          <w:p w:rsidR="00211333" w:rsidRPr="005F75BF" w:rsidRDefault="00211333" w:rsidP="009D7DC1">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227</w:t>
            </w:r>
          </w:p>
        </w:tc>
        <w:tc>
          <w:tcPr>
            <w:tcW w:w="960" w:type="dxa"/>
            <w:tcBorders>
              <w:top w:val="nil"/>
              <w:left w:val="nil"/>
              <w:bottom w:val="nil"/>
              <w:right w:val="nil"/>
            </w:tcBorders>
            <w:shd w:val="clear" w:color="auto" w:fill="auto"/>
            <w:noWrap/>
            <w:vAlign w:val="center"/>
          </w:tcPr>
          <w:p w:rsidR="00211333" w:rsidRPr="005F75BF" w:rsidRDefault="00211333" w:rsidP="009D7DC1">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220</w:t>
            </w:r>
          </w:p>
        </w:tc>
        <w:tc>
          <w:tcPr>
            <w:tcW w:w="960" w:type="dxa"/>
            <w:tcBorders>
              <w:top w:val="nil"/>
              <w:left w:val="nil"/>
              <w:bottom w:val="nil"/>
              <w:right w:val="nil"/>
            </w:tcBorders>
            <w:shd w:val="clear" w:color="000000" w:fill="DCE6F1"/>
            <w:noWrap/>
            <w:vAlign w:val="center"/>
          </w:tcPr>
          <w:p w:rsidR="00211333" w:rsidRPr="005F75BF" w:rsidRDefault="00211333" w:rsidP="009D7DC1">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296</w:t>
            </w:r>
          </w:p>
        </w:tc>
        <w:tc>
          <w:tcPr>
            <w:tcW w:w="960" w:type="dxa"/>
            <w:tcBorders>
              <w:top w:val="nil"/>
              <w:left w:val="nil"/>
              <w:bottom w:val="nil"/>
              <w:right w:val="nil"/>
            </w:tcBorders>
            <w:shd w:val="clear" w:color="auto" w:fill="auto"/>
            <w:noWrap/>
            <w:vAlign w:val="center"/>
          </w:tcPr>
          <w:p w:rsidR="00211333" w:rsidRPr="005F75BF" w:rsidRDefault="00211333" w:rsidP="009D7DC1">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216</w:t>
            </w:r>
          </w:p>
        </w:tc>
        <w:tc>
          <w:tcPr>
            <w:tcW w:w="960" w:type="dxa"/>
            <w:tcBorders>
              <w:top w:val="nil"/>
              <w:left w:val="nil"/>
              <w:bottom w:val="nil"/>
              <w:right w:val="single" w:sz="12" w:space="0" w:color="4F81BD"/>
            </w:tcBorders>
            <w:shd w:val="clear" w:color="000000" w:fill="DCE6F1"/>
            <w:noWrap/>
            <w:vAlign w:val="center"/>
          </w:tcPr>
          <w:p w:rsidR="00211333" w:rsidRPr="005F75BF" w:rsidRDefault="00211333" w:rsidP="009D7DC1">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204</w:t>
            </w:r>
          </w:p>
        </w:tc>
      </w:tr>
      <w:tr w:rsidR="00211333" w:rsidRPr="005F75BF" w:rsidTr="009D7DC1">
        <w:trPr>
          <w:trHeight w:val="300"/>
        </w:trPr>
        <w:tc>
          <w:tcPr>
            <w:tcW w:w="2880" w:type="dxa"/>
            <w:tcBorders>
              <w:top w:val="nil"/>
              <w:left w:val="single" w:sz="12" w:space="0" w:color="4F81BD"/>
              <w:bottom w:val="nil"/>
              <w:right w:val="nil"/>
            </w:tcBorders>
            <w:shd w:val="clear" w:color="000000" w:fill="EEF3F8"/>
            <w:vAlign w:val="center"/>
            <w:hideMark/>
          </w:tcPr>
          <w:p w:rsidR="00211333" w:rsidRPr="005F75BF" w:rsidRDefault="00211333" w:rsidP="007E01C6">
            <w:pPr>
              <w:spacing w:after="0" w:line="240" w:lineRule="auto"/>
              <w:rPr>
                <w:rFonts w:ascii="Calibri" w:eastAsia="Times New Roman" w:hAnsi="Calibri" w:cs="Times New Roman"/>
                <w:b/>
                <w:bCs/>
                <w:color w:val="000000"/>
                <w:szCs w:val="21"/>
                <w:lang w:eastAsia="cs-CZ"/>
              </w:rPr>
            </w:pPr>
            <w:r>
              <w:rPr>
                <w:rFonts w:ascii="Calibri" w:eastAsia="Times New Roman" w:hAnsi="Calibri" w:cs="Arial"/>
                <w:b/>
                <w:bCs/>
                <w:color w:val="000000"/>
                <w:szCs w:val="21"/>
                <w:lang w:eastAsia="cs-CZ"/>
              </w:rPr>
              <w:t>V</w:t>
            </w:r>
            <w:r w:rsidRPr="005F75BF">
              <w:rPr>
                <w:rFonts w:ascii="Calibri" w:eastAsia="Times New Roman" w:hAnsi="Calibri" w:cs="Arial"/>
                <w:b/>
                <w:bCs/>
                <w:color w:val="000000"/>
                <w:szCs w:val="21"/>
                <w:lang w:eastAsia="cs-CZ"/>
              </w:rPr>
              <w:t>ýdaje na vlastní činnost</w:t>
            </w:r>
          </w:p>
        </w:tc>
        <w:tc>
          <w:tcPr>
            <w:tcW w:w="960" w:type="dxa"/>
            <w:tcBorders>
              <w:top w:val="nil"/>
              <w:left w:val="nil"/>
              <w:bottom w:val="nil"/>
              <w:right w:val="nil"/>
            </w:tcBorders>
            <w:shd w:val="clear" w:color="000000" w:fill="EEF3F8"/>
            <w:noWrap/>
            <w:vAlign w:val="center"/>
          </w:tcPr>
          <w:p w:rsidR="00211333" w:rsidRPr="0053662E" w:rsidRDefault="00211333" w:rsidP="009D7DC1">
            <w:pPr>
              <w:spacing w:after="0" w:line="240" w:lineRule="auto"/>
              <w:jc w:val="right"/>
              <w:rPr>
                <w:rFonts w:ascii="Calibri" w:eastAsia="Times New Roman" w:hAnsi="Calibri" w:cs="Times New Roman"/>
                <w:b/>
                <w:color w:val="000000"/>
                <w:szCs w:val="21"/>
                <w:lang w:eastAsia="cs-CZ"/>
              </w:rPr>
            </w:pPr>
            <w:r>
              <w:rPr>
                <w:rFonts w:ascii="Calibri" w:hAnsi="Calibri" w:cs="Times New Roman CE"/>
                <w:b/>
                <w:bCs/>
                <w:color w:val="000000"/>
                <w:szCs w:val="21"/>
              </w:rPr>
              <w:t>5 010</w:t>
            </w:r>
          </w:p>
        </w:tc>
        <w:tc>
          <w:tcPr>
            <w:tcW w:w="960" w:type="dxa"/>
            <w:tcBorders>
              <w:top w:val="nil"/>
              <w:left w:val="nil"/>
              <w:bottom w:val="nil"/>
              <w:right w:val="nil"/>
            </w:tcBorders>
            <w:shd w:val="clear" w:color="000000" w:fill="EEF3F8"/>
            <w:noWrap/>
            <w:vAlign w:val="center"/>
          </w:tcPr>
          <w:p w:rsidR="00211333" w:rsidRPr="0053662E" w:rsidRDefault="00211333" w:rsidP="009D7DC1">
            <w:pPr>
              <w:spacing w:after="0" w:line="240" w:lineRule="auto"/>
              <w:jc w:val="right"/>
              <w:rPr>
                <w:rFonts w:ascii="Calibri" w:eastAsia="Times New Roman" w:hAnsi="Calibri" w:cs="Times New Roman"/>
                <w:b/>
                <w:color w:val="000000"/>
                <w:szCs w:val="21"/>
                <w:lang w:eastAsia="cs-CZ"/>
              </w:rPr>
            </w:pPr>
            <w:r>
              <w:rPr>
                <w:rFonts w:ascii="Calibri" w:hAnsi="Calibri" w:cs="Times New Roman CE"/>
                <w:b/>
                <w:bCs/>
                <w:color w:val="000000"/>
                <w:szCs w:val="21"/>
              </w:rPr>
              <w:t>691</w:t>
            </w:r>
          </w:p>
        </w:tc>
        <w:tc>
          <w:tcPr>
            <w:tcW w:w="960" w:type="dxa"/>
            <w:tcBorders>
              <w:top w:val="nil"/>
              <w:left w:val="nil"/>
              <w:bottom w:val="nil"/>
              <w:right w:val="nil"/>
            </w:tcBorders>
            <w:shd w:val="clear" w:color="000000" w:fill="EEF3F8"/>
            <w:noWrap/>
            <w:vAlign w:val="center"/>
          </w:tcPr>
          <w:p w:rsidR="00211333" w:rsidRPr="0053662E" w:rsidRDefault="00211333" w:rsidP="009D7DC1">
            <w:pPr>
              <w:spacing w:after="0" w:line="240" w:lineRule="auto"/>
              <w:jc w:val="right"/>
              <w:rPr>
                <w:rFonts w:ascii="Calibri" w:eastAsia="Times New Roman" w:hAnsi="Calibri" w:cs="Times New Roman"/>
                <w:b/>
                <w:color w:val="000000"/>
                <w:szCs w:val="21"/>
                <w:lang w:eastAsia="cs-CZ"/>
              </w:rPr>
            </w:pPr>
            <w:r>
              <w:rPr>
                <w:rFonts w:ascii="Calibri" w:hAnsi="Calibri" w:cs="Times New Roman CE"/>
                <w:b/>
                <w:bCs/>
                <w:color w:val="000000"/>
                <w:szCs w:val="21"/>
              </w:rPr>
              <w:t>1 050</w:t>
            </w:r>
          </w:p>
        </w:tc>
        <w:tc>
          <w:tcPr>
            <w:tcW w:w="960" w:type="dxa"/>
            <w:tcBorders>
              <w:top w:val="nil"/>
              <w:left w:val="nil"/>
              <w:bottom w:val="nil"/>
              <w:right w:val="nil"/>
            </w:tcBorders>
            <w:shd w:val="clear" w:color="000000" w:fill="EEF3F8"/>
            <w:noWrap/>
            <w:vAlign w:val="center"/>
          </w:tcPr>
          <w:p w:rsidR="00211333" w:rsidRPr="0053662E" w:rsidRDefault="00211333" w:rsidP="009D7DC1">
            <w:pPr>
              <w:spacing w:after="0" w:line="240" w:lineRule="auto"/>
              <w:jc w:val="right"/>
              <w:rPr>
                <w:rFonts w:ascii="Calibri" w:eastAsia="Times New Roman" w:hAnsi="Calibri" w:cs="Times New Roman"/>
                <w:b/>
                <w:color w:val="000000"/>
                <w:szCs w:val="21"/>
                <w:lang w:eastAsia="cs-CZ"/>
              </w:rPr>
            </w:pPr>
            <w:r>
              <w:rPr>
                <w:rFonts w:ascii="Calibri" w:hAnsi="Calibri" w:cs="Times New Roman CE"/>
                <w:b/>
                <w:bCs/>
                <w:color w:val="000000"/>
                <w:szCs w:val="21"/>
              </w:rPr>
              <w:t>744</w:t>
            </w:r>
          </w:p>
        </w:tc>
        <w:tc>
          <w:tcPr>
            <w:tcW w:w="960" w:type="dxa"/>
            <w:tcBorders>
              <w:top w:val="nil"/>
              <w:left w:val="nil"/>
              <w:bottom w:val="nil"/>
              <w:right w:val="nil"/>
            </w:tcBorders>
            <w:shd w:val="clear" w:color="000000" w:fill="EEF3F8"/>
            <w:noWrap/>
            <w:vAlign w:val="center"/>
          </w:tcPr>
          <w:p w:rsidR="00211333" w:rsidRPr="0053662E" w:rsidRDefault="00211333" w:rsidP="009D7DC1">
            <w:pPr>
              <w:spacing w:after="0" w:line="240" w:lineRule="auto"/>
              <w:jc w:val="right"/>
              <w:rPr>
                <w:rFonts w:ascii="Calibri" w:eastAsia="Times New Roman" w:hAnsi="Calibri" w:cs="Times New Roman"/>
                <w:b/>
                <w:color w:val="000000"/>
                <w:szCs w:val="21"/>
                <w:lang w:eastAsia="cs-CZ"/>
              </w:rPr>
            </w:pPr>
            <w:r>
              <w:rPr>
                <w:rFonts w:ascii="Calibri" w:hAnsi="Calibri" w:cs="Times New Roman CE"/>
                <w:b/>
                <w:bCs/>
                <w:color w:val="000000"/>
                <w:szCs w:val="21"/>
              </w:rPr>
              <w:t>157</w:t>
            </w:r>
          </w:p>
        </w:tc>
        <w:tc>
          <w:tcPr>
            <w:tcW w:w="960" w:type="dxa"/>
            <w:tcBorders>
              <w:top w:val="nil"/>
              <w:left w:val="nil"/>
              <w:bottom w:val="nil"/>
              <w:right w:val="nil"/>
            </w:tcBorders>
            <w:shd w:val="clear" w:color="000000" w:fill="EEF3F8"/>
            <w:noWrap/>
            <w:vAlign w:val="center"/>
          </w:tcPr>
          <w:p w:rsidR="00211333" w:rsidRPr="0053662E" w:rsidRDefault="00211333" w:rsidP="009D7DC1">
            <w:pPr>
              <w:spacing w:after="0" w:line="240" w:lineRule="auto"/>
              <w:jc w:val="right"/>
              <w:rPr>
                <w:rFonts w:ascii="Calibri" w:eastAsia="Times New Roman" w:hAnsi="Calibri" w:cs="Times New Roman"/>
                <w:b/>
                <w:color w:val="000000"/>
                <w:szCs w:val="21"/>
                <w:lang w:eastAsia="cs-CZ"/>
              </w:rPr>
            </w:pPr>
            <w:r>
              <w:rPr>
                <w:rFonts w:ascii="Calibri" w:hAnsi="Calibri" w:cs="Times New Roman CE"/>
                <w:b/>
                <w:bCs/>
                <w:color w:val="000000"/>
                <w:szCs w:val="21"/>
              </w:rPr>
              <w:t>1 280</w:t>
            </w:r>
          </w:p>
        </w:tc>
        <w:tc>
          <w:tcPr>
            <w:tcW w:w="960" w:type="dxa"/>
            <w:tcBorders>
              <w:top w:val="nil"/>
              <w:left w:val="nil"/>
              <w:bottom w:val="nil"/>
              <w:right w:val="single" w:sz="12" w:space="0" w:color="4F81BD"/>
            </w:tcBorders>
            <w:shd w:val="clear" w:color="000000" w:fill="EEF3F8"/>
            <w:noWrap/>
            <w:vAlign w:val="center"/>
          </w:tcPr>
          <w:p w:rsidR="00211333" w:rsidRPr="0053662E" w:rsidRDefault="00211333" w:rsidP="009D7DC1">
            <w:pPr>
              <w:spacing w:after="0" w:line="240" w:lineRule="auto"/>
              <w:jc w:val="right"/>
              <w:rPr>
                <w:rFonts w:ascii="Calibri" w:eastAsia="Times New Roman" w:hAnsi="Calibri" w:cs="Times New Roman"/>
                <w:b/>
                <w:color w:val="000000"/>
                <w:szCs w:val="21"/>
                <w:lang w:eastAsia="cs-CZ"/>
              </w:rPr>
            </w:pPr>
            <w:r>
              <w:rPr>
                <w:rFonts w:ascii="Calibri" w:hAnsi="Calibri" w:cs="Times New Roman CE"/>
                <w:b/>
                <w:bCs/>
                <w:color w:val="000000"/>
                <w:szCs w:val="21"/>
              </w:rPr>
              <w:t>395</w:t>
            </w:r>
          </w:p>
        </w:tc>
      </w:tr>
      <w:tr w:rsidR="00211333" w:rsidRPr="005F75BF" w:rsidTr="009D7DC1">
        <w:trPr>
          <w:trHeight w:val="315"/>
        </w:trPr>
        <w:tc>
          <w:tcPr>
            <w:tcW w:w="2880" w:type="dxa"/>
            <w:tcBorders>
              <w:top w:val="nil"/>
              <w:left w:val="single" w:sz="12" w:space="0" w:color="4F81BD"/>
              <w:bottom w:val="single" w:sz="12" w:space="0" w:color="4F81BD"/>
              <w:right w:val="nil"/>
            </w:tcBorders>
            <w:shd w:val="clear" w:color="auto" w:fill="auto"/>
            <w:vAlign w:val="center"/>
            <w:hideMark/>
          </w:tcPr>
          <w:p w:rsidR="00211333" w:rsidRPr="005F75BF" w:rsidRDefault="00211333" w:rsidP="007E01C6">
            <w:pPr>
              <w:spacing w:after="0" w:line="240" w:lineRule="auto"/>
              <w:rPr>
                <w:rFonts w:ascii="Calibri" w:eastAsia="Times New Roman" w:hAnsi="Calibri" w:cs="Times New Roman"/>
                <w:color w:val="000000"/>
                <w:szCs w:val="21"/>
                <w:lang w:eastAsia="cs-CZ"/>
              </w:rPr>
            </w:pPr>
            <w:r>
              <w:rPr>
                <w:rFonts w:ascii="Calibri" w:eastAsia="Times New Roman" w:hAnsi="Calibri" w:cs="Times New Roman"/>
                <w:color w:val="000000"/>
                <w:szCs w:val="21"/>
                <w:lang w:eastAsia="cs-CZ"/>
              </w:rPr>
              <w:t>P</w:t>
            </w:r>
            <w:r w:rsidRPr="005F75BF">
              <w:rPr>
                <w:rFonts w:ascii="Calibri" w:eastAsia="Times New Roman" w:hAnsi="Calibri" w:cs="Times New Roman"/>
                <w:color w:val="000000"/>
                <w:szCs w:val="21"/>
                <w:lang w:eastAsia="cs-CZ"/>
              </w:rPr>
              <w:t xml:space="preserve">odíl na výdajích celkem </w:t>
            </w:r>
          </w:p>
        </w:tc>
        <w:tc>
          <w:tcPr>
            <w:tcW w:w="960" w:type="dxa"/>
            <w:tcBorders>
              <w:top w:val="nil"/>
              <w:left w:val="nil"/>
              <w:bottom w:val="single" w:sz="12" w:space="0" w:color="4F81BD"/>
              <w:right w:val="nil"/>
            </w:tcBorders>
            <w:shd w:val="clear" w:color="000000" w:fill="DCE6F1"/>
            <w:noWrap/>
            <w:vAlign w:val="center"/>
          </w:tcPr>
          <w:p w:rsidR="00211333" w:rsidRPr="005F75BF" w:rsidRDefault="00211333" w:rsidP="009D7DC1">
            <w:pPr>
              <w:spacing w:after="0" w:line="240" w:lineRule="auto"/>
              <w:jc w:val="right"/>
              <w:rPr>
                <w:rFonts w:ascii="Calibri" w:eastAsia="Times New Roman" w:hAnsi="Calibri" w:cs="Times New Roman"/>
                <w:color w:val="000000"/>
                <w:lang w:eastAsia="cs-CZ"/>
              </w:rPr>
            </w:pPr>
            <w:r>
              <w:rPr>
                <w:rFonts w:ascii="Calibri" w:hAnsi="Calibri" w:cs="Times New Roman CE"/>
                <w:color w:val="000000"/>
                <w:szCs w:val="21"/>
              </w:rPr>
              <w:t>2,1 %</w:t>
            </w:r>
          </w:p>
        </w:tc>
        <w:tc>
          <w:tcPr>
            <w:tcW w:w="960" w:type="dxa"/>
            <w:tcBorders>
              <w:top w:val="nil"/>
              <w:left w:val="nil"/>
              <w:bottom w:val="single" w:sz="12" w:space="0" w:color="4F81BD"/>
              <w:right w:val="nil"/>
            </w:tcBorders>
            <w:shd w:val="clear" w:color="auto" w:fill="auto"/>
            <w:noWrap/>
            <w:vAlign w:val="center"/>
          </w:tcPr>
          <w:p w:rsidR="00211333" w:rsidRPr="005F75BF" w:rsidRDefault="00211333" w:rsidP="009D7DC1">
            <w:pPr>
              <w:spacing w:after="0" w:line="240" w:lineRule="auto"/>
              <w:jc w:val="right"/>
              <w:rPr>
                <w:rFonts w:ascii="Calibri" w:eastAsia="Times New Roman" w:hAnsi="Calibri" w:cs="Times New Roman"/>
                <w:color w:val="000000"/>
                <w:lang w:eastAsia="cs-CZ"/>
              </w:rPr>
            </w:pPr>
            <w:r>
              <w:rPr>
                <w:rFonts w:ascii="Calibri" w:hAnsi="Calibri" w:cs="Times New Roman CE"/>
                <w:color w:val="000000"/>
                <w:szCs w:val="21"/>
              </w:rPr>
              <w:t>2,8 %</w:t>
            </w:r>
          </w:p>
        </w:tc>
        <w:tc>
          <w:tcPr>
            <w:tcW w:w="960" w:type="dxa"/>
            <w:tcBorders>
              <w:top w:val="nil"/>
              <w:left w:val="nil"/>
              <w:bottom w:val="single" w:sz="12" w:space="0" w:color="4F81BD"/>
              <w:right w:val="nil"/>
            </w:tcBorders>
            <w:shd w:val="clear" w:color="000000" w:fill="DCE6F1"/>
            <w:noWrap/>
            <w:vAlign w:val="center"/>
          </w:tcPr>
          <w:p w:rsidR="00211333" w:rsidRPr="005F75BF" w:rsidRDefault="00211333" w:rsidP="009D7DC1">
            <w:pPr>
              <w:spacing w:after="0" w:line="240" w:lineRule="auto"/>
              <w:jc w:val="right"/>
              <w:rPr>
                <w:rFonts w:ascii="Calibri" w:eastAsia="Times New Roman" w:hAnsi="Calibri" w:cs="Times New Roman"/>
                <w:color w:val="000000"/>
                <w:lang w:eastAsia="cs-CZ"/>
              </w:rPr>
            </w:pPr>
            <w:r>
              <w:rPr>
                <w:rFonts w:ascii="Calibri" w:hAnsi="Calibri" w:cs="Times New Roman CE"/>
                <w:color w:val="000000"/>
                <w:szCs w:val="21"/>
              </w:rPr>
              <w:t>2,5 %</w:t>
            </w:r>
          </w:p>
        </w:tc>
        <w:tc>
          <w:tcPr>
            <w:tcW w:w="960" w:type="dxa"/>
            <w:tcBorders>
              <w:top w:val="nil"/>
              <w:left w:val="nil"/>
              <w:bottom w:val="single" w:sz="12" w:space="0" w:color="4F81BD"/>
              <w:right w:val="nil"/>
            </w:tcBorders>
            <w:shd w:val="clear" w:color="auto" w:fill="auto"/>
            <w:noWrap/>
            <w:vAlign w:val="center"/>
          </w:tcPr>
          <w:p w:rsidR="00211333" w:rsidRPr="005F75BF" w:rsidRDefault="00211333" w:rsidP="009D7DC1">
            <w:pPr>
              <w:spacing w:after="0" w:line="240" w:lineRule="auto"/>
              <w:jc w:val="right"/>
              <w:rPr>
                <w:rFonts w:ascii="Calibri" w:eastAsia="Times New Roman" w:hAnsi="Calibri" w:cs="Times New Roman"/>
                <w:color w:val="000000"/>
                <w:lang w:eastAsia="cs-CZ"/>
              </w:rPr>
            </w:pPr>
            <w:r>
              <w:rPr>
                <w:rFonts w:ascii="Calibri" w:hAnsi="Calibri" w:cs="Times New Roman CE"/>
                <w:color w:val="000000"/>
                <w:szCs w:val="21"/>
              </w:rPr>
              <w:t>3,0 %</w:t>
            </w:r>
          </w:p>
        </w:tc>
        <w:tc>
          <w:tcPr>
            <w:tcW w:w="960" w:type="dxa"/>
            <w:tcBorders>
              <w:top w:val="nil"/>
              <w:left w:val="nil"/>
              <w:bottom w:val="single" w:sz="12" w:space="0" w:color="4F81BD"/>
              <w:right w:val="nil"/>
            </w:tcBorders>
            <w:shd w:val="clear" w:color="000000" w:fill="DCE6F1"/>
            <w:noWrap/>
            <w:vAlign w:val="center"/>
          </w:tcPr>
          <w:p w:rsidR="00211333" w:rsidRPr="005F75BF" w:rsidRDefault="00211333" w:rsidP="009D7DC1">
            <w:pPr>
              <w:spacing w:after="0" w:line="240" w:lineRule="auto"/>
              <w:jc w:val="right"/>
              <w:rPr>
                <w:rFonts w:ascii="Calibri" w:eastAsia="Times New Roman" w:hAnsi="Calibri" w:cs="Times New Roman"/>
                <w:color w:val="000000"/>
                <w:lang w:eastAsia="cs-CZ"/>
              </w:rPr>
            </w:pPr>
            <w:r>
              <w:rPr>
                <w:rFonts w:ascii="Calibri" w:hAnsi="Calibri" w:cs="Times New Roman CE"/>
                <w:color w:val="000000"/>
                <w:szCs w:val="21"/>
              </w:rPr>
              <w:t>2,9 %</w:t>
            </w:r>
          </w:p>
        </w:tc>
        <w:tc>
          <w:tcPr>
            <w:tcW w:w="960" w:type="dxa"/>
            <w:tcBorders>
              <w:top w:val="nil"/>
              <w:left w:val="nil"/>
              <w:bottom w:val="single" w:sz="12" w:space="0" w:color="4F81BD"/>
              <w:right w:val="nil"/>
            </w:tcBorders>
            <w:shd w:val="clear" w:color="auto" w:fill="auto"/>
            <w:noWrap/>
            <w:vAlign w:val="center"/>
          </w:tcPr>
          <w:p w:rsidR="00211333" w:rsidRPr="005F75BF" w:rsidRDefault="00211333" w:rsidP="009D7DC1">
            <w:pPr>
              <w:spacing w:after="0" w:line="240" w:lineRule="auto"/>
              <w:jc w:val="right"/>
              <w:rPr>
                <w:rFonts w:ascii="Calibri" w:eastAsia="Times New Roman" w:hAnsi="Calibri" w:cs="Times New Roman"/>
                <w:color w:val="000000"/>
                <w:lang w:eastAsia="cs-CZ"/>
              </w:rPr>
            </w:pPr>
            <w:r>
              <w:rPr>
                <w:rFonts w:ascii="Calibri" w:hAnsi="Calibri" w:cs="Times New Roman CE"/>
                <w:color w:val="000000"/>
                <w:szCs w:val="21"/>
              </w:rPr>
              <w:t>2,8 %</w:t>
            </w:r>
          </w:p>
        </w:tc>
        <w:tc>
          <w:tcPr>
            <w:tcW w:w="960" w:type="dxa"/>
            <w:tcBorders>
              <w:top w:val="nil"/>
              <w:left w:val="nil"/>
              <w:bottom w:val="single" w:sz="12" w:space="0" w:color="4F81BD"/>
              <w:right w:val="single" w:sz="12" w:space="0" w:color="4F81BD"/>
            </w:tcBorders>
            <w:shd w:val="clear" w:color="000000" w:fill="DCE6F1"/>
            <w:noWrap/>
            <w:vAlign w:val="center"/>
          </w:tcPr>
          <w:p w:rsidR="00211333" w:rsidRPr="005F75BF" w:rsidRDefault="00211333" w:rsidP="009D7DC1">
            <w:pPr>
              <w:spacing w:after="0" w:line="240" w:lineRule="auto"/>
              <w:jc w:val="right"/>
              <w:rPr>
                <w:rFonts w:ascii="Calibri" w:eastAsia="Times New Roman" w:hAnsi="Calibri" w:cs="Times New Roman"/>
                <w:color w:val="000000"/>
                <w:lang w:eastAsia="cs-CZ"/>
              </w:rPr>
            </w:pPr>
            <w:r>
              <w:rPr>
                <w:rFonts w:ascii="Calibri" w:hAnsi="Calibri" w:cs="Times New Roman CE"/>
                <w:color w:val="000000"/>
                <w:szCs w:val="21"/>
              </w:rPr>
              <w:t>2,8 %</w:t>
            </w:r>
          </w:p>
        </w:tc>
      </w:tr>
    </w:tbl>
    <w:p w:rsidR="00436F6E" w:rsidRDefault="00436F6E" w:rsidP="00E82BDF">
      <w:pPr>
        <w:spacing w:before="180" w:line="276" w:lineRule="auto"/>
        <w:jc w:val="both"/>
      </w:pPr>
      <w:r w:rsidRPr="00456113">
        <w:t xml:space="preserve">V roce </w:t>
      </w:r>
      <w:r w:rsidR="00C23AD6" w:rsidRPr="00456113">
        <w:t>202</w:t>
      </w:r>
      <w:r w:rsidR="00211333" w:rsidRPr="00456113">
        <w:t>1</w:t>
      </w:r>
      <w:r w:rsidR="00C23AD6" w:rsidRPr="00456113">
        <w:t xml:space="preserve"> </w:t>
      </w:r>
      <w:r w:rsidRPr="00456113">
        <w:t>(</w:t>
      </w:r>
      <w:r w:rsidRPr="00456113">
        <w:rPr>
          <w:i/>
        </w:rPr>
        <w:t>Tabulka č. 5</w:t>
      </w:r>
      <w:r w:rsidRPr="00456113">
        <w:t>) by měla mít nejvyšší výdaje na zdravotní služby ze ZFZP v přepočtu na jednoho pojištěnce VZP ČR</w:t>
      </w:r>
      <w:r w:rsidR="007629DC" w:rsidRPr="00456113">
        <w:t>,</w:t>
      </w:r>
      <w:r w:rsidRPr="00456113">
        <w:t xml:space="preserve"> nejnižší </w:t>
      </w:r>
      <w:r w:rsidR="00211333" w:rsidRPr="00456113">
        <w:t>ČPZP</w:t>
      </w:r>
      <w:r w:rsidRPr="00456113">
        <w:t xml:space="preserve">, což </w:t>
      </w:r>
      <w:r w:rsidR="007629DC" w:rsidRPr="00456113">
        <w:t>je</w:t>
      </w:r>
      <w:r w:rsidRPr="00456113">
        <w:t xml:space="preserve"> v obou případech </w:t>
      </w:r>
      <w:r w:rsidR="007629DC" w:rsidRPr="00456113">
        <w:t>ovlivněno</w:t>
      </w:r>
      <w:r w:rsidRPr="00456113">
        <w:t xml:space="preserve"> strukturou pojistného kmene. Obdobné relace vyplývají i z tabulky očekávané skutečnosti </w:t>
      </w:r>
      <w:r w:rsidR="00211333" w:rsidRPr="00456113">
        <w:t xml:space="preserve">2020 </w:t>
      </w:r>
      <w:r w:rsidRPr="00456113">
        <w:t>(</w:t>
      </w:r>
      <w:r w:rsidRPr="00456113">
        <w:rPr>
          <w:i/>
        </w:rPr>
        <w:t>Tabulka č. 6</w:t>
      </w:r>
      <w:r w:rsidRPr="00456113">
        <w:t>).</w:t>
      </w:r>
    </w:p>
    <w:p w:rsidR="00436F6E" w:rsidRPr="00A21C1F" w:rsidRDefault="00436F6E" w:rsidP="00E82BDF">
      <w:pPr>
        <w:spacing w:before="180" w:line="276" w:lineRule="auto"/>
        <w:jc w:val="both"/>
      </w:pPr>
      <w:r w:rsidRPr="000E0699">
        <w:t xml:space="preserve">Úroveň </w:t>
      </w:r>
      <w:r w:rsidR="00C23AD6" w:rsidRPr="00A21C1F">
        <w:t xml:space="preserve">celkových </w:t>
      </w:r>
      <w:r w:rsidRPr="00A21C1F">
        <w:t>výdajů na preventivní programy je pochopitelně odlišná vzhledem k velikosti zdravotních pojišťoven. Při přepočtu na jedn</w:t>
      </w:r>
      <w:r w:rsidRPr="0053662E">
        <w:t>oho poj</w:t>
      </w:r>
      <w:r w:rsidR="00117B7D">
        <w:t>ištěnce nejnižší hodnoty dosáhne</w:t>
      </w:r>
      <w:r w:rsidR="003F5ED5">
        <w:t xml:space="preserve"> v obou obdobích VZP ČR</w:t>
      </w:r>
      <w:r w:rsidR="00211333">
        <w:t xml:space="preserve">, nejvyšší naopak </w:t>
      </w:r>
      <w:r w:rsidR="00976CB1">
        <w:t>v roce 2020 RBP a v roce 2021 pak ZPŠ</w:t>
      </w:r>
      <w:r w:rsidR="003F5ED5">
        <w:t>.</w:t>
      </w:r>
    </w:p>
    <w:p w:rsidR="0042752A" w:rsidRDefault="00436F6E" w:rsidP="0042752A">
      <w:pPr>
        <w:spacing w:before="180" w:line="276" w:lineRule="auto"/>
        <w:jc w:val="both"/>
      </w:pPr>
      <w:r w:rsidRPr="0053662E">
        <w:t>Rovněž absolutně neporovnatelnou veličinu představují výdaje na vlastní činnost, a tak byl určen jejich podíl na</w:t>
      </w:r>
      <w:r w:rsidR="005F53B5">
        <w:t> </w:t>
      </w:r>
      <w:r w:rsidRPr="0053662E">
        <w:t>celkových výdajích dané zdravotní pojišťov</w:t>
      </w:r>
      <w:r w:rsidR="003F5ED5">
        <w:t>ny. Zde nejvyšší hodnoty dosáhne</w:t>
      </w:r>
      <w:r w:rsidRPr="0053662E">
        <w:t xml:space="preserve"> OZP a nejnižší VZP ČR.</w:t>
      </w:r>
      <w:r w:rsidR="00E16D99">
        <w:t xml:space="preserve"> </w:t>
      </w:r>
    </w:p>
    <w:p w:rsidR="00E82BDF" w:rsidRDefault="00E82BDF" w:rsidP="009A3F36">
      <w:pPr>
        <w:pStyle w:val="Titulek"/>
        <w:jc w:val="both"/>
      </w:pPr>
      <w:bookmarkStart w:id="11" w:name="_Toc63685259"/>
      <w:r w:rsidRPr="00C75FC6">
        <w:t xml:space="preserve">Tabulka č. </w:t>
      </w:r>
      <w:r w:rsidR="008E5E29">
        <w:rPr>
          <w:noProof/>
        </w:rPr>
        <w:fldChar w:fldCharType="begin"/>
      </w:r>
      <w:r w:rsidR="007F5247">
        <w:rPr>
          <w:noProof/>
        </w:rPr>
        <w:instrText xml:space="preserve"> SEQ Tabulka \* ARABIC </w:instrText>
      </w:r>
      <w:r w:rsidR="008E5E29">
        <w:rPr>
          <w:noProof/>
        </w:rPr>
        <w:fldChar w:fldCharType="separate"/>
      </w:r>
      <w:r w:rsidR="006D5C90">
        <w:rPr>
          <w:noProof/>
        </w:rPr>
        <w:t>6</w:t>
      </w:r>
      <w:r w:rsidR="008E5E29">
        <w:rPr>
          <w:noProof/>
        </w:rPr>
        <w:fldChar w:fldCharType="end"/>
      </w:r>
      <w:r w:rsidRPr="00C75FC6">
        <w:t xml:space="preserve">: </w:t>
      </w:r>
      <w:r w:rsidRPr="00E82BDF">
        <w:t xml:space="preserve">Plánované výdaje systému v. z. p. </w:t>
      </w:r>
      <w:r w:rsidR="00211333" w:rsidRPr="00E82BDF">
        <w:t>20</w:t>
      </w:r>
      <w:r w:rsidR="00211333">
        <w:t>20</w:t>
      </w:r>
      <w:r w:rsidR="00211333" w:rsidRPr="00E82BDF">
        <w:t xml:space="preserve"> </w:t>
      </w:r>
      <w:r w:rsidRPr="00E82BDF">
        <w:t>dle zdravotních pojišťoven</w:t>
      </w:r>
      <w:bookmarkEnd w:id="11"/>
    </w:p>
    <w:tbl>
      <w:tblPr>
        <w:tblW w:w="9600" w:type="dxa"/>
        <w:tblInd w:w="55" w:type="dxa"/>
        <w:tblCellMar>
          <w:left w:w="70" w:type="dxa"/>
          <w:right w:w="70" w:type="dxa"/>
        </w:tblCellMar>
        <w:tblLook w:val="04A0" w:firstRow="1" w:lastRow="0" w:firstColumn="1" w:lastColumn="0" w:noHBand="0" w:noVBand="1"/>
      </w:tblPr>
      <w:tblGrid>
        <w:gridCol w:w="2880"/>
        <w:gridCol w:w="960"/>
        <w:gridCol w:w="960"/>
        <w:gridCol w:w="960"/>
        <w:gridCol w:w="960"/>
        <w:gridCol w:w="960"/>
        <w:gridCol w:w="960"/>
        <w:gridCol w:w="960"/>
      </w:tblGrid>
      <w:tr w:rsidR="00436F6E" w:rsidRPr="006724B0" w:rsidTr="007E01C6">
        <w:trPr>
          <w:trHeight w:val="315"/>
        </w:trPr>
        <w:tc>
          <w:tcPr>
            <w:tcW w:w="2880" w:type="dxa"/>
            <w:tcBorders>
              <w:top w:val="single" w:sz="12" w:space="0" w:color="4F81BD"/>
              <w:left w:val="single" w:sz="12" w:space="0" w:color="4F81BD"/>
              <w:bottom w:val="nil"/>
              <w:right w:val="nil"/>
            </w:tcBorders>
            <w:shd w:val="clear" w:color="000000" w:fill="4F81BD"/>
            <w:vAlign w:val="center"/>
            <w:hideMark/>
          </w:tcPr>
          <w:p w:rsidR="00436F6E" w:rsidRPr="006724B0" w:rsidRDefault="00436F6E" w:rsidP="00211333">
            <w:pPr>
              <w:spacing w:after="0" w:line="240" w:lineRule="auto"/>
              <w:rPr>
                <w:rFonts w:ascii="Calibri" w:eastAsia="Times New Roman" w:hAnsi="Calibri" w:cs="Times New Roman"/>
                <w:b/>
                <w:bCs/>
                <w:color w:val="FFFFFF"/>
                <w:szCs w:val="21"/>
                <w:lang w:eastAsia="cs-CZ"/>
              </w:rPr>
            </w:pPr>
            <w:r w:rsidRPr="006724B0">
              <w:rPr>
                <w:rFonts w:ascii="Calibri" w:eastAsia="Times New Roman" w:hAnsi="Calibri" w:cs="Times New Roman"/>
                <w:b/>
                <w:bCs/>
                <w:color w:val="FFFFFF"/>
                <w:szCs w:val="21"/>
                <w:lang w:eastAsia="cs-CZ"/>
              </w:rPr>
              <w:t xml:space="preserve">Oč. skut. </w:t>
            </w:r>
            <w:r w:rsidR="00211333" w:rsidRPr="006724B0">
              <w:rPr>
                <w:rFonts w:ascii="Calibri" w:eastAsia="Times New Roman" w:hAnsi="Calibri" w:cs="Times New Roman"/>
                <w:b/>
                <w:bCs/>
                <w:color w:val="FFFFFF"/>
                <w:szCs w:val="21"/>
                <w:lang w:eastAsia="cs-CZ"/>
              </w:rPr>
              <w:t>20</w:t>
            </w:r>
            <w:r w:rsidR="00211333">
              <w:rPr>
                <w:rFonts w:ascii="Calibri" w:eastAsia="Times New Roman" w:hAnsi="Calibri" w:cs="Times New Roman"/>
                <w:b/>
                <w:bCs/>
                <w:color w:val="FFFFFF"/>
                <w:szCs w:val="21"/>
                <w:lang w:eastAsia="cs-CZ"/>
              </w:rPr>
              <w:t>20</w:t>
            </w:r>
          </w:p>
        </w:tc>
        <w:tc>
          <w:tcPr>
            <w:tcW w:w="960" w:type="dxa"/>
            <w:vMerge w:val="restart"/>
            <w:tcBorders>
              <w:top w:val="single" w:sz="12" w:space="0" w:color="4F81BD"/>
              <w:left w:val="nil"/>
              <w:bottom w:val="nil"/>
              <w:right w:val="nil"/>
            </w:tcBorders>
            <w:shd w:val="clear" w:color="000000" w:fill="6691C6"/>
            <w:noWrap/>
            <w:vAlign w:val="center"/>
            <w:hideMark/>
          </w:tcPr>
          <w:p w:rsidR="00436F6E" w:rsidRPr="006724B0" w:rsidRDefault="00436F6E" w:rsidP="007E01C6">
            <w:pPr>
              <w:spacing w:after="0" w:line="240" w:lineRule="auto"/>
              <w:jc w:val="center"/>
              <w:rPr>
                <w:rFonts w:ascii="Calibri" w:eastAsia="Times New Roman" w:hAnsi="Calibri" w:cs="Times New Roman"/>
                <w:color w:val="FFFFFF"/>
                <w:szCs w:val="21"/>
                <w:lang w:eastAsia="cs-CZ"/>
              </w:rPr>
            </w:pPr>
            <w:r w:rsidRPr="006724B0">
              <w:rPr>
                <w:rFonts w:ascii="Calibri" w:eastAsia="Times New Roman" w:hAnsi="Calibri" w:cs="Times New Roman"/>
                <w:color w:val="FFFFFF" w:themeColor="background1"/>
                <w:szCs w:val="21"/>
                <w:lang w:eastAsia="cs-CZ"/>
              </w:rPr>
              <w:t>VZP ČR</w:t>
            </w:r>
          </w:p>
        </w:tc>
        <w:tc>
          <w:tcPr>
            <w:tcW w:w="960" w:type="dxa"/>
            <w:vMerge w:val="restart"/>
            <w:tcBorders>
              <w:top w:val="single" w:sz="12" w:space="0" w:color="4F81BD"/>
              <w:left w:val="nil"/>
              <w:bottom w:val="nil"/>
              <w:right w:val="nil"/>
            </w:tcBorders>
            <w:shd w:val="clear" w:color="000000" w:fill="4F81BD"/>
            <w:noWrap/>
            <w:vAlign w:val="center"/>
            <w:hideMark/>
          </w:tcPr>
          <w:p w:rsidR="00436F6E" w:rsidRPr="006724B0" w:rsidRDefault="00436F6E" w:rsidP="007E01C6">
            <w:pPr>
              <w:spacing w:after="0" w:line="240" w:lineRule="auto"/>
              <w:jc w:val="center"/>
              <w:rPr>
                <w:rFonts w:ascii="Calibri" w:eastAsia="Times New Roman" w:hAnsi="Calibri" w:cs="Times New Roman"/>
                <w:color w:val="FFFFFF"/>
                <w:szCs w:val="21"/>
                <w:lang w:eastAsia="cs-CZ"/>
              </w:rPr>
            </w:pPr>
            <w:proofErr w:type="spellStart"/>
            <w:r w:rsidRPr="006724B0">
              <w:rPr>
                <w:rFonts w:ascii="Calibri" w:eastAsia="Times New Roman" w:hAnsi="Calibri" w:cs="Times New Roman"/>
                <w:color w:val="FFFFFF" w:themeColor="background1"/>
                <w:szCs w:val="21"/>
                <w:lang w:eastAsia="cs-CZ"/>
              </w:rPr>
              <w:t>VoZP</w:t>
            </w:r>
            <w:proofErr w:type="spellEnd"/>
            <w:r w:rsidRPr="006724B0">
              <w:rPr>
                <w:rFonts w:ascii="Calibri" w:eastAsia="Times New Roman" w:hAnsi="Calibri" w:cs="Times New Roman"/>
                <w:color w:val="FFFFFF" w:themeColor="background1"/>
                <w:szCs w:val="21"/>
                <w:lang w:eastAsia="cs-CZ"/>
              </w:rPr>
              <w:t xml:space="preserve"> ČR</w:t>
            </w:r>
          </w:p>
        </w:tc>
        <w:tc>
          <w:tcPr>
            <w:tcW w:w="960" w:type="dxa"/>
            <w:vMerge w:val="restart"/>
            <w:tcBorders>
              <w:top w:val="single" w:sz="12" w:space="0" w:color="4F81BD"/>
              <w:left w:val="nil"/>
              <w:bottom w:val="nil"/>
              <w:right w:val="nil"/>
            </w:tcBorders>
            <w:shd w:val="clear" w:color="000000" w:fill="6691C6"/>
            <w:noWrap/>
            <w:vAlign w:val="center"/>
            <w:hideMark/>
          </w:tcPr>
          <w:p w:rsidR="00436F6E" w:rsidRPr="006724B0" w:rsidRDefault="00436F6E" w:rsidP="007E01C6">
            <w:pPr>
              <w:spacing w:after="0" w:line="240" w:lineRule="auto"/>
              <w:jc w:val="center"/>
              <w:rPr>
                <w:rFonts w:ascii="Calibri" w:eastAsia="Times New Roman" w:hAnsi="Calibri" w:cs="Times New Roman"/>
                <w:color w:val="FFFFFF"/>
                <w:szCs w:val="21"/>
                <w:lang w:eastAsia="cs-CZ"/>
              </w:rPr>
            </w:pPr>
            <w:r w:rsidRPr="006724B0">
              <w:rPr>
                <w:rFonts w:ascii="Calibri" w:eastAsia="Times New Roman" w:hAnsi="Calibri" w:cs="Times New Roman"/>
                <w:color w:val="FFFFFF" w:themeColor="background1"/>
                <w:szCs w:val="21"/>
                <w:lang w:eastAsia="cs-CZ"/>
              </w:rPr>
              <w:t>ČPZP</w:t>
            </w:r>
          </w:p>
        </w:tc>
        <w:tc>
          <w:tcPr>
            <w:tcW w:w="960" w:type="dxa"/>
            <w:vMerge w:val="restart"/>
            <w:tcBorders>
              <w:top w:val="single" w:sz="12" w:space="0" w:color="4F81BD"/>
              <w:left w:val="nil"/>
              <w:bottom w:val="nil"/>
              <w:right w:val="nil"/>
            </w:tcBorders>
            <w:shd w:val="clear" w:color="000000" w:fill="4F81BD"/>
            <w:vAlign w:val="center"/>
            <w:hideMark/>
          </w:tcPr>
          <w:p w:rsidR="00436F6E" w:rsidRPr="006724B0" w:rsidRDefault="00436F6E" w:rsidP="007E01C6">
            <w:pPr>
              <w:spacing w:after="0" w:line="240" w:lineRule="auto"/>
              <w:jc w:val="center"/>
              <w:rPr>
                <w:rFonts w:ascii="Calibri" w:eastAsia="Times New Roman" w:hAnsi="Calibri" w:cs="Times New Roman"/>
                <w:color w:val="FFFFFF"/>
                <w:szCs w:val="21"/>
                <w:lang w:eastAsia="cs-CZ"/>
              </w:rPr>
            </w:pPr>
            <w:r w:rsidRPr="006724B0">
              <w:rPr>
                <w:rFonts w:ascii="Calibri" w:eastAsia="Times New Roman" w:hAnsi="Calibri" w:cs="Times New Roman"/>
                <w:color w:val="FFFFFF" w:themeColor="background1"/>
                <w:szCs w:val="21"/>
                <w:lang w:eastAsia="cs-CZ"/>
              </w:rPr>
              <w:t>OZP</w:t>
            </w:r>
          </w:p>
        </w:tc>
        <w:tc>
          <w:tcPr>
            <w:tcW w:w="960" w:type="dxa"/>
            <w:vMerge w:val="restart"/>
            <w:tcBorders>
              <w:top w:val="single" w:sz="12" w:space="0" w:color="4F81BD"/>
              <w:left w:val="nil"/>
              <w:bottom w:val="nil"/>
              <w:right w:val="nil"/>
            </w:tcBorders>
            <w:shd w:val="clear" w:color="000000" w:fill="6691C6"/>
            <w:vAlign w:val="center"/>
            <w:hideMark/>
          </w:tcPr>
          <w:p w:rsidR="00436F6E" w:rsidRPr="006724B0" w:rsidRDefault="00436F6E" w:rsidP="007E01C6">
            <w:pPr>
              <w:spacing w:after="0" w:line="240" w:lineRule="auto"/>
              <w:jc w:val="center"/>
              <w:rPr>
                <w:rFonts w:ascii="Calibri" w:eastAsia="Times New Roman" w:hAnsi="Calibri" w:cs="Times New Roman"/>
                <w:color w:val="FFFFFF"/>
                <w:szCs w:val="21"/>
                <w:lang w:eastAsia="cs-CZ"/>
              </w:rPr>
            </w:pPr>
            <w:r w:rsidRPr="006724B0">
              <w:rPr>
                <w:rFonts w:ascii="Calibri" w:eastAsia="Times New Roman" w:hAnsi="Calibri" w:cs="Times New Roman"/>
                <w:color w:val="FFFFFF" w:themeColor="background1"/>
                <w:szCs w:val="21"/>
                <w:lang w:eastAsia="cs-CZ"/>
              </w:rPr>
              <w:t>ZPŠ</w:t>
            </w:r>
          </w:p>
        </w:tc>
        <w:tc>
          <w:tcPr>
            <w:tcW w:w="960" w:type="dxa"/>
            <w:vMerge w:val="restart"/>
            <w:tcBorders>
              <w:top w:val="single" w:sz="12" w:space="0" w:color="4F81BD"/>
              <w:left w:val="nil"/>
              <w:bottom w:val="nil"/>
              <w:right w:val="nil"/>
            </w:tcBorders>
            <w:shd w:val="clear" w:color="000000" w:fill="4F81BD"/>
            <w:vAlign w:val="center"/>
            <w:hideMark/>
          </w:tcPr>
          <w:p w:rsidR="00436F6E" w:rsidRPr="00B34351" w:rsidRDefault="00DF5584" w:rsidP="007E01C6">
            <w:pPr>
              <w:spacing w:after="0" w:line="240" w:lineRule="auto"/>
              <w:jc w:val="center"/>
              <w:rPr>
                <w:rFonts w:ascii="Calibri" w:eastAsia="Times New Roman" w:hAnsi="Calibri" w:cs="Times New Roman"/>
                <w:color w:val="FFFFFF"/>
                <w:spacing w:val="-2"/>
                <w:szCs w:val="21"/>
                <w:lang w:eastAsia="cs-CZ"/>
              </w:rPr>
            </w:pPr>
            <w:r w:rsidRPr="00B34351">
              <w:rPr>
                <w:rFonts w:ascii="Calibri" w:eastAsia="Times New Roman" w:hAnsi="Calibri" w:cs="Times New Roman"/>
                <w:color w:val="FFFFFF" w:themeColor="background1"/>
                <w:spacing w:val="-2"/>
                <w:szCs w:val="21"/>
                <w:lang w:eastAsia="cs-CZ"/>
              </w:rPr>
              <w:t>ZP MV ČR</w:t>
            </w:r>
          </w:p>
        </w:tc>
        <w:tc>
          <w:tcPr>
            <w:tcW w:w="960" w:type="dxa"/>
            <w:vMerge w:val="restart"/>
            <w:tcBorders>
              <w:top w:val="single" w:sz="12" w:space="0" w:color="4F81BD"/>
              <w:left w:val="nil"/>
              <w:bottom w:val="nil"/>
              <w:right w:val="single" w:sz="12" w:space="0" w:color="4F81BD"/>
            </w:tcBorders>
            <w:shd w:val="clear" w:color="000000" w:fill="6691C6"/>
            <w:vAlign w:val="center"/>
            <w:hideMark/>
          </w:tcPr>
          <w:p w:rsidR="00436F6E" w:rsidRPr="006724B0" w:rsidRDefault="00436F6E" w:rsidP="007E01C6">
            <w:pPr>
              <w:spacing w:after="0" w:line="240" w:lineRule="auto"/>
              <w:jc w:val="center"/>
              <w:rPr>
                <w:rFonts w:ascii="Calibri" w:eastAsia="Times New Roman" w:hAnsi="Calibri" w:cs="Times New Roman"/>
                <w:color w:val="FFFFFF"/>
                <w:szCs w:val="21"/>
                <w:lang w:eastAsia="cs-CZ"/>
              </w:rPr>
            </w:pPr>
            <w:r w:rsidRPr="006724B0">
              <w:rPr>
                <w:rFonts w:ascii="Calibri" w:eastAsia="Times New Roman" w:hAnsi="Calibri" w:cs="Times New Roman"/>
                <w:color w:val="FFFFFF" w:themeColor="background1"/>
                <w:szCs w:val="21"/>
                <w:lang w:eastAsia="cs-CZ"/>
              </w:rPr>
              <w:t>RBP</w:t>
            </w:r>
          </w:p>
        </w:tc>
      </w:tr>
      <w:tr w:rsidR="00436F6E" w:rsidRPr="006724B0" w:rsidTr="007E01C6">
        <w:trPr>
          <w:trHeight w:val="300"/>
        </w:trPr>
        <w:tc>
          <w:tcPr>
            <w:tcW w:w="2880" w:type="dxa"/>
            <w:tcBorders>
              <w:top w:val="nil"/>
              <w:left w:val="single" w:sz="12" w:space="0" w:color="4F81BD"/>
              <w:bottom w:val="nil"/>
              <w:right w:val="nil"/>
            </w:tcBorders>
            <w:shd w:val="clear" w:color="000000" w:fill="4F81BD"/>
            <w:vAlign w:val="center"/>
            <w:hideMark/>
          </w:tcPr>
          <w:p w:rsidR="00436F6E" w:rsidRPr="006724B0" w:rsidRDefault="00436F6E" w:rsidP="007E01C6">
            <w:pPr>
              <w:spacing w:after="0" w:line="240" w:lineRule="auto"/>
              <w:rPr>
                <w:rFonts w:ascii="Calibri" w:eastAsia="Times New Roman" w:hAnsi="Calibri" w:cs="Times New Roman"/>
                <w:b/>
                <w:bCs/>
                <w:i/>
                <w:iCs/>
                <w:color w:val="FFFFFF"/>
                <w:szCs w:val="21"/>
                <w:lang w:eastAsia="cs-CZ"/>
              </w:rPr>
            </w:pPr>
            <w:r w:rsidRPr="006724B0">
              <w:rPr>
                <w:rFonts w:ascii="Calibri" w:eastAsia="Times New Roman" w:hAnsi="Calibri" w:cs="Times New Roman"/>
                <w:b/>
                <w:bCs/>
                <w:i/>
                <w:iCs/>
                <w:color w:val="FFFFFF"/>
                <w:szCs w:val="21"/>
                <w:lang w:eastAsia="cs-CZ"/>
              </w:rPr>
              <w:t xml:space="preserve">(v mil. </w:t>
            </w:r>
            <w:proofErr w:type="gramStart"/>
            <w:r w:rsidRPr="006724B0">
              <w:rPr>
                <w:rFonts w:ascii="Calibri" w:eastAsia="Times New Roman" w:hAnsi="Calibri" w:cs="Times New Roman"/>
                <w:b/>
                <w:bCs/>
                <w:i/>
                <w:iCs/>
                <w:color w:val="FFFFFF"/>
                <w:szCs w:val="21"/>
                <w:lang w:eastAsia="cs-CZ"/>
              </w:rPr>
              <w:t>Kč )</w:t>
            </w:r>
            <w:proofErr w:type="gramEnd"/>
          </w:p>
        </w:tc>
        <w:tc>
          <w:tcPr>
            <w:tcW w:w="960" w:type="dxa"/>
            <w:vMerge/>
            <w:tcBorders>
              <w:top w:val="single" w:sz="12" w:space="0" w:color="4F81BD"/>
              <w:left w:val="nil"/>
              <w:bottom w:val="nil"/>
              <w:right w:val="nil"/>
            </w:tcBorders>
            <w:vAlign w:val="center"/>
            <w:hideMark/>
          </w:tcPr>
          <w:p w:rsidR="00436F6E" w:rsidRPr="006724B0" w:rsidRDefault="00436F6E" w:rsidP="007E01C6">
            <w:pPr>
              <w:spacing w:after="0" w:line="240" w:lineRule="auto"/>
              <w:rPr>
                <w:rFonts w:ascii="Calibri" w:eastAsia="Times New Roman" w:hAnsi="Calibri" w:cs="Times New Roman"/>
                <w:color w:val="FFFFFF"/>
                <w:szCs w:val="21"/>
                <w:lang w:eastAsia="cs-CZ"/>
              </w:rPr>
            </w:pPr>
          </w:p>
        </w:tc>
        <w:tc>
          <w:tcPr>
            <w:tcW w:w="960" w:type="dxa"/>
            <w:vMerge/>
            <w:tcBorders>
              <w:top w:val="single" w:sz="12" w:space="0" w:color="4F81BD"/>
              <w:left w:val="nil"/>
              <w:bottom w:val="nil"/>
              <w:right w:val="nil"/>
            </w:tcBorders>
            <w:vAlign w:val="center"/>
            <w:hideMark/>
          </w:tcPr>
          <w:p w:rsidR="00436F6E" w:rsidRPr="006724B0" w:rsidRDefault="00436F6E" w:rsidP="007E01C6">
            <w:pPr>
              <w:spacing w:after="0" w:line="240" w:lineRule="auto"/>
              <w:rPr>
                <w:rFonts w:ascii="Calibri" w:eastAsia="Times New Roman" w:hAnsi="Calibri" w:cs="Times New Roman"/>
                <w:color w:val="FFFFFF"/>
                <w:szCs w:val="21"/>
                <w:lang w:eastAsia="cs-CZ"/>
              </w:rPr>
            </w:pPr>
          </w:p>
        </w:tc>
        <w:tc>
          <w:tcPr>
            <w:tcW w:w="960" w:type="dxa"/>
            <w:vMerge/>
            <w:tcBorders>
              <w:top w:val="single" w:sz="12" w:space="0" w:color="4F81BD"/>
              <w:left w:val="nil"/>
              <w:bottom w:val="nil"/>
              <w:right w:val="nil"/>
            </w:tcBorders>
            <w:vAlign w:val="center"/>
            <w:hideMark/>
          </w:tcPr>
          <w:p w:rsidR="00436F6E" w:rsidRPr="006724B0" w:rsidRDefault="00436F6E" w:rsidP="007E01C6">
            <w:pPr>
              <w:spacing w:after="0" w:line="240" w:lineRule="auto"/>
              <w:rPr>
                <w:rFonts w:ascii="Calibri" w:eastAsia="Times New Roman" w:hAnsi="Calibri" w:cs="Times New Roman"/>
                <w:color w:val="FFFFFF"/>
                <w:szCs w:val="21"/>
                <w:lang w:eastAsia="cs-CZ"/>
              </w:rPr>
            </w:pPr>
          </w:p>
        </w:tc>
        <w:tc>
          <w:tcPr>
            <w:tcW w:w="960" w:type="dxa"/>
            <w:vMerge/>
            <w:tcBorders>
              <w:top w:val="single" w:sz="12" w:space="0" w:color="4F81BD"/>
              <w:left w:val="nil"/>
              <w:bottom w:val="nil"/>
              <w:right w:val="nil"/>
            </w:tcBorders>
            <w:vAlign w:val="center"/>
            <w:hideMark/>
          </w:tcPr>
          <w:p w:rsidR="00436F6E" w:rsidRPr="006724B0" w:rsidRDefault="00436F6E" w:rsidP="007E01C6">
            <w:pPr>
              <w:spacing w:after="0" w:line="240" w:lineRule="auto"/>
              <w:rPr>
                <w:rFonts w:ascii="Calibri" w:eastAsia="Times New Roman" w:hAnsi="Calibri" w:cs="Times New Roman"/>
                <w:color w:val="FFFFFF"/>
                <w:szCs w:val="21"/>
                <w:lang w:eastAsia="cs-CZ"/>
              </w:rPr>
            </w:pPr>
          </w:p>
        </w:tc>
        <w:tc>
          <w:tcPr>
            <w:tcW w:w="960" w:type="dxa"/>
            <w:vMerge/>
            <w:tcBorders>
              <w:top w:val="single" w:sz="12" w:space="0" w:color="4F81BD"/>
              <w:left w:val="nil"/>
              <w:bottom w:val="nil"/>
              <w:right w:val="nil"/>
            </w:tcBorders>
            <w:vAlign w:val="center"/>
            <w:hideMark/>
          </w:tcPr>
          <w:p w:rsidR="00436F6E" w:rsidRPr="006724B0" w:rsidRDefault="00436F6E" w:rsidP="007E01C6">
            <w:pPr>
              <w:spacing w:after="0" w:line="240" w:lineRule="auto"/>
              <w:rPr>
                <w:rFonts w:ascii="Calibri" w:eastAsia="Times New Roman" w:hAnsi="Calibri" w:cs="Times New Roman"/>
                <w:color w:val="FFFFFF"/>
                <w:szCs w:val="21"/>
                <w:lang w:eastAsia="cs-CZ"/>
              </w:rPr>
            </w:pPr>
          </w:p>
        </w:tc>
        <w:tc>
          <w:tcPr>
            <w:tcW w:w="960" w:type="dxa"/>
            <w:vMerge/>
            <w:tcBorders>
              <w:top w:val="single" w:sz="12" w:space="0" w:color="4F81BD"/>
              <w:left w:val="nil"/>
              <w:bottom w:val="nil"/>
              <w:right w:val="nil"/>
            </w:tcBorders>
            <w:vAlign w:val="center"/>
            <w:hideMark/>
          </w:tcPr>
          <w:p w:rsidR="00436F6E" w:rsidRPr="006724B0" w:rsidRDefault="00436F6E" w:rsidP="007E01C6">
            <w:pPr>
              <w:spacing w:after="0" w:line="240" w:lineRule="auto"/>
              <w:rPr>
                <w:rFonts w:ascii="Calibri" w:eastAsia="Times New Roman" w:hAnsi="Calibri" w:cs="Times New Roman"/>
                <w:color w:val="FFFFFF"/>
                <w:szCs w:val="21"/>
                <w:lang w:eastAsia="cs-CZ"/>
              </w:rPr>
            </w:pPr>
          </w:p>
        </w:tc>
        <w:tc>
          <w:tcPr>
            <w:tcW w:w="960" w:type="dxa"/>
            <w:vMerge/>
            <w:tcBorders>
              <w:top w:val="single" w:sz="12" w:space="0" w:color="4F81BD"/>
              <w:left w:val="nil"/>
              <w:bottom w:val="nil"/>
              <w:right w:val="single" w:sz="12" w:space="0" w:color="4F81BD"/>
            </w:tcBorders>
            <w:vAlign w:val="center"/>
            <w:hideMark/>
          </w:tcPr>
          <w:p w:rsidR="00436F6E" w:rsidRPr="006724B0" w:rsidRDefault="00436F6E" w:rsidP="007E01C6">
            <w:pPr>
              <w:spacing w:after="0" w:line="240" w:lineRule="auto"/>
              <w:rPr>
                <w:rFonts w:ascii="Calibri" w:eastAsia="Times New Roman" w:hAnsi="Calibri" w:cs="Times New Roman"/>
                <w:color w:val="FFFFFF"/>
                <w:szCs w:val="21"/>
                <w:lang w:eastAsia="cs-CZ"/>
              </w:rPr>
            </w:pPr>
          </w:p>
        </w:tc>
      </w:tr>
      <w:tr w:rsidR="00211333" w:rsidRPr="006724B0" w:rsidTr="0053662E">
        <w:trPr>
          <w:trHeight w:val="300"/>
        </w:trPr>
        <w:tc>
          <w:tcPr>
            <w:tcW w:w="2880" w:type="dxa"/>
            <w:tcBorders>
              <w:top w:val="nil"/>
              <w:left w:val="single" w:sz="12" w:space="0" w:color="4F81BD"/>
              <w:bottom w:val="nil"/>
              <w:right w:val="nil"/>
            </w:tcBorders>
            <w:shd w:val="clear" w:color="auto" w:fill="auto"/>
            <w:vAlign w:val="center"/>
            <w:hideMark/>
          </w:tcPr>
          <w:p w:rsidR="00211333" w:rsidRPr="006724B0" w:rsidRDefault="00211333" w:rsidP="007E01C6">
            <w:pPr>
              <w:spacing w:after="0" w:line="240" w:lineRule="auto"/>
              <w:rPr>
                <w:rFonts w:ascii="Calibri" w:eastAsia="Times New Roman" w:hAnsi="Calibri" w:cs="Times New Roman"/>
                <w:b/>
                <w:bCs/>
                <w:color w:val="000000"/>
                <w:szCs w:val="21"/>
                <w:lang w:eastAsia="cs-CZ"/>
              </w:rPr>
            </w:pPr>
            <w:r>
              <w:rPr>
                <w:rFonts w:ascii="Calibri" w:eastAsia="Times New Roman" w:hAnsi="Calibri" w:cs="Arial"/>
                <w:b/>
                <w:bCs/>
                <w:color w:val="000000"/>
                <w:szCs w:val="21"/>
                <w:lang w:eastAsia="cs-CZ"/>
              </w:rPr>
              <w:t>V</w:t>
            </w:r>
            <w:r w:rsidRPr="006724B0">
              <w:rPr>
                <w:rFonts w:ascii="Calibri" w:eastAsia="Times New Roman" w:hAnsi="Calibri" w:cs="Arial"/>
                <w:b/>
                <w:bCs/>
                <w:color w:val="000000"/>
                <w:szCs w:val="21"/>
                <w:lang w:eastAsia="cs-CZ"/>
              </w:rPr>
              <w:t>ýdaje celkem</w:t>
            </w:r>
          </w:p>
        </w:tc>
        <w:tc>
          <w:tcPr>
            <w:tcW w:w="960" w:type="dxa"/>
            <w:tcBorders>
              <w:top w:val="nil"/>
              <w:left w:val="nil"/>
              <w:bottom w:val="nil"/>
              <w:right w:val="nil"/>
            </w:tcBorders>
            <w:shd w:val="clear" w:color="000000" w:fill="DCE6F1"/>
            <w:noWrap/>
            <w:vAlign w:val="center"/>
          </w:tcPr>
          <w:p w:rsidR="00211333" w:rsidRPr="009E482A" w:rsidRDefault="00211333" w:rsidP="009E482A">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212 096</w:t>
            </w:r>
          </w:p>
        </w:tc>
        <w:tc>
          <w:tcPr>
            <w:tcW w:w="960" w:type="dxa"/>
            <w:tcBorders>
              <w:top w:val="nil"/>
              <w:left w:val="nil"/>
              <w:bottom w:val="nil"/>
              <w:right w:val="nil"/>
            </w:tcBorders>
            <w:shd w:val="clear" w:color="auto" w:fill="auto"/>
            <w:noWrap/>
            <w:vAlign w:val="center"/>
          </w:tcPr>
          <w:p w:rsidR="00211333" w:rsidRPr="009E482A" w:rsidRDefault="00211333" w:rsidP="009E482A">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22 643</w:t>
            </w:r>
          </w:p>
        </w:tc>
        <w:tc>
          <w:tcPr>
            <w:tcW w:w="960" w:type="dxa"/>
            <w:tcBorders>
              <w:top w:val="nil"/>
              <w:left w:val="nil"/>
              <w:bottom w:val="nil"/>
              <w:right w:val="nil"/>
            </w:tcBorders>
            <w:shd w:val="clear" w:color="000000" w:fill="DCE6F1"/>
            <w:noWrap/>
            <w:vAlign w:val="center"/>
          </w:tcPr>
          <w:p w:rsidR="00211333" w:rsidRPr="009E482A" w:rsidRDefault="00211333" w:rsidP="009E482A">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38 576</w:t>
            </w:r>
          </w:p>
        </w:tc>
        <w:tc>
          <w:tcPr>
            <w:tcW w:w="960" w:type="dxa"/>
            <w:tcBorders>
              <w:top w:val="nil"/>
              <w:left w:val="nil"/>
              <w:bottom w:val="nil"/>
              <w:right w:val="nil"/>
            </w:tcBorders>
            <w:shd w:val="clear" w:color="auto" w:fill="auto"/>
            <w:noWrap/>
            <w:vAlign w:val="center"/>
          </w:tcPr>
          <w:p w:rsidR="00211333" w:rsidRPr="009E482A" w:rsidRDefault="00211333" w:rsidP="009E482A">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21 839</w:t>
            </w:r>
          </w:p>
        </w:tc>
        <w:tc>
          <w:tcPr>
            <w:tcW w:w="960" w:type="dxa"/>
            <w:tcBorders>
              <w:top w:val="nil"/>
              <w:left w:val="nil"/>
              <w:bottom w:val="nil"/>
              <w:right w:val="nil"/>
            </w:tcBorders>
            <w:shd w:val="clear" w:color="000000" w:fill="DCE6F1"/>
            <w:noWrap/>
            <w:vAlign w:val="center"/>
          </w:tcPr>
          <w:p w:rsidR="00211333" w:rsidRPr="009E482A" w:rsidRDefault="00211333" w:rsidP="009E482A">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4 508</w:t>
            </w:r>
          </w:p>
        </w:tc>
        <w:tc>
          <w:tcPr>
            <w:tcW w:w="960" w:type="dxa"/>
            <w:tcBorders>
              <w:top w:val="nil"/>
              <w:left w:val="nil"/>
              <w:bottom w:val="nil"/>
              <w:right w:val="nil"/>
            </w:tcBorders>
            <w:shd w:val="clear" w:color="auto" w:fill="auto"/>
            <w:noWrap/>
            <w:vAlign w:val="center"/>
          </w:tcPr>
          <w:p w:rsidR="00211333" w:rsidRPr="009E482A" w:rsidRDefault="00211333" w:rsidP="009E482A">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42 279</w:t>
            </w:r>
          </w:p>
        </w:tc>
        <w:tc>
          <w:tcPr>
            <w:tcW w:w="960" w:type="dxa"/>
            <w:tcBorders>
              <w:top w:val="nil"/>
              <w:left w:val="nil"/>
              <w:bottom w:val="nil"/>
              <w:right w:val="single" w:sz="12" w:space="0" w:color="4F81BD"/>
            </w:tcBorders>
            <w:shd w:val="clear" w:color="000000" w:fill="DCE6F1"/>
            <w:noWrap/>
            <w:vAlign w:val="center"/>
          </w:tcPr>
          <w:p w:rsidR="00211333" w:rsidRPr="009E482A" w:rsidRDefault="00211333" w:rsidP="009E482A">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13 027</w:t>
            </w:r>
          </w:p>
        </w:tc>
      </w:tr>
      <w:tr w:rsidR="00211333" w:rsidRPr="006724B0" w:rsidTr="0053662E">
        <w:trPr>
          <w:trHeight w:val="570"/>
        </w:trPr>
        <w:tc>
          <w:tcPr>
            <w:tcW w:w="2880" w:type="dxa"/>
            <w:tcBorders>
              <w:top w:val="nil"/>
              <w:left w:val="single" w:sz="12" w:space="0" w:color="4F81BD"/>
              <w:bottom w:val="nil"/>
              <w:right w:val="nil"/>
            </w:tcBorders>
            <w:shd w:val="clear" w:color="000000" w:fill="EEF3F8"/>
            <w:vAlign w:val="center"/>
            <w:hideMark/>
          </w:tcPr>
          <w:p w:rsidR="00211333" w:rsidRPr="006724B0" w:rsidRDefault="00211333" w:rsidP="007E01C6">
            <w:pPr>
              <w:spacing w:after="0" w:line="240" w:lineRule="auto"/>
              <w:rPr>
                <w:rFonts w:ascii="Calibri" w:eastAsia="Times New Roman" w:hAnsi="Calibri" w:cs="Times New Roman"/>
                <w:color w:val="000000"/>
                <w:szCs w:val="21"/>
                <w:lang w:eastAsia="cs-CZ"/>
              </w:rPr>
            </w:pPr>
            <w:r>
              <w:rPr>
                <w:rFonts w:ascii="Calibri" w:eastAsia="Times New Roman" w:hAnsi="Calibri" w:cs="Times New Roman"/>
                <w:color w:val="000000"/>
                <w:szCs w:val="21"/>
                <w:lang w:eastAsia="cs-CZ"/>
              </w:rPr>
              <w:t>V</w:t>
            </w:r>
            <w:r w:rsidRPr="006724B0">
              <w:rPr>
                <w:rFonts w:ascii="Calibri" w:eastAsia="Times New Roman" w:hAnsi="Calibri" w:cs="Times New Roman"/>
                <w:color w:val="000000"/>
                <w:szCs w:val="21"/>
                <w:lang w:eastAsia="cs-CZ"/>
              </w:rPr>
              <w:t>ýdaje na zdravotní služby ze ZFZP</w:t>
            </w:r>
          </w:p>
        </w:tc>
        <w:tc>
          <w:tcPr>
            <w:tcW w:w="960" w:type="dxa"/>
            <w:tcBorders>
              <w:top w:val="nil"/>
              <w:left w:val="nil"/>
              <w:bottom w:val="nil"/>
              <w:right w:val="nil"/>
            </w:tcBorders>
            <w:shd w:val="clear" w:color="000000" w:fill="EEF3F8"/>
            <w:noWrap/>
            <w:vAlign w:val="center"/>
          </w:tcPr>
          <w:p w:rsidR="00211333" w:rsidRPr="006724B0" w:rsidRDefault="00211333" w:rsidP="009E482A">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205 565</w:t>
            </w:r>
          </w:p>
        </w:tc>
        <w:tc>
          <w:tcPr>
            <w:tcW w:w="960" w:type="dxa"/>
            <w:tcBorders>
              <w:top w:val="nil"/>
              <w:left w:val="nil"/>
              <w:bottom w:val="nil"/>
              <w:right w:val="nil"/>
            </w:tcBorders>
            <w:shd w:val="clear" w:color="000000" w:fill="EEF3F8"/>
            <w:noWrap/>
            <w:vAlign w:val="center"/>
          </w:tcPr>
          <w:p w:rsidR="00211333" w:rsidRPr="006724B0" w:rsidRDefault="00211333" w:rsidP="009E482A">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21 694</w:t>
            </w:r>
          </w:p>
        </w:tc>
        <w:tc>
          <w:tcPr>
            <w:tcW w:w="960" w:type="dxa"/>
            <w:tcBorders>
              <w:top w:val="nil"/>
              <w:left w:val="nil"/>
              <w:bottom w:val="nil"/>
              <w:right w:val="nil"/>
            </w:tcBorders>
            <w:shd w:val="clear" w:color="000000" w:fill="EEF3F8"/>
            <w:noWrap/>
            <w:vAlign w:val="center"/>
          </w:tcPr>
          <w:p w:rsidR="00211333" w:rsidRPr="006724B0" w:rsidRDefault="00211333" w:rsidP="009E482A">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37 284</w:t>
            </w:r>
          </w:p>
        </w:tc>
        <w:tc>
          <w:tcPr>
            <w:tcW w:w="960" w:type="dxa"/>
            <w:tcBorders>
              <w:top w:val="nil"/>
              <w:left w:val="nil"/>
              <w:bottom w:val="nil"/>
              <w:right w:val="nil"/>
            </w:tcBorders>
            <w:shd w:val="clear" w:color="000000" w:fill="EEF3F8"/>
            <w:noWrap/>
            <w:vAlign w:val="center"/>
          </w:tcPr>
          <w:p w:rsidR="00211333" w:rsidRPr="006724B0" w:rsidRDefault="00211333" w:rsidP="009E482A">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20 994</w:t>
            </w:r>
          </w:p>
        </w:tc>
        <w:tc>
          <w:tcPr>
            <w:tcW w:w="960" w:type="dxa"/>
            <w:tcBorders>
              <w:top w:val="nil"/>
              <w:left w:val="nil"/>
              <w:bottom w:val="nil"/>
              <w:right w:val="nil"/>
            </w:tcBorders>
            <w:shd w:val="clear" w:color="000000" w:fill="EEF3F8"/>
            <w:noWrap/>
            <w:vAlign w:val="center"/>
          </w:tcPr>
          <w:p w:rsidR="00211333" w:rsidRPr="006724B0" w:rsidRDefault="00211333" w:rsidP="009E482A">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4 340</w:t>
            </w:r>
          </w:p>
        </w:tc>
        <w:tc>
          <w:tcPr>
            <w:tcW w:w="960" w:type="dxa"/>
            <w:tcBorders>
              <w:top w:val="nil"/>
              <w:left w:val="nil"/>
              <w:bottom w:val="nil"/>
              <w:right w:val="nil"/>
            </w:tcBorders>
            <w:shd w:val="clear" w:color="000000" w:fill="EEF3F8"/>
            <w:noWrap/>
            <w:vAlign w:val="center"/>
          </w:tcPr>
          <w:p w:rsidR="00211333" w:rsidRPr="006724B0" w:rsidRDefault="00211333" w:rsidP="009E482A">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40 650</w:t>
            </w:r>
          </w:p>
        </w:tc>
        <w:tc>
          <w:tcPr>
            <w:tcW w:w="960" w:type="dxa"/>
            <w:tcBorders>
              <w:top w:val="nil"/>
              <w:left w:val="nil"/>
              <w:bottom w:val="nil"/>
              <w:right w:val="single" w:sz="12" w:space="0" w:color="4F81BD"/>
            </w:tcBorders>
            <w:shd w:val="clear" w:color="000000" w:fill="EEF3F8"/>
            <w:noWrap/>
            <w:vAlign w:val="center"/>
          </w:tcPr>
          <w:p w:rsidR="00211333" w:rsidRPr="006724B0" w:rsidRDefault="00211333" w:rsidP="009E482A">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12 550</w:t>
            </w:r>
          </w:p>
        </w:tc>
      </w:tr>
      <w:tr w:rsidR="00211333" w:rsidRPr="006724B0" w:rsidTr="0053662E">
        <w:trPr>
          <w:trHeight w:val="300"/>
        </w:trPr>
        <w:tc>
          <w:tcPr>
            <w:tcW w:w="2880" w:type="dxa"/>
            <w:tcBorders>
              <w:top w:val="nil"/>
              <w:left w:val="single" w:sz="12" w:space="0" w:color="4F81BD"/>
              <w:bottom w:val="nil"/>
              <w:right w:val="nil"/>
            </w:tcBorders>
            <w:shd w:val="clear" w:color="auto" w:fill="auto"/>
            <w:vAlign w:val="center"/>
            <w:hideMark/>
          </w:tcPr>
          <w:p w:rsidR="00211333" w:rsidRPr="006724B0" w:rsidRDefault="00211333" w:rsidP="007E01C6">
            <w:pPr>
              <w:spacing w:after="0" w:line="240" w:lineRule="auto"/>
              <w:rPr>
                <w:rFonts w:ascii="Calibri" w:eastAsia="Times New Roman" w:hAnsi="Calibri" w:cs="Times New Roman"/>
                <w:color w:val="000000"/>
                <w:szCs w:val="21"/>
                <w:lang w:eastAsia="cs-CZ"/>
              </w:rPr>
            </w:pPr>
            <w:r>
              <w:rPr>
                <w:rFonts w:ascii="Calibri" w:eastAsia="Times New Roman" w:hAnsi="Calibri" w:cs="Times New Roman"/>
                <w:color w:val="000000"/>
                <w:szCs w:val="21"/>
                <w:lang w:eastAsia="cs-CZ"/>
              </w:rPr>
              <w:t>N</w:t>
            </w:r>
            <w:r w:rsidRPr="006724B0">
              <w:rPr>
                <w:rFonts w:ascii="Calibri" w:eastAsia="Times New Roman" w:hAnsi="Calibri" w:cs="Times New Roman"/>
                <w:color w:val="000000"/>
                <w:szCs w:val="21"/>
                <w:lang w:eastAsia="cs-CZ"/>
              </w:rPr>
              <w:t>a 1 pojištěnce (v Kč)</w:t>
            </w:r>
          </w:p>
        </w:tc>
        <w:tc>
          <w:tcPr>
            <w:tcW w:w="960" w:type="dxa"/>
            <w:tcBorders>
              <w:top w:val="nil"/>
              <w:left w:val="nil"/>
              <w:bottom w:val="nil"/>
              <w:right w:val="nil"/>
            </w:tcBorders>
            <w:shd w:val="clear" w:color="000000" w:fill="DCE6F1"/>
            <w:noWrap/>
            <w:vAlign w:val="center"/>
          </w:tcPr>
          <w:p w:rsidR="00211333" w:rsidRPr="006724B0" w:rsidRDefault="00211333" w:rsidP="009E482A">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34 582</w:t>
            </w:r>
          </w:p>
        </w:tc>
        <w:tc>
          <w:tcPr>
            <w:tcW w:w="960" w:type="dxa"/>
            <w:tcBorders>
              <w:top w:val="nil"/>
              <w:left w:val="nil"/>
              <w:bottom w:val="nil"/>
              <w:right w:val="nil"/>
            </w:tcBorders>
            <w:shd w:val="clear" w:color="auto" w:fill="auto"/>
            <w:noWrap/>
            <w:vAlign w:val="center"/>
          </w:tcPr>
          <w:p w:rsidR="00211333" w:rsidRPr="006724B0" w:rsidRDefault="00211333" w:rsidP="009E482A">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31 039</w:t>
            </w:r>
          </w:p>
        </w:tc>
        <w:tc>
          <w:tcPr>
            <w:tcW w:w="960" w:type="dxa"/>
            <w:tcBorders>
              <w:top w:val="nil"/>
              <w:left w:val="nil"/>
              <w:bottom w:val="nil"/>
              <w:right w:val="nil"/>
            </w:tcBorders>
            <w:shd w:val="clear" w:color="000000" w:fill="DCE6F1"/>
            <w:noWrap/>
            <w:vAlign w:val="center"/>
          </w:tcPr>
          <w:p w:rsidR="00211333" w:rsidRPr="006724B0" w:rsidRDefault="00211333" w:rsidP="009E482A">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29 251</w:t>
            </w:r>
          </w:p>
        </w:tc>
        <w:tc>
          <w:tcPr>
            <w:tcW w:w="960" w:type="dxa"/>
            <w:tcBorders>
              <w:top w:val="nil"/>
              <w:left w:val="nil"/>
              <w:bottom w:val="nil"/>
              <w:right w:val="nil"/>
            </w:tcBorders>
            <w:shd w:val="clear" w:color="auto" w:fill="auto"/>
            <w:noWrap/>
            <w:vAlign w:val="center"/>
          </w:tcPr>
          <w:p w:rsidR="00211333" w:rsidRPr="006724B0" w:rsidRDefault="00211333" w:rsidP="009E482A">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28 523</w:t>
            </w:r>
          </w:p>
        </w:tc>
        <w:tc>
          <w:tcPr>
            <w:tcW w:w="960" w:type="dxa"/>
            <w:tcBorders>
              <w:top w:val="nil"/>
              <w:left w:val="nil"/>
              <w:bottom w:val="nil"/>
              <w:right w:val="nil"/>
            </w:tcBorders>
            <w:shd w:val="clear" w:color="000000" w:fill="DCE6F1"/>
            <w:noWrap/>
            <w:vAlign w:val="center"/>
          </w:tcPr>
          <w:p w:rsidR="00211333" w:rsidRPr="006724B0" w:rsidRDefault="00211333" w:rsidP="009E482A">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29 914</w:t>
            </w:r>
          </w:p>
        </w:tc>
        <w:tc>
          <w:tcPr>
            <w:tcW w:w="960" w:type="dxa"/>
            <w:tcBorders>
              <w:top w:val="nil"/>
              <w:left w:val="nil"/>
              <w:bottom w:val="nil"/>
              <w:right w:val="nil"/>
            </w:tcBorders>
            <w:shd w:val="clear" w:color="auto" w:fill="auto"/>
            <w:noWrap/>
            <w:vAlign w:val="center"/>
          </w:tcPr>
          <w:p w:rsidR="00211333" w:rsidRPr="006724B0" w:rsidRDefault="00211333" w:rsidP="009E482A">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30 640</w:t>
            </w:r>
          </w:p>
        </w:tc>
        <w:tc>
          <w:tcPr>
            <w:tcW w:w="960" w:type="dxa"/>
            <w:tcBorders>
              <w:top w:val="nil"/>
              <w:left w:val="nil"/>
              <w:bottom w:val="nil"/>
              <w:right w:val="single" w:sz="12" w:space="0" w:color="4F81BD"/>
            </w:tcBorders>
            <w:shd w:val="clear" w:color="000000" w:fill="DCE6F1"/>
            <w:noWrap/>
            <w:vAlign w:val="center"/>
          </w:tcPr>
          <w:p w:rsidR="00211333" w:rsidRPr="006724B0" w:rsidRDefault="00211333" w:rsidP="009E482A">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29 372</w:t>
            </w:r>
          </w:p>
        </w:tc>
      </w:tr>
      <w:tr w:rsidR="00211333" w:rsidRPr="006724B0" w:rsidTr="0053662E">
        <w:trPr>
          <w:trHeight w:val="570"/>
        </w:trPr>
        <w:tc>
          <w:tcPr>
            <w:tcW w:w="2880" w:type="dxa"/>
            <w:tcBorders>
              <w:top w:val="nil"/>
              <w:left w:val="single" w:sz="12" w:space="0" w:color="4F81BD"/>
              <w:bottom w:val="nil"/>
              <w:right w:val="nil"/>
            </w:tcBorders>
            <w:shd w:val="clear" w:color="000000" w:fill="EEF3F8"/>
            <w:vAlign w:val="center"/>
            <w:hideMark/>
          </w:tcPr>
          <w:p w:rsidR="00211333" w:rsidRPr="006724B0" w:rsidRDefault="00211333" w:rsidP="0092198C">
            <w:pPr>
              <w:spacing w:after="0" w:line="240" w:lineRule="auto"/>
              <w:rPr>
                <w:rFonts w:ascii="Calibri" w:eastAsia="Times New Roman" w:hAnsi="Calibri" w:cs="Times New Roman"/>
                <w:b/>
                <w:bCs/>
                <w:color w:val="000000"/>
                <w:szCs w:val="21"/>
                <w:lang w:eastAsia="cs-CZ"/>
              </w:rPr>
            </w:pPr>
            <w:r>
              <w:rPr>
                <w:rFonts w:ascii="Calibri" w:eastAsia="Times New Roman" w:hAnsi="Calibri" w:cs="Arial"/>
                <w:b/>
                <w:bCs/>
                <w:color w:val="000000"/>
                <w:szCs w:val="21"/>
                <w:lang w:eastAsia="cs-CZ"/>
              </w:rPr>
              <w:t>V</w:t>
            </w:r>
            <w:r w:rsidRPr="006724B0">
              <w:rPr>
                <w:rFonts w:ascii="Calibri" w:eastAsia="Times New Roman" w:hAnsi="Calibri" w:cs="Arial"/>
                <w:b/>
                <w:bCs/>
                <w:color w:val="000000"/>
                <w:szCs w:val="21"/>
                <w:lang w:eastAsia="cs-CZ"/>
              </w:rPr>
              <w:t>ýdaje na preventivní programy</w:t>
            </w:r>
          </w:p>
        </w:tc>
        <w:tc>
          <w:tcPr>
            <w:tcW w:w="960" w:type="dxa"/>
            <w:tcBorders>
              <w:top w:val="nil"/>
              <w:left w:val="nil"/>
              <w:bottom w:val="nil"/>
              <w:right w:val="nil"/>
            </w:tcBorders>
            <w:shd w:val="clear" w:color="000000" w:fill="EEF3F8"/>
            <w:noWrap/>
            <w:vAlign w:val="center"/>
          </w:tcPr>
          <w:p w:rsidR="00211333" w:rsidRPr="009E482A" w:rsidRDefault="00211333" w:rsidP="009E482A">
            <w:pPr>
              <w:spacing w:after="0" w:line="240" w:lineRule="auto"/>
              <w:jc w:val="right"/>
              <w:rPr>
                <w:rFonts w:ascii="Calibri" w:eastAsia="Times New Roman" w:hAnsi="Calibri" w:cs="Times New Roman"/>
                <w:b/>
                <w:color w:val="000000"/>
                <w:szCs w:val="21"/>
                <w:lang w:eastAsia="cs-CZ"/>
              </w:rPr>
            </w:pPr>
            <w:r>
              <w:rPr>
                <w:rFonts w:ascii="Calibri" w:hAnsi="Calibri" w:cs="Times New Roman CE"/>
                <w:b/>
                <w:bCs/>
                <w:color w:val="000000"/>
                <w:szCs w:val="21"/>
              </w:rPr>
              <w:t>652</w:t>
            </w:r>
          </w:p>
        </w:tc>
        <w:tc>
          <w:tcPr>
            <w:tcW w:w="960" w:type="dxa"/>
            <w:tcBorders>
              <w:top w:val="nil"/>
              <w:left w:val="nil"/>
              <w:bottom w:val="nil"/>
              <w:right w:val="nil"/>
            </w:tcBorders>
            <w:shd w:val="clear" w:color="000000" w:fill="EEF3F8"/>
            <w:noWrap/>
            <w:vAlign w:val="center"/>
          </w:tcPr>
          <w:p w:rsidR="00211333" w:rsidRPr="009E482A" w:rsidRDefault="00211333" w:rsidP="009E482A">
            <w:pPr>
              <w:spacing w:after="0" w:line="240" w:lineRule="auto"/>
              <w:jc w:val="right"/>
              <w:rPr>
                <w:rFonts w:ascii="Calibri" w:eastAsia="Times New Roman" w:hAnsi="Calibri" w:cs="Times New Roman"/>
                <w:b/>
                <w:color w:val="000000"/>
                <w:szCs w:val="21"/>
                <w:lang w:eastAsia="cs-CZ"/>
              </w:rPr>
            </w:pPr>
            <w:r>
              <w:rPr>
                <w:rFonts w:ascii="Calibri" w:hAnsi="Calibri" w:cs="Times New Roman CE"/>
                <w:b/>
                <w:bCs/>
                <w:color w:val="000000"/>
                <w:szCs w:val="21"/>
              </w:rPr>
              <w:t>126</w:t>
            </w:r>
          </w:p>
        </w:tc>
        <w:tc>
          <w:tcPr>
            <w:tcW w:w="960" w:type="dxa"/>
            <w:tcBorders>
              <w:top w:val="nil"/>
              <w:left w:val="nil"/>
              <w:bottom w:val="nil"/>
              <w:right w:val="nil"/>
            </w:tcBorders>
            <w:shd w:val="clear" w:color="000000" w:fill="EEF3F8"/>
            <w:noWrap/>
            <w:vAlign w:val="center"/>
          </w:tcPr>
          <w:p w:rsidR="00211333" w:rsidRPr="009E482A" w:rsidRDefault="00211333" w:rsidP="009E482A">
            <w:pPr>
              <w:spacing w:after="0" w:line="240" w:lineRule="auto"/>
              <w:jc w:val="right"/>
              <w:rPr>
                <w:rFonts w:ascii="Calibri" w:eastAsia="Times New Roman" w:hAnsi="Calibri" w:cs="Times New Roman"/>
                <w:b/>
                <w:color w:val="000000"/>
                <w:szCs w:val="21"/>
                <w:lang w:eastAsia="cs-CZ"/>
              </w:rPr>
            </w:pPr>
            <w:r>
              <w:rPr>
                <w:rFonts w:ascii="Calibri" w:hAnsi="Calibri" w:cs="Times New Roman CE"/>
                <w:b/>
                <w:bCs/>
                <w:color w:val="000000"/>
                <w:szCs w:val="21"/>
              </w:rPr>
              <w:t>209</w:t>
            </w:r>
          </w:p>
        </w:tc>
        <w:tc>
          <w:tcPr>
            <w:tcW w:w="960" w:type="dxa"/>
            <w:tcBorders>
              <w:top w:val="nil"/>
              <w:left w:val="nil"/>
              <w:bottom w:val="nil"/>
              <w:right w:val="nil"/>
            </w:tcBorders>
            <w:shd w:val="clear" w:color="000000" w:fill="EEF3F8"/>
            <w:noWrap/>
            <w:vAlign w:val="center"/>
          </w:tcPr>
          <w:p w:rsidR="00211333" w:rsidRPr="009E482A" w:rsidRDefault="00211333" w:rsidP="009E482A">
            <w:pPr>
              <w:spacing w:after="0" w:line="240" w:lineRule="auto"/>
              <w:jc w:val="right"/>
              <w:rPr>
                <w:rFonts w:ascii="Calibri" w:eastAsia="Times New Roman" w:hAnsi="Calibri" w:cs="Times New Roman"/>
                <w:b/>
                <w:color w:val="000000"/>
                <w:szCs w:val="21"/>
                <w:lang w:eastAsia="cs-CZ"/>
              </w:rPr>
            </w:pPr>
            <w:r>
              <w:rPr>
                <w:rFonts w:ascii="Calibri" w:hAnsi="Calibri" w:cs="Times New Roman CE"/>
                <w:b/>
                <w:bCs/>
                <w:color w:val="000000"/>
                <w:szCs w:val="21"/>
              </w:rPr>
              <w:t>154</w:t>
            </w:r>
          </w:p>
        </w:tc>
        <w:tc>
          <w:tcPr>
            <w:tcW w:w="960" w:type="dxa"/>
            <w:tcBorders>
              <w:top w:val="nil"/>
              <w:left w:val="nil"/>
              <w:bottom w:val="nil"/>
              <w:right w:val="nil"/>
            </w:tcBorders>
            <w:shd w:val="clear" w:color="000000" w:fill="EEF3F8"/>
            <w:noWrap/>
            <w:vAlign w:val="center"/>
          </w:tcPr>
          <w:p w:rsidR="00211333" w:rsidRPr="009E482A" w:rsidRDefault="00211333" w:rsidP="009E482A">
            <w:pPr>
              <w:spacing w:after="0" w:line="240" w:lineRule="auto"/>
              <w:jc w:val="right"/>
              <w:rPr>
                <w:rFonts w:ascii="Calibri" w:eastAsia="Times New Roman" w:hAnsi="Calibri" w:cs="Times New Roman"/>
                <w:b/>
                <w:color w:val="000000"/>
                <w:szCs w:val="21"/>
                <w:lang w:eastAsia="cs-CZ"/>
              </w:rPr>
            </w:pPr>
            <w:r>
              <w:rPr>
                <w:rFonts w:ascii="Calibri" w:hAnsi="Calibri" w:cs="Times New Roman CE"/>
                <w:b/>
                <w:bCs/>
                <w:color w:val="000000"/>
                <w:szCs w:val="21"/>
              </w:rPr>
              <w:t>29</w:t>
            </w:r>
          </w:p>
        </w:tc>
        <w:tc>
          <w:tcPr>
            <w:tcW w:w="960" w:type="dxa"/>
            <w:tcBorders>
              <w:top w:val="nil"/>
              <w:left w:val="nil"/>
              <w:bottom w:val="nil"/>
              <w:right w:val="nil"/>
            </w:tcBorders>
            <w:shd w:val="clear" w:color="000000" w:fill="EEF3F8"/>
            <w:noWrap/>
            <w:vAlign w:val="center"/>
          </w:tcPr>
          <w:p w:rsidR="00211333" w:rsidRPr="009E482A" w:rsidRDefault="00211333" w:rsidP="009E482A">
            <w:pPr>
              <w:spacing w:after="0" w:line="240" w:lineRule="auto"/>
              <w:jc w:val="right"/>
              <w:rPr>
                <w:rFonts w:ascii="Calibri" w:eastAsia="Times New Roman" w:hAnsi="Calibri" w:cs="Times New Roman"/>
                <w:b/>
                <w:color w:val="000000"/>
                <w:szCs w:val="21"/>
                <w:lang w:eastAsia="cs-CZ"/>
              </w:rPr>
            </w:pPr>
            <w:r>
              <w:rPr>
                <w:rFonts w:ascii="Calibri" w:hAnsi="Calibri" w:cs="Times New Roman CE"/>
                <w:b/>
                <w:bCs/>
                <w:color w:val="000000"/>
                <w:szCs w:val="21"/>
              </w:rPr>
              <w:t>252</w:t>
            </w:r>
          </w:p>
        </w:tc>
        <w:tc>
          <w:tcPr>
            <w:tcW w:w="960" w:type="dxa"/>
            <w:tcBorders>
              <w:top w:val="nil"/>
              <w:left w:val="nil"/>
              <w:bottom w:val="nil"/>
              <w:right w:val="single" w:sz="12" w:space="0" w:color="4F81BD"/>
            </w:tcBorders>
            <w:shd w:val="clear" w:color="000000" w:fill="EEF3F8"/>
            <w:noWrap/>
            <w:vAlign w:val="center"/>
          </w:tcPr>
          <w:p w:rsidR="00211333" w:rsidRPr="009E482A" w:rsidRDefault="00211333" w:rsidP="009E482A">
            <w:pPr>
              <w:spacing w:after="0" w:line="240" w:lineRule="auto"/>
              <w:jc w:val="right"/>
              <w:rPr>
                <w:rFonts w:ascii="Calibri" w:eastAsia="Times New Roman" w:hAnsi="Calibri" w:cs="Times New Roman"/>
                <w:b/>
                <w:color w:val="000000"/>
                <w:szCs w:val="21"/>
                <w:lang w:eastAsia="cs-CZ"/>
              </w:rPr>
            </w:pPr>
            <w:r>
              <w:rPr>
                <w:rFonts w:ascii="Calibri" w:hAnsi="Calibri" w:cs="Times New Roman CE"/>
                <w:b/>
                <w:bCs/>
                <w:color w:val="000000"/>
                <w:szCs w:val="21"/>
              </w:rPr>
              <w:t>91</w:t>
            </w:r>
          </w:p>
        </w:tc>
      </w:tr>
      <w:tr w:rsidR="00211333" w:rsidRPr="006724B0" w:rsidTr="0053662E">
        <w:trPr>
          <w:trHeight w:val="300"/>
        </w:trPr>
        <w:tc>
          <w:tcPr>
            <w:tcW w:w="2880" w:type="dxa"/>
            <w:tcBorders>
              <w:top w:val="nil"/>
              <w:left w:val="single" w:sz="12" w:space="0" w:color="4F81BD"/>
              <w:bottom w:val="nil"/>
              <w:right w:val="nil"/>
            </w:tcBorders>
            <w:shd w:val="clear" w:color="auto" w:fill="auto"/>
            <w:vAlign w:val="center"/>
            <w:hideMark/>
          </w:tcPr>
          <w:p w:rsidR="00211333" w:rsidRPr="006724B0" w:rsidRDefault="00211333" w:rsidP="007E01C6">
            <w:pPr>
              <w:spacing w:after="0" w:line="240" w:lineRule="auto"/>
              <w:rPr>
                <w:rFonts w:ascii="Calibri" w:eastAsia="Times New Roman" w:hAnsi="Calibri" w:cs="Times New Roman"/>
                <w:color w:val="000000"/>
                <w:szCs w:val="21"/>
                <w:lang w:eastAsia="cs-CZ"/>
              </w:rPr>
            </w:pPr>
            <w:r>
              <w:rPr>
                <w:rFonts w:ascii="Calibri" w:eastAsia="Times New Roman" w:hAnsi="Calibri" w:cs="Times New Roman"/>
                <w:color w:val="000000"/>
                <w:szCs w:val="21"/>
                <w:lang w:eastAsia="cs-CZ"/>
              </w:rPr>
              <w:t>N</w:t>
            </w:r>
            <w:r w:rsidRPr="006724B0">
              <w:rPr>
                <w:rFonts w:ascii="Calibri" w:eastAsia="Times New Roman" w:hAnsi="Calibri" w:cs="Times New Roman"/>
                <w:color w:val="000000"/>
                <w:szCs w:val="21"/>
                <w:lang w:eastAsia="cs-CZ"/>
              </w:rPr>
              <w:t>a 1 pojištěnce (v Kč)</w:t>
            </w:r>
          </w:p>
        </w:tc>
        <w:tc>
          <w:tcPr>
            <w:tcW w:w="960" w:type="dxa"/>
            <w:tcBorders>
              <w:top w:val="nil"/>
              <w:left w:val="nil"/>
              <w:bottom w:val="nil"/>
              <w:right w:val="nil"/>
            </w:tcBorders>
            <w:shd w:val="clear" w:color="000000" w:fill="DCE6F1"/>
            <w:noWrap/>
            <w:vAlign w:val="center"/>
          </w:tcPr>
          <w:p w:rsidR="00211333" w:rsidRPr="006724B0" w:rsidRDefault="00211333" w:rsidP="009E482A">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110</w:t>
            </w:r>
          </w:p>
        </w:tc>
        <w:tc>
          <w:tcPr>
            <w:tcW w:w="960" w:type="dxa"/>
            <w:tcBorders>
              <w:top w:val="nil"/>
              <w:left w:val="nil"/>
              <w:bottom w:val="nil"/>
              <w:right w:val="nil"/>
            </w:tcBorders>
            <w:shd w:val="clear" w:color="auto" w:fill="auto"/>
            <w:noWrap/>
            <w:vAlign w:val="center"/>
          </w:tcPr>
          <w:p w:rsidR="00211333" w:rsidRPr="006724B0" w:rsidRDefault="00211333" w:rsidP="009E482A">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180</w:t>
            </w:r>
          </w:p>
        </w:tc>
        <w:tc>
          <w:tcPr>
            <w:tcW w:w="960" w:type="dxa"/>
            <w:tcBorders>
              <w:top w:val="nil"/>
              <w:left w:val="nil"/>
              <w:bottom w:val="nil"/>
              <w:right w:val="nil"/>
            </w:tcBorders>
            <w:shd w:val="clear" w:color="000000" w:fill="DCE6F1"/>
            <w:noWrap/>
            <w:vAlign w:val="center"/>
          </w:tcPr>
          <w:p w:rsidR="00211333" w:rsidRPr="006724B0" w:rsidRDefault="00211333" w:rsidP="009E482A">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164</w:t>
            </w:r>
          </w:p>
        </w:tc>
        <w:tc>
          <w:tcPr>
            <w:tcW w:w="960" w:type="dxa"/>
            <w:tcBorders>
              <w:top w:val="nil"/>
              <w:left w:val="nil"/>
              <w:bottom w:val="nil"/>
              <w:right w:val="nil"/>
            </w:tcBorders>
            <w:shd w:val="clear" w:color="auto" w:fill="auto"/>
            <w:noWrap/>
            <w:vAlign w:val="center"/>
          </w:tcPr>
          <w:p w:rsidR="00211333" w:rsidRPr="006724B0" w:rsidRDefault="00211333" w:rsidP="009E482A">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209</w:t>
            </w:r>
          </w:p>
        </w:tc>
        <w:tc>
          <w:tcPr>
            <w:tcW w:w="960" w:type="dxa"/>
            <w:tcBorders>
              <w:top w:val="nil"/>
              <w:left w:val="nil"/>
              <w:bottom w:val="nil"/>
              <w:right w:val="nil"/>
            </w:tcBorders>
            <w:shd w:val="clear" w:color="000000" w:fill="DCE6F1"/>
            <w:noWrap/>
            <w:vAlign w:val="center"/>
          </w:tcPr>
          <w:p w:rsidR="00211333" w:rsidRPr="006724B0" w:rsidRDefault="00211333" w:rsidP="009E482A">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199</w:t>
            </w:r>
          </w:p>
        </w:tc>
        <w:tc>
          <w:tcPr>
            <w:tcW w:w="960" w:type="dxa"/>
            <w:tcBorders>
              <w:top w:val="nil"/>
              <w:left w:val="nil"/>
              <w:bottom w:val="nil"/>
              <w:right w:val="nil"/>
            </w:tcBorders>
            <w:shd w:val="clear" w:color="auto" w:fill="auto"/>
            <w:noWrap/>
            <w:vAlign w:val="center"/>
          </w:tcPr>
          <w:p w:rsidR="00211333" w:rsidRPr="006724B0" w:rsidRDefault="00211333" w:rsidP="009E482A">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190</w:t>
            </w:r>
          </w:p>
        </w:tc>
        <w:tc>
          <w:tcPr>
            <w:tcW w:w="960" w:type="dxa"/>
            <w:tcBorders>
              <w:top w:val="nil"/>
              <w:left w:val="nil"/>
              <w:bottom w:val="nil"/>
              <w:right w:val="single" w:sz="12" w:space="0" w:color="4F81BD"/>
            </w:tcBorders>
            <w:shd w:val="clear" w:color="000000" w:fill="DCE6F1"/>
            <w:noWrap/>
            <w:vAlign w:val="center"/>
          </w:tcPr>
          <w:p w:rsidR="00211333" w:rsidRPr="006724B0" w:rsidRDefault="00211333" w:rsidP="009E482A">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214</w:t>
            </w:r>
          </w:p>
        </w:tc>
      </w:tr>
      <w:tr w:rsidR="00211333" w:rsidRPr="006724B0" w:rsidTr="0053662E">
        <w:trPr>
          <w:trHeight w:val="300"/>
        </w:trPr>
        <w:tc>
          <w:tcPr>
            <w:tcW w:w="2880" w:type="dxa"/>
            <w:tcBorders>
              <w:top w:val="nil"/>
              <w:left w:val="single" w:sz="12" w:space="0" w:color="4F81BD"/>
              <w:right w:val="nil"/>
            </w:tcBorders>
            <w:shd w:val="clear" w:color="000000" w:fill="EEF3F8"/>
            <w:vAlign w:val="center"/>
            <w:hideMark/>
          </w:tcPr>
          <w:p w:rsidR="00211333" w:rsidRPr="006724B0" w:rsidRDefault="00211333" w:rsidP="007E01C6">
            <w:pPr>
              <w:spacing w:after="0" w:line="240" w:lineRule="auto"/>
              <w:rPr>
                <w:rFonts w:ascii="Calibri" w:eastAsia="Times New Roman" w:hAnsi="Calibri" w:cs="Times New Roman"/>
                <w:b/>
                <w:bCs/>
                <w:color w:val="000000"/>
                <w:szCs w:val="21"/>
                <w:lang w:eastAsia="cs-CZ"/>
              </w:rPr>
            </w:pPr>
            <w:r>
              <w:rPr>
                <w:rFonts w:ascii="Calibri" w:eastAsia="Times New Roman" w:hAnsi="Calibri" w:cs="Arial"/>
                <w:b/>
                <w:bCs/>
                <w:color w:val="000000"/>
                <w:szCs w:val="21"/>
                <w:lang w:eastAsia="cs-CZ"/>
              </w:rPr>
              <w:t>V</w:t>
            </w:r>
            <w:r w:rsidRPr="006724B0">
              <w:rPr>
                <w:rFonts w:ascii="Calibri" w:eastAsia="Times New Roman" w:hAnsi="Calibri" w:cs="Arial"/>
                <w:b/>
                <w:bCs/>
                <w:color w:val="000000"/>
                <w:szCs w:val="21"/>
                <w:lang w:eastAsia="cs-CZ"/>
              </w:rPr>
              <w:t>ýdaje na vlastní činnost</w:t>
            </w:r>
          </w:p>
        </w:tc>
        <w:tc>
          <w:tcPr>
            <w:tcW w:w="960" w:type="dxa"/>
            <w:tcBorders>
              <w:top w:val="nil"/>
              <w:left w:val="nil"/>
              <w:right w:val="nil"/>
            </w:tcBorders>
            <w:shd w:val="clear" w:color="000000" w:fill="EEF3F8"/>
            <w:noWrap/>
            <w:vAlign w:val="center"/>
          </w:tcPr>
          <w:p w:rsidR="00211333" w:rsidRPr="009E482A" w:rsidRDefault="00211333" w:rsidP="009E482A">
            <w:pPr>
              <w:spacing w:after="0" w:line="240" w:lineRule="auto"/>
              <w:jc w:val="right"/>
              <w:rPr>
                <w:rFonts w:ascii="Calibri" w:eastAsia="Times New Roman" w:hAnsi="Calibri" w:cs="Times New Roman"/>
                <w:b/>
                <w:color w:val="000000"/>
                <w:szCs w:val="21"/>
                <w:lang w:eastAsia="cs-CZ"/>
              </w:rPr>
            </w:pPr>
            <w:r>
              <w:rPr>
                <w:rFonts w:ascii="Calibri" w:hAnsi="Calibri" w:cs="Times New Roman CE"/>
                <w:b/>
                <w:bCs/>
                <w:color w:val="000000"/>
                <w:szCs w:val="21"/>
              </w:rPr>
              <w:t>4 790</w:t>
            </w:r>
          </w:p>
        </w:tc>
        <w:tc>
          <w:tcPr>
            <w:tcW w:w="960" w:type="dxa"/>
            <w:tcBorders>
              <w:top w:val="nil"/>
              <w:left w:val="nil"/>
              <w:right w:val="nil"/>
            </w:tcBorders>
            <w:shd w:val="clear" w:color="000000" w:fill="EEF3F8"/>
            <w:noWrap/>
            <w:vAlign w:val="center"/>
          </w:tcPr>
          <w:p w:rsidR="00211333" w:rsidRPr="009E482A" w:rsidRDefault="00211333" w:rsidP="009E482A">
            <w:pPr>
              <w:spacing w:after="0" w:line="240" w:lineRule="auto"/>
              <w:jc w:val="right"/>
              <w:rPr>
                <w:rFonts w:ascii="Calibri" w:eastAsia="Times New Roman" w:hAnsi="Calibri" w:cs="Times New Roman"/>
                <w:b/>
                <w:color w:val="000000"/>
                <w:szCs w:val="21"/>
                <w:lang w:eastAsia="cs-CZ"/>
              </w:rPr>
            </w:pPr>
            <w:r>
              <w:rPr>
                <w:rFonts w:ascii="Calibri" w:hAnsi="Calibri" w:cs="Times New Roman CE"/>
                <w:b/>
                <w:bCs/>
                <w:color w:val="000000"/>
                <w:szCs w:val="21"/>
              </w:rPr>
              <w:t>624</w:t>
            </w:r>
          </w:p>
        </w:tc>
        <w:tc>
          <w:tcPr>
            <w:tcW w:w="960" w:type="dxa"/>
            <w:tcBorders>
              <w:top w:val="nil"/>
              <w:left w:val="nil"/>
              <w:right w:val="nil"/>
            </w:tcBorders>
            <w:shd w:val="clear" w:color="000000" w:fill="EEF3F8"/>
            <w:noWrap/>
            <w:vAlign w:val="center"/>
          </w:tcPr>
          <w:p w:rsidR="00211333" w:rsidRPr="009E482A" w:rsidRDefault="00211333" w:rsidP="009E482A">
            <w:pPr>
              <w:spacing w:after="0" w:line="240" w:lineRule="auto"/>
              <w:jc w:val="right"/>
              <w:rPr>
                <w:rFonts w:ascii="Calibri" w:eastAsia="Times New Roman" w:hAnsi="Calibri" w:cs="Times New Roman"/>
                <w:b/>
                <w:color w:val="000000"/>
                <w:szCs w:val="21"/>
                <w:lang w:eastAsia="cs-CZ"/>
              </w:rPr>
            </w:pPr>
            <w:r>
              <w:rPr>
                <w:rFonts w:ascii="Calibri" w:hAnsi="Calibri" w:cs="Times New Roman CE"/>
                <w:b/>
                <w:bCs/>
                <w:color w:val="000000"/>
                <w:szCs w:val="21"/>
              </w:rPr>
              <w:t>955</w:t>
            </w:r>
          </w:p>
        </w:tc>
        <w:tc>
          <w:tcPr>
            <w:tcW w:w="960" w:type="dxa"/>
            <w:tcBorders>
              <w:top w:val="nil"/>
              <w:left w:val="nil"/>
              <w:right w:val="nil"/>
            </w:tcBorders>
            <w:shd w:val="clear" w:color="000000" w:fill="EEF3F8"/>
            <w:noWrap/>
            <w:vAlign w:val="center"/>
          </w:tcPr>
          <w:p w:rsidR="00211333" w:rsidRPr="009E482A" w:rsidRDefault="00211333" w:rsidP="009E482A">
            <w:pPr>
              <w:spacing w:after="0" w:line="240" w:lineRule="auto"/>
              <w:jc w:val="right"/>
              <w:rPr>
                <w:rFonts w:ascii="Calibri" w:eastAsia="Times New Roman" w:hAnsi="Calibri" w:cs="Times New Roman"/>
                <w:b/>
                <w:color w:val="000000"/>
                <w:szCs w:val="21"/>
                <w:lang w:eastAsia="cs-CZ"/>
              </w:rPr>
            </w:pPr>
            <w:r>
              <w:rPr>
                <w:rFonts w:ascii="Calibri" w:hAnsi="Calibri" w:cs="Times New Roman CE"/>
                <w:b/>
                <w:bCs/>
                <w:color w:val="000000"/>
                <w:szCs w:val="21"/>
              </w:rPr>
              <w:t>637</w:t>
            </w:r>
          </w:p>
        </w:tc>
        <w:tc>
          <w:tcPr>
            <w:tcW w:w="960" w:type="dxa"/>
            <w:tcBorders>
              <w:top w:val="nil"/>
              <w:left w:val="nil"/>
              <w:right w:val="nil"/>
            </w:tcBorders>
            <w:shd w:val="clear" w:color="000000" w:fill="EEF3F8"/>
            <w:noWrap/>
            <w:vAlign w:val="center"/>
          </w:tcPr>
          <w:p w:rsidR="00211333" w:rsidRPr="009E482A" w:rsidRDefault="00211333" w:rsidP="009E482A">
            <w:pPr>
              <w:spacing w:after="0" w:line="240" w:lineRule="auto"/>
              <w:jc w:val="right"/>
              <w:rPr>
                <w:rFonts w:ascii="Calibri" w:eastAsia="Times New Roman" w:hAnsi="Calibri" w:cs="Times New Roman"/>
                <w:b/>
                <w:color w:val="000000"/>
                <w:szCs w:val="21"/>
                <w:lang w:eastAsia="cs-CZ"/>
              </w:rPr>
            </w:pPr>
            <w:r>
              <w:rPr>
                <w:rFonts w:ascii="Calibri" w:hAnsi="Calibri" w:cs="Times New Roman CE"/>
                <w:b/>
                <w:bCs/>
                <w:color w:val="000000"/>
                <w:szCs w:val="21"/>
              </w:rPr>
              <w:t>130</w:t>
            </w:r>
          </w:p>
        </w:tc>
        <w:tc>
          <w:tcPr>
            <w:tcW w:w="960" w:type="dxa"/>
            <w:tcBorders>
              <w:top w:val="nil"/>
              <w:left w:val="nil"/>
              <w:right w:val="nil"/>
            </w:tcBorders>
            <w:shd w:val="clear" w:color="000000" w:fill="EEF3F8"/>
            <w:noWrap/>
            <w:vAlign w:val="center"/>
          </w:tcPr>
          <w:p w:rsidR="00211333" w:rsidRPr="009E482A" w:rsidRDefault="00211333" w:rsidP="009E482A">
            <w:pPr>
              <w:spacing w:after="0" w:line="240" w:lineRule="auto"/>
              <w:jc w:val="right"/>
              <w:rPr>
                <w:rFonts w:ascii="Calibri" w:eastAsia="Times New Roman" w:hAnsi="Calibri" w:cs="Times New Roman"/>
                <w:b/>
                <w:color w:val="000000"/>
                <w:szCs w:val="21"/>
                <w:lang w:eastAsia="cs-CZ"/>
              </w:rPr>
            </w:pPr>
            <w:r>
              <w:rPr>
                <w:rFonts w:ascii="Calibri" w:hAnsi="Calibri" w:cs="Times New Roman CE"/>
                <w:b/>
                <w:bCs/>
                <w:color w:val="000000"/>
                <w:szCs w:val="21"/>
              </w:rPr>
              <w:t>1 204</w:t>
            </w:r>
          </w:p>
        </w:tc>
        <w:tc>
          <w:tcPr>
            <w:tcW w:w="960" w:type="dxa"/>
            <w:tcBorders>
              <w:top w:val="nil"/>
              <w:left w:val="nil"/>
              <w:right w:val="single" w:sz="12" w:space="0" w:color="4F81BD"/>
            </w:tcBorders>
            <w:shd w:val="clear" w:color="000000" w:fill="EEF3F8"/>
            <w:noWrap/>
            <w:vAlign w:val="center"/>
          </w:tcPr>
          <w:p w:rsidR="00211333" w:rsidRPr="009E482A" w:rsidRDefault="00211333" w:rsidP="009E482A">
            <w:pPr>
              <w:spacing w:after="0" w:line="240" w:lineRule="auto"/>
              <w:jc w:val="right"/>
              <w:rPr>
                <w:rFonts w:ascii="Calibri" w:eastAsia="Times New Roman" w:hAnsi="Calibri" w:cs="Times New Roman"/>
                <w:b/>
                <w:color w:val="000000"/>
                <w:szCs w:val="21"/>
                <w:lang w:eastAsia="cs-CZ"/>
              </w:rPr>
            </w:pPr>
            <w:r>
              <w:rPr>
                <w:rFonts w:ascii="Calibri" w:hAnsi="Calibri" w:cs="Times New Roman CE"/>
                <w:b/>
                <w:bCs/>
                <w:color w:val="000000"/>
                <w:szCs w:val="21"/>
              </w:rPr>
              <w:t>368</w:t>
            </w:r>
          </w:p>
        </w:tc>
      </w:tr>
      <w:tr w:rsidR="00211333" w:rsidRPr="006724B0" w:rsidTr="0053662E">
        <w:trPr>
          <w:trHeight w:val="315"/>
        </w:trPr>
        <w:tc>
          <w:tcPr>
            <w:tcW w:w="2880" w:type="dxa"/>
            <w:tcBorders>
              <w:top w:val="nil"/>
              <w:left w:val="single" w:sz="12" w:space="0" w:color="4F81BD"/>
              <w:bottom w:val="single" w:sz="12" w:space="0" w:color="4F81BD"/>
              <w:right w:val="nil"/>
            </w:tcBorders>
            <w:shd w:val="clear" w:color="auto" w:fill="auto"/>
            <w:vAlign w:val="center"/>
            <w:hideMark/>
          </w:tcPr>
          <w:p w:rsidR="00211333" w:rsidRPr="006724B0" w:rsidRDefault="00211333" w:rsidP="007E01C6">
            <w:pPr>
              <w:spacing w:after="0" w:line="240" w:lineRule="auto"/>
              <w:rPr>
                <w:rFonts w:ascii="Calibri" w:eastAsia="Times New Roman" w:hAnsi="Calibri" w:cs="Times New Roman"/>
                <w:color w:val="000000"/>
                <w:szCs w:val="21"/>
                <w:lang w:eastAsia="cs-CZ"/>
              </w:rPr>
            </w:pPr>
            <w:r>
              <w:rPr>
                <w:rFonts w:ascii="Calibri" w:eastAsia="Times New Roman" w:hAnsi="Calibri" w:cs="Times New Roman"/>
                <w:color w:val="000000"/>
                <w:szCs w:val="21"/>
                <w:lang w:eastAsia="cs-CZ"/>
              </w:rPr>
              <w:t>P</w:t>
            </w:r>
            <w:r w:rsidRPr="006724B0">
              <w:rPr>
                <w:rFonts w:ascii="Calibri" w:eastAsia="Times New Roman" w:hAnsi="Calibri" w:cs="Times New Roman"/>
                <w:color w:val="000000"/>
                <w:szCs w:val="21"/>
                <w:lang w:eastAsia="cs-CZ"/>
              </w:rPr>
              <w:t>odíl na výdajích celkem</w:t>
            </w:r>
          </w:p>
        </w:tc>
        <w:tc>
          <w:tcPr>
            <w:tcW w:w="960" w:type="dxa"/>
            <w:tcBorders>
              <w:top w:val="nil"/>
              <w:left w:val="nil"/>
              <w:bottom w:val="single" w:sz="12" w:space="0" w:color="4F81BD"/>
              <w:right w:val="nil"/>
            </w:tcBorders>
            <w:shd w:val="clear" w:color="000000" w:fill="DCE6F1"/>
            <w:noWrap/>
            <w:vAlign w:val="center"/>
          </w:tcPr>
          <w:p w:rsidR="00211333" w:rsidRPr="006724B0" w:rsidRDefault="00211333" w:rsidP="009E482A">
            <w:pPr>
              <w:spacing w:after="0" w:line="240" w:lineRule="auto"/>
              <w:jc w:val="right"/>
              <w:rPr>
                <w:rFonts w:ascii="Calibri" w:eastAsia="Times New Roman" w:hAnsi="Calibri" w:cs="Times New Roman"/>
                <w:color w:val="000000"/>
                <w:lang w:eastAsia="cs-CZ"/>
              </w:rPr>
            </w:pPr>
            <w:r>
              <w:rPr>
                <w:rFonts w:ascii="Calibri" w:hAnsi="Calibri" w:cs="Times New Roman CE"/>
                <w:color w:val="000000"/>
                <w:szCs w:val="21"/>
              </w:rPr>
              <w:t>2,3 %</w:t>
            </w:r>
          </w:p>
        </w:tc>
        <w:tc>
          <w:tcPr>
            <w:tcW w:w="960" w:type="dxa"/>
            <w:tcBorders>
              <w:top w:val="nil"/>
              <w:left w:val="nil"/>
              <w:bottom w:val="single" w:sz="12" w:space="0" w:color="4F81BD"/>
              <w:right w:val="nil"/>
            </w:tcBorders>
            <w:shd w:val="clear" w:color="auto" w:fill="auto"/>
            <w:noWrap/>
            <w:vAlign w:val="center"/>
          </w:tcPr>
          <w:p w:rsidR="00211333" w:rsidRPr="006724B0" w:rsidRDefault="00211333" w:rsidP="009E482A">
            <w:pPr>
              <w:spacing w:after="0" w:line="240" w:lineRule="auto"/>
              <w:jc w:val="right"/>
              <w:rPr>
                <w:rFonts w:ascii="Calibri" w:eastAsia="Times New Roman" w:hAnsi="Calibri" w:cs="Times New Roman"/>
                <w:color w:val="000000"/>
                <w:lang w:eastAsia="cs-CZ"/>
              </w:rPr>
            </w:pPr>
            <w:r>
              <w:rPr>
                <w:rFonts w:ascii="Calibri" w:hAnsi="Calibri" w:cs="Times New Roman CE"/>
                <w:color w:val="000000"/>
                <w:szCs w:val="21"/>
              </w:rPr>
              <w:t>2,8 %</w:t>
            </w:r>
          </w:p>
        </w:tc>
        <w:tc>
          <w:tcPr>
            <w:tcW w:w="960" w:type="dxa"/>
            <w:tcBorders>
              <w:top w:val="nil"/>
              <w:left w:val="nil"/>
              <w:bottom w:val="single" w:sz="12" w:space="0" w:color="4F81BD"/>
              <w:right w:val="nil"/>
            </w:tcBorders>
            <w:shd w:val="clear" w:color="000000" w:fill="DCE6F1"/>
            <w:noWrap/>
            <w:vAlign w:val="center"/>
          </w:tcPr>
          <w:p w:rsidR="00211333" w:rsidRPr="006724B0" w:rsidRDefault="00211333" w:rsidP="009E482A">
            <w:pPr>
              <w:spacing w:after="0" w:line="240" w:lineRule="auto"/>
              <w:jc w:val="right"/>
              <w:rPr>
                <w:rFonts w:ascii="Calibri" w:eastAsia="Times New Roman" w:hAnsi="Calibri" w:cs="Times New Roman"/>
                <w:color w:val="000000"/>
                <w:lang w:eastAsia="cs-CZ"/>
              </w:rPr>
            </w:pPr>
            <w:r>
              <w:rPr>
                <w:rFonts w:ascii="Calibri" w:hAnsi="Calibri" w:cs="Times New Roman CE"/>
                <w:color w:val="000000"/>
                <w:szCs w:val="21"/>
              </w:rPr>
              <w:t>2,5 %</w:t>
            </w:r>
          </w:p>
        </w:tc>
        <w:tc>
          <w:tcPr>
            <w:tcW w:w="960" w:type="dxa"/>
            <w:tcBorders>
              <w:top w:val="nil"/>
              <w:left w:val="nil"/>
              <w:bottom w:val="single" w:sz="12" w:space="0" w:color="4F81BD"/>
              <w:right w:val="nil"/>
            </w:tcBorders>
            <w:shd w:val="clear" w:color="auto" w:fill="auto"/>
            <w:noWrap/>
            <w:vAlign w:val="center"/>
          </w:tcPr>
          <w:p w:rsidR="00211333" w:rsidRPr="006724B0" w:rsidRDefault="00211333" w:rsidP="009E482A">
            <w:pPr>
              <w:spacing w:after="0" w:line="240" w:lineRule="auto"/>
              <w:jc w:val="right"/>
              <w:rPr>
                <w:rFonts w:ascii="Calibri" w:eastAsia="Times New Roman" w:hAnsi="Calibri" w:cs="Times New Roman"/>
                <w:color w:val="000000"/>
                <w:lang w:eastAsia="cs-CZ"/>
              </w:rPr>
            </w:pPr>
            <w:r>
              <w:rPr>
                <w:rFonts w:ascii="Calibri" w:hAnsi="Calibri" w:cs="Times New Roman CE"/>
                <w:color w:val="000000"/>
                <w:szCs w:val="21"/>
              </w:rPr>
              <w:t>2,9 %</w:t>
            </w:r>
          </w:p>
        </w:tc>
        <w:tc>
          <w:tcPr>
            <w:tcW w:w="960" w:type="dxa"/>
            <w:tcBorders>
              <w:top w:val="nil"/>
              <w:left w:val="nil"/>
              <w:bottom w:val="single" w:sz="12" w:space="0" w:color="4F81BD"/>
              <w:right w:val="nil"/>
            </w:tcBorders>
            <w:shd w:val="clear" w:color="000000" w:fill="DCE6F1"/>
            <w:noWrap/>
            <w:vAlign w:val="center"/>
          </w:tcPr>
          <w:p w:rsidR="00211333" w:rsidRPr="006724B0" w:rsidRDefault="00211333" w:rsidP="009E482A">
            <w:pPr>
              <w:spacing w:after="0" w:line="240" w:lineRule="auto"/>
              <w:jc w:val="right"/>
              <w:rPr>
                <w:rFonts w:ascii="Calibri" w:eastAsia="Times New Roman" w:hAnsi="Calibri" w:cs="Times New Roman"/>
                <w:color w:val="000000"/>
                <w:lang w:eastAsia="cs-CZ"/>
              </w:rPr>
            </w:pPr>
            <w:r>
              <w:rPr>
                <w:rFonts w:ascii="Calibri" w:hAnsi="Calibri" w:cs="Times New Roman CE"/>
                <w:color w:val="000000"/>
                <w:szCs w:val="21"/>
              </w:rPr>
              <w:t>2,9 %</w:t>
            </w:r>
          </w:p>
        </w:tc>
        <w:tc>
          <w:tcPr>
            <w:tcW w:w="960" w:type="dxa"/>
            <w:tcBorders>
              <w:top w:val="nil"/>
              <w:left w:val="nil"/>
              <w:bottom w:val="single" w:sz="12" w:space="0" w:color="4F81BD"/>
              <w:right w:val="nil"/>
            </w:tcBorders>
            <w:shd w:val="clear" w:color="auto" w:fill="auto"/>
            <w:noWrap/>
            <w:vAlign w:val="center"/>
          </w:tcPr>
          <w:p w:rsidR="00211333" w:rsidRPr="006724B0" w:rsidRDefault="00211333" w:rsidP="009E482A">
            <w:pPr>
              <w:spacing w:after="0" w:line="240" w:lineRule="auto"/>
              <w:jc w:val="right"/>
              <w:rPr>
                <w:rFonts w:ascii="Calibri" w:eastAsia="Times New Roman" w:hAnsi="Calibri" w:cs="Times New Roman"/>
                <w:color w:val="000000"/>
                <w:lang w:eastAsia="cs-CZ"/>
              </w:rPr>
            </w:pPr>
            <w:r>
              <w:rPr>
                <w:rFonts w:ascii="Calibri" w:hAnsi="Calibri" w:cs="Times New Roman CE"/>
                <w:color w:val="000000"/>
                <w:szCs w:val="21"/>
              </w:rPr>
              <w:t>2,8 %</w:t>
            </w:r>
          </w:p>
        </w:tc>
        <w:tc>
          <w:tcPr>
            <w:tcW w:w="960" w:type="dxa"/>
            <w:tcBorders>
              <w:top w:val="nil"/>
              <w:left w:val="nil"/>
              <w:bottom w:val="single" w:sz="12" w:space="0" w:color="4F81BD"/>
              <w:right w:val="single" w:sz="12" w:space="0" w:color="4F81BD"/>
            </w:tcBorders>
            <w:shd w:val="clear" w:color="000000" w:fill="DCE6F1"/>
            <w:noWrap/>
            <w:vAlign w:val="center"/>
          </w:tcPr>
          <w:p w:rsidR="00211333" w:rsidRPr="006724B0" w:rsidRDefault="00211333" w:rsidP="009E482A">
            <w:pPr>
              <w:spacing w:after="0" w:line="240" w:lineRule="auto"/>
              <w:jc w:val="right"/>
              <w:rPr>
                <w:rFonts w:ascii="Calibri" w:eastAsia="Times New Roman" w:hAnsi="Calibri" w:cs="Times New Roman"/>
                <w:color w:val="000000"/>
                <w:lang w:eastAsia="cs-CZ"/>
              </w:rPr>
            </w:pPr>
            <w:r>
              <w:rPr>
                <w:rFonts w:ascii="Calibri" w:hAnsi="Calibri" w:cs="Times New Roman CE"/>
                <w:color w:val="000000"/>
                <w:szCs w:val="21"/>
              </w:rPr>
              <w:t>2,8 %</w:t>
            </w:r>
          </w:p>
        </w:tc>
      </w:tr>
    </w:tbl>
    <w:p w:rsidR="007F46FE" w:rsidRDefault="0042752A" w:rsidP="006A5473">
      <w:pPr>
        <w:spacing w:before="180"/>
        <w:rPr>
          <w:i/>
        </w:rPr>
      </w:pPr>
      <w:r>
        <w:t xml:space="preserve">Podrobnější informace viz </w:t>
      </w:r>
      <w:r w:rsidRPr="00E73464">
        <w:t xml:space="preserve">Tabulková příloha </w:t>
      </w:r>
      <w:r>
        <w:rPr>
          <w:i/>
        </w:rPr>
        <w:t>Tabulka č. 1 str. 4 a 5.</w:t>
      </w:r>
    </w:p>
    <w:p w:rsidR="007F46FE" w:rsidRDefault="007C4DAC" w:rsidP="007F46FE">
      <w:pPr>
        <w:spacing w:before="240" w:line="276" w:lineRule="auto"/>
        <w:jc w:val="both"/>
        <w:rPr>
          <w:b/>
        </w:rPr>
      </w:pPr>
      <w:r w:rsidRPr="00456113">
        <w:lastRenderedPageBreak/>
        <w:t>O</w:t>
      </w:r>
      <w:r w:rsidR="006051ED" w:rsidRPr="00456113">
        <w:t xml:space="preserve">proti uplynulým rokům by v roce 2021 měly výdaje systému </w:t>
      </w:r>
      <w:r w:rsidR="00CE0CFA" w:rsidRPr="00456113">
        <w:t xml:space="preserve">výrazněji </w:t>
      </w:r>
      <w:r w:rsidR="006051ED" w:rsidRPr="00456113">
        <w:t>převýšit jeho příjmy</w:t>
      </w:r>
      <w:r w:rsidR="00DF5584">
        <w:t xml:space="preserve"> </w:t>
      </w:r>
      <w:r w:rsidR="006051ED" w:rsidRPr="00456113">
        <w:t>(</w:t>
      </w:r>
      <w:r w:rsidR="006051ED" w:rsidRPr="00456113">
        <w:rPr>
          <w:i/>
        </w:rPr>
        <w:t>Graf č. 1</w:t>
      </w:r>
      <w:r w:rsidR="006051ED" w:rsidRPr="00456113">
        <w:t>).</w:t>
      </w:r>
    </w:p>
    <w:p w:rsidR="007F46FE" w:rsidRDefault="007F46FE" w:rsidP="007F46FE">
      <w:pPr>
        <w:pStyle w:val="Titulek"/>
      </w:pPr>
      <w:bookmarkStart w:id="12" w:name="_Toc63685281"/>
      <w:r>
        <w:t xml:space="preserve">Graf č. </w:t>
      </w:r>
      <w:r w:rsidR="008E5E29">
        <w:rPr>
          <w:noProof/>
        </w:rPr>
        <w:fldChar w:fldCharType="begin"/>
      </w:r>
      <w:r>
        <w:rPr>
          <w:noProof/>
        </w:rPr>
        <w:instrText xml:space="preserve"> SEQ Graf \* ARABIC </w:instrText>
      </w:r>
      <w:r w:rsidR="008E5E29">
        <w:rPr>
          <w:noProof/>
        </w:rPr>
        <w:fldChar w:fldCharType="separate"/>
      </w:r>
      <w:r w:rsidR="006D5C90">
        <w:rPr>
          <w:noProof/>
        </w:rPr>
        <w:t>1</w:t>
      </w:r>
      <w:r w:rsidR="008E5E29">
        <w:rPr>
          <w:noProof/>
        </w:rPr>
        <w:fldChar w:fldCharType="end"/>
      </w:r>
      <w:r>
        <w:t xml:space="preserve">: Vývoj příjmů a výdajů systému </w:t>
      </w:r>
      <w:r w:rsidR="00D30F4B">
        <w:t>v. z. p.</w:t>
      </w:r>
      <w:r w:rsidR="006051ED">
        <w:t xml:space="preserve"> (mld. Kč)</w:t>
      </w:r>
      <w:bookmarkEnd w:id="12"/>
    </w:p>
    <w:p w:rsidR="007F46FE" w:rsidRDefault="007F46FE" w:rsidP="007F46FE">
      <w:pPr>
        <w:spacing w:before="240" w:line="276" w:lineRule="auto"/>
        <w:jc w:val="both"/>
        <w:rPr>
          <w:b/>
        </w:rPr>
      </w:pPr>
      <w:r>
        <w:rPr>
          <w:noProof/>
          <w:lang w:eastAsia="cs-CZ"/>
        </w:rPr>
        <w:drawing>
          <wp:inline distT="0" distB="0" distL="0" distR="0">
            <wp:extent cx="6120000" cy="2881423"/>
            <wp:effectExtent l="0" t="0" r="0" b="0"/>
            <wp:docPr id="12" name="Graf 12">
              <a:extLst xmlns:a="http://schemas.openxmlformats.org/drawingml/2006/main">
                <a:ext uri="{FF2B5EF4-FFF2-40B4-BE49-F238E27FC236}">
                  <a16:creationId xmlns:a16="http://schemas.microsoft.com/office/drawing/2014/main" id="{00000000-0008-0000-0D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E82BDF" w:rsidRPr="00E82BDF" w:rsidRDefault="00E82BDF" w:rsidP="006A5473">
      <w:pPr>
        <w:spacing w:before="180"/>
        <w:rPr>
          <w:rFonts w:eastAsiaTheme="majorEastAsia" w:cstheme="majorBidi"/>
          <w:color w:val="4F81BD" w:themeColor="accent1"/>
          <w:sz w:val="28"/>
          <w:szCs w:val="26"/>
        </w:rPr>
      </w:pPr>
      <w:r>
        <w:br w:type="page"/>
      </w:r>
    </w:p>
    <w:p w:rsidR="00436F6E" w:rsidRPr="00EE54F6" w:rsidRDefault="00436F6E" w:rsidP="00AC25F3">
      <w:pPr>
        <w:pStyle w:val="Nadpis2"/>
      </w:pPr>
      <w:bookmarkStart w:id="13" w:name="_Toc63684671"/>
      <w:r>
        <w:lastRenderedPageBreak/>
        <w:t>Saldo</w:t>
      </w:r>
      <w:bookmarkEnd w:id="13"/>
      <w:r>
        <w:t xml:space="preserve"> </w:t>
      </w:r>
    </w:p>
    <w:p w:rsidR="00436F6E" w:rsidRDefault="00436F6E" w:rsidP="00466CEC">
      <w:pPr>
        <w:spacing w:line="276" w:lineRule="auto"/>
        <w:jc w:val="both"/>
      </w:pPr>
      <w:r w:rsidRPr="00456113">
        <w:rPr>
          <w:b/>
        </w:rPr>
        <w:t xml:space="preserve">Plánované saldo příjmů a výdajů </w:t>
      </w:r>
      <w:r w:rsidRPr="00456113">
        <w:t>systému v. z. p. (vč. vlivu ostatní zdaňované činnosti)</w:t>
      </w:r>
      <w:r w:rsidRPr="00456113">
        <w:rPr>
          <w:b/>
        </w:rPr>
        <w:t xml:space="preserve"> </w:t>
      </w:r>
      <w:r w:rsidR="00CE0CFA" w:rsidRPr="00456113">
        <w:t>bude dosahovat</w:t>
      </w:r>
      <w:r w:rsidRPr="00456113">
        <w:t xml:space="preserve"> v roce </w:t>
      </w:r>
      <w:r w:rsidR="00735FAD" w:rsidRPr="00456113">
        <w:t>202</w:t>
      </w:r>
      <w:r w:rsidR="00A260B4" w:rsidRPr="00456113">
        <w:t>1</w:t>
      </w:r>
      <w:r w:rsidR="00735FAD" w:rsidRPr="00456113">
        <w:t xml:space="preserve"> </w:t>
      </w:r>
      <w:r w:rsidRPr="00456113">
        <w:t>cc</w:t>
      </w:r>
      <w:r w:rsidR="00735FAD" w:rsidRPr="00456113">
        <w:t>a</w:t>
      </w:r>
      <w:r w:rsidR="00735FAD" w:rsidRPr="00456113">
        <w:rPr>
          <w:b/>
        </w:rPr>
        <w:t xml:space="preserve"> </w:t>
      </w:r>
      <w:r w:rsidR="00DF5584">
        <w:rPr>
          <w:b/>
        </w:rPr>
        <w:t>−</w:t>
      </w:r>
      <w:r w:rsidR="00A260B4" w:rsidRPr="00456113">
        <w:rPr>
          <w:b/>
        </w:rPr>
        <w:t>13,7</w:t>
      </w:r>
      <w:r w:rsidR="00735FAD" w:rsidRPr="00456113">
        <w:rPr>
          <w:b/>
        </w:rPr>
        <w:t xml:space="preserve"> </w:t>
      </w:r>
      <w:r w:rsidRPr="00456113">
        <w:rPr>
          <w:b/>
        </w:rPr>
        <w:t>mld. Kč</w:t>
      </w:r>
      <w:r w:rsidRPr="00456113">
        <w:t xml:space="preserve">, </w:t>
      </w:r>
      <w:bookmarkStart w:id="14" w:name="_Hlk32565963"/>
      <w:r w:rsidRPr="00456113">
        <w:t xml:space="preserve">což </w:t>
      </w:r>
      <w:r w:rsidR="00735FAD" w:rsidRPr="00456113">
        <w:t xml:space="preserve">z očekávané hodnoty </w:t>
      </w:r>
      <w:r w:rsidR="00A260B4" w:rsidRPr="00456113">
        <w:t xml:space="preserve">2020 </w:t>
      </w:r>
      <w:r w:rsidR="00735FAD" w:rsidRPr="00456113">
        <w:t xml:space="preserve">ve výši </w:t>
      </w:r>
      <w:r w:rsidR="00DF5584">
        <w:t>−</w:t>
      </w:r>
      <w:r w:rsidR="00056710" w:rsidRPr="00456113">
        <w:t xml:space="preserve">0,2 </w:t>
      </w:r>
      <w:r w:rsidR="00735FAD" w:rsidRPr="00456113">
        <w:t xml:space="preserve">mld. Kč </w:t>
      </w:r>
      <w:r w:rsidR="003F5ED5" w:rsidRPr="00456113">
        <w:t>představuje meziroční zhoršení</w:t>
      </w:r>
      <w:r w:rsidRPr="00456113">
        <w:t xml:space="preserve"> o </w:t>
      </w:r>
      <w:r w:rsidR="00056710" w:rsidRPr="00456113">
        <w:t>13,5</w:t>
      </w:r>
      <w:r w:rsidR="00FA72D2" w:rsidRPr="00456113">
        <w:t> </w:t>
      </w:r>
      <w:r w:rsidRPr="00456113">
        <w:t xml:space="preserve">mld. Kč </w:t>
      </w:r>
      <w:bookmarkEnd w:id="14"/>
      <w:r w:rsidRPr="00456113">
        <w:t xml:space="preserve">(viz </w:t>
      </w:r>
      <w:r w:rsidRPr="00456113">
        <w:rPr>
          <w:i/>
        </w:rPr>
        <w:t>Tabulková příloha Tabulka č. 1 str. 5</w:t>
      </w:r>
      <w:r w:rsidRPr="00456113">
        <w:t xml:space="preserve">). Segment zaměstnaneckých zdravotních pojišťoven plánuje pro rok </w:t>
      </w:r>
      <w:r w:rsidR="00E75FAF" w:rsidRPr="00456113">
        <w:t>202</w:t>
      </w:r>
      <w:r w:rsidR="00056710" w:rsidRPr="00456113">
        <w:t>1</w:t>
      </w:r>
      <w:r w:rsidR="00E75FAF" w:rsidRPr="00456113">
        <w:t xml:space="preserve"> záporné </w:t>
      </w:r>
      <w:r w:rsidRPr="00456113">
        <w:t>saldo</w:t>
      </w:r>
      <w:r w:rsidR="007045EF" w:rsidRPr="00456113">
        <w:t xml:space="preserve"> </w:t>
      </w:r>
      <w:r w:rsidR="00DF5584">
        <w:t>−</w:t>
      </w:r>
      <w:r w:rsidR="00056710" w:rsidRPr="00456113">
        <w:t>3,3</w:t>
      </w:r>
      <w:r w:rsidR="00EF0570" w:rsidRPr="00456113">
        <w:t xml:space="preserve"> </w:t>
      </w:r>
      <w:r w:rsidRPr="00456113">
        <w:t>m</w:t>
      </w:r>
      <w:r w:rsidR="00E75FAF" w:rsidRPr="00456113">
        <w:t>ld</w:t>
      </w:r>
      <w:r w:rsidRPr="00456113">
        <w:t xml:space="preserve">. Kč a v roce </w:t>
      </w:r>
      <w:r w:rsidR="00056710" w:rsidRPr="00456113">
        <w:t xml:space="preserve">2020 </w:t>
      </w:r>
      <w:r w:rsidR="003F5ED5" w:rsidRPr="00456113">
        <w:t xml:space="preserve">očekává </w:t>
      </w:r>
      <w:r w:rsidR="00056710" w:rsidRPr="00456113">
        <w:t xml:space="preserve">taktéž záporné </w:t>
      </w:r>
      <w:r w:rsidRPr="00456113">
        <w:t xml:space="preserve">saldo </w:t>
      </w:r>
      <w:r w:rsidR="00DF5584">
        <w:t>−</w:t>
      </w:r>
      <w:r w:rsidR="00056710" w:rsidRPr="00456113">
        <w:t>0,5</w:t>
      </w:r>
      <w:r w:rsidR="00E75FAF" w:rsidRPr="00456113">
        <w:t xml:space="preserve"> </w:t>
      </w:r>
      <w:r w:rsidRPr="00456113">
        <w:t>m</w:t>
      </w:r>
      <w:r w:rsidR="00E75FAF" w:rsidRPr="00456113">
        <w:t>ld</w:t>
      </w:r>
      <w:r w:rsidRPr="00456113">
        <w:t>. Kč.</w:t>
      </w:r>
      <w:r w:rsidR="00056710" w:rsidRPr="00456113">
        <w:t xml:space="preserve"> </w:t>
      </w:r>
      <w:r w:rsidR="007F46FE" w:rsidRPr="00456113">
        <w:t>Z dlouhodobějšího pohledu se tak opět systém vrací do deficitních tendencí (</w:t>
      </w:r>
      <w:r w:rsidR="007F46FE" w:rsidRPr="00456113">
        <w:rPr>
          <w:i/>
        </w:rPr>
        <w:t xml:space="preserve">Graf č. </w:t>
      </w:r>
      <w:r w:rsidR="0008269B" w:rsidRPr="00456113">
        <w:rPr>
          <w:i/>
        </w:rPr>
        <w:t>2</w:t>
      </w:r>
      <w:r w:rsidR="007F46FE" w:rsidRPr="00456113">
        <w:t>).</w:t>
      </w:r>
    </w:p>
    <w:p w:rsidR="007F46FE" w:rsidRDefault="007F46FE" w:rsidP="007F46FE">
      <w:pPr>
        <w:pStyle w:val="Titulek"/>
      </w:pPr>
      <w:bookmarkStart w:id="15" w:name="_Toc63685282"/>
      <w:r>
        <w:t xml:space="preserve">Graf č. </w:t>
      </w:r>
      <w:r w:rsidR="008E5E29">
        <w:rPr>
          <w:noProof/>
        </w:rPr>
        <w:fldChar w:fldCharType="begin"/>
      </w:r>
      <w:r>
        <w:rPr>
          <w:noProof/>
        </w:rPr>
        <w:instrText xml:space="preserve"> SEQ Graf \* ARABIC </w:instrText>
      </w:r>
      <w:r w:rsidR="008E5E29">
        <w:rPr>
          <w:noProof/>
        </w:rPr>
        <w:fldChar w:fldCharType="separate"/>
      </w:r>
      <w:r w:rsidR="006D5C90">
        <w:rPr>
          <w:noProof/>
        </w:rPr>
        <w:t>2</w:t>
      </w:r>
      <w:r w:rsidR="008E5E29">
        <w:rPr>
          <w:noProof/>
        </w:rPr>
        <w:fldChar w:fldCharType="end"/>
      </w:r>
      <w:r>
        <w:t>: Saldo příjmů a výdajů</w:t>
      </w:r>
      <w:r w:rsidR="0008269B">
        <w:t xml:space="preserve"> systému </w:t>
      </w:r>
      <w:r w:rsidR="00D30F4B">
        <w:t>v. z. p.</w:t>
      </w:r>
      <w:r w:rsidR="00AE6179">
        <w:t xml:space="preserve"> (</w:t>
      </w:r>
      <w:r w:rsidR="006051ED">
        <w:t>mld. Kč)</w:t>
      </w:r>
      <w:bookmarkEnd w:id="15"/>
    </w:p>
    <w:p w:rsidR="007F46FE" w:rsidRPr="007F46FE" w:rsidRDefault="007F46FE" w:rsidP="00EF0570">
      <w:r>
        <w:rPr>
          <w:noProof/>
          <w:lang w:eastAsia="cs-CZ"/>
        </w:rPr>
        <w:drawing>
          <wp:inline distT="0" distB="0" distL="0" distR="0">
            <wp:extent cx="6120000" cy="2520000"/>
            <wp:effectExtent l="0" t="0" r="0" b="0"/>
            <wp:docPr id="7" name="Graf 7">
              <a:extLst xmlns:a="http://schemas.openxmlformats.org/drawingml/2006/main">
                <a:ext uri="{FF2B5EF4-FFF2-40B4-BE49-F238E27FC236}">
                  <a16:creationId xmlns:a16="http://schemas.microsoft.com/office/drawing/2014/main" id="{00000000-0008-0000-0D00-000007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5102CE" w:rsidRDefault="005457E9" w:rsidP="00466CEC">
      <w:pPr>
        <w:spacing w:line="276" w:lineRule="auto"/>
        <w:jc w:val="both"/>
      </w:pPr>
      <w:r w:rsidRPr="00456113">
        <w:t xml:space="preserve">Vývoj salda v letech 2020 až 2021 je však mezi jednotlivými zdravotními </w:t>
      </w:r>
      <w:r w:rsidR="00160E0D">
        <w:t xml:space="preserve">pojišťovnami </w:t>
      </w:r>
      <w:r w:rsidRPr="00456113">
        <w:t>odlišný. V roce 2021 očekávají</w:t>
      </w:r>
      <w:r w:rsidR="003C479E" w:rsidRPr="00456113">
        <w:t xml:space="preserve"> </w:t>
      </w:r>
      <w:r w:rsidRPr="00456113">
        <w:t>záporná salda</w:t>
      </w:r>
      <w:r w:rsidR="005102CE" w:rsidRPr="00456113">
        <w:t xml:space="preserve"> téměř všechny zdravotní pojišťovny s výjimkou ČPZP</w:t>
      </w:r>
      <w:r w:rsidR="000F4186" w:rsidRPr="00456113">
        <w:rPr>
          <w:rStyle w:val="Znakapoznpodarou"/>
        </w:rPr>
        <w:footnoteReference w:id="4"/>
      </w:r>
      <w:r w:rsidR="005102CE" w:rsidRPr="00456113">
        <w:t xml:space="preserve">, která plánuje kladné saldo </w:t>
      </w:r>
      <w:r w:rsidR="00F4243C" w:rsidRPr="00456113">
        <w:t>+</w:t>
      </w:r>
      <w:r w:rsidR="005102CE" w:rsidRPr="00456113">
        <w:t>372</w:t>
      </w:r>
      <w:r w:rsidR="00F4243C" w:rsidRPr="00456113">
        <w:t>,1</w:t>
      </w:r>
      <w:r w:rsidR="005102CE" w:rsidRPr="00456113">
        <w:t xml:space="preserve"> mil. Kč. Ostatní zdravotní pojišťovny by měly být deficitní</w:t>
      </w:r>
      <w:r w:rsidR="004F27FA" w:rsidRPr="00456113">
        <w:t xml:space="preserve">, </w:t>
      </w:r>
      <w:r w:rsidR="005102CE" w:rsidRPr="00456113">
        <w:t xml:space="preserve">VZP ČR </w:t>
      </w:r>
      <w:r w:rsidR="00DF5584">
        <w:t>−</w:t>
      </w:r>
      <w:r w:rsidR="005102CE" w:rsidRPr="00456113">
        <w:t>10</w:t>
      </w:r>
      <w:r w:rsidR="00F4243C" w:rsidRPr="00456113">
        <w:t> 364,9</w:t>
      </w:r>
      <w:r w:rsidR="005102CE" w:rsidRPr="00456113">
        <w:t xml:space="preserve"> mil. Kč, </w:t>
      </w:r>
      <w:proofErr w:type="spellStart"/>
      <w:r w:rsidR="000F4186" w:rsidRPr="00456113">
        <w:t>VoZP</w:t>
      </w:r>
      <w:proofErr w:type="spellEnd"/>
      <w:r w:rsidR="000F4186" w:rsidRPr="00456113">
        <w:t xml:space="preserve"> ČR </w:t>
      </w:r>
      <w:r w:rsidR="00DF5584">
        <w:t>−</w:t>
      </w:r>
      <w:r w:rsidR="000F4186" w:rsidRPr="00456113">
        <w:t xml:space="preserve">561,2 mil. Kč, OZP </w:t>
      </w:r>
      <w:r w:rsidR="00DF5584">
        <w:t>−</w:t>
      </w:r>
      <w:r w:rsidR="000F4186" w:rsidRPr="00456113">
        <w:t xml:space="preserve">641,5 mil. Kč, ZPŠ </w:t>
      </w:r>
      <w:r w:rsidR="00DF5584">
        <w:t>−</w:t>
      </w:r>
      <w:r w:rsidR="000F4186" w:rsidRPr="00456113">
        <w:t xml:space="preserve">438,7 mil. Kč, </w:t>
      </w:r>
      <w:r w:rsidR="00DF5584">
        <w:t>ZP MV ČR</w:t>
      </w:r>
      <w:r w:rsidR="000F4186" w:rsidRPr="00456113">
        <w:t xml:space="preserve"> </w:t>
      </w:r>
      <w:r w:rsidR="00DF5584">
        <w:t>−</w:t>
      </w:r>
      <w:r w:rsidR="000F4186" w:rsidRPr="00456113">
        <w:t xml:space="preserve">1 861,5 mil. Kč a RBP </w:t>
      </w:r>
      <w:r w:rsidR="00DF5584">
        <w:t>−</w:t>
      </w:r>
      <w:r w:rsidR="000F4186" w:rsidRPr="00456113">
        <w:t xml:space="preserve">212,1 </w:t>
      </w:r>
      <w:r w:rsidR="002102AB" w:rsidRPr="00456113">
        <w:t>mil. Kč (</w:t>
      </w:r>
      <w:r w:rsidR="002102AB" w:rsidRPr="00456113">
        <w:rPr>
          <w:i/>
        </w:rPr>
        <w:t>Graf č. 3</w:t>
      </w:r>
      <w:r w:rsidR="002102AB" w:rsidRPr="00456113">
        <w:t>).</w:t>
      </w:r>
    </w:p>
    <w:p w:rsidR="004F0AC0" w:rsidRDefault="004F0AC0" w:rsidP="004F0AC0">
      <w:pPr>
        <w:pStyle w:val="Titulek"/>
      </w:pPr>
      <w:bookmarkStart w:id="16" w:name="_Toc63685283"/>
      <w:r>
        <w:t xml:space="preserve">Graf č. </w:t>
      </w:r>
      <w:r w:rsidR="008E5E29">
        <w:rPr>
          <w:noProof/>
        </w:rPr>
        <w:fldChar w:fldCharType="begin"/>
      </w:r>
      <w:r>
        <w:rPr>
          <w:noProof/>
        </w:rPr>
        <w:instrText xml:space="preserve"> SEQ Graf \* ARABIC </w:instrText>
      </w:r>
      <w:r w:rsidR="008E5E29">
        <w:rPr>
          <w:noProof/>
        </w:rPr>
        <w:fldChar w:fldCharType="separate"/>
      </w:r>
      <w:r w:rsidR="006D5C90">
        <w:rPr>
          <w:noProof/>
        </w:rPr>
        <w:t>3</w:t>
      </w:r>
      <w:r w:rsidR="008E5E29">
        <w:rPr>
          <w:noProof/>
        </w:rPr>
        <w:fldChar w:fldCharType="end"/>
      </w:r>
      <w:r>
        <w:t xml:space="preserve">: </w:t>
      </w:r>
      <w:r w:rsidRPr="00466CEC">
        <w:t xml:space="preserve">Plánované saldo příjmů a výdajů </w:t>
      </w:r>
      <w:r>
        <w:t xml:space="preserve">2020 a </w:t>
      </w:r>
      <w:r w:rsidRPr="00466CEC">
        <w:t>20</w:t>
      </w:r>
      <w:r>
        <w:t>21</w:t>
      </w:r>
      <w:r w:rsidRPr="00466CEC">
        <w:t xml:space="preserve"> </w:t>
      </w:r>
      <w:r w:rsidR="00AE6179">
        <w:t>(mld</w:t>
      </w:r>
      <w:r w:rsidRPr="00466CEC">
        <w:t>. Kč)</w:t>
      </w:r>
      <w:bookmarkEnd w:id="16"/>
    </w:p>
    <w:p w:rsidR="004F0AC0" w:rsidRPr="004F0AC0" w:rsidRDefault="002102AB" w:rsidP="004F27FA">
      <w:r>
        <w:rPr>
          <w:noProof/>
          <w:lang w:eastAsia="cs-CZ"/>
        </w:rPr>
        <w:drawing>
          <wp:inline distT="0" distB="0" distL="0" distR="0">
            <wp:extent cx="6012000" cy="2528515"/>
            <wp:effectExtent l="0" t="0" r="8255" b="5715"/>
            <wp:docPr id="21" name="Graf 21">
              <a:extLst xmlns:a="http://schemas.openxmlformats.org/drawingml/2006/main">
                <a:ext uri="{FF2B5EF4-FFF2-40B4-BE49-F238E27FC236}">
                  <a16:creationId xmlns:a16="http://schemas.microsoft.com/office/drawing/2014/main" id="{00000000-0008-0000-0B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F4243C" w:rsidRPr="00456113" w:rsidRDefault="00015A14" w:rsidP="00F4243C">
      <w:pPr>
        <w:spacing w:line="276" w:lineRule="auto"/>
        <w:jc w:val="both"/>
      </w:pPr>
      <w:r w:rsidRPr="00456113">
        <w:lastRenderedPageBreak/>
        <w:t>Ani v</w:t>
      </w:r>
      <w:r w:rsidR="007045EF" w:rsidRPr="00456113">
        <w:t xml:space="preserve"> předcházející</w:t>
      </w:r>
      <w:r w:rsidR="00BC7C80" w:rsidRPr="00456113">
        <w:t>m</w:t>
      </w:r>
      <w:r w:rsidR="007045EF" w:rsidRPr="00456113">
        <w:t xml:space="preserve"> </w:t>
      </w:r>
      <w:r w:rsidR="00BC7C80" w:rsidRPr="00456113">
        <w:t xml:space="preserve">roce </w:t>
      </w:r>
      <w:r w:rsidR="00436F6E" w:rsidRPr="00456113">
        <w:t>(</w:t>
      </w:r>
      <w:r w:rsidR="005102CE" w:rsidRPr="00456113">
        <w:t>2020</w:t>
      </w:r>
      <w:r w:rsidR="00436F6E" w:rsidRPr="00456113">
        <w:t>)</w:t>
      </w:r>
      <w:r w:rsidR="00F4243C" w:rsidRPr="00456113">
        <w:t xml:space="preserve"> </w:t>
      </w:r>
      <w:r w:rsidR="00BC7C80" w:rsidRPr="00456113">
        <w:t>není</w:t>
      </w:r>
      <w:r w:rsidR="00F4243C" w:rsidRPr="00456113">
        <w:t xml:space="preserve"> </w:t>
      </w:r>
      <w:r w:rsidR="00BC7C80" w:rsidRPr="00456113">
        <w:t>situace mezi pojišťovnami shodná,</w:t>
      </w:r>
      <w:r w:rsidRPr="00456113">
        <w:t xml:space="preserve"> deficit očekávají</w:t>
      </w:r>
      <w:r w:rsidR="00BC7C80" w:rsidRPr="00456113">
        <w:t xml:space="preserve"> </w:t>
      </w:r>
      <w:proofErr w:type="spellStart"/>
      <w:r w:rsidR="00F4243C" w:rsidRPr="00456113">
        <w:t>VoZP</w:t>
      </w:r>
      <w:proofErr w:type="spellEnd"/>
      <w:r w:rsidR="00F4243C" w:rsidRPr="00456113">
        <w:t xml:space="preserve"> ČR </w:t>
      </w:r>
      <w:r w:rsidR="00785489">
        <w:t>−</w:t>
      </w:r>
      <w:r w:rsidR="00F4243C" w:rsidRPr="00456113">
        <w:t xml:space="preserve">238,4 mil. Kč, ČPZP </w:t>
      </w:r>
      <w:r w:rsidR="00785489">
        <w:t>−</w:t>
      </w:r>
      <w:r w:rsidR="00F4243C" w:rsidRPr="00456113">
        <w:t xml:space="preserve">71,0 mil. Kč, </w:t>
      </w:r>
      <w:r w:rsidR="00DF5584">
        <w:t>ZP MV ČR</w:t>
      </w:r>
      <w:r w:rsidR="00F4243C" w:rsidRPr="00456113">
        <w:t xml:space="preserve"> </w:t>
      </w:r>
      <w:r w:rsidR="00785489">
        <w:t>−</w:t>
      </w:r>
      <w:r w:rsidR="00F4243C" w:rsidRPr="00456113">
        <w:t xml:space="preserve">162,9 mil. Kč a RBP </w:t>
      </w:r>
      <w:r w:rsidR="00785489">
        <w:t>−</w:t>
      </w:r>
      <w:r w:rsidR="00F4243C" w:rsidRPr="00456113">
        <w:t xml:space="preserve">164,8 mil. Kč. Naopak VZP ČR </w:t>
      </w:r>
      <w:r w:rsidR="00BC7C80" w:rsidRPr="00456113">
        <w:t xml:space="preserve">předpokládá </w:t>
      </w:r>
      <w:r w:rsidR="00F4243C" w:rsidRPr="00456113">
        <w:t>kladné saldo +289,0</w:t>
      </w:r>
      <w:r w:rsidR="00CE0CFA" w:rsidRPr="00456113">
        <w:t> </w:t>
      </w:r>
      <w:r w:rsidR="00F4243C" w:rsidRPr="00456113">
        <w:t>mil. Kč</w:t>
      </w:r>
      <w:r w:rsidRPr="00456113">
        <w:t xml:space="preserve">, shodně tak </w:t>
      </w:r>
      <w:r w:rsidR="00F4243C" w:rsidRPr="00456113">
        <w:t>OZP +10,5 mil. Kč a ZPŠ</w:t>
      </w:r>
      <w:r w:rsidR="002102AB" w:rsidRPr="00456113">
        <w:t xml:space="preserve"> +161,8 mil. Kč (</w:t>
      </w:r>
      <w:r w:rsidR="002102AB" w:rsidRPr="00456113">
        <w:rPr>
          <w:i/>
        </w:rPr>
        <w:t>Graf č. 3</w:t>
      </w:r>
      <w:r w:rsidR="002102AB" w:rsidRPr="00456113">
        <w:t>).</w:t>
      </w:r>
    </w:p>
    <w:p w:rsidR="00436F6E" w:rsidRDefault="00436F6E" w:rsidP="00466CEC">
      <w:pPr>
        <w:spacing w:line="276" w:lineRule="auto"/>
        <w:jc w:val="both"/>
      </w:pPr>
      <w:r w:rsidRPr="00456113">
        <w:t>Je</w:t>
      </w:r>
      <w:r w:rsidR="003F5ED5" w:rsidRPr="00456113">
        <w:t xml:space="preserve"> tak zřejmé, že zhoršení</w:t>
      </w:r>
      <w:r w:rsidRPr="00456113">
        <w:t xml:space="preserve"> celkového plánovaného salda příjmů a výdajů systému v. z. p. </w:t>
      </w:r>
      <w:r w:rsidR="00B024BA" w:rsidRPr="00456113">
        <w:t xml:space="preserve">v roce 2021 </w:t>
      </w:r>
      <w:r w:rsidRPr="00456113">
        <w:t xml:space="preserve">je </w:t>
      </w:r>
      <w:r w:rsidR="00CE0CFA" w:rsidRPr="00456113">
        <w:t xml:space="preserve">tvořeno </w:t>
      </w:r>
      <w:r w:rsidRPr="00456113">
        <w:t>výrazný</w:t>
      </w:r>
      <w:r w:rsidR="00CE0CFA" w:rsidRPr="00456113">
        <w:t>mi</w:t>
      </w:r>
      <w:r w:rsidRPr="00456113">
        <w:t xml:space="preserve"> výkyv</w:t>
      </w:r>
      <w:r w:rsidR="00CE0CFA" w:rsidRPr="00456113">
        <w:t>y</w:t>
      </w:r>
      <w:r w:rsidRPr="00456113">
        <w:t xml:space="preserve"> v</w:t>
      </w:r>
      <w:r w:rsidR="00086BE5" w:rsidRPr="00456113">
        <w:t xml:space="preserve"> hospodaření </w:t>
      </w:r>
      <w:r w:rsidR="00CE0CFA" w:rsidRPr="00456113">
        <w:t>téměř</w:t>
      </w:r>
      <w:r w:rsidR="00B024BA" w:rsidRPr="00456113">
        <w:t xml:space="preserve"> </w:t>
      </w:r>
      <w:r w:rsidR="00086BE5" w:rsidRPr="00456113">
        <w:t>všech zdravotních pojišťoven a z toho přede</w:t>
      </w:r>
      <w:r w:rsidR="003F5ED5" w:rsidRPr="00456113">
        <w:t xml:space="preserve">vším </w:t>
      </w:r>
      <w:r w:rsidR="00CE0CFA" w:rsidRPr="00456113">
        <w:t>(</w:t>
      </w:r>
      <w:r w:rsidR="003F5ED5" w:rsidRPr="00456113">
        <w:t>vzhledem k</w:t>
      </w:r>
      <w:r w:rsidR="00CE0CFA" w:rsidRPr="00456113">
        <w:t> </w:t>
      </w:r>
      <w:r w:rsidR="003F5ED5" w:rsidRPr="00456113">
        <w:t>významnosti</w:t>
      </w:r>
      <w:r w:rsidR="00CE0CFA" w:rsidRPr="00456113">
        <w:t>)</w:t>
      </w:r>
      <w:r w:rsidR="003F5ED5" w:rsidRPr="00456113">
        <w:t xml:space="preserve"> </w:t>
      </w:r>
      <w:r w:rsidRPr="00456113">
        <w:t>VZP ČR</w:t>
      </w:r>
      <w:r w:rsidR="003F5ED5" w:rsidRPr="00456113">
        <w:t>.</w:t>
      </w:r>
      <w:r w:rsidRPr="00456113">
        <w:t xml:space="preserve"> </w:t>
      </w:r>
      <w:r w:rsidR="00CE0CFA" w:rsidRPr="00456113">
        <w:t>Příčinou jsou</w:t>
      </w:r>
      <w:r w:rsidRPr="00456113">
        <w:t xml:space="preserve"> </w:t>
      </w:r>
      <w:r w:rsidR="00651676" w:rsidRPr="00456113">
        <w:t xml:space="preserve">skokově </w:t>
      </w:r>
      <w:r w:rsidR="000803A2" w:rsidRPr="00456113">
        <w:t>zvyšující</w:t>
      </w:r>
      <w:r w:rsidR="000803A2">
        <w:t xml:space="preserve"> se</w:t>
      </w:r>
      <w:r w:rsidR="000803A2" w:rsidRPr="00456113">
        <w:t xml:space="preserve"> </w:t>
      </w:r>
      <w:r w:rsidRPr="00456113">
        <w:t>temp</w:t>
      </w:r>
      <w:r w:rsidR="000803A2">
        <w:t>a</w:t>
      </w:r>
      <w:r w:rsidRPr="00456113">
        <w:t xml:space="preserve"> úhrad za zdravotní služby, které v meziročním srovnání mezi roky </w:t>
      </w:r>
      <w:r w:rsidR="00B024BA" w:rsidRPr="00456113">
        <w:t xml:space="preserve">2019 </w:t>
      </w:r>
      <w:r w:rsidRPr="00456113">
        <w:t xml:space="preserve">a </w:t>
      </w:r>
      <w:r w:rsidR="00B024BA" w:rsidRPr="00456113">
        <w:t xml:space="preserve">2020 </w:t>
      </w:r>
      <w:r w:rsidR="00434E5E" w:rsidRPr="00456113">
        <w:t>dosáhne</w:t>
      </w:r>
      <w:r w:rsidRPr="00456113">
        <w:t xml:space="preserve"> </w:t>
      </w:r>
      <w:r w:rsidR="00B024BA" w:rsidRPr="00456113">
        <w:t>11,7</w:t>
      </w:r>
      <w:r w:rsidRPr="00456113">
        <w:t xml:space="preserve"> % a mezi roky </w:t>
      </w:r>
      <w:r w:rsidR="00B024BA" w:rsidRPr="00456113">
        <w:t xml:space="preserve">2020 </w:t>
      </w:r>
      <w:r w:rsidRPr="00456113">
        <w:t xml:space="preserve">a </w:t>
      </w:r>
      <w:r w:rsidR="00651676" w:rsidRPr="00456113">
        <w:t>202</w:t>
      </w:r>
      <w:r w:rsidR="00B024BA" w:rsidRPr="00456113">
        <w:t>1</w:t>
      </w:r>
      <w:r w:rsidR="00651676" w:rsidRPr="00456113">
        <w:t xml:space="preserve"> </w:t>
      </w:r>
      <w:r w:rsidR="003F5ED5" w:rsidRPr="00456113">
        <w:t>se plánuje</w:t>
      </w:r>
      <w:r w:rsidRPr="00456113">
        <w:t xml:space="preserve"> </w:t>
      </w:r>
      <w:r w:rsidR="00B024BA" w:rsidRPr="00456113">
        <w:t>12,6</w:t>
      </w:r>
      <w:r w:rsidR="003F5ED5" w:rsidRPr="00456113">
        <w:t> %</w:t>
      </w:r>
      <w:r w:rsidR="00CC0ED8" w:rsidRPr="00456113">
        <w:t>. O</w:t>
      </w:r>
      <w:r w:rsidR="00B024BA" w:rsidRPr="00456113">
        <w:t>b</w:t>
      </w:r>
      <w:r w:rsidR="00CC0ED8" w:rsidRPr="00456113">
        <w:t>a údaje významně převy</w:t>
      </w:r>
      <w:r w:rsidR="00B024BA" w:rsidRPr="00456113">
        <w:t xml:space="preserve">šují hodnoty v uplynulých letech </w:t>
      </w:r>
      <w:r w:rsidR="00EA390C">
        <w:t>–</w:t>
      </w:r>
      <w:r w:rsidR="00B024BA" w:rsidRPr="00456113">
        <w:t xml:space="preserve"> např. 6,5 % (2016/2017), 7,1 % (2017/2018)</w:t>
      </w:r>
      <w:r w:rsidR="00CC0ED8" w:rsidRPr="00456113">
        <w:t>, 7,6 % (2018/2019)</w:t>
      </w:r>
      <w:r w:rsidRPr="00456113">
        <w:t xml:space="preserve">. </w:t>
      </w:r>
      <w:r w:rsidR="00CE0CFA" w:rsidRPr="00456113">
        <w:t>Naopak už nelze počítat s výraznými nárůsty výběru pojistného, jak k němu docházelo v minulých letech.</w:t>
      </w:r>
    </w:p>
    <w:p w:rsidR="00436F6E" w:rsidRDefault="00436F6E" w:rsidP="00E82BDF">
      <w:pPr>
        <w:spacing w:before="180"/>
      </w:pPr>
      <w:r>
        <w:t xml:space="preserve">Podrobnější informace viz </w:t>
      </w:r>
      <w:r w:rsidRPr="00E73464">
        <w:t xml:space="preserve">Tabulková příloha </w:t>
      </w:r>
      <w:r w:rsidRPr="0092198C">
        <w:rPr>
          <w:i/>
        </w:rPr>
        <w:t xml:space="preserve">Tabulka č. 1 str. </w:t>
      </w:r>
      <w:r w:rsidR="0042752A">
        <w:rPr>
          <w:i/>
        </w:rPr>
        <w:t xml:space="preserve">5 a </w:t>
      </w:r>
      <w:r w:rsidRPr="0092198C">
        <w:rPr>
          <w:i/>
        </w:rPr>
        <w:t>6</w:t>
      </w:r>
      <w:r>
        <w:t>.</w:t>
      </w:r>
    </w:p>
    <w:p w:rsidR="00436F6E" w:rsidRDefault="00436F6E" w:rsidP="00436F6E">
      <w:pPr>
        <w:rPr>
          <w:rFonts w:eastAsia="Times New Roman" w:cs="Arial"/>
          <w:b/>
          <w:sz w:val="28"/>
          <w:szCs w:val="28"/>
          <w:lang w:eastAsia="cs-CZ"/>
        </w:rPr>
      </w:pPr>
      <w:r>
        <w:br w:type="page"/>
      </w:r>
    </w:p>
    <w:p w:rsidR="00436F6E" w:rsidRDefault="00436F6E" w:rsidP="00AC25F3">
      <w:pPr>
        <w:pStyle w:val="Nadpis2"/>
      </w:pPr>
      <w:bookmarkStart w:id="17" w:name="_Toc63684672"/>
      <w:r>
        <w:lastRenderedPageBreak/>
        <w:t>Pohledávky a závazky</w:t>
      </w:r>
      <w:bookmarkEnd w:id="17"/>
      <w:r>
        <w:t xml:space="preserve"> </w:t>
      </w:r>
    </w:p>
    <w:p w:rsidR="00B87E43" w:rsidRDefault="00436F6E" w:rsidP="00466CEC">
      <w:pPr>
        <w:spacing w:before="180" w:line="276" w:lineRule="auto"/>
        <w:jc w:val="both"/>
      </w:pPr>
      <w:r>
        <w:rPr>
          <w:b/>
        </w:rPr>
        <w:t xml:space="preserve">Plánovaný stav pohledávek v. z. p. celkem </w:t>
      </w:r>
      <w:r>
        <w:t>(v čisté výši bez opravných položek)</w:t>
      </w:r>
      <w:r>
        <w:rPr>
          <w:b/>
        </w:rPr>
        <w:t xml:space="preserve"> k 31. 12. </w:t>
      </w:r>
      <w:r w:rsidR="004C4CCC">
        <w:rPr>
          <w:b/>
        </w:rPr>
        <w:t>202</w:t>
      </w:r>
      <w:r w:rsidR="00B87E43">
        <w:rPr>
          <w:b/>
        </w:rPr>
        <w:t>1</w:t>
      </w:r>
      <w:r w:rsidR="004C4CCC">
        <w:rPr>
          <w:b/>
        </w:rPr>
        <w:t xml:space="preserve"> </w:t>
      </w:r>
      <w:r>
        <w:rPr>
          <w:b/>
        </w:rPr>
        <w:t xml:space="preserve">dosáhne </w:t>
      </w:r>
      <w:r w:rsidR="00B87E43">
        <w:rPr>
          <w:b/>
        </w:rPr>
        <w:t>44,3</w:t>
      </w:r>
      <w:r>
        <w:rPr>
          <w:b/>
        </w:rPr>
        <w:t> mld. Kč,</w:t>
      </w:r>
      <w:r>
        <w:t xml:space="preserve"> z toho pohledávky za plátci pojistného </w:t>
      </w:r>
      <w:r w:rsidR="00434E5E">
        <w:t>budou činit</w:t>
      </w:r>
      <w:r>
        <w:t xml:space="preserve"> </w:t>
      </w:r>
      <w:r w:rsidR="00B87E43">
        <w:t>39,0</w:t>
      </w:r>
      <w:r>
        <w:t xml:space="preserve"> mld. Kč, tj. 88</w:t>
      </w:r>
      <w:r w:rsidR="004C4CCC">
        <w:t>,1</w:t>
      </w:r>
      <w:r>
        <w:t> % (z toho pohledávky ve</w:t>
      </w:r>
      <w:r w:rsidR="00577912">
        <w:t> </w:t>
      </w:r>
      <w:r>
        <w:t xml:space="preserve">splatnosti tvoří přibližně </w:t>
      </w:r>
      <w:r w:rsidR="00B87E43">
        <w:t>55,8</w:t>
      </w:r>
      <w:r>
        <w:t xml:space="preserve"> % a po splatnosti </w:t>
      </w:r>
      <w:r w:rsidR="00B87E43">
        <w:t>44,2</w:t>
      </w:r>
      <w:r w:rsidR="00E71978">
        <w:t xml:space="preserve"> </w:t>
      </w:r>
      <w:r>
        <w:t xml:space="preserve">%). Při srovnání s rokem </w:t>
      </w:r>
      <w:r w:rsidR="00B87E43">
        <w:t>2020</w:t>
      </w:r>
      <w:r>
        <w:t xml:space="preserve">, kdy je očekáván celkový stav pohledávek ve výši </w:t>
      </w:r>
      <w:r w:rsidR="00B87E43" w:rsidRPr="00B87E43">
        <w:rPr>
          <w:b/>
        </w:rPr>
        <w:t>42</w:t>
      </w:r>
      <w:r w:rsidR="00B87E43">
        <w:rPr>
          <w:b/>
        </w:rPr>
        <w:t>,</w:t>
      </w:r>
      <w:r w:rsidR="00B87E43" w:rsidRPr="00B87E43">
        <w:rPr>
          <w:b/>
        </w:rPr>
        <w:t>7</w:t>
      </w:r>
      <w:r>
        <w:rPr>
          <w:b/>
        </w:rPr>
        <w:t xml:space="preserve"> mld. Kč</w:t>
      </w:r>
      <w:r>
        <w:t>, tak meziročně dojde k růstu celkového stavu pohledávek o 1,</w:t>
      </w:r>
      <w:r w:rsidR="00E71978">
        <w:t>6 </w:t>
      </w:r>
      <w:r>
        <w:t>mld. Kč (o</w:t>
      </w:r>
      <w:r w:rsidR="00113BF1">
        <w:t> </w:t>
      </w:r>
      <w:r w:rsidR="00B87E43">
        <w:t>3,7</w:t>
      </w:r>
      <w:r>
        <w:t xml:space="preserve"> %). Také v roce </w:t>
      </w:r>
      <w:r w:rsidR="00B87E43">
        <w:t xml:space="preserve">2020 </w:t>
      </w:r>
      <w:r>
        <w:t xml:space="preserve">jsou pohledávky tvořeny především pohledávkami za plátci pojistného, a to v částce </w:t>
      </w:r>
      <w:r w:rsidR="00AE6179" w:rsidRPr="00AE6179">
        <w:t>37</w:t>
      </w:r>
      <w:r w:rsidR="00AE6179">
        <w:t xml:space="preserve">,7 </w:t>
      </w:r>
      <w:r>
        <w:t>mld. Kč, tj. 88</w:t>
      </w:r>
      <w:r w:rsidR="00E71978">
        <w:t>,</w:t>
      </w:r>
      <w:r w:rsidR="00AE6179">
        <w:t xml:space="preserve">2 </w:t>
      </w:r>
      <w:r>
        <w:t>%.</w:t>
      </w:r>
    </w:p>
    <w:p w:rsidR="00436F6E" w:rsidRDefault="00436F6E" w:rsidP="00466CEC">
      <w:pPr>
        <w:spacing w:before="180" w:line="276" w:lineRule="auto"/>
        <w:jc w:val="both"/>
      </w:pPr>
      <w:r>
        <w:rPr>
          <w:b/>
        </w:rPr>
        <w:t>Plánovaný stav závazků v. z. p. celkem k 31. 12. </w:t>
      </w:r>
      <w:r w:rsidR="00E71978">
        <w:rPr>
          <w:b/>
        </w:rPr>
        <w:t>202</w:t>
      </w:r>
      <w:r w:rsidR="00F0168A">
        <w:rPr>
          <w:b/>
        </w:rPr>
        <w:t>1</w:t>
      </w:r>
      <w:r w:rsidR="00E71978">
        <w:rPr>
          <w:b/>
        </w:rPr>
        <w:t xml:space="preserve"> </w:t>
      </w:r>
      <w:r>
        <w:rPr>
          <w:b/>
        </w:rPr>
        <w:t xml:space="preserve">je </w:t>
      </w:r>
      <w:r w:rsidR="001873E3">
        <w:rPr>
          <w:b/>
        </w:rPr>
        <w:t>42,</w:t>
      </w:r>
      <w:r w:rsidR="001873E3" w:rsidRPr="001873E3">
        <w:rPr>
          <w:b/>
        </w:rPr>
        <w:t>8</w:t>
      </w:r>
      <w:r w:rsidR="001873E3">
        <w:rPr>
          <w:b/>
        </w:rPr>
        <w:t xml:space="preserve"> </w:t>
      </w:r>
      <w:r>
        <w:rPr>
          <w:b/>
        </w:rPr>
        <w:t>mld. Kč</w:t>
      </w:r>
      <w:r>
        <w:rPr>
          <w:color w:val="FF0000"/>
        </w:rPr>
        <w:t xml:space="preserve">. </w:t>
      </w:r>
      <w:r>
        <w:t>V tom závazky vůči poskytovatelům zdravotních služeb</w:t>
      </w:r>
      <w:r w:rsidR="00434E5E">
        <w:t xml:space="preserve"> (PZS)</w:t>
      </w:r>
      <w:r>
        <w:t xml:space="preserve"> činí </w:t>
      </w:r>
      <w:r w:rsidR="001873E3" w:rsidRPr="001873E3">
        <w:t>41</w:t>
      </w:r>
      <w:r w:rsidR="001873E3">
        <w:t>,</w:t>
      </w:r>
      <w:r w:rsidR="001873E3" w:rsidRPr="001873E3">
        <w:t>6</w:t>
      </w:r>
      <w:r w:rsidR="00A27773">
        <w:t xml:space="preserve"> </w:t>
      </w:r>
      <w:r>
        <w:t>mld. Kč, tj. 97</w:t>
      </w:r>
      <w:r w:rsidR="00A27773">
        <w:t>,</w:t>
      </w:r>
      <w:r w:rsidR="001873E3">
        <w:t xml:space="preserve">2 </w:t>
      </w:r>
      <w:r>
        <w:t>%. Žádná zdravotní pojišťovna nepředpokládá existenci záva</w:t>
      </w:r>
      <w:r w:rsidR="00434E5E">
        <w:t>zků po lhůtě splatnosti vůči PZS</w:t>
      </w:r>
      <w:r>
        <w:t xml:space="preserve">. Oproti roku </w:t>
      </w:r>
      <w:r w:rsidR="001873E3">
        <w:t>2020</w:t>
      </w:r>
      <w:r>
        <w:t xml:space="preserve">, kdy je očekávána suma závazků ve výši </w:t>
      </w:r>
      <w:r w:rsidR="001873E3">
        <w:t xml:space="preserve">41,5 </w:t>
      </w:r>
      <w:r>
        <w:t>mld. Kč (v</w:t>
      </w:r>
      <w:r w:rsidR="006B1BBF">
        <w:t> </w:t>
      </w:r>
      <w:r>
        <w:t xml:space="preserve">tom vůči PZS ve splatnosti </w:t>
      </w:r>
      <w:r w:rsidR="001873E3" w:rsidRPr="001873E3">
        <w:t>40</w:t>
      </w:r>
      <w:r w:rsidR="001873E3">
        <w:t>,</w:t>
      </w:r>
      <w:r w:rsidR="001873E3" w:rsidRPr="001873E3">
        <w:t>3</w:t>
      </w:r>
      <w:r w:rsidR="001873E3">
        <w:t xml:space="preserve"> </w:t>
      </w:r>
      <w:r>
        <w:t>mld. Kč, tj. 97</w:t>
      </w:r>
      <w:r w:rsidR="00A27773">
        <w:t>,</w:t>
      </w:r>
      <w:r w:rsidR="001873E3">
        <w:t xml:space="preserve">2 </w:t>
      </w:r>
      <w:r>
        <w:t xml:space="preserve">%), se meziročně závazky zvýší o </w:t>
      </w:r>
      <w:r w:rsidR="00A27773">
        <w:t>1,</w:t>
      </w:r>
      <w:r w:rsidR="001873E3">
        <w:t xml:space="preserve">3 </w:t>
      </w:r>
      <w:r>
        <w:t xml:space="preserve">mld. Kč (o </w:t>
      </w:r>
      <w:r w:rsidR="001873E3">
        <w:t>3,2</w:t>
      </w:r>
      <w:r>
        <w:t xml:space="preserve"> %). Jedná se</w:t>
      </w:r>
      <w:r w:rsidR="006B1BBF">
        <w:t> </w:t>
      </w:r>
      <w:r>
        <w:t>o pokračování dlouhodobě vzestupného trendu v souvislosti s růstem výdajů.</w:t>
      </w:r>
    </w:p>
    <w:p w:rsidR="00436F6E" w:rsidRDefault="0092198C" w:rsidP="009A3F36">
      <w:pPr>
        <w:pStyle w:val="Titulek"/>
        <w:jc w:val="both"/>
      </w:pPr>
      <w:bookmarkStart w:id="18" w:name="_Toc63685260"/>
      <w:r w:rsidRPr="00C75FC6">
        <w:t xml:space="preserve">Tabulka č. </w:t>
      </w:r>
      <w:r w:rsidR="008E5E29">
        <w:rPr>
          <w:noProof/>
        </w:rPr>
        <w:fldChar w:fldCharType="begin"/>
      </w:r>
      <w:r w:rsidR="007F5247">
        <w:rPr>
          <w:noProof/>
        </w:rPr>
        <w:instrText xml:space="preserve"> SEQ Tabulka \* ARABIC </w:instrText>
      </w:r>
      <w:r w:rsidR="008E5E29">
        <w:rPr>
          <w:noProof/>
        </w:rPr>
        <w:fldChar w:fldCharType="separate"/>
      </w:r>
      <w:r w:rsidR="006D5C90">
        <w:rPr>
          <w:noProof/>
        </w:rPr>
        <w:t>7</w:t>
      </w:r>
      <w:r w:rsidR="008E5E29">
        <w:rPr>
          <w:noProof/>
        </w:rPr>
        <w:fldChar w:fldCharType="end"/>
      </w:r>
      <w:r w:rsidRPr="00C75FC6">
        <w:t xml:space="preserve">: </w:t>
      </w:r>
      <w:r w:rsidRPr="0092198C">
        <w:t xml:space="preserve">Vybrané ukazatele </w:t>
      </w:r>
      <w:r w:rsidR="001873E3" w:rsidRPr="0092198C">
        <w:t>20</w:t>
      </w:r>
      <w:r w:rsidR="001873E3">
        <w:t>21</w:t>
      </w:r>
      <w:r w:rsidR="001873E3" w:rsidRPr="0092198C">
        <w:t xml:space="preserve"> </w:t>
      </w:r>
      <w:r w:rsidRPr="0092198C">
        <w:t>dle zdravotních pojišťoven</w:t>
      </w:r>
      <w:bookmarkEnd w:id="18"/>
    </w:p>
    <w:tbl>
      <w:tblPr>
        <w:tblW w:w="9600" w:type="dxa"/>
        <w:jc w:val="center"/>
        <w:tblCellMar>
          <w:left w:w="70" w:type="dxa"/>
          <w:right w:w="70" w:type="dxa"/>
        </w:tblCellMar>
        <w:tblLook w:val="04A0" w:firstRow="1" w:lastRow="0" w:firstColumn="1" w:lastColumn="0" w:noHBand="0" w:noVBand="1"/>
      </w:tblPr>
      <w:tblGrid>
        <w:gridCol w:w="2880"/>
        <w:gridCol w:w="960"/>
        <w:gridCol w:w="960"/>
        <w:gridCol w:w="960"/>
        <w:gridCol w:w="960"/>
        <w:gridCol w:w="960"/>
        <w:gridCol w:w="960"/>
        <w:gridCol w:w="960"/>
      </w:tblGrid>
      <w:tr w:rsidR="00436F6E" w:rsidRPr="00776722" w:rsidTr="009F1D8D">
        <w:trPr>
          <w:trHeight w:val="315"/>
          <w:jc w:val="center"/>
        </w:trPr>
        <w:tc>
          <w:tcPr>
            <w:tcW w:w="2880" w:type="dxa"/>
            <w:tcBorders>
              <w:top w:val="single" w:sz="12" w:space="0" w:color="4F81BD"/>
              <w:left w:val="single" w:sz="12" w:space="0" w:color="4F81BD"/>
              <w:bottom w:val="nil"/>
              <w:right w:val="nil"/>
            </w:tcBorders>
            <w:shd w:val="clear" w:color="000000" w:fill="4F81BD"/>
            <w:vAlign w:val="center"/>
            <w:hideMark/>
          </w:tcPr>
          <w:p w:rsidR="00436F6E" w:rsidRPr="00776722" w:rsidRDefault="00436F6E" w:rsidP="009F1D8D">
            <w:pPr>
              <w:spacing w:after="0" w:line="240" w:lineRule="auto"/>
              <w:rPr>
                <w:rFonts w:ascii="Calibri" w:eastAsia="Times New Roman" w:hAnsi="Calibri" w:cs="Times New Roman"/>
                <w:b/>
                <w:bCs/>
                <w:color w:val="FFFFFF"/>
                <w:szCs w:val="21"/>
                <w:lang w:eastAsia="cs-CZ"/>
              </w:rPr>
            </w:pPr>
            <w:r w:rsidRPr="00776722">
              <w:rPr>
                <w:rFonts w:ascii="Calibri" w:eastAsia="Times New Roman" w:hAnsi="Calibri" w:cs="Times New Roman"/>
                <w:b/>
                <w:bCs/>
                <w:color w:val="FFFFFF"/>
                <w:szCs w:val="21"/>
                <w:lang w:eastAsia="cs-CZ"/>
              </w:rPr>
              <w:t xml:space="preserve">ZPP </w:t>
            </w:r>
            <w:r w:rsidR="009F1D8D" w:rsidRPr="00776722">
              <w:rPr>
                <w:rFonts w:ascii="Calibri" w:eastAsia="Times New Roman" w:hAnsi="Calibri" w:cs="Times New Roman"/>
                <w:b/>
                <w:bCs/>
                <w:color w:val="FFFFFF"/>
                <w:szCs w:val="21"/>
                <w:lang w:eastAsia="cs-CZ"/>
              </w:rPr>
              <w:t>20</w:t>
            </w:r>
            <w:r w:rsidR="009F1D8D">
              <w:rPr>
                <w:rFonts w:ascii="Calibri" w:eastAsia="Times New Roman" w:hAnsi="Calibri" w:cs="Times New Roman"/>
                <w:b/>
                <w:bCs/>
                <w:color w:val="FFFFFF"/>
                <w:szCs w:val="21"/>
                <w:lang w:eastAsia="cs-CZ"/>
              </w:rPr>
              <w:t>2</w:t>
            </w:r>
            <w:r w:rsidR="001873E3">
              <w:rPr>
                <w:rFonts w:ascii="Calibri" w:eastAsia="Times New Roman" w:hAnsi="Calibri" w:cs="Times New Roman"/>
                <w:b/>
                <w:bCs/>
                <w:color w:val="FFFFFF"/>
                <w:szCs w:val="21"/>
                <w:lang w:eastAsia="cs-CZ"/>
              </w:rPr>
              <w:t>1</w:t>
            </w:r>
          </w:p>
        </w:tc>
        <w:tc>
          <w:tcPr>
            <w:tcW w:w="960" w:type="dxa"/>
            <w:vMerge w:val="restart"/>
            <w:tcBorders>
              <w:top w:val="single" w:sz="12" w:space="0" w:color="4F81BD"/>
              <w:left w:val="nil"/>
              <w:bottom w:val="nil"/>
              <w:right w:val="nil"/>
            </w:tcBorders>
            <w:shd w:val="clear" w:color="000000" w:fill="6691C6"/>
            <w:noWrap/>
            <w:vAlign w:val="center"/>
            <w:hideMark/>
          </w:tcPr>
          <w:p w:rsidR="00436F6E" w:rsidRPr="00776722" w:rsidRDefault="00436F6E" w:rsidP="007E01C6">
            <w:pPr>
              <w:spacing w:after="0" w:line="240" w:lineRule="auto"/>
              <w:jc w:val="center"/>
              <w:rPr>
                <w:rFonts w:ascii="Calibri" w:eastAsia="Times New Roman" w:hAnsi="Calibri" w:cs="Times New Roman"/>
                <w:color w:val="FFFFFF"/>
                <w:szCs w:val="21"/>
                <w:lang w:eastAsia="cs-CZ"/>
              </w:rPr>
            </w:pPr>
            <w:r w:rsidRPr="00776722">
              <w:rPr>
                <w:rFonts w:ascii="Calibri" w:eastAsia="Times New Roman" w:hAnsi="Calibri" w:cs="Times New Roman"/>
                <w:color w:val="FFFFFF" w:themeColor="background1"/>
                <w:szCs w:val="21"/>
                <w:lang w:eastAsia="cs-CZ"/>
              </w:rPr>
              <w:t>VZP ČR</w:t>
            </w:r>
          </w:p>
        </w:tc>
        <w:tc>
          <w:tcPr>
            <w:tcW w:w="960" w:type="dxa"/>
            <w:vMerge w:val="restart"/>
            <w:tcBorders>
              <w:top w:val="single" w:sz="12" w:space="0" w:color="4F81BD"/>
              <w:left w:val="nil"/>
              <w:bottom w:val="nil"/>
              <w:right w:val="nil"/>
            </w:tcBorders>
            <w:shd w:val="clear" w:color="000000" w:fill="4F81BD"/>
            <w:noWrap/>
            <w:vAlign w:val="center"/>
            <w:hideMark/>
          </w:tcPr>
          <w:p w:rsidR="00436F6E" w:rsidRPr="00776722" w:rsidRDefault="00436F6E" w:rsidP="007E01C6">
            <w:pPr>
              <w:spacing w:after="0" w:line="240" w:lineRule="auto"/>
              <w:jc w:val="center"/>
              <w:rPr>
                <w:rFonts w:ascii="Calibri" w:eastAsia="Times New Roman" w:hAnsi="Calibri" w:cs="Times New Roman"/>
                <w:color w:val="FFFFFF"/>
                <w:szCs w:val="21"/>
                <w:lang w:eastAsia="cs-CZ"/>
              </w:rPr>
            </w:pPr>
            <w:proofErr w:type="spellStart"/>
            <w:r w:rsidRPr="00776722">
              <w:rPr>
                <w:rFonts w:ascii="Calibri" w:eastAsia="Times New Roman" w:hAnsi="Calibri" w:cs="Times New Roman"/>
                <w:color w:val="FFFFFF" w:themeColor="background1"/>
                <w:szCs w:val="21"/>
                <w:lang w:eastAsia="cs-CZ"/>
              </w:rPr>
              <w:t>VoZP</w:t>
            </w:r>
            <w:proofErr w:type="spellEnd"/>
            <w:r w:rsidRPr="00776722">
              <w:rPr>
                <w:rFonts w:ascii="Calibri" w:eastAsia="Times New Roman" w:hAnsi="Calibri" w:cs="Times New Roman"/>
                <w:color w:val="FFFFFF" w:themeColor="background1"/>
                <w:szCs w:val="21"/>
                <w:lang w:eastAsia="cs-CZ"/>
              </w:rPr>
              <w:t xml:space="preserve"> ČR</w:t>
            </w:r>
          </w:p>
        </w:tc>
        <w:tc>
          <w:tcPr>
            <w:tcW w:w="960" w:type="dxa"/>
            <w:vMerge w:val="restart"/>
            <w:tcBorders>
              <w:top w:val="single" w:sz="12" w:space="0" w:color="4F81BD"/>
              <w:left w:val="nil"/>
              <w:bottom w:val="nil"/>
              <w:right w:val="nil"/>
            </w:tcBorders>
            <w:shd w:val="clear" w:color="000000" w:fill="6691C6"/>
            <w:noWrap/>
            <w:vAlign w:val="center"/>
            <w:hideMark/>
          </w:tcPr>
          <w:p w:rsidR="00436F6E" w:rsidRPr="00776722" w:rsidRDefault="00436F6E" w:rsidP="007E01C6">
            <w:pPr>
              <w:spacing w:after="0" w:line="240" w:lineRule="auto"/>
              <w:jc w:val="center"/>
              <w:rPr>
                <w:rFonts w:ascii="Calibri" w:eastAsia="Times New Roman" w:hAnsi="Calibri" w:cs="Times New Roman"/>
                <w:color w:val="FFFFFF"/>
                <w:szCs w:val="21"/>
                <w:lang w:eastAsia="cs-CZ"/>
              </w:rPr>
            </w:pPr>
            <w:r w:rsidRPr="00776722">
              <w:rPr>
                <w:rFonts w:ascii="Calibri" w:eastAsia="Times New Roman" w:hAnsi="Calibri" w:cs="Times New Roman"/>
                <w:color w:val="FFFFFF" w:themeColor="background1"/>
                <w:szCs w:val="21"/>
                <w:lang w:eastAsia="cs-CZ"/>
              </w:rPr>
              <w:t>ČPZP</w:t>
            </w:r>
          </w:p>
        </w:tc>
        <w:tc>
          <w:tcPr>
            <w:tcW w:w="960" w:type="dxa"/>
            <w:vMerge w:val="restart"/>
            <w:tcBorders>
              <w:top w:val="single" w:sz="12" w:space="0" w:color="4F81BD"/>
              <w:left w:val="nil"/>
              <w:bottom w:val="nil"/>
              <w:right w:val="nil"/>
            </w:tcBorders>
            <w:shd w:val="clear" w:color="000000" w:fill="4F81BD"/>
            <w:vAlign w:val="center"/>
            <w:hideMark/>
          </w:tcPr>
          <w:p w:rsidR="00436F6E" w:rsidRPr="00776722" w:rsidRDefault="00436F6E" w:rsidP="007E01C6">
            <w:pPr>
              <w:spacing w:after="0" w:line="240" w:lineRule="auto"/>
              <w:jc w:val="center"/>
              <w:rPr>
                <w:rFonts w:ascii="Calibri" w:eastAsia="Times New Roman" w:hAnsi="Calibri" w:cs="Times New Roman"/>
                <w:color w:val="FFFFFF"/>
                <w:szCs w:val="21"/>
                <w:lang w:eastAsia="cs-CZ"/>
              </w:rPr>
            </w:pPr>
            <w:r w:rsidRPr="00776722">
              <w:rPr>
                <w:rFonts w:ascii="Calibri" w:eastAsia="Times New Roman" w:hAnsi="Calibri" w:cs="Times New Roman"/>
                <w:color w:val="FFFFFF" w:themeColor="background1"/>
                <w:szCs w:val="21"/>
                <w:lang w:eastAsia="cs-CZ"/>
              </w:rPr>
              <w:t>OZP</w:t>
            </w:r>
          </w:p>
        </w:tc>
        <w:tc>
          <w:tcPr>
            <w:tcW w:w="960" w:type="dxa"/>
            <w:vMerge w:val="restart"/>
            <w:tcBorders>
              <w:top w:val="single" w:sz="12" w:space="0" w:color="4F81BD"/>
              <w:left w:val="nil"/>
              <w:bottom w:val="nil"/>
              <w:right w:val="nil"/>
            </w:tcBorders>
            <w:shd w:val="clear" w:color="000000" w:fill="6691C6"/>
            <w:vAlign w:val="center"/>
            <w:hideMark/>
          </w:tcPr>
          <w:p w:rsidR="00436F6E" w:rsidRPr="00776722" w:rsidRDefault="00436F6E" w:rsidP="007E01C6">
            <w:pPr>
              <w:spacing w:after="0" w:line="240" w:lineRule="auto"/>
              <w:jc w:val="center"/>
              <w:rPr>
                <w:rFonts w:ascii="Calibri" w:eastAsia="Times New Roman" w:hAnsi="Calibri" w:cs="Times New Roman"/>
                <w:color w:val="FFFFFF"/>
                <w:szCs w:val="21"/>
                <w:lang w:eastAsia="cs-CZ"/>
              </w:rPr>
            </w:pPr>
            <w:r w:rsidRPr="00776722">
              <w:rPr>
                <w:rFonts w:ascii="Calibri" w:eastAsia="Times New Roman" w:hAnsi="Calibri" w:cs="Times New Roman"/>
                <w:color w:val="FFFFFF" w:themeColor="background1"/>
                <w:szCs w:val="21"/>
                <w:lang w:eastAsia="cs-CZ"/>
              </w:rPr>
              <w:t>ZPŠ</w:t>
            </w:r>
          </w:p>
        </w:tc>
        <w:tc>
          <w:tcPr>
            <w:tcW w:w="960" w:type="dxa"/>
            <w:vMerge w:val="restart"/>
            <w:tcBorders>
              <w:top w:val="single" w:sz="12" w:space="0" w:color="4F81BD"/>
              <w:left w:val="nil"/>
              <w:bottom w:val="nil"/>
              <w:right w:val="nil"/>
            </w:tcBorders>
            <w:shd w:val="clear" w:color="000000" w:fill="4F81BD"/>
            <w:vAlign w:val="center"/>
            <w:hideMark/>
          </w:tcPr>
          <w:p w:rsidR="00436F6E" w:rsidRPr="00B34351" w:rsidRDefault="00DF5584" w:rsidP="007E01C6">
            <w:pPr>
              <w:spacing w:after="0" w:line="240" w:lineRule="auto"/>
              <w:jc w:val="center"/>
              <w:rPr>
                <w:rFonts w:ascii="Calibri" w:eastAsia="Times New Roman" w:hAnsi="Calibri" w:cs="Times New Roman"/>
                <w:color w:val="FFFFFF"/>
                <w:spacing w:val="-2"/>
                <w:szCs w:val="21"/>
                <w:lang w:eastAsia="cs-CZ"/>
              </w:rPr>
            </w:pPr>
            <w:r w:rsidRPr="00B34351">
              <w:rPr>
                <w:rFonts w:ascii="Calibri" w:eastAsia="Times New Roman" w:hAnsi="Calibri" w:cs="Times New Roman"/>
                <w:color w:val="FFFFFF" w:themeColor="background1"/>
                <w:spacing w:val="-2"/>
                <w:szCs w:val="21"/>
                <w:lang w:eastAsia="cs-CZ"/>
              </w:rPr>
              <w:t>ZP MV ČR</w:t>
            </w:r>
          </w:p>
        </w:tc>
        <w:tc>
          <w:tcPr>
            <w:tcW w:w="960" w:type="dxa"/>
            <w:vMerge w:val="restart"/>
            <w:tcBorders>
              <w:top w:val="single" w:sz="12" w:space="0" w:color="4F81BD"/>
              <w:left w:val="nil"/>
              <w:bottom w:val="nil"/>
              <w:right w:val="single" w:sz="12" w:space="0" w:color="4F81BD"/>
            </w:tcBorders>
            <w:shd w:val="clear" w:color="000000" w:fill="6691C6"/>
            <w:vAlign w:val="center"/>
            <w:hideMark/>
          </w:tcPr>
          <w:p w:rsidR="00436F6E" w:rsidRPr="00776722" w:rsidRDefault="00436F6E" w:rsidP="007E01C6">
            <w:pPr>
              <w:spacing w:after="0" w:line="240" w:lineRule="auto"/>
              <w:jc w:val="center"/>
              <w:rPr>
                <w:rFonts w:ascii="Calibri" w:eastAsia="Times New Roman" w:hAnsi="Calibri" w:cs="Times New Roman"/>
                <w:color w:val="FFFFFF"/>
                <w:szCs w:val="21"/>
                <w:lang w:eastAsia="cs-CZ"/>
              </w:rPr>
            </w:pPr>
            <w:r w:rsidRPr="00776722">
              <w:rPr>
                <w:rFonts w:ascii="Calibri" w:eastAsia="Times New Roman" w:hAnsi="Calibri" w:cs="Times New Roman"/>
                <w:color w:val="FFFFFF" w:themeColor="background1"/>
                <w:szCs w:val="21"/>
                <w:lang w:eastAsia="cs-CZ"/>
              </w:rPr>
              <w:t>RBP</w:t>
            </w:r>
          </w:p>
        </w:tc>
      </w:tr>
      <w:tr w:rsidR="00436F6E" w:rsidRPr="00776722" w:rsidTr="009F1D8D">
        <w:trPr>
          <w:trHeight w:val="300"/>
          <w:jc w:val="center"/>
        </w:trPr>
        <w:tc>
          <w:tcPr>
            <w:tcW w:w="2880" w:type="dxa"/>
            <w:tcBorders>
              <w:top w:val="nil"/>
              <w:left w:val="single" w:sz="12" w:space="0" w:color="4F81BD"/>
              <w:bottom w:val="nil"/>
              <w:right w:val="nil"/>
            </w:tcBorders>
            <w:shd w:val="clear" w:color="000000" w:fill="4F81BD"/>
            <w:vAlign w:val="center"/>
            <w:hideMark/>
          </w:tcPr>
          <w:p w:rsidR="00436F6E" w:rsidRPr="00776722" w:rsidRDefault="00436F6E" w:rsidP="007E01C6">
            <w:pPr>
              <w:spacing w:after="0" w:line="240" w:lineRule="auto"/>
              <w:rPr>
                <w:rFonts w:ascii="Calibri" w:eastAsia="Times New Roman" w:hAnsi="Calibri" w:cs="Times New Roman"/>
                <w:b/>
                <w:bCs/>
                <w:i/>
                <w:iCs/>
                <w:color w:val="FFFFFF"/>
                <w:szCs w:val="21"/>
                <w:lang w:eastAsia="cs-CZ"/>
              </w:rPr>
            </w:pPr>
            <w:r w:rsidRPr="00776722">
              <w:rPr>
                <w:rFonts w:ascii="Calibri" w:eastAsia="Times New Roman" w:hAnsi="Calibri" w:cs="Times New Roman"/>
                <w:b/>
                <w:bCs/>
                <w:i/>
                <w:iCs/>
                <w:color w:val="FFFFFF"/>
                <w:szCs w:val="21"/>
                <w:lang w:eastAsia="cs-CZ"/>
              </w:rPr>
              <w:t>(v mil. Kč)</w:t>
            </w:r>
          </w:p>
        </w:tc>
        <w:tc>
          <w:tcPr>
            <w:tcW w:w="960" w:type="dxa"/>
            <w:vMerge/>
            <w:tcBorders>
              <w:top w:val="single" w:sz="12" w:space="0" w:color="4F81BD"/>
              <w:left w:val="nil"/>
              <w:bottom w:val="nil"/>
              <w:right w:val="nil"/>
            </w:tcBorders>
            <w:vAlign w:val="center"/>
            <w:hideMark/>
          </w:tcPr>
          <w:p w:rsidR="00436F6E" w:rsidRPr="00776722" w:rsidRDefault="00436F6E" w:rsidP="007E01C6">
            <w:pPr>
              <w:spacing w:after="0" w:line="240" w:lineRule="auto"/>
              <w:rPr>
                <w:rFonts w:ascii="Calibri" w:eastAsia="Times New Roman" w:hAnsi="Calibri" w:cs="Times New Roman"/>
                <w:color w:val="FFFFFF"/>
                <w:szCs w:val="21"/>
                <w:lang w:eastAsia="cs-CZ"/>
              </w:rPr>
            </w:pPr>
          </w:p>
        </w:tc>
        <w:tc>
          <w:tcPr>
            <w:tcW w:w="960" w:type="dxa"/>
            <w:vMerge/>
            <w:tcBorders>
              <w:top w:val="single" w:sz="12" w:space="0" w:color="4F81BD"/>
              <w:left w:val="nil"/>
              <w:bottom w:val="nil"/>
              <w:right w:val="nil"/>
            </w:tcBorders>
            <w:vAlign w:val="center"/>
            <w:hideMark/>
          </w:tcPr>
          <w:p w:rsidR="00436F6E" w:rsidRPr="00776722" w:rsidRDefault="00436F6E" w:rsidP="007E01C6">
            <w:pPr>
              <w:spacing w:after="0" w:line="240" w:lineRule="auto"/>
              <w:rPr>
                <w:rFonts w:ascii="Calibri" w:eastAsia="Times New Roman" w:hAnsi="Calibri" w:cs="Times New Roman"/>
                <w:color w:val="FFFFFF"/>
                <w:szCs w:val="21"/>
                <w:lang w:eastAsia="cs-CZ"/>
              </w:rPr>
            </w:pPr>
          </w:p>
        </w:tc>
        <w:tc>
          <w:tcPr>
            <w:tcW w:w="960" w:type="dxa"/>
            <w:vMerge/>
            <w:tcBorders>
              <w:top w:val="single" w:sz="12" w:space="0" w:color="4F81BD"/>
              <w:left w:val="nil"/>
              <w:bottom w:val="nil"/>
              <w:right w:val="nil"/>
            </w:tcBorders>
            <w:vAlign w:val="center"/>
            <w:hideMark/>
          </w:tcPr>
          <w:p w:rsidR="00436F6E" w:rsidRPr="00776722" w:rsidRDefault="00436F6E" w:rsidP="007E01C6">
            <w:pPr>
              <w:spacing w:after="0" w:line="240" w:lineRule="auto"/>
              <w:rPr>
                <w:rFonts w:ascii="Calibri" w:eastAsia="Times New Roman" w:hAnsi="Calibri" w:cs="Times New Roman"/>
                <w:color w:val="FFFFFF"/>
                <w:szCs w:val="21"/>
                <w:lang w:eastAsia="cs-CZ"/>
              </w:rPr>
            </w:pPr>
          </w:p>
        </w:tc>
        <w:tc>
          <w:tcPr>
            <w:tcW w:w="960" w:type="dxa"/>
            <w:vMerge/>
            <w:tcBorders>
              <w:top w:val="single" w:sz="12" w:space="0" w:color="4F81BD"/>
              <w:left w:val="nil"/>
              <w:bottom w:val="nil"/>
              <w:right w:val="nil"/>
            </w:tcBorders>
            <w:vAlign w:val="center"/>
            <w:hideMark/>
          </w:tcPr>
          <w:p w:rsidR="00436F6E" w:rsidRPr="00776722" w:rsidRDefault="00436F6E" w:rsidP="007E01C6">
            <w:pPr>
              <w:spacing w:after="0" w:line="240" w:lineRule="auto"/>
              <w:rPr>
                <w:rFonts w:ascii="Calibri" w:eastAsia="Times New Roman" w:hAnsi="Calibri" w:cs="Times New Roman"/>
                <w:color w:val="FFFFFF"/>
                <w:szCs w:val="21"/>
                <w:lang w:eastAsia="cs-CZ"/>
              </w:rPr>
            </w:pPr>
          </w:p>
        </w:tc>
        <w:tc>
          <w:tcPr>
            <w:tcW w:w="960" w:type="dxa"/>
            <w:vMerge/>
            <w:tcBorders>
              <w:top w:val="single" w:sz="12" w:space="0" w:color="4F81BD"/>
              <w:left w:val="nil"/>
              <w:bottom w:val="nil"/>
              <w:right w:val="nil"/>
            </w:tcBorders>
            <w:vAlign w:val="center"/>
            <w:hideMark/>
          </w:tcPr>
          <w:p w:rsidR="00436F6E" w:rsidRPr="00776722" w:rsidRDefault="00436F6E" w:rsidP="007E01C6">
            <w:pPr>
              <w:spacing w:after="0" w:line="240" w:lineRule="auto"/>
              <w:rPr>
                <w:rFonts w:ascii="Calibri" w:eastAsia="Times New Roman" w:hAnsi="Calibri" w:cs="Times New Roman"/>
                <w:color w:val="FFFFFF"/>
                <w:szCs w:val="21"/>
                <w:lang w:eastAsia="cs-CZ"/>
              </w:rPr>
            </w:pPr>
          </w:p>
        </w:tc>
        <w:tc>
          <w:tcPr>
            <w:tcW w:w="960" w:type="dxa"/>
            <w:vMerge/>
            <w:tcBorders>
              <w:top w:val="single" w:sz="12" w:space="0" w:color="4F81BD"/>
              <w:left w:val="nil"/>
              <w:bottom w:val="nil"/>
              <w:right w:val="nil"/>
            </w:tcBorders>
            <w:vAlign w:val="center"/>
            <w:hideMark/>
          </w:tcPr>
          <w:p w:rsidR="00436F6E" w:rsidRPr="00776722" w:rsidRDefault="00436F6E" w:rsidP="007E01C6">
            <w:pPr>
              <w:spacing w:after="0" w:line="240" w:lineRule="auto"/>
              <w:rPr>
                <w:rFonts w:ascii="Calibri" w:eastAsia="Times New Roman" w:hAnsi="Calibri" w:cs="Times New Roman"/>
                <w:color w:val="FFFFFF"/>
                <w:szCs w:val="21"/>
                <w:lang w:eastAsia="cs-CZ"/>
              </w:rPr>
            </w:pPr>
          </w:p>
        </w:tc>
        <w:tc>
          <w:tcPr>
            <w:tcW w:w="960" w:type="dxa"/>
            <w:vMerge/>
            <w:tcBorders>
              <w:top w:val="single" w:sz="12" w:space="0" w:color="4F81BD"/>
              <w:left w:val="nil"/>
              <w:bottom w:val="nil"/>
              <w:right w:val="single" w:sz="12" w:space="0" w:color="4F81BD"/>
            </w:tcBorders>
            <w:vAlign w:val="center"/>
            <w:hideMark/>
          </w:tcPr>
          <w:p w:rsidR="00436F6E" w:rsidRPr="00776722" w:rsidRDefault="00436F6E" w:rsidP="007E01C6">
            <w:pPr>
              <w:spacing w:after="0" w:line="240" w:lineRule="auto"/>
              <w:rPr>
                <w:rFonts w:ascii="Calibri" w:eastAsia="Times New Roman" w:hAnsi="Calibri" w:cs="Times New Roman"/>
                <w:color w:val="FFFFFF"/>
                <w:szCs w:val="21"/>
                <w:lang w:eastAsia="cs-CZ"/>
              </w:rPr>
            </w:pPr>
          </w:p>
        </w:tc>
      </w:tr>
      <w:tr w:rsidR="00436F6E" w:rsidRPr="00776722" w:rsidTr="009F1D8D">
        <w:trPr>
          <w:trHeight w:val="300"/>
          <w:jc w:val="center"/>
        </w:trPr>
        <w:tc>
          <w:tcPr>
            <w:tcW w:w="2880" w:type="dxa"/>
            <w:tcBorders>
              <w:top w:val="nil"/>
              <w:left w:val="single" w:sz="12" w:space="0" w:color="4F81BD"/>
              <w:bottom w:val="nil"/>
              <w:right w:val="nil"/>
            </w:tcBorders>
            <w:shd w:val="clear" w:color="000000" w:fill="4F81BD"/>
            <w:vAlign w:val="center"/>
            <w:hideMark/>
          </w:tcPr>
          <w:p w:rsidR="00436F6E" w:rsidRPr="00776722" w:rsidRDefault="00436F6E" w:rsidP="007E01C6">
            <w:pPr>
              <w:spacing w:after="0" w:line="240" w:lineRule="auto"/>
              <w:jc w:val="both"/>
              <w:rPr>
                <w:rFonts w:ascii="Calibri" w:eastAsia="Times New Roman" w:hAnsi="Calibri" w:cs="Times New Roman"/>
                <w:i/>
                <w:iCs/>
                <w:color w:val="FFFFFF"/>
                <w:sz w:val="20"/>
                <w:szCs w:val="20"/>
                <w:lang w:eastAsia="cs-CZ"/>
              </w:rPr>
            </w:pPr>
            <w:r w:rsidRPr="00776722">
              <w:rPr>
                <w:rFonts w:ascii="Calibri" w:eastAsia="Times New Roman" w:hAnsi="Calibri" w:cs="Times New Roman"/>
                <w:i/>
                <w:iCs/>
                <w:color w:val="FFFFFF"/>
                <w:sz w:val="20"/>
                <w:szCs w:val="20"/>
                <w:lang w:eastAsia="cs-CZ"/>
              </w:rPr>
              <w:t>(stav k poslednímu dni roku)</w:t>
            </w:r>
          </w:p>
        </w:tc>
        <w:tc>
          <w:tcPr>
            <w:tcW w:w="960" w:type="dxa"/>
            <w:vMerge/>
            <w:tcBorders>
              <w:top w:val="single" w:sz="12" w:space="0" w:color="4F81BD"/>
              <w:left w:val="nil"/>
              <w:bottom w:val="nil"/>
              <w:right w:val="nil"/>
            </w:tcBorders>
            <w:vAlign w:val="center"/>
            <w:hideMark/>
          </w:tcPr>
          <w:p w:rsidR="00436F6E" w:rsidRPr="00776722" w:rsidRDefault="00436F6E" w:rsidP="007E01C6">
            <w:pPr>
              <w:spacing w:after="0" w:line="240" w:lineRule="auto"/>
              <w:rPr>
                <w:rFonts w:ascii="Calibri" w:eastAsia="Times New Roman" w:hAnsi="Calibri" w:cs="Times New Roman"/>
                <w:color w:val="FFFFFF"/>
                <w:szCs w:val="21"/>
                <w:lang w:eastAsia="cs-CZ"/>
              </w:rPr>
            </w:pPr>
          </w:p>
        </w:tc>
        <w:tc>
          <w:tcPr>
            <w:tcW w:w="960" w:type="dxa"/>
            <w:vMerge/>
            <w:tcBorders>
              <w:top w:val="single" w:sz="12" w:space="0" w:color="4F81BD"/>
              <w:left w:val="nil"/>
              <w:bottom w:val="nil"/>
              <w:right w:val="nil"/>
            </w:tcBorders>
            <w:vAlign w:val="center"/>
            <w:hideMark/>
          </w:tcPr>
          <w:p w:rsidR="00436F6E" w:rsidRPr="00776722" w:rsidRDefault="00436F6E" w:rsidP="007E01C6">
            <w:pPr>
              <w:spacing w:after="0" w:line="240" w:lineRule="auto"/>
              <w:rPr>
                <w:rFonts w:ascii="Calibri" w:eastAsia="Times New Roman" w:hAnsi="Calibri" w:cs="Times New Roman"/>
                <w:color w:val="FFFFFF"/>
                <w:szCs w:val="21"/>
                <w:lang w:eastAsia="cs-CZ"/>
              </w:rPr>
            </w:pPr>
          </w:p>
        </w:tc>
        <w:tc>
          <w:tcPr>
            <w:tcW w:w="960" w:type="dxa"/>
            <w:vMerge/>
            <w:tcBorders>
              <w:top w:val="single" w:sz="12" w:space="0" w:color="4F81BD"/>
              <w:left w:val="nil"/>
              <w:bottom w:val="nil"/>
              <w:right w:val="nil"/>
            </w:tcBorders>
            <w:vAlign w:val="center"/>
            <w:hideMark/>
          </w:tcPr>
          <w:p w:rsidR="00436F6E" w:rsidRPr="00776722" w:rsidRDefault="00436F6E" w:rsidP="007E01C6">
            <w:pPr>
              <w:spacing w:after="0" w:line="240" w:lineRule="auto"/>
              <w:rPr>
                <w:rFonts w:ascii="Calibri" w:eastAsia="Times New Roman" w:hAnsi="Calibri" w:cs="Times New Roman"/>
                <w:color w:val="FFFFFF"/>
                <w:szCs w:val="21"/>
                <w:lang w:eastAsia="cs-CZ"/>
              </w:rPr>
            </w:pPr>
          </w:p>
        </w:tc>
        <w:tc>
          <w:tcPr>
            <w:tcW w:w="960" w:type="dxa"/>
            <w:vMerge/>
            <w:tcBorders>
              <w:top w:val="single" w:sz="12" w:space="0" w:color="4F81BD"/>
              <w:left w:val="nil"/>
              <w:bottom w:val="nil"/>
              <w:right w:val="nil"/>
            </w:tcBorders>
            <w:vAlign w:val="center"/>
            <w:hideMark/>
          </w:tcPr>
          <w:p w:rsidR="00436F6E" w:rsidRPr="00776722" w:rsidRDefault="00436F6E" w:rsidP="007E01C6">
            <w:pPr>
              <w:spacing w:after="0" w:line="240" w:lineRule="auto"/>
              <w:rPr>
                <w:rFonts w:ascii="Calibri" w:eastAsia="Times New Roman" w:hAnsi="Calibri" w:cs="Times New Roman"/>
                <w:color w:val="FFFFFF"/>
                <w:szCs w:val="21"/>
                <w:lang w:eastAsia="cs-CZ"/>
              </w:rPr>
            </w:pPr>
          </w:p>
        </w:tc>
        <w:tc>
          <w:tcPr>
            <w:tcW w:w="960" w:type="dxa"/>
            <w:vMerge/>
            <w:tcBorders>
              <w:top w:val="single" w:sz="12" w:space="0" w:color="4F81BD"/>
              <w:left w:val="nil"/>
              <w:bottom w:val="nil"/>
              <w:right w:val="nil"/>
            </w:tcBorders>
            <w:vAlign w:val="center"/>
            <w:hideMark/>
          </w:tcPr>
          <w:p w:rsidR="00436F6E" w:rsidRPr="00776722" w:rsidRDefault="00436F6E" w:rsidP="007E01C6">
            <w:pPr>
              <w:spacing w:after="0" w:line="240" w:lineRule="auto"/>
              <w:rPr>
                <w:rFonts w:ascii="Calibri" w:eastAsia="Times New Roman" w:hAnsi="Calibri" w:cs="Times New Roman"/>
                <w:color w:val="FFFFFF"/>
                <w:szCs w:val="21"/>
                <w:lang w:eastAsia="cs-CZ"/>
              </w:rPr>
            </w:pPr>
          </w:p>
        </w:tc>
        <w:tc>
          <w:tcPr>
            <w:tcW w:w="960" w:type="dxa"/>
            <w:vMerge/>
            <w:tcBorders>
              <w:top w:val="single" w:sz="12" w:space="0" w:color="4F81BD"/>
              <w:left w:val="nil"/>
              <w:bottom w:val="nil"/>
              <w:right w:val="nil"/>
            </w:tcBorders>
            <w:vAlign w:val="center"/>
            <w:hideMark/>
          </w:tcPr>
          <w:p w:rsidR="00436F6E" w:rsidRPr="00776722" w:rsidRDefault="00436F6E" w:rsidP="007E01C6">
            <w:pPr>
              <w:spacing w:after="0" w:line="240" w:lineRule="auto"/>
              <w:rPr>
                <w:rFonts w:ascii="Calibri" w:eastAsia="Times New Roman" w:hAnsi="Calibri" w:cs="Times New Roman"/>
                <w:color w:val="FFFFFF"/>
                <w:szCs w:val="21"/>
                <w:lang w:eastAsia="cs-CZ"/>
              </w:rPr>
            </w:pPr>
          </w:p>
        </w:tc>
        <w:tc>
          <w:tcPr>
            <w:tcW w:w="960" w:type="dxa"/>
            <w:vMerge/>
            <w:tcBorders>
              <w:top w:val="single" w:sz="12" w:space="0" w:color="4F81BD"/>
              <w:left w:val="nil"/>
              <w:bottom w:val="nil"/>
              <w:right w:val="single" w:sz="12" w:space="0" w:color="4F81BD"/>
            </w:tcBorders>
            <w:vAlign w:val="center"/>
            <w:hideMark/>
          </w:tcPr>
          <w:p w:rsidR="00436F6E" w:rsidRPr="00776722" w:rsidRDefault="00436F6E" w:rsidP="007E01C6">
            <w:pPr>
              <w:spacing w:after="0" w:line="240" w:lineRule="auto"/>
              <w:rPr>
                <w:rFonts w:ascii="Calibri" w:eastAsia="Times New Roman" w:hAnsi="Calibri" w:cs="Times New Roman"/>
                <w:color w:val="FFFFFF"/>
                <w:szCs w:val="21"/>
                <w:lang w:eastAsia="cs-CZ"/>
              </w:rPr>
            </w:pPr>
          </w:p>
        </w:tc>
      </w:tr>
      <w:tr w:rsidR="003440CE" w:rsidRPr="00776722" w:rsidTr="008E685C">
        <w:trPr>
          <w:trHeight w:val="300"/>
          <w:jc w:val="center"/>
        </w:trPr>
        <w:tc>
          <w:tcPr>
            <w:tcW w:w="2880" w:type="dxa"/>
            <w:tcBorders>
              <w:top w:val="nil"/>
              <w:left w:val="single" w:sz="12" w:space="0" w:color="4F81BD"/>
              <w:bottom w:val="nil"/>
              <w:right w:val="nil"/>
            </w:tcBorders>
            <w:shd w:val="clear" w:color="auto" w:fill="auto"/>
            <w:vAlign w:val="center"/>
            <w:hideMark/>
          </w:tcPr>
          <w:p w:rsidR="003440CE" w:rsidRPr="00776722" w:rsidRDefault="003440CE" w:rsidP="007E01C6">
            <w:pPr>
              <w:spacing w:after="0" w:line="240" w:lineRule="auto"/>
              <w:rPr>
                <w:rFonts w:ascii="Calibri" w:eastAsia="Times New Roman" w:hAnsi="Calibri" w:cs="Times New Roman"/>
                <w:b/>
                <w:bCs/>
                <w:color w:val="000000"/>
                <w:szCs w:val="21"/>
                <w:lang w:eastAsia="cs-CZ"/>
              </w:rPr>
            </w:pPr>
            <w:r>
              <w:rPr>
                <w:rFonts w:ascii="Calibri" w:eastAsia="Times New Roman" w:hAnsi="Calibri" w:cs="Arial"/>
                <w:b/>
                <w:bCs/>
                <w:color w:val="000000"/>
                <w:szCs w:val="21"/>
                <w:lang w:eastAsia="cs-CZ"/>
              </w:rPr>
              <w:t>S</w:t>
            </w:r>
            <w:r w:rsidRPr="00776722">
              <w:rPr>
                <w:rFonts w:ascii="Calibri" w:eastAsia="Times New Roman" w:hAnsi="Calibri" w:cs="Arial"/>
                <w:b/>
                <w:bCs/>
                <w:color w:val="000000"/>
                <w:szCs w:val="21"/>
                <w:lang w:eastAsia="cs-CZ"/>
              </w:rPr>
              <w:t>tav pohledávek celkem</w:t>
            </w:r>
          </w:p>
        </w:tc>
        <w:tc>
          <w:tcPr>
            <w:tcW w:w="960" w:type="dxa"/>
            <w:tcBorders>
              <w:top w:val="nil"/>
              <w:left w:val="nil"/>
              <w:bottom w:val="nil"/>
              <w:right w:val="nil"/>
            </w:tcBorders>
            <w:shd w:val="clear" w:color="000000" w:fill="DCE6F1"/>
            <w:noWrap/>
            <w:vAlign w:val="center"/>
          </w:tcPr>
          <w:p w:rsidR="003440CE" w:rsidRPr="009F1D8D" w:rsidRDefault="003440CE" w:rsidP="009F1D8D">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23 725</w:t>
            </w:r>
          </w:p>
        </w:tc>
        <w:tc>
          <w:tcPr>
            <w:tcW w:w="960" w:type="dxa"/>
            <w:tcBorders>
              <w:top w:val="nil"/>
              <w:left w:val="nil"/>
              <w:bottom w:val="nil"/>
              <w:right w:val="nil"/>
            </w:tcBorders>
            <w:shd w:val="clear" w:color="auto" w:fill="auto"/>
            <w:noWrap/>
            <w:vAlign w:val="center"/>
          </w:tcPr>
          <w:p w:rsidR="003440CE" w:rsidRPr="009F1D8D" w:rsidRDefault="003440CE" w:rsidP="009F1D8D">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3 656</w:t>
            </w:r>
          </w:p>
        </w:tc>
        <w:tc>
          <w:tcPr>
            <w:tcW w:w="960" w:type="dxa"/>
            <w:tcBorders>
              <w:top w:val="nil"/>
              <w:left w:val="nil"/>
              <w:bottom w:val="nil"/>
              <w:right w:val="nil"/>
            </w:tcBorders>
            <w:shd w:val="clear" w:color="000000" w:fill="DCE6F1"/>
            <w:noWrap/>
            <w:vAlign w:val="center"/>
          </w:tcPr>
          <w:p w:rsidR="003440CE" w:rsidRPr="009F1D8D" w:rsidRDefault="003440CE" w:rsidP="009F1D8D">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5 849</w:t>
            </w:r>
          </w:p>
        </w:tc>
        <w:tc>
          <w:tcPr>
            <w:tcW w:w="960" w:type="dxa"/>
            <w:tcBorders>
              <w:top w:val="nil"/>
              <w:left w:val="nil"/>
              <w:bottom w:val="nil"/>
              <w:right w:val="nil"/>
            </w:tcBorders>
            <w:shd w:val="clear" w:color="auto" w:fill="auto"/>
            <w:noWrap/>
            <w:vAlign w:val="center"/>
          </w:tcPr>
          <w:p w:rsidR="003440CE" w:rsidRPr="009F1D8D" w:rsidRDefault="003440CE" w:rsidP="009F1D8D">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3 927</w:t>
            </w:r>
          </w:p>
        </w:tc>
        <w:tc>
          <w:tcPr>
            <w:tcW w:w="960" w:type="dxa"/>
            <w:tcBorders>
              <w:top w:val="nil"/>
              <w:left w:val="nil"/>
              <w:bottom w:val="nil"/>
              <w:right w:val="nil"/>
            </w:tcBorders>
            <w:shd w:val="clear" w:color="000000" w:fill="DCE6F1"/>
            <w:noWrap/>
            <w:vAlign w:val="center"/>
          </w:tcPr>
          <w:p w:rsidR="003440CE" w:rsidRPr="009F1D8D" w:rsidRDefault="003440CE" w:rsidP="009F1D8D">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615</w:t>
            </w:r>
          </w:p>
        </w:tc>
        <w:tc>
          <w:tcPr>
            <w:tcW w:w="960" w:type="dxa"/>
            <w:tcBorders>
              <w:top w:val="nil"/>
              <w:left w:val="nil"/>
              <w:bottom w:val="nil"/>
              <w:right w:val="nil"/>
            </w:tcBorders>
            <w:shd w:val="clear" w:color="auto" w:fill="auto"/>
            <w:noWrap/>
            <w:vAlign w:val="center"/>
          </w:tcPr>
          <w:p w:rsidR="003440CE" w:rsidRPr="009F1D8D" w:rsidRDefault="003440CE" w:rsidP="009F1D8D">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4 931</w:t>
            </w:r>
          </w:p>
        </w:tc>
        <w:tc>
          <w:tcPr>
            <w:tcW w:w="960" w:type="dxa"/>
            <w:tcBorders>
              <w:top w:val="nil"/>
              <w:left w:val="nil"/>
              <w:bottom w:val="nil"/>
              <w:right w:val="single" w:sz="12" w:space="0" w:color="4F81BD"/>
            </w:tcBorders>
            <w:shd w:val="clear" w:color="000000" w:fill="DCE6F1"/>
            <w:noWrap/>
            <w:vAlign w:val="center"/>
          </w:tcPr>
          <w:p w:rsidR="003440CE" w:rsidRPr="009F1D8D" w:rsidRDefault="003440CE" w:rsidP="009F1D8D">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1 570</w:t>
            </w:r>
          </w:p>
        </w:tc>
      </w:tr>
      <w:tr w:rsidR="003440CE" w:rsidRPr="00776722" w:rsidTr="008E685C">
        <w:trPr>
          <w:trHeight w:val="570"/>
          <w:jc w:val="center"/>
        </w:trPr>
        <w:tc>
          <w:tcPr>
            <w:tcW w:w="2880" w:type="dxa"/>
            <w:tcBorders>
              <w:top w:val="nil"/>
              <w:left w:val="single" w:sz="12" w:space="0" w:color="4F81BD"/>
              <w:bottom w:val="nil"/>
              <w:right w:val="nil"/>
            </w:tcBorders>
            <w:shd w:val="clear" w:color="000000" w:fill="EEF3F8"/>
            <w:vAlign w:val="center"/>
            <w:hideMark/>
          </w:tcPr>
          <w:p w:rsidR="003440CE" w:rsidRPr="00776722" w:rsidRDefault="003440CE" w:rsidP="007E01C6">
            <w:pPr>
              <w:spacing w:after="0" w:line="240" w:lineRule="auto"/>
              <w:rPr>
                <w:rFonts w:ascii="Calibri" w:eastAsia="Times New Roman" w:hAnsi="Calibri" w:cs="Times New Roman"/>
                <w:color w:val="000000"/>
                <w:szCs w:val="21"/>
                <w:lang w:eastAsia="cs-CZ"/>
              </w:rPr>
            </w:pPr>
            <w:r>
              <w:rPr>
                <w:rFonts w:ascii="Calibri" w:eastAsia="Times New Roman" w:hAnsi="Calibri" w:cs="Times New Roman"/>
                <w:color w:val="000000"/>
                <w:szCs w:val="21"/>
                <w:lang w:eastAsia="cs-CZ"/>
              </w:rPr>
              <w:t>Z</w:t>
            </w:r>
            <w:r w:rsidRPr="00776722">
              <w:rPr>
                <w:rFonts w:ascii="Calibri" w:eastAsia="Times New Roman" w:hAnsi="Calibri" w:cs="Times New Roman"/>
                <w:color w:val="000000"/>
                <w:szCs w:val="21"/>
                <w:lang w:eastAsia="cs-CZ"/>
              </w:rPr>
              <w:t xml:space="preserve"> toho po lhůtě za plátci pojistného</w:t>
            </w:r>
          </w:p>
        </w:tc>
        <w:tc>
          <w:tcPr>
            <w:tcW w:w="960" w:type="dxa"/>
            <w:tcBorders>
              <w:top w:val="nil"/>
              <w:left w:val="nil"/>
              <w:bottom w:val="nil"/>
              <w:right w:val="nil"/>
            </w:tcBorders>
            <w:shd w:val="clear" w:color="000000" w:fill="EEF3F8"/>
            <w:noWrap/>
            <w:vAlign w:val="center"/>
          </w:tcPr>
          <w:p w:rsidR="003440CE" w:rsidRPr="00776722" w:rsidRDefault="003440CE" w:rsidP="009F1D8D">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8 755</w:t>
            </w:r>
          </w:p>
        </w:tc>
        <w:tc>
          <w:tcPr>
            <w:tcW w:w="960" w:type="dxa"/>
            <w:tcBorders>
              <w:top w:val="nil"/>
              <w:left w:val="nil"/>
              <w:bottom w:val="nil"/>
              <w:right w:val="nil"/>
            </w:tcBorders>
            <w:shd w:val="clear" w:color="000000" w:fill="EEF3F8"/>
            <w:noWrap/>
            <w:vAlign w:val="center"/>
          </w:tcPr>
          <w:p w:rsidR="003440CE" w:rsidRPr="00776722" w:rsidRDefault="003440CE" w:rsidP="009F1D8D">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1 800</w:t>
            </w:r>
          </w:p>
        </w:tc>
        <w:tc>
          <w:tcPr>
            <w:tcW w:w="960" w:type="dxa"/>
            <w:tcBorders>
              <w:top w:val="nil"/>
              <w:left w:val="nil"/>
              <w:bottom w:val="nil"/>
              <w:right w:val="nil"/>
            </w:tcBorders>
            <w:shd w:val="clear" w:color="000000" w:fill="EEF3F8"/>
            <w:noWrap/>
            <w:vAlign w:val="center"/>
          </w:tcPr>
          <w:p w:rsidR="003440CE" w:rsidRPr="00776722" w:rsidRDefault="003440CE" w:rsidP="009F1D8D">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2 661</w:t>
            </w:r>
          </w:p>
        </w:tc>
        <w:tc>
          <w:tcPr>
            <w:tcW w:w="960" w:type="dxa"/>
            <w:tcBorders>
              <w:top w:val="nil"/>
              <w:left w:val="nil"/>
              <w:bottom w:val="nil"/>
              <w:right w:val="nil"/>
            </w:tcBorders>
            <w:shd w:val="clear" w:color="000000" w:fill="EEF3F8"/>
            <w:noWrap/>
            <w:vAlign w:val="center"/>
          </w:tcPr>
          <w:p w:rsidR="003440CE" w:rsidRPr="00776722" w:rsidRDefault="003440CE" w:rsidP="009F1D8D">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1 668</w:t>
            </w:r>
          </w:p>
        </w:tc>
        <w:tc>
          <w:tcPr>
            <w:tcW w:w="960" w:type="dxa"/>
            <w:tcBorders>
              <w:top w:val="nil"/>
              <w:left w:val="nil"/>
              <w:bottom w:val="nil"/>
              <w:right w:val="nil"/>
            </w:tcBorders>
            <w:shd w:val="clear" w:color="000000" w:fill="EEF3F8"/>
            <w:noWrap/>
            <w:vAlign w:val="center"/>
          </w:tcPr>
          <w:p w:rsidR="003440CE" w:rsidRPr="00776722" w:rsidRDefault="003440CE" w:rsidP="009F1D8D">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105</w:t>
            </w:r>
          </w:p>
        </w:tc>
        <w:tc>
          <w:tcPr>
            <w:tcW w:w="960" w:type="dxa"/>
            <w:tcBorders>
              <w:top w:val="nil"/>
              <w:left w:val="nil"/>
              <w:bottom w:val="nil"/>
              <w:right w:val="nil"/>
            </w:tcBorders>
            <w:shd w:val="clear" w:color="000000" w:fill="EEF3F8"/>
            <w:noWrap/>
            <w:vAlign w:val="center"/>
          </w:tcPr>
          <w:p w:rsidR="003440CE" w:rsidRPr="00776722" w:rsidRDefault="003440CE" w:rsidP="009F1D8D">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1 585</w:t>
            </w:r>
          </w:p>
        </w:tc>
        <w:tc>
          <w:tcPr>
            <w:tcW w:w="960" w:type="dxa"/>
            <w:tcBorders>
              <w:top w:val="nil"/>
              <w:left w:val="nil"/>
              <w:bottom w:val="nil"/>
              <w:right w:val="single" w:sz="12" w:space="0" w:color="4F81BD"/>
            </w:tcBorders>
            <w:shd w:val="clear" w:color="000000" w:fill="EEF3F8"/>
            <w:noWrap/>
            <w:vAlign w:val="center"/>
          </w:tcPr>
          <w:p w:rsidR="003440CE" w:rsidRPr="00776722" w:rsidRDefault="003440CE" w:rsidP="009F1D8D">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650</w:t>
            </w:r>
          </w:p>
        </w:tc>
      </w:tr>
      <w:tr w:rsidR="003440CE" w:rsidRPr="00776722" w:rsidTr="008E685C">
        <w:trPr>
          <w:trHeight w:val="300"/>
          <w:jc w:val="center"/>
        </w:trPr>
        <w:tc>
          <w:tcPr>
            <w:tcW w:w="2880" w:type="dxa"/>
            <w:tcBorders>
              <w:top w:val="nil"/>
              <w:left w:val="single" w:sz="12" w:space="0" w:color="4F81BD"/>
              <w:bottom w:val="nil"/>
              <w:right w:val="nil"/>
            </w:tcBorders>
            <w:shd w:val="clear" w:color="auto" w:fill="auto"/>
            <w:vAlign w:val="center"/>
            <w:hideMark/>
          </w:tcPr>
          <w:p w:rsidR="003440CE" w:rsidRPr="00776722" w:rsidRDefault="003440CE" w:rsidP="007E01C6">
            <w:pPr>
              <w:spacing w:after="0" w:line="240" w:lineRule="auto"/>
              <w:rPr>
                <w:rFonts w:ascii="Calibri" w:eastAsia="Times New Roman" w:hAnsi="Calibri" w:cs="Times New Roman"/>
                <w:color w:val="000000"/>
                <w:szCs w:val="21"/>
                <w:lang w:eastAsia="cs-CZ"/>
              </w:rPr>
            </w:pPr>
            <w:r>
              <w:rPr>
                <w:rFonts w:ascii="Calibri" w:eastAsia="Times New Roman" w:hAnsi="Calibri" w:cs="Times New Roman"/>
                <w:color w:val="000000"/>
                <w:szCs w:val="21"/>
                <w:lang w:eastAsia="cs-CZ"/>
              </w:rPr>
              <w:t>D</w:t>
            </w:r>
            <w:r w:rsidRPr="00776722">
              <w:rPr>
                <w:rFonts w:ascii="Calibri" w:eastAsia="Times New Roman" w:hAnsi="Calibri" w:cs="Times New Roman"/>
                <w:color w:val="000000"/>
                <w:szCs w:val="21"/>
                <w:lang w:eastAsia="cs-CZ"/>
              </w:rPr>
              <w:t>ohadné položky aktivní</w:t>
            </w:r>
          </w:p>
        </w:tc>
        <w:tc>
          <w:tcPr>
            <w:tcW w:w="960" w:type="dxa"/>
            <w:tcBorders>
              <w:top w:val="nil"/>
              <w:left w:val="nil"/>
              <w:bottom w:val="nil"/>
              <w:right w:val="nil"/>
            </w:tcBorders>
            <w:shd w:val="clear" w:color="000000" w:fill="DCE6F1"/>
            <w:noWrap/>
            <w:vAlign w:val="center"/>
          </w:tcPr>
          <w:p w:rsidR="003440CE" w:rsidRPr="00776722" w:rsidRDefault="003440CE" w:rsidP="009F1D8D">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715</w:t>
            </w:r>
          </w:p>
        </w:tc>
        <w:tc>
          <w:tcPr>
            <w:tcW w:w="960" w:type="dxa"/>
            <w:tcBorders>
              <w:top w:val="nil"/>
              <w:left w:val="nil"/>
              <w:bottom w:val="nil"/>
              <w:right w:val="nil"/>
            </w:tcBorders>
            <w:shd w:val="clear" w:color="auto" w:fill="auto"/>
            <w:noWrap/>
            <w:vAlign w:val="center"/>
          </w:tcPr>
          <w:p w:rsidR="003440CE" w:rsidRPr="00776722" w:rsidRDefault="003440CE" w:rsidP="009F1D8D">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450</w:t>
            </w:r>
          </w:p>
        </w:tc>
        <w:tc>
          <w:tcPr>
            <w:tcW w:w="960" w:type="dxa"/>
            <w:tcBorders>
              <w:top w:val="nil"/>
              <w:left w:val="nil"/>
              <w:bottom w:val="nil"/>
              <w:right w:val="nil"/>
            </w:tcBorders>
            <w:shd w:val="clear" w:color="000000" w:fill="DCE6F1"/>
            <w:noWrap/>
            <w:vAlign w:val="center"/>
          </w:tcPr>
          <w:p w:rsidR="003440CE" w:rsidRPr="00776722" w:rsidRDefault="003440CE" w:rsidP="009F1D8D">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302</w:t>
            </w:r>
          </w:p>
        </w:tc>
        <w:tc>
          <w:tcPr>
            <w:tcW w:w="960" w:type="dxa"/>
            <w:tcBorders>
              <w:top w:val="nil"/>
              <w:left w:val="nil"/>
              <w:bottom w:val="nil"/>
              <w:right w:val="nil"/>
            </w:tcBorders>
            <w:shd w:val="clear" w:color="auto" w:fill="auto"/>
            <w:noWrap/>
            <w:vAlign w:val="center"/>
          </w:tcPr>
          <w:p w:rsidR="003440CE" w:rsidRPr="00776722" w:rsidRDefault="003440CE" w:rsidP="009F1D8D">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395</w:t>
            </w:r>
          </w:p>
        </w:tc>
        <w:tc>
          <w:tcPr>
            <w:tcW w:w="960" w:type="dxa"/>
            <w:tcBorders>
              <w:top w:val="nil"/>
              <w:left w:val="nil"/>
              <w:bottom w:val="nil"/>
              <w:right w:val="nil"/>
            </w:tcBorders>
            <w:shd w:val="clear" w:color="000000" w:fill="DCE6F1"/>
            <w:noWrap/>
            <w:vAlign w:val="center"/>
          </w:tcPr>
          <w:p w:rsidR="003440CE" w:rsidRPr="00776722" w:rsidRDefault="003440CE" w:rsidP="009F1D8D">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75</w:t>
            </w:r>
          </w:p>
        </w:tc>
        <w:tc>
          <w:tcPr>
            <w:tcW w:w="960" w:type="dxa"/>
            <w:tcBorders>
              <w:top w:val="nil"/>
              <w:left w:val="nil"/>
              <w:bottom w:val="nil"/>
              <w:right w:val="nil"/>
            </w:tcBorders>
            <w:shd w:val="clear" w:color="auto" w:fill="auto"/>
            <w:noWrap/>
            <w:vAlign w:val="center"/>
          </w:tcPr>
          <w:p w:rsidR="003440CE" w:rsidRPr="00776722" w:rsidRDefault="003440CE" w:rsidP="009F1D8D">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85</w:t>
            </w:r>
          </w:p>
        </w:tc>
        <w:tc>
          <w:tcPr>
            <w:tcW w:w="960" w:type="dxa"/>
            <w:tcBorders>
              <w:top w:val="nil"/>
              <w:left w:val="nil"/>
              <w:bottom w:val="nil"/>
              <w:right w:val="single" w:sz="12" w:space="0" w:color="4F81BD"/>
            </w:tcBorders>
            <w:shd w:val="clear" w:color="000000" w:fill="DCE6F1"/>
            <w:noWrap/>
            <w:vAlign w:val="center"/>
          </w:tcPr>
          <w:p w:rsidR="003440CE" w:rsidRPr="00776722" w:rsidRDefault="003440CE" w:rsidP="009F1D8D">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114</w:t>
            </w:r>
          </w:p>
        </w:tc>
      </w:tr>
      <w:tr w:rsidR="003440CE" w:rsidRPr="00776722" w:rsidTr="008E685C">
        <w:trPr>
          <w:trHeight w:val="300"/>
          <w:jc w:val="center"/>
        </w:trPr>
        <w:tc>
          <w:tcPr>
            <w:tcW w:w="2880" w:type="dxa"/>
            <w:tcBorders>
              <w:top w:val="nil"/>
              <w:left w:val="single" w:sz="12" w:space="0" w:color="4F81BD"/>
              <w:bottom w:val="nil"/>
              <w:right w:val="nil"/>
            </w:tcBorders>
            <w:shd w:val="clear" w:color="000000" w:fill="EEF3F8"/>
            <w:vAlign w:val="center"/>
            <w:hideMark/>
          </w:tcPr>
          <w:p w:rsidR="003440CE" w:rsidRPr="00776722" w:rsidRDefault="003440CE" w:rsidP="007E01C6">
            <w:pPr>
              <w:spacing w:after="0" w:line="240" w:lineRule="auto"/>
              <w:rPr>
                <w:rFonts w:ascii="Calibri" w:eastAsia="Times New Roman" w:hAnsi="Calibri" w:cs="Times New Roman"/>
                <w:color w:val="000000"/>
                <w:szCs w:val="21"/>
                <w:lang w:eastAsia="cs-CZ"/>
              </w:rPr>
            </w:pPr>
            <w:r>
              <w:rPr>
                <w:rFonts w:ascii="Calibri" w:eastAsia="Times New Roman" w:hAnsi="Calibri" w:cs="Times New Roman"/>
                <w:color w:val="000000"/>
                <w:szCs w:val="21"/>
                <w:lang w:eastAsia="cs-CZ"/>
              </w:rPr>
              <w:t>S</w:t>
            </w:r>
            <w:r w:rsidRPr="00776722">
              <w:rPr>
                <w:rFonts w:ascii="Calibri" w:eastAsia="Times New Roman" w:hAnsi="Calibri" w:cs="Times New Roman"/>
                <w:color w:val="000000"/>
                <w:szCs w:val="21"/>
                <w:lang w:eastAsia="cs-CZ"/>
              </w:rPr>
              <w:t>tav opravných položek</w:t>
            </w:r>
          </w:p>
        </w:tc>
        <w:tc>
          <w:tcPr>
            <w:tcW w:w="960" w:type="dxa"/>
            <w:tcBorders>
              <w:top w:val="nil"/>
              <w:left w:val="nil"/>
              <w:bottom w:val="nil"/>
              <w:right w:val="nil"/>
            </w:tcBorders>
            <w:shd w:val="clear" w:color="000000" w:fill="EEF3F8"/>
            <w:noWrap/>
            <w:vAlign w:val="center"/>
          </w:tcPr>
          <w:p w:rsidR="003440CE" w:rsidRPr="00776722" w:rsidRDefault="003440CE" w:rsidP="009F1D8D">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23 724</w:t>
            </w:r>
          </w:p>
        </w:tc>
        <w:tc>
          <w:tcPr>
            <w:tcW w:w="960" w:type="dxa"/>
            <w:tcBorders>
              <w:top w:val="nil"/>
              <w:left w:val="nil"/>
              <w:bottom w:val="nil"/>
              <w:right w:val="nil"/>
            </w:tcBorders>
            <w:shd w:val="clear" w:color="000000" w:fill="EEF3F8"/>
            <w:noWrap/>
            <w:vAlign w:val="center"/>
          </w:tcPr>
          <w:p w:rsidR="003440CE" w:rsidRPr="00776722" w:rsidRDefault="003440CE" w:rsidP="009F1D8D">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3 300</w:t>
            </w:r>
          </w:p>
        </w:tc>
        <w:tc>
          <w:tcPr>
            <w:tcW w:w="960" w:type="dxa"/>
            <w:tcBorders>
              <w:top w:val="nil"/>
              <w:left w:val="nil"/>
              <w:bottom w:val="nil"/>
              <w:right w:val="nil"/>
            </w:tcBorders>
            <w:shd w:val="clear" w:color="000000" w:fill="EEF3F8"/>
            <w:noWrap/>
            <w:vAlign w:val="center"/>
          </w:tcPr>
          <w:p w:rsidR="003440CE" w:rsidRPr="00776722" w:rsidRDefault="003440CE" w:rsidP="009F1D8D">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4 829</w:t>
            </w:r>
          </w:p>
        </w:tc>
        <w:tc>
          <w:tcPr>
            <w:tcW w:w="960" w:type="dxa"/>
            <w:tcBorders>
              <w:top w:val="nil"/>
              <w:left w:val="nil"/>
              <w:bottom w:val="nil"/>
              <w:right w:val="nil"/>
            </w:tcBorders>
            <w:shd w:val="clear" w:color="000000" w:fill="EEF3F8"/>
            <w:noWrap/>
            <w:vAlign w:val="center"/>
          </w:tcPr>
          <w:p w:rsidR="003440CE" w:rsidRPr="00776722" w:rsidRDefault="003440CE" w:rsidP="009F1D8D">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1 937</w:t>
            </w:r>
          </w:p>
        </w:tc>
        <w:tc>
          <w:tcPr>
            <w:tcW w:w="960" w:type="dxa"/>
            <w:tcBorders>
              <w:top w:val="nil"/>
              <w:left w:val="nil"/>
              <w:bottom w:val="nil"/>
              <w:right w:val="nil"/>
            </w:tcBorders>
            <w:shd w:val="clear" w:color="000000" w:fill="EEF3F8"/>
            <w:noWrap/>
            <w:vAlign w:val="center"/>
          </w:tcPr>
          <w:p w:rsidR="003440CE" w:rsidRPr="00776722" w:rsidRDefault="003440CE" w:rsidP="009F1D8D">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454</w:t>
            </w:r>
          </w:p>
        </w:tc>
        <w:tc>
          <w:tcPr>
            <w:tcW w:w="960" w:type="dxa"/>
            <w:tcBorders>
              <w:top w:val="nil"/>
              <w:left w:val="nil"/>
              <w:bottom w:val="nil"/>
              <w:right w:val="nil"/>
            </w:tcBorders>
            <w:shd w:val="clear" w:color="000000" w:fill="EEF3F8"/>
            <w:noWrap/>
            <w:vAlign w:val="center"/>
          </w:tcPr>
          <w:p w:rsidR="003440CE" w:rsidRPr="00776722" w:rsidRDefault="003440CE" w:rsidP="009F1D8D">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3 555</w:t>
            </w:r>
          </w:p>
        </w:tc>
        <w:tc>
          <w:tcPr>
            <w:tcW w:w="960" w:type="dxa"/>
            <w:tcBorders>
              <w:top w:val="nil"/>
              <w:left w:val="nil"/>
              <w:bottom w:val="nil"/>
              <w:right w:val="single" w:sz="12" w:space="0" w:color="4F81BD"/>
            </w:tcBorders>
            <w:shd w:val="clear" w:color="000000" w:fill="EEF3F8"/>
            <w:noWrap/>
            <w:vAlign w:val="center"/>
          </w:tcPr>
          <w:p w:rsidR="003440CE" w:rsidRPr="00776722" w:rsidRDefault="003440CE" w:rsidP="009F1D8D">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1 837</w:t>
            </w:r>
          </w:p>
        </w:tc>
      </w:tr>
      <w:tr w:rsidR="003440CE" w:rsidRPr="00776722" w:rsidTr="008E685C">
        <w:trPr>
          <w:trHeight w:val="300"/>
          <w:jc w:val="center"/>
        </w:trPr>
        <w:tc>
          <w:tcPr>
            <w:tcW w:w="2880" w:type="dxa"/>
            <w:tcBorders>
              <w:top w:val="nil"/>
              <w:left w:val="single" w:sz="12" w:space="0" w:color="4F81BD"/>
              <w:bottom w:val="nil"/>
              <w:right w:val="nil"/>
            </w:tcBorders>
            <w:shd w:val="clear" w:color="auto" w:fill="auto"/>
            <w:vAlign w:val="center"/>
            <w:hideMark/>
          </w:tcPr>
          <w:p w:rsidR="003440CE" w:rsidRPr="00776722" w:rsidRDefault="003440CE" w:rsidP="007E01C6">
            <w:pPr>
              <w:spacing w:after="0" w:line="240" w:lineRule="auto"/>
              <w:rPr>
                <w:rFonts w:ascii="Calibri" w:eastAsia="Times New Roman" w:hAnsi="Calibri" w:cs="Times New Roman"/>
                <w:color w:val="000000"/>
                <w:szCs w:val="21"/>
                <w:lang w:eastAsia="cs-CZ"/>
              </w:rPr>
            </w:pPr>
            <w:r>
              <w:rPr>
                <w:rFonts w:ascii="Calibri" w:eastAsia="Times New Roman" w:hAnsi="Calibri" w:cs="Times New Roman"/>
                <w:color w:val="000000"/>
                <w:szCs w:val="21"/>
                <w:lang w:eastAsia="cs-CZ"/>
              </w:rPr>
              <w:t>R</w:t>
            </w:r>
            <w:r w:rsidRPr="00776722">
              <w:rPr>
                <w:rFonts w:ascii="Calibri" w:eastAsia="Times New Roman" w:hAnsi="Calibri" w:cs="Times New Roman"/>
                <w:color w:val="000000"/>
                <w:szCs w:val="21"/>
                <w:lang w:eastAsia="cs-CZ"/>
              </w:rPr>
              <w:t>oční odpisy pohledávek</w:t>
            </w:r>
          </w:p>
        </w:tc>
        <w:tc>
          <w:tcPr>
            <w:tcW w:w="960" w:type="dxa"/>
            <w:tcBorders>
              <w:top w:val="nil"/>
              <w:left w:val="nil"/>
              <w:bottom w:val="nil"/>
              <w:right w:val="nil"/>
            </w:tcBorders>
            <w:shd w:val="clear" w:color="000000" w:fill="DCE6F1"/>
            <w:noWrap/>
            <w:vAlign w:val="center"/>
          </w:tcPr>
          <w:p w:rsidR="003440CE" w:rsidRPr="00776722" w:rsidRDefault="003440CE" w:rsidP="009F1D8D">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2 500</w:t>
            </w:r>
          </w:p>
        </w:tc>
        <w:tc>
          <w:tcPr>
            <w:tcW w:w="960" w:type="dxa"/>
            <w:tcBorders>
              <w:top w:val="nil"/>
              <w:left w:val="nil"/>
              <w:bottom w:val="nil"/>
              <w:right w:val="nil"/>
            </w:tcBorders>
            <w:shd w:val="clear" w:color="auto" w:fill="auto"/>
            <w:noWrap/>
            <w:vAlign w:val="center"/>
          </w:tcPr>
          <w:p w:rsidR="003440CE" w:rsidRPr="00776722" w:rsidRDefault="003440CE" w:rsidP="009F1D8D">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190</w:t>
            </w:r>
          </w:p>
        </w:tc>
        <w:tc>
          <w:tcPr>
            <w:tcW w:w="960" w:type="dxa"/>
            <w:tcBorders>
              <w:top w:val="nil"/>
              <w:left w:val="nil"/>
              <w:bottom w:val="nil"/>
              <w:right w:val="nil"/>
            </w:tcBorders>
            <w:shd w:val="clear" w:color="000000" w:fill="DCE6F1"/>
            <w:noWrap/>
            <w:vAlign w:val="center"/>
          </w:tcPr>
          <w:p w:rsidR="003440CE" w:rsidRPr="00776722" w:rsidRDefault="003440CE" w:rsidP="009F1D8D">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300</w:t>
            </w:r>
          </w:p>
        </w:tc>
        <w:tc>
          <w:tcPr>
            <w:tcW w:w="960" w:type="dxa"/>
            <w:tcBorders>
              <w:top w:val="nil"/>
              <w:left w:val="nil"/>
              <w:bottom w:val="nil"/>
              <w:right w:val="nil"/>
            </w:tcBorders>
            <w:shd w:val="clear" w:color="auto" w:fill="auto"/>
            <w:noWrap/>
            <w:vAlign w:val="center"/>
          </w:tcPr>
          <w:p w:rsidR="003440CE" w:rsidRPr="00776722" w:rsidRDefault="003440CE" w:rsidP="009F1D8D">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241</w:t>
            </w:r>
          </w:p>
        </w:tc>
        <w:tc>
          <w:tcPr>
            <w:tcW w:w="960" w:type="dxa"/>
            <w:tcBorders>
              <w:top w:val="nil"/>
              <w:left w:val="nil"/>
              <w:bottom w:val="nil"/>
              <w:right w:val="nil"/>
            </w:tcBorders>
            <w:shd w:val="clear" w:color="000000" w:fill="DCE6F1"/>
            <w:noWrap/>
            <w:vAlign w:val="center"/>
          </w:tcPr>
          <w:p w:rsidR="003440CE" w:rsidRPr="00776722" w:rsidRDefault="003440CE" w:rsidP="009F1D8D">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28</w:t>
            </w:r>
          </w:p>
        </w:tc>
        <w:tc>
          <w:tcPr>
            <w:tcW w:w="960" w:type="dxa"/>
            <w:tcBorders>
              <w:top w:val="nil"/>
              <w:left w:val="nil"/>
              <w:bottom w:val="nil"/>
              <w:right w:val="nil"/>
            </w:tcBorders>
            <w:shd w:val="clear" w:color="auto" w:fill="auto"/>
            <w:noWrap/>
            <w:vAlign w:val="center"/>
          </w:tcPr>
          <w:p w:rsidR="003440CE" w:rsidRPr="00776722" w:rsidRDefault="003440CE" w:rsidP="009F1D8D">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320</w:t>
            </w:r>
          </w:p>
        </w:tc>
        <w:tc>
          <w:tcPr>
            <w:tcW w:w="960" w:type="dxa"/>
            <w:tcBorders>
              <w:top w:val="nil"/>
              <w:left w:val="nil"/>
              <w:bottom w:val="nil"/>
              <w:right w:val="single" w:sz="12" w:space="0" w:color="4F81BD"/>
            </w:tcBorders>
            <w:shd w:val="clear" w:color="000000" w:fill="DCE6F1"/>
            <w:noWrap/>
            <w:vAlign w:val="center"/>
          </w:tcPr>
          <w:p w:rsidR="003440CE" w:rsidRPr="00776722" w:rsidRDefault="003440CE" w:rsidP="009F1D8D">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25</w:t>
            </w:r>
          </w:p>
        </w:tc>
      </w:tr>
      <w:tr w:rsidR="003440CE" w:rsidRPr="00776722" w:rsidTr="008E685C">
        <w:trPr>
          <w:trHeight w:val="300"/>
          <w:jc w:val="center"/>
        </w:trPr>
        <w:tc>
          <w:tcPr>
            <w:tcW w:w="2880" w:type="dxa"/>
            <w:tcBorders>
              <w:top w:val="nil"/>
              <w:left w:val="single" w:sz="12" w:space="0" w:color="4F81BD"/>
              <w:bottom w:val="nil"/>
              <w:right w:val="nil"/>
            </w:tcBorders>
            <w:shd w:val="clear" w:color="000000" w:fill="EEF3F8"/>
            <w:vAlign w:val="center"/>
            <w:hideMark/>
          </w:tcPr>
          <w:p w:rsidR="003440CE" w:rsidRPr="00776722" w:rsidRDefault="003440CE" w:rsidP="007E01C6">
            <w:pPr>
              <w:spacing w:after="0" w:line="240" w:lineRule="auto"/>
              <w:rPr>
                <w:rFonts w:ascii="Calibri" w:eastAsia="Times New Roman" w:hAnsi="Calibri" w:cs="Times New Roman"/>
                <w:color w:val="000000"/>
                <w:szCs w:val="21"/>
                <w:lang w:eastAsia="cs-CZ"/>
              </w:rPr>
            </w:pPr>
            <w:r>
              <w:rPr>
                <w:rFonts w:ascii="Calibri" w:eastAsia="Times New Roman" w:hAnsi="Calibri" w:cs="Times New Roman"/>
                <w:color w:val="000000"/>
                <w:szCs w:val="21"/>
                <w:lang w:eastAsia="cs-CZ"/>
              </w:rPr>
              <w:t>R</w:t>
            </w:r>
            <w:r w:rsidRPr="00776722">
              <w:rPr>
                <w:rFonts w:ascii="Calibri" w:eastAsia="Times New Roman" w:hAnsi="Calibri" w:cs="Times New Roman"/>
                <w:color w:val="000000"/>
                <w:szCs w:val="21"/>
                <w:lang w:eastAsia="cs-CZ"/>
              </w:rPr>
              <w:t>oční odstranění tvrdosti</w:t>
            </w:r>
          </w:p>
        </w:tc>
        <w:tc>
          <w:tcPr>
            <w:tcW w:w="960" w:type="dxa"/>
            <w:tcBorders>
              <w:top w:val="nil"/>
              <w:left w:val="nil"/>
              <w:bottom w:val="nil"/>
              <w:right w:val="nil"/>
            </w:tcBorders>
            <w:shd w:val="clear" w:color="000000" w:fill="EEF3F8"/>
            <w:noWrap/>
            <w:vAlign w:val="center"/>
          </w:tcPr>
          <w:p w:rsidR="003440CE" w:rsidRPr="00776722" w:rsidRDefault="003440CE" w:rsidP="009F1D8D">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130</w:t>
            </w:r>
          </w:p>
        </w:tc>
        <w:tc>
          <w:tcPr>
            <w:tcW w:w="960" w:type="dxa"/>
            <w:tcBorders>
              <w:top w:val="nil"/>
              <w:left w:val="nil"/>
              <w:bottom w:val="nil"/>
              <w:right w:val="nil"/>
            </w:tcBorders>
            <w:shd w:val="clear" w:color="000000" w:fill="EEF3F8"/>
            <w:noWrap/>
            <w:vAlign w:val="center"/>
          </w:tcPr>
          <w:p w:rsidR="003440CE" w:rsidRPr="00776722" w:rsidRDefault="003440CE" w:rsidP="009F1D8D">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4</w:t>
            </w:r>
          </w:p>
        </w:tc>
        <w:tc>
          <w:tcPr>
            <w:tcW w:w="960" w:type="dxa"/>
            <w:tcBorders>
              <w:top w:val="nil"/>
              <w:left w:val="nil"/>
              <w:bottom w:val="nil"/>
              <w:right w:val="nil"/>
            </w:tcBorders>
            <w:shd w:val="clear" w:color="000000" w:fill="EEF3F8"/>
            <w:noWrap/>
            <w:vAlign w:val="center"/>
          </w:tcPr>
          <w:p w:rsidR="003440CE" w:rsidRPr="00776722" w:rsidRDefault="003440CE" w:rsidP="009F1D8D">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29</w:t>
            </w:r>
          </w:p>
        </w:tc>
        <w:tc>
          <w:tcPr>
            <w:tcW w:w="960" w:type="dxa"/>
            <w:tcBorders>
              <w:top w:val="nil"/>
              <w:left w:val="nil"/>
              <w:bottom w:val="nil"/>
              <w:right w:val="nil"/>
            </w:tcBorders>
            <w:shd w:val="clear" w:color="000000" w:fill="EEF3F8"/>
            <w:noWrap/>
            <w:vAlign w:val="center"/>
          </w:tcPr>
          <w:p w:rsidR="003440CE" w:rsidRPr="00776722" w:rsidRDefault="003440CE" w:rsidP="009F1D8D">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14</w:t>
            </w:r>
          </w:p>
        </w:tc>
        <w:tc>
          <w:tcPr>
            <w:tcW w:w="960" w:type="dxa"/>
            <w:tcBorders>
              <w:top w:val="nil"/>
              <w:left w:val="nil"/>
              <w:bottom w:val="nil"/>
              <w:right w:val="nil"/>
            </w:tcBorders>
            <w:shd w:val="clear" w:color="000000" w:fill="EEF3F8"/>
            <w:noWrap/>
            <w:vAlign w:val="center"/>
          </w:tcPr>
          <w:p w:rsidR="003440CE" w:rsidRPr="00776722" w:rsidRDefault="003440CE" w:rsidP="009F1D8D">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w:t>
            </w:r>
          </w:p>
        </w:tc>
        <w:tc>
          <w:tcPr>
            <w:tcW w:w="960" w:type="dxa"/>
            <w:tcBorders>
              <w:top w:val="nil"/>
              <w:left w:val="nil"/>
              <w:bottom w:val="nil"/>
              <w:right w:val="nil"/>
            </w:tcBorders>
            <w:shd w:val="clear" w:color="000000" w:fill="EEF3F8"/>
            <w:noWrap/>
            <w:vAlign w:val="center"/>
          </w:tcPr>
          <w:p w:rsidR="003440CE" w:rsidRPr="00776722" w:rsidRDefault="003440CE" w:rsidP="009F1D8D">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16</w:t>
            </w:r>
          </w:p>
        </w:tc>
        <w:tc>
          <w:tcPr>
            <w:tcW w:w="960" w:type="dxa"/>
            <w:tcBorders>
              <w:top w:val="nil"/>
              <w:left w:val="nil"/>
              <w:bottom w:val="nil"/>
              <w:right w:val="single" w:sz="12" w:space="0" w:color="4F81BD"/>
            </w:tcBorders>
            <w:shd w:val="clear" w:color="000000" w:fill="EEF3F8"/>
            <w:noWrap/>
            <w:vAlign w:val="center"/>
          </w:tcPr>
          <w:p w:rsidR="003440CE" w:rsidRPr="00776722" w:rsidRDefault="003440CE" w:rsidP="009F1D8D">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3</w:t>
            </w:r>
          </w:p>
        </w:tc>
      </w:tr>
      <w:tr w:rsidR="003440CE" w:rsidRPr="00776722" w:rsidTr="008E685C">
        <w:trPr>
          <w:trHeight w:val="300"/>
          <w:jc w:val="center"/>
        </w:trPr>
        <w:tc>
          <w:tcPr>
            <w:tcW w:w="2880" w:type="dxa"/>
            <w:tcBorders>
              <w:top w:val="nil"/>
              <w:left w:val="single" w:sz="12" w:space="0" w:color="4F81BD"/>
              <w:bottom w:val="nil"/>
              <w:right w:val="nil"/>
            </w:tcBorders>
            <w:shd w:val="clear" w:color="auto" w:fill="auto"/>
            <w:vAlign w:val="center"/>
            <w:hideMark/>
          </w:tcPr>
          <w:p w:rsidR="003440CE" w:rsidRPr="00776722" w:rsidRDefault="003440CE" w:rsidP="007E01C6">
            <w:pPr>
              <w:spacing w:after="0" w:line="240" w:lineRule="auto"/>
              <w:rPr>
                <w:rFonts w:ascii="Calibri" w:eastAsia="Times New Roman" w:hAnsi="Calibri" w:cs="Times New Roman"/>
                <w:b/>
                <w:bCs/>
                <w:color w:val="000000"/>
                <w:szCs w:val="21"/>
                <w:lang w:eastAsia="cs-CZ"/>
              </w:rPr>
            </w:pPr>
            <w:r>
              <w:rPr>
                <w:rFonts w:ascii="Calibri" w:eastAsia="Times New Roman" w:hAnsi="Calibri" w:cs="Arial"/>
                <w:b/>
                <w:bCs/>
                <w:color w:val="000000"/>
                <w:szCs w:val="21"/>
                <w:lang w:eastAsia="cs-CZ"/>
              </w:rPr>
              <w:t>S</w:t>
            </w:r>
            <w:r w:rsidRPr="00776722">
              <w:rPr>
                <w:rFonts w:ascii="Calibri" w:eastAsia="Times New Roman" w:hAnsi="Calibri" w:cs="Arial"/>
                <w:b/>
                <w:bCs/>
                <w:color w:val="000000"/>
                <w:szCs w:val="21"/>
                <w:lang w:eastAsia="cs-CZ"/>
              </w:rPr>
              <w:t>tav závazků celkem</w:t>
            </w:r>
          </w:p>
        </w:tc>
        <w:tc>
          <w:tcPr>
            <w:tcW w:w="960" w:type="dxa"/>
            <w:tcBorders>
              <w:top w:val="nil"/>
              <w:left w:val="nil"/>
              <w:bottom w:val="nil"/>
              <w:right w:val="nil"/>
            </w:tcBorders>
            <w:shd w:val="clear" w:color="000000" w:fill="DCE6F1"/>
            <w:noWrap/>
            <w:vAlign w:val="center"/>
          </w:tcPr>
          <w:p w:rsidR="003440CE" w:rsidRPr="009F1D8D" w:rsidRDefault="003440CE" w:rsidP="009F1D8D">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25 290</w:t>
            </w:r>
          </w:p>
        </w:tc>
        <w:tc>
          <w:tcPr>
            <w:tcW w:w="960" w:type="dxa"/>
            <w:tcBorders>
              <w:top w:val="nil"/>
              <w:left w:val="nil"/>
              <w:bottom w:val="nil"/>
              <w:right w:val="nil"/>
            </w:tcBorders>
            <w:shd w:val="clear" w:color="auto" w:fill="auto"/>
            <w:noWrap/>
            <w:vAlign w:val="center"/>
          </w:tcPr>
          <w:p w:rsidR="003440CE" w:rsidRPr="009F1D8D" w:rsidRDefault="003440CE" w:rsidP="009F1D8D">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3 468</w:t>
            </w:r>
          </w:p>
        </w:tc>
        <w:tc>
          <w:tcPr>
            <w:tcW w:w="960" w:type="dxa"/>
            <w:tcBorders>
              <w:top w:val="nil"/>
              <w:left w:val="nil"/>
              <w:bottom w:val="nil"/>
              <w:right w:val="nil"/>
            </w:tcBorders>
            <w:shd w:val="clear" w:color="000000" w:fill="DCE6F1"/>
            <w:noWrap/>
            <w:vAlign w:val="center"/>
          </w:tcPr>
          <w:p w:rsidR="003440CE" w:rsidRPr="009F1D8D" w:rsidRDefault="003440CE" w:rsidP="009F1D8D">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4 286</w:t>
            </w:r>
          </w:p>
        </w:tc>
        <w:tc>
          <w:tcPr>
            <w:tcW w:w="960" w:type="dxa"/>
            <w:tcBorders>
              <w:top w:val="nil"/>
              <w:left w:val="nil"/>
              <w:bottom w:val="nil"/>
              <w:right w:val="nil"/>
            </w:tcBorders>
            <w:shd w:val="clear" w:color="auto" w:fill="auto"/>
            <w:noWrap/>
            <w:vAlign w:val="center"/>
          </w:tcPr>
          <w:p w:rsidR="003440CE" w:rsidRPr="009F1D8D" w:rsidRDefault="003440CE" w:rsidP="009F1D8D">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3 282</w:t>
            </w:r>
          </w:p>
        </w:tc>
        <w:tc>
          <w:tcPr>
            <w:tcW w:w="960" w:type="dxa"/>
            <w:tcBorders>
              <w:top w:val="nil"/>
              <w:left w:val="nil"/>
              <w:bottom w:val="nil"/>
              <w:right w:val="nil"/>
            </w:tcBorders>
            <w:shd w:val="clear" w:color="000000" w:fill="DCE6F1"/>
            <w:noWrap/>
            <w:vAlign w:val="center"/>
          </w:tcPr>
          <w:p w:rsidR="003440CE" w:rsidRPr="009F1D8D" w:rsidRDefault="003440CE" w:rsidP="009F1D8D">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476</w:t>
            </w:r>
          </w:p>
        </w:tc>
        <w:tc>
          <w:tcPr>
            <w:tcW w:w="960" w:type="dxa"/>
            <w:tcBorders>
              <w:top w:val="nil"/>
              <w:left w:val="nil"/>
              <w:bottom w:val="nil"/>
              <w:right w:val="nil"/>
            </w:tcBorders>
            <w:shd w:val="clear" w:color="auto" w:fill="auto"/>
            <w:noWrap/>
            <w:vAlign w:val="center"/>
          </w:tcPr>
          <w:p w:rsidR="003440CE" w:rsidRPr="009F1D8D" w:rsidRDefault="003440CE" w:rsidP="009F1D8D">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3 925</w:t>
            </w:r>
          </w:p>
        </w:tc>
        <w:tc>
          <w:tcPr>
            <w:tcW w:w="960" w:type="dxa"/>
            <w:tcBorders>
              <w:top w:val="nil"/>
              <w:left w:val="nil"/>
              <w:bottom w:val="nil"/>
              <w:right w:val="single" w:sz="12" w:space="0" w:color="4F81BD"/>
            </w:tcBorders>
            <w:shd w:val="clear" w:color="000000" w:fill="DCE6F1"/>
            <w:noWrap/>
            <w:vAlign w:val="center"/>
          </w:tcPr>
          <w:p w:rsidR="003440CE" w:rsidRPr="009F1D8D" w:rsidRDefault="003440CE" w:rsidP="009F1D8D">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2 105</w:t>
            </w:r>
          </w:p>
        </w:tc>
      </w:tr>
      <w:tr w:rsidR="003440CE" w:rsidRPr="00776722" w:rsidTr="008E685C">
        <w:trPr>
          <w:trHeight w:val="300"/>
          <w:jc w:val="center"/>
        </w:trPr>
        <w:tc>
          <w:tcPr>
            <w:tcW w:w="2880" w:type="dxa"/>
            <w:tcBorders>
              <w:top w:val="nil"/>
              <w:left w:val="single" w:sz="12" w:space="0" w:color="4F81BD"/>
              <w:bottom w:val="nil"/>
              <w:right w:val="nil"/>
            </w:tcBorders>
            <w:shd w:val="clear" w:color="000000" w:fill="EEF3F8"/>
            <w:vAlign w:val="center"/>
            <w:hideMark/>
          </w:tcPr>
          <w:p w:rsidR="003440CE" w:rsidRPr="00776722" w:rsidRDefault="003440CE" w:rsidP="007E01C6">
            <w:pPr>
              <w:spacing w:after="0" w:line="240" w:lineRule="auto"/>
              <w:rPr>
                <w:rFonts w:ascii="Calibri" w:eastAsia="Times New Roman" w:hAnsi="Calibri" w:cs="Times New Roman"/>
                <w:color w:val="000000"/>
                <w:szCs w:val="21"/>
                <w:lang w:eastAsia="cs-CZ"/>
              </w:rPr>
            </w:pPr>
            <w:r>
              <w:rPr>
                <w:rFonts w:ascii="Calibri" w:eastAsia="Times New Roman" w:hAnsi="Calibri" w:cs="Times New Roman"/>
                <w:color w:val="000000"/>
                <w:szCs w:val="21"/>
                <w:lang w:eastAsia="cs-CZ"/>
              </w:rPr>
              <w:t>Z</w:t>
            </w:r>
            <w:r w:rsidRPr="00776722">
              <w:rPr>
                <w:rFonts w:ascii="Calibri" w:eastAsia="Times New Roman" w:hAnsi="Calibri" w:cs="Times New Roman"/>
                <w:color w:val="000000"/>
                <w:szCs w:val="21"/>
                <w:lang w:eastAsia="cs-CZ"/>
              </w:rPr>
              <w:t> toho po lhůtě vůči PZS</w:t>
            </w:r>
          </w:p>
        </w:tc>
        <w:tc>
          <w:tcPr>
            <w:tcW w:w="960" w:type="dxa"/>
            <w:tcBorders>
              <w:top w:val="nil"/>
              <w:left w:val="nil"/>
              <w:bottom w:val="nil"/>
              <w:right w:val="nil"/>
            </w:tcBorders>
            <w:shd w:val="clear" w:color="000000" w:fill="EEF3F8"/>
            <w:noWrap/>
            <w:vAlign w:val="center"/>
          </w:tcPr>
          <w:p w:rsidR="003440CE" w:rsidRPr="00776722" w:rsidRDefault="003440CE" w:rsidP="009F1D8D">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0</w:t>
            </w:r>
          </w:p>
        </w:tc>
        <w:tc>
          <w:tcPr>
            <w:tcW w:w="960" w:type="dxa"/>
            <w:tcBorders>
              <w:top w:val="nil"/>
              <w:left w:val="nil"/>
              <w:bottom w:val="nil"/>
              <w:right w:val="nil"/>
            </w:tcBorders>
            <w:shd w:val="clear" w:color="000000" w:fill="EEF3F8"/>
            <w:noWrap/>
            <w:vAlign w:val="center"/>
          </w:tcPr>
          <w:p w:rsidR="003440CE" w:rsidRPr="00776722" w:rsidRDefault="003440CE" w:rsidP="009F1D8D">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0</w:t>
            </w:r>
          </w:p>
        </w:tc>
        <w:tc>
          <w:tcPr>
            <w:tcW w:w="960" w:type="dxa"/>
            <w:tcBorders>
              <w:top w:val="nil"/>
              <w:left w:val="nil"/>
              <w:bottom w:val="nil"/>
              <w:right w:val="nil"/>
            </w:tcBorders>
            <w:shd w:val="clear" w:color="000000" w:fill="EEF3F8"/>
            <w:noWrap/>
            <w:vAlign w:val="center"/>
          </w:tcPr>
          <w:p w:rsidR="003440CE" w:rsidRPr="00776722" w:rsidRDefault="003440CE" w:rsidP="009F1D8D">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0</w:t>
            </w:r>
          </w:p>
        </w:tc>
        <w:tc>
          <w:tcPr>
            <w:tcW w:w="960" w:type="dxa"/>
            <w:tcBorders>
              <w:top w:val="nil"/>
              <w:left w:val="nil"/>
              <w:bottom w:val="nil"/>
              <w:right w:val="nil"/>
            </w:tcBorders>
            <w:shd w:val="clear" w:color="000000" w:fill="EEF3F8"/>
            <w:noWrap/>
            <w:vAlign w:val="center"/>
          </w:tcPr>
          <w:p w:rsidR="003440CE" w:rsidRPr="00776722" w:rsidRDefault="003440CE" w:rsidP="009F1D8D">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0</w:t>
            </w:r>
          </w:p>
        </w:tc>
        <w:tc>
          <w:tcPr>
            <w:tcW w:w="960" w:type="dxa"/>
            <w:tcBorders>
              <w:top w:val="nil"/>
              <w:left w:val="nil"/>
              <w:bottom w:val="nil"/>
              <w:right w:val="nil"/>
            </w:tcBorders>
            <w:shd w:val="clear" w:color="000000" w:fill="EEF3F8"/>
            <w:noWrap/>
            <w:vAlign w:val="center"/>
          </w:tcPr>
          <w:p w:rsidR="003440CE" w:rsidRPr="00776722" w:rsidRDefault="003440CE" w:rsidP="009F1D8D">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0</w:t>
            </w:r>
          </w:p>
        </w:tc>
        <w:tc>
          <w:tcPr>
            <w:tcW w:w="960" w:type="dxa"/>
            <w:tcBorders>
              <w:top w:val="nil"/>
              <w:left w:val="nil"/>
              <w:bottom w:val="nil"/>
              <w:right w:val="nil"/>
            </w:tcBorders>
            <w:shd w:val="clear" w:color="000000" w:fill="EEF3F8"/>
            <w:noWrap/>
            <w:vAlign w:val="center"/>
          </w:tcPr>
          <w:p w:rsidR="003440CE" w:rsidRPr="00776722" w:rsidRDefault="003440CE" w:rsidP="009F1D8D">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0</w:t>
            </w:r>
          </w:p>
        </w:tc>
        <w:tc>
          <w:tcPr>
            <w:tcW w:w="960" w:type="dxa"/>
            <w:tcBorders>
              <w:top w:val="nil"/>
              <w:left w:val="nil"/>
              <w:bottom w:val="nil"/>
              <w:right w:val="single" w:sz="12" w:space="0" w:color="4F81BD"/>
            </w:tcBorders>
            <w:shd w:val="clear" w:color="000000" w:fill="EEF3F8"/>
            <w:noWrap/>
            <w:vAlign w:val="center"/>
          </w:tcPr>
          <w:p w:rsidR="003440CE" w:rsidRPr="00776722" w:rsidRDefault="003440CE" w:rsidP="009F1D8D">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0</w:t>
            </w:r>
          </w:p>
        </w:tc>
      </w:tr>
      <w:tr w:rsidR="003440CE" w:rsidRPr="00776722" w:rsidTr="008E685C">
        <w:trPr>
          <w:trHeight w:val="300"/>
          <w:jc w:val="center"/>
        </w:trPr>
        <w:tc>
          <w:tcPr>
            <w:tcW w:w="2880" w:type="dxa"/>
            <w:tcBorders>
              <w:top w:val="nil"/>
              <w:left w:val="single" w:sz="12" w:space="0" w:color="4F81BD"/>
              <w:bottom w:val="nil"/>
              <w:right w:val="nil"/>
            </w:tcBorders>
            <w:shd w:val="clear" w:color="auto" w:fill="auto"/>
            <w:vAlign w:val="center"/>
            <w:hideMark/>
          </w:tcPr>
          <w:p w:rsidR="003440CE" w:rsidRPr="00776722" w:rsidRDefault="003440CE" w:rsidP="007E01C6">
            <w:pPr>
              <w:spacing w:after="0" w:line="240" w:lineRule="auto"/>
              <w:rPr>
                <w:rFonts w:ascii="Calibri" w:eastAsia="Times New Roman" w:hAnsi="Calibri" w:cs="Times New Roman"/>
                <w:color w:val="000000"/>
                <w:szCs w:val="21"/>
                <w:lang w:eastAsia="cs-CZ"/>
              </w:rPr>
            </w:pPr>
            <w:r>
              <w:rPr>
                <w:rFonts w:ascii="Calibri" w:eastAsia="Times New Roman" w:hAnsi="Calibri" w:cs="Times New Roman"/>
                <w:color w:val="000000"/>
                <w:szCs w:val="21"/>
                <w:lang w:eastAsia="cs-CZ"/>
              </w:rPr>
              <w:t>D</w:t>
            </w:r>
            <w:r w:rsidRPr="00776722">
              <w:rPr>
                <w:rFonts w:ascii="Calibri" w:eastAsia="Times New Roman" w:hAnsi="Calibri" w:cs="Times New Roman"/>
                <w:color w:val="000000"/>
                <w:szCs w:val="21"/>
                <w:lang w:eastAsia="cs-CZ"/>
              </w:rPr>
              <w:t>ohadné položky pasivní</w:t>
            </w:r>
          </w:p>
        </w:tc>
        <w:tc>
          <w:tcPr>
            <w:tcW w:w="960" w:type="dxa"/>
            <w:tcBorders>
              <w:top w:val="nil"/>
              <w:left w:val="nil"/>
              <w:bottom w:val="nil"/>
              <w:right w:val="nil"/>
            </w:tcBorders>
            <w:shd w:val="clear" w:color="000000" w:fill="DCE6F1"/>
            <w:noWrap/>
            <w:vAlign w:val="center"/>
          </w:tcPr>
          <w:p w:rsidR="003440CE" w:rsidRPr="00776722" w:rsidRDefault="003440CE" w:rsidP="009F1D8D">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7 123</w:t>
            </w:r>
          </w:p>
        </w:tc>
        <w:tc>
          <w:tcPr>
            <w:tcW w:w="960" w:type="dxa"/>
            <w:tcBorders>
              <w:top w:val="nil"/>
              <w:left w:val="nil"/>
              <w:bottom w:val="nil"/>
              <w:right w:val="nil"/>
            </w:tcBorders>
            <w:shd w:val="clear" w:color="auto" w:fill="auto"/>
            <w:noWrap/>
            <w:vAlign w:val="center"/>
          </w:tcPr>
          <w:p w:rsidR="003440CE" w:rsidRPr="00776722" w:rsidRDefault="003440CE" w:rsidP="009F1D8D">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1 000</w:t>
            </w:r>
          </w:p>
        </w:tc>
        <w:tc>
          <w:tcPr>
            <w:tcW w:w="960" w:type="dxa"/>
            <w:tcBorders>
              <w:top w:val="nil"/>
              <w:left w:val="nil"/>
              <w:bottom w:val="nil"/>
              <w:right w:val="nil"/>
            </w:tcBorders>
            <w:shd w:val="clear" w:color="000000" w:fill="DCE6F1"/>
            <w:noWrap/>
            <w:vAlign w:val="center"/>
          </w:tcPr>
          <w:p w:rsidR="003440CE" w:rsidRPr="00776722" w:rsidRDefault="003440CE" w:rsidP="009F1D8D">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1 232</w:t>
            </w:r>
          </w:p>
        </w:tc>
        <w:tc>
          <w:tcPr>
            <w:tcW w:w="960" w:type="dxa"/>
            <w:tcBorders>
              <w:top w:val="nil"/>
              <w:left w:val="nil"/>
              <w:bottom w:val="nil"/>
              <w:right w:val="nil"/>
            </w:tcBorders>
            <w:shd w:val="clear" w:color="auto" w:fill="auto"/>
            <w:noWrap/>
            <w:vAlign w:val="center"/>
          </w:tcPr>
          <w:p w:rsidR="003440CE" w:rsidRPr="00776722" w:rsidRDefault="003440CE" w:rsidP="009F1D8D">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613</w:t>
            </w:r>
          </w:p>
        </w:tc>
        <w:tc>
          <w:tcPr>
            <w:tcW w:w="960" w:type="dxa"/>
            <w:tcBorders>
              <w:top w:val="nil"/>
              <w:left w:val="nil"/>
              <w:bottom w:val="nil"/>
              <w:right w:val="nil"/>
            </w:tcBorders>
            <w:shd w:val="clear" w:color="000000" w:fill="DCE6F1"/>
            <w:noWrap/>
            <w:vAlign w:val="center"/>
          </w:tcPr>
          <w:p w:rsidR="003440CE" w:rsidRPr="00776722" w:rsidRDefault="003440CE" w:rsidP="009F1D8D">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65</w:t>
            </w:r>
          </w:p>
        </w:tc>
        <w:tc>
          <w:tcPr>
            <w:tcW w:w="960" w:type="dxa"/>
            <w:tcBorders>
              <w:top w:val="nil"/>
              <w:left w:val="nil"/>
              <w:bottom w:val="nil"/>
              <w:right w:val="nil"/>
            </w:tcBorders>
            <w:shd w:val="clear" w:color="auto" w:fill="auto"/>
            <w:noWrap/>
            <w:vAlign w:val="center"/>
          </w:tcPr>
          <w:p w:rsidR="003440CE" w:rsidRPr="00776722" w:rsidRDefault="003440CE" w:rsidP="009F1D8D">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686</w:t>
            </w:r>
          </w:p>
        </w:tc>
        <w:tc>
          <w:tcPr>
            <w:tcW w:w="960" w:type="dxa"/>
            <w:tcBorders>
              <w:top w:val="nil"/>
              <w:left w:val="nil"/>
              <w:bottom w:val="nil"/>
              <w:right w:val="single" w:sz="12" w:space="0" w:color="4F81BD"/>
            </w:tcBorders>
            <w:shd w:val="clear" w:color="000000" w:fill="DCE6F1"/>
            <w:noWrap/>
            <w:vAlign w:val="center"/>
          </w:tcPr>
          <w:p w:rsidR="003440CE" w:rsidRPr="00776722" w:rsidRDefault="003440CE" w:rsidP="009F1D8D">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530</w:t>
            </w:r>
          </w:p>
        </w:tc>
      </w:tr>
      <w:tr w:rsidR="003440CE" w:rsidRPr="00776722" w:rsidTr="008E685C">
        <w:trPr>
          <w:trHeight w:val="315"/>
          <w:jc w:val="center"/>
        </w:trPr>
        <w:tc>
          <w:tcPr>
            <w:tcW w:w="2880" w:type="dxa"/>
            <w:tcBorders>
              <w:top w:val="nil"/>
              <w:left w:val="single" w:sz="12" w:space="0" w:color="4F81BD"/>
              <w:bottom w:val="single" w:sz="12" w:space="0" w:color="4F81BD"/>
              <w:right w:val="nil"/>
            </w:tcBorders>
            <w:shd w:val="clear" w:color="000000" w:fill="EEF3F8"/>
            <w:vAlign w:val="center"/>
            <w:hideMark/>
          </w:tcPr>
          <w:p w:rsidR="003440CE" w:rsidRPr="00776722" w:rsidRDefault="003440CE" w:rsidP="007E01C6">
            <w:pPr>
              <w:spacing w:after="0" w:line="240" w:lineRule="auto"/>
              <w:rPr>
                <w:rFonts w:ascii="Calibri" w:eastAsia="Times New Roman" w:hAnsi="Calibri" w:cs="Times New Roman"/>
                <w:color w:val="000000"/>
                <w:szCs w:val="21"/>
                <w:lang w:eastAsia="cs-CZ"/>
              </w:rPr>
            </w:pPr>
            <w:r>
              <w:rPr>
                <w:rFonts w:ascii="Calibri" w:eastAsia="Times New Roman" w:hAnsi="Calibri" w:cs="Times New Roman"/>
                <w:color w:val="000000"/>
                <w:szCs w:val="21"/>
                <w:lang w:eastAsia="cs-CZ"/>
              </w:rPr>
              <w:t>R</w:t>
            </w:r>
            <w:r w:rsidRPr="00776722">
              <w:rPr>
                <w:rFonts w:ascii="Calibri" w:eastAsia="Times New Roman" w:hAnsi="Calibri" w:cs="Times New Roman"/>
                <w:color w:val="000000"/>
                <w:szCs w:val="21"/>
                <w:lang w:eastAsia="cs-CZ"/>
              </w:rPr>
              <w:t>ezervy na soudní spory</w:t>
            </w:r>
          </w:p>
        </w:tc>
        <w:tc>
          <w:tcPr>
            <w:tcW w:w="960" w:type="dxa"/>
            <w:tcBorders>
              <w:top w:val="nil"/>
              <w:left w:val="nil"/>
              <w:bottom w:val="single" w:sz="12" w:space="0" w:color="4F81BD"/>
              <w:right w:val="nil"/>
            </w:tcBorders>
            <w:shd w:val="clear" w:color="000000" w:fill="EEF3F8"/>
            <w:noWrap/>
            <w:vAlign w:val="center"/>
          </w:tcPr>
          <w:p w:rsidR="003440CE" w:rsidRPr="00776722" w:rsidRDefault="003440CE" w:rsidP="009F1D8D">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49</w:t>
            </w:r>
          </w:p>
        </w:tc>
        <w:tc>
          <w:tcPr>
            <w:tcW w:w="960" w:type="dxa"/>
            <w:tcBorders>
              <w:top w:val="nil"/>
              <w:left w:val="nil"/>
              <w:bottom w:val="single" w:sz="12" w:space="0" w:color="4F81BD"/>
              <w:right w:val="nil"/>
            </w:tcBorders>
            <w:shd w:val="clear" w:color="000000" w:fill="EEF3F8"/>
            <w:noWrap/>
            <w:vAlign w:val="center"/>
          </w:tcPr>
          <w:p w:rsidR="003440CE" w:rsidRPr="00776722" w:rsidRDefault="003440CE" w:rsidP="009F1D8D">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0</w:t>
            </w:r>
          </w:p>
        </w:tc>
        <w:tc>
          <w:tcPr>
            <w:tcW w:w="960" w:type="dxa"/>
            <w:tcBorders>
              <w:top w:val="nil"/>
              <w:left w:val="nil"/>
              <w:bottom w:val="single" w:sz="12" w:space="0" w:color="4F81BD"/>
              <w:right w:val="nil"/>
            </w:tcBorders>
            <w:shd w:val="clear" w:color="000000" w:fill="EEF3F8"/>
            <w:noWrap/>
            <w:vAlign w:val="center"/>
          </w:tcPr>
          <w:p w:rsidR="003440CE" w:rsidRPr="00776722" w:rsidRDefault="003440CE" w:rsidP="009F1D8D">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0</w:t>
            </w:r>
          </w:p>
        </w:tc>
        <w:tc>
          <w:tcPr>
            <w:tcW w:w="960" w:type="dxa"/>
            <w:tcBorders>
              <w:top w:val="nil"/>
              <w:left w:val="nil"/>
              <w:bottom w:val="single" w:sz="12" w:space="0" w:color="4F81BD"/>
              <w:right w:val="nil"/>
            </w:tcBorders>
            <w:shd w:val="clear" w:color="000000" w:fill="EEF3F8"/>
            <w:noWrap/>
            <w:vAlign w:val="center"/>
          </w:tcPr>
          <w:p w:rsidR="003440CE" w:rsidRPr="00776722" w:rsidRDefault="003440CE" w:rsidP="009F1D8D">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33</w:t>
            </w:r>
          </w:p>
        </w:tc>
        <w:tc>
          <w:tcPr>
            <w:tcW w:w="960" w:type="dxa"/>
            <w:tcBorders>
              <w:top w:val="nil"/>
              <w:left w:val="nil"/>
              <w:bottom w:val="single" w:sz="12" w:space="0" w:color="4F81BD"/>
              <w:right w:val="nil"/>
            </w:tcBorders>
            <w:shd w:val="clear" w:color="000000" w:fill="EEF3F8"/>
            <w:noWrap/>
            <w:vAlign w:val="center"/>
          </w:tcPr>
          <w:p w:rsidR="003440CE" w:rsidRPr="00776722" w:rsidRDefault="003440CE" w:rsidP="009F1D8D">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0</w:t>
            </w:r>
          </w:p>
        </w:tc>
        <w:tc>
          <w:tcPr>
            <w:tcW w:w="960" w:type="dxa"/>
            <w:tcBorders>
              <w:top w:val="nil"/>
              <w:left w:val="nil"/>
              <w:bottom w:val="single" w:sz="12" w:space="0" w:color="4F81BD"/>
              <w:right w:val="nil"/>
            </w:tcBorders>
            <w:shd w:val="clear" w:color="000000" w:fill="EEF3F8"/>
            <w:noWrap/>
            <w:vAlign w:val="center"/>
          </w:tcPr>
          <w:p w:rsidR="003440CE" w:rsidRPr="00776722" w:rsidRDefault="003440CE" w:rsidP="009F1D8D">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11</w:t>
            </w:r>
          </w:p>
        </w:tc>
        <w:tc>
          <w:tcPr>
            <w:tcW w:w="960" w:type="dxa"/>
            <w:tcBorders>
              <w:top w:val="nil"/>
              <w:left w:val="nil"/>
              <w:bottom w:val="single" w:sz="12" w:space="0" w:color="4F81BD"/>
              <w:right w:val="single" w:sz="12" w:space="0" w:color="4F81BD"/>
            </w:tcBorders>
            <w:shd w:val="clear" w:color="000000" w:fill="EEF3F8"/>
            <w:noWrap/>
            <w:vAlign w:val="center"/>
          </w:tcPr>
          <w:p w:rsidR="003440CE" w:rsidRPr="00776722" w:rsidRDefault="003440CE" w:rsidP="009F1D8D">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0</w:t>
            </w:r>
          </w:p>
        </w:tc>
      </w:tr>
    </w:tbl>
    <w:p w:rsidR="0092198C" w:rsidRDefault="00436F6E" w:rsidP="0092198C">
      <w:pPr>
        <w:spacing w:before="180" w:line="276" w:lineRule="auto"/>
        <w:jc w:val="both"/>
      </w:pPr>
      <w:r>
        <w:t xml:space="preserve">Ze statistických výkazů jednotlivých zdravotních pojišťoven vyplývá, že se počítá s obvyklým nedokončeným vyúčtováním poskytnutých zdravotních služeb s jejich poskytovateli za rok </w:t>
      </w:r>
      <w:r w:rsidR="00B2790E">
        <w:t xml:space="preserve">2021 </w:t>
      </w:r>
      <w:r>
        <w:t xml:space="preserve">ve výši </w:t>
      </w:r>
      <w:r w:rsidR="00EA2E50">
        <w:rPr>
          <w:b/>
        </w:rPr>
        <w:t>11,2</w:t>
      </w:r>
      <w:r w:rsidR="00495AA1">
        <w:rPr>
          <w:b/>
        </w:rPr>
        <w:t> </w:t>
      </w:r>
      <w:r>
        <w:rPr>
          <w:b/>
        </w:rPr>
        <w:t>mld. Kč</w:t>
      </w:r>
      <w:r>
        <w:t xml:space="preserve">, v roce </w:t>
      </w:r>
      <w:r w:rsidR="001957A0">
        <w:t>20</w:t>
      </w:r>
      <w:r w:rsidR="00EA2E50">
        <w:t>20</w:t>
      </w:r>
      <w:r w:rsidR="001957A0">
        <w:t xml:space="preserve"> </w:t>
      </w:r>
      <w:r>
        <w:rPr>
          <w:b/>
        </w:rPr>
        <w:t xml:space="preserve">pak </w:t>
      </w:r>
      <w:r w:rsidR="00EA2E50">
        <w:rPr>
          <w:b/>
        </w:rPr>
        <w:t>13,0</w:t>
      </w:r>
      <w:r>
        <w:rPr>
          <w:b/>
        </w:rPr>
        <w:t xml:space="preserve"> mld. Kč</w:t>
      </w:r>
      <w:r>
        <w:t xml:space="preserve">, což je evidováno v </w:t>
      </w:r>
      <w:r>
        <w:rPr>
          <w:b/>
        </w:rPr>
        <w:t>dohadných položkách pasivních</w:t>
      </w:r>
      <w:r>
        <w:t xml:space="preserve">. Meziročně tak dojde u pasivních položek k poklesu o </w:t>
      </w:r>
      <w:r w:rsidR="00EA2E50">
        <w:t>1,8</w:t>
      </w:r>
      <w:r w:rsidR="00495AA1">
        <w:t xml:space="preserve"> mld</w:t>
      </w:r>
      <w:r>
        <w:t xml:space="preserve">. Kč, </w:t>
      </w:r>
      <w:r w:rsidR="00434E5E">
        <w:t>což je způsobeno nastavenou výší</w:t>
      </w:r>
      <w:r>
        <w:t xml:space="preserve"> doplatků v rámci vyúčtování předběžných úhrad. </w:t>
      </w:r>
    </w:p>
    <w:p w:rsidR="00436F6E" w:rsidRDefault="00436F6E" w:rsidP="0092198C">
      <w:pPr>
        <w:spacing w:before="180" w:line="276" w:lineRule="auto"/>
        <w:jc w:val="both"/>
      </w:pPr>
      <w:r>
        <w:rPr>
          <w:b/>
        </w:rPr>
        <w:t xml:space="preserve">Dohadné položky aktivní </w:t>
      </w:r>
      <w:r>
        <w:t xml:space="preserve">se předpokládají v roce </w:t>
      </w:r>
      <w:r w:rsidR="00EA2E50">
        <w:t xml:space="preserve">2020 </w:t>
      </w:r>
      <w:r>
        <w:t xml:space="preserve">v celkové výši </w:t>
      </w:r>
      <w:r w:rsidRPr="007D2C15">
        <w:rPr>
          <w:b/>
        </w:rPr>
        <w:t>2,</w:t>
      </w:r>
      <w:r w:rsidR="000E79C4">
        <w:rPr>
          <w:b/>
        </w:rPr>
        <w:t xml:space="preserve">1 </w:t>
      </w:r>
      <w:r>
        <w:rPr>
          <w:b/>
        </w:rPr>
        <w:t xml:space="preserve">mld. Kč a k 31. 12. </w:t>
      </w:r>
      <w:r w:rsidR="00495AA1">
        <w:rPr>
          <w:b/>
        </w:rPr>
        <w:t>202</w:t>
      </w:r>
      <w:r w:rsidR="000E79C4">
        <w:rPr>
          <w:b/>
        </w:rPr>
        <w:t>1</w:t>
      </w:r>
      <w:r w:rsidR="00495AA1">
        <w:rPr>
          <w:b/>
        </w:rPr>
        <w:t xml:space="preserve"> </w:t>
      </w:r>
      <w:r>
        <w:rPr>
          <w:b/>
        </w:rPr>
        <w:t xml:space="preserve">pak </w:t>
      </w:r>
      <w:r w:rsidR="000E79C4">
        <w:rPr>
          <w:b/>
        </w:rPr>
        <w:t xml:space="preserve">také </w:t>
      </w:r>
      <w:r w:rsidR="00BC6A79">
        <w:rPr>
          <w:b/>
        </w:rPr>
        <w:t>2,1</w:t>
      </w:r>
      <w:r w:rsidR="00D443E5">
        <w:rPr>
          <w:b/>
        </w:rPr>
        <w:t> </w:t>
      </w:r>
      <w:r>
        <w:rPr>
          <w:b/>
        </w:rPr>
        <w:t>mld. Kč</w:t>
      </w:r>
      <w:r>
        <w:t xml:space="preserve">. Aktivní položky </w:t>
      </w:r>
      <w:r w:rsidR="000E79C4">
        <w:t xml:space="preserve">však v detailu vzrostou </w:t>
      </w:r>
      <w:r>
        <w:t>o</w:t>
      </w:r>
      <w:r w:rsidR="00BC6A79">
        <w:t> </w:t>
      </w:r>
      <w:r w:rsidR="000E79C4">
        <w:t>76,0</w:t>
      </w:r>
      <w:r w:rsidR="00BC6A79" w:rsidRPr="009665CB">
        <w:t xml:space="preserve"> </w:t>
      </w:r>
      <w:r>
        <w:t>mil. Kč.</w:t>
      </w:r>
    </w:p>
    <w:p w:rsidR="00436F6E" w:rsidRDefault="00436F6E" w:rsidP="0092198C">
      <w:pPr>
        <w:spacing w:before="180" w:line="276" w:lineRule="auto"/>
        <w:jc w:val="both"/>
      </w:pPr>
      <w:r w:rsidRPr="00E3299D">
        <w:t>Stav opravných položek dosáhne k </w:t>
      </w:r>
      <w:r w:rsidRPr="00E3299D">
        <w:rPr>
          <w:b/>
        </w:rPr>
        <w:t>31. 12. </w:t>
      </w:r>
      <w:r w:rsidR="00BC6A79" w:rsidRPr="00E3299D">
        <w:rPr>
          <w:b/>
        </w:rPr>
        <w:t>20</w:t>
      </w:r>
      <w:r w:rsidR="00BC6A79">
        <w:rPr>
          <w:b/>
        </w:rPr>
        <w:t>2</w:t>
      </w:r>
      <w:r w:rsidR="000E79C4">
        <w:rPr>
          <w:b/>
        </w:rPr>
        <w:t>1</w:t>
      </w:r>
      <w:r w:rsidR="00BC6A79" w:rsidRPr="00E3299D">
        <w:rPr>
          <w:b/>
        </w:rPr>
        <w:t xml:space="preserve"> </w:t>
      </w:r>
      <w:r w:rsidRPr="00E3299D">
        <w:rPr>
          <w:b/>
        </w:rPr>
        <w:t xml:space="preserve">celkem </w:t>
      </w:r>
      <w:r w:rsidR="000E79C4">
        <w:rPr>
          <w:b/>
        </w:rPr>
        <w:t>39,6</w:t>
      </w:r>
      <w:r w:rsidR="00906B63">
        <w:rPr>
          <w:b/>
        </w:rPr>
        <w:t xml:space="preserve"> </w:t>
      </w:r>
      <w:r w:rsidRPr="00E3299D">
        <w:rPr>
          <w:b/>
        </w:rPr>
        <w:t>mld. Kč</w:t>
      </w:r>
      <w:r w:rsidRPr="00E3299D">
        <w:t xml:space="preserve">, </w:t>
      </w:r>
      <w:r w:rsidRPr="00E3299D">
        <w:rPr>
          <w:b/>
        </w:rPr>
        <w:t xml:space="preserve">k 31. 12. </w:t>
      </w:r>
      <w:r w:rsidR="000E79C4" w:rsidRPr="00E3299D">
        <w:rPr>
          <w:b/>
        </w:rPr>
        <w:t>20</w:t>
      </w:r>
      <w:r w:rsidR="000E79C4">
        <w:rPr>
          <w:b/>
        </w:rPr>
        <w:t>20</w:t>
      </w:r>
      <w:r w:rsidR="000E79C4" w:rsidRPr="00E3299D">
        <w:rPr>
          <w:b/>
        </w:rPr>
        <w:t xml:space="preserve"> </w:t>
      </w:r>
      <w:r w:rsidRPr="00E3299D">
        <w:rPr>
          <w:b/>
        </w:rPr>
        <w:t xml:space="preserve">pak </w:t>
      </w:r>
      <w:r w:rsidR="000E79C4">
        <w:rPr>
          <w:b/>
        </w:rPr>
        <w:t>37,2</w:t>
      </w:r>
      <w:r w:rsidRPr="00E3299D">
        <w:rPr>
          <w:b/>
        </w:rPr>
        <w:t> mld.</w:t>
      </w:r>
      <w:r>
        <w:rPr>
          <w:b/>
        </w:rPr>
        <w:t> </w:t>
      </w:r>
      <w:r w:rsidRPr="00E3299D">
        <w:rPr>
          <w:b/>
        </w:rPr>
        <w:t>Kč.</w:t>
      </w:r>
      <w:r w:rsidRPr="00E3299D">
        <w:t xml:space="preserve"> Tato kategorie pohledávek (součást tzv. „hrubé“ výše pohledávek) je nadále vymáhána na</w:t>
      </w:r>
      <w:r w:rsidR="00D40440">
        <w:t> </w:t>
      </w:r>
      <w:r w:rsidRPr="00E3299D">
        <w:t>plátcích pojistného. Pouze z hlediska účetního jsou tyto položky vyjmuty z „čistých“ pohledávek a čtvrtletně přehodnocovány v souladu s účetními standardy.</w:t>
      </w:r>
      <w:r w:rsidRPr="001D769D">
        <w:rPr>
          <w:vertAlign w:val="superscript"/>
        </w:rPr>
        <w:footnoteReference w:id="5"/>
      </w:r>
      <w:r>
        <w:t xml:space="preserve"> </w:t>
      </w:r>
      <w:r w:rsidRPr="00E3299D">
        <w:t xml:space="preserve">Oproti roku </w:t>
      </w:r>
      <w:r w:rsidR="000E79C4" w:rsidRPr="00E3299D">
        <w:t>20</w:t>
      </w:r>
      <w:r w:rsidR="000E79C4">
        <w:t>20</w:t>
      </w:r>
      <w:r w:rsidR="000E79C4" w:rsidRPr="00E3299D">
        <w:t xml:space="preserve"> </w:t>
      </w:r>
      <w:r w:rsidRPr="00E3299D">
        <w:t>se jedná o nárůst o </w:t>
      </w:r>
      <w:r w:rsidR="000E79C4">
        <w:t>2,4</w:t>
      </w:r>
      <w:r w:rsidR="00BC6A79" w:rsidRPr="00E3299D">
        <w:t xml:space="preserve"> </w:t>
      </w:r>
      <w:r w:rsidRPr="00E3299D">
        <w:t>mld. Kč. Stav opravných položek se zvyšuje každoročně již od roku 2010, a jedná se tedy o pokračování trendu.</w:t>
      </w:r>
    </w:p>
    <w:p w:rsidR="0092198C" w:rsidRPr="00F5352F" w:rsidRDefault="0092198C" w:rsidP="009A3F36">
      <w:pPr>
        <w:pStyle w:val="Titulek"/>
        <w:jc w:val="both"/>
      </w:pPr>
      <w:bookmarkStart w:id="19" w:name="_Toc63685261"/>
      <w:r w:rsidRPr="00C75FC6">
        <w:lastRenderedPageBreak/>
        <w:t xml:space="preserve">Tabulka č. </w:t>
      </w:r>
      <w:r w:rsidR="008E5E29">
        <w:rPr>
          <w:noProof/>
        </w:rPr>
        <w:fldChar w:fldCharType="begin"/>
      </w:r>
      <w:r w:rsidR="007F5247">
        <w:rPr>
          <w:noProof/>
        </w:rPr>
        <w:instrText xml:space="preserve"> SEQ Tabulka \* ARABIC </w:instrText>
      </w:r>
      <w:r w:rsidR="008E5E29">
        <w:rPr>
          <w:noProof/>
        </w:rPr>
        <w:fldChar w:fldCharType="separate"/>
      </w:r>
      <w:r w:rsidR="006D5C90">
        <w:rPr>
          <w:noProof/>
        </w:rPr>
        <w:t>8</w:t>
      </w:r>
      <w:r w:rsidR="008E5E29">
        <w:rPr>
          <w:noProof/>
        </w:rPr>
        <w:fldChar w:fldCharType="end"/>
      </w:r>
      <w:r w:rsidRPr="00C75FC6">
        <w:t xml:space="preserve">: </w:t>
      </w:r>
      <w:r w:rsidRPr="0092198C">
        <w:t xml:space="preserve">Vybrané ukazatele </w:t>
      </w:r>
      <w:r w:rsidR="000E79C4" w:rsidRPr="0092198C">
        <w:t>20</w:t>
      </w:r>
      <w:r w:rsidR="000E79C4">
        <w:t>20</w:t>
      </w:r>
      <w:r w:rsidR="000E79C4" w:rsidRPr="0092198C">
        <w:t xml:space="preserve"> </w:t>
      </w:r>
      <w:r w:rsidRPr="0092198C">
        <w:t>dle zdravotních pojišťoven</w:t>
      </w:r>
      <w:bookmarkEnd w:id="19"/>
    </w:p>
    <w:tbl>
      <w:tblPr>
        <w:tblW w:w="9600" w:type="dxa"/>
        <w:jc w:val="center"/>
        <w:tblCellMar>
          <w:left w:w="70" w:type="dxa"/>
          <w:right w:w="70" w:type="dxa"/>
        </w:tblCellMar>
        <w:tblLook w:val="04A0" w:firstRow="1" w:lastRow="0" w:firstColumn="1" w:lastColumn="0" w:noHBand="0" w:noVBand="1"/>
      </w:tblPr>
      <w:tblGrid>
        <w:gridCol w:w="2880"/>
        <w:gridCol w:w="960"/>
        <w:gridCol w:w="960"/>
        <w:gridCol w:w="960"/>
        <w:gridCol w:w="960"/>
        <w:gridCol w:w="960"/>
        <w:gridCol w:w="960"/>
        <w:gridCol w:w="960"/>
      </w:tblGrid>
      <w:tr w:rsidR="00436F6E" w:rsidRPr="00FB4E5F" w:rsidTr="008E685C">
        <w:trPr>
          <w:trHeight w:val="315"/>
          <w:jc w:val="center"/>
        </w:trPr>
        <w:tc>
          <w:tcPr>
            <w:tcW w:w="2880" w:type="dxa"/>
            <w:tcBorders>
              <w:top w:val="single" w:sz="12" w:space="0" w:color="4F81BD"/>
              <w:left w:val="single" w:sz="12" w:space="0" w:color="4F81BD"/>
              <w:bottom w:val="nil"/>
              <w:right w:val="nil"/>
            </w:tcBorders>
            <w:shd w:val="clear" w:color="000000" w:fill="4F81BD"/>
            <w:vAlign w:val="center"/>
            <w:hideMark/>
          </w:tcPr>
          <w:p w:rsidR="00436F6E" w:rsidRPr="00FB4E5F" w:rsidRDefault="00436F6E" w:rsidP="000E79C4">
            <w:pPr>
              <w:spacing w:after="0" w:line="240" w:lineRule="auto"/>
              <w:rPr>
                <w:rFonts w:ascii="Calibri" w:eastAsia="Times New Roman" w:hAnsi="Calibri" w:cs="Times New Roman"/>
                <w:b/>
                <w:bCs/>
                <w:color w:val="FFFFFF"/>
                <w:szCs w:val="21"/>
                <w:lang w:eastAsia="cs-CZ"/>
              </w:rPr>
            </w:pPr>
            <w:r w:rsidRPr="00FB4E5F">
              <w:rPr>
                <w:rFonts w:ascii="Calibri" w:eastAsia="Times New Roman" w:hAnsi="Calibri" w:cs="Times New Roman"/>
                <w:b/>
                <w:bCs/>
                <w:color w:val="FFFFFF"/>
                <w:szCs w:val="21"/>
                <w:lang w:eastAsia="cs-CZ"/>
              </w:rPr>
              <w:t xml:space="preserve">Oč. skut. </w:t>
            </w:r>
            <w:r w:rsidR="000E79C4" w:rsidRPr="00FB4E5F">
              <w:rPr>
                <w:rFonts w:ascii="Calibri" w:eastAsia="Times New Roman" w:hAnsi="Calibri" w:cs="Times New Roman"/>
                <w:b/>
                <w:bCs/>
                <w:color w:val="FFFFFF"/>
                <w:szCs w:val="21"/>
                <w:lang w:eastAsia="cs-CZ"/>
              </w:rPr>
              <w:t>20</w:t>
            </w:r>
            <w:r w:rsidR="000E79C4">
              <w:rPr>
                <w:rFonts w:ascii="Calibri" w:eastAsia="Times New Roman" w:hAnsi="Calibri" w:cs="Times New Roman"/>
                <w:b/>
                <w:bCs/>
                <w:color w:val="FFFFFF"/>
                <w:szCs w:val="21"/>
                <w:lang w:eastAsia="cs-CZ"/>
              </w:rPr>
              <w:t>20</w:t>
            </w:r>
          </w:p>
        </w:tc>
        <w:tc>
          <w:tcPr>
            <w:tcW w:w="960" w:type="dxa"/>
            <w:vMerge w:val="restart"/>
            <w:tcBorders>
              <w:top w:val="single" w:sz="12" w:space="0" w:color="4F81BD"/>
              <w:left w:val="nil"/>
              <w:bottom w:val="nil"/>
              <w:right w:val="nil"/>
            </w:tcBorders>
            <w:shd w:val="clear" w:color="000000" w:fill="6691C6"/>
            <w:noWrap/>
            <w:vAlign w:val="center"/>
            <w:hideMark/>
          </w:tcPr>
          <w:p w:rsidR="00436F6E" w:rsidRPr="00FB4E5F" w:rsidRDefault="00436F6E" w:rsidP="007E01C6">
            <w:pPr>
              <w:spacing w:after="0" w:line="240" w:lineRule="auto"/>
              <w:jc w:val="center"/>
              <w:rPr>
                <w:rFonts w:ascii="Calibri" w:eastAsia="Times New Roman" w:hAnsi="Calibri" w:cs="Times New Roman"/>
                <w:color w:val="FFFFFF"/>
                <w:szCs w:val="21"/>
                <w:lang w:eastAsia="cs-CZ"/>
              </w:rPr>
            </w:pPr>
            <w:r w:rsidRPr="00FB4E5F">
              <w:rPr>
                <w:rFonts w:ascii="Calibri" w:eastAsia="Times New Roman" w:hAnsi="Calibri" w:cs="Times New Roman"/>
                <w:color w:val="FFFFFF" w:themeColor="background1"/>
                <w:szCs w:val="21"/>
                <w:lang w:eastAsia="cs-CZ"/>
              </w:rPr>
              <w:t>VZP ČR</w:t>
            </w:r>
          </w:p>
        </w:tc>
        <w:tc>
          <w:tcPr>
            <w:tcW w:w="960" w:type="dxa"/>
            <w:vMerge w:val="restart"/>
            <w:tcBorders>
              <w:top w:val="single" w:sz="12" w:space="0" w:color="4F81BD"/>
              <w:left w:val="nil"/>
              <w:bottom w:val="nil"/>
              <w:right w:val="nil"/>
            </w:tcBorders>
            <w:shd w:val="clear" w:color="000000" w:fill="4F81BD"/>
            <w:noWrap/>
            <w:vAlign w:val="center"/>
            <w:hideMark/>
          </w:tcPr>
          <w:p w:rsidR="00436F6E" w:rsidRPr="00FB4E5F" w:rsidRDefault="00436F6E" w:rsidP="007E01C6">
            <w:pPr>
              <w:spacing w:after="0" w:line="240" w:lineRule="auto"/>
              <w:jc w:val="center"/>
              <w:rPr>
                <w:rFonts w:ascii="Calibri" w:eastAsia="Times New Roman" w:hAnsi="Calibri" w:cs="Times New Roman"/>
                <w:color w:val="FFFFFF"/>
                <w:szCs w:val="21"/>
                <w:lang w:eastAsia="cs-CZ"/>
              </w:rPr>
            </w:pPr>
            <w:proofErr w:type="spellStart"/>
            <w:r w:rsidRPr="00FB4E5F">
              <w:rPr>
                <w:rFonts w:ascii="Calibri" w:eastAsia="Times New Roman" w:hAnsi="Calibri" w:cs="Times New Roman"/>
                <w:color w:val="FFFFFF" w:themeColor="background1"/>
                <w:szCs w:val="21"/>
                <w:lang w:eastAsia="cs-CZ"/>
              </w:rPr>
              <w:t>VoZP</w:t>
            </w:r>
            <w:proofErr w:type="spellEnd"/>
            <w:r w:rsidRPr="00FB4E5F">
              <w:rPr>
                <w:rFonts w:ascii="Calibri" w:eastAsia="Times New Roman" w:hAnsi="Calibri" w:cs="Times New Roman"/>
                <w:color w:val="FFFFFF" w:themeColor="background1"/>
                <w:szCs w:val="21"/>
                <w:lang w:eastAsia="cs-CZ"/>
              </w:rPr>
              <w:t xml:space="preserve"> ČR</w:t>
            </w:r>
          </w:p>
        </w:tc>
        <w:tc>
          <w:tcPr>
            <w:tcW w:w="960" w:type="dxa"/>
            <w:vMerge w:val="restart"/>
            <w:tcBorders>
              <w:top w:val="single" w:sz="12" w:space="0" w:color="4F81BD"/>
              <w:left w:val="nil"/>
              <w:bottom w:val="nil"/>
              <w:right w:val="nil"/>
            </w:tcBorders>
            <w:shd w:val="clear" w:color="000000" w:fill="6691C6"/>
            <w:noWrap/>
            <w:vAlign w:val="center"/>
            <w:hideMark/>
          </w:tcPr>
          <w:p w:rsidR="00436F6E" w:rsidRPr="00FB4E5F" w:rsidRDefault="00436F6E" w:rsidP="007E01C6">
            <w:pPr>
              <w:spacing w:after="0" w:line="240" w:lineRule="auto"/>
              <w:jc w:val="center"/>
              <w:rPr>
                <w:rFonts w:ascii="Calibri" w:eastAsia="Times New Roman" w:hAnsi="Calibri" w:cs="Times New Roman"/>
                <w:color w:val="FFFFFF"/>
                <w:szCs w:val="21"/>
                <w:lang w:eastAsia="cs-CZ"/>
              </w:rPr>
            </w:pPr>
            <w:r w:rsidRPr="00FB4E5F">
              <w:rPr>
                <w:rFonts w:ascii="Calibri" w:eastAsia="Times New Roman" w:hAnsi="Calibri" w:cs="Times New Roman"/>
                <w:color w:val="FFFFFF" w:themeColor="background1"/>
                <w:szCs w:val="21"/>
                <w:lang w:eastAsia="cs-CZ"/>
              </w:rPr>
              <w:t>ČPZP</w:t>
            </w:r>
          </w:p>
        </w:tc>
        <w:tc>
          <w:tcPr>
            <w:tcW w:w="960" w:type="dxa"/>
            <w:vMerge w:val="restart"/>
            <w:tcBorders>
              <w:top w:val="single" w:sz="12" w:space="0" w:color="4F81BD"/>
              <w:left w:val="nil"/>
              <w:bottom w:val="nil"/>
              <w:right w:val="nil"/>
            </w:tcBorders>
            <w:shd w:val="clear" w:color="000000" w:fill="4F81BD"/>
            <w:vAlign w:val="center"/>
            <w:hideMark/>
          </w:tcPr>
          <w:p w:rsidR="00436F6E" w:rsidRPr="00FB4E5F" w:rsidRDefault="00436F6E" w:rsidP="007E01C6">
            <w:pPr>
              <w:spacing w:after="0" w:line="240" w:lineRule="auto"/>
              <w:jc w:val="center"/>
              <w:rPr>
                <w:rFonts w:ascii="Calibri" w:eastAsia="Times New Roman" w:hAnsi="Calibri" w:cs="Times New Roman"/>
                <w:color w:val="FFFFFF"/>
                <w:szCs w:val="21"/>
                <w:lang w:eastAsia="cs-CZ"/>
              </w:rPr>
            </w:pPr>
            <w:r w:rsidRPr="00FB4E5F">
              <w:rPr>
                <w:rFonts w:ascii="Calibri" w:eastAsia="Times New Roman" w:hAnsi="Calibri" w:cs="Times New Roman"/>
                <w:color w:val="FFFFFF" w:themeColor="background1"/>
                <w:szCs w:val="21"/>
                <w:lang w:eastAsia="cs-CZ"/>
              </w:rPr>
              <w:t>OZP</w:t>
            </w:r>
          </w:p>
        </w:tc>
        <w:tc>
          <w:tcPr>
            <w:tcW w:w="960" w:type="dxa"/>
            <w:vMerge w:val="restart"/>
            <w:tcBorders>
              <w:top w:val="single" w:sz="12" w:space="0" w:color="4F81BD"/>
              <w:left w:val="nil"/>
              <w:bottom w:val="nil"/>
              <w:right w:val="nil"/>
            </w:tcBorders>
            <w:shd w:val="clear" w:color="000000" w:fill="6691C6"/>
            <w:vAlign w:val="center"/>
            <w:hideMark/>
          </w:tcPr>
          <w:p w:rsidR="00436F6E" w:rsidRPr="00FB4E5F" w:rsidRDefault="00436F6E" w:rsidP="007E01C6">
            <w:pPr>
              <w:spacing w:after="0" w:line="240" w:lineRule="auto"/>
              <w:jc w:val="center"/>
              <w:rPr>
                <w:rFonts w:ascii="Calibri" w:eastAsia="Times New Roman" w:hAnsi="Calibri" w:cs="Times New Roman"/>
                <w:color w:val="FFFFFF"/>
                <w:szCs w:val="21"/>
                <w:lang w:eastAsia="cs-CZ"/>
              </w:rPr>
            </w:pPr>
            <w:r w:rsidRPr="00FB4E5F">
              <w:rPr>
                <w:rFonts w:ascii="Calibri" w:eastAsia="Times New Roman" w:hAnsi="Calibri" w:cs="Times New Roman"/>
                <w:color w:val="FFFFFF" w:themeColor="background1"/>
                <w:szCs w:val="21"/>
                <w:lang w:eastAsia="cs-CZ"/>
              </w:rPr>
              <w:t>ZPŠ</w:t>
            </w:r>
          </w:p>
        </w:tc>
        <w:tc>
          <w:tcPr>
            <w:tcW w:w="960" w:type="dxa"/>
            <w:vMerge w:val="restart"/>
            <w:tcBorders>
              <w:top w:val="single" w:sz="12" w:space="0" w:color="4F81BD"/>
              <w:left w:val="nil"/>
              <w:bottom w:val="nil"/>
              <w:right w:val="nil"/>
            </w:tcBorders>
            <w:shd w:val="clear" w:color="000000" w:fill="4F81BD"/>
            <w:vAlign w:val="center"/>
            <w:hideMark/>
          </w:tcPr>
          <w:p w:rsidR="00436F6E" w:rsidRPr="00B34351" w:rsidRDefault="00DF5584" w:rsidP="007E01C6">
            <w:pPr>
              <w:spacing w:after="0" w:line="240" w:lineRule="auto"/>
              <w:jc w:val="center"/>
              <w:rPr>
                <w:rFonts w:ascii="Calibri" w:eastAsia="Times New Roman" w:hAnsi="Calibri" w:cs="Times New Roman"/>
                <w:color w:val="FFFFFF"/>
                <w:spacing w:val="-2"/>
                <w:szCs w:val="21"/>
                <w:lang w:eastAsia="cs-CZ"/>
              </w:rPr>
            </w:pPr>
            <w:r w:rsidRPr="00B34351">
              <w:rPr>
                <w:rFonts w:ascii="Calibri" w:eastAsia="Times New Roman" w:hAnsi="Calibri" w:cs="Times New Roman"/>
                <w:color w:val="FFFFFF" w:themeColor="background1"/>
                <w:spacing w:val="-2"/>
                <w:szCs w:val="21"/>
                <w:lang w:eastAsia="cs-CZ"/>
              </w:rPr>
              <w:t>ZP MV ČR</w:t>
            </w:r>
          </w:p>
        </w:tc>
        <w:tc>
          <w:tcPr>
            <w:tcW w:w="960" w:type="dxa"/>
            <w:vMerge w:val="restart"/>
            <w:tcBorders>
              <w:top w:val="single" w:sz="12" w:space="0" w:color="4F81BD"/>
              <w:left w:val="nil"/>
              <w:bottom w:val="nil"/>
              <w:right w:val="single" w:sz="12" w:space="0" w:color="4F81BD"/>
            </w:tcBorders>
            <w:shd w:val="clear" w:color="000000" w:fill="6691C6"/>
            <w:vAlign w:val="center"/>
            <w:hideMark/>
          </w:tcPr>
          <w:p w:rsidR="00436F6E" w:rsidRPr="00FB4E5F" w:rsidRDefault="00436F6E" w:rsidP="007E01C6">
            <w:pPr>
              <w:spacing w:after="0" w:line="240" w:lineRule="auto"/>
              <w:jc w:val="center"/>
              <w:rPr>
                <w:rFonts w:ascii="Calibri" w:eastAsia="Times New Roman" w:hAnsi="Calibri" w:cs="Times New Roman"/>
                <w:color w:val="FFFFFF"/>
                <w:szCs w:val="21"/>
                <w:lang w:eastAsia="cs-CZ"/>
              </w:rPr>
            </w:pPr>
            <w:r w:rsidRPr="00FB4E5F">
              <w:rPr>
                <w:rFonts w:ascii="Calibri" w:eastAsia="Times New Roman" w:hAnsi="Calibri" w:cs="Times New Roman"/>
                <w:color w:val="FFFFFF" w:themeColor="background1"/>
                <w:szCs w:val="21"/>
                <w:lang w:eastAsia="cs-CZ"/>
              </w:rPr>
              <w:t>RBP</w:t>
            </w:r>
          </w:p>
        </w:tc>
      </w:tr>
      <w:tr w:rsidR="00436F6E" w:rsidRPr="00FB4E5F" w:rsidTr="008E685C">
        <w:trPr>
          <w:trHeight w:val="300"/>
          <w:jc w:val="center"/>
        </w:trPr>
        <w:tc>
          <w:tcPr>
            <w:tcW w:w="2880" w:type="dxa"/>
            <w:tcBorders>
              <w:top w:val="nil"/>
              <w:left w:val="single" w:sz="12" w:space="0" w:color="4F81BD"/>
              <w:bottom w:val="nil"/>
              <w:right w:val="nil"/>
            </w:tcBorders>
            <w:shd w:val="clear" w:color="000000" w:fill="4F81BD"/>
            <w:vAlign w:val="center"/>
            <w:hideMark/>
          </w:tcPr>
          <w:p w:rsidR="00436F6E" w:rsidRPr="00FB4E5F" w:rsidRDefault="00436F6E" w:rsidP="007E01C6">
            <w:pPr>
              <w:spacing w:after="0" w:line="240" w:lineRule="auto"/>
              <w:rPr>
                <w:rFonts w:ascii="Calibri" w:eastAsia="Times New Roman" w:hAnsi="Calibri" w:cs="Times New Roman"/>
                <w:b/>
                <w:bCs/>
                <w:i/>
                <w:iCs/>
                <w:color w:val="FFFFFF"/>
                <w:szCs w:val="21"/>
                <w:lang w:eastAsia="cs-CZ"/>
              </w:rPr>
            </w:pPr>
            <w:r w:rsidRPr="00FB4E5F">
              <w:rPr>
                <w:rFonts w:ascii="Calibri" w:eastAsia="Times New Roman" w:hAnsi="Calibri" w:cs="Times New Roman"/>
                <w:b/>
                <w:bCs/>
                <w:i/>
                <w:iCs/>
                <w:color w:val="FFFFFF"/>
                <w:szCs w:val="21"/>
                <w:lang w:eastAsia="cs-CZ"/>
              </w:rPr>
              <w:t>(v mil. Kč)</w:t>
            </w:r>
          </w:p>
        </w:tc>
        <w:tc>
          <w:tcPr>
            <w:tcW w:w="960" w:type="dxa"/>
            <w:vMerge/>
            <w:tcBorders>
              <w:top w:val="single" w:sz="12" w:space="0" w:color="4F81BD"/>
              <w:left w:val="nil"/>
              <w:bottom w:val="nil"/>
              <w:right w:val="nil"/>
            </w:tcBorders>
            <w:vAlign w:val="center"/>
            <w:hideMark/>
          </w:tcPr>
          <w:p w:rsidR="00436F6E" w:rsidRPr="00FB4E5F" w:rsidRDefault="00436F6E" w:rsidP="007E01C6">
            <w:pPr>
              <w:spacing w:after="0" w:line="240" w:lineRule="auto"/>
              <w:rPr>
                <w:rFonts w:ascii="Calibri" w:eastAsia="Times New Roman" w:hAnsi="Calibri" w:cs="Times New Roman"/>
                <w:color w:val="FFFFFF"/>
                <w:szCs w:val="21"/>
                <w:lang w:eastAsia="cs-CZ"/>
              </w:rPr>
            </w:pPr>
          </w:p>
        </w:tc>
        <w:tc>
          <w:tcPr>
            <w:tcW w:w="960" w:type="dxa"/>
            <w:vMerge/>
            <w:tcBorders>
              <w:top w:val="single" w:sz="12" w:space="0" w:color="4F81BD"/>
              <w:left w:val="nil"/>
              <w:bottom w:val="nil"/>
              <w:right w:val="nil"/>
            </w:tcBorders>
            <w:vAlign w:val="center"/>
            <w:hideMark/>
          </w:tcPr>
          <w:p w:rsidR="00436F6E" w:rsidRPr="00FB4E5F" w:rsidRDefault="00436F6E" w:rsidP="007E01C6">
            <w:pPr>
              <w:spacing w:after="0" w:line="240" w:lineRule="auto"/>
              <w:rPr>
                <w:rFonts w:ascii="Calibri" w:eastAsia="Times New Roman" w:hAnsi="Calibri" w:cs="Times New Roman"/>
                <w:color w:val="FFFFFF"/>
                <w:szCs w:val="21"/>
                <w:lang w:eastAsia="cs-CZ"/>
              </w:rPr>
            </w:pPr>
          </w:p>
        </w:tc>
        <w:tc>
          <w:tcPr>
            <w:tcW w:w="960" w:type="dxa"/>
            <w:vMerge/>
            <w:tcBorders>
              <w:top w:val="single" w:sz="12" w:space="0" w:color="4F81BD"/>
              <w:left w:val="nil"/>
              <w:bottom w:val="nil"/>
              <w:right w:val="nil"/>
            </w:tcBorders>
            <w:vAlign w:val="center"/>
            <w:hideMark/>
          </w:tcPr>
          <w:p w:rsidR="00436F6E" w:rsidRPr="00FB4E5F" w:rsidRDefault="00436F6E" w:rsidP="007E01C6">
            <w:pPr>
              <w:spacing w:after="0" w:line="240" w:lineRule="auto"/>
              <w:rPr>
                <w:rFonts w:ascii="Calibri" w:eastAsia="Times New Roman" w:hAnsi="Calibri" w:cs="Times New Roman"/>
                <w:color w:val="FFFFFF"/>
                <w:szCs w:val="21"/>
                <w:lang w:eastAsia="cs-CZ"/>
              </w:rPr>
            </w:pPr>
          </w:p>
        </w:tc>
        <w:tc>
          <w:tcPr>
            <w:tcW w:w="960" w:type="dxa"/>
            <w:vMerge/>
            <w:tcBorders>
              <w:top w:val="single" w:sz="12" w:space="0" w:color="4F81BD"/>
              <w:left w:val="nil"/>
              <w:bottom w:val="nil"/>
              <w:right w:val="nil"/>
            </w:tcBorders>
            <w:vAlign w:val="center"/>
            <w:hideMark/>
          </w:tcPr>
          <w:p w:rsidR="00436F6E" w:rsidRPr="00FB4E5F" w:rsidRDefault="00436F6E" w:rsidP="007E01C6">
            <w:pPr>
              <w:spacing w:after="0" w:line="240" w:lineRule="auto"/>
              <w:rPr>
                <w:rFonts w:ascii="Calibri" w:eastAsia="Times New Roman" w:hAnsi="Calibri" w:cs="Times New Roman"/>
                <w:color w:val="FFFFFF"/>
                <w:szCs w:val="21"/>
                <w:lang w:eastAsia="cs-CZ"/>
              </w:rPr>
            </w:pPr>
          </w:p>
        </w:tc>
        <w:tc>
          <w:tcPr>
            <w:tcW w:w="960" w:type="dxa"/>
            <w:vMerge/>
            <w:tcBorders>
              <w:top w:val="single" w:sz="12" w:space="0" w:color="4F81BD"/>
              <w:left w:val="nil"/>
              <w:bottom w:val="nil"/>
              <w:right w:val="nil"/>
            </w:tcBorders>
            <w:vAlign w:val="center"/>
            <w:hideMark/>
          </w:tcPr>
          <w:p w:rsidR="00436F6E" w:rsidRPr="00FB4E5F" w:rsidRDefault="00436F6E" w:rsidP="007E01C6">
            <w:pPr>
              <w:spacing w:after="0" w:line="240" w:lineRule="auto"/>
              <w:rPr>
                <w:rFonts w:ascii="Calibri" w:eastAsia="Times New Roman" w:hAnsi="Calibri" w:cs="Times New Roman"/>
                <w:color w:val="FFFFFF"/>
                <w:szCs w:val="21"/>
                <w:lang w:eastAsia="cs-CZ"/>
              </w:rPr>
            </w:pPr>
          </w:p>
        </w:tc>
        <w:tc>
          <w:tcPr>
            <w:tcW w:w="960" w:type="dxa"/>
            <w:vMerge/>
            <w:tcBorders>
              <w:top w:val="single" w:sz="12" w:space="0" w:color="4F81BD"/>
              <w:left w:val="nil"/>
              <w:bottom w:val="nil"/>
              <w:right w:val="nil"/>
            </w:tcBorders>
            <w:vAlign w:val="center"/>
            <w:hideMark/>
          </w:tcPr>
          <w:p w:rsidR="00436F6E" w:rsidRPr="00FB4E5F" w:rsidRDefault="00436F6E" w:rsidP="007E01C6">
            <w:pPr>
              <w:spacing w:after="0" w:line="240" w:lineRule="auto"/>
              <w:rPr>
                <w:rFonts w:ascii="Calibri" w:eastAsia="Times New Roman" w:hAnsi="Calibri" w:cs="Times New Roman"/>
                <w:color w:val="FFFFFF"/>
                <w:szCs w:val="21"/>
                <w:lang w:eastAsia="cs-CZ"/>
              </w:rPr>
            </w:pPr>
          </w:p>
        </w:tc>
        <w:tc>
          <w:tcPr>
            <w:tcW w:w="960" w:type="dxa"/>
            <w:vMerge/>
            <w:tcBorders>
              <w:top w:val="single" w:sz="12" w:space="0" w:color="4F81BD"/>
              <w:left w:val="nil"/>
              <w:bottom w:val="nil"/>
              <w:right w:val="single" w:sz="12" w:space="0" w:color="4F81BD"/>
            </w:tcBorders>
            <w:vAlign w:val="center"/>
            <w:hideMark/>
          </w:tcPr>
          <w:p w:rsidR="00436F6E" w:rsidRPr="00FB4E5F" w:rsidRDefault="00436F6E" w:rsidP="007E01C6">
            <w:pPr>
              <w:spacing w:after="0" w:line="240" w:lineRule="auto"/>
              <w:rPr>
                <w:rFonts w:ascii="Calibri" w:eastAsia="Times New Roman" w:hAnsi="Calibri" w:cs="Times New Roman"/>
                <w:color w:val="FFFFFF"/>
                <w:szCs w:val="21"/>
                <w:lang w:eastAsia="cs-CZ"/>
              </w:rPr>
            </w:pPr>
          </w:p>
        </w:tc>
      </w:tr>
      <w:tr w:rsidR="00436F6E" w:rsidRPr="00FB4E5F" w:rsidTr="008E685C">
        <w:trPr>
          <w:trHeight w:val="300"/>
          <w:jc w:val="center"/>
        </w:trPr>
        <w:tc>
          <w:tcPr>
            <w:tcW w:w="2880" w:type="dxa"/>
            <w:tcBorders>
              <w:top w:val="nil"/>
              <w:left w:val="single" w:sz="12" w:space="0" w:color="4F81BD"/>
              <w:bottom w:val="nil"/>
              <w:right w:val="nil"/>
            </w:tcBorders>
            <w:shd w:val="clear" w:color="000000" w:fill="4F81BD"/>
            <w:vAlign w:val="center"/>
            <w:hideMark/>
          </w:tcPr>
          <w:p w:rsidR="00436F6E" w:rsidRPr="00FB4E5F" w:rsidRDefault="00436F6E" w:rsidP="007E01C6">
            <w:pPr>
              <w:spacing w:after="0" w:line="240" w:lineRule="auto"/>
              <w:jc w:val="both"/>
              <w:rPr>
                <w:rFonts w:ascii="Calibri" w:eastAsia="Times New Roman" w:hAnsi="Calibri" w:cs="Times New Roman"/>
                <w:i/>
                <w:iCs/>
                <w:color w:val="FFFFFF"/>
                <w:sz w:val="20"/>
                <w:szCs w:val="20"/>
                <w:lang w:eastAsia="cs-CZ"/>
              </w:rPr>
            </w:pPr>
            <w:r w:rsidRPr="00FB4E5F">
              <w:rPr>
                <w:rFonts w:ascii="Calibri" w:eastAsia="Times New Roman" w:hAnsi="Calibri" w:cs="Times New Roman"/>
                <w:i/>
                <w:iCs/>
                <w:color w:val="FFFFFF"/>
                <w:sz w:val="20"/>
                <w:szCs w:val="20"/>
                <w:lang w:eastAsia="cs-CZ"/>
              </w:rPr>
              <w:t>(stav k poslednímu dni roku)</w:t>
            </w:r>
          </w:p>
        </w:tc>
        <w:tc>
          <w:tcPr>
            <w:tcW w:w="960" w:type="dxa"/>
            <w:vMerge/>
            <w:tcBorders>
              <w:top w:val="single" w:sz="12" w:space="0" w:color="4F81BD"/>
              <w:left w:val="nil"/>
              <w:bottom w:val="nil"/>
              <w:right w:val="nil"/>
            </w:tcBorders>
            <w:vAlign w:val="center"/>
            <w:hideMark/>
          </w:tcPr>
          <w:p w:rsidR="00436F6E" w:rsidRPr="00FB4E5F" w:rsidRDefault="00436F6E" w:rsidP="007E01C6">
            <w:pPr>
              <w:spacing w:after="0" w:line="240" w:lineRule="auto"/>
              <w:rPr>
                <w:rFonts w:ascii="Calibri" w:eastAsia="Times New Roman" w:hAnsi="Calibri" w:cs="Times New Roman"/>
                <w:color w:val="FFFFFF"/>
                <w:szCs w:val="21"/>
                <w:lang w:eastAsia="cs-CZ"/>
              </w:rPr>
            </w:pPr>
          </w:p>
        </w:tc>
        <w:tc>
          <w:tcPr>
            <w:tcW w:w="960" w:type="dxa"/>
            <w:vMerge/>
            <w:tcBorders>
              <w:top w:val="single" w:sz="12" w:space="0" w:color="4F81BD"/>
              <w:left w:val="nil"/>
              <w:bottom w:val="nil"/>
              <w:right w:val="nil"/>
            </w:tcBorders>
            <w:vAlign w:val="center"/>
            <w:hideMark/>
          </w:tcPr>
          <w:p w:rsidR="00436F6E" w:rsidRPr="00FB4E5F" w:rsidRDefault="00436F6E" w:rsidP="007E01C6">
            <w:pPr>
              <w:spacing w:after="0" w:line="240" w:lineRule="auto"/>
              <w:rPr>
                <w:rFonts w:ascii="Calibri" w:eastAsia="Times New Roman" w:hAnsi="Calibri" w:cs="Times New Roman"/>
                <w:color w:val="FFFFFF"/>
                <w:szCs w:val="21"/>
                <w:lang w:eastAsia="cs-CZ"/>
              </w:rPr>
            </w:pPr>
          </w:p>
        </w:tc>
        <w:tc>
          <w:tcPr>
            <w:tcW w:w="960" w:type="dxa"/>
            <w:vMerge/>
            <w:tcBorders>
              <w:top w:val="single" w:sz="12" w:space="0" w:color="4F81BD"/>
              <w:left w:val="nil"/>
              <w:bottom w:val="nil"/>
              <w:right w:val="nil"/>
            </w:tcBorders>
            <w:vAlign w:val="center"/>
            <w:hideMark/>
          </w:tcPr>
          <w:p w:rsidR="00436F6E" w:rsidRPr="00FB4E5F" w:rsidRDefault="00436F6E" w:rsidP="007E01C6">
            <w:pPr>
              <w:spacing w:after="0" w:line="240" w:lineRule="auto"/>
              <w:rPr>
                <w:rFonts w:ascii="Calibri" w:eastAsia="Times New Roman" w:hAnsi="Calibri" w:cs="Times New Roman"/>
                <w:color w:val="FFFFFF"/>
                <w:szCs w:val="21"/>
                <w:lang w:eastAsia="cs-CZ"/>
              </w:rPr>
            </w:pPr>
          </w:p>
        </w:tc>
        <w:tc>
          <w:tcPr>
            <w:tcW w:w="960" w:type="dxa"/>
            <w:vMerge/>
            <w:tcBorders>
              <w:top w:val="single" w:sz="12" w:space="0" w:color="4F81BD"/>
              <w:left w:val="nil"/>
              <w:bottom w:val="nil"/>
              <w:right w:val="nil"/>
            </w:tcBorders>
            <w:vAlign w:val="center"/>
            <w:hideMark/>
          </w:tcPr>
          <w:p w:rsidR="00436F6E" w:rsidRPr="00FB4E5F" w:rsidRDefault="00436F6E" w:rsidP="007E01C6">
            <w:pPr>
              <w:spacing w:after="0" w:line="240" w:lineRule="auto"/>
              <w:rPr>
                <w:rFonts w:ascii="Calibri" w:eastAsia="Times New Roman" w:hAnsi="Calibri" w:cs="Times New Roman"/>
                <w:color w:val="FFFFFF"/>
                <w:szCs w:val="21"/>
                <w:lang w:eastAsia="cs-CZ"/>
              </w:rPr>
            </w:pPr>
          </w:p>
        </w:tc>
        <w:tc>
          <w:tcPr>
            <w:tcW w:w="960" w:type="dxa"/>
            <w:vMerge/>
            <w:tcBorders>
              <w:top w:val="single" w:sz="12" w:space="0" w:color="4F81BD"/>
              <w:left w:val="nil"/>
              <w:bottom w:val="nil"/>
              <w:right w:val="nil"/>
            </w:tcBorders>
            <w:vAlign w:val="center"/>
            <w:hideMark/>
          </w:tcPr>
          <w:p w:rsidR="00436F6E" w:rsidRPr="00FB4E5F" w:rsidRDefault="00436F6E" w:rsidP="007E01C6">
            <w:pPr>
              <w:spacing w:after="0" w:line="240" w:lineRule="auto"/>
              <w:rPr>
                <w:rFonts w:ascii="Calibri" w:eastAsia="Times New Roman" w:hAnsi="Calibri" w:cs="Times New Roman"/>
                <w:color w:val="FFFFFF"/>
                <w:szCs w:val="21"/>
                <w:lang w:eastAsia="cs-CZ"/>
              </w:rPr>
            </w:pPr>
          </w:p>
        </w:tc>
        <w:tc>
          <w:tcPr>
            <w:tcW w:w="960" w:type="dxa"/>
            <w:vMerge/>
            <w:tcBorders>
              <w:top w:val="single" w:sz="12" w:space="0" w:color="4F81BD"/>
              <w:left w:val="nil"/>
              <w:bottom w:val="nil"/>
              <w:right w:val="nil"/>
            </w:tcBorders>
            <w:vAlign w:val="center"/>
            <w:hideMark/>
          </w:tcPr>
          <w:p w:rsidR="00436F6E" w:rsidRPr="00FB4E5F" w:rsidRDefault="00436F6E" w:rsidP="007E01C6">
            <w:pPr>
              <w:spacing w:after="0" w:line="240" w:lineRule="auto"/>
              <w:rPr>
                <w:rFonts w:ascii="Calibri" w:eastAsia="Times New Roman" w:hAnsi="Calibri" w:cs="Times New Roman"/>
                <w:color w:val="FFFFFF"/>
                <w:szCs w:val="21"/>
                <w:lang w:eastAsia="cs-CZ"/>
              </w:rPr>
            </w:pPr>
          </w:p>
        </w:tc>
        <w:tc>
          <w:tcPr>
            <w:tcW w:w="960" w:type="dxa"/>
            <w:vMerge/>
            <w:tcBorders>
              <w:top w:val="single" w:sz="12" w:space="0" w:color="4F81BD"/>
              <w:left w:val="nil"/>
              <w:bottom w:val="nil"/>
              <w:right w:val="single" w:sz="12" w:space="0" w:color="4F81BD"/>
            </w:tcBorders>
            <w:vAlign w:val="center"/>
            <w:hideMark/>
          </w:tcPr>
          <w:p w:rsidR="00436F6E" w:rsidRPr="00FB4E5F" w:rsidRDefault="00436F6E" w:rsidP="007E01C6">
            <w:pPr>
              <w:spacing w:after="0" w:line="240" w:lineRule="auto"/>
              <w:rPr>
                <w:rFonts w:ascii="Calibri" w:eastAsia="Times New Roman" w:hAnsi="Calibri" w:cs="Times New Roman"/>
                <w:color w:val="FFFFFF"/>
                <w:szCs w:val="21"/>
                <w:lang w:eastAsia="cs-CZ"/>
              </w:rPr>
            </w:pPr>
          </w:p>
        </w:tc>
      </w:tr>
      <w:tr w:rsidR="00B80228" w:rsidRPr="00FB4E5F" w:rsidTr="008E685C">
        <w:trPr>
          <w:trHeight w:val="300"/>
          <w:jc w:val="center"/>
        </w:trPr>
        <w:tc>
          <w:tcPr>
            <w:tcW w:w="2880" w:type="dxa"/>
            <w:tcBorders>
              <w:top w:val="nil"/>
              <w:left w:val="single" w:sz="12" w:space="0" w:color="4F81BD"/>
              <w:bottom w:val="nil"/>
              <w:right w:val="nil"/>
            </w:tcBorders>
            <w:shd w:val="clear" w:color="auto" w:fill="auto"/>
            <w:vAlign w:val="center"/>
            <w:hideMark/>
          </w:tcPr>
          <w:p w:rsidR="00B80228" w:rsidRPr="00FB4E5F" w:rsidRDefault="00B80228" w:rsidP="007E01C6">
            <w:pPr>
              <w:spacing w:after="0" w:line="240" w:lineRule="auto"/>
              <w:rPr>
                <w:rFonts w:ascii="Calibri" w:eastAsia="Times New Roman" w:hAnsi="Calibri" w:cs="Times New Roman"/>
                <w:b/>
                <w:bCs/>
                <w:color w:val="000000"/>
                <w:szCs w:val="21"/>
                <w:lang w:eastAsia="cs-CZ"/>
              </w:rPr>
            </w:pPr>
            <w:r>
              <w:rPr>
                <w:rFonts w:ascii="Calibri" w:eastAsia="Times New Roman" w:hAnsi="Calibri" w:cs="Arial"/>
                <w:b/>
                <w:bCs/>
                <w:color w:val="000000"/>
                <w:szCs w:val="21"/>
                <w:lang w:eastAsia="cs-CZ"/>
              </w:rPr>
              <w:t>S</w:t>
            </w:r>
            <w:r w:rsidRPr="00776722">
              <w:rPr>
                <w:rFonts w:ascii="Calibri" w:eastAsia="Times New Roman" w:hAnsi="Calibri" w:cs="Arial"/>
                <w:b/>
                <w:bCs/>
                <w:color w:val="000000"/>
                <w:szCs w:val="21"/>
                <w:lang w:eastAsia="cs-CZ"/>
              </w:rPr>
              <w:t>tav pohledávek celkem</w:t>
            </w:r>
          </w:p>
        </w:tc>
        <w:tc>
          <w:tcPr>
            <w:tcW w:w="960" w:type="dxa"/>
            <w:tcBorders>
              <w:top w:val="nil"/>
              <w:left w:val="nil"/>
              <w:bottom w:val="nil"/>
              <w:right w:val="nil"/>
            </w:tcBorders>
            <w:shd w:val="clear" w:color="000000" w:fill="DCE6F1"/>
            <w:noWrap/>
            <w:vAlign w:val="center"/>
          </w:tcPr>
          <w:p w:rsidR="00B80228" w:rsidRPr="00FB4E5F" w:rsidRDefault="00B80228" w:rsidP="007E01C6">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22 723</w:t>
            </w:r>
          </w:p>
        </w:tc>
        <w:tc>
          <w:tcPr>
            <w:tcW w:w="960" w:type="dxa"/>
            <w:tcBorders>
              <w:top w:val="nil"/>
              <w:left w:val="nil"/>
              <w:bottom w:val="nil"/>
              <w:right w:val="nil"/>
            </w:tcBorders>
            <w:shd w:val="clear" w:color="auto" w:fill="auto"/>
            <w:noWrap/>
            <w:vAlign w:val="center"/>
          </w:tcPr>
          <w:p w:rsidR="00B80228" w:rsidRPr="00FB4E5F" w:rsidRDefault="00B80228" w:rsidP="007E01C6">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3 656</w:t>
            </w:r>
          </w:p>
        </w:tc>
        <w:tc>
          <w:tcPr>
            <w:tcW w:w="960" w:type="dxa"/>
            <w:tcBorders>
              <w:top w:val="nil"/>
              <w:left w:val="nil"/>
              <w:bottom w:val="nil"/>
              <w:right w:val="nil"/>
            </w:tcBorders>
            <w:shd w:val="clear" w:color="000000" w:fill="DCE6F1"/>
            <w:noWrap/>
            <w:vAlign w:val="center"/>
          </w:tcPr>
          <w:p w:rsidR="00B80228" w:rsidRPr="00FB4E5F" w:rsidRDefault="00B80228" w:rsidP="007E01C6">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5 701</w:t>
            </w:r>
          </w:p>
        </w:tc>
        <w:tc>
          <w:tcPr>
            <w:tcW w:w="960" w:type="dxa"/>
            <w:tcBorders>
              <w:top w:val="nil"/>
              <w:left w:val="nil"/>
              <w:bottom w:val="nil"/>
              <w:right w:val="nil"/>
            </w:tcBorders>
            <w:shd w:val="clear" w:color="auto" w:fill="auto"/>
            <w:noWrap/>
            <w:vAlign w:val="center"/>
          </w:tcPr>
          <w:p w:rsidR="00B80228" w:rsidRPr="00FB4E5F" w:rsidRDefault="00B80228" w:rsidP="007E01C6">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3 854</w:t>
            </w:r>
          </w:p>
        </w:tc>
        <w:tc>
          <w:tcPr>
            <w:tcW w:w="960" w:type="dxa"/>
            <w:tcBorders>
              <w:top w:val="nil"/>
              <w:left w:val="nil"/>
              <w:bottom w:val="nil"/>
              <w:right w:val="nil"/>
            </w:tcBorders>
            <w:shd w:val="clear" w:color="000000" w:fill="DCE6F1"/>
            <w:noWrap/>
            <w:vAlign w:val="center"/>
          </w:tcPr>
          <w:p w:rsidR="00B80228" w:rsidRPr="00FB4E5F" w:rsidRDefault="00B80228" w:rsidP="007E01C6">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499</w:t>
            </w:r>
          </w:p>
        </w:tc>
        <w:tc>
          <w:tcPr>
            <w:tcW w:w="960" w:type="dxa"/>
            <w:tcBorders>
              <w:top w:val="nil"/>
              <w:left w:val="nil"/>
              <w:bottom w:val="nil"/>
              <w:right w:val="nil"/>
            </w:tcBorders>
            <w:shd w:val="clear" w:color="auto" w:fill="auto"/>
            <w:noWrap/>
            <w:vAlign w:val="center"/>
          </w:tcPr>
          <w:p w:rsidR="00B80228" w:rsidRPr="00FB4E5F" w:rsidRDefault="00B80228" w:rsidP="007E01C6">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4 780</w:t>
            </w:r>
          </w:p>
        </w:tc>
        <w:tc>
          <w:tcPr>
            <w:tcW w:w="960" w:type="dxa"/>
            <w:tcBorders>
              <w:top w:val="nil"/>
              <w:left w:val="nil"/>
              <w:bottom w:val="nil"/>
              <w:right w:val="single" w:sz="12" w:space="0" w:color="4F81BD"/>
            </w:tcBorders>
            <w:shd w:val="clear" w:color="000000" w:fill="DCE6F1"/>
            <w:noWrap/>
            <w:vAlign w:val="center"/>
          </w:tcPr>
          <w:p w:rsidR="00B80228" w:rsidRPr="00FB4E5F" w:rsidRDefault="00B80228" w:rsidP="007E01C6">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1 498</w:t>
            </w:r>
          </w:p>
        </w:tc>
      </w:tr>
      <w:tr w:rsidR="00B80228" w:rsidRPr="00FB4E5F" w:rsidTr="008E685C">
        <w:trPr>
          <w:trHeight w:val="570"/>
          <w:jc w:val="center"/>
        </w:trPr>
        <w:tc>
          <w:tcPr>
            <w:tcW w:w="2880" w:type="dxa"/>
            <w:tcBorders>
              <w:top w:val="nil"/>
              <w:left w:val="single" w:sz="12" w:space="0" w:color="4F81BD"/>
              <w:bottom w:val="nil"/>
              <w:right w:val="nil"/>
            </w:tcBorders>
            <w:shd w:val="clear" w:color="000000" w:fill="EEF3F8"/>
            <w:vAlign w:val="center"/>
            <w:hideMark/>
          </w:tcPr>
          <w:p w:rsidR="00B80228" w:rsidRPr="00FB4E5F" w:rsidRDefault="00B80228" w:rsidP="007E01C6">
            <w:pPr>
              <w:spacing w:after="0" w:line="240" w:lineRule="auto"/>
              <w:rPr>
                <w:rFonts w:ascii="Calibri" w:eastAsia="Times New Roman" w:hAnsi="Calibri" w:cs="Times New Roman"/>
                <w:color w:val="000000"/>
                <w:szCs w:val="21"/>
                <w:lang w:eastAsia="cs-CZ"/>
              </w:rPr>
            </w:pPr>
            <w:r>
              <w:rPr>
                <w:rFonts w:ascii="Calibri" w:eastAsia="Times New Roman" w:hAnsi="Calibri" w:cs="Times New Roman"/>
                <w:color w:val="000000"/>
                <w:szCs w:val="21"/>
                <w:lang w:eastAsia="cs-CZ"/>
              </w:rPr>
              <w:t>Z</w:t>
            </w:r>
            <w:r w:rsidRPr="00776722">
              <w:rPr>
                <w:rFonts w:ascii="Calibri" w:eastAsia="Times New Roman" w:hAnsi="Calibri" w:cs="Times New Roman"/>
                <w:color w:val="000000"/>
                <w:szCs w:val="21"/>
                <w:lang w:eastAsia="cs-CZ"/>
              </w:rPr>
              <w:t xml:space="preserve"> toho po lhůtě za plátci pojistného</w:t>
            </w:r>
          </w:p>
        </w:tc>
        <w:tc>
          <w:tcPr>
            <w:tcW w:w="960" w:type="dxa"/>
            <w:tcBorders>
              <w:top w:val="nil"/>
              <w:left w:val="nil"/>
              <w:bottom w:val="nil"/>
              <w:right w:val="nil"/>
            </w:tcBorders>
            <w:shd w:val="clear" w:color="000000" w:fill="EEF3F8"/>
            <w:noWrap/>
            <w:vAlign w:val="center"/>
          </w:tcPr>
          <w:p w:rsidR="00B80228" w:rsidRPr="00FB4E5F" w:rsidRDefault="00B80228"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7 953</w:t>
            </w:r>
          </w:p>
        </w:tc>
        <w:tc>
          <w:tcPr>
            <w:tcW w:w="960" w:type="dxa"/>
            <w:tcBorders>
              <w:top w:val="nil"/>
              <w:left w:val="nil"/>
              <w:bottom w:val="nil"/>
              <w:right w:val="nil"/>
            </w:tcBorders>
            <w:shd w:val="clear" w:color="000000" w:fill="EEF3F8"/>
            <w:noWrap/>
            <w:vAlign w:val="center"/>
          </w:tcPr>
          <w:p w:rsidR="00B80228" w:rsidRPr="00FB4E5F" w:rsidRDefault="00B80228"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1 800</w:t>
            </w:r>
          </w:p>
        </w:tc>
        <w:tc>
          <w:tcPr>
            <w:tcW w:w="960" w:type="dxa"/>
            <w:tcBorders>
              <w:top w:val="nil"/>
              <w:left w:val="nil"/>
              <w:bottom w:val="nil"/>
              <w:right w:val="nil"/>
            </w:tcBorders>
            <w:shd w:val="clear" w:color="000000" w:fill="EEF3F8"/>
            <w:noWrap/>
            <w:vAlign w:val="center"/>
          </w:tcPr>
          <w:p w:rsidR="00B80228" w:rsidRPr="00FB4E5F" w:rsidRDefault="00B80228"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2 618</w:t>
            </w:r>
          </w:p>
        </w:tc>
        <w:tc>
          <w:tcPr>
            <w:tcW w:w="960" w:type="dxa"/>
            <w:tcBorders>
              <w:top w:val="nil"/>
              <w:left w:val="nil"/>
              <w:bottom w:val="nil"/>
              <w:right w:val="nil"/>
            </w:tcBorders>
            <w:shd w:val="clear" w:color="000000" w:fill="EEF3F8"/>
            <w:noWrap/>
            <w:vAlign w:val="center"/>
          </w:tcPr>
          <w:p w:rsidR="00B80228" w:rsidRPr="00FB4E5F" w:rsidRDefault="00B80228"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1 637</w:t>
            </w:r>
          </w:p>
        </w:tc>
        <w:tc>
          <w:tcPr>
            <w:tcW w:w="960" w:type="dxa"/>
            <w:tcBorders>
              <w:top w:val="nil"/>
              <w:left w:val="nil"/>
              <w:bottom w:val="nil"/>
              <w:right w:val="nil"/>
            </w:tcBorders>
            <w:shd w:val="clear" w:color="000000" w:fill="EEF3F8"/>
            <w:noWrap/>
            <w:vAlign w:val="center"/>
          </w:tcPr>
          <w:p w:rsidR="00B80228" w:rsidRPr="00FB4E5F" w:rsidRDefault="00B80228"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106</w:t>
            </w:r>
          </w:p>
        </w:tc>
        <w:tc>
          <w:tcPr>
            <w:tcW w:w="960" w:type="dxa"/>
            <w:tcBorders>
              <w:top w:val="nil"/>
              <w:left w:val="nil"/>
              <w:bottom w:val="nil"/>
              <w:right w:val="nil"/>
            </w:tcBorders>
            <w:shd w:val="clear" w:color="000000" w:fill="EEF3F8"/>
            <w:noWrap/>
            <w:vAlign w:val="center"/>
          </w:tcPr>
          <w:p w:rsidR="00B80228" w:rsidRPr="00FB4E5F" w:rsidRDefault="00B80228"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1 515</w:t>
            </w:r>
          </w:p>
        </w:tc>
        <w:tc>
          <w:tcPr>
            <w:tcW w:w="960" w:type="dxa"/>
            <w:tcBorders>
              <w:top w:val="nil"/>
              <w:left w:val="nil"/>
              <w:bottom w:val="nil"/>
              <w:right w:val="single" w:sz="12" w:space="0" w:color="4F81BD"/>
            </w:tcBorders>
            <w:shd w:val="clear" w:color="000000" w:fill="EEF3F8"/>
            <w:noWrap/>
            <w:vAlign w:val="center"/>
          </w:tcPr>
          <w:p w:rsidR="00B80228" w:rsidRPr="00FB4E5F" w:rsidRDefault="00B80228"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598</w:t>
            </w:r>
          </w:p>
        </w:tc>
      </w:tr>
      <w:tr w:rsidR="00B80228" w:rsidRPr="00FB4E5F" w:rsidTr="008E685C">
        <w:trPr>
          <w:trHeight w:val="300"/>
          <w:jc w:val="center"/>
        </w:trPr>
        <w:tc>
          <w:tcPr>
            <w:tcW w:w="2880" w:type="dxa"/>
            <w:tcBorders>
              <w:top w:val="nil"/>
              <w:left w:val="single" w:sz="12" w:space="0" w:color="4F81BD"/>
              <w:bottom w:val="nil"/>
              <w:right w:val="nil"/>
            </w:tcBorders>
            <w:shd w:val="clear" w:color="auto" w:fill="auto"/>
            <w:vAlign w:val="center"/>
            <w:hideMark/>
          </w:tcPr>
          <w:p w:rsidR="00B80228" w:rsidRPr="00FB4E5F" w:rsidRDefault="00B80228" w:rsidP="007E01C6">
            <w:pPr>
              <w:spacing w:after="0" w:line="240" w:lineRule="auto"/>
              <w:rPr>
                <w:rFonts w:ascii="Calibri" w:eastAsia="Times New Roman" w:hAnsi="Calibri" w:cs="Times New Roman"/>
                <w:color w:val="000000"/>
                <w:szCs w:val="21"/>
                <w:lang w:eastAsia="cs-CZ"/>
              </w:rPr>
            </w:pPr>
            <w:r>
              <w:rPr>
                <w:rFonts w:ascii="Calibri" w:eastAsia="Times New Roman" w:hAnsi="Calibri" w:cs="Times New Roman"/>
                <w:color w:val="000000"/>
                <w:szCs w:val="21"/>
                <w:lang w:eastAsia="cs-CZ"/>
              </w:rPr>
              <w:t>D</w:t>
            </w:r>
            <w:r w:rsidRPr="00776722">
              <w:rPr>
                <w:rFonts w:ascii="Calibri" w:eastAsia="Times New Roman" w:hAnsi="Calibri" w:cs="Times New Roman"/>
                <w:color w:val="000000"/>
                <w:szCs w:val="21"/>
                <w:lang w:eastAsia="cs-CZ"/>
              </w:rPr>
              <w:t>ohadné položky aktivní</w:t>
            </w:r>
          </w:p>
        </w:tc>
        <w:tc>
          <w:tcPr>
            <w:tcW w:w="960" w:type="dxa"/>
            <w:tcBorders>
              <w:top w:val="nil"/>
              <w:left w:val="nil"/>
              <w:bottom w:val="nil"/>
              <w:right w:val="nil"/>
            </w:tcBorders>
            <w:shd w:val="clear" w:color="000000" w:fill="DCE6F1"/>
            <w:noWrap/>
            <w:vAlign w:val="center"/>
          </w:tcPr>
          <w:p w:rsidR="00B80228" w:rsidRPr="00FB4E5F" w:rsidRDefault="00B80228"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713</w:t>
            </w:r>
          </w:p>
        </w:tc>
        <w:tc>
          <w:tcPr>
            <w:tcW w:w="960" w:type="dxa"/>
            <w:tcBorders>
              <w:top w:val="nil"/>
              <w:left w:val="nil"/>
              <w:bottom w:val="nil"/>
              <w:right w:val="nil"/>
            </w:tcBorders>
            <w:shd w:val="clear" w:color="auto" w:fill="auto"/>
            <w:noWrap/>
            <w:vAlign w:val="center"/>
          </w:tcPr>
          <w:p w:rsidR="00B80228" w:rsidRPr="00FB4E5F" w:rsidRDefault="00B80228"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450</w:t>
            </w:r>
          </w:p>
        </w:tc>
        <w:tc>
          <w:tcPr>
            <w:tcW w:w="960" w:type="dxa"/>
            <w:tcBorders>
              <w:top w:val="nil"/>
              <w:left w:val="nil"/>
              <w:bottom w:val="nil"/>
              <w:right w:val="nil"/>
            </w:tcBorders>
            <w:shd w:val="clear" w:color="000000" w:fill="DCE6F1"/>
            <w:noWrap/>
            <w:vAlign w:val="center"/>
          </w:tcPr>
          <w:p w:rsidR="00B80228" w:rsidRPr="00FB4E5F" w:rsidRDefault="00B80228"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308</w:t>
            </w:r>
          </w:p>
        </w:tc>
        <w:tc>
          <w:tcPr>
            <w:tcW w:w="960" w:type="dxa"/>
            <w:tcBorders>
              <w:top w:val="nil"/>
              <w:left w:val="nil"/>
              <w:bottom w:val="nil"/>
              <w:right w:val="nil"/>
            </w:tcBorders>
            <w:shd w:val="clear" w:color="auto" w:fill="auto"/>
            <w:noWrap/>
            <w:vAlign w:val="center"/>
          </w:tcPr>
          <w:p w:rsidR="00B80228" w:rsidRPr="00FB4E5F" w:rsidRDefault="00B80228"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390</w:t>
            </w:r>
          </w:p>
        </w:tc>
        <w:tc>
          <w:tcPr>
            <w:tcW w:w="960" w:type="dxa"/>
            <w:tcBorders>
              <w:top w:val="nil"/>
              <w:left w:val="nil"/>
              <w:bottom w:val="nil"/>
              <w:right w:val="nil"/>
            </w:tcBorders>
            <w:shd w:val="clear" w:color="000000" w:fill="DCE6F1"/>
            <w:noWrap/>
            <w:vAlign w:val="center"/>
          </w:tcPr>
          <w:p w:rsidR="00B80228" w:rsidRPr="00FB4E5F" w:rsidRDefault="00B80228"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10</w:t>
            </w:r>
          </w:p>
        </w:tc>
        <w:tc>
          <w:tcPr>
            <w:tcW w:w="960" w:type="dxa"/>
            <w:tcBorders>
              <w:top w:val="nil"/>
              <w:left w:val="nil"/>
              <w:bottom w:val="nil"/>
              <w:right w:val="nil"/>
            </w:tcBorders>
            <w:shd w:val="clear" w:color="auto" w:fill="auto"/>
            <w:noWrap/>
            <w:vAlign w:val="center"/>
          </w:tcPr>
          <w:p w:rsidR="00B80228" w:rsidRPr="00FB4E5F" w:rsidRDefault="00B80228"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90</w:t>
            </w:r>
          </w:p>
        </w:tc>
        <w:tc>
          <w:tcPr>
            <w:tcW w:w="960" w:type="dxa"/>
            <w:tcBorders>
              <w:top w:val="nil"/>
              <w:left w:val="nil"/>
              <w:bottom w:val="nil"/>
              <w:right w:val="single" w:sz="12" w:space="0" w:color="4F81BD"/>
            </w:tcBorders>
            <w:shd w:val="clear" w:color="000000" w:fill="DCE6F1"/>
            <w:noWrap/>
            <w:vAlign w:val="center"/>
          </w:tcPr>
          <w:p w:rsidR="00B80228" w:rsidRPr="00FB4E5F" w:rsidRDefault="00B80228"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100</w:t>
            </w:r>
          </w:p>
        </w:tc>
      </w:tr>
      <w:tr w:rsidR="00B80228" w:rsidRPr="00FB4E5F" w:rsidTr="008E685C">
        <w:trPr>
          <w:trHeight w:val="300"/>
          <w:jc w:val="center"/>
        </w:trPr>
        <w:tc>
          <w:tcPr>
            <w:tcW w:w="2880" w:type="dxa"/>
            <w:tcBorders>
              <w:top w:val="nil"/>
              <w:left w:val="single" w:sz="12" w:space="0" w:color="4F81BD"/>
              <w:bottom w:val="nil"/>
              <w:right w:val="nil"/>
            </w:tcBorders>
            <w:shd w:val="clear" w:color="000000" w:fill="EEF3F8"/>
            <w:vAlign w:val="center"/>
            <w:hideMark/>
          </w:tcPr>
          <w:p w:rsidR="00B80228" w:rsidRPr="00FB4E5F" w:rsidRDefault="00B80228" w:rsidP="007E01C6">
            <w:pPr>
              <w:spacing w:after="0" w:line="240" w:lineRule="auto"/>
              <w:rPr>
                <w:rFonts w:ascii="Calibri" w:eastAsia="Times New Roman" w:hAnsi="Calibri" w:cs="Times New Roman"/>
                <w:color w:val="000000"/>
                <w:szCs w:val="21"/>
                <w:lang w:eastAsia="cs-CZ"/>
              </w:rPr>
            </w:pPr>
            <w:r>
              <w:rPr>
                <w:rFonts w:ascii="Calibri" w:eastAsia="Times New Roman" w:hAnsi="Calibri" w:cs="Times New Roman"/>
                <w:color w:val="000000"/>
                <w:szCs w:val="21"/>
                <w:lang w:eastAsia="cs-CZ"/>
              </w:rPr>
              <w:t>S</w:t>
            </w:r>
            <w:r w:rsidRPr="00776722">
              <w:rPr>
                <w:rFonts w:ascii="Calibri" w:eastAsia="Times New Roman" w:hAnsi="Calibri" w:cs="Times New Roman"/>
                <w:color w:val="000000"/>
                <w:szCs w:val="21"/>
                <w:lang w:eastAsia="cs-CZ"/>
              </w:rPr>
              <w:t>tav opravných položek</w:t>
            </w:r>
          </w:p>
        </w:tc>
        <w:tc>
          <w:tcPr>
            <w:tcW w:w="960" w:type="dxa"/>
            <w:tcBorders>
              <w:top w:val="nil"/>
              <w:left w:val="nil"/>
              <w:bottom w:val="nil"/>
              <w:right w:val="nil"/>
            </w:tcBorders>
            <w:shd w:val="clear" w:color="000000" w:fill="EEF3F8"/>
            <w:noWrap/>
            <w:vAlign w:val="center"/>
          </w:tcPr>
          <w:p w:rsidR="00B80228" w:rsidRPr="00FB4E5F" w:rsidRDefault="00B80228"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22 098</w:t>
            </w:r>
          </w:p>
        </w:tc>
        <w:tc>
          <w:tcPr>
            <w:tcW w:w="960" w:type="dxa"/>
            <w:tcBorders>
              <w:top w:val="nil"/>
              <w:left w:val="nil"/>
              <w:bottom w:val="nil"/>
              <w:right w:val="nil"/>
            </w:tcBorders>
            <w:shd w:val="clear" w:color="000000" w:fill="EEF3F8"/>
            <w:noWrap/>
            <w:vAlign w:val="center"/>
          </w:tcPr>
          <w:p w:rsidR="00B80228" w:rsidRPr="00FB4E5F" w:rsidRDefault="00B80228"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3 300</w:t>
            </w:r>
          </w:p>
        </w:tc>
        <w:tc>
          <w:tcPr>
            <w:tcW w:w="960" w:type="dxa"/>
            <w:tcBorders>
              <w:top w:val="nil"/>
              <w:left w:val="nil"/>
              <w:bottom w:val="nil"/>
              <w:right w:val="nil"/>
            </w:tcBorders>
            <w:shd w:val="clear" w:color="000000" w:fill="EEF3F8"/>
            <w:noWrap/>
            <w:vAlign w:val="center"/>
          </w:tcPr>
          <w:p w:rsidR="00B80228" w:rsidRPr="00FB4E5F" w:rsidRDefault="00B80228"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4 595</w:t>
            </w:r>
          </w:p>
        </w:tc>
        <w:tc>
          <w:tcPr>
            <w:tcW w:w="960" w:type="dxa"/>
            <w:tcBorders>
              <w:top w:val="nil"/>
              <w:left w:val="nil"/>
              <w:bottom w:val="nil"/>
              <w:right w:val="nil"/>
            </w:tcBorders>
            <w:shd w:val="clear" w:color="000000" w:fill="EEF3F8"/>
            <w:noWrap/>
            <w:vAlign w:val="center"/>
          </w:tcPr>
          <w:p w:rsidR="00B80228" w:rsidRPr="00FB4E5F" w:rsidRDefault="00B80228"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1 876</w:t>
            </w:r>
          </w:p>
        </w:tc>
        <w:tc>
          <w:tcPr>
            <w:tcW w:w="960" w:type="dxa"/>
            <w:tcBorders>
              <w:top w:val="nil"/>
              <w:left w:val="nil"/>
              <w:bottom w:val="nil"/>
              <w:right w:val="nil"/>
            </w:tcBorders>
            <w:shd w:val="clear" w:color="000000" w:fill="EEF3F8"/>
            <w:noWrap/>
            <w:vAlign w:val="center"/>
          </w:tcPr>
          <w:p w:rsidR="00B80228" w:rsidRPr="00FB4E5F" w:rsidRDefault="00B80228"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420</w:t>
            </w:r>
          </w:p>
        </w:tc>
        <w:tc>
          <w:tcPr>
            <w:tcW w:w="960" w:type="dxa"/>
            <w:tcBorders>
              <w:top w:val="nil"/>
              <w:left w:val="nil"/>
              <w:bottom w:val="nil"/>
              <w:right w:val="nil"/>
            </w:tcBorders>
            <w:shd w:val="clear" w:color="000000" w:fill="EEF3F8"/>
            <w:noWrap/>
            <w:vAlign w:val="center"/>
          </w:tcPr>
          <w:p w:rsidR="00B80228" w:rsidRPr="00FB4E5F" w:rsidRDefault="00B80228"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3 268</w:t>
            </w:r>
          </w:p>
        </w:tc>
        <w:tc>
          <w:tcPr>
            <w:tcW w:w="960" w:type="dxa"/>
            <w:tcBorders>
              <w:top w:val="nil"/>
              <w:left w:val="nil"/>
              <w:bottom w:val="nil"/>
              <w:right w:val="single" w:sz="12" w:space="0" w:color="4F81BD"/>
            </w:tcBorders>
            <w:shd w:val="clear" w:color="000000" w:fill="EEF3F8"/>
            <w:noWrap/>
            <w:vAlign w:val="center"/>
          </w:tcPr>
          <w:p w:rsidR="00B80228" w:rsidRPr="00FB4E5F" w:rsidRDefault="00B80228"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1 688</w:t>
            </w:r>
          </w:p>
        </w:tc>
      </w:tr>
      <w:tr w:rsidR="00B80228" w:rsidRPr="00FB4E5F" w:rsidTr="008E685C">
        <w:trPr>
          <w:trHeight w:val="300"/>
          <w:jc w:val="center"/>
        </w:trPr>
        <w:tc>
          <w:tcPr>
            <w:tcW w:w="2880" w:type="dxa"/>
            <w:tcBorders>
              <w:top w:val="nil"/>
              <w:left w:val="single" w:sz="12" w:space="0" w:color="4F81BD"/>
              <w:bottom w:val="nil"/>
              <w:right w:val="nil"/>
            </w:tcBorders>
            <w:shd w:val="clear" w:color="auto" w:fill="auto"/>
            <w:vAlign w:val="center"/>
            <w:hideMark/>
          </w:tcPr>
          <w:p w:rsidR="00B80228" w:rsidRPr="00FB4E5F" w:rsidRDefault="00B80228" w:rsidP="007E01C6">
            <w:pPr>
              <w:spacing w:after="0" w:line="240" w:lineRule="auto"/>
              <w:rPr>
                <w:rFonts w:ascii="Calibri" w:eastAsia="Times New Roman" w:hAnsi="Calibri" w:cs="Times New Roman"/>
                <w:color w:val="000000"/>
                <w:szCs w:val="21"/>
                <w:lang w:eastAsia="cs-CZ"/>
              </w:rPr>
            </w:pPr>
            <w:r>
              <w:rPr>
                <w:rFonts w:ascii="Calibri" w:eastAsia="Times New Roman" w:hAnsi="Calibri" w:cs="Times New Roman"/>
                <w:color w:val="000000"/>
                <w:szCs w:val="21"/>
                <w:lang w:eastAsia="cs-CZ"/>
              </w:rPr>
              <w:t>R</w:t>
            </w:r>
            <w:r w:rsidRPr="00776722">
              <w:rPr>
                <w:rFonts w:ascii="Calibri" w:eastAsia="Times New Roman" w:hAnsi="Calibri" w:cs="Times New Roman"/>
                <w:color w:val="000000"/>
                <w:szCs w:val="21"/>
                <w:lang w:eastAsia="cs-CZ"/>
              </w:rPr>
              <w:t>oční odpisy pohledávek</w:t>
            </w:r>
          </w:p>
        </w:tc>
        <w:tc>
          <w:tcPr>
            <w:tcW w:w="960" w:type="dxa"/>
            <w:tcBorders>
              <w:top w:val="nil"/>
              <w:left w:val="nil"/>
              <w:bottom w:val="nil"/>
              <w:right w:val="nil"/>
            </w:tcBorders>
            <w:shd w:val="clear" w:color="000000" w:fill="DCE6F1"/>
            <w:noWrap/>
            <w:vAlign w:val="center"/>
          </w:tcPr>
          <w:p w:rsidR="00B80228" w:rsidRPr="00FB4E5F" w:rsidRDefault="00B80228"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2 500</w:t>
            </w:r>
          </w:p>
        </w:tc>
        <w:tc>
          <w:tcPr>
            <w:tcW w:w="960" w:type="dxa"/>
            <w:tcBorders>
              <w:top w:val="nil"/>
              <w:left w:val="nil"/>
              <w:bottom w:val="nil"/>
              <w:right w:val="nil"/>
            </w:tcBorders>
            <w:shd w:val="clear" w:color="auto" w:fill="auto"/>
            <w:noWrap/>
            <w:vAlign w:val="center"/>
          </w:tcPr>
          <w:p w:rsidR="00B80228" w:rsidRPr="00FB4E5F" w:rsidRDefault="00B80228"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180</w:t>
            </w:r>
          </w:p>
        </w:tc>
        <w:tc>
          <w:tcPr>
            <w:tcW w:w="960" w:type="dxa"/>
            <w:tcBorders>
              <w:top w:val="nil"/>
              <w:left w:val="nil"/>
              <w:bottom w:val="nil"/>
              <w:right w:val="nil"/>
            </w:tcBorders>
            <w:shd w:val="clear" w:color="000000" w:fill="DCE6F1"/>
            <w:noWrap/>
            <w:vAlign w:val="center"/>
          </w:tcPr>
          <w:p w:rsidR="00B80228" w:rsidRPr="00FB4E5F" w:rsidRDefault="00B80228"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300</w:t>
            </w:r>
          </w:p>
        </w:tc>
        <w:tc>
          <w:tcPr>
            <w:tcW w:w="960" w:type="dxa"/>
            <w:tcBorders>
              <w:top w:val="nil"/>
              <w:left w:val="nil"/>
              <w:bottom w:val="nil"/>
              <w:right w:val="nil"/>
            </w:tcBorders>
            <w:shd w:val="clear" w:color="auto" w:fill="auto"/>
            <w:noWrap/>
            <w:vAlign w:val="center"/>
          </w:tcPr>
          <w:p w:rsidR="00B80228" w:rsidRPr="00FB4E5F" w:rsidRDefault="00B80228"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241</w:t>
            </w:r>
          </w:p>
        </w:tc>
        <w:tc>
          <w:tcPr>
            <w:tcW w:w="960" w:type="dxa"/>
            <w:tcBorders>
              <w:top w:val="nil"/>
              <w:left w:val="nil"/>
              <w:bottom w:val="nil"/>
              <w:right w:val="nil"/>
            </w:tcBorders>
            <w:shd w:val="clear" w:color="000000" w:fill="DCE6F1"/>
            <w:noWrap/>
            <w:vAlign w:val="center"/>
          </w:tcPr>
          <w:p w:rsidR="00B80228" w:rsidRPr="00FB4E5F" w:rsidRDefault="00B80228"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21</w:t>
            </w:r>
          </w:p>
        </w:tc>
        <w:tc>
          <w:tcPr>
            <w:tcW w:w="960" w:type="dxa"/>
            <w:tcBorders>
              <w:top w:val="nil"/>
              <w:left w:val="nil"/>
              <w:bottom w:val="nil"/>
              <w:right w:val="nil"/>
            </w:tcBorders>
            <w:shd w:val="clear" w:color="auto" w:fill="auto"/>
            <w:noWrap/>
            <w:vAlign w:val="center"/>
          </w:tcPr>
          <w:p w:rsidR="00B80228" w:rsidRPr="00FB4E5F" w:rsidRDefault="00B80228"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300</w:t>
            </w:r>
          </w:p>
        </w:tc>
        <w:tc>
          <w:tcPr>
            <w:tcW w:w="960" w:type="dxa"/>
            <w:tcBorders>
              <w:top w:val="nil"/>
              <w:left w:val="nil"/>
              <w:bottom w:val="nil"/>
              <w:right w:val="single" w:sz="12" w:space="0" w:color="4F81BD"/>
            </w:tcBorders>
            <w:shd w:val="clear" w:color="000000" w:fill="DCE6F1"/>
            <w:noWrap/>
            <w:vAlign w:val="center"/>
          </w:tcPr>
          <w:p w:rsidR="00B80228" w:rsidRPr="00FB4E5F" w:rsidRDefault="00B80228"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27</w:t>
            </w:r>
          </w:p>
        </w:tc>
      </w:tr>
      <w:tr w:rsidR="00B80228" w:rsidRPr="00FB4E5F" w:rsidTr="008E685C">
        <w:trPr>
          <w:trHeight w:val="300"/>
          <w:jc w:val="center"/>
        </w:trPr>
        <w:tc>
          <w:tcPr>
            <w:tcW w:w="2880" w:type="dxa"/>
            <w:tcBorders>
              <w:top w:val="nil"/>
              <w:left w:val="single" w:sz="12" w:space="0" w:color="4F81BD"/>
              <w:bottom w:val="nil"/>
              <w:right w:val="nil"/>
            </w:tcBorders>
            <w:shd w:val="clear" w:color="000000" w:fill="EEF3F8"/>
            <w:vAlign w:val="center"/>
            <w:hideMark/>
          </w:tcPr>
          <w:p w:rsidR="00B80228" w:rsidRPr="00FB4E5F" w:rsidRDefault="00B80228" w:rsidP="007E01C6">
            <w:pPr>
              <w:spacing w:after="0" w:line="240" w:lineRule="auto"/>
              <w:rPr>
                <w:rFonts w:ascii="Calibri" w:eastAsia="Times New Roman" w:hAnsi="Calibri" w:cs="Times New Roman"/>
                <w:color w:val="000000"/>
                <w:szCs w:val="21"/>
                <w:lang w:eastAsia="cs-CZ"/>
              </w:rPr>
            </w:pPr>
            <w:r>
              <w:rPr>
                <w:rFonts w:ascii="Calibri" w:eastAsia="Times New Roman" w:hAnsi="Calibri" w:cs="Times New Roman"/>
                <w:color w:val="000000"/>
                <w:szCs w:val="21"/>
                <w:lang w:eastAsia="cs-CZ"/>
              </w:rPr>
              <w:t>R</w:t>
            </w:r>
            <w:r w:rsidRPr="00776722">
              <w:rPr>
                <w:rFonts w:ascii="Calibri" w:eastAsia="Times New Roman" w:hAnsi="Calibri" w:cs="Times New Roman"/>
                <w:color w:val="000000"/>
                <w:szCs w:val="21"/>
                <w:lang w:eastAsia="cs-CZ"/>
              </w:rPr>
              <w:t>oční odstranění tvrdosti</w:t>
            </w:r>
          </w:p>
        </w:tc>
        <w:tc>
          <w:tcPr>
            <w:tcW w:w="960" w:type="dxa"/>
            <w:tcBorders>
              <w:top w:val="nil"/>
              <w:left w:val="nil"/>
              <w:bottom w:val="nil"/>
              <w:right w:val="nil"/>
            </w:tcBorders>
            <w:shd w:val="clear" w:color="000000" w:fill="EEF3F8"/>
            <w:noWrap/>
            <w:vAlign w:val="center"/>
          </w:tcPr>
          <w:p w:rsidR="00B80228" w:rsidRPr="00FB4E5F" w:rsidRDefault="00B80228"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130</w:t>
            </w:r>
          </w:p>
        </w:tc>
        <w:tc>
          <w:tcPr>
            <w:tcW w:w="960" w:type="dxa"/>
            <w:tcBorders>
              <w:top w:val="nil"/>
              <w:left w:val="nil"/>
              <w:bottom w:val="nil"/>
              <w:right w:val="nil"/>
            </w:tcBorders>
            <w:shd w:val="clear" w:color="000000" w:fill="EEF3F8"/>
            <w:noWrap/>
            <w:vAlign w:val="center"/>
          </w:tcPr>
          <w:p w:rsidR="00B80228" w:rsidRPr="00FB4E5F" w:rsidRDefault="00B80228"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4</w:t>
            </w:r>
          </w:p>
        </w:tc>
        <w:tc>
          <w:tcPr>
            <w:tcW w:w="960" w:type="dxa"/>
            <w:tcBorders>
              <w:top w:val="nil"/>
              <w:left w:val="nil"/>
              <w:bottom w:val="nil"/>
              <w:right w:val="nil"/>
            </w:tcBorders>
            <w:shd w:val="clear" w:color="000000" w:fill="EEF3F8"/>
            <w:noWrap/>
            <w:vAlign w:val="center"/>
          </w:tcPr>
          <w:p w:rsidR="00B80228" w:rsidRPr="00FB4E5F" w:rsidRDefault="00B80228"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25</w:t>
            </w:r>
          </w:p>
        </w:tc>
        <w:tc>
          <w:tcPr>
            <w:tcW w:w="960" w:type="dxa"/>
            <w:tcBorders>
              <w:top w:val="nil"/>
              <w:left w:val="nil"/>
              <w:bottom w:val="nil"/>
              <w:right w:val="nil"/>
            </w:tcBorders>
            <w:shd w:val="clear" w:color="000000" w:fill="EEF3F8"/>
            <w:noWrap/>
            <w:vAlign w:val="center"/>
          </w:tcPr>
          <w:p w:rsidR="00B80228" w:rsidRPr="00FB4E5F" w:rsidRDefault="00B80228"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13</w:t>
            </w:r>
          </w:p>
        </w:tc>
        <w:tc>
          <w:tcPr>
            <w:tcW w:w="960" w:type="dxa"/>
            <w:tcBorders>
              <w:top w:val="nil"/>
              <w:left w:val="nil"/>
              <w:bottom w:val="nil"/>
              <w:right w:val="nil"/>
            </w:tcBorders>
            <w:shd w:val="clear" w:color="000000" w:fill="EEF3F8"/>
            <w:noWrap/>
            <w:vAlign w:val="center"/>
          </w:tcPr>
          <w:p w:rsidR="00B80228" w:rsidRPr="00FB4E5F" w:rsidRDefault="00B80228"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w:t>
            </w:r>
          </w:p>
        </w:tc>
        <w:tc>
          <w:tcPr>
            <w:tcW w:w="960" w:type="dxa"/>
            <w:tcBorders>
              <w:top w:val="nil"/>
              <w:left w:val="nil"/>
              <w:bottom w:val="nil"/>
              <w:right w:val="nil"/>
            </w:tcBorders>
            <w:shd w:val="clear" w:color="000000" w:fill="EEF3F8"/>
            <w:noWrap/>
            <w:vAlign w:val="center"/>
          </w:tcPr>
          <w:p w:rsidR="00B80228" w:rsidRPr="00FB4E5F" w:rsidRDefault="00B80228"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15</w:t>
            </w:r>
          </w:p>
        </w:tc>
        <w:tc>
          <w:tcPr>
            <w:tcW w:w="960" w:type="dxa"/>
            <w:tcBorders>
              <w:top w:val="nil"/>
              <w:left w:val="nil"/>
              <w:bottom w:val="nil"/>
              <w:right w:val="single" w:sz="12" w:space="0" w:color="4F81BD"/>
            </w:tcBorders>
            <w:shd w:val="clear" w:color="000000" w:fill="EEF3F8"/>
            <w:noWrap/>
            <w:vAlign w:val="center"/>
          </w:tcPr>
          <w:p w:rsidR="00B80228" w:rsidRPr="00FB4E5F" w:rsidRDefault="00B80228"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w:t>
            </w:r>
          </w:p>
        </w:tc>
      </w:tr>
      <w:tr w:rsidR="00B80228" w:rsidRPr="00FB4E5F" w:rsidTr="008E685C">
        <w:trPr>
          <w:trHeight w:val="300"/>
          <w:jc w:val="center"/>
        </w:trPr>
        <w:tc>
          <w:tcPr>
            <w:tcW w:w="2880" w:type="dxa"/>
            <w:tcBorders>
              <w:top w:val="nil"/>
              <w:left w:val="single" w:sz="12" w:space="0" w:color="4F81BD"/>
              <w:bottom w:val="nil"/>
              <w:right w:val="nil"/>
            </w:tcBorders>
            <w:shd w:val="clear" w:color="auto" w:fill="auto"/>
            <w:vAlign w:val="center"/>
            <w:hideMark/>
          </w:tcPr>
          <w:p w:rsidR="00B80228" w:rsidRPr="00FB4E5F" w:rsidRDefault="00B80228" w:rsidP="007E01C6">
            <w:pPr>
              <w:spacing w:after="0" w:line="240" w:lineRule="auto"/>
              <w:rPr>
                <w:rFonts w:ascii="Calibri" w:eastAsia="Times New Roman" w:hAnsi="Calibri" w:cs="Times New Roman"/>
                <w:b/>
                <w:bCs/>
                <w:color w:val="000000"/>
                <w:szCs w:val="21"/>
                <w:lang w:eastAsia="cs-CZ"/>
              </w:rPr>
            </w:pPr>
            <w:r>
              <w:rPr>
                <w:rFonts w:ascii="Calibri" w:eastAsia="Times New Roman" w:hAnsi="Calibri" w:cs="Arial"/>
                <w:b/>
                <w:bCs/>
                <w:color w:val="000000"/>
                <w:szCs w:val="21"/>
                <w:lang w:eastAsia="cs-CZ"/>
              </w:rPr>
              <w:t>S</w:t>
            </w:r>
            <w:r w:rsidRPr="00776722">
              <w:rPr>
                <w:rFonts w:ascii="Calibri" w:eastAsia="Times New Roman" w:hAnsi="Calibri" w:cs="Arial"/>
                <w:b/>
                <w:bCs/>
                <w:color w:val="000000"/>
                <w:szCs w:val="21"/>
                <w:lang w:eastAsia="cs-CZ"/>
              </w:rPr>
              <w:t>tav závazků celkem</w:t>
            </w:r>
          </w:p>
        </w:tc>
        <w:tc>
          <w:tcPr>
            <w:tcW w:w="960" w:type="dxa"/>
            <w:tcBorders>
              <w:top w:val="nil"/>
              <w:left w:val="nil"/>
              <w:bottom w:val="nil"/>
              <w:right w:val="nil"/>
            </w:tcBorders>
            <w:shd w:val="clear" w:color="000000" w:fill="DCE6F1"/>
            <w:noWrap/>
            <w:vAlign w:val="center"/>
          </w:tcPr>
          <w:p w:rsidR="00B80228" w:rsidRPr="00FB4E5F" w:rsidRDefault="00B80228" w:rsidP="007E01C6">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23 890</w:t>
            </w:r>
          </w:p>
        </w:tc>
        <w:tc>
          <w:tcPr>
            <w:tcW w:w="960" w:type="dxa"/>
            <w:tcBorders>
              <w:top w:val="nil"/>
              <w:left w:val="nil"/>
              <w:bottom w:val="nil"/>
              <w:right w:val="nil"/>
            </w:tcBorders>
            <w:shd w:val="clear" w:color="auto" w:fill="auto"/>
            <w:noWrap/>
            <w:vAlign w:val="center"/>
          </w:tcPr>
          <w:p w:rsidR="00B80228" w:rsidRPr="00FB4E5F" w:rsidRDefault="00B80228" w:rsidP="007E01C6">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3 368</w:t>
            </w:r>
          </w:p>
        </w:tc>
        <w:tc>
          <w:tcPr>
            <w:tcW w:w="960" w:type="dxa"/>
            <w:tcBorders>
              <w:top w:val="nil"/>
              <w:left w:val="nil"/>
              <w:bottom w:val="nil"/>
              <w:right w:val="nil"/>
            </w:tcBorders>
            <w:shd w:val="clear" w:color="000000" w:fill="DCE6F1"/>
            <w:noWrap/>
            <w:vAlign w:val="center"/>
          </w:tcPr>
          <w:p w:rsidR="00B80228" w:rsidRPr="00FB4E5F" w:rsidRDefault="00B80228" w:rsidP="007E01C6">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3 965</w:t>
            </w:r>
          </w:p>
        </w:tc>
        <w:tc>
          <w:tcPr>
            <w:tcW w:w="960" w:type="dxa"/>
            <w:tcBorders>
              <w:top w:val="nil"/>
              <w:left w:val="nil"/>
              <w:bottom w:val="nil"/>
              <w:right w:val="nil"/>
            </w:tcBorders>
            <w:shd w:val="clear" w:color="auto" w:fill="auto"/>
            <w:noWrap/>
            <w:vAlign w:val="center"/>
          </w:tcPr>
          <w:p w:rsidR="00B80228" w:rsidRPr="00FB4E5F" w:rsidRDefault="00B80228" w:rsidP="007E01C6">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3 192</w:t>
            </w:r>
          </w:p>
        </w:tc>
        <w:tc>
          <w:tcPr>
            <w:tcW w:w="960" w:type="dxa"/>
            <w:tcBorders>
              <w:top w:val="nil"/>
              <w:left w:val="nil"/>
              <w:bottom w:val="nil"/>
              <w:right w:val="nil"/>
            </w:tcBorders>
            <w:shd w:val="clear" w:color="000000" w:fill="DCE6F1"/>
            <w:noWrap/>
            <w:vAlign w:val="center"/>
          </w:tcPr>
          <w:p w:rsidR="00B80228" w:rsidRPr="00FB4E5F" w:rsidRDefault="00B80228" w:rsidP="007E01C6">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737</w:t>
            </w:r>
          </w:p>
        </w:tc>
        <w:tc>
          <w:tcPr>
            <w:tcW w:w="960" w:type="dxa"/>
            <w:tcBorders>
              <w:top w:val="nil"/>
              <w:left w:val="nil"/>
              <w:bottom w:val="nil"/>
              <w:right w:val="nil"/>
            </w:tcBorders>
            <w:shd w:val="clear" w:color="auto" w:fill="auto"/>
            <w:noWrap/>
            <w:vAlign w:val="center"/>
          </w:tcPr>
          <w:p w:rsidR="00B80228" w:rsidRPr="00FB4E5F" w:rsidRDefault="00B80228" w:rsidP="007E01C6">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4 394</w:t>
            </w:r>
          </w:p>
        </w:tc>
        <w:tc>
          <w:tcPr>
            <w:tcW w:w="960" w:type="dxa"/>
            <w:tcBorders>
              <w:top w:val="nil"/>
              <w:left w:val="nil"/>
              <w:bottom w:val="nil"/>
              <w:right w:val="single" w:sz="12" w:space="0" w:color="4F81BD"/>
            </w:tcBorders>
            <w:shd w:val="clear" w:color="000000" w:fill="DCE6F1"/>
            <w:noWrap/>
            <w:vAlign w:val="center"/>
          </w:tcPr>
          <w:p w:rsidR="00B80228" w:rsidRPr="00FB4E5F" w:rsidRDefault="00B80228" w:rsidP="007E01C6">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1 950</w:t>
            </w:r>
          </w:p>
        </w:tc>
      </w:tr>
      <w:tr w:rsidR="00B80228" w:rsidRPr="00FB4E5F" w:rsidTr="008E685C">
        <w:trPr>
          <w:trHeight w:val="300"/>
          <w:jc w:val="center"/>
        </w:trPr>
        <w:tc>
          <w:tcPr>
            <w:tcW w:w="2880" w:type="dxa"/>
            <w:tcBorders>
              <w:top w:val="nil"/>
              <w:left w:val="single" w:sz="12" w:space="0" w:color="4F81BD"/>
              <w:bottom w:val="nil"/>
              <w:right w:val="nil"/>
            </w:tcBorders>
            <w:shd w:val="clear" w:color="000000" w:fill="EEF3F8"/>
            <w:vAlign w:val="center"/>
            <w:hideMark/>
          </w:tcPr>
          <w:p w:rsidR="00B80228" w:rsidRPr="00FB4E5F" w:rsidRDefault="00B80228" w:rsidP="007E01C6">
            <w:pPr>
              <w:spacing w:after="0" w:line="240" w:lineRule="auto"/>
              <w:rPr>
                <w:rFonts w:ascii="Calibri" w:eastAsia="Times New Roman" w:hAnsi="Calibri" w:cs="Times New Roman"/>
                <w:color w:val="000000"/>
                <w:szCs w:val="21"/>
                <w:lang w:eastAsia="cs-CZ"/>
              </w:rPr>
            </w:pPr>
            <w:r>
              <w:rPr>
                <w:rFonts w:ascii="Calibri" w:eastAsia="Times New Roman" w:hAnsi="Calibri" w:cs="Times New Roman"/>
                <w:color w:val="000000"/>
                <w:szCs w:val="21"/>
                <w:lang w:eastAsia="cs-CZ"/>
              </w:rPr>
              <w:t>Z</w:t>
            </w:r>
            <w:r w:rsidRPr="00776722">
              <w:rPr>
                <w:rFonts w:ascii="Calibri" w:eastAsia="Times New Roman" w:hAnsi="Calibri" w:cs="Times New Roman"/>
                <w:color w:val="000000"/>
                <w:szCs w:val="21"/>
                <w:lang w:eastAsia="cs-CZ"/>
              </w:rPr>
              <w:t> toho po lhůtě vůči PZS</w:t>
            </w:r>
          </w:p>
        </w:tc>
        <w:tc>
          <w:tcPr>
            <w:tcW w:w="960" w:type="dxa"/>
            <w:tcBorders>
              <w:top w:val="nil"/>
              <w:left w:val="nil"/>
              <w:bottom w:val="nil"/>
              <w:right w:val="nil"/>
            </w:tcBorders>
            <w:shd w:val="clear" w:color="000000" w:fill="EEF3F8"/>
            <w:noWrap/>
            <w:vAlign w:val="center"/>
          </w:tcPr>
          <w:p w:rsidR="00B80228" w:rsidRPr="00FB4E5F" w:rsidRDefault="00B80228"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0</w:t>
            </w:r>
          </w:p>
        </w:tc>
        <w:tc>
          <w:tcPr>
            <w:tcW w:w="960" w:type="dxa"/>
            <w:tcBorders>
              <w:top w:val="nil"/>
              <w:left w:val="nil"/>
              <w:bottom w:val="nil"/>
              <w:right w:val="nil"/>
            </w:tcBorders>
            <w:shd w:val="clear" w:color="000000" w:fill="EEF3F8"/>
            <w:noWrap/>
            <w:vAlign w:val="center"/>
          </w:tcPr>
          <w:p w:rsidR="00B80228" w:rsidRPr="00FB4E5F" w:rsidRDefault="00B80228"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0</w:t>
            </w:r>
          </w:p>
        </w:tc>
        <w:tc>
          <w:tcPr>
            <w:tcW w:w="960" w:type="dxa"/>
            <w:tcBorders>
              <w:top w:val="nil"/>
              <w:left w:val="nil"/>
              <w:bottom w:val="nil"/>
              <w:right w:val="nil"/>
            </w:tcBorders>
            <w:shd w:val="clear" w:color="000000" w:fill="EEF3F8"/>
            <w:noWrap/>
            <w:vAlign w:val="center"/>
          </w:tcPr>
          <w:p w:rsidR="00B80228" w:rsidRPr="00FB4E5F" w:rsidRDefault="00B80228"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0</w:t>
            </w:r>
          </w:p>
        </w:tc>
        <w:tc>
          <w:tcPr>
            <w:tcW w:w="960" w:type="dxa"/>
            <w:tcBorders>
              <w:top w:val="nil"/>
              <w:left w:val="nil"/>
              <w:bottom w:val="nil"/>
              <w:right w:val="nil"/>
            </w:tcBorders>
            <w:shd w:val="clear" w:color="000000" w:fill="EEF3F8"/>
            <w:noWrap/>
            <w:vAlign w:val="center"/>
          </w:tcPr>
          <w:p w:rsidR="00B80228" w:rsidRPr="00FB4E5F" w:rsidRDefault="00B80228"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0</w:t>
            </w:r>
          </w:p>
        </w:tc>
        <w:tc>
          <w:tcPr>
            <w:tcW w:w="960" w:type="dxa"/>
            <w:tcBorders>
              <w:top w:val="nil"/>
              <w:left w:val="nil"/>
              <w:bottom w:val="nil"/>
              <w:right w:val="nil"/>
            </w:tcBorders>
            <w:shd w:val="clear" w:color="000000" w:fill="EEF3F8"/>
            <w:noWrap/>
            <w:vAlign w:val="center"/>
          </w:tcPr>
          <w:p w:rsidR="00B80228" w:rsidRPr="00FB4E5F" w:rsidRDefault="00B80228"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0</w:t>
            </w:r>
          </w:p>
        </w:tc>
        <w:tc>
          <w:tcPr>
            <w:tcW w:w="960" w:type="dxa"/>
            <w:tcBorders>
              <w:top w:val="nil"/>
              <w:left w:val="nil"/>
              <w:bottom w:val="nil"/>
              <w:right w:val="nil"/>
            </w:tcBorders>
            <w:shd w:val="clear" w:color="000000" w:fill="EEF3F8"/>
            <w:noWrap/>
            <w:vAlign w:val="center"/>
          </w:tcPr>
          <w:p w:rsidR="00B80228" w:rsidRPr="00FB4E5F" w:rsidRDefault="00B80228"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0</w:t>
            </w:r>
          </w:p>
        </w:tc>
        <w:tc>
          <w:tcPr>
            <w:tcW w:w="960" w:type="dxa"/>
            <w:tcBorders>
              <w:top w:val="nil"/>
              <w:left w:val="nil"/>
              <w:bottom w:val="nil"/>
              <w:right w:val="single" w:sz="12" w:space="0" w:color="4F81BD"/>
            </w:tcBorders>
            <w:shd w:val="clear" w:color="000000" w:fill="EEF3F8"/>
            <w:noWrap/>
            <w:vAlign w:val="center"/>
          </w:tcPr>
          <w:p w:rsidR="00B80228" w:rsidRPr="00FB4E5F" w:rsidRDefault="00B80228"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0</w:t>
            </w:r>
          </w:p>
        </w:tc>
      </w:tr>
      <w:tr w:rsidR="00B80228" w:rsidRPr="00FB4E5F" w:rsidTr="008E685C">
        <w:trPr>
          <w:trHeight w:val="300"/>
          <w:jc w:val="center"/>
        </w:trPr>
        <w:tc>
          <w:tcPr>
            <w:tcW w:w="2880" w:type="dxa"/>
            <w:tcBorders>
              <w:top w:val="nil"/>
              <w:left w:val="single" w:sz="12" w:space="0" w:color="4F81BD"/>
              <w:bottom w:val="nil"/>
              <w:right w:val="nil"/>
            </w:tcBorders>
            <w:shd w:val="clear" w:color="auto" w:fill="auto"/>
            <w:vAlign w:val="center"/>
            <w:hideMark/>
          </w:tcPr>
          <w:p w:rsidR="00B80228" w:rsidRPr="00FB4E5F" w:rsidRDefault="00B80228" w:rsidP="007E01C6">
            <w:pPr>
              <w:spacing w:after="0" w:line="240" w:lineRule="auto"/>
              <w:rPr>
                <w:rFonts w:ascii="Calibri" w:eastAsia="Times New Roman" w:hAnsi="Calibri" w:cs="Times New Roman"/>
                <w:color w:val="000000"/>
                <w:szCs w:val="21"/>
                <w:lang w:eastAsia="cs-CZ"/>
              </w:rPr>
            </w:pPr>
            <w:r>
              <w:rPr>
                <w:rFonts w:ascii="Calibri" w:eastAsia="Times New Roman" w:hAnsi="Calibri" w:cs="Times New Roman"/>
                <w:color w:val="000000"/>
                <w:szCs w:val="21"/>
                <w:lang w:eastAsia="cs-CZ"/>
              </w:rPr>
              <w:t>D</w:t>
            </w:r>
            <w:r w:rsidRPr="00776722">
              <w:rPr>
                <w:rFonts w:ascii="Calibri" w:eastAsia="Times New Roman" w:hAnsi="Calibri" w:cs="Times New Roman"/>
                <w:color w:val="000000"/>
                <w:szCs w:val="21"/>
                <w:lang w:eastAsia="cs-CZ"/>
              </w:rPr>
              <w:t>ohadné položky pasivní</w:t>
            </w:r>
          </w:p>
        </w:tc>
        <w:tc>
          <w:tcPr>
            <w:tcW w:w="960" w:type="dxa"/>
            <w:tcBorders>
              <w:top w:val="nil"/>
              <w:left w:val="nil"/>
              <w:bottom w:val="nil"/>
              <w:right w:val="nil"/>
            </w:tcBorders>
            <w:shd w:val="clear" w:color="000000" w:fill="DCE6F1"/>
            <w:noWrap/>
            <w:vAlign w:val="center"/>
          </w:tcPr>
          <w:p w:rsidR="00B80228" w:rsidRPr="00FB4E5F" w:rsidRDefault="00B80228"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8 178</w:t>
            </w:r>
          </w:p>
        </w:tc>
        <w:tc>
          <w:tcPr>
            <w:tcW w:w="960" w:type="dxa"/>
            <w:tcBorders>
              <w:top w:val="nil"/>
              <w:left w:val="nil"/>
              <w:bottom w:val="nil"/>
              <w:right w:val="nil"/>
            </w:tcBorders>
            <w:shd w:val="clear" w:color="auto" w:fill="auto"/>
            <w:noWrap/>
            <w:vAlign w:val="center"/>
          </w:tcPr>
          <w:p w:rsidR="00B80228" w:rsidRPr="00FB4E5F" w:rsidRDefault="00B80228"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1 000</w:t>
            </w:r>
          </w:p>
        </w:tc>
        <w:tc>
          <w:tcPr>
            <w:tcW w:w="960" w:type="dxa"/>
            <w:tcBorders>
              <w:top w:val="nil"/>
              <w:left w:val="nil"/>
              <w:bottom w:val="nil"/>
              <w:right w:val="nil"/>
            </w:tcBorders>
            <w:shd w:val="clear" w:color="000000" w:fill="DCE6F1"/>
            <w:noWrap/>
            <w:vAlign w:val="center"/>
          </w:tcPr>
          <w:p w:rsidR="00B80228" w:rsidRPr="00FB4E5F" w:rsidRDefault="00B80228"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1 232</w:t>
            </w:r>
          </w:p>
        </w:tc>
        <w:tc>
          <w:tcPr>
            <w:tcW w:w="960" w:type="dxa"/>
            <w:tcBorders>
              <w:top w:val="nil"/>
              <w:left w:val="nil"/>
              <w:bottom w:val="nil"/>
              <w:right w:val="nil"/>
            </w:tcBorders>
            <w:shd w:val="clear" w:color="auto" w:fill="auto"/>
            <w:noWrap/>
            <w:vAlign w:val="center"/>
          </w:tcPr>
          <w:p w:rsidR="00B80228" w:rsidRPr="00FB4E5F" w:rsidRDefault="00B80228"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812</w:t>
            </w:r>
          </w:p>
        </w:tc>
        <w:tc>
          <w:tcPr>
            <w:tcW w:w="960" w:type="dxa"/>
            <w:tcBorders>
              <w:top w:val="nil"/>
              <w:left w:val="nil"/>
              <w:bottom w:val="nil"/>
              <w:right w:val="nil"/>
            </w:tcBorders>
            <w:shd w:val="clear" w:color="000000" w:fill="DCE6F1"/>
            <w:noWrap/>
            <w:vAlign w:val="center"/>
          </w:tcPr>
          <w:p w:rsidR="00B80228" w:rsidRPr="00FB4E5F" w:rsidRDefault="00B80228"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350</w:t>
            </w:r>
          </w:p>
        </w:tc>
        <w:tc>
          <w:tcPr>
            <w:tcW w:w="960" w:type="dxa"/>
            <w:tcBorders>
              <w:top w:val="nil"/>
              <w:left w:val="nil"/>
              <w:bottom w:val="nil"/>
              <w:right w:val="nil"/>
            </w:tcBorders>
            <w:shd w:val="clear" w:color="auto" w:fill="auto"/>
            <w:noWrap/>
            <w:vAlign w:val="center"/>
          </w:tcPr>
          <w:p w:rsidR="00B80228" w:rsidRPr="00FB4E5F" w:rsidRDefault="00B80228"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1 034</w:t>
            </w:r>
          </w:p>
        </w:tc>
        <w:tc>
          <w:tcPr>
            <w:tcW w:w="960" w:type="dxa"/>
            <w:tcBorders>
              <w:top w:val="nil"/>
              <w:left w:val="nil"/>
              <w:bottom w:val="nil"/>
              <w:right w:val="single" w:sz="12" w:space="0" w:color="4F81BD"/>
            </w:tcBorders>
            <w:shd w:val="clear" w:color="000000" w:fill="DCE6F1"/>
            <w:noWrap/>
            <w:vAlign w:val="center"/>
          </w:tcPr>
          <w:p w:rsidR="00B80228" w:rsidRPr="00FB4E5F" w:rsidRDefault="00B80228"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446</w:t>
            </w:r>
          </w:p>
        </w:tc>
      </w:tr>
      <w:tr w:rsidR="00B80228" w:rsidRPr="00FB4E5F" w:rsidTr="008E685C">
        <w:trPr>
          <w:trHeight w:val="315"/>
          <w:jc w:val="center"/>
        </w:trPr>
        <w:tc>
          <w:tcPr>
            <w:tcW w:w="2880" w:type="dxa"/>
            <w:tcBorders>
              <w:top w:val="nil"/>
              <w:left w:val="single" w:sz="12" w:space="0" w:color="4F81BD"/>
              <w:bottom w:val="single" w:sz="12" w:space="0" w:color="4F81BD"/>
              <w:right w:val="nil"/>
            </w:tcBorders>
            <w:shd w:val="clear" w:color="000000" w:fill="EEF3F8"/>
            <w:vAlign w:val="center"/>
            <w:hideMark/>
          </w:tcPr>
          <w:p w:rsidR="00B80228" w:rsidRPr="00FB4E5F" w:rsidRDefault="00B80228" w:rsidP="007E01C6">
            <w:pPr>
              <w:spacing w:after="0" w:line="240" w:lineRule="auto"/>
              <w:rPr>
                <w:rFonts w:ascii="Calibri" w:eastAsia="Times New Roman" w:hAnsi="Calibri" w:cs="Times New Roman"/>
                <w:color w:val="000000"/>
                <w:szCs w:val="21"/>
                <w:lang w:eastAsia="cs-CZ"/>
              </w:rPr>
            </w:pPr>
            <w:r>
              <w:rPr>
                <w:rFonts w:ascii="Calibri" w:eastAsia="Times New Roman" w:hAnsi="Calibri" w:cs="Times New Roman"/>
                <w:color w:val="000000"/>
                <w:szCs w:val="21"/>
                <w:lang w:eastAsia="cs-CZ"/>
              </w:rPr>
              <w:t>R</w:t>
            </w:r>
            <w:r w:rsidRPr="00776722">
              <w:rPr>
                <w:rFonts w:ascii="Calibri" w:eastAsia="Times New Roman" w:hAnsi="Calibri" w:cs="Times New Roman"/>
                <w:color w:val="000000"/>
                <w:szCs w:val="21"/>
                <w:lang w:eastAsia="cs-CZ"/>
              </w:rPr>
              <w:t>ezervy na soudní spory</w:t>
            </w:r>
          </w:p>
        </w:tc>
        <w:tc>
          <w:tcPr>
            <w:tcW w:w="960" w:type="dxa"/>
            <w:tcBorders>
              <w:top w:val="nil"/>
              <w:left w:val="nil"/>
              <w:bottom w:val="single" w:sz="12" w:space="0" w:color="4F81BD"/>
              <w:right w:val="nil"/>
            </w:tcBorders>
            <w:shd w:val="clear" w:color="000000" w:fill="EEF3F8"/>
            <w:noWrap/>
            <w:vAlign w:val="center"/>
          </w:tcPr>
          <w:p w:rsidR="00B80228" w:rsidRPr="00FB4E5F" w:rsidRDefault="00B80228"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149</w:t>
            </w:r>
          </w:p>
        </w:tc>
        <w:tc>
          <w:tcPr>
            <w:tcW w:w="960" w:type="dxa"/>
            <w:tcBorders>
              <w:top w:val="nil"/>
              <w:left w:val="nil"/>
              <w:bottom w:val="single" w:sz="12" w:space="0" w:color="4F81BD"/>
              <w:right w:val="nil"/>
            </w:tcBorders>
            <w:shd w:val="clear" w:color="000000" w:fill="EEF3F8"/>
            <w:noWrap/>
            <w:vAlign w:val="center"/>
          </w:tcPr>
          <w:p w:rsidR="00B80228" w:rsidRPr="00FB4E5F" w:rsidRDefault="00B80228"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0</w:t>
            </w:r>
          </w:p>
        </w:tc>
        <w:tc>
          <w:tcPr>
            <w:tcW w:w="960" w:type="dxa"/>
            <w:tcBorders>
              <w:top w:val="nil"/>
              <w:left w:val="nil"/>
              <w:bottom w:val="single" w:sz="12" w:space="0" w:color="4F81BD"/>
              <w:right w:val="nil"/>
            </w:tcBorders>
            <w:shd w:val="clear" w:color="000000" w:fill="EEF3F8"/>
            <w:noWrap/>
            <w:vAlign w:val="center"/>
          </w:tcPr>
          <w:p w:rsidR="00B80228" w:rsidRPr="00FB4E5F" w:rsidRDefault="00B80228"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0</w:t>
            </w:r>
          </w:p>
        </w:tc>
        <w:tc>
          <w:tcPr>
            <w:tcW w:w="960" w:type="dxa"/>
            <w:tcBorders>
              <w:top w:val="nil"/>
              <w:left w:val="nil"/>
              <w:bottom w:val="single" w:sz="12" w:space="0" w:color="4F81BD"/>
              <w:right w:val="nil"/>
            </w:tcBorders>
            <w:shd w:val="clear" w:color="000000" w:fill="EEF3F8"/>
            <w:noWrap/>
            <w:vAlign w:val="center"/>
          </w:tcPr>
          <w:p w:rsidR="00B80228" w:rsidRPr="00FB4E5F" w:rsidRDefault="00B80228"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33</w:t>
            </w:r>
          </w:p>
        </w:tc>
        <w:tc>
          <w:tcPr>
            <w:tcW w:w="960" w:type="dxa"/>
            <w:tcBorders>
              <w:top w:val="nil"/>
              <w:left w:val="nil"/>
              <w:bottom w:val="single" w:sz="12" w:space="0" w:color="4F81BD"/>
              <w:right w:val="nil"/>
            </w:tcBorders>
            <w:shd w:val="clear" w:color="000000" w:fill="EEF3F8"/>
            <w:noWrap/>
            <w:vAlign w:val="center"/>
          </w:tcPr>
          <w:p w:rsidR="00B80228" w:rsidRPr="00FB4E5F" w:rsidRDefault="00B80228"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w:t>
            </w:r>
          </w:p>
        </w:tc>
        <w:tc>
          <w:tcPr>
            <w:tcW w:w="960" w:type="dxa"/>
            <w:tcBorders>
              <w:top w:val="nil"/>
              <w:left w:val="nil"/>
              <w:bottom w:val="single" w:sz="12" w:space="0" w:color="4F81BD"/>
              <w:right w:val="nil"/>
            </w:tcBorders>
            <w:shd w:val="clear" w:color="000000" w:fill="EEF3F8"/>
            <w:noWrap/>
            <w:vAlign w:val="center"/>
          </w:tcPr>
          <w:p w:rsidR="00B80228" w:rsidRPr="00FB4E5F" w:rsidRDefault="00B80228"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11</w:t>
            </w:r>
          </w:p>
        </w:tc>
        <w:tc>
          <w:tcPr>
            <w:tcW w:w="960" w:type="dxa"/>
            <w:tcBorders>
              <w:top w:val="nil"/>
              <w:left w:val="nil"/>
              <w:bottom w:val="single" w:sz="12" w:space="0" w:color="4F81BD"/>
              <w:right w:val="single" w:sz="12" w:space="0" w:color="4F81BD"/>
            </w:tcBorders>
            <w:shd w:val="clear" w:color="000000" w:fill="EEF3F8"/>
            <w:noWrap/>
            <w:vAlign w:val="center"/>
          </w:tcPr>
          <w:p w:rsidR="00B80228" w:rsidRPr="00FB4E5F" w:rsidRDefault="00B80228"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0</w:t>
            </w:r>
          </w:p>
        </w:tc>
      </w:tr>
    </w:tbl>
    <w:p w:rsidR="00436F6E" w:rsidRPr="00456113" w:rsidRDefault="00436F6E" w:rsidP="007E01C6">
      <w:pPr>
        <w:spacing w:before="180" w:line="276" w:lineRule="auto"/>
        <w:jc w:val="both"/>
      </w:pPr>
      <w:r w:rsidRPr="00456113">
        <w:t xml:space="preserve">Informace o stavu závazků a pohledávek jednotlivých zdravotních pojišťoven viz </w:t>
      </w:r>
      <w:r w:rsidRPr="00456113">
        <w:rPr>
          <w:i/>
        </w:rPr>
        <w:t>Tabulková příloha</w:t>
      </w:r>
      <w:r w:rsidR="000255E3" w:rsidRPr="00456113">
        <w:rPr>
          <w:i/>
        </w:rPr>
        <w:t>,</w:t>
      </w:r>
      <w:r w:rsidRPr="00456113">
        <w:rPr>
          <w:i/>
        </w:rPr>
        <w:t xml:space="preserve"> Tabulka č. 1 str. </w:t>
      </w:r>
      <w:r w:rsidR="003268B0" w:rsidRPr="00456113">
        <w:rPr>
          <w:i/>
        </w:rPr>
        <w:t xml:space="preserve">6 </w:t>
      </w:r>
      <w:r w:rsidRPr="00456113">
        <w:rPr>
          <w:i/>
        </w:rPr>
        <w:t xml:space="preserve">a </w:t>
      </w:r>
      <w:r w:rsidR="003268B0" w:rsidRPr="00456113">
        <w:rPr>
          <w:i/>
        </w:rPr>
        <w:t>7</w:t>
      </w:r>
      <w:r w:rsidRPr="00456113">
        <w:t xml:space="preserve">. </w:t>
      </w:r>
      <w:r w:rsidRPr="00456113">
        <w:rPr>
          <w:i/>
        </w:rPr>
        <w:t xml:space="preserve">Tabulka č. 1 str. </w:t>
      </w:r>
      <w:r w:rsidR="00B80228" w:rsidRPr="00456113">
        <w:rPr>
          <w:i/>
        </w:rPr>
        <w:t>6</w:t>
      </w:r>
      <w:r w:rsidR="00B80228" w:rsidRPr="00456113">
        <w:t xml:space="preserve"> </w:t>
      </w:r>
      <w:r w:rsidRPr="00456113">
        <w:t>zpracovaná na základě podkladů jednotlivých zdravotních pojišťoven dokládá plánovaný absolutní stav závazků vůči poskytovatelům zdravotních služeb k 31. 12. </w:t>
      </w:r>
      <w:r w:rsidR="00CD120E" w:rsidRPr="00456113">
        <w:t>202</w:t>
      </w:r>
      <w:r w:rsidR="00B80228" w:rsidRPr="00456113">
        <w:t>1</w:t>
      </w:r>
      <w:r w:rsidRPr="00456113">
        <w:t>. Tento stav závazků je rovněž z důvodu srovnatelnosti vyjádřen i v </w:t>
      </w:r>
      <w:r w:rsidRPr="00456113">
        <w:rPr>
          <w:b/>
        </w:rPr>
        <w:t xml:space="preserve">přepočtu na denní spotřebu výdajů na zdravotní služby </w:t>
      </w:r>
      <w:r w:rsidRPr="00456113">
        <w:t>(</w:t>
      </w:r>
      <w:r w:rsidR="003268B0" w:rsidRPr="00456113">
        <w:rPr>
          <w:i/>
        </w:rPr>
        <w:t xml:space="preserve">Tabulková příloha, </w:t>
      </w:r>
      <w:r w:rsidRPr="00456113">
        <w:rPr>
          <w:i/>
        </w:rPr>
        <w:t>Tabulka č. 1b</w:t>
      </w:r>
      <w:r w:rsidRPr="00456113">
        <w:t xml:space="preserve">). Závazky ve lhůtě splatnosti vůči poskytovatelům zdravotních služeb se </w:t>
      </w:r>
      <w:r w:rsidR="00CD120E" w:rsidRPr="00456113">
        <w:t>v roce 202</w:t>
      </w:r>
      <w:r w:rsidR="007E4BED" w:rsidRPr="00456113">
        <w:t>1</w:t>
      </w:r>
      <w:r w:rsidR="00CD120E" w:rsidRPr="00456113">
        <w:t xml:space="preserve"> </w:t>
      </w:r>
      <w:r w:rsidRPr="00456113">
        <w:t>pohybují v rozmezí 3</w:t>
      </w:r>
      <w:r w:rsidR="007E4BED" w:rsidRPr="00456113">
        <w:t>1</w:t>
      </w:r>
      <w:r w:rsidRPr="00456113">
        <w:t>–</w:t>
      </w:r>
      <w:r w:rsidR="00CD120E" w:rsidRPr="00456113">
        <w:t>5</w:t>
      </w:r>
      <w:r w:rsidR="007E4BED" w:rsidRPr="00456113">
        <w:t>4</w:t>
      </w:r>
      <w:r w:rsidR="00CD120E" w:rsidRPr="00456113">
        <w:t xml:space="preserve"> </w:t>
      </w:r>
      <w:r w:rsidRPr="00456113">
        <w:t xml:space="preserve">dnů (dle očekávané skutečnosti r. </w:t>
      </w:r>
      <w:r w:rsidR="007E4BED" w:rsidRPr="00456113">
        <w:t xml:space="preserve">2020 </w:t>
      </w:r>
      <w:r w:rsidRPr="00456113">
        <w:t xml:space="preserve">by se tento přepočet měl pohybovat mezi hodnotou </w:t>
      </w:r>
      <w:r w:rsidR="007E4BED" w:rsidRPr="00456113">
        <w:t xml:space="preserve">38 </w:t>
      </w:r>
      <w:r w:rsidRPr="00456113">
        <w:t xml:space="preserve">a </w:t>
      </w:r>
      <w:r w:rsidR="00CD120E" w:rsidRPr="00456113">
        <w:t>6</w:t>
      </w:r>
      <w:r w:rsidR="007E4BED" w:rsidRPr="00456113">
        <w:t>1</w:t>
      </w:r>
      <w:r w:rsidRPr="00456113">
        <w:t xml:space="preserve"> dnů). </w:t>
      </w:r>
    </w:p>
    <w:p w:rsidR="00436F6E" w:rsidRDefault="00436F6E" w:rsidP="007E01C6">
      <w:pPr>
        <w:spacing w:before="180" w:line="276" w:lineRule="auto"/>
        <w:jc w:val="both"/>
      </w:pPr>
      <w:r w:rsidRPr="00456113">
        <w:t xml:space="preserve">Žádná z pojišťoven v roce </w:t>
      </w:r>
      <w:r w:rsidR="007E4BED" w:rsidRPr="00456113">
        <w:t xml:space="preserve">2020 </w:t>
      </w:r>
      <w:r w:rsidR="00A17B6E" w:rsidRPr="00456113">
        <w:t xml:space="preserve">nevyužila a </w:t>
      </w:r>
      <w:r w:rsidRPr="00456113">
        <w:t xml:space="preserve">ani </w:t>
      </w:r>
      <w:r w:rsidR="00A17B6E" w:rsidRPr="00456113">
        <w:t xml:space="preserve">v roce </w:t>
      </w:r>
      <w:r w:rsidR="007E4BED" w:rsidRPr="00456113">
        <w:t xml:space="preserve">2021 </w:t>
      </w:r>
      <w:r w:rsidR="00A17B6E" w:rsidRPr="00456113">
        <w:t>neplánuje</w:t>
      </w:r>
      <w:r w:rsidR="00CD120E" w:rsidRPr="00456113">
        <w:t xml:space="preserve"> </w:t>
      </w:r>
      <w:r w:rsidRPr="00456113">
        <w:t>využívat v rámci svého financování půjčky či úvěry.</w:t>
      </w:r>
      <w:r w:rsidR="00906B63" w:rsidRPr="00456113">
        <w:t xml:space="preserve"> </w:t>
      </w:r>
      <w:r w:rsidR="002E6851" w:rsidRPr="00456113">
        <w:t>Plánované z</w:t>
      </w:r>
      <w:r w:rsidRPr="00456113">
        <w:t>ásoby na bankovních účtech základního fondu zdravotního pojištění (BÚ ZFZP) jednotlivých zdravotních pojišťoven vyjádřené ve dnech k</w:t>
      </w:r>
      <w:r w:rsidR="0092198C" w:rsidRPr="00456113">
        <w:rPr>
          <w:color w:val="FF0000"/>
        </w:rPr>
        <w:t xml:space="preserve"> </w:t>
      </w:r>
      <w:r w:rsidRPr="00456113">
        <w:t>31. 12. </w:t>
      </w:r>
      <w:r w:rsidR="00CD120E" w:rsidRPr="00456113">
        <w:t>202</w:t>
      </w:r>
      <w:r w:rsidR="007E4BED" w:rsidRPr="00456113">
        <w:t>1</w:t>
      </w:r>
      <w:r w:rsidR="00CD120E" w:rsidRPr="00456113">
        <w:t xml:space="preserve"> </w:t>
      </w:r>
      <w:r w:rsidRPr="00456113">
        <w:t xml:space="preserve">jsou nerovnoměrné a dosahují </w:t>
      </w:r>
      <w:r w:rsidR="007E4BED" w:rsidRPr="00456113">
        <w:t>7</w:t>
      </w:r>
      <w:r w:rsidRPr="00456113">
        <w:t>–</w:t>
      </w:r>
      <w:r w:rsidR="007E4BED" w:rsidRPr="00456113">
        <w:t xml:space="preserve">43 </w:t>
      </w:r>
      <w:r w:rsidRPr="00456113">
        <w:t xml:space="preserve">dnů (viz </w:t>
      </w:r>
      <w:r w:rsidRPr="00456113">
        <w:rPr>
          <w:i/>
        </w:rPr>
        <w:t xml:space="preserve">Graf č. </w:t>
      </w:r>
      <w:r w:rsidR="00056CFF" w:rsidRPr="00456113">
        <w:rPr>
          <w:i/>
        </w:rPr>
        <w:t>4</w:t>
      </w:r>
      <w:r w:rsidRPr="00456113">
        <w:t xml:space="preserve">). </w:t>
      </w:r>
      <w:r w:rsidR="008E685C" w:rsidRPr="00456113">
        <w:t xml:space="preserve">V roce </w:t>
      </w:r>
      <w:r w:rsidR="007E4BED" w:rsidRPr="00456113">
        <w:t xml:space="preserve">2020 </w:t>
      </w:r>
      <w:r w:rsidR="008E685C" w:rsidRPr="00456113">
        <w:t xml:space="preserve">se tento </w:t>
      </w:r>
      <w:r w:rsidR="00D3602F" w:rsidRPr="00456113">
        <w:t xml:space="preserve">ukazatel </w:t>
      </w:r>
      <w:r w:rsidR="008E685C" w:rsidRPr="00456113">
        <w:t>očekává mezi 1</w:t>
      </w:r>
      <w:r w:rsidR="007E4BED" w:rsidRPr="00456113">
        <w:t>8</w:t>
      </w:r>
      <w:r w:rsidR="008E685C" w:rsidRPr="00456113">
        <w:t xml:space="preserve"> a </w:t>
      </w:r>
      <w:r w:rsidR="007E4BED" w:rsidRPr="00456113">
        <w:t xml:space="preserve">87 </w:t>
      </w:r>
      <w:r w:rsidR="008E685C" w:rsidRPr="00456113">
        <w:t>dny.</w:t>
      </w:r>
      <w:r w:rsidR="008E685C">
        <w:t xml:space="preserve"> </w:t>
      </w:r>
    </w:p>
    <w:p w:rsidR="0092198C" w:rsidRDefault="0092198C" w:rsidP="0092198C">
      <w:pPr>
        <w:pStyle w:val="Titulek"/>
      </w:pPr>
      <w:bookmarkStart w:id="20" w:name="_Toc63685284"/>
      <w:r>
        <w:t xml:space="preserve">Graf č. </w:t>
      </w:r>
      <w:r w:rsidR="008E5E29">
        <w:rPr>
          <w:noProof/>
        </w:rPr>
        <w:fldChar w:fldCharType="begin"/>
      </w:r>
      <w:r w:rsidR="007F5247">
        <w:rPr>
          <w:noProof/>
        </w:rPr>
        <w:instrText xml:space="preserve"> SEQ Graf \* ARABIC </w:instrText>
      </w:r>
      <w:r w:rsidR="008E5E29">
        <w:rPr>
          <w:noProof/>
        </w:rPr>
        <w:fldChar w:fldCharType="separate"/>
      </w:r>
      <w:r w:rsidR="006D5C90">
        <w:rPr>
          <w:noProof/>
        </w:rPr>
        <w:t>4</w:t>
      </w:r>
      <w:r w:rsidR="008E5E29">
        <w:rPr>
          <w:noProof/>
        </w:rPr>
        <w:fldChar w:fldCharType="end"/>
      </w:r>
      <w:r>
        <w:t xml:space="preserve">: </w:t>
      </w:r>
      <w:r w:rsidRPr="0092198C">
        <w:t>Plánovaná finanční zásoba na BÚ ZFZP ve dnech výdajů na zdravotní služby</w:t>
      </w:r>
      <w:r w:rsidR="0041136F">
        <w:t xml:space="preserve"> </w:t>
      </w:r>
      <w:r w:rsidR="0041136F" w:rsidRPr="0092198C">
        <w:t xml:space="preserve">v </w:t>
      </w:r>
      <w:r w:rsidR="0041136F">
        <w:t>letech</w:t>
      </w:r>
      <w:r w:rsidR="0041136F" w:rsidRPr="0092198C">
        <w:t xml:space="preserve"> 20</w:t>
      </w:r>
      <w:r w:rsidR="0041136F">
        <w:t>20 a 2021</w:t>
      </w:r>
      <w:bookmarkEnd w:id="20"/>
    </w:p>
    <w:p w:rsidR="008E685C" w:rsidRPr="00E450DF" w:rsidRDefault="00056CFF" w:rsidP="008E685C">
      <w:pPr>
        <w:jc w:val="center"/>
      </w:pPr>
      <w:r>
        <w:rPr>
          <w:noProof/>
          <w:lang w:eastAsia="cs-CZ"/>
        </w:rPr>
        <w:drawing>
          <wp:inline distT="0" distB="0" distL="0" distR="0">
            <wp:extent cx="6120000" cy="2808000"/>
            <wp:effectExtent l="0" t="0" r="0" b="0"/>
            <wp:docPr id="22" name="Graf 22">
              <a:extLst xmlns:a="http://schemas.openxmlformats.org/drawingml/2006/main">
                <a:ext uri="{FF2B5EF4-FFF2-40B4-BE49-F238E27FC236}">
                  <a16:creationId xmlns:a16="http://schemas.microsoft.com/office/drawing/2014/main" id="{00000000-0008-0000-0B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436F6E" w:rsidRPr="005E1526" w:rsidRDefault="00436F6E" w:rsidP="00AC25F3">
      <w:pPr>
        <w:pStyle w:val="Nadpis2"/>
      </w:pPr>
      <w:r>
        <w:rPr>
          <w:szCs w:val="28"/>
        </w:rPr>
        <w:br w:type="page"/>
      </w:r>
      <w:bookmarkStart w:id="21" w:name="_Toc63684673"/>
      <w:r>
        <w:lastRenderedPageBreak/>
        <w:t>Stavy peněžních prostředků zdravotních pojišťoven na BÚ</w:t>
      </w:r>
      <w:bookmarkEnd w:id="21"/>
    </w:p>
    <w:p w:rsidR="00D3602F" w:rsidRDefault="003268B0" w:rsidP="003268B0">
      <w:pPr>
        <w:spacing w:before="180" w:line="276" w:lineRule="auto"/>
        <w:jc w:val="both"/>
        <w:rPr>
          <w:rStyle w:val="TEXTChar"/>
          <w:rFonts w:ascii="Calibri" w:hAnsi="Calibri"/>
        </w:rPr>
      </w:pPr>
      <w:r w:rsidRPr="00DF2588">
        <w:rPr>
          <w:rStyle w:val="TEXTChar"/>
          <w:rFonts w:ascii="Calibri" w:hAnsi="Calibri"/>
        </w:rPr>
        <w:t>Stav peněžních zůstatků na bankovních účtech zdravotních pojišťoven je plánován k 31. 12. 20</w:t>
      </w:r>
      <w:r>
        <w:rPr>
          <w:rStyle w:val="TEXTChar"/>
          <w:rFonts w:ascii="Calibri" w:hAnsi="Calibri"/>
        </w:rPr>
        <w:t>2</w:t>
      </w:r>
      <w:r w:rsidR="008146DE">
        <w:rPr>
          <w:rStyle w:val="TEXTChar"/>
          <w:rFonts w:ascii="Calibri" w:hAnsi="Calibri"/>
        </w:rPr>
        <w:t>1</w:t>
      </w:r>
      <w:r w:rsidRPr="00DF2588">
        <w:rPr>
          <w:rStyle w:val="TEXTChar"/>
          <w:rFonts w:ascii="Calibri" w:hAnsi="Calibri"/>
        </w:rPr>
        <w:t xml:space="preserve"> v celkové výši </w:t>
      </w:r>
      <w:r w:rsidR="00FE418C" w:rsidRPr="00FE418C">
        <w:rPr>
          <w:rStyle w:val="TEXTChar"/>
          <w:rFonts w:ascii="Calibri" w:hAnsi="Calibri"/>
        </w:rPr>
        <w:t>44,</w:t>
      </w:r>
      <w:r w:rsidR="00FE418C">
        <w:rPr>
          <w:rStyle w:val="TEXTChar"/>
          <w:rFonts w:ascii="Calibri" w:hAnsi="Calibri"/>
        </w:rPr>
        <w:t xml:space="preserve">8 </w:t>
      </w:r>
      <w:r w:rsidRPr="00DF2588">
        <w:rPr>
          <w:rStyle w:val="TEXTChar"/>
          <w:rFonts w:ascii="Calibri" w:hAnsi="Calibri"/>
        </w:rPr>
        <w:t xml:space="preserve">mld. Kč. Vzhledem k aplikaci </w:t>
      </w:r>
      <w:r w:rsidRPr="00DF2588">
        <w:t xml:space="preserve">zákona č. 128/2016 Sb. (převod likvidity do ČNB) </w:t>
      </w:r>
      <w:r w:rsidRPr="00DF2588">
        <w:rPr>
          <w:rStyle w:val="TEXTChar"/>
          <w:rFonts w:ascii="Calibri" w:hAnsi="Calibri"/>
        </w:rPr>
        <w:t>se jedná pouze o</w:t>
      </w:r>
      <w:r w:rsidR="00FE418C">
        <w:rPr>
          <w:rStyle w:val="TEXTChar"/>
          <w:rFonts w:ascii="Calibri" w:hAnsi="Calibri"/>
        </w:rPr>
        <w:t> </w:t>
      </w:r>
      <w:r w:rsidRPr="00DF2588">
        <w:rPr>
          <w:rStyle w:val="TEXTChar"/>
          <w:rFonts w:ascii="Calibri" w:hAnsi="Calibri"/>
        </w:rPr>
        <w:t>peněžní zůstatky na bankovních účtech ZP</w:t>
      </w:r>
      <w:r w:rsidR="00A418A1">
        <w:rPr>
          <w:rStyle w:val="TEXTChar"/>
          <w:rFonts w:ascii="Calibri" w:hAnsi="Calibri"/>
        </w:rPr>
        <w:t>, které jsou součástí prostředků Státní pokladny</w:t>
      </w:r>
      <w:r w:rsidRPr="00DF2588">
        <w:rPr>
          <w:rStyle w:val="TEXTChar"/>
          <w:rFonts w:ascii="Calibri" w:hAnsi="Calibri"/>
        </w:rPr>
        <w:t xml:space="preserve"> (uvedeno pro srovnání v delší časové řadě). </w:t>
      </w:r>
    </w:p>
    <w:p w:rsidR="003268B0" w:rsidRDefault="003268B0" w:rsidP="003268B0">
      <w:pPr>
        <w:spacing w:before="180" w:line="276" w:lineRule="auto"/>
        <w:jc w:val="both"/>
        <w:rPr>
          <w:rStyle w:val="TEXTChar"/>
          <w:rFonts w:ascii="Calibri" w:hAnsi="Calibri"/>
        </w:rPr>
      </w:pPr>
      <w:r w:rsidRPr="00DF2588">
        <w:rPr>
          <w:rStyle w:val="TEXTChar"/>
          <w:rFonts w:ascii="Calibri" w:hAnsi="Calibri"/>
        </w:rPr>
        <w:t xml:space="preserve">Zdravotní pojišťovny v roce </w:t>
      </w:r>
      <w:r w:rsidR="00FE418C" w:rsidRPr="00DF2588">
        <w:rPr>
          <w:rStyle w:val="TEXTChar"/>
          <w:rFonts w:ascii="Calibri" w:hAnsi="Calibri"/>
        </w:rPr>
        <w:t>20</w:t>
      </w:r>
      <w:r w:rsidR="00FE418C">
        <w:rPr>
          <w:rStyle w:val="TEXTChar"/>
          <w:rFonts w:ascii="Calibri" w:hAnsi="Calibri"/>
        </w:rPr>
        <w:t>20</w:t>
      </w:r>
      <w:r w:rsidR="00FE418C" w:rsidRPr="00DF2588">
        <w:rPr>
          <w:rStyle w:val="TEXTChar"/>
          <w:rFonts w:ascii="Calibri" w:hAnsi="Calibri"/>
        </w:rPr>
        <w:t xml:space="preserve"> </w:t>
      </w:r>
      <w:r w:rsidRPr="00DF2588">
        <w:rPr>
          <w:rStyle w:val="TEXTChar"/>
          <w:rFonts w:ascii="Calibri" w:hAnsi="Calibri"/>
        </w:rPr>
        <w:t xml:space="preserve">očekávají peněžní zůstatky v hodnotě </w:t>
      </w:r>
      <w:r w:rsidR="00FE418C" w:rsidRPr="00FE418C">
        <w:rPr>
          <w:rStyle w:val="TEXTChar"/>
          <w:rFonts w:ascii="Calibri" w:hAnsi="Calibri"/>
        </w:rPr>
        <w:t xml:space="preserve">58,4 </w:t>
      </w:r>
      <w:r w:rsidRPr="00DF2588">
        <w:rPr>
          <w:rStyle w:val="TEXTChar"/>
          <w:rFonts w:ascii="Calibri" w:hAnsi="Calibri"/>
        </w:rPr>
        <w:t xml:space="preserve">mld. Kč, z toho žádné prostředky nejsou drženy ve formě </w:t>
      </w:r>
      <w:r w:rsidRPr="006763D5">
        <w:rPr>
          <w:rStyle w:val="TEXTChar"/>
          <w:rFonts w:ascii="Calibri" w:hAnsi="Calibri"/>
        </w:rPr>
        <w:t xml:space="preserve">cenných papírů. </w:t>
      </w:r>
      <w:r w:rsidR="000D0489" w:rsidRPr="006763D5">
        <w:rPr>
          <w:rStyle w:val="TEXTChar"/>
          <w:rFonts w:ascii="Calibri" w:hAnsi="Calibri"/>
        </w:rPr>
        <w:t xml:space="preserve">Meziročně tak dojde k poklesu o </w:t>
      </w:r>
      <w:r w:rsidR="00FE418C" w:rsidRPr="00FE418C">
        <w:rPr>
          <w:rStyle w:val="TEXTChar"/>
          <w:rFonts w:ascii="Calibri" w:hAnsi="Calibri"/>
        </w:rPr>
        <w:t>13</w:t>
      </w:r>
      <w:r w:rsidR="00FE418C">
        <w:rPr>
          <w:rStyle w:val="TEXTChar"/>
          <w:rFonts w:ascii="Calibri" w:hAnsi="Calibri"/>
        </w:rPr>
        <w:t>,7</w:t>
      </w:r>
      <w:r w:rsidR="00D3602F">
        <w:rPr>
          <w:rStyle w:val="TEXTChar"/>
          <w:rFonts w:ascii="Calibri" w:hAnsi="Calibri"/>
        </w:rPr>
        <w:t xml:space="preserve"> </w:t>
      </w:r>
      <w:r w:rsidR="000D0489" w:rsidRPr="006763D5">
        <w:rPr>
          <w:rStyle w:val="TEXTChar"/>
          <w:rFonts w:ascii="Calibri" w:hAnsi="Calibri"/>
        </w:rPr>
        <w:t xml:space="preserve">mld. Kč (tj. </w:t>
      </w:r>
      <w:r w:rsidR="00FE418C">
        <w:rPr>
          <w:rStyle w:val="TEXTChar"/>
          <w:rFonts w:ascii="Calibri" w:hAnsi="Calibri"/>
        </w:rPr>
        <w:t>23,4</w:t>
      </w:r>
      <w:r w:rsidR="000D0489" w:rsidRPr="006763D5">
        <w:rPr>
          <w:rStyle w:val="TEXTChar"/>
          <w:rFonts w:ascii="Calibri" w:hAnsi="Calibri"/>
        </w:rPr>
        <w:t xml:space="preserve"> %).</w:t>
      </w:r>
    </w:p>
    <w:p w:rsidR="00436F6E" w:rsidRDefault="00DF2588" w:rsidP="009A3F36">
      <w:pPr>
        <w:pStyle w:val="Titulek"/>
        <w:jc w:val="both"/>
      </w:pPr>
      <w:bookmarkStart w:id="22" w:name="_Toc63685262"/>
      <w:r w:rsidRPr="00C75FC6">
        <w:t xml:space="preserve">Tabulka č. </w:t>
      </w:r>
      <w:r w:rsidR="008E5E29">
        <w:rPr>
          <w:noProof/>
        </w:rPr>
        <w:fldChar w:fldCharType="begin"/>
      </w:r>
      <w:r w:rsidR="007F5247">
        <w:rPr>
          <w:noProof/>
        </w:rPr>
        <w:instrText xml:space="preserve"> SEQ Tabulka \* ARABIC </w:instrText>
      </w:r>
      <w:r w:rsidR="008E5E29">
        <w:rPr>
          <w:noProof/>
        </w:rPr>
        <w:fldChar w:fldCharType="separate"/>
      </w:r>
      <w:r w:rsidR="006D5C90">
        <w:rPr>
          <w:noProof/>
        </w:rPr>
        <w:t>9</w:t>
      </w:r>
      <w:r w:rsidR="008E5E29">
        <w:rPr>
          <w:noProof/>
        </w:rPr>
        <w:fldChar w:fldCharType="end"/>
      </w:r>
      <w:r w:rsidRPr="00C75FC6">
        <w:t xml:space="preserve">: </w:t>
      </w:r>
      <w:r w:rsidRPr="00DF2588">
        <w:t>Vývoj zůstatků na bankovních účtech dle zdravotních pojišťoven</w:t>
      </w:r>
      <w:bookmarkEnd w:id="22"/>
    </w:p>
    <w:tbl>
      <w:tblPr>
        <w:tblW w:w="9600" w:type="dxa"/>
        <w:tblInd w:w="55" w:type="dxa"/>
        <w:tblCellMar>
          <w:left w:w="70" w:type="dxa"/>
          <w:right w:w="70" w:type="dxa"/>
        </w:tblCellMar>
        <w:tblLook w:val="04A0" w:firstRow="1" w:lastRow="0" w:firstColumn="1" w:lastColumn="0" w:noHBand="0" w:noVBand="1"/>
      </w:tblPr>
      <w:tblGrid>
        <w:gridCol w:w="2880"/>
        <w:gridCol w:w="960"/>
        <w:gridCol w:w="960"/>
        <w:gridCol w:w="960"/>
        <w:gridCol w:w="960"/>
        <w:gridCol w:w="960"/>
        <w:gridCol w:w="960"/>
        <w:gridCol w:w="960"/>
      </w:tblGrid>
      <w:tr w:rsidR="00436F6E" w:rsidRPr="0011274B" w:rsidTr="00B34351">
        <w:trPr>
          <w:trHeight w:val="567"/>
        </w:trPr>
        <w:tc>
          <w:tcPr>
            <w:tcW w:w="2880" w:type="dxa"/>
            <w:tcBorders>
              <w:top w:val="single" w:sz="12" w:space="0" w:color="4F81BD"/>
              <w:left w:val="single" w:sz="12" w:space="0" w:color="4F81BD"/>
              <w:bottom w:val="nil"/>
              <w:right w:val="nil"/>
            </w:tcBorders>
            <w:shd w:val="clear" w:color="000000" w:fill="4F81BD"/>
            <w:vAlign w:val="center"/>
            <w:hideMark/>
          </w:tcPr>
          <w:p w:rsidR="00436F6E" w:rsidRPr="0011274B" w:rsidRDefault="00436F6E" w:rsidP="007E01C6">
            <w:pPr>
              <w:spacing w:after="0" w:line="240" w:lineRule="auto"/>
              <w:rPr>
                <w:rFonts w:ascii="Calibri" w:eastAsia="Times New Roman" w:hAnsi="Calibri" w:cs="Times New Roman"/>
                <w:b/>
                <w:bCs/>
                <w:i/>
                <w:iCs/>
                <w:color w:val="FFFFFF"/>
                <w:szCs w:val="21"/>
                <w:lang w:eastAsia="cs-CZ"/>
              </w:rPr>
            </w:pPr>
            <w:r w:rsidRPr="0011274B">
              <w:rPr>
                <w:rFonts w:ascii="Calibri" w:eastAsia="Times New Roman" w:hAnsi="Calibri" w:cs="Times New Roman"/>
                <w:b/>
                <w:bCs/>
                <w:i/>
                <w:iCs/>
                <w:color w:val="FFFFFF"/>
                <w:szCs w:val="21"/>
                <w:lang w:eastAsia="cs-CZ"/>
              </w:rPr>
              <w:t xml:space="preserve">(v mil. </w:t>
            </w:r>
            <w:proofErr w:type="gramStart"/>
            <w:r w:rsidRPr="0011274B">
              <w:rPr>
                <w:rFonts w:ascii="Calibri" w:eastAsia="Times New Roman" w:hAnsi="Calibri" w:cs="Times New Roman"/>
                <w:b/>
                <w:bCs/>
                <w:i/>
                <w:iCs/>
                <w:color w:val="FFFFFF"/>
                <w:szCs w:val="21"/>
                <w:lang w:eastAsia="cs-CZ"/>
              </w:rPr>
              <w:t>Kč )</w:t>
            </w:r>
            <w:proofErr w:type="gramEnd"/>
          </w:p>
        </w:tc>
        <w:tc>
          <w:tcPr>
            <w:tcW w:w="960" w:type="dxa"/>
            <w:tcBorders>
              <w:top w:val="single" w:sz="12" w:space="0" w:color="4F81BD"/>
              <w:left w:val="nil"/>
              <w:bottom w:val="nil"/>
              <w:right w:val="nil"/>
            </w:tcBorders>
            <w:shd w:val="clear" w:color="000000" w:fill="6691C6"/>
            <w:noWrap/>
            <w:vAlign w:val="center"/>
            <w:hideMark/>
          </w:tcPr>
          <w:p w:rsidR="00436F6E" w:rsidRPr="0011274B" w:rsidRDefault="00436F6E" w:rsidP="007E01C6">
            <w:pPr>
              <w:spacing w:after="0" w:line="240" w:lineRule="auto"/>
              <w:jc w:val="center"/>
              <w:rPr>
                <w:rFonts w:ascii="Calibri" w:eastAsia="Times New Roman" w:hAnsi="Calibri" w:cs="Times New Roman"/>
                <w:color w:val="FFFFFF"/>
                <w:szCs w:val="21"/>
                <w:lang w:eastAsia="cs-CZ"/>
              </w:rPr>
            </w:pPr>
            <w:r w:rsidRPr="0011274B">
              <w:rPr>
                <w:rFonts w:ascii="Calibri" w:eastAsia="Times New Roman" w:hAnsi="Calibri" w:cs="Times New Roman"/>
                <w:color w:val="FFFFFF" w:themeColor="background1"/>
                <w:szCs w:val="21"/>
                <w:lang w:eastAsia="cs-CZ"/>
              </w:rPr>
              <w:t>VZP ČR</w:t>
            </w:r>
          </w:p>
        </w:tc>
        <w:tc>
          <w:tcPr>
            <w:tcW w:w="960" w:type="dxa"/>
            <w:tcBorders>
              <w:top w:val="single" w:sz="12" w:space="0" w:color="4F81BD"/>
              <w:left w:val="nil"/>
              <w:bottom w:val="nil"/>
              <w:right w:val="nil"/>
            </w:tcBorders>
            <w:shd w:val="clear" w:color="000000" w:fill="4F81BD"/>
            <w:noWrap/>
            <w:vAlign w:val="center"/>
            <w:hideMark/>
          </w:tcPr>
          <w:p w:rsidR="00436F6E" w:rsidRPr="0011274B" w:rsidRDefault="00436F6E" w:rsidP="007E01C6">
            <w:pPr>
              <w:spacing w:after="0" w:line="240" w:lineRule="auto"/>
              <w:jc w:val="center"/>
              <w:rPr>
                <w:rFonts w:ascii="Calibri" w:eastAsia="Times New Roman" w:hAnsi="Calibri" w:cs="Times New Roman"/>
                <w:color w:val="FFFFFF"/>
                <w:szCs w:val="21"/>
                <w:lang w:eastAsia="cs-CZ"/>
              </w:rPr>
            </w:pPr>
            <w:proofErr w:type="spellStart"/>
            <w:r w:rsidRPr="0011274B">
              <w:rPr>
                <w:rFonts w:ascii="Calibri" w:eastAsia="Times New Roman" w:hAnsi="Calibri" w:cs="Times New Roman"/>
                <w:color w:val="FFFFFF" w:themeColor="background1"/>
                <w:szCs w:val="21"/>
                <w:lang w:eastAsia="cs-CZ"/>
              </w:rPr>
              <w:t>VoZP</w:t>
            </w:r>
            <w:proofErr w:type="spellEnd"/>
            <w:r w:rsidRPr="0011274B">
              <w:rPr>
                <w:rFonts w:ascii="Calibri" w:eastAsia="Times New Roman" w:hAnsi="Calibri" w:cs="Times New Roman"/>
                <w:color w:val="FFFFFF" w:themeColor="background1"/>
                <w:szCs w:val="21"/>
                <w:lang w:eastAsia="cs-CZ"/>
              </w:rPr>
              <w:t xml:space="preserve"> ČR</w:t>
            </w:r>
          </w:p>
        </w:tc>
        <w:tc>
          <w:tcPr>
            <w:tcW w:w="960" w:type="dxa"/>
            <w:tcBorders>
              <w:top w:val="single" w:sz="12" w:space="0" w:color="4F81BD"/>
              <w:left w:val="nil"/>
              <w:bottom w:val="nil"/>
              <w:right w:val="nil"/>
            </w:tcBorders>
            <w:shd w:val="clear" w:color="000000" w:fill="6691C6"/>
            <w:noWrap/>
            <w:vAlign w:val="center"/>
            <w:hideMark/>
          </w:tcPr>
          <w:p w:rsidR="00436F6E" w:rsidRPr="0011274B" w:rsidRDefault="00436F6E" w:rsidP="007E01C6">
            <w:pPr>
              <w:spacing w:after="0" w:line="240" w:lineRule="auto"/>
              <w:jc w:val="center"/>
              <w:rPr>
                <w:rFonts w:ascii="Calibri" w:eastAsia="Times New Roman" w:hAnsi="Calibri" w:cs="Times New Roman"/>
                <w:color w:val="FFFFFF"/>
                <w:szCs w:val="21"/>
                <w:lang w:eastAsia="cs-CZ"/>
              </w:rPr>
            </w:pPr>
            <w:r w:rsidRPr="0011274B">
              <w:rPr>
                <w:rFonts w:ascii="Calibri" w:eastAsia="Times New Roman" w:hAnsi="Calibri" w:cs="Times New Roman"/>
                <w:color w:val="FFFFFF" w:themeColor="background1"/>
                <w:szCs w:val="21"/>
                <w:lang w:eastAsia="cs-CZ"/>
              </w:rPr>
              <w:t>ČPZP</w:t>
            </w:r>
          </w:p>
        </w:tc>
        <w:tc>
          <w:tcPr>
            <w:tcW w:w="960" w:type="dxa"/>
            <w:tcBorders>
              <w:top w:val="single" w:sz="12" w:space="0" w:color="4F81BD"/>
              <w:left w:val="nil"/>
              <w:bottom w:val="nil"/>
              <w:right w:val="nil"/>
            </w:tcBorders>
            <w:shd w:val="clear" w:color="000000" w:fill="4F81BD"/>
            <w:vAlign w:val="center"/>
            <w:hideMark/>
          </w:tcPr>
          <w:p w:rsidR="00436F6E" w:rsidRPr="0011274B" w:rsidRDefault="00436F6E" w:rsidP="007E01C6">
            <w:pPr>
              <w:spacing w:after="0" w:line="240" w:lineRule="auto"/>
              <w:jc w:val="center"/>
              <w:rPr>
                <w:rFonts w:ascii="Calibri" w:eastAsia="Times New Roman" w:hAnsi="Calibri" w:cs="Times New Roman"/>
                <w:color w:val="FFFFFF"/>
                <w:szCs w:val="21"/>
                <w:lang w:eastAsia="cs-CZ"/>
              </w:rPr>
            </w:pPr>
            <w:r w:rsidRPr="0011274B">
              <w:rPr>
                <w:rFonts w:ascii="Calibri" w:eastAsia="Times New Roman" w:hAnsi="Calibri" w:cs="Times New Roman"/>
                <w:color w:val="FFFFFF" w:themeColor="background1"/>
                <w:szCs w:val="21"/>
                <w:lang w:eastAsia="cs-CZ"/>
              </w:rPr>
              <w:t>OZP</w:t>
            </w:r>
          </w:p>
        </w:tc>
        <w:tc>
          <w:tcPr>
            <w:tcW w:w="960" w:type="dxa"/>
            <w:tcBorders>
              <w:top w:val="single" w:sz="12" w:space="0" w:color="4F81BD"/>
              <w:left w:val="nil"/>
              <w:bottom w:val="nil"/>
              <w:right w:val="nil"/>
            </w:tcBorders>
            <w:shd w:val="clear" w:color="000000" w:fill="6691C6"/>
            <w:vAlign w:val="center"/>
            <w:hideMark/>
          </w:tcPr>
          <w:p w:rsidR="00436F6E" w:rsidRPr="0011274B" w:rsidRDefault="00436F6E" w:rsidP="007E01C6">
            <w:pPr>
              <w:spacing w:after="0" w:line="240" w:lineRule="auto"/>
              <w:jc w:val="center"/>
              <w:rPr>
                <w:rFonts w:ascii="Calibri" w:eastAsia="Times New Roman" w:hAnsi="Calibri" w:cs="Times New Roman"/>
                <w:color w:val="FFFFFF"/>
                <w:szCs w:val="21"/>
                <w:lang w:eastAsia="cs-CZ"/>
              </w:rPr>
            </w:pPr>
            <w:r w:rsidRPr="0011274B">
              <w:rPr>
                <w:rFonts w:ascii="Calibri" w:eastAsia="Times New Roman" w:hAnsi="Calibri" w:cs="Times New Roman"/>
                <w:color w:val="FFFFFF" w:themeColor="background1"/>
                <w:szCs w:val="21"/>
                <w:lang w:eastAsia="cs-CZ"/>
              </w:rPr>
              <w:t>ZPŠ</w:t>
            </w:r>
          </w:p>
        </w:tc>
        <w:tc>
          <w:tcPr>
            <w:tcW w:w="960" w:type="dxa"/>
            <w:tcBorders>
              <w:top w:val="single" w:sz="12" w:space="0" w:color="4F81BD"/>
              <w:left w:val="nil"/>
              <w:bottom w:val="nil"/>
              <w:right w:val="nil"/>
            </w:tcBorders>
            <w:shd w:val="clear" w:color="000000" w:fill="4F81BD"/>
            <w:vAlign w:val="center"/>
            <w:hideMark/>
          </w:tcPr>
          <w:p w:rsidR="00436F6E" w:rsidRPr="00B34351" w:rsidRDefault="00DF5584" w:rsidP="007E01C6">
            <w:pPr>
              <w:spacing w:after="0" w:line="240" w:lineRule="auto"/>
              <w:jc w:val="center"/>
              <w:rPr>
                <w:rFonts w:ascii="Calibri" w:eastAsia="Times New Roman" w:hAnsi="Calibri" w:cs="Times New Roman"/>
                <w:color w:val="FFFFFF"/>
                <w:spacing w:val="-2"/>
                <w:szCs w:val="21"/>
                <w:lang w:eastAsia="cs-CZ"/>
              </w:rPr>
            </w:pPr>
            <w:r w:rsidRPr="00B34351">
              <w:rPr>
                <w:rFonts w:ascii="Calibri" w:eastAsia="Times New Roman" w:hAnsi="Calibri" w:cs="Times New Roman"/>
                <w:color w:val="FFFFFF" w:themeColor="background1"/>
                <w:spacing w:val="-2"/>
                <w:szCs w:val="21"/>
                <w:lang w:eastAsia="cs-CZ"/>
              </w:rPr>
              <w:t>ZP MV ČR</w:t>
            </w:r>
          </w:p>
        </w:tc>
        <w:tc>
          <w:tcPr>
            <w:tcW w:w="960" w:type="dxa"/>
            <w:tcBorders>
              <w:top w:val="single" w:sz="12" w:space="0" w:color="4F81BD"/>
              <w:left w:val="nil"/>
              <w:bottom w:val="nil"/>
              <w:right w:val="single" w:sz="12" w:space="0" w:color="4F81BD"/>
            </w:tcBorders>
            <w:shd w:val="clear" w:color="000000" w:fill="6691C6"/>
            <w:vAlign w:val="center"/>
            <w:hideMark/>
          </w:tcPr>
          <w:p w:rsidR="00436F6E" w:rsidRPr="0011274B" w:rsidRDefault="00436F6E" w:rsidP="007E01C6">
            <w:pPr>
              <w:spacing w:after="0" w:line="240" w:lineRule="auto"/>
              <w:jc w:val="center"/>
              <w:rPr>
                <w:rFonts w:ascii="Calibri" w:eastAsia="Times New Roman" w:hAnsi="Calibri" w:cs="Times New Roman"/>
                <w:color w:val="FFFFFF"/>
                <w:szCs w:val="21"/>
                <w:lang w:eastAsia="cs-CZ"/>
              </w:rPr>
            </w:pPr>
            <w:r w:rsidRPr="0011274B">
              <w:rPr>
                <w:rFonts w:ascii="Calibri" w:eastAsia="Times New Roman" w:hAnsi="Calibri" w:cs="Times New Roman"/>
                <w:color w:val="FFFFFF" w:themeColor="background1"/>
                <w:szCs w:val="21"/>
                <w:lang w:eastAsia="cs-CZ"/>
              </w:rPr>
              <w:t>RBP</w:t>
            </w:r>
          </w:p>
        </w:tc>
      </w:tr>
      <w:tr w:rsidR="00FE418C" w:rsidRPr="0011274B" w:rsidTr="008C2A8D">
        <w:trPr>
          <w:trHeight w:val="300"/>
        </w:trPr>
        <w:tc>
          <w:tcPr>
            <w:tcW w:w="2880" w:type="dxa"/>
            <w:tcBorders>
              <w:top w:val="nil"/>
              <w:left w:val="single" w:sz="12" w:space="0" w:color="4F81BD"/>
              <w:bottom w:val="nil"/>
              <w:right w:val="nil"/>
            </w:tcBorders>
            <w:shd w:val="clear" w:color="auto" w:fill="auto"/>
            <w:vAlign w:val="center"/>
            <w:hideMark/>
          </w:tcPr>
          <w:p w:rsidR="00FE418C" w:rsidRPr="0011274B" w:rsidRDefault="00FE418C" w:rsidP="00FE418C">
            <w:pPr>
              <w:spacing w:after="0" w:line="240" w:lineRule="auto"/>
              <w:rPr>
                <w:rFonts w:ascii="Calibri" w:eastAsia="Times New Roman" w:hAnsi="Calibri" w:cs="Times New Roman"/>
                <w:b/>
                <w:bCs/>
                <w:color w:val="000000"/>
                <w:szCs w:val="21"/>
                <w:lang w:eastAsia="cs-CZ"/>
              </w:rPr>
            </w:pPr>
            <w:r>
              <w:rPr>
                <w:rFonts w:ascii="Calibri" w:eastAsia="Times New Roman" w:hAnsi="Calibri" w:cs="Times New Roman"/>
                <w:b/>
                <w:bCs/>
                <w:color w:val="000000"/>
                <w:szCs w:val="21"/>
                <w:lang w:eastAsia="cs-CZ"/>
              </w:rPr>
              <w:t>Oč. skut. 2020</w:t>
            </w:r>
          </w:p>
        </w:tc>
        <w:tc>
          <w:tcPr>
            <w:tcW w:w="960" w:type="dxa"/>
            <w:tcBorders>
              <w:top w:val="nil"/>
              <w:left w:val="nil"/>
              <w:bottom w:val="nil"/>
              <w:right w:val="nil"/>
            </w:tcBorders>
            <w:shd w:val="clear" w:color="000000" w:fill="DCE6F1"/>
            <w:noWrap/>
            <w:vAlign w:val="center"/>
          </w:tcPr>
          <w:p w:rsidR="00FE418C" w:rsidRPr="0011274B" w:rsidRDefault="00FE418C" w:rsidP="008C2A8D">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33 910</w:t>
            </w:r>
          </w:p>
        </w:tc>
        <w:tc>
          <w:tcPr>
            <w:tcW w:w="960" w:type="dxa"/>
            <w:tcBorders>
              <w:top w:val="nil"/>
              <w:left w:val="nil"/>
              <w:bottom w:val="nil"/>
              <w:right w:val="nil"/>
            </w:tcBorders>
            <w:shd w:val="clear" w:color="auto" w:fill="auto"/>
            <w:noWrap/>
            <w:vAlign w:val="center"/>
          </w:tcPr>
          <w:p w:rsidR="00FE418C" w:rsidRPr="0011274B" w:rsidRDefault="00FE418C" w:rsidP="008C2A8D">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2 087</w:t>
            </w:r>
          </w:p>
        </w:tc>
        <w:tc>
          <w:tcPr>
            <w:tcW w:w="960" w:type="dxa"/>
            <w:tcBorders>
              <w:top w:val="nil"/>
              <w:left w:val="nil"/>
              <w:bottom w:val="nil"/>
              <w:right w:val="nil"/>
            </w:tcBorders>
            <w:shd w:val="clear" w:color="000000" w:fill="DCE6F1"/>
            <w:noWrap/>
            <w:vAlign w:val="center"/>
          </w:tcPr>
          <w:p w:rsidR="00FE418C" w:rsidRPr="0011274B" w:rsidRDefault="00FE418C" w:rsidP="008C2A8D">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6 376</w:t>
            </w:r>
          </w:p>
        </w:tc>
        <w:tc>
          <w:tcPr>
            <w:tcW w:w="960" w:type="dxa"/>
            <w:tcBorders>
              <w:top w:val="nil"/>
              <w:left w:val="nil"/>
              <w:bottom w:val="nil"/>
              <w:right w:val="nil"/>
            </w:tcBorders>
            <w:shd w:val="clear" w:color="auto" w:fill="auto"/>
            <w:noWrap/>
            <w:vAlign w:val="center"/>
          </w:tcPr>
          <w:p w:rsidR="00FE418C" w:rsidRPr="0011274B" w:rsidRDefault="00FE418C" w:rsidP="008C2A8D">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5 086</w:t>
            </w:r>
          </w:p>
        </w:tc>
        <w:tc>
          <w:tcPr>
            <w:tcW w:w="960" w:type="dxa"/>
            <w:tcBorders>
              <w:top w:val="nil"/>
              <w:left w:val="nil"/>
              <w:bottom w:val="nil"/>
              <w:right w:val="nil"/>
            </w:tcBorders>
            <w:shd w:val="clear" w:color="000000" w:fill="DCE6F1"/>
            <w:noWrap/>
            <w:vAlign w:val="center"/>
          </w:tcPr>
          <w:p w:rsidR="00FE418C" w:rsidRPr="0011274B" w:rsidRDefault="00FE418C" w:rsidP="008C2A8D">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1 361</w:t>
            </w:r>
          </w:p>
        </w:tc>
        <w:tc>
          <w:tcPr>
            <w:tcW w:w="960" w:type="dxa"/>
            <w:tcBorders>
              <w:top w:val="nil"/>
              <w:left w:val="nil"/>
              <w:bottom w:val="nil"/>
              <w:right w:val="nil"/>
            </w:tcBorders>
            <w:shd w:val="clear" w:color="auto" w:fill="auto"/>
            <w:noWrap/>
            <w:vAlign w:val="center"/>
          </w:tcPr>
          <w:p w:rsidR="00FE418C" w:rsidRPr="0011274B" w:rsidRDefault="00FE418C" w:rsidP="008C2A8D">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7 529</w:t>
            </w:r>
          </w:p>
        </w:tc>
        <w:tc>
          <w:tcPr>
            <w:tcW w:w="960" w:type="dxa"/>
            <w:tcBorders>
              <w:top w:val="nil"/>
              <w:left w:val="nil"/>
              <w:bottom w:val="nil"/>
              <w:right w:val="single" w:sz="12" w:space="0" w:color="4F81BD"/>
            </w:tcBorders>
            <w:shd w:val="clear" w:color="000000" w:fill="DCE6F1"/>
            <w:noWrap/>
            <w:vAlign w:val="center"/>
          </w:tcPr>
          <w:p w:rsidR="00FE418C" w:rsidRPr="0011274B" w:rsidRDefault="00FE418C" w:rsidP="008C2A8D">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2 090</w:t>
            </w:r>
          </w:p>
        </w:tc>
      </w:tr>
      <w:tr w:rsidR="00FE418C" w:rsidRPr="0011274B" w:rsidTr="008C2A8D">
        <w:trPr>
          <w:trHeight w:val="570"/>
        </w:trPr>
        <w:tc>
          <w:tcPr>
            <w:tcW w:w="2880" w:type="dxa"/>
            <w:tcBorders>
              <w:top w:val="nil"/>
              <w:left w:val="single" w:sz="12" w:space="0" w:color="4F81BD"/>
              <w:bottom w:val="nil"/>
              <w:right w:val="nil"/>
            </w:tcBorders>
            <w:shd w:val="clear" w:color="000000" w:fill="EEF3F8"/>
            <w:vAlign w:val="center"/>
            <w:hideMark/>
          </w:tcPr>
          <w:p w:rsidR="00FE418C" w:rsidRPr="0011274B" w:rsidRDefault="00FE418C" w:rsidP="007E01C6">
            <w:pPr>
              <w:spacing w:after="0" w:line="240" w:lineRule="auto"/>
              <w:rPr>
                <w:rFonts w:ascii="Calibri" w:eastAsia="Times New Roman" w:hAnsi="Calibri" w:cs="Times New Roman"/>
                <w:color w:val="000000"/>
                <w:szCs w:val="21"/>
                <w:lang w:eastAsia="cs-CZ"/>
              </w:rPr>
            </w:pPr>
            <w:r w:rsidRPr="0011274B">
              <w:rPr>
                <w:rFonts w:ascii="Calibri" w:eastAsia="Times New Roman" w:hAnsi="Calibri" w:cs="Times New Roman"/>
                <w:color w:val="000000"/>
                <w:szCs w:val="21"/>
                <w:lang w:eastAsia="cs-CZ"/>
              </w:rPr>
              <w:t>Podíl zůstatků na celkových ročních výdajích</w:t>
            </w:r>
          </w:p>
        </w:tc>
        <w:tc>
          <w:tcPr>
            <w:tcW w:w="960" w:type="dxa"/>
            <w:tcBorders>
              <w:top w:val="nil"/>
              <w:left w:val="nil"/>
              <w:bottom w:val="nil"/>
              <w:right w:val="nil"/>
            </w:tcBorders>
            <w:shd w:val="clear" w:color="000000" w:fill="EEF3F8"/>
            <w:noWrap/>
            <w:vAlign w:val="center"/>
          </w:tcPr>
          <w:p w:rsidR="00FE418C" w:rsidRPr="0011274B" w:rsidRDefault="00FE418C" w:rsidP="008C2A8D">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16,0 %</w:t>
            </w:r>
          </w:p>
        </w:tc>
        <w:tc>
          <w:tcPr>
            <w:tcW w:w="960" w:type="dxa"/>
            <w:tcBorders>
              <w:top w:val="nil"/>
              <w:left w:val="nil"/>
              <w:bottom w:val="nil"/>
              <w:right w:val="nil"/>
            </w:tcBorders>
            <w:shd w:val="clear" w:color="000000" w:fill="EEF3F8"/>
            <w:noWrap/>
            <w:vAlign w:val="center"/>
          </w:tcPr>
          <w:p w:rsidR="00FE418C" w:rsidRPr="0011274B" w:rsidRDefault="00FE418C" w:rsidP="008C2A8D">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9,2 %</w:t>
            </w:r>
          </w:p>
        </w:tc>
        <w:tc>
          <w:tcPr>
            <w:tcW w:w="960" w:type="dxa"/>
            <w:tcBorders>
              <w:top w:val="nil"/>
              <w:left w:val="nil"/>
              <w:bottom w:val="nil"/>
              <w:right w:val="nil"/>
            </w:tcBorders>
            <w:shd w:val="clear" w:color="000000" w:fill="EEF3F8"/>
            <w:noWrap/>
            <w:vAlign w:val="center"/>
          </w:tcPr>
          <w:p w:rsidR="00FE418C" w:rsidRPr="0011274B" w:rsidRDefault="00FE418C" w:rsidP="008C2A8D">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16,5 %</w:t>
            </w:r>
          </w:p>
        </w:tc>
        <w:tc>
          <w:tcPr>
            <w:tcW w:w="960" w:type="dxa"/>
            <w:tcBorders>
              <w:top w:val="nil"/>
              <w:left w:val="nil"/>
              <w:bottom w:val="nil"/>
              <w:right w:val="nil"/>
            </w:tcBorders>
            <w:shd w:val="clear" w:color="000000" w:fill="EEF3F8"/>
            <w:noWrap/>
            <w:vAlign w:val="center"/>
          </w:tcPr>
          <w:p w:rsidR="00FE418C" w:rsidRPr="0011274B" w:rsidRDefault="00FE418C" w:rsidP="008C2A8D">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23,3 %</w:t>
            </w:r>
          </w:p>
        </w:tc>
        <w:tc>
          <w:tcPr>
            <w:tcW w:w="960" w:type="dxa"/>
            <w:tcBorders>
              <w:top w:val="nil"/>
              <w:left w:val="nil"/>
              <w:bottom w:val="nil"/>
              <w:right w:val="nil"/>
            </w:tcBorders>
            <w:shd w:val="clear" w:color="000000" w:fill="EEF3F8"/>
            <w:noWrap/>
            <w:vAlign w:val="center"/>
          </w:tcPr>
          <w:p w:rsidR="00FE418C" w:rsidRPr="0011274B" w:rsidRDefault="00FE418C" w:rsidP="008C2A8D">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30,2 %</w:t>
            </w:r>
          </w:p>
        </w:tc>
        <w:tc>
          <w:tcPr>
            <w:tcW w:w="960" w:type="dxa"/>
            <w:tcBorders>
              <w:top w:val="nil"/>
              <w:left w:val="nil"/>
              <w:bottom w:val="nil"/>
              <w:right w:val="nil"/>
            </w:tcBorders>
            <w:shd w:val="clear" w:color="000000" w:fill="EEF3F8"/>
            <w:noWrap/>
            <w:vAlign w:val="center"/>
          </w:tcPr>
          <w:p w:rsidR="00FE418C" w:rsidRPr="0011274B" w:rsidRDefault="00FE418C" w:rsidP="008C2A8D">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17,8 %</w:t>
            </w:r>
          </w:p>
        </w:tc>
        <w:tc>
          <w:tcPr>
            <w:tcW w:w="960" w:type="dxa"/>
            <w:tcBorders>
              <w:top w:val="nil"/>
              <w:left w:val="nil"/>
              <w:bottom w:val="nil"/>
              <w:right w:val="single" w:sz="12" w:space="0" w:color="4F81BD"/>
            </w:tcBorders>
            <w:shd w:val="clear" w:color="000000" w:fill="EEF3F8"/>
            <w:noWrap/>
            <w:vAlign w:val="center"/>
          </w:tcPr>
          <w:p w:rsidR="00FE418C" w:rsidRPr="0011274B" w:rsidRDefault="00FE418C" w:rsidP="008C2A8D">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16,0 %</w:t>
            </w:r>
          </w:p>
        </w:tc>
      </w:tr>
      <w:tr w:rsidR="00FE418C" w:rsidRPr="0011274B" w:rsidTr="008C2A8D">
        <w:trPr>
          <w:trHeight w:val="300"/>
        </w:trPr>
        <w:tc>
          <w:tcPr>
            <w:tcW w:w="2880" w:type="dxa"/>
            <w:tcBorders>
              <w:top w:val="nil"/>
              <w:left w:val="single" w:sz="12" w:space="0" w:color="4F81BD"/>
              <w:bottom w:val="nil"/>
              <w:right w:val="nil"/>
            </w:tcBorders>
            <w:shd w:val="clear" w:color="auto" w:fill="auto"/>
            <w:vAlign w:val="center"/>
            <w:hideMark/>
          </w:tcPr>
          <w:p w:rsidR="00FE418C" w:rsidRPr="0011274B" w:rsidRDefault="00FE418C" w:rsidP="008C2A8D">
            <w:pPr>
              <w:spacing w:after="0" w:line="240" w:lineRule="auto"/>
              <w:rPr>
                <w:rFonts w:ascii="Calibri" w:eastAsia="Times New Roman" w:hAnsi="Calibri" w:cs="Times New Roman"/>
                <w:b/>
                <w:bCs/>
                <w:color w:val="000000"/>
                <w:szCs w:val="21"/>
                <w:lang w:eastAsia="cs-CZ"/>
              </w:rPr>
            </w:pPr>
            <w:r w:rsidRPr="0011274B">
              <w:rPr>
                <w:rFonts w:ascii="Calibri" w:eastAsia="Times New Roman" w:hAnsi="Calibri" w:cs="Times New Roman"/>
                <w:b/>
                <w:bCs/>
                <w:color w:val="000000"/>
                <w:szCs w:val="21"/>
                <w:lang w:eastAsia="cs-CZ"/>
              </w:rPr>
              <w:t>ZPP 20</w:t>
            </w:r>
            <w:r>
              <w:rPr>
                <w:rFonts w:ascii="Calibri" w:eastAsia="Times New Roman" w:hAnsi="Calibri" w:cs="Times New Roman"/>
                <w:b/>
                <w:bCs/>
                <w:color w:val="000000"/>
                <w:szCs w:val="21"/>
                <w:lang w:eastAsia="cs-CZ"/>
              </w:rPr>
              <w:t>21</w:t>
            </w:r>
          </w:p>
        </w:tc>
        <w:tc>
          <w:tcPr>
            <w:tcW w:w="960" w:type="dxa"/>
            <w:tcBorders>
              <w:top w:val="nil"/>
              <w:left w:val="nil"/>
              <w:bottom w:val="nil"/>
              <w:right w:val="nil"/>
            </w:tcBorders>
            <w:shd w:val="clear" w:color="000000" w:fill="DCE6F1"/>
            <w:noWrap/>
            <w:vAlign w:val="center"/>
          </w:tcPr>
          <w:p w:rsidR="00FE418C" w:rsidRPr="0011274B" w:rsidRDefault="00FE418C" w:rsidP="008C2A8D">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23 586</w:t>
            </w:r>
          </w:p>
        </w:tc>
        <w:tc>
          <w:tcPr>
            <w:tcW w:w="960" w:type="dxa"/>
            <w:tcBorders>
              <w:top w:val="nil"/>
              <w:left w:val="nil"/>
              <w:bottom w:val="nil"/>
              <w:right w:val="nil"/>
            </w:tcBorders>
            <w:shd w:val="clear" w:color="auto" w:fill="auto"/>
            <w:noWrap/>
            <w:vAlign w:val="center"/>
          </w:tcPr>
          <w:p w:rsidR="00FE418C" w:rsidRPr="0011274B" w:rsidRDefault="00FE418C" w:rsidP="008C2A8D">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1 527</w:t>
            </w:r>
          </w:p>
        </w:tc>
        <w:tc>
          <w:tcPr>
            <w:tcW w:w="960" w:type="dxa"/>
            <w:tcBorders>
              <w:top w:val="nil"/>
              <w:left w:val="nil"/>
              <w:bottom w:val="nil"/>
              <w:right w:val="nil"/>
            </w:tcBorders>
            <w:shd w:val="clear" w:color="000000" w:fill="DCE6F1"/>
            <w:noWrap/>
            <w:vAlign w:val="center"/>
          </w:tcPr>
          <w:p w:rsidR="00FE418C" w:rsidRPr="0011274B" w:rsidRDefault="00FE418C" w:rsidP="008C2A8D">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6 747</w:t>
            </w:r>
          </w:p>
        </w:tc>
        <w:tc>
          <w:tcPr>
            <w:tcW w:w="960" w:type="dxa"/>
            <w:tcBorders>
              <w:top w:val="nil"/>
              <w:left w:val="nil"/>
              <w:bottom w:val="nil"/>
              <w:right w:val="nil"/>
            </w:tcBorders>
            <w:shd w:val="clear" w:color="auto" w:fill="auto"/>
            <w:noWrap/>
            <w:vAlign w:val="center"/>
          </w:tcPr>
          <w:p w:rsidR="00FE418C" w:rsidRPr="0011274B" w:rsidRDefault="00FE418C" w:rsidP="008C2A8D">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4 445</w:t>
            </w:r>
          </w:p>
        </w:tc>
        <w:tc>
          <w:tcPr>
            <w:tcW w:w="960" w:type="dxa"/>
            <w:tcBorders>
              <w:top w:val="nil"/>
              <w:left w:val="nil"/>
              <w:bottom w:val="nil"/>
              <w:right w:val="nil"/>
            </w:tcBorders>
            <w:shd w:val="clear" w:color="000000" w:fill="DCE6F1"/>
            <w:noWrap/>
            <w:vAlign w:val="center"/>
          </w:tcPr>
          <w:p w:rsidR="00FE418C" w:rsidRPr="0011274B" w:rsidRDefault="00FE418C" w:rsidP="008C2A8D">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922</w:t>
            </w:r>
          </w:p>
        </w:tc>
        <w:tc>
          <w:tcPr>
            <w:tcW w:w="960" w:type="dxa"/>
            <w:tcBorders>
              <w:top w:val="nil"/>
              <w:left w:val="nil"/>
              <w:bottom w:val="nil"/>
              <w:right w:val="nil"/>
            </w:tcBorders>
            <w:shd w:val="clear" w:color="auto" w:fill="auto"/>
            <w:noWrap/>
            <w:vAlign w:val="center"/>
          </w:tcPr>
          <w:p w:rsidR="00FE418C" w:rsidRPr="0011274B" w:rsidRDefault="00FE418C" w:rsidP="008C2A8D">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5 672</w:t>
            </w:r>
          </w:p>
        </w:tc>
        <w:tc>
          <w:tcPr>
            <w:tcW w:w="960" w:type="dxa"/>
            <w:tcBorders>
              <w:top w:val="nil"/>
              <w:left w:val="nil"/>
              <w:bottom w:val="nil"/>
              <w:right w:val="single" w:sz="12" w:space="0" w:color="4F81BD"/>
            </w:tcBorders>
            <w:shd w:val="clear" w:color="000000" w:fill="DCE6F1"/>
            <w:noWrap/>
            <w:vAlign w:val="center"/>
          </w:tcPr>
          <w:p w:rsidR="00FE418C" w:rsidRPr="0011274B" w:rsidRDefault="00FE418C" w:rsidP="008C2A8D">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1 877</w:t>
            </w:r>
          </w:p>
        </w:tc>
      </w:tr>
      <w:tr w:rsidR="00FE418C" w:rsidRPr="0011274B" w:rsidTr="008C2A8D">
        <w:trPr>
          <w:trHeight w:val="585"/>
        </w:trPr>
        <w:tc>
          <w:tcPr>
            <w:tcW w:w="2880" w:type="dxa"/>
            <w:tcBorders>
              <w:top w:val="nil"/>
              <w:left w:val="single" w:sz="12" w:space="0" w:color="4F81BD"/>
              <w:bottom w:val="single" w:sz="12" w:space="0" w:color="4F81BD"/>
              <w:right w:val="nil"/>
            </w:tcBorders>
            <w:shd w:val="clear" w:color="000000" w:fill="EEF3F8"/>
            <w:vAlign w:val="center"/>
            <w:hideMark/>
          </w:tcPr>
          <w:p w:rsidR="00FE418C" w:rsidRPr="0011274B" w:rsidRDefault="00FE418C" w:rsidP="007E01C6">
            <w:pPr>
              <w:spacing w:after="0" w:line="240" w:lineRule="auto"/>
              <w:rPr>
                <w:rFonts w:ascii="Calibri" w:eastAsia="Times New Roman" w:hAnsi="Calibri" w:cs="Times New Roman"/>
                <w:color w:val="000000"/>
                <w:szCs w:val="21"/>
                <w:lang w:eastAsia="cs-CZ"/>
              </w:rPr>
            </w:pPr>
            <w:r w:rsidRPr="0011274B">
              <w:rPr>
                <w:rFonts w:ascii="Calibri" w:eastAsia="Times New Roman" w:hAnsi="Calibri" w:cs="Times New Roman"/>
                <w:color w:val="000000"/>
                <w:szCs w:val="21"/>
                <w:lang w:eastAsia="cs-CZ"/>
              </w:rPr>
              <w:t>Podíl zůstatků na celkových ročních výdajích</w:t>
            </w:r>
          </w:p>
        </w:tc>
        <w:tc>
          <w:tcPr>
            <w:tcW w:w="960" w:type="dxa"/>
            <w:tcBorders>
              <w:top w:val="nil"/>
              <w:left w:val="nil"/>
              <w:bottom w:val="single" w:sz="12" w:space="0" w:color="4F81BD"/>
              <w:right w:val="nil"/>
            </w:tcBorders>
            <w:shd w:val="clear" w:color="000000" w:fill="EEF3F8"/>
            <w:noWrap/>
            <w:vAlign w:val="center"/>
          </w:tcPr>
          <w:p w:rsidR="00FE418C" w:rsidRPr="0011274B" w:rsidRDefault="00FE418C" w:rsidP="008C2A8D">
            <w:pPr>
              <w:spacing w:after="0" w:line="240" w:lineRule="auto"/>
              <w:jc w:val="right"/>
              <w:rPr>
                <w:rFonts w:ascii="Calibri" w:eastAsia="Times New Roman" w:hAnsi="Calibri" w:cs="Times New Roman"/>
                <w:color w:val="000000"/>
                <w:lang w:eastAsia="cs-CZ"/>
              </w:rPr>
            </w:pPr>
            <w:r>
              <w:rPr>
                <w:rFonts w:ascii="Calibri" w:hAnsi="Calibri" w:cs="Times New Roman CE"/>
                <w:color w:val="000000"/>
                <w:szCs w:val="21"/>
              </w:rPr>
              <w:t>9,8 %</w:t>
            </w:r>
          </w:p>
        </w:tc>
        <w:tc>
          <w:tcPr>
            <w:tcW w:w="960" w:type="dxa"/>
            <w:tcBorders>
              <w:top w:val="nil"/>
              <w:left w:val="nil"/>
              <w:bottom w:val="single" w:sz="12" w:space="0" w:color="4F81BD"/>
              <w:right w:val="nil"/>
            </w:tcBorders>
            <w:shd w:val="clear" w:color="000000" w:fill="EEF3F8"/>
            <w:noWrap/>
            <w:vAlign w:val="center"/>
          </w:tcPr>
          <w:p w:rsidR="00FE418C" w:rsidRPr="0011274B" w:rsidRDefault="00FE418C" w:rsidP="008C2A8D">
            <w:pPr>
              <w:spacing w:after="0" w:line="240" w:lineRule="auto"/>
              <w:jc w:val="right"/>
              <w:rPr>
                <w:rFonts w:ascii="Calibri" w:eastAsia="Times New Roman" w:hAnsi="Calibri" w:cs="Times New Roman"/>
                <w:color w:val="000000"/>
                <w:lang w:eastAsia="cs-CZ"/>
              </w:rPr>
            </w:pPr>
            <w:r>
              <w:rPr>
                <w:rFonts w:ascii="Calibri" w:hAnsi="Calibri" w:cs="Times New Roman CE"/>
                <w:color w:val="000000"/>
                <w:szCs w:val="21"/>
              </w:rPr>
              <w:t>6,1 %</w:t>
            </w:r>
          </w:p>
        </w:tc>
        <w:tc>
          <w:tcPr>
            <w:tcW w:w="960" w:type="dxa"/>
            <w:tcBorders>
              <w:top w:val="nil"/>
              <w:left w:val="nil"/>
              <w:bottom w:val="single" w:sz="12" w:space="0" w:color="4F81BD"/>
              <w:right w:val="nil"/>
            </w:tcBorders>
            <w:shd w:val="clear" w:color="000000" w:fill="EEF3F8"/>
            <w:noWrap/>
            <w:vAlign w:val="center"/>
          </w:tcPr>
          <w:p w:rsidR="00FE418C" w:rsidRPr="0011274B" w:rsidRDefault="00FE418C" w:rsidP="008C2A8D">
            <w:pPr>
              <w:spacing w:after="0" w:line="240" w:lineRule="auto"/>
              <w:jc w:val="right"/>
              <w:rPr>
                <w:rFonts w:ascii="Calibri" w:eastAsia="Times New Roman" w:hAnsi="Calibri" w:cs="Times New Roman"/>
                <w:color w:val="000000"/>
                <w:lang w:eastAsia="cs-CZ"/>
              </w:rPr>
            </w:pPr>
            <w:r>
              <w:rPr>
                <w:rFonts w:ascii="Calibri" w:hAnsi="Calibri" w:cs="Times New Roman CE"/>
                <w:color w:val="000000"/>
                <w:szCs w:val="21"/>
              </w:rPr>
              <w:t>16,1 %</w:t>
            </w:r>
          </w:p>
        </w:tc>
        <w:tc>
          <w:tcPr>
            <w:tcW w:w="960" w:type="dxa"/>
            <w:tcBorders>
              <w:top w:val="nil"/>
              <w:left w:val="nil"/>
              <w:bottom w:val="single" w:sz="12" w:space="0" w:color="4F81BD"/>
              <w:right w:val="nil"/>
            </w:tcBorders>
            <w:shd w:val="clear" w:color="000000" w:fill="EEF3F8"/>
            <w:noWrap/>
            <w:vAlign w:val="center"/>
          </w:tcPr>
          <w:p w:rsidR="00FE418C" w:rsidRPr="0011274B" w:rsidRDefault="00FE418C" w:rsidP="008C2A8D">
            <w:pPr>
              <w:spacing w:after="0" w:line="240" w:lineRule="auto"/>
              <w:jc w:val="right"/>
              <w:rPr>
                <w:rFonts w:ascii="Calibri" w:eastAsia="Times New Roman" w:hAnsi="Calibri" w:cs="Times New Roman"/>
                <w:color w:val="000000"/>
                <w:lang w:eastAsia="cs-CZ"/>
              </w:rPr>
            </w:pPr>
            <w:r>
              <w:rPr>
                <w:rFonts w:ascii="Calibri" w:hAnsi="Calibri" w:cs="Times New Roman CE"/>
                <w:color w:val="000000"/>
                <w:szCs w:val="21"/>
              </w:rPr>
              <w:t>18,0 %</w:t>
            </w:r>
          </w:p>
        </w:tc>
        <w:tc>
          <w:tcPr>
            <w:tcW w:w="960" w:type="dxa"/>
            <w:tcBorders>
              <w:top w:val="nil"/>
              <w:left w:val="nil"/>
              <w:bottom w:val="single" w:sz="12" w:space="0" w:color="4F81BD"/>
              <w:right w:val="nil"/>
            </w:tcBorders>
            <w:shd w:val="clear" w:color="000000" w:fill="EEF3F8"/>
            <w:noWrap/>
            <w:vAlign w:val="center"/>
          </w:tcPr>
          <w:p w:rsidR="00FE418C" w:rsidRPr="0011274B" w:rsidRDefault="00FE418C" w:rsidP="008C2A8D">
            <w:pPr>
              <w:spacing w:after="0" w:line="240" w:lineRule="auto"/>
              <w:jc w:val="right"/>
              <w:rPr>
                <w:rFonts w:ascii="Calibri" w:eastAsia="Times New Roman" w:hAnsi="Calibri" w:cs="Times New Roman"/>
                <w:color w:val="000000"/>
                <w:lang w:eastAsia="cs-CZ"/>
              </w:rPr>
            </w:pPr>
            <w:r>
              <w:rPr>
                <w:rFonts w:ascii="Calibri" w:hAnsi="Calibri" w:cs="Times New Roman CE"/>
                <w:color w:val="000000"/>
                <w:szCs w:val="21"/>
              </w:rPr>
              <w:t>16,8 %</w:t>
            </w:r>
          </w:p>
        </w:tc>
        <w:tc>
          <w:tcPr>
            <w:tcW w:w="960" w:type="dxa"/>
            <w:tcBorders>
              <w:top w:val="nil"/>
              <w:left w:val="nil"/>
              <w:bottom w:val="single" w:sz="12" w:space="0" w:color="4F81BD"/>
              <w:right w:val="nil"/>
            </w:tcBorders>
            <w:shd w:val="clear" w:color="000000" w:fill="EEF3F8"/>
            <w:noWrap/>
            <w:vAlign w:val="center"/>
          </w:tcPr>
          <w:p w:rsidR="00FE418C" w:rsidRPr="0011274B" w:rsidRDefault="00FE418C" w:rsidP="008C2A8D">
            <w:pPr>
              <w:spacing w:after="0" w:line="240" w:lineRule="auto"/>
              <w:jc w:val="right"/>
              <w:rPr>
                <w:rFonts w:ascii="Calibri" w:eastAsia="Times New Roman" w:hAnsi="Calibri" w:cs="Times New Roman"/>
                <w:color w:val="000000"/>
                <w:lang w:eastAsia="cs-CZ"/>
              </w:rPr>
            </w:pPr>
            <w:r>
              <w:rPr>
                <w:rFonts w:ascii="Calibri" w:hAnsi="Calibri" w:cs="Times New Roman CE"/>
                <w:color w:val="000000"/>
                <w:szCs w:val="21"/>
              </w:rPr>
              <w:t>12,3 %</w:t>
            </w:r>
          </w:p>
        </w:tc>
        <w:tc>
          <w:tcPr>
            <w:tcW w:w="960" w:type="dxa"/>
            <w:tcBorders>
              <w:top w:val="nil"/>
              <w:left w:val="nil"/>
              <w:bottom w:val="single" w:sz="12" w:space="0" w:color="4F81BD"/>
              <w:right w:val="single" w:sz="12" w:space="0" w:color="4F81BD"/>
            </w:tcBorders>
            <w:shd w:val="clear" w:color="000000" w:fill="EEF3F8"/>
            <w:noWrap/>
            <w:vAlign w:val="center"/>
          </w:tcPr>
          <w:p w:rsidR="00FE418C" w:rsidRPr="0011274B" w:rsidRDefault="00FE418C" w:rsidP="008C2A8D">
            <w:pPr>
              <w:spacing w:after="0" w:line="240" w:lineRule="auto"/>
              <w:jc w:val="right"/>
              <w:rPr>
                <w:rFonts w:ascii="Calibri" w:eastAsia="Times New Roman" w:hAnsi="Calibri" w:cs="Times New Roman"/>
                <w:color w:val="000000"/>
                <w:lang w:eastAsia="cs-CZ"/>
              </w:rPr>
            </w:pPr>
            <w:r>
              <w:rPr>
                <w:rFonts w:ascii="Calibri" w:hAnsi="Calibri" w:cs="Times New Roman CE"/>
                <w:color w:val="000000"/>
                <w:szCs w:val="21"/>
              </w:rPr>
              <w:t>13,3 %</w:t>
            </w:r>
          </w:p>
        </w:tc>
      </w:tr>
    </w:tbl>
    <w:p w:rsidR="00A866BB" w:rsidRPr="00456113" w:rsidRDefault="003268B0" w:rsidP="00E7008D">
      <w:pPr>
        <w:spacing w:before="180" w:line="276" w:lineRule="auto"/>
        <w:jc w:val="both"/>
      </w:pPr>
      <w:r w:rsidRPr="00456113">
        <w:rPr>
          <w:i/>
        </w:rPr>
        <w:t>Tabulka č. 9</w:t>
      </w:r>
      <w:r w:rsidRPr="00456113">
        <w:t xml:space="preserve"> </w:t>
      </w:r>
      <w:r w:rsidR="000D0489" w:rsidRPr="00456113">
        <w:t>analyzuje absolutní rozložení zůstatků na bankovních účtech podle zdravotních pojišťoven a</w:t>
      </w:r>
      <w:r w:rsidR="00DB6F80" w:rsidRPr="00456113">
        <w:t> </w:t>
      </w:r>
      <w:r w:rsidR="000D0489" w:rsidRPr="00456113">
        <w:t>porovnává jejich podíl na celkových ročních výdajích. Z čehož vyplývá, že v obou sledovaných obdobích nejni</w:t>
      </w:r>
      <w:r w:rsidR="002E0F51" w:rsidRPr="00456113">
        <w:t xml:space="preserve">žší hodnotu vykázala </w:t>
      </w:r>
      <w:proofErr w:type="spellStart"/>
      <w:r w:rsidR="002E0F51" w:rsidRPr="00456113">
        <w:t>VoZP</w:t>
      </w:r>
      <w:proofErr w:type="spellEnd"/>
      <w:r w:rsidR="002E0F51" w:rsidRPr="00456113">
        <w:t xml:space="preserve"> ČR a </w:t>
      </w:r>
      <w:r w:rsidR="000D0489" w:rsidRPr="00456113">
        <w:t>nejvyšší ZPŠ</w:t>
      </w:r>
      <w:r w:rsidR="002E0F51" w:rsidRPr="00456113">
        <w:t xml:space="preserve"> (</w:t>
      </w:r>
      <w:r w:rsidR="00265D09" w:rsidRPr="00456113">
        <w:t>2020</w:t>
      </w:r>
      <w:r w:rsidR="002E0F51" w:rsidRPr="00456113">
        <w:t xml:space="preserve">) </w:t>
      </w:r>
      <w:r w:rsidR="00BF1E42" w:rsidRPr="00456113">
        <w:t>a OZP (202</w:t>
      </w:r>
      <w:r w:rsidR="00265D09" w:rsidRPr="00456113">
        <w:t>1</w:t>
      </w:r>
      <w:r w:rsidR="00BF1E42" w:rsidRPr="00456113">
        <w:t>)</w:t>
      </w:r>
      <w:r w:rsidR="000D0489" w:rsidRPr="00456113">
        <w:t xml:space="preserve">. </w:t>
      </w:r>
    </w:p>
    <w:p w:rsidR="00265D09" w:rsidRDefault="00265D09" w:rsidP="00E7008D">
      <w:pPr>
        <w:spacing w:before="180" w:line="276" w:lineRule="auto"/>
        <w:jc w:val="both"/>
        <w:rPr>
          <w:i/>
        </w:rPr>
      </w:pPr>
      <w:r w:rsidRPr="00456113">
        <w:t xml:space="preserve">Vývoj absolutního i relativního ukazatele rezerv ve vztahu k výdajům systému </w:t>
      </w:r>
      <w:r w:rsidR="00D30F4B">
        <w:t>v. z. p.</w:t>
      </w:r>
      <w:r w:rsidRPr="00456113">
        <w:t xml:space="preserve"> shrnuje </w:t>
      </w:r>
      <w:r w:rsidRPr="00456113">
        <w:rPr>
          <w:i/>
        </w:rPr>
        <w:t>Graf č. 5</w:t>
      </w:r>
      <w:r w:rsidR="005D06ED" w:rsidRPr="00456113">
        <w:rPr>
          <w:i/>
        </w:rPr>
        <w:t xml:space="preserve">. </w:t>
      </w:r>
      <w:r w:rsidR="005D06ED" w:rsidRPr="00456113">
        <w:t>Z</w:t>
      </w:r>
      <w:r w:rsidR="00A866BB" w:rsidRPr="00456113">
        <w:t> něhož je patrné</w:t>
      </w:r>
      <w:r w:rsidR="00A20881" w:rsidRPr="00456113">
        <w:t xml:space="preserve">, že </w:t>
      </w:r>
      <w:r w:rsidR="004F5602" w:rsidRPr="00456113">
        <w:t xml:space="preserve">v roce 2020 dojde </w:t>
      </w:r>
      <w:r w:rsidR="00A20881" w:rsidRPr="00456113">
        <w:t xml:space="preserve">z důvodu stagnace celkových zůstatků a </w:t>
      </w:r>
      <w:r w:rsidR="00F631E6" w:rsidRPr="00456113">
        <w:t xml:space="preserve">na druhé straně růstu výdajů </w:t>
      </w:r>
      <w:r w:rsidR="004F5602" w:rsidRPr="00456113">
        <w:t>k poklesu podílu. Pokles se prohloubí i v roce následujícím z důvodu významně deficitního hospodaření.</w:t>
      </w:r>
    </w:p>
    <w:p w:rsidR="00265D09" w:rsidRDefault="00265D09" w:rsidP="00265D09">
      <w:pPr>
        <w:pStyle w:val="Titulek"/>
      </w:pPr>
      <w:bookmarkStart w:id="23" w:name="_Toc63685285"/>
      <w:r>
        <w:t xml:space="preserve">Graf č. </w:t>
      </w:r>
      <w:r w:rsidR="008E5E29">
        <w:rPr>
          <w:noProof/>
        </w:rPr>
        <w:fldChar w:fldCharType="begin"/>
      </w:r>
      <w:r>
        <w:rPr>
          <w:noProof/>
        </w:rPr>
        <w:instrText xml:space="preserve"> SEQ Graf \* ARABIC </w:instrText>
      </w:r>
      <w:r w:rsidR="008E5E29">
        <w:rPr>
          <w:noProof/>
        </w:rPr>
        <w:fldChar w:fldCharType="separate"/>
      </w:r>
      <w:r w:rsidR="006D5C90">
        <w:rPr>
          <w:noProof/>
        </w:rPr>
        <w:t>5</w:t>
      </w:r>
      <w:r w:rsidR="008E5E29">
        <w:rPr>
          <w:noProof/>
        </w:rPr>
        <w:fldChar w:fldCharType="end"/>
      </w:r>
      <w:r>
        <w:t xml:space="preserve">: </w:t>
      </w:r>
      <w:r w:rsidR="00D3602F">
        <w:t>Zůstatky zdravotních pojišťoven</w:t>
      </w:r>
      <w:bookmarkEnd w:id="23"/>
    </w:p>
    <w:p w:rsidR="00265D09" w:rsidRDefault="00265D09" w:rsidP="001965F4">
      <w:pPr>
        <w:spacing w:before="180" w:line="276" w:lineRule="auto"/>
      </w:pPr>
      <w:r>
        <w:rPr>
          <w:noProof/>
          <w:lang w:eastAsia="cs-CZ"/>
        </w:rPr>
        <w:drawing>
          <wp:inline distT="0" distB="0" distL="0" distR="0">
            <wp:extent cx="6156000" cy="2905125"/>
            <wp:effectExtent l="0" t="0" r="0" b="0"/>
            <wp:docPr id="23" name="Graf 23">
              <a:extLst xmlns:a="http://schemas.openxmlformats.org/drawingml/2006/main">
                <a:ext uri="{FF2B5EF4-FFF2-40B4-BE49-F238E27FC236}">
                  <a16:creationId xmlns:a16="http://schemas.microsoft.com/office/drawing/2014/main" id="{00000000-0008-0000-02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3268B0" w:rsidRDefault="000D0489" w:rsidP="00E7008D">
      <w:pPr>
        <w:spacing w:before="180" w:line="276" w:lineRule="auto"/>
        <w:jc w:val="both"/>
      </w:pPr>
      <w:r w:rsidRPr="00456113">
        <w:rPr>
          <w:i/>
        </w:rPr>
        <w:lastRenderedPageBreak/>
        <w:t xml:space="preserve">Graf č. </w:t>
      </w:r>
      <w:r w:rsidR="00F474E3" w:rsidRPr="00456113">
        <w:rPr>
          <w:i/>
        </w:rPr>
        <w:t>6</w:t>
      </w:r>
      <w:r w:rsidRPr="00456113">
        <w:t xml:space="preserve"> pak obsahuje srovnání </w:t>
      </w:r>
      <w:r w:rsidR="00E7008D" w:rsidRPr="00456113">
        <w:t xml:space="preserve">ke konci roku </w:t>
      </w:r>
      <w:r w:rsidR="004F5602" w:rsidRPr="00456113">
        <w:t xml:space="preserve">2020 a 2021 </w:t>
      </w:r>
      <w:r w:rsidR="00E7008D" w:rsidRPr="00456113">
        <w:t>v relativním pojetí</w:t>
      </w:r>
      <w:r w:rsidR="00F474E3" w:rsidRPr="00456113">
        <w:t xml:space="preserve">, kde </w:t>
      </w:r>
      <w:r w:rsidR="001965F4" w:rsidRPr="00456113">
        <w:t xml:space="preserve">v letech zdravotně pojistného plánu </w:t>
      </w:r>
      <w:r w:rsidR="00F474E3" w:rsidRPr="00456113">
        <w:t xml:space="preserve">vidíme pokles </w:t>
      </w:r>
      <w:r w:rsidR="003E36CB" w:rsidRPr="00456113">
        <w:t xml:space="preserve">zastoupení zůstatků u VZP ČR, což je zřejmým důsledkem hospodářských výsledků jednotlivých </w:t>
      </w:r>
      <w:r w:rsidR="00351EB9" w:rsidRPr="00456113">
        <w:t>zdravotních pojišťoven</w:t>
      </w:r>
    </w:p>
    <w:p w:rsidR="00A76110" w:rsidRDefault="00A76110" w:rsidP="00A76110">
      <w:pPr>
        <w:pStyle w:val="Titulek"/>
      </w:pPr>
      <w:bookmarkStart w:id="24" w:name="_Toc63685286"/>
      <w:r>
        <w:t xml:space="preserve">Graf č. </w:t>
      </w:r>
      <w:r w:rsidR="008E5E29">
        <w:rPr>
          <w:noProof/>
        </w:rPr>
        <w:fldChar w:fldCharType="begin"/>
      </w:r>
      <w:r w:rsidR="007F5247">
        <w:rPr>
          <w:noProof/>
        </w:rPr>
        <w:instrText xml:space="preserve"> SEQ Graf \* ARABIC </w:instrText>
      </w:r>
      <w:r w:rsidR="008E5E29">
        <w:rPr>
          <w:noProof/>
        </w:rPr>
        <w:fldChar w:fldCharType="separate"/>
      </w:r>
      <w:r w:rsidR="006D5C90">
        <w:rPr>
          <w:noProof/>
        </w:rPr>
        <w:t>6</w:t>
      </w:r>
      <w:r w:rsidR="008E5E29">
        <w:rPr>
          <w:noProof/>
        </w:rPr>
        <w:fldChar w:fldCharType="end"/>
      </w:r>
      <w:r>
        <w:t xml:space="preserve">: </w:t>
      </w:r>
      <w:r w:rsidRPr="00A76110">
        <w:t>Stav peněžních prostředků jednotlivých ZP k</w:t>
      </w:r>
      <w:r w:rsidR="00F474E3">
        <w:t xml:space="preserve"> 31. 12. 2020 a </w:t>
      </w:r>
      <w:r w:rsidRPr="00A76110">
        <w:t xml:space="preserve">31. 12. </w:t>
      </w:r>
      <w:r w:rsidR="00E7008D" w:rsidRPr="00A76110">
        <w:t>20</w:t>
      </w:r>
      <w:r w:rsidR="00E7008D">
        <w:t>2</w:t>
      </w:r>
      <w:r w:rsidR="00F474E3">
        <w:t>1</w:t>
      </w:r>
      <w:bookmarkEnd w:id="24"/>
    </w:p>
    <w:p w:rsidR="006F338E" w:rsidRPr="006F338E" w:rsidRDefault="006F338E" w:rsidP="001965F4">
      <w:r>
        <w:rPr>
          <w:noProof/>
          <w:lang w:eastAsia="cs-CZ"/>
        </w:rPr>
        <w:drawing>
          <wp:inline distT="0" distB="0" distL="0" distR="0">
            <wp:extent cx="6012000" cy="2520000"/>
            <wp:effectExtent l="0" t="0" r="8255" b="0"/>
            <wp:docPr id="24" name="Graf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A76110" w:rsidRPr="00305036" w:rsidRDefault="00436F6E" w:rsidP="00305036">
      <w:pPr>
        <w:spacing w:before="180" w:line="276" w:lineRule="auto"/>
        <w:jc w:val="both"/>
        <w:rPr>
          <w:rStyle w:val="TEXTChar"/>
          <w:rFonts w:ascii="Calibri" w:hAnsi="Calibri"/>
        </w:rPr>
      </w:pPr>
      <w:r w:rsidRPr="00305036">
        <w:rPr>
          <w:rStyle w:val="TEXTChar"/>
          <w:rFonts w:ascii="Calibri" w:hAnsi="Calibri"/>
        </w:rPr>
        <w:t>V </w:t>
      </w:r>
      <w:r w:rsidRPr="00305036">
        <w:rPr>
          <w:rStyle w:val="TEXTChar"/>
          <w:rFonts w:ascii="Calibri" w:hAnsi="Calibri"/>
          <w:i/>
        </w:rPr>
        <w:t>Tabulkové příloze, Tabulka č. 1b</w:t>
      </w:r>
      <w:r w:rsidRPr="00305036">
        <w:rPr>
          <w:rStyle w:val="TEXTChar"/>
          <w:rFonts w:ascii="Calibri" w:hAnsi="Calibri"/>
        </w:rPr>
        <w:t xml:space="preserve">, jsou uvedeny finanční zůstatky na bankovních účtech základních fondů zdravotních pojišťoven k 31. 12. </w:t>
      </w:r>
      <w:r w:rsidR="00E7008D" w:rsidRPr="00305036">
        <w:rPr>
          <w:rStyle w:val="TEXTChar"/>
          <w:rFonts w:ascii="Calibri" w:hAnsi="Calibri"/>
        </w:rPr>
        <w:t>20</w:t>
      </w:r>
      <w:r w:rsidR="00E7008D">
        <w:rPr>
          <w:rStyle w:val="TEXTChar"/>
          <w:rFonts w:ascii="Calibri" w:hAnsi="Calibri"/>
        </w:rPr>
        <w:t>2</w:t>
      </w:r>
      <w:r w:rsidR="00AF29D5">
        <w:rPr>
          <w:rStyle w:val="TEXTChar"/>
          <w:rFonts w:ascii="Calibri" w:hAnsi="Calibri"/>
        </w:rPr>
        <w:t>1</w:t>
      </w:r>
      <w:r w:rsidRPr="00305036">
        <w:rPr>
          <w:rStyle w:val="TEXTChar"/>
          <w:rFonts w:ascii="Calibri" w:hAnsi="Calibri"/>
        </w:rPr>
        <w:t xml:space="preserve">. BÚ </w:t>
      </w:r>
      <w:r w:rsidR="00E16D99">
        <w:rPr>
          <w:rStyle w:val="TEXTChar"/>
          <w:rFonts w:ascii="Calibri" w:hAnsi="Calibri"/>
        </w:rPr>
        <w:t>r</w:t>
      </w:r>
      <w:r w:rsidRPr="00305036">
        <w:rPr>
          <w:rStyle w:val="TEXTChar"/>
          <w:rFonts w:ascii="Calibri" w:hAnsi="Calibri"/>
        </w:rPr>
        <w:t>ezervního fondu (</w:t>
      </w:r>
      <w:r w:rsidR="001865E5">
        <w:rPr>
          <w:rStyle w:val="TEXTChar"/>
          <w:rFonts w:ascii="Calibri" w:hAnsi="Calibri"/>
          <w:i/>
        </w:rPr>
        <w:t>Tabulkové příloha</w:t>
      </w:r>
      <w:r w:rsidR="001865E5" w:rsidRPr="00305036">
        <w:rPr>
          <w:rStyle w:val="TEXTChar"/>
          <w:rFonts w:ascii="Calibri" w:hAnsi="Calibri"/>
          <w:i/>
        </w:rPr>
        <w:t xml:space="preserve">, </w:t>
      </w:r>
      <w:r w:rsidRPr="00305036">
        <w:rPr>
          <w:rStyle w:val="TEXTChar"/>
          <w:rFonts w:ascii="Calibri" w:hAnsi="Calibri"/>
          <w:i/>
        </w:rPr>
        <w:t>Tabulka č. 3</w:t>
      </w:r>
      <w:r w:rsidRPr="00305036">
        <w:rPr>
          <w:rStyle w:val="TEXTChar"/>
          <w:rFonts w:ascii="Calibri" w:hAnsi="Calibri"/>
        </w:rPr>
        <w:t>) mají všechny ZP ke</w:t>
      </w:r>
      <w:r w:rsidR="00DB6F80">
        <w:rPr>
          <w:rStyle w:val="TEXTChar"/>
          <w:rFonts w:ascii="Calibri" w:hAnsi="Calibri"/>
        </w:rPr>
        <w:t> </w:t>
      </w:r>
      <w:r w:rsidRPr="00305036">
        <w:rPr>
          <w:rStyle w:val="TEXTChar"/>
          <w:rFonts w:ascii="Calibri" w:hAnsi="Calibri"/>
        </w:rPr>
        <w:t xml:space="preserve">konci roku </w:t>
      </w:r>
      <w:r w:rsidR="001F47B2" w:rsidRPr="00305036">
        <w:rPr>
          <w:rStyle w:val="TEXTChar"/>
          <w:rFonts w:ascii="Calibri" w:hAnsi="Calibri"/>
        </w:rPr>
        <w:t>20</w:t>
      </w:r>
      <w:r w:rsidR="001F47B2">
        <w:rPr>
          <w:rStyle w:val="TEXTChar"/>
          <w:rFonts w:ascii="Calibri" w:hAnsi="Calibri"/>
        </w:rPr>
        <w:t>20</w:t>
      </w:r>
      <w:r w:rsidR="001F47B2" w:rsidRPr="00305036">
        <w:rPr>
          <w:rStyle w:val="TEXTChar"/>
          <w:rFonts w:ascii="Calibri" w:hAnsi="Calibri"/>
        </w:rPr>
        <w:t xml:space="preserve"> </w:t>
      </w:r>
      <w:r w:rsidRPr="00305036">
        <w:rPr>
          <w:rStyle w:val="TEXTChar"/>
          <w:rFonts w:ascii="Calibri" w:hAnsi="Calibri"/>
        </w:rPr>
        <w:t xml:space="preserve">i roku </w:t>
      </w:r>
      <w:r w:rsidR="00E16D99" w:rsidRPr="00305036">
        <w:rPr>
          <w:rStyle w:val="TEXTChar"/>
          <w:rFonts w:ascii="Calibri" w:hAnsi="Calibri"/>
        </w:rPr>
        <w:t>20</w:t>
      </w:r>
      <w:r w:rsidR="00E16D99">
        <w:rPr>
          <w:rStyle w:val="TEXTChar"/>
          <w:rFonts w:ascii="Calibri" w:hAnsi="Calibri"/>
        </w:rPr>
        <w:t>2</w:t>
      </w:r>
      <w:r w:rsidR="001F47B2">
        <w:rPr>
          <w:rStyle w:val="TEXTChar"/>
          <w:rFonts w:ascii="Calibri" w:hAnsi="Calibri"/>
        </w:rPr>
        <w:t>1</w:t>
      </w:r>
      <w:r w:rsidR="00E16D99" w:rsidRPr="00305036">
        <w:rPr>
          <w:rStyle w:val="TEXTChar"/>
          <w:rFonts w:ascii="Calibri" w:hAnsi="Calibri"/>
        </w:rPr>
        <w:t xml:space="preserve"> </w:t>
      </w:r>
      <w:r w:rsidRPr="00305036">
        <w:rPr>
          <w:rStyle w:val="TEXTChar"/>
          <w:rFonts w:ascii="Calibri" w:hAnsi="Calibri"/>
        </w:rPr>
        <w:t>naplněn v zákonem stanovených limitech</w:t>
      </w:r>
      <w:r w:rsidR="00E16D99">
        <w:rPr>
          <w:rStyle w:val="TEXTChar"/>
          <w:rFonts w:ascii="Calibri" w:hAnsi="Calibri"/>
        </w:rPr>
        <w:t xml:space="preserve"> (rozdíly v tabulce </w:t>
      </w:r>
      <w:r w:rsidR="00AF29D5">
        <w:rPr>
          <w:rStyle w:val="TEXTChar"/>
          <w:rFonts w:ascii="Calibri" w:hAnsi="Calibri"/>
        </w:rPr>
        <w:t xml:space="preserve">mohou být </w:t>
      </w:r>
      <w:r w:rsidR="00E16D99">
        <w:rPr>
          <w:rStyle w:val="TEXTChar"/>
          <w:rFonts w:ascii="Calibri" w:hAnsi="Calibri"/>
        </w:rPr>
        <w:t>způsobeny zaokrouhlováním vstupních veličin)</w:t>
      </w:r>
      <w:r w:rsidRPr="00305036">
        <w:rPr>
          <w:rStyle w:val="TEXTChar"/>
          <w:rFonts w:ascii="Calibri" w:hAnsi="Calibri"/>
        </w:rPr>
        <w:t xml:space="preserve">. </w:t>
      </w:r>
      <w:r w:rsidR="00E16D99">
        <w:rPr>
          <w:rStyle w:val="TEXTChar"/>
          <w:rFonts w:ascii="Calibri" w:hAnsi="Calibri"/>
        </w:rPr>
        <w:t>Dále je nutné uvést, že se jedná o údaje předběžné</w:t>
      </w:r>
      <w:r w:rsidR="00AF29D5">
        <w:rPr>
          <w:rStyle w:val="TEXTChar"/>
          <w:rFonts w:ascii="Calibri" w:hAnsi="Calibri"/>
        </w:rPr>
        <w:t xml:space="preserve">, jelikož </w:t>
      </w:r>
      <w:r w:rsidR="00E16D99">
        <w:rPr>
          <w:rStyle w:val="TEXTChar"/>
          <w:rFonts w:ascii="Calibri" w:hAnsi="Calibri"/>
        </w:rPr>
        <w:t>zdravotní pojišťovna je povinna mít svůj rezervní fond naplněn do konce třetího měsíce po konci daného roku.</w:t>
      </w:r>
    </w:p>
    <w:p w:rsidR="00436F6E" w:rsidRDefault="00436F6E" w:rsidP="00436F6E">
      <w:pPr>
        <w:pStyle w:val="TEXTzaTAB"/>
        <w:rPr>
          <w:rStyle w:val="TEXTChar"/>
        </w:rPr>
      </w:pPr>
      <w:r>
        <w:rPr>
          <w:rStyle w:val="TEXTChar"/>
        </w:rPr>
        <w:br w:type="page"/>
      </w:r>
    </w:p>
    <w:p w:rsidR="00436F6E" w:rsidRPr="005E1526" w:rsidRDefault="00436F6E" w:rsidP="00AC25F3">
      <w:pPr>
        <w:pStyle w:val="Nadpis2"/>
      </w:pPr>
      <w:bookmarkStart w:id="25" w:name="_Toc63684674"/>
      <w:r w:rsidRPr="006C1D73">
        <w:lastRenderedPageBreak/>
        <w:t xml:space="preserve">Střednědobý výhled hospodaření </w:t>
      </w:r>
      <w:r w:rsidR="00342E02" w:rsidRPr="006C1D73">
        <w:t>202</w:t>
      </w:r>
      <w:r w:rsidR="00182969">
        <w:t>2</w:t>
      </w:r>
      <w:r w:rsidRPr="006C1D73">
        <w:t>–</w:t>
      </w:r>
      <w:r w:rsidR="00342E02" w:rsidRPr="006C1D73">
        <w:t>202</w:t>
      </w:r>
      <w:r w:rsidR="00182969">
        <w:t>3</w:t>
      </w:r>
      <w:bookmarkEnd w:id="25"/>
    </w:p>
    <w:p w:rsidR="00436F6E" w:rsidRDefault="00436F6E" w:rsidP="00A76110">
      <w:pPr>
        <w:spacing w:before="180" w:line="276" w:lineRule="auto"/>
        <w:jc w:val="both"/>
        <w:rPr>
          <w:noProof/>
        </w:rPr>
      </w:pPr>
      <w:r w:rsidRPr="00456113">
        <w:rPr>
          <w:noProof/>
        </w:rPr>
        <w:t xml:space="preserve">Na základě zákona o rozpočtové odpovědnosti je předkládán střednědobý výhled hospodaření ZP, a to na roky </w:t>
      </w:r>
      <w:r w:rsidR="00B664D1" w:rsidRPr="00456113">
        <w:rPr>
          <w:noProof/>
        </w:rPr>
        <w:t>202</w:t>
      </w:r>
      <w:r w:rsidR="00182969" w:rsidRPr="00456113">
        <w:rPr>
          <w:noProof/>
        </w:rPr>
        <w:t>2</w:t>
      </w:r>
      <w:r w:rsidRPr="00456113">
        <w:rPr>
          <w:noProof/>
        </w:rPr>
        <w:t>–</w:t>
      </w:r>
      <w:r w:rsidR="00B664D1" w:rsidRPr="00456113">
        <w:rPr>
          <w:noProof/>
        </w:rPr>
        <w:t>202</w:t>
      </w:r>
      <w:r w:rsidR="00182969" w:rsidRPr="00456113">
        <w:rPr>
          <w:noProof/>
        </w:rPr>
        <w:t>3</w:t>
      </w:r>
      <w:r w:rsidRPr="00456113">
        <w:rPr>
          <w:noProof/>
        </w:rPr>
        <w:t>. Zatímco u odhadu příjmů se ZP mohly opírat o odhad vývoje makroekonomických ukazatelů z Makroekonomické predikce ČR z dílny MF (</w:t>
      </w:r>
      <w:r w:rsidR="00182969" w:rsidRPr="00456113">
        <w:rPr>
          <w:noProof/>
        </w:rPr>
        <w:t>září 2020</w:t>
      </w:r>
      <w:r w:rsidRPr="00456113">
        <w:rPr>
          <w:noProof/>
        </w:rPr>
        <w:t>), odhad výdajů je nesrovnatelně obtížnější kvůli každoročním změnám při tvorbě tzv. úhradové vyhlášky. Jedná se tak o modelaci na základě určitých současných předpokladů, které nemusí být již v dalších letech naplněny.</w:t>
      </w:r>
    </w:p>
    <w:p w:rsidR="00F10A99" w:rsidRDefault="008E5E29" w:rsidP="00A76110">
      <w:pPr>
        <w:spacing w:before="180" w:line="276" w:lineRule="auto"/>
        <w:jc w:val="both"/>
        <w:rPr>
          <w:noProof/>
        </w:rPr>
      </w:pPr>
      <w:r w:rsidRPr="00F01A77">
        <w:rPr>
          <w:noProof/>
          <w:szCs w:val="21"/>
        </w:rPr>
        <w:t>Je však nutné zprvu zmínit otázku vhodnosti hodnocení udržitelnost systému v. z. p. v roce 2021 podílovým ukazatelem založeným na výdajích, jelikož rok 2021 bude ovlivněn zvýšenými výdaji v souvislosti s COVID-19 z roku 2020, čímž mohou být získané závěry zkreslené. Koronavirov</w:t>
      </w:r>
      <w:r w:rsidR="005A08B8" w:rsidRPr="00F01A77">
        <w:rPr>
          <w:noProof/>
          <w:szCs w:val="21"/>
        </w:rPr>
        <w:t>á pandemie je také výj</w:t>
      </w:r>
      <w:r w:rsidRPr="00F01A77">
        <w:rPr>
          <w:noProof/>
          <w:szCs w:val="21"/>
        </w:rPr>
        <w:t xml:space="preserve">imečnou situací </w:t>
      </w:r>
      <w:r w:rsidRPr="00F01A77">
        <w:rPr>
          <w:rFonts w:ascii="Calibri" w:hAnsi="Calibri" w:cs="Calibri"/>
          <w:szCs w:val="21"/>
        </w:rPr>
        <w:t>z hlediska růstu výdajů v roce 2021</w:t>
      </w:r>
      <w:r w:rsidRPr="00F01A77">
        <w:rPr>
          <w:noProof/>
          <w:szCs w:val="21"/>
        </w:rPr>
        <w:t>, u které lze předpokládat, že se nebude v dalších letech opakovat.</w:t>
      </w:r>
      <w:r w:rsidR="00436F6E" w:rsidRPr="00456113">
        <w:rPr>
          <w:noProof/>
        </w:rPr>
        <w:t xml:space="preserve">Vzhledem k predikci růstu české ekonomiky pro roky </w:t>
      </w:r>
      <w:r w:rsidR="00822888" w:rsidRPr="00456113">
        <w:rPr>
          <w:noProof/>
        </w:rPr>
        <w:t xml:space="preserve">2022 </w:t>
      </w:r>
      <w:r w:rsidR="00436F6E" w:rsidRPr="00456113">
        <w:rPr>
          <w:noProof/>
        </w:rPr>
        <w:t xml:space="preserve">a </w:t>
      </w:r>
      <w:r w:rsidR="00822888" w:rsidRPr="00456113">
        <w:rPr>
          <w:noProof/>
        </w:rPr>
        <w:t xml:space="preserve">2023 </w:t>
      </w:r>
      <w:r w:rsidR="00436F6E" w:rsidRPr="00456113">
        <w:rPr>
          <w:noProof/>
        </w:rPr>
        <w:t xml:space="preserve">ZP </w:t>
      </w:r>
      <w:r w:rsidR="00822888" w:rsidRPr="00456113">
        <w:rPr>
          <w:noProof/>
        </w:rPr>
        <w:t xml:space="preserve">po době ekonomického poklesu </w:t>
      </w:r>
      <w:r w:rsidR="00436F6E" w:rsidRPr="00456113">
        <w:rPr>
          <w:noProof/>
        </w:rPr>
        <w:t xml:space="preserve">očekávají </w:t>
      </w:r>
      <w:r w:rsidR="00822888" w:rsidRPr="00456113">
        <w:rPr>
          <w:noProof/>
        </w:rPr>
        <w:t xml:space="preserve">návrat k </w:t>
      </w:r>
      <w:r w:rsidR="00436F6E" w:rsidRPr="00456113">
        <w:rPr>
          <w:noProof/>
        </w:rPr>
        <w:t>nárůst</w:t>
      </w:r>
      <w:r w:rsidR="00822888" w:rsidRPr="00456113">
        <w:rPr>
          <w:noProof/>
        </w:rPr>
        <w:t>ům</w:t>
      </w:r>
      <w:r w:rsidR="00436F6E" w:rsidRPr="00456113">
        <w:rPr>
          <w:noProof/>
        </w:rPr>
        <w:t xml:space="preserve"> příjmů z vybraného pojistného, byť tempo </w:t>
      </w:r>
      <w:r w:rsidR="00822888" w:rsidRPr="00456113">
        <w:rPr>
          <w:noProof/>
        </w:rPr>
        <w:t xml:space="preserve">bude velmi pozvolné. </w:t>
      </w:r>
      <w:r w:rsidR="00436F6E" w:rsidRPr="00456113">
        <w:rPr>
          <w:noProof/>
        </w:rPr>
        <w:t>To odpovídá i představě MF, podle které meziroční dynamika objemu mezd a platů v české eko</w:t>
      </w:r>
      <w:r w:rsidR="00A17B6E" w:rsidRPr="00456113">
        <w:rPr>
          <w:noProof/>
        </w:rPr>
        <w:t>no</w:t>
      </w:r>
      <w:r w:rsidR="00436F6E" w:rsidRPr="00456113">
        <w:rPr>
          <w:noProof/>
        </w:rPr>
        <w:t xml:space="preserve">mice </w:t>
      </w:r>
      <w:r w:rsidR="007E3AC3" w:rsidRPr="00456113">
        <w:rPr>
          <w:noProof/>
        </w:rPr>
        <w:t xml:space="preserve">bude </w:t>
      </w:r>
      <w:r w:rsidR="00B379E9" w:rsidRPr="00456113">
        <w:rPr>
          <w:noProof/>
        </w:rPr>
        <w:t>postupně v l</w:t>
      </w:r>
      <w:r w:rsidR="00F03CB7" w:rsidRPr="00456113">
        <w:rPr>
          <w:noProof/>
        </w:rPr>
        <w:t>e</w:t>
      </w:r>
      <w:r w:rsidR="00B379E9" w:rsidRPr="00456113">
        <w:rPr>
          <w:noProof/>
        </w:rPr>
        <w:t>tech střednědobých výhledů růst (</w:t>
      </w:r>
      <w:r w:rsidR="00B379E9" w:rsidRPr="00456113">
        <w:rPr>
          <w:i/>
        </w:rPr>
        <w:t>Tabulka č. 10)</w:t>
      </w:r>
      <w:r w:rsidR="00436F6E" w:rsidRPr="00456113">
        <w:rPr>
          <w:noProof/>
        </w:rPr>
        <w:t>.</w:t>
      </w:r>
      <w:r w:rsidR="00436F6E" w:rsidRPr="006C1D73">
        <w:rPr>
          <w:noProof/>
        </w:rPr>
        <w:t xml:space="preserve"> </w:t>
      </w:r>
    </w:p>
    <w:p w:rsidR="00F10A99" w:rsidRDefault="00F10A99" w:rsidP="00F10A99">
      <w:pPr>
        <w:pStyle w:val="Titulek"/>
        <w:jc w:val="both"/>
      </w:pPr>
      <w:bookmarkStart w:id="26" w:name="_Toc63685263"/>
      <w:r w:rsidRPr="00C75FC6">
        <w:t xml:space="preserve">Tabulka č. </w:t>
      </w:r>
      <w:r w:rsidR="008E5E29">
        <w:rPr>
          <w:noProof/>
        </w:rPr>
        <w:fldChar w:fldCharType="begin"/>
      </w:r>
      <w:r>
        <w:rPr>
          <w:noProof/>
        </w:rPr>
        <w:instrText xml:space="preserve"> SEQ Tabulka \* ARABIC </w:instrText>
      </w:r>
      <w:r w:rsidR="008E5E29">
        <w:rPr>
          <w:noProof/>
        </w:rPr>
        <w:fldChar w:fldCharType="separate"/>
      </w:r>
      <w:r w:rsidR="006D5C90">
        <w:rPr>
          <w:noProof/>
        </w:rPr>
        <w:t>10</w:t>
      </w:r>
      <w:r w:rsidR="008E5E29">
        <w:rPr>
          <w:noProof/>
        </w:rPr>
        <w:fldChar w:fldCharType="end"/>
      </w:r>
      <w:r w:rsidRPr="00C75FC6">
        <w:t xml:space="preserve">: </w:t>
      </w:r>
      <w:r>
        <w:t>Vybrané makroekonomické indikátory dle MF</w:t>
      </w:r>
      <w:bookmarkEnd w:id="26"/>
    </w:p>
    <w:tbl>
      <w:tblPr>
        <w:tblW w:w="7178" w:type="dxa"/>
        <w:tblBorders>
          <w:top w:val="single" w:sz="12" w:space="0" w:color="4F81BD"/>
          <w:left w:val="single" w:sz="12" w:space="0" w:color="4F81BD"/>
          <w:bottom w:val="single" w:sz="12" w:space="0" w:color="4F81BD"/>
          <w:right w:val="single" w:sz="12" w:space="0" w:color="4F81BD"/>
        </w:tblBorders>
        <w:tblCellMar>
          <w:left w:w="70" w:type="dxa"/>
          <w:right w:w="70" w:type="dxa"/>
        </w:tblCellMar>
        <w:tblLook w:val="04A0" w:firstRow="1" w:lastRow="0" w:firstColumn="1" w:lastColumn="0" w:noHBand="0" w:noVBand="1"/>
      </w:tblPr>
      <w:tblGrid>
        <w:gridCol w:w="2127"/>
        <w:gridCol w:w="1211"/>
        <w:gridCol w:w="960"/>
        <w:gridCol w:w="960"/>
        <w:gridCol w:w="960"/>
        <w:gridCol w:w="960"/>
      </w:tblGrid>
      <w:tr w:rsidR="0011310E" w:rsidRPr="0011274B" w:rsidTr="00B34351">
        <w:trPr>
          <w:trHeight w:val="567"/>
        </w:trPr>
        <w:tc>
          <w:tcPr>
            <w:tcW w:w="2127" w:type="dxa"/>
            <w:shd w:val="clear" w:color="000000" w:fill="4F81BD"/>
            <w:vAlign w:val="center"/>
            <w:hideMark/>
          </w:tcPr>
          <w:p w:rsidR="00F10A99" w:rsidRPr="0011274B" w:rsidRDefault="00F10A99" w:rsidP="008F13D3">
            <w:pPr>
              <w:spacing w:after="0" w:line="240" w:lineRule="auto"/>
              <w:rPr>
                <w:rFonts w:ascii="Calibri" w:eastAsia="Times New Roman" w:hAnsi="Calibri" w:cs="Times New Roman"/>
                <w:b/>
                <w:bCs/>
                <w:i/>
                <w:iCs/>
                <w:color w:val="FFFFFF"/>
                <w:szCs w:val="21"/>
                <w:lang w:eastAsia="cs-CZ"/>
              </w:rPr>
            </w:pPr>
          </w:p>
        </w:tc>
        <w:tc>
          <w:tcPr>
            <w:tcW w:w="1211" w:type="dxa"/>
            <w:shd w:val="clear" w:color="000000" w:fill="6691C6"/>
            <w:noWrap/>
            <w:vAlign w:val="center"/>
            <w:hideMark/>
          </w:tcPr>
          <w:p w:rsidR="00F10A99" w:rsidRPr="0011274B" w:rsidRDefault="00F10A99" w:rsidP="008F13D3">
            <w:pPr>
              <w:spacing w:after="0" w:line="240" w:lineRule="auto"/>
              <w:jc w:val="center"/>
              <w:rPr>
                <w:rFonts w:ascii="Calibri" w:eastAsia="Times New Roman" w:hAnsi="Calibri" w:cs="Times New Roman"/>
                <w:color w:val="FFFFFF"/>
                <w:szCs w:val="21"/>
                <w:lang w:eastAsia="cs-CZ"/>
              </w:rPr>
            </w:pPr>
          </w:p>
        </w:tc>
        <w:tc>
          <w:tcPr>
            <w:tcW w:w="960" w:type="dxa"/>
            <w:shd w:val="clear" w:color="000000" w:fill="4F81BD"/>
            <w:noWrap/>
            <w:vAlign w:val="center"/>
            <w:hideMark/>
          </w:tcPr>
          <w:p w:rsidR="00F10A99" w:rsidRPr="00F10A99" w:rsidRDefault="00F10A99" w:rsidP="00F10A99">
            <w:pPr>
              <w:spacing w:after="0" w:line="240" w:lineRule="auto"/>
              <w:jc w:val="center"/>
              <w:rPr>
                <w:rFonts w:ascii="Calibri" w:eastAsia="Times New Roman" w:hAnsi="Calibri" w:cs="Times New Roman"/>
                <w:b/>
                <w:color w:val="FFFFFF"/>
                <w:szCs w:val="21"/>
                <w:lang w:eastAsia="cs-CZ"/>
              </w:rPr>
            </w:pPr>
            <w:r w:rsidRPr="00F10A99">
              <w:rPr>
                <w:rFonts w:ascii="Calibri" w:eastAsia="Times New Roman" w:hAnsi="Calibri" w:cs="Times New Roman"/>
                <w:b/>
                <w:color w:val="FFFFFF" w:themeColor="background1"/>
                <w:szCs w:val="21"/>
                <w:lang w:eastAsia="cs-CZ"/>
              </w:rPr>
              <w:t>2020</w:t>
            </w:r>
          </w:p>
        </w:tc>
        <w:tc>
          <w:tcPr>
            <w:tcW w:w="960" w:type="dxa"/>
            <w:shd w:val="clear" w:color="000000" w:fill="6691C6"/>
            <w:noWrap/>
            <w:vAlign w:val="center"/>
            <w:hideMark/>
          </w:tcPr>
          <w:p w:rsidR="00F10A99" w:rsidRPr="00F10A99" w:rsidRDefault="00F10A99" w:rsidP="008F13D3">
            <w:pPr>
              <w:spacing w:after="0" w:line="240" w:lineRule="auto"/>
              <w:jc w:val="center"/>
              <w:rPr>
                <w:rFonts w:ascii="Calibri" w:eastAsia="Times New Roman" w:hAnsi="Calibri" w:cs="Times New Roman"/>
                <w:b/>
                <w:color w:val="FFFFFF"/>
                <w:szCs w:val="21"/>
                <w:lang w:eastAsia="cs-CZ"/>
              </w:rPr>
            </w:pPr>
            <w:r w:rsidRPr="00F10A99">
              <w:rPr>
                <w:rFonts w:ascii="Calibri" w:eastAsia="Times New Roman" w:hAnsi="Calibri" w:cs="Times New Roman"/>
                <w:b/>
                <w:color w:val="FFFFFF" w:themeColor="background1"/>
                <w:szCs w:val="21"/>
                <w:lang w:eastAsia="cs-CZ"/>
              </w:rPr>
              <w:t>2021</w:t>
            </w:r>
          </w:p>
        </w:tc>
        <w:tc>
          <w:tcPr>
            <w:tcW w:w="960" w:type="dxa"/>
            <w:shd w:val="clear" w:color="000000" w:fill="4F81BD"/>
            <w:vAlign w:val="center"/>
            <w:hideMark/>
          </w:tcPr>
          <w:p w:rsidR="00F10A99" w:rsidRPr="00F10A99" w:rsidRDefault="00F10A99" w:rsidP="008F13D3">
            <w:pPr>
              <w:spacing w:after="0" w:line="240" w:lineRule="auto"/>
              <w:jc w:val="center"/>
              <w:rPr>
                <w:rFonts w:ascii="Calibri" w:eastAsia="Times New Roman" w:hAnsi="Calibri" w:cs="Times New Roman"/>
                <w:b/>
                <w:color w:val="FFFFFF"/>
                <w:szCs w:val="21"/>
                <w:lang w:eastAsia="cs-CZ"/>
              </w:rPr>
            </w:pPr>
            <w:r w:rsidRPr="00F10A99">
              <w:rPr>
                <w:rFonts w:ascii="Calibri" w:eastAsia="Times New Roman" w:hAnsi="Calibri" w:cs="Times New Roman"/>
                <w:b/>
                <w:color w:val="FFFFFF" w:themeColor="background1"/>
                <w:szCs w:val="21"/>
                <w:lang w:eastAsia="cs-CZ"/>
              </w:rPr>
              <w:t>2022</w:t>
            </w:r>
          </w:p>
        </w:tc>
        <w:tc>
          <w:tcPr>
            <w:tcW w:w="960" w:type="dxa"/>
            <w:shd w:val="clear" w:color="000000" w:fill="6691C6"/>
            <w:vAlign w:val="center"/>
            <w:hideMark/>
          </w:tcPr>
          <w:p w:rsidR="00F10A99" w:rsidRPr="00F10A99" w:rsidRDefault="00F10A99" w:rsidP="008F13D3">
            <w:pPr>
              <w:spacing w:after="0" w:line="240" w:lineRule="auto"/>
              <w:jc w:val="center"/>
              <w:rPr>
                <w:rFonts w:ascii="Calibri" w:eastAsia="Times New Roman" w:hAnsi="Calibri" w:cs="Times New Roman"/>
                <w:b/>
                <w:color w:val="FFFFFF"/>
                <w:szCs w:val="21"/>
                <w:lang w:eastAsia="cs-CZ"/>
              </w:rPr>
            </w:pPr>
            <w:r w:rsidRPr="00F10A99">
              <w:rPr>
                <w:rFonts w:ascii="Calibri" w:eastAsia="Times New Roman" w:hAnsi="Calibri" w:cs="Times New Roman"/>
                <w:b/>
                <w:color w:val="FFFFFF" w:themeColor="background1"/>
                <w:szCs w:val="21"/>
                <w:lang w:eastAsia="cs-CZ"/>
              </w:rPr>
              <w:t>2023</w:t>
            </w:r>
          </w:p>
        </w:tc>
      </w:tr>
      <w:tr w:rsidR="0011310E" w:rsidRPr="0011274B" w:rsidTr="00F03CB7">
        <w:trPr>
          <w:trHeight w:val="300"/>
        </w:trPr>
        <w:tc>
          <w:tcPr>
            <w:tcW w:w="2127" w:type="dxa"/>
            <w:shd w:val="clear" w:color="auto" w:fill="auto"/>
            <w:vAlign w:val="center"/>
          </w:tcPr>
          <w:p w:rsidR="00426E31" w:rsidRPr="0011274B" w:rsidRDefault="00426E31" w:rsidP="008F13D3">
            <w:pPr>
              <w:spacing w:after="0" w:line="240" w:lineRule="auto"/>
              <w:rPr>
                <w:rFonts w:ascii="Calibri" w:eastAsia="Times New Roman" w:hAnsi="Calibri" w:cs="Times New Roman"/>
                <w:b/>
                <w:bCs/>
                <w:color w:val="000000"/>
                <w:szCs w:val="21"/>
                <w:lang w:eastAsia="cs-CZ"/>
              </w:rPr>
            </w:pPr>
            <w:r>
              <w:rPr>
                <w:rFonts w:ascii="Calibri" w:eastAsia="Times New Roman" w:hAnsi="Calibri" w:cs="Times New Roman"/>
                <w:b/>
                <w:bCs/>
                <w:color w:val="000000"/>
                <w:szCs w:val="21"/>
                <w:lang w:eastAsia="cs-CZ"/>
              </w:rPr>
              <w:t>HDP s.</w:t>
            </w:r>
            <w:r w:rsidR="00822888">
              <w:rPr>
                <w:rFonts w:ascii="Calibri" w:eastAsia="Times New Roman" w:hAnsi="Calibri" w:cs="Times New Roman"/>
                <w:b/>
                <w:bCs/>
                <w:color w:val="000000"/>
                <w:szCs w:val="21"/>
                <w:lang w:eastAsia="cs-CZ"/>
              </w:rPr>
              <w:t xml:space="preserve"> </w:t>
            </w:r>
            <w:r>
              <w:rPr>
                <w:rFonts w:ascii="Calibri" w:eastAsia="Times New Roman" w:hAnsi="Calibri" w:cs="Times New Roman"/>
                <w:b/>
                <w:bCs/>
                <w:color w:val="000000"/>
                <w:szCs w:val="21"/>
                <w:lang w:eastAsia="cs-CZ"/>
              </w:rPr>
              <w:t xml:space="preserve">c. </w:t>
            </w:r>
          </w:p>
        </w:tc>
        <w:tc>
          <w:tcPr>
            <w:tcW w:w="1211" w:type="dxa"/>
            <w:shd w:val="clear" w:color="000000" w:fill="DCE6F1"/>
            <w:noWrap/>
            <w:vAlign w:val="center"/>
          </w:tcPr>
          <w:p w:rsidR="00426E31" w:rsidRPr="00F03CB7" w:rsidRDefault="00426E31" w:rsidP="00F03CB7">
            <w:pPr>
              <w:spacing w:after="0" w:line="240" w:lineRule="auto"/>
              <w:jc w:val="center"/>
              <w:rPr>
                <w:rFonts w:ascii="Calibri" w:eastAsia="Times New Roman" w:hAnsi="Calibri" w:cs="Times New Roman"/>
                <w:bCs/>
                <w:color w:val="000000"/>
                <w:szCs w:val="21"/>
                <w:lang w:eastAsia="cs-CZ"/>
              </w:rPr>
            </w:pPr>
            <w:r w:rsidRPr="00F03CB7">
              <w:rPr>
                <w:rFonts w:ascii="Calibri" w:eastAsia="Times New Roman" w:hAnsi="Calibri" w:cs="Times New Roman"/>
                <w:bCs/>
                <w:color w:val="000000"/>
                <w:szCs w:val="21"/>
                <w:lang w:eastAsia="cs-CZ"/>
              </w:rPr>
              <w:t>růst v %</w:t>
            </w:r>
          </w:p>
        </w:tc>
        <w:tc>
          <w:tcPr>
            <w:tcW w:w="960" w:type="dxa"/>
            <w:shd w:val="clear" w:color="auto" w:fill="auto"/>
            <w:noWrap/>
            <w:vAlign w:val="center"/>
          </w:tcPr>
          <w:p w:rsidR="00426E31" w:rsidRPr="0011274B" w:rsidRDefault="00645710" w:rsidP="00F03CB7">
            <w:pPr>
              <w:spacing w:after="0" w:line="240" w:lineRule="auto"/>
              <w:jc w:val="center"/>
              <w:rPr>
                <w:rFonts w:ascii="Calibri" w:eastAsia="Times New Roman" w:hAnsi="Calibri" w:cs="Times New Roman"/>
                <w:b/>
                <w:bCs/>
                <w:color w:val="000000"/>
                <w:szCs w:val="21"/>
                <w:lang w:eastAsia="cs-CZ"/>
              </w:rPr>
            </w:pPr>
            <w:r>
              <w:t>−</w:t>
            </w:r>
            <w:r w:rsidR="00426E31" w:rsidRPr="00872684">
              <w:t>6,6</w:t>
            </w:r>
          </w:p>
        </w:tc>
        <w:tc>
          <w:tcPr>
            <w:tcW w:w="960" w:type="dxa"/>
            <w:shd w:val="clear" w:color="000000" w:fill="DCE6F1"/>
            <w:noWrap/>
            <w:vAlign w:val="center"/>
          </w:tcPr>
          <w:p w:rsidR="00426E31" w:rsidRPr="0011274B" w:rsidRDefault="00426E31" w:rsidP="00F03CB7">
            <w:pPr>
              <w:spacing w:after="0" w:line="240" w:lineRule="auto"/>
              <w:jc w:val="center"/>
              <w:rPr>
                <w:rFonts w:ascii="Calibri" w:eastAsia="Times New Roman" w:hAnsi="Calibri" w:cs="Times New Roman"/>
                <w:b/>
                <w:bCs/>
                <w:color w:val="000000"/>
                <w:szCs w:val="21"/>
                <w:lang w:eastAsia="cs-CZ"/>
              </w:rPr>
            </w:pPr>
            <w:r w:rsidRPr="00872684">
              <w:t>3,9</w:t>
            </w:r>
          </w:p>
        </w:tc>
        <w:tc>
          <w:tcPr>
            <w:tcW w:w="960" w:type="dxa"/>
            <w:shd w:val="clear" w:color="auto" w:fill="auto"/>
            <w:noWrap/>
            <w:vAlign w:val="center"/>
          </w:tcPr>
          <w:p w:rsidR="00426E31" w:rsidRPr="0011274B" w:rsidRDefault="00426E31" w:rsidP="00F03CB7">
            <w:pPr>
              <w:spacing w:after="0" w:line="240" w:lineRule="auto"/>
              <w:jc w:val="center"/>
              <w:rPr>
                <w:rFonts w:ascii="Calibri" w:eastAsia="Times New Roman" w:hAnsi="Calibri" w:cs="Times New Roman"/>
                <w:b/>
                <w:bCs/>
                <w:color w:val="000000"/>
                <w:szCs w:val="21"/>
                <w:lang w:eastAsia="cs-CZ"/>
              </w:rPr>
            </w:pPr>
            <w:r w:rsidRPr="00872684">
              <w:t>2,2</w:t>
            </w:r>
          </w:p>
        </w:tc>
        <w:tc>
          <w:tcPr>
            <w:tcW w:w="960" w:type="dxa"/>
            <w:shd w:val="clear" w:color="000000" w:fill="DCE6F1"/>
            <w:noWrap/>
            <w:vAlign w:val="center"/>
          </w:tcPr>
          <w:p w:rsidR="00426E31" w:rsidRPr="0011274B" w:rsidRDefault="00426E31" w:rsidP="00F03CB7">
            <w:pPr>
              <w:spacing w:after="0" w:line="240" w:lineRule="auto"/>
              <w:jc w:val="center"/>
              <w:rPr>
                <w:rFonts w:ascii="Calibri" w:eastAsia="Times New Roman" w:hAnsi="Calibri" w:cs="Times New Roman"/>
                <w:b/>
                <w:bCs/>
                <w:color w:val="000000"/>
                <w:szCs w:val="21"/>
                <w:lang w:eastAsia="cs-CZ"/>
              </w:rPr>
            </w:pPr>
            <w:r w:rsidRPr="00872684">
              <w:t>2,1</w:t>
            </w:r>
          </w:p>
        </w:tc>
      </w:tr>
      <w:tr w:rsidR="0011310E" w:rsidRPr="0011274B" w:rsidTr="00F03CB7">
        <w:trPr>
          <w:trHeight w:val="300"/>
        </w:trPr>
        <w:tc>
          <w:tcPr>
            <w:tcW w:w="2127" w:type="dxa"/>
            <w:shd w:val="clear" w:color="000000" w:fill="EEF3F8"/>
            <w:vAlign w:val="center"/>
          </w:tcPr>
          <w:p w:rsidR="0011310E" w:rsidRPr="00F03CB7" w:rsidRDefault="0011310E" w:rsidP="008F13D3">
            <w:pPr>
              <w:spacing w:after="0" w:line="240" w:lineRule="auto"/>
              <w:rPr>
                <w:rFonts w:ascii="Calibri" w:eastAsia="Times New Roman" w:hAnsi="Calibri" w:cs="Times New Roman"/>
                <w:b/>
                <w:color w:val="000000"/>
                <w:szCs w:val="21"/>
                <w:lang w:eastAsia="cs-CZ"/>
              </w:rPr>
            </w:pPr>
            <w:r w:rsidRPr="00F03CB7">
              <w:rPr>
                <w:rFonts w:ascii="Calibri" w:eastAsia="Times New Roman" w:hAnsi="Calibri" w:cs="Times New Roman"/>
                <w:b/>
                <w:color w:val="000000"/>
                <w:szCs w:val="21"/>
                <w:lang w:eastAsia="cs-CZ"/>
              </w:rPr>
              <w:t>Míra nezaměstnanosti</w:t>
            </w:r>
          </w:p>
        </w:tc>
        <w:tc>
          <w:tcPr>
            <w:tcW w:w="1211" w:type="dxa"/>
            <w:shd w:val="clear" w:color="000000" w:fill="EEF3F8"/>
            <w:noWrap/>
            <w:vAlign w:val="center"/>
          </w:tcPr>
          <w:p w:rsidR="0011310E" w:rsidRPr="00F03CB7" w:rsidRDefault="0011310E" w:rsidP="00F03CB7">
            <w:pPr>
              <w:spacing w:after="0" w:line="240" w:lineRule="auto"/>
              <w:jc w:val="center"/>
              <w:rPr>
                <w:rFonts w:ascii="Calibri" w:eastAsia="Times New Roman" w:hAnsi="Calibri" w:cs="Times New Roman"/>
                <w:color w:val="000000"/>
                <w:szCs w:val="21"/>
                <w:lang w:eastAsia="cs-CZ"/>
              </w:rPr>
            </w:pPr>
            <w:r w:rsidRPr="00F03CB7">
              <w:rPr>
                <w:rFonts w:ascii="Calibri" w:eastAsia="Times New Roman" w:hAnsi="Calibri" w:cs="Times New Roman"/>
                <w:color w:val="000000"/>
                <w:szCs w:val="21"/>
                <w:lang w:eastAsia="cs-CZ"/>
              </w:rPr>
              <w:t>průměr v %</w:t>
            </w:r>
          </w:p>
        </w:tc>
        <w:tc>
          <w:tcPr>
            <w:tcW w:w="960" w:type="dxa"/>
            <w:shd w:val="clear" w:color="000000" w:fill="EEF3F8"/>
            <w:noWrap/>
            <w:vAlign w:val="center"/>
          </w:tcPr>
          <w:p w:rsidR="0011310E" w:rsidRPr="0011274B" w:rsidRDefault="0011310E" w:rsidP="00F03CB7">
            <w:pPr>
              <w:spacing w:after="0" w:line="240" w:lineRule="auto"/>
              <w:jc w:val="center"/>
              <w:rPr>
                <w:rFonts w:ascii="Calibri" w:eastAsia="Times New Roman" w:hAnsi="Calibri" w:cs="Times New Roman"/>
                <w:color w:val="000000"/>
                <w:szCs w:val="21"/>
                <w:lang w:eastAsia="cs-CZ"/>
              </w:rPr>
            </w:pPr>
            <w:r w:rsidRPr="003945B3">
              <w:t>2,6</w:t>
            </w:r>
          </w:p>
        </w:tc>
        <w:tc>
          <w:tcPr>
            <w:tcW w:w="960" w:type="dxa"/>
            <w:shd w:val="clear" w:color="000000" w:fill="EEF3F8"/>
            <w:noWrap/>
            <w:vAlign w:val="center"/>
          </w:tcPr>
          <w:p w:rsidR="0011310E" w:rsidRPr="0011274B" w:rsidRDefault="0011310E" w:rsidP="00F03CB7">
            <w:pPr>
              <w:spacing w:after="0" w:line="240" w:lineRule="auto"/>
              <w:jc w:val="center"/>
              <w:rPr>
                <w:rFonts w:ascii="Calibri" w:eastAsia="Times New Roman" w:hAnsi="Calibri" w:cs="Times New Roman"/>
                <w:color w:val="000000"/>
                <w:szCs w:val="21"/>
                <w:lang w:eastAsia="cs-CZ"/>
              </w:rPr>
            </w:pPr>
            <w:r w:rsidRPr="003945B3">
              <w:t>3,4</w:t>
            </w:r>
          </w:p>
        </w:tc>
        <w:tc>
          <w:tcPr>
            <w:tcW w:w="960" w:type="dxa"/>
            <w:shd w:val="clear" w:color="000000" w:fill="EEF3F8"/>
            <w:noWrap/>
            <w:vAlign w:val="center"/>
          </w:tcPr>
          <w:p w:rsidR="0011310E" w:rsidRPr="0011274B" w:rsidRDefault="0011310E" w:rsidP="00F03CB7">
            <w:pPr>
              <w:spacing w:after="0" w:line="240" w:lineRule="auto"/>
              <w:jc w:val="center"/>
              <w:rPr>
                <w:rFonts w:ascii="Calibri" w:eastAsia="Times New Roman" w:hAnsi="Calibri" w:cs="Times New Roman"/>
                <w:color w:val="000000"/>
                <w:szCs w:val="21"/>
                <w:lang w:eastAsia="cs-CZ"/>
              </w:rPr>
            </w:pPr>
            <w:r w:rsidRPr="003945B3">
              <w:t>3,3</w:t>
            </w:r>
          </w:p>
        </w:tc>
        <w:tc>
          <w:tcPr>
            <w:tcW w:w="960" w:type="dxa"/>
            <w:shd w:val="clear" w:color="000000" w:fill="EEF3F8"/>
            <w:noWrap/>
            <w:vAlign w:val="center"/>
          </w:tcPr>
          <w:p w:rsidR="0011310E" w:rsidRPr="0011274B" w:rsidRDefault="0011310E" w:rsidP="00F03CB7">
            <w:pPr>
              <w:spacing w:after="0" w:line="240" w:lineRule="auto"/>
              <w:jc w:val="center"/>
              <w:rPr>
                <w:rFonts w:ascii="Calibri" w:eastAsia="Times New Roman" w:hAnsi="Calibri" w:cs="Times New Roman"/>
                <w:color w:val="000000"/>
                <w:szCs w:val="21"/>
                <w:lang w:eastAsia="cs-CZ"/>
              </w:rPr>
            </w:pPr>
            <w:r w:rsidRPr="003945B3">
              <w:t>3,2</w:t>
            </w:r>
          </w:p>
        </w:tc>
      </w:tr>
      <w:tr w:rsidR="0011310E" w:rsidRPr="0011274B" w:rsidTr="00F03CB7">
        <w:trPr>
          <w:trHeight w:val="300"/>
        </w:trPr>
        <w:tc>
          <w:tcPr>
            <w:tcW w:w="2127" w:type="dxa"/>
            <w:shd w:val="clear" w:color="auto" w:fill="auto"/>
            <w:vAlign w:val="center"/>
          </w:tcPr>
          <w:p w:rsidR="0011310E" w:rsidRPr="0011274B" w:rsidRDefault="0011310E" w:rsidP="008F13D3">
            <w:pPr>
              <w:spacing w:after="0" w:line="240" w:lineRule="auto"/>
              <w:rPr>
                <w:rFonts w:ascii="Calibri" w:eastAsia="Times New Roman" w:hAnsi="Calibri" w:cs="Times New Roman"/>
                <w:b/>
                <w:bCs/>
                <w:color w:val="000000"/>
                <w:szCs w:val="21"/>
                <w:lang w:eastAsia="cs-CZ"/>
              </w:rPr>
            </w:pPr>
            <w:r w:rsidRPr="0011310E">
              <w:rPr>
                <w:rFonts w:ascii="Calibri" w:eastAsia="Times New Roman" w:hAnsi="Calibri" w:cs="Times New Roman"/>
                <w:b/>
                <w:bCs/>
                <w:color w:val="000000"/>
                <w:szCs w:val="21"/>
                <w:lang w:eastAsia="cs-CZ"/>
              </w:rPr>
              <w:t>Objem mezd a platů</w:t>
            </w:r>
          </w:p>
        </w:tc>
        <w:tc>
          <w:tcPr>
            <w:tcW w:w="1211" w:type="dxa"/>
            <w:shd w:val="clear" w:color="000000" w:fill="DCE6F1"/>
            <w:noWrap/>
            <w:vAlign w:val="center"/>
          </w:tcPr>
          <w:p w:rsidR="0011310E" w:rsidRPr="00F03CB7" w:rsidRDefault="0011310E" w:rsidP="00F03CB7">
            <w:pPr>
              <w:spacing w:after="0" w:line="240" w:lineRule="auto"/>
              <w:jc w:val="center"/>
              <w:rPr>
                <w:rFonts w:ascii="Calibri" w:eastAsia="Times New Roman" w:hAnsi="Calibri" w:cs="Times New Roman"/>
                <w:bCs/>
                <w:color w:val="000000"/>
                <w:szCs w:val="21"/>
                <w:lang w:eastAsia="cs-CZ"/>
              </w:rPr>
            </w:pPr>
            <w:r w:rsidRPr="00F03CB7">
              <w:rPr>
                <w:rFonts w:ascii="Calibri" w:eastAsia="Times New Roman" w:hAnsi="Calibri" w:cs="Times New Roman"/>
                <w:bCs/>
                <w:color w:val="000000"/>
                <w:szCs w:val="21"/>
                <w:lang w:eastAsia="cs-CZ"/>
              </w:rPr>
              <w:t>růst v %</w:t>
            </w:r>
          </w:p>
        </w:tc>
        <w:tc>
          <w:tcPr>
            <w:tcW w:w="960" w:type="dxa"/>
            <w:shd w:val="clear" w:color="auto" w:fill="auto"/>
            <w:noWrap/>
            <w:vAlign w:val="center"/>
          </w:tcPr>
          <w:p w:rsidR="0011310E" w:rsidRPr="0011274B" w:rsidRDefault="00645710" w:rsidP="00F03CB7">
            <w:pPr>
              <w:spacing w:after="0" w:line="240" w:lineRule="auto"/>
              <w:jc w:val="center"/>
              <w:rPr>
                <w:rFonts w:ascii="Calibri" w:eastAsia="Times New Roman" w:hAnsi="Calibri" w:cs="Times New Roman"/>
                <w:b/>
                <w:bCs/>
                <w:color w:val="000000"/>
                <w:szCs w:val="21"/>
                <w:lang w:eastAsia="cs-CZ"/>
              </w:rPr>
            </w:pPr>
            <w:r>
              <w:t>−</w:t>
            </w:r>
            <w:r w:rsidR="0011310E" w:rsidRPr="00AF507B">
              <w:t>1,9</w:t>
            </w:r>
          </w:p>
        </w:tc>
        <w:tc>
          <w:tcPr>
            <w:tcW w:w="960" w:type="dxa"/>
            <w:shd w:val="clear" w:color="000000" w:fill="DCE6F1"/>
            <w:noWrap/>
            <w:vAlign w:val="center"/>
          </w:tcPr>
          <w:p w:rsidR="0011310E" w:rsidRPr="0011274B" w:rsidRDefault="0011310E" w:rsidP="00F03CB7">
            <w:pPr>
              <w:spacing w:after="0" w:line="240" w:lineRule="auto"/>
              <w:jc w:val="center"/>
              <w:rPr>
                <w:rFonts w:ascii="Calibri" w:eastAsia="Times New Roman" w:hAnsi="Calibri" w:cs="Times New Roman"/>
                <w:b/>
                <w:bCs/>
                <w:color w:val="000000"/>
                <w:szCs w:val="21"/>
                <w:lang w:eastAsia="cs-CZ"/>
              </w:rPr>
            </w:pPr>
            <w:r w:rsidRPr="00AF507B">
              <w:t>0,8</w:t>
            </w:r>
          </w:p>
        </w:tc>
        <w:tc>
          <w:tcPr>
            <w:tcW w:w="960" w:type="dxa"/>
            <w:shd w:val="clear" w:color="auto" w:fill="auto"/>
            <w:noWrap/>
            <w:vAlign w:val="center"/>
          </w:tcPr>
          <w:p w:rsidR="0011310E" w:rsidRPr="0011274B" w:rsidRDefault="0011310E" w:rsidP="00F03CB7">
            <w:pPr>
              <w:spacing w:after="0" w:line="240" w:lineRule="auto"/>
              <w:jc w:val="center"/>
              <w:rPr>
                <w:rFonts w:ascii="Calibri" w:eastAsia="Times New Roman" w:hAnsi="Calibri" w:cs="Times New Roman"/>
                <w:b/>
                <w:bCs/>
                <w:color w:val="000000"/>
                <w:szCs w:val="21"/>
                <w:lang w:eastAsia="cs-CZ"/>
              </w:rPr>
            </w:pPr>
            <w:r w:rsidRPr="00AF507B">
              <w:t>2,7</w:t>
            </w:r>
          </w:p>
        </w:tc>
        <w:tc>
          <w:tcPr>
            <w:tcW w:w="960" w:type="dxa"/>
            <w:shd w:val="clear" w:color="000000" w:fill="DCE6F1"/>
            <w:noWrap/>
            <w:vAlign w:val="center"/>
          </w:tcPr>
          <w:p w:rsidR="0011310E" w:rsidRPr="0011274B" w:rsidRDefault="0011310E" w:rsidP="00F03CB7">
            <w:pPr>
              <w:spacing w:after="0" w:line="240" w:lineRule="auto"/>
              <w:jc w:val="center"/>
              <w:rPr>
                <w:rFonts w:ascii="Calibri" w:eastAsia="Times New Roman" w:hAnsi="Calibri" w:cs="Times New Roman"/>
                <w:b/>
                <w:bCs/>
                <w:color w:val="000000"/>
                <w:szCs w:val="21"/>
                <w:lang w:eastAsia="cs-CZ"/>
              </w:rPr>
            </w:pPr>
            <w:r w:rsidRPr="00AF507B">
              <w:t>3,3</w:t>
            </w:r>
          </w:p>
        </w:tc>
      </w:tr>
    </w:tbl>
    <w:p w:rsidR="00B379E9" w:rsidRDefault="00436F6E" w:rsidP="00A76110">
      <w:pPr>
        <w:spacing w:before="180" w:line="276" w:lineRule="auto"/>
        <w:jc w:val="both"/>
        <w:rPr>
          <w:noProof/>
        </w:rPr>
      </w:pPr>
      <w:r w:rsidRPr="006C1D73">
        <w:rPr>
          <w:noProof/>
        </w:rPr>
        <w:t>P</w:t>
      </w:r>
      <w:r w:rsidR="00293B91">
        <w:rPr>
          <w:noProof/>
        </w:rPr>
        <w:t xml:space="preserve">latba ze státního rozpočtu </w:t>
      </w:r>
      <w:r w:rsidRPr="006C1D73">
        <w:rPr>
          <w:noProof/>
        </w:rPr>
        <w:t>v </w:t>
      </w:r>
      <w:r w:rsidR="00B379E9">
        <w:rPr>
          <w:noProof/>
        </w:rPr>
        <w:t xml:space="preserve">letech </w:t>
      </w:r>
      <w:r w:rsidR="00B664D1" w:rsidRPr="006C1D73">
        <w:rPr>
          <w:noProof/>
        </w:rPr>
        <w:t>20</w:t>
      </w:r>
      <w:r w:rsidR="00B664D1">
        <w:rPr>
          <w:noProof/>
        </w:rPr>
        <w:t>2</w:t>
      </w:r>
      <w:r w:rsidR="00B379E9">
        <w:rPr>
          <w:noProof/>
        </w:rPr>
        <w:t>2 i 2023</w:t>
      </w:r>
      <w:r w:rsidR="00B664D1" w:rsidRPr="006C1D73">
        <w:rPr>
          <w:noProof/>
        </w:rPr>
        <w:t xml:space="preserve"> </w:t>
      </w:r>
      <w:r w:rsidR="00B664D1">
        <w:rPr>
          <w:noProof/>
        </w:rPr>
        <w:t>je předpokládána v jednotkové výši shodné jako</w:t>
      </w:r>
      <w:r w:rsidR="00F03CB7">
        <w:rPr>
          <w:noProof/>
        </w:rPr>
        <w:t> </w:t>
      </w:r>
      <w:r w:rsidR="00B664D1">
        <w:rPr>
          <w:noProof/>
        </w:rPr>
        <w:t>v předcházejícím roce</w:t>
      </w:r>
      <w:r w:rsidR="00B379E9">
        <w:rPr>
          <w:noProof/>
        </w:rPr>
        <w:t>, což je odůvodnitelné bezprecedentním</w:t>
      </w:r>
      <w:r w:rsidR="00803091">
        <w:rPr>
          <w:noProof/>
        </w:rPr>
        <w:t>i</w:t>
      </w:r>
      <w:r w:rsidR="00B379E9">
        <w:rPr>
          <w:noProof/>
        </w:rPr>
        <w:t xml:space="preserve"> nárůst</w:t>
      </w:r>
      <w:r w:rsidR="00803091">
        <w:rPr>
          <w:noProof/>
        </w:rPr>
        <w:t>y</w:t>
      </w:r>
      <w:r w:rsidR="00B379E9">
        <w:rPr>
          <w:noProof/>
        </w:rPr>
        <w:t xml:space="preserve"> tohoto zdroje v období 2020</w:t>
      </w:r>
      <w:r w:rsidR="00EA390C">
        <w:rPr>
          <w:noProof/>
        </w:rPr>
        <w:t>–</w:t>
      </w:r>
      <w:r w:rsidR="00B33E0A">
        <w:rPr>
          <w:noProof/>
        </w:rPr>
        <w:t>2021.</w:t>
      </w:r>
      <w:r w:rsidR="00B379E9">
        <w:rPr>
          <w:noProof/>
        </w:rPr>
        <w:t xml:space="preserve"> </w:t>
      </w:r>
    </w:p>
    <w:p w:rsidR="00B30F8B" w:rsidRDefault="00436F6E" w:rsidP="00A76110">
      <w:pPr>
        <w:spacing w:before="180" w:line="276" w:lineRule="auto"/>
        <w:jc w:val="both"/>
        <w:rPr>
          <w:noProof/>
        </w:rPr>
      </w:pPr>
      <w:r w:rsidRPr="00F01A77">
        <w:rPr>
          <w:noProof/>
        </w:rPr>
        <w:t xml:space="preserve">Dohromady se uvedené vlivy projeví v růstu celkových příjmů </w:t>
      </w:r>
      <w:r w:rsidR="00A9322E" w:rsidRPr="00F01A77">
        <w:rPr>
          <w:noProof/>
        </w:rPr>
        <w:t xml:space="preserve">(bez vlivu jiné činnosti) </w:t>
      </w:r>
      <w:r w:rsidRPr="00F01A77">
        <w:rPr>
          <w:noProof/>
        </w:rPr>
        <w:t xml:space="preserve">mezi roky </w:t>
      </w:r>
      <w:r w:rsidR="000255E3" w:rsidRPr="00F01A77">
        <w:rPr>
          <w:noProof/>
        </w:rPr>
        <w:t xml:space="preserve">2021 </w:t>
      </w:r>
      <w:r w:rsidRPr="00F01A77">
        <w:rPr>
          <w:noProof/>
        </w:rPr>
        <w:t xml:space="preserve">a </w:t>
      </w:r>
      <w:r w:rsidR="00A9322E" w:rsidRPr="00F01A77">
        <w:rPr>
          <w:noProof/>
        </w:rPr>
        <w:t>202</w:t>
      </w:r>
      <w:r w:rsidR="000255E3" w:rsidRPr="00F01A77">
        <w:rPr>
          <w:noProof/>
        </w:rPr>
        <w:t>2</w:t>
      </w:r>
      <w:r w:rsidRPr="00F01A77">
        <w:rPr>
          <w:noProof/>
        </w:rPr>
        <w:t>, resp. 202</w:t>
      </w:r>
      <w:r w:rsidR="000255E3" w:rsidRPr="00F01A77">
        <w:rPr>
          <w:noProof/>
        </w:rPr>
        <w:t>2</w:t>
      </w:r>
      <w:r w:rsidRPr="00F01A77">
        <w:rPr>
          <w:noProof/>
        </w:rPr>
        <w:t xml:space="preserve"> a 202</w:t>
      </w:r>
      <w:r w:rsidR="000255E3" w:rsidRPr="00F01A77">
        <w:rPr>
          <w:noProof/>
        </w:rPr>
        <w:t>3</w:t>
      </w:r>
      <w:r w:rsidRPr="00F01A77">
        <w:rPr>
          <w:noProof/>
        </w:rPr>
        <w:t>,</w:t>
      </w:r>
      <w:r w:rsidR="000255E3" w:rsidRPr="00F01A77">
        <w:rPr>
          <w:noProof/>
        </w:rPr>
        <w:t xml:space="preserve"> na shodné úrovni meziročně o 1,9 %.</w:t>
      </w:r>
      <w:r w:rsidR="00F03CB7" w:rsidRPr="00F01A77">
        <w:rPr>
          <w:noProof/>
        </w:rPr>
        <w:t xml:space="preserve"> </w:t>
      </w:r>
      <w:r w:rsidRPr="00F01A77">
        <w:rPr>
          <w:noProof/>
        </w:rPr>
        <w:t>Celkové příjmy</w:t>
      </w:r>
      <w:r w:rsidR="009B71EF" w:rsidRPr="00F01A77">
        <w:rPr>
          <w:noProof/>
        </w:rPr>
        <w:t> </w:t>
      </w:r>
      <w:r w:rsidRPr="00F01A77">
        <w:rPr>
          <w:noProof/>
        </w:rPr>
        <w:t xml:space="preserve">systému </w:t>
      </w:r>
      <w:r w:rsidR="00D30F4B" w:rsidRPr="00F01A77">
        <w:rPr>
          <w:noProof/>
        </w:rPr>
        <w:t>v. z. p.</w:t>
      </w:r>
      <w:r w:rsidRPr="00F01A77">
        <w:rPr>
          <w:noProof/>
        </w:rPr>
        <w:t xml:space="preserve"> </w:t>
      </w:r>
      <w:r w:rsidR="008F3483" w:rsidRPr="00F01A77">
        <w:rPr>
          <w:noProof/>
        </w:rPr>
        <w:t xml:space="preserve">(bez vlivu JČ) </w:t>
      </w:r>
      <w:r w:rsidRPr="00F01A77">
        <w:rPr>
          <w:noProof/>
        </w:rPr>
        <w:t>by v roce 202</w:t>
      </w:r>
      <w:r w:rsidR="008F3483" w:rsidRPr="00F01A77">
        <w:rPr>
          <w:noProof/>
        </w:rPr>
        <w:t>2</w:t>
      </w:r>
      <w:r w:rsidRPr="00F01A77">
        <w:rPr>
          <w:noProof/>
        </w:rPr>
        <w:t xml:space="preserve"> dosáhly </w:t>
      </w:r>
      <w:r w:rsidR="008F3483" w:rsidRPr="00F01A77">
        <w:rPr>
          <w:noProof/>
        </w:rPr>
        <w:t xml:space="preserve">392,9 </w:t>
      </w:r>
      <w:r w:rsidRPr="00F01A77">
        <w:rPr>
          <w:noProof/>
        </w:rPr>
        <w:t>mld. Kč</w:t>
      </w:r>
      <w:r w:rsidR="00A9322E" w:rsidRPr="00F01A77">
        <w:rPr>
          <w:noProof/>
        </w:rPr>
        <w:t xml:space="preserve">, což by oproti roku </w:t>
      </w:r>
      <w:r w:rsidR="009B71EF" w:rsidRPr="00F01A77">
        <w:rPr>
          <w:noProof/>
        </w:rPr>
        <w:t xml:space="preserve">2020 </w:t>
      </w:r>
      <w:r w:rsidR="00A9322E" w:rsidRPr="00F01A77">
        <w:rPr>
          <w:noProof/>
        </w:rPr>
        <w:t xml:space="preserve">znamenalo zvýšení o </w:t>
      </w:r>
      <w:r w:rsidR="009B71EF" w:rsidRPr="00F01A77">
        <w:rPr>
          <w:noProof/>
        </w:rPr>
        <w:t>38,1</w:t>
      </w:r>
      <w:r w:rsidR="008F3483" w:rsidRPr="00F01A77">
        <w:rPr>
          <w:noProof/>
        </w:rPr>
        <w:t xml:space="preserve"> </w:t>
      </w:r>
      <w:r w:rsidR="00A9322E" w:rsidRPr="00F01A77">
        <w:rPr>
          <w:noProof/>
        </w:rPr>
        <w:t>mld. Kč (+</w:t>
      </w:r>
      <w:r w:rsidR="008F3483" w:rsidRPr="00F01A77">
        <w:rPr>
          <w:noProof/>
        </w:rPr>
        <w:t xml:space="preserve">8,6 </w:t>
      </w:r>
      <w:r w:rsidR="00A9322E" w:rsidRPr="00F01A77">
        <w:rPr>
          <w:noProof/>
        </w:rPr>
        <w:t>%)</w:t>
      </w:r>
      <w:r w:rsidR="008E5E29" w:rsidRPr="00F01A77">
        <w:rPr>
          <w:noProof/>
        </w:rPr>
        <w:t>, oproti roku 2021 se jedná o zvýšení o 7,5 mld. Kč (+1,9 %).</w:t>
      </w:r>
      <w:r w:rsidR="00A9322E" w:rsidRPr="00F01A77">
        <w:rPr>
          <w:noProof/>
        </w:rPr>
        <w:t xml:space="preserve"> V roce </w:t>
      </w:r>
      <w:r w:rsidR="009B71EF" w:rsidRPr="00F01A77">
        <w:rPr>
          <w:noProof/>
        </w:rPr>
        <w:t xml:space="preserve">2023 </w:t>
      </w:r>
      <w:r w:rsidR="00A9322E" w:rsidRPr="00F01A77">
        <w:rPr>
          <w:noProof/>
        </w:rPr>
        <w:t>jsou pak předpokládány ve</w:t>
      </w:r>
      <w:r w:rsidR="009F547E" w:rsidRPr="00F01A77">
        <w:rPr>
          <w:noProof/>
        </w:rPr>
        <w:t> </w:t>
      </w:r>
      <w:r w:rsidR="00A9322E" w:rsidRPr="00F01A77">
        <w:rPr>
          <w:noProof/>
        </w:rPr>
        <w:t xml:space="preserve">výši </w:t>
      </w:r>
      <w:r w:rsidR="009B71EF" w:rsidRPr="00F01A77">
        <w:rPr>
          <w:noProof/>
        </w:rPr>
        <w:t xml:space="preserve">400,5 </w:t>
      </w:r>
      <w:r w:rsidR="001226EF" w:rsidRPr="00F01A77">
        <w:rPr>
          <w:noProof/>
        </w:rPr>
        <w:t>mld. Kč</w:t>
      </w:r>
      <w:r w:rsidR="008E5E29" w:rsidRPr="00F01A77">
        <w:rPr>
          <w:noProof/>
        </w:rPr>
        <w:t>, tedy meziročně o 7,6 mld. Kč (1,9 %).</w:t>
      </w:r>
    </w:p>
    <w:p w:rsidR="00293C28" w:rsidRDefault="00293C28" w:rsidP="00293C28">
      <w:pPr>
        <w:pStyle w:val="Titulek"/>
      </w:pPr>
      <w:bookmarkStart w:id="27" w:name="_Toc63685287"/>
      <w:r>
        <w:t xml:space="preserve">Graf č. </w:t>
      </w:r>
      <w:r w:rsidR="008E5E29">
        <w:rPr>
          <w:noProof/>
        </w:rPr>
        <w:fldChar w:fldCharType="begin"/>
      </w:r>
      <w:r>
        <w:rPr>
          <w:noProof/>
        </w:rPr>
        <w:instrText xml:space="preserve"> SEQ Graf \* ARABIC </w:instrText>
      </w:r>
      <w:r w:rsidR="008E5E29">
        <w:rPr>
          <w:noProof/>
        </w:rPr>
        <w:fldChar w:fldCharType="separate"/>
      </w:r>
      <w:r w:rsidR="006D5C90">
        <w:rPr>
          <w:noProof/>
        </w:rPr>
        <w:t>7</w:t>
      </w:r>
      <w:r w:rsidR="008E5E29">
        <w:rPr>
          <w:noProof/>
        </w:rPr>
        <w:fldChar w:fldCharType="end"/>
      </w:r>
      <w:r>
        <w:t xml:space="preserve">: </w:t>
      </w:r>
      <w:r w:rsidRPr="00305036">
        <w:t>Vývoj salda příjmů a výdajů celkem</w:t>
      </w:r>
      <w:r>
        <w:t xml:space="preserve"> (bez vlivu JČ)</w:t>
      </w:r>
      <w:r w:rsidRPr="00305036">
        <w:t xml:space="preserve"> v letech 20</w:t>
      </w:r>
      <w:r>
        <w:t>20</w:t>
      </w:r>
      <w:r w:rsidRPr="00305036">
        <w:t>–202</w:t>
      </w:r>
      <w:r>
        <w:t>3</w:t>
      </w:r>
      <w:r w:rsidRPr="00305036">
        <w:t xml:space="preserve"> (v m</w:t>
      </w:r>
      <w:r>
        <w:t xml:space="preserve">ld. </w:t>
      </w:r>
      <w:r w:rsidRPr="00305036">
        <w:t>Kč)</w:t>
      </w:r>
      <w:bookmarkEnd w:id="27"/>
    </w:p>
    <w:p w:rsidR="00293C28" w:rsidRDefault="00293C28" w:rsidP="00A76110">
      <w:pPr>
        <w:spacing w:before="180" w:line="276" w:lineRule="auto"/>
        <w:jc w:val="both"/>
        <w:rPr>
          <w:noProof/>
        </w:rPr>
      </w:pPr>
      <w:r>
        <w:rPr>
          <w:noProof/>
          <w:lang w:eastAsia="cs-CZ"/>
        </w:rPr>
        <w:drawing>
          <wp:inline distT="0" distB="0" distL="0" distR="0">
            <wp:extent cx="6120000" cy="2412000"/>
            <wp:effectExtent l="0" t="0" r="0" b="7620"/>
            <wp:docPr id="5" name="Graf 5">
              <a:extLst xmlns:a="http://schemas.openxmlformats.org/drawingml/2006/main">
                <a:ext uri="{FF2B5EF4-FFF2-40B4-BE49-F238E27FC236}">
                  <a16:creationId xmlns:a16="http://schemas.microsoft.com/office/drawing/2014/main" id="{00000000-0008-0000-0D00-000007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410D88" w:rsidRDefault="00F1536B" w:rsidP="00B37A9A">
      <w:pPr>
        <w:jc w:val="both"/>
        <w:rPr>
          <w:noProof/>
        </w:rPr>
      </w:pPr>
      <w:r>
        <w:rPr>
          <w:noProof/>
        </w:rPr>
        <w:lastRenderedPageBreak/>
        <w:t>V</w:t>
      </w:r>
      <w:r w:rsidR="00410D88">
        <w:rPr>
          <w:noProof/>
        </w:rPr>
        <w:t> </w:t>
      </w:r>
      <w:r>
        <w:rPr>
          <w:noProof/>
        </w:rPr>
        <w:t>por</w:t>
      </w:r>
      <w:r w:rsidR="003831E1">
        <w:rPr>
          <w:noProof/>
        </w:rPr>
        <w:t>o</w:t>
      </w:r>
      <w:r>
        <w:rPr>
          <w:noProof/>
        </w:rPr>
        <w:t>vnání</w:t>
      </w:r>
      <w:r w:rsidR="00410D88">
        <w:rPr>
          <w:noProof/>
        </w:rPr>
        <w:t xml:space="preserve"> s předchozími střednědobými výhledy bylo zdravotním pojišťovnám umožněno, p</w:t>
      </w:r>
      <w:r w:rsidR="00410D88" w:rsidRPr="00410D88">
        <w:rPr>
          <w:noProof/>
        </w:rPr>
        <w:t xml:space="preserve">okud </w:t>
      </w:r>
      <w:r w:rsidR="00410D88">
        <w:rPr>
          <w:noProof/>
        </w:rPr>
        <w:t>disponují</w:t>
      </w:r>
      <w:r w:rsidR="00410D88" w:rsidRPr="00410D88">
        <w:rPr>
          <w:noProof/>
        </w:rPr>
        <w:t xml:space="preserve"> </w:t>
      </w:r>
      <w:r w:rsidR="00410D88">
        <w:rPr>
          <w:noProof/>
        </w:rPr>
        <w:t xml:space="preserve">vlastní modelací výdajů, opustit </w:t>
      </w:r>
      <w:r w:rsidR="00410D88" w:rsidRPr="00410D88">
        <w:rPr>
          <w:noProof/>
        </w:rPr>
        <w:t xml:space="preserve">předpoklad vyrovnaného hospodaření pro </w:t>
      </w:r>
      <w:r w:rsidR="00410D88">
        <w:rPr>
          <w:noProof/>
        </w:rPr>
        <w:t>roky předkládaného střednědobého výhledu</w:t>
      </w:r>
      <w:r w:rsidR="00410D88" w:rsidRPr="00410D88">
        <w:rPr>
          <w:noProof/>
        </w:rPr>
        <w:t>.</w:t>
      </w:r>
      <w:r w:rsidR="00410D88">
        <w:rPr>
          <w:noProof/>
        </w:rPr>
        <w:t xml:space="preserve"> Na základě tohoto přístupu může být lépe hodnocena střednědobá udržitelnost systému </w:t>
      </w:r>
      <w:r w:rsidR="00D30F4B">
        <w:rPr>
          <w:noProof/>
        </w:rPr>
        <w:t>v. z. p.</w:t>
      </w:r>
    </w:p>
    <w:p w:rsidR="00D11711" w:rsidRPr="00F01A77" w:rsidRDefault="008E5E29" w:rsidP="00B37A9A">
      <w:pPr>
        <w:jc w:val="both"/>
        <w:rPr>
          <w:noProof/>
          <w:szCs w:val="21"/>
        </w:rPr>
      </w:pPr>
      <w:r w:rsidRPr="00F01A77">
        <w:rPr>
          <w:noProof/>
          <w:szCs w:val="21"/>
        </w:rPr>
        <w:t>Nejvýznamnější výdajovou položkou zdravotních pojišťoven jsou výdaje na zdravotní služby hrazené ze základního fondu zdravotního pojištění, které by měly mezi roky 2021 a 2022 růst o 12,2 mld. Kč (+3,1 %) na 398,5 mld. Kč a naopak v období 2022/2023 pak meziročně klesnout o 7,1 mld. Kč (−1,8 %) na 391,4 mld. Kč.</w:t>
      </w:r>
      <w:r w:rsidR="008F13D3" w:rsidRPr="00F01A77">
        <w:rPr>
          <w:noProof/>
          <w:szCs w:val="21"/>
        </w:rPr>
        <w:t xml:space="preserve"> </w:t>
      </w:r>
      <w:r w:rsidR="00B36C92" w:rsidRPr="00F01A77">
        <w:rPr>
          <w:noProof/>
          <w:szCs w:val="21"/>
        </w:rPr>
        <w:t>Tento specifický vývoj je zapříčiněn skokovým nárůstem v roce 2021 z důvodu očekávaných úhrad v so</w:t>
      </w:r>
      <w:r w:rsidR="007B7BB3" w:rsidRPr="00F01A77">
        <w:rPr>
          <w:noProof/>
          <w:szCs w:val="21"/>
        </w:rPr>
        <w:t>u</w:t>
      </w:r>
      <w:r w:rsidR="00B36C92" w:rsidRPr="00F01A77">
        <w:rPr>
          <w:noProof/>
          <w:szCs w:val="21"/>
        </w:rPr>
        <w:t>vislosti s pandemií COVID-19 (</w:t>
      </w:r>
      <w:r w:rsidR="00A070BD" w:rsidRPr="00F01A77">
        <w:rPr>
          <w:noProof/>
          <w:szCs w:val="21"/>
        </w:rPr>
        <w:t>+43,2 mld. Kč; 12,</w:t>
      </w:r>
      <w:r w:rsidR="00313EF2" w:rsidRPr="00F01A77">
        <w:rPr>
          <w:noProof/>
          <w:szCs w:val="21"/>
        </w:rPr>
        <w:t xml:space="preserve">6 </w:t>
      </w:r>
      <w:r w:rsidR="00A070BD" w:rsidRPr="00F01A77">
        <w:rPr>
          <w:noProof/>
          <w:szCs w:val="21"/>
        </w:rPr>
        <w:t>%)</w:t>
      </w:r>
      <w:r w:rsidR="007E3AC3" w:rsidRPr="00F01A77">
        <w:rPr>
          <w:noProof/>
          <w:szCs w:val="21"/>
        </w:rPr>
        <w:t>, ale také s výrazným růstem platů a mezd ve zdravotnictví v roce 2021</w:t>
      </w:r>
      <w:r w:rsidR="00DE15F5" w:rsidRPr="00F01A77">
        <w:rPr>
          <w:noProof/>
          <w:szCs w:val="21"/>
        </w:rPr>
        <w:t xml:space="preserve"> o 10 %</w:t>
      </w:r>
      <w:r w:rsidR="00592696" w:rsidRPr="00F01A77">
        <w:rPr>
          <w:noProof/>
          <w:szCs w:val="21"/>
        </w:rPr>
        <w:t xml:space="preserve">. </w:t>
      </w:r>
      <w:r w:rsidR="007B7BB3" w:rsidRPr="00F01A77">
        <w:rPr>
          <w:noProof/>
          <w:szCs w:val="21"/>
        </w:rPr>
        <w:t xml:space="preserve">Pro rok 2023 ZP modelují meziroční pokles z důvodu </w:t>
      </w:r>
      <w:r w:rsidRPr="00F01A77">
        <w:rPr>
          <w:noProof/>
          <w:szCs w:val="21"/>
        </w:rPr>
        <w:t xml:space="preserve">postupného vyčerpání zůstatků na účtech a očekávaným snížením výdajů vynakládaným na </w:t>
      </w:r>
      <w:r w:rsidR="00592696" w:rsidRPr="00F01A77">
        <w:rPr>
          <w:noProof/>
          <w:szCs w:val="21"/>
        </w:rPr>
        <w:t xml:space="preserve">současnou </w:t>
      </w:r>
      <w:r w:rsidRPr="00F01A77">
        <w:rPr>
          <w:noProof/>
          <w:szCs w:val="21"/>
        </w:rPr>
        <w:t>pandemii.</w:t>
      </w:r>
      <w:r w:rsidR="007B7BB3" w:rsidRPr="00F01A77">
        <w:rPr>
          <w:noProof/>
          <w:szCs w:val="21"/>
        </w:rPr>
        <w:t xml:space="preserve"> K udržení dynamiky výdajů roku 2021</w:t>
      </w:r>
      <w:r w:rsidR="006D447C" w:rsidRPr="00F01A77">
        <w:rPr>
          <w:noProof/>
          <w:szCs w:val="21"/>
        </w:rPr>
        <w:t xml:space="preserve"> také</w:t>
      </w:r>
      <w:r w:rsidR="007B7BB3" w:rsidRPr="00F01A77">
        <w:rPr>
          <w:noProof/>
          <w:szCs w:val="21"/>
        </w:rPr>
        <w:t xml:space="preserve"> v následujících letech</w:t>
      </w:r>
      <w:r w:rsidR="006B3D5E" w:rsidRPr="00F01A77">
        <w:rPr>
          <w:noProof/>
          <w:szCs w:val="21"/>
        </w:rPr>
        <w:t xml:space="preserve"> nejsou</w:t>
      </w:r>
      <w:r w:rsidR="007B7BB3" w:rsidRPr="00F01A77">
        <w:rPr>
          <w:noProof/>
          <w:szCs w:val="21"/>
        </w:rPr>
        <w:t xml:space="preserve"> k dispozici potřebné zdroje.</w:t>
      </w:r>
    </w:p>
    <w:p w:rsidR="00E1371E" w:rsidRPr="00456113" w:rsidRDefault="00B80F6E" w:rsidP="00313EF2">
      <w:pPr>
        <w:jc w:val="both"/>
        <w:rPr>
          <w:lang w:bidi="hi-IN"/>
        </w:rPr>
      </w:pPr>
      <w:r w:rsidRPr="00456113">
        <w:rPr>
          <w:noProof/>
        </w:rPr>
        <w:t>Vývoj</w:t>
      </w:r>
      <w:r w:rsidR="00D11711" w:rsidRPr="00456113">
        <w:rPr>
          <w:noProof/>
        </w:rPr>
        <w:t xml:space="preserve"> celkových výdajů (bez vlivu JČ) </w:t>
      </w:r>
      <w:r w:rsidRPr="00456113">
        <w:rPr>
          <w:noProof/>
        </w:rPr>
        <w:t>odráží vývoj výdajů na zdravotní služby, tzn.</w:t>
      </w:r>
      <w:r w:rsidR="00D11711" w:rsidRPr="00456113">
        <w:rPr>
          <w:noProof/>
        </w:rPr>
        <w:t xml:space="preserve"> mezi roky 2021 a 2022</w:t>
      </w:r>
      <w:r w:rsidRPr="00456113">
        <w:rPr>
          <w:noProof/>
        </w:rPr>
        <w:t xml:space="preserve"> by měly růst (+12,6 mld. Kč; 3,2 %) a roky </w:t>
      </w:r>
      <w:r w:rsidR="00D11711" w:rsidRPr="00456113">
        <w:rPr>
          <w:noProof/>
        </w:rPr>
        <w:t>2022 a 2023</w:t>
      </w:r>
      <w:r w:rsidRPr="00456113">
        <w:rPr>
          <w:noProof/>
        </w:rPr>
        <w:t xml:space="preserve"> poklesnou</w:t>
      </w:r>
      <w:r w:rsidR="003831E1">
        <w:rPr>
          <w:noProof/>
        </w:rPr>
        <w:t>t</w:t>
      </w:r>
      <w:r w:rsidRPr="00456113">
        <w:rPr>
          <w:noProof/>
        </w:rPr>
        <w:t xml:space="preserve"> o 6,6 mld. Kč (</w:t>
      </w:r>
      <w:r w:rsidR="00DD7CA2">
        <w:rPr>
          <w:noProof/>
        </w:rPr>
        <w:t>−</w:t>
      </w:r>
      <w:r w:rsidR="00E676D7" w:rsidRPr="00456113">
        <w:rPr>
          <w:noProof/>
        </w:rPr>
        <w:t xml:space="preserve">1,6 %). </w:t>
      </w:r>
      <w:r w:rsidR="00D11711" w:rsidRPr="00456113">
        <w:rPr>
          <w:noProof/>
        </w:rPr>
        <w:t xml:space="preserve">Celkové </w:t>
      </w:r>
      <w:r w:rsidR="00E676D7" w:rsidRPr="00456113">
        <w:rPr>
          <w:noProof/>
        </w:rPr>
        <w:t>výdaje</w:t>
      </w:r>
      <w:r w:rsidR="00D11711" w:rsidRPr="00456113">
        <w:rPr>
          <w:noProof/>
        </w:rPr>
        <w:t xml:space="preserve"> systému </w:t>
      </w:r>
      <w:r w:rsidR="00D30F4B">
        <w:rPr>
          <w:noProof/>
        </w:rPr>
        <w:t>v. z. p.</w:t>
      </w:r>
      <w:r w:rsidR="00D11711" w:rsidRPr="00456113">
        <w:rPr>
          <w:noProof/>
        </w:rPr>
        <w:t xml:space="preserve"> (bez vlivu JČ) by v roce 2022 dosáhly </w:t>
      </w:r>
      <w:r w:rsidR="00E676D7" w:rsidRPr="00456113">
        <w:rPr>
          <w:noProof/>
        </w:rPr>
        <w:t xml:space="preserve">411,7 </w:t>
      </w:r>
      <w:r w:rsidR="00D11711" w:rsidRPr="00456113">
        <w:rPr>
          <w:noProof/>
        </w:rPr>
        <w:t>mld. Kč</w:t>
      </w:r>
      <w:r w:rsidR="00E676D7" w:rsidRPr="00456113">
        <w:rPr>
          <w:noProof/>
        </w:rPr>
        <w:t xml:space="preserve"> (</w:t>
      </w:r>
      <w:r w:rsidR="00D11711" w:rsidRPr="00456113">
        <w:rPr>
          <w:noProof/>
        </w:rPr>
        <w:t xml:space="preserve">oproti roku 2020 zvýšení o </w:t>
      </w:r>
      <w:r w:rsidR="00E676D7" w:rsidRPr="00456113">
        <w:rPr>
          <w:noProof/>
        </w:rPr>
        <w:t xml:space="preserve">56,8 </w:t>
      </w:r>
      <w:r w:rsidR="00D11711" w:rsidRPr="00456113">
        <w:rPr>
          <w:noProof/>
        </w:rPr>
        <w:t>mld. Kč (+</w:t>
      </w:r>
      <w:r w:rsidR="00E676D7" w:rsidRPr="00456113">
        <w:rPr>
          <w:noProof/>
        </w:rPr>
        <w:t>16,1</w:t>
      </w:r>
      <w:r w:rsidR="00D11711" w:rsidRPr="00456113">
        <w:rPr>
          <w:noProof/>
        </w:rPr>
        <w:t xml:space="preserve"> %). V roce 2023 jsou pak </w:t>
      </w:r>
      <w:r w:rsidR="00E676D7" w:rsidRPr="00456113">
        <w:rPr>
          <w:noProof/>
        </w:rPr>
        <w:t xml:space="preserve">modelovány </w:t>
      </w:r>
      <w:r w:rsidR="00D11711" w:rsidRPr="00456113">
        <w:rPr>
          <w:noProof/>
        </w:rPr>
        <w:t xml:space="preserve">ve výši </w:t>
      </w:r>
      <w:r w:rsidR="00E676D7" w:rsidRPr="00456113">
        <w:rPr>
          <w:noProof/>
        </w:rPr>
        <w:t xml:space="preserve">405,1 </w:t>
      </w:r>
      <w:r w:rsidR="00D11711" w:rsidRPr="00456113">
        <w:rPr>
          <w:noProof/>
        </w:rPr>
        <w:t xml:space="preserve">mld. Kč </w:t>
      </w:r>
      <w:r w:rsidR="00E676D7" w:rsidRPr="00456113">
        <w:rPr>
          <w:noProof/>
        </w:rPr>
        <w:t xml:space="preserve">(ve srovnání s rokem </w:t>
      </w:r>
      <w:r w:rsidR="00D11711" w:rsidRPr="00456113">
        <w:rPr>
          <w:noProof/>
        </w:rPr>
        <w:t xml:space="preserve">2020 zvýšení o </w:t>
      </w:r>
      <w:r w:rsidR="00E676D7" w:rsidRPr="00456113">
        <w:rPr>
          <w:noProof/>
        </w:rPr>
        <w:t xml:space="preserve">50,1 </w:t>
      </w:r>
      <w:r w:rsidR="00D11711" w:rsidRPr="00456113">
        <w:rPr>
          <w:noProof/>
        </w:rPr>
        <w:t>mld. Kč (+</w:t>
      </w:r>
      <w:r w:rsidR="00E676D7" w:rsidRPr="00456113">
        <w:rPr>
          <w:noProof/>
        </w:rPr>
        <w:t>14,1</w:t>
      </w:r>
      <w:r w:rsidR="00D11711" w:rsidRPr="00456113">
        <w:rPr>
          <w:noProof/>
        </w:rPr>
        <w:t xml:space="preserve"> %). </w:t>
      </w:r>
    </w:p>
    <w:p w:rsidR="00E1371E" w:rsidRDefault="00E676D7" w:rsidP="00E1371E">
      <w:pPr>
        <w:spacing w:before="180" w:line="276" w:lineRule="auto"/>
        <w:jc w:val="both"/>
        <w:rPr>
          <w:noProof/>
        </w:rPr>
      </w:pPr>
      <w:r w:rsidRPr="00456113">
        <w:rPr>
          <w:noProof/>
        </w:rPr>
        <w:t>Vývoj salda</w:t>
      </w:r>
      <w:r w:rsidRPr="00456113">
        <w:t xml:space="preserve"> </w:t>
      </w:r>
      <w:r w:rsidRPr="00456113">
        <w:rPr>
          <w:noProof/>
        </w:rPr>
        <w:t xml:space="preserve">příjmů a výdajů celkem (bez vlivu JČ) je obsahem </w:t>
      </w:r>
      <w:r w:rsidRPr="00456113">
        <w:rPr>
          <w:i/>
          <w:noProof/>
        </w:rPr>
        <w:t>Grafu č. 7</w:t>
      </w:r>
      <w:r w:rsidRPr="00456113">
        <w:rPr>
          <w:noProof/>
        </w:rPr>
        <w:t xml:space="preserve">, z něhož </w:t>
      </w:r>
      <w:r w:rsidR="00E1371E" w:rsidRPr="00456113">
        <w:rPr>
          <w:noProof/>
        </w:rPr>
        <w:t xml:space="preserve">vyplývají významně deficitní tendence systému mezi roky 2021 až 2023 (saldo 2021 </w:t>
      </w:r>
      <w:r w:rsidR="0036041E">
        <w:rPr>
          <w:noProof/>
        </w:rPr>
        <w:t>−</w:t>
      </w:r>
      <w:r w:rsidR="001F26A8">
        <w:rPr>
          <w:noProof/>
        </w:rPr>
        <w:t>13,7</w:t>
      </w:r>
      <w:r w:rsidR="00E1371E" w:rsidRPr="00456113">
        <w:rPr>
          <w:noProof/>
        </w:rPr>
        <w:t xml:space="preserve"> mld. Kč, 2022 </w:t>
      </w:r>
      <w:r w:rsidR="0036041E">
        <w:rPr>
          <w:noProof/>
        </w:rPr>
        <w:t>−</w:t>
      </w:r>
      <w:r w:rsidR="00E1371E" w:rsidRPr="00456113">
        <w:rPr>
          <w:noProof/>
        </w:rPr>
        <w:t xml:space="preserve">18,8 mld. Kč, 2023 </w:t>
      </w:r>
      <w:r w:rsidR="00DD7CA2">
        <w:rPr>
          <w:noProof/>
        </w:rPr>
        <w:t>−</w:t>
      </w:r>
      <w:r w:rsidR="00E1371E" w:rsidRPr="00456113">
        <w:rPr>
          <w:noProof/>
        </w:rPr>
        <w:t xml:space="preserve">4,6 mld. Kč). Závěry střednědobého výhledu shrnuje také </w:t>
      </w:r>
      <w:r w:rsidR="00E1371E" w:rsidRPr="00456113">
        <w:rPr>
          <w:i/>
          <w:noProof/>
        </w:rPr>
        <w:t>Graf č. 8</w:t>
      </w:r>
      <w:r w:rsidR="00E1371E" w:rsidRPr="00456113">
        <w:rPr>
          <w:noProof/>
        </w:rPr>
        <w:t>.</w:t>
      </w:r>
    </w:p>
    <w:p w:rsidR="00E1371E" w:rsidRDefault="00E1371E" w:rsidP="00E1371E">
      <w:pPr>
        <w:pStyle w:val="Titulek"/>
      </w:pPr>
      <w:bookmarkStart w:id="28" w:name="_Toc63685288"/>
      <w:r>
        <w:t xml:space="preserve">Graf č. </w:t>
      </w:r>
      <w:r w:rsidR="008E5E29">
        <w:rPr>
          <w:noProof/>
        </w:rPr>
        <w:fldChar w:fldCharType="begin"/>
      </w:r>
      <w:r>
        <w:rPr>
          <w:noProof/>
        </w:rPr>
        <w:instrText xml:space="preserve"> SEQ Graf \* ARABIC </w:instrText>
      </w:r>
      <w:r w:rsidR="008E5E29">
        <w:rPr>
          <w:noProof/>
        </w:rPr>
        <w:fldChar w:fldCharType="separate"/>
      </w:r>
      <w:r w:rsidR="006D5C90">
        <w:rPr>
          <w:noProof/>
        </w:rPr>
        <w:t>8</w:t>
      </w:r>
      <w:r w:rsidR="008E5E29">
        <w:rPr>
          <w:noProof/>
        </w:rPr>
        <w:fldChar w:fldCharType="end"/>
      </w:r>
      <w:r>
        <w:t xml:space="preserve">: </w:t>
      </w:r>
      <w:r w:rsidRPr="00305036">
        <w:t>Vývoj hospodaření systému v. z.</w:t>
      </w:r>
      <w:r>
        <w:t xml:space="preserve"> </w:t>
      </w:r>
      <w:r w:rsidRPr="00305036">
        <w:t>p. 20</w:t>
      </w:r>
      <w:r>
        <w:t>20</w:t>
      </w:r>
      <w:r w:rsidRPr="00305036">
        <w:t>–202</w:t>
      </w:r>
      <w:r w:rsidR="00385871">
        <w:t>3</w:t>
      </w:r>
      <w:r>
        <w:t xml:space="preserve"> (mld</w:t>
      </w:r>
      <w:r w:rsidRPr="00305036">
        <w:t>. Kč)</w:t>
      </w:r>
      <w:bookmarkEnd w:id="28"/>
    </w:p>
    <w:p w:rsidR="00E1371E" w:rsidRPr="00E1371E" w:rsidRDefault="00E1371E" w:rsidP="00313EF2">
      <w:r>
        <w:rPr>
          <w:noProof/>
          <w:lang w:eastAsia="cs-CZ"/>
        </w:rPr>
        <w:drawing>
          <wp:inline distT="0" distB="0" distL="0" distR="0">
            <wp:extent cx="6120000" cy="2412000"/>
            <wp:effectExtent l="0" t="0" r="0" b="7620"/>
            <wp:docPr id="28" name="Graf 28">
              <a:extLst xmlns:a="http://schemas.openxmlformats.org/drawingml/2006/main">
                <a:ext uri="{FF2B5EF4-FFF2-40B4-BE49-F238E27FC236}">
                  <a16:creationId xmlns:a16="http://schemas.microsoft.com/office/drawing/2014/main" id="{00000000-0008-0000-0D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F1536B" w:rsidRDefault="007B3CC4" w:rsidP="00B37A9A">
      <w:pPr>
        <w:jc w:val="both"/>
        <w:rPr>
          <w:noProof/>
        </w:rPr>
      </w:pPr>
      <w:r w:rsidRPr="00456113">
        <w:rPr>
          <w:noProof/>
        </w:rPr>
        <w:t xml:space="preserve">Pro hodnocení finačního zdraví systému je využíván poměrový </w:t>
      </w:r>
      <w:r w:rsidR="00E176CD" w:rsidRPr="00456113">
        <w:rPr>
          <w:noProof/>
        </w:rPr>
        <w:t xml:space="preserve">indikátor </w:t>
      </w:r>
      <w:r w:rsidRPr="00456113">
        <w:rPr>
          <w:noProof/>
        </w:rPr>
        <w:t>zůstatk</w:t>
      </w:r>
      <w:r w:rsidR="00E176CD" w:rsidRPr="00456113">
        <w:rPr>
          <w:noProof/>
        </w:rPr>
        <w:t>ů</w:t>
      </w:r>
      <w:r w:rsidRPr="00456113">
        <w:rPr>
          <w:noProof/>
        </w:rPr>
        <w:t xml:space="preserve"> na bankvních účtech </w:t>
      </w:r>
      <w:r w:rsidR="00E176CD" w:rsidRPr="00456113">
        <w:rPr>
          <w:noProof/>
        </w:rPr>
        <w:t>ZP</w:t>
      </w:r>
      <w:r w:rsidRPr="00456113">
        <w:rPr>
          <w:noProof/>
        </w:rPr>
        <w:t xml:space="preserve"> ku</w:t>
      </w:r>
      <w:r w:rsidR="00E176CD" w:rsidRPr="00456113">
        <w:rPr>
          <w:noProof/>
        </w:rPr>
        <w:t> </w:t>
      </w:r>
      <w:r w:rsidRPr="00456113">
        <w:rPr>
          <w:noProof/>
        </w:rPr>
        <w:t xml:space="preserve">celkovým výdajům, který by v modifikaci bez vlivu jiné činnosti také mezi roky 2021 až 2023 klesal </w:t>
      </w:r>
      <w:r w:rsidRPr="00456113">
        <w:rPr>
          <w:i/>
          <w:noProof/>
        </w:rPr>
        <w:t>(Graf č. 9).</w:t>
      </w:r>
      <w:r w:rsidRPr="00E176CD">
        <w:rPr>
          <w:i/>
          <w:noProof/>
        </w:rPr>
        <w:t xml:space="preserve"> </w:t>
      </w:r>
      <w:r w:rsidR="00F361A0">
        <w:rPr>
          <w:noProof/>
        </w:rPr>
        <w:t>Nevýhodou tohoto poměrového indikátoru je skutečnost, že v letech 2020 a 2021 je do určité míry zkreslen mimořádnými výdaji v souvislosti s pandemií COVID-19.</w:t>
      </w:r>
    </w:p>
    <w:p w:rsidR="006D5C69" w:rsidRDefault="00975775" w:rsidP="00B37A9A">
      <w:pPr>
        <w:jc w:val="both"/>
        <w:rPr>
          <w:noProof/>
        </w:rPr>
      </w:pPr>
      <w:r>
        <w:rPr>
          <w:noProof/>
        </w:rPr>
        <w:t>Negativní trend je dále provázen</w:t>
      </w:r>
      <w:r w:rsidR="006D5C69">
        <w:rPr>
          <w:noProof/>
        </w:rPr>
        <w:t xml:space="preserve"> vznikem závazků po splatnosti, které mají po</w:t>
      </w:r>
      <w:r>
        <w:rPr>
          <w:noProof/>
        </w:rPr>
        <w:t>dle modelace VZP dosáhnout 16,1 </w:t>
      </w:r>
      <w:r w:rsidR="006D5C69">
        <w:rPr>
          <w:noProof/>
        </w:rPr>
        <w:t>mld. Kč</w:t>
      </w:r>
      <w:r>
        <w:rPr>
          <w:noProof/>
        </w:rPr>
        <w:t xml:space="preserve"> u této pojišťovny. Ostatní zdravorní pojišťovny vznik závazků po splatnosti neočekávají.</w:t>
      </w:r>
      <w:r w:rsidR="006D5C69">
        <w:rPr>
          <w:noProof/>
        </w:rPr>
        <w:t xml:space="preserve"> </w:t>
      </w:r>
    </w:p>
    <w:p w:rsidR="00313EF2" w:rsidRPr="00313EF2" w:rsidRDefault="00313EF2" w:rsidP="00313EF2">
      <w:pPr>
        <w:pStyle w:val="Titulek"/>
      </w:pPr>
      <w:bookmarkStart w:id="29" w:name="_Toc63685289"/>
      <w:r>
        <w:lastRenderedPageBreak/>
        <w:t xml:space="preserve">Graf č. </w:t>
      </w:r>
      <w:r w:rsidR="008E5E29">
        <w:rPr>
          <w:noProof/>
        </w:rPr>
        <w:fldChar w:fldCharType="begin"/>
      </w:r>
      <w:r>
        <w:rPr>
          <w:noProof/>
        </w:rPr>
        <w:instrText xml:space="preserve"> SEQ Graf \* ARABIC </w:instrText>
      </w:r>
      <w:r w:rsidR="008E5E29">
        <w:rPr>
          <w:noProof/>
        </w:rPr>
        <w:fldChar w:fldCharType="separate"/>
      </w:r>
      <w:r w:rsidR="006D5C90">
        <w:rPr>
          <w:noProof/>
        </w:rPr>
        <w:t>9</w:t>
      </w:r>
      <w:r w:rsidR="008E5E29">
        <w:rPr>
          <w:noProof/>
        </w:rPr>
        <w:fldChar w:fldCharType="end"/>
      </w:r>
      <w:r>
        <w:t xml:space="preserve">: </w:t>
      </w:r>
      <w:r w:rsidR="007B7BB3">
        <w:t xml:space="preserve">Vývoj podílu zůstatků na účtech k ročním výdajům systému </w:t>
      </w:r>
      <w:r w:rsidR="00D30F4B">
        <w:t>v. z. p.</w:t>
      </w:r>
      <w:bookmarkEnd w:id="29"/>
    </w:p>
    <w:p w:rsidR="00436F6E" w:rsidRPr="008642AC" w:rsidRDefault="007B3CC4" w:rsidP="00E176CD">
      <w:pPr>
        <w:jc w:val="both"/>
        <w:rPr>
          <w:rFonts w:ascii="Times New Roman" w:hAnsi="Times New Roman" w:cs="Times New Roman"/>
          <w:noProof/>
        </w:rPr>
      </w:pPr>
      <w:r>
        <w:rPr>
          <w:noProof/>
          <w:lang w:eastAsia="cs-CZ"/>
        </w:rPr>
        <w:drawing>
          <wp:inline distT="0" distB="0" distL="0" distR="0">
            <wp:extent cx="6120000" cy="2412000"/>
            <wp:effectExtent l="0" t="0" r="0" b="7620"/>
            <wp:docPr id="1" name="Graf 1">
              <a:extLst xmlns:a="http://schemas.openxmlformats.org/drawingml/2006/main">
                <a:ext uri="{FF2B5EF4-FFF2-40B4-BE49-F238E27FC236}">
                  <a16:creationId xmlns:a16="http://schemas.microsoft.com/office/drawing/2014/main" id="{00000000-0008-0000-0D00-000007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r w:rsidR="00436F6E">
        <w:rPr>
          <w:noProof/>
        </w:rPr>
        <w:br w:type="page"/>
      </w:r>
    </w:p>
    <w:p w:rsidR="00436F6E" w:rsidRPr="003A43E0" w:rsidRDefault="00436F6E" w:rsidP="00AC25F3">
      <w:pPr>
        <w:pStyle w:val="Nadpis2"/>
      </w:pPr>
      <w:bookmarkStart w:id="30" w:name="_Toc63684675"/>
      <w:r w:rsidRPr="004436DD">
        <w:lastRenderedPageBreak/>
        <w:t>Zátěžový test systému v. z. p</w:t>
      </w:r>
      <w:r w:rsidRPr="00924079">
        <w:t>.</w:t>
      </w:r>
      <w:r w:rsidRPr="00AD410B">
        <w:rPr>
          <w:vertAlign w:val="superscript"/>
        </w:rPr>
        <w:footnoteReference w:id="6"/>
      </w:r>
      <w:bookmarkEnd w:id="30"/>
      <w:r w:rsidRPr="00AD410B">
        <w:rPr>
          <w:vertAlign w:val="superscript"/>
        </w:rPr>
        <w:t xml:space="preserve"> </w:t>
      </w:r>
    </w:p>
    <w:p w:rsidR="009E7A5B" w:rsidRDefault="00436F6E" w:rsidP="00305036">
      <w:pPr>
        <w:spacing w:before="180" w:line="276" w:lineRule="auto"/>
        <w:jc w:val="both"/>
        <w:rPr>
          <w:rStyle w:val="TEXTChar"/>
          <w:rFonts w:ascii="Calibri" w:hAnsi="Calibri"/>
        </w:rPr>
      </w:pPr>
      <w:r w:rsidRPr="00456113">
        <w:rPr>
          <w:rStyle w:val="TEXTChar"/>
          <w:rFonts w:ascii="Calibri" w:hAnsi="Calibri"/>
        </w:rPr>
        <w:t xml:space="preserve">Z </w:t>
      </w:r>
      <w:r w:rsidRPr="00456113">
        <w:rPr>
          <w:rStyle w:val="TEXTChar"/>
          <w:rFonts w:ascii="Calibri" w:hAnsi="Calibri"/>
          <w:i/>
        </w:rPr>
        <w:t xml:space="preserve">Grafu č. </w:t>
      </w:r>
      <w:r w:rsidR="000B1123" w:rsidRPr="00456113">
        <w:rPr>
          <w:rStyle w:val="TEXTChar"/>
          <w:rFonts w:ascii="Calibri" w:hAnsi="Calibri"/>
          <w:i/>
        </w:rPr>
        <w:t>10</w:t>
      </w:r>
      <w:r w:rsidR="000B1123" w:rsidRPr="00456113">
        <w:rPr>
          <w:rStyle w:val="TEXTChar"/>
          <w:rFonts w:ascii="Calibri" w:hAnsi="Calibri"/>
        </w:rPr>
        <w:t xml:space="preserve"> </w:t>
      </w:r>
      <w:r w:rsidRPr="00456113">
        <w:rPr>
          <w:rStyle w:val="TEXTChar"/>
          <w:rFonts w:ascii="Calibri" w:hAnsi="Calibri"/>
        </w:rPr>
        <w:t xml:space="preserve">je patrné, že zdravotní pojišťovny nashromáždily značné rezervy (ve smyslu zůstatků na BÚ) v letech předcházejících světové hospodářské krizi v roce 2009. Od roku 2009 do roku 2013 pak docházelo k prudkému úbytku rezerv, díky čemuž nedošlo k výraznému omezení kvality a dostupnosti zdravotní péče. Od roku 2016 </w:t>
      </w:r>
      <w:r w:rsidR="00A513B9" w:rsidRPr="00456113">
        <w:rPr>
          <w:rStyle w:val="TEXTChar"/>
          <w:rFonts w:ascii="Calibri" w:hAnsi="Calibri"/>
        </w:rPr>
        <w:t>do</w:t>
      </w:r>
      <w:r w:rsidR="008D34EB" w:rsidRPr="00456113">
        <w:rPr>
          <w:rStyle w:val="TEXTChar"/>
          <w:rFonts w:ascii="Calibri" w:hAnsi="Calibri"/>
        </w:rPr>
        <w:t> </w:t>
      </w:r>
      <w:r w:rsidR="00C811C4" w:rsidRPr="00456113">
        <w:rPr>
          <w:rStyle w:val="TEXTChar"/>
          <w:rFonts w:ascii="Calibri" w:hAnsi="Calibri"/>
        </w:rPr>
        <w:t xml:space="preserve">roku </w:t>
      </w:r>
      <w:r w:rsidR="00A513B9" w:rsidRPr="00456113">
        <w:rPr>
          <w:rStyle w:val="TEXTChar"/>
          <w:rFonts w:ascii="Calibri" w:hAnsi="Calibri"/>
        </w:rPr>
        <w:t xml:space="preserve">2019 </w:t>
      </w:r>
      <w:r w:rsidRPr="00456113">
        <w:rPr>
          <w:rStyle w:val="TEXTChar"/>
          <w:rFonts w:ascii="Calibri" w:hAnsi="Calibri"/>
        </w:rPr>
        <w:t xml:space="preserve">míra rezerv v systému opět </w:t>
      </w:r>
      <w:r w:rsidR="00A513B9" w:rsidRPr="00456113">
        <w:rPr>
          <w:rStyle w:val="TEXTChar"/>
          <w:rFonts w:ascii="Calibri" w:hAnsi="Calibri"/>
        </w:rPr>
        <w:t>rostla</w:t>
      </w:r>
      <w:r w:rsidR="00DF6CEA" w:rsidRPr="00456113">
        <w:rPr>
          <w:rStyle w:val="TEXTChar"/>
          <w:rFonts w:ascii="Calibri" w:hAnsi="Calibri"/>
        </w:rPr>
        <w:t xml:space="preserve">. V roce 2020 nastal zlom a ukazatel dle </w:t>
      </w:r>
      <w:r w:rsidR="00A513B9" w:rsidRPr="00456113">
        <w:rPr>
          <w:rStyle w:val="TEXTChar"/>
          <w:rFonts w:ascii="Calibri" w:hAnsi="Calibri"/>
        </w:rPr>
        <w:t xml:space="preserve">očekávané skutečnosti </w:t>
      </w:r>
      <w:r w:rsidR="00DF6CEA" w:rsidRPr="00456113">
        <w:rPr>
          <w:rStyle w:val="TEXTChar"/>
          <w:rFonts w:ascii="Calibri" w:hAnsi="Calibri"/>
        </w:rPr>
        <w:t>dosáhl</w:t>
      </w:r>
      <w:r w:rsidR="00A513B9" w:rsidRPr="00456113">
        <w:rPr>
          <w:rStyle w:val="TEXTChar"/>
          <w:rFonts w:ascii="Calibri" w:hAnsi="Calibri"/>
        </w:rPr>
        <w:t xml:space="preserve"> podíl</w:t>
      </w:r>
      <w:r w:rsidR="008D34EB" w:rsidRPr="00456113">
        <w:rPr>
          <w:rStyle w:val="TEXTChar"/>
          <w:rFonts w:ascii="Calibri" w:hAnsi="Calibri"/>
        </w:rPr>
        <w:t>u</w:t>
      </w:r>
      <w:r w:rsidR="00A513B9" w:rsidRPr="00456113">
        <w:rPr>
          <w:rStyle w:val="TEXTChar"/>
          <w:rFonts w:ascii="Calibri" w:hAnsi="Calibri"/>
        </w:rPr>
        <w:t xml:space="preserve"> </w:t>
      </w:r>
      <w:r w:rsidR="00DF6CEA" w:rsidRPr="00456113">
        <w:rPr>
          <w:rStyle w:val="TEXTChar"/>
          <w:rFonts w:ascii="Calibri" w:hAnsi="Calibri"/>
        </w:rPr>
        <w:t>16,5</w:t>
      </w:r>
      <w:r w:rsidR="00A513B9" w:rsidRPr="00456113">
        <w:rPr>
          <w:rStyle w:val="TEXTChar"/>
          <w:rFonts w:ascii="Calibri" w:hAnsi="Calibri"/>
        </w:rPr>
        <w:t> %,</w:t>
      </w:r>
      <w:r w:rsidR="00DF6CEA" w:rsidRPr="00456113">
        <w:rPr>
          <w:rStyle w:val="TEXTChar"/>
          <w:rFonts w:ascii="Calibri" w:hAnsi="Calibri"/>
        </w:rPr>
        <w:t xml:space="preserve"> pokles by měl pokračovat i v roce 2021 a to na hodnotu 11,2 %.</w:t>
      </w:r>
      <w:r w:rsidR="00A513B9">
        <w:rPr>
          <w:rStyle w:val="TEXTChar"/>
          <w:rFonts w:ascii="Calibri" w:hAnsi="Calibri"/>
        </w:rPr>
        <w:t xml:space="preserve"> </w:t>
      </w:r>
    </w:p>
    <w:p w:rsidR="009E7A5B" w:rsidRDefault="009E7A5B" w:rsidP="009604F4">
      <w:pPr>
        <w:pStyle w:val="Titulek"/>
        <w:rPr>
          <w:rStyle w:val="TEXTChar"/>
          <w:rFonts w:ascii="Calibri" w:hAnsi="Calibri"/>
        </w:rPr>
      </w:pPr>
      <w:bookmarkStart w:id="31" w:name="_Toc63685290"/>
      <w:r>
        <w:t xml:space="preserve">Graf č. </w:t>
      </w:r>
      <w:r w:rsidR="008E5E29">
        <w:rPr>
          <w:noProof/>
        </w:rPr>
        <w:fldChar w:fldCharType="begin"/>
      </w:r>
      <w:r w:rsidR="007F5247">
        <w:rPr>
          <w:noProof/>
        </w:rPr>
        <w:instrText xml:space="preserve"> SEQ Graf \* ARABIC </w:instrText>
      </w:r>
      <w:r w:rsidR="008E5E29">
        <w:rPr>
          <w:noProof/>
        </w:rPr>
        <w:fldChar w:fldCharType="separate"/>
      </w:r>
      <w:r w:rsidR="006D5C90">
        <w:rPr>
          <w:noProof/>
        </w:rPr>
        <w:t>10</w:t>
      </w:r>
      <w:r w:rsidR="008E5E29">
        <w:rPr>
          <w:noProof/>
        </w:rPr>
        <w:fldChar w:fldCharType="end"/>
      </w:r>
      <w:r>
        <w:t xml:space="preserve">: </w:t>
      </w:r>
      <w:r w:rsidRPr="00305036">
        <w:t>Střednědobá udržitelnost hospodaření ZP</w:t>
      </w:r>
      <w:bookmarkEnd w:id="31"/>
    </w:p>
    <w:p w:rsidR="00DF6CEA" w:rsidRDefault="00DF6CEA" w:rsidP="00305036">
      <w:pPr>
        <w:spacing w:before="180" w:line="276" w:lineRule="auto"/>
        <w:jc w:val="both"/>
        <w:rPr>
          <w:rStyle w:val="TEXTChar"/>
          <w:rFonts w:ascii="Calibri" w:hAnsi="Calibri"/>
        </w:rPr>
      </w:pPr>
      <w:r>
        <w:rPr>
          <w:noProof/>
          <w:lang w:eastAsia="cs-CZ"/>
        </w:rPr>
        <w:drawing>
          <wp:inline distT="0" distB="0" distL="0" distR="0">
            <wp:extent cx="6122504" cy="2484000"/>
            <wp:effectExtent l="0" t="0" r="0" b="0"/>
            <wp:docPr id="6" name="Graf 6">
              <a:extLst xmlns:a="http://schemas.openxmlformats.org/drawingml/2006/main">
                <a:ext uri="{FF2B5EF4-FFF2-40B4-BE49-F238E27FC236}">
                  <a16:creationId xmlns:a16="http://schemas.microsoft.com/office/drawing/2014/main" id="{00000000-0008-0000-02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6E7A11" w:rsidRDefault="00AF0778" w:rsidP="00305036">
      <w:pPr>
        <w:spacing w:before="180" w:line="276" w:lineRule="auto"/>
        <w:jc w:val="both"/>
        <w:rPr>
          <w:rStyle w:val="TEXTChar"/>
          <w:rFonts w:ascii="Calibri" w:hAnsi="Calibri"/>
        </w:rPr>
      </w:pPr>
      <w:r w:rsidRPr="00456113">
        <w:rPr>
          <w:rStyle w:val="TEXTChar"/>
          <w:rFonts w:ascii="Calibri" w:hAnsi="Calibri"/>
        </w:rPr>
        <w:t>Ja</w:t>
      </w:r>
      <w:r w:rsidR="009E7A5B" w:rsidRPr="00456113">
        <w:rPr>
          <w:rStyle w:val="TEXTChar"/>
          <w:rFonts w:ascii="Calibri" w:hAnsi="Calibri"/>
        </w:rPr>
        <w:t>k</w:t>
      </w:r>
      <w:r w:rsidRPr="00456113">
        <w:rPr>
          <w:rStyle w:val="TEXTChar"/>
          <w:rFonts w:ascii="Calibri" w:hAnsi="Calibri"/>
        </w:rPr>
        <w:t xml:space="preserve"> bylo uvedeno v předchozí kapitole, tak právě </w:t>
      </w:r>
      <w:r w:rsidR="009E7A5B" w:rsidRPr="00456113">
        <w:rPr>
          <w:rStyle w:val="TEXTChar"/>
          <w:rFonts w:ascii="Calibri" w:hAnsi="Calibri"/>
        </w:rPr>
        <w:t xml:space="preserve">opakování </w:t>
      </w:r>
      <w:r w:rsidRPr="00456113">
        <w:rPr>
          <w:rStyle w:val="TEXTChar"/>
          <w:rFonts w:ascii="Calibri" w:hAnsi="Calibri"/>
        </w:rPr>
        <w:t>nebýval</w:t>
      </w:r>
      <w:r w:rsidR="009E7A5B" w:rsidRPr="00456113">
        <w:rPr>
          <w:rStyle w:val="TEXTChar"/>
          <w:rFonts w:ascii="Calibri" w:hAnsi="Calibri"/>
        </w:rPr>
        <w:t>ého</w:t>
      </w:r>
      <w:r w:rsidRPr="00456113">
        <w:rPr>
          <w:rStyle w:val="TEXTChar"/>
          <w:rFonts w:ascii="Calibri" w:hAnsi="Calibri"/>
        </w:rPr>
        <w:t xml:space="preserve"> meziroční</w:t>
      </w:r>
      <w:r w:rsidR="009E7A5B" w:rsidRPr="00456113">
        <w:rPr>
          <w:rStyle w:val="TEXTChar"/>
          <w:rFonts w:ascii="Calibri" w:hAnsi="Calibri"/>
        </w:rPr>
        <w:t>ho</w:t>
      </w:r>
      <w:r w:rsidRPr="00456113">
        <w:rPr>
          <w:rStyle w:val="TEXTChar"/>
          <w:rFonts w:ascii="Calibri" w:hAnsi="Calibri"/>
        </w:rPr>
        <w:t xml:space="preserve"> růst</w:t>
      </w:r>
      <w:r w:rsidR="009E7A5B" w:rsidRPr="00456113">
        <w:rPr>
          <w:rStyle w:val="TEXTChar"/>
          <w:rFonts w:ascii="Calibri" w:hAnsi="Calibri"/>
        </w:rPr>
        <w:t>u</w:t>
      </w:r>
      <w:r w:rsidR="001253A0" w:rsidRPr="00456113">
        <w:rPr>
          <w:rStyle w:val="TEXTChar"/>
          <w:rFonts w:ascii="Calibri" w:hAnsi="Calibri"/>
        </w:rPr>
        <w:t xml:space="preserve"> výdajů</w:t>
      </w:r>
      <w:r w:rsidRPr="00456113">
        <w:rPr>
          <w:rStyle w:val="TEXTChar"/>
          <w:rFonts w:ascii="Calibri" w:hAnsi="Calibri"/>
        </w:rPr>
        <w:t xml:space="preserve"> </w:t>
      </w:r>
      <w:r w:rsidR="001253A0" w:rsidRPr="00456113">
        <w:rPr>
          <w:rStyle w:val="TEXTChar"/>
          <w:rFonts w:ascii="Calibri" w:hAnsi="Calibri"/>
        </w:rPr>
        <w:t>může znamenat riziko pro</w:t>
      </w:r>
      <w:r w:rsidR="009E7A5B" w:rsidRPr="00456113">
        <w:rPr>
          <w:rStyle w:val="TEXTChar"/>
          <w:rFonts w:ascii="Calibri" w:hAnsi="Calibri"/>
        </w:rPr>
        <w:t xml:space="preserve"> udržitelnost financování zdravotnictví</w:t>
      </w:r>
      <w:r w:rsidR="00861D1A" w:rsidRPr="00456113">
        <w:rPr>
          <w:rStyle w:val="TEXTChar"/>
          <w:rFonts w:ascii="Calibri" w:hAnsi="Calibri"/>
        </w:rPr>
        <w:t xml:space="preserve">. Již v minulosti se ukázalo, že </w:t>
      </w:r>
      <w:r w:rsidR="006E7A11" w:rsidRPr="00456113">
        <w:rPr>
          <w:rStyle w:val="TEXTChar"/>
          <w:rFonts w:ascii="Calibri" w:hAnsi="Calibri"/>
        </w:rPr>
        <w:t>systém pro</w:t>
      </w:r>
      <w:r w:rsidR="009604F4" w:rsidRPr="00456113">
        <w:rPr>
          <w:rStyle w:val="TEXTChar"/>
          <w:rFonts w:ascii="Calibri" w:hAnsi="Calibri"/>
        </w:rPr>
        <w:t> </w:t>
      </w:r>
      <w:r w:rsidR="006E7A11" w:rsidRPr="00456113">
        <w:rPr>
          <w:rStyle w:val="TEXTChar"/>
          <w:rFonts w:ascii="Calibri" w:hAnsi="Calibri"/>
        </w:rPr>
        <w:t xml:space="preserve">bezproblémový chod potřebuje rezervní polštář </w:t>
      </w:r>
      <w:r w:rsidR="00E35236" w:rsidRPr="00456113">
        <w:rPr>
          <w:rStyle w:val="TEXTChar"/>
          <w:rFonts w:ascii="Calibri" w:hAnsi="Calibri"/>
        </w:rPr>
        <w:t>ke</w:t>
      </w:r>
      <w:r w:rsidR="00EB0A9A" w:rsidRPr="00456113">
        <w:rPr>
          <w:rStyle w:val="TEXTChar"/>
          <w:rFonts w:ascii="Calibri" w:hAnsi="Calibri"/>
        </w:rPr>
        <w:t xml:space="preserve"> </w:t>
      </w:r>
      <w:r w:rsidR="006E7A11" w:rsidRPr="00456113">
        <w:rPr>
          <w:rStyle w:val="TEXTChar"/>
          <w:rFonts w:ascii="Calibri" w:hAnsi="Calibri"/>
        </w:rPr>
        <w:t>zmírnění dopadů případného vnějšího negativního šoku (např. v podobě nenadálé recese české ekonomiky)</w:t>
      </w:r>
      <w:r w:rsidR="00EB6B7D" w:rsidRPr="00456113">
        <w:rPr>
          <w:rStyle w:val="TEXTChar"/>
          <w:rFonts w:ascii="Calibri" w:hAnsi="Calibri"/>
        </w:rPr>
        <w:t>, což se prokázalo v současné pandemií COVID-19</w:t>
      </w:r>
      <w:r w:rsidR="006E7A11" w:rsidRPr="00456113">
        <w:rPr>
          <w:rStyle w:val="TEXTChar"/>
          <w:rFonts w:ascii="Calibri" w:hAnsi="Calibri"/>
        </w:rPr>
        <w:t>. O tom, že</w:t>
      </w:r>
      <w:r w:rsidR="009604F4" w:rsidRPr="00456113">
        <w:rPr>
          <w:rStyle w:val="TEXTChar"/>
          <w:rFonts w:ascii="Calibri" w:hAnsi="Calibri"/>
        </w:rPr>
        <w:t> </w:t>
      </w:r>
      <w:r w:rsidR="006E7A11" w:rsidRPr="00456113">
        <w:rPr>
          <w:rStyle w:val="TEXTChar"/>
          <w:rFonts w:ascii="Calibri" w:hAnsi="Calibri"/>
        </w:rPr>
        <w:t xml:space="preserve">se meziroční růst výdajů systému vymyká vývoji v minulosti, vypovídá i </w:t>
      </w:r>
      <w:r w:rsidR="006E7A11" w:rsidRPr="00456113">
        <w:rPr>
          <w:rStyle w:val="TEXTChar"/>
          <w:rFonts w:ascii="Calibri" w:hAnsi="Calibri"/>
          <w:i/>
        </w:rPr>
        <w:t xml:space="preserve">Graf č. </w:t>
      </w:r>
      <w:r w:rsidR="000B1123" w:rsidRPr="00456113">
        <w:rPr>
          <w:rStyle w:val="TEXTChar"/>
          <w:rFonts w:ascii="Calibri" w:hAnsi="Calibri"/>
          <w:i/>
        </w:rPr>
        <w:t>11</w:t>
      </w:r>
      <w:r w:rsidR="006E7A11" w:rsidRPr="00456113">
        <w:rPr>
          <w:rStyle w:val="TEXTChar"/>
          <w:rFonts w:ascii="Calibri" w:hAnsi="Calibri"/>
        </w:rPr>
        <w:t>, který porovnává změnu příjmů a výdajů systému v delším časovém horizontu.</w:t>
      </w:r>
    </w:p>
    <w:p w:rsidR="006E7A11" w:rsidRDefault="006E7A11" w:rsidP="006E7A11">
      <w:pPr>
        <w:pStyle w:val="Titulek"/>
      </w:pPr>
      <w:bookmarkStart w:id="32" w:name="_Toc63685291"/>
      <w:r>
        <w:t xml:space="preserve">Graf č. </w:t>
      </w:r>
      <w:r w:rsidR="008E5E29">
        <w:rPr>
          <w:noProof/>
        </w:rPr>
        <w:fldChar w:fldCharType="begin"/>
      </w:r>
      <w:r w:rsidR="007F5247">
        <w:rPr>
          <w:noProof/>
        </w:rPr>
        <w:instrText xml:space="preserve"> SEQ Graf \* ARABIC </w:instrText>
      </w:r>
      <w:r w:rsidR="008E5E29">
        <w:rPr>
          <w:noProof/>
        </w:rPr>
        <w:fldChar w:fldCharType="separate"/>
      </w:r>
      <w:r w:rsidR="006D5C90">
        <w:rPr>
          <w:noProof/>
        </w:rPr>
        <w:t>11</w:t>
      </w:r>
      <w:r w:rsidR="008E5E29">
        <w:rPr>
          <w:noProof/>
        </w:rPr>
        <w:fldChar w:fldCharType="end"/>
      </w:r>
      <w:r>
        <w:t>: Dynamika příjmů a výdajů systému v.</w:t>
      </w:r>
      <w:r w:rsidR="005D7AB5">
        <w:t xml:space="preserve"> </w:t>
      </w:r>
      <w:r>
        <w:t>z.</w:t>
      </w:r>
      <w:r w:rsidR="005D7AB5">
        <w:t xml:space="preserve"> </w:t>
      </w:r>
      <w:r>
        <w:t>p.</w:t>
      </w:r>
      <w:bookmarkEnd w:id="32"/>
    </w:p>
    <w:p w:rsidR="000B1123" w:rsidRDefault="00A24608" w:rsidP="00305036">
      <w:pPr>
        <w:spacing w:before="180" w:line="276" w:lineRule="auto"/>
        <w:jc w:val="both"/>
      </w:pPr>
      <w:r>
        <w:rPr>
          <w:noProof/>
          <w:lang w:eastAsia="cs-CZ"/>
        </w:rPr>
        <w:drawing>
          <wp:inline distT="0" distB="0" distL="0" distR="0">
            <wp:extent cx="6122504" cy="2484000"/>
            <wp:effectExtent l="0" t="0" r="0" b="0"/>
            <wp:docPr id="8" name="Graf 8">
              <a:extLst xmlns:a="http://schemas.openxmlformats.org/drawingml/2006/main">
                <a:ext uri="{FF2B5EF4-FFF2-40B4-BE49-F238E27FC236}">
                  <a16:creationId xmlns:a16="http://schemas.microsoft.com/office/drawing/2014/main" id="{00000000-0008-0000-02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463516" w:rsidRDefault="00436F6E" w:rsidP="00305036">
      <w:pPr>
        <w:spacing w:before="180" w:line="276" w:lineRule="auto"/>
        <w:jc w:val="both"/>
      </w:pPr>
      <w:r w:rsidRPr="00DE0F7D">
        <w:lastRenderedPageBreak/>
        <w:t>Pro účely posouzení st</w:t>
      </w:r>
      <w:r>
        <w:t>řednědobé udržitelnosti současně</w:t>
      </w:r>
      <w:r w:rsidRPr="00DE0F7D">
        <w:t xml:space="preserve"> nastavené trajektorie hospodaření ZP</w:t>
      </w:r>
      <w:r>
        <w:t>, především výdajů na zdravotní služby,</w:t>
      </w:r>
      <w:r w:rsidRPr="00DE0F7D">
        <w:t xml:space="preserve"> byl proveden stress-test (zátěžový test). Jeho obsahem bylo vytvoření hypotetických situací pro roky </w:t>
      </w:r>
      <w:r w:rsidR="00064FD0" w:rsidRPr="00DE0F7D">
        <w:t>20</w:t>
      </w:r>
      <w:r w:rsidR="00064FD0">
        <w:t>2</w:t>
      </w:r>
      <w:r w:rsidR="00EB6B7D">
        <w:t>2</w:t>
      </w:r>
      <w:r w:rsidR="00064FD0" w:rsidRPr="00DE0F7D">
        <w:t xml:space="preserve"> </w:t>
      </w:r>
      <w:r w:rsidRPr="00DE0F7D">
        <w:t>až </w:t>
      </w:r>
      <w:r w:rsidR="00064FD0">
        <w:t>202</w:t>
      </w:r>
      <w:r w:rsidR="00EB6B7D">
        <w:t>4</w:t>
      </w:r>
      <w:r w:rsidR="00064FD0" w:rsidRPr="00DE0F7D">
        <w:t xml:space="preserve"> </w:t>
      </w:r>
      <w:r w:rsidRPr="00DE0F7D">
        <w:t>a následná modelace zůstatků ZP ke konci rok</w:t>
      </w:r>
      <w:r>
        <w:t>ů</w:t>
      </w:r>
      <w:r w:rsidRPr="00DE0F7D">
        <w:t xml:space="preserve"> </w:t>
      </w:r>
      <w:r w:rsidR="00064FD0">
        <w:t>202</w:t>
      </w:r>
      <w:r w:rsidR="00EB6B7D">
        <w:t>2</w:t>
      </w:r>
      <w:r w:rsidR="00064FD0" w:rsidRPr="00DE0F7D">
        <w:t xml:space="preserve"> </w:t>
      </w:r>
      <w:r w:rsidRPr="00DE0F7D">
        <w:t xml:space="preserve">až </w:t>
      </w:r>
      <w:r w:rsidR="00064FD0">
        <w:t>202</w:t>
      </w:r>
      <w:r w:rsidR="00EB6B7D">
        <w:t>4</w:t>
      </w:r>
      <w:r w:rsidR="00064FD0" w:rsidRPr="00DE0F7D">
        <w:t xml:space="preserve"> </w:t>
      </w:r>
      <w:r w:rsidRPr="00DE0F7D">
        <w:t>v případě realizace hypotetických scénářů.</w:t>
      </w:r>
      <w:r>
        <w:t xml:space="preserve"> </w:t>
      </w:r>
    </w:p>
    <w:p w:rsidR="00436F6E" w:rsidRDefault="0088485B" w:rsidP="00305036">
      <w:pPr>
        <w:spacing w:before="180" w:line="276" w:lineRule="auto"/>
        <w:jc w:val="both"/>
      </w:pPr>
      <w:r>
        <w:t xml:space="preserve">Shodně jako v minulém roce </w:t>
      </w:r>
      <w:r w:rsidR="00D211F8">
        <w:t>byly konstruovány dva scénáře růstu výdajů</w:t>
      </w:r>
      <w:r w:rsidR="00064FD0">
        <w:t>. První předpokládá, že by výdaje rostly v souladu s údaji dle SDV 202</w:t>
      </w:r>
      <w:r>
        <w:t>2</w:t>
      </w:r>
      <w:r w:rsidR="00064FD0">
        <w:t xml:space="preserve"> až 202</w:t>
      </w:r>
      <w:r>
        <w:t>3</w:t>
      </w:r>
      <w:r w:rsidR="00064FD0">
        <w:t xml:space="preserve">. </w:t>
      </w:r>
      <w:r w:rsidR="00F943BC">
        <w:t>Rok 202</w:t>
      </w:r>
      <w:r>
        <w:t>4</w:t>
      </w:r>
      <w:r w:rsidR="00F943BC">
        <w:t xml:space="preserve"> byl</w:t>
      </w:r>
      <w:r w:rsidR="00D211F8">
        <w:t xml:space="preserve"> odhadnut na základě meziroční</w:t>
      </w:r>
      <w:r w:rsidR="00F943BC">
        <w:t xml:space="preserve"> změn</w:t>
      </w:r>
      <w:r w:rsidR="00D211F8">
        <w:t>y</w:t>
      </w:r>
      <w:r w:rsidR="00F943BC">
        <w:t xml:space="preserve"> v předchozím roce. </w:t>
      </w:r>
      <w:r w:rsidR="00064FD0">
        <w:t>Druh</w:t>
      </w:r>
      <w:r w:rsidR="00E35236">
        <w:t>ý</w:t>
      </w:r>
      <w:r w:rsidR="00064FD0">
        <w:t xml:space="preserve"> </w:t>
      </w:r>
      <w:r w:rsidR="00D211F8">
        <w:t xml:space="preserve">scénář </w:t>
      </w:r>
      <w:r w:rsidR="00064FD0">
        <w:t xml:space="preserve">pak od SDV ustupuje a ukazuje, jak by v zátěžovém testu systém obstál, kdyby </w:t>
      </w:r>
      <w:r w:rsidR="00463516">
        <w:t xml:space="preserve">se obdobný meziroční nárůst </w:t>
      </w:r>
      <w:r>
        <w:t>2020</w:t>
      </w:r>
      <w:r w:rsidR="00463516">
        <w:t>/202</w:t>
      </w:r>
      <w:r>
        <w:t>1</w:t>
      </w:r>
      <w:r w:rsidR="00463516">
        <w:t xml:space="preserve"> opakoval i v následujících letech.</w:t>
      </w:r>
    </w:p>
    <w:p w:rsidR="00463516" w:rsidRDefault="00463516" w:rsidP="00463516">
      <w:pPr>
        <w:spacing w:before="180" w:line="276" w:lineRule="auto"/>
        <w:jc w:val="both"/>
      </w:pPr>
      <w:r>
        <w:t>V testech byly simulovány dva možné negativní šoky v podobě recese české ekonomiky (varianta č. 1 a č. 2). Ty</w:t>
      </w:r>
      <w:r w:rsidR="00E35236">
        <w:t> </w:t>
      </w:r>
      <w:r>
        <w:t>byly porovnávány se základní variantou (varianta 0), což je předpokládaný vývoj systému v. z. p. na základě v současnosti známých skutečností, např. valorizace vyměřovacího základu pro platbu za tzv. státní pojištěnce v roce 202</w:t>
      </w:r>
      <w:r w:rsidR="0088485B">
        <w:t>1</w:t>
      </w:r>
      <w:r w:rsidR="00D211F8">
        <w:t xml:space="preserve"> (pro</w:t>
      </w:r>
      <w:r>
        <w:t> roky 202</w:t>
      </w:r>
      <w:r w:rsidR="0088485B">
        <w:t>2</w:t>
      </w:r>
      <w:r>
        <w:t>, 202</w:t>
      </w:r>
      <w:r w:rsidR="0088485B">
        <w:t>3</w:t>
      </w:r>
      <w:r>
        <w:t xml:space="preserve"> a 202</w:t>
      </w:r>
      <w:r w:rsidR="0088485B">
        <w:t>4</w:t>
      </w:r>
      <w:r>
        <w:t xml:space="preserve"> byl přijat předpoklad, že vyměřovací základ bude zachován). Dále tato varianta vychází z nastavené trajektorie hospodaření systému v. z. p., které zdravotní pojišťovny popsaly ve</w:t>
      </w:r>
      <w:r w:rsidR="00E35236">
        <w:t> </w:t>
      </w:r>
      <w:r>
        <w:t xml:space="preserve">svých střednědobých výhledech pro období </w:t>
      </w:r>
      <w:r w:rsidR="0022061B">
        <w:t>202</w:t>
      </w:r>
      <w:r w:rsidR="0088485B">
        <w:t>2</w:t>
      </w:r>
      <w:r w:rsidR="0022061B">
        <w:t xml:space="preserve"> </w:t>
      </w:r>
      <w:r>
        <w:t xml:space="preserve">až </w:t>
      </w:r>
      <w:r w:rsidR="0022061B">
        <w:t>202</w:t>
      </w:r>
      <w:r w:rsidR="0088485B">
        <w:t>3</w:t>
      </w:r>
      <w:r>
        <w:t xml:space="preserve">. </w:t>
      </w:r>
    </w:p>
    <w:p w:rsidR="003473DF" w:rsidRDefault="00463516" w:rsidP="00463516">
      <w:pPr>
        <w:spacing w:before="180" w:line="276" w:lineRule="auto"/>
        <w:jc w:val="both"/>
      </w:pPr>
      <w:r>
        <w:t>Varianta č. 1</w:t>
      </w:r>
      <w:r w:rsidRPr="00A63B0F">
        <w:t xml:space="preserve"> je postavena na reprodukci kratší, ale hluboké recese z roku 2009.</w:t>
      </w:r>
      <w:r>
        <w:t xml:space="preserve"> </w:t>
      </w:r>
      <w:r w:rsidRPr="00A63B0F">
        <w:t>V případě v</w:t>
      </w:r>
      <w:r>
        <w:t>arianty č. 2</w:t>
      </w:r>
      <w:r w:rsidRPr="00A63B0F">
        <w:t xml:space="preserve"> </w:t>
      </w:r>
      <w:r>
        <w:t>reprodukujeme</w:t>
      </w:r>
      <w:r w:rsidRPr="00A63B0F">
        <w:t xml:space="preserve"> mělk</w:t>
      </w:r>
      <w:r>
        <w:t>ou</w:t>
      </w:r>
      <w:r w:rsidRPr="00A63B0F">
        <w:t>, ale dlouh</w:t>
      </w:r>
      <w:r>
        <w:t>ou</w:t>
      </w:r>
      <w:r w:rsidRPr="00A63B0F">
        <w:t xml:space="preserve"> r</w:t>
      </w:r>
      <w:r>
        <w:t xml:space="preserve">ecesi, podobnou té z let 2012 až </w:t>
      </w:r>
      <w:r w:rsidRPr="00A63B0F">
        <w:t xml:space="preserve">2013. </w:t>
      </w:r>
      <w:r>
        <w:t>Adekvátně těmto historickým příkladům modelujeme vývoj tzv. státníc</w:t>
      </w:r>
      <w:r w:rsidR="00D211F8">
        <w:t>h pojištěnců (především počet</w:t>
      </w:r>
      <w:r>
        <w:t xml:space="preserve"> nezaměstnaných), který ovlivňuje výši platby ze státního rozpočtu. Stejně tak je modelován vývoj výběru pojistného na zdravotní pojištění. Začátek obou hypotetických recesí je situován na rok 202</w:t>
      </w:r>
      <w:r w:rsidR="0088485B">
        <w:t>2</w:t>
      </w:r>
      <w:r>
        <w:t xml:space="preserve">. </w:t>
      </w:r>
    </w:p>
    <w:p w:rsidR="00463516" w:rsidRDefault="00463516" w:rsidP="00463516">
      <w:pPr>
        <w:spacing w:before="180" w:line="276" w:lineRule="auto"/>
        <w:jc w:val="both"/>
      </w:pPr>
      <w:r>
        <w:t>Výstup stress-testu představuje kvantifikaci zůstatků na účtech zdravotních pojišťoven, které jsou považovány za</w:t>
      </w:r>
      <w:r w:rsidR="000109D2">
        <w:t> </w:t>
      </w:r>
      <w:r>
        <w:t>rezervy systému v. z. p. v obecném slova smyslu. Změna stavu rezerv v konkrétním roce se v našich hypotetických scénářích rovná konsolidovanému hotovostnímu saldu systému v. z. p. v daném roce. Nepředpokládají se jiné vlivy nebo reakce zdravotních pojišťoven či tvůrců zdravotní a hospodářské politiky diskrečního charakteru, což by v praxi nebylo příliš pravděpodobné.</w:t>
      </w:r>
    </w:p>
    <w:p w:rsidR="00F55D78" w:rsidRPr="00343F03" w:rsidRDefault="008E5E29" w:rsidP="00463516">
      <w:pPr>
        <w:spacing w:before="180" w:line="276" w:lineRule="auto"/>
        <w:jc w:val="both"/>
        <w:rPr>
          <w:szCs w:val="21"/>
        </w:rPr>
      </w:pPr>
      <w:r w:rsidRPr="00F55D78">
        <w:rPr>
          <w:szCs w:val="21"/>
        </w:rPr>
        <w:t>Pro lepší porovnání byly výsledky letošního testu srovnány s testy z předchozích dvou let, aby bylo možné lépe hodnotit meziroční změny v systému Předchozí testy byly mechanicky posunuty na roky 2021–2024 pro jednodušší komparaci.</w:t>
      </w:r>
      <w:r w:rsidR="00204317" w:rsidRPr="00F55D78">
        <w:rPr>
          <w:szCs w:val="21"/>
        </w:rPr>
        <w:t xml:space="preserve"> </w:t>
      </w:r>
      <w:r w:rsidR="00F361A0" w:rsidRPr="00F55D78">
        <w:t xml:space="preserve">Je však nutno uvést, že srovnání stress-testů je tentokrát </w:t>
      </w:r>
      <w:r w:rsidR="00DE15F5" w:rsidRPr="00F55D78">
        <w:t>zkresleno mimořádnými okolnostmi</w:t>
      </w:r>
      <w:r w:rsidR="00F361A0" w:rsidRPr="00F55D78">
        <w:t xml:space="preserve"> (skokové zvýšení tzv. platby státu, zvýšené výdaje v souvislosti s COVID-</w:t>
      </w:r>
      <w:r w:rsidR="00DE15F5" w:rsidRPr="00F55D78">
        <w:t>19 atd.) a také výraznými změnami v makroekonomickém vývoji.</w:t>
      </w:r>
    </w:p>
    <w:p w:rsidR="00463516" w:rsidRPr="00C967AB" w:rsidRDefault="00463516" w:rsidP="00F943BC">
      <w:pPr>
        <w:pStyle w:val="Nadpis3"/>
      </w:pPr>
      <w:bookmarkStart w:id="33" w:name="_Toc63684676"/>
      <w:r w:rsidRPr="00C967AB">
        <w:t xml:space="preserve">Růst celkových výdajů </w:t>
      </w:r>
      <w:r w:rsidR="00F943BC" w:rsidRPr="00C967AB">
        <w:t>po</w:t>
      </w:r>
      <w:r w:rsidRPr="00C967AB">
        <w:t>dle SDV</w:t>
      </w:r>
      <w:bookmarkEnd w:id="33"/>
    </w:p>
    <w:p w:rsidR="00343F03" w:rsidRDefault="00436F6E" w:rsidP="00305036">
      <w:pPr>
        <w:spacing w:before="180" w:line="276" w:lineRule="auto"/>
        <w:jc w:val="both"/>
      </w:pPr>
      <w:r w:rsidRPr="00456113">
        <w:rPr>
          <w:i/>
        </w:rPr>
        <w:t xml:space="preserve">Graf č. </w:t>
      </w:r>
      <w:r w:rsidR="00F37634" w:rsidRPr="00456113">
        <w:rPr>
          <w:i/>
        </w:rPr>
        <w:t>12</w:t>
      </w:r>
      <w:r w:rsidR="00F37634" w:rsidRPr="00456113">
        <w:t xml:space="preserve"> </w:t>
      </w:r>
      <w:r w:rsidRPr="00456113">
        <w:t xml:space="preserve">srovnává základní variantu (varianta 0) s variantou č. 1 (kratší hluboká recese). Ze srovnání </w:t>
      </w:r>
      <w:r w:rsidR="007E36A6" w:rsidRPr="00456113">
        <w:t xml:space="preserve">tohoto </w:t>
      </w:r>
      <w:r w:rsidRPr="00456113">
        <w:t>hodnocení</w:t>
      </w:r>
      <w:r w:rsidR="007E36A6" w:rsidRPr="00456113">
        <w:t xml:space="preserve"> zdravotně pojistných plánů a předchozích</w:t>
      </w:r>
      <w:r w:rsidRPr="00456113">
        <w:t xml:space="preserve"> ZPP 20</w:t>
      </w:r>
      <w:r w:rsidR="004B34CC" w:rsidRPr="00456113">
        <w:t>20</w:t>
      </w:r>
      <w:r w:rsidRPr="00456113">
        <w:t xml:space="preserve"> a ZPP </w:t>
      </w:r>
      <w:r w:rsidR="004B34CC" w:rsidRPr="00456113">
        <w:t xml:space="preserve">2019 </w:t>
      </w:r>
      <w:r w:rsidRPr="00456113">
        <w:t xml:space="preserve">je možné vyvozovat </w:t>
      </w:r>
      <w:r w:rsidR="007E36A6" w:rsidRPr="00456113">
        <w:t xml:space="preserve">další prohlubování </w:t>
      </w:r>
      <w:r w:rsidR="009245D1" w:rsidRPr="00456113">
        <w:t>negativní</w:t>
      </w:r>
      <w:r w:rsidR="007E36A6" w:rsidRPr="00456113">
        <w:t>ch</w:t>
      </w:r>
      <w:r w:rsidR="009245D1" w:rsidRPr="00456113">
        <w:t xml:space="preserve"> </w:t>
      </w:r>
      <w:r w:rsidRPr="00456113">
        <w:t>tendenc</w:t>
      </w:r>
      <w:r w:rsidR="007E36A6" w:rsidRPr="00456113">
        <w:t>í</w:t>
      </w:r>
      <w:r w:rsidRPr="00456113">
        <w:t xml:space="preserve"> v hospodaření systému v.</w:t>
      </w:r>
      <w:r w:rsidR="00D40D58" w:rsidRPr="00456113">
        <w:t xml:space="preserve"> </w:t>
      </w:r>
      <w:r w:rsidRPr="00456113">
        <w:t>z.</w:t>
      </w:r>
      <w:r w:rsidR="00D40D58" w:rsidRPr="00456113">
        <w:t xml:space="preserve"> </w:t>
      </w:r>
      <w:r w:rsidRPr="00456113">
        <w:t xml:space="preserve">p. Dle nulové varianty (bez krizového vývoje) by měl systém v celém období </w:t>
      </w:r>
      <w:r w:rsidR="009245D1" w:rsidRPr="00456113">
        <w:t>202</w:t>
      </w:r>
      <w:r w:rsidR="007E36A6" w:rsidRPr="00456113">
        <w:t>2</w:t>
      </w:r>
      <w:r w:rsidR="00B75793">
        <w:t>–</w:t>
      </w:r>
      <w:r w:rsidR="009245D1" w:rsidRPr="00456113">
        <w:t>202</w:t>
      </w:r>
      <w:r w:rsidR="007E36A6" w:rsidRPr="00456113">
        <w:t>4</w:t>
      </w:r>
      <w:r w:rsidR="009245D1" w:rsidRPr="00456113">
        <w:t xml:space="preserve"> </w:t>
      </w:r>
      <w:r w:rsidRPr="00456113">
        <w:t>zůstat</w:t>
      </w:r>
      <w:r w:rsidR="007E36A6" w:rsidRPr="00456113">
        <w:t xml:space="preserve"> výrazně deficitní, </w:t>
      </w:r>
      <w:r w:rsidRPr="00456113">
        <w:t>v kumulovaném pohledu by mělo dojít k </w:t>
      </w:r>
      <w:r w:rsidR="008F2D00" w:rsidRPr="00456113">
        <w:t xml:space="preserve">poklesu </w:t>
      </w:r>
      <w:r w:rsidRPr="00456113">
        <w:t xml:space="preserve">rezerv o </w:t>
      </w:r>
      <w:r w:rsidR="008F2D00" w:rsidRPr="00456113">
        <w:t>13,8</w:t>
      </w:r>
      <w:r w:rsidRPr="00456113">
        <w:t xml:space="preserve"> mld. Kč</w:t>
      </w:r>
      <w:r w:rsidR="003A43E0" w:rsidRPr="00456113">
        <w:t>,</w:t>
      </w:r>
      <w:r w:rsidRPr="00456113">
        <w:t xml:space="preserve"> </w:t>
      </w:r>
      <w:r w:rsidR="00B42963" w:rsidRPr="00456113">
        <w:t xml:space="preserve">avšak </w:t>
      </w:r>
      <w:r w:rsidRPr="00456113">
        <w:t>v předchozí</w:t>
      </w:r>
      <w:r w:rsidR="008F2D00" w:rsidRPr="00456113">
        <w:t>ch</w:t>
      </w:r>
      <w:r w:rsidRPr="00456113">
        <w:t xml:space="preserve"> hodnocení</w:t>
      </w:r>
      <w:r w:rsidR="008F2D00" w:rsidRPr="00456113">
        <w:t>ch</w:t>
      </w:r>
      <w:r w:rsidRPr="00456113">
        <w:t xml:space="preserve"> ZPP mělo dojít ke</w:t>
      </w:r>
      <w:r w:rsidR="000109D2" w:rsidRPr="00456113">
        <w:t> </w:t>
      </w:r>
      <w:r w:rsidR="008F2D00" w:rsidRPr="00456113">
        <w:t xml:space="preserve">kumulovaným </w:t>
      </w:r>
      <w:r w:rsidR="00B42963" w:rsidRPr="00456113">
        <w:t>přebytk</w:t>
      </w:r>
      <w:r w:rsidR="008F2D00" w:rsidRPr="00456113">
        <w:t>ům</w:t>
      </w:r>
      <w:r w:rsidR="002B7328" w:rsidRPr="00456113">
        <w:t xml:space="preserve"> (konkrétní údaje v </w:t>
      </w:r>
      <w:r w:rsidR="002B7328" w:rsidRPr="00456113">
        <w:rPr>
          <w:i/>
        </w:rPr>
        <w:t>Tabulce č. 11</w:t>
      </w:r>
      <w:r w:rsidR="002B7328" w:rsidRPr="00456113">
        <w:t>)</w:t>
      </w:r>
      <w:r w:rsidRPr="00456113">
        <w:t xml:space="preserve">. </w:t>
      </w:r>
      <w:r w:rsidR="002B7328" w:rsidRPr="00456113">
        <w:t>Ani v tomto pří</w:t>
      </w:r>
      <w:r w:rsidR="009604F4" w:rsidRPr="00456113">
        <w:t>p</w:t>
      </w:r>
      <w:r w:rsidR="002B7328" w:rsidRPr="00456113">
        <w:t>adě by n</w:t>
      </w:r>
      <w:r w:rsidRPr="00456113">
        <w:t>evznikaly závazky po lhůtě splatnosti, jelikož rezervy by byly dostačující.</w:t>
      </w:r>
    </w:p>
    <w:p w:rsidR="00F361A0" w:rsidRDefault="00343F03" w:rsidP="00F55D78">
      <w:pPr>
        <w:spacing w:before="180" w:line="276" w:lineRule="auto"/>
        <w:jc w:val="both"/>
      </w:pPr>
      <w:r w:rsidRPr="00456113">
        <w:t xml:space="preserve">Naopak </w:t>
      </w:r>
      <w:proofErr w:type="gramStart"/>
      <w:r w:rsidRPr="00456113">
        <w:t>lépe</w:t>
      </w:r>
      <w:proofErr w:type="gramEnd"/>
      <w:r w:rsidRPr="00456113">
        <w:t xml:space="preserve"> než v předchozích letech se vyvíjí situace v modelovaných scénářích (</w:t>
      </w:r>
      <w:r w:rsidRPr="00456113">
        <w:rPr>
          <w:i/>
        </w:rPr>
        <w:t>Tabulka č. 11</w:t>
      </w:r>
      <w:r w:rsidRPr="00456113">
        <w:t>), což může být zapříčiněno neobvyklým jevem, kdy v období 2022/2023 zdravotní pojišťovny očekávají meziroční pokles výdajů na zdravotní služby, což je částečně odůvodnitelné specifickou situací způsobenou současnou pandemií</w:t>
      </w:r>
      <w:r w:rsidR="006D5C69">
        <w:t>, ale také vznikem závazků po splatnosti (viz výše)</w:t>
      </w:r>
      <w:r w:rsidR="00122D86">
        <w:t xml:space="preserve"> </w:t>
      </w:r>
    </w:p>
    <w:p w:rsidR="009D2EAD" w:rsidRDefault="009D2EAD" w:rsidP="00F55D78">
      <w:pPr>
        <w:spacing w:before="180" w:line="276" w:lineRule="auto"/>
        <w:jc w:val="both"/>
      </w:pPr>
    </w:p>
    <w:p w:rsidR="00F361A0" w:rsidRDefault="00AD410B" w:rsidP="00F55D78">
      <w:pPr>
        <w:spacing w:before="180" w:line="276" w:lineRule="auto"/>
        <w:jc w:val="both"/>
      </w:pPr>
      <w:bookmarkStart w:id="34" w:name="_Toc63685264"/>
      <w:r w:rsidRPr="00AD630F">
        <w:rPr>
          <w:rFonts w:ascii="Calibri" w:eastAsiaTheme="minorEastAsia" w:hAnsi="Calibri"/>
          <w:b/>
          <w:bCs/>
          <w:color w:val="1F497D" w:themeColor="text2"/>
          <w:spacing w:val="6"/>
          <w:szCs w:val="21"/>
          <w:lang w:bidi="hi-IN"/>
        </w:rPr>
        <w:t xml:space="preserve">Tabulka č. </w:t>
      </w:r>
      <w:r w:rsidR="008E5E29" w:rsidRPr="00AD630F">
        <w:rPr>
          <w:rFonts w:ascii="Calibri" w:eastAsiaTheme="minorEastAsia" w:hAnsi="Calibri"/>
          <w:b/>
          <w:bCs/>
          <w:color w:val="1F497D" w:themeColor="text2"/>
          <w:spacing w:val="6"/>
          <w:szCs w:val="21"/>
          <w:lang w:bidi="hi-IN"/>
        </w:rPr>
        <w:fldChar w:fldCharType="begin"/>
      </w:r>
      <w:r w:rsidRPr="00AD630F">
        <w:rPr>
          <w:rFonts w:ascii="Calibri" w:eastAsiaTheme="minorEastAsia" w:hAnsi="Calibri"/>
          <w:b/>
          <w:bCs/>
          <w:color w:val="1F497D" w:themeColor="text2"/>
          <w:spacing w:val="6"/>
          <w:szCs w:val="21"/>
          <w:lang w:bidi="hi-IN"/>
        </w:rPr>
        <w:instrText xml:space="preserve"> SEQ Tabulka \* ARABIC </w:instrText>
      </w:r>
      <w:r w:rsidR="008E5E29" w:rsidRPr="00AD630F">
        <w:rPr>
          <w:rFonts w:ascii="Calibri" w:eastAsiaTheme="minorEastAsia" w:hAnsi="Calibri"/>
          <w:b/>
          <w:bCs/>
          <w:color w:val="1F497D" w:themeColor="text2"/>
          <w:spacing w:val="6"/>
          <w:szCs w:val="21"/>
          <w:lang w:bidi="hi-IN"/>
        </w:rPr>
        <w:fldChar w:fldCharType="separate"/>
      </w:r>
      <w:r w:rsidR="006D5C90">
        <w:rPr>
          <w:rFonts w:ascii="Calibri" w:eastAsiaTheme="minorEastAsia" w:hAnsi="Calibri"/>
          <w:b/>
          <w:bCs/>
          <w:noProof/>
          <w:color w:val="1F497D" w:themeColor="text2"/>
          <w:spacing w:val="6"/>
          <w:szCs w:val="21"/>
          <w:lang w:bidi="hi-IN"/>
        </w:rPr>
        <w:t>11</w:t>
      </w:r>
      <w:r w:rsidR="008E5E29" w:rsidRPr="00AD630F">
        <w:rPr>
          <w:rFonts w:ascii="Calibri" w:eastAsiaTheme="minorEastAsia" w:hAnsi="Calibri"/>
          <w:b/>
          <w:bCs/>
          <w:color w:val="1F497D" w:themeColor="text2"/>
          <w:spacing w:val="6"/>
          <w:szCs w:val="21"/>
          <w:lang w:bidi="hi-IN"/>
        </w:rPr>
        <w:fldChar w:fldCharType="end"/>
      </w:r>
      <w:r w:rsidRPr="00AD630F">
        <w:rPr>
          <w:rFonts w:ascii="Calibri" w:eastAsiaTheme="minorEastAsia" w:hAnsi="Calibri"/>
          <w:b/>
          <w:bCs/>
          <w:color w:val="1F497D" w:themeColor="text2"/>
          <w:spacing w:val="6"/>
          <w:szCs w:val="21"/>
          <w:lang w:bidi="hi-IN"/>
        </w:rPr>
        <w:t xml:space="preserve">: </w:t>
      </w:r>
      <w:r w:rsidR="008F2D00" w:rsidRPr="00AD630F">
        <w:rPr>
          <w:rFonts w:ascii="Calibri" w:eastAsiaTheme="minorEastAsia" w:hAnsi="Calibri"/>
          <w:b/>
          <w:bCs/>
          <w:color w:val="1F497D" w:themeColor="text2"/>
          <w:spacing w:val="6"/>
          <w:szCs w:val="21"/>
          <w:lang w:bidi="hi-IN"/>
        </w:rPr>
        <w:t xml:space="preserve">Kumulované </w:t>
      </w:r>
      <w:r w:rsidR="003A43E0" w:rsidRPr="00AD630F">
        <w:rPr>
          <w:rFonts w:ascii="Calibri" w:eastAsiaTheme="minorEastAsia" w:hAnsi="Calibri"/>
          <w:b/>
          <w:bCs/>
          <w:color w:val="1F497D" w:themeColor="text2"/>
          <w:spacing w:val="6"/>
          <w:szCs w:val="21"/>
          <w:lang w:bidi="hi-IN"/>
        </w:rPr>
        <w:t xml:space="preserve">hospodářské výsledky </w:t>
      </w:r>
      <w:r w:rsidRPr="00AD630F">
        <w:rPr>
          <w:rFonts w:ascii="Calibri" w:eastAsiaTheme="minorEastAsia" w:hAnsi="Calibri"/>
          <w:b/>
          <w:bCs/>
          <w:color w:val="1F497D" w:themeColor="text2"/>
          <w:spacing w:val="6"/>
          <w:szCs w:val="21"/>
          <w:lang w:bidi="hi-IN"/>
        </w:rPr>
        <w:t xml:space="preserve">– </w:t>
      </w:r>
      <w:r w:rsidR="006220F7" w:rsidRPr="00AD630F">
        <w:rPr>
          <w:rFonts w:ascii="Calibri" w:eastAsiaTheme="minorEastAsia" w:hAnsi="Calibri"/>
          <w:b/>
          <w:bCs/>
          <w:color w:val="1F497D" w:themeColor="text2"/>
          <w:spacing w:val="6"/>
          <w:szCs w:val="21"/>
          <w:lang w:bidi="hi-IN"/>
        </w:rPr>
        <w:t>2022</w:t>
      </w:r>
      <w:r w:rsidR="0036041E" w:rsidRPr="00AD630F">
        <w:rPr>
          <w:rFonts w:ascii="Calibri" w:eastAsiaTheme="minorEastAsia" w:hAnsi="Calibri"/>
          <w:b/>
          <w:bCs/>
          <w:color w:val="1F497D" w:themeColor="text2"/>
          <w:spacing w:val="6"/>
          <w:szCs w:val="21"/>
          <w:lang w:bidi="hi-IN"/>
        </w:rPr>
        <w:t>–20</w:t>
      </w:r>
      <w:r w:rsidR="006220F7" w:rsidRPr="00AD630F">
        <w:rPr>
          <w:rFonts w:ascii="Calibri" w:eastAsiaTheme="minorEastAsia" w:hAnsi="Calibri"/>
          <w:b/>
          <w:bCs/>
          <w:color w:val="1F497D" w:themeColor="text2"/>
          <w:spacing w:val="6"/>
          <w:szCs w:val="21"/>
          <w:lang w:bidi="hi-IN"/>
        </w:rPr>
        <w:t>24</w:t>
      </w:r>
      <w:r w:rsidRPr="00AD630F">
        <w:rPr>
          <w:rFonts w:ascii="Calibri" w:eastAsiaTheme="minorEastAsia" w:hAnsi="Calibri"/>
          <w:b/>
          <w:bCs/>
          <w:color w:val="1F497D" w:themeColor="text2"/>
          <w:spacing w:val="6"/>
          <w:szCs w:val="21"/>
          <w:lang w:bidi="hi-IN"/>
        </w:rPr>
        <w:t xml:space="preserve"> (mld. Kč)</w:t>
      </w:r>
      <w:bookmarkEnd w:id="34"/>
    </w:p>
    <w:tbl>
      <w:tblPr>
        <w:tblW w:w="4224" w:type="dxa"/>
        <w:tblInd w:w="779" w:type="dxa"/>
        <w:tblBorders>
          <w:top w:val="single" w:sz="12" w:space="0" w:color="4F81BD"/>
          <w:left w:val="single" w:sz="12" w:space="0" w:color="4F81BD"/>
          <w:bottom w:val="single" w:sz="12" w:space="0" w:color="4F81BD"/>
          <w:right w:val="single" w:sz="12" w:space="0" w:color="4F81BD"/>
        </w:tblBorders>
        <w:tblCellMar>
          <w:left w:w="70" w:type="dxa"/>
          <w:right w:w="70" w:type="dxa"/>
        </w:tblCellMar>
        <w:tblLook w:val="04A0" w:firstRow="1" w:lastRow="0" w:firstColumn="1" w:lastColumn="0" w:noHBand="0" w:noVBand="1"/>
      </w:tblPr>
      <w:tblGrid>
        <w:gridCol w:w="1348"/>
        <w:gridCol w:w="958"/>
        <w:gridCol w:w="958"/>
        <w:gridCol w:w="960"/>
      </w:tblGrid>
      <w:tr w:rsidR="00AD410B" w:rsidRPr="0011274B" w:rsidTr="00B34351">
        <w:trPr>
          <w:trHeight w:val="567"/>
        </w:trPr>
        <w:tc>
          <w:tcPr>
            <w:tcW w:w="1348" w:type="dxa"/>
            <w:shd w:val="clear" w:color="000000" w:fill="4F81BD"/>
            <w:vAlign w:val="center"/>
            <w:hideMark/>
          </w:tcPr>
          <w:p w:rsidR="00AD410B" w:rsidRPr="0011274B" w:rsidRDefault="00AD410B" w:rsidP="00EC1789">
            <w:pPr>
              <w:spacing w:after="0" w:line="240" w:lineRule="auto"/>
              <w:rPr>
                <w:rFonts w:ascii="Calibri" w:eastAsia="Times New Roman" w:hAnsi="Calibri" w:cs="Times New Roman"/>
                <w:b/>
                <w:bCs/>
                <w:i/>
                <w:iCs/>
                <w:color w:val="FFFFFF"/>
                <w:szCs w:val="21"/>
                <w:lang w:eastAsia="cs-CZ"/>
              </w:rPr>
            </w:pPr>
          </w:p>
        </w:tc>
        <w:tc>
          <w:tcPr>
            <w:tcW w:w="958" w:type="dxa"/>
            <w:shd w:val="clear" w:color="000000" w:fill="6691C6"/>
            <w:noWrap/>
            <w:vAlign w:val="center"/>
            <w:hideMark/>
          </w:tcPr>
          <w:p w:rsidR="00AD410B" w:rsidRPr="009604F4" w:rsidRDefault="00AD410B" w:rsidP="00EC1789">
            <w:pPr>
              <w:spacing w:after="0" w:line="240" w:lineRule="auto"/>
              <w:jc w:val="center"/>
              <w:rPr>
                <w:rFonts w:ascii="Calibri" w:eastAsia="Times New Roman" w:hAnsi="Calibri" w:cs="Times New Roman"/>
                <w:b/>
                <w:color w:val="FFFFFF"/>
                <w:szCs w:val="21"/>
                <w:lang w:eastAsia="cs-CZ"/>
              </w:rPr>
            </w:pPr>
            <w:r w:rsidRPr="009604F4">
              <w:rPr>
                <w:rFonts w:ascii="Calibri" w:eastAsia="Times New Roman" w:hAnsi="Calibri" w:cs="Times New Roman"/>
                <w:b/>
                <w:color w:val="FFFFFF"/>
                <w:szCs w:val="21"/>
                <w:lang w:eastAsia="cs-CZ"/>
              </w:rPr>
              <w:t>V0</w:t>
            </w:r>
          </w:p>
        </w:tc>
        <w:tc>
          <w:tcPr>
            <w:tcW w:w="958" w:type="dxa"/>
            <w:shd w:val="clear" w:color="000000" w:fill="4F81BD"/>
            <w:noWrap/>
            <w:vAlign w:val="center"/>
            <w:hideMark/>
          </w:tcPr>
          <w:p w:rsidR="00AD410B" w:rsidRPr="00F10A99" w:rsidRDefault="00AD410B" w:rsidP="00EC1789">
            <w:pPr>
              <w:spacing w:after="0" w:line="240" w:lineRule="auto"/>
              <w:jc w:val="center"/>
              <w:rPr>
                <w:rFonts w:ascii="Calibri" w:eastAsia="Times New Roman" w:hAnsi="Calibri" w:cs="Times New Roman"/>
                <w:b/>
                <w:color w:val="FFFFFF"/>
                <w:szCs w:val="21"/>
                <w:lang w:eastAsia="cs-CZ"/>
              </w:rPr>
            </w:pPr>
            <w:r>
              <w:rPr>
                <w:rFonts w:ascii="Calibri" w:eastAsia="Times New Roman" w:hAnsi="Calibri" w:cs="Times New Roman"/>
                <w:b/>
                <w:color w:val="FFFFFF" w:themeColor="background1"/>
                <w:szCs w:val="21"/>
                <w:lang w:eastAsia="cs-CZ"/>
              </w:rPr>
              <w:t>V1</w:t>
            </w:r>
          </w:p>
        </w:tc>
        <w:tc>
          <w:tcPr>
            <w:tcW w:w="960" w:type="dxa"/>
            <w:shd w:val="clear" w:color="000000" w:fill="6691C6"/>
            <w:noWrap/>
            <w:vAlign w:val="center"/>
            <w:hideMark/>
          </w:tcPr>
          <w:p w:rsidR="00AD410B" w:rsidRPr="00F10A99" w:rsidRDefault="00AD410B" w:rsidP="00EC1789">
            <w:pPr>
              <w:spacing w:after="0" w:line="240" w:lineRule="auto"/>
              <w:jc w:val="center"/>
              <w:rPr>
                <w:rFonts w:ascii="Calibri" w:eastAsia="Times New Roman" w:hAnsi="Calibri" w:cs="Times New Roman"/>
                <w:b/>
                <w:color w:val="FFFFFF"/>
                <w:szCs w:val="21"/>
                <w:lang w:eastAsia="cs-CZ"/>
              </w:rPr>
            </w:pPr>
            <w:r>
              <w:rPr>
                <w:rFonts w:ascii="Calibri" w:eastAsia="Times New Roman" w:hAnsi="Calibri" w:cs="Times New Roman"/>
                <w:b/>
                <w:color w:val="FFFFFF" w:themeColor="background1"/>
                <w:szCs w:val="21"/>
                <w:lang w:eastAsia="cs-CZ"/>
              </w:rPr>
              <w:t>V2</w:t>
            </w:r>
          </w:p>
        </w:tc>
      </w:tr>
      <w:tr w:rsidR="00AD410B" w:rsidRPr="0011274B" w:rsidTr="009604F4">
        <w:trPr>
          <w:trHeight w:val="300"/>
        </w:trPr>
        <w:tc>
          <w:tcPr>
            <w:tcW w:w="1348" w:type="dxa"/>
            <w:shd w:val="clear" w:color="auto" w:fill="auto"/>
            <w:vAlign w:val="center"/>
          </w:tcPr>
          <w:p w:rsidR="00AD410B" w:rsidRPr="0011274B" w:rsidRDefault="00730BCC" w:rsidP="00AD410B">
            <w:pPr>
              <w:spacing w:after="0" w:line="240" w:lineRule="auto"/>
              <w:rPr>
                <w:rFonts w:ascii="Calibri" w:eastAsia="Times New Roman" w:hAnsi="Calibri" w:cs="Times New Roman"/>
                <w:b/>
                <w:bCs/>
                <w:color w:val="000000"/>
                <w:szCs w:val="21"/>
                <w:lang w:eastAsia="cs-CZ"/>
              </w:rPr>
            </w:pPr>
            <w:r>
              <w:rPr>
                <w:rFonts w:ascii="Calibri" w:eastAsia="Times New Roman" w:hAnsi="Calibri" w:cs="Times New Roman"/>
                <w:b/>
                <w:bCs/>
                <w:color w:val="000000"/>
                <w:szCs w:val="21"/>
                <w:lang w:eastAsia="cs-CZ"/>
              </w:rPr>
              <w:t xml:space="preserve">ZPP </w:t>
            </w:r>
            <w:r w:rsidR="00AD410B">
              <w:rPr>
                <w:rFonts w:ascii="Calibri" w:eastAsia="Times New Roman" w:hAnsi="Calibri" w:cs="Times New Roman"/>
                <w:b/>
                <w:bCs/>
                <w:color w:val="000000"/>
                <w:szCs w:val="21"/>
                <w:lang w:eastAsia="cs-CZ"/>
              </w:rPr>
              <w:t>201</w:t>
            </w:r>
            <w:r>
              <w:rPr>
                <w:rFonts w:ascii="Calibri" w:eastAsia="Times New Roman" w:hAnsi="Calibri" w:cs="Times New Roman"/>
                <w:b/>
                <w:bCs/>
                <w:color w:val="000000"/>
                <w:szCs w:val="21"/>
                <w:lang w:eastAsia="cs-CZ"/>
              </w:rPr>
              <w:t>9</w:t>
            </w:r>
            <w:r w:rsidR="00AD410B">
              <w:rPr>
                <w:rFonts w:ascii="Calibri" w:eastAsia="Times New Roman" w:hAnsi="Calibri" w:cs="Times New Roman"/>
                <w:b/>
                <w:bCs/>
                <w:color w:val="000000"/>
                <w:szCs w:val="21"/>
                <w:lang w:eastAsia="cs-CZ"/>
              </w:rPr>
              <w:t xml:space="preserve"> </w:t>
            </w:r>
          </w:p>
        </w:tc>
        <w:tc>
          <w:tcPr>
            <w:tcW w:w="958" w:type="dxa"/>
            <w:shd w:val="clear" w:color="000000" w:fill="DCE6F1"/>
            <w:noWrap/>
            <w:vAlign w:val="center"/>
          </w:tcPr>
          <w:p w:rsidR="00AD410B" w:rsidRPr="005B4AF7" w:rsidRDefault="007E36A6" w:rsidP="00EC1789">
            <w:pPr>
              <w:spacing w:after="0" w:line="240" w:lineRule="auto"/>
              <w:jc w:val="center"/>
              <w:rPr>
                <w:rFonts w:ascii="Calibri" w:eastAsia="Times New Roman" w:hAnsi="Calibri" w:cs="Times New Roman"/>
                <w:bCs/>
                <w:color w:val="000000"/>
                <w:szCs w:val="21"/>
                <w:lang w:eastAsia="cs-CZ"/>
              </w:rPr>
            </w:pPr>
            <w:r w:rsidRPr="005B4AF7">
              <w:rPr>
                <w:rFonts w:ascii="Calibri" w:eastAsia="Times New Roman" w:hAnsi="Calibri" w:cs="Times New Roman"/>
                <w:bCs/>
                <w:color w:val="000000"/>
                <w:szCs w:val="21"/>
                <w:lang w:eastAsia="cs-CZ"/>
              </w:rPr>
              <w:t>+13,28</w:t>
            </w:r>
          </w:p>
        </w:tc>
        <w:tc>
          <w:tcPr>
            <w:tcW w:w="958" w:type="dxa"/>
            <w:shd w:val="clear" w:color="auto" w:fill="auto"/>
            <w:noWrap/>
            <w:vAlign w:val="center"/>
          </w:tcPr>
          <w:p w:rsidR="00AD410B" w:rsidRPr="009604F4" w:rsidRDefault="00645710" w:rsidP="00EC1789">
            <w:pPr>
              <w:spacing w:after="0" w:line="240" w:lineRule="auto"/>
              <w:jc w:val="center"/>
              <w:rPr>
                <w:rFonts w:ascii="Calibri" w:eastAsia="Times New Roman" w:hAnsi="Calibri" w:cs="Times New Roman"/>
                <w:bCs/>
                <w:color w:val="000000"/>
                <w:szCs w:val="21"/>
                <w:lang w:eastAsia="cs-CZ"/>
              </w:rPr>
            </w:pPr>
            <w:r>
              <w:rPr>
                <w:rFonts w:ascii="Calibri" w:eastAsia="Times New Roman" w:hAnsi="Calibri" w:cs="Times New Roman"/>
                <w:bCs/>
                <w:color w:val="000000"/>
                <w:szCs w:val="21"/>
                <w:lang w:eastAsia="cs-CZ"/>
              </w:rPr>
              <w:t>−</w:t>
            </w:r>
            <w:r w:rsidR="005B4AF7" w:rsidRPr="009604F4">
              <w:rPr>
                <w:rFonts w:ascii="Calibri" w:eastAsia="Times New Roman" w:hAnsi="Calibri" w:cs="Times New Roman"/>
                <w:bCs/>
                <w:color w:val="000000"/>
                <w:szCs w:val="21"/>
                <w:lang w:eastAsia="cs-CZ"/>
              </w:rPr>
              <w:t>50,22</w:t>
            </w:r>
          </w:p>
        </w:tc>
        <w:tc>
          <w:tcPr>
            <w:tcW w:w="960" w:type="dxa"/>
            <w:shd w:val="clear" w:color="000000" w:fill="DCE6F1"/>
            <w:noWrap/>
            <w:vAlign w:val="center"/>
          </w:tcPr>
          <w:p w:rsidR="00AD410B" w:rsidRPr="009604F4" w:rsidRDefault="00645710" w:rsidP="00EC1789">
            <w:pPr>
              <w:spacing w:after="0" w:line="240" w:lineRule="auto"/>
              <w:jc w:val="center"/>
              <w:rPr>
                <w:rFonts w:ascii="Calibri" w:eastAsia="Times New Roman" w:hAnsi="Calibri" w:cs="Times New Roman"/>
                <w:bCs/>
                <w:color w:val="000000"/>
                <w:szCs w:val="21"/>
                <w:lang w:eastAsia="cs-CZ"/>
              </w:rPr>
            </w:pPr>
            <w:r>
              <w:rPr>
                <w:rFonts w:ascii="Calibri" w:eastAsia="Times New Roman" w:hAnsi="Calibri" w:cs="Times New Roman"/>
                <w:bCs/>
                <w:color w:val="000000"/>
                <w:szCs w:val="21"/>
                <w:lang w:eastAsia="cs-CZ"/>
              </w:rPr>
              <w:t>−</w:t>
            </w:r>
            <w:r w:rsidR="005B4AF7" w:rsidRPr="009604F4">
              <w:rPr>
                <w:rFonts w:ascii="Calibri" w:eastAsia="Times New Roman" w:hAnsi="Calibri" w:cs="Times New Roman"/>
                <w:bCs/>
                <w:color w:val="000000"/>
                <w:szCs w:val="21"/>
                <w:lang w:eastAsia="cs-CZ"/>
              </w:rPr>
              <w:t>23,44</w:t>
            </w:r>
          </w:p>
        </w:tc>
      </w:tr>
      <w:tr w:rsidR="00AD410B" w:rsidRPr="0011274B" w:rsidTr="009604F4">
        <w:trPr>
          <w:trHeight w:val="300"/>
        </w:trPr>
        <w:tc>
          <w:tcPr>
            <w:tcW w:w="1348" w:type="dxa"/>
            <w:shd w:val="clear" w:color="000000" w:fill="EEF3F8"/>
            <w:vAlign w:val="center"/>
          </w:tcPr>
          <w:p w:rsidR="00AD410B" w:rsidRPr="00F03CB7" w:rsidRDefault="00730BCC" w:rsidP="00730BCC">
            <w:pPr>
              <w:spacing w:after="0" w:line="240" w:lineRule="auto"/>
              <w:rPr>
                <w:rFonts w:ascii="Calibri" w:eastAsia="Times New Roman" w:hAnsi="Calibri" w:cs="Times New Roman"/>
                <w:b/>
                <w:color w:val="000000"/>
                <w:szCs w:val="21"/>
                <w:lang w:eastAsia="cs-CZ"/>
              </w:rPr>
            </w:pPr>
            <w:r>
              <w:rPr>
                <w:rFonts w:ascii="Calibri" w:eastAsia="Times New Roman" w:hAnsi="Calibri" w:cs="Times New Roman"/>
                <w:b/>
                <w:color w:val="000000"/>
                <w:szCs w:val="21"/>
                <w:lang w:eastAsia="cs-CZ"/>
              </w:rPr>
              <w:t>ZPP 2020</w:t>
            </w:r>
          </w:p>
        </w:tc>
        <w:tc>
          <w:tcPr>
            <w:tcW w:w="958" w:type="dxa"/>
            <w:shd w:val="clear" w:color="000000" w:fill="EEF3F8"/>
            <w:noWrap/>
            <w:vAlign w:val="center"/>
          </w:tcPr>
          <w:p w:rsidR="00AD410B" w:rsidRPr="005B4AF7" w:rsidRDefault="007E36A6" w:rsidP="00EC1789">
            <w:pPr>
              <w:spacing w:after="0" w:line="240" w:lineRule="auto"/>
              <w:jc w:val="center"/>
              <w:rPr>
                <w:rFonts w:ascii="Calibri" w:eastAsia="Times New Roman" w:hAnsi="Calibri" w:cs="Times New Roman"/>
                <w:color w:val="000000"/>
                <w:szCs w:val="21"/>
                <w:lang w:eastAsia="cs-CZ"/>
              </w:rPr>
            </w:pPr>
            <w:r w:rsidRPr="005B4AF7">
              <w:rPr>
                <w:rFonts w:ascii="Calibri" w:eastAsia="Times New Roman" w:hAnsi="Calibri" w:cs="Times New Roman"/>
                <w:color w:val="000000"/>
                <w:szCs w:val="21"/>
                <w:lang w:eastAsia="cs-CZ"/>
              </w:rPr>
              <w:t>+0,41</w:t>
            </w:r>
          </w:p>
        </w:tc>
        <w:tc>
          <w:tcPr>
            <w:tcW w:w="958" w:type="dxa"/>
            <w:shd w:val="clear" w:color="000000" w:fill="EEF3F8"/>
            <w:noWrap/>
            <w:vAlign w:val="center"/>
          </w:tcPr>
          <w:p w:rsidR="00AD410B" w:rsidRPr="009604F4" w:rsidRDefault="00645710" w:rsidP="00EC1789">
            <w:pPr>
              <w:spacing w:after="0" w:line="240" w:lineRule="auto"/>
              <w:jc w:val="center"/>
              <w:rPr>
                <w:rFonts w:ascii="Calibri" w:eastAsia="Times New Roman" w:hAnsi="Calibri" w:cs="Times New Roman"/>
                <w:color w:val="000000"/>
                <w:szCs w:val="21"/>
                <w:lang w:eastAsia="cs-CZ"/>
              </w:rPr>
            </w:pPr>
            <w:r>
              <w:rPr>
                <w:rFonts w:ascii="Calibri" w:eastAsia="Times New Roman" w:hAnsi="Calibri" w:cs="Times New Roman"/>
                <w:color w:val="000000"/>
                <w:szCs w:val="21"/>
                <w:lang w:eastAsia="cs-CZ"/>
              </w:rPr>
              <w:t>−</w:t>
            </w:r>
            <w:r w:rsidR="005B4AF7" w:rsidRPr="009604F4">
              <w:rPr>
                <w:rFonts w:ascii="Calibri" w:eastAsia="Times New Roman" w:hAnsi="Calibri" w:cs="Times New Roman"/>
                <w:color w:val="000000"/>
                <w:szCs w:val="21"/>
                <w:lang w:eastAsia="cs-CZ"/>
              </w:rPr>
              <w:t>70,04</w:t>
            </w:r>
          </w:p>
        </w:tc>
        <w:tc>
          <w:tcPr>
            <w:tcW w:w="960" w:type="dxa"/>
            <w:shd w:val="clear" w:color="000000" w:fill="EEF3F8"/>
            <w:noWrap/>
            <w:vAlign w:val="center"/>
          </w:tcPr>
          <w:p w:rsidR="00AD410B" w:rsidRPr="009604F4" w:rsidRDefault="00645710" w:rsidP="00EC1789">
            <w:pPr>
              <w:spacing w:after="0" w:line="240" w:lineRule="auto"/>
              <w:jc w:val="center"/>
              <w:rPr>
                <w:rFonts w:ascii="Calibri" w:eastAsia="Times New Roman" w:hAnsi="Calibri" w:cs="Times New Roman"/>
                <w:color w:val="000000"/>
                <w:szCs w:val="21"/>
                <w:lang w:eastAsia="cs-CZ"/>
              </w:rPr>
            </w:pPr>
            <w:r>
              <w:rPr>
                <w:rFonts w:ascii="Calibri" w:eastAsia="Times New Roman" w:hAnsi="Calibri" w:cs="Times New Roman"/>
                <w:color w:val="000000"/>
                <w:szCs w:val="21"/>
                <w:lang w:eastAsia="cs-CZ"/>
              </w:rPr>
              <w:t>−</w:t>
            </w:r>
            <w:r w:rsidR="005B4AF7" w:rsidRPr="009604F4">
              <w:rPr>
                <w:rFonts w:ascii="Calibri" w:eastAsia="Times New Roman" w:hAnsi="Calibri" w:cs="Times New Roman"/>
                <w:color w:val="000000"/>
                <w:szCs w:val="21"/>
                <w:lang w:eastAsia="cs-CZ"/>
              </w:rPr>
              <w:t>40,63</w:t>
            </w:r>
          </w:p>
        </w:tc>
      </w:tr>
      <w:tr w:rsidR="00AD410B" w:rsidRPr="0011274B" w:rsidTr="009604F4">
        <w:trPr>
          <w:trHeight w:val="300"/>
        </w:trPr>
        <w:tc>
          <w:tcPr>
            <w:tcW w:w="1348" w:type="dxa"/>
            <w:shd w:val="clear" w:color="auto" w:fill="auto"/>
            <w:vAlign w:val="center"/>
          </w:tcPr>
          <w:p w:rsidR="00AD410B" w:rsidRPr="0011274B" w:rsidRDefault="00730BCC" w:rsidP="00EC1789">
            <w:pPr>
              <w:spacing w:after="0" w:line="240" w:lineRule="auto"/>
              <w:rPr>
                <w:rFonts w:ascii="Calibri" w:eastAsia="Times New Roman" w:hAnsi="Calibri" w:cs="Times New Roman"/>
                <w:b/>
                <w:bCs/>
                <w:color w:val="000000"/>
                <w:szCs w:val="21"/>
                <w:lang w:eastAsia="cs-CZ"/>
              </w:rPr>
            </w:pPr>
            <w:r>
              <w:rPr>
                <w:rFonts w:ascii="Calibri" w:eastAsia="Times New Roman" w:hAnsi="Calibri" w:cs="Times New Roman"/>
                <w:b/>
                <w:bCs/>
                <w:color w:val="000000"/>
                <w:szCs w:val="21"/>
                <w:lang w:eastAsia="cs-CZ"/>
              </w:rPr>
              <w:t xml:space="preserve">ZPP </w:t>
            </w:r>
            <w:r w:rsidR="00AD410B">
              <w:rPr>
                <w:rFonts w:ascii="Calibri" w:eastAsia="Times New Roman" w:hAnsi="Calibri" w:cs="Times New Roman"/>
                <w:b/>
                <w:bCs/>
                <w:color w:val="000000"/>
                <w:szCs w:val="21"/>
                <w:lang w:eastAsia="cs-CZ"/>
              </w:rPr>
              <w:t>202</w:t>
            </w:r>
            <w:r>
              <w:rPr>
                <w:rFonts w:ascii="Calibri" w:eastAsia="Times New Roman" w:hAnsi="Calibri" w:cs="Times New Roman"/>
                <w:b/>
                <w:bCs/>
                <w:color w:val="000000"/>
                <w:szCs w:val="21"/>
                <w:lang w:eastAsia="cs-CZ"/>
              </w:rPr>
              <w:t>1</w:t>
            </w:r>
          </w:p>
        </w:tc>
        <w:tc>
          <w:tcPr>
            <w:tcW w:w="958" w:type="dxa"/>
            <w:shd w:val="clear" w:color="000000" w:fill="DCE6F1"/>
            <w:noWrap/>
            <w:vAlign w:val="center"/>
          </w:tcPr>
          <w:p w:rsidR="00AD410B" w:rsidRPr="005B4AF7" w:rsidRDefault="00645710" w:rsidP="00EC1789">
            <w:pPr>
              <w:spacing w:after="0" w:line="240" w:lineRule="auto"/>
              <w:jc w:val="center"/>
              <w:rPr>
                <w:rFonts w:ascii="Calibri" w:eastAsia="Times New Roman" w:hAnsi="Calibri" w:cs="Times New Roman"/>
                <w:bCs/>
                <w:color w:val="000000"/>
                <w:szCs w:val="21"/>
                <w:lang w:eastAsia="cs-CZ"/>
              </w:rPr>
            </w:pPr>
            <w:r>
              <w:rPr>
                <w:rFonts w:ascii="Calibri" w:eastAsia="Times New Roman" w:hAnsi="Calibri" w:cs="Times New Roman"/>
                <w:bCs/>
                <w:color w:val="000000"/>
                <w:szCs w:val="21"/>
                <w:lang w:eastAsia="cs-CZ"/>
              </w:rPr>
              <w:t>−</w:t>
            </w:r>
            <w:r w:rsidR="007E36A6" w:rsidRPr="005B4AF7">
              <w:rPr>
                <w:rFonts w:ascii="Calibri" w:eastAsia="Times New Roman" w:hAnsi="Calibri" w:cs="Times New Roman"/>
                <w:bCs/>
                <w:color w:val="000000"/>
                <w:szCs w:val="21"/>
                <w:lang w:eastAsia="cs-CZ"/>
              </w:rPr>
              <w:t>13,76</w:t>
            </w:r>
          </w:p>
        </w:tc>
        <w:tc>
          <w:tcPr>
            <w:tcW w:w="958" w:type="dxa"/>
            <w:shd w:val="clear" w:color="auto" w:fill="auto"/>
            <w:noWrap/>
            <w:vAlign w:val="center"/>
          </w:tcPr>
          <w:p w:rsidR="00AD410B" w:rsidRPr="009604F4" w:rsidRDefault="00645710" w:rsidP="00EC1789">
            <w:pPr>
              <w:spacing w:after="0" w:line="240" w:lineRule="auto"/>
              <w:jc w:val="center"/>
              <w:rPr>
                <w:rFonts w:ascii="Calibri" w:eastAsia="Times New Roman" w:hAnsi="Calibri" w:cs="Times New Roman"/>
                <w:bCs/>
                <w:color w:val="000000"/>
                <w:szCs w:val="21"/>
                <w:lang w:eastAsia="cs-CZ"/>
              </w:rPr>
            </w:pPr>
            <w:r>
              <w:rPr>
                <w:rFonts w:ascii="Calibri" w:eastAsia="Times New Roman" w:hAnsi="Calibri" w:cs="Times New Roman"/>
                <w:bCs/>
                <w:color w:val="000000"/>
                <w:szCs w:val="21"/>
                <w:lang w:eastAsia="cs-CZ"/>
              </w:rPr>
              <w:t>−</w:t>
            </w:r>
            <w:r w:rsidR="005B4AF7" w:rsidRPr="009604F4">
              <w:rPr>
                <w:rFonts w:ascii="Calibri" w:eastAsia="Times New Roman" w:hAnsi="Calibri" w:cs="Times New Roman"/>
                <w:bCs/>
                <w:color w:val="000000"/>
                <w:szCs w:val="21"/>
                <w:lang w:eastAsia="cs-CZ"/>
              </w:rPr>
              <w:t>31,09</w:t>
            </w:r>
          </w:p>
        </w:tc>
        <w:tc>
          <w:tcPr>
            <w:tcW w:w="960" w:type="dxa"/>
            <w:shd w:val="clear" w:color="000000" w:fill="DCE6F1"/>
            <w:noWrap/>
            <w:vAlign w:val="center"/>
          </w:tcPr>
          <w:p w:rsidR="00AD410B" w:rsidRPr="009604F4" w:rsidRDefault="00645710" w:rsidP="00EC1789">
            <w:pPr>
              <w:spacing w:after="0" w:line="240" w:lineRule="auto"/>
              <w:jc w:val="center"/>
              <w:rPr>
                <w:rFonts w:ascii="Calibri" w:eastAsia="Times New Roman" w:hAnsi="Calibri" w:cs="Times New Roman"/>
                <w:bCs/>
                <w:color w:val="000000"/>
                <w:szCs w:val="21"/>
                <w:lang w:eastAsia="cs-CZ"/>
              </w:rPr>
            </w:pPr>
            <w:r>
              <w:rPr>
                <w:rFonts w:ascii="Calibri" w:eastAsia="Times New Roman" w:hAnsi="Calibri" w:cs="Times New Roman"/>
                <w:bCs/>
                <w:color w:val="000000"/>
                <w:szCs w:val="21"/>
                <w:lang w:eastAsia="cs-CZ"/>
              </w:rPr>
              <w:t>−</w:t>
            </w:r>
            <w:r w:rsidR="005B4AF7" w:rsidRPr="009604F4">
              <w:rPr>
                <w:rFonts w:ascii="Calibri" w:eastAsia="Times New Roman" w:hAnsi="Calibri" w:cs="Times New Roman"/>
                <w:bCs/>
                <w:color w:val="000000"/>
                <w:szCs w:val="21"/>
                <w:lang w:eastAsia="cs-CZ"/>
              </w:rPr>
              <w:t>7,23</w:t>
            </w:r>
          </w:p>
        </w:tc>
      </w:tr>
    </w:tbl>
    <w:p w:rsidR="00436F6E" w:rsidRDefault="00436F6E" w:rsidP="00305036">
      <w:pPr>
        <w:spacing w:before="180" w:line="276" w:lineRule="auto"/>
        <w:jc w:val="both"/>
      </w:pPr>
      <w:r w:rsidRPr="00456113">
        <w:t xml:space="preserve">V případě varianty č. 1 </w:t>
      </w:r>
      <w:r w:rsidR="009033BD" w:rsidRPr="00456113">
        <w:t>(</w:t>
      </w:r>
      <w:r w:rsidR="009033BD" w:rsidRPr="00456113">
        <w:rPr>
          <w:i/>
        </w:rPr>
        <w:t>Graf č. 12</w:t>
      </w:r>
      <w:r w:rsidR="009033BD" w:rsidRPr="00456113">
        <w:t xml:space="preserve">) </w:t>
      </w:r>
      <w:r w:rsidRPr="00456113">
        <w:t xml:space="preserve">by kumulovaný deficit systému za období </w:t>
      </w:r>
      <w:r w:rsidR="00B42963" w:rsidRPr="00456113">
        <w:t>202</w:t>
      </w:r>
      <w:r w:rsidR="002B7328" w:rsidRPr="00456113">
        <w:t>2</w:t>
      </w:r>
      <w:r w:rsidR="00B75793">
        <w:t>–</w:t>
      </w:r>
      <w:r w:rsidR="00B42963" w:rsidRPr="00456113">
        <w:t>202</w:t>
      </w:r>
      <w:r w:rsidR="002B7328" w:rsidRPr="00456113">
        <w:t>4</w:t>
      </w:r>
      <w:r w:rsidR="00B42963" w:rsidRPr="00456113">
        <w:t xml:space="preserve"> </w:t>
      </w:r>
      <w:r w:rsidRPr="00456113">
        <w:t xml:space="preserve">činil </w:t>
      </w:r>
      <w:r w:rsidR="002B7328" w:rsidRPr="00456113">
        <w:t>31,1</w:t>
      </w:r>
      <w:r w:rsidRPr="00456113">
        <w:t xml:space="preserve"> mld. Kč. Rezervy</w:t>
      </w:r>
      <w:r w:rsidR="00AA41AC" w:rsidRPr="00456113">
        <w:t xml:space="preserve"> by se tak nevyčerpaly. Minulé modely indikovaly, že by v průběhu sledovaného období došlo k vyčerpání rezerv a vzniku </w:t>
      </w:r>
      <w:r w:rsidR="009033BD" w:rsidRPr="00456113">
        <w:t xml:space="preserve">závazků </w:t>
      </w:r>
      <w:r w:rsidRPr="00456113">
        <w:t>po lhůtě splatnosti vůči poskytovatelům zdravotních služeb</w:t>
      </w:r>
      <w:r w:rsidR="00AA41AC" w:rsidRPr="00456113">
        <w:t>, kter</w:t>
      </w:r>
      <w:r w:rsidR="009033BD" w:rsidRPr="00456113">
        <w:t>é</w:t>
      </w:r>
      <w:r w:rsidR="00AA41AC" w:rsidRPr="00456113">
        <w:t xml:space="preserve"> by se meziročně zvyšoval</w:t>
      </w:r>
      <w:r w:rsidR="009033BD" w:rsidRPr="00456113">
        <w:t>y</w:t>
      </w:r>
      <w:r w:rsidR="00AA41AC" w:rsidRPr="00456113">
        <w:t>.</w:t>
      </w:r>
      <w:r w:rsidRPr="002B59DB">
        <w:t xml:space="preserve"> </w:t>
      </w:r>
    </w:p>
    <w:p w:rsidR="00436F6E" w:rsidRDefault="00305036" w:rsidP="00C967AB">
      <w:pPr>
        <w:pStyle w:val="Titulek"/>
      </w:pPr>
      <w:bookmarkStart w:id="35" w:name="_Toc63685292"/>
      <w:r>
        <w:t xml:space="preserve">Graf č. </w:t>
      </w:r>
      <w:r w:rsidR="008E5E29">
        <w:rPr>
          <w:noProof/>
        </w:rPr>
        <w:fldChar w:fldCharType="begin"/>
      </w:r>
      <w:r w:rsidR="007F5247">
        <w:rPr>
          <w:noProof/>
        </w:rPr>
        <w:instrText xml:space="preserve"> SEQ Graf \* ARABIC </w:instrText>
      </w:r>
      <w:r w:rsidR="008E5E29">
        <w:rPr>
          <w:noProof/>
        </w:rPr>
        <w:fldChar w:fldCharType="separate"/>
      </w:r>
      <w:r w:rsidR="006D5C90">
        <w:rPr>
          <w:noProof/>
        </w:rPr>
        <w:t>12</w:t>
      </w:r>
      <w:r w:rsidR="008E5E29">
        <w:rPr>
          <w:noProof/>
        </w:rPr>
        <w:fldChar w:fldCharType="end"/>
      </w:r>
      <w:r>
        <w:t xml:space="preserve">: </w:t>
      </w:r>
      <w:r w:rsidRPr="00305036">
        <w:t>Hypotetické scénáře vývoje 202</w:t>
      </w:r>
      <w:r w:rsidR="009033BD">
        <w:t>2</w:t>
      </w:r>
      <w:r w:rsidRPr="00305036">
        <w:t>–202</w:t>
      </w:r>
      <w:r w:rsidR="009033BD">
        <w:t>4</w:t>
      </w:r>
      <w:r w:rsidRPr="00305036">
        <w:t>: podíl zůstatků na účtech ZP na celkových výdajích v</w:t>
      </w:r>
      <w:r w:rsidR="0036041E">
        <w:t> </w:t>
      </w:r>
      <w:r w:rsidRPr="00305036">
        <w:t xml:space="preserve">daném roce – srovnání variant č. 0 a č. 1 dle ZPP </w:t>
      </w:r>
      <w:r w:rsidR="00401FFE" w:rsidRPr="00305036">
        <w:t>20</w:t>
      </w:r>
      <w:r w:rsidR="009033BD">
        <w:t>21</w:t>
      </w:r>
      <w:r w:rsidR="00401FFE">
        <w:t>0</w:t>
      </w:r>
      <w:r w:rsidR="009033BD">
        <w:t>,</w:t>
      </w:r>
      <w:r w:rsidR="00401FFE" w:rsidRPr="00305036">
        <w:t xml:space="preserve"> </w:t>
      </w:r>
      <w:r w:rsidR="009033BD">
        <w:t>ZPP 2020</w:t>
      </w:r>
      <w:r w:rsidR="00F37634">
        <w:t xml:space="preserve"> </w:t>
      </w:r>
      <w:r w:rsidR="009604F4">
        <w:t xml:space="preserve">a </w:t>
      </w:r>
      <w:r w:rsidRPr="00305036">
        <w:t xml:space="preserve">ZPP </w:t>
      </w:r>
      <w:r w:rsidR="00401FFE" w:rsidRPr="00305036">
        <w:t>20</w:t>
      </w:r>
      <w:r w:rsidR="00401FFE">
        <w:t>19</w:t>
      </w:r>
      <w:r w:rsidR="004E0CFA">
        <w:t xml:space="preserve"> (růst výdajů dle SDV)</w:t>
      </w:r>
      <w:bookmarkEnd w:id="35"/>
    </w:p>
    <w:p w:rsidR="009033BD" w:rsidRDefault="009033BD" w:rsidP="00A43E92">
      <w:pPr>
        <w:spacing w:before="180" w:line="276" w:lineRule="auto"/>
        <w:jc w:val="both"/>
        <w:rPr>
          <w:rFonts w:ascii="Calibri" w:hAnsi="Calibri"/>
          <w:i/>
        </w:rPr>
      </w:pPr>
      <w:r>
        <w:rPr>
          <w:noProof/>
          <w:lang w:eastAsia="cs-CZ"/>
        </w:rPr>
        <w:drawing>
          <wp:inline distT="0" distB="0" distL="0" distR="0">
            <wp:extent cx="6120000" cy="2556000"/>
            <wp:effectExtent l="0" t="0" r="0" b="0"/>
            <wp:docPr id="10" name="Graf 10">
              <a:extLst xmlns:a="http://schemas.openxmlformats.org/drawingml/2006/main">
                <a:ext uri="{FF2B5EF4-FFF2-40B4-BE49-F238E27FC236}">
                  <a16:creationId xmlns:a16="http://schemas.microsoft.com/office/drawing/2014/main" id="{00000000-0008-0000-02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436F6E" w:rsidRDefault="00A43E92" w:rsidP="00C967AB">
      <w:pPr>
        <w:pStyle w:val="Titulek"/>
        <w:rPr>
          <w:noProof/>
        </w:rPr>
      </w:pPr>
      <w:bookmarkStart w:id="36" w:name="_Toc63685293"/>
      <w:r>
        <w:t xml:space="preserve">Graf č. </w:t>
      </w:r>
      <w:r w:rsidR="008E5E29">
        <w:rPr>
          <w:noProof/>
        </w:rPr>
        <w:fldChar w:fldCharType="begin"/>
      </w:r>
      <w:r w:rsidR="007F5247">
        <w:rPr>
          <w:noProof/>
        </w:rPr>
        <w:instrText xml:space="preserve"> SEQ Graf \* ARABIC </w:instrText>
      </w:r>
      <w:r w:rsidR="008E5E29">
        <w:rPr>
          <w:noProof/>
        </w:rPr>
        <w:fldChar w:fldCharType="separate"/>
      </w:r>
      <w:r w:rsidR="006D5C90">
        <w:rPr>
          <w:noProof/>
        </w:rPr>
        <w:t>13</w:t>
      </w:r>
      <w:r w:rsidR="008E5E29">
        <w:rPr>
          <w:noProof/>
        </w:rPr>
        <w:fldChar w:fldCharType="end"/>
      </w:r>
      <w:r>
        <w:t xml:space="preserve">: </w:t>
      </w:r>
      <w:r w:rsidRPr="00A43E92">
        <w:t xml:space="preserve">Hypotetické scénáře vývoje </w:t>
      </w:r>
      <w:r w:rsidR="00C967AB" w:rsidRPr="00A43E92">
        <w:t>20</w:t>
      </w:r>
      <w:r w:rsidR="00C967AB">
        <w:t>2</w:t>
      </w:r>
      <w:r w:rsidR="00F37634">
        <w:t>2</w:t>
      </w:r>
      <w:r w:rsidRPr="00A43E92">
        <w:t>–202</w:t>
      </w:r>
      <w:r w:rsidR="00F37634">
        <w:t>4</w:t>
      </w:r>
      <w:r w:rsidRPr="00A43E92">
        <w:t>: podíl zůstatků na účtech ZP na celkových výdajích v</w:t>
      </w:r>
      <w:r w:rsidR="0036041E">
        <w:t> </w:t>
      </w:r>
      <w:r w:rsidRPr="00A43E92">
        <w:t xml:space="preserve">daném roce – srovnání variant č. 0 a č. 2 </w:t>
      </w:r>
      <w:r w:rsidR="00F37634" w:rsidRPr="00F37634">
        <w:t>dle ZPP 2021, ZPP 2020</w:t>
      </w:r>
      <w:r w:rsidR="00F37634">
        <w:t xml:space="preserve"> </w:t>
      </w:r>
      <w:r w:rsidR="00F37634" w:rsidRPr="00F37634">
        <w:t xml:space="preserve">a ZPP 2019 </w:t>
      </w:r>
      <w:r w:rsidR="00C967AB">
        <w:t>(růst výdajů dle SDV)</w:t>
      </w:r>
      <w:bookmarkEnd w:id="36"/>
    </w:p>
    <w:p w:rsidR="00C967AB" w:rsidRDefault="005E1AEA" w:rsidP="00436F6E">
      <w:pPr>
        <w:pStyle w:val="TEXT"/>
        <w:ind w:firstLine="0"/>
        <w:jc w:val="center"/>
        <w:rPr>
          <w:noProof/>
        </w:rPr>
      </w:pPr>
      <w:r>
        <w:rPr>
          <w:noProof/>
        </w:rPr>
        <w:drawing>
          <wp:inline distT="0" distB="0" distL="0" distR="0">
            <wp:extent cx="6012000" cy="2556000"/>
            <wp:effectExtent l="0" t="0" r="0" b="0"/>
            <wp:docPr id="26" name="Graf 26">
              <a:extLst xmlns:a="http://schemas.openxmlformats.org/drawingml/2006/main">
                <a:ext uri="{FF2B5EF4-FFF2-40B4-BE49-F238E27FC236}">
                  <a16:creationId xmlns:a16="http://schemas.microsoft.com/office/drawing/2014/main" id="{00000000-0008-0000-02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6B462E" w:rsidRPr="00305036" w:rsidRDefault="006B462E" w:rsidP="006B462E">
      <w:pPr>
        <w:spacing w:before="180" w:line="276" w:lineRule="auto"/>
        <w:jc w:val="both"/>
        <w:rPr>
          <w:rFonts w:ascii="Calibri" w:hAnsi="Calibri"/>
        </w:rPr>
      </w:pPr>
      <w:r w:rsidRPr="00456113">
        <w:rPr>
          <w:rFonts w:ascii="Calibri" w:hAnsi="Calibri"/>
          <w:i/>
        </w:rPr>
        <w:lastRenderedPageBreak/>
        <w:t>Graf č. 13</w:t>
      </w:r>
      <w:r w:rsidRPr="00456113">
        <w:rPr>
          <w:rFonts w:ascii="Calibri" w:hAnsi="Calibri"/>
        </w:rPr>
        <w:t xml:space="preserve"> a </w:t>
      </w:r>
      <w:r w:rsidRPr="00456113">
        <w:rPr>
          <w:rFonts w:ascii="Calibri" w:hAnsi="Calibri"/>
          <w:i/>
        </w:rPr>
        <w:t>Tabulka č. 11</w:t>
      </w:r>
      <w:r w:rsidRPr="00456113">
        <w:rPr>
          <w:rFonts w:ascii="Calibri" w:hAnsi="Calibri"/>
        </w:rPr>
        <w:t xml:space="preserve"> srovnává základní variantu (varianta 0) s variantou č. 2 (mělká dvouletá recese). Ze srovnání hodnocení ZPP 2021 a předchozích let je možné i zde sledovat neobvykle pozitivní meziroční vývoj v hospodaření systému v. z. p. V případě varianty č. 2 by také nedošlo k vyčerpání rezerv, kumulovaný deficit by činil </w:t>
      </w:r>
      <w:r>
        <w:rPr>
          <w:rFonts w:ascii="Calibri" w:hAnsi="Calibri"/>
        </w:rPr>
        <w:t>−</w:t>
      </w:r>
      <w:r w:rsidRPr="00456113">
        <w:rPr>
          <w:rFonts w:ascii="Calibri" w:hAnsi="Calibri"/>
        </w:rPr>
        <w:t>7,2 mld. Kč.</w:t>
      </w:r>
      <w:r w:rsidRPr="00305036">
        <w:rPr>
          <w:rFonts w:ascii="Calibri" w:hAnsi="Calibri"/>
        </w:rPr>
        <w:t xml:space="preserve"> </w:t>
      </w:r>
    </w:p>
    <w:p w:rsidR="00463516" w:rsidRPr="00B31112" w:rsidRDefault="00463516" w:rsidP="00463516">
      <w:pPr>
        <w:pStyle w:val="Nadpis3"/>
      </w:pPr>
      <w:bookmarkStart w:id="37" w:name="_Toc63684677"/>
      <w:r>
        <w:t xml:space="preserve">Růst celkových výdajů </w:t>
      </w:r>
      <w:r w:rsidR="00075334">
        <w:t>po</w:t>
      </w:r>
      <w:r>
        <w:t xml:space="preserve">dle </w:t>
      </w:r>
      <w:r w:rsidR="00781AD3">
        <w:t>2020</w:t>
      </w:r>
      <w:r>
        <w:t>/202</w:t>
      </w:r>
      <w:r w:rsidR="00781AD3">
        <w:t>1</w:t>
      </w:r>
      <w:bookmarkEnd w:id="37"/>
    </w:p>
    <w:p w:rsidR="00180E14" w:rsidRDefault="007B68A4" w:rsidP="00255A49">
      <w:pPr>
        <w:spacing w:before="180" w:line="276" w:lineRule="auto"/>
        <w:jc w:val="both"/>
      </w:pPr>
      <w:r w:rsidRPr="00255A49">
        <w:t>V druhé uvažované možnosti jsou shodným postupem srovnány hypotetické</w:t>
      </w:r>
      <w:r>
        <w:t xml:space="preserve"> scénáře </w:t>
      </w:r>
      <w:r w:rsidR="00255A49">
        <w:t>roků 202</w:t>
      </w:r>
      <w:r w:rsidR="00781AD3">
        <w:t>2</w:t>
      </w:r>
      <w:r w:rsidR="00255A49">
        <w:t xml:space="preserve"> až 202</w:t>
      </w:r>
      <w:r w:rsidR="00781AD3">
        <w:t>4</w:t>
      </w:r>
      <w:r w:rsidR="00255A49">
        <w:t xml:space="preserve"> při</w:t>
      </w:r>
      <w:r w:rsidR="000109D2">
        <w:t> </w:t>
      </w:r>
      <w:r>
        <w:t>dopadu nárůstu celkových výdajů</w:t>
      </w:r>
      <w:r w:rsidR="00255A49">
        <w:t xml:space="preserve"> </w:t>
      </w:r>
      <w:r>
        <w:t xml:space="preserve">jako tomu je mezi roky </w:t>
      </w:r>
      <w:r w:rsidR="00781AD3">
        <w:t xml:space="preserve">2020 </w:t>
      </w:r>
      <w:r>
        <w:t>a 202</w:t>
      </w:r>
      <w:r w:rsidR="00781AD3">
        <w:t>1, což je vhodné především k podchycení současné specifické situace a také se omezí agregátní vliv nastavení střednědobých výhledů zdravotních pojišťoven (ne všechny zdravotní pojišťovny sestavily SDV se zmíněným poklesem výdajů na zdravotní služby)</w:t>
      </w:r>
      <w:r>
        <w:t>.</w:t>
      </w:r>
    </w:p>
    <w:p w:rsidR="00180E14" w:rsidRDefault="00180E14" w:rsidP="00180E14">
      <w:pPr>
        <w:pStyle w:val="Titulek"/>
        <w:jc w:val="both"/>
      </w:pPr>
      <w:bookmarkStart w:id="38" w:name="_Toc63685265"/>
      <w:r w:rsidRPr="00C75FC6">
        <w:t xml:space="preserve">Tabulka č. </w:t>
      </w:r>
      <w:r w:rsidR="008E5E29">
        <w:rPr>
          <w:noProof/>
        </w:rPr>
        <w:fldChar w:fldCharType="begin"/>
      </w:r>
      <w:r>
        <w:rPr>
          <w:noProof/>
        </w:rPr>
        <w:instrText xml:space="preserve"> SEQ Tabulka \* ARABIC </w:instrText>
      </w:r>
      <w:r w:rsidR="008E5E29">
        <w:rPr>
          <w:noProof/>
        </w:rPr>
        <w:fldChar w:fldCharType="separate"/>
      </w:r>
      <w:r w:rsidR="006D5C90">
        <w:rPr>
          <w:noProof/>
        </w:rPr>
        <w:t>12</w:t>
      </w:r>
      <w:r w:rsidR="008E5E29">
        <w:rPr>
          <w:noProof/>
        </w:rPr>
        <w:fldChar w:fldCharType="end"/>
      </w:r>
      <w:r w:rsidRPr="00C75FC6">
        <w:t xml:space="preserve">: </w:t>
      </w:r>
      <w:r>
        <w:t xml:space="preserve">Kumulované hospodářské výsledky – </w:t>
      </w:r>
      <w:r w:rsidR="00A95F68">
        <w:t>2022</w:t>
      </w:r>
      <w:r w:rsidR="0036041E">
        <w:t>–</w:t>
      </w:r>
      <w:r w:rsidR="00A95F68">
        <w:t>2024</w:t>
      </w:r>
      <w:r>
        <w:t xml:space="preserve"> (mld. Kč)</w:t>
      </w:r>
      <w:bookmarkEnd w:id="38"/>
    </w:p>
    <w:tbl>
      <w:tblPr>
        <w:tblW w:w="4224" w:type="dxa"/>
        <w:tblInd w:w="779" w:type="dxa"/>
        <w:tblBorders>
          <w:top w:val="single" w:sz="12" w:space="0" w:color="4F81BD"/>
          <w:left w:val="single" w:sz="12" w:space="0" w:color="4F81BD"/>
          <w:bottom w:val="single" w:sz="12" w:space="0" w:color="4F81BD"/>
          <w:right w:val="single" w:sz="12" w:space="0" w:color="4F81BD"/>
        </w:tblBorders>
        <w:tblCellMar>
          <w:left w:w="70" w:type="dxa"/>
          <w:right w:w="70" w:type="dxa"/>
        </w:tblCellMar>
        <w:tblLook w:val="04A0" w:firstRow="1" w:lastRow="0" w:firstColumn="1" w:lastColumn="0" w:noHBand="0" w:noVBand="1"/>
      </w:tblPr>
      <w:tblGrid>
        <w:gridCol w:w="1348"/>
        <w:gridCol w:w="958"/>
        <w:gridCol w:w="958"/>
        <w:gridCol w:w="960"/>
      </w:tblGrid>
      <w:tr w:rsidR="00180E14" w:rsidRPr="0011274B" w:rsidTr="00B34351">
        <w:trPr>
          <w:trHeight w:val="567"/>
        </w:trPr>
        <w:tc>
          <w:tcPr>
            <w:tcW w:w="1348" w:type="dxa"/>
            <w:shd w:val="clear" w:color="000000" w:fill="4F81BD"/>
            <w:vAlign w:val="center"/>
            <w:hideMark/>
          </w:tcPr>
          <w:p w:rsidR="00180E14" w:rsidRPr="0011274B" w:rsidRDefault="00180E14" w:rsidP="00EC1789">
            <w:pPr>
              <w:spacing w:after="0" w:line="240" w:lineRule="auto"/>
              <w:rPr>
                <w:rFonts w:ascii="Calibri" w:eastAsia="Times New Roman" w:hAnsi="Calibri" w:cs="Times New Roman"/>
                <w:b/>
                <w:bCs/>
                <w:i/>
                <w:iCs/>
                <w:color w:val="FFFFFF"/>
                <w:szCs w:val="21"/>
                <w:lang w:eastAsia="cs-CZ"/>
              </w:rPr>
            </w:pPr>
          </w:p>
        </w:tc>
        <w:tc>
          <w:tcPr>
            <w:tcW w:w="958" w:type="dxa"/>
            <w:shd w:val="clear" w:color="000000" w:fill="6691C6"/>
            <w:noWrap/>
            <w:vAlign w:val="center"/>
            <w:hideMark/>
          </w:tcPr>
          <w:p w:rsidR="00180E14" w:rsidRPr="009D40CA" w:rsidRDefault="00180E14" w:rsidP="00EC1789">
            <w:pPr>
              <w:spacing w:after="0" w:line="240" w:lineRule="auto"/>
              <w:jc w:val="center"/>
              <w:rPr>
                <w:rFonts w:ascii="Calibri" w:eastAsia="Times New Roman" w:hAnsi="Calibri" w:cs="Times New Roman"/>
                <w:b/>
                <w:color w:val="FFFFFF"/>
                <w:szCs w:val="21"/>
                <w:lang w:eastAsia="cs-CZ"/>
              </w:rPr>
            </w:pPr>
            <w:r w:rsidRPr="009D40CA">
              <w:rPr>
                <w:rFonts w:ascii="Calibri" w:eastAsia="Times New Roman" w:hAnsi="Calibri" w:cs="Times New Roman"/>
                <w:b/>
                <w:color w:val="FFFFFF"/>
                <w:szCs w:val="21"/>
                <w:lang w:eastAsia="cs-CZ"/>
              </w:rPr>
              <w:t>V0</w:t>
            </w:r>
          </w:p>
        </w:tc>
        <w:tc>
          <w:tcPr>
            <w:tcW w:w="958" w:type="dxa"/>
            <w:shd w:val="clear" w:color="000000" w:fill="4F81BD"/>
            <w:noWrap/>
            <w:vAlign w:val="center"/>
            <w:hideMark/>
          </w:tcPr>
          <w:p w:rsidR="00180E14" w:rsidRPr="00F10A99" w:rsidRDefault="00180E14" w:rsidP="00EC1789">
            <w:pPr>
              <w:spacing w:after="0" w:line="240" w:lineRule="auto"/>
              <w:jc w:val="center"/>
              <w:rPr>
                <w:rFonts w:ascii="Calibri" w:eastAsia="Times New Roman" w:hAnsi="Calibri" w:cs="Times New Roman"/>
                <w:b/>
                <w:color w:val="FFFFFF"/>
                <w:szCs w:val="21"/>
                <w:lang w:eastAsia="cs-CZ"/>
              </w:rPr>
            </w:pPr>
            <w:r>
              <w:rPr>
                <w:rFonts w:ascii="Calibri" w:eastAsia="Times New Roman" w:hAnsi="Calibri" w:cs="Times New Roman"/>
                <w:b/>
                <w:color w:val="FFFFFF" w:themeColor="background1"/>
                <w:szCs w:val="21"/>
                <w:lang w:eastAsia="cs-CZ"/>
              </w:rPr>
              <w:t>V1</w:t>
            </w:r>
          </w:p>
        </w:tc>
        <w:tc>
          <w:tcPr>
            <w:tcW w:w="960" w:type="dxa"/>
            <w:shd w:val="clear" w:color="000000" w:fill="6691C6"/>
            <w:noWrap/>
            <w:vAlign w:val="center"/>
            <w:hideMark/>
          </w:tcPr>
          <w:p w:rsidR="00180E14" w:rsidRPr="00F10A99" w:rsidRDefault="00180E14" w:rsidP="00EC1789">
            <w:pPr>
              <w:spacing w:after="0" w:line="240" w:lineRule="auto"/>
              <w:jc w:val="center"/>
              <w:rPr>
                <w:rFonts w:ascii="Calibri" w:eastAsia="Times New Roman" w:hAnsi="Calibri" w:cs="Times New Roman"/>
                <w:b/>
                <w:color w:val="FFFFFF"/>
                <w:szCs w:val="21"/>
                <w:lang w:eastAsia="cs-CZ"/>
              </w:rPr>
            </w:pPr>
            <w:r>
              <w:rPr>
                <w:rFonts w:ascii="Calibri" w:eastAsia="Times New Roman" w:hAnsi="Calibri" w:cs="Times New Roman"/>
                <w:b/>
                <w:color w:val="FFFFFF" w:themeColor="background1"/>
                <w:szCs w:val="21"/>
                <w:lang w:eastAsia="cs-CZ"/>
              </w:rPr>
              <w:t>V2</w:t>
            </w:r>
          </w:p>
        </w:tc>
      </w:tr>
      <w:tr w:rsidR="00180E14" w:rsidRPr="0011274B" w:rsidTr="00EC1789">
        <w:trPr>
          <w:trHeight w:val="300"/>
        </w:trPr>
        <w:tc>
          <w:tcPr>
            <w:tcW w:w="1348" w:type="dxa"/>
            <w:shd w:val="clear" w:color="auto" w:fill="auto"/>
            <w:vAlign w:val="center"/>
          </w:tcPr>
          <w:p w:rsidR="00180E14" w:rsidRPr="0011274B" w:rsidRDefault="00180E14" w:rsidP="00EC1789">
            <w:pPr>
              <w:spacing w:after="0" w:line="240" w:lineRule="auto"/>
              <w:rPr>
                <w:rFonts w:ascii="Calibri" w:eastAsia="Times New Roman" w:hAnsi="Calibri" w:cs="Times New Roman"/>
                <w:b/>
                <w:bCs/>
                <w:color w:val="000000"/>
                <w:szCs w:val="21"/>
                <w:lang w:eastAsia="cs-CZ"/>
              </w:rPr>
            </w:pPr>
            <w:r>
              <w:rPr>
                <w:rFonts w:ascii="Calibri" w:eastAsia="Times New Roman" w:hAnsi="Calibri" w:cs="Times New Roman"/>
                <w:b/>
                <w:bCs/>
                <w:color w:val="000000"/>
                <w:szCs w:val="21"/>
                <w:lang w:eastAsia="cs-CZ"/>
              </w:rPr>
              <w:t xml:space="preserve">ZPP 2019 </w:t>
            </w:r>
          </w:p>
        </w:tc>
        <w:tc>
          <w:tcPr>
            <w:tcW w:w="958" w:type="dxa"/>
            <w:shd w:val="clear" w:color="000000" w:fill="DCE6F1"/>
            <w:noWrap/>
            <w:vAlign w:val="center"/>
          </w:tcPr>
          <w:p w:rsidR="00180E14" w:rsidRPr="005B4AF7" w:rsidRDefault="009A3BE4" w:rsidP="00EC1789">
            <w:pPr>
              <w:spacing w:after="0" w:line="240" w:lineRule="auto"/>
              <w:jc w:val="center"/>
              <w:rPr>
                <w:rFonts w:ascii="Calibri" w:eastAsia="Times New Roman" w:hAnsi="Calibri" w:cs="Times New Roman"/>
                <w:bCs/>
                <w:color w:val="000000"/>
                <w:szCs w:val="21"/>
                <w:lang w:eastAsia="cs-CZ"/>
              </w:rPr>
            </w:pPr>
            <w:r w:rsidRPr="009A3BE4">
              <w:rPr>
                <w:rFonts w:ascii="Calibri" w:eastAsia="Times New Roman" w:hAnsi="Calibri" w:cs="Times New Roman"/>
                <w:bCs/>
                <w:color w:val="000000"/>
                <w:szCs w:val="21"/>
                <w:lang w:eastAsia="cs-CZ"/>
              </w:rPr>
              <w:t>13,28</w:t>
            </w:r>
          </w:p>
        </w:tc>
        <w:tc>
          <w:tcPr>
            <w:tcW w:w="958" w:type="dxa"/>
            <w:shd w:val="clear" w:color="auto" w:fill="auto"/>
            <w:noWrap/>
            <w:vAlign w:val="center"/>
          </w:tcPr>
          <w:p w:rsidR="00180E14" w:rsidRPr="009D40CA" w:rsidRDefault="00645710" w:rsidP="00EC1789">
            <w:pPr>
              <w:spacing w:after="0" w:line="240" w:lineRule="auto"/>
              <w:jc w:val="center"/>
              <w:rPr>
                <w:rFonts w:ascii="Calibri" w:eastAsia="Times New Roman" w:hAnsi="Calibri" w:cs="Times New Roman"/>
                <w:bCs/>
                <w:color w:val="000000"/>
                <w:szCs w:val="21"/>
                <w:lang w:eastAsia="cs-CZ"/>
              </w:rPr>
            </w:pPr>
            <w:r>
              <w:rPr>
                <w:rFonts w:ascii="Calibri" w:eastAsia="Times New Roman" w:hAnsi="Calibri" w:cs="Times New Roman"/>
                <w:bCs/>
                <w:color w:val="000000"/>
                <w:szCs w:val="21"/>
                <w:lang w:eastAsia="cs-CZ"/>
              </w:rPr>
              <w:t>−</w:t>
            </w:r>
            <w:r w:rsidR="009A3BE4" w:rsidRPr="009A3BE4">
              <w:rPr>
                <w:rFonts w:ascii="Calibri" w:eastAsia="Times New Roman" w:hAnsi="Calibri" w:cs="Times New Roman"/>
                <w:bCs/>
                <w:color w:val="000000"/>
                <w:szCs w:val="21"/>
                <w:lang w:eastAsia="cs-CZ"/>
              </w:rPr>
              <w:t>50,22</w:t>
            </w:r>
          </w:p>
        </w:tc>
        <w:tc>
          <w:tcPr>
            <w:tcW w:w="960" w:type="dxa"/>
            <w:shd w:val="clear" w:color="000000" w:fill="DCE6F1"/>
            <w:noWrap/>
            <w:vAlign w:val="center"/>
          </w:tcPr>
          <w:p w:rsidR="00180E14" w:rsidRPr="009D40CA" w:rsidRDefault="00645710" w:rsidP="00EC1789">
            <w:pPr>
              <w:spacing w:after="0" w:line="240" w:lineRule="auto"/>
              <w:jc w:val="center"/>
              <w:rPr>
                <w:rFonts w:ascii="Calibri" w:eastAsia="Times New Roman" w:hAnsi="Calibri" w:cs="Times New Roman"/>
                <w:bCs/>
                <w:color w:val="000000"/>
                <w:szCs w:val="21"/>
                <w:lang w:eastAsia="cs-CZ"/>
              </w:rPr>
            </w:pPr>
            <w:r>
              <w:rPr>
                <w:rFonts w:ascii="Calibri" w:eastAsia="Times New Roman" w:hAnsi="Calibri" w:cs="Times New Roman"/>
                <w:bCs/>
                <w:color w:val="000000"/>
                <w:szCs w:val="21"/>
                <w:lang w:eastAsia="cs-CZ"/>
              </w:rPr>
              <w:t>−</w:t>
            </w:r>
            <w:r w:rsidR="009A3BE4" w:rsidRPr="009A3BE4">
              <w:rPr>
                <w:rFonts w:ascii="Calibri" w:eastAsia="Times New Roman" w:hAnsi="Calibri" w:cs="Times New Roman"/>
                <w:bCs/>
                <w:color w:val="000000"/>
                <w:szCs w:val="21"/>
                <w:lang w:eastAsia="cs-CZ"/>
              </w:rPr>
              <w:t>23,44</w:t>
            </w:r>
          </w:p>
        </w:tc>
      </w:tr>
      <w:tr w:rsidR="00180E14" w:rsidRPr="0011274B" w:rsidTr="00EC1789">
        <w:trPr>
          <w:trHeight w:val="300"/>
        </w:trPr>
        <w:tc>
          <w:tcPr>
            <w:tcW w:w="1348" w:type="dxa"/>
            <w:shd w:val="clear" w:color="000000" w:fill="EEF3F8"/>
            <w:vAlign w:val="center"/>
          </w:tcPr>
          <w:p w:rsidR="00180E14" w:rsidRPr="00F03CB7" w:rsidRDefault="00180E14" w:rsidP="00EC1789">
            <w:pPr>
              <w:spacing w:after="0" w:line="240" w:lineRule="auto"/>
              <w:rPr>
                <w:rFonts w:ascii="Calibri" w:eastAsia="Times New Roman" w:hAnsi="Calibri" w:cs="Times New Roman"/>
                <w:b/>
                <w:color w:val="000000"/>
                <w:szCs w:val="21"/>
                <w:lang w:eastAsia="cs-CZ"/>
              </w:rPr>
            </w:pPr>
            <w:r>
              <w:rPr>
                <w:rFonts w:ascii="Calibri" w:eastAsia="Times New Roman" w:hAnsi="Calibri" w:cs="Times New Roman"/>
                <w:b/>
                <w:color w:val="000000"/>
                <w:szCs w:val="21"/>
                <w:lang w:eastAsia="cs-CZ"/>
              </w:rPr>
              <w:t>ZPP 2020</w:t>
            </w:r>
          </w:p>
        </w:tc>
        <w:tc>
          <w:tcPr>
            <w:tcW w:w="958" w:type="dxa"/>
            <w:shd w:val="clear" w:color="000000" w:fill="EEF3F8"/>
            <w:noWrap/>
            <w:vAlign w:val="center"/>
          </w:tcPr>
          <w:p w:rsidR="00180E14" w:rsidRPr="005B4AF7" w:rsidRDefault="00645710" w:rsidP="00EC1789">
            <w:pPr>
              <w:spacing w:after="0" w:line="240" w:lineRule="auto"/>
              <w:jc w:val="center"/>
              <w:rPr>
                <w:rFonts w:ascii="Calibri" w:eastAsia="Times New Roman" w:hAnsi="Calibri" w:cs="Times New Roman"/>
                <w:color w:val="000000"/>
                <w:szCs w:val="21"/>
                <w:lang w:eastAsia="cs-CZ"/>
              </w:rPr>
            </w:pPr>
            <w:r>
              <w:rPr>
                <w:rFonts w:ascii="Calibri" w:eastAsia="Times New Roman" w:hAnsi="Calibri" w:cs="Times New Roman"/>
                <w:color w:val="000000"/>
                <w:szCs w:val="21"/>
                <w:lang w:eastAsia="cs-CZ"/>
              </w:rPr>
              <w:t>−</w:t>
            </w:r>
            <w:r w:rsidR="009A3BE4" w:rsidRPr="009A3BE4">
              <w:rPr>
                <w:rFonts w:ascii="Calibri" w:eastAsia="Times New Roman" w:hAnsi="Calibri" w:cs="Times New Roman"/>
                <w:color w:val="000000"/>
                <w:szCs w:val="21"/>
                <w:lang w:eastAsia="cs-CZ"/>
              </w:rPr>
              <w:t>206,61</w:t>
            </w:r>
          </w:p>
        </w:tc>
        <w:tc>
          <w:tcPr>
            <w:tcW w:w="958" w:type="dxa"/>
            <w:shd w:val="clear" w:color="000000" w:fill="EEF3F8"/>
            <w:noWrap/>
            <w:vAlign w:val="center"/>
          </w:tcPr>
          <w:p w:rsidR="00180E14" w:rsidRPr="009D40CA" w:rsidRDefault="00645710" w:rsidP="00EC1789">
            <w:pPr>
              <w:spacing w:after="0" w:line="240" w:lineRule="auto"/>
              <w:jc w:val="center"/>
              <w:rPr>
                <w:rFonts w:ascii="Calibri" w:eastAsia="Times New Roman" w:hAnsi="Calibri" w:cs="Times New Roman"/>
                <w:color w:val="000000"/>
                <w:szCs w:val="21"/>
                <w:lang w:eastAsia="cs-CZ"/>
              </w:rPr>
            </w:pPr>
            <w:r>
              <w:rPr>
                <w:rFonts w:ascii="Calibri" w:eastAsia="Times New Roman" w:hAnsi="Calibri" w:cs="Times New Roman"/>
                <w:color w:val="000000"/>
                <w:szCs w:val="21"/>
                <w:lang w:eastAsia="cs-CZ"/>
              </w:rPr>
              <w:t>−</w:t>
            </w:r>
            <w:r w:rsidR="009A3BE4" w:rsidRPr="009A3BE4">
              <w:rPr>
                <w:rFonts w:ascii="Calibri" w:eastAsia="Times New Roman" w:hAnsi="Calibri" w:cs="Times New Roman"/>
                <w:color w:val="000000"/>
                <w:szCs w:val="21"/>
                <w:lang w:eastAsia="cs-CZ"/>
              </w:rPr>
              <w:t>277,06</w:t>
            </w:r>
          </w:p>
        </w:tc>
        <w:tc>
          <w:tcPr>
            <w:tcW w:w="960" w:type="dxa"/>
            <w:shd w:val="clear" w:color="000000" w:fill="EEF3F8"/>
            <w:noWrap/>
            <w:vAlign w:val="center"/>
          </w:tcPr>
          <w:p w:rsidR="00180E14" w:rsidRPr="009D40CA" w:rsidRDefault="00645710" w:rsidP="00EC1789">
            <w:pPr>
              <w:spacing w:after="0" w:line="240" w:lineRule="auto"/>
              <w:jc w:val="center"/>
              <w:rPr>
                <w:rFonts w:ascii="Calibri" w:eastAsia="Times New Roman" w:hAnsi="Calibri" w:cs="Times New Roman"/>
                <w:color w:val="000000"/>
                <w:szCs w:val="21"/>
                <w:lang w:eastAsia="cs-CZ"/>
              </w:rPr>
            </w:pPr>
            <w:r>
              <w:rPr>
                <w:rFonts w:ascii="Calibri" w:eastAsia="Times New Roman" w:hAnsi="Calibri" w:cs="Times New Roman"/>
                <w:color w:val="000000"/>
                <w:szCs w:val="21"/>
                <w:lang w:eastAsia="cs-CZ"/>
              </w:rPr>
              <w:t>−</w:t>
            </w:r>
            <w:r w:rsidR="009A3BE4" w:rsidRPr="009A3BE4">
              <w:rPr>
                <w:rFonts w:ascii="Calibri" w:eastAsia="Times New Roman" w:hAnsi="Calibri" w:cs="Times New Roman"/>
                <w:color w:val="000000"/>
                <w:szCs w:val="21"/>
                <w:lang w:eastAsia="cs-CZ"/>
              </w:rPr>
              <w:t>247,65</w:t>
            </w:r>
          </w:p>
        </w:tc>
      </w:tr>
      <w:tr w:rsidR="00180E14" w:rsidRPr="0011274B" w:rsidTr="00EC1789">
        <w:trPr>
          <w:trHeight w:val="300"/>
        </w:trPr>
        <w:tc>
          <w:tcPr>
            <w:tcW w:w="1348" w:type="dxa"/>
            <w:shd w:val="clear" w:color="auto" w:fill="auto"/>
            <w:vAlign w:val="center"/>
          </w:tcPr>
          <w:p w:rsidR="00180E14" w:rsidRPr="0011274B" w:rsidRDefault="00180E14" w:rsidP="00EC1789">
            <w:pPr>
              <w:spacing w:after="0" w:line="240" w:lineRule="auto"/>
              <w:rPr>
                <w:rFonts w:ascii="Calibri" w:eastAsia="Times New Roman" w:hAnsi="Calibri" w:cs="Times New Roman"/>
                <w:b/>
                <w:bCs/>
                <w:color w:val="000000"/>
                <w:szCs w:val="21"/>
                <w:lang w:eastAsia="cs-CZ"/>
              </w:rPr>
            </w:pPr>
            <w:r>
              <w:rPr>
                <w:rFonts w:ascii="Calibri" w:eastAsia="Times New Roman" w:hAnsi="Calibri" w:cs="Times New Roman"/>
                <w:b/>
                <w:bCs/>
                <w:color w:val="000000"/>
                <w:szCs w:val="21"/>
                <w:lang w:eastAsia="cs-CZ"/>
              </w:rPr>
              <w:t>ZPP 2021</w:t>
            </w:r>
          </w:p>
        </w:tc>
        <w:tc>
          <w:tcPr>
            <w:tcW w:w="958" w:type="dxa"/>
            <w:shd w:val="clear" w:color="000000" w:fill="DCE6F1"/>
            <w:noWrap/>
            <w:vAlign w:val="center"/>
          </w:tcPr>
          <w:p w:rsidR="00180E14" w:rsidRPr="005B4AF7" w:rsidRDefault="00645710" w:rsidP="00EC1789">
            <w:pPr>
              <w:spacing w:after="0" w:line="240" w:lineRule="auto"/>
              <w:jc w:val="center"/>
              <w:rPr>
                <w:rFonts w:ascii="Calibri" w:eastAsia="Times New Roman" w:hAnsi="Calibri" w:cs="Times New Roman"/>
                <w:bCs/>
                <w:color w:val="000000"/>
                <w:szCs w:val="21"/>
                <w:lang w:eastAsia="cs-CZ"/>
              </w:rPr>
            </w:pPr>
            <w:r>
              <w:rPr>
                <w:rFonts w:ascii="Calibri" w:eastAsia="Times New Roman" w:hAnsi="Calibri" w:cs="Times New Roman"/>
                <w:bCs/>
                <w:color w:val="000000"/>
                <w:szCs w:val="21"/>
                <w:lang w:eastAsia="cs-CZ"/>
              </w:rPr>
              <w:t>−</w:t>
            </w:r>
            <w:r w:rsidR="009A3BE4" w:rsidRPr="009A3BE4">
              <w:rPr>
                <w:rFonts w:ascii="Calibri" w:eastAsia="Times New Roman" w:hAnsi="Calibri" w:cs="Times New Roman"/>
                <w:bCs/>
                <w:color w:val="000000"/>
                <w:szCs w:val="21"/>
                <w:lang w:eastAsia="cs-CZ"/>
              </w:rPr>
              <w:t>319,22</w:t>
            </w:r>
          </w:p>
        </w:tc>
        <w:tc>
          <w:tcPr>
            <w:tcW w:w="958" w:type="dxa"/>
            <w:shd w:val="clear" w:color="auto" w:fill="auto"/>
            <w:noWrap/>
            <w:vAlign w:val="center"/>
          </w:tcPr>
          <w:p w:rsidR="00180E14" w:rsidRPr="009D40CA" w:rsidRDefault="00645710" w:rsidP="00EC1789">
            <w:pPr>
              <w:spacing w:after="0" w:line="240" w:lineRule="auto"/>
              <w:jc w:val="center"/>
              <w:rPr>
                <w:rFonts w:ascii="Calibri" w:eastAsia="Times New Roman" w:hAnsi="Calibri" w:cs="Times New Roman"/>
                <w:bCs/>
                <w:color w:val="000000"/>
                <w:szCs w:val="21"/>
                <w:lang w:eastAsia="cs-CZ"/>
              </w:rPr>
            </w:pPr>
            <w:r>
              <w:rPr>
                <w:rFonts w:ascii="Calibri" w:eastAsia="Times New Roman" w:hAnsi="Calibri" w:cs="Times New Roman"/>
                <w:bCs/>
                <w:color w:val="000000"/>
                <w:szCs w:val="21"/>
                <w:lang w:eastAsia="cs-CZ"/>
              </w:rPr>
              <w:t>−</w:t>
            </w:r>
            <w:r w:rsidR="009A3BE4" w:rsidRPr="009A3BE4">
              <w:rPr>
                <w:rFonts w:ascii="Calibri" w:eastAsia="Times New Roman" w:hAnsi="Calibri" w:cs="Times New Roman"/>
                <w:bCs/>
                <w:color w:val="000000"/>
                <w:szCs w:val="21"/>
                <w:lang w:eastAsia="cs-CZ"/>
              </w:rPr>
              <w:t>336,55</w:t>
            </w:r>
          </w:p>
        </w:tc>
        <w:tc>
          <w:tcPr>
            <w:tcW w:w="960" w:type="dxa"/>
            <w:shd w:val="clear" w:color="000000" w:fill="DCE6F1"/>
            <w:noWrap/>
            <w:vAlign w:val="center"/>
          </w:tcPr>
          <w:p w:rsidR="00180E14" w:rsidRPr="009D40CA" w:rsidRDefault="00645710" w:rsidP="00EC1789">
            <w:pPr>
              <w:spacing w:after="0" w:line="240" w:lineRule="auto"/>
              <w:jc w:val="center"/>
              <w:rPr>
                <w:rFonts w:ascii="Calibri" w:eastAsia="Times New Roman" w:hAnsi="Calibri" w:cs="Times New Roman"/>
                <w:bCs/>
                <w:color w:val="000000"/>
                <w:szCs w:val="21"/>
                <w:lang w:eastAsia="cs-CZ"/>
              </w:rPr>
            </w:pPr>
            <w:r>
              <w:rPr>
                <w:rFonts w:ascii="Calibri" w:eastAsia="Times New Roman" w:hAnsi="Calibri" w:cs="Times New Roman"/>
                <w:bCs/>
                <w:color w:val="000000"/>
                <w:szCs w:val="21"/>
                <w:lang w:eastAsia="cs-CZ"/>
              </w:rPr>
              <w:t>−</w:t>
            </w:r>
            <w:r w:rsidR="009A3BE4" w:rsidRPr="009A3BE4">
              <w:rPr>
                <w:rFonts w:ascii="Calibri" w:eastAsia="Times New Roman" w:hAnsi="Calibri" w:cs="Times New Roman"/>
                <w:bCs/>
                <w:color w:val="000000"/>
                <w:szCs w:val="21"/>
                <w:lang w:eastAsia="cs-CZ"/>
              </w:rPr>
              <w:t>312,69</w:t>
            </w:r>
          </w:p>
        </w:tc>
      </w:tr>
    </w:tbl>
    <w:p w:rsidR="009245D1" w:rsidRPr="00456113" w:rsidRDefault="009245D1" w:rsidP="009245D1">
      <w:pPr>
        <w:spacing w:before="180" w:line="276" w:lineRule="auto"/>
        <w:jc w:val="both"/>
      </w:pPr>
      <w:r w:rsidRPr="00456113">
        <w:rPr>
          <w:i/>
        </w:rPr>
        <w:t xml:space="preserve">Graf č. </w:t>
      </w:r>
      <w:r w:rsidR="009A3BE4" w:rsidRPr="00456113">
        <w:rPr>
          <w:i/>
        </w:rPr>
        <w:t>14</w:t>
      </w:r>
      <w:r w:rsidR="009A3BE4" w:rsidRPr="00456113">
        <w:t xml:space="preserve"> </w:t>
      </w:r>
      <w:r w:rsidR="00255A49" w:rsidRPr="00456113">
        <w:t xml:space="preserve">opět </w:t>
      </w:r>
      <w:r w:rsidRPr="00456113">
        <w:t xml:space="preserve">srovnává základní variantu (varianta 0) s variantou č. 1 (kratší hluboká recese). </w:t>
      </w:r>
      <w:r w:rsidR="00845504" w:rsidRPr="00456113">
        <w:t xml:space="preserve">Na základě </w:t>
      </w:r>
      <w:r w:rsidRPr="00456113">
        <w:t>srovnání hodnocení ZPP 202</w:t>
      </w:r>
      <w:r w:rsidR="009A3BE4" w:rsidRPr="00456113">
        <w:t>1</w:t>
      </w:r>
      <w:r w:rsidRPr="00456113">
        <w:t xml:space="preserve"> </w:t>
      </w:r>
      <w:r w:rsidR="009A3BE4" w:rsidRPr="00456113">
        <w:t>s materiály ZPP 2020</w:t>
      </w:r>
      <w:r w:rsidR="005E1AEA" w:rsidRPr="00456113">
        <w:t xml:space="preserve"> a </w:t>
      </w:r>
      <w:r w:rsidRPr="00456113">
        <w:t xml:space="preserve">ZPP 2019 je možné </w:t>
      </w:r>
      <w:r w:rsidR="00845504" w:rsidRPr="00456113">
        <w:t xml:space="preserve">v tomto případě </w:t>
      </w:r>
      <w:r w:rsidRPr="00456113">
        <w:t>vyvozovat</w:t>
      </w:r>
      <w:r w:rsidR="009A3BE4" w:rsidRPr="00456113">
        <w:t xml:space="preserve"> další</w:t>
      </w:r>
      <w:r w:rsidRPr="00456113">
        <w:t xml:space="preserve"> </w:t>
      </w:r>
      <w:r w:rsidR="00845504" w:rsidRPr="00456113">
        <w:t xml:space="preserve">významně </w:t>
      </w:r>
      <w:r w:rsidRPr="00456113">
        <w:t>negativní tendence v hospodaření systému v.</w:t>
      </w:r>
      <w:r w:rsidR="00D40D58" w:rsidRPr="00456113">
        <w:t xml:space="preserve"> </w:t>
      </w:r>
      <w:r w:rsidRPr="00456113">
        <w:t>z.</w:t>
      </w:r>
      <w:r w:rsidR="00D40D58" w:rsidRPr="00456113">
        <w:t xml:space="preserve"> </w:t>
      </w:r>
      <w:r w:rsidRPr="00456113">
        <w:t>p. Dle nulové varianty (bez krizového vývoje) by</w:t>
      </w:r>
      <w:r w:rsidR="009140F4" w:rsidRPr="00456113">
        <w:t xml:space="preserve"> </w:t>
      </w:r>
      <w:r w:rsidR="00845504" w:rsidRPr="00456113">
        <w:t xml:space="preserve">již v roce 2022 byly rezervy systému vyčerpány a vznikaly by závazky po lhůtě splatnosti vůči poskytovatelům zdravotních služeb v objemu </w:t>
      </w:r>
      <w:r w:rsidR="009140F4" w:rsidRPr="00456113">
        <w:t>8,3</w:t>
      </w:r>
      <w:r w:rsidR="00242461" w:rsidRPr="00456113">
        <w:t xml:space="preserve"> mld. Kč. Ještě horší situace by pak byla v roce 2023, kdy by tyto závazky činily </w:t>
      </w:r>
      <w:r w:rsidR="009140F4" w:rsidRPr="00456113">
        <w:t xml:space="preserve">112,4 </w:t>
      </w:r>
      <w:r w:rsidR="00242461" w:rsidRPr="00456113">
        <w:t>mld. Kč</w:t>
      </w:r>
      <w:r w:rsidR="009140F4" w:rsidRPr="00456113">
        <w:t xml:space="preserve"> a v roce 2024 </w:t>
      </w:r>
      <w:r w:rsidR="004B3BD5" w:rsidRPr="00456113">
        <w:t>dokonce 271,6 mld. Kč</w:t>
      </w:r>
      <w:r w:rsidR="00242461" w:rsidRPr="00456113">
        <w:t xml:space="preserve">. </w:t>
      </w:r>
    </w:p>
    <w:p w:rsidR="009245D1" w:rsidRDefault="009245D1" w:rsidP="009245D1">
      <w:pPr>
        <w:spacing w:before="180" w:line="276" w:lineRule="auto"/>
        <w:jc w:val="both"/>
      </w:pPr>
      <w:r w:rsidRPr="00456113">
        <w:t xml:space="preserve">V případě varianty č. 1 by </w:t>
      </w:r>
      <w:r w:rsidR="00242461" w:rsidRPr="00456113">
        <w:t xml:space="preserve">v této modifikaci </w:t>
      </w:r>
      <w:r w:rsidRPr="00456113">
        <w:t xml:space="preserve">kumulovaný deficit systému za období </w:t>
      </w:r>
      <w:r w:rsidR="004B3BD5" w:rsidRPr="00456113">
        <w:t>2022</w:t>
      </w:r>
      <w:r w:rsidR="0036041E">
        <w:t>–</w:t>
      </w:r>
      <w:r w:rsidRPr="00456113">
        <w:t>202</w:t>
      </w:r>
      <w:r w:rsidR="004B3BD5" w:rsidRPr="00456113">
        <w:t>4</w:t>
      </w:r>
      <w:r w:rsidRPr="00456113">
        <w:t xml:space="preserve"> činil </w:t>
      </w:r>
      <w:r w:rsidR="004B3BD5" w:rsidRPr="00456113">
        <w:t xml:space="preserve">336,6 </w:t>
      </w:r>
      <w:r w:rsidRPr="00456113">
        <w:t>mld. Kč. Rezervy by se tak vyčerpaly</w:t>
      </w:r>
      <w:r w:rsidR="004B3BD5" w:rsidRPr="00456113">
        <w:t xml:space="preserve"> také</w:t>
      </w:r>
      <w:r w:rsidR="00242461" w:rsidRPr="00456113">
        <w:t xml:space="preserve"> </w:t>
      </w:r>
      <w:r w:rsidRPr="00456113">
        <w:t>v roce 202</w:t>
      </w:r>
      <w:r w:rsidR="004B3BD5" w:rsidRPr="00456113">
        <w:t>2</w:t>
      </w:r>
      <w:r w:rsidRPr="00456113">
        <w:t xml:space="preserve"> a v tomto roce by došlo </w:t>
      </w:r>
      <w:r w:rsidR="00242461" w:rsidRPr="00456113">
        <w:t xml:space="preserve">již </w:t>
      </w:r>
      <w:r w:rsidRPr="00456113">
        <w:t xml:space="preserve">ke vzniku závazků po lhůtě splatnosti vůči poskytovatelům zdravotních služeb v objemu </w:t>
      </w:r>
      <w:r w:rsidR="004B3BD5" w:rsidRPr="00456113">
        <w:t>10,8</w:t>
      </w:r>
      <w:r w:rsidR="00242461" w:rsidRPr="00456113" w:rsidDel="00242461">
        <w:t xml:space="preserve"> </w:t>
      </w:r>
      <w:r w:rsidRPr="00456113">
        <w:t xml:space="preserve">mld. Kč. </w:t>
      </w:r>
      <w:r w:rsidR="00965D64" w:rsidRPr="00456113">
        <w:t>Tento stav by se dále prohluboval v roce 202</w:t>
      </w:r>
      <w:r w:rsidR="004B3BD5" w:rsidRPr="00456113">
        <w:t>3</w:t>
      </w:r>
      <w:r w:rsidR="00965D64" w:rsidRPr="00456113">
        <w:t xml:space="preserve"> nedostatkem rezerv v objemu </w:t>
      </w:r>
      <w:r w:rsidR="004B3BD5" w:rsidRPr="00456113">
        <w:t>122,0</w:t>
      </w:r>
      <w:r w:rsidR="00965D64" w:rsidRPr="00456113">
        <w:t xml:space="preserve"> mld. Kč a v roce 202</w:t>
      </w:r>
      <w:r w:rsidR="004B3BD5" w:rsidRPr="00456113">
        <w:t>4</w:t>
      </w:r>
      <w:r w:rsidR="00965D64" w:rsidRPr="00456113">
        <w:t xml:space="preserve"> pak částkou </w:t>
      </w:r>
      <w:r w:rsidR="004B3BD5" w:rsidRPr="00456113">
        <w:t xml:space="preserve">288,9 </w:t>
      </w:r>
      <w:r w:rsidR="00965D64" w:rsidRPr="00456113">
        <w:t>mld. Kč.</w:t>
      </w:r>
    </w:p>
    <w:p w:rsidR="009245D1" w:rsidRDefault="009245D1" w:rsidP="009245D1">
      <w:pPr>
        <w:pStyle w:val="Titulek"/>
      </w:pPr>
      <w:bookmarkStart w:id="39" w:name="_Toc63685294"/>
      <w:r>
        <w:t xml:space="preserve">Graf č. </w:t>
      </w:r>
      <w:r w:rsidR="008E5E29">
        <w:rPr>
          <w:noProof/>
        </w:rPr>
        <w:fldChar w:fldCharType="begin"/>
      </w:r>
      <w:r w:rsidR="007F5247">
        <w:rPr>
          <w:noProof/>
        </w:rPr>
        <w:instrText xml:space="preserve"> SEQ Graf \* ARABIC </w:instrText>
      </w:r>
      <w:r w:rsidR="008E5E29">
        <w:rPr>
          <w:noProof/>
        </w:rPr>
        <w:fldChar w:fldCharType="separate"/>
      </w:r>
      <w:r w:rsidR="006D5C90">
        <w:rPr>
          <w:noProof/>
        </w:rPr>
        <w:t>14</w:t>
      </w:r>
      <w:r w:rsidR="008E5E29">
        <w:rPr>
          <w:noProof/>
        </w:rPr>
        <w:fldChar w:fldCharType="end"/>
      </w:r>
      <w:r>
        <w:t xml:space="preserve">: </w:t>
      </w:r>
      <w:r w:rsidRPr="00305036">
        <w:t>Hypotetické scénáře vývoje 202</w:t>
      </w:r>
      <w:r w:rsidR="004B3BD5">
        <w:t>2</w:t>
      </w:r>
      <w:r w:rsidRPr="00305036">
        <w:t>–202</w:t>
      </w:r>
      <w:r w:rsidR="004B3BD5">
        <w:t>4</w:t>
      </w:r>
      <w:r w:rsidRPr="00305036">
        <w:t>: podíl zůstatků na účtech ZP na celkových výdajích v</w:t>
      </w:r>
      <w:r w:rsidR="0036041E">
        <w:t> </w:t>
      </w:r>
      <w:r w:rsidRPr="00305036">
        <w:t xml:space="preserve">daném roce – srovnání variant č. 0 a č. 1 </w:t>
      </w:r>
      <w:r w:rsidR="004B3BD5" w:rsidRPr="004B3BD5">
        <w:t xml:space="preserve">dle ZPP 2021, ZPP 2020 a ZPP 2019 </w:t>
      </w:r>
      <w:r w:rsidR="00255A49" w:rsidRPr="00255A49">
        <w:t xml:space="preserve">(růst výdajů </w:t>
      </w:r>
      <w:r w:rsidR="004B3BD5">
        <w:t>2020</w:t>
      </w:r>
      <w:r w:rsidR="00255A49">
        <w:t>/202</w:t>
      </w:r>
      <w:r w:rsidR="004B3BD5">
        <w:t>1</w:t>
      </w:r>
      <w:r w:rsidR="00255A49" w:rsidRPr="00255A49">
        <w:t>)</w:t>
      </w:r>
      <w:bookmarkEnd w:id="39"/>
    </w:p>
    <w:p w:rsidR="004B3BD5" w:rsidRDefault="004B3BD5" w:rsidP="009245D1">
      <w:pPr>
        <w:spacing w:before="180" w:line="276" w:lineRule="auto"/>
        <w:jc w:val="both"/>
        <w:rPr>
          <w:rFonts w:ascii="Calibri" w:hAnsi="Calibri"/>
          <w:i/>
        </w:rPr>
      </w:pPr>
      <w:r>
        <w:rPr>
          <w:noProof/>
          <w:lang w:eastAsia="cs-CZ"/>
        </w:rPr>
        <w:drawing>
          <wp:inline distT="0" distB="0" distL="0" distR="0">
            <wp:extent cx="5972810" cy="2556000"/>
            <wp:effectExtent l="0" t="0" r="8890" b="0"/>
            <wp:docPr id="13" name="Graf 13">
              <a:extLst xmlns:a="http://schemas.openxmlformats.org/drawingml/2006/main">
                <a:ext uri="{FF2B5EF4-FFF2-40B4-BE49-F238E27FC236}">
                  <a16:creationId xmlns:a16="http://schemas.microsoft.com/office/drawing/2014/main" id="{00000000-0008-0000-02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9245D1" w:rsidRPr="00305036" w:rsidRDefault="009245D1" w:rsidP="009245D1">
      <w:pPr>
        <w:spacing w:before="180" w:line="276" w:lineRule="auto"/>
        <w:jc w:val="both"/>
        <w:rPr>
          <w:rFonts w:ascii="Calibri" w:hAnsi="Calibri"/>
        </w:rPr>
      </w:pPr>
      <w:r w:rsidRPr="00456113">
        <w:rPr>
          <w:rFonts w:ascii="Calibri" w:hAnsi="Calibri"/>
          <w:i/>
        </w:rPr>
        <w:lastRenderedPageBreak/>
        <w:t xml:space="preserve">Graf č. </w:t>
      </w:r>
      <w:r w:rsidR="00234D97" w:rsidRPr="00456113">
        <w:rPr>
          <w:rFonts w:ascii="Calibri" w:hAnsi="Calibri"/>
          <w:i/>
        </w:rPr>
        <w:t xml:space="preserve">15 </w:t>
      </w:r>
      <w:r w:rsidRPr="00456113">
        <w:rPr>
          <w:rFonts w:ascii="Calibri" w:hAnsi="Calibri"/>
        </w:rPr>
        <w:t>srovnává</w:t>
      </w:r>
      <w:r w:rsidR="00BD5E23" w:rsidRPr="00456113">
        <w:rPr>
          <w:rFonts w:ascii="Calibri" w:hAnsi="Calibri"/>
        </w:rPr>
        <w:t xml:space="preserve"> i v tomto případě </w:t>
      </w:r>
      <w:r w:rsidRPr="00456113">
        <w:rPr>
          <w:rFonts w:ascii="Calibri" w:hAnsi="Calibri"/>
        </w:rPr>
        <w:t>základní variantu (varianta 0) s variantou č. 2 (mělká dvoulet</w:t>
      </w:r>
      <w:r w:rsidR="006A1D4D" w:rsidRPr="00456113">
        <w:rPr>
          <w:rFonts w:ascii="Calibri" w:hAnsi="Calibri"/>
        </w:rPr>
        <w:t>á</w:t>
      </w:r>
      <w:r w:rsidRPr="00456113">
        <w:rPr>
          <w:rFonts w:ascii="Calibri" w:hAnsi="Calibri"/>
        </w:rPr>
        <w:t xml:space="preserve"> recese). V případě varianty č. 2 by </w:t>
      </w:r>
      <w:r w:rsidR="00234D97" w:rsidRPr="00456113">
        <w:rPr>
          <w:rFonts w:ascii="Calibri" w:hAnsi="Calibri"/>
        </w:rPr>
        <w:t>jak s</w:t>
      </w:r>
      <w:r w:rsidR="003A71E2" w:rsidRPr="00456113">
        <w:rPr>
          <w:rFonts w:ascii="Calibri" w:hAnsi="Calibri"/>
        </w:rPr>
        <w:t> </w:t>
      </w:r>
      <w:r w:rsidR="00234D97" w:rsidRPr="00456113">
        <w:rPr>
          <w:rFonts w:ascii="Calibri" w:hAnsi="Calibri"/>
        </w:rPr>
        <w:t>nulovou</w:t>
      </w:r>
      <w:r w:rsidR="003A71E2" w:rsidRPr="00456113">
        <w:rPr>
          <w:rFonts w:ascii="Calibri" w:hAnsi="Calibri"/>
        </w:rPr>
        <w:t>,</w:t>
      </w:r>
      <w:r w:rsidR="00234D97" w:rsidRPr="00456113">
        <w:rPr>
          <w:rFonts w:ascii="Calibri" w:hAnsi="Calibri"/>
        </w:rPr>
        <w:t xml:space="preserve"> tak i modifikací </w:t>
      </w:r>
      <w:r w:rsidR="00BD5E23" w:rsidRPr="00456113">
        <w:rPr>
          <w:rFonts w:ascii="Calibri" w:hAnsi="Calibri"/>
        </w:rPr>
        <w:t xml:space="preserve">č. 1 </w:t>
      </w:r>
      <w:r w:rsidRPr="00456113">
        <w:rPr>
          <w:rFonts w:ascii="Calibri" w:hAnsi="Calibri"/>
        </w:rPr>
        <w:t>došlo k vyčerpání rezerv</w:t>
      </w:r>
      <w:r w:rsidR="00BD5E23" w:rsidRPr="00456113">
        <w:rPr>
          <w:rFonts w:ascii="Calibri" w:hAnsi="Calibri"/>
        </w:rPr>
        <w:t xml:space="preserve"> v roce 2022</w:t>
      </w:r>
      <w:r w:rsidRPr="00456113">
        <w:rPr>
          <w:rFonts w:ascii="Calibri" w:hAnsi="Calibri"/>
        </w:rPr>
        <w:t xml:space="preserve">, </w:t>
      </w:r>
      <w:r w:rsidR="00BD5E23" w:rsidRPr="00456113">
        <w:rPr>
          <w:rFonts w:ascii="Calibri" w:hAnsi="Calibri"/>
        </w:rPr>
        <w:t xml:space="preserve">kdy by závazky po lhůtě splatnosti byly </w:t>
      </w:r>
      <w:r w:rsidR="00234D97" w:rsidRPr="00456113">
        <w:rPr>
          <w:rFonts w:ascii="Calibri" w:hAnsi="Calibri"/>
        </w:rPr>
        <w:t>6,3</w:t>
      </w:r>
      <w:r w:rsidR="00BD5E23" w:rsidRPr="00456113">
        <w:rPr>
          <w:rFonts w:ascii="Calibri" w:hAnsi="Calibri"/>
        </w:rPr>
        <w:t xml:space="preserve"> mld. Kč</w:t>
      </w:r>
      <w:r w:rsidR="00F44522" w:rsidRPr="00456113">
        <w:rPr>
          <w:rFonts w:ascii="Calibri" w:hAnsi="Calibri"/>
        </w:rPr>
        <w:t>,</w:t>
      </w:r>
      <w:r w:rsidR="00BD5E23" w:rsidRPr="00456113">
        <w:rPr>
          <w:rFonts w:ascii="Calibri" w:hAnsi="Calibri"/>
        </w:rPr>
        <w:t xml:space="preserve"> v roce 202</w:t>
      </w:r>
      <w:r w:rsidR="00234D97" w:rsidRPr="00456113">
        <w:rPr>
          <w:rFonts w:ascii="Calibri" w:hAnsi="Calibri"/>
        </w:rPr>
        <w:t>3</w:t>
      </w:r>
      <w:r w:rsidR="00BD5E23" w:rsidRPr="00456113">
        <w:rPr>
          <w:rFonts w:ascii="Calibri" w:hAnsi="Calibri"/>
        </w:rPr>
        <w:t xml:space="preserve"> pak </w:t>
      </w:r>
      <w:r w:rsidR="00234D97" w:rsidRPr="00456113">
        <w:rPr>
          <w:rFonts w:ascii="Calibri" w:hAnsi="Calibri"/>
        </w:rPr>
        <w:t xml:space="preserve">109,2 </w:t>
      </w:r>
      <w:r w:rsidR="00BD5E23" w:rsidRPr="00456113">
        <w:rPr>
          <w:rFonts w:ascii="Calibri" w:hAnsi="Calibri"/>
        </w:rPr>
        <w:t>mld. Kč</w:t>
      </w:r>
      <w:r w:rsidR="00234D97" w:rsidRPr="00456113">
        <w:rPr>
          <w:rFonts w:ascii="Calibri" w:hAnsi="Calibri"/>
        </w:rPr>
        <w:t xml:space="preserve"> a v roce 2024 pak 265,0 mld. Kč</w:t>
      </w:r>
      <w:r w:rsidR="00BD5E23" w:rsidRPr="00456113">
        <w:rPr>
          <w:rFonts w:ascii="Calibri" w:hAnsi="Calibri"/>
        </w:rPr>
        <w:t xml:space="preserve">. Kumulovaný deficit v tomto případě by činil </w:t>
      </w:r>
      <w:r w:rsidR="0036041E">
        <w:rPr>
          <w:rFonts w:ascii="Calibri" w:hAnsi="Calibri"/>
        </w:rPr>
        <w:t>−</w:t>
      </w:r>
      <w:r w:rsidR="00234D97" w:rsidRPr="00456113">
        <w:rPr>
          <w:rFonts w:ascii="Calibri" w:hAnsi="Calibri"/>
        </w:rPr>
        <w:t xml:space="preserve">312,7 </w:t>
      </w:r>
      <w:r w:rsidR="003E0EC8" w:rsidRPr="00456113">
        <w:rPr>
          <w:rFonts w:ascii="Calibri" w:hAnsi="Calibri"/>
        </w:rPr>
        <w:t>mld. Kč</w:t>
      </w:r>
      <w:r w:rsidR="003A71E2" w:rsidRPr="00456113">
        <w:rPr>
          <w:rFonts w:ascii="Calibri" w:hAnsi="Calibri"/>
        </w:rPr>
        <w:t>,</w:t>
      </w:r>
      <w:r w:rsidR="003E0EC8" w:rsidRPr="00456113">
        <w:rPr>
          <w:rFonts w:ascii="Calibri" w:hAnsi="Calibri"/>
        </w:rPr>
        <w:t xml:space="preserve"> a </w:t>
      </w:r>
      <w:r w:rsidR="00BD5E23" w:rsidRPr="00456113">
        <w:rPr>
          <w:rFonts w:ascii="Calibri" w:hAnsi="Calibri"/>
        </w:rPr>
        <w:t xml:space="preserve">byl </w:t>
      </w:r>
      <w:r w:rsidR="003E0EC8" w:rsidRPr="00456113">
        <w:rPr>
          <w:rFonts w:ascii="Calibri" w:hAnsi="Calibri"/>
        </w:rPr>
        <w:t xml:space="preserve">by tedy </w:t>
      </w:r>
      <w:r w:rsidR="00BD5E23" w:rsidRPr="00456113">
        <w:rPr>
          <w:rFonts w:ascii="Calibri" w:hAnsi="Calibri"/>
        </w:rPr>
        <w:t>nižší než u varianty č. 1</w:t>
      </w:r>
      <w:r w:rsidR="003E0EC8" w:rsidRPr="00456113">
        <w:rPr>
          <w:rFonts w:ascii="Calibri" w:hAnsi="Calibri"/>
        </w:rPr>
        <w:t>.</w:t>
      </w:r>
      <w:r w:rsidR="00BD5E23">
        <w:rPr>
          <w:rFonts w:ascii="Calibri" w:hAnsi="Calibri"/>
        </w:rPr>
        <w:t xml:space="preserve"> </w:t>
      </w:r>
    </w:p>
    <w:p w:rsidR="009245D1" w:rsidRDefault="009245D1" w:rsidP="009245D1">
      <w:pPr>
        <w:pStyle w:val="Titulek"/>
      </w:pPr>
      <w:bookmarkStart w:id="40" w:name="_Toc63685295"/>
      <w:r>
        <w:t xml:space="preserve">Graf č. </w:t>
      </w:r>
      <w:r w:rsidR="008E5E29">
        <w:rPr>
          <w:noProof/>
        </w:rPr>
        <w:fldChar w:fldCharType="begin"/>
      </w:r>
      <w:r w:rsidR="007F5247">
        <w:rPr>
          <w:noProof/>
        </w:rPr>
        <w:instrText xml:space="preserve"> SEQ Graf \* ARABIC </w:instrText>
      </w:r>
      <w:r w:rsidR="008E5E29">
        <w:rPr>
          <w:noProof/>
        </w:rPr>
        <w:fldChar w:fldCharType="separate"/>
      </w:r>
      <w:r w:rsidR="006D5C90">
        <w:rPr>
          <w:noProof/>
        </w:rPr>
        <w:t>15</w:t>
      </w:r>
      <w:r w:rsidR="008E5E29">
        <w:rPr>
          <w:noProof/>
        </w:rPr>
        <w:fldChar w:fldCharType="end"/>
      </w:r>
      <w:r>
        <w:t xml:space="preserve">: </w:t>
      </w:r>
      <w:r w:rsidRPr="00A43E92">
        <w:t xml:space="preserve">Hypotetické scénáře vývoje </w:t>
      </w:r>
      <w:r w:rsidR="003E0EC8" w:rsidRPr="00A43E92">
        <w:t>202</w:t>
      </w:r>
      <w:r w:rsidR="00234D97">
        <w:t>2</w:t>
      </w:r>
      <w:r w:rsidRPr="00A43E92">
        <w:t>–</w:t>
      </w:r>
      <w:r w:rsidR="003E0EC8" w:rsidRPr="00A43E92">
        <w:t>202</w:t>
      </w:r>
      <w:r w:rsidR="00234D97">
        <w:t>4</w:t>
      </w:r>
      <w:r w:rsidRPr="00A43E92">
        <w:t>: podíl zůstatků na účtech ZP na celkových výdajích v</w:t>
      </w:r>
      <w:r w:rsidR="0036041E">
        <w:t> </w:t>
      </w:r>
      <w:r w:rsidRPr="00A43E92">
        <w:t xml:space="preserve">daném roce – srovnání variant č. 0 a č. 2 dle </w:t>
      </w:r>
      <w:r w:rsidR="00234D97" w:rsidRPr="00234D97">
        <w:t xml:space="preserve">ZPP 2021, ZPP 2020 a ZPP 2019 </w:t>
      </w:r>
      <w:r w:rsidR="003E0EC8">
        <w:t>(</w:t>
      </w:r>
      <w:r w:rsidR="003E0EC8" w:rsidRPr="00255A49">
        <w:t xml:space="preserve">růst výdajů </w:t>
      </w:r>
      <w:r w:rsidR="00234D97">
        <w:t>2020</w:t>
      </w:r>
      <w:r w:rsidR="003E0EC8">
        <w:t>/202</w:t>
      </w:r>
      <w:r w:rsidR="00234D97">
        <w:t>1</w:t>
      </w:r>
      <w:r w:rsidR="003E0EC8" w:rsidRPr="00255A49">
        <w:t>)</w:t>
      </w:r>
      <w:bookmarkEnd w:id="40"/>
    </w:p>
    <w:p w:rsidR="005E1AEA" w:rsidRPr="005E1AEA" w:rsidRDefault="005E1AEA" w:rsidP="005E1AEA">
      <w:pPr>
        <w:rPr>
          <w:lang w:bidi="hi-IN"/>
        </w:rPr>
      </w:pPr>
      <w:r>
        <w:rPr>
          <w:noProof/>
          <w:lang w:eastAsia="cs-CZ"/>
        </w:rPr>
        <w:drawing>
          <wp:inline distT="0" distB="0" distL="0" distR="0">
            <wp:extent cx="5972810" cy="2556000"/>
            <wp:effectExtent l="0" t="0" r="8890" b="0"/>
            <wp:docPr id="27" name="Graf 27">
              <a:extLst xmlns:a="http://schemas.openxmlformats.org/drawingml/2006/main">
                <a:ext uri="{FF2B5EF4-FFF2-40B4-BE49-F238E27FC236}">
                  <a16:creationId xmlns:a16="http://schemas.microsoft.com/office/drawing/2014/main" id="{00000000-0008-0000-02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F943BC" w:rsidRPr="00B31112" w:rsidRDefault="00F943BC" w:rsidP="00F943BC">
      <w:pPr>
        <w:pStyle w:val="Nadpis3"/>
      </w:pPr>
      <w:bookmarkStart w:id="41" w:name="_Toc63684678"/>
      <w:r>
        <w:t>Zhodnocení</w:t>
      </w:r>
      <w:bookmarkEnd w:id="41"/>
    </w:p>
    <w:p w:rsidR="00F55D78" w:rsidRDefault="006220F7" w:rsidP="00AC1C60">
      <w:pPr>
        <w:spacing w:before="180" w:line="276" w:lineRule="auto"/>
        <w:jc w:val="both"/>
      </w:pPr>
      <w:r>
        <w:t xml:space="preserve">Ze </w:t>
      </w:r>
      <w:r w:rsidR="00C663C8">
        <w:t>zátěžov</w:t>
      </w:r>
      <w:r>
        <w:t>ých</w:t>
      </w:r>
      <w:r w:rsidR="00C663C8">
        <w:t xml:space="preserve"> test</w:t>
      </w:r>
      <w:r>
        <w:t>ů</w:t>
      </w:r>
      <w:r w:rsidR="00C663C8">
        <w:t xml:space="preserve"> </w:t>
      </w:r>
      <w:r>
        <w:t xml:space="preserve">vycházejí dva </w:t>
      </w:r>
      <w:r w:rsidR="00C663C8">
        <w:t xml:space="preserve">závěry. Test navázaný na střednědobé výhledy potvrdil, </w:t>
      </w:r>
      <w:r w:rsidR="00A95F68">
        <w:t xml:space="preserve">že střednědobé udržitelnosti systému </w:t>
      </w:r>
      <w:r w:rsidR="00D30F4B">
        <w:t>v. z. p.</w:t>
      </w:r>
      <w:r w:rsidR="00A95F68">
        <w:t xml:space="preserve"> při dané predikci příjmů lze dosáhnout pouze prudkým snížením tempa růstu výdajů na zdravotní služby, či jejich poklesem</w:t>
      </w:r>
      <w:r w:rsidR="009D2EAD">
        <w:t xml:space="preserve">, čímž by se dalo předejít hypotetickému vzniku závazků po lhůtě splatnosti, který byl </w:t>
      </w:r>
      <w:r w:rsidR="00607153">
        <w:t xml:space="preserve">střednědobými výhledy </w:t>
      </w:r>
      <w:r w:rsidR="009D2EAD">
        <w:t>indikován pro rok 2023</w:t>
      </w:r>
      <w:r w:rsidR="00A95F68">
        <w:t>.</w:t>
      </w:r>
      <w:r w:rsidR="00F55D78" w:rsidRPr="00F55D78">
        <w:t xml:space="preserve"> </w:t>
      </w:r>
      <w:r w:rsidR="00F55D78">
        <w:t>Této skutečnosti</w:t>
      </w:r>
      <w:r w:rsidR="00A95F68">
        <w:t xml:space="preserve"> </w:t>
      </w:r>
      <w:r w:rsidR="00F55D78" w:rsidRPr="00F01A77">
        <w:t>nezabránilo ani masivní jednorázové navýšení transferu ze státního rozpočtu v letech 2020 a 2021 s kumulativním dopadem oproti nastavené úrovni před pandemií COVID-19 o cca 69 mld. Kč</w:t>
      </w:r>
    </w:p>
    <w:p w:rsidR="003E0EC8" w:rsidRPr="00AC1C60" w:rsidRDefault="00A95F68" w:rsidP="00AC1C60">
      <w:pPr>
        <w:spacing w:before="180" w:line="276" w:lineRule="auto"/>
        <w:jc w:val="both"/>
      </w:pPr>
      <w:r>
        <w:t>Z</w:t>
      </w:r>
      <w:r w:rsidR="003E0EC8" w:rsidRPr="002E0F51">
        <w:t>cela</w:t>
      </w:r>
      <w:r w:rsidR="00AC1C60" w:rsidRPr="002E0F51">
        <w:t xml:space="preserve"> ja</w:t>
      </w:r>
      <w:r w:rsidR="00F44522" w:rsidRPr="002E0F51">
        <w:t xml:space="preserve">sný závěr vyplynul při </w:t>
      </w:r>
      <w:r>
        <w:t>projekci</w:t>
      </w:r>
      <w:r w:rsidR="00F44522" w:rsidRPr="002E0F51">
        <w:t xml:space="preserve"> </w:t>
      </w:r>
      <w:r w:rsidR="00AC1C60" w:rsidRPr="002E0F51">
        <w:t xml:space="preserve">nárůstu výdajů systému </w:t>
      </w:r>
      <w:r w:rsidR="00C663C8" w:rsidRPr="002E0F51">
        <w:t>20</w:t>
      </w:r>
      <w:r w:rsidR="00C663C8">
        <w:t>20</w:t>
      </w:r>
      <w:r w:rsidR="00AC1C60" w:rsidRPr="002E0F51">
        <w:t>/202</w:t>
      </w:r>
      <w:r w:rsidR="00C663C8">
        <w:t>1</w:t>
      </w:r>
      <w:r w:rsidR="00AC1C60" w:rsidRPr="002E0F51">
        <w:t xml:space="preserve"> i v následujících letech. Ve</w:t>
      </w:r>
      <w:r w:rsidR="00B37AE0">
        <w:t> </w:t>
      </w:r>
      <w:r w:rsidR="00AC1C60" w:rsidRPr="002E0F51">
        <w:t xml:space="preserve">všech uvažovaných </w:t>
      </w:r>
      <w:r w:rsidR="00626AEB">
        <w:t>modelacích</w:t>
      </w:r>
      <w:r w:rsidR="00AC1C60" w:rsidRPr="002E0F51">
        <w:t xml:space="preserve"> </w:t>
      </w:r>
      <w:r w:rsidR="00F44522" w:rsidRPr="002E0F51">
        <w:t xml:space="preserve">vychází </w:t>
      </w:r>
      <w:r w:rsidR="00525175" w:rsidRPr="002E0F51">
        <w:t>tento vývoj</w:t>
      </w:r>
      <w:r w:rsidR="00123AEB" w:rsidRPr="002E0F51">
        <w:t xml:space="preserve"> </w:t>
      </w:r>
      <w:r w:rsidR="00525175" w:rsidRPr="002E0F51">
        <w:t>jako</w:t>
      </w:r>
      <w:r w:rsidR="00AC1C60" w:rsidRPr="002E0F51">
        <w:t xml:space="preserve"> významně rizikový a z hlediska fiskálních dopadů na systém jako střednědobě neudržitelný.</w:t>
      </w:r>
      <w:r w:rsidR="00626AEB">
        <w:t xml:space="preserve"> Oproti předchozím letům dochází ke snížení střednědobé i krátkodobé odolnosti systému </w:t>
      </w:r>
      <w:r w:rsidR="00D30F4B">
        <w:t>v. z. p.</w:t>
      </w:r>
    </w:p>
    <w:p w:rsidR="00E450DF" w:rsidRDefault="00436F6E" w:rsidP="00AC25F3">
      <w:pPr>
        <w:pStyle w:val="Nadpis2"/>
      </w:pPr>
      <w:r>
        <w:br w:type="page"/>
      </w:r>
      <w:bookmarkStart w:id="42" w:name="_Toc63684679"/>
      <w:r w:rsidR="00E450DF" w:rsidRPr="009A5A66">
        <w:lastRenderedPageBreak/>
        <w:t xml:space="preserve">Pojištěnci </w:t>
      </w:r>
      <w:r w:rsidR="005E3239">
        <w:t xml:space="preserve">a zaměstnanci </w:t>
      </w:r>
      <w:r w:rsidR="00E450DF" w:rsidRPr="009A5A66">
        <w:t>systému v. z. p.</w:t>
      </w:r>
      <w:bookmarkEnd w:id="42"/>
      <w:r w:rsidR="00E450DF" w:rsidRPr="005E1526">
        <w:t xml:space="preserve"> </w:t>
      </w:r>
    </w:p>
    <w:p w:rsidR="00665DCC" w:rsidRDefault="00E450DF" w:rsidP="00E450DF">
      <w:pPr>
        <w:spacing w:before="180" w:line="276" w:lineRule="auto"/>
        <w:jc w:val="both"/>
      </w:pPr>
      <w:r>
        <w:t xml:space="preserve">Ke konci roku </w:t>
      </w:r>
      <w:r w:rsidR="00123AEB">
        <w:t>202</w:t>
      </w:r>
      <w:r w:rsidR="00446C31">
        <w:t>1</w:t>
      </w:r>
      <w:r w:rsidR="00123AEB">
        <w:t xml:space="preserve"> </w:t>
      </w:r>
      <w:r>
        <w:t xml:space="preserve">zdravotní pojišťovny odhadují celkový počet </w:t>
      </w:r>
      <w:r w:rsidRPr="00035EB9">
        <w:t>pojištěnců systému v. z. p</w:t>
      </w:r>
      <w:r>
        <w:t xml:space="preserve">.  v hodnotě </w:t>
      </w:r>
      <w:r w:rsidR="00B6092A">
        <w:t>10,5</w:t>
      </w:r>
      <w:r w:rsidR="008C6C3C">
        <w:t>4</w:t>
      </w:r>
      <w:r w:rsidR="0038289F">
        <w:t xml:space="preserve"> </w:t>
      </w:r>
      <w:r w:rsidRPr="004C2B09">
        <w:t>mil</w:t>
      </w:r>
      <w:r>
        <w:t xml:space="preserve">. osob, z toho pak VZP ČR očekává </w:t>
      </w:r>
      <w:r w:rsidR="00665DCC" w:rsidRPr="00665DCC">
        <w:t>5</w:t>
      </w:r>
      <w:r w:rsidR="00665DCC">
        <w:t>,</w:t>
      </w:r>
      <w:r w:rsidR="00665DCC" w:rsidRPr="00665DCC">
        <w:t>9</w:t>
      </w:r>
      <w:r w:rsidR="008C6C3C">
        <w:t>1</w:t>
      </w:r>
      <w:r w:rsidR="00665DCC">
        <w:t xml:space="preserve"> </w:t>
      </w:r>
      <w:r w:rsidRPr="00035EB9">
        <w:t xml:space="preserve">mil. pojištěnců, </w:t>
      </w:r>
      <w:r>
        <w:t>(</w:t>
      </w:r>
      <w:r w:rsidRPr="00035EB9">
        <w:t xml:space="preserve">tj. </w:t>
      </w:r>
      <w:r w:rsidR="00665DCC" w:rsidRPr="00665DCC">
        <w:t>56</w:t>
      </w:r>
      <w:r w:rsidR="00665DCC">
        <w:t>,</w:t>
      </w:r>
      <w:r w:rsidR="00E176CD">
        <w:t>1</w:t>
      </w:r>
      <w:r w:rsidR="00B6092A">
        <w:t xml:space="preserve"> </w:t>
      </w:r>
      <w:r w:rsidRPr="00035EB9">
        <w:t>%</w:t>
      </w:r>
      <w:r>
        <w:t>).</w:t>
      </w:r>
      <w:r w:rsidRPr="00035EB9">
        <w:t xml:space="preserve"> </w:t>
      </w:r>
      <w:r>
        <w:t xml:space="preserve">To představuje u VZP ČR </w:t>
      </w:r>
      <w:r w:rsidR="00D977BD">
        <w:t>mírný pokles</w:t>
      </w:r>
      <w:r>
        <w:t xml:space="preserve"> počtu pojištěnců</w:t>
      </w:r>
      <w:r w:rsidR="00C3261A">
        <w:t>.</w:t>
      </w:r>
      <w:r>
        <w:t xml:space="preserve"> </w:t>
      </w:r>
    </w:p>
    <w:p w:rsidR="00E450DF" w:rsidRDefault="00E450DF" w:rsidP="00E450DF">
      <w:pPr>
        <w:pStyle w:val="Titulek"/>
        <w:jc w:val="both"/>
      </w:pPr>
      <w:bookmarkStart w:id="43" w:name="_Toc63685266"/>
      <w:r w:rsidRPr="00C75FC6">
        <w:t xml:space="preserve">Tabulka č. </w:t>
      </w:r>
      <w:r w:rsidR="008E5E29">
        <w:rPr>
          <w:noProof/>
        </w:rPr>
        <w:fldChar w:fldCharType="begin"/>
      </w:r>
      <w:r w:rsidR="007F5247">
        <w:rPr>
          <w:noProof/>
        </w:rPr>
        <w:instrText xml:space="preserve"> SEQ Tabulka \* ARABIC </w:instrText>
      </w:r>
      <w:r w:rsidR="008E5E29">
        <w:rPr>
          <w:noProof/>
        </w:rPr>
        <w:fldChar w:fldCharType="separate"/>
      </w:r>
      <w:r w:rsidR="006D5C90">
        <w:rPr>
          <w:noProof/>
        </w:rPr>
        <w:t>13</w:t>
      </w:r>
      <w:r w:rsidR="008E5E29">
        <w:rPr>
          <w:noProof/>
        </w:rPr>
        <w:fldChar w:fldCharType="end"/>
      </w:r>
      <w:r w:rsidRPr="00C75FC6">
        <w:t xml:space="preserve">: </w:t>
      </w:r>
      <w:r w:rsidRPr="007E01C6">
        <w:t xml:space="preserve">Pojištěnci a zaměstnanci systému v. z. p. </w:t>
      </w:r>
      <w:r w:rsidR="00665DCC" w:rsidRPr="007E01C6">
        <w:t>20</w:t>
      </w:r>
      <w:r w:rsidR="00665DCC">
        <w:t>2</w:t>
      </w:r>
      <w:r w:rsidR="007B479E">
        <w:t>1</w:t>
      </w:r>
      <w:r w:rsidR="00665DCC">
        <w:t xml:space="preserve"> </w:t>
      </w:r>
      <w:r w:rsidRPr="007E01C6">
        <w:t>dle zdravotních pojišťoven</w:t>
      </w:r>
      <w:bookmarkEnd w:id="43"/>
    </w:p>
    <w:tbl>
      <w:tblPr>
        <w:tblW w:w="9600" w:type="dxa"/>
        <w:tblInd w:w="55" w:type="dxa"/>
        <w:tblCellMar>
          <w:left w:w="70" w:type="dxa"/>
          <w:right w:w="70" w:type="dxa"/>
        </w:tblCellMar>
        <w:tblLook w:val="04A0" w:firstRow="1" w:lastRow="0" w:firstColumn="1" w:lastColumn="0" w:noHBand="0" w:noVBand="1"/>
      </w:tblPr>
      <w:tblGrid>
        <w:gridCol w:w="2283"/>
        <w:gridCol w:w="1134"/>
        <w:gridCol w:w="993"/>
        <w:gridCol w:w="1134"/>
        <w:gridCol w:w="992"/>
        <w:gridCol w:w="992"/>
        <w:gridCol w:w="1112"/>
        <w:gridCol w:w="960"/>
      </w:tblGrid>
      <w:tr w:rsidR="00E450DF" w:rsidRPr="005C6EAA" w:rsidTr="00E32C13">
        <w:trPr>
          <w:trHeight w:val="315"/>
        </w:trPr>
        <w:tc>
          <w:tcPr>
            <w:tcW w:w="2283" w:type="dxa"/>
            <w:tcBorders>
              <w:top w:val="single" w:sz="12" w:space="0" w:color="4F81BD"/>
              <w:left w:val="single" w:sz="12" w:space="0" w:color="4F81BD"/>
              <w:bottom w:val="nil"/>
              <w:right w:val="nil"/>
            </w:tcBorders>
            <w:shd w:val="clear" w:color="000000" w:fill="4F81BD"/>
            <w:vAlign w:val="center"/>
            <w:hideMark/>
          </w:tcPr>
          <w:p w:rsidR="00E450DF" w:rsidRPr="005C6EAA" w:rsidRDefault="00E450DF" w:rsidP="00753E61">
            <w:pPr>
              <w:spacing w:after="0" w:line="240" w:lineRule="auto"/>
              <w:rPr>
                <w:rFonts w:ascii="Calibri" w:eastAsia="Times New Roman" w:hAnsi="Calibri" w:cs="Times New Roman"/>
                <w:b/>
                <w:bCs/>
                <w:color w:val="FFFFFF"/>
                <w:szCs w:val="21"/>
                <w:lang w:eastAsia="cs-CZ"/>
              </w:rPr>
            </w:pPr>
            <w:r w:rsidRPr="005C6EAA">
              <w:rPr>
                <w:rFonts w:ascii="Calibri" w:eastAsia="Times New Roman" w:hAnsi="Calibri" w:cs="Times New Roman"/>
                <w:b/>
                <w:bCs/>
                <w:color w:val="FFFFFF"/>
                <w:szCs w:val="21"/>
                <w:lang w:eastAsia="cs-CZ"/>
              </w:rPr>
              <w:t>ZPP 20</w:t>
            </w:r>
            <w:r w:rsidR="0038289F">
              <w:rPr>
                <w:rFonts w:ascii="Calibri" w:eastAsia="Times New Roman" w:hAnsi="Calibri" w:cs="Times New Roman"/>
                <w:b/>
                <w:bCs/>
                <w:color w:val="FFFFFF"/>
                <w:szCs w:val="21"/>
                <w:lang w:eastAsia="cs-CZ"/>
              </w:rPr>
              <w:t>2</w:t>
            </w:r>
            <w:r w:rsidR="00D977BD">
              <w:rPr>
                <w:rFonts w:ascii="Calibri" w:eastAsia="Times New Roman" w:hAnsi="Calibri" w:cs="Times New Roman"/>
                <w:b/>
                <w:bCs/>
                <w:color w:val="FFFFFF"/>
                <w:szCs w:val="21"/>
                <w:lang w:eastAsia="cs-CZ"/>
              </w:rPr>
              <w:t>1</w:t>
            </w:r>
          </w:p>
        </w:tc>
        <w:tc>
          <w:tcPr>
            <w:tcW w:w="1134" w:type="dxa"/>
            <w:vMerge w:val="restart"/>
            <w:tcBorders>
              <w:top w:val="single" w:sz="12" w:space="0" w:color="4F81BD"/>
              <w:left w:val="nil"/>
              <w:bottom w:val="nil"/>
              <w:right w:val="nil"/>
            </w:tcBorders>
            <w:shd w:val="clear" w:color="000000" w:fill="6691C6"/>
            <w:noWrap/>
            <w:vAlign w:val="center"/>
            <w:hideMark/>
          </w:tcPr>
          <w:p w:rsidR="00E450DF" w:rsidRPr="005C6EAA" w:rsidRDefault="00E450DF" w:rsidP="00753E61">
            <w:pPr>
              <w:spacing w:after="0" w:line="240" w:lineRule="auto"/>
              <w:jc w:val="center"/>
              <w:rPr>
                <w:rFonts w:ascii="Calibri" w:eastAsia="Times New Roman" w:hAnsi="Calibri" w:cs="Times New Roman"/>
                <w:color w:val="FFFFFF"/>
                <w:szCs w:val="21"/>
                <w:lang w:eastAsia="cs-CZ"/>
              </w:rPr>
            </w:pPr>
            <w:r w:rsidRPr="005C6EAA">
              <w:rPr>
                <w:rFonts w:ascii="Calibri" w:eastAsia="Times New Roman" w:hAnsi="Calibri" w:cs="Times New Roman"/>
                <w:color w:val="FFFFFF" w:themeColor="background1"/>
                <w:szCs w:val="21"/>
                <w:lang w:eastAsia="cs-CZ"/>
              </w:rPr>
              <w:t>VZP ČR</w:t>
            </w:r>
          </w:p>
        </w:tc>
        <w:tc>
          <w:tcPr>
            <w:tcW w:w="993" w:type="dxa"/>
            <w:vMerge w:val="restart"/>
            <w:tcBorders>
              <w:top w:val="single" w:sz="12" w:space="0" w:color="4F81BD"/>
              <w:left w:val="nil"/>
              <w:bottom w:val="nil"/>
              <w:right w:val="nil"/>
            </w:tcBorders>
            <w:shd w:val="clear" w:color="000000" w:fill="4F81BD"/>
            <w:noWrap/>
            <w:vAlign w:val="center"/>
            <w:hideMark/>
          </w:tcPr>
          <w:p w:rsidR="00E450DF" w:rsidRPr="005C6EAA" w:rsidRDefault="00E450DF" w:rsidP="00753E61">
            <w:pPr>
              <w:spacing w:after="0" w:line="240" w:lineRule="auto"/>
              <w:jc w:val="center"/>
              <w:rPr>
                <w:rFonts w:ascii="Calibri" w:eastAsia="Times New Roman" w:hAnsi="Calibri" w:cs="Times New Roman"/>
                <w:color w:val="FFFFFF"/>
                <w:szCs w:val="21"/>
                <w:lang w:eastAsia="cs-CZ"/>
              </w:rPr>
            </w:pPr>
            <w:proofErr w:type="spellStart"/>
            <w:r w:rsidRPr="005C6EAA">
              <w:rPr>
                <w:rFonts w:ascii="Calibri" w:eastAsia="Times New Roman" w:hAnsi="Calibri" w:cs="Times New Roman"/>
                <w:color w:val="FFFFFF" w:themeColor="background1"/>
                <w:szCs w:val="21"/>
                <w:lang w:eastAsia="cs-CZ"/>
              </w:rPr>
              <w:t>VoZP</w:t>
            </w:r>
            <w:proofErr w:type="spellEnd"/>
            <w:r w:rsidRPr="005C6EAA">
              <w:rPr>
                <w:rFonts w:ascii="Calibri" w:eastAsia="Times New Roman" w:hAnsi="Calibri" w:cs="Times New Roman"/>
                <w:color w:val="FFFFFF" w:themeColor="background1"/>
                <w:szCs w:val="21"/>
                <w:lang w:eastAsia="cs-CZ"/>
              </w:rPr>
              <w:t xml:space="preserve"> ČR</w:t>
            </w:r>
          </w:p>
        </w:tc>
        <w:tc>
          <w:tcPr>
            <w:tcW w:w="1134" w:type="dxa"/>
            <w:vMerge w:val="restart"/>
            <w:tcBorders>
              <w:top w:val="single" w:sz="12" w:space="0" w:color="4F81BD"/>
              <w:left w:val="nil"/>
              <w:bottom w:val="nil"/>
              <w:right w:val="nil"/>
            </w:tcBorders>
            <w:shd w:val="clear" w:color="000000" w:fill="6691C6"/>
            <w:noWrap/>
            <w:vAlign w:val="center"/>
            <w:hideMark/>
          </w:tcPr>
          <w:p w:rsidR="00E450DF" w:rsidRPr="005C6EAA" w:rsidRDefault="00E450DF" w:rsidP="00753E61">
            <w:pPr>
              <w:spacing w:after="0" w:line="240" w:lineRule="auto"/>
              <w:jc w:val="center"/>
              <w:rPr>
                <w:rFonts w:ascii="Calibri" w:eastAsia="Times New Roman" w:hAnsi="Calibri" w:cs="Times New Roman"/>
                <w:color w:val="FFFFFF"/>
                <w:szCs w:val="21"/>
                <w:lang w:eastAsia="cs-CZ"/>
              </w:rPr>
            </w:pPr>
            <w:r w:rsidRPr="005C6EAA">
              <w:rPr>
                <w:rFonts w:ascii="Calibri" w:eastAsia="Times New Roman" w:hAnsi="Calibri" w:cs="Times New Roman"/>
                <w:color w:val="FFFFFF" w:themeColor="background1"/>
                <w:szCs w:val="21"/>
                <w:lang w:eastAsia="cs-CZ"/>
              </w:rPr>
              <w:t>ČPZP</w:t>
            </w:r>
          </w:p>
        </w:tc>
        <w:tc>
          <w:tcPr>
            <w:tcW w:w="992" w:type="dxa"/>
            <w:vMerge w:val="restart"/>
            <w:tcBorders>
              <w:top w:val="single" w:sz="12" w:space="0" w:color="4F81BD"/>
              <w:left w:val="nil"/>
              <w:bottom w:val="nil"/>
              <w:right w:val="nil"/>
            </w:tcBorders>
            <w:shd w:val="clear" w:color="000000" w:fill="4F81BD"/>
            <w:vAlign w:val="center"/>
            <w:hideMark/>
          </w:tcPr>
          <w:p w:rsidR="00E450DF" w:rsidRPr="005C6EAA" w:rsidRDefault="00E450DF" w:rsidP="00753E61">
            <w:pPr>
              <w:spacing w:after="0" w:line="240" w:lineRule="auto"/>
              <w:jc w:val="center"/>
              <w:rPr>
                <w:rFonts w:ascii="Calibri" w:eastAsia="Times New Roman" w:hAnsi="Calibri" w:cs="Times New Roman"/>
                <w:color w:val="FFFFFF"/>
                <w:szCs w:val="21"/>
                <w:lang w:eastAsia="cs-CZ"/>
              </w:rPr>
            </w:pPr>
            <w:r w:rsidRPr="005C6EAA">
              <w:rPr>
                <w:rFonts w:ascii="Calibri" w:eastAsia="Times New Roman" w:hAnsi="Calibri" w:cs="Times New Roman"/>
                <w:color w:val="FFFFFF" w:themeColor="background1"/>
                <w:szCs w:val="21"/>
                <w:lang w:eastAsia="cs-CZ"/>
              </w:rPr>
              <w:t>OZP</w:t>
            </w:r>
          </w:p>
        </w:tc>
        <w:tc>
          <w:tcPr>
            <w:tcW w:w="992" w:type="dxa"/>
            <w:vMerge w:val="restart"/>
            <w:tcBorders>
              <w:top w:val="single" w:sz="12" w:space="0" w:color="4F81BD"/>
              <w:left w:val="nil"/>
              <w:bottom w:val="nil"/>
              <w:right w:val="nil"/>
            </w:tcBorders>
            <w:shd w:val="clear" w:color="000000" w:fill="6691C6"/>
            <w:vAlign w:val="center"/>
            <w:hideMark/>
          </w:tcPr>
          <w:p w:rsidR="00E450DF" w:rsidRPr="005C6EAA" w:rsidRDefault="00E450DF" w:rsidP="00753E61">
            <w:pPr>
              <w:spacing w:after="0" w:line="240" w:lineRule="auto"/>
              <w:jc w:val="center"/>
              <w:rPr>
                <w:rFonts w:ascii="Calibri" w:eastAsia="Times New Roman" w:hAnsi="Calibri" w:cs="Times New Roman"/>
                <w:color w:val="FFFFFF"/>
                <w:szCs w:val="21"/>
                <w:lang w:eastAsia="cs-CZ"/>
              </w:rPr>
            </w:pPr>
            <w:r w:rsidRPr="005C6EAA">
              <w:rPr>
                <w:rFonts w:ascii="Calibri" w:eastAsia="Times New Roman" w:hAnsi="Calibri" w:cs="Times New Roman"/>
                <w:color w:val="FFFFFF" w:themeColor="background1"/>
                <w:szCs w:val="21"/>
                <w:lang w:eastAsia="cs-CZ"/>
              </w:rPr>
              <w:t>ZPŠ</w:t>
            </w:r>
          </w:p>
        </w:tc>
        <w:tc>
          <w:tcPr>
            <w:tcW w:w="1112" w:type="dxa"/>
            <w:vMerge w:val="restart"/>
            <w:tcBorders>
              <w:top w:val="single" w:sz="12" w:space="0" w:color="4F81BD"/>
              <w:left w:val="nil"/>
              <w:bottom w:val="nil"/>
              <w:right w:val="nil"/>
            </w:tcBorders>
            <w:shd w:val="clear" w:color="000000" w:fill="4F81BD"/>
            <w:vAlign w:val="center"/>
            <w:hideMark/>
          </w:tcPr>
          <w:p w:rsidR="00E450DF" w:rsidRPr="005C6EAA" w:rsidRDefault="00DF5584" w:rsidP="00753E61">
            <w:pPr>
              <w:spacing w:after="0" w:line="240" w:lineRule="auto"/>
              <w:jc w:val="center"/>
              <w:rPr>
                <w:rFonts w:ascii="Calibri" w:eastAsia="Times New Roman" w:hAnsi="Calibri" w:cs="Times New Roman"/>
                <w:color w:val="FFFFFF"/>
                <w:szCs w:val="21"/>
                <w:lang w:eastAsia="cs-CZ"/>
              </w:rPr>
            </w:pPr>
            <w:r>
              <w:rPr>
                <w:rFonts w:ascii="Calibri" w:eastAsia="Times New Roman" w:hAnsi="Calibri" w:cs="Times New Roman"/>
                <w:color w:val="FFFFFF" w:themeColor="background1"/>
                <w:szCs w:val="21"/>
                <w:lang w:eastAsia="cs-CZ"/>
              </w:rPr>
              <w:t>ZP MV ČR</w:t>
            </w:r>
          </w:p>
        </w:tc>
        <w:tc>
          <w:tcPr>
            <w:tcW w:w="960" w:type="dxa"/>
            <w:vMerge w:val="restart"/>
            <w:tcBorders>
              <w:top w:val="single" w:sz="12" w:space="0" w:color="4F81BD"/>
              <w:left w:val="nil"/>
              <w:bottom w:val="nil"/>
              <w:right w:val="single" w:sz="12" w:space="0" w:color="4F81BD"/>
            </w:tcBorders>
            <w:shd w:val="clear" w:color="000000" w:fill="6691C6"/>
            <w:vAlign w:val="center"/>
            <w:hideMark/>
          </w:tcPr>
          <w:p w:rsidR="00E450DF" w:rsidRPr="005C6EAA" w:rsidRDefault="00E450DF" w:rsidP="00753E61">
            <w:pPr>
              <w:spacing w:after="0" w:line="240" w:lineRule="auto"/>
              <w:jc w:val="center"/>
              <w:rPr>
                <w:rFonts w:ascii="Calibri" w:eastAsia="Times New Roman" w:hAnsi="Calibri" w:cs="Times New Roman"/>
                <w:color w:val="FFFFFF"/>
                <w:szCs w:val="21"/>
                <w:lang w:eastAsia="cs-CZ"/>
              </w:rPr>
            </w:pPr>
            <w:r w:rsidRPr="005C6EAA">
              <w:rPr>
                <w:rFonts w:ascii="Calibri" w:eastAsia="Times New Roman" w:hAnsi="Calibri" w:cs="Times New Roman"/>
                <w:color w:val="FFFFFF" w:themeColor="background1"/>
                <w:szCs w:val="21"/>
                <w:lang w:eastAsia="cs-CZ"/>
              </w:rPr>
              <w:t>RBP</w:t>
            </w:r>
          </w:p>
        </w:tc>
      </w:tr>
      <w:tr w:rsidR="00E450DF" w:rsidRPr="005C6EAA" w:rsidTr="00E32C13">
        <w:trPr>
          <w:trHeight w:val="300"/>
        </w:trPr>
        <w:tc>
          <w:tcPr>
            <w:tcW w:w="2283" w:type="dxa"/>
            <w:tcBorders>
              <w:top w:val="nil"/>
              <w:left w:val="single" w:sz="12" w:space="0" w:color="4F81BD"/>
              <w:bottom w:val="nil"/>
              <w:right w:val="nil"/>
            </w:tcBorders>
            <w:shd w:val="clear" w:color="000000" w:fill="4F81BD"/>
            <w:vAlign w:val="center"/>
            <w:hideMark/>
          </w:tcPr>
          <w:p w:rsidR="00E450DF" w:rsidRPr="005C6EAA" w:rsidRDefault="00E450DF" w:rsidP="00753E61">
            <w:pPr>
              <w:spacing w:after="0" w:line="240" w:lineRule="auto"/>
              <w:rPr>
                <w:rFonts w:ascii="Calibri" w:eastAsia="Times New Roman" w:hAnsi="Calibri" w:cs="Times New Roman"/>
                <w:b/>
                <w:bCs/>
                <w:i/>
                <w:iCs/>
                <w:color w:val="FFFFFF"/>
                <w:szCs w:val="21"/>
                <w:lang w:eastAsia="cs-CZ"/>
              </w:rPr>
            </w:pPr>
            <w:r w:rsidRPr="005C6EAA">
              <w:rPr>
                <w:rFonts w:ascii="Calibri" w:eastAsia="Times New Roman" w:hAnsi="Calibri" w:cs="Times New Roman"/>
                <w:b/>
                <w:bCs/>
                <w:i/>
                <w:iCs/>
                <w:color w:val="FFFFFF"/>
                <w:szCs w:val="21"/>
                <w:lang w:eastAsia="cs-CZ"/>
              </w:rPr>
              <w:t>(průměrný počet)</w:t>
            </w:r>
          </w:p>
        </w:tc>
        <w:tc>
          <w:tcPr>
            <w:tcW w:w="1134" w:type="dxa"/>
            <w:vMerge/>
            <w:tcBorders>
              <w:top w:val="single" w:sz="12" w:space="0" w:color="4F81BD"/>
              <w:left w:val="nil"/>
              <w:bottom w:val="nil"/>
              <w:right w:val="nil"/>
            </w:tcBorders>
            <w:vAlign w:val="center"/>
            <w:hideMark/>
          </w:tcPr>
          <w:p w:rsidR="00E450DF" w:rsidRPr="005C6EAA" w:rsidRDefault="00E450DF" w:rsidP="00753E61">
            <w:pPr>
              <w:spacing w:after="0" w:line="240" w:lineRule="auto"/>
              <w:rPr>
                <w:rFonts w:ascii="Calibri" w:eastAsia="Times New Roman" w:hAnsi="Calibri" w:cs="Times New Roman"/>
                <w:color w:val="FFFFFF"/>
                <w:szCs w:val="21"/>
                <w:lang w:eastAsia="cs-CZ"/>
              </w:rPr>
            </w:pPr>
          </w:p>
        </w:tc>
        <w:tc>
          <w:tcPr>
            <w:tcW w:w="993" w:type="dxa"/>
            <w:vMerge/>
            <w:tcBorders>
              <w:top w:val="single" w:sz="12" w:space="0" w:color="4F81BD"/>
              <w:left w:val="nil"/>
              <w:bottom w:val="nil"/>
              <w:right w:val="nil"/>
            </w:tcBorders>
            <w:vAlign w:val="center"/>
            <w:hideMark/>
          </w:tcPr>
          <w:p w:rsidR="00E450DF" w:rsidRPr="005C6EAA" w:rsidRDefault="00E450DF" w:rsidP="00753E61">
            <w:pPr>
              <w:spacing w:after="0" w:line="240" w:lineRule="auto"/>
              <w:rPr>
                <w:rFonts w:ascii="Calibri" w:eastAsia="Times New Roman" w:hAnsi="Calibri" w:cs="Times New Roman"/>
                <w:color w:val="FFFFFF"/>
                <w:szCs w:val="21"/>
                <w:lang w:eastAsia="cs-CZ"/>
              </w:rPr>
            </w:pPr>
          </w:p>
        </w:tc>
        <w:tc>
          <w:tcPr>
            <w:tcW w:w="1134" w:type="dxa"/>
            <w:vMerge/>
            <w:tcBorders>
              <w:top w:val="single" w:sz="12" w:space="0" w:color="4F81BD"/>
              <w:left w:val="nil"/>
              <w:bottom w:val="nil"/>
              <w:right w:val="nil"/>
            </w:tcBorders>
            <w:vAlign w:val="center"/>
            <w:hideMark/>
          </w:tcPr>
          <w:p w:rsidR="00E450DF" w:rsidRPr="005C6EAA" w:rsidRDefault="00E450DF" w:rsidP="00753E61">
            <w:pPr>
              <w:spacing w:after="0" w:line="240" w:lineRule="auto"/>
              <w:rPr>
                <w:rFonts w:ascii="Calibri" w:eastAsia="Times New Roman" w:hAnsi="Calibri" w:cs="Times New Roman"/>
                <w:color w:val="FFFFFF"/>
                <w:szCs w:val="21"/>
                <w:lang w:eastAsia="cs-CZ"/>
              </w:rPr>
            </w:pPr>
          </w:p>
        </w:tc>
        <w:tc>
          <w:tcPr>
            <w:tcW w:w="992" w:type="dxa"/>
            <w:vMerge/>
            <w:tcBorders>
              <w:top w:val="single" w:sz="12" w:space="0" w:color="4F81BD"/>
              <w:left w:val="nil"/>
              <w:bottom w:val="nil"/>
              <w:right w:val="nil"/>
            </w:tcBorders>
            <w:vAlign w:val="center"/>
            <w:hideMark/>
          </w:tcPr>
          <w:p w:rsidR="00E450DF" w:rsidRPr="005C6EAA" w:rsidRDefault="00E450DF" w:rsidP="00753E61">
            <w:pPr>
              <w:spacing w:after="0" w:line="240" w:lineRule="auto"/>
              <w:rPr>
                <w:rFonts w:ascii="Calibri" w:eastAsia="Times New Roman" w:hAnsi="Calibri" w:cs="Times New Roman"/>
                <w:color w:val="FFFFFF"/>
                <w:szCs w:val="21"/>
                <w:lang w:eastAsia="cs-CZ"/>
              </w:rPr>
            </w:pPr>
          </w:p>
        </w:tc>
        <w:tc>
          <w:tcPr>
            <w:tcW w:w="992" w:type="dxa"/>
            <w:vMerge/>
            <w:tcBorders>
              <w:top w:val="single" w:sz="12" w:space="0" w:color="4F81BD"/>
              <w:left w:val="nil"/>
              <w:bottom w:val="nil"/>
              <w:right w:val="nil"/>
            </w:tcBorders>
            <w:vAlign w:val="center"/>
            <w:hideMark/>
          </w:tcPr>
          <w:p w:rsidR="00E450DF" w:rsidRPr="005C6EAA" w:rsidRDefault="00E450DF" w:rsidP="00753E61">
            <w:pPr>
              <w:spacing w:after="0" w:line="240" w:lineRule="auto"/>
              <w:rPr>
                <w:rFonts w:ascii="Calibri" w:eastAsia="Times New Roman" w:hAnsi="Calibri" w:cs="Times New Roman"/>
                <w:color w:val="FFFFFF"/>
                <w:szCs w:val="21"/>
                <w:lang w:eastAsia="cs-CZ"/>
              </w:rPr>
            </w:pPr>
          </w:p>
        </w:tc>
        <w:tc>
          <w:tcPr>
            <w:tcW w:w="1112" w:type="dxa"/>
            <w:vMerge/>
            <w:tcBorders>
              <w:top w:val="single" w:sz="12" w:space="0" w:color="4F81BD"/>
              <w:left w:val="nil"/>
              <w:bottom w:val="nil"/>
              <w:right w:val="nil"/>
            </w:tcBorders>
            <w:vAlign w:val="center"/>
            <w:hideMark/>
          </w:tcPr>
          <w:p w:rsidR="00E450DF" w:rsidRPr="005C6EAA" w:rsidRDefault="00E450DF" w:rsidP="00753E61">
            <w:pPr>
              <w:spacing w:after="0" w:line="240" w:lineRule="auto"/>
              <w:rPr>
                <w:rFonts w:ascii="Calibri" w:eastAsia="Times New Roman" w:hAnsi="Calibri" w:cs="Times New Roman"/>
                <w:color w:val="FFFFFF"/>
                <w:szCs w:val="21"/>
                <w:lang w:eastAsia="cs-CZ"/>
              </w:rPr>
            </w:pPr>
          </w:p>
        </w:tc>
        <w:tc>
          <w:tcPr>
            <w:tcW w:w="960" w:type="dxa"/>
            <w:vMerge/>
            <w:tcBorders>
              <w:top w:val="single" w:sz="12" w:space="0" w:color="4F81BD"/>
              <w:left w:val="nil"/>
              <w:bottom w:val="nil"/>
              <w:right w:val="single" w:sz="12" w:space="0" w:color="4F81BD"/>
            </w:tcBorders>
            <w:vAlign w:val="center"/>
            <w:hideMark/>
          </w:tcPr>
          <w:p w:rsidR="00E450DF" w:rsidRPr="005C6EAA" w:rsidRDefault="00E450DF" w:rsidP="00753E61">
            <w:pPr>
              <w:spacing w:after="0" w:line="240" w:lineRule="auto"/>
              <w:rPr>
                <w:rFonts w:ascii="Calibri" w:eastAsia="Times New Roman" w:hAnsi="Calibri" w:cs="Times New Roman"/>
                <w:color w:val="FFFFFF"/>
                <w:szCs w:val="21"/>
                <w:lang w:eastAsia="cs-CZ"/>
              </w:rPr>
            </w:pPr>
          </w:p>
        </w:tc>
      </w:tr>
      <w:tr w:rsidR="00D977BD" w:rsidRPr="005C6EAA" w:rsidTr="00E32C13">
        <w:trPr>
          <w:trHeight w:val="300"/>
        </w:trPr>
        <w:tc>
          <w:tcPr>
            <w:tcW w:w="2283" w:type="dxa"/>
            <w:tcBorders>
              <w:top w:val="nil"/>
              <w:left w:val="single" w:sz="12" w:space="0" w:color="4F81BD"/>
              <w:bottom w:val="nil"/>
              <w:right w:val="nil"/>
            </w:tcBorders>
            <w:shd w:val="clear" w:color="auto" w:fill="auto"/>
            <w:vAlign w:val="center"/>
            <w:hideMark/>
          </w:tcPr>
          <w:p w:rsidR="00D977BD" w:rsidRPr="005C6EAA" w:rsidRDefault="00D977BD" w:rsidP="00753E61">
            <w:pPr>
              <w:spacing w:after="0" w:line="240" w:lineRule="auto"/>
              <w:rPr>
                <w:rFonts w:ascii="Calibri" w:eastAsia="Times New Roman" w:hAnsi="Calibri" w:cs="Times New Roman"/>
                <w:b/>
                <w:bCs/>
                <w:color w:val="000000"/>
                <w:szCs w:val="21"/>
                <w:lang w:eastAsia="cs-CZ"/>
              </w:rPr>
            </w:pPr>
            <w:r w:rsidRPr="005C6EAA">
              <w:rPr>
                <w:rFonts w:ascii="Calibri" w:eastAsia="Times New Roman" w:hAnsi="Calibri" w:cs="Times New Roman"/>
                <w:b/>
                <w:bCs/>
                <w:color w:val="000000"/>
                <w:szCs w:val="21"/>
                <w:lang w:eastAsia="cs-CZ"/>
              </w:rPr>
              <w:t>pojištěnců</w:t>
            </w:r>
          </w:p>
        </w:tc>
        <w:tc>
          <w:tcPr>
            <w:tcW w:w="1134" w:type="dxa"/>
            <w:tcBorders>
              <w:top w:val="nil"/>
              <w:left w:val="nil"/>
              <w:bottom w:val="nil"/>
              <w:right w:val="nil"/>
            </w:tcBorders>
            <w:shd w:val="clear" w:color="000000" w:fill="DCE6F1"/>
            <w:noWrap/>
            <w:vAlign w:val="center"/>
          </w:tcPr>
          <w:p w:rsidR="00D977BD" w:rsidRPr="005C6EAA" w:rsidRDefault="00D977BD" w:rsidP="00753E61">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5 921 000</w:t>
            </w:r>
          </w:p>
        </w:tc>
        <w:tc>
          <w:tcPr>
            <w:tcW w:w="993" w:type="dxa"/>
            <w:tcBorders>
              <w:top w:val="nil"/>
              <w:left w:val="nil"/>
              <w:bottom w:val="nil"/>
              <w:right w:val="nil"/>
            </w:tcBorders>
            <w:shd w:val="clear" w:color="auto" w:fill="auto"/>
            <w:noWrap/>
            <w:vAlign w:val="center"/>
          </w:tcPr>
          <w:p w:rsidR="00D977BD" w:rsidRPr="005C6EAA" w:rsidRDefault="00D977BD" w:rsidP="00753E61">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700 250</w:t>
            </w:r>
          </w:p>
        </w:tc>
        <w:tc>
          <w:tcPr>
            <w:tcW w:w="1134" w:type="dxa"/>
            <w:tcBorders>
              <w:top w:val="nil"/>
              <w:left w:val="nil"/>
              <w:bottom w:val="nil"/>
              <w:right w:val="nil"/>
            </w:tcBorders>
            <w:shd w:val="clear" w:color="000000" w:fill="DCE6F1"/>
            <w:noWrap/>
            <w:vAlign w:val="center"/>
          </w:tcPr>
          <w:p w:rsidR="00D977BD" w:rsidRPr="005C6EAA" w:rsidRDefault="00D977BD" w:rsidP="00753E61">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1 279 000</w:t>
            </w:r>
          </w:p>
        </w:tc>
        <w:tc>
          <w:tcPr>
            <w:tcW w:w="992" w:type="dxa"/>
            <w:tcBorders>
              <w:top w:val="nil"/>
              <w:left w:val="nil"/>
              <w:bottom w:val="nil"/>
              <w:right w:val="nil"/>
            </w:tcBorders>
            <w:shd w:val="clear" w:color="auto" w:fill="auto"/>
            <w:noWrap/>
            <w:vAlign w:val="center"/>
          </w:tcPr>
          <w:p w:rsidR="00D977BD" w:rsidRPr="005C6EAA" w:rsidRDefault="00D977BD" w:rsidP="00753E61">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740 035</w:t>
            </w:r>
          </w:p>
        </w:tc>
        <w:tc>
          <w:tcPr>
            <w:tcW w:w="992" w:type="dxa"/>
            <w:tcBorders>
              <w:top w:val="nil"/>
              <w:left w:val="nil"/>
              <w:bottom w:val="nil"/>
              <w:right w:val="nil"/>
            </w:tcBorders>
            <w:shd w:val="clear" w:color="000000" w:fill="DCE6F1"/>
            <w:noWrap/>
            <w:vAlign w:val="center"/>
          </w:tcPr>
          <w:p w:rsidR="00D977BD" w:rsidRPr="005C6EAA" w:rsidRDefault="00D977BD" w:rsidP="00753E61">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145 277</w:t>
            </w:r>
          </w:p>
        </w:tc>
        <w:tc>
          <w:tcPr>
            <w:tcW w:w="1112" w:type="dxa"/>
            <w:tcBorders>
              <w:top w:val="nil"/>
              <w:left w:val="nil"/>
              <w:bottom w:val="nil"/>
              <w:right w:val="nil"/>
            </w:tcBorders>
            <w:shd w:val="clear" w:color="auto" w:fill="auto"/>
            <w:noWrap/>
            <w:vAlign w:val="center"/>
          </w:tcPr>
          <w:p w:rsidR="00D977BD" w:rsidRPr="005C6EAA" w:rsidRDefault="00D977BD" w:rsidP="00753E61">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1 330 465</w:t>
            </w:r>
          </w:p>
        </w:tc>
        <w:tc>
          <w:tcPr>
            <w:tcW w:w="960" w:type="dxa"/>
            <w:tcBorders>
              <w:top w:val="nil"/>
              <w:left w:val="nil"/>
              <w:bottom w:val="nil"/>
              <w:right w:val="single" w:sz="12" w:space="0" w:color="4F81BD"/>
            </w:tcBorders>
            <w:shd w:val="clear" w:color="000000" w:fill="DCE6F1"/>
            <w:noWrap/>
            <w:vAlign w:val="center"/>
          </w:tcPr>
          <w:p w:rsidR="00D977BD" w:rsidRPr="005C6EAA" w:rsidRDefault="00D977BD" w:rsidP="00753E61">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430 414</w:t>
            </w:r>
          </w:p>
        </w:tc>
      </w:tr>
      <w:tr w:rsidR="00D977BD" w:rsidRPr="005C6EAA" w:rsidTr="00E32C13">
        <w:trPr>
          <w:trHeight w:val="300"/>
        </w:trPr>
        <w:tc>
          <w:tcPr>
            <w:tcW w:w="2283" w:type="dxa"/>
            <w:tcBorders>
              <w:top w:val="nil"/>
              <w:left w:val="single" w:sz="12" w:space="0" w:color="4F81BD"/>
              <w:bottom w:val="nil"/>
              <w:right w:val="nil"/>
            </w:tcBorders>
            <w:shd w:val="clear" w:color="000000" w:fill="EEF3F8"/>
            <w:vAlign w:val="center"/>
            <w:hideMark/>
          </w:tcPr>
          <w:p w:rsidR="00D977BD" w:rsidRPr="005C6EAA" w:rsidRDefault="00D977BD" w:rsidP="00753E61">
            <w:pPr>
              <w:spacing w:after="0" w:line="240" w:lineRule="auto"/>
              <w:rPr>
                <w:rFonts w:ascii="Calibri" w:eastAsia="Times New Roman" w:hAnsi="Calibri" w:cs="Times New Roman"/>
                <w:color w:val="000000"/>
                <w:szCs w:val="21"/>
                <w:lang w:eastAsia="cs-CZ"/>
              </w:rPr>
            </w:pPr>
            <w:r w:rsidRPr="005C6EAA">
              <w:rPr>
                <w:rFonts w:ascii="Calibri" w:eastAsia="Times New Roman" w:hAnsi="Calibri" w:cs="Times New Roman"/>
                <w:color w:val="000000"/>
                <w:szCs w:val="21"/>
                <w:lang w:eastAsia="cs-CZ"/>
              </w:rPr>
              <w:t>z toho státem hrazených</w:t>
            </w:r>
          </w:p>
        </w:tc>
        <w:tc>
          <w:tcPr>
            <w:tcW w:w="1134" w:type="dxa"/>
            <w:tcBorders>
              <w:top w:val="nil"/>
              <w:left w:val="nil"/>
              <w:bottom w:val="nil"/>
              <w:right w:val="nil"/>
            </w:tcBorders>
            <w:shd w:val="clear" w:color="000000" w:fill="EEF3F8"/>
            <w:noWrap/>
            <w:vAlign w:val="center"/>
          </w:tcPr>
          <w:p w:rsidR="00D977BD" w:rsidRPr="005C6EAA" w:rsidRDefault="00D977BD" w:rsidP="00753E61">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3 395 000</w:t>
            </w:r>
          </w:p>
        </w:tc>
        <w:tc>
          <w:tcPr>
            <w:tcW w:w="993" w:type="dxa"/>
            <w:tcBorders>
              <w:top w:val="nil"/>
              <w:left w:val="nil"/>
              <w:bottom w:val="nil"/>
              <w:right w:val="nil"/>
            </w:tcBorders>
            <w:shd w:val="clear" w:color="000000" w:fill="EEF3F8"/>
            <w:noWrap/>
            <w:vAlign w:val="center"/>
          </w:tcPr>
          <w:p w:rsidR="00D977BD" w:rsidRPr="005C6EAA" w:rsidRDefault="00D977BD" w:rsidP="00753E61">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377 000</w:t>
            </w:r>
          </w:p>
        </w:tc>
        <w:tc>
          <w:tcPr>
            <w:tcW w:w="1134" w:type="dxa"/>
            <w:tcBorders>
              <w:top w:val="nil"/>
              <w:left w:val="nil"/>
              <w:bottom w:val="nil"/>
              <w:right w:val="nil"/>
            </w:tcBorders>
            <w:shd w:val="clear" w:color="000000" w:fill="EEF3F8"/>
            <w:noWrap/>
            <w:vAlign w:val="center"/>
          </w:tcPr>
          <w:p w:rsidR="00D977BD" w:rsidRPr="005C6EAA" w:rsidRDefault="00D977BD" w:rsidP="00753E61">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729 000</w:t>
            </w:r>
          </w:p>
        </w:tc>
        <w:tc>
          <w:tcPr>
            <w:tcW w:w="992" w:type="dxa"/>
            <w:tcBorders>
              <w:top w:val="nil"/>
              <w:left w:val="nil"/>
              <w:bottom w:val="nil"/>
              <w:right w:val="nil"/>
            </w:tcBorders>
            <w:shd w:val="clear" w:color="000000" w:fill="EEF3F8"/>
            <w:noWrap/>
            <w:vAlign w:val="center"/>
          </w:tcPr>
          <w:p w:rsidR="00D977BD" w:rsidRPr="005C6EAA" w:rsidRDefault="00D977BD" w:rsidP="00753E61">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421 820</w:t>
            </w:r>
          </w:p>
        </w:tc>
        <w:tc>
          <w:tcPr>
            <w:tcW w:w="992" w:type="dxa"/>
            <w:tcBorders>
              <w:top w:val="nil"/>
              <w:left w:val="nil"/>
              <w:bottom w:val="nil"/>
              <w:right w:val="nil"/>
            </w:tcBorders>
            <w:shd w:val="clear" w:color="000000" w:fill="EEF3F8"/>
            <w:noWrap/>
            <w:vAlign w:val="center"/>
          </w:tcPr>
          <w:p w:rsidR="00D977BD" w:rsidRPr="005C6EAA" w:rsidRDefault="00D977BD" w:rsidP="00753E61">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82 453</w:t>
            </w:r>
          </w:p>
        </w:tc>
        <w:tc>
          <w:tcPr>
            <w:tcW w:w="1112" w:type="dxa"/>
            <w:tcBorders>
              <w:top w:val="nil"/>
              <w:left w:val="nil"/>
              <w:bottom w:val="nil"/>
              <w:right w:val="nil"/>
            </w:tcBorders>
            <w:shd w:val="clear" w:color="000000" w:fill="EEF3F8"/>
            <w:noWrap/>
            <w:vAlign w:val="center"/>
          </w:tcPr>
          <w:p w:rsidR="00D977BD" w:rsidRPr="005C6EAA" w:rsidRDefault="00D977BD" w:rsidP="00753E61">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735 810</w:t>
            </w:r>
          </w:p>
        </w:tc>
        <w:tc>
          <w:tcPr>
            <w:tcW w:w="960" w:type="dxa"/>
            <w:tcBorders>
              <w:top w:val="nil"/>
              <w:left w:val="nil"/>
              <w:bottom w:val="nil"/>
              <w:right w:val="single" w:sz="12" w:space="0" w:color="4F81BD"/>
            </w:tcBorders>
            <w:shd w:val="clear" w:color="000000" w:fill="EEF3F8"/>
            <w:noWrap/>
            <w:vAlign w:val="center"/>
          </w:tcPr>
          <w:p w:rsidR="00D977BD" w:rsidRPr="005C6EAA" w:rsidRDefault="00D977BD" w:rsidP="00753E61">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252 794</w:t>
            </w:r>
          </w:p>
        </w:tc>
      </w:tr>
      <w:tr w:rsidR="00D977BD" w:rsidRPr="005C6EAA" w:rsidTr="00E32C13">
        <w:trPr>
          <w:trHeight w:val="300"/>
        </w:trPr>
        <w:tc>
          <w:tcPr>
            <w:tcW w:w="2283" w:type="dxa"/>
            <w:tcBorders>
              <w:top w:val="nil"/>
              <w:left w:val="single" w:sz="12" w:space="0" w:color="4F81BD"/>
              <w:bottom w:val="nil"/>
              <w:right w:val="nil"/>
            </w:tcBorders>
            <w:shd w:val="clear" w:color="auto" w:fill="auto"/>
            <w:vAlign w:val="center"/>
            <w:hideMark/>
          </w:tcPr>
          <w:p w:rsidR="00D977BD" w:rsidRPr="005C6EAA" w:rsidRDefault="00D977BD" w:rsidP="00753E61">
            <w:pPr>
              <w:spacing w:after="0" w:line="240" w:lineRule="auto"/>
              <w:rPr>
                <w:rFonts w:ascii="Calibri" w:eastAsia="Times New Roman" w:hAnsi="Calibri" w:cs="Times New Roman"/>
                <w:b/>
                <w:bCs/>
                <w:color w:val="000000"/>
                <w:szCs w:val="21"/>
                <w:lang w:eastAsia="cs-CZ"/>
              </w:rPr>
            </w:pPr>
            <w:r w:rsidRPr="005C6EAA">
              <w:rPr>
                <w:rFonts w:ascii="Calibri" w:eastAsia="Times New Roman" w:hAnsi="Calibri" w:cs="Times New Roman"/>
                <w:b/>
                <w:bCs/>
                <w:color w:val="000000"/>
                <w:szCs w:val="21"/>
                <w:lang w:eastAsia="cs-CZ"/>
              </w:rPr>
              <w:t>zaměstnanců</w:t>
            </w:r>
          </w:p>
        </w:tc>
        <w:tc>
          <w:tcPr>
            <w:tcW w:w="1134" w:type="dxa"/>
            <w:tcBorders>
              <w:top w:val="nil"/>
              <w:left w:val="nil"/>
              <w:bottom w:val="nil"/>
              <w:right w:val="nil"/>
            </w:tcBorders>
            <w:shd w:val="clear" w:color="000000" w:fill="DCE6F1"/>
            <w:noWrap/>
            <w:vAlign w:val="center"/>
          </w:tcPr>
          <w:p w:rsidR="00D977BD" w:rsidRPr="005C6EAA" w:rsidRDefault="00D977BD" w:rsidP="00753E61">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color w:val="000000"/>
                <w:szCs w:val="21"/>
              </w:rPr>
              <w:t>3 670</w:t>
            </w:r>
          </w:p>
        </w:tc>
        <w:tc>
          <w:tcPr>
            <w:tcW w:w="993" w:type="dxa"/>
            <w:tcBorders>
              <w:top w:val="nil"/>
              <w:left w:val="nil"/>
              <w:bottom w:val="nil"/>
              <w:right w:val="nil"/>
            </w:tcBorders>
            <w:shd w:val="clear" w:color="auto" w:fill="auto"/>
            <w:noWrap/>
            <w:vAlign w:val="center"/>
          </w:tcPr>
          <w:p w:rsidR="00D977BD" w:rsidRPr="005C6EAA" w:rsidRDefault="00D977BD" w:rsidP="00753E61">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color w:val="000000"/>
                <w:szCs w:val="21"/>
              </w:rPr>
              <w:t>394</w:t>
            </w:r>
          </w:p>
        </w:tc>
        <w:tc>
          <w:tcPr>
            <w:tcW w:w="1134" w:type="dxa"/>
            <w:tcBorders>
              <w:top w:val="nil"/>
              <w:left w:val="nil"/>
              <w:bottom w:val="nil"/>
              <w:right w:val="nil"/>
            </w:tcBorders>
            <w:shd w:val="clear" w:color="000000" w:fill="DCE6F1"/>
            <w:noWrap/>
            <w:vAlign w:val="center"/>
          </w:tcPr>
          <w:p w:rsidR="00D977BD" w:rsidRPr="005C6EAA" w:rsidRDefault="00D977BD" w:rsidP="00753E61">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color w:val="000000"/>
                <w:szCs w:val="21"/>
              </w:rPr>
              <w:t>667</w:t>
            </w:r>
          </w:p>
        </w:tc>
        <w:tc>
          <w:tcPr>
            <w:tcW w:w="992" w:type="dxa"/>
            <w:tcBorders>
              <w:top w:val="nil"/>
              <w:left w:val="nil"/>
              <w:bottom w:val="nil"/>
              <w:right w:val="nil"/>
            </w:tcBorders>
            <w:shd w:val="clear" w:color="auto" w:fill="auto"/>
            <w:noWrap/>
            <w:vAlign w:val="center"/>
          </w:tcPr>
          <w:p w:rsidR="00D977BD" w:rsidRPr="005C6EAA" w:rsidRDefault="00D977BD" w:rsidP="00753E61">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color w:val="000000"/>
                <w:szCs w:val="21"/>
              </w:rPr>
              <w:t>411</w:t>
            </w:r>
          </w:p>
        </w:tc>
        <w:tc>
          <w:tcPr>
            <w:tcW w:w="992" w:type="dxa"/>
            <w:tcBorders>
              <w:top w:val="nil"/>
              <w:left w:val="nil"/>
              <w:bottom w:val="nil"/>
              <w:right w:val="nil"/>
            </w:tcBorders>
            <w:shd w:val="clear" w:color="000000" w:fill="DCE6F1"/>
            <w:noWrap/>
            <w:vAlign w:val="center"/>
          </w:tcPr>
          <w:p w:rsidR="00D977BD" w:rsidRPr="005C6EAA" w:rsidRDefault="00D977BD" w:rsidP="00753E61">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color w:val="000000"/>
                <w:szCs w:val="21"/>
              </w:rPr>
              <w:t>82</w:t>
            </w:r>
          </w:p>
        </w:tc>
        <w:tc>
          <w:tcPr>
            <w:tcW w:w="1112" w:type="dxa"/>
            <w:tcBorders>
              <w:top w:val="nil"/>
              <w:left w:val="nil"/>
              <w:bottom w:val="nil"/>
              <w:right w:val="nil"/>
            </w:tcBorders>
            <w:shd w:val="clear" w:color="auto" w:fill="auto"/>
            <w:noWrap/>
            <w:vAlign w:val="center"/>
          </w:tcPr>
          <w:p w:rsidR="00D977BD" w:rsidRPr="005C6EAA" w:rsidRDefault="00D977BD" w:rsidP="00753E61">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color w:val="000000"/>
                <w:szCs w:val="21"/>
              </w:rPr>
              <w:t>722</w:t>
            </w:r>
          </w:p>
        </w:tc>
        <w:tc>
          <w:tcPr>
            <w:tcW w:w="960" w:type="dxa"/>
            <w:tcBorders>
              <w:top w:val="nil"/>
              <w:left w:val="nil"/>
              <w:bottom w:val="nil"/>
              <w:right w:val="single" w:sz="12" w:space="0" w:color="4F81BD"/>
            </w:tcBorders>
            <w:shd w:val="clear" w:color="000000" w:fill="DCE6F1"/>
            <w:noWrap/>
            <w:vAlign w:val="center"/>
          </w:tcPr>
          <w:p w:rsidR="00D977BD" w:rsidRPr="005C6EAA" w:rsidRDefault="00D977BD" w:rsidP="00753E61">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color w:val="000000"/>
                <w:szCs w:val="21"/>
              </w:rPr>
              <w:t>241</w:t>
            </w:r>
          </w:p>
        </w:tc>
      </w:tr>
      <w:tr w:rsidR="00D977BD" w:rsidRPr="005C6EAA" w:rsidTr="00E32C13">
        <w:trPr>
          <w:trHeight w:val="315"/>
        </w:trPr>
        <w:tc>
          <w:tcPr>
            <w:tcW w:w="2283" w:type="dxa"/>
            <w:tcBorders>
              <w:top w:val="nil"/>
              <w:left w:val="single" w:sz="12" w:space="0" w:color="4F81BD"/>
              <w:bottom w:val="single" w:sz="12" w:space="0" w:color="4F81BD"/>
              <w:right w:val="nil"/>
            </w:tcBorders>
            <w:shd w:val="clear" w:color="000000" w:fill="EEF3F8"/>
            <w:vAlign w:val="center"/>
            <w:hideMark/>
          </w:tcPr>
          <w:p w:rsidR="00D977BD" w:rsidRPr="005C6EAA" w:rsidRDefault="00D977BD" w:rsidP="007B479E">
            <w:pPr>
              <w:spacing w:after="0" w:line="240" w:lineRule="auto"/>
              <w:rPr>
                <w:rFonts w:ascii="Calibri" w:eastAsia="Times New Roman" w:hAnsi="Calibri" w:cs="Times New Roman"/>
                <w:color w:val="000000"/>
                <w:szCs w:val="21"/>
                <w:lang w:eastAsia="cs-CZ"/>
              </w:rPr>
            </w:pPr>
            <w:r w:rsidRPr="005C6EAA">
              <w:rPr>
                <w:rFonts w:ascii="Calibri" w:eastAsia="Times New Roman" w:hAnsi="Calibri" w:cs="Times New Roman"/>
                <w:color w:val="000000"/>
                <w:szCs w:val="21"/>
                <w:lang w:eastAsia="cs-CZ"/>
              </w:rPr>
              <w:t xml:space="preserve">pojištěnců na 1 </w:t>
            </w:r>
            <w:proofErr w:type="spellStart"/>
            <w:r w:rsidR="007B479E" w:rsidRPr="005C6EAA">
              <w:rPr>
                <w:rFonts w:ascii="Calibri" w:eastAsia="Times New Roman" w:hAnsi="Calibri" w:cs="Times New Roman"/>
                <w:color w:val="000000"/>
                <w:szCs w:val="21"/>
                <w:lang w:eastAsia="cs-CZ"/>
              </w:rPr>
              <w:t>zam</w:t>
            </w:r>
            <w:proofErr w:type="spellEnd"/>
            <w:r w:rsidR="007B479E">
              <w:rPr>
                <w:rFonts w:ascii="Calibri" w:eastAsia="Times New Roman" w:hAnsi="Calibri" w:cs="Times New Roman"/>
                <w:color w:val="000000"/>
                <w:szCs w:val="21"/>
                <w:lang w:eastAsia="cs-CZ"/>
              </w:rPr>
              <w:t>.</w:t>
            </w:r>
          </w:p>
        </w:tc>
        <w:tc>
          <w:tcPr>
            <w:tcW w:w="1134" w:type="dxa"/>
            <w:tcBorders>
              <w:top w:val="nil"/>
              <w:left w:val="nil"/>
              <w:bottom w:val="single" w:sz="12" w:space="0" w:color="4F81BD"/>
              <w:right w:val="nil"/>
            </w:tcBorders>
            <w:shd w:val="clear" w:color="000000" w:fill="EEF3F8"/>
            <w:noWrap/>
            <w:vAlign w:val="center"/>
          </w:tcPr>
          <w:p w:rsidR="00D977BD" w:rsidRPr="005C6EAA" w:rsidRDefault="00D977BD" w:rsidP="00753E61">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1 613</w:t>
            </w:r>
          </w:p>
        </w:tc>
        <w:tc>
          <w:tcPr>
            <w:tcW w:w="993" w:type="dxa"/>
            <w:tcBorders>
              <w:top w:val="nil"/>
              <w:left w:val="nil"/>
              <w:bottom w:val="single" w:sz="12" w:space="0" w:color="4F81BD"/>
              <w:right w:val="nil"/>
            </w:tcBorders>
            <w:shd w:val="clear" w:color="000000" w:fill="EEF3F8"/>
            <w:noWrap/>
            <w:vAlign w:val="center"/>
          </w:tcPr>
          <w:p w:rsidR="00D977BD" w:rsidRPr="005C6EAA" w:rsidRDefault="00D977BD" w:rsidP="00753E61">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1 777</w:t>
            </w:r>
          </w:p>
        </w:tc>
        <w:tc>
          <w:tcPr>
            <w:tcW w:w="1134" w:type="dxa"/>
            <w:tcBorders>
              <w:top w:val="nil"/>
              <w:left w:val="nil"/>
              <w:bottom w:val="single" w:sz="12" w:space="0" w:color="4F81BD"/>
              <w:right w:val="nil"/>
            </w:tcBorders>
            <w:shd w:val="clear" w:color="000000" w:fill="EEF3F8"/>
            <w:noWrap/>
            <w:vAlign w:val="center"/>
          </w:tcPr>
          <w:p w:rsidR="00D977BD" w:rsidRPr="005C6EAA" w:rsidRDefault="00D977BD" w:rsidP="00753E61">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1 918</w:t>
            </w:r>
          </w:p>
        </w:tc>
        <w:tc>
          <w:tcPr>
            <w:tcW w:w="992" w:type="dxa"/>
            <w:tcBorders>
              <w:top w:val="nil"/>
              <w:left w:val="nil"/>
              <w:bottom w:val="single" w:sz="12" w:space="0" w:color="4F81BD"/>
              <w:right w:val="nil"/>
            </w:tcBorders>
            <w:shd w:val="clear" w:color="000000" w:fill="EEF3F8"/>
            <w:noWrap/>
            <w:vAlign w:val="center"/>
          </w:tcPr>
          <w:p w:rsidR="00D977BD" w:rsidRPr="005C6EAA" w:rsidRDefault="00D977BD" w:rsidP="00753E61">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1 801</w:t>
            </w:r>
          </w:p>
        </w:tc>
        <w:tc>
          <w:tcPr>
            <w:tcW w:w="992" w:type="dxa"/>
            <w:tcBorders>
              <w:top w:val="nil"/>
              <w:left w:val="nil"/>
              <w:bottom w:val="single" w:sz="12" w:space="0" w:color="4F81BD"/>
              <w:right w:val="nil"/>
            </w:tcBorders>
            <w:shd w:val="clear" w:color="000000" w:fill="EEF3F8"/>
            <w:noWrap/>
            <w:vAlign w:val="center"/>
          </w:tcPr>
          <w:p w:rsidR="00D977BD" w:rsidRPr="005C6EAA" w:rsidRDefault="00D977BD" w:rsidP="00753E61">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1 772</w:t>
            </w:r>
          </w:p>
        </w:tc>
        <w:tc>
          <w:tcPr>
            <w:tcW w:w="1112" w:type="dxa"/>
            <w:tcBorders>
              <w:top w:val="nil"/>
              <w:left w:val="nil"/>
              <w:bottom w:val="single" w:sz="12" w:space="0" w:color="4F81BD"/>
              <w:right w:val="nil"/>
            </w:tcBorders>
            <w:shd w:val="clear" w:color="000000" w:fill="EEF3F8"/>
            <w:noWrap/>
            <w:vAlign w:val="center"/>
          </w:tcPr>
          <w:p w:rsidR="00D977BD" w:rsidRPr="005C6EAA" w:rsidRDefault="00D977BD" w:rsidP="00753E61">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1 843</w:t>
            </w:r>
          </w:p>
        </w:tc>
        <w:tc>
          <w:tcPr>
            <w:tcW w:w="960" w:type="dxa"/>
            <w:tcBorders>
              <w:top w:val="nil"/>
              <w:left w:val="nil"/>
              <w:bottom w:val="single" w:sz="12" w:space="0" w:color="4F81BD"/>
              <w:right w:val="single" w:sz="12" w:space="0" w:color="4F81BD"/>
            </w:tcBorders>
            <w:shd w:val="clear" w:color="000000" w:fill="EEF3F8"/>
            <w:noWrap/>
            <w:vAlign w:val="center"/>
          </w:tcPr>
          <w:p w:rsidR="00D977BD" w:rsidRPr="005C6EAA" w:rsidRDefault="00D977BD" w:rsidP="00753E61">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1 786</w:t>
            </w:r>
          </w:p>
        </w:tc>
      </w:tr>
    </w:tbl>
    <w:p w:rsidR="00E450DF" w:rsidRDefault="00E450DF" w:rsidP="0019350B">
      <w:pPr>
        <w:spacing w:before="180" w:line="276" w:lineRule="auto"/>
        <w:jc w:val="both"/>
      </w:pPr>
      <w:r>
        <w:t xml:space="preserve">K 31. 12. </w:t>
      </w:r>
      <w:r w:rsidR="00D977BD">
        <w:t xml:space="preserve">2020 </w:t>
      </w:r>
      <w:r>
        <w:t xml:space="preserve">je očekávaný počet </w:t>
      </w:r>
      <w:r>
        <w:rPr>
          <w:b/>
        </w:rPr>
        <w:t xml:space="preserve">pojištěnců </w:t>
      </w:r>
      <w:r w:rsidRPr="004C2B09">
        <w:rPr>
          <w:b/>
        </w:rPr>
        <w:t>10</w:t>
      </w:r>
      <w:r>
        <w:rPr>
          <w:b/>
        </w:rPr>
        <w:t>,</w:t>
      </w:r>
      <w:r w:rsidR="008C6C3C">
        <w:rPr>
          <w:b/>
        </w:rPr>
        <w:t>5</w:t>
      </w:r>
      <w:r w:rsidR="00B6092A">
        <w:rPr>
          <w:b/>
        </w:rPr>
        <w:t xml:space="preserve">6 </w:t>
      </w:r>
      <w:r>
        <w:rPr>
          <w:b/>
        </w:rPr>
        <w:t>mil.</w:t>
      </w:r>
      <w:r>
        <w:t>, z toho VZP ČR registrovala 5,</w:t>
      </w:r>
      <w:r w:rsidR="008724F5">
        <w:t>9</w:t>
      </w:r>
      <w:r w:rsidR="00C3261A">
        <w:t>4</w:t>
      </w:r>
      <w:r w:rsidR="0038289F">
        <w:t xml:space="preserve"> </w:t>
      </w:r>
      <w:r>
        <w:t>mil. pojištěnců, tj.</w:t>
      </w:r>
      <w:r w:rsidR="00417304">
        <w:t> </w:t>
      </w:r>
      <w:r>
        <w:t>56,</w:t>
      </w:r>
      <w:r w:rsidR="007B479E">
        <w:t>3</w:t>
      </w:r>
      <w:r w:rsidR="00B6092A">
        <w:t> </w:t>
      </w:r>
      <w:r>
        <w:t xml:space="preserve">% pojištěnců systému </w:t>
      </w:r>
      <w:r>
        <w:rPr>
          <w:spacing w:val="-20"/>
        </w:rPr>
        <w:t>v.</w:t>
      </w:r>
      <w:r w:rsidR="00D40D58">
        <w:rPr>
          <w:spacing w:val="-20"/>
        </w:rPr>
        <w:t xml:space="preserve"> </w:t>
      </w:r>
      <w:r>
        <w:rPr>
          <w:spacing w:val="-20"/>
        </w:rPr>
        <w:t>z. p</w:t>
      </w:r>
      <w:r>
        <w:t xml:space="preserve">. </w:t>
      </w:r>
    </w:p>
    <w:p w:rsidR="00E450DF" w:rsidRDefault="00E450DF" w:rsidP="00E450DF">
      <w:pPr>
        <w:pStyle w:val="Titulek"/>
        <w:jc w:val="both"/>
      </w:pPr>
      <w:bookmarkStart w:id="44" w:name="_Toc63685267"/>
      <w:r w:rsidRPr="00C75FC6">
        <w:t xml:space="preserve">Tabulka č. </w:t>
      </w:r>
      <w:r w:rsidR="008E5E29">
        <w:rPr>
          <w:noProof/>
        </w:rPr>
        <w:fldChar w:fldCharType="begin"/>
      </w:r>
      <w:r w:rsidR="007F5247">
        <w:rPr>
          <w:noProof/>
        </w:rPr>
        <w:instrText xml:space="preserve"> SEQ Tabulka \* ARABIC </w:instrText>
      </w:r>
      <w:r w:rsidR="008E5E29">
        <w:rPr>
          <w:noProof/>
        </w:rPr>
        <w:fldChar w:fldCharType="separate"/>
      </w:r>
      <w:r w:rsidR="006D5C90">
        <w:rPr>
          <w:noProof/>
        </w:rPr>
        <w:t>14</w:t>
      </w:r>
      <w:r w:rsidR="008E5E29">
        <w:rPr>
          <w:noProof/>
        </w:rPr>
        <w:fldChar w:fldCharType="end"/>
      </w:r>
      <w:r w:rsidRPr="00C75FC6">
        <w:t xml:space="preserve">: </w:t>
      </w:r>
      <w:r w:rsidRPr="007E01C6">
        <w:t xml:space="preserve">Pojištěnci a zaměstnanci systému v. z. p. </w:t>
      </w:r>
      <w:r w:rsidR="007B479E" w:rsidRPr="007E01C6">
        <w:t>20</w:t>
      </w:r>
      <w:r w:rsidR="007B479E">
        <w:t>20</w:t>
      </w:r>
      <w:r w:rsidR="007B479E" w:rsidRPr="007E01C6">
        <w:t xml:space="preserve"> </w:t>
      </w:r>
      <w:r w:rsidRPr="007E01C6">
        <w:t>dle zdravotních pojišťoven</w:t>
      </w:r>
      <w:bookmarkEnd w:id="44"/>
    </w:p>
    <w:tbl>
      <w:tblPr>
        <w:tblW w:w="9600" w:type="dxa"/>
        <w:tblInd w:w="55" w:type="dxa"/>
        <w:tblCellMar>
          <w:left w:w="70" w:type="dxa"/>
          <w:right w:w="70" w:type="dxa"/>
        </w:tblCellMar>
        <w:tblLook w:val="04A0" w:firstRow="1" w:lastRow="0" w:firstColumn="1" w:lastColumn="0" w:noHBand="0" w:noVBand="1"/>
      </w:tblPr>
      <w:tblGrid>
        <w:gridCol w:w="2283"/>
        <w:gridCol w:w="1134"/>
        <w:gridCol w:w="993"/>
        <w:gridCol w:w="1134"/>
        <w:gridCol w:w="992"/>
        <w:gridCol w:w="992"/>
        <w:gridCol w:w="1112"/>
        <w:gridCol w:w="960"/>
      </w:tblGrid>
      <w:tr w:rsidR="00E450DF" w:rsidRPr="005C6EAA" w:rsidTr="00E32C13">
        <w:trPr>
          <w:trHeight w:val="315"/>
        </w:trPr>
        <w:tc>
          <w:tcPr>
            <w:tcW w:w="2283" w:type="dxa"/>
            <w:tcBorders>
              <w:top w:val="single" w:sz="12" w:space="0" w:color="4F81BD"/>
              <w:left w:val="single" w:sz="12" w:space="0" w:color="4F81BD"/>
              <w:bottom w:val="nil"/>
              <w:right w:val="nil"/>
            </w:tcBorders>
            <w:shd w:val="clear" w:color="000000" w:fill="4F81BD"/>
            <w:vAlign w:val="center"/>
            <w:hideMark/>
          </w:tcPr>
          <w:p w:rsidR="00E450DF" w:rsidRPr="005C6EAA" w:rsidRDefault="00E450DF" w:rsidP="00D977BD">
            <w:pPr>
              <w:spacing w:after="0" w:line="240" w:lineRule="auto"/>
              <w:rPr>
                <w:rFonts w:ascii="Calibri" w:eastAsia="Times New Roman" w:hAnsi="Calibri" w:cs="Times New Roman"/>
                <w:b/>
                <w:bCs/>
                <w:color w:val="FFFFFF"/>
                <w:szCs w:val="21"/>
                <w:lang w:eastAsia="cs-CZ"/>
              </w:rPr>
            </w:pPr>
            <w:r w:rsidRPr="005C6EAA">
              <w:rPr>
                <w:rFonts w:ascii="Calibri" w:eastAsia="Times New Roman" w:hAnsi="Calibri" w:cs="Times New Roman"/>
                <w:b/>
                <w:bCs/>
                <w:color w:val="FFFFFF"/>
                <w:szCs w:val="21"/>
                <w:lang w:eastAsia="cs-CZ"/>
              </w:rPr>
              <w:t xml:space="preserve">Oč. skut. </w:t>
            </w:r>
            <w:r w:rsidR="00D977BD" w:rsidRPr="005C6EAA">
              <w:rPr>
                <w:rFonts w:ascii="Calibri" w:eastAsia="Times New Roman" w:hAnsi="Calibri" w:cs="Times New Roman"/>
                <w:b/>
                <w:bCs/>
                <w:color w:val="FFFFFF"/>
                <w:szCs w:val="21"/>
                <w:lang w:eastAsia="cs-CZ"/>
              </w:rPr>
              <w:t>20</w:t>
            </w:r>
            <w:r w:rsidR="00D977BD">
              <w:rPr>
                <w:rFonts w:ascii="Calibri" w:eastAsia="Times New Roman" w:hAnsi="Calibri" w:cs="Times New Roman"/>
                <w:b/>
                <w:bCs/>
                <w:color w:val="FFFFFF"/>
                <w:szCs w:val="21"/>
                <w:lang w:eastAsia="cs-CZ"/>
              </w:rPr>
              <w:t>20</w:t>
            </w:r>
          </w:p>
        </w:tc>
        <w:tc>
          <w:tcPr>
            <w:tcW w:w="1134" w:type="dxa"/>
            <w:vMerge w:val="restart"/>
            <w:tcBorders>
              <w:top w:val="single" w:sz="12" w:space="0" w:color="4F81BD"/>
              <w:left w:val="nil"/>
              <w:bottom w:val="nil"/>
              <w:right w:val="nil"/>
            </w:tcBorders>
            <w:shd w:val="clear" w:color="000000" w:fill="6691C6"/>
            <w:noWrap/>
            <w:vAlign w:val="center"/>
            <w:hideMark/>
          </w:tcPr>
          <w:p w:rsidR="00E450DF" w:rsidRPr="005C6EAA" w:rsidRDefault="00E450DF" w:rsidP="00753E61">
            <w:pPr>
              <w:spacing w:after="0" w:line="240" w:lineRule="auto"/>
              <w:jc w:val="center"/>
              <w:rPr>
                <w:rFonts w:ascii="Calibri" w:eastAsia="Times New Roman" w:hAnsi="Calibri" w:cs="Times New Roman"/>
                <w:color w:val="FFFFFF"/>
                <w:szCs w:val="21"/>
                <w:lang w:eastAsia="cs-CZ"/>
              </w:rPr>
            </w:pPr>
            <w:r w:rsidRPr="005C6EAA">
              <w:rPr>
                <w:rFonts w:ascii="Calibri" w:eastAsia="Times New Roman" w:hAnsi="Calibri" w:cs="Times New Roman"/>
                <w:color w:val="FFFFFF" w:themeColor="background1"/>
                <w:szCs w:val="21"/>
                <w:lang w:eastAsia="cs-CZ"/>
              </w:rPr>
              <w:t>VZP ČR</w:t>
            </w:r>
          </w:p>
        </w:tc>
        <w:tc>
          <w:tcPr>
            <w:tcW w:w="993" w:type="dxa"/>
            <w:vMerge w:val="restart"/>
            <w:tcBorders>
              <w:top w:val="single" w:sz="12" w:space="0" w:color="4F81BD"/>
              <w:left w:val="nil"/>
              <w:bottom w:val="nil"/>
              <w:right w:val="nil"/>
            </w:tcBorders>
            <w:shd w:val="clear" w:color="000000" w:fill="4F81BD"/>
            <w:noWrap/>
            <w:vAlign w:val="center"/>
            <w:hideMark/>
          </w:tcPr>
          <w:p w:rsidR="00E450DF" w:rsidRPr="005C6EAA" w:rsidRDefault="00E450DF" w:rsidP="00753E61">
            <w:pPr>
              <w:spacing w:after="0" w:line="240" w:lineRule="auto"/>
              <w:jc w:val="center"/>
              <w:rPr>
                <w:rFonts w:ascii="Calibri" w:eastAsia="Times New Roman" w:hAnsi="Calibri" w:cs="Times New Roman"/>
                <w:color w:val="FFFFFF"/>
                <w:szCs w:val="21"/>
                <w:lang w:eastAsia="cs-CZ"/>
              </w:rPr>
            </w:pPr>
            <w:proofErr w:type="spellStart"/>
            <w:r w:rsidRPr="005C6EAA">
              <w:rPr>
                <w:rFonts w:ascii="Calibri" w:eastAsia="Times New Roman" w:hAnsi="Calibri" w:cs="Times New Roman"/>
                <w:color w:val="FFFFFF" w:themeColor="background1"/>
                <w:szCs w:val="21"/>
                <w:lang w:eastAsia="cs-CZ"/>
              </w:rPr>
              <w:t>VoZP</w:t>
            </w:r>
            <w:proofErr w:type="spellEnd"/>
            <w:r w:rsidRPr="005C6EAA">
              <w:rPr>
                <w:rFonts w:ascii="Calibri" w:eastAsia="Times New Roman" w:hAnsi="Calibri" w:cs="Times New Roman"/>
                <w:color w:val="FFFFFF" w:themeColor="background1"/>
                <w:szCs w:val="21"/>
                <w:lang w:eastAsia="cs-CZ"/>
              </w:rPr>
              <w:t xml:space="preserve"> ČR</w:t>
            </w:r>
          </w:p>
        </w:tc>
        <w:tc>
          <w:tcPr>
            <w:tcW w:w="1134" w:type="dxa"/>
            <w:vMerge w:val="restart"/>
            <w:tcBorders>
              <w:top w:val="single" w:sz="12" w:space="0" w:color="4F81BD"/>
              <w:left w:val="nil"/>
              <w:bottom w:val="nil"/>
              <w:right w:val="nil"/>
            </w:tcBorders>
            <w:shd w:val="clear" w:color="000000" w:fill="6691C6"/>
            <w:noWrap/>
            <w:vAlign w:val="center"/>
            <w:hideMark/>
          </w:tcPr>
          <w:p w:rsidR="00E450DF" w:rsidRPr="005C6EAA" w:rsidRDefault="00E450DF" w:rsidP="00753E61">
            <w:pPr>
              <w:spacing w:after="0" w:line="240" w:lineRule="auto"/>
              <w:jc w:val="center"/>
              <w:rPr>
                <w:rFonts w:ascii="Calibri" w:eastAsia="Times New Roman" w:hAnsi="Calibri" w:cs="Times New Roman"/>
                <w:color w:val="FFFFFF"/>
                <w:szCs w:val="21"/>
                <w:lang w:eastAsia="cs-CZ"/>
              </w:rPr>
            </w:pPr>
            <w:r w:rsidRPr="005C6EAA">
              <w:rPr>
                <w:rFonts w:ascii="Calibri" w:eastAsia="Times New Roman" w:hAnsi="Calibri" w:cs="Times New Roman"/>
                <w:color w:val="FFFFFF" w:themeColor="background1"/>
                <w:szCs w:val="21"/>
                <w:lang w:eastAsia="cs-CZ"/>
              </w:rPr>
              <w:t>ČPZP</w:t>
            </w:r>
          </w:p>
        </w:tc>
        <w:tc>
          <w:tcPr>
            <w:tcW w:w="992" w:type="dxa"/>
            <w:vMerge w:val="restart"/>
            <w:tcBorders>
              <w:top w:val="single" w:sz="12" w:space="0" w:color="4F81BD"/>
              <w:left w:val="nil"/>
              <w:bottom w:val="nil"/>
              <w:right w:val="nil"/>
            </w:tcBorders>
            <w:shd w:val="clear" w:color="000000" w:fill="4F81BD"/>
            <w:vAlign w:val="center"/>
            <w:hideMark/>
          </w:tcPr>
          <w:p w:rsidR="00E450DF" w:rsidRPr="005C6EAA" w:rsidRDefault="00E450DF" w:rsidP="00753E61">
            <w:pPr>
              <w:spacing w:after="0" w:line="240" w:lineRule="auto"/>
              <w:jc w:val="center"/>
              <w:rPr>
                <w:rFonts w:ascii="Calibri" w:eastAsia="Times New Roman" w:hAnsi="Calibri" w:cs="Times New Roman"/>
                <w:color w:val="FFFFFF"/>
                <w:szCs w:val="21"/>
                <w:lang w:eastAsia="cs-CZ"/>
              </w:rPr>
            </w:pPr>
            <w:r w:rsidRPr="005C6EAA">
              <w:rPr>
                <w:rFonts w:ascii="Calibri" w:eastAsia="Times New Roman" w:hAnsi="Calibri" w:cs="Times New Roman"/>
                <w:color w:val="FFFFFF" w:themeColor="background1"/>
                <w:szCs w:val="21"/>
                <w:lang w:eastAsia="cs-CZ"/>
              </w:rPr>
              <w:t>OZP</w:t>
            </w:r>
          </w:p>
        </w:tc>
        <w:tc>
          <w:tcPr>
            <w:tcW w:w="992" w:type="dxa"/>
            <w:vMerge w:val="restart"/>
            <w:tcBorders>
              <w:top w:val="single" w:sz="12" w:space="0" w:color="4F81BD"/>
              <w:left w:val="nil"/>
              <w:bottom w:val="nil"/>
              <w:right w:val="nil"/>
            </w:tcBorders>
            <w:shd w:val="clear" w:color="000000" w:fill="6691C6"/>
            <w:vAlign w:val="center"/>
            <w:hideMark/>
          </w:tcPr>
          <w:p w:rsidR="00E450DF" w:rsidRPr="005C6EAA" w:rsidRDefault="00E450DF" w:rsidP="00753E61">
            <w:pPr>
              <w:spacing w:after="0" w:line="240" w:lineRule="auto"/>
              <w:jc w:val="center"/>
              <w:rPr>
                <w:rFonts w:ascii="Calibri" w:eastAsia="Times New Roman" w:hAnsi="Calibri" w:cs="Times New Roman"/>
                <w:color w:val="FFFFFF"/>
                <w:szCs w:val="21"/>
                <w:lang w:eastAsia="cs-CZ"/>
              </w:rPr>
            </w:pPr>
            <w:r w:rsidRPr="005C6EAA">
              <w:rPr>
                <w:rFonts w:ascii="Calibri" w:eastAsia="Times New Roman" w:hAnsi="Calibri" w:cs="Times New Roman"/>
                <w:color w:val="FFFFFF" w:themeColor="background1"/>
                <w:szCs w:val="21"/>
                <w:lang w:eastAsia="cs-CZ"/>
              </w:rPr>
              <w:t>ZPŠ</w:t>
            </w:r>
          </w:p>
        </w:tc>
        <w:tc>
          <w:tcPr>
            <w:tcW w:w="1112" w:type="dxa"/>
            <w:vMerge w:val="restart"/>
            <w:tcBorders>
              <w:top w:val="single" w:sz="12" w:space="0" w:color="4F81BD"/>
              <w:left w:val="nil"/>
              <w:bottom w:val="nil"/>
              <w:right w:val="nil"/>
            </w:tcBorders>
            <w:shd w:val="clear" w:color="000000" w:fill="4F81BD"/>
            <w:vAlign w:val="center"/>
            <w:hideMark/>
          </w:tcPr>
          <w:p w:rsidR="00E450DF" w:rsidRPr="005C6EAA" w:rsidRDefault="00DF5584" w:rsidP="00753E61">
            <w:pPr>
              <w:spacing w:after="0" w:line="240" w:lineRule="auto"/>
              <w:jc w:val="center"/>
              <w:rPr>
                <w:rFonts w:ascii="Calibri" w:eastAsia="Times New Roman" w:hAnsi="Calibri" w:cs="Times New Roman"/>
                <w:color w:val="FFFFFF"/>
                <w:szCs w:val="21"/>
                <w:lang w:eastAsia="cs-CZ"/>
              </w:rPr>
            </w:pPr>
            <w:r>
              <w:rPr>
                <w:rFonts w:ascii="Calibri" w:eastAsia="Times New Roman" w:hAnsi="Calibri" w:cs="Times New Roman"/>
                <w:color w:val="FFFFFF" w:themeColor="background1"/>
                <w:szCs w:val="21"/>
                <w:lang w:eastAsia="cs-CZ"/>
              </w:rPr>
              <w:t>ZP MV ČR</w:t>
            </w:r>
          </w:p>
        </w:tc>
        <w:tc>
          <w:tcPr>
            <w:tcW w:w="960" w:type="dxa"/>
            <w:vMerge w:val="restart"/>
            <w:tcBorders>
              <w:top w:val="single" w:sz="12" w:space="0" w:color="4F81BD"/>
              <w:left w:val="nil"/>
              <w:bottom w:val="nil"/>
              <w:right w:val="single" w:sz="12" w:space="0" w:color="4F81BD"/>
            </w:tcBorders>
            <w:shd w:val="clear" w:color="000000" w:fill="6691C6"/>
            <w:vAlign w:val="center"/>
            <w:hideMark/>
          </w:tcPr>
          <w:p w:rsidR="00E450DF" w:rsidRPr="005C6EAA" w:rsidRDefault="00E450DF" w:rsidP="00753E61">
            <w:pPr>
              <w:spacing w:after="0" w:line="240" w:lineRule="auto"/>
              <w:jc w:val="center"/>
              <w:rPr>
                <w:rFonts w:ascii="Calibri" w:eastAsia="Times New Roman" w:hAnsi="Calibri" w:cs="Times New Roman"/>
                <w:color w:val="FFFFFF"/>
                <w:szCs w:val="21"/>
                <w:lang w:eastAsia="cs-CZ"/>
              </w:rPr>
            </w:pPr>
            <w:r w:rsidRPr="005C6EAA">
              <w:rPr>
                <w:rFonts w:ascii="Calibri" w:eastAsia="Times New Roman" w:hAnsi="Calibri" w:cs="Times New Roman"/>
                <w:color w:val="FFFFFF" w:themeColor="background1"/>
                <w:szCs w:val="21"/>
                <w:lang w:eastAsia="cs-CZ"/>
              </w:rPr>
              <w:t>RBP</w:t>
            </w:r>
          </w:p>
        </w:tc>
      </w:tr>
      <w:tr w:rsidR="00E450DF" w:rsidRPr="005C6EAA" w:rsidTr="00E32C13">
        <w:trPr>
          <w:trHeight w:val="300"/>
        </w:trPr>
        <w:tc>
          <w:tcPr>
            <w:tcW w:w="2283" w:type="dxa"/>
            <w:tcBorders>
              <w:top w:val="nil"/>
              <w:left w:val="single" w:sz="12" w:space="0" w:color="4F81BD"/>
              <w:bottom w:val="nil"/>
              <w:right w:val="nil"/>
            </w:tcBorders>
            <w:shd w:val="clear" w:color="000000" w:fill="4F81BD"/>
            <w:vAlign w:val="center"/>
            <w:hideMark/>
          </w:tcPr>
          <w:p w:rsidR="00E450DF" w:rsidRPr="005C6EAA" w:rsidRDefault="00E450DF" w:rsidP="00753E61">
            <w:pPr>
              <w:spacing w:after="0" w:line="240" w:lineRule="auto"/>
              <w:rPr>
                <w:rFonts w:ascii="Calibri" w:eastAsia="Times New Roman" w:hAnsi="Calibri" w:cs="Times New Roman"/>
                <w:b/>
                <w:bCs/>
                <w:i/>
                <w:iCs/>
                <w:color w:val="FFFFFF"/>
                <w:szCs w:val="21"/>
                <w:lang w:eastAsia="cs-CZ"/>
              </w:rPr>
            </w:pPr>
            <w:r w:rsidRPr="005C6EAA">
              <w:rPr>
                <w:rFonts w:ascii="Calibri" w:eastAsia="Times New Roman" w:hAnsi="Calibri" w:cs="Times New Roman"/>
                <w:b/>
                <w:bCs/>
                <w:i/>
                <w:iCs/>
                <w:color w:val="FFFFFF"/>
                <w:szCs w:val="21"/>
                <w:lang w:eastAsia="cs-CZ"/>
              </w:rPr>
              <w:t>(průměrný počet)</w:t>
            </w:r>
          </w:p>
        </w:tc>
        <w:tc>
          <w:tcPr>
            <w:tcW w:w="1134" w:type="dxa"/>
            <w:vMerge/>
            <w:tcBorders>
              <w:top w:val="single" w:sz="12" w:space="0" w:color="4F81BD"/>
              <w:left w:val="nil"/>
              <w:bottom w:val="nil"/>
              <w:right w:val="nil"/>
            </w:tcBorders>
            <w:vAlign w:val="center"/>
            <w:hideMark/>
          </w:tcPr>
          <w:p w:rsidR="00E450DF" w:rsidRPr="005C6EAA" w:rsidRDefault="00E450DF" w:rsidP="00753E61">
            <w:pPr>
              <w:spacing w:after="0" w:line="240" w:lineRule="auto"/>
              <w:rPr>
                <w:rFonts w:ascii="Calibri" w:eastAsia="Times New Roman" w:hAnsi="Calibri" w:cs="Times New Roman"/>
                <w:color w:val="FFFFFF"/>
                <w:szCs w:val="21"/>
                <w:lang w:eastAsia="cs-CZ"/>
              </w:rPr>
            </w:pPr>
          </w:p>
        </w:tc>
        <w:tc>
          <w:tcPr>
            <w:tcW w:w="993" w:type="dxa"/>
            <w:vMerge/>
            <w:tcBorders>
              <w:top w:val="single" w:sz="12" w:space="0" w:color="4F81BD"/>
              <w:left w:val="nil"/>
              <w:bottom w:val="nil"/>
              <w:right w:val="nil"/>
            </w:tcBorders>
            <w:vAlign w:val="center"/>
            <w:hideMark/>
          </w:tcPr>
          <w:p w:rsidR="00E450DF" w:rsidRPr="005C6EAA" w:rsidRDefault="00E450DF" w:rsidP="00753E61">
            <w:pPr>
              <w:spacing w:after="0" w:line="240" w:lineRule="auto"/>
              <w:rPr>
                <w:rFonts w:ascii="Calibri" w:eastAsia="Times New Roman" w:hAnsi="Calibri" w:cs="Times New Roman"/>
                <w:color w:val="FFFFFF"/>
                <w:szCs w:val="21"/>
                <w:lang w:eastAsia="cs-CZ"/>
              </w:rPr>
            </w:pPr>
          </w:p>
        </w:tc>
        <w:tc>
          <w:tcPr>
            <w:tcW w:w="1134" w:type="dxa"/>
            <w:vMerge/>
            <w:tcBorders>
              <w:top w:val="single" w:sz="12" w:space="0" w:color="4F81BD"/>
              <w:left w:val="nil"/>
              <w:bottom w:val="nil"/>
              <w:right w:val="nil"/>
            </w:tcBorders>
            <w:vAlign w:val="center"/>
            <w:hideMark/>
          </w:tcPr>
          <w:p w:rsidR="00E450DF" w:rsidRPr="005C6EAA" w:rsidRDefault="00E450DF" w:rsidP="00753E61">
            <w:pPr>
              <w:spacing w:after="0" w:line="240" w:lineRule="auto"/>
              <w:rPr>
                <w:rFonts w:ascii="Calibri" w:eastAsia="Times New Roman" w:hAnsi="Calibri" w:cs="Times New Roman"/>
                <w:color w:val="FFFFFF"/>
                <w:szCs w:val="21"/>
                <w:lang w:eastAsia="cs-CZ"/>
              </w:rPr>
            </w:pPr>
          </w:p>
        </w:tc>
        <w:tc>
          <w:tcPr>
            <w:tcW w:w="992" w:type="dxa"/>
            <w:vMerge/>
            <w:tcBorders>
              <w:top w:val="single" w:sz="12" w:space="0" w:color="4F81BD"/>
              <w:left w:val="nil"/>
              <w:bottom w:val="nil"/>
              <w:right w:val="nil"/>
            </w:tcBorders>
            <w:vAlign w:val="center"/>
            <w:hideMark/>
          </w:tcPr>
          <w:p w:rsidR="00E450DF" w:rsidRPr="005C6EAA" w:rsidRDefault="00E450DF" w:rsidP="00753E61">
            <w:pPr>
              <w:spacing w:after="0" w:line="240" w:lineRule="auto"/>
              <w:rPr>
                <w:rFonts w:ascii="Calibri" w:eastAsia="Times New Roman" w:hAnsi="Calibri" w:cs="Times New Roman"/>
                <w:color w:val="FFFFFF"/>
                <w:szCs w:val="21"/>
                <w:lang w:eastAsia="cs-CZ"/>
              </w:rPr>
            </w:pPr>
          </w:p>
        </w:tc>
        <w:tc>
          <w:tcPr>
            <w:tcW w:w="992" w:type="dxa"/>
            <w:vMerge/>
            <w:tcBorders>
              <w:top w:val="single" w:sz="12" w:space="0" w:color="4F81BD"/>
              <w:left w:val="nil"/>
              <w:bottom w:val="nil"/>
              <w:right w:val="nil"/>
            </w:tcBorders>
            <w:vAlign w:val="center"/>
            <w:hideMark/>
          </w:tcPr>
          <w:p w:rsidR="00E450DF" w:rsidRPr="005C6EAA" w:rsidRDefault="00E450DF" w:rsidP="00753E61">
            <w:pPr>
              <w:spacing w:after="0" w:line="240" w:lineRule="auto"/>
              <w:rPr>
                <w:rFonts w:ascii="Calibri" w:eastAsia="Times New Roman" w:hAnsi="Calibri" w:cs="Times New Roman"/>
                <w:color w:val="FFFFFF"/>
                <w:szCs w:val="21"/>
                <w:lang w:eastAsia="cs-CZ"/>
              </w:rPr>
            </w:pPr>
          </w:p>
        </w:tc>
        <w:tc>
          <w:tcPr>
            <w:tcW w:w="1112" w:type="dxa"/>
            <w:vMerge/>
            <w:tcBorders>
              <w:top w:val="single" w:sz="12" w:space="0" w:color="4F81BD"/>
              <w:left w:val="nil"/>
              <w:bottom w:val="nil"/>
              <w:right w:val="nil"/>
            </w:tcBorders>
            <w:vAlign w:val="center"/>
            <w:hideMark/>
          </w:tcPr>
          <w:p w:rsidR="00E450DF" w:rsidRPr="005C6EAA" w:rsidRDefault="00E450DF" w:rsidP="00753E61">
            <w:pPr>
              <w:spacing w:after="0" w:line="240" w:lineRule="auto"/>
              <w:rPr>
                <w:rFonts w:ascii="Calibri" w:eastAsia="Times New Roman" w:hAnsi="Calibri" w:cs="Times New Roman"/>
                <w:color w:val="FFFFFF"/>
                <w:szCs w:val="21"/>
                <w:lang w:eastAsia="cs-CZ"/>
              </w:rPr>
            </w:pPr>
          </w:p>
        </w:tc>
        <w:tc>
          <w:tcPr>
            <w:tcW w:w="960" w:type="dxa"/>
            <w:vMerge/>
            <w:tcBorders>
              <w:top w:val="single" w:sz="12" w:space="0" w:color="4F81BD"/>
              <w:left w:val="nil"/>
              <w:bottom w:val="nil"/>
              <w:right w:val="single" w:sz="12" w:space="0" w:color="4F81BD"/>
            </w:tcBorders>
            <w:vAlign w:val="center"/>
            <w:hideMark/>
          </w:tcPr>
          <w:p w:rsidR="00E450DF" w:rsidRPr="005C6EAA" w:rsidRDefault="00E450DF" w:rsidP="00753E61">
            <w:pPr>
              <w:spacing w:after="0" w:line="240" w:lineRule="auto"/>
              <w:rPr>
                <w:rFonts w:ascii="Calibri" w:eastAsia="Times New Roman" w:hAnsi="Calibri" w:cs="Times New Roman"/>
                <w:color w:val="FFFFFF"/>
                <w:szCs w:val="21"/>
                <w:lang w:eastAsia="cs-CZ"/>
              </w:rPr>
            </w:pPr>
          </w:p>
        </w:tc>
      </w:tr>
      <w:tr w:rsidR="00D977BD" w:rsidRPr="005C6EAA" w:rsidTr="00E32C13">
        <w:trPr>
          <w:trHeight w:val="300"/>
        </w:trPr>
        <w:tc>
          <w:tcPr>
            <w:tcW w:w="2283" w:type="dxa"/>
            <w:tcBorders>
              <w:top w:val="nil"/>
              <w:left w:val="single" w:sz="12" w:space="0" w:color="4F81BD"/>
              <w:bottom w:val="nil"/>
              <w:right w:val="nil"/>
            </w:tcBorders>
            <w:shd w:val="clear" w:color="auto" w:fill="auto"/>
            <w:vAlign w:val="center"/>
            <w:hideMark/>
          </w:tcPr>
          <w:p w:rsidR="00D977BD" w:rsidRPr="005C6EAA" w:rsidRDefault="00D977BD" w:rsidP="00753E61">
            <w:pPr>
              <w:spacing w:after="0" w:line="240" w:lineRule="auto"/>
              <w:rPr>
                <w:rFonts w:ascii="Calibri" w:eastAsia="Times New Roman" w:hAnsi="Calibri" w:cs="Times New Roman"/>
                <w:b/>
                <w:bCs/>
                <w:color w:val="000000"/>
                <w:szCs w:val="21"/>
                <w:lang w:eastAsia="cs-CZ"/>
              </w:rPr>
            </w:pPr>
            <w:r w:rsidRPr="005C6EAA">
              <w:rPr>
                <w:rFonts w:ascii="Calibri" w:eastAsia="Times New Roman" w:hAnsi="Calibri" w:cs="Times New Roman"/>
                <w:b/>
                <w:bCs/>
                <w:color w:val="000000"/>
                <w:szCs w:val="21"/>
                <w:lang w:eastAsia="cs-CZ"/>
              </w:rPr>
              <w:t>pojištěnců</w:t>
            </w:r>
          </w:p>
        </w:tc>
        <w:tc>
          <w:tcPr>
            <w:tcW w:w="1134" w:type="dxa"/>
            <w:tcBorders>
              <w:top w:val="nil"/>
              <w:left w:val="nil"/>
              <w:bottom w:val="nil"/>
              <w:right w:val="nil"/>
            </w:tcBorders>
            <w:shd w:val="clear" w:color="000000" w:fill="DCE6F1"/>
            <w:noWrap/>
            <w:vAlign w:val="center"/>
          </w:tcPr>
          <w:p w:rsidR="00D977BD" w:rsidRPr="005C6EAA" w:rsidRDefault="00D977BD" w:rsidP="00753E61">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5 944 261</w:t>
            </w:r>
          </w:p>
        </w:tc>
        <w:tc>
          <w:tcPr>
            <w:tcW w:w="993" w:type="dxa"/>
            <w:tcBorders>
              <w:top w:val="nil"/>
              <w:left w:val="nil"/>
              <w:bottom w:val="nil"/>
              <w:right w:val="nil"/>
            </w:tcBorders>
            <w:shd w:val="clear" w:color="auto" w:fill="auto"/>
            <w:noWrap/>
            <w:vAlign w:val="center"/>
          </w:tcPr>
          <w:p w:rsidR="00D977BD" w:rsidRPr="005C6EAA" w:rsidRDefault="00D977BD" w:rsidP="00753E61">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698 942</w:t>
            </w:r>
          </w:p>
        </w:tc>
        <w:tc>
          <w:tcPr>
            <w:tcW w:w="1134" w:type="dxa"/>
            <w:tcBorders>
              <w:top w:val="nil"/>
              <w:left w:val="nil"/>
              <w:bottom w:val="nil"/>
              <w:right w:val="nil"/>
            </w:tcBorders>
            <w:shd w:val="clear" w:color="000000" w:fill="DCE6F1"/>
            <w:noWrap/>
            <w:vAlign w:val="center"/>
          </w:tcPr>
          <w:p w:rsidR="00D977BD" w:rsidRPr="005C6EAA" w:rsidRDefault="00D977BD" w:rsidP="00753E61">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1 274 602</w:t>
            </w:r>
          </w:p>
        </w:tc>
        <w:tc>
          <w:tcPr>
            <w:tcW w:w="992" w:type="dxa"/>
            <w:tcBorders>
              <w:top w:val="nil"/>
              <w:left w:val="nil"/>
              <w:bottom w:val="nil"/>
              <w:right w:val="nil"/>
            </w:tcBorders>
            <w:shd w:val="clear" w:color="auto" w:fill="auto"/>
            <w:noWrap/>
            <w:vAlign w:val="center"/>
          </w:tcPr>
          <w:p w:rsidR="00D977BD" w:rsidRPr="005C6EAA" w:rsidRDefault="00D977BD" w:rsidP="00753E61">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736 030</w:t>
            </w:r>
          </w:p>
        </w:tc>
        <w:tc>
          <w:tcPr>
            <w:tcW w:w="992" w:type="dxa"/>
            <w:tcBorders>
              <w:top w:val="nil"/>
              <w:left w:val="nil"/>
              <w:bottom w:val="nil"/>
              <w:right w:val="nil"/>
            </w:tcBorders>
            <w:shd w:val="clear" w:color="000000" w:fill="DCE6F1"/>
            <w:noWrap/>
            <w:vAlign w:val="center"/>
          </w:tcPr>
          <w:p w:rsidR="00D977BD" w:rsidRPr="005C6EAA" w:rsidRDefault="00D977BD" w:rsidP="00753E61">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145 093</w:t>
            </w:r>
          </w:p>
        </w:tc>
        <w:tc>
          <w:tcPr>
            <w:tcW w:w="1112" w:type="dxa"/>
            <w:tcBorders>
              <w:top w:val="nil"/>
              <w:left w:val="nil"/>
              <w:bottom w:val="nil"/>
              <w:right w:val="nil"/>
            </w:tcBorders>
            <w:shd w:val="clear" w:color="auto" w:fill="auto"/>
            <w:noWrap/>
            <w:vAlign w:val="center"/>
          </w:tcPr>
          <w:p w:rsidR="00D977BD" w:rsidRPr="005C6EAA" w:rsidRDefault="00D977BD" w:rsidP="00753E61">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1 326 683</w:t>
            </w:r>
          </w:p>
        </w:tc>
        <w:tc>
          <w:tcPr>
            <w:tcW w:w="960" w:type="dxa"/>
            <w:tcBorders>
              <w:top w:val="nil"/>
              <w:left w:val="nil"/>
              <w:bottom w:val="nil"/>
              <w:right w:val="single" w:sz="12" w:space="0" w:color="4F81BD"/>
            </w:tcBorders>
            <w:shd w:val="clear" w:color="000000" w:fill="DCE6F1"/>
            <w:noWrap/>
            <w:vAlign w:val="center"/>
          </w:tcPr>
          <w:p w:rsidR="00D977BD" w:rsidRPr="005C6EAA" w:rsidRDefault="00D977BD" w:rsidP="00753E61">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427 280</w:t>
            </w:r>
          </w:p>
        </w:tc>
      </w:tr>
      <w:tr w:rsidR="00D977BD" w:rsidRPr="005C6EAA" w:rsidTr="00E32C13">
        <w:trPr>
          <w:trHeight w:val="300"/>
        </w:trPr>
        <w:tc>
          <w:tcPr>
            <w:tcW w:w="2283" w:type="dxa"/>
            <w:tcBorders>
              <w:top w:val="nil"/>
              <w:left w:val="single" w:sz="12" w:space="0" w:color="4F81BD"/>
              <w:bottom w:val="nil"/>
              <w:right w:val="nil"/>
            </w:tcBorders>
            <w:shd w:val="clear" w:color="000000" w:fill="EEF3F8"/>
            <w:vAlign w:val="center"/>
            <w:hideMark/>
          </w:tcPr>
          <w:p w:rsidR="00D977BD" w:rsidRPr="005C6EAA" w:rsidRDefault="00D977BD" w:rsidP="00753E61">
            <w:pPr>
              <w:spacing w:after="0" w:line="240" w:lineRule="auto"/>
              <w:rPr>
                <w:rFonts w:ascii="Calibri" w:eastAsia="Times New Roman" w:hAnsi="Calibri" w:cs="Times New Roman"/>
                <w:color w:val="000000"/>
                <w:szCs w:val="21"/>
                <w:lang w:eastAsia="cs-CZ"/>
              </w:rPr>
            </w:pPr>
            <w:r w:rsidRPr="005C6EAA">
              <w:rPr>
                <w:rFonts w:ascii="Calibri" w:eastAsia="Times New Roman" w:hAnsi="Calibri" w:cs="Times New Roman"/>
                <w:color w:val="000000"/>
                <w:szCs w:val="21"/>
                <w:lang w:eastAsia="cs-CZ"/>
              </w:rPr>
              <w:t>z toho státem hrazených</w:t>
            </w:r>
          </w:p>
        </w:tc>
        <w:tc>
          <w:tcPr>
            <w:tcW w:w="1134" w:type="dxa"/>
            <w:tcBorders>
              <w:top w:val="nil"/>
              <w:left w:val="nil"/>
              <w:bottom w:val="nil"/>
              <w:right w:val="nil"/>
            </w:tcBorders>
            <w:shd w:val="clear" w:color="000000" w:fill="EEF3F8"/>
            <w:noWrap/>
            <w:vAlign w:val="center"/>
          </w:tcPr>
          <w:p w:rsidR="00D977BD" w:rsidRPr="005C6EAA" w:rsidRDefault="00D977BD" w:rsidP="00753E61">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3 374 752</w:t>
            </w:r>
          </w:p>
        </w:tc>
        <w:tc>
          <w:tcPr>
            <w:tcW w:w="993" w:type="dxa"/>
            <w:tcBorders>
              <w:top w:val="nil"/>
              <w:left w:val="nil"/>
              <w:bottom w:val="nil"/>
              <w:right w:val="nil"/>
            </w:tcBorders>
            <w:shd w:val="clear" w:color="000000" w:fill="EEF3F8"/>
            <w:noWrap/>
            <w:vAlign w:val="center"/>
          </w:tcPr>
          <w:p w:rsidR="00D977BD" w:rsidRPr="005C6EAA" w:rsidRDefault="00D977BD" w:rsidP="00753E61">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374 935</w:t>
            </w:r>
          </w:p>
        </w:tc>
        <w:tc>
          <w:tcPr>
            <w:tcW w:w="1134" w:type="dxa"/>
            <w:tcBorders>
              <w:top w:val="nil"/>
              <w:left w:val="nil"/>
              <w:bottom w:val="nil"/>
              <w:right w:val="nil"/>
            </w:tcBorders>
            <w:shd w:val="clear" w:color="000000" w:fill="EEF3F8"/>
            <w:noWrap/>
            <w:vAlign w:val="center"/>
          </w:tcPr>
          <w:p w:rsidR="00D977BD" w:rsidRPr="005C6EAA" w:rsidRDefault="00D977BD" w:rsidP="00753E61">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729 052</w:t>
            </w:r>
          </w:p>
        </w:tc>
        <w:tc>
          <w:tcPr>
            <w:tcW w:w="992" w:type="dxa"/>
            <w:tcBorders>
              <w:top w:val="nil"/>
              <w:left w:val="nil"/>
              <w:bottom w:val="nil"/>
              <w:right w:val="nil"/>
            </w:tcBorders>
            <w:shd w:val="clear" w:color="000000" w:fill="EEF3F8"/>
            <w:noWrap/>
            <w:vAlign w:val="center"/>
          </w:tcPr>
          <w:p w:rsidR="00D977BD" w:rsidRPr="005C6EAA" w:rsidRDefault="00D977BD" w:rsidP="00753E61">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415 949</w:t>
            </w:r>
          </w:p>
        </w:tc>
        <w:tc>
          <w:tcPr>
            <w:tcW w:w="992" w:type="dxa"/>
            <w:tcBorders>
              <w:top w:val="nil"/>
              <w:left w:val="nil"/>
              <w:bottom w:val="nil"/>
              <w:right w:val="nil"/>
            </w:tcBorders>
            <w:shd w:val="clear" w:color="000000" w:fill="EEF3F8"/>
            <w:noWrap/>
            <w:vAlign w:val="center"/>
          </w:tcPr>
          <w:p w:rsidR="00D977BD" w:rsidRPr="005C6EAA" w:rsidRDefault="00D977BD" w:rsidP="00753E61">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80 963</w:t>
            </w:r>
          </w:p>
        </w:tc>
        <w:tc>
          <w:tcPr>
            <w:tcW w:w="1112" w:type="dxa"/>
            <w:tcBorders>
              <w:top w:val="nil"/>
              <w:left w:val="nil"/>
              <w:bottom w:val="nil"/>
              <w:right w:val="nil"/>
            </w:tcBorders>
            <w:shd w:val="clear" w:color="000000" w:fill="EEF3F8"/>
            <w:noWrap/>
            <w:vAlign w:val="center"/>
          </w:tcPr>
          <w:p w:rsidR="00D977BD" w:rsidRPr="005C6EAA" w:rsidRDefault="00D977BD" w:rsidP="00753E61">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733 859</w:t>
            </w:r>
          </w:p>
        </w:tc>
        <w:tc>
          <w:tcPr>
            <w:tcW w:w="960" w:type="dxa"/>
            <w:tcBorders>
              <w:top w:val="nil"/>
              <w:left w:val="nil"/>
              <w:bottom w:val="nil"/>
              <w:right w:val="single" w:sz="12" w:space="0" w:color="4F81BD"/>
            </w:tcBorders>
            <w:shd w:val="clear" w:color="000000" w:fill="EEF3F8"/>
            <w:noWrap/>
            <w:vAlign w:val="center"/>
          </w:tcPr>
          <w:p w:rsidR="00D977BD" w:rsidRPr="005C6EAA" w:rsidRDefault="00D977BD" w:rsidP="00753E61">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248 866</w:t>
            </w:r>
          </w:p>
        </w:tc>
      </w:tr>
      <w:tr w:rsidR="00D977BD" w:rsidRPr="005C6EAA" w:rsidTr="00E32C13">
        <w:trPr>
          <w:trHeight w:val="300"/>
        </w:trPr>
        <w:tc>
          <w:tcPr>
            <w:tcW w:w="2283" w:type="dxa"/>
            <w:tcBorders>
              <w:top w:val="nil"/>
              <w:left w:val="single" w:sz="12" w:space="0" w:color="4F81BD"/>
              <w:bottom w:val="nil"/>
              <w:right w:val="nil"/>
            </w:tcBorders>
            <w:shd w:val="clear" w:color="auto" w:fill="auto"/>
            <w:vAlign w:val="center"/>
            <w:hideMark/>
          </w:tcPr>
          <w:p w:rsidR="00D977BD" w:rsidRPr="005C6EAA" w:rsidRDefault="00D977BD" w:rsidP="00753E61">
            <w:pPr>
              <w:spacing w:after="0" w:line="240" w:lineRule="auto"/>
              <w:rPr>
                <w:rFonts w:ascii="Calibri" w:eastAsia="Times New Roman" w:hAnsi="Calibri" w:cs="Times New Roman"/>
                <w:b/>
                <w:bCs/>
                <w:color w:val="000000"/>
                <w:szCs w:val="21"/>
                <w:lang w:eastAsia="cs-CZ"/>
              </w:rPr>
            </w:pPr>
            <w:r w:rsidRPr="005C6EAA">
              <w:rPr>
                <w:rFonts w:ascii="Calibri" w:eastAsia="Times New Roman" w:hAnsi="Calibri" w:cs="Times New Roman"/>
                <w:b/>
                <w:bCs/>
                <w:color w:val="000000"/>
                <w:szCs w:val="21"/>
                <w:lang w:eastAsia="cs-CZ"/>
              </w:rPr>
              <w:t>zaměstnanců</w:t>
            </w:r>
          </w:p>
        </w:tc>
        <w:tc>
          <w:tcPr>
            <w:tcW w:w="1134" w:type="dxa"/>
            <w:tcBorders>
              <w:top w:val="nil"/>
              <w:left w:val="nil"/>
              <w:bottom w:val="nil"/>
              <w:right w:val="nil"/>
            </w:tcBorders>
            <w:shd w:val="clear" w:color="000000" w:fill="DCE6F1"/>
            <w:noWrap/>
            <w:vAlign w:val="center"/>
          </w:tcPr>
          <w:p w:rsidR="00D977BD" w:rsidRPr="005C6EAA" w:rsidRDefault="00D977BD" w:rsidP="00753E61">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color w:val="000000"/>
                <w:szCs w:val="21"/>
              </w:rPr>
              <w:t>3 630</w:t>
            </w:r>
          </w:p>
        </w:tc>
        <w:tc>
          <w:tcPr>
            <w:tcW w:w="993" w:type="dxa"/>
            <w:tcBorders>
              <w:top w:val="nil"/>
              <w:left w:val="nil"/>
              <w:bottom w:val="nil"/>
              <w:right w:val="nil"/>
            </w:tcBorders>
            <w:shd w:val="clear" w:color="auto" w:fill="auto"/>
            <w:noWrap/>
            <w:vAlign w:val="center"/>
          </w:tcPr>
          <w:p w:rsidR="00D977BD" w:rsidRPr="005C6EAA" w:rsidRDefault="00D977BD" w:rsidP="00753E61">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color w:val="000000"/>
                <w:szCs w:val="21"/>
              </w:rPr>
              <w:t>400</w:t>
            </w:r>
          </w:p>
        </w:tc>
        <w:tc>
          <w:tcPr>
            <w:tcW w:w="1134" w:type="dxa"/>
            <w:tcBorders>
              <w:top w:val="nil"/>
              <w:left w:val="nil"/>
              <w:bottom w:val="nil"/>
              <w:right w:val="nil"/>
            </w:tcBorders>
            <w:shd w:val="clear" w:color="000000" w:fill="DCE6F1"/>
            <w:noWrap/>
            <w:vAlign w:val="center"/>
          </w:tcPr>
          <w:p w:rsidR="00D977BD" w:rsidRPr="005C6EAA" w:rsidRDefault="00D977BD" w:rsidP="00753E61">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color w:val="000000"/>
                <w:szCs w:val="21"/>
              </w:rPr>
              <w:t>657</w:t>
            </w:r>
          </w:p>
        </w:tc>
        <w:tc>
          <w:tcPr>
            <w:tcW w:w="992" w:type="dxa"/>
            <w:tcBorders>
              <w:top w:val="nil"/>
              <w:left w:val="nil"/>
              <w:bottom w:val="nil"/>
              <w:right w:val="nil"/>
            </w:tcBorders>
            <w:shd w:val="clear" w:color="auto" w:fill="auto"/>
            <w:noWrap/>
            <w:vAlign w:val="center"/>
          </w:tcPr>
          <w:p w:rsidR="00D977BD" w:rsidRPr="005C6EAA" w:rsidRDefault="00D977BD" w:rsidP="00753E61">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color w:val="000000"/>
                <w:szCs w:val="21"/>
              </w:rPr>
              <w:t>404</w:t>
            </w:r>
          </w:p>
        </w:tc>
        <w:tc>
          <w:tcPr>
            <w:tcW w:w="992" w:type="dxa"/>
            <w:tcBorders>
              <w:top w:val="nil"/>
              <w:left w:val="nil"/>
              <w:bottom w:val="nil"/>
              <w:right w:val="nil"/>
            </w:tcBorders>
            <w:shd w:val="clear" w:color="000000" w:fill="DCE6F1"/>
            <w:noWrap/>
            <w:vAlign w:val="center"/>
          </w:tcPr>
          <w:p w:rsidR="00D977BD" w:rsidRPr="005C6EAA" w:rsidRDefault="00D977BD" w:rsidP="00753E61">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color w:val="000000"/>
                <w:szCs w:val="21"/>
              </w:rPr>
              <w:t>80</w:t>
            </w:r>
          </w:p>
        </w:tc>
        <w:tc>
          <w:tcPr>
            <w:tcW w:w="1112" w:type="dxa"/>
            <w:tcBorders>
              <w:top w:val="nil"/>
              <w:left w:val="nil"/>
              <w:bottom w:val="nil"/>
              <w:right w:val="nil"/>
            </w:tcBorders>
            <w:shd w:val="clear" w:color="auto" w:fill="auto"/>
            <w:noWrap/>
            <w:vAlign w:val="center"/>
          </w:tcPr>
          <w:p w:rsidR="00D977BD" w:rsidRPr="005C6EAA" w:rsidRDefault="00D977BD" w:rsidP="00753E61">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color w:val="000000"/>
                <w:szCs w:val="21"/>
              </w:rPr>
              <w:t>722</w:t>
            </w:r>
          </w:p>
        </w:tc>
        <w:tc>
          <w:tcPr>
            <w:tcW w:w="960" w:type="dxa"/>
            <w:tcBorders>
              <w:top w:val="nil"/>
              <w:left w:val="nil"/>
              <w:bottom w:val="nil"/>
              <w:right w:val="single" w:sz="12" w:space="0" w:color="4F81BD"/>
            </w:tcBorders>
            <w:shd w:val="clear" w:color="000000" w:fill="DCE6F1"/>
            <w:noWrap/>
            <w:vAlign w:val="center"/>
          </w:tcPr>
          <w:p w:rsidR="00D977BD" w:rsidRPr="005C6EAA" w:rsidRDefault="00D977BD" w:rsidP="00753E61">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color w:val="000000"/>
                <w:szCs w:val="21"/>
              </w:rPr>
              <w:t>239</w:t>
            </w:r>
          </w:p>
        </w:tc>
      </w:tr>
      <w:tr w:rsidR="00D977BD" w:rsidRPr="005C6EAA" w:rsidTr="00E32C13">
        <w:trPr>
          <w:trHeight w:val="315"/>
        </w:trPr>
        <w:tc>
          <w:tcPr>
            <w:tcW w:w="2283" w:type="dxa"/>
            <w:tcBorders>
              <w:top w:val="nil"/>
              <w:left w:val="single" w:sz="12" w:space="0" w:color="4F81BD"/>
              <w:bottom w:val="single" w:sz="12" w:space="0" w:color="4F81BD"/>
              <w:right w:val="nil"/>
            </w:tcBorders>
            <w:shd w:val="clear" w:color="000000" w:fill="EEF3F8"/>
            <w:vAlign w:val="center"/>
            <w:hideMark/>
          </w:tcPr>
          <w:p w:rsidR="00D977BD" w:rsidRPr="005C6EAA" w:rsidRDefault="00D977BD" w:rsidP="007B479E">
            <w:pPr>
              <w:spacing w:after="0" w:line="240" w:lineRule="auto"/>
              <w:rPr>
                <w:rFonts w:ascii="Calibri" w:eastAsia="Times New Roman" w:hAnsi="Calibri" w:cs="Times New Roman"/>
                <w:color w:val="000000"/>
                <w:szCs w:val="21"/>
                <w:lang w:eastAsia="cs-CZ"/>
              </w:rPr>
            </w:pPr>
            <w:r w:rsidRPr="005C6EAA">
              <w:rPr>
                <w:rFonts w:ascii="Calibri" w:eastAsia="Times New Roman" w:hAnsi="Calibri" w:cs="Times New Roman"/>
                <w:color w:val="000000"/>
                <w:szCs w:val="21"/>
                <w:lang w:eastAsia="cs-CZ"/>
              </w:rPr>
              <w:t xml:space="preserve">pojištěnců na 1 </w:t>
            </w:r>
            <w:proofErr w:type="spellStart"/>
            <w:r w:rsidR="007B479E" w:rsidRPr="005C6EAA">
              <w:rPr>
                <w:rFonts w:ascii="Calibri" w:eastAsia="Times New Roman" w:hAnsi="Calibri" w:cs="Times New Roman"/>
                <w:color w:val="000000"/>
                <w:szCs w:val="21"/>
                <w:lang w:eastAsia="cs-CZ"/>
              </w:rPr>
              <w:t>zam</w:t>
            </w:r>
            <w:proofErr w:type="spellEnd"/>
            <w:r w:rsidR="007B479E">
              <w:rPr>
                <w:rFonts w:ascii="Calibri" w:eastAsia="Times New Roman" w:hAnsi="Calibri" w:cs="Times New Roman"/>
                <w:color w:val="000000"/>
                <w:szCs w:val="21"/>
                <w:lang w:eastAsia="cs-CZ"/>
              </w:rPr>
              <w:t>.</w:t>
            </w:r>
          </w:p>
        </w:tc>
        <w:tc>
          <w:tcPr>
            <w:tcW w:w="1134" w:type="dxa"/>
            <w:tcBorders>
              <w:top w:val="nil"/>
              <w:left w:val="nil"/>
              <w:bottom w:val="single" w:sz="12" w:space="0" w:color="4F81BD"/>
              <w:right w:val="nil"/>
            </w:tcBorders>
            <w:shd w:val="clear" w:color="000000" w:fill="EEF3F8"/>
            <w:noWrap/>
            <w:vAlign w:val="center"/>
          </w:tcPr>
          <w:p w:rsidR="00D977BD" w:rsidRPr="005C6EAA" w:rsidRDefault="00D977BD" w:rsidP="00753E61">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1 638</w:t>
            </w:r>
          </w:p>
        </w:tc>
        <w:tc>
          <w:tcPr>
            <w:tcW w:w="993" w:type="dxa"/>
            <w:tcBorders>
              <w:top w:val="nil"/>
              <w:left w:val="nil"/>
              <w:bottom w:val="single" w:sz="12" w:space="0" w:color="4F81BD"/>
              <w:right w:val="nil"/>
            </w:tcBorders>
            <w:shd w:val="clear" w:color="000000" w:fill="EEF3F8"/>
            <w:noWrap/>
            <w:vAlign w:val="center"/>
          </w:tcPr>
          <w:p w:rsidR="00D977BD" w:rsidRPr="005C6EAA" w:rsidRDefault="00D977BD" w:rsidP="00753E61">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1 747</w:t>
            </w:r>
          </w:p>
        </w:tc>
        <w:tc>
          <w:tcPr>
            <w:tcW w:w="1134" w:type="dxa"/>
            <w:tcBorders>
              <w:top w:val="nil"/>
              <w:left w:val="nil"/>
              <w:bottom w:val="single" w:sz="12" w:space="0" w:color="4F81BD"/>
              <w:right w:val="nil"/>
            </w:tcBorders>
            <w:shd w:val="clear" w:color="000000" w:fill="EEF3F8"/>
            <w:noWrap/>
            <w:vAlign w:val="center"/>
          </w:tcPr>
          <w:p w:rsidR="00D977BD" w:rsidRPr="005C6EAA" w:rsidRDefault="00D977BD" w:rsidP="00753E61">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1 940</w:t>
            </w:r>
          </w:p>
        </w:tc>
        <w:tc>
          <w:tcPr>
            <w:tcW w:w="992" w:type="dxa"/>
            <w:tcBorders>
              <w:top w:val="nil"/>
              <w:left w:val="nil"/>
              <w:bottom w:val="single" w:sz="12" w:space="0" w:color="4F81BD"/>
              <w:right w:val="nil"/>
            </w:tcBorders>
            <w:shd w:val="clear" w:color="000000" w:fill="EEF3F8"/>
            <w:noWrap/>
            <w:vAlign w:val="center"/>
          </w:tcPr>
          <w:p w:rsidR="00D977BD" w:rsidRPr="005C6EAA" w:rsidRDefault="00D977BD" w:rsidP="00753E61">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1 822</w:t>
            </w:r>
          </w:p>
        </w:tc>
        <w:tc>
          <w:tcPr>
            <w:tcW w:w="992" w:type="dxa"/>
            <w:tcBorders>
              <w:top w:val="nil"/>
              <w:left w:val="nil"/>
              <w:bottom w:val="single" w:sz="12" w:space="0" w:color="4F81BD"/>
              <w:right w:val="nil"/>
            </w:tcBorders>
            <w:shd w:val="clear" w:color="000000" w:fill="EEF3F8"/>
            <w:noWrap/>
            <w:vAlign w:val="center"/>
          </w:tcPr>
          <w:p w:rsidR="00D977BD" w:rsidRPr="005C6EAA" w:rsidRDefault="00D977BD" w:rsidP="00753E61">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1 814</w:t>
            </w:r>
          </w:p>
        </w:tc>
        <w:tc>
          <w:tcPr>
            <w:tcW w:w="1112" w:type="dxa"/>
            <w:tcBorders>
              <w:top w:val="nil"/>
              <w:left w:val="nil"/>
              <w:bottom w:val="single" w:sz="12" w:space="0" w:color="4F81BD"/>
              <w:right w:val="nil"/>
            </w:tcBorders>
            <w:shd w:val="clear" w:color="000000" w:fill="EEF3F8"/>
            <w:noWrap/>
            <w:vAlign w:val="center"/>
          </w:tcPr>
          <w:p w:rsidR="00D977BD" w:rsidRPr="005C6EAA" w:rsidRDefault="00D977BD" w:rsidP="00753E61">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1 838</w:t>
            </w:r>
          </w:p>
        </w:tc>
        <w:tc>
          <w:tcPr>
            <w:tcW w:w="960" w:type="dxa"/>
            <w:tcBorders>
              <w:top w:val="nil"/>
              <w:left w:val="nil"/>
              <w:bottom w:val="single" w:sz="12" w:space="0" w:color="4F81BD"/>
              <w:right w:val="single" w:sz="12" w:space="0" w:color="4F81BD"/>
            </w:tcBorders>
            <w:shd w:val="clear" w:color="000000" w:fill="EEF3F8"/>
            <w:noWrap/>
            <w:vAlign w:val="center"/>
          </w:tcPr>
          <w:p w:rsidR="00D977BD" w:rsidRPr="005C6EAA" w:rsidRDefault="00D977BD" w:rsidP="00753E61">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1 788</w:t>
            </w:r>
          </w:p>
        </w:tc>
      </w:tr>
    </w:tbl>
    <w:p w:rsidR="00E450DF" w:rsidRDefault="008724F5" w:rsidP="00E450DF">
      <w:pPr>
        <w:spacing w:before="180" w:line="276" w:lineRule="auto"/>
        <w:jc w:val="both"/>
      </w:pPr>
      <w:r w:rsidRPr="00456113">
        <w:rPr>
          <w:b/>
        </w:rPr>
        <w:t>P</w:t>
      </w:r>
      <w:r w:rsidR="00E450DF" w:rsidRPr="00456113">
        <w:rPr>
          <w:b/>
        </w:rPr>
        <w:t xml:space="preserve">očet zaměstnanců zdravotních pojišťoven bude ke konci roku </w:t>
      </w:r>
      <w:r w:rsidRPr="00456113">
        <w:rPr>
          <w:b/>
        </w:rPr>
        <w:t>202</w:t>
      </w:r>
      <w:r w:rsidR="00D977BD" w:rsidRPr="00456113">
        <w:rPr>
          <w:b/>
        </w:rPr>
        <w:t>1</w:t>
      </w:r>
      <w:r w:rsidRPr="00456113">
        <w:rPr>
          <w:b/>
        </w:rPr>
        <w:t xml:space="preserve"> </w:t>
      </w:r>
      <w:r w:rsidR="00E450DF" w:rsidRPr="00456113">
        <w:rPr>
          <w:b/>
        </w:rPr>
        <w:t xml:space="preserve">činit </w:t>
      </w:r>
      <w:r w:rsidRPr="00456113">
        <w:rPr>
          <w:b/>
        </w:rPr>
        <w:t xml:space="preserve">6 </w:t>
      </w:r>
      <w:r w:rsidR="00D977BD" w:rsidRPr="00456113">
        <w:rPr>
          <w:b/>
        </w:rPr>
        <w:t>277</w:t>
      </w:r>
      <w:r w:rsidR="00E450DF" w:rsidRPr="00456113">
        <w:t xml:space="preserve">. Oproti roku </w:t>
      </w:r>
      <w:r w:rsidR="00D977BD" w:rsidRPr="00456113">
        <w:t xml:space="preserve">2020 </w:t>
      </w:r>
      <w:r w:rsidR="00E450DF" w:rsidRPr="00456113">
        <w:t>tak dojde ke</w:t>
      </w:r>
      <w:r w:rsidR="00417304" w:rsidRPr="00456113">
        <w:t> </w:t>
      </w:r>
      <w:r w:rsidR="00E450DF" w:rsidRPr="00456113">
        <w:t xml:space="preserve">zvýšení o </w:t>
      </w:r>
      <w:r w:rsidR="00D977BD" w:rsidRPr="00456113">
        <w:t xml:space="preserve">112 </w:t>
      </w:r>
      <w:r w:rsidR="00E450DF" w:rsidRPr="00456113">
        <w:t>zaměstnanců (meziročně o 1,</w:t>
      </w:r>
      <w:r w:rsidR="003D0A2D" w:rsidRPr="00456113">
        <w:t>8</w:t>
      </w:r>
      <w:r w:rsidRPr="00456113">
        <w:t xml:space="preserve"> </w:t>
      </w:r>
      <w:r w:rsidR="00E450DF" w:rsidRPr="00456113">
        <w:t>%)</w:t>
      </w:r>
      <w:r w:rsidR="002E0652" w:rsidRPr="00456113">
        <w:t xml:space="preserve">, podrobněji </w:t>
      </w:r>
      <w:r w:rsidR="002E0652" w:rsidRPr="00456113">
        <w:rPr>
          <w:i/>
        </w:rPr>
        <w:t>Graf č. 15</w:t>
      </w:r>
      <w:r w:rsidR="00E450DF" w:rsidRPr="00456113">
        <w:t xml:space="preserve">. Jsou zde patrné rostoucí tendence, neboť v letech 2012–2016 </w:t>
      </w:r>
      <w:r w:rsidR="003D0A2D" w:rsidRPr="00456113">
        <w:t xml:space="preserve">přepočtený </w:t>
      </w:r>
      <w:r w:rsidR="00E450DF" w:rsidRPr="00456113">
        <w:t>počet zaměstnanců osciloval mezi 5 800 až 5</w:t>
      </w:r>
      <w:r w:rsidR="0064233E" w:rsidRPr="00456113">
        <w:t> </w:t>
      </w:r>
      <w:r w:rsidR="00E450DF" w:rsidRPr="00456113">
        <w:t>900</w:t>
      </w:r>
      <w:r w:rsidR="0064233E" w:rsidRPr="00456113">
        <w:t xml:space="preserve"> a </w:t>
      </w:r>
      <w:r w:rsidR="003D0A2D" w:rsidRPr="00456113">
        <w:t xml:space="preserve">ke konci roku </w:t>
      </w:r>
      <w:r w:rsidR="005208DF" w:rsidRPr="00456113">
        <w:t>201</w:t>
      </w:r>
      <w:r w:rsidR="003D0A2D" w:rsidRPr="00456113">
        <w:t>9</w:t>
      </w:r>
      <w:r w:rsidR="0064233E" w:rsidRPr="00456113">
        <w:t xml:space="preserve"> byl </w:t>
      </w:r>
      <w:r w:rsidR="003D0A2D" w:rsidRPr="00456113">
        <w:t xml:space="preserve">6 060 </w:t>
      </w:r>
      <w:r w:rsidR="0064233E" w:rsidRPr="00456113">
        <w:t>osob</w:t>
      </w:r>
      <w:r w:rsidR="00E450DF" w:rsidRPr="00456113">
        <w:t>. Z toho vyplývá, že průměrný počet pojištěnců na 1 zaměstnance poklesne z </w:t>
      </w:r>
      <w:r w:rsidR="003D0A2D" w:rsidRPr="00456113">
        <w:t>1 721</w:t>
      </w:r>
      <w:r w:rsidR="003D0A2D" w:rsidRPr="00456113" w:rsidDel="003D0A2D">
        <w:t xml:space="preserve"> </w:t>
      </w:r>
      <w:r w:rsidR="0064233E" w:rsidRPr="00456113">
        <w:t>(</w:t>
      </w:r>
      <w:r w:rsidR="003D0A2D" w:rsidRPr="00456113">
        <w:t>2020</w:t>
      </w:r>
      <w:r w:rsidR="0064233E" w:rsidRPr="00456113">
        <w:t xml:space="preserve">) </w:t>
      </w:r>
      <w:r w:rsidR="00E450DF" w:rsidRPr="00456113">
        <w:t xml:space="preserve">na </w:t>
      </w:r>
      <w:r w:rsidR="00FC6664" w:rsidRPr="00456113">
        <w:t>1 705</w:t>
      </w:r>
      <w:r w:rsidR="00FC6664" w:rsidRPr="00456113" w:rsidDel="00FC6664">
        <w:t xml:space="preserve"> </w:t>
      </w:r>
      <w:r w:rsidR="0064233E" w:rsidRPr="00456113">
        <w:t>(202</w:t>
      </w:r>
      <w:r w:rsidR="003D0A2D" w:rsidRPr="00456113">
        <w:t>1</w:t>
      </w:r>
      <w:r w:rsidR="0064233E" w:rsidRPr="00456113">
        <w:t>)</w:t>
      </w:r>
      <w:r w:rsidR="00E450DF" w:rsidRPr="00456113">
        <w:t xml:space="preserve">. V průměru pak v roce </w:t>
      </w:r>
      <w:r w:rsidR="0064233E" w:rsidRPr="00456113">
        <w:t>202</w:t>
      </w:r>
      <w:r w:rsidR="00FC6664" w:rsidRPr="00456113">
        <w:t>1</w:t>
      </w:r>
      <w:r w:rsidR="0064233E" w:rsidRPr="00456113">
        <w:t xml:space="preserve"> </w:t>
      </w:r>
      <w:r w:rsidR="00E450DF" w:rsidRPr="00456113">
        <w:t xml:space="preserve">bude pracovat ve zdravotních pojišťovnách </w:t>
      </w:r>
      <w:r w:rsidR="00FC6664" w:rsidRPr="00456113">
        <w:t xml:space="preserve">6 187, </w:t>
      </w:r>
      <w:r w:rsidR="00E450DF" w:rsidRPr="00456113">
        <w:t>což představuje nárůst o</w:t>
      </w:r>
      <w:r w:rsidR="008C6C3C" w:rsidRPr="00456113">
        <w:t> </w:t>
      </w:r>
      <w:r w:rsidR="00FC6664" w:rsidRPr="00456113">
        <w:t xml:space="preserve">55 </w:t>
      </w:r>
      <w:r w:rsidR="00E450DF" w:rsidRPr="00456113">
        <w:t xml:space="preserve">přepočtených </w:t>
      </w:r>
      <w:r w:rsidR="009A5A66" w:rsidRPr="00456113">
        <w:t xml:space="preserve">osob </w:t>
      </w:r>
      <w:r w:rsidR="00E450DF" w:rsidRPr="00456113">
        <w:t xml:space="preserve">oproti r. </w:t>
      </w:r>
      <w:r w:rsidR="00FC6664" w:rsidRPr="00456113">
        <w:t>2020</w:t>
      </w:r>
      <w:r w:rsidR="00E450DF" w:rsidRPr="00456113">
        <w:t>.</w:t>
      </w:r>
    </w:p>
    <w:p w:rsidR="00436F6E" w:rsidRDefault="00E450DF" w:rsidP="009A5A66">
      <w:pPr>
        <w:pStyle w:val="Titulek"/>
      </w:pPr>
      <w:bookmarkStart w:id="45" w:name="_Toc63685296"/>
      <w:r>
        <w:t xml:space="preserve">Graf č. </w:t>
      </w:r>
      <w:r w:rsidR="008E5E29">
        <w:rPr>
          <w:noProof/>
        </w:rPr>
        <w:fldChar w:fldCharType="begin"/>
      </w:r>
      <w:r w:rsidR="007F5247">
        <w:rPr>
          <w:noProof/>
        </w:rPr>
        <w:instrText xml:space="preserve"> SEQ Graf \* ARABIC </w:instrText>
      </w:r>
      <w:r w:rsidR="008E5E29">
        <w:rPr>
          <w:noProof/>
        </w:rPr>
        <w:fldChar w:fldCharType="separate"/>
      </w:r>
      <w:r w:rsidR="006D5C90">
        <w:rPr>
          <w:noProof/>
        </w:rPr>
        <w:t>16</w:t>
      </w:r>
      <w:r w:rsidR="008E5E29">
        <w:rPr>
          <w:noProof/>
        </w:rPr>
        <w:fldChar w:fldCharType="end"/>
      </w:r>
      <w:r>
        <w:t xml:space="preserve">: </w:t>
      </w:r>
      <w:r w:rsidRPr="007E01C6">
        <w:t xml:space="preserve">Počet zaměstnanců k 31. 12. </w:t>
      </w:r>
      <w:r w:rsidR="0019350B" w:rsidRPr="007E01C6">
        <w:t>20</w:t>
      </w:r>
      <w:r w:rsidR="0019350B">
        <w:t>20</w:t>
      </w:r>
      <w:r w:rsidR="00FC6664">
        <w:t xml:space="preserve"> a 31. 12. 2021 </w:t>
      </w:r>
      <w:r w:rsidRPr="007E01C6">
        <w:t>dle ZPP</w:t>
      </w:r>
      <w:bookmarkEnd w:id="45"/>
    </w:p>
    <w:p w:rsidR="0019350B" w:rsidRDefault="00FC6664" w:rsidP="001B450D">
      <w:pPr>
        <w:rPr>
          <w:rFonts w:eastAsia="Times New Roman" w:cs="Arial"/>
          <w:b/>
          <w:sz w:val="28"/>
          <w:szCs w:val="28"/>
          <w:lang w:eastAsia="cs-CZ"/>
        </w:rPr>
      </w:pPr>
      <w:r>
        <w:rPr>
          <w:noProof/>
          <w:lang w:eastAsia="cs-CZ"/>
        </w:rPr>
        <w:drawing>
          <wp:inline distT="0" distB="0" distL="0" distR="0">
            <wp:extent cx="5760000" cy="2448000"/>
            <wp:effectExtent l="0" t="0" r="0" b="0"/>
            <wp:docPr id="2" name="Graf 2">
              <a:extLst xmlns:a="http://schemas.openxmlformats.org/drawingml/2006/main">
                <a:ext uri="{FF2B5EF4-FFF2-40B4-BE49-F238E27FC236}">
                  <a16:creationId xmlns:a16="http://schemas.microsoft.com/office/drawing/2014/main" id="{00000000-0008-0000-0B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r w:rsidR="002E0652">
        <w:rPr>
          <w:lang w:bidi="hi-IN"/>
        </w:rPr>
        <w:br w:type="page"/>
      </w:r>
    </w:p>
    <w:p w:rsidR="00436F6E" w:rsidRPr="008C6A0B" w:rsidRDefault="00436F6E" w:rsidP="00AC25F3">
      <w:pPr>
        <w:pStyle w:val="Nadpis2"/>
      </w:pPr>
      <w:bookmarkStart w:id="46" w:name="_Toc63684680"/>
      <w:r w:rsidRPr="008C6A0B">
        <w:lastRenderedPageBreak/>
        <w:t>Vlivy na systém veřejného zdravotního pojištění</w:t>
      </w:r>
      <w:bookmarkEnd w:id="46"/>
      <w:r w:rsidRPr="008C6A0B">
        <w:t xml:space="preserve"> </w:t>
      </w:r>
    </w:p>
    <w:p w:rsidR="00480CE6" w:rsidRDefault="00436F6E" w:rsidP="009278EA">
      <w:pPr>
        <w:spacing w:before="180" w:line="276" w:lineRule="auto"/>
        <w:jc w:val="both"/>
        <w:rPr>
          <w:szCs w:val="21"/>
        </w:rPr>
      </w:pPr>
      <w:r w:rsidRPr="00456113">
        <w:rPr>
          <w:szCs w:val="21"/>
        </w:rPr>
        <w:t>Podle predikce základních makroekonomických indikátorů ČR zveřejněné MF v </w:t>
      </w:r>
      <w:r w:rsidR="00783034" w:rsidRPr="00456113">
        <w:rPr>
          <w:szCs w:val="21"/>
        </w:rPr>
        <w:t xml:space="preserve">září 2020 by se </w:t>
      </w:r>
      <w:r w:rsidRPr="00456113">
        <w:rPr>
          <w:szCs w:val="21"/>
        </w:rPr>
        <w:t>česk</w:t>
      </w:r>
      <w:r w:rsidR="00783034" w:rsidRPr="00456113">
        <w:rPr>
          <w:szCs w:val="21"/>
        </w:rPr>
        <w:t>á</w:t>
      </w:r>
      <w:r w:rsidRPr="00456113">
        <w:rPr>
          <w:szCs w:val="21"/>
        </w:rPr>
        <w:t xml:space="preserve"> ekonomik</w:t>
      </w:r>
      <w:r w:rsidR="00783034" w:rsidRPr="00456113">
        <w:rPr>
          <w:szCs w:val="21"/>
        </w:rPr>
        <w:t>a měla v roce 2021 vrátit k růstu</w:t>
      </w:r>
      <w:r w:rsidRPr="00456113">
        <w:rPr>
          <w:szCs w:val="21"/>
        </w:rPr>
        <w:t xml:space="preserve">. </w:t>
      </w:r>
      <w:r w:rsidR="00263C78" w:rsidRPr="00456113">
        <w:rPr>
          <w:szCs w:val="21"/>
        </w:rPr>
        <w:t xml:space="preserve">V roce 2020 je očekáván </w:t>
      </w:r>
      <w:r w:rsidR="00D17C56" w:rsidRPr="00456113">
        <w:rPr>
          <w:szCs w:val="21"/>
        </w:rPr>
        <w:t xml:space="preserve">pokles </w:t>
      </w:r>
      <w:r w:rsidRPr="00456113">
        <w:rPr>
          <w:szCs w:val="21"/>
        </w:rPr>
        <w:t xml:space="preserve">reálného HDP ve výši </w:t>
      </w:r>
      <w:r w:rsidR="005A162A">
        <w:rPr>
          <w:szCs w:val="21"/>
        </w:rPr>
        <w:t>−</w:t>
      </w:r>
      <w:r w:rsidR="00263C78" w:rsidRPr="00456113">
        <w:rPr>
          <w:szCs w:val="21"/>
        </w:rPr>
        <w:t>6,6</w:t>
      </w:r>
      <w:r w:rsidRPr="00456113">
        <w:rPr>
          <w:szCs w:val="21"/>
        </w:rPr>
        <w:t> %</w:t>
      </w:r>
      <w:r w:rsidR="00263C78" w:rsidRPr="00456113">
        <w:rPr>
          <w:szCs w:val="21"/>
        </w:rPr>
        <w:t>, naopak</w:t>
      </w:r>
      <w:r w:rsidRPr="00456113">
        <w:rPr>
          <w:szCs w:val="21"/>
        </w:rPr>
        <w:t xml:space="preserve"> </w:t>
      </w:r>
      <w:r w:rsidR="00263C78" w:rsidRPr="00456113">
        <w:rPr>
          <w:szCs w:val="21"/>
        </w:rPr>
        <w:t>pro rok 2021</w:t>
      </w:r>
      <w:r w:rsidRPr="00456113">
        <w:rPr>
          <w:szCs w:val="21"/>
        </w:rPr>
        <w:t xml:space="preserve"> je předpokládán </w:t>
      </w:r>
      <w:r w:rsidR="00263C78" w:rsidRPr="00456113">
        <w:rPr>
          <w:szCs w:val="21"/>
        </w:rPr>
        <w:t xml:space="preserve">růst </w:t>
      </w:r>
      <w:r w:rsidRPr="00456113">
        <w:rPr>
          <w:szCs w:val="21"/>
        </w:rPr>
        <w:t xml:space="preserve">ve výši </w:t>
      </w:r>
      <w:r w:rsidR="00263C78" w:rsidRPr="00456113">
        <w:rPr>
          <w:szCs w:val="21"/>
        </w:rPr>
        <w:t>3,9</w:t>
      </w:r>
      <w:r w:rsidRPr="00456113">
        <w:rPr>
          <w:szCs w:val="21"/>
        </w:rPr>
        <w:t xml:space="preserve"> %. Pro rok </w:t>
      </w:r>
      <w:r w:rsidR="00A316CD" w:rsidRPr="00456113">
        <w:rPr>
          <w:szCs w:val="21"/>
        </w:rPr>
        <w:t>202</w:t>
      </w:r>
      <w:r w:rsidR="00263C78" w:rsidRPr="00456113">
        <w:rPr>
          <w:szCs w:val="21"/>
        </w:rPr>
        <w:t>2</w:t>
      </w:r>
      <w:r w:rsidR="00A316CD" w:rsidRPr="00456113">
        <w:rPr>
          <w:szCs w:val="21"/>
        </w:rPr>
        <w:t xml:space="preserve"> </w:t>
      </w:r>
      <w:r w:rsidRPr="00456113">
        <w:rPr>
          <w:szCs w:val="21"/>
        </w:rPr>
        <w:t>pak MF odhaduje růst 2,</w:t>
      </w:r>
      <w:r w:rsidR="00A316CD" w:rsidRPr="00456113">
        <w:rPr>
          <w:szCs w:val="21"/>
        </w:rPr>
        <w:t xml:space="preserve">2 </w:t>
      </w:r>
      <w:r w:rsidRPr="00456113">
        <w:rPr>
          <w:szCs w:val="21"/>
        </w:rPr>
        <w:t>% a 2,</w:t>
      </w:r>
      <w:r w:rsidR="00A316CD" w:rsidRPr="00456113">
        <w:rPr>
          <w:szCs w:val="21"/>
        </w:rPr>
        <w:t xml:space="preserve">1 </w:t>
      </w:r>
      <w:r w:rsidRPr="00456113">
        <w:rPr>
          <w:szCs w:val="21"/>
        </w:rPr>
        <w:t xml:space="preserve">% pro rok </w:t>
      </w:r>
      <w:r w:rsidR="00A316CD" w:rsidRPr="00456113">
        <w:rPr>
          <w:szCs w:val="21"/>
        </w:rPr>
        <w:t>202</w:t>
      </w:r>
      <w:r w:rsidR="00263C78" w:rsidRPr="00456113">
        <w:rPr>
          <w:szCs w:val="21"/>
        </w:rPr>
        <w:t xml:space="preserve">3 (viz </w:t>
      </w:r>
      <w:r w:rsidR="00263C78" w:rsidRPr="00456113">
        <w:rPr>
          <w:i/>
          <w:szCs w:val="21"/>
        </w:rPr>
        <w:t>Tabulka č. 10</w:t>
      </w:r>
      <w:r w:rsidR="00263C78" w:rsidRPr="00456113">
        <w:rPr>
          <w:szCs w:val="21"/>
        </w:rPr>
        <w:t>)</w:t>
      </w:r>
      <w:r w:rsidRPr="00456113">
        <w:rPr>
          <w:szCs w:val="21"/>
        </w:rPr>
        <w:t>.</w:t>
      </w:r>
      <w:r w:rsidRPr="004F069A">
        <w:rPr>
          <w:szCs w:val="21"/>
        </w:rPr>
        <w:t xml:space="preserve"> </w:t>
      </w:r>
    </w:p>
    <w:p w:rsidR="00336E27" w:rsidRDefault="00336E27" w:rsidP="00336E27">
      <w:pPr>
        <w:pStyle w:val="TEXT"/>
        <w:spacing w:line="276" w:lineRule="auto"/>
        <w:ind w:firstLine="0"/>
        <w:rPr>
          <w:rFonts w:asciiTheme="minorHAnsi" w:hAnsiTheme="minorHAnsi"/>
          <w:sz w:val="21"/>
          <w:szCs w:val="21"/>
        </w:rPr>
      </w:pPr>
      <w:r w:rsidRPr="005D233A">
        <w:rPr>
          <w:rFonts w:asciiTheme="minorHAnsi" w:hAnsiTheme="minorHAnsi"/>
          <w:sz w:val="21"/>
          <w:szCs w:val="21"/>
        </w:rPr>
        <w:t>Minimální mzda se zvyšuje s účinností od 1. 1. 202</w:t>
      </w:r>
      <w:r w:rsidR="00263C78">
        <w:rPr>
          <w:rFonts w:asciiTheme="minorHAnsi" w:hAnsiTheme="minorHAnsi"/>
          <w:sz w:val="21"/>
          <w:szCs w:val="21"/>
        </w:rPr>
        <w:t>1</w:t>
      </w:r>
      <w:r w:rsidRPr="005D233A">
        <w:rPr>
          <w:rFonts w:asciiTheme="minorHAnsi" w:hAnsiTheme="minorHAnsi"/>
          <w:sz w:val="21"/>
          <w:szCs w:val="21"/>
        </w:rPr>
        <w:t xml:space="preserve"> z </w:t>
      </w:r>
      <w:r w:rsidR="004E18C5">
        <w:rPr>
          <w:rFonts w:asciiTheme="minorHAnsi" w:hAnsiTheme="minorHAnsi"/>
          <w:sz w:val="21"/>
          <w:szCs w:val="21"/>
        </w:rPr>
        <w:t>14 600</w:t>
      </w:r>
      <w:r w:rsidRPr="005D233A">
        <w:rPr>
          <w:rFonts w:asciiTheme="minorHAnsi" w:hAnsiTheme="minorHAnsi"/>
          <w:sz w:val="21"/>
          <w:szCs w:val="21"/>
        </w:rPr>
        <w:t xml:space="preserve"> Kč na</w:t>
      </w:r>
      <w:r w:rsidR="00866CAA">
        <w:rPr>
          <w:rFonts w:asciiTheme="minorHAnsi" w:hAnsiTheme="minorHAnsi"/>
          <w:sz w:val="21"/>
          <w:szCs w:val="21"/>
        </w:rPr>
        <w:t xml:space="preserve"> </w:t>
      </w:r>
      <w:r w:rsidR="004E18C5">
        <w:rPr>
          <w:rFonts w:asciiTheme="minorHAnsi" w:hAnsiTheme="minorHAnsi"/>
          <w:sz w:val="21"/>
          <w:szCs w:val="21"/>
        </w:rPr>
        <w:t xml:space="preserve">15 200 </w:t>
      </w:r>
      <w:r w:rsidRPr="005D233A">
        <w:rPr>
          <w:rFonts w:asciiTheme="minorHAnsi" w:hAnsiTheme="minorHAnsi"/>
          <w:sz w:val="21"/>
          <w:szCs w:val="21"/>
        </w:rPr>
        <w:t xml:space="preserve">Kč, měsíční pojistné OBZP se tak zvýší z </w:t>
      </w:r>
      <w:r w:rsidR="00263C78">
        <w:rPr>
          <w:rFonts w:asciiTheme="minorHAnsi" w:hAnsiTheme="minorHAnsi"/>
          <w:sz w:val="21"/>
          <w:szCs w:val="21"/>
        </w:rPr>
        <w:t>1 971</w:t>
      </w:r>
      <w:r w:rsidRPr="005D233A">
        <w:rPr>
          <w:rFonts w:asciiTheme="minorHAnsi" w:hAnsiTheme="minorHAnsi"/>
          <w:sz w:val="21"/>
          <w:szCs w:val="21"/>
        </w:rPr>
        <w:t xml:space="preserve"> Kč na </w:t>
      </w:r>
      <w:r w:rsidR="00263C78">
        <w:rPr>
          <w:rFonts w:asciiTheme="minorHAnsi" w:hAnsiTheme="minorHAnsi"/>
          <w:sz w:val="21"/>
          <w:szCs w:val="21"/>
        </w:rPr>
        <w:t>2 052</w:t>
      </w:r>
      <w:r w:rsidRPr="005D233A">
        <w:rPr>
          <w:rFonts w:asciiTheme="minorHAnsi" w:hAnsiTheme="minorHAnsi"/>
          <w:sz w:val="21"/>
          <w:szCs w:val="21"/>
        </w:rPr>
        <w:t xml:space="preserve"> Kč (nařízení </w:t>
      </w:r>
      <w:r w:rsidRPr="00CF48E1">
        <w:rPr>
          <w:rFonts w:asciiTheme="minorHAnsi" w:hAnsiTheme="minorHAnsi"/>
          <w:sz w:val="21"/>
          <w:szCs w:val="21"/>
        </w:rPr>
        <w:t>vlády č. </w:t>
      </w:r>
      <w:r w:rsidR="004E18C5">
        <w:rPr>
          <w:rFonts w:asciiTheme="minorHAnsi" w:hAnsiTheme="minorHAnsi"/>
          <w:sz w:val="21"/>
          <w:szCs w:val="21"/>
        </w:rPr>
        <w:t xml:space="preserve"> 487/2020 </w:t>
      </w:r>
      <w:r w:rsidRPr="005D233A">
        <w:rPr>
          <w:rFonts w:asciiTheme="minorHAnsi" w:hAnsiTheme="minorHAnsi"/>
          <w:sz w:val="21"/>
          <w:szCs w:val="21"/>
        </w:rPr>
        <w:t>Sb.).</w:t>
      </w:r>
    </w:p>
    <w:p w:rsidR="00D11140" w:rsidRPr="00A65F2E" w:rsidRDefault="00D11140" w:rsidP="00336E27">
      <w:pPr>
        <w:pStyle w:val="TEXT"/>
        <w:spacing w:line="276" w:lineRule="auto"/>
        <w:ind w:firstLine="0"/>
        <w:rPr>
          <w:rFonts w:ascii="Calibri" w:hAnsi="Calibri" w:cstheme="minorHAnsi"/>
          <w:sz w:val="21"/>
          <w:szCs w:val="21"/>
        </w:rPr>
      </w:pPr>
      <w:r w:rsidRPr="00A65F2E">
        <w:rPr>
          <w:rFonts w:ascii="Calibri" w:hAnsi="Calibri" w:cstheme="minorHAnsi"/>
          <w:sz w:val="21"/>
          <w:szCs w:val="21"/>
        </w:rPr>
        <w:t>Rovněž vzroste k 1. 1. 2021 průměrná měsíční mzda v národním hospodářství stanovovaná pro účely důchodového pojištění, z něhož se odvozuje m</w:t>
      </w:r>
      <w:r w:rsidR="008C6C3C" w:rsidRPr="00A65F2E">
        <w:rPr>
          <w:rFonts w:ascii="Calibri" w:hAnsi="Calibri" w:cstheme="minorHAnsi"/>
          <w:sz w:val="21"/>
          <w:szCs w:val="21"/>
        </w:rPr>
        <w:t>inimální pojistné</w:t>
      </w:r>
      <w:r w:rsidRPr="00A65F2E">
        <w:rPr>
          <w:rFonts w:ascii="Calibri" w:hAnsi="Calibri" w:cstheme="minorHAnsi"/>
          <w:sz w:val="21"/>
          <w:szCs w:val="21"/>
        </w:rPr>
        <w:t xml:space="preserve"> na veřejné zdravotní pojištění</w:t>
      </w:r>
      <w:r w:rsidR="008C6C3C" w:rsidRPr="00A65F2E">
        <w:rPr>
          <w:rFonts w:ascii="Calibri" w:hAnsi="Calibri" w:cstheme="minorHAnsi"/>
          <w:sz w:val="21"/>
          <w:szCs w:val="21"/>
        </w:rPr>
        <w:t xml:space="preserve"> </w:t>
      </w:r>
      <w:r w:rsidRPr="00A65F2E">
        <w:rPr>
          <w:rFonts w:ascii="Calibri" w:hAnsi="Calibri" w:cstheme="minorHAnsi"/>
          <w:sz w:val="21"/>
          <w:szCs w:val="21"/>
        </w:rPr>
        <w:t>u OSVČ (</w:t>
      </w:r>
      <w:r w:rsidR="00C93083">
        <w:rPr>
          <w:rFonts w:ascii="Calibri" w:hAnsi="Calibri" w:cstheme="minorHAnsi"/>
          <w:sz w:val="21"/>
          <w:szCs w:val="21"/>
        </w:rPr>
        <w:t>nařízení</w:t>
      </w:r>
      <w:r w:rsidR="00C93083" w:rsidRPr="00A65F2E">
        <w:rPr>
          <w:rFonts w:ascii="Calibri" w:hAnsi="Calibri" w:cstheme="minorHAnsi"/>
          <w:sz w:val="21"/>
          <w:szCs w:val="21"/>
        </w:rPr>
        <w:t xml:space="preserve"> </w:t>
      </w:r>
      <w:r w:rsidRPr="00A65F2E">
        <w:rPr>
          <w:rFonts w:ascii="Calibri" w:hAnsi="Calibri" w:cstheme="minorHAnsi"/>
          <w:sz w:val="21"/>
          <w:szCs w:val="21"/>
        </w:rPr>
        <w:t xml:space="preserve">č. 381/2020 Sb.). Měsíční pojistné se tak u této skupiny zvýší </w:t>
      </w:r>
      <w:r w:rsidR="00A12DDA" w:rsidRPr="00A65F2E">
        <w:rPr>
          <w:rFonts w:ascii="Calibri" w:hAnsi="Calibri" w:cstheme="minorHAnsi"/>
          <w:sz w:val="21"/>
          <w:szCs w:val="21"/>
        </w:rPr>
        <w:t>z 2 352 Kč na 2 393 Kč.</w:t>
      </w:r>
    </w:p>
    <w:p w:rsidR="00551BD0" w:rsidRPr="00926688" w:rsidRDefault="008E5E29" w:rsidP="009278EA">
      <w:pPr>
        <w:spacing w:before="180" w:line="276" w:lineRule="auto"/>
        <w:jc w:val="both"/>
        <w:rPr>
          <w:rFonts w:cstheme="minorHAnsi"/>
          <w:bCs/>
          <w:szCs w:val="21"/>
        </w:rPr>
      </w:pPr>
      <w:r w:rsidRPr="00F55D78">
        <w:rPr>
          <w:rFonts w:cstheme="minorHAnsi"/>
          <w:bCs/>
          <w:szCs w:val="21"/>
        </w:rPr>
        <w:t>Osoby samostatně výdělečně činné, které ve zdaňovacím období bezprostředně předcházejícím rozhodnému zdaňovacímu období (tj. období, ve kterém chce poplatník vstoupit do paušálního režimu) neměly příjmy ze samostatné činnosti vyšší než 1 mil. Kč (pokud se nejedná o příjmy od daně osvobozené, příjmy, které nejsou předmětem daně, nebo příjmy ze kterých je vybírána daň srážkou podle zvláštní sazby daně), při současném splnění dalších zákonem stanovených podmínek, mohou od 1. 1. 2021 vstoupit do režimu tzv. paušální daně. Přechod na paušální daň pomůže těmto osobám významně snížit administrativní zatížení spojené s daňovou a pojistnou povinností. Z pohledu veřejného zdravotního pojištění mají tyto osoby pojistné stanoveno na uvedeném minimu a bude odváděno v rámci jedné platby Finanční správě spolu s minimem na důchodové pojištění (zvýšeným o 15 %) a</w:t>
      </w:r>
      <w:r w:rsidR="00551BD0" w:rsidRPr="00926688">
        <w:rPr>
          <w:rFonts w:cstheme="minorHAnsi"/>
          <w:szCs w:val="21"/>
        </w:rPr>
        <w:t xml:space="preserve"> měsíční paušální zálohou poplatníka v paušálním režimu na daň z příjmů fyzických osob</w:t>
      </w:r>
      <w:r w:rsidR="00551BD0" w:rsidRPr="00926688">
        <w:rPr>
          <w:rFonts w:cstheme="minorHAnsi"/>
          <w:bCs/>
          <w:szCs w:val="21"/>
        </w:rPr>
        <w:t xml:space="preserve"> v zákonem stanovené výši 100 Kč (zákon č. 540/2020 Sb.).</w:t>
      </w:r>
    </w:p>
    <w:p w:rsidR="001C0B03" w:rsidRDefault="00436F6E" w:rsidP="009278EA">
      <w:pPr>
        <w:spacing w:before="180" w:line="276" w:lineRule="auto"/>
        <w:jc w:val="both"/>
        <w:rPr>
          <w:szCs w:val="21"/>
        </w:rPr>
      </w:pPr>
      <w:r w:rsidRPr="004F069A">
        <w:rPr>
          <w:szCs w:val="21"/>
        </w:rPr>
        <w:t>Od 1. 1. </w:t>
      </w:r>
      <w:r w:rsidR="00A316CD" w:rsidRPr="004F069A">
        <w:rPr>
          <w:szCs w:val="21"/>
        </w:rPr>
        <w:t>202</w:t>
      </w:r>
      <w:r w:rsidR="00263C78">
        <w:rPr>
          <w:szCs w:val="21"/>
        </w:rPr>
        <w:t>1</w:t>
      </w:r>
      <w:r w:rsidR="00A316CD" w:rsidRPr="000A00CE">
        <w:rPr>
          <w:szCs w:val="21"/>
        </w:rPr>
        <w:t xml:space="preserve"> </w:t>
      </w:r>
      <w:r w:rsidRPr="000A00CE">
        <w:rPr>
          <w:szCs w:val="21"/>
        </w:rPr>
        <w:t xml:space="preserve">se dle zákona </w:t>
      </w:r>
      <w:r w:rsidR="0033686A">
        <w:rPr>
          <w:szCs w:val="21"/>
        </w:rPr>
        <w:t>č. </w:t>
      </w:r>
      <w:r w:rsidR="0033686A" w:rsidRPr="001C0B03">
        <w:rPr>
          <w:szCs w:val="21"/>
        </w:rPr>
        <w:t>231/2020 Sb.</w:t>
      </w:r>
      <w:r w:rsidRPr="000A00CE">
        <w:rPr>
          <w:szCs w:val="21"/>
        </w:rPr>
        <w:t xml:space="preserve"> zvýší částka vyměřovacího základu pojistného na</w:t>
      </w:r>
      <w:r w:rsidR="00BF478F">
        <w:rPr>
          <w:szCs w:val="21"/>
        </w:rPr>
        <w:t> </w:t>
      </w:r>
      <w:r w:rsidRPr="000A00CE">
        <w:rPr>
          <w:szCs w:val="21"/>
        </w:rPr>
        <w:t>veřejné zdravotní pojištění u osob, za něž je plátcem pojistného stát, a</w:t>
      </w:r>
      <w:r w:rsidRPr="0016666F">
        <w:rPr>
          <w:szCs w:val="21"/>
        </w:rPr>
        <w:t xml:space="preserve"> to z </w:t>
      </w:r>
      <w:r w:rsidR="00B14E11" w:rsidRPr="00B14E11">
        <w:rPr>
          <w:szCs w:val="21"/>
        </w:rPr>
        <w:t xml:space="preserve">11 607 </w:t>
      </w:r>
      <w:r w:rsidRPr="00E52646">
        <w:rPr>
          <w:szCs w:val="21"/>
        </w:rPr>
        <w:t xml:space="preserve">Kč na </w:t>
      </w:r>
      <w:r w:rsidR="00B14E11" w:rsidRPr="00B14E11">
        <w:rPr>
          <w:szCs w:val="21"/>
        </w:rPr>
        <w:t xml:space="preserve">13 088 </w:t>
      </w:r>
      <w:r w:rsidRPr="00E52646">
        <w:rPr>
          <w:szCs w:val="21"/>
        </w:rPr>
        <w:t>Kč za</w:t>
      </w:r>
      <w:r w:rsidR="00BF478F">
        <w:rPr>
          <w:szCs w:val="21"/>
        </w:rPr>
        <w:t> </w:t>
      </w:r>
      <w:r w:rsidRPr="00E52646">
        <w:rPr>
          <w:szCs w:val="21"/>
        </w:rPr>
        <w:t>kalendářní měsíc. To</w:t>
      </w:r>
      <w:r w:rsidR="00ED30D6">
        <w:rPr>
          <w:szCs w:val="21"/>
        </w:rPr>
        <w:t> </w:t>
      </w:r>
      <w:r w:rsidRPr="00E52646">
        <w:rPr>
          <w:szCs w:val="21"/>
        </w:rPr>
        <w:t>představuje zvýšení měsíční platby za každého „státního pojištěnce“ o </w:t>
      </w:r>
      <w:r w:rsidR="00B14E11">
        <w:rPr>
          <w:szCs w:val="21"/>
        </w:rPr>
        <w:t>200</w:t>
      </w:r>
      <w:r w:rsidR="00B14E11" w:rsidRPr="00E52646">
        <w:rPr>
          <w:szCs w:val="21"/>
        </w:rPr>
        <w:t xml:space="preserve"> </w:t>
      </w:r>
      <w:r w:rsidRPr="00E52646">
        <w:rPr>
          <w:szCs w:val="21"/>
        </w:rPr>
        <w:t>Kč z </w:t>
      </w:r>
      <w:r w:rsidR="00B14E11">
        <w:t xml:space="preserve">1 567 </w:t>
      </w:r>
      <w:r w:rsidRPr="004F069A">
        <w:rPr>
          <w:szCs w:val="21"/>
        </w:rPr>
        <w:t xml:space="preserve">Kč na </w:t>
      </w:r>
      <w:r w:rsidR="00B14E11" w:rsidRPr="00B14E11">
        <w:rPr>
          <w:szCs w:val="21"/>
        </w:rPr>
        <w:t xml:space="preserve">1 767 </w:t>
      </w:r>
      <w:r w:rsidRPr="004F069A">
        <w:rPr>
          <w:szCs w:val="21"/>
        </w:rPr>
        <w:t xml:space="preserve">Kč (účinnost od 1. 1. </w:t>
      </w:r>
      <w:r w:rsidR="00A316CD" w:rsidRPr="004F069A">
        <w:rPr>
          <w:szCs w:val="21"/>
        </w:rPr>
        <w:t>202</w:t>
      </w:r>
      <w:r w:rsidR="00B14E11">
        <w:rPr>
          <w:szCs w:val="21"/>
        </w:rPr>
        <w:t>1</w:t>
      </w:r>
      <w:r w:rsidRPr="004F069A">
        <w:rPr>
          <w:szCs w:val="21"/>
        </w:rPr>
        <w:t>).</w:t>
      </w:r>
      <w:r w:rsidR="00ED30D6">
        <w:rPr>
          <w:szCs w:val="21"/>
        </w:rPr>
        <w:t xml:space="preserve"> V meziročním porovnání je nutné uvést, že v roce 2020</w:t>
      </w:r>
      <w:r w:rsidR="001C0B03">
        <w:rPr>
          <w:szCs w:val="21"/>
        </w:rPr>
        <w:t xml:space="preserve"> se k 1. 1. 2020 zvýšila</w:t>
      </w:r>
      <w:r w:rsidR="001C0B03" w:rsidRPr="000A00CE">
        <w:rPr>
          <w:szCs w:val="21"/>
        </w:rPr>
        <w:t xml:space="preserve"> částka vyměřovacího základu </w:t>
      </w:r>
      <w:r w:rsidR="001C0B03" w:rsidRPr="0016666F">
        <w:rPr>
          <w:szCs w:val="21"/>
        </w:rPr>
        <w:t>ze 7 </w:t>
      </w:r>
      <w:r w:rsidR="001C0B03" w:rsidRPr="00E52646">
        <w:rPr>
          <w:szCs w:val="21"/>
        </w:rPr>
        <w:t xml:space="preserve">540 Kč na 7 903 Kč za </w:t>
      </w:r>
      <w:r w:rsidR="001C0B03">
        <w:rPr>
          <w:szCs w:val="21"/>
        </w:rPr>
        <w:t xml:space="preserve">kalendářní měsíc. To </w:t>
      </w:r>
      <w:r w:rsidR="0033686A">
        <w:rPr>
          <w:szCs w:val="21"/>
        </w:rPr>
        <w:t xml:space="preserve">znamenalo </w:t>
      </w:r>
      <w:r w:rsidR="001C0B03" w:rsidRPr="00E52646">
        <w:rPr>
          <w:szCs w:val="21"/>
        </w:rPr>
        <w:t xml:space="preserve">zvýšení měsíční platby za </w:t>
      </w:r>
      <w:r w:rsidR="0033686A">
        <w:rPr>
          <w:szCs w:val="21"/>
        </w:rPr>
        <w:t>jednoho pojištěnce</w:t>
      </w:r>
      <w:r w:rsidR="001C0B03" w:rsidRPr="00E52646">
        <w:rPr>
          <w:szCs w:val="21"/>
        </w:rPr>
        <w:t xml:space="preserve"> o 49 Kč z</w:t>
      </w:r>
      <w:r w:rsidR="00BF478F">
        <w:rPr>
          <w:szCs w:val="21"/>
        </w:rPr>
        <w:t> 1 </w:t>
      </w:r>
      <w:r w:rsidR="001C0B03" w:rsidRPr="004F069A">
        <w:rPr>
          <w:szCs w:val="21"/>
        </w:rPr>
        <w:t>018 Kč na 1 067 Kč (</w:t>
      </w:r>
      <w:r w:rsidR="0033686A">
        <w:rPr>
          <w:szCs w:val="21"/>
        </w:rPr>
        <w:t>zákon č. 297/2017 Sb</w:t>
      </w:r>
      <w:r w:rsidR="001C0B03" w:rsidRPr="001C0B03">
        <w:rPr>
          <w:szCs w:val="21"/>
        </w:rPr>
        <w:t>.</w:t>
      </w:r>
      <w:r w:rsidR="001C0B03">
        <w:rPr>
          <w:szCs w:val="21"/>
        </w:rPr>
        <w:t xml:space="preserve">). </w:t>
      </w:r>
      <w:r w:rsidR="0033686A">
        <w:rPr>
          <w:szCs w:val="21"/>
        </w:rPr>
        <w:t xml:space="preserve">Od 1. 6. 2020 byl pak </w:t>
      </w:r>
      <w:r w:rsidR="0033686A" w:rsidRPr="0033686A">
        <w:rPr>
          <w:szCs w:val="21"/>
        </w:rPr>
        <w:t xml:space="preserve">významně zvýšen z částky 7 903 Kč na 11 607 Kč za </w:t>
      </w:r>
      <w:r w:rsidR="0033686A">
        <w:rPr>
          <w:szCs w:val="21"/>
        </w:rPr>
        <w:t xml:space="preserve">kalendářní měsíc, což přineslo </w:t>
      </w:r>
      <w:r w:rsidR="00BF478F">
        <w:rPr>
          <w:szCs w:val="21"/>
        </w:rPr>
        <w:t>zvýšení měsíční platby za </w:t>
      </w:r>
      <w:r w:rsidR="0033686A" w:rsidRPr="0033686A">
        <w:rPr>
          <w:szCs w:val="21"/>
        </w:rPr>
        <w:t>osobu o 500 Kč z částky 1 067 Kč na 1 567 Kč</w:t>
      </w:r>
      <w:r w:rsidR="0033686A">
        <w:rPr>
          <w:szCs w:val="21"/>
        </w:rPr>
        <w:t xml:space="preserve"> (zákon č. </w:t>
      </w:r>
      <w:r w:rsidR="0033686A" w:rsidRPr="001C0B03">
        <w:rPr>
          <w:szCs w:val="21"/>
        </w:rPr>
        <w:t>231/2020 Sb.</w:t>
      </w:r>
      <w:r w:rsidR="0033686A">
        <w:rPr>
          <w:szCs w:val="21"/>
        </w:rPr>
        <w:t>)</w:t>
      </w:r>
      <w:r w:rsidR="0033686A" w:rsidRPr="0033686A">
        <w:rPr>
          <w:szCs w:val="21"/>
        </w:rPr>
        <w:t>.</w:t>
      </w:r>
      <w:r w:rsidR="001C0B03" w:rsidRPr="00346A94">
        <w:t xml:space="preserve"> </w:t>
      </w:r>
      <w:r w:rsidRPr="004F069A">
        <w:rPr>
          <w:szCs w:val="21"/>
        </w:rPr>
        <w:t xml:space="preserve">Roční maximální vyměřovací základ nebude ani v roce </w:t>
      </w:r>
      <w:r w:rsidR="008C6A0B" w:rsidRPr="004F069A">
        <w:rPr>
          <w:szCs w:val="21"/>
        </w:rPr>
        <w:t>202</w:t>
      </w:r>
      <w:r w:rsidR="00263C78">
        <w:rPr>
          <w:szCs w:val="21"/>
        </w:rPr>
        <w:t>1</w:t>
      </w:r>
      <w:r w:rsidR="008C6A0B" w:rsidRPr="004F069A">
        <w:rPr>
          <w:szCs w:val="21"/>
        </w:rPr>
        <w:t xml:space="preserve"> </w:t>
      </w:r>
      <w:proofErr w:type="spellStart"/>
      <w:r w:rsidRPr="004F069A">
        <w:rPr>
          <w:szCs w:val="21"/>
        </w:rPr>
        <w:t>zastropován</w:t>
      </w:r>
      <w:proofErr w:type="spellEnd"/>
      <w:r w:rsidRPr="004F069A">
        <w:rPr>
          <w:szCs w:val="21"/>
        </w:rPr>
        <w:t>.</w:t>
      </w:r>
    </w:p>
    <w:p w:rsidR="009278EA" w:rsidRPr="001C4D96" w:rsidRDefault="00436F6E" w:rsidP="009278EA">
      <w:pPr>
        <w:spacing w:before="180" w:line="276" w:lineRule="auto"/>
        <w:jc w:val="both"/>
        <w:rPr>
          <w:szCs w:val="21"/>
        </w:rPr>
      </w:pPr>
      <w:r w:rsidRPr="001C4D96">
        <w:rPr>
          <w:b/>
          <w:szCs w:val="21"/>
        </w:rPr>
        <w:t>Zdravotní politika</w:t>
      </w:r>
      <w:r w:rsidRPr="001C4D96">
        <w:rPr>
          <w:szCs w:val="21"/>
        </w:rPr>
        <w:t xml:space="preserve"> má stejně jako v předchozích letech za cíl zajistit pro pojištěnce kvalitní, místně a časově dostupné zdravotní služby ve všech </w:t>
      </w:r>
      <w:r w:rsidR="009278EA" w:rsidRPr="001C4D96">
        <w:rPr>
          <w:szCs w:val="21"/>
        </w:rPr>
        <w:t xml:space="preserve">segmentech zdravotních služeb. </w:t>
      </w:r>
    </w:p>
    <w:p w:rsidR="00336E27" w:rsidRPr="001C4D96" w:rsidRDefault="00336E27" w:rsidP="00336E27">
      <w:pPr>
        <w:spacing w:before="180" w:after="0" w:line="276" w:lineRule="auto"/>
        <w:jc w:val="both"/>
        <w:rPr>
          <w:szCs w:val="21"/>
        </w:rPr>
      </w:pPr>
      <w:r w:rsidRPr="001C4D96">
        <w:rPr>
          <w:szCs w:val="21"/>
        </w:rPr>
        <w:t>Dohodovací řízení k úhradám na rok 202</w:t>
      </w:r>
      <w:r w:rsidR="00E702C9" w:rsidRPr="001C4D96">
        <w:rPr>
          <w:szCs w:val="21"/>
        </w:rPr>
        <w:t>1</w:t>
      </w:r>
      <w:r w:rsidRPr="001C4D96">
        <w:rPr>
          <w:szCs w:val="21"/>
        </w:rPr>
        <w:t xml:space="preserve"> probíhalo v období od 3. </w:t>
      </w:r>
      <w:r w:rsidR="00AB3116" w:rsidRPr="001C4D96">
        <w:rPr>
          <w:szCs w:val="21"/>
        </w:rPr>
        <w:t>února</w:t>
      </w:r>
      <w:r w:rsidRPr="001C4D96">
        <w:rPr>
          <w:szCs w:val="21"/>
        </w:rPr>
        <w:t xml:space="preserve"> 20</w:t>
      </w:r>
      <w:r w:rsidR="00AB3116" w:rsidRPr="001C4D96">
        <w:rPr>
          <w:szCs w:val="21"/>
        </w:rPr>
        <w:t>20</w:t>
      </w:r>
      <w:r w:rsidRPr="001C4D96">
        <w:rPr>
          <w:szCs w:val="21"/>
        </w:rPr>
        <w:t xml:space="preserve"> do 19. června 20</w:t>
      </w:r>
      <w:r w:rsidR="001C4D96" w:rsidRPr="001C4D96">
        <w:rPr>
          <w:szCs w:val="21"/>
        </w:rPr>
        <w:t>20</w:t>
      </w:r>
      <w:r w:rsidRPr="001C4D96">
        <w:rPr>
          <w:szCs w:val="21"/>
        </w:rPr>
        <w:t>. Ve lhůtě předpokládané zákonem č. 48/1997 Sb. účastníci dohodovacího řízení dospěli k dohodě v</w:t>
      </w:r>
      <w:r w:rsidR="00E702C9" w:rsidRPr="001C4D96">
        <w:rPr>
          <w:szCs w:val="21"/>
        </w:rPr>
        <w:t>e dvanácti</w:t>
      </w:r>
      <w:r w:rsidRPr="001C4D96">
        <w:rPr>
          <w:szCs w:val="21"/>
        </w:rPr>
        <w:t xml:space="preserve"> ze čtrnácti segmentů zdravotních služeb:</w:t>
      </w:r>
    </w:p>
    <w:p w:rsidR="00336E27" w:rsidRPr="001C4D96" w:rsidRDefault="00336E27" w:rsidP="00336E27">
      <w:pPr>
        <w:pStyle w:val="Odstavecseseznamem"/>
        <w:numPr>
          <w:ilvl w:val="0"/>
          <w:numId w:val="22"/>
        </w:numPr>
        <w:spacing w:after="60" w:line="276" w:lineRule="auto"/>
        <w:rPr>
          <w:color w:val="auto"/>
          <w:szCs w:val="21"/>
        </w:rPr>
      </w:pPr>
      <w:r w:rsidRPr="001C4D96">
        <w:rPr>
          <w:color w:val="auto"/>
          <w:szCs w:val="21"/>
        </w:rPr>
        <w:t>praktičtí lékaři a praktičtí lékaři pro děti a dorost,</w:t>
      </w:r>
    </w:p>
    <w:p w:rsidR="00336E27" w:rsidRPr="001C4D96" w:rsidRDefault="00336E27" w:rsidP="00336E27">
      <w:pPr>
        <w:pStyle w:val="Odstavecseseznamem"/>
        <w:numPr>
          <w:ilvl w:val="0"/>
          <w:numId w:val="22"/>
        </w:numPr>
        <w:spacing w:after="60" w:line="276" w:lineRule="auto"/>
        <w:rPr>
          <w:color w:val="auto"/>
          <w:szCs w:val="21"/>
        </w:rPr>
      </w:pPr>
      <w:r w:rsidRPr="001C4D96">
        <w:rPr>
          <w:color w:val="auto"/>
          <w:szCs w:val="21"/>
        </w:rPr>
        <w:t>lázeňská léčebně rehabilitační péče a zdravotní péče v ozdravovnách,</w:t>
      </w:r>
    </w:p>
    <w:p w:rsidR="00336E27" w:rsidRPr="001C4D96" w:rsidRDefault="00336E27" w:rsidP="00336E27">
      <w:pPr>
        <w:pStyle w:val="Odstavecseseznamem"/>
        <w:numPr>
          <w:ilvl w:val="0"/>
          <w:numId w:val="22"/>
        </w:numPr>
        <w:spacing w:after="60" w:line="276" w:lineRule="auto"/>
        <w:rPr>
          <w:color w:val="auto"/>
          <w:szCs w:val="21"/>
        </w:rPr>
      </w:pPr>
      <w:r w:rsidRPr="001C4D96">
        <w:rPr>
          <w:color w:val="auto"/>
          <w:szCs w:val="21"/>
        </w:rPr>
        <w:t>ambulantní hemodialyzační péče,</w:t>
      </w:r>
    </w:p>
    <w:p w:rsidR="00336E27" w:rsidRPr="001C4D96" w:rsidRDefault="00336E27" w:rsidP="00336E27">
      <w:pPr>
        <w:pStyle w:val="Odstavecseseznamem"/>
        <w:numPr>
          <w:ilvl w:val="0"/>
          <w:numId w:val="22"/>
        </w:numPr>
        <w:spacing w:after="60" w:line="276" w:lineRule="auto"/>
        <w:rPr>
          <w:color w:val="auto"/>
          <w:szCs w:val="21"/>
        </w:rPr>
      </w:pPr>
      <w:r w:rsidRPr="001C4D96">
        <w:rPr>
          <w:color w:val="auto"/>
          <w:szCs w:val="21"/>
        </w:rPr>
        <w:t>fyzioterapie – nelékařské profese,</w:t>
      </w:r>
    </w:p>
    <w:p w:rsidR="00336E27" w:rsidRPr="001C4D96" w:rsidRDefault="00336E27" w:rsidP="00336E27">
      <w:pPr>
        <w:pStyle w:val="Odstavecseseznamem"/>
        <w:numPr>
          <w:ilvl w:val="0"/>
          <w:numId w:val="22"/>
        </w:numPr>
        <w:spacing w:after="60" w:line="276" w:lineRule="auto"/>
        <w:rPr>
          <w:color w:val="auto"/>
          <w:szCs w:val="21"/>
        </w:rPr>
      </w:pPr>
      <w:proofErr w:type="spellStart"/>
      <w:r w:rsidRPr="001C4D96">
        <w:rPr>
          <w:color w:val="auto"/>
          <w:szCs w:val="21"/>
        </w:rPr>
        <w:t>mimolůžkové</w:t>
      </w:r>
      <w:proofErr w:type="spellEnd"/>
      <w:r w:rsidRPr="001C4D96">
        <w:rPr>
          <w:color w:val="auto"/>
          <w:szCs w:val="21"/>
        </w:rPr>
        <w:t xml:space="preserve"> ambulantní specializované služby, vysokoškolsky vzdělaných pracovníků ve zdravotnictví (zejména klinických psychologů a klinických logopedů) a </w:t>
      </w:r>
      <w:proofErr w:type="spellStart"/>
      <w:r w:rsidRPr="001C4D96">
        <w:rPr>
          <w:color w:val="auto"/>
          <w:szCs w:val="21"/>
        </w:rPr>
        <w:t>ortoptistů</w:t>
      </w:r>
      <w:proofErr w:type="spellEnd"/>
      <w:r w:rsidRPr="001C4D96">
        <w:rPr>
          <w:color w:val="auto"/>
          <w:szCs w:val="21"/>
        </w:rPr>
        <w:t>,</w:t>
      </w:r>
    </w:p>
    <w:p w:rsidR="00336E27" w:rsidRPr="001C4D96" w:rsidRDefault="00336E27" w:rsidP="00336E27">
      <w:pPr>
        <w:pStyle w:val="Odstavecseseznamem"/>
        <w:numPr>
          <w:ilvl w:val="0"/>
          <w:numId w:val="22"/>
        </w:numPr>
        <w:spacing w:after="60" w:line="276" w:lineRule="auto"/>
        <w:rPr>
          <w:color w:val="auto"/>
          <w:szCs w:val="21"/>
        </w:rPr>
      </w:pPr>
      <w:r w:rsidRPr="001C4D96">
        <w:rPr>
          <w:color w:val="auto"/>
          <w:szCs w:val="21"/>
        </w:rPr>
        <w:t>zdravotnická záchranná služba a přeprava pacientů neodkladné péče a lékařské pohotovostní služby, vyjma stomatologické,</w:t>
      </w:r>
    </w:p>
    <w:p w:rsidR="00E702C9" w:rsidRPr="001C4D96" w:rsidRDefault="00E702C9" w:rsidP="00336E27">
      <w:pPr>
        <w:pStyle w:val="Odstavecseseznamem"/>
        <w:numPr>
          <w:ilvl w:val="0"/>
          <w:numId w:val="22"/>
        </w:numPr>
        <w:spacing w:after="60" w:line="276" w:lineRule="auto"/>
        <w:rPr>
          <w:color w:val="auto"/>
          <w:szCs w:val="21"/>
        </w:rPr>
      </w:pPr>
      <w:r w:rsidRPr="001C4D96">
        <w:rPr>
          <w:rFonts w:cstheme="minorHAnsi"/>
          <w:color w:val="auto"/>
          <w:szCs w:val="21"/>
        </w:rPr>
        <w:lastRenderedPageBreak/>
        <w:t>domácí zdravotní služby</w:t>
      </w:r>
    </w:p>
    <w:p w:rsidR="00336E27" w:rsidRPr="001C4D96" w:rsidRDefault="00336E27" w:rsidP="00336E27">
      <w:pPr>
        <w:pStyle w:val="Odstavecseseznamem"/>
        <w:numPr>
          <w:ilvl w:val="0"/>
          <w:numId w:val="22"/>
        </w:numPr>
        <w:spacing w:after="60" w:line="276" w:lineRule="auto"/>
        <w:rPr>
          <w:color w:val="auto"/>
          <w:szCs w:val="21"/>
        </w:rPr>
      </w:pPr>
      <w:r w:rsidRPr="001C4D96">
        <w:rPr>
          <w:color w:val="auto"/>
          <w:szCs w:val="21"/>
        </w:rPr>
        <w:t>zdravotnická dopravní služba,</w:t>
      </w:r>
    </w:p>
    <w:p w:rsidR="00336E27" w:rsidRPr="001C4D96" w:rsidRDefault="00336E27" w:rsidP="00336E27">
      <w:pPr>
        <w:pStyle w:val="Odstavecseseznamem"/>
        <w:numPr>
          <w:ilvl w:val="0"/>
          <w:numId w:val="22"/>
        </w:numPr>
        <w:spacing w:after="60" w:line="276" w:lineRule="auto"/>
        <w:rPr>
          <w:color w:val="auto"/>
          <w:szCs w:val="21"/>
        </w:rPr>
      </w:pPr>
      <w:r w:rsidRPr="001C4D96">
        <w:rPr>
          <w:color w:val="auto"/>
          <w:szCs w:val="21"/>
        </w:rPr>
        <w:t>lékárenská a klinicko</w:t>
      </w:r>
      <w:r w:rsidR="00AB3116" w:rsidRPr="001C4D96">
        <w:rPr>
          <w:color w:val="auto"/>
          <w:szCs w:val="21"/>
        </w:rPr>
        <w:t>-</w:t>
      </w:r>
      <w:r w:rsidRPr="001C4D96">
        <w:rPr>
          <w:color w:val="auto"/>
          <w:szCs w:val="21"/>
        </w:rPr>
        <w:t>farmaceutická péče,</w:t>
      </w:r>
    </w:p>
    <w:p w:rsidR="00336E27" w:rsidRPr="001C4D96" w:rsidRDefault="00336E27" w:rsidP="00336E27">
      <w:pPr>
        <w:pStyle w:val="Odstavecseseznamem"/>
        <w:numPr>
          <w:ilvl w:val="0"/>
          <w:numId w:val="22"/>
        </w:numPr>
        <w:spacing w:after="60" w:line="276" w:lineRule="auto"/>
        <w:rPr>
          <w:rFonts w:cs="ArialMT2"/>
          <w:color w:val="auto"/>
          <w:szCs w:val="21"/>
        </w:rPr>
      </w:pPr>
      <w:r w:rsidRPr="001C4D96">
        <w:rPr>
          <w:color w:val="auto"/>
          <w:szCs w:val="21"/>
        </w:rPr>
        <w:t>ambulantní gynekologické služby,</w:t>
      </w:r>
    </w:p>
    <w:p w:rsidR="00336E27" w:rsidRPr="001C4D96" w:rsidRDefault="00336E27" w:rsidP="00336E27">
      <w:pPr>
        <w:pStyle w:val="Odstavecseseznamem"/>
        <w:numPr>
          <w:ilvl w:val="0"/>
          <w:numId w:val="22"/>
        </w:numPr>
        <w:spacing w:after="60" w:line="276" w:lineRule="auto"/>
        <w:rPr>
          <w:rFonts w:cs="ArialMT2"/>
          <w:color w:val="auto"/>
          <w:szCs w:val="21"/>
        </w:rPr>
      </w:pPr>
      <w:r w:rsidRPr="001C4D96">
        <w:rPr>
          <w:color w:val="auto"/>
          <w:szCs w:val="21"/>
        </w:rPr>
        <w:t>ambulantní stomatologické služby a</w:t>
      </w:r>
    </w:p>
    <w:p w:rsidR="00336E27" w:rsidRPr="001C4D96" w:rsidRDefault="00336E27" w:rsidP="00336E27">
      <w:pPr>
        <w:pStyle w:val="Odstavecseseznamem"/>
        <w:numPr>
          <w:ilvl w:val="0"/>
          <w:numId w:val="22"/>
        </w:numPr>
        <w:spacing w:after="60" w:line="276" w:lineRule="auto"/>
        <w:ind w:left="714" w:hanging="357"/>
        <w:rPr>
          <w:rFonts w:cs="ArialMT2"/>
          <w:color w:val="auto"/>
          <w:szCs w:val="21"/>
        </w:rPr>
      </w:pPr>
      <w:proofErr w:type="spellStart"/>
      <w:r w:rsidRPr="001C4D96">
        <w:rPr>
          <w:color w:val="auto"/>
          <w:szCs w:val="21"/>
        </w:rPr>
        <w:t>mimolůžkové</w:t>
      </w:r>
      <w:proofErr w:type="spellEnd"/>
      <w:r w:rsidRPr="001C4D96">
        <w:rPr>
          <w:color w:val="auto"/>
          <w:szCs w:val="21"/>
        </w:rPr>
        <w:t xml:space="preserve"> laboratorní a radiodiagnostické služby. </w:t>
      </w:r>
    </w:p>
    <w:p w:rsidR="00336E27" w:rsidRPr="00B34351" w:rsidRDefault="00336E27" w:rsidP="00336E27">
      <w:pPr>
        <w:spacing w:before="180" w:after="0" w:line="276" w:lineRule="auto"/>
        <w:jc w:val="both"/>
        <w:rPr>
          <w:szCs w:val="21"/>
        </w:rPr>
      </w:pPr>
      <w:r w:rsidRPr="00B34351">
        <w:rPr>
          <w:szCs w:val="21"/>
        </w:rPr>
        <w:t>Dohody nebylo dosaženo pouze v segmentech:</w:t>
      </w:r>
    </w:p>
    <w:p w:rsidR="00336E27" w:rsidRPr="001C4D96" w:rsidRDefault="00336E27" w:rsidP="00336E27">
      <w:pPr>
        <w:pStyle w:val="Odstavecseseznamem"/>
        <w:numPr>
          <w:ilvl w:val="0"/>
          <w:numId w:val="22"/>
        </w:numPr>
        <w:spacing w:after="0" w:line="276" w:lineRule="auto"/>
        <w:rPr>
          <w:rFonts w:cstheme="minorHAnsi"/>
          <w:color w:val="auto"/>
          <w:szCs w:val="21"/>
        </w:rPr>
      </w:pPr>
      <w:r w:rsidRPr="001C4D96">
        <w:rPr>
          <w:rFonts w:cstheme="minorHAnsi"/>
          <w:color w:val="auto"/>
          <w:szCs w:val="21"/>
        </w:rPr>
        <w:t>následná lůžková péče,</w:t>
      </w:r>
    </w:p>
    <w:p w:rsidR="00336E27" w:rsidRPr="001C4D96" w:rsidRDefault="00336E27" w:rsidP="00E702C9">
      <w:pPr>
        <w:pStyle w:val="Odstavecseseznamem"/>
        <w:numPr>
          <w:ilvl w:val="0"/>
          <w:numId w:val="22"/>
        </w:numPr>
        <w:spacing w:after="0" w:line="276" w:lineRule="auto"/>
        <w:jc w:val="both"/>
        <w:rPr>
          <w:color w:val="auto"/>
          <w:szCs w:val="21"/>
        </w:rPr>
      </w:pPr>
      <w:r w:rsidRPr="001C4D96">
        <w:rPr>
          <w:rFonts w:cstheme="minorHAnsi"/>
          <w:color w:val="auto"/>
          <w:szCs w:val="21"/>
        </w:rPr>
        <w:t>akutní lůžková péče a další zdravotní služby poskytované v</w:t>
      </w:r>
      <w:r w:rsidR="00E702C9" w:rsidRPr="001C4D96">
        <w:rPr>
          <w:rFonts w:cstheme="minorHAnsi"/>
          <w:color w:val="auto"/>
          <w:szCs w:val="21"/>
        </w:rPr>
        <w:t> </w:t>
      </w:r>
      <w:r w:rsidRPr="001C4D96">
        <w:rPr>
          <w:rFonts w:cstheme="minorHAnsi"/>
          <w:color w:val="auto"/>
          <w:szCs w:val="21"/>
        </w:rPr>
        <w:t>nemocnicích</w:t>
      </w:r>
      <w:r w:rsidR="00E702C9" w:rsidRPr="001C4D96">
        <w:rPr>
          <w:rFonts w:cstheme="minorHAnsi"/>
          <w:color w:val="auto"/>
          <w:szCs w:val="21"/>
        </w:rPr>
        <w:t>.</w:t>
      </w:r>
    </w:p>
    <w:p w:rsidR="00436F6E" w:rsidRPr="00173121" w:rsidRDefault="00336E27" w:rsidP="00173121">
      <w:pPr>
        <w:spacing w:before="180" w:line="276" w:lineRule="auto"/>
        <w:ind w:left="360"/>
        <w:jc w:val="both"/>
        <w:rPr>
          <w:rFonts w:ascii="Arial" w:hAnsi="Arial" w:cs="Arial"/>
          <w:sz w:val="24"/>
        </w:rPr>
      </w:pPr>
      <w:r w:rsidRPr="00B802E4">
        <w:rPr>
          <w:szCs w:val="21"/>
        </w:rPr>
        <w:t>V době zpracovávání návrhů ZPP 202</w:t>
      </w:r>
      <w:r w:rsidR="00B802E4" w:rsidRPr="00B802E4">
        <w:rPr>
          <w:szCs w:val="21"/>
        </w:rPr>
        <w:t>1</w:t>
      </w:r>
      <w:r w:rsidRPr="00B802E4">
        <w:rPr>
          <w:szCs w:val="21"/>
        </w:rPr>
        <w:t xml:space="preserve">, na základě předložených výsledků uvedeného dohodovacího řízení, MZ vydalo dne </w:t>
      </w:r>
      <w:r w:rsidR="001C4D96" w:rsidRPr="00B802E4">
        <w:rPr>
          <w:szCs w:val="21"/>
        </w:rPr>
        <w:t>22</w:t>
      </w:r>
      <w:r w:rsidRPr="00B802E4">
        <w:rPr>
          <w:szCs w:val="21"/>
        </w:rPr>
        <w:t>. října 20</w:t>
      </w:r>
      <w:r w:rsidR="00B802E4" w:rsidRPr="00B802E4">
        <w:rPr>
          <w:szCs w:val="21"/>
        </w:rPr>
        <w:t>20</w:t>
      </w:r>
      <w:r w:rsidRPr="00B802E4">
        <w:rPr>
          <w:szCs w:val="21"/>
        </w:rPr>
        <w:t xml:space="preserve"> </w:t>
      </w:r>
      <w:r w:rsidR="002A3893" w:rsidRPr="00B802E4">
        <w:rPr>
          <w:szCs w:val="21"/>
        </w:rPr>
        <w:t xml:space="preserve">úhradovou </w:t>
      </w:r>
      <w:r w:rsidRPr="00B802E4">
        <w:rPr>
          <w:szCs w:val="21"/>
        </w:rPr>
        <w:t>vyhlášku</w:t>
      </w:r>
      <w:r w:rsidR="002A3893" w:rsidRPr="00B802E4">
        <w:rPr>
          <w:szCs w:val="21"/>
        </w:rPr>
        <w:t xml:space="preserve"> </w:t>
      </w:r>
      <w:r w:rsidR="00B802E4" w:rsidRPr="00B802E4">
        <w:rPr>
          <w:szCs w:val="21"/>
        </w:rPr>
        <w:t xml:space="preserve">pro rok </w:t>
      </w:r>
      <w:r w:rsidR="002A3893" w:rsidRPr="00B802E4">
        <w:rPr>
          <w:szCs w:val="21"/>
        </w:rPr>
        <w:t>202</w:t>
      </w:r>
      <w:r w:rsidR="00B802E4" w:rsidRPr="00B802E4">
        <w:rPr>
          <w:szCs w:val="21"/>
        </w:rPr>
        <w:t>1</w:t>
      </w:r>
      <w:r w:rsidRPr="00B802E4">
        <w:rPr>
          <w:szCs w:val="21"/>
        </w:rPr>
        <w:t>, pro všechny segmenty zdravotní péče tak, aby nastavené parametry úhrad respektovaly předpokládané finanční možnosti systému v. z. p. v roce 202</w:t>
      </w:r>
      <w:r w:rsidR="001C4D96" w:rsidRPr="00B802E4">
        <w:rPr>
          <w:szCs w:val="21"/>
        </w:rPr>
        <w:t>1</w:t>
      </w:r>
      <w:r w:rsidRPr="00B802E4">
        <w:rPr>
          <w:szCs w:val="21"/>
        </w:rPr>
        <w:t>. Vzhledem k tomu, že předložené zdravotně pojistné plány všech zdravotních pojišťoven jsou v souladu s předpoklady úhradové vyhlášky 202</w:t>
      </w:r>
      <w:r w:rsidR="001C4D96" w:rsidRPr="00B802E4">
        <w:rPr>
          <w:szCs w:val="21"/>
        </w:rPr>
        <w:t>1</w:t>
      </w:r>
      <w:r w:rsidRPr="00B802E4">
        <w:rPr>
          <w:szCs w:val="21"/>
        </w:rPr>
        <w:t>, lze mít za to, že v souladu s ní bude rovněž celý systém v. z. p.</w:t>
      </w:r>
      <w:r w:rsidR="00436F6E" w:rsidRPr="00173121">
        <w:rPr>
          <w:rFonts w:ascii="Arial" w:hAnsi="Arial" w:cs="Arial"/>
          <w:sz w:val="24"/>
        </w:rPr>
        <w:br w:type="page"/>
      </w:r>
    </w:p>
    <w:p w:rsidR="00436F6E" w:rsidRPr="000B62CE" w:rsidRDefault="00436F6E" w:rsidP="00436F6E">
      <w:pPr>
        <w:pStyle w:val="Nadpis1"/>
      </w:pPr>
      <w:bookmarkStart w:id="47" w:name="_Toc63684681"/>
      <w:r w:rsidRPr="000B62CE">
        <w:lastRenderedPageBreak/>
        <w:t>Zdravotní hodnocení</w:t>
      </w:r>
      <w:bookmarkEnd w:id="47"/>
    </w:p>
    <w:p w:rsidR="003B2891" w:rsidRPr="00926688" w:rsidRDefault="008506F4" w:rsidP="003B2891">
      <w:pPr>
        <w:spacing w:before="180" w:line="276" w:lineRule="auto"/>
        <w:jc w:val="both"/>
        <w:rPr>
          <w:rFonts w:cstheme="minorHAnsi"/>
          <w:szCs w:val="21"/>
        </w:rPr>
      </w:pPr>
      <w:r w:rsidRPr="00747151">
        <w:rPr>
          <w:bCs/>
        </w:rPr>
        <w:t>Celkové náklady systému v. z. p. na rok 2021 jsou plánovány ve výši 405,1 mld. Kč. Největší podíl těchto nákladů tvoří celkové náklady na zdravotní služby ve výši 383,4 mld.</w:t>
      </w:r>
      <w:r w:rsidRPr="00747151">
        <w:t xml:space="preserve"> </w:t>
      </w:r>
      <w:r w:rsidR="003B2891" w:rsidRPr="00747151">
        <w:rPr>
          <w:rFonts w:cstheme="minorHAnsi"/>
          <w:szCs w:val="21"/>
        </w:rPr>
        <w:t>Při o</w:t>
      </w:r>
      <w:r w:rsidR="009E30ED" w:rsidRPr="00747151">
        <w:rPr>
          <w:rFonts w:cstheme="minorHAnsi"/>
          <w:szCs w:val="21"/>
        </w:rPr>
        <w:t>dhad</w:t>
      </w:r>
      <w:r w:rsidR="003B2891" w:rsidRPr="00747151">
        <w:rPr>
          <w:rFonts w:cstheme="minorHAnsi"/>
          <w:szCs w:val="21"/>
        </w:rPr>
        <w:t>u</w:t>
      </w:r>
      <w:r w:rsidR="009E30ED" w:rsidRPr="00747151">
        <w:rPr>
          <w:rFonts w:cstheme="minorHAnsi"/>
          <w:szCs w:val="21"/>
        </w:rPr>
        <w:t xml:space="preserve"> výše nákladů na zdravotní služby v</w:t>
      </w:r>
      <w:r w:rsidR="009E30ED" w:rsidRPr="00926688">
        <w:rPr>
          <w:rFonts w:cstheme="minorHAnsi"/>
          <w:szCs w:val="21"/>
        </w:rPr>
        <w:t xml:space="preserve"> roce 2021 vychází </w:t>
      </w:r>
      <w:r w:rsidR="003B2891" w:rsidRPr="00926688">
        <w:rPr>
          <w:rFonts w:cstheme="minorHAnsi"/>
          <w:szCs w:val="21"/>
        </w:rPr>
        <w:t xml:space="preserve">zdravotní pojišťovny </w:t>
      </w:r>
      <w:r w:rsidR="009E30ED" w:rsidRPr="00926688">
        <w:rPr>
          <w:rFonts w:cstheme="minorHAnsi"/>
          <w:szCs w:val="21"/>
        </w:rPr>
        <w:t xml:space="preserve">z návrhu </w:t>
      </w:r>
      <w:r w:rsidR="003B2891" w:rsidRPr="00926688">
        <w:rPr>
          <w:rFonts w:cstheme="minorHAnsi"/>
          <w:szCs w:val="21"/>
        </w:rPr>
        <w:t>úhradové vyhlášky</w:t>
      </w:r>
      <w:r w:rsidR="009E30ED" w:rsidRPr="00926688">
        <w:rPr>
          <w:rFonts w:cstheme="minorHAnsi"/>
          <w:szCs w:val="21"/>
        </w:rPr>
        <w:t xml:space="preserve"> a </w:t>
      </w:r>
      <w:r w:rsidR="003B2891" w:rsidRPr="00926688">
        <w:rPr>
          <w:rFonts w:cstheme="minorHAnsi"/>
          <w:szCs w:val="21"/>
        </w:rPr>
        <w:t xml:space="preserve">z </w:t>
      </w:r>
      <w:r w:rsidR="009E30ED" w:rsidRPr="00926688">
        <w:rPr>
          <w:rFonts w:cstheme="minorHAnsi"/>
          <w:szCs w:val="21"/>
        </w:rPr>
        <w:t xml:space="preserve">předpokládaného vývoje </w:t>
      </w:r>
      <w:r w:rsidR="003B2891" w:rsidRPr="00926688">
        <w:rPr>
          <w:rFonts w:cstheme="minorHAnsi"/>
          <w:bCs/>
          <w:szCs w:val="21"/>
        </w:rPr>
        <w:t xml:space="preserve">epidemie onemocnění COVID-19. </w:t>
      </w:r>
      <w:r w:rsidR="003B2891" w:rsidRPr="00926688">
        <w:rPr>
          <w:rFonts w:cstheme="minorHAnsi"/>
          <w:szCs w:val="21"/>
        </w:rPr>
        <w:t>Výrazný meziroční nárůst nákladů o</w:t>
      </w:r>
      <w:r w:rsidR="005A162A" w:rsidRPr="00926688">
        <w:rPr>
          <w:rFonts w:cstheme="minorHAnsi"/>
          <w:szCs w:val="21"/>
        </w:rPr>
        <w:t> </w:t>
      </w:r>
      <w:r w:rsidR="003B2891" w:rsidRPr="00926688">
        <w:rPr>
          <w:rFonts w:cstheme="minorHAnsi"/>
          <w:szCs w:val="21"/>
        </w:rPr>
        <w:t>31,45 mld. Kč. je očekáván zejména v souvislosti s testováním na onemocnění COVID–19 a dále u</w:t>
      </w:r>
      <w:r w:rsidR="005A162A" w:rsidRPr="00926688">
        <w:rPr>
          <w:rFonts w:cstheme="minorHAnsi"/>
          <w:szCs w:val="21"/>
        </w:rPr>
        <w:t> </w:t>
      </w:r>
      <w:proofErr w:type="spellStart"/>
      <w:r w:rsidR="003B2891" w:rsidRPr="00926688">
        <w:rPr>
          <w:rFonts w:cstheme="minorHAnsi"/>
          <w:szCs w:val="21"/>
        </w:rPr>
        <w:t>centrových</w:t>
      </w:r>
      <w:proofErr w:type="spellEnd"/>
      <w:r w:rsidR="003B2891" w:rsidRPr="00926688">
        <w:rPr>
          <w:rFonts w:cstheme="minorHAnsi"/>
          <w:szCs w:val="21"/>
        </w:rPr>
        <w:t xml:space="preserve"> léčiv, u urgentní péče</w:t>
      </w:r>
      <w:r w:rsidR="000B62CE" w:rsidRPr="00926688">
        <w:rPr>
          <w:rFonts w:cstheme="minorHAnsi"/>
          <w:szCs w:val="21"/>
        </w:rPr>
        <w:t xml:space="preserve">, </w:t>
      </w:r>
      <w:r w:rsidR="003B2891" w:rsidRPr="00926688">
        <w:rPr>
          <w:rFonts w:cstheme="minorHAnsi"/>
          <w:szCs w:val="21"/>
        </w:rPr>
        <w:t>u nových terapií/technologií</w:t>
      </w:r>
      <w:r w:rsidR="000B62CE" w:rsidRPr="00926688">
        <w:rPr>
          <w:rFonts w:cstheme="minorHAnsi"/>
          <w:szCs w:val="21"/>
        </w:rPr>
        <w:t xml:space="preserve"> a také</w:t>
      </w:r>
      <w:r w:rsidR="003B2891" w:rsidRPr="00926688">
        <w:rPr>
          <w:rFonts w:cstheme="minorHAnsi"/>
          <w:szCs w:val="21"/>
        </w:rPr>
        <w:t xml:space="preserve"> na zajištění místní a časové dostupnosti a zvýšení kvality poskytovaných zdravotních služeb.</w:t>
      </w:r>
    </w:p>
    <w:p w:rsidR="00436F6E" w:rsidRPr="0079254B" w:rsidRDefault="000842A3" w:rsidP="00AC25F3">
      <w:pPr>
        <w:pStyle w:val="Nadpis2"/>
      </w:pPr>
      <w:bookmarkStart w:id="48" w:name="_Toc63684682"/>
      <w:r w:rsidRPr="0079254B">
        <w:t>N</w:t>
      </w:r>
      <w:r w:rsidR="00436F6E" w:rsidRPr="0079254B">
        <w:t>áklady na zdravotní služby</w:t>
      </w:r>
      <w:bookmarkEnd w:id="48"/>
    </w:p>
    <w:p w:rsidR="00336E27" w:rsidRPr="0079254B" w:rsidRDefault="00336E27" w:rsidP="00336E27">
      <w:pPr>
        <w:spacing w:before="180" w:line="276" w:lineRule="auto"/>
        <w:jc w:val="both"/>
      </w:pPr>
      <w:r w:rsidRPr="0079254B">
        <w:rPr>
          <w:b/>
        </w:rPr>
        <w:t xml:space="preserve">Celkové náklady na zdravotní služby čerpané z oddílu A základního fondu zdravotního pojištění </w:t>
      </w:r>
      <w:r w:rsidRPr="0079254B">
        <w:t>ve výši 3</w:t>
      </w:r>
      <w:r w:rsidR="006458BB" w:rsidRPr="0079254B">
        <w:t>83</w:t>
      </w:r>
      <w:r w:rsidRPr="0079254B">
        <w:t>,4 mld. Kč (</w:t>
      </w:r>
      <w:r w:rsidRPr="0079254B">
        <w:rPr>
          <w:i/>
        </w:rPr>
        <w:t>Tabulka č. 1</w:t>
      </w:r>
      <w:r w:rsidR="006458BB" w:rsidRPr="0079254B">
        <w:rPr>
          <w:i/>
        </w:rPr>
        <w:t>3</w:t>
      </w:r>
      <w:r w:rsidRPr="0079254B">
        <w:t xml:space="preserve"> a </w:t>
      </w:r>
      <w:r w:rsidRPr="0079254B">
        <w:rPr>
          <w:i/>
        </w:rPr>
        <w:t>Graf č. 1</w:t>
      </w:r>
      <w:r w:rsidR="006458BB" w:rsidRPr="0079254B">
        <w:rPr>
          <w:i/>
        </w:rPr>
        <w:t>7</w:t>
      </w:r>
      <w:r w:rsidRPr="0079254B">
        <w:t>) představují plánovanou výši nároků PZS za poskytnuté zdravotní služby v roce 202</w:t>
      </w:r>
      <w:r w:rsidR="006458BB" w:rsidRPr="0079254B">
        <w:t>1</w:t>
      </w:r>
      <w:r w:rsidRPr="0079254B">
        <w:t xml:space="preserve">. </w:t>
      </w:r>
    </w:p>
    <w:p w:rsidR="00336E27" w:rsidRPr="0079254B" w:rsidRDefault="00336E27" w:rsidP="00336E27">
      <w:pPr>
        <w:spacing w:before="180" w:line="276" w:lineRule="auto"/>
        <w:jc w:val="both"/>
      </w:pPr>
      <w:r w:rsidRPr="0079254B">
        <w:t>U žádné ZP se nepředpokládají závazky po lhůtě splatnosti. U všech ZP se projevuje snaha o regulační omezení objemu poskytovaných zdravotních služeb v rámci dohodovacích řízení a účinných právních předpisů.</w:t>
      </w:r>
    </w:p>
    <w:p w:rsidR="00336E27" w:rsidRPr="00F34489" w:rsidRDefault="00336E27" w:rsidP="00336E27">
      <w:pPr>
        <w:spacing w:before="180" w:line="276" w:lineRule="auto"/>
        <w:jc w:val="both"/>
      </w:pPr>
      <w:r w:rsidRPr="008031A1">
        <w:t>Z pohledu meziročního srovnání plánují ZP jako celek meziroční zvýšení objemu nákladů hrazených ze ZFZP celkem o </w:t>
      </w:r>
      <w:r w:rsidR="0079254B" w:rsidRPr="008031A1">
        <w:t>8</w:t>
      </w:r>
      <w:r w:rsidRPr="008031A1">
        <w:t>,9 % tj. o 3</w:t>
      </w:r>
      <w:r w:rsidR="0079254B" w:rsidRPr="008031A1">
        <w:t>1</w:t>
      </w:r>
      <w:r w:rsidRPr="008031A1">
        <w:t>,</w:t>
      </w:r>
      <w:r w:rsidR="0079254B" w:rsidRPr="008031A1">
        <w:t>45</w:t>
      </w:r>
      <w:r w:rsidRPr="008031A1">
        <w:t xml:space="preserve"> mld. Kč. V objemově největším segmentu </w:t>
      </w:r>
      <w:r w:rsidRPr="008031A1">
        <w:rPr>
          <w:b/>
        </w:rPr>
        <w:t>lůžkové zdravotní péče</w:t>
      </w:r>
      <w:r w:rsidRPr="008031A1">
        <w:t xml:space="preserve"> je předpokládán nárůst nákladů o 1</w:t>
      </w:r>
      <w:r w:rsidR="008031A1" w:rsidRPr="008031A1">
        <w:t>0</w:t>
      </w:r>
      <w:r w:rsidRPr="008031A1">
        <w:t>,</w:t>
      </w:r>
      <w:r w:rsidR="008031A1" w:rsidRPr="008031A1">
        <w:t>3</w:t>
      </w:r>
      <w:r w:rsidRPr="008031A1">
        <w:t> % (tj. o</w:t>
      </w:r>
      <w:r w:rsidR="008031A1" w:rsidRPr="008031A1">
        <w:t xml:space="preserve"> 20</w:t>
      </w:r>
      <w:r w:rsidRPr="008031A1">
        <w:t>,</w:t>
      </w:r>
      <w:r w:rsidR="008031A1" w:rsidRPr="008031A1">
        <w:t>23</w:t>
      </w:r>
      <w:r w:rsidRPr="008031A1">
        <w:t> mld. Kč) oproti očekávané skutečnosti roku 20</w:t>
      </w:r>
      <w:r w:rsidR="008031A1" w:rsidRPr="008031A1">
        <w:t>20</w:t>
      </w:r>
      <w:r w:rsidRPr="008031A1">
        <w:t>. U </w:t>
      </w:r>
      <w:r w:rsidRPr="008031A1">
        <w:rPr>
          <w:b/>
        </w:rPr>
        <w:t>ambulantní péče</w:t>
      </w:r>
      <w:r w:rsidRPr="008031A1">
        <w:t xml:space="preserve"> </w:t>
      </w:r>
      <w:r w:rsidR="00152140" w:rsidRPr="008031A1">
        <w:br/>
      </w:r>
      <w:r w:rsidRPr="008031A1">
        <w:t xml:space="preserve">se plánuje navýšení nákladů </w:t>
      </w:r>
      <w:r w:rsidRPr="00F34489">
        <w:t>celkem o </w:t>
      </w:r>
      <w:r w:rsidR="008031A1" w:rsidRPr="00F34489">
        <w:t>6,7</w:t>
      </w:r>
      <w:r w:rsidRPr="00F34489">
        <w:t xml:space="preserve"> % (tj. o </w:t>
      </w:r>
      <w:r w:rsidR="008031A1" w:rsidRPr="00F34489">
        <w:t>6</w:t>
      </w:r>
      <w:r w:rsidRPr="00F34489">
        <w:t>,</w:t>
      </w:r>
      <w:r w:rsidR="008031A1" w:rsidRPr="00F34489">
        <w:t>2</w:t>
      </w:r>
      <w:r w:rsidRPr="00F34489">
        <w:t xml:space="preserve">6 mld. Kč). U </w:t>
      </w:r>
      <w:r w:rsidRPr="00F34489">
        <w:rPr>
          <w:b/>
        </w:rPr>
        <w:t>ostatních nákladů</w:t>
      </w:r>
      <w:r w:rsidRPr="00F34489">
        <w:t xml:space="preserve"> (náklady na lázeňskou léčebně rehabilitační péči, služby v ozdravovnách, přepravu, zdravotnickou záchrannou službu, léky vydané </w:t>
      </w:r>
      <w:r w:rsidR="00152140" w:rsidRPr="00F34489">
        <w:br/>
      </w:r>
      <w:r w:rsidRPr="00F34489">
        <w:t>na recepty, zdravotnické prostředky vydané na poukazy, léčení v zahraničí, očkovací látky a finanční prostředky – vratky), se plánuje navýšení celkem o 8,</w:t>
      </w:r>
      <w:r w:rsidR="008031A1" w:rsidRPr="00F34489">
        <w:t>1</w:t>
      </w:r>
      <w:r w:rsidRPr="00F34489">
        <w:t xml:space="preserve"> %, tj. o </w:t>
      </w:r>
      <w:r w:rsidR="00F34489" w:rsidRPr="00F34489">
        <w:t>4</w:t>
      </w:r>
      <w:r w:rsidRPr="00F34489">
        <w:t>,</w:t>
      </w:r>
      <w:r w:rsidR="00F34489" w:rsidRPr="00F34489">
        <w:t>9</w:t>
      </w:r>
      <w:r w:rsidRPr="00F34489">
        <w:t>6 mld. Kč (</w:t>
      </w:r>
      <w:r w:rsidRPr="00F34489">
        <w:rPr>
          <w:i/>
        </w:rPr>
        <w:t>Tabulka č. 1</w:t>
      </w:r>
      <w:r w:rsidR="00F34489" w:rsidRPr="00F34489">
        <w:rPr>
          <w:i/>
        </w:rPr>
        <w:t>3</w:t>
      </w:r>
      <w:r w:rsidRPr="00F34489">
        <w:t xml:space="preserve"> a 1</w:t>
      </w:r>
      <w:r w:rsidR="00F34489" w:rsidRPr="00F34489">
        <w:t>4</w:t>
      </w:r>
      <w:r w:rsidRPr="00F34489">
        <w:t xml:space="preserve"> a </w:t>
      </w:r>
      <w:r w:rsidRPr="00F34489">
        <w:rPr>
          <w:i/>
        </w:rPr>
        <w:t>Graf č. 1</w:t>
      </w:r>
      <w:r w:rsidR="00F34489" w:rsidRPr="00F34489">
        <w:rPr>
          <w:i/>
        </w:rPr>
        <w:t>7</w:t>
      </w:r>
      <w:r w:rsidRPr="00F34489">
        <w:rPr>
          <w:i/>
        </w:rPr>
        <w:t xml:space="preserve"> a</w:t>
      </w:r>
      <w:r w:rsidR="00F34489" w:rsidRPr="00F34489">
        <w:rPr>
          <w:i/>
        </w:rPr>
        <w:t xml:space="preserve"> 18</w:t>
      </w:r>
      <w:r w:rsidRPr="00F34489">
        <w:t>).</w:t>
      </w:r>
    </w:p>
    <w:p w:rsidR="00336E27" w:rsidRPr="00F34489" w:rsidRDefault="00336E27" w:rsidP="00336E27">
      <w:pPr>
        <w:spacing w:before="180" w:line="276" w:lineRule="auto"/>
        <w:jc w:val="both"/>
      </w:pPr>
      <w:r w:rsidRPr="00F34489">
        <w:t xml:space="preserve">Výsledné čerpání finančních prostředků v jednotlivých segmentech zdravotní péče však bude závislé </w:t>
      </w:r>
      <w:r w:rsidR="00152140" w:rsidRPr="00F34489">
        <w:br/>
      </w:r>
      <w:r w:rsidRPr="00F34489">
        <w:t>na uplatňovaném způsobu úhrady a podílu individuálních dohod a na realizaci všech legislativních změn v oblasti v. z. p. Rozdílný meziroční růst nákladů na zdravotní služby je dán z důvodu historicky nastavených úhrad jednotlivých ZP.</w:t>
      </w:r>
    </w:p>
    <w:p w:rsidR="00336E27" w:rsidRPr="000E543C" w:rsidRDefault="00336E27" w:rsidP="00336E27">
      <w:pPr>
        <w:pStyle w:val="Titulek"/>
        <w:jc w:val="both"/>
      </w:pPr>
      <w:bookmarkStart w:id="49" w:name="_Toc25073782"/>
      <w:bookmarkStart w:id="50" w:name="_Toc63685268"/>
      <w:r w:rsidRPr="000E543C">
        <w:t xml:space="preserve">Tabulka č. </w:t>
      </w:r>
      <w:r w:rsidR="008E5E29" w:rsidRPr="000E543C">
        <w:rPr>
          <w:noProof/>
        </w:rPr>
        <w:fldChar w:fldCharType="begin"/>
      </w:r>
      <w:r w:rsidRPr="000E543C">
        <w:rPr>
          <w:noProof/>
        </w:rPr>
        <w:instrText xml:space="preserve"> SEQ Tabulka \* ARABIC </w:instrText>
      </w:r>
      <w:r w:rsidR="008E5E29" w:rsidRPr="000E543C">
        <w:rPr>
          <w:noProof/>
        </w:rPr>
        <w:fldChar w:fldCharType="separate"/>
      </w:r>
      <w:r w:rsidR="006D5C90">
        <w:rPr>
          <w:noProof/>
        </w:rPr>
        <w:t>15</w:t>
      </w:r>
      <w:r w:rsidR="008E5E29" w:rsidRPr="000E543C">
        <w:rPr>
          <w:noProof/>
        </w:rPr>
        <w:fldChar w:fldCharType="end"/>
      </w:r>
      <w:r w:rsidRPr="000E543C">
        <w:t>: Struktura nákladů na zdravotní služby podle jednotlivých segmentů</w:t>
      </w:r>
      <w:bookmarkEnd w:id="49"/>
      <w:bookmarkEnd w:id="50"/>
    </w:p>
    <w:tbl>
      <w:tblPr>
        <w:tblW w:w="9639" w:type="dxa"/>
        <w:jc w:val="right"/>
        <w:tblBorders>
          <w:top w:val="single" w:sz="12" w:space="0" w:color="548DD4" w:themeColor="text2" w:themeTint="99"/>
          <w:left w:val="single" w:sz="12" w:space="0" w:color="548DD4" w:themeColor="text2" w:themeTint="99"/>
          <w:bottom w:val="single" w:sz="12" w:space="0" w:color="548DD4" w:themeColor="text2" w:themeTint="99"/>
          <w:right w:val="single" w:sz="12" w:space="0" w:color="548DD4" w:themeColor="text2" w:themeTint="99"/>
        </w:tblBorders>
        <w:tblLayout w:type="fixed"/>
        <w:tblCellMar>
          <w:left w:w="70" w:type="dxa"/>
          <w:right w:w="70" w:type="dxa"/>
        </w:tblCellMar>
        <w:tblLook w:val="00A0" w:firstRow="1" w:lastRow="0" w:firstColumn="1" w:lastColumn="0" w:noHBand="0" w:noVBand="0"/>
      </w:tblPr>
      <w:tblGrid>
        <w:gridCol w:w="1725"/>
        <w:gridCol w:w="1130"/>
        <w:gridCol w:w="1131"/>
        <w:gridCol w:w="1130"/>
        <w:gridCol w:w="1131"/>
        <w:gridCol w:w="1130"/>
        <w:gridCol w:w="1131"/>
        <w:gridCol w:w="1131"/>
      </w:tblGrid>
      <w:tr w:rsidR="000E543C" w:rsidRPr="000E543C" w:rsidTr="00D5078B">
        <w:trPr>
          <w:trHeight w:hRule="exact" w:val="284"/>
          <w:jc w:val="right"/>
        </w:trPr>
        <w:tc>
          <w:tcPr>
            <w:tcW w:w="1725" w:type="dxa"/>
            <w:vMerge w:val="restart"/>
            <w:shd w:val="clear" w:color="auto" w:fill="4F81BD"/>
            <w:hideMark/>
          </w:tcPr>
          <w:p w:rsidR="000E543C" w:rsidRPr="00701EA8" w:rsidRDefault="000E543C" w:rsidP="000E543C">
            <w:pPr>
              <w:spacing w:after="0" w:line="240" w:lineRule="auto"/>
              <w:rPr>
                <w:rFonts w:eastAsia="Times New Roman" w:cstheme="minorHAnsi"/>
                <w:b/>
                <w:bCs/>
                <w:color w:val="FFFFFF"/>
                <w:szCs w:val="21"/>
                <w:lang w:eastAsia="cs-CZ"/>
              </w:rPr>
            </w:pPr>
            <w:r w:rsidRPr="00701EA8">
              <w:rPr>
                <w:rFonts w:eastAsia="Times New Roman" w:cstheme="minorHAnsi"/>
                <w:b/>
                <w:bCs/>
                <w:color w:val="FFFFFF"/>
                <w:szCs w:val="21"/>
                <w:lang w:eastAsia="cs-CZ"/>
              </w:rPr>
              <w:t>Ukazatel</w:t>
            </w:r>
          </w:p>
          <w:p w:rsidR="000E543C" w:rsidRPr="00701EA8" w:rsidRDefault="000E543C" w:rsidP="000E543C">
            <w:pPr>
              <w:spacing w:after="0" w:line="240" w:lineRule="auto"/>
              <w:rPr>
                <w:rFonts w:eastAsia="Times New Roman" w:cstheme="minorHAnsi"/>
                <w:bCs/>
                <w:color w:val="FFFFFF"/>
                <w:szCs w:val="21"/>
                <w:lang w:eastAsia="cs-CZ"/>
              </w:rPr>
            </w:pPr>
            <w:r w:rsidRPr="00701EA8">
              <w:rPr>
                <w:rFonts w:eastAsia="Times New Roman" w:cstheme="minorHAnsi"/>
                <w:bCs/>
                <w:color w:val="FFFFFF"/>
                <w:szCs w:val="21"/>
                <w:lang w:eastAsia="cs-CZ"/>
              </w:rPr>
              <w:t>(v mil. Kč)</w:t>
            </w:r>
          </w:p>
        </w:tc>
        <w:tc>
          <w:tcPr>
            <w:tcW w:w="1130" w:type="dxa"/>
            <w:vMerge w:val="restart"/>
            <w:shd w:val="clear" w:color="auto" w:fill="6691C6"/>
            <w:vAlign w:val="center"/>
            <w:hideMark/>
          </w:tcPr>
          <w:p w:rsidR="000E543C" w:rsidRPr="00701EA8" w:rsidRDefault="000E543C" w:rsidP="00C9583F">
            <w:pPr>
              <w:spacing w:after="0" w:line="240" w:lineRule="auto"/>
              <w:jc w:val="center"/>
              <w:rPr>
                <w:rFonts w:cstheme="minorHAnsi"/>
                <w:b/>
                <w:bCs/>
                <w:color w:val="FFFFFF"/>
                <w:szCs w:val="21"/>
              </w:rPr>
            </w:pPr>
            <w:r w:rsidRPr="00701EA8">
              <w:rPr>
                <w:rFonts w:cstheme="minorHAnsi"/>
                <w:b/>
                <w:bCs/>
                <w:color w:val="FFFFFF"/>
                <w:szCs w:val="21"/>
              </w:rPr>
              <w:t>2015 </w:t>
            </w:r>
          </w:p>
        </w:tc>
        <w:tc>
          <w:tcPr>
            <w:tcW w:w="1131" w:type="dxa"/>
            <w:vMerge w:val="restart"/>
            <w:shd w:val="clear" w:color="auto" w:fill="4F81BD"/>
            <w:vAlign w:val="center"/>
            <w:hideMark/>
          </w:tcPr>
          <w:p w:rsidR="000E543C" w:rsidRPr="00701EA8" w:rsidRDefault="000E543C" w:rsidP="00C9583F">
            <w:pPr>
              <w:spacing w:after="0" w:line="240" w:lineRule="auto"/>
              <w:jc w:val="center"/>
              <w:rPr>
                <w:rFonts w:cstheme="minorHAnsi"/>
                <w:b/>
                <w:bCs/>
                <w:color w:val="FFFFFF"/>
                <w:szCs w:val="21"/>
              </w:rPr>
            </w:pPr>
            <w:r w:rsidRPr="00701EA8">
              <w:rPr>
                <w:rFonts w:cstheme="minorHAnsi"/>
                <w:b/>
                <w:bCs/>
                <w:color w:val="FFFFFF"/>
                <w:szCs w:val="21"/>
              </w:rPr>
              <w:t>2016 </w:t>
            </w:r>
          </w:p>
        </w:tc>
        <w:tc>
          <w:tcPr>
            <w:tcW w:w="1130" w:type="dxa"/>
            <w:vMerge w:val="restart"/>
            <w:shd w:val="clear" w:color="auto" w:fill="6691C6"/>
            <w:vAlign w:val="center"/>
            <w:hideMark/>
          </w:tcPr>
          <w:p w:rsidR="000E543C" w:rsidRPr="00701EA8" w:rsidRDefault="000E543C" w:rsidP="00C9583F">
            <w:pPr>
              <w:spacing w:after="0" w:line="240" w:lineRule="auto"/>
              <w:jc w:val="center"/>
              <w:rPr>
                <w:rFonts w:cstheme="minorHAnsi"/>
                <w:b/>
                <w:bCs/>
                <w:color w:val="FFFFFF"/>
                <w:szCs w:val="21"/>
              </w:rPr>
            </w:pPr>
            <w:r w:rsidRPr="00701EA8">
              <w:rPr>
                <w:rFonts w:cstheme="minorHAnsi"/>
                <w:b/>
                <w:bCs/>
                <w:color w:val="FFFFFF"/>
                <w:szCs w:val="21"/>
              </w:rPr>
              <w:t>2017 </w:t>
            </w:r>
          </w:p>
        </w:tc>
        <w:tc>
          <w:tcPr>
            <w:tcW w:w="1131" w:type="dxa"/>
            <w:vMerge w:val="restart"/>
            <w:shd w:val="clear" w:color="auto" w:fill="4F81BD"/>
            <w:vAlign w:val="center"/>
            <w:hideMark/>
          </w:tcPr>
          <w:p w:rsidR="000E543C" w:rsidRPr="00701EA8" w:rsidRDefault="000E543C" w:rsidP="00C9583F">
            <w:pPr>
              <w:spacing w:after="0" w:line="240" w:lineRule="auto"/>
              <w:jc w:val="center"/>
              <w:rPr>
                <w:rFonts w:cstheme="minorHAnsi"/>
                <w:b/>
                <w:bCs/>
                <w:color w:val="FFFFFF"/>
                <w:szCs w:val="21"/>
              </w:rPr>
            </w:pPr>
            <w:r w:rsidRPr="00701EA8">
              <w:rPr>
                <w:rFonts w:cstheme="minorHAnsi"/>
                <w:b/>
                <w:bCs/>
                <w:color w:val="FFFFFF"/>
                <w:szCs w:val="21"/>
              </w:rPr>
              <w:t>2018 </w:t>
            </w:r>
          </w:p>
        </w:tc>
        <w:tc>
          <w:tcPr>
            <w:tcW w:w="1130" w:type="dxa"/>
            <w:vMerge w:val="restart"/>
            <w:shd w:val="clear" w:color="auto" w:fill="6691C6"/>
            <w:vAlign w:val="center"/>
            <w:hideMark/>
          </w:tcPr>
          <w:p w:rsidR="000E543C" w:rsidRPr="00701EA8" w:rsidRDefault="000E543C" w:rsidP="00C9583F">
            <w:pPr>
              <w:spacing w:after="0" w:line="240" w:lineRule="auto"/>
              <w:jc w:val="center"/>
              <w:rPr>
                <w:rFonts w:cstheme="minorHAnsi"/>
                <w:b/>
                <w:bCs/>
                <w:color w:val="FFFFFF"/>
                <w:szCs w:val="21"/>
              </w:rPr>
            </w:pPr>
            <w:r w:rsidRPr="00701EA8">
              <w:rPr>
                <w:rFonts w:cstheme="minorHAnsi"/>
                <w:b/>
                <w:bCs/>
                <w:color w:val="FFFFFF"/>
                <w:szCs w:val="21"/>
              </w:rPr>
              <w:t>2019 </w:t>
            </w:r>
          </w:p>
        </w:tc>
        <w:tc>
          <w:tcPr>
            <w:tcW w:w="1131" w:type="dxa"/>
            <w:shd w:val="clear" w:color="auto" w:fill="4F81BD"/>
            <w:vAlign w:val="center"/>
            <w:hideMark/>
          </w:tcPr>
          <w:p w:rsidR="000E543C" w:rsidRPr="00701EA8" w:rsidRDefault="000E543C" w:rsidP="000E543C">
            <w:pPr>
              <w:jc w:val="center"/>
              <w:rPr>
                <w:rFonts w:cstheme="minorHAnsi"/>
                <w:b/>
                <w:bCs/>
                <w:color w:val="FFFFFF"/>
                <w:szCs w:val="21"/>
              </w:rPr>
            </w:pPr>
            <w:r w:rsidRPr="00701EA8">
              <w:rPr>
                <w:rFonts w:cstheme="minorHAnsi"/>
                <w:b/>
                <w:bCs/>
                <w:color w:val="FFFFFF"/>
                <w:szCs w:val="21"/>
              </w:rPr>
              <w:t>2020</w:t>
            </w:r>
          </w:p>
        </w:tc>
        <w:tc>
          <w:tcPr>
            <w:tcW w:w="1131" w:type="dxa"/>
            <w:shd w:val="clear" w:color="auto" w:fill="6691C6"/>
            <w:vAlign w:val="center"/>
          </w:tcPr>
          <w:p w:rsidR="000E543C" w:rsidRPr="00701EA8" w:rsidRDefault="000E543C" w:rsidP="000E543C">
            <w:pPr>
              <w:jc w:val="center"/>
              <w:rPr>
                <w:rFonts w:cstheme="minorHAnsi"/>
                <w:b/>
                <w:bCs/>
                <w:color w:val="FFFFFF"/>
                <w:szCs w:val="21"/>
              </w:rPr>
            </w:pPr>
            <w:r w:rsidRPr="00701EA8">
              <w:rPr>
                <w:rFonts w:cstheme="minorHAnsi"/>
                <w:b/>
                <w:bCs/>
                <w:color w:val="FFFFFF"/>
                <w:szCs w:val="21"/>
              </w:rPr>
              <w:t>2021</w:t>
            </w:r>
          </w:p>
        </w:tc>
      </w:tr>
      <w:tr w:rsidR="000E543C" w:rsidRPr="000E543C" w:rsidTr="00D5078B">
        <w:trPr>
          <w:trHeight w:hRule="exact" w:val="284"/>
          <w:jc w:val="right"/>
        </w:trPr>
        <w:tc>
          <w:tcPr>
            <w:tcW w:w="1725" w:type="dxa"/>
            <w:vMerge/>
            <w:shd w:val="clear" w:color="auto" w:fill="4F81BD"/>
            <w:vAlign w:val="center"/>
            <w:hideMark/>
          </w:tcPr>
          <w:p w:rsidR="000E543C" w:rsidRPr="00701EA8" w:rsidRDefault="000E543C" w:rsidP="000E543C">
            <w:pPr>
              <w:spacing w:after="0" w:line="240" w:lineRule="auto"/>
              <w:rPr>
                <w:rFonts w:eastAsia="Times New Roman" w:cstheme="minorHAnsi"/>
                <w:b/>
                <w:bCs/>
                <w:color w:val="FFFFFF"/>
                <w:szCs w:val="21"/>
                <w:lang w:eastAsia="cs-CZ"/>
              </w:rPr>
            </w:pPr>
          </w:p>
        </w:tc>
        <w:tc>
          <w:tcPr>
            <w:tcW w:w="1130" w:type="dxa"/>
            <w:vMerge/>
            <w:shd w:val="clear" w:color="auto" w:fill="6691C6"/>
            <w:vAlign w:val="center"/>
            <w:hideMark/>
          </w:tcPr>
          <w:p w:rsidR="000E543C" w:rsidRPr="00701EA8" w:rsidRDefault="000E543C" w:rsidP="000E543C">
            <w:pPr>
              <w:spacing w:after="0" w:line="240" w:lineRule="auto"/>
              <w:jc w:val="center"/>
              <w:rPr>
                <w:rFonts w:eastAsia="Times New Roman" w:cstheme="minorHAnsi"/>
                <w:color w:val="000000"/>
                <w:szCs w:val="21"/>
                <w:lang w:eastAsia="cs-CZ"/>
              </w:rPr>
            </w:pPr>
          </w:p>
        </w:tc>
        <w:tc>
          <w:tcPr>
            <w:tcW w:w="1131" w:type="dxa"/>
            <w:vMerge/>
            <w:shd w:val="clear" w:color="auto" w:fill="4F81BD"/>
            <w:vAlign w:val="center"/>
            <w:hideMark/>
          </w:tcPr>
          <w:p w:rsidR="000E543C" w:rsidRPr="00701EA8" w:rsidRDefault="000E543C" w:rsidP="000E543C">
            <w:pPr>
              <w:spacing w:after="0" w:line="240" w:lineRule="auto"/>
              <w:jc w:val="center"/>
              <w:rPr>
                <w:rFonts w:eastAsia="Times New Roman" w:cstheme="minorHAnsi"/>
                <w:b/>
                <w:bCs/>
                <w:color w:val="FFFFFF"/>
                <w:szCs w:val="21"/>
                <w:lang w:eastAsia="cs-CZ"/>
              </w:rPr>
            </w:pPr>
          </w:p>
        </w:tc>
        <w:tc>
          <w:tcPr>
            <w:tcW w:w="1130" w:type="dxa"/>
            <w:vMerge/>
            <w:shd w:val="clear" w:color="auto" w:fill="6691C6"/>
            <w:vAlign w:val="center"/>
            <w:hideMark/>
          </w:tcPr>
          <w:p w:rsidR="000E543C" w:rsidRPr="00701EA8" w:rsidRDefault="000E543C" w:rsidP="000E543C">
            <w:pPr>
              <w:spacing w:after="0" w:line="240" w:lineRule="auto"/>
              <w:jc w:val="center"/>
              <w:rPr>
                <w:rFonts w:eastAsia="Times New Roman" w:cstheme="minorHAnsi"/>
                <w:color w:val="000000"/>
                <w:szCs w:val="21"/>
                <w:lang w:eastAsia="cs-CZ"/>
              </w:rPr>
            </w:pPr>
          </w:p>
        </w:tc>
        <w:tc>
          <w:tcPr>
            <w:tcW w:w="1131" w:type="dxa"/>
            <w:vMerge/>
            <w:shd w:val="clear" w:color="auto" w:fill="4F81BD"/>
            <w:vAlign w:val="center"/>
            <w:hideMark/>
          </w:tcPr>
          <w:p w:rsidR="000E543C" w:rsidRPr="00701EA8" w:rsidRDefault="000E543C" w:rsidP="000E543C">
            <w:pPr>
              <w:spacing w:after="0" w:line="240" w:lineRule="auto"/>
              <w:jc w:val="center"/>
              <w:rPr>
                <w:rFonts w:eastAsia="Times New Roman" w:cstheme="minorHAnsi"/>
                <w:b/>
                <w:bCs/>
                <w:color w:val="FFFFFF"/>
                <w:szCs w:val="21"/>
                <w:lang w:eastAsia="cs-CZ"/>
              </w:rPr>
            </w:pPr>
          </w:p>
        </w:tc>
        <w:tc>
          <w:tcPr>
            <w:tcW w:w="1130" w:type="dxa"/>
            <w:vMerge/>
            <w:shd w:val="clear" w:color="auto" w:fill="6691C6"/>
            <w:vAlign w:val="center"/>
            <w:hideMark/>
          </w:tcPr>
          <w:p w:rsidR="000E543C" w:rsidRPr="00701EA8" w:rsidRDefault="000E543C" w:rsidP="000E543C">
            <w:pPr>
              <w:spacing w:after="0" w:line="240" w:lineRule="auto"/>
              <w:jc w:val="center"/>
              <w:rPr>
                <w:rFonts w:eastAsia="Times New Roman" w:cstheme="minorHAnsi"/>
                <w:b/>
                <w:bCs/>
                <w:color w:val="FFFFFF"/>
                <w:szCs w:val="21"/>
                <w:lang w:eastAsia="cs-CZ"/>
              </w:rPr>
            </w:pPr>
          </w:p>
        </w:tc>
        <w:tc>
          <w:tcPr>
            <w:tcW w:w="1131" w:type="dxa"/>
            <w:shd w:val="clear" w:color="auto" w:fill="4F81BD"/>
            <w:vAlign w:val="center"/>
            <w:hideMark/>
          </w:tcPr>
          <w:p w:rsidR="000E543C" w:rsidRPr="00701EA8" w:rsidRDefault="000E543C" w:rsidP="000E543C">
            <w:pPr>
              <w:spacing w:after="0" w:line="240" w:lineRule="auto"/>
              <w:jc w:val="center"/>
              <w:rPr>
                <w:rFonts w:eastAsia="Times New Roman" w:cstheme="minorHAnsi"/>
                <w:bCs/>
                <w:color w:val="FFFFFF"/>
                <w:szCs w:val="21"/>
                <w:lang w:eastAsia="cs-CZ"/>
              </w:rPr>
            </w:pPr>
            <w:r w:rsidRPr="00701EA8">
              <w:rPr>
                <w:rFonts w:cstheme="minorHAnsi"/>
                <w:b/>
                <w:bCs/>
                <w:color w:val="FFFFFF"/>
                <w:szCs w:val="21"/>
              </w:rPr>
              <w:t>oč. Skut</w:t>
            </w:r>
          </w:p>
        </w:tc>
        <w:tc>
          <w:tcPr>
            <w:tcW w:w="1131" w:type="dxa"/>
            <w:shd w:val="clear" w:color="auto" w:fill="6691C6"/>
            <w:vAlign w:val="center"/>
          </w:tcPr>
          <w:p w:rsidR="000E543C" w:rsidRPr="00701EA8" w:rsidRDefault="000E543C" w:rsidP="000E543C">
            <w:pPr>
              <w:spacing w:after="0" w:line="240" w:lineRule="auto"/>
              <w:jc w:val="center"/>
              <w:rPr>
                <w:rFonts w:eastAsia="Times New Roman" w:cstheme="minorHAnsi"/>
                <w:bCs/>
                <w:color w:val="FFFFFF"/>
                <w:szCs w:val="21"/>
                <w:lang w:eastAsia="cs-CZ"/>
              </w:rPr>
            </w:pPr>
            <w:r w:rsidRPr="00701EA8">
              <w:rPr>
                <w:rFonts w:cstheme="minorHAnsi"/>
                <w:b/>
                <w:bCs/>
                <w:color w:val="FFFFFF"/>
                <w:szCs w:val="21"/>
              </w:rPr>
              <w:t>ZPP</w:t>
            </w:r>
          </w:p>
        </w:tc>
      </w:tr>
      <w:tr w:rsidR="000E543C" w:rsidRPr="000E543C" w:rsidTr="00D5078B">
        <w:trPr>
          <w:trHeight w:hRule="exact" w:val="510"/>
          <w:jc w:val="right"/>
        </w:trPr>
        <w:tc>
          <w:tcPr>
            <w:tcW w:w="1725" w:type="dxa"/>
            <w:shd w:val="clear" w:color="auto" w:fill="auto"/>
            <w:vAlign w:val="bottom"/>
            <w:hideMark/>
          </w:tcPr>
          <w:p w:rsidR="000E543C" w:rsidRPr="00701EA8" w:rsidRDefault="000E543C" w:rsidP="000E543C">
            <w:pPr>
              <w:spacing w:after="0" w:line="240" w:lineRule="auto"/>
              <w:rPr>
                <w:rFonts w:eastAsia="Times New Roman" w:cstheme="minorHAnsi"/>
                <w:b/>
                <w:bCs/>
                <w:color w:val="000000"/>
                <w:szCs w:val="21"/>
                <w:lang w:eastAsia="cs-CZ"/>
              </w:rPr>
            </w:pPr>
            <w:r w:rsidRPr="00701EA8">
              <w:rPr>
                <w:rFonts w:eastAsia="Times New Roman" w:cstheme="minorHAnsi"/>
                <w:b/>
                <w:bCs/>
                <w:color w:val="000000"/>
                <w:szCs w:val="21"/>
                <w:lang w:eastAsia="cs-CZ"/>
              </w:rPr>
              <w:t>Náklady na ambulantní péči</w:t>
            </w:r>
          </w:p>
        </w:tc>
        <w:tc>
          <w:tcPr>
            <w:tcW w:w="1130" w:type="dxa"/>
            <w:shd w:val="clear" w:color="auto" w:fill="DBE5F1"/>
            <w:vAlign w:val="center"/>
            <w:hideMark/>
          </w:tcPr>
          <w:p w:rsidR="000E543C" w:rsidRPr="00701EA8" w:rsidRDefault="000E543C" w:rsidP="000E543C">
            <w:pPr>
              <w:spacing w:after="0" w:line="240" w:lineRule="auto"/>
              <w:jc w:val="right"/>
              <w:rPr>
                <w:rFonts w:cstheme="minorHAnsi"/>
                <w:szCs w:val="21"/>
              </w:rPr>
            </w:pPr>
            <w:r w:rsidRPr="00701EA8">
              <w:rPr>
                <w:rFonts w:cstheme="minorHAnsi"/>
                <w:szCs w:val="21"/>
              </w:rPr>
              <w:t>64 829</w:t>
            </w:r>
          </w:p>
        </w:tc>
        <w:tc>
          <w:tcPr>
            <w:tcW w:w="1131" w:type="dxa"/>
            <w:shd w:val="clear" w:color="auto" w:fill="auto"/>
            <w:vAlign w:val="center"/>
            <w:hideMark/>
          </w:tcPr>
          <w:p w:rsidR="000E543C" w:rsidRPr="00701EA8" w:rsidRDefault="000E543C" w:rsidP="000E543C">
            <w:pPr>
              <w:spacing w:after="0" w:line="240" w:lineRule="auto"/>
              <w:jc w:val="right"/>
              <w:rPr>
                <w:rFonts w:cstheme="minorHAnsi"/>
                <w:szCs w:val="21"/>
              </w:rPr>
            </w:pPr>
            <w:r w:rsidRPr="00701EA8">
              <w:rPr>
                <w:rFonts w:cstheme="minorHAnsi"/>
                <w:szCs w:val="21"/>
              </w:rPr>
              <w:t>69 248</w:t>
            </w:r>
          </w:p>
        </w:tc>
        <w:tc>
          <w:tcPr>
            <w:tcW w:w="1130" w:type="dxa"/>
            <w:shd w:val="clear" w:color="auto" w:fill="DBE5F1" w:themeFill="accent1" w:themeFillTint="33"/>
            <w:vAlign w:val="center"/>
            <w:hideMark/>
          </w:tcPr>
          <w:p w:rsidR="000E543C" w:rsidRPr="00701EA8" w:rsidRDefault="000E543C" w:rsidP="000E543C">
            <w:pPr>
              <w:spacing w:after="0" w:line="240" w:lineRule="auto"/>
              <w:jc w:val="right"/>
              <w:rPr>
                <w:rFonts w:cstheme="minorHAnsi"/>
                <w:szCs w:val="21"/>
              </w:rPr>
            </w:pPr>
            <w:r w:rsidRPr="00701EA8">
              <w:rPr>
                <w:rFonts w:cstheme="minorHAnsi"/>
                <w:szCs w:val="21"/>
              </w:rPr>
              <w:t>72 172</w:t>
            </w:r>
          </w:p>
        </w:tc>
        <w:tc>
          <w:tcPr>
            <w:tcW w:w="1131" w:type="dxa"/>
            <w:shd w:val="clear" w:color="auto" w:fill="auto"/>
            <w:vAlign w:val="center"/>
            <w:hideMark/>
          </w:tcPr>
          <w:p w:rsidR="000E543C" w:rsidRPr="00701EA8" w:rsidRDefault="000E543C" w:rsidP="000E543C">
            <w:pPr>
              <w:spacing w:after="0" w:line="240" w:lineRule="auto"/>
              <w:jc w:val="right"/>
              <w:rPr>
                <w:rFonts w:cstheme="minorHAnsi"/>
                <w:szCs w:val="21"/>
              </w:rPr>
            </w:pPr>
            <w:r w:rsidRPr="00701EA8">
              <w:rPr>
                <w:rFonts w:cstheme="minorHAnsi"/>
                <w:szCs w:val="21"/>
              </w:rPr>
              <w:t>75 094</w:t>
            </w:r>
          </w:p>
        </w:tc>
        <w:tc>
          <w:tcPr>
            <w:tcW w:w="1130" w:type="dxa"/>
            <w:shd w:val="clear" w:color="auto" w:fill="DBE5F1" w:themeFill="accent1" w:themeFillTint="33"/>
            <w:noWrap/>
            <w:vAlign w:val="center"/>
            <w:hideMark/>
          </w:tcPr>
          <w:p w:rsidR="000E543C" w:rsidRPr="00701EA8" w:rsidRDefault="000E543C" w:rsidP="000E543C">
            <w:pPr>
              <w:spacing w:after="0" w:line="240" w:lineRule="auto"/>
              <w:jc w:val="right"/>
              <w:rPr>
                <w:rFonts w:cstheme="minorHAnsi"/>
                <w:szCs w:val="21"/>
              </w:rPr>
            </w:pPr>
            <w:r w:rsidRPr="00701EA8">
              <w:rPr>
                <w:rFonts w:cstheme="minorHAnsi"/>
                <w:szCs w:val="21"/>
              </w:rPr>
              <w:t>83 028</w:t>
            </w:r>
          </w:p>
        </w:tc>
        <w:tc>
          <w:tcPr>
            <w:tcW w:w="1131" w:type="dxa"/>
            <w:shd w:val="clear" w:color="auto" w:fill="auto"/>
            <w:noWrap/>
            <w:vAlign w:val="center"/>
            <w:hideMark/>
          </w:tcPr>
          <w:p w:rsidR="000E543C" w:rsidRPr="00701EA8" w:rsidRDefault="000E543C" w:rsidP="000E543C">
            <w:pPr>
              <w:spacing w:after="0" w:line="240" w:lineRule="auto"/>
              <w:jc w:val="right"/>
              <w:rPr>
                <w:rFonts w:cstheme="minorHAnsi"/>
                <w:szCs w:val="21"/>
              </w:rPr>
            </w:pPr>
            <w:r w:rsidRPr="00701EA8">
              <w:rPr>
                <w:rFonts w:cstheme="minorHAnsi"/>
                <w:szCs w:val="21"/>
              </w:rPr>
              <w:t>93 411</w:t>
            </w:r>
          </w:p>
        </w:tc>
        <w:tc>
          <w:tcPr>
            <w:tcW w:w="1131" w:type="dxa"/>
            <w:shd w:val="clear" w:color="auto" w:fill="DBE5F1" w:themeFill="accent1" w:themeFillTint="33"/>
            <w:vAlign w:val="center"/>
          </w:tcPr>
          <w:p w:rsidR="000E543C" w:rsidRPr="00701EA8" w:rsidRDefault="000E543C" w:rsidP="000E543C">
            <w:pPr>
              <w:spacing w:after="0" w:line="240" w:lineRule="auto"/>
              <w:jc w:val="right"/>
              <w:rPr>
                <w:rFonts w:cstheme="minorHAnsi"/>
                <w:szCs w:val="21"/>
              </w:rPr>
            </w:pPr>
            <w:r w:rsidRPr="00701EA8">
              <w:rPr>
                <w:rFonts w:cstheme="minorHAnsi"/>
                <w:szCs w:val="21"/>
              </w:rPr>
              <w:t>99 674</w:t>
            </w:r>
          </w:p>
        </w:tc>
      </w:tr>
      <w:tr w:rsidR="000E543C" w:rsidRPr="000E543C" w:rsidTr="00D5078B">
        <w:trPr>
          <w:trHeight w:hRule="exact" w:val="510"/>
          <w:jc w:val="right"/>
        </w:trPr>
        <w:tc>
          <w:tcPr>
            <w:tcW w:w="1725" w:type="dxa"/>
            <w:shd w:val="clear" w:color="auto" w:fill="EEF3F8"/>
            <w:vAlign w:val="bottom"/>
            <w:hideMark/>
          </w:tcPr>
          <w:p w:rsidR="000E543C" w:rsidRPr="00701EA8" w:rsidRDefault="000E543C" w:rsidP="000E543C">
            <w:pPr>
              <w:spacing w:after="0" w:line="240" w:lineRule="auto"/>
              <w:rPr>
                <w:rFonts w:eastAsia="Times New Roman" w:cstheme="minorHAnsi"/>
                <w:b/>
                <w:bCs/>
                <w:color w:val="000000"/>
                <w:szCs w:val="21"/>
                <w:lang w:eastAsia="cs-CZ"/>
              </w:rPr>
            </w:pPr>
            <w:r w:rsidRPr="00701EA8">
              <w:rPr>
                <w:rFonts w:eastAsia="Times New Roman" w:cstheme="minorHAnsi"/>
                <w:b/>
                <w:bCs/>
                <w:color w:val="000000"/>
                <w:szCs w:val="21"/>
                <w:lang w:eastAsia="cs-CZ"/>
              </w:rPr>
              <w:t>Náklady na lůžkovou péči</w:t>
            </w:r>
          </w:p>
        </w:tc>
        <w:tc>
          <w:tcPr>
            <w:tcW w:w="1130" w:type="dxa"/>
            <w:shd w:val="clear" w:color="auto" w:fill="EEF3F8"/>
            <w:vAlign w:val="center"/>
            <w:hideMark/>
          </w:tcPr>
          <w:p w:rsidR="000E543C" w:rsidRPr="00701EA8" w:rsidRDefault="000E543C" w:rsidP="000E543C">
            <w:pPr>
              <w:spacing w:after="0" w:line="240" w:lineRule="auto"/>
              <w:jc w:val="right"/>
              <w:rPr>
                <w:rFonts w:cstheme="minorHAnsi"/>
                <w:color w:val="000000"/>
                <w:szCs w:val="21"/>
              </w:rPr>
            </w:pPr>
            <w:r w:rsidRPr="00701EA8">
              <w:rPr>
                <w:rFonts w:cstheme="minorHAnsi"/>
                <w:color w:val="000000"/>
                <w:szCs w:val="21"/>
              </w:rPr>
              <w:t>127 454</w:t>
            </w:r>
          </w:p>
        </w:tc>
        <w:tc>
          <w:tcPr>
            <w:tcW w:w="1131" w:type="dxa"/>
            <w:shd w:val="clear" w:color="auto" w:fill="EEF3F8"/>
            <w:vAlign w:val="center"/>
            <w:hideMark/>
          </w:tcPr>
          <w:p w:rsidR="000E543C" w:rsidRPr="00701EA8" w:rsidRDefault="000E543C" w:rsidP="000E543C">
            <w:pPr>
              <w:spacing w:after="0" w:line="240" w:lineRule="auto"/>
              <w:jc w:val="right"/>
              <w:rPr>
                <w:rFonts w:cstheme="minorHAnsi"/>
                <w:color w:val="000000"/>
                <w:szCs w:val="21"/>
              </w:rPr>
            </w:pPr>
            <w:r w:rsidRPr="00701EA8">
              <w:rPr>
                <w:rFonts w:cstheme="minorHAnsi"/>
                <w:color w:val="000000"/>
                <w:szCs w:val="21"/>
              </w:rPr>
              <w:t>132 958</w:t>
            </w:r>
          </w:p>
        </w:tc>
        <w:tc>
          <w:tcPr>
            <w:tcW w:w="1130" w:type="dxa"/>
            <w:shd w:val="clear" w:color="auto" w:fill="EEF3F8"/>
            <w:vAlign w:val="center"/>
            <w:hideMark/>
          </w:tcPr>
          <w:p w:rsidR="000E543C" w:rsidRPr="00701EA8" w:rsidRDefault="000E543C" w:rsidP="000E543C">
            <w:pPr>
              <w:spacing w:after="0" w:line="240" w:lineRule="auto"/>
              <w:jc w:val="right"/>
              <w:rPr>
                <w:rFonts w:cstheme="minorHAnsi"/>
                <w:color w:val="000000"/>
                <w:szCs w:val="21"/>
              </w:rPr>
            </w:pPr>
            <w:r w:rsidRPr="00701EA8">
              <w:rPr>
                <w:rFonts w:cstheme="minorHAnsi"/>
                <w:color w:val="000000"/>
                <w:szCs w:val="21"/>
              </w:rPr>
              <w:t>142 610</w:t>
            </w:r>
          </w:p>
        </w:tc>
        <w:tc>
          <w:tcPr>
            <w:tcW w:w="1131" w:type="dxa"/>
            <w:shd w:val="clear" w:color="auto" w:fill="EEF3F8"/>
            <w:vAlign w:val="center"/>
            <w:hideMark/>
          </w:tcPr>
          <w:p w:rsidR="000E543C" w:rsidRPr="00701EA8" w:rsidRDefault="000E543C" w:rsidP="000E543C">
            <w:pPr>
              <w:spacing w:after="0" w:line="240" w:lineRule="auto"/>
              <w:jc w:val="right"/>
              <w:rPr>
                <w:rFonts w:cstheme="minorHAnsi"/>
                <w:color w:val="000000"/>
                <w:szCs w:val="21"/>
              </w:rPr>
            </w:pPr>
            <w:r w:rsidRPr="00701EA8">
              <w:rPr>
                <w:rFonts w:cstheme="minorHAnsi"/>
                <w:color w:val="000000"/>
                <w:szCs w:val="21"/>
              </w:rPr>
              <w:t>155 361</w:t>
            </w:r>
          </w:p>
        </w:tc>
        <w:tc>
          <w:tcPr>
            <w:tcW w:w="1130" w:type="dxa"/>
            <w:shd w:val="clear" w:color="auto" w:fill="EEF3F8"/>
            <w:vAlign w:val="center"/>
            <w:hideMark/>
          </w:tcPr>
          <w:p w:rsidR="000E543C" w:rsidRPr="00701EA8" w:rsidRDefault="000E543C" w:rsidP="000E543C">
            <w:pPr>
              <w:spacing w:after="0" w:line="240" w:lineRule="auto"/>
              <w:jc w:val="right"/>
              <w:rPr>
                <w:rFonts w:cstheme="minorHAnsi"/>
                <w:color w:val="000000"/>
                <w:szCs w:val="21"/>
              </w:rPr>
            </w:pPr>
            <w:r w:rsidRPr="00701EA8">
              <w:rPr>
                <w:rFonts w:cstheme="minorHAnsi"/>
                <w:color w:val="000000"/>
                <w:szCs w:val="21"/>
              </w:rPr>
              <w:t>170 226</w:t>
            </w:r>
          </w:p>
        </w:tc>
        <w:tc>
          <w:tcPr>
            <w:tcW w:w="1131" w:type="dxa"/>
            <w:shd w:val="clear" w:color="auto" w:fill="EEF3F8"/>
            <w:vAlign w:val="center"/>
            <w:hideMark/>
          </w:tcPr>
          <w:p w:rsidR="000E543C" w:rsidRPr="00701EA8" w:rsidRDefault="000E543C" w:rsidP="000E543C">
            <w:pPr>
              <w:spacing w:after="0" w:line="240" w:lineRule="auto"/>
              <w:jc w:val="right"/>
              <w:rPr>
                <w:rFonts w:cstheme="minorHAnsi"/>
                <w:color w:val="000000"/>
                <w:szCs w:val="21"/>
              </w:rPr>
            </w:pPr>
            <w:r w:rsidRPr="00701EA8">
              <w:rPr>
                <w:rFonts w:cstheme="minorHAnsi"/>
                <w:color w:val="000000"/>
                <w:szCs w:val="21"/>
              </w:rPr>
              <w:t>196 982</w:t>
            </w:r>
          </w:p>
        </w:tc>
        <w:tc>
          <w:tcPr>
            <w:tcW w:w="1131" w:type="dxa"/>
            <w:shd w:val="clear" w:color="auto" w:fill="EEF3F8"/>
            <w:vAlign w:val="center"/>
          </w:tcPr>
          <w:p w:rsidR="000E543C" w:rsidRPr="00701EA8" w:rsidRDefault="000E543C" w:rsidP="000E543C">
            <w:pPr>
              <w:spacing w:after="0" w:line="240" w:lineRule="auto"/>
              <w:jc w:val="right"/>
              <w:rPr>
                <w:rFonts w:cstheme="minorHAnsi"/>
                <w:color w:val="000000"/>
                <w:szCs w:val="21"/>
              </w:rPr>
            </w:pPr>
            <w:r w:rsidRPr="00701EA8">
              <w:rPr>
                <w:rFonts w:cstheme="minorHAnsi"/>
                <w:color w:val="000000"/>
                <w:szCs w:val="21"/>
              </w:rPr>
              <w:t>217 210</w:t>
            </w:r>
          </w:p>
        </w:tc>
      </w:tr>
      <w:tr w:rsidR="000E543C" w:rsidRPr="000E543C" w:rsidTr="00D5078B">
        <w:trPr>
          <w:trHeight w:hRule="exact" w:val="284"/>
          <w:jc w:val="right"/>
        </w:trPr>
        <w:tc>
          <w:tcPr>
            <w:tcW w:w="1725" w:type="dxa"/>
            <w:shd w:val="clear" w:color="auto" w:fill="auto"/>
            <w:vAlign w:val="bottom"/>
            <w:hideMark/>
          </w:tcPr>
          <w:p w:rsidR="000E543C" w:rsidRPr="00701EA8" w:rsidRDefault="000E543C" w:rsidP="000E543C">
            <w:pPr>
              <w:spacing w:after="0" w:line="240" w:lineRule="auto"/>
              <w:rPr>
                <w:rFonts w:eastAsia="Times New Roman" w:cstheme="minorHAnsi"/>
                <w:b/>
                <w:bCs/>
                <w:color w:val="000000"/>
                <w:szCs w:val="21"/>
                <w:lang w:eastAsia="cs-CZ"/>
              </w:rPr>
            </w:pPr>
            <w:r w:rsidRPr="00701EA8">
              <w:rPr>
                <w:rFonts w:eastAsia="Times New Roman" w:cstheme="minorHAnsi"/>
                <w:b/>
                <w:bCs/>
                <w:color w:val="000000"/>
                <w:szCs w:val="21"/>
                <w:lang w:eastAsia="cs-CZ"/>
              </w:rPr>
              <w:t>Ostatní náklady</w:t>
            </w:r>
          </w:p>
        </w:tc>
        <w:tc>
          <w:tcPr>
            <w:tcW w:w="1130" w:type="dxa"/>
            <w:shd w:val="clear" w:color="auto" w:fill="DBE5F1"/>
            <w:vAlign w:val="center"/>
            <w:hideMark/>
          </w:tcPr>
          <w:p w:rsidR="000E543C" w:rsidRPr="00701EA8" w:rsidRDefault="000E543C" w:rsidP="000E543C">
            <w:pPr>
              <w:spacing w:after="0" w:line="240" w:lineRule="auto"/>
              <w:jc w:val="right"/>
              <w:rPr>
                <w:rFonts w:cstheme="minorHAnsi"/>
                <w:color w:val="000000"/>
                <w:szCs w:val="21"/>
              </w:rPr>
            </w:pPr>
            <w:r w:rsidRPr="00701EA8">
              <w:rPr>
                <w:rFonts w:cstheme="minorHAnsi"/>
                <w:color w:val="000000"/>
                <w:szCs w:val="21"/>
              </w:rPr>
              <w:t>49 692</w:t>
            </w:r>
          </w:p>
        </w:tc>
        <w:tc>
          <w:tcPr>
            <w:tcW w:w="1131" w:type="dxa"/>
            <w:shd w:val="clear" w:color="auto" w:fill="auto"/>
            <w:vAlign w:val="center"/>
            <w:hideMark/>
          </w:tcPr>
          <w:p w:rsidR="000E543C" w:rsidRPr="00701EA8" w:rsidRDefault="000E543C" w:rsidP="000E543C">
            <w:pPr>
              <w:spacing w:after="0" w:line="240" w:lineRule="auto"/>
              <w:jc w:val="right"/>
              <w:rPr>
                <w:rFonts w:cstheme="minorHAnsi"/>
                <w:color w:val="000000"/>
                <w:szCs w:val="21"/>
              </w:rPr>
            </w:pPr>
            <w:r w:rsidRPr="00701EA8">
              <w:rPr>
                <w:rFonts w:cstheme="minorHAnsi"/>
                <w:color w:val="000000"/>
                <w:szCs w:val="21"/>
              </w:rPr>
              <w:t>51 218</w:t>
            </w:r>
          </w:p>
        </w:tc>
        <w:tc>
          <w:tcPr>
            <w:tcW w:w="1130" w:type="dxa"/>
            <w:shd w:val="clear" w:color="auto" w:fill="DBE5F1" w:themeFill="accent1" w:themeFillTint="33"/>
            <w:vAlign w:val="center"/>
            <w:hideMark/>
          </w:tcPr>
          <w:p w:rsidR="000E543C" w:rsidRPr="00701EA8" w:rsidRDefault="000E543C" w:rsidP="000E543C">
            <w:pPr>
              <w:spacing w:after="0" w:line="240" w:lineRule="auto"/>
              <w:jc w:val="right"/>
              <w:rPr>
                <w:rFonts w:cstheme="minorHAnsi"/>
                <w:color w:val="000000"/>
                <w:szCs w:val="21"/>
              </w:rPr>
            </w:pPr>
            <w:r w:rsidRPr="00701EA8">
              <w:rPr>
                <w:rFonts w:cstheme="minorHAnsi"/>
                <w:color w:val="000000"/>
                <w:szCs w:val="21"/>
              </w:rPr>
              <w:t>52 468</w:t>
            </w:r>
          </w:p>
        </w:tc>
        <w:tc>
          <w:tcPr>
            <w:tcW w:w="1131" w:type="dxa"/>
            <w:shd w:val="clear" w:color="auto" w:fill="auto"/>
            <w:vAlign w:val="center"/>
            <w:hideMark/>
          </w:tcPr>
          <w:p w:rsidR="000E543C" w:rsidRPr="00701EA8" w:rsidRDefault="000E543C" w:rsidP="000E543C">
            <w:pPr>
              <w:spacing w:after="0" w:line="240" w:lineRule="auto"/>
              <w:jc w:val="right"/>
              <w:rPr>
                <w:rFonts w:cstheme="minorHAnsi"/>
                <w:color w:val="000000"/>
                <w:szCs w:val="21"/>
              </w:rPr>
            </w:pPr>
            <w:r w:rsidRPr="00701EA8">
              <w:rPr>
                <w:rFonts w:cstheme="minorHAnsi"/>
                <w:color w:val="000000"/>
                <w:szCs w:val="21"/>
              </w:rPr>
              <w:t>54 847</w:t>
            </w:r>
          </w:p>
        </w:tc>
        <w:tc>
          <w:tcPr>
            <w:tcW w:w="1130" w:type="dxa"/>
            <w:shd w:val="clear" w:color="auto" w:fill="DBE5F1" w:themeFill="accent1" w:themeFillTint="33"/>
            <w:vAlign w:val="center"/>
            <w:hideMark/>
          </w:tcPr>
          <w:p w:rsidR="000E543C" w:rsidRPr="00701EA8" w:rsidRDefault="000E543C" w:rsidP="000E543C">
            <w:pPr>
              <w:spacing w:after="0" w:line="240" w:lineRule="auto"/>
              <w:jc w:val="right"/>
              <w:rPr>
                <w:rFonts w:cstheme="minorHAnsi"/>
                <w:color w:val="000000"/>
                <w:szCs w:val="21"/>
              </w:rPr>
            </w:pPr>
            <w:r w:rsidRPr="00701EA8">
              <w:rPr>
                <w:rFonts w:cstheme="minorHAnsi"/>
                <w:color w:val="000000"/>
                <w:szCs w:val="21"/>
              </w:rPr>
              <w:t>57 715</w:t>
            </w:r>
          </w:p>
        </w:tc>
        <w:tc>
          <w:tcPr>
            <w:tcW w:w="1131" w:type="dxa"/>
            <w:shd w:val="clear" w:color="auto" w:fill="auto"/>
            <w:vAlign w:val="center"/>
            <w:hideMark/>
          </w:tcPr>
          <w:p w:rsidR="000E543C" w:rsidRPr="00701EA8" w:rsidRDefault="000E543C" w:rsidP="000E543C">
            <w:pPr>
              <w:spacing w:after="0" w:line="240" w:lineRule="auto"/>
              <w:jc w:val="right"/>
              <w:rPr>
                <w:rFonts w:cstheme="minorHAnsi"/>
                <w:color w:val="000000"/>
                <w:szCs w:val="21"/>
              </w:rPr>
            </w:pPr>
            <w:r w:rsidRPr="00701EA8">
              <w:rPr>
                <w:rFonts w:cstheme="minorHAnsi"/>
                <w:color w:val="000000"/>
                <w:szCs w:val="21"/>
              </w:rPr>
              <w:t>61 532</w:t>
            </w:r>
          </w:p>
        </w:tc>
        <w:tc>
          <w:tcPr>
            <w:tcW w:w="1131" w:type="dxa"/>
            <w:shd w:val="clear" w:color="auto" w:fill="DBE5F1" w:themeFill="accent1" w:themeFillTint="33"/>
            <w:vAlign w:val="center"/>
          </w:tcPr>
          <w:p w:rsidR="000E543C" w:rsidRPr="00701EA8" w:rsidRDefault="000E543C" w:rsidP="000E543C">
            <w:pPr>
              <w:spacing w:after="0" w:line="240" w:lineRule="auto"/>
              <w:jc w:val="right"/>
              <w:rPr>
                <w:rFonts w:cstheme="minorHAnsi"/>
                <w:color w:val="000000"/>
                <w:szCs w:val="21"/>
              </w:rPr>
            </w:pPr>
            <w:r w:rsidRPr="00701EA8">
              <w:rPr>
                <w:rFonts w:cstheme="minorHAnsi"/>
                <w:color w:val="000000"/>
                <w:szCs w:val="21"/>
              </w:rPr>
              <w:t>66 491</w:t>
            </w:r>
          </w:p>
        </w:tc>
      </w:tr>
      <w:tr w:rsidR="000E543C" w:rsidRPr="000E543C" w:rsidTr="00D5078B">
        <w:trPr>
          <w:trHeight w:hRule="exact" w:val="284"/>
          <w:jc w:val="right"/>
        </w:trPr>
        <w:tc>
          <w:tcPr>
            <w:tcW w:w="1725" w:type="dxa"/>
            <w:shd w:val="clear" w:color="auto" w:fill="EEF3F8"/>
            <w:vAlign w:val="bottom"/>
            <w:hideMark/>
          </w:tcPr>
          <w:p w:rsidR="000E543C" w:rsidRPr="00701EA8" w:rsidRDefault="000E543C" w:rsidP="000E543C">
            <w:pPr>
              <w:spacing w:after="0" w:line="240" w:lineRule="auto"/>
              <w:rPr>
                <w:rFonts w:eastAsia="Times New Roman" w:cstheme="minorHAnsi"/>
                <w:b/>
                <w:bCs/>
                <w:color w:val="000000"/>
                <w:szCs w:val="21"/>
                <w:lang w:eastAsia="cs-CZ"/>
              </w:rPr>
            </w:pPr>
            <w:r w:rsidRPr="00701EA8">
              <w:rPr>
                <w:rFonts w:eastAsia="Times New Roman" w:cstheme="minorHAnsi"/>
                <w:b/>
                <w:bCs/>
                <w:color w:val="000000"/>
                <w:szCs w:val="21"/>
                <w:lang w:eastAsia="cs-CZ"/>
              </w:rPr>
              <w:t>Celkové náklady</w:t>
            </w:r>
          </w:p>
        </w:tc>
        <w:tc>
          <w:tcPr>
            <w:tcW w:w="1130" w:type="dxa"/>
            <w:shd w:val="clear" w:color="auto" w:fill="EEF3F8"/>
            <w:vAlign w:val="center"/>
            <w:hideMark/>
          </w:tcPr>
          <w:p w:rsidR="000E543C" w:rsidRPr="00701EA8" w:rsidRDefault="000E543C" w:rsidP="000E543C">
            <w:pPr>
              <w:spacing w:after="0" w:line="240" w:lineRule="auto"/>
              <w:jc w:val="right"/>
              <w:rPr>
                <w:rFonts w:cstheme="minorHAnsi"/>
                <w:b/>
                <w:bCs/>
                <w:color w:val="000000"/>
                <w:szCs w:val="21"/>
              </w:rPr>
            </w:pPr>
            <w:r w:rsidRPr="00701EA8">
              <w:rPr>
                <w:rFonts w:cstheme="minorHAnsi"/>
                <w:b/>
                <w:bCs/>
                <w:color w:val="000000"/>
                <w:szCs w:val="21"/>
              </w:rPr>
              <w:t>241 975</w:t>
            </w:r>
          </w:p>
        </w:tc>
        <w:tc>
          <w:tcPr>
            <w:tcW w:w="1131" w:type="dxa"/>
            <w:shd w:val="clear" w:color="auto" w:fill="EEF3F8"/>
            <w:vAlign w:val="center"/>
            <w:hideMark/>
          </w:tcPr>
          <w:p w:rsidR="000E543C" w:rsidRPr="00701EA8" w:rsidRDefault="000E543C" w:rsidP="000E543C">
            <w:pPr>
              <w:spacing w:after="0" w:line="240" w:lineRule="auto"/>
              <w:jc w:val="right"/>
              <w:rPr>
                <w:rFonts w:cstheme="minorHAnsi"/>
                <w:b/>
                <w:bCs/>
                <w:color w:val="000000"/>
                <w:szCs w:val="21"/>
              </w:rPr>
            </w:pPr>
            <w:r w:rsidRPr="00701EA8">
              <w:rPr>
                <w:rFonts w:cstheme="minorHAnsi"/>
                <w:b/>
                <w:bCs/>
                <w:color w:val="000000"/>
                <w:szCs w:val="21"/>
              </w:rPr>
              <w:t>253 424</w:t>
            </w:r>
          </w:p>
        </w:tc>
        <w:tc>
          <w:tcPr>
            <w:tcW w:w="1130" w:type="dxa"/>
            <w:shd w:val="clear" w:color="auto" w:fill="EEF3F8"/>
            <w:vAlign w:val="center"/>
            <w:hideMark/>
          </w:tcPr>
          <w:p w:rsidR="000E543C" w:rsidRPr="00701EA8" w:rsidRDefault="000E543C" w:rsidP="000E543C">
            <w:pPr>
              <w:spacing w:after="0" w:line="240" w:lineRule="auto"/>
              <w:jc w:val="right"/>
              <w:rPr>
                <w:rFonts w:cstheme="minorHAnsi"/>
                <w:b/>
                <w:bCs/>
                <w:color w:val="000000"/>
                <w:szCs w:val="21"/>
              </w:rPr>
            </w:pPr>
            <w:r w:rsidRPr="00701EA8">
              <w:rPr>
                <w:rFonts w:cstheme="minorHAnsi"/>
                <w:b/>
                <w:bCs/>
                <w:color w:val="000000"/>
                <w:szCs w:val="21"/>
              </w:rPr>
              <w:t>267 250</w:t>
            </w:r>
          </w:p>
        </w:tc>
        <w:tc>
          <w:tcPr>
            <w:tcW w:w="1131" w:type="dxa"/>
            <w:shd w:val="clear" w:color="auto" w:fill="EEF3F8"/>
            <w:vAlign w:val="center"/>
            <w:hideMark/>
          </w:tcPr>
          <w:p w:rsidR="000E543C" w:rsidRPr="00701EA8" w:rsidRDefault="000E543C" w:rsidP="000E543C">
            <w:pPr>
              <w:spacing w:after="0" w:line="240" w:lineRule="auto"/>
              <w:jc w:val="right"/>
              <w:rPr>
                <w:rFonts w:cstheme="minorHAnsi"/>
                <w:b/>
                <w:bCs/>
                <w:color w:val="000000"/>
                <w:szCs w:val="21"/>
              </w:rPr>
            </w:pPr>
            <w:r w:rsidRPr="00701EA8">
              <w:rPr>
                <w:rFonts w:cstheme="minorHAnsi"/>
                <w:b/>
                <w:bCs/>
                <w:color w:val="000000"/>
                <w:szCs w:val="21"/>
              </w:rPr>
              <w:t>285 302</w:t>
            </w:r>
          </w:p>
        </w:tc>
        <w:tc>
          <w:tcPr>
            <w:tcW w:w="1130" w:type="dxa"/>
            <w:shd w:val="clear" w:color="auto" w:fill="EEF3F8"/>
            <w:vAlign w:val="center"/>
            <w:hideMark/>
          </w:tcPr>
          <w:p w:rsidR="000E543C" w:rsidRPr="00701EA8" w:rsidRDefault="000E543C" w:rsidP="000E543C">
            <w:pPr>
              <w:spacing w:after="0" w:line="240" w:lineRule="auto"/>
              <w:jc w:val="right"/>
              <w:rPr>
                <w:rFonts w:cstheme="minorHAnsi"/>
                <w:b/>
                <w:bCs/>
                <w:color w:val="000000"/>
                <w:szCs w:val="21"/>
              </w:rPr>
            </w:pPr>
            <w:r w:rsidRPr="00701EA8">
              <w:rPr>
                <w:rFonts w:cstheme="minorHAnsi"/>
                <w:b/>
                <w:bCs/>
                <w:color w:val="000000"/>
                <w:szCs w:val="21"/>
              </w:rPr>
              <w:t>310 969</w:t>
            </w:r>
          </w:p>
        </w:tc>
        <w:tc>
          <w:tcPr>
            <w:tcW w:w="1131" w:type="dxa"/>
            <w:shd w:val="clear" w:color="auto" w:fill="EEF3F8"/>
            <w:vAlign w:val="center"/>
            <w:hideMark/>
          </w:tcPr>
          <w:p w:rsidR="000E543C" w:rsidRPr="00701EA8" w:rsidRDefault="000E543C" w:rsidP="000E543C">
            <w:pPr>
              <w:spacing w:after="0" w:line="240" w:lineRule="auto"/>
              <w:jc w:val="right"/>
              <w:rPr>
                <w:rFonts w:cstheme="minorHAnsi"/>
                <w:b/>
                <w:bCs/>
                <w:color w:val="000000"/>
                <w:szCs w:val="21"/>
              </w:rPr>
            </w:pPr>
            <w:r w:rsidRPr="00701EA8">
              <w:rPr>
                <w:rFonts w:cstheme="minorHAnsi"/>
                <w:b/>
                <w:bCs/>
                <w:color w:val="000000"/>
                <w:szCs w:val="21"/>
              </w:rPr>
              <w:t>351 925</w:t>
            </w:r>
          </w:p>
        </w:tc>
        <w:tc>
          <w:tcPr>
            <w:tcW w:w="1131" w:type="dxa"/>
            <w:shd w:val="clear" w:color="auto" w:fill="EEF3F8"/>
            <w:vAlign w:val="center"/>
          </w:tcPr>
          <w:p w:rsidR="000E543C" w:rsidRPr="00701EA8" w:rsidRDefault="000E543C" w:rsidP="000E543C">
            <w:pPr>
              <w:spacing w:after="0" w:line="240" w:lineRule="auto"/>
              <w:jc w:val="right"/>
              <w:rPr>
                <w:rFonts w:cstheme="minorHAnsi"/>
                <w:b/>
                <w:bCs/>
                <w:color w:val="000000"/>
                <w:szCs w:val="21"/>
              </w:rPr>
            </w:pPr>
            <w:r w:rsidRPr="00701EA8">
              <w:rPr>
                <w:rFonts w:cstheme="minorHAnsi"/>
                <w:b/>
                <w:bCs/>
                <w:color w:val="000000"/>
                <w:szCs w:val="21"/>
              </w:rPr>
              <w:t>383 375</w:t>
            </w:r>
          </w:p>
        </w:tc>
      </w:tr>
    </w:tbl>
    <w:p w:rsidR="00336E27" w:rsidRPr="000E543C" w:rsidRDefault="00336E27" w:rsidP="00336E27">
      <w:bookmarkStart w:id="51" w:name="_Toc25073783"/>
    </w:p>
    <w:p w:rsidR="005A162A" w:rsidRDefault="005A162A">
      <w:pPr>
        <w:spacing w:after="200" w:line="276" w:lineRule="auto"/>
        <w:rPr>
          <w:rFonts w:ascii="Calibri" w:eastAsiaTheme="minorEastAsia" w:hAnsi="Calibri"/>
          <w:b/>
          <w:bCs/>
          <w:color w:val="1F497D" w:themeColor="text2"/>
          <w:spacing w:val="6"/>
          <w:szCs w:val="21"/>
          <w:lang w:bidi="hi-IN"/>
        </w:rPr>
      </w:pPr>
      <w:r>
        <w:br w:type="page"/>
      </w:r>
    </w:p>
    <w:p w:rsidR="00336E27" w:rsidRPr="000E543C" w:rsidRDefault="00336E27" w:rsidP="00336E27">
      <w:pPr>
        <w:pStyle w:val="Titulek"/>
        <w:spacing w:before="240"/>
        <w:jc w:val="both"/>
      </w:pPr>
      <w:bookmarkStart w:id="52" w:name="_Toc63685269"/>
      <w:r w:rsidRPr="000E543C">
        <w:lastRenderedPageBreak/>
        <w:t xml:space="preserve">Tabulka č. </w:t>
      </w:r>
      <w:r w:rsidR="008E5E29" w:rsidRPr="000E543C">
        <w:rPr>
          <w:noProof/>
        </w:rPr>
        <w:fldChar w:fldCharType="begin"/>
      </w:r>
      <w:r w:rsidRPr="000E543C">
        <w:rPr>
          <w:noProof/>
        </w:rPr>
        <w:instrText xml:space="preserve"> SEQ Tabulka \* ARABIC </w:instrText>
      </w:r>
      <w:r w:rsidR="008E5E29" w:rsidRPr="000E543C">
        <w:rPr>
          <w:noProof/>
        </w:rPr>
        <w:fldChar w:fldCharType="separate"/>
      </w:r>
      <w:r w:rsidR="006D5C90">
        <w:rPr>
          <w:noProof/>
        </w:rPr>
        <w:t>16</w:t>
      </w:r>
      <w:r w:rsidR="008E5E29" w:rsidRPr="000E543C">
        <w:rPr>
          <w:noProof/>
        </w:rPr>
        <w:fldChar w:fldCharType="end"/>
      </w:r>
      <w:r w:rsidRPr="000E543C">
        <w:t>: Vývoj nákladů na jednotlivé segmenty</w:t>
      </w:r>
      <w:bookmarkEnd w:id="51"/>
      <w:bookmarkEnd w:id="52"/>
    </w:p>
    <w:tbl>
      <w:tblPr>
        <w:tblW w:w="9639" w:type="dxa"/>
        <w:jc w:val="center"/>
        <w:tblBorders>
          <w:top w:val="single" w:sz="12" w:space="0" w:color="4F81BD" w:themeColor="accent1"/>
          <w:left w:val="single" w:sz="12" w:space="0" w:color="4F81BD" w:themeColor="accent1"/>
          <w:bottom w:val="single" w:sz="12" w:space="0" w:color="4F81BD" w:themeColor="accent1"/>
          <w:right w:val="single" w:sz="12" w:space="0" w:color="4F81BD" w:themeColor="accent1"/>
        </w:tblBorders>
        <w:tblCellMar>
          <w:left w:w="70" w:type="dxa"/>
          <w:right w:w="70" w:type="dxa"/>
        </w:tblCellMar>
        <w:tblLook w:val="04A0" w:firstRow="1" w:lastRow="0" w:firstColumn="1" w:lastColumn="0" w:noHBand="0" w:noVBand="1"/>
      </w:tblPr>
      <w:tblGrid>
        <w:gridCol w:w="1773"/>
        <w:gridCol w:w="1311"/>
        <w:gridCol w:w="1311"/>
        <w:gridCol w:w="1311"/>
        <w:gridCol w:w="1311"/>
        <w:gridCol w:w="1311"/>
        <w:gridCol w:w="1311"/>
      </w:tblGrid>
      <w:tr w:rsidR="000E543C" w:rsidRPr="000E543C" w:rsidTr="004D6049">
        <w:trPr>
          <w:trHeight w:hRule="exact" w:val="567"/>
          <w:jc w:val="center"/>
        </w:trPr>
        <w:tc>
          <w:tcPr>
            <w:tcW w:w="1773" w:type="dxa"/>
            <w:shd w:val="clear" w:color="000000" w:fill="4F81BD" w:themeFill="accent1"/>
            <w:hideMark/>
          </w:tcPr>
          <w:p w:rsidR="000E543C" w:rsidRPr="00701EA8" w:rsidRDefault="000E543C" w:rsidP="000E543C">
            <w:pPr>
              <w:spacing w:after="0" w:line="240" w:lineRule="auto"/>
              <w:rPr>
                <w:rFonts w:ascii="Calibri" w:eastAsia="Times New Roman" w:hAnsi="Calibri" w:cs="Times New Roman"/>
                <w:b/>
                <w:bCs/>
                <w:color w:val="FFFFFF"/>
                <w:szCs w:val="21"/>
                <w:lang w:eastAsia="cs-CZ"/>
              </w:rPr>
            </w:pPr>
            <w:r w:rsidRPr="00701EA8">
              <w:rPr>
                <w:rFonts w:ascii="Calibri" w:eastAsia="Times New Roman" w:hAnsi="Calibri" w:cs="Times New Roman"/>
                <w:b/>
                <w:bCs/>
                <w:color w:val="FFFFFF"/>
                <w:szCs w:val="21"/>
                <w:lang w:eastAsia="cs-CZ"/>
              </w:rPr>
              <w:t>Ukazatel</w:t>
            </w:r>
          </w:p>
          <w:p w:rsidR="000E543C" w:rsidRPr="00701EA8" w:rsidRDefault="000E543C" w:rsidP="000E543C">
            <w:pPr>
              <w:spacing w:after="0" w:line="240" w:lineRule="auto"/>
              <w:rPr>
                <w:rFonts w:ascii="Calibri" w:eastAsia="Times New Roman" w:hAnsi="Calibri" w:cs="Times New Roman"/>
                <w:bCs/>
                <w:color w:val="FFFFFF"/>
                <w:szCs w:val="21"/>
                <w:lang w:eastAsia="cs-CZ"/>
              </w:rPr>
            </w:pPr>
            <w:r w:rsidRPr="00701EA8">
              <w:rPr>
                <w:rFonts w:ascii="Calibri" w:eastAsia="Times New Roman" w:hAnsi="Calibri" w:cs="Times New Roman"/>
                <w:bCs/>
                <w:color w:val="FFFFFF"/>
                <w:szCs w:val="21"/>
                <w:lang w:eastAsia="cs-CZ"/>
              </w:rPr>
              <w:t>(v %)</w:t>
            </w:r>
          </w:p>
        </w:tc>
        <w:tc>
          <w:tcPr>
            <w:tcW w:w="1311" w:type="dxa"/>
            <w:shd w:val="clear" w:color="auto" w:fill="6691C6"/>
            <w:vAlign w:val="center"/>
            <w:hideMark/>
          </w:tcPr>
          <w:p w:rsidR="000E543C" w:rsidRPr="00701EA8" w:rsidRDefault="000E543C" w:rsidP="000E543C">
            <w:pPr>
              <w:spacing w:after="0" w:line="240" w:lineRule="auto"/>
              <w:jc w:val="center"/>
              <w:rPr>
                <w:rFonts w:ascii="Calibri" w:hAnsi="Calibri" w:cs="Calibri"/>
                <w:b/>
                <w:bCs/>
                <w:color w:val="FFFFFF"/>
                <w:szCs w:val="21"/>
              </w:rPr>
            </w:pPr>
            <w:r w:rsidRPr="00701EA8">
              <w:rPr>
                <w:rFonts w:ascii="Calibri" w:hAnsi="Calibri" w:cs="Calibri"/>
                <w:b/>
                <w:bCs/>
                <w:color w:val="FFFFFF"/>
                <w:szCs w:val="21"/>
              </w:rPr>
              <w:t>2016/2015</w:t>
            </w:r>
          </w:p>
        </w:tc>
        <w:tc>
          <w:tcPr>
            <w:tcW w:w="1311" w:type="dxa"/>
            <w:shd w:val="clear" w:color="000000" w:fill="4F81BD" w:themeFill="accent1"/>
            <w:vAlign w:val="center"/>
          </w:tcPr>
          <w:p w:rsidR="000E543C" w:rsidRPr="00701EA8" w:rsidRDefault="000E543C" w:rsidP="000E543C">
            <w:pPr>
              <w:spacing w:after="0" w:line="240" w:lineRule="auto"/>
              <w:jc w:val="center"/>
              <w:rPr>
                <w:rFonts w:ascii="Calibri" w:hAnsi="Calibri" w:cs="Calibri"/>
                <w:b/>
                <w:bCs/>
                <w:color w:val="FFFFFF"/>
                <w:szCs w:val="21"/>
              </w:rPr>
            </w:pPr>
            <w:r w:rsidRPr="00701EA8">
              <w:rPr>
                <w:rFonts w:ascii="Calibri" w:hAnsi="Calibri" w:cs="Calibri"/>
                <w:b/>
                <w:bCs/>
                <w:color w:val="FFFFFF"/>
                <w:szCs w:val="21"/>
              </w:rPr>
              <w:t>2017/2016</w:t>
            </w:r>
          </w:p>
        </w:tc>
        <w:tc>
          <w:tcPr>
            <w:tcW w:w="1311" w:type="dxa"/>
            <w:shd w:val="clear" w:color="auto" w:fill="6691C6"/>
            <w:vAlign w:val="center"/>
          </w:tcPr>
          <w:p w:rsidR="000E543C" w:rsidRPr="00701EA8" w:rsidRDefault="000E543C" w:rsidP="000E543C">
            <w:pPr>
              <w:spacing w:after="0" w:line="240" w:lineRule="auto"/>
              <w:jc w:val="center"/>
              <w:rPr>
                <w:rFonts w:ascii="Calibri" w:hAnsi="Calibri" w:cs="Calibri"/>
                <w:b/>
                <w:bCs/>
                <w:color w:val="FFFFFF"/>
                <w:szCs w:val="21"/>
              </w:rPr>
            </w:pPr>
            <w:r w:rsidRPr="00701EA8">
              <w:rPr>
                <w:rFonts w:ascii="Calibri" w:hAnsi="Calibri" w:cs="Calibri"/>
                <w:b/>
                <w:bCs/>
                <w:color w:val="FFFFFF"/>
                <w:szCs w:val="21"/>
              </w:rPr>
              <w:t>2018/2017</w:t>
            </w:r>
          </w:p>
        </w:tc>
        <w:tc>
          <w:tcPr>
            <w:tcW w:w="1311" w:type="dxa"/>
            <w:shd w:val="clear" w:color="000000" w:fill="4F81BD" w:themeFill="accent1"/>
            <w:vAlign w:val="center"/>
          </w:tcPr>
          <w:p w:rsidR="000E543C" w:rsidRPr="00701EA8" w:rsidRDefault="000E543C" w:rsidP="000E543C">
            <w:pPr>
              <w:spacing w:after="0" w:line="240" w:lineRule="auto"/>
              <w:jc w:val="center"/>
              <w:rPr>
                <w:rFonts w:ascii="Calibri" w:hAnsi="Calibri" w:cs="Calibri"/>
                <w:b/>
                <w:bCs/>
                <w:color w:val="FFFFFF"/>
                <w:szCs w:val="21"/>
              </w:rPr>
            </w:pPr>
            <w:r w:rsidRPr="00701EA8">
              <w:rPr>
                <w:rFonts w:ascii="Calibri" w:hAnsi="Calibri" w:cs="Calibri"/>
                <w:b/>
                <w:bCs/>
                <w:color w:val="FFFFFF"/>
                <w:szCs w:val="21"/>
              </w:rPr>
              <w:t>2019/2018</w:t>
            </w:r>
          </w:p>
        </w:tc>
        <w:tc>
          <w:tcPr>
            <w:tcW w:w="1311" w:type="dxa"/>
            <w:shd w:val="clear" w:color="auto" w:fill="6691C6"/>
            <w:vAlign w:val="center"/>
          </w:tcPr>
          <w:p w:rsidR="000E543C" w:rsidRPr="00701EA8" w:rsidRDefault="000E543C" w:rsidP="000E543C">
            <w:pPr>
              <w:spacing w:after="0" w:line="240" w:lineRule="auto"/>
              <w:jc w:val="center"/>
              <w:rPr>
                <w:rFonts w:ascii="Calibri" w:hAnsi="Calibri" w:cs="Calibri"/>
                <w:b/>
                <w:bCs/>
                <w:color w:val="FFFFFF"/>
                <w:szCs w:val="21"/>
              </w:rPr>
            </w:pPr>
            <w:r w:rsidRPr="00701EA8">
              <w:rPr>
                <w:rFonts w:ascii="Calibri" w:hAnsi="Calibri" w:cs="Calibri"/>
                <w:b/>
                <w:bCs/>
                <w:color w:val="FFFFFF"/>
                <w:szCs w:val="21"/>
              </w:rPr>
              <w:t>2020/2019</w:t>
            </w:r>
          </w:p>
        </w:tc>
        <w:tc>
          <w:tcPr>
            <w:tcW w:w="1311" w:type="dxa"/>
            <w:shd w:val="clear" w:color="auto" w:fill="4F81BD"/>
            <w:vAlign w:val="center"/>
          </w:tcPr>
          <w:p w:rsidR="000E543C" w:rsidRPr="00701EA8" w:rsidRDefault="000E543C" w:rsidP="000E543C">
            <w:pPr>
              <w:spacing w:after="0" w:line="240" w:lineRule="auto"/>
              <w:jc w:val="center"/>
              <w:rPr>
                <w:rFonts w:ascii="Calibri" w:hAnsi="Calibri" w:cs="Calibri"/>
                <w:b/>
                <w:bCs/>
                <w:color w:val="FFFFFF"/>
                <w:szCs w:val="21"/>
              </w:rPr>
            </w:pPr>
            <w:r w:rsidRPr="00701EA8">
              <w:rPr>
                <w:rFonts w:ascii="Calibri" w:hAnsi="Calibri" w:cs="Calibri"/>
                <w:b/>
                <w:bCs/>
                <w:color w:val="FFFFFF"/>
                <w:szCs w:val="21"/>
              </w:rPr>
              <w:t>2021/2020</w:t>
            </w:r>
          </w:p>
        </w:tc>
      </w:tr>
      <w:tr w:rsidR="000E543C" w:rsidRPr="000E543C" w:rsidTr="005D233A">
        <w:trPr>
          <w:trHeight w:hRule="exact" w:val="510"/>
          <w:jc w:val="center"/>
        </w:trPr>
        <w:tc>
          <w:tcPr>
            <w:tcW w:w="1773" w:type="dxa"/>
            <w:shd w:val="clear" w:color="auto" w:fill="auto"/>
            <w:vAlign w:val="bottom"/>
            <w:hideMark/>
          </w:tcPr>
          <w:p w:rsidR="000E543C" w:rsidRPr="00701EA8" w:rsidRDefault="000E543C" w:rsidP="000E543C">
            <w:pPr>
              <w:spacing w:after="0" w:line="240" w:lineRule="auto"/>
              <w:rPr>
                <w:rFonts w:eastAsia="Times New Roman" w:cs="Arial"/>
                <w:b/>
                <w:bCs/>
                <w:color w:val="000000"/>
                <w:szCs w:val="21"/>
                <w:lang w:eastAsia="cs-CZ"/>
              </w:rPr>
            </w:pPr>
            <w:r w:rsidRPr="00701EA8">
              <w:rPr>
                <w:rFonts w:eastAsia="Times New Roman" w:cs="Arial"/>
                <w:b/>
                <w:bCs/>
                <w:color w:val="000000"/>
                <w:szCs w:val="21"/>
                <w:lang w:eastAsia="cs-CZ"/>
              </w:rPr>
              <w:t>Náklady na ambulantní péči</w:t>
            </w:r>
          </w:p>
        </w:tc>
        <w:tc>
          <w:tcPr>
            <w:tcW w:w="1311" w:type="dxa"/>
            <w:shd w:val="clear" w:color="auto" w:fill="DBE5F1" w:themeFill="accent1" w:themeFillTint="33"/>
            <w:vAlign w:val="center"/>
            <w:hideMark/>
          </w:tcPr>
          <w:p w:rsidR="000E543C" w:rsidRPr="00701EA8" w:rsidRDefault="000E543C" w:rsidP="000E543C">
            <w:pPr>
              <w:spacing w:after="0" w:line="240" w:lineRule="auto"/>
              <w:jc w:val="right"/>
              <w:rPr>
                <w:rFonts w:ascii="Calibri" w:hAnsi="Calibri" w:cs="Calibri"/>
                <w:color w:val="000000"/>
                <w:szCs w:val="21"/>
              </w:rPr>
            </w:pPr>
            <w:r w:rsidRPr="00701EA8">
              <w:rPr>
                <w:rFonts w:ascii="Calibri" w:hAnsi="Calibri" w:cs="Calibri"/>
                <w:color w:val="000000"/>
                <w:szCs w:val="21"/>
              </w:rPr>
              <w:t>106,82</w:t>
            </w:r>
          </w:p>
        </w:tc>
        <w:tc>
          <w:tcPr>
            <w:tcW w:w="1311" w:type="dxa"/>
            <w:shd w:val="clear" w:color="auto" w:fill="auto"/>
            <w:vAlign w:val="center"/>
            <w:hideMark/>
          </w:tcPr>
          <w:p w:rsidR="000E543C" w:rsidRPr="00701EA8" w:rsidRDefault="000E543C" w:rsidP="000E543C">
            <w:pPr>
              <w:spacing w:after="0" w:line="240" w:lineRule="auto"/>
              <w:jc w:val="right"/>
              <w:rPr>
                <w:rFonts w:ascii="Calibri" w:hAnsi="Calibri" w:cs="Calibri"/>
                <w:color w:val="000000"/>
                <w:szCs w:val="21"/>
              </w:rPr>
            </w:pPr>
            <w:r w:rsidRPr="00701EA8">
              <w:rPr>
                <w:rFonts w:ascii="Calibri" w:hAnsi="Calibri" w:cs="Calibri"/>
                <w:color w:val="000000"/>
                <w:szCs w:val="21"/>
              </w:rPr>
              <w:t>104,22</w:t>
            </w:r>
          </w:p>
        </w:tc>
        <w:tc>
          <w:tcPr>
            <w:tcW w:w="1311" w:type="dxa"/>
            <w:shd w:val="clear" w:color="auto" w:fill="DBE5F1" w:themeFill="accent1" w:themeFillTint="33"/>
            <w:vAlign w:val="center"/>
            <w:hideMark/>
          </w:tcPr>
          <w:p w:rsidR="000E543C" w:rsidRPr="00701EA8" w:rsidRDefault="000E543C" w:rsidP="000E543C">
            <w:pPr>
              <w:spacing w:after="0" w:line="240" w:lineRule="auto"/>
              <w:jc w:val="right"/>
              <w:rPr>
                <w:rFonts w:ascii="Calibri" w:hAnsi="Calibri" w:cs="Calibri"/>
                <w:color w:val="000000"/>
                <w:szCs w:val="21"/>
              </w:rPr>
            </w:pPr>
            <w:r w:rsidRPr="00701EA8">
              <w:rPr>
                <w:rFonts w:ascii="Calibri" w:hAnsi="Calibri" w:cs="Calibri"/>
                <w:color w:val="000000"/>
                <w:szCs w:val="21"/>
              </w:rPr>
              <w:t>104,05</w:t>
            </w:r>
          </w:p>
        </w:tc>
        <w:tc>
          <w:tcPr>
            <w:tcW w:w="1311" w:type="dxa"/>
            <w:shd w:val="clear" w:color="auto" w:fill="auto"/>
            <w:vAlign w:val="center"/>
            <w:hideMark/>
          </w:tcPr>
          <w:p w:rsidR="000E543C" w:rsidRPr="00701EA8" w:rsidRDefault="000E543C" w:rsidP="000E543C">
            <w:pPr>
              <w:spacing w:after="0" w:line="240" w:lineRule="auto"/>
              <w:jc w:val="right"/>
              <w:rPr>
                <w:rFonts w:ascii="Calibri" w:hAnsi="Calibri" w:cs="Calibri"/>
                <w:color w:val="000000"/>
                <w:szCs w:val="21"/>
              </w:rPr>
            </w:pPr>
            <w:r w:rsidRPr="00701EA8">
              <w:rPr>
                <w:rFonts w:ascii="Calibri" w:hAnsi="Calibri" w:cs="Calibri"/>
                <w:color w:val="000000"/>
                <w:szCs w:val="21"/>
              </w:rPr>
              <w:t>110,57</w:t>
            </w:r>
          </w:p>
        </w:tc>
        <w:tc>
          <w:tcPr>
            <w:tcW w:w="1311" w:type="dxa"/>
            <w:shd w:val="clear" w:color="auto" w:fill="DBE5F1" w:themeFill="accent1" w:themeFillTint="33"/>
            <w:vAlign w:val="center"/>
            <w:hideMark/>
          </w:tcPr>
          <w:p w:rsidR="000E543C" w:rsidRPr="00701EA8" w:rsidRDefault="000E543C" w:rsidP="000E543C">
            <w:pPr>
              <w:spacing w:after="0" w:line="240" w:lineRule="auto"/>
              <w:jc w:val="right"/>
              <w:rPr>
                <w:rFonts w:ascii="Calibri" w:hAnsi="Calibri" w:cs="Calibri"/>
                <w:color w:val="000000"/>
                <w:szCs w:val="21"/>
              </w:rPr>
            </w:pPr>
            <w:r w:rsidRPr="00701EA8">
              <w:rPr>
                <w:rFonts w:ascii="Calibri" w:hAnsi="Calibri" w:cs="Calibri"/>
                <w:color w:val="000000"/>
                <w:szCs w:val="21"/>
              </w:rPr>
              <w:t>112,51</w:t>
            </w:r>
          </w:p>
        </w:tc>
        <w:tc>
          <w:tcPr>
            <w:tcW w:w="1311" w:type="dxa"/>
            <w:shd w:val="clear" w:color="auto" w:fill="auto"/>
            <w:vAlign w:val="center"/>
          </w:tcPr>
          <w:p w:rsidR="000E543C" w:rsidRPr="00701EA8" w:rsidRDefault="000E543C" w:rsidP="000E543C">
            <w:pPr>
              <w:spacing w:after="0" w:line="240" w:lineRule="auto"/>
              <w:jc w:val="right"/>
              <w:rPr>
                <w:rFonts w:ascii="Calibri" w:hAnsi="Calibri" w:cs="Calibri"/>
                <w:color w:val="000000"/>
                <w:szCs w:val="21"/>
              </w:rPr>
            </w:pPr>
            <w:r w:rsidRPr="00701EA8">
              <w:rPr>
                <w:rFonts w:ascii="Calibri" w:hAnsi="Calibri" w:cs="Calibri"/>
                <w:color w:val="000000"/>
                <w:szCs w:val="21"/>
              </w:rPr>
              <w:t>106,70</w:t>
            </w:r>
          </w:p>
        </w:tc>
      </w:tr>
      <w:tr w:rsidR="000E543C" w:rsidRPr="000E543C" w:rsidTr="005D233A">
        <w:trPr>
          <w:trHeight w:hRule="exact" w:val="510"/>
          <w:jc w:val="center"/>
        </w:trPr>
        <w:tc>
          <w:tcPr>
            <w:tcW w:w="1773" w:type="dxa"/>
            <w:shd w:val="clear" w:color="auto" w:fill="EEF3F8"/>
            <w:vAlign w:val="bottom"/>
            <w:hideMark/>
          </w:tcPr>
          <w:p w:rsidR="000E543C" w:rsidRPr="00701EA8" w:rsidRDefault="000E543C" w:rsidP="000E543C">
            <w:pPr>
              <w:spacing w:after="0" w:line="240" w:lineRule="auto"/>
              <w:rPr>
                <w:rFonts w:eastAsia="Times New Roman" w:cs="Arial"/>
                <w:b/>
                <w:bCs/>
                <w:color w:val="000000"/>
                <w:szCs w:val="21"/>
                <w:lang w:eastAsia="cs-CZ"/>
              </w:rPr>
            </w:pPr>
            <w:r w:rsidRPr="00701EA8">
              <w:rPr>
                <w:rFonts w:eastAsia="Times New Roman" w:cs="Arial"/>
                <w:b/>
                <w:bCs/>
                <w:color w:val="000000"/>
                <w:szCs w:val="21"/>
                <w:lang w:eastAsia="cs-CZ"/>
              </w:rPr>
              <w:t xml:space="preserve">Náklady na </w:t>
            </w:r>
            <w:r w:rsidRPr="00701EA8">
              <w:rPr>
                <w:rFonts w:eastAsia="Times New Roman" w:cs="Arial"/>
                <w:b/>
                <w:bCs/>
                <w:color w:val="000000"/>
                <w:szCs w:val="21"/>
                <w:lang w:eastAsia="cs-CZ"/>
              </w:rPr>
              <w:br/>
              <w:t>lůžkovou péči</w:t>
            </w:r>
          </w:p>
        </w:tc>
        <w:tc>
          <w:tcPr>
            <w:tcW w:w="1311" w:type="dxa"/>
            <w:shd w:val="clear" w:color="auto" w:fill="EEF3F8"/>
            <w:vAlign w:val="center"/>
            <w:hideMark/>
          </w:tcPr>
          <w:p w:rsidR="000E543C" w:rsidRPr="00701EA8" w:rsidRDefault="000E543C" w:rsidP="000E543C">
            <w:pPr>
              <w:spacing w:after="0" w:line="240" w:lineRule="auto"/>
              <w:jc w:val="right"/>
              <w:rPr>
                <w:rFonts w:ascii="Calibri" w:hAnsi="Calibri" w:cs="Calibri"/>
                <w:color w:val="000000"/>
                <w:szCs w:val="21"/>
              </w:rPr>
            </w:pPr>
            <w:r w:rsidRPr="00701EA8">
              <w:rPr>
                <w:rFonts w:ascii="Calibri" w:hAnsi="Calibri" w:cs="Calibri"/>
                <w:color w:val="000000"/>
                <w:szCs w:val="21"/>
              </w:rPr>
              <w:t>104,32</w:t>
            </w:r>
          </w:p>
        </w:tc>
        <w:tc>
          <w:tcPr>
            <w:tcW w:w="1311" w:type="dxa"/>
            <w:shd w:val="clear" w:color="auto" w:fill="EEF3F8"/>
            <w:vAlign w:val="center"/>
            <w:hideMark/>
          </w:tcPr>
          <w:p w:rsidR="000E543C" w:rsidRPr="00701EA8" w:rsidRDefault="000E543C" w:rsidP="000E543C">
            <w:pPr>
              <w:spacing w:after="0" w:line="240" w:lineRule="auto"/>
              <w:jc w:val="right"/>
              <w:rPr>
                <w:rFonts w:ascii="Calibri" w:hAnsi="Calibri" w:cs="Calibri"/>
                <w:color w:val="000000"/>
                <w:szCs w:val="21"/>
              </w:rPr>
            </w:pPr>
            <w:r w:rsidRPr="00701EA8">
              <w:rPr>
                <w:rFonts w:ascii="Calibri" w:hAnsi="Calibri" w:cs="Calibri"/>
                <w:color w:val="000000"/>
                <w:szCs w:val="21"/>
              </w:rPr>
              <w:t>107,26</w:t>
            </w:r>
          </w:p>
        </w:tc>
        <w:tc>
          <w:tcPr>
            <w:tcW w:w="1311" w:type="dxa"/>
            <w:shd w:val="clear" w:color="auto" w:fill="EEF3F8"/>
            <w:vAlign w:val="center"/>
            <w:hideMark/>
          </w:tcPr>
          <w:p w:rsidR="000E543C" w:rsidRPr="00701EA8" w:rsidRDefault="000E543C" w:rsidP="000E543C">
            <w:pPr>
              <w:spacing w:after="0" w:line="240" w:lineRule="auto"/>
              <w:jc w:val="right"/>
              <w:rPr>
                <w:rFonts w:ascii="Calibri" w:hAnsi="Calibri" w:cs="Calibri"/>
                <w:color w:val="000000"/>
                <w:szCs w:val="21"/>
              </w:rPr>
            </w:pPr>
            <w:r w:rsidRPr="00701EA8">
              <w:rPr>
                <w:rFonts w:ascii="Calibri" w:hAnsi="Calibri" w:cs="Calibri"/>
                <w:color w:val="000000"/>
                <w:szCs w:val="21"/>
              </w:rPr>
              <w:t>108,94</w:t>
            </w:r>
          </w:p>
        </w:tc>
        <w:tc>
          <w:tcPr>
            <w:tcW w:w="1311" w:type="dxa"/>
            <w:shd w:val="clear" w:color="auto" w:fill="EEF3F8"/>
            <w:vAlign w:val="center"/>
            <w:hideMark/>
          </w:tcPr>
          <w:p w:rsidR="000E543C" w:rsidRPr="00701EA8" w:rsidRDefault="000E543C" w:rsidP="000E543C">
            <w:pPr>
              <w:spacing w:after="0" w:line="240" w:lineRule="auto"/>
              <w:jc w:val="right"/>
              <w:rPr>
                <w:rFonts w:ascii="Calibri" w:hAnsi="Calibri" w:cs="Calibri"/>
                <w:color w:val="000000"/>
                <w:szCs w:val="21"/>
              </w:rPr>
            </w:pPr>
            <w:r w:rsidRPr="00701EA8">
              <w:rPr>
                <w:rFonts w:ascii="Calibri" w:hAnsi="Calibri" w:cs="Calibri"/>
                <w:color w:val="000000"/>
                <w:szCs w:val="21"/>
              </w:rPr>
              <w:t>109,57</w:t>
            </w:r>
          </w:p>
        </w:tc>
        <w:tc>
          <w:tcPr>
            <w:tcW w:w="1311" w:type="dxa"/>
            <w:shd w:val="clear" w:color="auto" w:fill="EEF3F8"/>
            <w:vAlign w:val="center"/>
            <w:hideMark/>
          </w:tcPr>
          <w:p w:rsidR="000E543C" w:rsidRPr="00701EA8" w:rsidRDefault="000E543C" w:rsidP="000E543C">
            <w:pPr>
              <w:spacing w:after="0" w:line="240" w:lineRule="auto"/>
              <w:jc w:val="right"/>
              <w:rPr>
                <w:rFonts w:ascii="Calibri" w:hAnsi="Calibri" w:cs="Calibri"/>
                <w:color w:val="000000"/>
                <w:szCs w:val="21"/>
              </w:rPr>
            </w:pPr>
            <w:r w:rsidRPr="00701EA8">
              <w:rPr>
                <w:rFonts w:ascii="Calibri" w:hAnsi="Calibri" w:cs="Calibri"/>
                <w:color w:val="000000"/>
                <w:szCs w:val="21"/>
              </w:rPr>
              <w:t>115,72</w:t>
            </w:r>
          </w:p>
        </w:tc>
        <w:tc>
          <w:tcPr>
            <w:tcW w:w="1311" w:type="dxa"/>
            <w:shd w:val="clear" w:color="auto" w:fill="EEF3F8"/>
            <w:vAlign w:val="center"/>
          </w:tcPr>
          <w:p w:rsidR="000E543C" w:rsidRPr="00701EA8" w:rsidRDefault="000E543C" w:rsidP="000E543C">
            <w:pPr>
              <w:spacing w:after="0" w:line="240" w:lineRule="auto"/>
              <w:jc w:val="right"/>
              <w:rPr>
                <w:rFonts w:ascii="Calibri" w:hAnsi="Calibri" w:cs="Calibri"/>
                <w:color w:val="000000"/>
                <w:szCs w:val="21"/>
              </w:rPr>
            </w:pPr>
            <w:r w:rsidRPr="00701EA8">
              <w:rPr>
                <w:rFonts w:ascii="Calibri" w:hAnsi="Calibri" w:cs="Calibri"/>
                <w:color w:val="000000"/>
                <w:szCs w:val="21"/>
              </w:rPr>
              <w:t>110,27</w:t>
            </w:r>
          </w:p>
        </w:tc>
      </w:tr>
      <w:tr w:rsidR="000E543C" w:rsidRPr="000E543C" w:rsidTr="005D233A">
        <w:trPr>
          <w:trHeight w:hRule="exact" w:val="284"/>
          <w:jc w:val="center"/>
        </w:trPr>
        <w:tc>
          <w:tcPr>
            <w:tcW w:w="1773" w:type="dxa"/>
            <w:shd w:val="clear" w:color="auto" w:fill="auto"/>
            <w:vAlign w:val="bottom"/>
            <w:hideMark/>
          </w:tcPr>
          <w:p w:rsidR="000E543C" w:rsidRPr="00701EA8" w:rsidRDefault="000E543C" w:rsidP="000E543C">
            <w:pPr>
              <w:spacing w:after="0" w:line="240" w:lineRule="auto"/>
              <w:rPr>
                <w:rFonts w:eastAsia="Times New Roman" w:cs="Arial"/>
                <w:b/>
                <w:bCs/>
                <w:color w:val="000000"/>
                <w:szCs w:val="21"/>
                <w:lang w:eastAsia="cs-CZ"/>
              </w:rPr>
            </w:pPr>
            <w:r w:rsidRPr="00701EA8">
              <w:rPr>
                <w:rFonts w:eastAsia="Times New Roman" w:cs="Arial"/>
                <w:b/>
                <w:bCs/>
                <w:color w:val="000000"/>
                <w:szCs w:val="21"/>
                <w:lang w:eastAsia="cs-CZ"/>
              </w:rPr>
              <w:t>Ostatní náklady</w:t>
            </w:r>
          </w:p>
        </w:tc>
        <w:tc>
          <w:tcPr>
            <w:tcW w:w="1311" w:type="dxa"/>
            <w:shd w:val="clear" w:color="auto" w:fill="DBE5F1" w:themeFill="accent1" w:themeFillTint="33"/>
            <w:vAlign w:val="center"/>
            <w:hideMark/>
          </w:tcPr>
          <w:p w:rsidR="000E543C" w:rsidRPr="00701EA8" w:rsidRDefault="000E543C" w:rsidP="000E543C">
            <w:pPr>
              <w:spacing w:after="0" w:line="240" w:lineRule="auto"/>
              <w:jc w:val="right"/>
              <w:rPr>
                <w:rFonts w:ascii="Calibri" w:hAnsi="Calibri" w:cs="Calibri"/>
                <w:color w:val="000000"/>
                <w:szCs w:val="21"/>
              </w:rPr>
            </w:pPr>
            <w:r w:rsidRPr="00701EA8">
              <w:rPr>
                <w:rFonts w:ascii="Calibri" w:hAnsi="Calibri" w:cs="Calibri"/>
                <w:color w:val="000000"/>
                <w:szCs w:val="21"/>
              </w:rPr>
              <w:t>103,07</w:t>
            </w:r>
          </w:p>
        </w:tc>
        <w:tc>
          <w:tcPr>
            <w:tcW w:w="1311" w:type="dxa"/>
            <w:shd w:val="clear" w:color="auto" w:fill="auto"/>
            <w:vAlign w:val="center"/>
            <w:hideMark/>
          </w:tcPr>
          <w:p w:rsidR="000E543C" w:rsidRPr="00701EA8" w:rsidRDefault="000E543C" w:rsidP="000E543C">
            <w:pPr>
              <w:spacing w:after="0" w:line="240" w:lineRule="auto"/>
              <w:jc w:val="right"/>
              <w:rPr>
                <w:rFonts w:ascii="Calibri" w:hAnsi="Calibri" w:cs="Calibri"/>
                <w:color w:val="000000"/>
                <w:szCs w:val="21"/>
              </w:rPr>
            </w:pPr>
            <w:r w:rsidRPr="00701EA8">
              <w:rPr>
                <w:rFonts w:ascii="Calibri" w:hAnsi="Calibri" w:cs="Calibri"/>
                <w:color w:val="000000"/>
                <w:szCs w:val="21"/>
              </w:rPr>
              <w:t>102,44</w:t>
            </w:r>
          </w:p>
        </w:tc>
        <w:tc>
          <w:tcPr>
            <w:tcW w:w="1311" w:type="dxa"/>
            <w:shd w:val="clear" w:color="auto" w:fill="DBE5F1" w:themeFill="accent1" w:themeFillTint="33"/>
            <w:vAlign w:val="center"/>
            <w:hideMark/>
          </w:tcPr>
          <w:p w:rsidR="000E543C" w:rsidRPr="00701EA8" w:rsidRDefault="000E543C" w:rsidP="000E543C">
            <w:pPr>
              <w:spacing w:after="0" w:line="240" w:lineRule="auto"/>
              <w:jc w:val="right"/>
              <w:rPr>
                <w:rFonts w:ascii="Calibri" w:hAnsi="Calibri" w:cs="Calibri"/>
                <w:color w:val="000000"/>
                <w:szCs w:val="21"/>
              </w:rPr>
            </w:pPr>
            <w:r w:rsidRPr="00701EA8">
              <w:rPr>
                <w:rFonts w:ascii="Calibri" w:hAnsi="Calibri" w:cs="Calibri"/>
                <w:color w:val="000000"/>
                <w:szCs w:val="21"/>
              </w:rPr>
              <w:t>104,53</w:t>
            </w:r>
          </w:p>
        </w:tc>
        <w:tc>
          <w:tcPr>
            <w:tcW w:w="1311" w:type="dxa"/>
            <w:shd w:val="clear" w:color="auto" w:fill="auto"/>
            <w:vAlign w:val="center"/>
            <w:hideMark/>
          </w:tcPr>
          <w:p w:rsidR="000E543C" w:rsidRPr="00701EA8" w:rsidRDefault="000E543C" w:rsidP="000E543C">
            <w:pPr>
              <w:spacing w:after="0" w:line="240" w:lineRule="auto"/>
              <w:jc w:val="right"/>
              <w:rPr>
                <w:rFonts w:ascii="Calibri" w:hAnsi="Calibri" w:cs="Calibri"/>
                <w:color w:val="000000"/>
                <w:szCs w:val="21"/>
              </w:rPr>
            </w:pPr>
            <w:r w:rsidRPr="00701EA8">
              <w:rPr>
                <w:rFonts w:ascii="Calibri" w:hAnsi="Calibri" w:cs="Calibri"/>
                <w:color w:val="000000"/>
                <w:szCs w:val="21"/>
              </w:rPr>
              <w:t>105,23</w:t>
            </w:r>
          </w:p>
        </w:tc>
        <w:tc>
          <w:tcPr>
            <w:tcW w:w="1311" w:type="dxa"/>
            <w:shd w:val="clear" w:color="auto" w:fill="DBE5F1" w:themeFill="accent1" w:themeFillTint="33"/>
            <w:vAlign w:val="center"/>
            <w:hideMark/>
          </w:tcPr>
          <w:p w:rsidR="000E543C" w:rsidRPr="00701EA8" w:rsidRDefault="000E543C" w:rsidP="000E543C">
            <w:pPr>
              <w:spacing w:after="0" w:line="240" w:lineRule="auto"/>
              <w:jc w:val="right"/>
              <w:rPr>
                <w:rFonts w:ascii="Calibri" w:hAnsi="Calibri" w:cs="Calibri"/>
                <w:color w:val="000000"/>
                <w:szCs w:val="21"/>
              </w:rPr>
            </w:pPr>
            <w:r w:rsidRPr="00701EA8">
              <w:rPr>
                <w:rFonts w:ascii="Calibri" w:hAnsi="Calibri" w:cs="Calibri"/>
                <w:color w:val="000000"/>
                <w:szCs w:val="21"/>
              </w:rPr>
              <w:t>106,61</w:t>
            </w:r>
          </w:p>
        </w:tc>
        <w:tc>
          <w:tcPr>
            <w:tcW w:w="1311" w:type="dxa"/>
            <w:shd w:val="clear" w:color="auto" w:fill="auto"/>
            <w:vAlign w:val="center"/>
          </w:tcPr>
          <w:p w:rsidR="000E543C" w:rsidRPr="00701EA8" w:rsidRDefault="000E543C" w:rsidP="000E543C">
            <w:pPr>
              <w:spacing w:after="0" w:line="240" w:lineRule="auto"/>
              <w:jc w:val="right"/>
              <w:rPr>
                <w:rFonts w:ascii="Calibri" w:hAnsi="Calibri" w:cs="Calibri"/>
                <w:color w:val="000000"/>
                <w:szCs w:val="21"/>
              </w:rPr>
            </w:pPr>
            <w:r w:rsidRPr="00701EA8">
              <w:rPr>
                <w:rFonts w:ascii="Calibri" w:hAnsi="Calibri" w:cs="Calibri"/>
                <w:color w:val="000000"/>
                <w:szCs w:val="21"/>
              </w:rPr>
              <w:t>108,06</w:t>
            </w:r>
          </w:p>
        </w:tc>
      </w:tr>
      <w:tr w:rsidR="000E543C" w:rsidRPr="00C954C6" w:rsidTr="005D233A">
        <w:trPr>
          <w:trHeight w:hRule="exact" w:val="284"/>
          <w:jc w:val="center"/>
        </w:trPr>
        <w:tc>
          <w:tcPr>
            <w:tcW w:w="1773" w:type="dxa"/>
            <w:shd w:val="clear" w:color="auto" w:fill="EEF3F8"/>
            <w:vAlign w:val="bottom"/>
            <w:hideMark/>
          </w:tcPr>
          <w:p w:rsidR="000E543C" w:rsidRPr="00701EA8" w:rsidRDefault="000E543C" w:rsidP="000E543C">
            <w:pPr>
              <w:spacing w:after="0" w:line="240" w:lineRule="auto"/>
              <w:rPr>
                <w:rFonts w:eastAsia="Times New Roman" w:cs="Arial"/>
                <w:b/>
                <w:bCs/>
                <w:color w:val="000000"/>
                <w:szCs w:val="21"/>
                <w:lang w:eastAsia="cs-CZ"/>
              </w:rPr>
            </w:pPr>
            <w:r w:rsidRPr="00701EA8">
              <w:rPr>
                <w:rFonts w:eastAsia="Times New Roman" w:cs="Arial"/>
                <w:b/>
                <w:bCs/>
                <w:color w:val="000000"/>
                <w:szCs w:val="21"/>
                <w:lang w:eastAsia="cs-CZ"/>
              </w:rPr>
              <w:t>Celkové náklady</w:t>
            </w:r>
          </w:p>
        </w:tc>
        <w:tc>
          <w:tcPr>
            <w:tcW w:w="1311" w:type="dxa"/>
            <w:shd w:val="clear" w:color="auto" w:fill="EEF3F8"/>
            <w:vAlign w:val="center"/>
            <w:hideMark/>
          </w:tcPr>
          <w:p w:rsidR="000E543C" w:rsidRPr="00701EA8" w:rsidRDefault="000E543C" w:rsidP="000E543C">
            <w:pPr>
              <w:spacing w:after="0" w:line="240" w:lineRule="auto"/>
              <w:jc w:val="right"/>
              <w:rPr>
                <w:rFonts w:ascii="Calibri" w:hAnsi="Calibri" w:cs="Calibri"/>
                <w:b/>
                <w:bCs/>
                <w:color w:val="000000"/>
                <w:szCs w:val="21"/>
              </w:rPr>
            </w:pPr>
            <w:r w:rsidRPr="00701EA8">
              <w:rPr>
                <w:rFonts w:ascii="Calibri" w:hAnsi="Calibri" w:cs="Calibri"/>
                <w:b/>
                <w:bCs/>
                <w:color w:val="000000"/>
                <w:szCs w:val="21"/>
              </w:rPr>
              <w:t>104,73</w:t>
            </w:r>
          </w:p>
        </w:tc>
        <w:tc>
          <w:tcPr>
            <w:tcW w:w="1311" w:type="dxa"/>
            <w:shd w:val="clear" w:color="auto" w:fill="EEF3F8"/>
            <w:vAlign w:val="center"/>
            <w:hideMark/>
          </w:tcPr>
          <w:p w:rsidR="000E543C" w:rsidRPr="00701EA8" w:rsidRDefault="000E543C" w:rsidP="000E543C">
            <w:pPr>
              <w:spacing w:after="0" w:line="240" w:lineRule="auto"/>
              <w:jc w:val="right"/>
              <w:rPr>
                <w:rFonts w:ascii="Calibri" w:hAnsi="Calibri" w:cs="Calibri"/>
                <w:b/>
                <w:bCs/>
                <w:color w:val="000000"/>
                <w:szCs w:val="21"/>
              </w:rPr>
            </w:pPr>
            <w:r w:rsidRPr="00701EA8">
              <w:rPr>
                <w:rFonts w:ascii="Calibri" w:hAnsi="Calibri" w:cs="Calibri"/>
                <w:b/>
                <w:bCs/>
                <w:color w:val="000000"/>
                <w:szCs w:val="21"/>
              </w:rPr>
              <w:t>105,46</w:t>
            </w:r>
          </w:p>
        </w:tc>
        <w:tc>
          <w:tcPr>
            <w:tcW w:w="1311" w:type="dxa"/>
            <w:shd w:val="clear" w:color="auto" w:fill="EEF3F8"/>
            <w:vAlign w:val="center"/>
            <w:hideMark/>
          </w:tcPr>
          <w:p w:rsidR="000E543C" w:rsidRPr="00701EA8" w:rsidRDefault="000E543C" w:rsidP="000E543C">
            <w:pPr>
              <w:spacing w:after="0" w:line="240" w:lineRule="auto"/>
              <w:jc w:val="right"/>
              <w:rPr>
                <w:rFonts w:ascii="Calibri" w:hAnsi="Calibri" w:cs="Calibri"/>
                <w:b/>
                <w:bCs/>
                <w:color w:val="000000"/>
                <w:szCs w:val="21"/>
              </w:rPr>
            </w:pPr>
            <w:r w:rsidRPr="00701EA8">
              <w:rPr>
                <w:rFonts w:ascii="Calibri" w:hAnsi="Calibri" w:cs="Calibri"/>
                <w:b/>
                <w:bCs/>
                <w:color w:val="000000"/>
                <w:szCs w:val="21"/>
              </w:rPr>
              <w:t>106,75</w:t>
            </w:r>
          </w:p>
        </w:tc>
        <w:tc>
          <w:tcPr>
            <w:tcW w:w="1311" w:type="dxa"/>
            <w:shd w:val="clear" w:color="auto" w:fill="EEF3F8"/>
            <w:vAlign w:val="center"/>
            <w:hideMark/>
          </w:tcPr>
          <w:p w:rsidR="000E543C" w:rsidRPr="00701EA8" w:rsidRDefault="000E543C" w:rsidP="000E543C">
            <w:pPr>
              <w:spacing w:after="0" w:line="240" w:lineRule="auto"/>
              <w:jc w:val="right"/>
              <w:rPr>
                <w:rFonts w:ascii="Calibri" w:hAnsi="Calibri" w:cs="Calibri"/>
                <w:b/>
                <w:bCs/>
                <w:color w:val="000000"/>
                <w:szCs w:val="21"/>
              </w:rPr>
            </w:pPr>
            <w:r w:rsidRPr="00701EA8">
              <w:rPr>
                <w:rFonts w:ascii="Calibri" w:hAnsi="Calibri" w:cs="Calibri"/>
                <w:b/>
                <w:bCs/>
                <w:color w:val="000000"/>
                <w:szCs w:val="21"/>
              </w:rPr>
              <w:t>109,00</w:t>
            </w:r>
          </w:p>
        </w:tc>
        <w:tc>
          <w:tcPr>
            <w:tcW w:w="1311" w:type="dxa"/>
            <w:shd w:val="clear" w:color="auto" w:fill="EEF3F8"/>
            <w:vAlign w:val="center"/>
            <w:hideMark/>
          </w:tcPr>
          <w:p w:rsidR="000E543C" w:rsidRPr="00701EA8" w:rsidRDefault="000E543C" w:rsidP="000E543C">
            <w:pPr>
              <w:spacing w:after="0" w:line="240" w:lineRule="auto"/>
              <w:jc w:val="right"/>
              <w:rPr>
                <w:rFonts w:ascii="Calibri" w:hAnsi="Calibri" w:cs="Calibri"/>
                <w:b/>
                <w:bCs/>
                <w:color w:val="000000"/>
                <w:szCs w:val="21"/>
              </w:rPr>
            </w:pPr>
            <w:r w:rsidRPr="00701EA8">
              <w:rPr>
                <w:rFonts w:ascii="Calibri" w:hAnsi="Calibri" w:cs="Calibri"/>
                <w:b/>
                <w:bCs/>
                <w:color w:val="000000"/>
                <w:szCs w:val="21"/>
              </w:rPr>
              <w:t>113,17</w:t>
            </w:r>
          </w:p>
        </w:tc>
        <w:tc>
          <w:tcPr>
            <w:tcW w:w="1311" w:type="dxa"/>
            <w:shd w:val="clear" w:color="auto" w:fill="EEF3F8"/>
            <w:vAlign w:val="center"/>
          </w:tcPr>
          <w:p w:rsidR="000E543C" w:rsidRPr="00701EA8" w:rsidRDefault="000E543C" w:rsidP="000E543C">
            <w:pPr>
              <w:spacing w:after="0" w:line="240" w:lineRule="auto"/>
              <w:jc w:val="right"/>
              <w:rPr>
                <w:rFonts w:ascii="Calibri" w:hAnsi="Calibri" w:cs="Calibri"/>
                <w:b/>
                <w:bCs/>
                <w:color w:val="000000"/>
                <w:szCs w:val="21"/>
              </w:rPr>
            </w:pPr>
            <w:r w:rsidRPr="00701EA8">
              <w:rPr>
                <w:rFonts w:ascii="Calibri" w:hAnsi="Calibri" w:cs="Calibri"/>
                <w:b/>
                <w:bCs/>
                <w:color w:val="000000"/>
                <w:szCs w:val="21"/>
              </w:rPr>
              <w:t>108,94</w:t>
            </w:r>
          </w:p>
        </w:tc>
      </w:tr>
    </w:tbl>
    <w:p w:rsidR="00336E27" w:rsidRPr="00C954C6" w:rsidRDefault="00336E27" w:rsidP="000A786E">
      <w:pPr>
        <w:pStyle w:val="Titulek"/>
        <w:rPr>
          <w:highlight w:val="yellow"/>
        </w:rPr>
      </w:pPr>
    </w:p>
    <w:p w:rsidR="000A786E" w:rsidRPr="00D5078B" w:rsidRDefault="000A786E" w:rsidP="000A786E">
      <w:pPr>
        <w:pStyle w:val="Titulek"/>
      </w:pPr>
      <w:bookmarkStart w:id="53" w:name="_Toc63685297"/>
      <w:r w:rsidRPr="00D5078B">
        <w:t xml:space="preserve">Graf č. </w:t>
      </w:r>
      <w:r w:rsidR="008E5E29" w:rsidRPr="00D5078B">
        <w:rPr>
          <w:noProof/>
        </w:rPr>
        <w:fldChar w:fldCharType="begin"/>
      </w:r>
      <w:r w:rsidR="007F5247" w:rsidRPr="00D5078B">
        <w:rPr>
          <w:noProof/>
        </w:rPr>
        <w:instrText xml:space="preserve"> SEQ Graf \* ARABIC </w:instrText>
      </w:r>
      <w:r w:rsidR="008E5E29" w:rsidRPr="00D5078B">
        <w:rPr>
          <w:noProof/>
        </w:rPr>
        <w:fldChar w:fldCharType="separate"/>
      </w:r>
      <w:r w:rsidR="006D5C90">
        <w:rPr>
          <w:noProof/>
        </w:rPr>
        <w:t>17</w:t>
      </w:r>
      <w:r w:rsidR="008E5E29" w:rsidRPr="00D5078B">
        <w:rPr>
          <w:noProof/>
        </w:rPr>
        <w:fldChar w:fldCharType="end"/>
      </w:r>
      <w:r w:rsidRPr="00D5078B">
        <w:t>: Celkové náklady na zdravotní služby</w:t>
      </w:r>
      <w:bookmarkEnd w:id="53"/>
    </w:p>
    <w:p w:rsidR="00D5078B" w:rsidRPr="00D5078B" w:rsidRDefault="00D5078B" w:rsidP="00D5078B">
      <w:pPr>
        <w:rPr>
          <w:highlight w:val="yellow"/>
          <w:lang w:bidi="hi-IN"/>
        </w:rPr>
      </w:pPr>
      <w:r>
        <w:rPr>
          <w:noProof/>
          <w:lang w:eastAsia="cs-CZ"/>
        </w:rPr>
        <w:drawing>
          <wp:inline distT="0" distB="0" distL="0" distR="0">
            <wp:extent cx="5760000" cy="2880000"/>
            <wp:effectExtent l="0" t="0" r="0" b="0"/>
            <wp:docPr id="3" name="Graf 3">
              <a:extLst xmlns:a="http://schemas.openxmlformats.org/drawingml/2006/main">
                <a:ext uri="{FF2B5EF4-FFF2-40B4-BE49-F238E27FC236}">
                  <a16:creationId xmlns:a16="http://schemas.microsoft.com/office/drawing/2014/main" id="{00000000-0008-0000-03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436F6E" w:rsidRPr="00C954C6" w:rsidRDefault="00436F6E" w:rsidP="00436F6E">
      <w:pPr>
        <w:pStyle w:val="TABOBR"/>
        <w:tabs>
          <w:tab w:val="center" w:pos="4819"/>
        </w:tabs>
        <w:spacing w:before="120"/>
        <w:rPr>
          <w:highlight w:val="yellow"/>
        </w:rPr>
      </w:pPr>
    </w:p>
    <w:p w:rsidR="000A786E" w:rsidRDefault="000A786E" w:rsidP="003406F1">
      <w:pPr>
        <w:pStyle w:val="Titulek"/>
        <w:spacing w:before="240"/>
      </w:pPr>
      <w:bookmarkStart w:id="54" w:name="_Toc63685298"/>
      <w:r w:rsidRPr="00D5078B">
        <w:t xml:space="preserve">Graf č. </w:t>
      </w:r>
      <w:r w:rsidR="008E5E29" w:rsidRPr="00D5078B">
        <w:rPr>
          <w:noProof/>
        </w:rPr>
        <w:fldChar w:fldCharType="begin"/>
      </w:r>
      <w:r w:rsidR="007F5247" w:rsidRPr="00D5078B">
        <w:rPr>
          <w:noProof/>
        </w:rPr>
        <w:instrText xml:space="preserve"> SEQ Graf \* ARABIC </w:instrText>
      </w:r>
      <w:r w:rsidR="008E5E29" w:rsidRPr="00D5078B">
        <w:rPr>
          <w:noProof/>
        </w:rPr>
        <w:fldChar w:fldCharType="separate"/>
      </w:r>
      <w:r w:rsidR="006D5C90">
        <w:rPr>
          <w:noProof/>
        </w:rPr>
        <w:t>18</w:t>
      </w:r>
      <w:r w:rsidR="008E5E29" w:rsidRPr="00D5078B">
        <w:rPr>
          <w:noProof/>
        </w:rPr>
        <w:fldChar w:fldCharType="end"/>
      </w:r>
      <w:r w:rsidRPr="00D5078B">
        <w:t>: Náklady na zdravotní služby podle segmentů</w:t>
      </w:r>
      <w:bookmarkEnd w:id="54"/>
    </w:p>
    <w:p w:rsidR="00D5078B" w:rsidRPr="00D5078B" w:rsidRDefault="00D5078B" w:rsidP="00D5078B">
      <w:pPr>
        <w:rPr>
          <w:lang w:bidi="hi-IN"/>
        </w:rPr>
      </w:pPr>
      <w:r>
        <w:rPr>
          <w:noProof/>
          <w:lang w:eastAsia="cs-CZ"/>
        </w:rPr>
        <w:drawing>
          <wp:inline distT="0" distB="0" distL="0" distR="0">
            <wp:extent cx="5760000" cy="2880000"/>
            <wp:effectExtent l="0" t="0" r="0" b="0"/>
            <wp:docPr id="4" name="Graf 4">
              <a:extLst xmlns:a="http://schemas.openxmlformats.org/drawingml/2006/main">
                <a:ext uri="{FF2B5EF4-FFF2-40B4-BE49-F238E27FC236}">
                  <a16:creationId xmlns:a16="http://schemas.microsoft.com/office/drawing/2014/main" id="{00000000-0008-0000-03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0803A2" w:rsidRPr="000803A2" w:rsidRDefault="00F87912" w:rsidP="00B34351">
      <w:pPr>
        <w:rPr>
          <w:highlight w:val="yellow"/>
          <w:lang w:bidi="hi-IN"/>
        </w:rPr>
      </w:pPr>
      <w:r w:rsidRPr="00F4158A">
        <w:lastRenderedPageBreak/>
        <w:t>Z detailních podkladů jednotlivých ZP vyplývá, že všechny plánují meziroční zvýšení nákladů na zdravotní služby: VZP ČR o </w:t>
      </w:r>
      <w:r w:rsidR="00F34489" w:rsidRPr="00F4158A">
        <w:t>9,4</w:t>
      </w:r>
      <w:r w:rsidRPr="00F4158A">
        <w:t xml:space="preserve"> %, </w:t>
      </w:r>
      <w:proofErr w:type="spellStart"/>
      <w:r w:rsidRPr="00F4158A">
        <w:rPr>
          <w:spacing w:val="-10"/>
        </w:rPr>
        <w:t>VoZP</w:t>
      </w:r>
      <w:proofErr w:type="spellEnd"/>
      <w:r w:rsidRPr="00F4158A">
        <w:rPr>
          <w:spacing w:val="-10"/>
        </w:rPr>
        <w:t xml:space="preserve"> ČR o 1</w:t>
      </w:r>
      <w:r w:rsidR="00F34489" w:rsidRPr="00F4158A">
        <w:rPr>
          <w:spacing w:val="-10"/>
        </w:rPr>
        <w:t>0,2</w:t>
      </w:r>
      <w:r w:rsidRPr="00F4158A">
        <w:rPr>
          <w:spacing w:val="-10"/>
        </w:rPr>
        <w:t> %, ČPZP o </w:t>
      </w:r>
      <w:r w:rsidR="00F34489" w:rsidRPr="00F4158A">
        <w:rPr>
          <w:spacing w:val="-10"/>
        </w:rPr>
        <w:t>8,3</w:t>
      </w:r>
      <w:r w:rsidRPr="00F4158A">
        <w:rPr>
          <w:spacing w:val="-10"/>
        </w:rPr>
        <w:t> %, OZP o 10,2 %, ZPŠ o </w:t>
      </w:r>
      <w:r w:rsidR="00F34489" w:rsidRPr="00F4158A">
        <w:rPr>
          <w:spacing w:val="-10"/>
        </w:rPr>
        <w:t>5,8</w:t>
      </w:r>
      <w:r w:rsidRPr="00F4158A">
        <w:rPr>
          <w:spacing w:val="-10"/>
        </w:rPr>
        <w:t> %, ZP MV ČR o </w:t>
      </w:r>
      <w:r w:rsidR="00F34489" w:rsidRPr="00F4158A">
        <w:rPr>
          <w:spacing w:val="-10"/>
        </w:rPr>
        <w:t>6,3</w:t>
      </w:r>
      <w:r w:rsidRPr="00F4158A">
        <w:rPr>
          <w:spacing w:val="-10"/>
        </w:rPr>
        <w:t> % a RBP o </w:t>
      </w:r>
      <w:r w:rsidR="00F4158A" w:rsidRPr="00F4158A">
        <w:rPr>
          <w:spacing w:val="-10"/>
        </w:rPr>
        <w:t>8,8</w:t>
      </w:r>
      <w:r w:rsidRPr="00F4158A">
        <w:t> % (</w:t>
      </w:r>
      <w:r w:rsidRPr="00F4158A">
        <w:rPr>
          <w:i/>
        </w:rPr>
        <w:t xml:space="preserve">Tabulka č. </w:t>
      </w:r>
      <w:r w:rsidR="00F4158A" w:rsidRPr="00F4158A">
        <w:rPr>
          <w:i/>
        </w:rPr>
        <w:t>15</w:t>
      </w:r>
      <w:r w:rsidRPr="00F4158A">
        <w:rPr>
          <w:i/>
        </w:rPr>
        <w:t xml:space="preserve"> a 1</w:t>
      </w:r>
      <w:r w:rsidR="00F4158A" w:rsidRPr="00F4158A">
        <w:rPr>
          <w:i/>
        </w:rPr>
        <w:t>6</w:t>
      </w:r>
      <w:r w:rsidRPr="00F4158A">
        <w:t>).</w:t>
      </w:r>
      <w:r w:rsidR="000803A2" w:rsidRPr="00F4158A" w:rsidDel="000803A2">
        <w:t xml:space="preserve"> </w:t>
      </w:r>
      <w:bookmarkStart w:id="55" w:name="_Toc25073784"/>
    </w:p>
    <w:p w:rsidR="00F87912" w:rsidRPr="000E543C" w:rsidRDefault="00F87912" w:rsidP="00B34351">
      <w:pPr>
        <w:pStyle w:val="Titulek"/>
        <w:spacing w:before="240"/>
        <w:jc w:val="both"/>
      </w:pPr>
      <w:bookmarkStart w:id="56" w:name="_Toc63685270"/>
      <w:r w:rsidRPr="000E543C">
        <w:t xml:space="preserve">Tabulka č. </w:t>
      </w:r>
      <w:r w:rsidR="008E5E29">
        <w:fldChar w:fldCharType="begin"/>
      </w:r>
      <w:r w:rsidR="002A5E87">
        <w:instrText xml:space="preserve"> SEQ Tabulka \* ARABIC </w:instrText>
      </w:r>
      <w:r w:rsidR="008E5E29">
        <w:fldChar w:fldCharType="separate"/>
      </w:r>
      <w:r w:rsidR="006D5C90">
        <w:rPr>
          <w:noProof/>
        </w:rPr>
        <w:t>17</w:t>
      </w:r>
      <w:r w:rsidR="008E5E29">
        <w:fldChar w:fldCharType="end"/>
      </w:r>
      <w:r w:rsidRPr="000E543C">
        <w:t>: Struktura nákladů na zdravotní služby podle jednotlivých segmentů v r. 202</w:t>
      </w:r>
      <w:r w:rsidR="000E543C">
        <w:t>1</w:t>
      </w:r>
      <w:r w:rsidRPr="000E543C">
        <w:t xml:space="preserve"> dle zdravotních pojišťoven</w:t>
      </w:r>
      <w:bookmarkEnd w:id="55"/>
      <w:bookmarkEnd w:id="56"/>
    </w:p>
    <w:tbl>
      <w:tblPr>
        <w:tblW w:w="9639" w:type="dxa"/>
        <w:jc w:val="right"/>
        <w:tblBorders>
          <w:top w:val="single" w:sz="12" w:space="0" w:color="548DD4" w:themeColor="text2" w:themeTint="99"/>
          <w:left w:val="single" w:sz="12" w:space="0" w:color="548DD4" w:themeColor="text2" w:themeTint="99"/>
          <w:bottom w:val="single" w:sz="12" w:space="0" w:color="548DD4" w:themeColor="text2" w:themeTint="99"/>
          <w:right w:val="single" w:sz="12" w:space="0" w:color="548DD4" w:themeColor="text2" w:themeTint="99"/>
        </w:tblBorders>
        <w:tblCellMar>
          <w:left w:w="70" w:type="dxa"/>
          <w:right w:w="70" w:type="dxa"/>
        </w:tblCellMar>
        <w:tblLook w:val="04A0" w:firstRow="1" w:lastRow="0" w:firstColumn="1" w:lastColumn="0" w:noHBand="0" w:noVBand="1"/>
      </w:tblPr>
      <w:tblGrid>
        <w:gridCol w:w="1596"/>
        <w:gridCol w:w="1149"/>
        <w:gridCol w:w="1149"/>
        <w:gridCol w:w="1149"/>
        <w:gridCol w:w="1149"/>
        <w:gridCol w:w="1149"/>
        <w:gridCol w:w="1149"/>
        <w:gridCol w:w="1149"/>
      </w:tblGrid>
      <w:tr w:rsidR="00F87912" w:rsidRPr="000E543C" w:rsidTr="004D6049">
        <w:trPr>
          <w:trHeight w:val="568"/>
          <w:jc w:val="right"/>
        </w:trPr>
        <w:tc>
          <w:tcPr>
            <w:tcW w:w="1596" w:type="dxa"/>
            <w:shd w:val="clear" w:color="auto" w:fill="4F81BD"/>
            <w:vAlign w:val="center"/>
            <w:hideMark/>
          </w:tcPr>
          <w:p w:rsidR="00F87912" w:rsidRPr="00701EA8" w:rsidRDefault="00F87912" w:rsidP="004D6049">
            <w:pPr>
              <w:spacing w:after="0" w:line="240" w:lineRule="auto"/>
              <w:rPr>
                <w:rFonts w:ascii="Calibri" w:eastAsia="Times New Roman" w:hAnsi="Calibri" w:cs="Times New Roman"/>
                <w:b/>
                <w:bCs/>
                <w:color w:val="FFFFFF"/>
                <w:szCs w:val="21"/>
                <w:lang w:eastAsia="cs-CZ"/>
              </w:rPr>
            </w:pPr>
            <w:r w:rsidRPr="00701EA8">
              <w:rPr>
                <w:rFonts w:ascii="Calibri" w:eastAsia="Times New Roman" w:hAnsi="Calibri" w:cs="Times New Roman"/>
                <w:b/>
                <w:bCs/>
                <w:color w:val="FFFFFF"/>
                <w:szCs w:val="21"/>
                <w:lang w:eastAsia="cs-CZ"/>
              </w:rPr>
              <w:t>ZPP 202</w:t>
            </w:r>
            <w:r w:rsidR="00D85079" w:rsidRPr="00701EA8">
              <w:rPr>
                <w:rFonts w:ascii="Calibri" w:eastAsia="Times New Roman" w:hAnsi="Calibri" w:cs="Times New Roman"/>
                <w:b/>
                <w:bCs/>
                <w:color w:val="FFFFFF"/>
                <w:szCs w:val="21"/>
                <w:lang w:eastAsia="cs-CZ"/>
              </w:rPr>
              <w:t>1</w:t>
            </w:r>
          </w:p>
          <w:p w:rsidR="00F87912" w:rsidRPr="00701EA8" w:rsidRDefault="00F87912" w:rsidP="004D6049">
            <w:pPr>
              <w:spacing w:after="0" w:line="240" w:lineRule="auto"/>
              <w:rPr>
                <w:rFonts w:ascii="Calibri" w:eastAsia="Times New Roman" w:hAnsi="Calibri" w:cs="Times New Roman"/>
                <w:b/>
                <w:bCs/>
                <w:color w:val="FFFFFF"/>
                <w:szCs w:val="21"/>
                <w:lang w:eastAsia="cs-CZ"/>
              </w:rPr>
            </w:pPr>
            <w:r w:rsidRPr="00701EA8">
              <w:rPr>
                <w:rFonts w:ascii="Calibri" w:eastAsia="Times New Roman" w:hAnsi="Calibri" w:cs="Times New Roman"/>
                <w:b/>
                <w:bCs/>
                <w:i/>
                <w:iCs/>
                <w:color w:val="FFFFFF"/>
                <w:szCs w:val="21"/>
                <w:lang w:eastAsia="cs-CZ"/>
              </w:rPr>
              <w:t>(v mil. Kč)</w:t>
            </w:r>
          </w:p>
        </w:tc>
        <w:tc>
          <w:tcPr>
            <w:tcW w:w="1149" w:type="dxa"/>
            <w:shd w:val="clear" w:color="auto" w:fill="6691C6"/>
            <w:vAlign w:val="center"/>
          </w:tcPr>
          <w:p w:rsidR="00F87912" w:rsidRPr="00701EA8" w:rsidRDefault="00F87912" w:rsidP="004D6049">
            <w:pPr>
              <w:spacing w:after="0" w:line="240" w:lineRule="auto"/>
              <w:jc w:val="center"/>
              <w:rPr>
                <w:rFonts w:ascii="Calibri" w:eastAsia="Times New Roman" w:hAnsi="Calibri" w:cs="Times New Roman"/>
                <w:color w:val="FFFFFF"/>
                <w:szCs w:val="21"/>
                <w:lang w:eastAsia="cs-CZ"/>
              </w:rPr>
            </w:pPr>
            <w:r w:rsidRPr="00701EA8">
              <w:rPr>
                <w:rFonts w:ascii="Calibri" w:eastAsia="Times New Roman" w:hAnsi="Calibri" w:cs="Times New Roman"/>
                <w:color w:val="FFFFFF"/>
                <w:szCs w:val="21"/>
                <w:lang w:eastAsia="cs-CZ"/>
              </w:rPr>
              <w:t>VZP ČR</w:t>
            </w:r>
          </w:p>
        </w:tc>
        <w:tc>
          <w:tcPr>
            <w:tcW w:w="1149" w:type="dxa"/>
            <w:shd w:val="clear" w:color="auto" w:fill="4F81BD"/>
            <w:vAlign w:val="center"/>
            <w:hideMark/>
          </w:tcPr>
          <w:p w:rsidR="00F87912" w:rsidRPr="00701EA8" w:rsidRDefault="00F87912" w:rsidP="004D6049">
            <w:pPr>
              <w:spacing w:after="0" w:line="240" w:lineRule="auto"/>
              <w:jc w:val="center"/>
              <w:rPr>
                <w:rFonts w:ascii="Calibri" w:eastAsia="Times New Roman" w:hAnsi="Calibri" w:cs="Times New Roman"/>
                <w:color w:val="FFFFFF"/>
                <w:szCs w:val="21"/>
                <w:lang w:eastAsia="cs-CZ"/>
              </w:rPr>
            </w:pPr>
            <w:proofErr w:type="spellStart"/>
            <w:r w:rsidRPr="00701EA8">
              <w:rPr>
                <w:rFonts w:ascii="Calibri" w:eastAsia="Times New Roman" w:hAnsi="Calibri" w:cs="Times New Roman"/>
                <w:color w:val="FFFFFF"/>
                <w:szCs w:val="21"/>
                <w:lang w:eastAsia="cs-CZ"/>
              </w:rPr>
              <w:t>VoZP</w:t>
            </w:r>
            <w:proofErr w:type="spellEnd"/>
            <w:r w:rsidRPr="00701EA8">
              <w:rPr>
                <w:rFonts w:ascii="Calibri" w:eastAsia="Times New Roman" w:hAnsi="Calibri" w:cs="Times New Roman"/>
                <w:color w:val="FFFFFF"/>
                <w:szCs w:val="21"/>
                <w:lang w:eastAsia="cs-CZ"/>
              </w:rPr>
              <w:t xml:space="preserve"> ČR</w:t>
            </w:r>
          </w:p>
        </w:tc>
        <w:tc>
          <w:tcPr>
            <w:tcW w:w="1149" w:type="dxa"/>
            <w:shd w:val="clear" w:color="auto" w:fill="6691C6"/>
            <w:vAlign w:val="center"/>
            <w:hideMark/>
          </w:tcPr>
          <w:p w:rsidR="00F87912" w:rsidRPr="00701EA8" w:rsidRDefault="00F87912" w:rsidP="004D6049">
            <w:pPr>
              <w:spacing w:after="0" w:line="240" w:lineRule="auto"/>
              <w:jc w:val="center"/>
              <w:rPr>
                <w:rFonts w:ascii="Calibri" w:eastAsia="Times New Roman" w:hAnsi="Calibri" w:cs="Times New Roman"/>
                <w:color w:val="FFFFFF"/>
                <w:szCs w:val="21"/>
                <w:lang w:eastAsia="cs-CZ"/>
              </w:rPr>
            </w:pPr>
            <w:r w:rsidRPr="00701EA8">
              <w:rPr>
                <w:rFonts w:ascii="Calibri" w:eastAsia="Times New Roman" w:hAnsi="Calibri" w:cs="Times New Roman"/>
                <w:color w:val="FFFFFF"/>
                <w:szCs w:val="21"/>
                <w:lang w:eastAsia="cs-CZ"/>
              </w:rPr>
              <w:t>ČPZP</w:t>
            </w:r>
          </w:p>
        </w:tc>
        <w:tc>
          <w:tcPr>
            <w:tcW w:w="1149" w:type="dxa"/>
            <w:shd w:val="clear" w:color="auto" w:fill="4F81BD"/>
            <w:vAlign w:val="center"/>
            <w:hideMark/>
          </w:tcPr>
          <w:p w:rsidR="00F87912" w:rsidRPr="00701EA8" w:rsidRDefault="00F87912" w:rsidP="004D6049">
            <w:pPr>
              <w:spacing w:after="0" w:line="240" w:lineRule="auto"/>
              <w:jc w:val="center"/>
              <w:rPr>
                <w:rFonts w:ascii="Calibri" w:eastAsia="Times New Roman" w:hAnsi="Calibri" w:cs="Times New Roman"/>
                <w:color w:val="FFFFFF"/>
                <w:szCs w:val="21"/>
                <w:lang w:eastAsia="cs-CZ"/>
              </w:rPr>
            </w:pPr>
            <w:r w:rsidRPr="00701EA8">
              <w:rPr>
                <w:rFonts w:ascii="Calibri" w:eastAsia="Times New Roman" w:hAnsi="Calibri" w:cs="Times New Roman"/>
                <w:color w:val="FFFFFF"/>
                <w:szCs w:val="21"/>
                <w:lang w:eastAsia="cs-CZ"/>
              </w:rPr>
              <w:t>OZP</w:t>
            </w:r>
          </w:p>
        </w:tc>
        <w:tc>
          <w:tcPr>
            <w:tcW w:w="1149" w:type="dxa"/>
            <w:shd w:val="clear" w:color="auto" w:fill="6691C6"/>
            <w:vAlign w:val="center"/>
            <w:hideMark/>
          </w:tcPr>
          <w:p w:rsidR="00F87912" w:rsidRPr="00701EA8" w:rsidRDefault="00F87912" w:rsidP="004D6049">
            <w:pPr>
              <w:spacing w:after="0" w:line="240" w:lineRule="auto"/>
              <w:jc w:val="center"/>
              <w:rPr>
                <w:rFonts w:ascii="Calibri" w:eastAsia="Times New Roman" w:hAnsi="Calibri" w:cs="Times New Roman"/>
                <w:color w:val="FFFFFF"/>
                <w:szCs w:val="21"/>
                <w:lang w:eastAsia="cs-CZ"/>
              </w:rPr>
            </w:pPr>
            <w:r w:rsidRPr="00701EA8">
              <w:rPr>
                <w:rFonts w:ascii="Calibri" w:eastAsia="Times New Roman" w:hAnsi="Calibri" w:cs="Times New Roman"/>
                <w:color w:val="FFFFFF"/>
                <w:szCs w:val="21"/>
                <w:lang w:eastAsia="cs-CZ"/>
              </w:rPr>
              <w:t>ZPŠ</w:t>
            </w:r>
          </w:p>
        </w:tc>
        <w:tc>
          <w:tcPr>
            <w:tcW w:w="1149" w:type="dxa"/>
            <w:shd w:val="clear" w:color="auto" w:fill="4F81BD"/>
            <w:vAlign w:val="center"/>
            <w:hideMark/>
          </w:tcPr>
          <w:p w:rsidR="00F87912" w:rsidRPr="00701EA8" w:rsidRDefault="00DF5584" w:rsidP="004D6049">
            <w:pPr>
              <w:spacing w:after="0" w:line="240" w:lineRule="auto"/>
              <w:jc w:val="center"/>
              <w:rPr>
                <w:rFonts w:ascii="Calibri" w:eastAsia="Times New Roman" w:hAnsi="Calibri" w:cs="Times New Roman"/>
                <w:color w:val="FFFFFF"/>
                <w:szCs w:val="21"/>
                <w:lang w:eastAsia="cs-CZ"/>
              </w:rPr>
            </w:pPr>
            <w:r w:rsidRPr="00701EA8">
              <w:rPr>
                <w:rFonts w:ascii="Calibri" w:eastAsia="Times New Roman" w:hAnsi="Calibri" w:cs="Times New Roman"/>
                <w:color w:val="FFFFFF"/>
                <w:szCs w:val="21"/>
                <w:lang w:eastAsia="cs-CZ"/>
              </w:rPr>
              <w:t>ZP MV ČR</w:t>
            </w:r>
          </w:p>
        </w:tc>
        <w:tc>
          <w:tcPr>
            <w:tcW w:w="1149" w:type="dxa"/>
            <w:shd w:val="clear" w:color="auto" w:fill="6691C6"/>
            <w:vAlign w:val="center"/>
          </w:tcPr>
          <w:p w:rsidR="00F87912" w:rsidRPr="00701EA8" w:rsidRDefault="00F87912" w:rsidP="004D6049">
            <w:pPr>
              <w:spacing w:after="0" w:line="240" w:lineRule="auto"/>
              <w:jc w:val="center"/>
              <w:rPr>
                <w:rFonts w:ascii="Calibri" w:eastAsia="Times New Roman" w:hAnsi="Calibri" w:cs="Times New Roman"/>
                <w:color w:val="FFFFFF"/>
                <w:szCs w:val="21"/>
                <w:lang w:eastAsia="cs-CZ"/>
              </w:rPr>
            </w:pPr>
            <w:r w:rsidRPr="00701EA8">
              <w:rPr>
                <w:rFonts w:ascii="Calibri" w:eastAsia="Times New Roman" w:hAnsi="Calibri" w:cs="Times New Roman"/>
                <w:color w:val="FFFFFF"/>
                <w:szCs w:val="21"/>
                <w:lang w:eastAsia="cs-CZ"/>
              </w:rPr>
              <w:t>RBP</w:t>
            </w:r>
          </w:p>
        </w:tc>
      </w:tr>
      <w:tr w:rsidR="000E543C" w:rsidRPr="000E543C" w:rsidTr="005D233A">
        <w:trPr>
          <w:trHeight w:hRule="exact" w:val="510"/>
          <w:jc w:val="right"/>
        </w:trPr>
        <w:tc>
          <w:tcPr>
            <w:tcW w:w="1596" w:type="dxa"/>
            <w:shd w:val="clear" w:color="auto" w:fill="auto"/>
            <w:vAlign w:val="bottom"/>
            <w:hideMark/>
          </w:tcPr>
          <w:p w:rsidR="000E543C" w:rsidRPr="00701EA8" w:rsidRDefault="000E543C" w:rsidP="000E543C">
            <w:pPr>
              <w:spacing w:after="0" w:line="240" w:lineRule="auto"/>
              <w:rPr>
                <w:rFonts w:eastAsia="Times New Roman" w:cs="Arial"/>
                <w:b/>
                <w:bCs/>
                <w:color w:val="000000"/>
                <w:szCs w:val="21"/>
                <w:lang w:eastAsia="cs-CZ"/>
              </w:rPr>
            </w:pPr>
            <w:r w:rsidRPr="00701EA8">
              <w:rPr>
                <w:rFonts w:eastAsia="Times New Roman" w:cs="Arial"/>
                <w:b/>
                <w:bCs/>
                <w:color w:val="000000"/>
                <w:szCs w:val="21"/>
                <w:lang w:eastAsia="cs-CZ"/>
              </w:rPr>
              <w:t>Náklady na ambulantní péči</w:t>
            </w:r>
          </w:p>
        </w:tc>
        <w:tc>
          <w:tcPr>
            <w:tcW w:w="1149" w:type="dxa"/>
            <w:shd w:val="clear" w:color="auto" w:fill="DBE5F1" w:themeFill="accent1" w:themeFillTint="33"/>
            <w:vAlign w:val="center"/>
            <w:hideMark/>
          </w:tcPr>
          <w:p w:rsidR="000E543C" w:rsidRPr="00701EA8" w:rsidRDefault="000E543C" w:rsidP="000E543C">
            <w:pPr>
              <w:spacing w:after="0" w:line="240" w:lineRule="auto"/>
              <w:jc w:val="right"/>
              <w:rPr>
                <w:rFonts w:ascii="Calibri" w:hAnsi="Calibri" w:cs="Calibri"/>
                <w:szCs w:val="21"/>
              </w:rPr>
            </w:pPr>
            <w:r w:rsidRPr="00701EA8">
              <w:rPr>
                <w:rFonts w:ascii="Calibri" w:hAnsi="Calibri" w:cs="Calibri"/>
                <w:szCs w:val="21"/>
              </w:rPr>
              <w:t>55 794</w:t>
            </w:r>
          </w:p>
        </w:tc>
        <w:tc>
          <w:tcPr>
            <w:tcW w:w="1149" w:type="dxa"/>
            <w:shd w:val="clear" w:color="auto" w:fill="auto"/>
            <w:vAlign w:val="center"/>
            <w:hideMark/>
          </w:tcPr>
          <w:p w:rsidR="000E543C" w:rsidRPr="00701EA8" w:rsidRDefault="000E543C" w:rsidP="000E543C">
            <w:pPr>
              <w:spacing w:after="0" w:line="240" w:lineRule="auto"/>
              <w:jc w:val="right"/>
              <w:rPr>
                <w:rFonts w:ascii="Calibri" w:hAnsi="Calibri" w:cs="Calibri"/>
                <w:szCs w:val="21"/>
              </w:rPr>
            </w:pPr>
            <w:r w:rsidRPr="00701EA8">
              <w:rPr>
                <w:rFonts w:ascii="Calibri" w:hAnsi="Calibri" w:cs="Calibri"/>
                <w:szCs w:val="21"/>
              </w:rPr>
              <w:t>6 288</w:t>
            </w:r>
          </w:p>
        </w:tc>
        <w:tc>
          <w:tcPr>
            <w:tcW w:w="1149" w:type="dxa"/>
            <w:shd w:val="clear" w:color="auto" w:fill="DBE5F1" w:themeFill="accent1" w:themeFillTint="33"/>
            <w:vAlign w:val="center"/>
            <w:hideMark/>
          </w:tcPr>
          <w:p w:rsidR="000E543C" w:rsidRPr="00701EA8" w:rsidRDefault="000E543C" w:rsidP="000E543C">
            <w:pPr>
              <w:spacing w:after="0" w:line="240" w:lineRule="auto"/>
              <w:jc w:val="right"/>
              <w:rPr>
                <w:rFonts w:ascii="Calibri" w:hAnsi="Calibri" w:cs="Calibri"/>
                <w:szCs w:val="21"/>
              </w:rPr>
            </w:pPr>
            <w:r w:rsidRPr="00701EA8">
              <w:rPr>
                <w:rFonts w:ascii="Calibri" w:hAnsi="Calibri" w:cs="Calibri"/>
                <w:szCs w:val="21"/>
              </w:rPr>
              <w:t>12 549</w:t>
            </w:r>
          </w:p>
        </w:tc>
        <w:tc>
          <w:tcPr>
            <w:tcW w:w="1149" w:type="dxa"/>
            <w:shd w:val="clear" w:color="auto" w:fill="auto"/>
            <w:vAlign w:val="center"/>
            <w:hideMark/>
          </w:tcPr>
          <w:p w:rsidR="000E543C" w:rsidRPr="00701EA8" w:rsidRDefault="000E543C" w:rsidP="000E543C">
            <w:pPr>
              <w:spacing w:after="0" w:line="240" w:lineRule="auto"/>
              <w:jc w:val="right"/>
              <w:rPr>
                <w:rFonts w:ascii="Calibri" w:hAnsi="Calibri" w:cs="Calibri"/>
                <w:szCs w:val="21"/>
              </w:rPr>
            </w:pPr>
            <w:r w:rsidRPr="00701EA8">
              <w:rPr>
                <w:rFonts w:ascii="Calibri" w:hAnsi="Calibri" w:cs="Calibri"/>
                <w:szCs w:val="21"/>
              </w:rPr>
              <w:t>7 013</w:t>
            </w:r>
          </w:p>
        </w:tc>
        <w:tc>
          <w:tcPr>
            <w:tcW w:w="1149" w:type="dxa"/>
            <w:shd w:val="clear" w:color="auto" w:fill="DBE5F1" w:themeFill="accent1" w:themeFillTint="33"/>
            <w:vAlign w:val="center"/>
            <w:hideMark/>
          </w:tcPr>
          <w:p w:rsidR="000E543C" w:rsidRPr="00701EA8" w:rsidRDefault="000E543C" w:rsidP="000E543C">
            <w:pPr>
              <w:spacing w:after="0" w:line="240" w:lineRule="auto"/>
              <w:jc w:val="right"/>
              <w:rPr>
                <w:rFonts w:ascii="Calibri" w:hAnsi="Calibri" w:cs="Calibri"/>
                <w:szCs w:val="21"/>
              </w:rPr>
            </w:pPr>
            <w:r w:rsidRPr="00701EA8">
              <w:rPr>
                <w:rFonts w:ascii="Calibri" w:hAnsi="Calibri" w:cs="Calibri"/>
                <w:szCs w:val="21"/>
              </w:rPr>
              <w:t>1 194</w:t>
            </w:r>
          </w:p>
        </w:tc>
        <w:tc>
          <w:tcPr>
            <w:tcW w:w="1149" w:type="dxa"/>
            <w:shd w:val="clear" w:color="auto" w:fill="auto"/>
            <w:vAlign w:val="center"/>
            <w:hideMark/>
          </w:tcPr>
          <w:p w:rsidR="000E543C" w:rsidRPr="00701EA8" w:rsidRDefault="000E543C" w:rsidP="000E543C">
            <w:pPr>
              <w:spacing w:after="0" w:line="240" w:lineRule="auto"/>
              <w:jc w:val="right"/>
              <w:rPr>
                <w:rFonts w:ascii="Calibri" w:hAnsi="Calibri" w:cs="Calibri"/>
                <w:szCs w:val="21"/>
              </w:rPr>
            </w:pPr>
            <w:r w:rsidRPr="00701EA8">
              <w:rPr>
                <w:rFonts w:ascii="Calibri" w:hAnsi="Calibri" w:cs="Calibri"/>
                <w:szCs w:val="21"/>
              </w:rPr>
              <w:t>12 450</w:t>
            </w:r>
          </w:p>
        </w:tc>
        <w:tc>
          <w:tcPr>
            <w:tcW w:w="1149" w:type="dxa"/>
            <w:shd w:val="clear" w:color="auto" w:fill="DBE5F1" w:themeFill="accent1" w:themeFillTint="33"/>
            <w:vAlign w:val="center"/>
          </w:tcPr>
          <w:p w:rsidR="000E543C" w:rsidRPr="00701EA8" w:rsidRDefault="000E543C" w:rsidP="000E543C">
            <w:pPr>
              <w:spacing w:after="0" w:line="240" w:lineRule="auto"/>
              <w:jc w:val="right"/>
              <w:rPr>
                <w:rFonts w:ascii="Calibri" w:hAnsi="Calibri" w:cs="Calibri"/>
                <w:color w:val="000000"/>
                <w:szCs w:val="21"/>
              </w:rPr>
            </w:pPr>
            <w:r w:rsidRPr="00701EA8">
              <w:rPr>
                <w:rFonts w:ascii="Calibri" w:hAnsi="Calibri" w:cs="Calibri"/>
                <w:color w:val="000000"/>
                <w:szCs w:val="21"/>
              </w:rPr>
              <w:t>4 387</w:t>
            </w:r>
          </w:p>
        </w:tc>
      </w:tr>
      <w:tr w:rsidR="000E543C" w:rsidRPr="000E543C" w:rsidTr="005D233A">
        <w:trPr>
          <w:trHeight w:hRule="exact" w:val="510"/>
          <w:jc w:val="right"/>
        </w:trPr>
        <w:tc>
          <w:tcPr>
            <w:tcW w:w="1596" w:type="dxa"/>
            <w:shd w:val="clear" w:color="auto" w:fill="EEF3F8"/>
            <w:vAlign w:val="bottom"/>
            <w:hideMark/>
          </w:tcPr>
          <w:p w:rsidR="000E543C" w:rsidRPr="00701EA8" w:rsidRDefault="000E543C" w:rsidP="000E543C">
            <w:pPr>
              <w:spacing w:after="0" w:line="240" w:lineRule="auto"/>
              <w:rPr>
                <w:rFonts w:eastAsia="Times New Roman" w:cs="Arial"/>
                <w:b/>
                <w:bCs/>
                <w:color w:val="000000"/>
                <w:szCs w:val="21"/>
                <w:lang w:eastAsia="cs-CZ"/>
              </w:rPr>
            </w:pPr>
            <w:r w:rsidRPr="00701EA8">
              <w:rPr>
                <w:rFonts w:eastAsia="Times New Roman" w:cs="Arial"/>
                <w:b/>
                <w:bCs/>
                <w:color w:val="000000"/>
                <w:szCs w:val="21"/>
                <w:lang w:eastAsia="cs-CZ"/>
              </w:rPr>
              <w:t>Náklady na lůžkovou péči</w:t>
            </w:r>
          </w:p>
        </w:tc>
        <w:tc>
          <w:tcPr>
            <w:tcW w:w="1149" w:type="dxa"/>
            <w:shd w:val="clear" w:color="auto" w:fill="EEF3F8"/>
            <w:noWrap/>
            <w:vAlign w:val="center"/>
            <w:hideMark/>
          </w:tcPr>
          <w:p w:rsidR="000E543C" w:rsidRPr="00701EA8" w:rsidRDefault="000E543C" w:rsidP="000E543C">
            <w:pPr>
              <w:spacing w:after="0" w:line="240" w:lineRule="auto"/>
              <w:jc w:val="right"/>
              <w:rPr>
                <w:rFonts w:ascii="Calibri" w:hAnsi="Calibri" w:cs="Calibri"/>
                <w:szCs w:val="21"/>
              </w:rPr>
            </w:pPr>
            <w:r w:rsidRPr="00701EA8">
              <w:rPr>
                <w:rFonts w:ascii="Calibri" w:hAnsi="Calibri" w:cs="Calibri"/>
                <w:szCs w:val="21"/>
              </w:rPr>
              <w:t>136 001</w:t>
            </w:r>
          </w:p>
        </w:tc>
        <w:tc>
          <w:tcPr>
            <w:tcW w:w="1149" w:type="dxa"/>
            <w:shd w:val="clear" w:color="auto" w:fill="EEF3F8"/>
            <w:noWrap/>
            <w:vAlign w:val="center"/>
            <w:hideMark/>
          </w:tcPr>
          <w:p w:rsidR="000E543C" w:rsidRPr="00701EA8" w:rsidRDefault="000E543C" w:rsidP="000E543C">
            <w:pPr>
              <w:spacing w:after="0" w:line="240" w:lineRule="auto"/>
              <w:jc w:val="right"/>
              <w:rPr>
                <w:rFonts w:ascii="Calibri" w:hAnsi="Calibri" w:cs="Calibri"/>
                <w:szCs w:val="21"/>
              </w:rPr>
            </w:pPr>
            <w:r w:rsidRPr="00701EA8">
              <w:rPr>
                <w:rFonts w:ascii="Calibri" w:hAnsi="Calibri" w:cs="Calibri"/>
                <w:szCs w:val="21"/>
              </w:rPr>
              <w:t>13 645</w:t>
            </w:r>
          </w:p>
        </w:tc>
        <w:tc>
          <w:tcPr>
            <w:tcW w:w="1149" w:type="dxa"/>
            <w:shd w:val="clear" w:color="auto" w:fill="EEF3F8"/>
            <w:noWrap/>
            <w:vAlign w:val="center"/>
            <w:hideMark/>
          </w:tcPr>
          <w:p w:rsidR="000E543C" w:rsidRPr="00701EA8" w:rsidRDefault="000E543C" w:rsidP="000E543C">
            <w:pPr>
              <w:spacing w:after="0" w:line="240" w:lineRule="auto"/>
              <w:jc w:val="right"/>
              <w:rPr>
                <w:rFonts w:ascii="Calibri" w:hAnsi="Calibri" w:cs="Calibri"/>
                <w:szCs w:val="21"/>
              </w:rPr>
            </w:pPr>
            <w:r w:rsidRPr="00701EA8">
              <w:rPr>
                <w:rFonts w:ascii="Calibri" w:hAnsi="Calibri" w:cs="Calibri"/>
                <w:szCs w:val="21"/>
              </w:rPr>
              <w:t>21 090</w:t>
            </w:r>
          </w:p>
        </w:tc>
        <w:tc>
          <w:tcPr>
            <w:tcW w:w="1149" w:type="dxa"/>
            <w:shd w:val="clear" w:color="auto" w:fill="EEF3F8"/>
            <w:noWrap/>
            <w:vAlign w:val="center"/>
            <w:hideMark/>
          </w:tcPr>
          <w:p w:rsidR="000E543C" w:rsidRPr="00701EA8" w:rsidRDefault="000E543C" w:rsidP="000E543C">
            <w:pPr>
              <w:spacing w:after="0" w:line="240" w:lineRule="auto"/>
              <w:jc w:val="right"/>
              <w:rPr>
                <w:rFonts w:ascii="Calibri" w:hAnsi="Calibri" w:cs="Calibri"/>
                <w:szCs w:val="21"/>
              </w:rPr>
            </w:pPr>
            <w:r w:rsidRPr="00701EA8">
              <w:rPr>
                <w:rFonts w:ascii="Calibri" w:hAnsi="Calibri" w:cs="Calibri"/>
                <w:szCs w:val="21"/>
              </w:rPr>
              <w:t>12 872</w:t>
            </w:r>
          </w:p>
        </w:tc>
        <w:tc>
          <w:tcPr>
            <w:tcW w:w="1149" w:type="dxa"/>
            <w:shd w:val="clear" w:color="auto" w:fill="EEF3F8"/>
            <w:noWrap/>
            <w:vAlign w:val="center"/>
            <w:hideMark/>
          </w:tcPr>
          <w:p w:rsidR="000E543C" w:rsidRPr="00701EA8" w:rsidRDefault="000E543C" w:rsidP="000E543C">
            <w:pPr>
              <w:spacing w:after="0" w:line="240" w:lineRule="auto"/>
              <w:jc w:val="right"/>
              <w:rPr>
                <w:rFonts w:ascii="Calibri" w:hAnsi="Calibri" w:cs="Calibri"/>
                <w:szCs w:val="21"/>
              </w:rPr>
            </w:pPr>
            <w:r w:rsidRPr="00701EA8">
              <w:rPr>
                <w:rFonts w:ascii="Calibri" w:hAnsi="Calibri" w:cs="Calibri"/>
                <w:szCs w:val="21"/>
              </w:rPr>
              <w:t>2 913</w:t>
            </w:r>
          </w:p>
        </w:tc>
        <w:tc>
          <w:tcPr>
            <w:tcW w:w="1149" w:type="dxa"/>
            <w:shd w:val="clear" w:color="auto" w:fill="EEF3F8"/>
            <w:noWrap/>
            <w:vAlign w:val="center"/>
            <w:hideMark/>
          </w:tcPr>
          <w:p w:rsidR="000E543C" w:rsidRPr="00701EA8" w:rsidRDefault="000E543C" w:rsidP="000E543C">
            <w:pPr>
              <w:spacing w:after="0" w:line="240" w:lineRule="auto"/>
              <w:jc w:val="right"/>
              <w:rPr>
                <w:rFonts w:ascii="Calibri" w:hAnsi="Calibri" w:cs="Calibri"/>
                <w:szCs w:val="21"/>
              </w:rPr>
            </w:pPr>
            <w:r w:rsidRPr="00701EA8">
              <w:rPr>
                <w:rFonts w:ascii="Calibri" w:hAnsi="Calibri" w:cs="Calibri"/>
                <w:szCs w:val="21"/>
              </w:rPr>
              <w:t>23 525</w:t>
            </w:r>
          </w:p>
        </w:tc>
        <w:tc>
          <w:tcPr>
            <w:tcW w:w="1149" w:type="dxa"/>
            <w:shd w:val="clear" w:color="auto" w:fill="EEF3F8"/>
            <w:vAlign w:val="center"/>
          </w:tcPr>
          <w:p w:rsidR="000E543C" w:rsidRPr="00701EA8" w:rsidRDefault="000E543C" w:rsidP="000E543C">
            <w:pPr>
              <w:spacing w:after="0" w:line="240" w:lineRule="auto"/>
              <w:jc w:val="right"/>
              <w:rPr>
                <w:rFonts w:ascii="Calibri" w:hAnsi="Calibri" w:cs="Calibri"/>
                <w:color w:val="000000"/>
                <w:szCs w:val="21"/>
              </w:rPr>
            </w:pPr>
            <w:r w:rsidRPr="00701EA8">
              <w:rPr>
                <w:rFonts w:ascii="Calibri" w:hAnsi="Calibri" w:cs="Calibri"/>
                <w:color w:val="000000"/>
                <w:szCs w:val="21"/>
              </w:rPr>
              <w:t>7 165</w:t>
            </w:r>
          </w:p>
        </w:tc>
      </w:tr>
      <w:tr w:rsidR="000E543C" w:rsidRPr="000E543C" w:rsidTr="005D233A">
        <w:trPr>
          <w:trHeight w:hRule="exact" w:val="284"/>
          <w:jc w:val="right"/>
        </w:trPr>
        <w:tc>
          <w:tcPr>
            <w:tcW w:w="1596" w:type="dxa"/>
            <w:shd w:val="clear" w:color="auto" w:fill="auto"/>
            <w:vAlign w:val="bottom"/>
            <w:hideMark/>
          </w:tcPr>
          <w:p w:rsidR="000E543C" w:rsidRPr="00701EA8" w:rsidRDefault="000E543C" w:rsidP="000E543C">
            <w:pPr>
              <w:spacing w:after="0" w:line="240" w:lineRule="auto"/>
              <w:rPr>
                <w:rFonts w:eastAsia="Times New Roman" w:cs="Arial"/>
                <w:b/>
                <w:bCs/>
                <w:color w:val="000000"/>
                <w:szCs w:val="21"/>
                <w:lang w:eastAsia="cs-CZ"/>
              </w:rPr>
            </w:pPr>
            <w:r w:rsidRPr="00701EA8">
              <w:rPr>
                <w:rFonts w:eastAsia="Times New Roman" w:cs="Arial"/>
                <w:b/>
                <w:bCs/>
                <w:color w:val="000000"/>
                <w:szCs w:val="21"/>
                <w:lang w:eastAsia="cs-CZ"/>
              </w:rPr>
              <w:t>Ostatní náklady</w:t>
            </w:r>
          </w:p>
        </w:tc>
        <w:tc>
          <w:tcPr>
            <w:tcW w:w="1149" w:type="dxa"/>
            <w:shd w:val="clear" w:color="auto" w:fill="DBE5F1" w:themeFill="accent1" w:themeFillTint="33"/>
            <w:vAlign w:val="center"/>
            <w:hideMark/>
          </w:tcPr>
          <w:p w:rsidR="000E543C" w:rsidRPr="00701EA8" w:rsidRDefault="000E543C" w:rsidP="000E543C">
            <w:pPr>
              <w:spacing w:after="0" w:line="240" w:lineRule="auto"/>
              <w:jc w:val="right"/>
              <w:rPr>
                <w:rFonts w:ascii="Calibri" w:hAnsi="Calibri" w:cs="Calibri"/>
                <w:szCs w:val="21"/>
              </w:rPr>
            </w:pPr>
            <w:r w:rsidRPr="00701EA8">
              <w:rPr>
                <w:rFonts w:ascii="Calibri" w:hAnsi="Calibri" w:cs="Calibri"/>
                <w:szCs w:val="21"/>
              </w:rPr>
              <w:t>40 719</w:t>
            </w:r>
          </w:p>
        </w:tc>
        <w:tc>
          <w:tcPr>
            <w:tcW w:w="1149" w:type="dxa"/>
            <w:shd w:val="clear" w:color="auto" w:fill="auto"/>
            <w:vAlign w:val="center"/>
            <w:hideMark/>
          </w:tcPr>
          <w:p w:rsidR="000E543C" w:rsidRPr="00701EA8" w:rsidRDefault="000E543C" w:rsidP="000E543C">
            <w:pPr>
              <w:spacing w:after="0" w:line="240" w:lineRule="auto"/>
              <w:jc w:val="right"/>
              <w:rPr>
                <w:rFonts w:ascii="Calibri" w:hAnsi="Calibri" w:cs="Calibri"/>
                <w:szCs w:val="21"/>
              </w:rPr>
            </w:pPr>
            <w:r w:rsidRPr="00701EA8">
              <w:rPr>
                <w:rFonts w:ascii="Calibri" w:hAnsi="Calibri" w:cs="Calibri"/>
                <w:szCs w:val="21"/>
              </w:rPr>
              <w:t>3 955</w:t>
            </w:r>
          </w:p>
        </w:tc>
        <w:tc>
          <w:tcPr>
            <w:tcW w:w="1149" w:type="dxa"/>
            <w:shd w:val="clear" w:color="auto" w:fill="DBE5F1" w:themeFill="accent1" w:themeFillTint="33"/>
            <w:vAlign w:val="center"/>
            <w:hideMark/>
          </w:tcPr>
          <w:p w:rsidR="000E543C" w:rsidRPr="00701EA8" w:rsidRDefault="000E543C" w:rsidP="000E543C">
            <w:pPr>
              <w:spacing w:after="0" w:line="240" w:lineRule="auto"/>
              <w:jc w:val="right"/>
              <w:rPr>
                <w:rFonts w:ascii="Calibri" w:hAnsi="Calibri" w:cs="Calibri"/>
                <w:szCs w:val="21"/>
              </w:rPr>
            </w:pPr>
            <w:r w:rsidRPr="00701EA8">
              <w:rPr>
                <w:rFonts w:ascii="Calibri" w:hAnsi="Calibri" w:cs="Calibri"/>
                <w:szCs w:val="21"/>
              </w:rPr>
              <w:t>6 861</w:t>
            </w:r>
          </w:p>
        </w:tc>
        <w:tc>
          <w:tcPr>
            <w:tcW w:w="1149" w:type="dxa"/>
            <w:shd w:val="clear" w:color="auto" w:fill="auto"/>
            <w:vAlign w:val="center"/>
            <w:hideMark/>
          </w:tcPr>
          <w:p w:rsidR="000E543C" w:rsidRPr="00701EA8" w:rsidRDefault="000E543C" w:rsidP="000E543C">
            <w:pPr>
              <w:spacing w:after="0" w:line="240" w:lineRule="auto"/>
              <w:jc w:val="right"/>
              <w:rPr>
                <w:rFonts w:ascii="Calibri" w:hAnsi="Calibri" w:cs="Calibri"/>
                <w:szCs w:val="21"/>
              </w:rPr>
            </w:pPr>
            <w:r w:rsidRPr="00701EA8">
              <w:rPr>
                <w:rFonts w:ascii="Calibri" w:hAnsi="Calibri" w:cs="Calibri"/>
                <w:szCs w:val="21"/>
              </w:rPr>
              <w:t>3 874</w:t>
            </w:r>
          </w:p>
        </w:tc>
        <w:tc>
          <w:tcPr>
            <w:tcW w:w="1149" w:type="dxa"/>
            <w:shd w:val="clear" w:color="auto" w:fill="DBE5F1" w:themeFill="accent1" w:themeFillTint="33"/>
            <w:vAlign w:val="center"/>
            <w:hideMark/>
          </w:tcPr>
          <w:p w:rsidR="000E543C" w:rsidRPr="00701EA8" w:rsidRDefault="000E543C" w:rsidP="000E543C">
            <w:pPr>
              <w:spacing w:after="0" w:line="240" w:lineRule="auto"/>
              <w:jc w:val="right"/>
              <w:rPr>
                <w:rFonts w:ascii="Calibri" w:hAnsi="Calibri" w:cs="Calibri"/>
                <w:szCs w:val="21"/>
              </w:rPr>
            </w:pPr>
            <w:r w:rsidRPr="00701EA8">
              <w:rPr>
                <w:rFonts w:ascii="Calibri" w:hAnsi="Calibri" w:cs="Calibri"/>
                <w:szCs w:val="21"/>
              </w:rPr>
              <w:t>855</w:t>
            </w:r>
          </w:p>
        </w:tc>
        <w:tc>
          <w:tcPr>
            <w:tcW w:w="1149" w:type="dxa"/>
            <w:shd w:val="clear" w:color="auto" w:fill="auto"/>
            <w:vAlign w:val="center"/>
            <w:hideMark/>
          </w:tcPr>
          <w:p w:rsidR="000E543C" w:rsidRPr="00701EA8" w:rsidRDefault="000E543C" w:rsidP="000E543C">
            <w:pPr>
              <w:spacing w:after="0" w:line="240" w:lineRule="auto"/>
              <w:jc w:val="right"/>
              <w:rPr>
                <w:rFonts w:ascii="Calibri" w:hAnsi="Calibri" w:cs="Calibri"/>
                <w:szCs w:val="21"/>
              </w:rPr>
            </w:pPr>
            <w:r w:rsidRPr="00701EA8">
              <w:rPr>
                <w:rFonts w:ascii="Calibri" w:hAnsi="Calibri" w:cs="Calibri"/>
                <w:szCs w:val="21"/>
              </w:rPr>
              <w:t>7 977</w:t>
            </w:r>
          </w:p>
        </w:tc>
        <w:tc>
          <w:tcPr>
            <w:tcW w:w="1149" w:type="dxa"/>
            <w:shd w:val="clear" w:color="auto" w:fill="DBE5F1" w:themeFill="accent1" w:themeFillTint="33"/>
            <w:vAlign w:val="center"/>
          </w:tcPr>
          <w:p w:rsidR="000E543C" w:rsidRPr="00701EA8" w:rsidRDefault="000E543C" w:rsidP="000E543C">
            <w:pPr>
              <w:spacing w:after="0" w:line="240" w:lineRule="auto"/>
              <w:jc w:val="right"/>
              <w:rPr>
                <w:rFonts w:ascii="Calibri" w:hAnsi="Calibri" w:cs="Calibri"/>
                <w:color w:val="000000"/>
                <w:szCs w:val="21"/>
              </w:rPr>
            </w:pPr>
            <w:r w:rsidRPr="00701EA8">
              <w:rPr>
                <w:rFonts w:ascii="Calibri" w:hAnsi="Calibri" w:cs="Calibri"/>
                <w:color w:val="000000"/>
                <w:szCs w:val="21"/>
              </w:rPr>
              <w:t>2 248</w:t>
            </w:r>
          </w:p>
        </w:tc>
      </w:tr>
      <w:tr w:rsidR="000E543C" w:rsidRPr="000E543C" w:rsidTr="005D233A">
        <w:trPr>
          <w:trHeight w:hRule="exact" w:val="284"/>
          <w:jc w:val="right"/>
        </w:trPr>
        <w:tc>
          <w:tcPr>
            <w:tcW w:w="1596" w:type="dxa"/>
            <w:shd w:val="clear" w:color="auto" w:fill="EEF3F8"/>
            <w:vAlign w:val="bottom"/>
            <w:hideMark/>
          </w:tcPr>
          <w:p w:rsidR="000E543C" w:rsidRPr="00701EA8" w:rsidRDefault="000E543C" w:rsidP="000E543C">
            <w:pPr>
              <w:spacing w:after="0" w:line="240" w:lineRule="auto"/>
              <w:rPr>
                <w:rFonts w:eastAsia="Times New Roman" w:cs="Arial"/>
                <w:b/>
                <w:bCs/>
                <w:color w:val="000000"/>
                <w:szCs w:val="21"/>
                <w:lang w:eastAsia="cs-CZ"/>
              </w:rPr>
            </w:pPr>
            <w:r w:rsidRPr="00701EA8">
              <w:rPr>
                <w:rFonts w:eastAsia="Times New Roman" w:cs="Arial"/>
                <w:b/>
                <w:bCs/>
                <w:color w:val="000000"/>
                <w:szCs w:val="21"/>
                <w:lang w:eastAsia="cs-CZ"/>
              </w:rPr>
              <w:t>Celkové náklady</w:t>
            </w:r>
          </w:p>
        </w:tc>
        <w:tc>
          <w:tcPr>
            <w:tcW w:w="1149" w:type="dxa"/>
            <w:shd w:val="clear" w:color="auto" w:fill="EEF3F8"/>
            <w:vAlign w:val="center"/>
            <w:hideMark/>
          </w:tcPr>
          <w:p w:rsidR="000E543C" w:rsidRPr="00701EA8" w:rsidRDefault="000E543C" w:rsidP="000E543C">
            <w:pPr>
              <w:spacing w:after="0" w:line="240" w:lineRule="auto"/>
              <w:jc w:val="right"/>
              <w:rPr>
                <w:rFonts w:ascii="Calibri" w:hAnsi="Calibri" w:cs="Calibri"/>
                <w:b/>
                <w:bCs/>
                <w:color w:val="000000"/>
                <w:szCs w:val="21"/>
              </w:rPr>
            </w:pPr>
            <w:r w:rsidRPr="00701EA8">
              <w:rPr>
                <w:rFonts w:ascii="Calibri" w:hAnsi="Calibri" w:cs="Calibri"/>
                <w:b/>
                <w:bCs/>
                <w:color w:val="000000"/>
                <w:szCs w:val="21"/>
              </w:rPr>
              <w:t>232 514</w:t>
            </w:r>
          </w:p>
        </w:tc>
        <w:tc>
          <w:tcPr>
            <w:tcW w:w="1149" w:type="dxa"/>
            <w:shd w:val="clear" w:color="auto" w:fill="EEF3F8"/>
            <w:vAlign w:val="center"/>
            <w:hideMark/>
          </w:tcPr>
          <w:p w:rsidR="000E543C" w:rsidRPr="00701EA8" w:rsidRDefault="000E543C" w:rsidP="000E543C">
            <w:pPr>
              <w:spacing w:after="0" w:line="240" w:lineRule="auto"/>
              <w:jc w:val="right"/>
              <w:rPr>
                <w:rFonts w:ascii="Calibri" w:hAnsi="Calibri" w:cs="Calibri"/>
                <w:b/>
                <w:bCs/>
                <w:color w:val="000000"/>
                <w:szCs w:val="21"/>
              </w:rPr>
            </w:pPr>
            <w:r w:rsidRPr="00701EA8">
              <w:rPr>
                <w:rFonts w:ascii="Calibri" w:hAnsi="Calibri" w:cs="Calibri"/>
                <w:b/>
                <w:bCs/>
                <w:color w:val="000000"/>
                <w:szCs w:val="21"/>
              </w:rPr>
              <w:t>23 888</w:t>
            </w:r>
          </w:p>
        </w:tc>
        <w:tc>
          <w:tcPr>
            <w:tcW w:w="1149" w:type="dxa"/>
            <w:shd w:val="clear" w:color="auto" w:fill="EEF3F8"/>
            <w:vAlign w:val="center"/>
            <w:hideMark/>
          </w:tcPr>
          <w:p w:rsidR="000E543C" w:rsidRPr="00701EA8" w:rsidRDefault="000E543C" w:rsidP="000E543C">
            <w:pPr>
              <w:spacing w:after="0" w:line="240" w:lineRule="auto"/>
              <w:jc w:val="right"/>
              <w:rPr>
                <w:rFonts w:ascii="Calibri" w:hAnsi="Calibri" w:cs="Calibri"/>
                <w:b/>
                <w:bCs/>
                <w:color w:val="000000"/>
                <w:szCs w:val="21"/>
              </w:rPr>
            </w:pPr>
            <w:r w:rsidRPr="00701EA8">
              <w:rPr>
                <w:rFonts w:ascii="Calibri" w:hAnsi="Calibri" w:cs="Calibri"/>
                <w:b/>
                <w:bCs/>
                <w:color w:val="000000"/>
                <w:szCs w:val="21"/>
              </w:rPr>
              <w:t>40 500</w:t>
            </w:r>
          </w:p>
        </w:tc>
        <w:tc>
          <w:tcPr>
            <w:tcW w:w="1149" w:type="dxa"/>
            <w:shd w:val="clear" w:color="auto" w:fill="EEF3F8"/>
            <w:vAlign w:val="center"/>
            <w:hideMark/>
          </w:tcPr>
          <w:p w:rsidR="000E543C" w:rsidRPr="00701EA8" w:rsidRDefault="000E543C" w:rsidP="000E543C">
            <w:pPr>
              <w:spacing w:after="0" w:line="240" w:lineRule="auto"/>
              <w:jc w:val="right"/>
              <w:rPr>
                <w:rFonts w:ascii="Calibri" w:hAnsi="Calibri" w:cs="Calibri"/>
                <w:b/>
                <w:bCs/>
                <w:color w:val="000000"/>
                <w:szCs w:val="21"/>
              </w:rPr>
            </w:pPr>
            <w:r w:rsidRPr="00701EA8">
              <w:rPr>
                <w:rFonts w:ascii="Calibri" w:hAnsi="Calibri" w:cs="Calibri"/>
                <w:b/>
                <w:bCs/>
                <w:color w:val="000000"/>
                <w:szCs w:val="21"/>
              </w:rPr>
              <w:t>23 759</w:t>
            </w:r>
          </w:p>
        </w:tc>
        <w:tc>
          <w:tcPr>
            <w:tcW w:w="1149" w:type="dxa"/>
            <w:shd w:val="clear" w:color="auto" w:fill="EEF3F8"/>
            <w:vAlign w:val="center"/>
            <w:hideMark/>
          </w:tcPr>
          <w:p w:rsidR="000E543C" w:rsidRPr="00701EA8" w:rsidRDefault="000E543C" w:rsidP="000E543C">
            <w:pPr>
              <w:spacing w:after="0" w:line="240" w:lineRule="auto"/>
              <w:jc w:val="right"/>
              <w:rPr>
                <w:rFonts w:ascii="Calibri" w:hAnsi="Calibri" w:cs="Calibri"/>
                <w:b/>
                <w:bCs/>
                <w:color w:val="000000"/>
                <w:szCs w:val="21"/>
              </w:rPr>
            </w:pPr>
            <w:r w:rsidRPr="00701EA8">
              <w:rPr>
                <w:rFonts w:ascii="Calibri" w:hAnsi="Calibri" w:cs="Calibri"/>
                <w:b/>
                <w:bCs/>
                <w:color w:val="000000"/>
                <w:szCs w:val="21"/>
              </w:rPr>
              <w:t>4 962</w:t>
            </w:r>
          </w:p>
        </w:tc>
        <w:tc>
          <w:tcPr>
            <w:tcW w:w="1149" w:type="dxa"/>
            <w:shd w:val="clear" w:color="auto" w:fill="EEF3F8"/>
            <w:vAlign w:val="center"/>
            <w:hideMark/>
          </w:tcPr>
          <w:p w:rsidR="000E543C" w:rsidRPr="00701EA8" w:rsidRDefault="000E543C" w:rsidP="000E543C">
            <w:pPr>
              <w:spacing w:after="0" w:line="240" w:lineRule="auto"/>
              <w:jc w:val="right"/>
              <w:rPr>
                <w:rFonts w:ascii="Calibri" w:hAnsi="Calibri" w:cs="Calibri"/>
                <w:b/>
                <w:bCs/>
                <w:color w:val="000000"/>
                <w:szCs w:val="21"/>
              </w:rPr>
            </w:pPr>
            <w:r w:rsidRPr="00701EA8">
              <w:rPr>
                <w:rFonts w:ascii="Calibri" w:hAnsi="Calibri" w:cs="Calibri"/>
                <w:b/>
                <w:bCs/>
                <w:color w:val="000000"/>
                <w:szCs w:val="21"/>
              </w:rPr>
              <w:t>43 952</w:t>
            </w:r>
          </w:p>
        </w:tc>
        <w:tc>
          <w:tcPr>
            <w:tcW w:w="1149" w:type="dxa"/>
            <w:shd w:val="clear" w:color="auto" w:fill="EEF3F8"/>
            <w:vAlign w:val="center"/>
          </w:tcPr>
          <w:p w:rsidR="000E543C" w:rsidRPr="00701EA8" w:rsidRDefault="000E543C" w:rsidP="000E543C">
            <w:pPr>
              <w:spacing w:after="0" w:line="240" w:lineRule="auto"/>
              <w:jc w:val="right"/>
              <w:rPr>
                <w:rFonts w:ascii="Calibri" w:hAnsi="Calibri" w:cs="Calibri"/>
                <w:b/>
                <w:bCs/>
                <w:color w:val="000000"/>
                <w:szCs w:val="21"/>
              </w:rPr>
            </w:pPr>
            <w:r w:rsidRPr="00701EA8">
              <w:rPr>
                <w:rFonts w:ascii="Calibri" w:hAnsi="Calibri" w:cs="Calibri"/>
                <w:b/>
                <w:bCs/>
                <w:color w:val="000000"/>
                <w:szCs w:val="21"/>
              </w:rPr>
              <w:t>13 800</w:t>
            </w:r>
          </w:p>
        </w:tc>
      </w:tr>
    </w:tbl>
    <w:p w:rsidR="00F87912" w:rsidRPr="000E543C" w:rsidRDefault="00F87912" w:rsidP="00F87912">
      <w:pPr>
        <w:pStyle w:val="Titulek"/>
        <w:spacing w:before="240"/>
        <w:jc w:val="both"/>
      </w:pPr>
      <w:bookmarkStart w:id="57" w:name="_Toc25073785"/>
      <w:bookmarkStart w:id="58" w:name="_Toc63685271"/>
      <w:r w:rsidRPr="000E543C">
        <w:t xml:space="preserve">Tabulka č. </w:t>
      </w:r>
      <w:r w:rsidR="008E5E29" w:rsidRPr="000E543C">
        <w:rPr>
          <w:noProof/>
        </w:rPr>
        <w:fldChar w:fldCharType="begin"/>
      </w:r>
      <w:r w:rsidRPr="000E543C">
        <w:rPr>
          <w:noProof/>
        </w:rPr>
        <w:instrText xml:space="preserve"> SEQ Tabulka \* ARABIC </w:instrText>
      </w:r>
      <w:r w:rsidR="008E5E29" w:rsidRPr="000E543C">
        <w:rPr>
          <w:noProof/>
        </w:rPr>
        <w:fldChar w:fldCharType="separate"/>
      </w:r>
      <w:r w:rsidR="006D5C90">
        <w:rPr>
          <w:noProof/>
        </w:rPr>
        <w:t>18</w:t>
      </w:r>
      <w:r w:rsidR="008E5E29" w:rsidRPr="000E543C">
        <w:rPr>
          <w:noProof/>
        </w:rPr>
        <w:fldChar w:fldCharType="end"/>
      </w:r>
      <w:r w:rsidRPr="000E543C">
        <w:t>: Struktura nákladů na zdravotní služby podle jednotlivých segmentů v r. 20</w:t>
      </w:r>
      <w:r w:rsidR="00C9583F">
        <w:t>20</w:t>
      </w:r>
      <w:r w:rsidRPr="000E543C">
        <w:t xml:space="preserve"> dle zdravotních pojišťoven</w:t>
      </w:r>
      <w:bookmarkEnd w:id="57"/>
      <w:bookmarkEnd w:id="58"/>
    </w:p>
    <w:tbl>
      <w:tblPr>
        <w:tblW w:w="9639" w:type="dxa"/>
        <w:jc w:val="center"/>
        <w:tblBorders>
          <w:top w:val="single" w:sz="12" w:space="0" w:color="548DD4" w:themeColor="text2" w:themeTint="99"/>
          <w:left w:val="single" w:sz="12" w:space="0" w:color="548DD4" w:themeColor="text2" w:themeTint="99"/>
          <w:bottom w:val="single" w:sz="12" w:space="0" w:color="548DD4" w:themeColor="text2" w:themeTint="99"/>
          <w:right w:val="single" w:sz="12" w:space="0" w:color="548DD4" w:themeColor="text2" w:themeTint="99"/>
        </w:tblBorders>
        <w:tblCellMar>
          <w:left w:w="70" w:type="dxa"/>
          <w:right w:w="70" w:type="dxa"/>
        </w:tblCellMar>
        <w:tblLook w:val="04A0" w:firstRow="1" w:lastRow="0" w:firstColumn="1" w:lastColumn="0" w:noHBand="0" w:noVBand="1"/>
      </w:tblPr>
      <w:tblGrid>
        <w:gridCol w:w="1596"/>
        <w:gridCol w:w="1149"/>
        <w:gridCol w:w="1149"/>
        <w:gridCol w:w="1149"/>
        <w:gridCol w:w="1149"/>
        <w:gridCol w:w="1149"/>
        <w:gridCol w:w="1149"/>
        <w:gridCol w:w="1149"/>
      </w:tblGrid>
      <w:tr w:rsidR="00F87912" w:rsidRPr="000E543C" w:rsidTr="004D6049">
        <w:trPr>
          <w:trHeight w:val="568"/>
          <w:jc w:val="center"/>
        </w:trPr>
        <w:tc>
          <w:tcPr>
            <w:tcW w:w="1596" w:type="dxa"/>
            <w:shd w:val="clear" w:color="auto" w:fill="4F81BD"/>
            <w:vAlign w:val="center"/>
            <w:hideMark/>
          </w:tcPr>
          <w:p w:rsidR="00F87912" w:rsidRPr="00701EA8" w:rsidRDefault="00F87912" w:rsidP="004D6049">
            <w:pPr>
              <w:spacing w:after="0" w:line="240" w:lineRule="auto"/>
              <w:rPr>
                <w:rFonts w:ascii="Calibri" w:eastAsia="Times New Roman" w:hAnsi="Calibri" w:cs="Times New Roman"/>
                <w:b/>
                <w:bCs/>
                <w:i/>
                <w:iCs/>
                <w:color w:val="FFFFFF"/>
                <w:szCs w:val="21"/>
                <w:lang w:eastAsia="cs-CZ"/>
              </w:rPr>
            </w:pPr>
            <w:r w:rsidRPr="00701EA8">
              <w:rPr>
                <w:rFonts w:ascii="Calibri" w:hAnsi="Calibri"/>
                <w:b/>
                <w:bCs/>
                <w:color w:val="FFFFFF"/>
                <w:szCs w:val="21"/>
              </w:rPr>
              <w:t>Oč. skut 20</w:t>
            </w:r>
            <w:r w:rsidR="00D85079" w:rsidRPr="00701EA8">
              <w:rPr>
                <w:rFonts w:ascii="Calibri" w:hAnsi="Calibri"/>
                <w:b/>
                <w:bCs/>
                <w:color w:val="FFFFFF"/>
                <w:szCs w:val="21"/>
              </w:rPr>
              <w:t>20</w:t>
            </w:r>
            <w:r w:rsidRPr="00701EA8">
              <w:rPr>
                <w:rFonts w:ascii="Calibri" w:eastAsia="Times New Roman" w:hAnsi="Calibri" w:cs="Times New Roman"/>
                <w:b/>
                <w:bCs/>
                <w:i/>
                <w:iCs/>
                <w:color w:val="FFFFFF"/>
                <w:szCs w:val="21"/>
                <w:lang w:eastAsia="cs-CZ"/>
              </w:rPr>
              <w:t xml:space="preserve"> </w:t>
            </w:r>
          </w:p>
          <w:p w:rsidR="00F87912" w:rsidRPr="00701EA8" w:rsidRDefault="00F87912" w:rsidP="004D6049">
            <w:pPr>
              <w:spacing w:after="0" w:line="240" w:lineRule="auto"/>
              <w:rPr>
                <w:rFonts w:ascii="Calibri" w:eastAsia="Times New Roman" w:hAnsi="Calibri" w:cs="Times New Roman"/>
                <w:b/>
                <w:bCs/>
                <w:color w:val="FFFFFF"/>
                <w:szCs w:val="21"/>
                <w:lang w:eastAsia="cs-CZ"/>
              </w:rPr>
            </w:pPr>
            <w:r w:rsidRPr="00701EA8">
              <w:rPr>
                <w:rFonts w:ascii="Calibri" w:eastAsia="Times New Roman" w:hAnsi="Calibri" w:cs="Times New Roman"/>
                <w:b/>
                <w:bCs/>
                <w:i/>
                <w:iCs/>
                <w:color w:val="FFFFFF"/>
                <w:szCs w:val="21"/>
                <w:lang w:eastAsia="cs-CZ"/>
              </w:rPr>
              <w:t xml:space="preserve">(v mil. </w:t>
            </w:r>
            <w:proofErr w:type="gramStart"/>
            <w:r w:rsidRPr="00701EA8">
              <w:rPr>
                <w:rFonts w:ascii="Calibri" w:eastAsia="Times New Roman" w:hAnsi="Calibri" w:cs="Times New Roman"/>
                <w:b/>
                <w:bCs/>
                <w:i/>
                <w:iCs/>
                <w:color w:val="FFFFFF"/>
                <w:szCs w:val="21"/>
                <w:lang w:eastAsia="cs-CZ"/>
              </w:rPr>
              <w:t>Kč )</w:t>
            </w:r>
            <w:proofErr w:type="gramEnd"/>
          </w:p>
        </w:tc>
        <w:tc>
          <w:tcPr>
            <w:tcW w:w="1149" w:type="dxa"/>
            <w:shd w:val="clear" w:color="auto" w:fill="6691C6"/>
            <w:vAlign w:val="center"/>
          </w:tcPr>
          <w:p w:rsidR="00F87912" w:rsidRPr="00701EA8" w:rsidRDefault="00F87912" w:rsidP="004D6049">
            <w:pPr>
              <w:spacing w:after="0" w:line="240" w:lineRule="auto"/>
              <w:jc w:val="center"/>
              <w:rPr>
                <w:rFonts w:ascii="Calibri" w:eastAsia="Times New Roman" w:hAnsi="Calibri" w:cs="Times New Roman"/>
                <w:color w:val="FFFFFF"/>
                <w:szCs w:val="21"/>
                <w:lang w:eastAsia="cs-CZ"/>
              </w:rPr>
            </w:pPr>
            <w:r w:rsidRPr="00701EA8">
              <w:rPr>
                <w:rFonts w:ascii="Calibri" w:eastAsia="Times New Roman" w:hAnsi="Calibri" w:cs="Times New Roman"/>
                <w:color w:val="FFFFFF"/>
                <w:szCs w:val="21"/>
                <w:lang w:eastAsia="cs-CZ"/>
              </w:rPr>
              <w:t>VZP ČR</w:t>
            </w:r>
          </w:p>
        </w:tc>
        <w:tc>
          <w:tcPr>
            <w:tcW w:w="1149" w:type="dxa"/>
            <w:shd w:val="clear" w:color="auto" w:fill="4F81BD"/>
            <w:vAlign w:val="center"/>
            <w:hideMark/>
          </w:tcPr>
          <w:p w:rsidR="00F87912" w:rsidRPr="00701EA8" w:rsidRDefault="00F87912" w:rsidP="004D6049">
            <w:pPr>
              <w:spacing w:after="0" w:line="240" w:lineRule="auto"/>
              <w:jc w:val="center"/>
              <w:rPr>
                <w:rFonts w:ascii="Calibri" w:eastAsia="Times New Roman" w:hAnsi="Calibri" w:cs="Times New Roman"/>
                <w:color w:val="FFFFFF"/>
                <w:szCs w:val="21"/>
                <w:lang w:eastAsia="cs-CZ"/>
              </w:rPr>
            </w:pPr>
            <w:proofErr w:type="spellStart"/>
            <w:r w:rsidRPr="00701EA8">
              <w:rPr>
                <w:rFonts w:ascii="Calibri" w:eastAsia="Times New Roman" w:hAnsi="Calibri" w:cs="Times New Roman"/>
                <w:color w:val="FFFFFF"/>
                <w:szCs w:val="21"/>
                <w:lang w:eastAsia="cs-CZ"/>
              </w:rPr>
              <w:t>VoZP</w:t>
            </w:r>
            <w:proofErr w:type="spellEnd"/>
            <w:r w:rsidRPr="00701EA8">
              <w:rPr>
                <w:rFonts w:ascii="Calibri" w:eastAsia="Times New Roman" w:hAnsi="Calibri" w:cs="Times New Roman"/>
                <w:color w:val="FFFFFF"/>
                <w:szCs w:val="21"/>
                <w:lang w:eastAsia="cs-CZ"/>
              </w:rPr>
              <w:t xml:space="preserve"> ČR</w:t>
            </w:r>
          </w:p>
        </w:tc>
        <w:tc>
          <w:tcPr>
            <w:tcW w:w="1149" w:type="dxa"/>
            <w:shd w:val="clear" w:color="auto" w:fill="6691C6"/>
            <w:vAlign w:val="center"/>
            <w:hideMark/>
          </w:tcPr>
          <w:p w:rsidR="00F87912" w:rsidRPr="00701EA8" w:rsidRDefault="00F87912" w:rsidP="004D6049">
            <w:pPr>
              <w:spacing w:after="0" w:line="240" w:lineRule="auto"/>
              <w:jc w:val="center"/>
              <w:rPr>
                <w:rFonts w:ascii="Calibri" w:eastAsia="Times New Roman" w:hAnsi="Calibri" w:cs="Times New Roman"/>
                <w:color w:val="FFFFFF"/>
                <w:szCs w:val="21"/>
                <w:lang w:eastAsia="cs-CZ"/>
              </w:rPr>
            </w:pPr>
            <w:r w:rsidRPr="00701EA8">
              <w:rPr>
                <w:rFonts w:ascii="Calibri" w:eastAsia="Times New Roman" w:hAnsi="Calibri" w:cs="Times New Roman"/>
                <w:color w:val="FFFFFF"/>
                <w:szCs w:val="21"/>
                <w:lang w:eastAsia="cs-CZ"/>
              </w:rPr>
              <w:t>ČPZP</w:t>
            </w:r>
          </w:p>
        </w:tc>
        <w:tc>
          <w:tcPr>
            <w:tcW w:w="1149" w:type="dxa"/>
            <w:shd w:val="clear" w:color="auto" w:fill="4F81BD"/>
            <w:vAlign w:val="center"/>
            <w:hideMark/>
          </w:tcPr>
          <w:p w:rsidR="00F87912" w:rsidRPr="00701EA8" w:rsidRDefault="00F87912" w:rsidP="004D6049">
            <w:pPr>
              <w:spacing w:after="0" w:line="240" w:lineRule="auto"/>
              <w:jc w:val="center"/>
              <w:rPr>
                <w:rFonts w:ascii="Calibri" w:eastAsia="Times New Roman" w:hAnsi="Calibri" w:cs="Times New Roman"/>
                <w:color w:val="FFFFFF"/>
                <w:szCs w:val="21"/>
                <w:lang w:eastAsia="cs-CZ"/>
              </w:rPr>
            </w:pPr>
            <w:r w:rsidRPr="00701EA8">
              <w:rPr>
                <w:rFonts w:ascii="Calibri" w:eastAsia="Times New Roman" w:hAnsi="Calibri" w:cs="Times New Roman"/>
                <w:color w:val="FFFFFF"/>
                <w:szCs w:val="21"/>
                <w:lang w:eastAsia="cs-CZ"/>
              </w:rPr>
              <w:t>OZP</w:t>
            </w:r>
          </w:p>
        </w:tc>
        <w:tc>
          <w:tcPr>
            <w:tcW w:w="1149" w:type="dxa"/>
            <w:shd w:val="clear" w:color="auto" w:fill="6691C6"/>
            <w:vAlign w:val="center"/>
            <w:hideMark/>
          </w:tcPr>
          <w:p w:rsidR="00F87912" w:rsidRPr="00701EA8" w:rsidRDefault="00F87912" w:rsidP="004D6049">
            <w:pPr>
              <w:spacing w:after="0" w:line="240" w:lineRule="auto"/>
              <w:jc w:val="center"/>
              <w:rPr>
                <w:rFonts w:ascii="Calibri" w:eastAsia="Times New Roman" w:hAnsi="Calibri" w:cs="Times New Roman"/>
                <w:color w:val="FFFFFF"/>
                <w:szCs w:val="21"/>
                <w:lang w:eastAsia="cs-CZ"/>
              </w:rPr>
            </w:pPr>
            <w:r w:rsidRPr="00701EA8">
              <w:rPr>
                <w:rFonts w:ascii="Calibri" w:eastAsia="Times New Roman" w:hAnsi="Calibri" w:cs="Times New Roman"/>
                <w:color w:val="FFFFFF"/>
                <w:szCs w:val="21"/>
                <w:lang w:eastAsia="cs-CZ"/>
              </w:rPr>
              <w:t>ZPŠ</w:t>
            </w:r>
          </w:p>
        </w:tc>
        <w:tc>
          <w:tcPr>
            <w:tcW w:w="1149" w:type="dxa"/>
            <w:shd w:val="clear" w:color="auto" w:fill="4F81BD"/>
            <w:vAlign w:val="center"/>
            <w:hideMark/>
          </w:tcPr>
          <w:p w:rsidR="00F87912" w:rsidRPr="00701EA8" w:rsidRDefault="00DF5584" w:rsidP="004D6049">
            <w:pPr>
              <w:spacing w:after="0" w:line="240" w:lineRule="auto"/>
              <w:jc w:val="center"/>
              <w:rPr>
                <w:rFonts w:ascii="Calibri" w:eastAsia="Times New Roman" w:hAnsi="Calibri" w:cs="Times New Roman"/>
                <w:color w:val="FFFFFF"/>
                <w:szCs w:val="21"/>
                <w:lang w:eastAsia="cs-CZ"/>
              </w:rPr>
            </w:pPr>
            <w:r w:rsidRPr="00701EA8">
              <w:rPr>
                <w:rFonts w:ascii="Calibri" w:eastAsia="Times New Roman" w:hAnsi="Calibri" w:cs="Times New Roman"/>
                <w:color w:val="FFFFFF"/>
                <w:szCs w:val="21"/>
                <w:lang w:eastAsia="cs-CZ"/>
              </w:rPr>
              <w:t>ZP MV ČR</w:t>
            </w:r>
          </w:p>
        </w:tc>
        <w:tc>
          <w:tcPr>
            <w:tcW w:w="1149" w:type="dxa"/>
            <w:shd w:val="clear" w:color="auto" w:fill="6691C6"/>
            <w:vAlign w:val="center"/>
          </w:tcPr>
          <w:p w:rsidR="00F87912" w:rsidRPr="00701EA8" w:rsidRDefault="00F87912" w:rsidP="004D6049">
            <w:pPr>
              <w:spacing w:after="0" w:line="240" w:lineRule="auto"/>
              <w:jc w:val="center"/>
              <w:rPr>
                <w:rFonts w:ascii="Calibri" w:eastAsia="Times New Roman" w:hAnsi="Calibri" w:cs="Times New Roman"/>
                <w:color w:val="FFFFFF"/>
                <w:szCs w:val="21"/>
                <w:lang w:eastAsia="cs-CZ"/>
              </w:rPr>
            </w:pPr>
            <w:r w:rsidRPr="00701EA8">
              <w:rPr>
                <w:rFonts w:ascii="Calibri" w:eastAsia="Times New Roman" w:hAnsi="Calibri" w:cs="Times New Roman"/>
                <w:color w:val="FFFFFF"/>
                <w:szCs w:val="21"/>
                <w:lang w:eastAsia="cs-CZ"/>
              </w:rPr>
              <w:t>RBP</w:t>
            </w:r>
          </w:p>
        </w:tc>
      </w:tr>
      <w:tr w:rsidR="00C9583F" w:rsidRPr="000E543C" w:rsidTr="005D233A">
        <w:trPr>
          <w:trHeight w:hRule="exact" w:val="510"/>
          <w:jc w:val="center"/>
        </w:trPr>
        <w:tc>
          <w:tcPr>
            <w:tcW w:w="1596" w:type="dxa"/>
            <w:shd w:val="clear" w:color="auto" w:fill="auto"/>
            <w:vAlign w:val="bottom"/>
            <w:hideMark/>
          </w:tcPr>
          <w:p w:rsidR="00C9583F" w:rsidRPr="00701EA8" w:rsidRDefault="00C9583F" w:rsidP="00C9583F">
            <w:pPr>
              <w:spacing w:after="0" w:line="240" w:lineRule="auto"/>
              <w:rPr>
                <w:rFonts w:eastAsia="Times New Roman" w:cs="Arial"/>
                <w:b/>
                <w:bCs/>
                <w:color w:val="000000"/>
                <w:szCs w:val="21"/>
                <w:lang w:eastAsia="cs-CZ"/>
              </w:rPr>
            </w:pPr>
            <w:r w:rsidRPr="00701EA8">
              <w:rPr>
                <w:rFonts w:eastAsia="Times New Roman" w:cs="Arial"/>
                <w:b/>
                <w:bCs/>
                <w:color w:val="000000"/>
                <w:szCs w:val="21"/>
                <w:lang w:eastAsia="cs-CZ"/>
              </w:rPr>
              <w:t>Náklady na ambulantní péči</w:t>
            </w:r>
          </w:p>
        </w:tc>
        <w:tc>
          <w:tcPr>
            <w:tcW w:w="1149" w:type="dxa"/>
            <w:shd w:val="clear" w:color="auto" w:fill="DBE5F1" w:themeFill="accent1" w:themeFillTint="33"/>
            <w:vAlign w:val="center"/>
            <w:hideMark/>
          </w:tcPr>
          <w:p w:rsidR="00C9583F" w:rsidRPr="00701EA8" w:rsidRDefault="00C9583F" w:rsidP="00C9583F">
            <w:pPr>
              <w:spacing w:after="0" w:line="240" w:lineRule="auto"/>
              <w:jc w:val="right"/>
              <w:rPr>
                <w:rFonts w:ascii="Calibri" w:hAnsi="Calibri" w:cs="Calibri"/>
                <w:szCs w:val="21"/>
              </w:rPr>
            </w:pPr>
            <w:r w:rsidRPr="00701EA8">
              <w:rPr>
                <w:rFonts w:ascii="Calibri" w:hAnsi="Calibri" w:cs="Calibri"/>
                <w:szCs w:val="21"/>
              </w:rPr>
              <w:t>52 296</w:t>
            </w:r>
          </w:p>
        </w:tc>
        <w:tc>
          <w:tcPr>
            <w:tcW w:w="1149" w:type="dxa"/>
            <w:shd w:val="clear" w:color="auto" w:fill="auto"/>
            <w:vAlign w:val="center"/>
            <w:hideMark/>
          </w:tcPr>
          <w:p w:rsidR="00C9583F" w:rsidRPr="00701EA8" w:rsidRDefault="00C9583F" w:rsidP="00C9583F">
            <w:pPr>
              <w:spacing w:after="0" w:line="240" w:lineRule="auto"/>
              <w:jc w:val="right"/>
              <w:rPr>
                <w:rFonts w:ascii="Calibri" w:hAnsi="Calibri" w:cs="Calibri"/>
                <w:szCs w:val="21"/>
              </w:rPr>
            </w:pPr>
            <w:r w:rsidRPr="00701EA8">
              <w:rPr>
                <w:rFonts w:ascii="Calibri" w:hAnsi="Calibri" w:cs="Calibri"/>
                <w:szCs w:val="21"/>
              </w:rPr>
              <w:t>5 794</w:t>
            </w:r>
          </w:p>
        </w:tc>
        <w:tc>
          <w:tcPr>
            <w:tcW w:w="1149" w:type="dxa"/>
            <w:shd w:val="clear" w:color="auto" w:fill="DBE5F1" w:themeFill="accent1" w:themeFillTint="33"/>
            <w:vAlign w:val="center"/>
            <w:hideMark/>
          </w:tcPr>
          <w:p w:rsidR="00C9583F" w:rsidRPr="00701EA8" w:rsidRDefault="00C9583F" w:rsidP="00C9583F">
            <w:pPr>
              <w:spacing w:after="0" w:line="240" w:lineRule="auto"/>
              <w:jc w:val="right"/>
              <w:rPr>
                <w:rFonts w:ascii="Calibri" w:hAnsi="Calibri" w:cs="Calibri"/>
                <w:szCs w:val="21"/>
              </w:rPr>
            </w:pPr>
            <w:r w:rsidRPr="00701EA8">
              <w:rPr>
                <w:rFonts w:ascii="Calibri" w:hAnsi="Calibri" w:cs="Calibri"/>
                <w:szCs w:val="21"/>
              </w:rPr>
              <w:t>11 847</w:t>
            </w:r>
          </w:p>
        </w:tc>
        <w:tc>
          <w:tcPr>
            <w:tcW w:w="1149" w:type="dxa"/>
            <w:shd w:val="clear" w:color="auto" w:fill="auto"/>
            <w:vAlign w:val="center"/>
            <w:hideMark/>
          </w:tcPr>
          <w:p w:rsidR="00C9583F" w:rsidRPr="00701EA8" w:rsidRDefault="00C9583F" w:rsidP="00C9583F">
            <w:pPr>
              <w:spacing w:after="0" w:line="240" w:lineRule="auto"/>
              <w:jc w:val="right"/>
              <w:rPr>
                <w:rFonts w:ascii="Calibri" w:hAnsi="Calibri" w:cs="Calibri"/>
                <w:szCs w:val="21"/>
              </w:rPr>
            </w:pPr>
            <w:r w:rsidRPr="00701EA8">
              <w:rPr>
                <w:rFonts w:ascii="Calibri" w:hAnsi="Calibri" w:cs="Calibri"/>
                <w:szCs w:val="21"/>
              </w:rPr>
              <w:t>6 591</w:t>
            </w:r>
          </w:p>
        </w:tc>
        <w:tc>
          <w:tcPr>
            <w:tcW w:w="1149" w:type="dxa"/>
            <w:shd w:val="clear" w:color="auto" w:fill="DBE5F1" w:themeFill="accent1" w:themeFillTint="33"/>
            <w:vAlign w:val="center"/>
            <w:hideMark/>
          </w:tcPr>
          <w:p w:rsidR="00C9583F" w:rsidRPr="00701EA8" w:rsidRDefault="00C9583F" w:rsidP="00C9583F">
            <w:pPr>
              <w:spacing w:after="0" w:line="240" w:lineRule="auto"/>
              <w:jc w:val="right"/>
              <w:rPr>
                <w:rFonts w:ascii="Calibri" w:hAnsi="Calibri" w:cs="Calibri"/>
                <w:szCs w:val="21"/>
              </w:rPr>
            </w:pPr>
            <w:r w:rsidRPr="00701EA8">
              <w:rPr>
                <w:rFonts w:ascii="Calibri" w:hAnsi="Calibri" w:cs="Calibri"/>
                <w:szCs w:val="21"/>
              </w:rPr>
              <w:t>1 120</w:t>
            </w:r>
          </w:p>
        </w:tc>
        <w:tc>
          <w:tcPr>
            <w:tcW w:w="1149" w:type="dxa"/>
            <w:shd w:val="clear" w:color="auto" w:fill="auto"/>
            <w:vAlign w:val="center"/>
            <w:hideMark/>
          </w:tcPr>
          <w:p w:rsidR="00C9583F" w:rsidRPr="00701EA8" w:rsidRDefault="00C9583F" w:rsidP="00C9583F">
            <w:pPr>
              <w:spacing w:after="0" w:line="240" w:lineRule="auto"/>
              <w:jc w:val="right"/>
              <w:rPr>
                <w:rFonts w:ascii="Calibri" w:hAnsi="Calibri" w:cs="Calibri"/>
                <w:szCs w:val="21"/>
              </w:rPr>
            </w:pPr>
            <w:r w:rsidRPr="00701EA8">
              <w:rPr>
                <w:rFonts w:ascii="Calibri" w:hAnsi="Calibri" w:cs="Calibri"/>
                <w:szCs w:val="21"/>
              </w:rPr>
              <w:t>11 745</w:t>
            </w:r>
          </w:p>
        </w:tc>
        <w:tc>
          <w:tcPr>
            <w:tcW w:w="1149" w:type="dxa"/>
            <w:shd w:val="clear" w:color="auto" w:fill="DBE5F1" w:themeFill="accent1" w:themeFillTint="33"/>
            <w:vAlign w:val="center"/>
          </w:tcPr>
          <w:p w:rsidR="00C9583F" w:rsidRPr="00701EA8" w:rsidRDefault="00C9583F" w:rsidP="00C9583F">
            <w:pPr>
              <w:spacing w:after="0" w:line="240" w:lineRule="auto"/>
              <w:jc w:val="right"/>
              <w:rPr>
                <w:rFonts w:ascii="Calibri" w:hAnsi="Calibri" w:cs="Calibri"/>
                <w:color w:val="000000"/>
                <w:szCs w:val="21"/>
              </w:rPr>
            </w:pPr>
            <w:r w:rsidRPr="00701EA8">
              <w:rPr>
                <w:rFonts w:ascii="Calibri" w:hAnsi="Calibri" w:cs="Calibri"/>
                <w:color w:val="000000"/>
                <w:szCs w:val="21"/>
              </w:rPr>
              <w:t>4 017</w:t>
            </w:r>
          </w:p>
        </w:tc>
      </w:tr>
      <w:tr w:rsidR="00C9583F" w:rsidRPr="000E543C" w:rsidTr="005D233A">
        <w:trPr>
          <w:trHeight w:hRule="exact" w:val="510"/>
          <w:jc w:val="center"/>
        </w:trPr>
        <w:tc>
          <w:tcPr>
            <w:tcW w:w="1596" w:type="dxa"/>
            <w:shd w:val="clear" w:color="auto" w:fill="EEF3F8"/>
            <w:vAlign w:val="bottom"/>
            <w:hideMark/>
          </w:tcPr>
          <w:p w:rsidR="00C9583F" w:rsidRPr="00701EA8" w:rsidRDefault="00C9583F" w:rsidP="00C9583F">
            <w:pPr>
              <w:spacing w:after="0" w:line="240" w:lineRule="auto"/>
              <w:rPr>
                <w:rFonts w:eastAsia="Times New Roman" w:cs="Arial"/>
                <w:b/>
                <w:bCs/>
                <w:color w:val="000000"/>
                <w:szCs w:val="21"/>
                <w:lang w:eastAsia="cs-CZ"/>
              </w:rPr>
            </w:pPr>
            <w:r w:rsidRPr="00701EA8">
              <w:rPr>
                <w:rFonts w:eastAsia="Times New Roman" w:cs="Arial"/>
                <w:b/>
                <w:bCs/>
                <w:color w:val="000000"/>
                <w:szCs w:val="21"/>
                <w:lang w:eastAsia="cs-CZ"/>
              </w:rPr>
              <w:t>Náklady na lůžkovou péči</w:t>
            </w:r>
          </w:p>
        </w:tc>
        <w:tc>
          <w:tcPr>
            <w:tcW w:w="1149" w:type="dxa"/>
            <w:shd w:val="clear" w:color="auto" w:fill="EEF3F8"/>
            <w:noWrap/>
            <w:vAlign w:val="center"/>
            <w:hideMark/>
          </w:tcPr>
          <w:p w:rsidR="00C9583F" w:rsidRPr="00701EA8" w:rsidRDefault="00C9583F" w:rsidP="00C9583F">
            <w:pPr>
              <w:spacing w:after="0" w:line="240" w:lineRule="auto"/>
              <w:jc w:val="right"/>
              <w:rPr>
                <w:rFonts w:ascii="Calibri" w:hAnsi="Calibri" w:cs="Calibri"/>
                <w:szCs w:val="21"/>
              </w:rPr>
            </w:pPr>
            <w:r w:rsidRPr="00701EA8">
              <w:rPr>
                <w:rFonts w:ascii="Calibri" w:hAnsi="Calibri" w:cs="Calibri"/>
                <w:szCs w:val="21"/>
              </w:rPr>
              <w:t>122 731</w:t>
            </w:r>
          </w:p>
        </w:tc>
        <w:tc>
          <w:tcPr>
            <w:tcW w:w="1149" w:type="dxa"/>
            <w:shd w:val="clear" w:color="auto" w:fill="EEF3F8"/>
            <w:noWrap/>
            <w:vAlign w:val="center"/>
            <w:hideMark/>
          </w:tcPr>
          <w:p w:rsidR="00C9583F" w:rsidRPr="00701EA8" w:rsidRDefault="00C9583F" w:rsidP="00C9583F">
            <w:pPr>
              <w:spacing w:after="0" w:line="240" w:lineRule="auto"/>
              <w:jc w:val="right"/>
              <w:rPr>
                <w:rFonts w:ascii="Calibri" w:hAnsi="Calibri" w:cs="Calibri"/>
                <w:szCs w:val="21"/>
              </w:rPr>
            </w:pPr>
            <w:r w:rsidRPr="00701EA8">
              <w:rPr>
                <w:rFonts w:ascii="Calibri" w:hAnsi="Calibri" w:cs="Calibri"/>
                <w:szCs w:val="21"/>
              </w:rPr>
              <w:t>12 198</w:t>
            </w:r>
          </w:p>
        </w:tc>
        <w:tc>
          <w:tcPr>
            <w:tcW w:w="1149" w:type="dxa"/>
            <w:shd w:val="clear" w:color="auto" w:fill="EEF3F8"/>
            <w:noWrap/>
            <w:vAlign w:val="center"/>
            <w:hideMark/>
          </w:tcPr>
          <w:p w:rsidR="00C9583F" w:rsidRPr="00701EA8" w:rsidRDefault="00C9583F" w:rsidP="00C9583F">
            <w:pPr>
              <w:spacing w:after="0" w:line="240" w:lineRule="auto"/>
              <w:jc w:val="right"/>
              <w:rPr>
                <w:rFonts w:ascii="Calibri" w:hAnsi="Calibri" w:cs="Calibri"/>
                <w:szCs w:val="21"/>
              </w:rPr>
            </w:pPr>
            <w:r w:rsidRPr="00701EA8">
              <w:rPr>
                <w:rFonts w:ascii="Calibri" w:hAnsi="Calibri" w:cs="Calibri"/>
                <w:szCs w:val="21"/>
              </w:rPr>
              <w:t>19 250</w:t>
            </w:r>
          </w:p>
        </w:tc>
        <w:tc>
          <w:tcPr>
            <w:tcW w:w="1149" w:type="dxa"/>
            <w:shd w:val="clear" w:color="auto" w:fill="EEF3F8"/>
            <w:noWrap/>
            <w:vAlign w:val="center"/>
            <w:hideMark/>
          </w:tcPr>
          <w:p w:rsidR="00C9583F" w:rsidRPr="00701EA8" w:rsidRDefault="00C9583F" w:rsidP="00C9583F">
            <w:pPr>
              <w:spacing w:after="0" w:line="240" w:lineRule="auto"/>
              <w:jc w:val="right"/>
              <w:rPr>
                <w:rFonts w:ascii="Calibri" w:hAnsi="Calibri" w:cs="Calibri"/>
                <w:szCs w:val="21"/>
              </w:rPr>
            </w:pPr>
            <w:r w:rsidRPr="00701EA8">
              <w:rPr>
                <w:rFonts w:ascii="Calibri" w:hAnsi="Calibri" w:cs="Calibri"/>
                <w:szCs w:val="21"/>
              </w:rPr>
              <w:t>11 343</w:t>
            </w:r>
          </w:p>
        </w:tc>
        <w:tc>
          <w:tcPr>
            <w:tcW w:w="1149" w:type="dxa"/>
            <w:shd w:val="clear" w:color="auto" w:fill="EEF3F8"/>
            <w:noWrap/>
            <w:vAlign w:val="center"/>
            <w:hideMark/>
          </w:tcPr>
          <w:p w:rsidR="00C9583F" w:rsidRPr="00701EA8" w:rsidRDefault="00C9583F" w:rsidP="00C9583F">
            <w:pPr>
              <w:spacing w:after="0" w:line="240" w:lineRule="auto"/>
              <w:jc w:val="right"/>
              <w:rPr>
                <w:rFonts w:ascii="Calibri" w:hAnsi="Calibri" w:cs="Calibri"/>
                <w:szCs w:val="21"/>
              </w:rPr>
            </w:pPr>
            <w:r w:rsidRPr="00701EA8">
              <w:rPr>
                <w:rFonts w:ascii="Calibri" w:hAnsi="Calibri" w:cs="Calibri"/>
                <w:szCs w:val="21"/>
              </w:rPr>
              <w:t>2 763</w:t>
            </w:r>
          </w:p>
        </w:tc>
        <w:tc>
          <w:tcPr>
            <w:tcW w:w="1149" w:type="dxa"/>
            <w:shd w:val="clear" w:color="auto" w:fill="EEF3F8"/>
            <w:noWrap/>
            <w:vAlign w:val="center"/>
            <w:hideMark/>
          </w:tcPr>
          <w:p w:rsidR="00C9583F" w:rsidRPr="00701EA8" w:rsidRDefault="00C9583F" w:rsidP="00C9583F">
            <w:pPr>
              <w:spacing w:after="0" w:line="240" w:lineRule="auto"/>
              <w:jc w:val="right"/>
              <w:rPr>
                <w:rFonts w:ascii="Calibri" w:hAnsi="Calibri" w:cs="Calibri"/>
                <w:szCs w:val="21"/>
              </w:rPr>
            </w:pPr>
            <w:r w:rsidRPr="00701EA8">
              <w:rPr>
                <w:rFonts w:ascii="Calibri" w:hAnsi="Calibri" w:cs="Calibri"/>
                <w:szCs w:val="21"/>
              </w:rPr>
              <w:t>22 165</w:t>
            </w:r>
          </w:p>
        </w:tc>
        <w:tc>
          <w:tcPr>
            <w:tcW w:w="1149" w:type="dxa"/>
            <w:shd w:val="clear" w:color="auto" w:fill="EEF3F8"/>
            <w:vAlign w:val="center"/>
          </w:tcPr>
          <w:p w:rsidR="00C9583F" w:rsidRPr="00701EA8" w:rsidRDefault="00C9583F" w:rsidP="00C9583F">
            <w:pPr>
              <w:spacing w:after="0" w:line="240" w:lineRule="auto"/>
              <w:jc w:val="right"/>
              <w:rPr>
                <w:rFonts w:ascii="Calibri" w:hAnsi="Calibri" w:cs="Calibri"/>
                <w:color w:val="000000"/>
                <w:szCs w:val="21"/>
              </w:rPr>
            </w:pPr>
            <w:r w:rsidRPr="00701EA8">
              <w:rPr>
                <w:rFonts w:ascii="Calibri" w:hAnsi="Calibri" w:cs="Calibri"/>
                <w:color w:val="000000"/>
                <w:szCs w:val="21"/>
              </w:rPr>
              <w:t>6 532</w:t>
            </w:r>
          </w:p>
        </w:tc>
      </w:tr>
      <w:tr w:rsidR="00C9583F" w:rsidRPr="000E543C" w:rsidTr="005D233A">
        <w:trPr>
          <w:trHeight w:hRule="exact" w:val="284"/>
          <w:jc w:val="center"/>
        </w:trPr>
        <w:tc>
          <w:tcPr>
            <w:tcW w:w="1596" w:type="dxa"/>
            <w:shd w:val="clear" w:color="auto" w:fill="auto"/>
            <w:vAlign w:val="bottom"/>
            <w:hideMark/>
          </w:tcPr>
          <w:p w:rsidR="00C9583F" w:rsidRPr="00701EA8" w:rsidRDefault="00C9583F" w:rsidP="00C9583F">
            <w:pPr>
              <w:spacing w:after="0" w:line="240" w:lineRule="auto"/>
              <w:rPr>
                <w:rFonts w:eastAsia="Times New Roman" w:cs="Arial"/>
                <w:b/>
                <w:bCs/>
                <w:color w:val="000000"/>
                <w:szCs w:val="21"/>
                <w:lang w:eastAsia="cs-CZ"/>
              </w:rPr>
            </w:pPr>
            <w:r w:rsidRPr="00701EA8">
              <w:rPr>
                <w:rFonts w:eastAsia="Times New Roman" w:cs="Arial"/>
                <w:b/>
                <w:bCs/>
                <w:color w:val="000000"/>
                <w:szCs w:val="21"/>
                <w:lang w:eastAsia="cs-CZ"/>
              </w:rPr>
              <w:t>Ostatní náklady</w:t>
            </w:r>
          </w:p>
        </w:tc>
        <w:tc>
          <w:tcPr>
            <w:tcW w:w="1149" w:type="dxa"/>
            <w:shd w:val="clear" w:color="auto" w:fill="DBE5F1" w:themeFill="accent1" w:themeFillTint="33"/>
            <w:vAlign w:val="center"/>
            <w:hideMark/>
          </w:tcPr>
          <w:p w:rsidR="00C9583F" w:rsidRPr="00701EA8" w:rsidRDefault="00C9583F" w:rsidP="00C9583F">
            <w:pPr>
              <w:spacing w:after="0" w:line="240" w:lineRule="auto"/>
              <w:jc w:val="right"/>
              <w:rPr>
                <w:rFonts w:ascii="Calibri" w:hAnsi="Calibri" w:cs="Calibri"/>
                <w:szCs w:val="21"/>
              </w:rPr>
            </w:pPr>
            <w:r w:rsidRPr="00701EA8">
              <w:rPr>
                <w:rFonts w:ascii="Calibri" w:hAnsi="Calibri" w:cs="Calibri"/>
                <w:szCs w:val="21"/>
              </w:rPr>
              <w:t>37 538</w:t>
            </w:r>
          </w:p>
        </w:tc>
        <w:tc>
          <w:tcPr>
            <w:tcW w:w="1149" w:type="dxa"/>
            <w:shd w:val="clear" w:color="auto" w:fill="auto"/>
            <w:vAlign w:val="center"/>
            <w:hideMark/>
          </w:tcPr>
          <w:p w:rsidR="00C9583F" w:rsidRPr="00701EA8" w:rsidRDefault="00C9583F" w:rsidP="00C9583F">
            <w:pPr>
              <w:spacing w:after="0" w:line="240" w:lineRule="auto"/>
              <w:jc w:val="right"/>
              <w:rPr>
                <w:rFonts w:ascii="Calibri" w:hAnsi="Calibri" w:cs="Calibri"/>
                <w:szCs w:val="21"/>
              </w:rPr>
            </w:pPr>
            <w:r w:rsidRPr="00701EA8">
              <w:rPr>
                <w:rFonts w:ascii="Calibri" w:hAnsi="Calibri" w:cs="Calibri"/>
                <w:szCs w:val="21"/>
              </w:rPr>
              <w:t>3 683</w:t>
            </w:r>
          </w:p>
        </w:tc>
        <w:tc>
          <w:tcPr>
            <w:tcW w:w="1149" w:type="dxa"/>
            <w:shd w:val="clear" w:color="auto" w:fill="DBE5F1" w:themeFill="accent1" w:themeFillTint="33"/>
            <w:vAlign w:val="center"/>
            <w:hideMark/>
          </w:tcPr>
          <w:p w:rsidR="00C9583F" w:rsidRPr="00701EA8" w:rsidRDefault="00C9583F" w:rsidP="00C9583F">
            <w:pPr>
              <w:spacing w:after="0" w:line="240" w:lineRule="auto"/>
              <w:jc w:val="right"/>
              <w:rPr>
                <w:rFonts w:ascii="Calibri" w:hAnsi="Calibri" w:cs="Calibri"/>
                <w:szCs w:val="21"/>
              </w:rPr>
            </w:pPr>
            <w:r w:rsidRPr="00701EA8">
              <w:rPr>
                <w:rFonts w:ascii="Calibri" w:hAnsi="Calibri" w:cs="Calibri"/>
                <w:szCs w:val="21"/>
              </w:rPr>
              <w:t>6 303</w:t>
            </w:r>
          </w:p>
        </w:tc>
        <w:tc>
          <w:tcPr>
            <w:tcW w:w="1149" w:type="dxa"/>
            <w:shd w:val="clear" w:color="auto" w:fill="auto"/>
            <w:vAlign w:val="center"/>
            <w:hideMark/>
          </w:tcPr>
          <w:p w:rsidR="00C9583F" w:rsidRPr="00701EA8" w:rsidRDefault="00C9583F" w:rsidP="00C9583F">
            <w:pPr>
              <w:spacing w:after="0" w:line="240" w:lineRule="auto"/>
              <w:jc w:val="right"/>
              <w:rPr>
                <w:rFonts w:ascii="Calibri" w:hAnsi="Calibri" w:cs="Calibri"/>
                <w:szCs w:val="21"/>
              </w:rPr>
            </w:pPr>
            <w:r w:rsidRPr="00701EA8">
              <w:rPr>
                <w:rFonts w:ascii="Calibri" w:hAnsi="Calibri" w:cs="Calibri"/>
                <w:szCs w:val="21"/>
              </w:rPr>
              <w:t>3 625</w:t>
            </w:r>
          </w:p>
        </w:tc>
        <w:tc>
          <w:tcPr>
            <w:tcW w:w="1149" w:type="dxa"/>
            <w:shd w:val="clear" w:color="auto" w:fill="DBE5F1" w:themeFill="accent1" w:themeFillTint="33"/>
            <w:vAlign w:val="center"/>
            <w:hideMark/>
          </w:tcPr>
          <w:p w:rsidR="00C9583F" w:rsidRPr="00701EA8" w:rsidRDefault="00C9583F" w:rsidP="00C9583F">
            <w:pPr>
              <w:spacing w:after="0" w:line="240" w:lineRule="auto"/>
              <w:jc w:val="right"/>
              <w:rPr>
                <w:rFonts w:ascii="Calibri" w:hAnsi="Calibri" w:cs="Calibri"/>
                <w:szCs w:val="21"/>
              </w:rPr>
            </w:pPr>
            <w:r w:rsidRPr="00701EA8">
              <w:rPr>
                <w:rFonts w:ascii="Calibri" w:hAnsi="Calibri" w:cs="Calibri"/>
                <w:szCs w:val="21"/>
              </w:rPr>
              <w:t>809</w:t>
            </w:r>
          </w:p>
        </w:tc>
        <w:tc>
          <w:tcPr>
            <w:tcW w:w="1149" w:type="dxa"/>
            <w:shd w:val="clear" w:color="auto" w:fill="auto"/>
            <w:vAlign w:val="center"/>
            <w:hideMark/>
          </w:tcPr>
          <w:p w:rsidR="00C9583F" w:rsidRPr="00701EA8" w:rsidRDefault="00C9583F" w:rsidP="00C9583F">
            <w:pPr>
              <w:spacing w:after="0" w:line="240" w:lineRule="auto"/>
              <w:jc w:val="right"/>
              <w:rPr>
                <w:rFonts w:ascii="Calibri" w:hAnsi="Calibri" w:cs="Calibri"/>
                <w:szCs w:val="21"/>
              </w:rPr>
            </w:pPr>
            <w:r w:rsidRPr="00701EA8">
              <w:rPr>
                <w:rFonts w:ascii="Calibri" w:hAnsi="Calibri" w:cs="Calibri"/>
                <w:szCs w:val="21"/>
              </w:rPr>
              <w:t>7 437</w:t>
            </w:r>
          </w:p>
        </w:tc>
        <w:tc>
          <w:tcPr>
            <w:tcW w:w="1149" w:type="dxa"/>
            <w:shd w:val="clear" w:color="auto" w:fill="DBE5F1" w:themeFill="accent1" w:themeFillTint="33"/>
            <w:vAlign w:val="center"/>
          </w:tcPr>
          <w:p w:rsidR="00C9583F" w:rsidRPr="00701EA8" w:rsidRDefault="00C9583F" w:rsidP="00C9583F">
            <w:pPr>
              <w:spacing w:after="0" w:line="240" w:lineRule="auto"/>
              <w:jc w:val="right"/>
              <w:rPr>
                <w:rFonts w:ascii="Calibri" w:hAnsi="Calibri" w:cs="Calibri"/>
                <w:color w:val="000000"/>
                <w:szCs w:val="21"/>
              </w:rPr>
            </w:pPr>
            <w:r w:rsidRPr="00701EA8">
              <w:rPr>
                <w:rFonts w:ascii="Calibri" w:hAnsi="Calibri" w:cs="Calibri"/>
                <w:color w:val="000000"/>
                <w:szCs w:val="21"/>
              </w:rPr>
              <w:t>2 137</w:t>
            </w:r>
          </w:p>
        </w:tc>
      </w:tr>
      <w:tr w:rsidR="00C9583F" w:rsidRPr="00C954C6" w:rsidTr="005D233A">
        <w:trPr>
          <w:trHeight w:hRule="exact" w:val="284"/>
          <w:jc w:val="center"/>
        </w:trPr>
        <w:tc>
          <w:tcPr>
            <w:tcW w:w="1596" w:type="dxa"/>
            <w:shd w:val="clear" w:color="auto" w:fill="EEF3F8"/>
            <w:vAlign w:val="bottom"/>
            <w:hideMark/>
          </w:tcPr>
          <w:p w:rsidR="00C9583F" w:rsidRPr="00701EA8" w:rsidRDefault="00C9583F" w:rsidP="00C9583F">
            <w:pPr>
              <w:spacing w:after="0" w:line="240" w:lineRule="auto"/>
              <w:rPr>
                <w:rFonts w:eastAsia="Times New Roman" w:cs="Arial"/>
                <w:b/>
                <w:bCs/>
                <w:color w:val="000000"/>
                <w:szCs w:val="21"/>
                <w:lang w:eastAsia="cs-CZ"/>
              </w:rPr>
            </w:pPr>
            <w:r w:rsidRPr="00701EA8">
              <w:rPr>
                <w:rFonts w:eastAsia="Times New Roman" w:cs="Arial"/>
                <w:b/>
                <w:bCs/>
                <w:color w:val="000000"/>
                <w:szCs w:val="21"/>
                <w:lang w:eastAsia="cs-CZ"/>
              </w:rPr>
              <w:t>Celkové náklady</w:t>
            </w:r>
          </w:p>
        </w:tc>
        <w:tc>
          <w:tcPr>
            <w:tcW w:w="1149" w:type="dxa"/>
            <w:shd w:val="clear" w:color="auto" w:fill="EEF3F8"/>
            <w:vAlign w:val="center"/>
            <w:hideMark/>
          </w:tcPr>
          <w:p w:rsidR="00C9583F" w:rsidRPr="00701EA8" w:rsidRDefault="00C9583F" w:rsidP="00C9583F">
            <w:pPr>
              <w:spacing w:after="0" w:line="240" w:lineRule="auto"/>
              <w:jc w:val="right"/>
              <w:rPr>
                <w:rFonts w:ascii="Calibri" w:hAnsi="Calibri" w:cs="Calibri"/>
                <w:b/>
                <w:bCs/>
                <w:color w:val="000000"/>
                <w:szCs w:val="21"/>
              </w:rPr>
            </w:pPr>
            <w:r w:rsidRPr="00701EA8">
              <w:rPr>
                <w:rFonts w:ascii="Calibri" w:hAnsi="Calibri" w:cs="Calibri"/>
                <w:b/>
                <w:bCs/>
                <w:color w:val="000000"/>
                <w:szCs w:val="21"/>
              </w:rPr>
              <w:t>212 565</w:t>
            </w:r>
          </w:p>
        </w:tc>
        <w:tc>
          <w:tcPr>
            <w:tcW w:w="1149" w:type="dxa"/>
            <w:shd w:val="clear" w:color="auto" w:fill="EEF3F8"/>
            <w:vAlign w:val="center"/>
            <w:hideMark/>
          </w:tcPr>
          <w:p w:rsidR="00C9583F" w:rsidRPr="00701EA8" w:rsidRDefault="00C9583F" w:rsidP="00C9583F">
            <w:pPr>
              <w:spacing w:after="0" w:line="240" w:lineRule="auto"/>
              <w:jc w:val="right"/>
              <w:rPr>
                <w:rFonts w:ascii="Calibri" w:hAnsi="Calibri" w:cs="Calibri"/>
                <w:b/>
                <w:bCs/>
                <w:color w:val="000000"/>
                <w:szCs w:val="21"/>
              </w:rPr>
            </w:pPr>
            <w:r w:rsidRPr="00701EA8">
              <w:rPr>
                <w:rFonts w:ascii="Calibri" w:hAnsi="Calibri" w:cs="Calibri"/>
                <w:b/>
                <w:bCs/>
                <w:color w:val="000000"/>
                <w:szCs w:val="21"/>
              </w:rPr>
              <w:t>21 675</w:t>
            </w:r>
          </w:p>
        </w:tc>
        <w:tc>
          <w:tcPr>
            <w:tcW w:w="1149" w:type="dxa"/>
            <w:shd w:val="clear" w:color="auto" w:fill="EEF3F8"/>
            <w:vAlign w:val="center"/>
            <w:hideMark/>
          </w:tcPr>
          <w:p w:rsidR="00C9583F" w:rsidRPr="00701EA8" w:rsidRDefault="00C9583F" w:rsidP="00C9583F">
            <w:pPr>
              <w:spacing w:after="0" w:line="240" w:lineRule="auto"/>
              <w:jc w:val="right"/>
              <w:rPr>
                <w:rFonts w:ascii="Calibri" w:hAnsi="Calibri" w:cs="Calibri"/>
                <w:b/>
                <w:bCs/>
                <w:color w:val="000000"/>
                <w:szCs w:val="21"/>
              </w:rPr>
            </w:pPr>
            <w:r w:rsidRPr="00701EA8">
              <w:rPr>
                <w:rFonts w:ascii="Calibri" w:hAnsi="Calibri" w:cs="Calibri"/>
                <w:b/>
                <w:bCs/>
                <w:color w:val="000000"/>
                <w:szCs w:val="21"/>
              </w:rPr>
              <w:t>37 400</w:t>
            </w:r>
          </w:p>
        </w:tc>
        <w:tc>
          <w:tcPr>
            <w:tcW w:w="1149" w:type="dxa"/>
            <w:shd w:val="clear" w:color="auto" w:fill="EEF3F8"/>
            <w:vAlign w:val="center"/>
            <w:hideMark/>
          </w:tcPr>
          <w:p w:rsidR="00C9583F" w:rsidRPr="00701EA8" w:rsidRDefault="00C9583F" w:rsidP="00C9583F">
            <w:pPr>
              <w:spacing w:after="0" w:line="240" w:lineRule="auto"/>
              <w:jc w:val="right"/>
              <w:rPr>
                <w:rFonts w:ascii="Calibri" w:hAnsi="Calibri" w:cs="Calibri"/>
                <w:b/>
                <w:bCs/>
                <w:color w:val="000000"/>
                <w:szCs w:val="21"/>
              </w:rPr>
            </w:pPr>
            <w:r w:rsidRPr="00701EA8">
              <w:rPr>
                <w:rFonts w:ascii="Calibri" w:hAnsi="Calibri" w:cs="Calibri"/>
                <w:b/>
                <w:bCs/>
                <w:color w:val="000000"/>
                <w:szCs w:val="21"/>
              </w:rPr>
              <w:t>21 559</w:t>
            </w:r>
          </w:p>
        </w:tc>
        <w:tc>
          <w:tcPr>
            <w:tcW w:w="1149" w:type="dxa"/>
            <w:shd w:val="clear" w:color="auto" w:fill="EEF3F8"/>
            <w:vAlign w:val="center"/>
            <w:hideMark/>
          </w:tcPr>
          <w:p w:rsidR="00C9583F" w:rsidRPr="00701EA8" w:rsidRDefault="00C9583F" w:rsidP="00C9583F">
            <w:pPr>
              <w:spacing w:after="0" w:line="240" w:lineRule="auto"/>
              <w:jc w:val="right"/>
              <w:rPr>
                <w:rFonts w:ascii="Calibri" w:hAnsi="Calibri" w:cs="Calibri"/>
                <w:b/>
                <w:bCs/>
                <w:color w:val="000000"/>
                <w:szCs w:val="21"/>
              </w:rPr>
            </w:pPr>
            <w:r w:rsidRPr="00701EA8">
              <w:rPr>
                <w:rFonts w:ascii="Calibri" w:hAnsi="Calibri" w:cs="Calibri"/>
                <w:b/>
                <w:bCs/>
                <w:color w:val="000000"/>
                <w:szCs w:val="21"/>
              </w:rPr>
              <w:t>4 692</w:t>
            </w:r>
          </w:p>
        </w:tc>
        <w:tc>
          <w:tcPr>
            <w:tcW w:w="1149" w:type="dxa"/>
            <w:shd w:val="clear" w:color="auto" w:fill="EEF3F8"/>
            <w:vAlign w:val="center"/>
            <w:hideMark/>
          </w:tcPr>
          <w:p w:rsidR="00C9583F" w:rsidRPr="00701EA8" w:rsidRDefault="00C9583F" w:rsidP="00C9583F">
            <w:pPr>
              <w:spacing w:after="0" w:line="240" w:lineRule="auto"/>
              <w:jc w:val="right"/>
              <w:rPr>
                <w:rFonts w:ascii="Calibri" w:hAnsi="Calibri" w:cs="Calibri"/>
                <w:b/>
                <w:bCs/>
                <w:color w:val="000000"/>
                <w:szCs w:val="21"/>
              </w:rPr>
            </w:pPr>
            <w:r w:rsidRPr="00701EA8">
              <w:rPr>
                <w:rFonts w:ascii="Calibri" w:hAnsi="Calibri" w:cs="Calibri"/>
                <w:b/>
                <w:bCs/>
                <w:color w:val="000000"/>
                <w:szCs w:val="21"/>
              </w:rPr>
              <w:t>41 347</w:t>
            </w:r>
          </w:p>
        </w:tc>
        <w:tc>
          <w:tcPr>
            <w:tcW w:w="1149" w:type="dxa"/>
            <w:shd w:val="clear" w:color="auto" w:fill="EEF3F8"/>
            <w:vAlign w:val="center"/>
          </w:tcPr>
          <w:p w:rsidR="00C9583F" w:rsidRPr="00701EA8" w:rsidRDefault="00C9583F" w:rsidP="00C9583F">
            <w:pPr>
              <w:spacing w:after="0" w:line="240" w:lineRule="auto"/>
              <w:jc w:val="right"/>
              <w:rPr>
                <w:rFonts w:ascii="Calibri" w:hAnsi="Calibri" w:cs="Calibri"/>
                <w:b/>
                <w:bCs/>
                <w:color w:val="000000"/>
                <w:szCs w:val="21"/>
              </w:rPr>
            </w:pPr>
            <w:r w:rsidRPr="00701EA8">
              <w:rPr>
                <w:rFonts w:ascii="Calibri" w:hAnsi="Calibri" w:cs="Calibri"/>
                <w:b/>
                <w:bCs/>
                <w:color w:val="000000"/>
                <w:szCs w:val="21"/>
              </w:rPr>
              <w:t>12 686</w:t>
            </w:r>
          </w:p>
        </w:tc>
      </w:tr>
    </w:tbl>
    <w:p w:rsidR="00F87912" w:rsidRPr="0065613D" w:rsidRDefault="00F87912" w:rsidP="00F87912">
      <w:pPr>
        <w:spacing w:before="180" w:line="276" w:lineRule="auto"/>
        <w:jc w:val="both"/>
      </w:pPr>
      <w:r w:rsidRPr="00A21525">
        <w:rPr>
          <w:b/>
        </w:rPr>
        <w:t xml:space="preserve">Přesnější údaj o meziročním vývoji jednoznačně představuje odhad nákladů na jednoho pojištěnce. </w:t>
      </w:r>
      <w:r w:rsidRPr="00A21525">
        <w:t>Za celý systém v. z. p. v roce 202</w:t>
      </w:r>
      <w:r w:rsidR="00A21525" w:rsidRPr="00A21525">
        <w:t>1</w:t>
      </w:r>
      <w:r w:rsidRPr="00A21525">
        <w:t xml:space="preserve"> mají dosáhnout průměrné náklady na zdravotní služby všech ZP v přepočtu </w:t>
      </w:r>
      <w:r w:rsidR="00152140" w:rsidRPr="00A21525">
        <w:br/>
      </w:r>
      <w:r w:rsidRPr="00A21525">
        <w:t xml:space="preserve">na 1 pojištěnce v průměru částky </w:t>
      </w:r>
      <w:r w:rsidRPr="0065613D">
        <w:t>3</w:t>
      </w:r>
      <w:r w:rsidR="0065613D" w:rsidRPr="0065613D">
        <w:t>6</w:t>
      </w:r>
      <w:r w:rsidRPr="0065613D">
        <w:t> </w:t>
      </w:r>
      <w:r w:rsidR="0065613D" w:rsidRPr="0065613D">
        <w:t>351</w:t>
      </w:r>
      <w:r w:rsidRPr="0065613D">
        <w:t xml:space="preserve"> Kč, což představuje meziroční zvýšení o </w:t>
      </w:r>
      <w:r w:rsidR="0065613D" w:rsidRPr="0065613D">
        <w:t>9</w:t>
      </w:r>
      <w:r w:rsidRPr="0065613D">
        <w:t>,</w:t>
      </w:r>
      <w:r w:rsidR="0065613D" w:rsidRPr="0065613D">
        <w:t>0</w:t>
      </w:r>
      <w:r w:rsidRPr="0065613D">
        <w:t> % (v absolutním vyjádření nárůst o 3 </w:t>
      </w:r>
      <w:r w:rsidR="0065613D" w:rsidRPr="0065613D">
        <w:t>0</w:t>
      </w:r>
      <w:r w:rsidRPr="0065613D">
        <w:t xml:space="preserve">02 Kč na 1 pojištěnce). V objemově největším segmentu </w:t>
      </w:r>
      <w:r w:rsidRPr="0065613D">
        <w:rPr>
          <w:b/>
        </w:rPr>
        <w:t>lůžkové zdravotní péče</w:t>
      </w:r>
      <w:r w:rsidRPr="0065613D">
        <w:t xml:space="preserve"> je předpokládán nárůst nákladů v přepočtu na 1 pojištěnce o 1</w:t>
      </w:r>
      <w:r w:rsidR="0065613D" w:rsidRPr="0065613D">
        <w:t>0</w:t>
      </w:r>
      <w:r w:rsidRPr="0065613D">
        <w:t>,</w:t>
      </w:r>
      <w:r w:rsidR="0065613D" w:rsidRPr="0065613D">
        <w:t>3</w:t>
      </w:r>
      <w:r w:rsidRPr="0065613D">
        <w:t> % (tj. o 1 </w:t>
      </w:r>
      <w:r w:rsidR="0065613D" w:rsidRPr="0065613D">
        <w:t>930</w:t>
      </w:r>
      <w:r w:rsidRPr="0065613D">
        <w:t> Kč) oproti očekávané skutečnosti roku 20</w:t>
      </w:r>
      <w:r w:rsidR="0065613D" w:rsidRPr="0065613D">
        <w:t>20</w:t>
      </w:r>
      <w:r w:rsidRPr="0065613D">
        <w:t>. U </w:t>
      </w:r>
      <w:r w:rsidRPr="0065613D">
        <w:rPr>
          <w:b/>
        </w:rPr>
        <w:t>ambulantní péče</w:t>
      </w:r>
      <w:r w:rsidRPr="0065613D">
        <w:t xml:space="preserve"> se plánuje zvýšení nákladů celkem o </w:t>
      </w:r>
      <w:r w:rsidR="0065613D" w:rsidRPr="0065613D">
        <w:t>6</w:t>
      </w:r>
      <w:r w:rsidRPr="0065613D">
        <w:t>,</w:t>
      </w:r>
      <w:r w:rsidR="0065613D" w:rsidRPr="0065613D">
        <w:t>8</w:t>
      </w:r>
      <w:r w:rsidRPr="0065613D">
        <w:t> % (tj. o </w:t>
      </w:r>
      <w:r w:rsidR="0065613D" w:rsidRPr="0065613D">
        <w:t>599</w:t>
      </w:r>
      <w:r w:rsidRPr="0065613D">
        <w:t> Kč), (</w:t>
      </w:r>
      <w:r w:rsidRPr="0065613D">
        <w:rPr>
          <w:i/>
        </w:rPr>
        <w:t>Tabulka č. 1</w:t>
      </w:r>
      <w:r w:rsidR="0065613D" w:rsidRPr="0065613D">
        <w:rPr>
          <w:i/>
        </w:rPr>
        <w:t>7</w:t>
      </w:r>
      <w:r w:rsidRPr="0065613D">
        <w:rPr>
          <w:i/>
        </w:rPr>
        <w:t xml:space="preserve"> </w:t>
      </w:r>
      <w:r w:rsidRPr="0065613D">
        <w:t>a </w:t>
      </w:r>
      <w:r w:rsidRPr="0065613D">
        <w:rPr>
          <w:i/>
        </w:rPr>
        <w:t>Graf č. 1</w:t>
      </w:r>
      <w:r w:rsidR="0065613D" w:rsidRPr="0065613D">
        <w:rPr>
          <w:i/>
        </w:rPr>
        <w:t>9</w:t>
      </w:r>
      <w:r w:rsidRPr="0065613D">
        <w:rPr>
          <w:i/>
        </w:rPr>
        <w:t xml:space="preserve"> a </w:t>
      </w:r>
      <w:r w:rsidR="0065613D" w:rsidRPr="0065613D">
        <w:rPr>
          <w:i/>
        </w:rPr>
        <w:t>20</w:t>
      </w:r>
      <w:r w:rsidRPr="0065613D">
        <w:t>).</w:t>
      </w:r>
    </w:p>
    <w:p w:rsidR="00F87912" w:rsidRPr="00C9583F" w:rsidRDefault="00F87912" w:rsidP="00F87912">
      <w:pPr>
        <w:pStyle w:val="Titulek"/>
        <w:jc w:val="both"/>
      </w:pPr>
      <w:bookmarkStart w:id="59" w:name="_Toc25073786"/>
      <w:bookmarkStart w:id="60" w:name="_Toc63685272"/>
      <w:r w:rsidRPr="00C9583F">
        <w:t xml:space="preserve">Tabulka č. </w:t>
      </w:r>
      <w:r w:rsidR="008E5E29" w:rsidRPr="00C9583F">
        <w:rPr>
          <w:noProof/>
        </w:rPr>
        <w:fldChar w:fldCharType="begin"/>
      </w:r>
      <w:r w:rsidRPr="00C9583F">
        <w:rPr>
          <w:noProof/>
        </w:rPr>
        <w:instrText xml:space="preserve"> SEQ Tabulka \* ARABIC </w:instrText>
      </w:r>
      <w:r w:rsidR="008E5E29" w:rsidRPr="00C9583F">
        <w:rPr>
          <w:noProof/>
        </w:rPr>
        <w:fldChar w:fldCharType="separate"/>
      </w:r>
      <w:r w:rsidR="006D5C90">
        <w:rPr>
          <w:noProof/>
        </w:rPr>
        <w:t>19</w:t>
      </w:r>
      <w:r w:rsidR="008E5E29" w:rsidRPr="00C9583F">
        <w:rPr>
          <w:noProof/>
        </w:rPr>
        <w:fldChar w:fldCharType="end"/>
      </w:r>
      <w:r w:rsidRPr="00C9583F">
        <w:t>: Struktura nákladů na zdravotní služby v přepočtu na 1 pojištěnce</w:t>
      </w:r>
      <w:bookmarkEnd w:id="59"/>
      <w:bookmarkEnd w:id="60"/>
    </w:p>
    <w:tbl>
      <w:tblPr>
        <w:tblW w:w="9639" w:type="dxa"/>
        <w:jc w:val="center"/>
        <w:tblBorders>
          <w:top w:val="single" w:sz="12" w:space="0" w:color="548DD4" w:themeColor="text2" w:themeTint="99"/>
          <w:left w:val="single" w:sz="12" w:space="0" w:color="548DD4" w:themeColor="text2" w:themeTint="99"/>
          <w:bottom w:val="single" w:sz="12" w:space="0" w:color="548DD4" w:themeColor="text2" w:themeTint="99"/>
          <w:right w:val="single" w:sz="12" w:space="0" w:color="548DD4" w:themeColor="text2" w:themeTint="99"/>
        </w:tblBorders>
        <w:tblCellMar>
          <w:left w:w="70" w:type="dxa"/>
          <w:right w:w="70" w:type="dxa"/>
        </w:tblCellMar>
        <w:tblLook w:val="04A0" w:firstRow="1" w:lastRow="0" w:firstColumn="1" w:lastColumn="0" w:noHBand="0" w:noVBand="1"/>
      </w:tblPr>
      <w:tblGrid>
        <w:gridCol w:w="1596"/>
        <w:gridCol w:w="1149"/>
        <w:gridCol w:w="1149"/>
        <w:gridCol w:w="1149"/>
        <w:gridCol w:w="1149"/>
        <w:gridCol w:w="1149"/>
        <w:gridCol w:w="1149"/>
        <w:gridCol w:w="1149"/>
      </w:tblGrid>
      <w:tr w:rsidR="00C9583F" w:rsidRPr="00C9583F" w:rsidTr="005D233A">
        <w:trPr>
          <w:trHeight w:hRule="exact" w:val="284"/>
          <w:jc w:val="center"/>
        </w:trPr>
        <w:tc>
          <w:tcPr>
            <w:tcW w:w="1596" w:type="dxa"/>
            <w:vMerge w:val="restart"/>
            <w:shd w:val="clear" w:color="auto" w:fill="4F81BD"/>
            <w:hideMark/>
          </w:tcPr>
          <w:p w:rsidR="00C9583F" w:rsidRPr="00701EA8" w:rsidRDefault="00C9583F" w:rsidP="00C9583F">
            <w:pPr>
              <w:spacing w:after="0" w:line="240" w:lineRule="auto"/>
              <w:rPr>
                <w:rFonts w:eastAsia="Times New Roman" w:cstheme="minorHAnsi"/>
                <w:b/>
                <w:bCs/>
                <w:color w:val="FFFFFF"/>
                <w:szCs w:val="21"/>
                <w:lang w:eastAsia="cs-CZ"/>
              </w:rPr>
            </w:pPr>
            <w:r w:rsidRPr="00701EA8">
              <w:rPr>
                <w:rFonts w:eastAsia="Times New Roman" w:cstheme="minorHAnsi"/>
                <w:b/>
                <w:bCs/>
                <w:color w:val="FFFFFF"/>
                <w:szCs w:val="21"/>
                <w:lang w:eastAsia="cs-CZ"/>
              </w:rPr>
              <w:t>Ukazatel</w:t>
            </w:r>
          </w:p>
          <w:p w:rsidR="00C9583F" w:rsidRPr="00701EA8" w:rsidRDefault="00C9583F" w:rsidP="00C9583F">
            <w:pPr>
              <w:spacing w:after="0" w:line="240" w:lineRule="auto"/>
              <w:rPr>
                <w:rFonts w:eastAsia="Times New Roman" w:cstheme="minorHAnsi"/>
                <w:bCs/>
                <w:color w:val="FFFFFF"/>
                <w:szCs w:val="21"/>
                <w:lang w:eastAsia="cs-CZ"/>
              </w:rPr>
            </w:pPr>
            <w:r w:rsidRPr="00701EA8">
              <w:rPr>
                <w:rFonts w:eastAsia="Times New Roman" w:cstheme="minorHAnsi"/>
                <w:bCs/>
                <w:color w:val="FFFFFF"/>
                <w:szCs w:val="21"/>
                <w:lang w:eastAsia="cs-CZ"/>
              </w:rPr>
              <w:t>(v Kč)</w:t>
            </w:r>
          </w:p>
        </w:tc>
        <w:tc>
          <w:tcPr>
            <w:tcW w:w="1149" w:type="dxa"/>
            <w:vMerge w:val="restart"/>
            <w:shd w:val="clear" w:color="auto" w:fill="6691C6"/>
            <w:vAlign w:val="center"/>
          </w:tcPr>
          <w:p w:rsidR="00C9583F" w:rsidRPr="00701EA8" w:rsidRDefault="00C9583F" w:rsidP="00C9583F">
            <w:pPr>
              <w:spacing w:after="0" w:line="240" w:lineRule="auto"/>
              <w:jc w:val="center"/>
              <w:rPr>
                <w:rFonts w:eastAsia="Times New Roman" w:cstheme="minorHAnsi"/>
                <w:b/>
                <w:bCs/>
                <w:color w:val="FFFFFF" w:themeColor="background1"/>
                <w:szCs w:val="21"/>
                <w:lang w:eastAsia="cs-CZ"/>
              </w:rPr>
            </w:pPr>
            <w:r w:rsidRPr="00701EA8">
              <w:rPr>
                <w:rFonts w:cstheme="minorHAnsi"/>
                <w:b/>
                <w:bCs/>
                <w:color w:val="FFFFFF"/>
                <w:szCs w:val="21"/>
              </w:rPr>
              <w:t>2015 </w:t>
            </w:r>
          </w:p>
        </w:tc>
        <w:tc>
          <w:tcPr>
            <w:tcW w:w="1149" w:type="dxa"/>
            <w:vMerge w:val="restart"/>
            <w:shd w:val="clear" w:color="auto" w:fill="4F81BD"/>
            <w:vAlign w:val="center"/>
            <w:hideMark/>
          </w:tcPr>
          <w:p w:rsidR="00C9583F" w:rsidRPr="00701EA8" w:rsidRDefault="00C9583F" w:rsidP="00C9583F">
            <w:pPr>
              <w:spacing w:after="0" w:line="240" w:lineRule="auto"/>
              <w:jc w:val="center"/>
              <w:rPr>
                <w:rFonts w:eastAsia="Times New Roman" w:cstheme="minorHAnsi"/>
                <w:b/>
                <w:bCs/>
                <w:color w:val="FFFFFF" w:themeColor="background1"/>
                <w:szCs w:val="21"/>
                <w:lang w:eastAsia="cs-CZ"/>
              </w:rPr>
            </w:pPr>
            <w:r w:rsidRPr="00701EA8">
              <w:rPr>
                <w:rFonts w:cstheme="minorHAnsi"/>
                <w:b/>
                <w:bCs/>
                <w:color w:val="FFFFFF"/>
                <w:szCs w:val="21"/>
              </w:rPr>
              <w:t>2016 </w:t>
            </w:r>
          </w:p>
        </w:tc>
        <w:tc>
          <w:tcPr>
            <w:tcW w:w="1149" w:type="dxa"/>
            <w:vMerge w:val="restart"/>
            <w:shd w:val="clear" w:color="auto" w:fill="6691C6"/>
            <w:vAlign w:val="center"/>
            <w:hideMark/>
          </w:tcPr>
          <w:p w:rsidR="00C9583F" w:rsidRPr="00701EA8" w:rsidRDefault="00C9583F" w:rsidP="00C9583F">
            <w:pPr>
              <w:spacing w:after="0" w:line="240" w:lineRule="auto"/>
              <w:jc w:val="center"/>
              <w:rPr>
                <w:rFonts w:eastAsia="Times New Roman" w:cstheme="minorHAnsi"/>
                <w:b/>
                <w:bCs/>
                <w:color w:val="FFFFFF" w:themeColor="background1"/>
                <w:szCs w:val="21"/>
                <w:lang w:eastAsia="cs-CZ"/>
              </w:rPr>
            </w:pPr>
            <w:r w:rsidRPr="00701EA8">
              <w:rPr>
                <w:rFonts w:cstheme="minorHAnsi"/>
                <w:b/>
                <w:bCs/>
                <w:color w:val="FFFFFF"/>
                <w:szCs w:val="21"/>
              </w:rPr>
              <w:t>2017 </w:t>
            </w:r>
          </w:p>
        </w:tc>
        <w:tc>
          <w:tcPr>
            <w:tcW w:w="1149" w:type="dxa"/>
            <w:vMerge w:val="restart"/>
            <w:shd w:val="clear" w:color="auto" w:fill="4F81BD"/>
            <w:vAlign w:val="center"/>
            <w:hideMark/>
          </w:tcPr>
          <w:p w:rsidR="00C9583F" w:rsidRPr="00701EA8" w:rsidRDefault="00C9583F" w:rsidP="00C9583F">
            <w:pPr>
              <w:spacing w:after="0" w:line="240" w:lineRule="auto"/>
              <w:jc w:val="center"/>
              <w:rPr>
                <w:rFonts w:eastAsia="Times New Roman" w:cstheme="minorHAnsi"/>
                <w:b/>
                <w:bCs/>
                <w:color w:val="FFFFFF" w:themeColor="background1"/>
                <w:szCs w:val="21"/>
                <w:lang w:eastAsia="cs-CZ"/>
              </w:rPr>
            </w:pPr>
            <w:r w:rsidRPr="00701EA8">
              <w:rPr>
                <w:rFonts w:cstheme="minorHAnsi"/>
                <w:b/>
                <w:bCs/>
                <w:color w:val="FFFFFF"/>
                <w:szCs w:val="21"/>
              </w:rPr>
              <w:t>2018 </w:t>
            </w:r>
          </w:p>
        </w:tc>
        <w:tc>
          <w:tcPr>
            <w:tcW w:w="1149" w:type="dxa"/>
            <w:vMerge w:val="restart"/>
            <w:shd w:val="clear" w:color="auto" w:fill="6691C6"/>
            <w:vAlign w:val="center"/>
            <w:hideMark/>
          </w:tcPr>
          <w:p w:rsidR="00C9583F" w:rsidRPr="00701EA8" w:rsidRDefault="00C9583F" w:rsidP="00C9583F">
            <w:pPr>
              <w:spacing w:after="0" w:line="240" w:lineRule="auto"/>
              <w:jc w:val="center"/>
              <w:rPr>
                <w:rFonts w:cstheme="minorHAnsi"/>
                <w:b/>
                <w:bCs/>
                <w:color w:val="FFFFFF" w:themeColor="background1"/>
                <w:szCs w:val="21"/>
              </w:rPr>
            </w:pPr>
            <w:r w:rsidRPr="00701EA8">
              <w:rPr>
                <w:rFonts w:cstheme="minorHAnsi"/>
                <w:b/>
                <w:bCs/>
                <w:color w:val="FFFFFF"/>
                <w:szCs w:val="21"/>
              </w:rPr>
              <w:t>2019 </w:t>
            </w:r>
          </w:p>
        </w:tc>
        <w:tc>
          <w:tcPr>
            <w:tcW w:w="1149" w:type="dxa"/>
            <w:shd w:val="clear" w:color="auto" w:fill="4F81BD"/>
            <w:vAlign w:val="center"/>
            <w:hideMark/>
          </w:tcPr>
          <w:p w:rsidR="00C9583F" w:rsidRPr="00701EA8" w:rsidRDefault="00C9583F" w:rsidP="00C9583F">
            <w:pPr>
              <w:jc w:val="center"/>
              <w:rPr>
                <w:rFonts w:cstheme="minorHAnsi"/>
                <w:b/>
                <w:bCs/>
                <w:color w:val="FFFFFF" w:themeColor="background1"/>
                <w:szCs w:val="21"/>
              </w:rPr>
            </w:pPr>
            <w:r w:rsidRPr="00701EA8">
              <w:rPr>
                <w:rFonts w:cstheme="minorHAnsi"/>
                <w:b/>
                <w:bCs/>
                <w:color w:val="FFFFFF"/>
                <w:szCs w:val="21"/>
              </w:rPr>
              <w:t>2020</w:t>
            </w:r>
          </w:p>
        </w:tc>
        <w:tc>
          <w:tcPr>
            <w:tcW w:w="1149" w:type="dxa"/>
            <w:shd w:val="clear" w:color="auto" w:fill="6691C6"/>
            <w:vAlign w:val="center"/>
          </w:tcPr>
          <w:p w:rsidR="00C9583F" w:rsidRPr="00701EA8" w:rsidRDefault="00C9583F" w:rsidP="00C9583F">
            <w:pPr>
              <w:jc w:val="center"/>
              <w:rPr>
                <w:rFonts w:cstheme="minorHAnsi"/>
                <w:b/>
                <w:bCs/>
                <w:color w:val="FFFFFF" w:themeColor="background1"/>
                <w:szCs w:val="21"/>
              </w:rPr>
            </w:pPr>
            <w:r w:rsidRPr="00701EA8">
              <w:rPr>
                <w:rFonts w:cstheme="minorHAnsi"/>
                <w:b/>
                <w:bCs/>
                <w:color w:val="FFFFFF"/>
                <w:szCs w:val="21"/>
              </w:rPr>
              <w:t>2021</w:t>
            </w:r>
          </w:p>
        </w:tc>
      </w:tr>
      <w:tr w:rsidR="00C9583F" w:rsidRPr="00C9583F" w:rsidTr="009E30ED">
        <w:trPr>
          <w:trHeight w:hRule="exact" w:val="284"/>
          <w:jc w:val="center"/>
        </w:trPr>
        <w:tc>
          <w:tcPr>
            <w:tcW w:w="1596" w:type="dxa"/>
            <w:vMerge/>
            <w:shd w:val="clear" w:color="auto" w:fill="4F81BD"/>
            <w:vAlign w:val="center"/>
            <w:hideMark/>
          </w:tcPr>
          <w:p w:rsidR="00C9583F" w:rsidRPr="00701EA8" w:rsidRDefault="00C9583F" w:rsidP="00C9583F">
            <w:pPr>
              <w:spacing w:after="0" w:line="240" w:lineRule="auto"/>
              <w:ind w:firstLine="426"/>
              <w:rPr>
                <w:rFonts w:eastAsia="Times New Roman" w:cstheme="minorHAnsi"/>
                <w:b/>
                <w:bCs/>
                <w:color w:val="FFFFFF"/>
                <w:szCs w:val="21"/>
                <w:lang w:eastAsia="cs-CZ"/>
              </w:rPr>
            </w:pPr>
          </w:p>
        </w:tc>
        <w:tc>
          <w:tcPr>
            <w:tcW w:w="1149" w:type="dxa"/>
            <w:vMerge/>
            <w:shd w:val="clear" w:color="auto" w:fill="6691C6"/>
            <w:vAlign w:val="center"/>
            <w:hideMark/>
          </w:tcPr>
          <w:p w:rsidR="00C9583F" w:rsidRPr="00701EA8" w:rsidRDefault="00C9583F" w:rsidP="00C9583F">
            <w:pPr>
              <w:spacing w:after="0" w:line="240" w:lineRule="auto"/>
              <w:jc w:val="center"/>
              <w:rPr>
                <w:rFonts w:eastAsia="Times New Roman" w:cstheme="minorHAnsi"/>
                <w:b/>
                <w:bCs/>
                <w:color w:val="FFFFFF"/>
                <w:szCs w:val="21"/>
                <w:lang w:eastAsia="cs-CZ"/>
              </w:rPr>
            </w:pPr>
          </w:p>
        </w:tc>
        <w:tc>
          <w:tcPr>
            <w:tcW w:w="1149" w:type="dxa"/>
            <w:vMerge/>
            <w:shd w:val="clear" w:color="auto" w:fill="4F81BD"/>
            <w:vAlign w:val="center"/>
            <w:hideMark/>
          </w:tcPr>
          <w:p w:rsidR="00C9583F" w:rsidRPr="00701EA8" w:rsidRDefault="00C9583F" w:rsidP="00C9583F">
            <w:pPr>
              <w:spacing w:after="0" w:line="240" w:lineRule="auto"/>
              <w:jc w:val="center"/>
              <w:rPr>
                <w:rFonts w:eastAsia="Times New Roman" w:cstheme="minorHAnsi"/>
                <w:b/>
                <w:bCs/>
                <w:color w:val="FFFFFF"/>
                <w:szCs w:val="21"/>
                <w:lang w:eastAsia="cs-CZ"/>
              </w:rPr>
            </w:pPr>
          </w:p>
        </w:tc>
        <w:tc>
          <w:tcPr>
            <w:tcW w:w="1149" w:type="dxa"/>
            <w:vMerge/>
            <w:shd w:val="clear" w:color="auto" w:fill="6691C6"/>
            <w:vAlign w:val="center"/>
            <w:hideMark/>
          </w:tcPr>
          <w:p w:rsidR="00C9583F" w:rsidRPr="00701EA8" w:rsidRDefault="00C9583F" w:rsidP="00C9583F">
            <w:pPr>
              <w:spacing w:after="0" w:line="240" w:lineRule="auto"/>
              <w:jc w:val="center"/>
              <w:rPr>
                <w:rFonts w:eastAsia="Times New Roman" w:cstheme="minorHAnsi"/>
                <w:b/>
                <w:bCs/>
                <w:color w:val="FFFFFF"/>
                <w:szCs w:val="21"/>
                <w:lang w:eastAsia="cs-CZ"/>
              </w:rPr>
            </w:pPr>
          </w:p>
        </w:tc>
        <w:tc>
          <w:tcPr>
            <w:tcW w:w="1149" w:type="dxa"/>
            <w:vMerge/>
            <w:shd w:val="clear" w:color="auto" w:fill="4F81BD"/>
            <w:vAlign w:val="center"/>
            <w:hideMark/>
          </w:tcPr>
          <w:p w:rsidR="00C9583F" w:rsidRPr="00701EA8" w:rsidRDefault="00C9583F" w:rsidP="00C9583F">
            <w:pPr>
              <w:spacing w:after="0" w:line="240" w:lineRule="auto"/>
              <w:jc w:val="center"/>
              <w:rPr>
                <w:rFonts w:eastAsia="Times New Roman" w:cstheme="minorHAnsi"/>
                <w:b/>
                <w:bCs/>
                <w:color w:val="FFFFFF"/>
                <w:szCs w:val="21"/>
                <w:lang w:eastAsia="cs-CZ"/>
              </w:rPr>
            </w:pPr>
          </w:p>
        </w:tc>
        <w:tc>
          <w:tcPr>
            <w:tcW w:w="1149" w:type="dxa"/>
            <w:vMerge/>
            <w:shd w:val="clear" w:color="auto" w:fill="6691C6"/>
            <w:vAlign w:val="center"/>
            <w:hideMark/>
          </w:tcPr>
          <w:p w:rsidR="00C9583F" w:rsidRPr="00701EA8" w:rsidRDefault="00C9583F" w:rsidP="00C9583F">
            <w:pPr>
              <w:spacing w:after="0" w:line="240" w:lineRule="auto"/>
              <w:jc w:val="center"/>
              <w:rPr>
                <w:rFonts w:eastAsia="Times New Roman" w:cstheme="minorHAnsi"/>
                <w:b/>
                <w:bCs/>
                <w:color w:val="FFFFFF"/>
                <w:szCs w:val="21"/>
                <w:lang w:eastAsia="cs-CZ"/>
              </w:rPr>
            </w:pPr>
          </w:p>
        </w:tc>
        <w:tc>
          <w:tcPr>
            <w:tcW w:w="1149" w:type="dxa"/>
            <w:shd w:val="clear" w:color="auto" w:fill="4F81BD"/>
            <w:vAlign w:val="center"/>
            <w:hideMark/>
          </w:tcPr>
          <w:p w:rsidR="00C9583F" w:rsidRPr="00701EA8" w:rsidRDefault="00C9583F" w:rsidP="00C9583F">
            <w:pPr>
              <w:spacing w:after="0" w:line="240" w:lineRule="auto"/>
              <w:jc w:val="center"/>
              <w:rPr>
                <w:rFonts w:eastAsia="Times New Roman" w:cstheme="minorHAnsi"/>
                <w:bCs/>
                <w:color w:val="FFFFFF" w:themeColor="background1"/>
                <w:szCs w:val="21"/>
                <w:lang w:eastAsia="cs-CZ"/>
              </w:rPr>
            </w:pPr>
            <w:r w:rsidRPr="00701EA8">
              <w:rPr>
                <w:rFonts w:cstheme="minorHAnsi"/>
                <w:b/>
                <w:bCs/>
                <w:color w:val="FFFFFF"/>
                <w:szCs w:val="21"/>
              </w:rPr>
              <w:t>oč. skut.</w:t>
            </w:r>
          </w:p>
        </w:tc>
        <w:tc>
          <w:tcPr>
            <w:tcW w:w="1149" w:type="dxa"/>
            <w:shd w:val="clear" w:color="auto" w:fill="6691C6"/>
            <w:vAlign w:val="center"/>
          </w:tcPr>
          <w:p w:rsidR="00C9583F" w:rsidRPr="00701EA8" w:rsidRDefault="00C9583F" w:rsidP="00C9583F">
            <w:pPr>
              <w:spacing w:after="0" w:line="240" w:lineRule="auto"/>
              <w:jc w:val="center"/>
              <w:rPr>
                <w:rFonts w:eastAsia="Times New Roman" w:cstheme="minorHAnsi"/>
                <w:bCs/>
                <w:color w:val="FFFFFF" w:themeColor="background1"/>
                <w:szCs w:val="21"/>
                <w:lang w:eastAsia="cs-CZ"/>
              </w:rPr>
            </w:pPr>
            <w:r w:rsidRPr="00701EA8">
              <w:rPr>
                <w:rFonts w:cstheme="minorHAnsi"/>
                <w:b/>
                <w:bCs/>
                <w:color w:val="FFFFFF"/>
                <w:szCs w:val="21"/>
              </w:rPr>
              <w:t>ZPP</w:t>
            </w:r>
          </w:p>
        </w:tc>
      </w:tr>
      <w:tr w:rsidR="00C9583F" w:rsidRPr="00C9583F" w:rsidTr="005D233A">
        <w:trPr>
          <w:trHeight w:hRule="exact" w:val="510"/>
          <w:jc w:val="center"/>
        </w:trPr>
        <w:tc>
          <w:tcPr>
            <w:tcW w:w="1596" w:type="dxa"/>
            <w:shd w:val="clear" w:color="auto" w:fill="auto"/>
            <w:vAlign w:val="bottom"/>
            <w:hideMark/>
          </w:tcPr>
          <w:p w:rsidR="00C9583F" w:rsidRPr="00701EA8" w:rsidRDefault="00C9583F" w:rsidP="00C9583F">
            <w:pPr>
              <w:spacing w:after="0" w:line="240" w:lineRule="auto"/>
              <w:rPr>
                <w:rFonts w:eastAsia="Times New Roman" w:cstheme="minorHAnsi"/>
                <w:b/>
                <w:bCs/>
                <w:color w:val="000000"/>
                <w:szCs w:val="21"/>
                <w:lang w:eastAsia="cs-CZ"/>
              </w:rPr>
            </w:pPr>
            <w:r w:rsidRPr="00701EA8">
              <w:rPr>
                <w:rFonts w:eastAsia="Times New Roman" w:cstheme="minorHAnsi"/>
                <w:b/>
                <w:bCs/>
                <w:color w:val="000000"/>
                <w:szCs w:val="21"/>
                <w:lang w:eastAsia="cs-CZ"/>
              </w:rPr>
              <w:t>Náklady na ambulantní péči</w:t>
            </w:r>
          </w:p>
        </w:tc>
        <w:tc>
          <w:tcPr>
            <w:tcW w:w="1149" w:type="dxa"/>
            <w:shd w:val="clear" w:color="auto" w:fill="DBE5F1" w:themeFill="accent1" w:themeFillTint="33"/>
            <w:vAlign w:val="center"/>
            <w:hideMark/>
          </w:tcPr>
          <w:p w:rsidR="00C9583F" w:rsidRPr="00701EA8" w:rsidRDefault="00C9583F" w:rsidP="00C9583F">
            <w:pPr>
              <w:spacing w:after="0" w:line="240" w:lineRule="auto"/>
              <w:jc w:val="right"/>
              <w:rPr>
                <w:rFonts w:cstheme="minorHAnsi"/>
                <w:szCs w:val="21"/>
              </w:rPr>
            </w:pPr>
            <w:r w:rsidRPr="00701EA8">
              <w:rPr>
                <w:rFonts w:cstheme="minorHAnsi"/>
                <w:szCs w:val="21"/>
              </w:rPr>
              <w:t>6 220</w:t>
            </w:r>
          </w:p>
        </w:tc>
        <w:tc>
          <w:tcPr>
            <w:tcW w:w="1149" w:type="dxa"/>
            <w:shd w:val="clear" w:color="auto" w:fill="auto"/>
            <w:vAlign w:val="center"/>
            <w:hideMark/>
          </w:tcPr>
          <w:p w:rsidR="00C9583F" w:rsidRPr="00701EA8" w:rsidRDefault="00C9583F" w:rsidP="00C9583F">
            <w:pPr>
              <w:spacing w:after="0" w:line="240" w:lineRule="auto"/>
              <w:jc w:val="right"/>
              <w:rPr>
                <w:rFonts w:cstheme="minorHAnsi"/>
                <w:szCs w:val="21"/>
              </w:rPr>
            </w:pPr>
            <w:r w:rsidRPr="00701EA8">
              <w:rPr>
                <w:rFonts w:cstheme="minorHAnsi"/>
                <w:szCs w:val="21"/>
              </w:rPr>
              <w:t>6 631</w:t>
            </w:r>
          </w:p>
        </w:tc>
        <w:tc>
          <w:tcPr>
            <w:tcW w:w="1149" w:type="dxa"/>
            <w:shd w:val="clear" w:color="auto" w:fill="DBE5F1" w:themeFill="accent1" w:themeFillTint="33"/>
            <w:vAlign w:val="center"/>
            <w:hideMark/>
          </w:tcPr>
          <w:p w:rsidR="00C9583F" w:rsidRPr="00701EA8" w:rsidRDefault="00C9583F" w:rsidP="00C9583F">
            <w:pPr>
              <w:spacing w:after="0" w:line="240" w:lineRule="auto"/>
              <w:jc w:val="right"/>
              <w:rPr>
                <w:rFonts w:cstheme="minorHAnsi"/>
                <w:szCs w:val="21"/>
              </w:rPr>
            </w:pPr>
            <w:r w:rsidRPr="00701EA8">
              <w:rPr>
                <w:rFonts w:cstheme="minorHAnsi"/>
                <w:color w:val="000000"/>
                <w:szCs w:val="21"/>
              </w:rPr>
              <w:t>6 893</w:t>
            </w:r>
          </w:p>
        </w:tc>
        <w:tc>
          <w:tcPr>
            <w:tcW w:w="1149" w:type="dxa"/>
            <w:shd w:val="clear" w:color="auto" w:fill="auto"/>
            <w:vAlign w:val="center"/>
            <w:hideMark/>
          </w:tcPr>
          <w:p w:rsidR="00C9583F" w:rsidRPr="00701EA8" w:rsidRDefault="00C9583F" w:rsidP="00C9583F">
            <w:pPr>
              <w:spacing w:after="0" w:line="240" w:lineRule="auto"/>
              <w:jc w:val="right"/>
              <w:rPr>
                <w:rFonts w:cstheme="minorHAnsi"/>
                <w:color w:val="000000"/>
                <w:szCs w:val="21"/>
              </w:rPr>
            </w:pPr>
            <w:r w:rsidRPr="00701EA8">
              <w:rPr>
                <w:rFonts w:cstheme="minorHAnsi"/>
                <w:color w:val="000000"/>
                <w:szCs w:val="21"/>
              </w:rPr>
              <w:t>7 145</w:t>
            </w:r>
          </w:p>
        </w:tc>
        <w:tc>
          <w:tcPr>
            <w:tcW w:w="1149" w:type="dxa"/>
            <w:shd w:val="clear" w:color="auto" w:fill="DBE5F1" w:themeFill="accent1" w:themeFillTint="33"/>
            <w:vAlign w:val="center"/>
            <w:hideMark/>
          </w:tcPr>
          <w:p w:rsidR="00C9583F" w:rsidRPr="00701EA8" w:rsidRDefault="00C9583F" w:rsidP="00C9583F">
            <w:pPr>
              <w:spacing w:after="0" w:line="240" w:lineRule="auto"/>
              <w:jc w:val="right"/>
              <w:rPr>
                <w:rFonts w:cstheme="minorHAnsi"/>
                <w:color w:val="000000"/>
                <w:szCs w:val="21"/>
              </w:rPr>
            </w:pPr>
            <w:r w:rsidRPr="00701EA8">
              <w:rPr>
                <w:rFonts w:cstheme="minorHAnsi"/>
                <w:color w:val="000000"/>
                <w:szCs w:val="21"/>
              </w:rPr>
              <w:t>7 876</w:t>
            </w:r>
          </w:p>
        </w:tc>
        <w:tc>
          <w:tcPr>
            <w:tcW w:w="1149" w:type="dxa"/>
            <w:shd w:val="clear" w:color="auto" w:fill="auto"/>
            <w:vAlign w:val="center"/>
            <w:hideMark/>
          </w:tcPr>
          <w:p w:rsidR="00C9583F" w:rsidRPr="00701EA8" w:rsidRDefault="00C9583F" w:rsidP="00C9583F">
            <w:pPr>
              <w:spacing w:after="0" w:line="240" w:lineRule="auto"/>
              <w:jc w:val="right"/>
              <w:rPr>
                <w:rFonts w:cstheme="minorHAnsi"/>
                <w:color w:val="000000"/>
                <w:szCs w:val="21"/>
              </w:rPr>
            </w:pPr>
            <w:r w:rsidRPr="00701EA8">
              <w:rPr>
                <w:rFonts w:cstheme="minorHAnsi"/>
                <w:color w:val="000000"/>
                <w:szCs w:val="21"/>
              </w:rPr>
              <w:t>8 852</w:t>
            </w:r>
          </w:p>
        </w:tc>
        <w:tc>
          <w:tcPr>
            <w:tcW w:w="1149" w:type="dxa"/>
            <w:shd w:val="clear" w:color="auto" w:fill="DBE5F1" w:themeFill="accent1" w:themeFillTint="33"/>
            <w:vAlign w:val="center"/>
          </w:tcPr>
          <w:p w:rsidR="00C9583F" w:rsidRPr="00701EA8" w:rsidRDefault="00C9583F" w:rsidP="00C9583F">
            <w:pPr>
              <w:spacing w:after="0" w:line="240" w:lineRule="auto"/>
              <w:jc w:val="right"/>
              <w:rPr>
                <w:rFonts w:cstheme="minorHAnsi"/>
                <w:color w:val="000000"/>
                <w:szCs w:val="21"/>
              </w:rPr>
            </w:pPr>
            <w:r w:rsidRPr="00701EA8">
              <w:rPr>
                <w:rFonts w:cstheme="minorHAnsi"/>
                <w:color w:val="000000"/>
                <w:szCs w:val="21"/>
              </w:rPr>
              <w:t>9 451</w:t>
            </w:r>
          </w:p>
        </w:tc>
      </w:tr>
      <w:tr w:rsidR="00C9583F" w:rsidRPr="00C9583F" w:rsidTr="005D233A">
        <w:trPr>
          <w:trHeight w:hRule="exact" w:val="510"/>
          <w:jc w:val="center"/>
        </w:trPr>
        <w:tc>
          <w:tcPr>
            <w:tcW w:w="1596" w:type="dxa"/>
            <w:shd w:val="clear" w:color="auto" w:fill="EEF3F8"/>
            <w:vAlign w:val="bottom"/>
            <w:hideMark/>
          </w:tcPr>
          <w:p w:rsidR="00C9583F" w:rsidRPr="00701EA8" w:rsidRDefault="00C9583F" w:rsidP="00C9583F">
            <w:pPr>
              <w:spacing w:after="0" w:line="240" w:lineRule="auto"/>
              <w:rPr>
                <w:rFonts w:eastAsia="Times New Roman" w:cstheme="minorHAnsi"/>
                <w:b/>
                <w:bCs/>
                <w:color w:val="000000"/>
                <w:szCs w:val="21"/>
                <w:lang w:eastAsia="cs-CZ"/>
              </w:rPr>
            </w:pPr>
            <w:r w:rsidRPr="00701EA8">
              <w:rPr>
                <w:rFonts w:eastAsia="Times New Roman" w:cstheme="minorHAnsi"/>
                <w:b/>
                <w:bCs/>
                <w:color w:val="000000"/>
                <w:szCs w:val="21"/>
                <w:lang w:eastAsia="cs-CZ"/>
              </w:rPr>
              <w:t>Náklady na lůžkovou péči</w:t>
            </w:r>
          </w:p>
        </w:tc>
        <w:tc>
          <w:tcPr>
            <w:tcW w:w="1149" w:type="dxa"/>
            <w:shd w:val="clear" w:color="auto" w:fill="EEF3F8"/>
            <w:noWrap/>
            <w:vAlign w:val="center"/>
            <w:hideMark/>
          </w:tcPr>
          <w:p w:rsidR="00C9583F" w:rsidRPr="00701EA8" w:rsidRDefault="00C9583F" w:rsidP="00C9583F">
            <w:pPr>
              <w:spacing w:after="0" w:line="240" w:lineRule="auto"/>
              <w:jc w:val="right"/>
              <w:rPr>
                <w:rFonts w:cstheme="minorHAnsi"/>
                <w:color w:val="000000"/>
                <w:szCs w:val="21"/>
              </w:rPr>
            </w:pPr>
            <w:r w:rsidRPr="00701EA8">
              <w:rPr>
                <w:rFonts w:cstheme="minorHAnsi"/>
                <w:color w:val="000000"/>
                <w:szCs w:val="21"/>
              </w:rPr>
              <w:t>12 229</w:t>
            </w:r>
          </w:p>
        </w:tc>
        <w:tc>
          <w:tcPr>
            <w:tcW w:w="1149" w:type="dxa"/>
            <w:shd w:val="clear" w:color="auto" w:fill="EEF3F8"/>
            <w:noWrap/>
            <w:vAlign w:val="center"/>
            <w:hideMark/>
          </w:tcPr>
          <w:p w:rsidR="00C9583F" w:rsidRPr="00701EA8" w:rsidRDefault="00C9583F" w:rsidP="00C9583F">
            <w:pPr>
              <w:spacing w:after="0" w:line="240" w:lineRule="auto"/>
              <w:jc w:val="right"/>
              <w:rPr>
                <w:rFonts w:cstheme="minorHAnsi"/>
                <w:color w:val="000000"/>
                <w:szCs w:val="21"/>
              </w:rPr>
            </w:pPr>
            <w:r w:rsidRPr="00701EA8">
              <w:rPr>
                <w:rFonts w:cstheme="minorHAnsi"/>
                <w:color w:val="000000"/>
                <w:szCs w:val="21"/>
              </w:rPr>
              <w:t>12 731</w:t>
            </w:r>
          </w:p>
        </w:tc>
        <w:tc>
          <w:tcPr>
            <w:tcW w:w="1149" w:type="dxa"/>
            <w:shd w:val="clear" w:color="auto" w:fill="EEF3F8"/>
            <w:noWrap/>
            <w:vAlign w:val="center"/>
            <w:hideMark/>
          </w:tcPr>
          <w:p w:rsidR="00C9583F" w:rsidRPr="00701EA8" w:rsidRDefault="00C9583F" w:rsidP="00C9583F">
            <w:pPr>
              <w:spacing w:after="0" w:line="240" w:lineRule="auto"/>
              <w:jc w:val="right"/>
              <w:rPr>
                <w:rFonts w:cstheme="minorHAnsi"/>
                <w:color w:val="000000"/>
                <w:szCs w:val="21"/>
              </w:rPr>
            </w:pPr>
            <w:r w:rsidRPr="00701EA8">
              <w:rPr>
                <w:rFonts w:cstheme="minorHAnsi"/>
                <w:color w:val="000000"/>
                <w:szCs w:val="21"/>
              </w:rPr>
              <w:t>13 621</w:t>
            </w:r>
          </w:p>
        </w:tc>
        <w:tc>
          <w:tcPr>
            <w:tcW w:w="1149" w:type="dxa"/>
            <w:shd w:val="clear" w:color="auto" w:fill="EEF3F8"/>
            <w:noWrap/>
            <w:vAlign w:val="center"/>
            <w:hideMark/>
          </w:tcPr>
          <w:p w:rsidR="00C9583F" w:rsidRPr="00701EA8" w:rsidRDefault="00C9583F" w:rsidP="00C9583F">
            <w:pPr>
              <w:spacing w:after="0" w:line="240" w:lineRule="auto"/>
              <w:jc w:val="right"/>
              <w:rPr>
                <w:rFonts w:cstheme="minorHAnsi"/>
                <w:color w:val="000000"/>
                <w:szCs w:val="21"/>
              </w:rPr>
            </w:pPr>
            <w:r w:rsidRPr="00701EA8">
              <w:rPr>
                <w:rFonts w:cstheme="minorHAnsi"/>
                <w:color w:val="000000"/>
                <w:szCs w:val="21"/>
              </w:rPr>
              <w:t>14 783</w:t>
            </w:r>
          </w:p>
        </w:tc>
        <w:tc>
          <w:tcPr>
            <w:tcW w:w="1149" w:type="dxa"/>
            <w:shd w:val="clear" w:color="auto" w:fill="EEF3F8"/>
            <w:noWrap/>
            <w:vAlign w:val="center"/>
            <w:hideMark/>
          </w:tcPr>
          <w:p w:rsidR="00C9583F" w:rsidRPr="00701EA8" w:rsidRDefault="00C9583F" w:rsidP="00C9583F">
            <w:pPr>
              <w:spacing w:after="0" w:line="240" w:lineRule="auto"/>
              <w:jc w:val="right"/>
              <w:rPr>
                <w:rFonts w:cstheme="minorHAnsi"/>
                <w:color w:val="000000"/>
                <w:szCs w:val="21"/>
              </w:rPr>
            </w:pPr>
            <w:r w:rsidRPr="00701EA8">
              <w:rPr>
                <w:rFonts w:cstheme="minorHAnsi"/>
                <w:color w:val="000000"/>
                <w:szCs w:val="21"/>
              </w:rPr>
              <w:t>16 148</w:t>
            </w:r>
          </w:p>
        </w:tc>
        <w:tc>
          <w:tcPr>
            <w:tcW w:w="1149" w:type="dxa"/>
            <w:shd w:val="clear" w:color="auto" w:fill="EEF3F8"/>
            <w:noWrap/>
            <w:vAlign w:val="center"/>
            <w:hideMark/>
          </w:tcPr>
          <w:p w:rsidR="00C9583F" w:rsidRPr="00701EA8" w:rsidRDefault="00C9583F" w:rsidP="00C9583F">
            <w:pPr>
              <w:spacing w:after="0" w:line="240" w:lineRule="auto"/>
              <w:jc w:val="right"/>
              <w:rPr>
                <w:rFonts w:cstheme="minorHAnsi"/>
                <w:color w:val="000000"/>
                <w:szCs w:val="21"/>
              </w:rPr>
            </w:pPr>
            <w:r w:rsidRPr="00701EA8">
              <w:rPr>
                <w:rFonts w:cstheme="minorHAnsi"/>
                <w:color w:val="000000"/>
                <w:szCs w:val="21"/>
              </w:rPr>
              <w:t>18 666</w:t>
            </w:r>
          </w:p>
        </w:tc>
        <w:tc>
          <w:tcPr>
            <w:tcW w:w="1149" w:type="dxa"/>
            <w:shd w:val="clear" w:color="auto" w:fill="EEF3F8"/>
            <w:vAlign w:val="center"/>
          </w:tcPr>
          <w:p w:rsidR="00C9583F" w:rsidRPr="00701EA8" w:rsidRDefault="00C9583F" w:rsidP="00C9583F">
            <w:pPr>
              <w:spacing w:after="0" w:line="240" w:lineRule="auto"/>
              <w:jc w:val="right"/>
              <w:rPr>
                <w:rFonts w:cstheme="minorHAnsi"/>
                <w:color w:val="000000"/>
                <w:szCs w:val="21"/>
              </w:rPr>
            </w:pPr>
            <w:r w:rsidRPr="00701EA8">
              <w:rPr>
                <w:rFonts w:cstheme="minorHAnsi"/>
                <w:color w:val="000000"/>
                <w:szCs w:val="21"/>
              </w:rPr>
              <w:t>20 596</w:t>
            </w:r>
          </w:p>
        </w:tc>
      </w:tr>
      <w:tr w:rsidR="00C9583F" w:rsidRPr="00C9583F" w:rsidTr="005D233A">
        <w:trPr>
          <w:trHeight w:hRule="exact" w:val="284"/>
          <w:jc w:val="center"/>
        </w:trPr>
        <w:tc>
          <w:tcPr>
            <w:tcW w:w="1596" w:type="dxa"/>
            <w:shd w:val="clear" w:color="auto" w:fill="auto"/>
            <w:vAlign w:val="bottom"/>
            <w:hideMark/>
          </w:tcPr>
          <w:p w:rsidR="00C9583F" w:rsidRPr="00701EA8" w:rsidRDefault="00C9583F" w:rsidP="00C9583F">
            <w:pPr>
              <w:spacing w:after="0" w:line="240" w:lineRule="auto"/>
              <w:rPr>
                <w:rFonts w:eastAsia="Times New Roman" w:cstheme="minorHAnsi"/>
                <w:b/>
                <w:bCs/>
                <w:color w:val="000000"/>
                <w:szCs w:val="21"/>
                <w:lang w:eastAsia="cs-CZ"/>
              </w:rPr>
            </w:pPr>
            <w:r w:rsidRPr="00701EA8">
              <w:rPr>
                <w:rFonts w:eastAsia="Times New Roman" w:cstheme="minorHAnsi"/>
                <w:b/>
                <w:bCs/>
                <w:color w:val="000000"/>
                <w:szCs w:val="21"/>
                <w:lang w:eastAsia="cs-CZ"/>
              </w:rPr>
              <w:t>Ostatní náklady</w:t>
            </w:r>
          </w:p>
        </w:tc>
        <w:tc>
          <w:tcPr>
            <w:tcW w:w="1149" w:type="dxa"/>
            <w:shd w:val="clear" w:color="auto" w:fill="DBE5F1" w:themeFill="accent1" w:themeFillTint="33"/>
            <w:vAlign w:val="center"/>
            <w:hideMark/>
          </w:tcPr>
          <w:p w:rsidR="00C9583F" w:rsidRPr="00701EA8" w:rsidRDefault="00C9583F" w:rsidP="00C9583F">
            <w:pPr>
              <w:spacing w:after="0" w:line="240" w:lineRule="auto"/>
              <w:jc w:val="right"/>
              <w:rPr>
                <w:rFonts w:cstheme="minorHAnsi"/>
                <w:color w:val="000000"/>
                <w:szCs w:val="21"/>
              </w:rPr>
            </w:pPr>
            <w:r w:rsidRPr="00701EA8">
              <w:rPr>
                <w:rFonts w:cstheme="minorHAnsi"/>
                <w:color w:val="000000"/>
                <w:szCs w:val="21"/>
              </w:rPr>
              <w:t>4 768</w:t>
            </w:r>
          </w:p>
        </w:tc>
        <w:tc>
          <w:tcPr>
            <w:tcW w:w="1149" w:type="dxa"/>
            <w:shd w:val="clear" w:color="auto" w:fill="auto"/>
            <w:vAlign w:val="center"/>
            <w:hideMark/>
          </w:tcPr>
          <w:p w:rsidR="00C9583F" w:rsidRPr="00701EA8" w:rsidRDefault="00C9583F" w:rsidP="00C9583F">
            <w:pPr>
              <w:spacing w:after="0" w:line="240" w:lineRule="auto"/>
              <w:jc w:val="right"/>
              <w:rPr>
                <w:rFonts w:cstheme="minorHAnsi"/>
                <w:color w:val="000000"/>
                <w:szCs w:val="21"/>
              </w:rPr>
            </w:pPr>
            <w:r w:rsidRPr="00701EA8">
              <w:rPr>
                <w:rFonts w:cstheme="minorHAnsi"/>
                <w:color w:val="000000"/>
                <w:szCs w:val="21"/>
              </w:rPr>
              <w:t>4 904</w:t>
            </w:r>
          </w:p>
        </w:tc>
        <w:tc>
          <w:tcPr>
            <w:tcW w:w="1149" w:type="dxa"/>
            <w:shd w:val="clear" w:color="auto" w:fill="DBE5F1" w:themeFill="accent1" w:themeFillTint="33"/>
            <w:vAlign w:val="center"/>
            <w:hideMark/>
          </w:tcPr>
          <w:p w:rsidR="00C9583F" w:rsidRPr="00701EA8" w:rsidRDefault="00C9583F" w:rsidP="00C9583F">
            <w:pPr>
              <w:spacing w:after="0" w:line="240" w:lineRule="auto"/>
              <w:jc w:val="right"/>
              <w:rPr>
                <w:rFonts w:cstheme="minorHAnsi"/>
                <w:color w:val="000000"/>
                <w:szCs w:val="21"/>
              </w:rPr>
            </w:pPr>
            <w:r w:rsidRPr="00701EA8">
              <w:rPr>
                <w:rFonts w:cstheme="minorHAnsi"/>
                <w:color w:val="000000"/>
                <w:szCs w:val="21"/>
              </w:rPr>
              <w:t>5 025</w:t>
            </w:r>
          </w:p>
        </w:tc>
        <w:tc>
          <w:tcPr>
            <w:tcW w:w="1149" w:type="dxa"/>
            <w:shd w:val="clear" w:color="auto" w:fill="auto"/>
            <w:vAlign w:val="center"/>
            <w:hideMark/>
          </w:tcPr>
          <w:p w:rsidR="00C9583F" w:rsidRPr="00701EA8" w:rsidRDefault="00C9583F" w:rsidP="00C9583F">
            <w:pPr>
              <w:spacing w:after="0" w:line="240" w:lineRule="auto"/>
              <w:jc w:val="right"/>
              <w:rPr>
                <w:rFonts w:cstheme="minorHAnsi"/>
                <w:color w:val="000000"/>
                <w:szCs w:val="21"/>
              </w:rPr>
            </w:pPr>
            <w:r w:rsidRPr="00701EA8">
              <w:rPr>
                <w:rFonts w:cstheme="minorHAnsi"/>
                <w:color w:val="000000"/>
                <w:szCs w:val="21"/>
              </w:rPr>
              <w:t>5 219</w:t>
            </w:r>
          </w:p>
        </w:tc>
        <w:tc>
          <w:tcPr>
            <w:tcW w:w="1149" w:type="dxa"/>
            <w:shd w:val="clear" w:color="auto" w:fill="DBE5F1" w:themeFill="accent1" w:themeFillTint="33"/>
            <w:vAlign w:val="center"/>
            <w:hideMark/>
          </w:tcPr>
          <w:p w:rsidR="00C9583F" w:rsidRPr="00701EA8" w:rsidRDefault="00C9583F" w:rsidP="00C9583F">
            <w:pPr>
              <w:spacing w:after="0" w:line="240" w:lineRule="auto"/>
              <w:jc w:val="right"/>
              <w:rPr>
                <w:rFonts w:cstheme="minorHAnsi"/>
                <w:color w:val="000000"/>
                <w:szCs w:val="21"/>
              </w:rPr>
            </w:pPr>
            <w:r w:rsidRPr="00701EA8">
              <w:rPr>
                <w:rFonts w:cstheme="minorHAnsi"/>
                <w:color w:val="000000"/>
                <w:szCs w:val="21"/>
              </w:rPr>
              <w:t>5 475</w:t>
            </w:r>
          </w:p>
        </w:tc>
        <w:tc>
          <w:tcPr>
            <w:tcW w:w="1149" w:type="dxa"/>
            <w:shd w:val="clear" w:color="auto" w:fill="auto"/>
            <w:vAlign w:val="center"/>
            <w:hideMark/>
          </w:tcPr>
          <w:p w:rsidR="00C9583F" w:rsidRPr="00701EA8" w:rsidRDefault="00C9583F" w:rsidP="00C9583F">
            <w:pPr>
              <w:spacing w:after="0" w:line="240" w:lineRule="auto"/>
              <w:jc w:val="right"/>
              <w:rPr>
                <w:rFonts w:cstheme="minorHAnsi"/>
                <w:color w:val="000000"/>
                <w:szCs w:val="21"/>
              </w:rPr>
            </w:pPr>
            <w:r w:rsidRPr="00701EA8">
              <w:rPr>
                <w:rFonts w:cstheme="minorHAnsi"/>
                <w:color w:val="000000"/>
                <w:szCs w:val="21"/>
              </w:rPr>
              <w:t>5 831</w:t>
            </w:r>
          </w:p>
        </w:tc>
        <w:tc>
          <w:tcPr>
            <w:tcW w:w="1149" w:type="dxa"/>
            <w:shd w:val="clear" w:color="auto" w:fill="DBE5F1" w:themeFill="accent1" w:themeFillTint="33"/>
            <w:vAlign w:val="center"/>
          </w:tcPr>
          <w:p w:rsidR="00C9583F" w:rsidRPr="00701EA8" w:rsidRDefault="00C9583F" w:rsidP="00C9583F">
            <w:pPr>
              <w:spacing w:after="0" w:line="240" w:lineRule="auto"/>
              <w:jc w:val="right"/>
              <w:rPr>
                <w:rFonts w:cstheme="minorHAnsi"/>
                <w:color w:val="000000"/>
                <w:szCs w:val="21"/>
              </w:rPr>
            </w:pPr>
            <w:r w:rsidRPr="00701EA8">
              <w:rPr>
                <w:rFonts w:cstheme="minorHAnsi"/>
                <w:color w:val="000000"/>
                <w:szCs w:val="21"/>
              </w:rPr>
              <w:t>6 304</w:t>
            </w:r>
          </w:p>
        </w:tc>
      </w:tr>
      <w:tr w:rsidR="00C9583F" w:rsidRPr="00C954C6" w:rsidTr="005D233A">
        <w:trPr>
          <w:trHeight w:hRule="exact" w:val="284"/>
          <w:jc w:val="center"/>
        </w:trPr>
        <w:tc>
          <w:tcPr>
            <w:tcW w:w="1596" w:type="dxa"/>
            <w:shd w:val="clear" w:color="auto" w:fill="EEF3F8"/>
            <w:vAlign w:val="bottom"/>
            <w:hideMark/>
          </w:tcPr>
          <w:p w:rsidR="00C9583F" w:rsidRPr="00701EA8" w:rsidRDefault="00C9583F" w:rsidP="00C9583F">
            <w:pPr>
              <w:spacing w:after="0" w:line="240" w:lineRule="auto"/>
              <w:rPr>
                <w:rFonts w:eastAsia="Times New Roman" w:cstheme="minorHAnsi"/>
                <w:b/>
                <w:bCs/>
                <w:color w:val="000000"/>
                <w:szCs w:val="21"/>
                <w:lang w:eastAsia="cs-CZ"/>
              </w:rPr>
            </w:pPr>
            <w:r w:rsidRPr="00701EA8">
              <w:rPr>
                <w:rFonts w:eastAsia="Times New Roman" w:cstheme="minorHAnsi"/>
                <w:b/>
                <w:bCs/>
                <w:color w:val="000000"/>
                <w:szCs w:val="21"/>
                <w:lang w:eastAsia="cs-CZ"/>
              </w:rPr>
              <w:t>Celkové náklady</w:t>
            </w:r>
          </w:p>
        </w:tc>
        <w:tc>
          <w:tcPr>
            <w:tcW w:w="1149" w:type="dxa"/>
            <w:shd w:val="clear" w:color="auto" w:fill="EEF3F8"/>
            <w:vAlign w:val="center"/>
            <w:hideMark/>
          </w:tcPr>
          <w:p w:rsidR="00C9583F" w:rsidRPr="00701EA8" w:rsidRDefault="00C9583F" w:rsidP="00C9583F">
            <w:pPr>
              <w:spacing w:after="0" w:line="240" w:lineRule="auto"/>
              <w:jc w:val="right"/>
              <w:rPr>
                <w:rFonts w:cstheme="minorHAnsi"/>
                <w:b/>
                <w:bCs/>
                <w:color w:val="000000"/>
                <w:szCs w:val="21"/>
              </w:rPr>
            </w:pPr>
            <w:r w:rsidRPr="00701EA8">
              <w:rPr>
                <w:rFonts w:cstheme="minorHAnsi"/>
                <w:b/>
                <w:bCs/>
                <w:color w:val="000000"/>
                <w:szCs w:val="21"/>
              </w:rPr>
              <w:t>23 217</w:t>
            </w:r>
          </w:p>
        </w:tc>
        <w:tc>
          <w:tcPr>
            <w:tcW w:w="1149" w:type="dxa"/>
            <w:shd w:val="clear" w:color="auto" w:fill="EEF3F8"/>
            <w:vAlign w:val="center"/>
            <w:hideMark/>
          </w:tcPr>
          <w:p w:rsidR="00C9583F" w:rsidRPr="00701EA8" w:rsidRDefault="00C9583F" w:rsidP="00C9583F">
            <w:pPr>
              <w:spacing w:after="0" w:line="240" w:lineRule="auto"/>
              <w:jc w:val="right"/>
              <w:rPr>
                <w:rFonts w:cstheme="minorHAnsi"/>
                <w:b/>
                <w:bCs/>
                <w:color w:val="000000"/>
                <w:szCs w:val="21"/>
              </w:rPr>
            </w:pPr>
            <w:r w:rsidRPr="00701EA8">
              <w:rPr>
                <w:rFonts w:cstheme="minorHAnsi"/>
                <w:b/>
                <w:bCs/>
                <w:color w:val="000000"/>
                <w:szCs w:val="21"/>
              </w:rPr>
              <w:t>24 266</w:t>
            </w:r>
          </w:p>
        </w:tc>
        <w:tc>
          <w:tcPr>
            <w:tcW w:w="1149" w:type="dxa"/>
            <w:shd w:val="clear" w:color="auto" w:fill="EEF3F8"/>
            <w:vAlign w:val="center"/>
            <w:hideMark/>
          </w:tcPr>
          <w:p w:rsidR="00C9583F" w:rsidRPr="00701EA8" w:rsidRDefault="00C9583F" w:rsidP="00C9583F">
            <w:pPr>
              <w:spacing w:after="0" w:line="240" w:lineRule="auto"/>
              <w:jc w:val="right"/>
              <w:rPr>
                <w:rFonts w:cstheme="minorHAnsi"/>
                <w:b/>
                <w:bCs/>
                <w:color w:val="000000"/>
                <w:szCs w:val="21"/>
              </w:rPr>
            </w:pPr>
            <w:r w:rsidRPr="00701EA8">
              <w:rPr>
                <w:rFonts w:cstheme="minorHAnsi"/>
                <w:b/>
                <w:bCs/>
                <w:color w:val="000000"/>
                <w:szCs w:val="21"/>
              </w:rPr>
              <w:t>25 539</w:t>
            </w:r>
          </w:p>
        </w:tc>
        <w:tc>
          <w:tcPr>
            <w:tcW w:w="1149" w:type="dxa"/>
            <w:shd w:val="clear" w:color="auto" w:fill="EEF3F8"/>
            <w:vAlign w:val="center"/>
            <w:hideMark/>
          </w:tcPr>
          <w:p w:rsidR="00C9583F" w:rsidRPr="00701EA8" w:rsidRDefault="00C9583F" w:rsidP="00C9583F">
            <w:pPr>
              <w:spacing w:after="0" w:line="240" w:lineRule="auto"/>
              <w:jc w:val="right"/>
              <w:rPr>
                <w:rFonts w:cstheme="minorHAnsi"/>
                <w:b/>
                <w:bCs/>
                <w:color w:val="000000"/>
                <w:szCs w:val="21"/>
              </w:rPr>
            </w:pPr>
            <w:r w:rsidRPr="00701EA8">
              <w:rPr>
                <w:rFonts w:cstheme="minorHAnsi"/>
                <w:b/>
                <w:bCs/>
                <w:color w:val="000000"/>
                <w:szCs w:val="21"/>
              </w:rPr>
              <w:t>27 147</w:t>
            </w:r>
          </w:p>
        </w:tc>
        <w:tc>
          <w:tcPr>
            <w:tcW w:w="1149" w:type="dxa"/>
            <w:shd w:val="clear" w:color="auto" w:fill="EEF3F8"/>
            <w:vAlign w:val="center"/>
            <w:hideMark/>
          </w:tcPr>
          <w:p w:rsidR="00C9583F" w:rsidRPr="00701EA8" w:rsidRDefault="00C9583F" w:rsidP="00C9583F">
            <w:pPr>
              <w:spacing w:after="0" w:line="240" w:lineRule="auto"/>
              <w:jc w:val="right"/>
              <w:rPr>
                <w:rFonts w:cstheme="minorHAnsi"/>
                <w:b/>
                <w:bCs/>
                <w:color w:val="000000"/>
                <w:szCs w:val="21"/>
              </w:rPr>
            </w:pPr>
            <w:r w:rsidRPr="00701EA8">
              <w:rPr>
                <w:rFonts w:cstheme="minorHAnsi"/>
                <w:b/>
                <w:bCs/>
                <w:color w:val="000000"/>
                <w:szCs w:val="21"/>
              </w:rPr>
              <w:t>29 499</w:t>
            </w:r>
          </w:p>
        </w:tc>
        <w:tc>
          <w:tcPr>
            <w:tcW w:w="1149" w:type="dxa"/>
            <w:shd w:val="clear" w:color="auto" w:fill="EEF3F8"/>
            <w:vAlign w:val="center"/>
            <w:hideMark/>
          </w:tcPr>
          <w:p w:rsidR="00C9583F" w:rsidRPr="00701EA8" w:rsidRDefault="00C9583F" w:rsidP="00C9583F">
            <w:pPr>
              <w:spacing w:after="0" w:line="240" w:lineRule="auto"/>
              <w:jc w:val="right"/>
              <w:rPr>
                <w:rFonts w:cstheme="minorHAnsi"/>
                <w:b/>
                <w:bCs/>
                <w:color w:val="000000"/>
                <w:szCs w:val="21"/>
              </w:rPr>
            </w:pPr>
            <w:r w:rsidRPr="00701EA8">
              <w:rPr>
                <w:rFonts w:cstheme="minorHAnsi"/>
                <w:b/>
                <w:bCs/>
                <w:color w:val="000000"/>
                <w:szCs w:val="21"/>
              </w:rPr>
              <w:t>33 349</w:t>
            </w:r>
          </w:p>
        </w:tc>
        <w:tc>
          <w:tcPr>
            <w:tcW w:w="1149" w:type="dxa"/>
            <w:shd w:val="clear" w:color="auto" w:fill="EEF3F8"/>
            <w:vAlign w:val="center"/>
          </w:tcPr>
          <w:p w:rsidR="00C9583F" w:rsidRPr="00701EA8" w:rsidRDefault="00C9583F" w:rsidP="00C9583F">
            <w:pPr>
              <w:spacing w:after="0" w:line="240" w:lineRule="auto"/>
              <w:jc w:val="right"/>
              <w:rPr>
                <w:rFonts w:cstheme="minorHAnsi"/>
                <w:b/>
                <w:bCs/>
                <w:color w:val="000000"/>
                <w:szCs w:val="21"/>
              </w:rPr>
            </w:pPr>
            <w:r w:rsidRPr="00701EA8">
              <w:rPr>
                <w:rFonts w:cstheme="minorHAnsi"/>
                <w:b/>
                <w:bCs/>
                <w:color w:val="000000"/>
                <w:szCs w:val="21"/>
              </w:rPr>
              <w:t>36 351</w:t>
            </w:r>
          </w:p>
        </w:tc>
      </w:tr>
    </w:tbl>
    <w:p w:rsidR="000842A3" w:rsidRPr="00D5078B" w:rsidRDefault="000842A3" w:rsidP="003406F1">
      <w:pPr>
        <w:pStyle w:val="Titulek"/>
        <w:spacing w:before="240"/>
      </w:pPr>
      <w:bookmarkStart w:id="61" w:name="_Toc63685299"/>
      <w:r w:rsidRPr="00D5078B">
        <w:lastRenderedPageBreak/>
        <w:t xml:space="preserve">Graf č. </w:t>
      </w:r>
      <w:r w:rsidR="008E5E29" w:rsidRPr="00D5078B">
        <w:rPr>
          <w:noProof/>
        </w:rPr>
        <w:fldChar w:fldCharType="begin"/>
      </w:r>
      <w:r w:rsidR="007F5247" w:rsidRPr="00D5078B">
        <w:rPr>
          <w:noProof/>
        </w:rPr>
        <w:instrText xml:space="preserve"> SEQ Graf \* ARABIC </w:instrText>
      </w:r>
      <w:r w:rsidR="008E5E29" w:rsidRPr="00D5078B">
        <w:rPr>
          <w:noProof/>
        </w:rPr>
        <w:fldChar w:fldCharType="separate"/>
      </w:r>
      <w:r w:rsidR="006D5C90">
        <w:rPr>
          <w:noProof/>
        </w:rPr>
        <w:t>19</w:t>
      </w:r>
      <w:r w:rsidR="008E5E29" w:rsidRPr="00D5078B">
        <w:rPr>
          <w:noProof/>
        </w:rPr>
        <w:fldChar w:fldCharType="end"/>
      </w:r>
      <w:r w:rsidRPr="00D5078B">
        <w:t>: Celkové náklady na zdravotní služby v přepočtu na 1 pojištěnce</w:t>
      </w:r>
      <w:bookmarkEnd w:id="61"/>
    </w:p>
    <w:p w:rsidR="00D5078B" w:rsidRPr="00D5078B" w:rsidRDefault="00D5078B" w:rsidP="00D5078B">
      <w:pPr>
        <w:rPr>
          <w:highlight w:val="yellow"/>
          <w:lang w:bidi="hi-IN"/>
        </w:rPr>
      </w:pPr>
      <w:r>
        <w:rPr>
          <w:noProof/>
          <w:lang w:eastAsia="cs-CZ"/>
        </w:rPr>
        <w:drawing>
          <wp:inline distT="0" distB="0" distL="0" distR="0">
            <wp:extent cx="5760000" cy="2880000"/>
            <wp:effectExtent l="0" t="0" r="0" b="0"/>
            <wp:docPr id="11" name="Graf 11">
              <a:extLst xmlns:a="http://schemas.openxmlformats.org/drawingml/2006/main">
                <a:ext uri="{FF2B5EF4-FFF2-40B4-BE49-F238E27FC236}">
                  <a16:creationId xmlns:a16="http://schemas.microsoft.com/office/drawing/2014/main" id="{00000000-0008-0000-02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A91810" w:rsidRPr="00C954C6" w:rsidRDefault="00A91810" w:rsidP="00A91810">
      <w:pPr>
        <w:rPr>
          <w:highlight w:val="yellow"/>
          <w:lang w:bidi="hi-IN"/>
        </w:rPr>
      </w:pPr>
    </w:p>
    <w:p w:rsidR="000842A3" w:rsidRDefault="000842A3" w:rsidP="000842A3">
      <w:pPr>
        <w:pStyle w:val="Titulek"/>
      </w:pPr>
      <w:bookmarkStart w:id="62" w:name="_Toc63685300"/>
      <w:r w:rsidRPr="00D5078B">
        <w:t xml:space="preserve">Graf č. </w:t>
      </w:r>
      <w:r w:rsidR="008E5E29" w:rsidRPr="00D5078B">
        <w:rPr>
          <w:noProof/>
        </w:rPr>
        <w:fldChar w:fldCharType="begin"/>
      </w:r>
      <w:r w:rsidR="007F5247" w:rsidRPr="00D5078B">
        <w:rPr>
          <w:noProof/>
        </w:rPr>
        <w:instrText xml:space="preserve"> SEQ Graf \* ARABIC </w:instrText>
      </w:r>
      <w:r w:rsidR="008E5E29" w:rsidRPr="00D5078B">
        <w:rPr>
          <w:noProof/>
        </w:rPr>
        <w:fldChar w:fldCharType="separate"/>
      </w:r>
      <w:r w:rsidR="006D5C90">
        <w:rPr>
          <w:noProof/>
        </w:rPr>
        <w:t>20</w:t>
      </w:r>
      <w:r w:rsidR="008E5E29" w:rsidRPr="00D5078B">
        <w:rPr>
          <w:noProof/>
        </w:rPr>
        <w:fldChar w:fldCharType="end"/>
      </w:r>
      <w:r w:rsidRPr="00D5078B">
        <w:t>: Náklady na zdravotní služby podle segmentů v přepočtu na 1 pojištěnce</w:t>
      </w:r>
      <w:bookmarkEnd w:id="62"/>
    </w:p>
    <w:p w:rsidR="00D5078B" w:rsidRPr="00D5078B" w:rsidRDefault="00D5078B" w:rsidP="00D5078B">
      <w:pPr>
        <w:rPr>
          <w:lang w:bidi="hi-IN"/>
        </w:rPr>
      </w:pPr>
      <w:r>
        <w:rPr>
          <w:noProof/>
          <w:lang w:eastAsia="cs-CZ"/>
        </w:rPr>
        <w:drawing>
          <wp:inline distT="0" distB="0" distL="0" distR="0">
            <wp:extent cx="5760000" cy="2880000"/>
            <wp:effectExtent l="0" t="0" r="0" b="0"/>
            <wp:docPr id="16" name="Graf 16">
              <a:extLst xmlns:a="http://schemas.openxmlformats.org/drawingml/2006/main">
                <a:ext uri="{FF2B5EF4-FFF2-40B4-BE49-F238E27FC236}">
                  <a16:creationId xmlns:a16="http://schemas.microsoft.com/office/drawing/2014/main" id="{00000000-0008-0000-02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B456F9" w:rsidRPr="001459BC" w:rsidRDefault="00B456F9" w:rsidP="00B456F9">
      <w:pPr>
        <w:spacing w:before="180" w:line="276" w:lineRule="auto"/>
        <w:jc w:val="both"/>
      </w:pPr>
      <w:r w:rsidRPr="006A5F65">
        <w:t>VZP ČR predikuje náklady na jednoho pojištěnce</w:t>
      </w:r>
      <w:r w:rsidRPr="006A5F65" w:rsidDel="0046170E">
        <w:t xml:space="preserve"> </w:t>
      </w:r>
      <w:r w:rsidRPr="006A5F65">
        <w:t>v průměru ve výši 3</w:t>
      </w:r>
      <w:r w:rsidR="006A5F65" w:rsidRPr="006A5F65">
        <w:t>9</w:t>
      </w:r>
      <w:r w:rsidRPr="006A5F65">
        <w:t> </w:t>
      </w:r>
      <w:r w:rsidR="006A5F65" w:rsidRPr="006A5F65">
        <w:t>269</w:t>
      </w:r>
      <w:r w:rsidRPr="006A5F65">
        <w:t> Kč, tedy s meziročním nárůstem o 3 </w:t>
      </w:r>
      <w:r w:rsidR="006A5F65" w:rsidRPr="006A5F65">
        <w:t>509</w:t>
      </w:r>
      <w:r w:rsidRPr="006A5F65">
        <w:t> Kč na 1 pojištěnce, tj. o </w:t>
      </w:r>
      <w:r w:rsidR="006A5F65" w:rsidRPr="006A5F65">
        <w:t>9</w:t>
      </w:r>
      <w:r w:rsidRPr="006A5F65">
        <w:t xml:space="preserve">,8 %. Z hlediska absolutní výše těchto nákladů na 1 pojištěnce dále zůstává </w:t>
      </w:r>
      <w:r w:rsidR="00152140" w:rsidRPr="006A5F65">
        <w:br/>
      </w:r>
      <w:r w:rsidRPr="006A5F65">
        <w:t xml:space="preserve">na 1. místě. Ze </w:t>
      </w:r>
      <w:r w:rsidRPr="001459BC">
        <w:t>srovnání jednotlivých ZZP vyplývá, že růst těchto nákladů plánují všechny ZP</w:t>
      </w:r>
      <w:r w:rsidR="005A162A">
        <w:t>:</w:t>
      </w:r>
      <w:r w:rsidRPr="001459BC">
        <w:t xml:space="preserve"> </w:t>
      </w:r>
      <w:proofErr w:type="spellStart"/>
      <w:r w:rsidRPr="001459BC">
        <w:t>VoZP</w:t>
      </w:r>
      <w:proofErr w:type="spellEnd"/>
      <w:r w:rsidRPr="001459BC">
        <w:t> ČR o 10,</w:t>
      </w:r>
      <w:r w:rsidR="001459BC" w:rsidRPr="001459BC">
        <w:t>0</w:t>
      </w:r>
      <w:r w:rsidRPr="001459BC">
        <w:t> %, ČPZP o </w:t>
      </w:r>
      <w:r w:rsidR="001459BC" w:rsidRPr="001459BC">
        <w:t>7</w:t>
      </w:r>
      <w:r w:rsidRPr="001459BC">
        <w:t>,</w:t>
      </w:r>
      <w:r w:rsidR="001459BC" w:rsidRPr="001459BC">
        <w:t>9</w:t>
      </w:r>
      <w:r w:rsidRPr="001459BC">
        <w:t> %, OZP o </w:t>
      </w:r>
      <w:r w:rsidR="001459BC" w:rsidRPr="001459BC">
        <w:t>9</w:t>
      </w:r>
      <w:r w:rsidRPr="001459BC">
        <w:t>,</w:t>
      </w:r>
      <w:r w:rsidR="001459BC" w:rsidRPr="001459BC">
        <w:t>6</w:t>
      </w:r>
      <w:r w:rsidRPr="001459BC">
        <w:t> %, ZPŠ o </w:t>
      </w:r>
      <w:r w:rsidR="001459BC" w:rsidRPr="001459BC">
        <w:t>5</w:t>
      </w:r>
      <w:r w:rsidRPr="001459BC">
        <w:t>,</w:t>
      </w:r>
      <w:r w:rsidR="001459BC" w:rsidRPr="001459BC">
        <w:t>6</w:t>
      </w:r>
      <w:r w:rsidRPr="001459BC">
        <w:t> %, ZP MV ČR o </w:t>
      </w:r>
      <w:r w:rsidR="001459BC" w:rsidRPr="001459BC">
        <w:t>6</w:t>
      </w:r>
      <w:r w:rsidRPr="001459BC">
        <w:t>,</w:t>
      </w:r>
      <w:r w:rsidR="001459BC" w:rsidRPr="001459BC">
        <w:t>0</w:t>
      </w:r>
      <w:r w:rsidRPr="001459BC">
        <w:t> % a RBP o </w:t>
      </w:r>
      <w:r w:rsidR="001459BC" w:rsidRPr="001459BC">
        <w:t>8</w:t>
      </w:r>
      <w:r w:rsidRPr="001459BC">
        <w:t>,</w:t>
      </w:r>
      <w:r w:rsidR="001459BC" w:rsidRPr="001459BC">
        <w:t>0</w:t>
      </w:r>
      <w:r w:rsidRPr="001459BC">
        <w:t> % (</w:t>
      </w:r>
      <w:r w:rsidRPr="001459BC">
        <w:rPr>
          <w:i/>
        </w:rPr>
        <w:t>Tabulka č. 1</w:t>
      </w:r>
      <w:r w:rsidR="001459BC" w:rsidRPr="001459BC">
        <w:rPr>
          <w:i/>
        </w:rPr>
        <w:t>8</w:t>
      </w:r>
      <w:r w:rsidRPr="001459BC">
        <w:rPr>
          <w:i/>
        </w:rPr>
        <w:t xml:space="preserve"> a 1</w:t>
      </w:r>
      <w:r w:rsidR="001459BC" w:rsidRPr="001459BC">
        <w:rPr>
          <w:i/>
        </w:rPr>
        <w:t>9</w:t>
      </w:r>
      <w:r w:rsidRPr="001459BC">
        <w:rPr>
          <w:i/>
        </w:rPr>
        <w:t>).</w:t>
      </w:r>
    </w:p>
    <w:p w:rsidR="00B456F9" w:rsidRPr="00C36F73" w:rsidRDefault="00B456F9" w:rsidP="00B456F9">
      <w:pPr>
        <w:spacing w:before="180" w:line="276" w:lineRule="auto"/>
        <w:jc w:val="both"/>
      </w:pPr>
      <w:r w:rsidRPr="001459BC">
        <w:t xml:space="preserve">Zároveň je nutné uvést, že VZP má i nejvyšší příjmy na 1 pojištěnce z pojistného v. z. p. včetně vlivu přerozdělování ve </w:t>
      </w:r>
      <w:r w:rsidRPr="00C36F73">
        <w:t>výši 3</w:t>
      </w:r>
      <w:r w:rsidR="00C36F73" w:rsidRPr="00C36F73">
        <w:t>8</w:t>
      </w:r>
      <w:r w:rsidRPr="00C36F73">
        <w:t> </w:t>
      </w:r>
      <w:r w:rsidR="00C36F73" w:rsidRPr="00C36F73">
        <w:t>608</w:t>
      </w:r>
      <w:r w:rsidRPr="00C36F73">
        <w:t xml:space="preserve"> Kč. Příjmy na 1 pojištěnce ZZP jsou v průměru 3</w:t>
      </w:r>
      <w:r w:rsidR="00C36F73" w:rsidRPr="00C36F73">
        <w:t>2</w:t>
      </w:r>
      <w:r w:rsidRPr="00C36F73">
        <w:t> </w:t>
      </w:r>
      <w:r w:rsidR="00C36F73" w:rsidRPr="00C36F73">
        <w:t>9</w:t>
      </w:r>
      <w:r w:rsidRPr="00C36F73">
        <w:t>97 Kč.</w:t>
      </w:r>
    </w:p>
    <w:p w:rsidR="00B456F9" w:rsidRPr="00C9583F" w:rsidRDefault="00B456F9" w:rsidP="00B456F9">
      <w:pPr>
        <w:pStyle w:val="Titulek"/>
        <w:jc w:val="both"/>
      </w:pPr>
      <w:bookmarkStart w:id="63" w:name="_Toc25073787"/>
      <w:bookmarkStart w:id="64" w:name="_Toc63685273"/>
      <w:r w:rsidRPr="00C9583F">
        <w:lastRenderedPageBreak/>
        <w:t xml:space="preserve">Tabulka č. </w:t>
      </w:r>
      <w:r w:rsidR="008E5E29" w:rsidRPr="00C9583F">
        <w:rPr>
          <w:noProof/>
        </w:rPr>
        <w:fldChar w:fldCharType="begin"/>
      </w:r>
      <w:r w:rsidRPr="00C9583F">
        <w:rPr>
          <w:noProof/>
        </w:rPr>
        <w:instrText xml:space="preserve"> SEQ Tabulka \* ARABIC </w:instrText>
      </w:r>
      <w:r w:rsidR="008E5E29" w:rsidRPr="00C9583F">
        <w:rPr>
          <w:noProof/>
        </w:rPr>
        <w:fldChar w:fldCharType="separate"/>
      </w:r>
      <w:r w:rsidR="006D5C90">
        <w:rPr>
          <w:noProof/>
        </w:rPr>
        <w:t>20</w:t>
      </w:r>
      <w:r w:rsidR="008E5E29" w:rsidRPr="00C9583F">
        <w:rPr>
          <w:noProof/>
        </w:rPr>
        <w:fldChar w:fldCharType="end"/>
      </w:r>
      <w:r w:rsidRPr="00C9583F">
        <w:t>: Struktura nákladů na zdravotní služby v přepočtu na 1 pojištěnce v r. 202</w:t>
      </w:r>
      <w:r w:rsidR="00D85079">
        <w:t>1</w:t>
      </w:r>
      <w:r w:rsidRPr="00C9583F">
        <w:t xml:space="preserve"> dle zdravotních pojišťoven</w:t>
      </w:r>
      <w:bookmarkEnd w:id="63"/>
      <w:bookmarkEnd w:id="64"/>
    </w:p>
    <w:tbl>
      <w:tblPr>
        <w:tblW w:w="9639" w:type="dxa"/>
        <w:jc w:val="center"/>
        <w:tblBorders>
          <w:top w:val="single" w:sz="12" w:space="0" w:color="548DD4" w:themeColor="text2" w:themeTint="99"/>
          <w:left w:val="single" w:sz="12" w:space="0" w:color="548DD4" w:themeColor="text2" w:themeTint="99"/>
          <w:bottom w:val="single" w:sz="12" w:space="0" w:color="548DD4" w:themeColor="text2" w:themeTint="99"/>
          <w:right w:val="single" w:sz="12" w:space="0" w:color="548DD4" w:themeColor="text2" w:themeTint="99"/>
        </w:tblBorders>
        <w:tblCellMar>
          <w:left w:w="70" w:type="dxa"/>
          <w:right w:w="70" w:type="dxa"/>
        </w:tblCellMar>
        <w:tblLook w:val="04A0" w:firstRow="1" w:lastRow="0" w:firstColumn="1" w:lastColumn="0" w:noHBand="0" w:noVBand="1"/>
      </w:tblPr>
      <w:tblGrid>
        <w:gridCol w:w="1596"/>
        <w:gridCol w:w="1149"/>
        <w:gridCol w:w="1149"/>
        <w:gridCol w:w="1149"/>
        <w:gridCol w:w="1149"/>
        <w:gridCol w:w="1149"/>
        <w:gridCol w:w="1149"/>
        <w:gridCol w:w="1149"/>
      </w:tblGrid>
      <w:tr w:rsidR="00B456F9" w:rsidRPr="00C9583F" w:rsidTr="004D6049">
        <w:trPr>
          <w:trHeight w:val="568"/>
          <w:jc w:val="center"/>
        </w:trPr>
        <w:tc>
          <w:tcPr>
            <w:tcW w:w="1596" w:type="dxa"/>
            <w:shd w:val="clear" w:color="auto" w:fill="4F81BD"/>
            <w:vAlign w:val="center"/>
            <w:hideMark/>
          </w:tcPr>
          <w:p w:rsidR="00B456F9" w:rsidRPr="00701EA8" w:rsidRDefault="00B456F9" w:rsidP="004D6049">
            <w:pPr>
              <w:spacing w:after="0" w:line="240" w:lineRule="auto"/>
              <w:rPr>
                <w:rFonts w:ascii="Calibri" w:eastAsia="Times New Roman" w:hAnsi="Calibri" w:cs="Times New Roman"/>
                <w:b/>
                <w:bCs/>
                <w:color w:val="FFFFFF"/>
                <w:szCs w:val="21"/>
                <w:lang w:eastAsia="cs-CZ"/>
              </w:rPr>
            </w:pPr>
            <w:r w:rsidRPr="00701EA8">
              <w:rPr>
                <w:rFonts w:ascii="Calibri" w:eastAsia="Times New Roman" w:hAnsi="Calibri" w:cs="Times New Roman"/>
                <w:b/>
                <w:bCs/>
                <w:color w:val="FFFFFF"/>
                <w:szCs w:val="21"/>
                <w:lang w:eastAsia="cs-CZ"/>
              </w:rPr>
              <w:t>ZPP 202</w:t>
            </w:r>
            <w:r w:rsidR="00804AFC" w:rsidRPr="00701EA8">
              <w:rPr>
                <w:rFonts w:ascii="Calibri" w:eastAsia="Times New Roman" w:hAnsi="Calibri" w:cs="Times New Roman"/>
                <w:b/>
                <w:bCs/>
                <w:color w:val="FFFFFF"/>
                <w:szCs w:val="21"/>
                <w:lang w:eastAsia="cs-CZ"/>
              </w:rPr>
              <w:t>1</w:t>
            </w:r>
          </w:p>
          <w:p w:rsidR="00B456F9" w:rsidRPr="00701EA8" w:rsidRDefault="00B456F9" w:rsidP="004D6049">
            <w:pPr>
              <w:spacing w:after="0" w:line="240" w:lineRule="auto"/>
              <w:rPr>
                <w:rFonts w:ascii="Calibri" w:eastAsia="Times New Roman" w:hAnsi="Calibri" w:cs="Times New Roman"/>
                <w:b/>
                <w:bCs/>
                <w:color w:val="FFFFFF"/>
                <w:szCs w:val="21"/>
                <w:lang w:eastAsia="cs-CZ"/>
              </w:rPr>
            </w:pPr>
            <w:r w:rsidRPr="00701EA8">
              <w:rPr>
                <w:rFonts w:ascii="Calibri" w:eastAsia="Times New Roman" w:hAnsi="Calibri" w:cs="Times New Roman"/>
                <w:b/>
                <w:bCs/>
                <w:i/>
                <w:iCs/>
                <w:color w:val="FFFFFF"/>
                <w:szCs w:val="21"/>
                <w:lang w:eastAsia="cs-CZ"/>
              </w:rPr>
              <w:t>(v Kč)</w:t>
            </w:r>
          </w:p>
        </w:tc>
        <w:tc>
          <w:tcPr>
            <w:tcW w:w="1149" w:type="dxa"/>
            <w:shd w:val="clear" w:color="auto" w:fill="6691C6"/>
            <w:vAlign w:val="center"/>
          </w:tcPr>
          <w:p w:rsidR="00B456F9" w:rsidRPr="00701EA8" w:rsidRDefault="00B456F9" w:rsidP="004D6049">
            <w:pPr>
              <w:spacing w:after="0" w:line="240" w:lineRule="auto"/>
              <w:jc w:val="center"/>
              <w:rPr>
                <w:rFonts w:ascii="Calibri" w:eastAsia="Times New Roman" w:hAnsi="Calibri" w:cs="Times New Roman"/>
                <w:color w:val="FFFFFF"/>
                <w:szCs w:val="21"/>
                <w:lang w:eastAsia="cs-CZ"/>
              </w:rPr>
            </w:pPr>
            <w:r w:rsidRPr="00701EA8">
              <w:rPr>
                <w:rFonts w:ascii="Calibri" w:eastAsia="Times New Roman" w:hAnsi="Calibri" w:cs="Times New Roman"/>
                <w:color w:val="FFFFFF"/>
                <w:szCs w:val="21"/>
                <w:lang w:eastAsia="cs-CZ"/>
              </w:rPr>
              <w:t>VZP ČR</w:t>
            </w:r>
          </w:p>
        </w:tc>
        <w:tc>
          <w:tcPr>
            <w:tcW w:w="1149" w:type="dxa"/>
            <w:shd w:val="clear" w:color="auto" w:fill="4F81BD"/>
            <w:vAlign w:val="center"/>
            <w:hideMark/>
          </w:tcPr>
          <w:p w:rsidR="00B456F9" w:rsidRPr="00701EA8" w:rsidRDefault="00B456F9" w:rsidP="004D6049">
            <w:pPr>
              <w:spacing w:after="0" w:line="240" w:lineRule="auto"/>
              <w:jc w:val="center"/>
              <w:rPr>
                <w:rFonts w:ascii="Calibri" w:eastAsia="Times New Roman" w:hAnsi="Calibri" w:cs="Times New Roman"/>
                <w:color w:val="FFFFFF"/>
                <w:szCs w:val="21"/>
                <w:lang w:eastAsia="cs-CZ"/>
              </w:rPr>
            </w:pPr>
            <w:proofErr w:type="spellStart"/>
            <w:r w:rsidRPr="00701EA8">
              <w:rPr>
                <w:rFonts w:ascii="Calibri" w:eastAsia="Times New Roman" w:hAnsi="Calibri" w:cs="Times New Roman"/>
                <w:color w:val="FFFFFF"/>
                <w:szCs w:val="21"/>
                <w:lang w:eastAsia="cs-CZ"/>
              </w:rPr>
              <w:t>VoZP</w:t>
            </w:r>
            <w:proofErr w:type="spellEnd"/>
            <w:r w:rsidRPr="00701EA8">
              <w:rPr>
                <w:rFonts w:ascii="Calibri" w:eastAsia="Times New Roman" w:hAnsi="Calibri" w:cs="Times New Roman"/>
                <w:color w:val="FFFFFF"/>
                <w:szCs w:val="21"/>
                <w:lang w:eastAsia="cs-CZ"/>
              </w:rPr>
              <w:t xml:space="preserve"> ČR</w:t>
            </w:r>
          </w:p>
        </w:tc>
        <w:tc>
          <w:tcPr>
            <w:tcW w:w="1149" w:type="dxa"/>
            <w:shd w:val="clear" w:color="auto" w:fill="6691C6"/>
            <w:vAlign w:val="center"/>
            <w:hideMark/>
          </w:tcPr>
          <w:p w:rsidR="00B456F9" w:rsidRPr="00701EA8" w:rsidRDefault="00B456F9" w:rsidP="004D6049">
            <w:pPr>
              <w:spacing w:after="0" w:line="240" w:lineRule="auto"/>
              <w:jc w:val="center"/>
              <w:rPr>
                <w:rFonts w:ascii="Calibri" w:eastAsia="Times New Roman" w:hAnsi="Calibri" w:cs="Times New Roman"/>
                <w:color w:val="FFFFFF"/>
                <w:szCs w:val="21"/>
                <w:lang w:eastAsia="cs-CZ"/>
              </w:rPr>
            </w:pPr>
            <w:r w:rsidRPr="00701EA8">
              <w:rPr>
                <w:rFonts w:ascii="Calibri" w:eastAsia="Times New Roman" w:hAnsi="Calibri" w:cs="Times New Roman"/>
                <w:color w:val="FFFFFF"/>
                <w:szCs w:val="21"/>
                <w:lang w:eastAsia="cs-CZ"/>
              </w:rPr>
              <w:t>ČPZP</w:t>
            </w:r>
          </w:p>
        </w:tc>
        <w:tc>
          <w:tcPr>
            <w:tcW w:w="1149" w:type="dxa"/>
            <w:shd w:val="clear" w:color="auto" w:fill="4F81BD"/>
            <w:vAlign w:val="center"/>
            <w:hideMark/>
          </w:tcPr>
          <w:p w:rsidR="00B456F9" w:rsidRPr="00701EA8" w:rsidRDefault="00B456F9" w:rsidP="004D6049">
            <w:pPr>
              <w:spacing w:after="0" w:line="240" w:lineRule="auto"/>
              <w:jc w:val="center"/>
              <w:rPr>
                <w:rFonts w:ascii="Calibri" w:eastAsia="Times New Roman" w:hAnsi="Calibri" w:cs="Times New Roman"/>
                <w:color w:val="FFFFFF"/>
                <w:szCs w:val="21"/>
                <w:lang w:eastAsia="cs-CZ"/>
              </w:rPr>
            </w:pPr>
            <w:r w:rsidRPr="00701EA8">
              <w:rPr>
                <w:rFonts w:ascii="Calibri" w:eastAsia="Times New Roman" w:hAnsi="Calibri" w:cs="Times New Roman"/>
                <w:color w:val="FFFFFF"/>
                <w:szCs w:val="21"/>
                <w:lang w:eastAsia="cs-CZ"/>
              </w:rPr>
              <w:t>OZP</w:t>
            </w:r>
          </w:p>
        </w:tc>
        <w:tc>
          <w:tcPr>
            <w:tcW w:w="1149" w:type="dxa"/>
            <w:shd w:val="clear" w:color="auto" w:fill="6691C6"/>
            <w:vAlign w:val="center"/>
            <w:hideMark/>
          </w:tcPr>
          <w:p w:rsidR="00B456F9" w:rsidRPr="00701EA8" w:rsidRDefault="00B456F9" w:rsidP="004D6049">
            <w:pPr>
              <w:spacing w:after="0" w:line="240" w:lineRule="auto"/>
              <w:jc w:val="center"/>
              <w:rPr>
                <w:rFonts w:ascii="Calibri" w:eastAsia="Times New Roman" w:hAnsi="Calibri" w:cs="Times New Roman"/>
                <w:color w:val="FFFFFF"/>
                <w:szCs w:val="21"/>
                <w:lang w:eastAsia="cs-CZ"/>
              </w:rPr>
            </w:pPr>
            <w:r w:rsidRPr="00701EA8">
              <w:rPr>
                <w:rFonts w:ascii="Calibri" w:eastAsia="Times New Roman" w:hAnsi="Calibri" w:cs="Times New Roman"/>
                <w:color w:val="FFFFFF"/>
                <w:szCs w:val="21"/>
                <w:lang w:eastAsia="cs-CZ"/>
              </w:rPr>
              <w:t>ZPŠ</w:t>
            </w:r>
          </w:p>
        </w:tc>
        <w:tc>
          <w:tcPr>
            <w:tcW w:w="1149" w:type="dxa"/>
            <w:shd w:val="clear" w:color="auto" w:fill="4F81BD"/>
            <w:vAlign w:val="center"/>
            <w:hideMark/>
          </w:tcPr>
          <w:p w:rsidR="00B456F9" w:rsidRPr="00701EA8" w:rsidRDefault="00DF5584" w:rsidP="004D6049">
            <w:pPr>
              <w:spacing w:after="0" w:line="240" w:lineRule="auto"/>
              <w:jc w:val="center"/>
              <w:rPr>
                <w:rFonts w:ascii="Calibri" w:eastAsia="Times New Roman" w:hAnsi="Calibri" w:cs="Times New Roman"/>
                <w:color w:val="FFFFFF"/>
                <w:szCs w:val="21"/>
                <w:lang w:eastAsia="cs-CZ"/>
              </w:rPr>
            </w:pPr>
            <w:r w:rsidRPr="00701EA8">
              <w:rPr>
                <w:rFonts w:ascii="Calibri" w:eastAsia="Times New Roman" w:hAnsi="Calibri" w:cs="Times New Roman"/>
                <w:color w:val="FFFFFF"/>
                <w:szCs w:val="21"/>
                <w:lang w:eastAsia="cs-CZ"/>
              </w:rPr>
              <w:t>ZP MV ČR</w:t>
            </w:r>
          </w:p>
        </w:tc>
        <w:tc>
          <w:tcPr>
            <w:tcW w:w="1149" w:type="dxa"/>
            <w:shd w:val="clear" w:color="auto" w:fill="6691C6"/>
            <w:vAlign w:val="center"/>
          </w:tcPr>
          <w:p w:rsidR="00B456F9" w:rsidRPr="00701EA8" w:rsidRDefault="00B456F9" w:rsidP="004D6049">
            <w:pPr>
              <w:spacing w:after="0" w:line="240" w:lineRule="auto"/>
              <w:jc w:val="center"/>
              <w:rPr>
                <w:rFonts w:ascii="Calibri" w:eastAsia="Times New Roman" w:hAnsi="Calibri" w:cs="Times New Roman"/>
                <w:color w:val="FFFFFF"/>
                <w:szCs w:val="21"/>
                <w:lang w:eastAsia="cs-CZ"/>
              </w:rPr>
            </w:pPr>
            <w:r w:rsidRPr="00701EA8">
              <w:rPr>
                <w:rFonts w:ascii="Calibri" w:eastAsia="Times New Roman" w:hAnsi="Calibri" w:cs="Times New Roman"/>
                <w:color w:val="FFFFFF"/>
                <w:szCs w:val="21"/>
                <w:lang w:eastAsia="cs-CZ"/>
              </w:rPr>
              <w:t>RBP</w:t>
            </w:r>
          </w:p>
        </w:tc>
      </w:tr>
      <w:tr w:rsidR="00C9583F" w:rsidRPr="00C9583F" w:rsidTr="005D233A">
        <w:trPr>
          <w:trHeight w:hRule="exact" w:val="510"/>
          <w:jc w:val="center"/>
        </w:trPr>
        <w:tc>
          <w:tcPr>
            <w:tcW w:w="1596" w:type="dxa"/>
            <w:shd w:val="clear" w:color="auto" w:fill="auto"/>
            <w:vAlign w:val="bottom"/>
            <w:hideMark/>
          </w:tcPr>
          <w:p w:rsidR="00C9583F" w:rsidRPr="00701EA8" w:rsidRDefault="00C9583F" w:rsidP="00C9583F">
            <w:pPr>
              <w:spacing w:after="0" w:line="240" w:lineRule="auto"/>
              <w:rPr>
                <w:rFonts w:eastAsia="Times New Roman" w:cs="Arial"/>
                <w:b/>
                <w:bCs/>
                <w:color w:val="000000"/>
                <w:szCs w:val="21"/>
                <w:lang w:eastAsia="cs-CZ"/>
              </w:rPr>
            </w:pPr>
            <w:r w:rsidRPr="00701EA8">
              <w:rPr>
                <w:rFonts w:eastAsia="Times New Roman" w:cs="Arial"/>
                <w:b/>
                <w:bCs/>
                <w:color w:val="000000"/>
                <w:szCs w:val="21"/>
                <w:lang w:eastAsia="cs-CZ"/>
              </w:rPr>
              <w:t>Náklady na ambulantní péči</w:t>
            </w:r>
          </w:p>
        </w:tc>
        <w:tc>
          <w:tcPr>
            <w:tcW w:w="1149" w:type="dxa"/>
            <w:shd w:val="clear" w:color="auto" w:fill="DBE5F1" w:themeFill="accent1" w:themeFillTint="33"/>
            <w:vAlign w:val="center"/>
          </w:tcPr>
          <w:p w:rsidR="00C9583F" w:rsidRPr="00701EA8" w:rsidRDefault="00C9583F" w:rsidP="00C9583F">
            <w:pPr>
              <w:spacing w:after="0" w:line="240" w:lineRule="auto"/>
              <w:jc w:val="right"/>
              <w:rPr>
                <w:rFonts w:ascii="Calibri" w:hAnsi="Calibri" w:cs="Calibri"/>
                <w:szCs w:val="21"/>
              </w:rPr>
            </w:pPr>
            <w:r w:rsidRPr="00701EA8">
              <w:rPr>
                <w:rFonts w:ascii="Calibri" w:hAnsi="Calibri" w:cs="Calibri"/>
                <w:szCs w:val="21"/>
              </w:rPr>
              <w:t>9 423</w:t>
            </w:r>
          </w:p>
        </w:tc>
        <w:tc>
          <w:tcPr>
            <w:tcW w:w="1149" w:type="dxa"/>
            <w:shd w:val="clear" w:color="auto" w:fill="auto"/>
            <w:vAlign w:val="center"/>
          </w:tcPr>
          <w:p w:rsidR="00C9583F" w:rsidRPr="00701EA8" w:rsidRDefault="00C9583F" w:rsidP="00C9583F">
            <w:pPr>
              <w:spacing w:after="0" w:line="240" w:lineRule="auto"/>
              <w:jc w:val="right"/>
              <w:rPr>
                <w:rFonts w:ascii="Calibri" w:hAnsi="Calibri" w:cs="Calibri"/>
                <w:szCs w:val="21"/>
              </w:rPr>
            </w:pPr>
            <w:r w:rsidRPr="00701EA8">
              <w:rPr>
                <w:rFonts w:ascii="Calibri" w:hAnsi="Calibri" w:cs="Calibri"/>
                <w:szCs w:val="21"/>
              </w:rPr>
              <w:t>8 980</w:t>
            </w:r>
          </w:p>
        </w:tc>
        <w:tc>
          <w:tcPr>
            <w:tcW w:w="1149" w:type="dxa"/>
            <w:shd w:val="clear" w:color="auto" w:fill="DBE5F1" w:themeFill="accent1" w:themeFillTint="33"/>
            <w:vAlign w:val="center"/>
          </w:tcPr>
          <w:p w:rsidR="00C9583F" w:rsidRPr="00701EA8" w:rsidRDefault="00C9583F" w:rsidP="00C9583F">
            <w:pPr>
              <w:spacing w:after="0" w:line="240" w:lineRule="auto"/>
              <w:jc w:val="right"/>
              <w:rPr>
                <w:rFonts w:ascii="Calibri" w:hAnsi="Calibri" w:cs="Calibri"/>
                <w:szCs w:val="21"/>
              </w:rPr>
            </w:pPr>
            <w:r w:rsidRPr="00701EA8">
              <w:rPr>
                <w:rFonts w:ascii="Calibri" w:hAnsi="Calibri" w:cs="Calibri"/>
                <w:szCs w:val="21"/>
              </w:rPr>
              <w:t>9 811</w:t>
            </w:r>
          </w:p>
        </w:tc>
        <w:tc>
          <w:tcPr>
            <w:tcW w:w="1149" w:type="dxa"/>
            <w:shd w:val="clear" w:color="auto" w:fill="auto"/>
            <w:vAlign w:val="center"/>
          </w:tcPr>
          <w:p w:rsidR="00C9583F" w:rsidRPr="00701EA8" w:rsidRDefault="00C9583F" w:rsidP="00C9583F">
            <w:pPr>
              <w:spacing w:after="0" w:line="240" w:lineRule="auto"/>
              <w:jc w:val="right"/>
              <w:rPr>
                <w:rFonts w:ascii="Calibri" w:hAnsi="Calibri" w:cs="Calibri"/>
                <w:szCs w:val="21"/>
              </w:rPr>
            </w:pPr>
            <w:r w:rsidRPr="00701EA8">
              <w:rPr>
                <w:rFonts w:ascii="Calibri" w:hAnsi="Calibri" w:cs="Calibri"/>
                <w:szCs w:val="21"/>
              </w:rPr>
              <w:t>9 476</w:t>
            </w:r>
          </w:p>
        </w:tc>
        <w:tc>
          <w:tcPr>
            <w:tcW w:w="1149" w:type="dxa"/>
            <w:shd w:val="clear" w:color="auto" w:fill="DBE5F1" w:themeFill="accent1" w:themeFillTint="33"/>
            <w:vAlign w:val="center"/>
          </w:tcPr>
          <w:p w:rsidR="00C9583F" w:rsidRPr="00701EA8" w:rsidRDefault="00C9583F" w:rsidP="00C9583F">
            <w:pPr>
              <w:spacing w:after="0" w:line="240" w:lineRule="auto"/>
              <w:jc w:val="right"/>
              <w:rPr>
                <w:rFonts w:ascii="Calibri" w:hAnsi="Calibri" w:cs="Calibri"/>
                <w:szCs w:val="21"/>
              </w:rPr>
            </w:pPr>
            <w:r w:rsidRPr="00701EA8">
              <w:rPr>
                <w:rFonts w:ascii="Calibri" w:hAnsi="Calibri" w:cs="Calibri"/>
                <w:szCs w:val="21"/>
              </w:rPr>
              <w:t>8 217</w:t>
            </w:r>
          </w:p>
        </w:tc>
        <w:tc>
          <w:tcPr>
            <w:tcW w:w="1149" w:type="dxa"/>
            <w:shd w:val="clear" w:color="auto" w:fill="auto"/>
            <w:vAlign w:val="center"/>
          </w:tcPr>
          <w:p w:rsidR="00C9583F" w:rsidRPr="00701EA8" w:rsidRDefault="00C9583F" w:rsidP="00C9583F">
            <w:pPr>
              <w:spacing w:after="0" w:line="240" w:lineRule="auto"/>
              <w:jc w:val="right"/>
              <w:rPr>
                <w:rFonts w:ascii="Calibri" w:hAnsi="Calibri" w:cs="Calibri"/>
                <w:szCs w:val="21"/>
              </w:rPr>
            </w:pPr>
            <w:r w:rsidRPr="00701EA8">
              <w:rPr>
                <w:rFonts w:ascii="Calibri" w:hAnsi="Calibri" w:cs="Calibri"/>
                <w:szCs w:val="21"/>
              </w:rPr>
              <w:t>9 357</w:t>
            </w:r>
          </w:p>
        </w:tc>
        <w:tc>
          <w:tcPr>
            <w:tcW w:w="1149" w:type="dxa"/>
            <w:shd w:val="clear" w:color="auto" w:fill="DBE5F1" w:themeFill="accent1" w:themeFillTint="33"/>
            <w:vAlign w:val="center"/>
          </w:tcPr>
          <w:p w:rsidR="00C9583F" w:rsidRPr="00701EA8" w:rsidRDefault="00C9583F" w:rsidP="00C9583F">
            <w:pPr>
              <w:spacing w:after="0" w:line="240" w:lineRule="auto"/>
              <w:jc w:val="right"/>
              <w:rPr>
                <w:rFonts w:ascii="Calibri" w:hAnsi="Calibri" w:cs="Calibri"/>
                <w:color w:val="000000"/>
                <w:szCs w:val="21"/>
              </w:rPr>
            </w:pPr>
            <w:r w:rsidRPr="00701EA8">
              <w:rPr>
                <w:rFonts w:ascii="Calibri" w:hAnsi="Calibri" w:cs="Calibri"/>
                <w:color w:val="000000"/>
                <w:szCs w:val="21"/>
              </w:rPr>
              <w:t>10 193</w:t>
            </w:r>
          </w:p>
        </w:tc>
      </w:tr>
      <w:tr w:rsidR="00C9583F" w:rsidRPr="00C9583F" w:rsidTr="005D233A">
        <w:trPr>
          <w:trHeight w:hRule="exact" w:val="510"/>
          <w:jc w:val="center"/>
        </w:trPr>
        <w:tc>
          <w:tcPr>
            <w:tcW w:w="1596" w:type="dxa"/>
            <w:shd w:val="clear" w:color="auto" w:fill="EEF3F8"/>
            <w:vAlign w:val="bottom"/>
            <w:hideMark/>
          </w:tcPr>
          <w:p w:rsidR="00C9583F" w:rsidRPr="00701EA8" w:rsidRDefault="00C9583F" w:rsidP="00C9583F">
            <w:pPr>
              <w:spacing w:after="0" w:line="240" w:lineRule="auto"/>
              <w:rPr>
                <w:rFonts w:eastAsia="Times New Roman" w:cs="Arial"/>
                <w:b/>
                <w:bCs/>
                <w:color w:val="000000"/>
                <w:szCs w:val="21"/>
                <w:lang w:eastAsia="cs-CZ"/>
              </w:rPr>
            </w:pPr>
            <w:r w:rsidRPr="00701EA8">
              <w:rPr>
                <w:rFonts w:eastAsia="Times New Roman" w:cs="Arial"/>
                <w:b/>
                <w:bCs/>
                <w:color w:val="000000"/>
                <w:szCs w:val="21"/>
                <w:lang w:eastAsia="cs-CZ"/>
              </w:rPr>
              <w:t>Náklady na lůžkovou péči</w:t>
            </w:r>
          </w:p>
        </w:tc>
        <w:tc>
          <w:tcPr>
            <w:tcW w:w="1149" w:type="dxa"/>
            <w:shd w:val="clear" w:color="auto" w:fill="EEF3F8"/>
            <w:noWrap/>
            <w:vAlign w:val="center"/>
          </w:tcPr>
          <w:p w:rsidR="00C9583F" w:rsidRPr="00701EA8" w:rsidRDefault="00C9583F" w:rsidP="00C9583F">
            <w:pPr>
              <w:spacing w:after="0" w:line="240" w:lineRule="auto"/>
              <w:jc w:val="right"/>
              <w:rPr>
                <w:rFonts w:ascii="Calibri" w:hAnsi="Calibri" w:cs="Calibri"/>
                <w:szCs w:val="21"/>
              </w:rPr>
            </w:pPr>
            <w:r w:rsidRPr="00701EA8">
              <w:rPr>
                <w:rFonts w:ascii="Calibri" w:hAnsi="Calibri" w:cs="Calibri"/>
                <w:szCs w:val="21"/>
              </w:rPr>
              <w:t>22 969</w:t>
            </w:r>
          </w:p>
        </w:tc>
        <w:tc>
          <w:tcPr>
            <w:tcW w:w="1149" w:type="dxa"/>
            <w:shd w:val="clear" w:color="auto" w:fill="EEF3F8"/>
            <w:noWrap/>
            <w:vAlign w:val="center"/>
          </w:tcPr>
          <w:p w:rsidR="00C9583F" w:rsidRPr="00701EA8" w:rsidRDefault="00C9583F" w:rsidP="00C9583F">
            <w:pPr>
              <w:spacing w:after="0" w:line="240" w:lineRule="auto"/>
              <w:jc w:val="right"/>
              <w:rPr>
                <w:rFonts w:ascii="Calibri" w:hAnsi="Calibri" w:cs="Calibri"/>
                <w:szCs w:val="21"/>
              </w:rPr>
            </w:pPr>
            <w:r w:rsidRPr="00701EA8">
              <w:rPr>
                <w:rFonts w:ascii="Calibri" w:hAnsi="Calibri" w:cs="Calibri"/>
                <w:szCs w:val="21"/>
              </w:rPr>
              <w:t>19 485</w:t>
            </w:r>
          </w:p>
        </w:tc>
        <w:tc>
          <w:tcPr>
            <w:tcW w:w="1149" w:type="dxa"/>
            <w:shd w:val="clear" w:color="auto" w:fill="EEF3F8"/>
            <w:noWrap/>
            <w:vAlign w:val="center"/>
          </w:tcPr>
          <w:p w:rsidR="00C9583F" w:rsidRPr="00701EA8" w:rsidRDefault="00C9583F" w:rsidP="00C9583F">
            <w:pPr>
              <w:spacing w:after="0" w:line="240" w:lineRule="auto"/>
              <w:jc w:val="right"/>
              <w:rPr>
                <w:rFonts w:ascii="Calibri" w:hAnsi="Calibri" w:cs="Calibri"/>
                <w:szCs w:val="21"/>
              </w:rPr>
            </w:pPr>
            <w:r w:rsidRPr="00701EA8">
              <w:rPr>
                <w:rFonts w:ascii="Calibri" w:hAnsi="Calibri" w:cs="Calibri"/>
                <w:szCs w:val="21"/>
              </w:rPr>
              <w:t>16 489</w:t>
            </w:r>
          </w:p>
        </w:tc>
        <w:tc>
          <w:tcPr>
            <w:tcW w:w="1149" w:type="dxa"/>
            <w:shd w:val="clear" w:color="auto" w:fill="EEF3F8"/>
            <w:noWrap/>
            <w:vAlign w:val="center"/>
          </w:tcPr>
          <w:p w:rsidR="00C9583F" w:rsidRPr="00701EA8" w:rsidRDefault="00C9583F" w:rsidP="00C9583F">
            <w:pPr>
              <w:spacing w:after="0" w:line="240" w:lineRule="auto"/>
              <w:jc w:val="right"/>
              <w:rPr>
                <w:rFonts w:ascii="Calibri" w:hAnsi="Calibri" w:cs="Calibri"/>
                <w:szCs w:val="21"/>
              </w:rPr>
            </w:pPr>
            <w:r w:rsidRPr="00701EA8">
              <w:rPr>
                <w:rFonts w:ascii="Calibri" w:hAnsi="Calibri" w:cs="Calibri"/>
                <w:szCs w:val="21"/>
              </w:rPr>
              <w:t>17 393</w:t>
            </w:r>
          </w:p>
        </w:tc>
        <w:tc>
          <w:tcPr>
            <w:tcW w:w="1149" w:type="dxa"/>
            <w:shd w:val="clear" w:color="auto" w:fill="EEF3F8"/>
            <w:noWrap/>
            <w:vAlign w:val="center"/>
          </w:tcPr>
          <w:p w:rsidR="00C9583F" w:rsidRPr="00701EA8" w:rsidRDefault="00C9583F" w:rsidP="00C9583F">
            <w:pPr>
              <w:spacing w:after="0" w:line="240" w:lineRule="auto"/>
              <w:jc w:val="right"/>
              <w:rPr>
                <w:rFonts w:ascii="Calibri" w:hAnsi="Calibri" w:cs="Calibri"/>
                <w:szCs w:val="21"/>
              </w:rPr>
            </w:pPr>
            <w:r w:rsidRPr="00701EA8">
              <w:rPr>
                <w:rFonts w:ascii="Calibri" w:hAnsi="Calibri" w:cs="Calibri"/>
                <w:szCs w:val="21"/>
              </w:rPr>
              <w:t>20 050</w:t>
            </w:r>
          </w:p>
        </w:tc>
        <w:tc>
          <w:tcPr>
            <w:tcW w:w="1149" w:type="dxa"/>
            <w:shd w:val="clear" w:color="auto" w:fill="EEF3F8"/>
            <w:noWrap/>
            <w:vAlign w:val="center"/>
          </w:tcPr>
          <w:p w:rsidR="00C9583F" w:rsidRPr="00701EA8" w:rsidRDefault="00C9583F" w:rsidP="00C9583F">
            <w:pPr>
              <w:spacing w:after="0" w:line="240" w:lineRule="auto"/>
              <w:jc w:val="right"/>
              <w:rPr>
                <w:rFonts w:ascii="Calibri" w:hAnsi="Calibri" w:cs="Calibri"/>
                <w:szCs w:val="21"/>
              </w:rPr>
            </w:pPr>
            <w:r w:rsidRPr="00701EA8">
              <w:rPr>
                <w:rFonts w:ascii="Calibri" w:hAnsi="Calibri" w:cs="Calibri"/>
                <w:szCs w:val="21"/>
              </w:rPr>
              <w:t>17 682</w:t>
            </w:r>
          </w:p>
        </w:tc>
        <w:tc>
          <w:tcPr>
            <w:tcW w:w="1149" w:type="dxa"/>
            <w:shd w:val="clear" w:color="auto" w:fill="EEF3F8"/>
            <w:vAlign w:val="center"/>
          </w:tcPr>
          <w:p w:rsidR="00C9583F" w:rsidRPr="00701EA8" w:rsidRDefault="00C9583F" w:rsidP="00C9583F">
            <w:pPr>
              <w:spacing w:after="0" w:line="240" w:lineRule="auto"/>
              <w:jc w:val="right"/>
              <w:rPr>
                <w:rFonts w:ascii="Calibri" w:hAnsi="Calibri" w:cs="Calibri"/>
                <w:color w:val="000000"/>
                <w:szCs w:val="21"/>
              </w:rPr>
            </w:pPr>
            <w:r w:rsidRPr="00701EA8">
              <w:rPr>
                <w:rFonts w:ascii="Calibri" w:hAnsi="Calibri" w:cs="Calibri"/>
                <w:color w:val="000000"/>
                <w:szCs w:val="21"/>
              </w:rPr>
              <w:t>16 647</w:t>
            </w:r>
          </w:p>
        </w:tc>
      </w:tr>
      <w:tr w:rsidR="00C9583F" w:rsidRPr="00C9583F" w:rsidTr="005D233A">
        <w:trPr>
          <w:trHeight w:hRule="exact" w:val="284"/>
          <w:jc w:val="center"/>
        </w:trPr>
        <w:tc>
          <w:tcPr>
            <w:tcW w:w="1596" w:type="dxa"/>
            <w:shd w:val="clear" w:color="auto" w:fill="auto"/>
            <w:vAlign w:val="bottom"/>
            <w:hideMark/>
          </w:tcPr>
          <w:p w:rsidR="00C9583F" w:rsidRPr="00701EA8" w:rsidRDefault="00C9583F" w:rsidP="00C9583F">
            <w:pPr>
              <w:spacing w:after="0" w:line="240" w:lineRule="auto"/>
              <w:rPr>
                <w:rFonts w:eastAsia="Times New Roman" w:cs="Arial"/>
                <w:b/>
                <w:bCs/>
                <w:color w:val="000000"/>
                <w:szCs w:val="21"/>
                <w:lang w:eastAsia="cs-CZ"/>
              </w:rPr>
            </w:pPr>
            <w:r w:rsidRPr="00701EA8">
              <w:rPr>
                <w:rFonts w:eastAsia="Times New Roman" w:cs="Arial"/>
                <w:b/>
                <w:bCs/>
                <w:color w:val="000000"/>
                <w:szCs w:val="21"/>
                <w:lang w:eastAsia="cs-CZ"/>
              </w:rPr>
              <w:t>Ostatní náklady</w:t>
            </w:r>
          </w:p>
        </w:tc>
        <w:tc>
          <w:tcPr>
            <w:tcW w:w="1149" w:type="dxa"/>
            <w:shd w:val="clear" w:color="auto" w:fill="DBE5F1" w:themeFill="accent1" w:themeFillTint="33"/>
            <w:vAlign w:val="center"/>
          </w:tcPr>
          <w:p w:rsidR="00C9583F" w:rsidRPr="00701EA8" w:rsidRDefault="00C9583F" w:rsidP="00C9583F">
            <w:pPr>
              <w:spacing w:after="0" w:line="240" w:lineRule="auto"/>
              <w:jc w:val="right"/>
              <w:rPr>
                <w:rFonts w:ascii="Calibri" w:hAnsi="Calibri" w:cs="Calibri"/>
                <w:szCs w:val="21"/>
              </w:rPr>
            </w:pPr>
            <w:r w:rsidRPr="00701EA8">
              <w:rPr>
                <w:rFonts w:ascii="Calibri" w:hAnsi="Calibri" w:cs="Calibri"/>
                <w:szCs w:val="21"/>
              </w:rPr>
              <w:t>6 877</w:t>
            </w:r>
          </w:p>
        </w:tc>
        <w:tc>
          <w:tcPr>
            <w:tcW w:w="1149" w:type="dxa"/>
            <w:shd w:val="clear" w:color="auto" w:fill="auto"/>
            <w:vAlign w:val="center"/>
          </w:tcPr>
          <w:p w:rsidR="00C9583F" w:rsidRPr="00701EA8" w:rsidRDefault="00C9583F" w:rsidP="00C9583F">
            <w:pPr>
              <w:spacing w:after="0" w:line="240" w:lineRule="auto"/>
              <w:jc w:val="right"/>
              <w:rPr>
                <w:rFonts w:ascii="Calibri" w:hAnsi="Calibri" w:cs="Calibri"/>
                <w:szCs w:val="21"/>
              </w:rPr>
            </w:pPr>
            <w:r w:rsidRPr="00701EA8">
              <w:rPr>
                <w:rFonts w:ascii="Calibri" w:hAnsi="Calibri" w:cs="Calibri"/>
                <w:szCs w:val="21"/>
              </w:rPr>
              <w:t>5 648</w:t>
            </w:r>
          </w:p>
        </w:tc>
        <w:tc>
          <w:tcPr>
            <w:tcW w:w="1149" w:type="dxa"/>
            <w:shd w:val="clear" w:color="auto" w:fill="DBE5F1" w:themeFill="accent1" w:themeFillTint="33"/>
            <w:vAlign w:val="center"/>
          </w:tcPr>
          <w:p w:rsidR="00C9583F" w:rsidRPr="00701EA8" w:rsidRDefault="00C9583F" w:rsidP="00C9583F">
            <w:pPr>
              <w:spacing w:after="0" w:line="240" w:lineRule="auto"/>
              <w:jc w:val="right"/>
              <w:rPr>
                <w:rFonts w:ascii="Calibri" w:hAnsi="Calibri" w:cs="Calibri"/>
                <w:szCs w:val="21"/>
              </w:rPr>
            </w:pPr>
            <w:r w:rsidRPr="00701EA8">
              <w:rPr>
                <w:rFonts w:ascii="Calibri" w:hAnsi="Calibri" w:cs="Calibri"/>
                <w:szCs w:val="21"/>
              </w:rPr>
              <w:t>5 365</w:t>
            </w:r>
          </w:p>
        </w:tc>
        <w:tc>
          <w:tcPr>
            <w:tcW w:w="1149" w:type="dxa"/>
            <w:shd w:val="clear" w:color="auto" w:fill="auto"/>
            <w:vAlign w:val="center"/>
          </w:tcPr>
          <w:p w:rsidR="00C9583F" w:rsidRPr="00701EA8" w:rsidRDefault="00C9583F" w:rsidP="00C9583F">
            <w:pPr>
              <w:spacing w:after="0" w:line="240" w:lineRule="auto"/>
              <w:jc w:val="right"/>
              <w:rPr>
                <w:rFonts w:ascii="Calibri" w:hAnsi="Calibri" w:cs="Calibri"/>
                <w:szCs w:val="21"/>
              </w:rPr>
            </w:pPr>
            <w:r w:rsidRPr="00701EA8">
              <w:rPr>
                <w:rFonts w:ascii="Calibri" w:hAnsi="Calibri" w:cs="Calibri"/>
                <w:szCs w:val="21"/>
              </w:rPr>
              <w:t>5 237</w:t>
            </w:r>
          </w:p>
        </w:tc>
        <w:tc>
          <w:tcPr>
            <w:tcW w:w="1149" w:type="dxa"/>
            <w:shd w:val="clear" w:color="auto" w:fill="DBE5F1" w:themeFill="accent1" w:themeFillTint="33"/>
            <w:vAlign w:val="center"/>
          </w:tcPr>
          <w:p w:rsidR="00C9583F" w:rsidRPr="00701EA8" w:rsidRDefault="00C9583F" w:rsidP="00C9583F">
            <w:pPr>
              <w:spacing w:after="0" w:line="240" w:lineRule="auto"/>
              <w:jc w:val="right"/>
              <w:rPr>
                <w:rFonts w:ascii="Calibri" w:hAnsi="Calibri" w:cs="Calibri"/>
                <w:szCs w:val="21"/>
              </w:rPr>
            </w:pPr>
            <w:r w:rsidRPr="00701EA8">
              <w:rPr>
                <w:rFonts w:ascii="Calibri" w:hAnsi="Calibri" w:cs="Calibri"/>
                <w:szCs w:val="21"/>
              </w:rPr>
              <w:t>5 891</w:t>
            </w:r>
          </w:p>
        </w:tc>
        <w:tc>
          <w:tcPr>
            <w:tcW w:w="1149" w:type="dxa"/>
            <w:shd w:val="clear" w:color="auto" w:fill="auto"/>
            <w:vAlign w:val="center"/>
          </w:tcPr>
          <w:p w:rsidR="00C9583F" w:rsidRPr="00701EA8" w:rsidRDefault="00C9583F" w:rsidP="00C9583F">
            <w:pPr>
              <w:spacing w:after="0" w:line="240" w:lineRule="auto"/>
              <w:jc w:val="right"/>
              <w:rPr>
                <w:rFonts w:ascii="Calibri" w:hAnsi="Calibri" w:cs="Calibri"/>
                <w:szCs w:val="21"/>
              </w:rPr>
            </w:pPr>
            <w:r w:rsidRPr="00701EA8">
              <w:rPr>
                <w:rFonts w:ascii="Calibri" w:hAnsi="Calibri" w:cs="Calibri"/>
                <w:szCs w:val="21"/>
              </w:rPr>
              <w:t>5 996</w:t>
            </w:r>
          </w:p>
        </w:tc>
        <w:tc>
          <w:tcPr>
            <w:tcW w:w="1149" w:type="dxa"/>
            <w:shd w:val="clear" w:color="auto" w:fill="DBE5F1" w:themeFill="accent1" w:themeFillTint="33"/>
            <w:vAlign w:val="center"/>
          </w:tcPr>
          <w:p w:rsidR="00C9583F" w:rsidRPr="00701EA8" w:rsidRDefault="00C9583F" w:rsidP="00C9583F">
            <w:pPr>
              <w:spacing w:after="0" w:line="240" w:lineRule="auto"/>
              <w:jc w:val="right"/>
              <w:rPr>
                <w:rFonts w:ascii="Calibri" w:hAnsi="Calibri" w:cs="Calibri"/>
                <w:color w:val="000000"/>
                <w:szCs w:val="21"/>
              </w:rPr>
            </w:pPr>
            <w:r w:rsidRPr="00701EA8">
              <w:rPr>
                <w:rFonts w:ascii="Calibri" w:hAnsi="Calibri" w:cs="Calibri"/>
                <w:color w:val="000000"/>
                <w:szCs w:val="21"/>
              </w:rPr>
              <w:t>5 222</w:t>
            </w:r>
          </w:p>
        </w:tc>
      </w:tr>
      <w:tr w:rsidR="00C9583F" w:rsidRPr="00C9583F" w:rsidTr="005D233A">
        <w:trPr>
          <w:trHeight w:hRule="exact" w:val="284"/>
          <w:jc w:val="center"/>
        </w:trPr>
        <w:tc>
          <w:tcPr>
            <w:tcW w:w="1596" w:type="dxa"/>
            <w:shd w:val="clear" w:color="auto" w:fill="EEF3F8"/>
            <w:vAlign w:val="bottom"/>
            <w:hideMark/>
          </w:tcPr>
          <w:p w:rsidR="00C9583F" w:rsidRPr="00701EA8" w:rsidRDefault="00C9583F" w:rsidP="00C9583F">
            <w:pPr>
              <w:spacing w:after="0" w:line="240" w:lineRule="auto"/>
              <w:rPr>
                <w:rFonts w:eastAsia="Times New Roman" w:cs="Arial"/>
                <w:b/>
                <w:bCs/>
                <w:color w:val="000000"/>
                <w:szCs w:val="21"/>
                <w:lang w:eastAsia="cs-CZ"/>
              </w:rPr>
            </w:pPr>
            <w:r w:rsidRPr="00701EA8">
              <w:rPr>
                <w:rFonts w:eastAsia="Times New Roman" w:cs="Arial"/>
                <w:b/>
                <w:bCs/>
                <w:color w:val="000000"/>
                <w:szCs w:val="21"/>
                <w:lang w:eastAsia="cs-CZ"/>
              </w:rPr>
              <w:t>Celkové náklady</w:t>
            </w:r>
          </w:p>
        </w:tc>
        <w:tc>
          <w:tcPr>
            <w:tcW w:w="1149" w:type="dxa"/>
            <w:shd w:val="clear" w:color="auto" w:fill="EEF3F8"/>
            <w:vAlign w:val="center"/>
          </w:tcPr>
          <w:p w:rsidR="00C9583F" w:rsidRPr="00701EA8" w:rsidRDefault="00C9583F" w:rsidP="00C9583F">
            <w:pPr>
              <w:spacing w:after="0" w:line="240" w:lineRule="auto"/>
              <w:jc w:val="right"/>
              <w:rPr>
                <w:rFonts w:ascii="Calibri" w:hAnsi="Calibri" w:cs="Calibri"/>
                <w:b/>
                <w:bCs/>
                <w:color w:val="000000"/>
                <w:szCs w:val="21"/>
              </w:rPr>
            </w:pPr>
            <w:r w:rsidRPr="00701EA8">
              <w:rPr>
                <w:rFonts w:ascii="Calibri" w:hAnsi="Calibri" w:cs="Calibri"/>
                <w:b/>
                <w:bCs/>
                <w:color w:val="000000"/>
                <w:szCs w:val="21"/>
              </w:rPr>
              <w:t>39 269</w:t>
            </w:r>
          </w:p>
        </w:tc>
        <w:tc>
          <w:tcPr>
            <w:tcW w:w="1149" w:type="dxa"/>
            <w:shd w:val="clear" w:color="auto" w:fill="EEF3F8"/>
            <w:vAlign w:val="center"/>
          </w:tcPr>
          <w:p w:rsidR="00C9583F" w:rsidRPr="00701EA8" w:rsidRDefault="00C9583F" w:rsidP="00C9583F">
            <w:pPr>
              <w:spacing w:after="0" w:line="240" w:lineRule="auto"/>
              <w:jc w:val="right"/>
              <w:rPr>
                <w:rFonts w:ascii="Calibri" w:hAnsi="Calibri" w:cs="Calibri"/>
                <w:b/>
                <w:bCs/>
                <w:color w:val="000000"/>
                <w:szCs w:val="21"/>
              </w:rPr>
            </w:pPr>
            <w:r w:rsidRPr="00701EA8">
              <w:rPr>
                <w:rFonts w:ascii="Calibri" w:hAnsi="Calibri" w:cs="Calibri"/>
                <w:b/>
                <w:bCs/>
                <w:color w:val="000000"/>
                <w:szCs w:val="21"/>
              </w:rPr>
              <w:t>34 113</w:t>
            </w:r>
          </w:p>
        </w:tc>
        <w:tc>
          <w:tcPr>
            <w:tcW w:w="1149" w:type="dxa"/>
            <w:shd w:val="clear" w:color="auto" w:fill="EEF3F8"/>
            <w:vAlign w:val="center"/>
          </w:tcPr>
          <w:p w:rsidR="00C9583F" w:rsidRPr="00701EA8" w:rsidRDefault="00C9583F" w:rsidP="00C9583F">
            <w:pPr>
              <w:spacing w:after="0" w:line="240" w:lineRule="auto"/>
              <w:jc w:val="right"/>
              <w:rPr>
                <w:rFonts w:ascii="Calibri" w:hAnsi="Calibri" w:cs="Calibri"/>
                <w:b/>
                <w:bCs/>
                <w:color w:val="000000"/>
                <w:szCs w:val="21"/>
              </w:rPr>
            </w:pPr>
            <w:r w:rsidRPr="00701EA8">
              <w:rPr>
                <w:rFonts w:ascii="Calibri" w:hAnsi="Calibri" w:cs="Calibri"/>
                <w:b/>
                <w:bCs/>
                <w:color w:val="000000"/>
                <w:szCs w:val="21"/>
              </w:rPr>
              <w:t>31 665</w:t>
            </w:r>
          </w:p>
        </w:tc>
        <w:tc>
          <w:tcPr>
            <w:tcW w:w="1149" w:type="dxa"/>
            <w:shd w:val="clear" w:color="auto" w:fill="EEF3F8"/>
            <w:vAlign w:val="center"/>
          </w:tcPr>
          <w:p w:rsidR="00C9583F" w:rsidRPr="00701EA8" w:rsidRDefault="00C9583F" w:rsidP="00C9583F">
            <w:pPr>
              <w:spacing w:after="0" w:line="240" w:lineRule="auto"/>
              <w:jc w:val="right"/>
              <w:rPr>
                <w:rFonts w:ascii="Calibri" w:hAnsi="Calibri" w:cs="Calibri"/>
                <w:b/>
                <w:bCs/>
                <w:color w:val="000000"/>
                <w:szCs w:val="21"/>
              </w:rPr>
            </w:pPr>
            <w:r w:rsidRPr="00701EA8">
              <w:rPr>
                <w:rFonts w:ascii="Calibri" w:hAnsi="Calibri" w:cs="Calibri"/>
                <w:b/>
                <w:bCs/>
                <w:color w:val="000000"/>
                <w:szCs w:val="21"/>
              </w:rPr>
              <w:t>32 106</w:t>
            </w:r>
          </w:p>
        </w:tc>
        <w:tc>
          <w:tcPr>
            <w:tcW w:w="1149" w:type="dxa"/>
            <w:shd w:val="clear" w:color="auto" w:fill="EEF3F8"/>
            <w:vAlign w:val="center"/>
          </w:tcPr>
          <w:p w:rsidR="00C9583F" w:rsidRPr="00701EA8" w:rsidRDefault="00C9583F" w:rsidP="00C9583F">
            <w:pPr>
              <w:spacing w:after="0" w:line="240" w:lineRule="auto"/>
              <w:jc w:val="right"/>
              <w:rPr>
                <w:rFonts w:ascii="Calibri" w:hAnsi="Calibri" w:cs="Calibri"/>
                <w:b/>
                <w:bCs/>
                <w:color w:val="000000"/>
                <w:szCs w:val="21"/>
              </w:rPr>
            </w:pPr>
            <w:r w:rsidRPr="00701EA8">
              <w:rPr>
                <w:rFonts w:ascii="Calibri" w:hAnsi="Calibri" w:cs="Calibri"/>
                <w:b/>
                <w:bCs/>
                <w:color w:val="000000"/>
                <w:szCs w:val="21"/>
              </w:rPr>
              <w:t>34 158</w:t>
            </w:r>
          </w:p>
        </w:tc>
        <w:tc>
          <w:tcPr>
            <w:tcW w:w="1149" w:type="dxa"/>
            <w:shd w:val="clear" w:color="auto" w:fill="EEF3F8"/>
            <w:vAlign w:val="center"/>
          </w:tcPr>
          <w:p w:rsidR="00C9583F" w:rsidRPr="00701EA8" w:rsidRDefault="00C9583F" w:rsidP="00C9583F">
            <w:pPr>
              <w:spacing w:after="0" w:line="240" w:lineRule="auto"/>
              <w:jc w:val="right"/>
              <w:rPr>
                <w:rFonts w:ascii="Calibri" w:hAnsi="Calibri" w:cs="Calibri"/>
                <w:b/>
                <w:bCs/>
                <w:color w:val="000000"/>
                <w:szCs w:val="21"/>
              </w:rPr>
            </w:pPr>
            <w:r w:rsidRPr="00701EA8">
              <w:rPr>
                <w:rFonts w:ascii="Calibri" w:hAnsi="Calibri" w:cs="Calibri"/>
                <w:b/>
                <w:bCs/>
                <w:color w:val="000000"/>
                <w:szCs w:val="21"/>
              </w:rPr>
              <w:t>33 035</w:t>
            </w:r>
          </w:p>
        </w:tc>
        <w:tc>
          <w:tcPr>
            <w:tcW w:w="1149" w:type="dxa"/>
            <w:shd w:val="clear" w:color="auto" w:fill="EEF3F8"/>
            <w:vAlign w:val="center"/>
          </w:tcPr>
          <w:p w:rsidR="00C9583F" w:rsidRPr="00701EA8" w:rsidRDefault="00C9583F" w:rsidP="00C9583F">
            <w:pPr>
              <w:spacing w:after="0" w:line="240" w:lineRule="auto"/>
              <w:jc w:val="right"/>
              <w:rPr>
                <w:rFonts w:ascii="Calibri" w:hAnsi="Calibri" w:cs="Calibri"/>
                <w:b/>
                <w:bCs/>
                <w:color w:val="000000"/>
                <w:szCs w:val="21"/>
              </w:rPr>
            </w:pPr>
            <w:r w:rsidRPr="00701EA8">
              <w:rPr>
                <w:rFonts w:ascii="Calibri" w:hAnsi="Calibri" w:cs="Calibri"/>
                <w:b/>
                <w:bCs/>
                <w:color w:val="000000"/>
                <w:szCs w:val="21"/>
              </w:rPr>
              <w:t>32 062</w:t>
            </w:r>
          </w:p>
        </w:tc>
      </w:tr>
    </w:tbl>
    <w:p w:rsidR="00B456F9" w:rsidRPr="00C9583F" w:rsidRDefault="00B456F9" w:rsidP="00B456F9">
      <w:pPr>
        <w:pStyle w:val="Titulek"/>
        <w:spacing w:before="240"/>
        <w:jc w:val="both"/>
      </w:pPr>
      <w:bookmarkStart w:id="65" w:name="_Toc25073788"/>
      <w:bookmarkStart w:id="66" w:name="_Toc63685274"/>
      <w:r w:rsidRPr="00C9583F">
        <w:t xml:space="preserve">Tabulka č. </w:t>
      </w:r>
      <w:r w:rsidR="008E5E29" w:rsidRPr="00C9583F">
        <w:rPr>
          <w:noProof/>
        </w:rPr>
        <w:fldChar w:fldCharType="begin"/>
      </w:r>
      <w:r w:rsidRPr="00C9583F">
        <w:rPr>
          <w:noProof/>
        </w:rPr>
        <w:instrText xml:space="preserve"> SEQ Tabulka \* ARABIC </w:instrText>
      </w:r>
      <w:r w:rsidR="008E5E29" w:rsidRPr="00C9583F">
        <w:rPr>
          <w:noProof/>
        </w:rPr>
        <w:fldChar w:fldCharType="separate"/>
      </w:r>
      <w:r w:rsidR="006D5C90">
        <w:rPr>
          <w:noProof/>
        </w:rPr>
        <w:t>21</w:t>
      </w:r>
      <w:r w:rsidR="008E5E29" w:rsidRPr="00C9583F">
        <w:rPr>
          <w:noProof/>
        </w:rPr>
        <w:fldChar w:fldCharType="end"/>
      </w:r>
      <w:r w:rsidRPr="00C9583F">
        <w:t>: Struktura nákladů na zdravotní služby v přepočtu na 1 pojištěnce v r. 20</w:t>
      </w:r>
      <w:r w:rsidR="00D85079">
        <w:t>20</w:t>
      </w:r>
      <w:r w:rsidRPr="00C9583F">
        <w:t xml:space="preserve"> dle zdravotních pojišťoven</w:t>
      </w:r>
      <w:bookmarkEnd w:id="65"/>
      <w:bookmarkEnd w:id="66"/>
    </w:p>
    <w:tbl>
      <w:tblPr>
        <w:tblW w:w="9639" w:type="dxa"/>
        <w:jc w:val="center"/>
        <w:tblBorders>
          <w:top w:val="single" w:sz="12" w:space="0" w:color="548DD4" w:themeColor="text2" w:themeTint="99"/>
          <w:left w:val="single" w:sz="12" w:space="0" w:color="548DD4" w:themeColor="text2" w:themeTint="99"/>
          <w:bottom w:val="single" w:sz="12" w:space="0" w:color="548DD4" w:themeColor="text2" w:themeTint="99"/>
          <w:right w:val="single" w:sz="12" w:space="0" w:color="548DD4" w:themeColor="text2" w:themeTint="99"/>
        </w:tblBorders>
        <w:tblCellMar>
          <w:left w:w="70" w:type="dxa"/>
          <w:right w:w="70" w:type="dxa"/>
        </w:tblCellMar>
        <w:tblLook w:val="04A0" w:firstRow="1" w:lastRow="0" w:firstColumn="1" w:lastColumn="0" w:noHBand="0" w:noVBand="1"/>
      </w:tblPr>
      <w:tblGrid>
        <w:gridCol w:w="1596"/>
        <w:gridCol w:w="1149"/>
        <w:gridCol w:w="1149"/>
        <w:gridCol w:w="1149"/>
        <w:gridCol w:w="1149"/>
        <w:gridCol w:w="1149"/>
        <w:gridCol w:w="1149"/>
        <w:gridCol w:w="1149"/>
      </w:tblGrid>
      <w:tr w:rsidR="00B456F9" w:rsidRPr="00C9583F" w:rsidTr="004D6049">
        <w:trPr>
          <w:trHeight w:val="568"/>
          <w:jc w:val="center"/>
        </w:trPr>
        <w:tc>
          <w:tcPr>
            <w:tcW w:w="1596" w:type="dxa"/>
            <w:shd w:val="clear" w:color="auto" w:fill="4F81BD"/>
            <w:vAlign w:val="center"/>
            <w:hideMark/>
          </w:tcPr>
          <w:p w:rsidR="00B456F9" w:rsidRPr="00701EA8" w:rsidRDefault="00B456F9" w:rsidP="004D6049">
            <w:pPr>
              <w:spacing w:after="0" w:line="240" w:lineRule="auto"/>
              <w:rPr>
                <w:rFonts w:ascii="Calibri" w:eastAsia="Times New Roman" w:hAnsi="Calibri" w:cs="Times New Roman"/>
                <w:b/>
                <w:bCs/>
                <w:i/>
                <w:iCs/>
                <w:color w:val="FFFFFF"/>
                <w:szCs w:val="21"/>
                <w:lang w:eastAsia="cs-CZ"/>
              </w:rPr>
            </w:pPr>
            <w:r w:rsidRPr="00701EA8">
              <w:rPr>
                <w:rFonts w:ascii="Calibri" w:hAnsi="Calibri"/>
                <w:b/>
                <w:bCs/>
                <w:color w:val="FFFFFF"/>
                <w:szCs w:val="21"/>
              </w:rPr>
              <w:t>Oč. skut 20</w:t>
            </w:r>
            <w:r w:rsidR="00804AFC" w:rsidRPr="00701EA8">
              <w:rPr>
                <w:rFonts w:ascii="Calibri" w:hAnsi="Calibri"/>
                <w:b/>
                <w:bCs/>
                <w:color w:val="FFFFFF"/>
                <w:szCs w:val="21"/>
              </w:rPr>
              <w:t>20</w:t>
            </w:r>
            <w:r w:rsidRPr="00701EA8">
              <w:rPr>
                <w:rFonts w:ascii="Calibri" w:eastAsia="Times New Roman" w:hAnsi="Calibri" w:cs="Times New Roman"/>
                <w:b/>
                <w:bCs/>
                <w:i/>
                <w:iCs/>
                <w:color w:val="FFFFFF"/>
                <w:szCs w:val="21"/>
                <w:lang w:eastAsia="cs-CZ"/>
              </w:rPr>
              <w:t xml:space="preserve"> </w:t>
            </w:r>
          </w:p>
          <w:p w:rsidR="00B456F9" w:rsidRPr="00701EA8" w:rsidRDefault="00B456F9" w:rsidP="004D6049">
            <w:pPr>
              <w:spacing w:after="0" w:line="240" w:lineRule="auto"/>
              <w:rPr>
                <w:rFonts w:ascii="Calibri" w:eastAsia="Times New Roman" w:hAnsi="Calibri" w:cs="Times New Roman"/>
                <w:b/>
                <w:bCs/>
                <w:color w:val="FFFFFF"/>
                <w:szCs w:val="21"/>
                <w:lang w:eastAsia="cs-CZ"/>
              </w:rPr>
            </w:pPr>
            <w:r w:rsidRPr="00701EA8">
              <w:rPr>
                <w:rFonts w:ascii="Calibri" w:eastAsia="Times New Roman" w:hAnsi="Calibri" w:cs="Times New Roman"/>
                <w:b/>
                <w:bCs/>
                <w:i/>
                <w:iCs/>
                <w:color w:val="FFFFFF"/>
                <w:szCs w:val="21"/>
                <w:lang w:eastAsia="cs-CZ"/>
              </w:rPr>
              <w:t>(v Kč)</w:t>
            </w:r>
          </w:p>
        </w:tc>
        <w:tc>
          <w:tcPr>
            <w:tcW w:w="1149" w:type="dxa"/>
            <w:shd w:val="clear" w:color="auto" w:fill="6691C6"/>
            <w:vAlign w:val="center"/>
          </w:tcPr>
          <w:p w:rsidR="00B456F9" w:rsidRPr="00701EA8" w:rsidRDefault="00B456F9" w:rsidP="004D6049">
            <w:pPr>
              <w:spacing w:after="0" w:line="240" w:lineRule="auto"/>
              <w:jc w:val="center"/>
              <w:rPr>
                <w:rFonts w:ascii="Calibri" w:eastAsia="Times New Roman" w:hAnsi="Calibri" w:cs="Times New Roman"/>
                <w:color w:val="FFFFFF"/>
                <w:szCs w:val="21"/>
                <w:lang w:eastAsia="cs-CZ"/>
              </w:rPr>
            </w:pPr>
            <w:r w:rsidRPr="00701EA8">
              <w:rPr>
                <w:rFonts w:ascii="Calibri" w:eastAsia="Times New Roman" w:hAnsi="Calibri" w:cs="Times New Roman"/>
                <w:color w:val="FFFFFF"/>
                <w:szCs w:val="21"/>
                <w:lang w:eastAsia="cs-CZ"/>
              </w:rPr>
              <w:t>VZP ČR</w:t>
            </w:r>
          </w:p>
        </w:tc>
        <w:tc>
          <w:tcPr>
            <w:tcW w:w="1149" w:type="dxa"/>
            <w:shd w:val="clear" w:color="auto" w:fill="4F81BD"/>
            <w:vAlign w:val="center"/>
            <w:hideMark/>
          </w:tcPr>
          <w:p w:rsidR="00B456F9" w:rsidRPr="00701EA8" w:rsidRDefault="00B456F9" w:rsidP="004D6049">
            <w:pPr>
              <w:spacing w:after="0" w:line="240" w:lineRule="auto"/>
              <w:jc w:val="center"/>
              <w:rPr>
                <w:rFonts w:ascii="Calibri" w:eastAsia="Times New Roman" w:hAnsi="Calibri" w:cs="Times New Roman"/>
                <w:color w:val="FFFFFF"/>
                <w:szCs w:val="21"/>
                <w:lang w:eastAsia="cs-CZ"/>
              </w:rPr>
            </w:pPr>
            <w:proofErr w:type="spellStart"/>
            <w:r w:rsidRPr="00701EA8">
              <w:rPr>
                <w:rFonts w:ascii="Calibri" w:eastAsia="Times New Roman" w:hAnsi="Calibri" w:cs="Times New Roman"/>
                <w:color w:val="FFFFFF"/>
                <w:szCs w:val="21"/>
                <w:lang w:eastAsia="cs-CZ"/>
              </w:rPr>
              <w:t>VoZP</w:t>
            </w:r>
            <w:proofErr w:type="spellEnd"/>
            <w:r w:rsidRPr="00701EA8">
              <w:rPr>
                <w:rFonts w:ascii="Calibri" w:eastAsia="Times New Roman" w:hAnsi="Calibri" w:cs="Times New Roman"/>
                <w:color w:val="FFFFFF"/>
                <w:szCs w:val="21"/>
                <w:lang w:eastAsia="cs-CZ"/>
              </w:rPr>
              <w:t xml:space="preserve"> ČR</w:t>
            </w:r>
          </w:p>
        </w:tc>
        <w:tc>
          <w:tcPr>
            <w:tcW w:w="1149" w:type="dxa"/>
            <w:shd w:val="clear" w:color="auto" w:fill="6691C6"/>
            <w:vAlign w:val="center"/>
            <w:hideMark/>
          </w:tcPr>
          <w:p w:rsidR="00B456F9" w:rsidRPr="00701EA8" w:rsidRDefault="00B456F9" w:rsidP="004D6049">
            <w:pPr>
              <w:spacing w:after="0" w:line="240" w:lineRule="auto"/>
              <w:jc w:val="center"/>
              <w:rPr>
                <w:rFonts w:ascii="Calibri" w:eastAsia="Times New Roman" w:hAnsi="Calibri" w:cs="Times New Roman"/>
                <w:color w:val="FFFFFF"/>
                <w:szCs w:val="21"/>
                <w:lang w:eastAsia="cs-CZ"/>
              </w:rPr>
            </w:pPr>
            <w:r w:rsidRPr="00701EA8">
              <w:rPr>
                <w:rFonts w:ascii="Calibri" w:eastAsia="Times New Roman" w:hAnsi="Calibri" w:cs="Times New Roman"/>
                <w:color w:val="FFFFFF"/>
                <w:szCs w:val="21"/>
                <w:lang w:eastAsia="cs-CZ"/>
              </w:rPr>
              <w:t>ČPZP</w:t>
            </w:r>
          </w:p>
        </w:tc>
        <w:tc>
          <w:tcPr>
            <w:tcW w:w="1149" w:type="dxa"/>
            <w:shd w:val="clear" w:color="auto" w:fill="4F81BD"/>
            <w:vAlign w:val="center"/>
            <w:hideMark/>
          </w:tcPr>
          <w:p w:rsidR="00B456F9" w:rsidRPr="00701EA8" w:rsidRDefault="00B456F9" w:rsidP="004D6049">
            <w:pPr>
              <w:spacing w:after="0" w:line="240" w:lineRule="auto"/>
              <w:jc w:val="center"/>
              <w:rPr>
                <w:rFonts w:ascii="Calibri" w:eastAsia="Times New Roman" w:hAnsi="Calibri" w:cs="Times New Roman"/>
                <w:color w:val="FFFFFF"/>
                <w:szCs w:val="21"/>
                <w:lang w:eastAsia="cs-CZ"/>
              </w:rPr>
            </w:pPr>
            <w:r w:rsidRPr="00701EA8">
              <w:rPr>
                <w:rFonts w:ascii="Calibri" w:eastAsia="Times New Roman" w:hAnsi="Calibri" w:cs="Times New Roman"/>
                <w:color w:val="FFFFFF"/>
                <w:szCs w:val="21"/>
                <w:lang w:eastAsia="cs-CZ"/>
              </w:rPr>
              <w:t>OZP</w:t>
            </w:r>
          </w:p>
        </w:tc>
        <w:tc>
          <w:tcPr>
            <w:tcW w:w="1149" w:type="dxa"/>
            <w:shd w:val="clear" w:color="auto" w:fill="6691C6"/>
            <w:vAlign w:val="center"/>
            <w:hideMark/>
          </w:tcPr>
          <w:p w:rsidR="00B456F9" w:rsidRPr="00701EA8" w:rsidRDefault="00B456F9" w:rsidP="004D6049">
            <w:pPr>
              <w:spacing w:after="0" w:line="240" w:lineRule="auto"/>
              <w:jc w:val="center"/>
              <w:rPr>
                <w:rFonts w:ascii="Calibri" w:eastAsia="Times New Roman" w:hAnsi="Calibri" w:cs="Times New Roman"/>
                <w:color w:val="FFFFFF"/>
                <w:szCs w:val="21"/>
                <w:lang w:eastAsia="cs-CZ"/>
              </w:rPr>
            </w:pPr>
            <w:r w:rsidRPr="00701EA8">
              <w:rPr>
                <w:rFonts w:ascii="Calibri" w:eastAsia="Times New Roman" w:hAnsi="Calibri" w:cs="Times New Roman"/>
                <w:color w:val="FFFFFF"/>
                <w:szCs w:val="21"/>
                <w:lang w:eastAsia="cs-CZ"/>
              </w:rPr>
              <w:t>ZPŠ</w:t>
            </w:r>
          </w:p>
        </w:tc>
        <w:tc>
          <w:tcPr>
            <w:tcW w:w="1149" w:type="dxa"/>
            <w:shd w:val="clear" w:color="auto" w:fill="4F81BD"/>
            <w:vAlign w:val="center"/>
            <w:hideMark/>
          </w:tcPr>
          <w:p w:rsidR="00B456F9" w:rsidRPr="00701EA8" w:rsidRDefault="00DF5584" w:rsidP="004D6049">
            <w:pPr>
              <w:spacing w:after="0" w:line="240" w:lineRule="auto"/>
              <w:jc w:val="center"/>
              <w:rPr>
                <w:rFonts w:ascii="Calibri" w:eastAsia="Times New Roman" w:hAnsi="Calibri" w:cs="Times New Roman"/>
                <w:color w:val="FFFFFF"/>
                <w:szCs w:val="21"/>
                <w:lang w:eastAsia="cs-CZ"/>
              </w:rPr>
            </w:pPr>
            <w:r w:rsidRPr="00701EA8">
              <w:rPr>
                <w:rFonts w:ascii="Calibri" w:eastAsia="Times New Roman" w:hAnsi="Calibri" w:cs="Times New Roman"/>
                <w:color w:val="FFFFFF"/>
                <w:szCs w:val="21"/>
                <w:lang w:eastAsia="cs-CZ"/>
              </w:rPr>
              <w:t>ZP MV ČR</w:t>
            </w:r>
          </w:p>
        </w:tc>
        <w:tc>
          <w:tcPr>
            <w:tcW w:w="1149" w:type="dxa"/>
            <w:shd w:val="clear" w:color="auto" w:fill="6691C6"/>
            <w:vAlign w:val="center"/>
          </w:tcPr>
          <w:p w:rsidR="00B456F9" w:rsidRPr="00701EA8" w:rsidRDefault="00B456F9" w:rsidP="004D6049">
            <w:pPr>
              <w:spacing w:after="0" w:line="240" w:lineRule="auto"/>
              <w:jc w:val="center"/>
              <w:rPr>
                <w:rFonts w:ascii="Calibri" w:eastAsia="Times New Roman" w:hAnsi="Calibri" w:cs="Times New Roman"/>
                <w:color w:val="FFFFFF"/>
                <w:szCs w:val="21"/>
                <w:lang w:eastAsia="cs-CZ"/>
              </w:rPr>
            </w:pPr>
            <w:r w:rsidRPr="00701EA8">
              <w:rPr>
                <w:rFonts w:ascii="Calibri" w:eastAsia="Times New Roman" w:hAnsi="Calibri" w:cs="Times New Roman"/>
                <w:color w:val="FFFFFF"/>
                <w:szCs w:val="21"/>
                <w:lang w:eastAsia="cs-CZ"/>
              </w:rPr>
              <w:t>RBP</w:t>
            </w:r>
          </w:p>
        </w:tc>
      </w:tr>
      <w:tr w:rsidR="00C9583F" w:rsidRPr="00C9583F" w:rsidTr="005D233A">
        <w:trPr>
          <w:trHeight w:hRule="exact" w:val="510"/>
          <w:jc w:val="center"/>
        </w:trPr>
        <w:tc>
          <w:tcPr>
            <w:tcW w:w="1596" w:type="dxa"/>
            <w:shd w:val="clear" w:color="auto" w:fill="auto"/>
            <w:vAlign w:val="bottom"/>
            <w:hideMark/>
          </w:tcPr>
          <w:p w:rsidR="00C9583F" w:rsidRPr="00701EA8" w:rsidRDefault="00C9583F" w:rsidP="00C9583F">
            <w:pPr>
              <w:spacing w:after="0" w:line="240" w:lineRule="auto"/>
              <w:rPr>
                <w:rFonts w:eastAsia="Times New Roman" w:cs="Arial"/>
                <w:b/>
                <w:bCs/>
                <w:color w:val="000000"/>
                <w:szCs w:val="21"/>
                <w:lang w:eastAsia="cs-CZ"/>
              </w:rPr>
            </w:pPr>
            <w:r w:rsidRPr="00701EA8">
              <w:rPr>
                <w:rFonts w:eastAsia="Times New Roman" w:cs="Arial"/>
                <w:b/>
                <w:bCs/>
                <w:color w:val="000000"/>
                <w:szCs w:val="21"/>
                <w:lang w:eastAsia="cs-CZ"/>
              </w:rPr>
              <w:t>Náklady na ambulantní péči</w:t>
            </w:r>
          </w:p>
        </w:tc>
        <w:tc>
          <w:tcPr>
            <w:tcW w:w="1149" w:type="dxa"/>
            <w:shd w:val="clear" w:color="auto" w:fill="DBE5F1" w:themeFill="accent1" w:themeFillTint="33"/>
            <w:vAlign w:val="center"/>
          </w:tcPr>
          <w:p w:rsidR="00C9583F" w:rsidRPr="00701EA8" w:rsidRDefault="00C9583F" w:rsidP="00C9583F">
            <w:pPr>
              <w:spacing w:after="0" w:line="240" w:lineRule="auto"/>
              <w:jc w:val="right"/>
              <w:rPr>
                <w:rFonts w:ascii="Calibri" w:hAnsi="Calibri" w:cs="Calibri"/>
                <w:szCs w:val="21"/>
              </w:rPr>
            </w:pPr>
            <w:r w:rsidRPr="00701EA8">
              <w:rPr>
                <w:rFonts w:ascii="Calibri" w:hAnsi="Calibri" w:cs="Calibri"/>
                <w:szCs w:val="21"/>
              </w:rPr>
              <w:t>8 798</w:t>
            </w:r>
          </w:p>
        </w:tc>
        <w:tc>
          <w:tcPr>
            <w:tcW w:w="1149" w:type="dxa"/>
            <w:shd w:val="clear" w:color="auto" w:fill="auto"/>
            <w:vAlign w:val="center"/>
          </w:tcPr>
          <w:p w:rsidR="00C9583F" w:rsidRPr="00701EA8" w:rsidRDefault="00C9583F" w:rsidP="00C9583F">
            <w:pPr>
              <w:spacing w:after="0" w:line="240" w:lineRule="auto"/>
              <w:jc w:val="right"/>
              <w:rPr>
                <w:rFonts w:ascii="Calibri" w:hAnsi="Calibri" w:cs="Calibri"/>
                <w:szCs w:val="21"/>
              </w:rPr>
            </w:pPr>
            <w:r w:rsidRPr="00701EA8">
              <w:rPr>
                <w:rFonts w:ascii="Calibri" w:hAnsi="Calibri" w:cs="Calibri"/>
                <w:szCs w:val="21"/>
              </w:rPr>
              <w:t>8 290</w:t>
            </w:r>
          </w:p>
        </w:tc>
        <w:tc>
          <w:tcPr>
            <w:tcW w:w="1149" w:type="dxa"/>
            <w:shd w:val="clear" w:color="auto" w:fill="DBE5F1" w:themeFill="accent1" w:themeFillTint="33"/>
            <w:vAlign w:val="center"/>
          </w:tcPr>
          <w:p w:rsidR="00C9583F" w:rsidRPr="00701EA8" w:rsidRDefault="00C9583F" w:rsidP="00C9583F">
            <w:pPr>
              <w:spacing w:after="0" w:line="240" w:lineRule="auto"/>
              <w:jc w:val="right"/>
              <w:rPr>
                <w:rFonts w:ascii="Calibri" w:hAnsi="Calibri" w:cs="Calibri"/>
                <w:szCs w:val="21"/>
              </w:rPr>
            </w:pPr>
            <w:r w:rsidRPr="00701EA8">
              <w:rPr>
                <w:rFonts w:ascii="Calibri" w:hAnsi="Calibri" w:cs="Calibri"/>
                <w:szCs w:val="21"/>
              </w:rPr>
              <w:t>9 295</w:t>
            </w:r>
          </w:p>
        </w:tc>
        <w:tc>
          <w:tcPr>
            <w:tcW w:w="1149" w:type="dxa"/>
            <w:shd w:val="clear" w:color="auto" w:fill="auto"/>
            <w:vAlign w:val="center"/>
          </w:tcPr>
          <w:p w:rsidR="00C9583F" w:rsidRPr="00701EA8" w:rsidRDefault="00C9583F" w:rsidP="00C9583F">
            <w:pPr>
              <w:spacing w:after="0" w:line="240" w:lineRule="auto"/>
              <w:jc w:val="right"/>
              <w:rPr>
                <w:rFonts w:ascii="Calibri" w:hAnsi="Calibri" w:cs="Calibri"/>
                <w:szCs w:val="21"/>
              </w:rPr>
            </w:pPr>
            <w:r w:rsidRPr="00701EA8">
              <w:rPr>
                <w:rFonts w:ascii="Calibri" w:hAnsi="Calibri" w:cs="Calibri"/>
                <w:szCs w:val="21"/>
              </w:rPr>
              <w:t>8 955</w:t>
            </w:r>
          </w:p>
        </w:tc>
        <w:tc>
          <w:tcPr>
            <w:tcW w:w="1149" w:type="dxa"/>
            <w:shd w:val="clear" w:color="auto" w:fill="DBE5F1" w:themeFill="accent1" w:themeFillTint="33"/>
            <w:vAlign w:val="center"/>
          </w:tcPr>
          <w:p w:rsidR="00C9583F" w:rsidRPr="00701EA8" w:rsidRDefault="00C9583F" w:rsidP="00C9583F">
            <w:pPr>
              <w:spacing w:after="0" w:line="240" w:lineRule="auto"/>
              <w:jc w:val="right"/>
              <w:rPr>
                <w:rFonts w:ascii="Calibri" w:hAnsi="Calibri" w:cs="Calibri"/>
                <w:szCs w:val="21"/>
              </w:rPr>
            </w:pPr>
            <w:r w:rsidRPr="00701EA8">
              <w:rPr>
                <w:rFonts w:ascii="Calibri" w:hAnsi="Calibri" w:cs="Calibri"/>
                <w:szCs w:val="21"/>
              </w:rPr>
              <w:t>7 716</w:t>
            </w:r>
          </w:p>
        </w:tc>
        <w:tc>
          <w:tcPr>
            <w:tcW w:w="1149" w:type="dxa"/>
            <w:shd w:val="clear" w:color="auto" w:fill="auto"/>
            <w:vAlign w:val="center"/>
          </w:tcPr>
          <w:p w:rsidR="00C9583F" w:rsidRPr="00701EA8" w:rsidRDefault="00C9583F" w:rsidP="00C9583F">
            <w:pPr>
              <w:spacing w:after="0" w:line="240" w:lineRule="auto"/>
              <w:jc w:val="right"/>
              <w:rPr>
                <w:rFonts w:ascii="Calibri" w:hAnsi="Calibri" w:cs="Calibri"/>
                <w:szCs w:val="21"/>
              </w:rPr>
            </w:pPr>
            <w:r w:rsidRPr="00701EA8">
              <w:rPr>
                <w:rFonts w:ascii="Calibri" w:hAnsi="Calibri" w:cs="Calibri"/>
                <w:szCs w:val="21"/>
              </w:rPr>
              <w:t>8 853</w:t>
            </w:r>
          </w:p>
        </w:tc>
        <w:tc>
          <w:tcPr>
            <w:tcW w:w="1149" w:type="dxa"/>
            <w:shd w:val="clear" w:color="auto" w:fill="DBE5F1" w:themeFill="accent1" w:themeFillTint="33"/>
            <w:vAlign w:val="center"/>
          </w:tcPr>
          <w:p w:rsidR="00C9583F" w:rsidRPr="00701EA8" w:rsidRDefault="00C9583F" w:rsidP="00C9583F">
            <w:pPr>
              <w:spacing w:after="0" w:line="240" w:lineRule="auto"/>
              <w:jc w:val="right"/>
              <w:rPr>
                <w:rFonts w:ascii="Calibri" w:hAnsi="Calibri" w:cs="Calibri"/>
                <w:color w:val="000000"/>
                <w:szCs w:val="21"/>
              </w:rPr>
            </w:pPr>
            <w:r w:rsidRPr="00701EA8">
              <w:rPr>
                <w:rFonts w:ascii="Calibri" w:hAnsi="Calibri" w:cs="Calibri"/>
                <w:color w:val="000000"/>
                <w:szCs w:val="21"/>
              </w:rPr>
              <w:t>9 402</w:t>
            </w:r>
          </w:p>
        </w:tc>
      </w:tr>
      <w:tr w:rsidR="00C9583F" w:rsidRPr="00C9583F" w:rsidTr="005D233A">
        <w:trPr>
          <w:trHeight w:hRule="exact" w:val="510"/>
          <w:jc w:val="center"/>
        </w:trPr>
        <w:tc>
          <w:tcPr>
            <w:tcW w:w="1596" w:type="dxa"/>
            <w:shd w:val="clear" w:color="auto" w:fill="EEF3F8"/>
            <w:vAlign w:val="bottom"/>
            <w:hideMark/>
          </w:tcPr>
          <w:p w:rsidR="00C9583F" w:rsidRPr="00701EA8" w:rsidRDefault="00C9583F" w:rsidP="00C9583F">
            <w:pPr>
              <w:spacing w:after="0" w:line="240" w:lineRule="auto"/>
              <w:rPr>
                <w:rFonts w:eastAsia="Times New Roman" w:cs="Arial"/>
                <w:b/>
                <w:bCs/>
                <w:color w:val="000000"/>
                <w:szCs w:val="21"/>
                <w:lang w:eastAsia="cs-CZ"/>
              </w:rPr>
            </w:pPr>
            <w:r w:rsidRPr="00701EA8">
              <w:rPr>
                <w:rFonts w:eastAsia="Times New Roman" w:cs="Arial"/>
                <w:b/>
                <w:bCs/>
                <w:color w:val="000000"/>
                <w:szCs w:val="21"/>
                <w:lang w:eastAsia="cs-CZ"/>
              </w:rPr>
              <w:t>Náklady na lůžkovou péči</w:t>
            </w:r>
          </w:p>
        </w:tc>
        <w:tc>
          <w:tcPr>
            <w:tcW w:w="1149" w:type="dxa"/>
            <w:shd w:val="clear" w:color="auto" w:fill="EEF3F8"/>
            <w:noWrap/>
            <w:vAlign w:val="center"/>
          </w:tcPr>
          <w:p w:rsidR="00C9583F" w:rsidRPr="00701EA8" w:rsidRDefault="00C9583F" w:rsidP="00C9583F">
            <w:pPr>
              <w:spacing w:after="0" w:line="240" w:lineRule="auto"/>
              <w:jc w:val="right"/>
              <w:rPr>
                <w:rFonts w:ascii="Calibri" w:hAnsi="Calibri" w:cs="Calibri"/>
                <w:szCs w:val="21"/>
              </w:rPr>
            </w:pPr>
            <w:r w:rsidRPr="00701EA8">
              <w:rPr>
                <w:rFonts w:ascii="Calibri" w:hAnsi="Calibri" w:cs="Calibri"/>
                <w:szCs w:val="21"/>
              </w:rPr>
              <w:t>20 647</w:t>
            </w:r>
          </w:p>
        </w:tc>
        <w:tc>
          <w:tcPr>
            <w:tcW w:w="1149" w:type="dxa"/>
            <w:shd w:val="clear" w:color="auto" w:fill="EEF3F8"/>
            <w:noWrap/>
            <w:vAlign w:val="center"/>
          </w:tcPr>
          <w:p w:rsidR="00C9583F" w:rsidRPr="00701EA8" w:rsidRDefault="00C9583F" w:rsidP="00C9583F">
            <w:pPr>
              <w:spacing w:after="0" w:line="240" w:lineRule="auto"/>
              <w:jc w:val="right"/>
              <w:rPr>
                <w:rFonts w:ascii="Calibri" w:hAnsi="Calibri" w:cs="Calibri"/>
                <w:szCs w:val="21"/>
              </w:rPr>
            </w:pPr>
            <w:r w:rsidRPr="00701EA8">
              <w:rPr>
                <w:rFonts w:ascii="Calibri" w:hAnsi="Calibri" w:cs="Calibri"/>
                <w:szCs w:val="21"/>
              </w:rPr>
              <w:t>17 452</w:t>
            </w:r>
          </w:p>
        </w:tc>
        <w:tc>
          <w:tcPr>
            <w:tcW w:w="1149" w:type="dxa"/>
            <w:shd w:val="clear" w:color="auto" w:fill="EEF3F8"/>
            <w:noWrap/>
            <w:vAlign w:val="center"/>
          </w:tcPr>
          <w:p w:rsidR="00C9583F" w:rsidRPr="00701EA8" w:rsidRDefault="00C9583F" w:rsidP="00C9583F">
            <w:pPr>
              <w:spacing w:after="0" w:line="240" w:lineRule="auto"/>
              <w:jc w:val="right"/>
              <w:rPr>
                <w:rFonts w:ascii="Calibri" w:hAnsi="Calibri" w:cs="Calibri"/>
                <w:szCs w:val="21"/>
              </w:rPr>
            </w:pPr>
            <w:r w:rsidRPr="00701EA8">
              <w:rPr>
                <w:rFonts w:ascii="Calibri" w:hAnsi="Calibri" w:cs="Calibri"/>
                <w:szCs w:val="21"/>
              </w:rPr>
              <w:t>15 103</w:t>
            </w:r>
          </w:p>
        </w:tc>
        <w:tc>
          <w:tcPr>
            <w:tcW w:w="1149" w:type="dxa"/>
            <w:shd w:val="clear" w:color="auto" w:fill="EEF3F8"/>
            <w:noWrap/>
            <w:vAlign w:val="center"/>
          </w:tcPr>
          <w:p w:rsidR="00C9583F" w:rsidRPr="00701EA8" w:rsidRDefault="00C9583F" w:rsidP="00C9583F">
            <w:pPr>
              <w:spacing w:after="0" w:line="240" w:lineRule="auto"/>
              <w:jc w:val="right"/>
              <w:rPr>
                <w:rFonts w:ascii="Calibri" w:hAnsi="Calibri" w:cs="Calibri"/>
                <w:szCs w:val="21"/>
              </w:rPr>
            </w:pPr>
            <w:r w:rsidRPr="00701EA8">
              <w:rPr>
                <w:rFonts w:ascii="Calibri" w:hAnsi="Calibri" w:cs="Calibri"/>
                <w:szCs w:val="21"/>
              </w:rPr>
              <w:t>15 412</w:t>
            </w:r>
          </w:p>
        </w:tc>
        <w:tc>
          <w:tcPr>
            <w:tcW w:w="1149" w:type="dxa"/>
            <w:shd w:val="clear" w:color="auto" w:fill="EEF3F8"/>
            <w:noWrap/>
            <w:vAlign w:val="center"/>
          </w:tcPr>
          <w:p w:rsidR="00C9583F" w:rsidRPr="00701EA8" w:rsidRDefault="00C9583F" w:rsidP="00C9583F">
            <w:pPr>
              <w:spacing w:after="0" w:line="240" w:lineRule="auto"/>
              <w:jc w:val="right"/>
              <w:rPr>
                <w:rFonts w:ascii="Calibri" w:hAnsi="Calibri" w:cs="Calibri"/>
                <w:szCs w:val="21"/>
              </w:rPr>
            </w:pPr>
            <w:r w:rsidRPr="00701EA8">
              <w:rPr>
                <w:rFonts w:ascii="Calibri" w:hAnsi="Calibri" w:cs="Calibri"/>
                <w:szCs w:val="21"/>
              </w:rPr>
              <w:t>19 042</w:t>
            </w:r>
          </w:p>
        </w:tc>
        <w:tc>
          <w:tcPr>
            <w:tcW w:w="1149" w:type="dxa"/>
            <w:shd w:val="clear" w:color="auto" w:fill="EEF3F8"/>
            <w:noWrap/>
            <w:vAlign w:val="center"/>
          </w:tcPr>
          <w:p w:rsidR="00C9583F" w:rsidRPr="00701EA8" w:rsidRDefault="00C9583F" w:rsidP="00C9583F">
            <w:pPr>
              <w:spacing w:after="0" w:line="240" w:lineRule="auto"/>
              <w:jc w:val="right"/>
              <w:rPr>
                <w:rFonts w:ascii="Calibri" w:hAnsi="Calibri" w:cs="Calibri"/>
                <w:szCs w:val="21"/>
              </w:rPr>
            </w:pPr>
            <w:r w:rsidRPr="00701EA8">
              <w:rPr>
                <w:rFonts w:ascii="Calibri" w:hAnsi="Calibri" w:cs="Calibri"/>
                <w:szCs w:val="21"/>
              </w:rPr>
              <w:t>16 707</w:t>
            </w:r>
          </w:p>
        </w:tc>
        <w:tc>
          <w:tcPr>
            <w:tcW w:w="1149" w:type="dxa"/>
            <w:shd w:val="clear" w:color="auto" w:fill="EEF3F8"/>
            <w:vAlign w:val="center"/>
          </w:tcPr>
          <w:p w:rsidR="00C9583F" w:rsidRPr="00701EA8" w:rsidRDefault="00C9583F" w:rsidP="00C9583F">
            <w:pPr>
              <w:spacing w:after="0" w:line="240" w:lineRule="auto"/>
              <w:jc w:val="right"/>
              <w:rPr>
                <w:rFonts w:ascii="Calibri" w:hAnsi="Calibri" w:cs="Calibri"/>
                <w:color w:val="000000"/>
                <w:szCs w:val="21"/>
              </w:rPr>
            </w:pPr>
            <w:r w:rsidRPr="00701EA8">
              <w:rPr>
                <w:rFonts w:ascii="Calibri" w:hAnsi="Calibri" w:cs="Calibri"/>
                <w:color w:val="000000"/>
                <w:szCs w:val="21"/>
              </w:rPr>
              <w:t>15 287</w:t>
            </w:r>
          </w:p>
        </w:tc>
      </w:tr>
      <w:tr w:rsidR="00C9583F" w:rsidRPr="00C9583F" w:rsidTr="005D233A">
        <w:trPr>
          <w:trHeight w:hRule="exact" w:val="284"/>
          <w:jc w:val="center"/>
        </w:trPr>
        <w:tc>
          <w:tcPr>
            <w:tcW w:w="1596" w:type="dxa"/>
            <w:shd w:val="clear" w:color="auto" w:fill="auto"/>
            <w:vAlign w:val="bottom"/>
            <w:hideMark/>
          </w:tcPr>
          <w:p w:rsidR="00C9583F" w:rsidRPr="00701EA8" w:rsidRDefault="00C9583F" w:rsidP="00C9583F">
            <w:pPr>
              <w:spacing w:after="0" w:line="240" w:lineRule="auto"/>
              <w:rPr>
                <w:rFonts w:eastAsia="Times New Roman" w:cs="Arial"/>
                <w:b/>
                <w:bCs/>
                <w:color w:val="000000"/>
                <w:szCs w:val="21"/>
                <w:lang w:eastAsia="cs-CZ"/>
              </w:rPr>
            </w:pPr>
            <w:r w:rsidRPr="00701EA8">
              <w:rPr>
                <w:rFonts w:eastAsia="Times New Roman" w:cs="Arial"/>
                <w:b/>
                <w:bCs/>
                <w:color w:val="000000"/>
                <w:szCs w:val="21"/>
                <w:lang w:eastAsia="cs-CZ"/>
              </w:rPr>
              <w:t>Ostatní náklady</w:t>
            </w:r>
          </w:p>
        </w:tc>
        <w:tc>
          <w:tcPr>
            <w:tcW w:w="1149" w:type="dxa"/>
            <w:shd w:val="clear" w:color="auto" w:fill="DBE5F1" w:themeFill="accent1" w:themeFillTint="33"/>
            <w:vAlign w:val="center"/>
          </w:tcPr>
          <w:p w:rsidR="00C9583F" w:rsidRPr="00701EA8" w:rsidRDefault="00C9583F" w:rsidP="00C9583F">
            <w:pPr>
              <w:spacing w:after="0" w:line="240" w:lineRule="auto"/>
              <w:jc w:val="right"/>
              <w:rPr>
                <w:rFonts w:ascii="Calibri" w:hAnsi="Calibri" w:cs="Calibri"/>
                <w:szCs w:val="21"/>
              </w:rPr>
            </w:pPr>
            <w:r w:rsidRPr="00701EA8">
              <w:rPr>
                <w:rFonts w:ascii="Calibri" w:hAnsi="Calibri" w:cs="Calibri"/>
                <w:szCs w:val="21"/>
              </w:rPr>
              <w:t>6 315</w:t>
            </w:r>
          </w:p>
        </w:tc>
        <w:tc>
          <w:tcPr>
            <w:tcW w:w="1149" w:type="dxa"/>
            <w:shd w:val="clear" w:color="auto" w:fill="auto"/>
            <w:vAlign w:val="center"/>
          </w:tcPr>
          <w:p w:rsidR="00C9583F" w:rsidRPr="00701EA8" w:rsidRDefault="00C9583F" w:rsidP="00C9583F">
            <w:pPr>
              <w:spacing w:after="0" w:line="240" w:lineRule="auto"/>
              <w:jc w:val="right"/>
              <w:rPr>
                <w:rFonts w:ascii="Calibri" w:hAnsi="Calibri" w:cs="Calibri"/>
                <w:szCs w:val="21"/>
              </w:rPr>
            </w:pPr>
            <w:r w:rsidRPr="00701EA8">
              <w:rPr>
                <w:rFonts w:ascii="Calibri" w:hAnsi="Calibri" w:cs="Calibri"/>
                <w:szCs w:val="21"/>
              </w:rPr>
              <w:t>5 270</w:t>
            </w:r>
          </w:p>
        </w:tc>
        <w:tc>
          <w:tcPr>
            <w:tcW w:w="1149" w:type="dxa"/>
            <w:shd w:val="clear" w:color="auto" w:fill="DBE5F1" w:themeFill="accent1" w:themeFillTint="33"/>
            <w:vAlign w:val="center"/>
          </w:tcPr>
          <w:p w:rsidR="00C9583F" w:rsidRPr="00701EA8" w:rsidRDefault="00C9583F" w:rsidP="00C9583F">
            <w:pPr>
              <w:spacing w:after="0" w:line="240" w:lineRule="auto"/>
              <w:jc w:val="right"/>
              <w:rPr>
                <w:rFonts w:ascii="Calibri" w:hAnsi="Calibri" w:cs="Calibri"/>
                <w:szCs w:val="21"/>
              </w:rPr>
            </w:pPr>
            <w:r w:rsidRPr="00701EA8">
              <w:rPr>
                <w:rFonts w:ascii="Calibri" w:hAnsi="Calibri" w:cs="Calibri"/>
                <w:szCs w:val="21"/>
              </w:rPr>
              <w:t>4 944</w:t>
            </w:r>
          </w:p>
        </w:tc>
        <w:tc>
          <w:tcPr>
            <w:tcW w:w="1149" w:type="dxa"/>
            <w:shd w:val="clear" w:color="auto" w:fill="auto"/>
            <w:vAlign w:val="center"/>
          </w:tcPr>
          <w:p w:rsidR="00C9583F" w:rsidRPr="00701EA8" w:rsidRDefault="00C9583F" w:rsidP="00C9583F">
            <w:pPr>
              <w:spacing w:after="0" w:line="240" w:lineRule="auto"/>
              <w:jc w:val="right"/>
              <w:rPr>
                <w:rFonts w:ascii="Calibri" w:hAnsi="Calibri" w:cs="Calibri"/>
                <w:szCs w:val="21"/>
              </w:rPr>
            </w:pPr>
            <w:r w:rsidRPr="00701EA8">
              <w:rPr>
                <w:rFonts w:ascii="Calibri" w:hAnsi="Calibri" w:cs="Calibri"/>
                <w:szCs w:val="21"/>
              </w:rPr>
              <w:t>4 924</w:t>
            </w:r>
          </w:p>
        </w:tc>
        <w:tc>
          <w:tcPr>
            <w:tcW w:w="1149" w:type="dxa"/>
            <w:shd w:val="clear" w:color="auto" w:fill="DBE5F1" w:themeFill="accent1" w:themeFillTint="33"/>
            <w:vAlign w:val="center"/>
          </w:tcPr>
          <w:p w:rsidR="00C9583F" w:rsidRPr="00701EA8" w:rsidRDefault="00C9583F" w:rsidP="00C9583F">
            <w:pPr>
              <w:spacing w:after="0" w:line="240" w:lineRule="auto"/>
              <w:jc w:val="right"/>
              <w:rPr>
                <w:rFonts w:ascii="Calibri" w:hAnsi="Calibri" w:cs="Calibri"/>
                <w:szCs w:val="21"/>
              </w:rPr>
            </w:pPr>
            <w:r w:rsidRPr="00701EA8">
              <w:rPr>
                <w:rFonts w:ascii="Calibri" w:hAnsi="Calibri" w:cs="Calibri"/>
                <w:szCs w:val="21"/>
              </w:rPr>
              <w:t>5 581</w:t>
            </w:r>
          </w:p>
        </w:tc>
        <w:tc>
          <w:tcPr>
            <w:tcW w:w="1149" w:type="dxa"/>
            <w:shd w:val="clear" w:color="auto" w:fill="auto"/>
            <w:vAlign w:val="center"/>
          </w:tcPr>
          <w:p w:rsidR="00C9583F" w:rsidRPr="00701EA8" w:rsidRDefault="00C9583F" w:rsidP="00C9583F">
            <w:pPr>
              <w:spacing w:after="0" w:line="240" w:lineRule="auto"/>
              <w:jc w:val="right"/>
              <w:rPr>
                <w:rFonts w:ascii="Calibri" w:hAnsi="Calibri" w:cs="Calibri"/>
                <w:szCs w:val="21"/>
              </w:rPr>
            </w:pPr>
            <w:r w:rsidRPr="00701EA8">
              <w:rPr>
                <w:rFonts w:ascii="Calibri" w:hAnsi="Calibri" w:cs="Calibri"/>
                <w:szCs w:val="21"/>
              </w:rPr>
              <w:t>5 606</w:t>
            </w:r>
          </w:p>
        </w:tc>
        <w:tc>
          <w:tcPr>
            <w:tcW w:w="1149" w:type="dxa"/>
            <w:shd w:val="clear" w:color="auto" w:fill="DBE5F1" w:themeFill="accent1" w:themeFillTint="33"/>
            <w:vAlign w:val="center"/>
          </w:tcPr>
          <w:p w:rsidR="00C9583F" w:rsidRPr="00701EA8" w:rsidRDefault="00C9583F" w:rsidP="00C9583F">
            <w:pPr>
              <w:spacing w:after="0" w:line="240" w:lineRule="auto"/>
              <w:jc w:val="right"/>
              <w:rPr>
                <w:rFonts w:ascii="Calibri" w:hAnsi="Calibri" w:cs="Calibri"/>
                <w:color w:val="000000"/>
                <w:szCs w:val="21"/>
              </w:rPr>
            </w:pPr>
            <w:r w:rsidRPr="00701EA8">
              <w:rPr>
                <w:rFonts w:ascii="Calibri" w:hAnsi="Calibri" w:cs="Calibri"/>
                <w:color w:val="000000"/>
                <w:szCs w:val="21"/>
              </w:rPr>
              <w:t>5 001</w:t>
            </w:r>
          </w:p>
        </w:tc>
      </w:tr>
      <w:tr w:rsidR="00C9583F" w:rsidRPr="00C954C6" w:rsidTr="005D233A">
        <w:trPr>
          <w:trHeight w:hRule="exact" w:val="284"/>
          <w:jc w:val="center"/>
        </w:trPr>
        <w:tc>
          <w:tcPr>
            <w:tcW w:w="1596" w:type="dxa"/>
            <w:shd w:val="clear" w:color="auto" w:fill="EEF3F8"/>
            <w:vAlign w:val="bottom"/>
            <w:hideMark/>
          </w:tcPr>
          <w:p w:rsidR="00C9583F" w:rsidRPr="00701EA8" w:rsidRDefault="00C9583F" w:rsidP="00C9583F">
            <w:pPr>
              <w:spacing w:after="0" w:line="240" w:lineRule="auto"/>
              <w:rPr>
                <w:rFonts w:eastAsia="Times New Roman" w:cs="Arial"/>
                <w:b/>
                <w:bCs/>
                <w:color w:val="000000"/>
                <w:szCs w:val="21"/>
                <w:lang w:eastAsia="cs-CZ"/>
              </w:rPr>
            </w:pPr>
            <w:r w:rsidRPr="00701EA8">
              <w:rPr>
                <w:rFonts w:eastAsia="Times New Roman" w:cs="Arial"/>
                <w:b/>
                <w:bCs/>
                <w:color w:val="000000"/>
                <w:szCs w:val="21"/>
                <w:lang w:eastAsia="cs-CZ"/>
              </w:rPr>
              <w:t>Celkové náklady</w:t>
            </w:r>
          </w:p>
        </w:tc>
        <w:tc>
          <w:tcPr>
            <w:tcW w:w="1149" w:type="dxa"/>
            <w:shd w:val="clear" w:color="auto" w:fill="EEF3F8"/>
            <w:vAlign w:val="center"/>
          </w:tcPr>
          <w:p w:rsidR="00C9583F" w:rsidRPr="00701EA8" w:rsidRDefault="00C9583F" w:rsidP="00C9583F">
            <w:pPr>
              <w:spacing w:after="0" w:line="240" w:lineRule="auto"/>
              <w:jc w:val="right"/>
              <w:rPr>
                <w:rFonts w:ascii="Calibri" w:hAnsi="Calibri" w:cs="Calibri"/>
                <w:b/>
                <w:bCs/>
                <w:color w:val="000000"/>
                <w:szCs w:val="21"/>
              </w:rPr>
            </w:pPr>
            <w:r w:rsidRPr="00701EA8">
              <w:rPr>
                <w:rFonts w:ascii="Calibri" w:hAnsi="Calibri" w:cs="Calibri"/>
                <w:b/>
                <w:bCs/>
                <w:color w:val="000000"/>
                <w:szCs w:val="21"/>
              </w:rPr>
              <w:t>35 760</w:t>
            </w:r>
          </w:p>
        </w:tc>
        <w:tc>
          <w:tcPr>
            <w:tcW w:w="1149" w:type="dxa"/>
            <w:shd w:val="clear" w:color="auto" w:fill="EEF3F8"/>
            <w:vAlign w:val="center"/>
          </w:tcPr>
          <w:p w:rsidR="00C9583F" w:rsidRPr="00701EA8" w:rsidRDefault="00C9583F" w:rsidP="00C9583F">
            <w:pPr>
              <w:spacing w:after="0" w:line="240" w:lineRule="auto"/>
              <w:jc w:val="right"/>
              <w:rPr>
                <w:rFonts w:ascii="Calibri" w:hAnsi="Calibri" w:cs="Calibri"/>
                <w:b/>
                <w:bCs/>
                <w:color w:val="000000"/>
                <w:szCs w:val="21"/>
              </w:rPr>
            </w:pPr>
            <w:r w:rsidRPr="00701EA8">
              <w:rPr>
                <w:rFonts w:ascii="Calibri" w:hAnsi="Calibri" w:cs="Calibri"/>
                <w:b/>
                <w:bCs/>
                <w:color w:val="000000"/>
                <w:szCs w:val="21"/>
              </w:rPr>
              <w:t>31 012</w:t>
            </w:r>
          </w:p>
        </w:tc>
        <w:tc>
          <w:tcPr>
            <w:tcW w:w="1149" w:type="dxa"/>
            <w:shd w:val="clear" w:color="auto" w:fill="EEF3F8"/>
            <w:vAlign w:val="center"/>
          </w:tcPr>
          <w:p w:rsidR="00C9583F" w:rsidRPr="00701EA8" w:rsidRDefault="00C9583F" w:rsidP="00C9583F">
            <w:pPr>
              <w:spacing w:after="0" w:line="240" w:lineRule="auto"/>
              <w:jc w:val="right"/>
              <w:rPr>
                <w:rFonts w:ascii="Calibri" w:hAnsi="Calibri" w:cs="Calibri"/>
                <w:b/>
                <w:bCs/>
                <w:color w:val="000000"/>
                <w:szCs w:val="21"/>
              </w:rPr>
            </w:pPr>
            <w:r w:rsidRPr="00701EA8">
              <w:rPr>
                <w:rFonts w:ascii="Calibri" w:hAnsi="Calibri" w:cs="Calibri"/>
                <w:b/>
                <w:bCs/>
                <w:color w:val="000000"/>
                <w:szCs w:val="21"/>
              </w:rPr>
              <w:t>29 342</w:t>
            </w:r>
          </w:p>
        </w:tc>
        <w:tc>
          <w:tcPr>
            <w:tcW w:w="1149" w:type="dxa"/>
            <w:shd w:val="clear" w:color="auto" w:fill="EEF3F8"/>
            <w:vAlign w:val="center"/>
          </w:tcPr>
          <w:p w:rsidR="00C9583F" w:rsidRPr="00701EA8" w:rsidRDefault="00C9583F" w:rsidP="00C9583F">
            <w:pPr>
              <w:spacing w:after="0" w:line="240" w:lineRule="auto"/>
              <w:jc w:val="right"/>
              <w:rPr>
                <w:rFonts w:ascii="Calibri" w:hAnsi="Calibri" w:cs="Calibri"/>
                <w:b/>
                <w:bCs/>
                <w:color w:val="000000"/>
                <w:szCs w:val="21"/>
              </w:rPr>
            </w:pPr>
            <w:r w:rsidRPr="00701EA8">
              <w:rPr>
                <w:rFonts w:ascii="Calibri" w:hAnsi="Calibri" w:cs="Calibri"/>
                <w:b/>
                <w:bCs/>
                <w:color w:val="000000"/>
                <w:szCs w:val="21"/>
              </w:rPr>
              <w:t>29 291</w:t>
            </w:r>
          </w:p>
        </w:tc>
        <w:tc>
          <w:tcPr>
            <w:tcW w:w="1149" w:type="dxa"/>
            <w:shd w:val="clear" w:color="auto" w:fill="EEF3F8"/>
            <w:vAlign w:val="center"/>
          </w:tcPr>
          <w:p w:rsidR="00C9583F" w:rsidRPr="00701EA8" w:rsidRDefault="00C9583F" w:rsidP="00C9583F">
            <w:pPr>
              <w:spacing w:after="0" w:line="240" w:lineRule="auto"/>
              <w:jc w:val="right"/>
              <w:rPr>
                <w:rFonts w:ascii="Calibri" w:hAnsi="Calibri" w:cs="Calibri"/>
                <w:b/>
                <w:bCs/>
                <w:color w:val="000000"/>
                <w:szCs w:val="21"/>
              </w:rPr>
            </w:pPr>
            <w:r w:rsidRPr="00701EA8">
              <w:rPr>
                <w:rFonts w:ascii="Calibri" w:hAnsi="Calibri" w:cs="Calibri"/>
                <w:b/>
                <w:bCs/>
                <w:color w:val="000000"/>
                <w:szCs w:val="21"/>
              </w:rPr>
              <w:t>32 339</w:t>
            </w:r>
          </w:p>
        </w:tc>
        <w:tc>
          <w:tcPr>
            <w:tcW w:w="1149" w:type="dxa"/>
            <w:shd w:val="clear" w:color="auto" w:fill="EEF3F8"/>
            <w:vAlign w:val="center"/>
          </w:tcPr>
          <w:p w:rsidR="00C9583F" w:rsidRPr="00701EA8" w:rsidRDefault="00C9583F" w:rsidP="00C9583F">
            <w:pPr>
              <w:spacing w:after="0" w:line="240" w:lineRule="auto"/>
              <w:jc w:val="right"/>
              <w:rPr>
                <w:rFonts w:ascii="Calibri" w:hAnsi="Calibri" w:cs="Calibri"/>
                <w:b/>
                <w:bCs/>
                <w:color w:val="000000"/>
                <w:szCs w:val="21"/>
              </w:rPr>
            </w:pPr>
            <w:r w:rsidRPr="00701EA8">
              <w:rPr>
                <w:rFonts w:ascii="Calibri" w:hAnsi="Calibri" w:cs="Calibri"/>
                <w:b/>
                <w:bCs/>
                <w:color w:val="000000"/>
                <w:szCs w:val="21"/>
              </w:rPr>
              <w:t>31 166</w:t>
            </w:r>
          </w:p>
        </w:tc>
        <w:tc>
          <w:tcPr>
            <w:tcW w:w="1149" w:type="dxa"/>
            <w:shd w:val="clear" w:color="auto" w:fill="EEF3F8"/>
            <w:vAlign w:val="center"/>
          </w:tcPr>
          <w:p w:rsidR="00C9583F" w:rsidRPr="00701EA8" w:rsidRDefault="00C9583F" w:rsidP="00C9583F">
            <w:pPr>
              <w:spacing w:after="0" w:line="240" w:lineRule="auto"/>
              <w:jc w:val="right"/>
              <w:rPr>
                <w:rFonts w:ascii="Calibri" w:hAnsi="Calibri" w:cs="Calibri"/>
                <w:b/>
                <w:bCs/>
                <w:color w:val="000000"/>
                <w:szCs w:val="21"/>
              </w:rPr>
            </w:pPr>
            <w:r w:rsidRPr="00701EA8">
              <w:rPr>
                <w:rFonts w:ascii="Calibri" w:hAnsi="Calibri" w:cs="Calibri"/>
                <w:b/>
                <w:bCs/>
                <w:color w:val="000000"/>
                <w:szCs w:val="21"/>
              </w:rPr>
              <w:t>29 690</w:t>
            </w:r>
          </w:p>
        </w:tc>
      </w:tr>
    </w:tbl>
    <w:p w:rsidR="00436F6E" w:rsidRPr="001B2DFE" w:rsidRDefault="00436F6E" w:rsidP="00AC25F3">
      <w:pPr>
        <w:pStyle w:val="Nadpis2"/>
      </w:pPr>
      <w:bookmarkStart w:id="67" w:name="_Toc63684683"/>
      <w:r w:rsidRPr="001B2DFE">
        <w:t>Náklady na léčení zahraničních pojištěnců</w:t>
      </w:r>
      <w:bookmarkEnd w:id="67"/>
    </w:p>
    <w:p w:rsidR="00B456F9" w:rsidRPr="001B2DFE" w:rsidRDefault="00B456F9" w:rsidP="00B456F9">
      <w:pPr>
        <w:spacing w:before="180" w:line="276" w:lineRule="auto"/>
        <w:jc w:val="both"/>
      </w:pPr>
      <w:r w:rsidRPr="001B2DFE">
        <w:rPr>
          <w:b/>
        </w:rPr>
        <w:t>Náklady na léčení zahraničních pojištěnců</w:t>
      </w:r>
      <w:r w:rsidRPr="001B2DFE">
        <w:t xml:space="preserve"> plánují ZP ve výši 1 </w:t>
      </w:r>
      <w:r w:rsidR="001B2DFE" w:rsidRPr="001B2DFE">
        <w:t>831</w:t>
      </w:r>
      <w:r w:rsidRPr="001B2DFE">
        <w:t>,</w:t>
      </w:r>
      <w:r w:rsidR="001B2DFE" w:rsidRPr="001B2DFE">
        <w:t>1</w:t>
      </w:r>
      <w:r w:rsidRPr="001B2DFE">
        <w:t> mil. Kč s meziročním nárůstem o </w:t>
      </w:r>
      <w:r w:rsidR="001B2DFE" w:rsidRPr="001B2DFE">
        <w:t>5,9</w:t>
      </w:r>
      <w:r w:rsidRPr="001B2DFE">
        <w:t> % a s průměrným nákladem na jednoho ošetřeného zahraničního pojištěnce ve výši </w:t>
      </w:r>
      <w:r w:rsidR="001B2DFE" w:rsidRPr="001B2DFE">
        <w:t>7</w:t>
      </w:r>
      <w:r w:rsidRPr="001B2DFE">
        <w:t> </w:t>
      </w:r>
      <w:r w:rsidR="001B2DFE" w:rsidRPr="001B2DFE">
        <w:t>221</w:t>
      </w:r>
      <w:r w:rsidRPr="001B2DFE">
        <w:t xml:space="preserve"> Kč. Jednotlivé ZP uhradí závazky za zahraniční pojištěnce z BÚ ZFZP a částky za poskytnutou zdravotní péči si nárokují prostřednictvím Kanceláře ZP (dříve CMÚ) u zahraničních zdravotních pojišťoven, které provedou příslušnou úhradu. Výše těchto úhrad jsou uvedeny v tabulkách č. 2 ZFZP jednotlivých ZP. </w:t>
      </w:r>
      <w:r w:rsidRPr="001B2DFE">
        <w:rPr>
          <w:rFonts w:eastAsia="Calibri"/>
        </w:rPr>
        <w:t>P</w:t>
      </w:r>
      <w:r w:rsidRPr="001B2DFE">
        <w:t>růměrné náklady na jednoho ošetřeného cizince zůstávají dlouhodobě na srovnatelné úrovni (</w:t>
      </w:r>
      <w:r w:rsidRPr="001B2DFE">
        <w:rPr>
          <w:i/>
        </w:rPr>
        <w:t xml:space="preserve">Tabulka č. </w:t>
      </w:r>
      <w:r w:rsidR="001B2DFE" w:rsidRPr="001B2DFE">
        <w:rPr>
          <w:i/>
        </w:rPr>
        <w:t>20</w:t>
      </w:r>
      <w:r w:rsidRPr="001B2DFE">
        <w:t xml:space="preserve">). </w:t>
      </w:r>
    </w:p>
    <w:p w:rsidR="00B456F9" w:rsidRPr="002A4078" w:rsidRDefault="00B456F9" w:rsidP="00B456F9">
      <w:pPr>
        <w:spacing w:before="180" w:line="276" w:lineRule="auto"/>
        <w:jc w:val="both"/>
      </w:pPr>
      <w:r w:rsidRPr="002A4078">
        <w:t>Celkové příjmy od zahraničních pojišťoven plánují ZP v roce 20</w:t>
      </w:r>
      <w:r w:rsidR="00D86279" w:rsidRPr="002A4078">
        <w:t>2</w:t>
      </w:r>
      <w:r w:rsidR="00863D19" w:rsidRPr="002A4078">
        <w:t>1</w:t>
      </w:r>
      <w:r w:rsidRPr="002A4078">
        <w:t xml:space="preserve"> ve výši 1 </w:t>
      </w:r>
      <w:r w:rsidR="00863D19" w:rsidRPr="002A4078">
        <w:t>532</w:t>
      </w:r>
      <w:r w:rsidRPr="002A4078">
        <w:t>,</w:t>
      </w:r>
      <w:r w:rsidR="00863D19" w:rsidRPr="002A4078">
        <w:t>3</w:t>
      </w:r>
      <w:r w:rsidRPr="002A4078">
        <w:t> mil. Kč, výdaje dosáhnou 1 </w:t>
      </w:r>
      <w:r w:rsidR="00CD4C4C" w:rsidRPr="002A4078">
        <w:t>7</w:t>
      </w:r>
      <w:r w:rsidR="002A4078" w:rsidRPr="002A4078">
        <w:t>72</w:t>
      </w:r>
      <w:r w:rsidRPr="002A4078">
        <w:t>,</w:t>
      </w:r>
      <w:r w:rsidR="002A4078" w:rsidRPr="002A4078">
        <w:t>3</w:t>
      </w:r>
      <w:r w:rsidRPr="002A4078">
        <w:t xml:space="preserve"> mil. Kč. Záporné saldo příjmů a výdajů se očekává −</w:t>
      </w:r>
      <w:r w:rsidR="00372248" w:rsidRPr="002A4078">
        <w:t>2</w:t>
      </w:r>
      <w:r w:rsidR="002A4078" w:rsidRPr="002A4078">
        <w:t>40</w:t>
      </w:r>
      <w:r w:rsidRPr="002A4078">
        <w:t xml:space="preserve"> mil. Kč. Časové převisy plánovaných</w:t>
      </w:r>
      <w:r w:rsidRPr="002A4078" w:rsidDel="008D3ED4">
        <w:t xml:space="preserve"> </w:t>
      </w:r>
      <w:r w:rsidRPr="002A4078">
        <w:t xml:space="preserve">výdajů za ošetření cizinců nad příjmy od zahraničních pojišťoven budou opět krýt jednotlivé ZP z prostředků na BÚ ZFZP. </w:t>
      </w:r>
    </w:p>
    <w:p w:rsidR="00B456F9" w:rsidRPr="00D85079" w:rsidRDefault="00B456F9" w:rsidP="00B456F9">
      <w:pPr>
        <w:pStyle w:val="Titulek"/>
        <w:jc w:val="both"/>
      </w:pPr>
      <w:bookmarkStart w:id="68" w:name="_Toc25073789"/>
      <w:bookmarkStart w:id="69" w:name="_Toc63685275"/>
      <w:r w:rsidRPr="00D85079">
        <w:t xml:space="preserve">Tabulka č. </w:t>
      </w:r>
      <w:r w:rsidR="008E5E29" w:rsidRPr="00D85079">
        <w:rPr>
          <w:noProof/>
        </w:rPr>
        <w:fldChar w:fldCharType="begin"/>
      </w:r>
      <w:r w:rsidRPr="00D85079">
        <w:rPr>
          <w:noProof/>
        </w:rPr>
        <w:instrText xml:space="preserve"> SEQ Tabulka \* ARABIC </w:instrText>
      </w:r>
      <w:r w:rsidR="008E5E29" w:rsidRPr="00D85079">
        <w:rPr>
          <w:noProof/>
        </w:rPr>
        <w:fldChar w:fldCharType="separate"/>
      </w:r>
      <w:r w:rsidR="006D5C90">
        <w:rPr>
          <w:noProof/>
        </w:rPr>
        <w:t>22</w:t>
      </w:r>
      <w:r w:rsidR="008E5E29" w:rsidRPr="00D85079">
        <w:rPr>
          <w:noProof/>
        </w:rPr>
        <w:fldChar w:fldCharType="end"/>
      </w:r>
      <w:r w:rsidRPr="00D85079">
        <w:t>: Vývoj nákladů na léčení zahraničních pojištěnců v České republice</w:t>
      </w:r>
      <w:bookmarkEnd w:id="68"/>
      <w:bookmarkEnd w:id="69"/>
    </w:p>
    <w:tbl>
      <w:tblPr>
        <w:tblW w:w="9715" w:type="dxa"/>
        <w:jc w:val="center"/>
        <w:tblBorders>
          <w:top w:val="single" w:sz="12" w:space="0" w:color="548DD4" w:themeColor="text2" w:themeTint="99"/>
          <w:left w:val="single" w:sz="12" w:space="0" w:color="548DD4" w:themeColor="text2" w:themeTint="99"/>
          <w:bottom w:val="single" w:sz="12" w:space="0" w:color="548DD4" w:themeColor="text2" w:themeTint="99"/>
          <w:right w:val="single" w:sz="12" w:space="0" w:color="548DD4" w:themeColor="text2" w:themeTint="99"/>
        </w:tblBorders>
        <w:tblCellMar>
          <w:left w:w="70" w:type="dxa"/>
          <w:right w:w="70" w:type="dxa"/>
        </w:tblCellMar>
        <w:tblLook w:val="04A0" w:firstRow="1" w:lastRow="0" w:firstColumn="1" w:lastColumn="0" w:noHBand="0" w:noVBand="1"/>
      </w:tblPr>
      <w:tblGrid>
        <w:gridCol w:w="2679"/>
        <w:gridCol w:w="992"/>
        <w:gridCol w:w="992"/>
        <w:gridCol w:w="992"/>
        <w:gridCol w:w="938"/>
        <w:gridCol w:w="1040"/>
        <w:gridCol w:w="1041"/>
        <w:gridCol w:w="1041"/>
      </w:tblGrid>
      <w:tr w:rsidR="00804AFC" w:rsidRPr="00D85079" w:rsidTr="00963C2D">
        <w:trPr>
          <w:trHeight w:hRule="exact" w:val="284"/>
          <w:jc w:val="center"/>
        </w:trPr>
        <w:tc>
          <w:tcPr>
            <w:tcW w:w="2679" w:type="dxa"/>
            <w:vMerge w:val="restart"/>
            <w:shd w:val="clear" w:color="auto" w:fill="4F81BD"/>
            <w:vAlign w:val="center"/>
            <w:hideMark/>
          </w:tcPr>
          <w:p w:rsidR="00804AFC" w:rsidRPr="00D85079" w:rsidRDefault="00804AFC" w:rsidP="00963C2D">
            <w:pPr>
              <w:spacing w:after="0" w:line="240" w:lineRule="auto"/>
              <w:rPr>
                <w:rFonts w:ascii="Calibri" w:eastAsia="Times New Roman" w:hAnsi="Calibri" w:cs="Times New Roman"/>
                <w:b/>
                <w:bCs/>
                <w:color w:val="FFFFFF"/>
                <w:szCs w:val="21"/>
                <w:lang w:eastAsia="cs-CZ"/>
              </w:rPr>
            </w:pPr>
            <w:r w:rsidRPr="00D85079">
              <w:rPr>
                <w:rFonts w:ascii="Calibri" w:eastAsia="Times New Roman" w:hAnsi="Calibri" w:cs="Times New Roman"/>
                <w:b/>
                <w:bCs/>
                <w:color w:val="FFFFFF"/>
                <w:szCs w:val="21"/>
                <w:lang w:eastAsia="cs-CZ"/>
              </w:rPr>
              <w:t>Ukazatel</w:t>
            </w:r>
          </w:p>
        </w:tc>
        <w:tc>
          <w:tcPr>
            <w:tcW w:w="992" w:type="dxa"/>
            <w:vMerge w:val="restart"/>
            <w:shd w:val="clear" w:color="auto" w:fill="6691C6"/>
            <w:vAlign w:val="center"/>
            <w:hideMark/>
          </w:tcPr>
          <w:p w:rsidR="00804AFC" w:rsidRPr="00D85079" w:rsidRDefault="00804AFC" w:rsidP="00804AFC">
            <w:pPr>
              <w:spacing w:after="0" w:line="240" w:lineRule="auto"/>
              <w:jc w:val="center"/>
              <w:rPr>
                <w:rFonts w:eastAsia="Times New Roman" w:cs="Arial"/>
                <w:b/>
                <w:bCs/>
                <w:color w:val="FFFFFF"/>
                <w:szCs w:val="21"/>
                <w:lang w:eastAsia="cs-CZ"/>
              </w:rPr>
            </w:pPr>
            <w:r>
              <w:rPr>
                <w:rFonts w:ascii="Calibri" w:hAnsi="Calibri" w:cs="Calibri"/>
                <w:b/>
                <w:bCs/>
                <w:color w:val="FFFFFF"/>
                <w:sz w:val="22"/>
              </w:rPr>
              <w:t>2015</w:t>
            </w:r>
          </w:p>
        </w:tc>
        <w:tc>
          <w:tcPr>
            <w:tcW w:w="992" w:type="dxa"/>
            <w:vMerge w:val="restart"/>
            <w:shd w:val="clear" w:color="auto" w:fill="4F81BD"/>
            <w:vAlign w:val="center"/>
            <w:hideMark/>
          </w:tcPr>
          <w:p w:rsidR="00804AFC" w:rsidRPr="00D85079" w:rsidRDefault="00804AFC" w:rsidP="00804AFC">
            <w:pPr>
              <w:spacing w:after="0" w:line="240" w:lineRule="auto"/>
              <w:jc w:val="center"/>
              <w:rPr>
                <w:rFonts w:eastAsia="Times New Roman" w:cs="Arial"/>
                <w:b/>
                <w:bCs/>
                <w:color w:val="FFFFFF"/>
                <w:szCs w:val="21"/>
                <w:lang w:eastAsia="cs-CZ"/>
              </w:rPr>
            </w:pPr>
            <w:r>
              <w:rPr>
                <w:rFonts w:ascii="Calibri" w:hAnsi="Calibri" w:cs="Calibri"/>
                <w:b/>
                <w:bCs/>
                <w:color w:val="FFFFFF"/>
                <w:sz w:val="22"/>
              </w:rPr>
              <w:t>2016</w:t>
            </w:r>
          </w:p>
        </w:tc>
        <w:tc>
          <w:tcPr>
            <w:tcW w:w="992" w:type="dxa"/>
            <w:vMerge w:val="restart"/>
            <w:shd w:val="clear" w:color="auto" w:fill="6691C6"/>
            <w:vAlign w:val="center"/>
            <w:hideMark/>
          </w:tcPr>
          <w:p w:rsidR="00804AFC" w:rsidRPr="00D85079" w:rsidRDefault="00804AFC" w:rsidP="00804AFC">
            <w:pPr>
              <w:spacing w:after="0" w:line="240" w:lineRule="auto"/>
              <w:jc w:val="center"/>
              <w:rPr>
                <w:rFonts w:eastAsia="Times New Roman" w:cs="Arial"/>
                <w:b/>
                <w:bCs/>
                <w:color w:val="FFFFFF"/>
                <w:szCs w:val="21"/>
                <w:lang w:eastAsia="cs-CZ"/>
              </w:rPr>
            </w:pPr>
            <w:r>
              <w:rPr>
                <w:rFonts w:ascii="Calibri" w:hAnsi="Calibri" w:cs="Calibri"/>
                <w:b/>
                <w:bCs/>
                <w:color w:val="FFFFFF"/>
                <w:sz w:val="22"/>
              </w:rPr>
              <w:t>2017</w:t>
            </w:r>
          </w:p>
        </w:tc>
        <w:tc>
          <w:tcPr>
            <w:tcW w:w="938" w:type="dxa"/>
            <w:vMerge w:val="restart"/>
            <w:shd w:val="clear" w:color="auto" w:fill="4F81BD"/>
            <w:vAlign w:val="center"/>
            <w:hideMark/>
          </w:tcPr>
          <w:p w:rsidR="00804AFC" w:rsidRPr="00D85079" w:rsidRDefault="00804AFC" w:rsidP="00804AFC">
            <w:pPr>
              <w:spacing w:after="0" w:line="240" w:lineRule="auto"/>
              <w:jc w:val="center"/>
              <w:rPr>
                <w:rFonts w:eastAsia="Times New Roman" w:cs="Arial"/>
                <w:b/>
                <w:bCs/>
                <w:color w:val="FFFFFF"/>
                <w:szCs w:val="21"/>
                <w:lang w:eastAsia="cs-CZ"/>
              </w:rPr>
            </w:pPr>
            <w:r>
              <w:rPr>
                <w:rFonts w:ascii="Calibri" w:hAnsi="Calibri" w:cs="Calibri"/>
                <w:b/>
                <w:bCs/>
                <w:color w:val="FFFFFF"/>
                <w:sz w:val="22"/>
              </w:rPr>
              <w:t>2018</w:t>
            </w:r>
          </w:p>
        </w:tc>
        <w:tc>
          <w:tcPr>
            <w:tcW w:w="1040" w:type="dxa"/>
            <w:vMerge w:val="restart"/>
            <w:shd w:val="clear" w:color="auto" w:fill="6691C6"/>
            <w:vAlign w:val="center"/>
            <w:hideMark/>
          </w:tcPr>
          <w:p w:rsidR="00804AFC" w:rsidRPr="00D85079" w:rsidRDefault="00804AFC" w:rsidP="00804AFC">
            <w:pPr>
              <w:spacing w:after="0" w:line="240" w:lineRule="auto"/>
              <w:jc w:val="center"/>
              <w:rPr>
                <w:rFonts w:eastAsia="Times New Roman" w:cs="Arial"/>
                <w:b/>
                <w:bCs/>
                <w:color w:val="FFFFFF"/>
                <w:szCs w:val="21"/>
                <w:lang w:eastAsia="cs-CZ"/>
              </w:rPr>
            </w:pPr>
            <w:r>
              <w:rPr>
                <w:rFonts w:ascii="Calibri" w:hAnsi="Calibri" w:cs="Calibri"/>
                <w:b/>
                <w:bCs/>
                <w:color w:val="FFFFFF"/>
                <w:sz w:val="22"/>
              </w:rPr>
              <w:t>2019</w:t>
            </w:r>
          </w:p>
        </w:tc>
        <w:tc>
          <w:tcPr>
            <w:tcW w:w="1041" w:type="dxa"/>
            <w:shd w:val="clear" w:color="auto" w:fill="4F81BD"/>
            <w:vAlign w:val="center"/>
            <w:hideMark/>
          </w:tcPr>
          <w:p w:rsidR="00804AFC" w:rsidRPr="00D85079" w:rsidRDefault="00804AFC" w:rsidP="00804AFC">
            <w:pPr>
              <w:spacing w:after="0" w:line="240" w:lineRule="auto"/>
              <w:jc w:val="center"/>
              <w:rPr>
                <w:rFonts w:eastAsia="Times New Roman" w:cs="Arial"/>
                <w:b/>
                <w:bCs/>
                <w:color w:val="FFFFFF"/>
                <w:szCs w:val="21"/>
                <w:lang w:eastAsia="cs-CZ"/>
              </w:rPr>
            </w:pPr>
            <w:r>
              <w:rPr>
                <w:rFonts w:ascii="Calibri" w:hAnsi="Calibri" w:cs="Calibri"/>
                <w:b/>
                <w:bCs/>
                <w:color w:val="FFFFFF"/>
                <w:sz w:val="22"/>
              </w:rPr>
              <w:t>2020</w:t>
            </w:r>
          </w:p>
        </w:tc>
        <w:tc>
          <w:tcPr>
            <w:tcW w:w="1041" w:type="dxa"/>
            <w:shd w:val="clear" w:color="auto" w:fill="6691C6"/>
            <w:vAlign w:val="center"/>
          </w:tcPr>
          <w:p w:rsidR="00804AFC" w:rsidRPr="00D85079" w:rsidRDefault="00804AFC" w:rsidP="00804AFC">
            <w:pPr>
              <w:spacing w:after="0" w:line="240" w:lineRule="auto"/>
              <w:jc w:val="center"/>
              <w:rPr>
                <w:rFonts w:eastAsia="Times New Roman" w:cs="Arial"/>
                <w:b/>
                <w:bCs/>
                <w:color w:val="FFFFFF"/>
                <w:szCs w:val="21"/>
                <w:lang w:eastAsia="cs-CZ"/>
              </w:rPr>
            </w:pPr>
            <w:r>
              <w:rPr>
                <w:rFonts w:ascii="Calibri" w:hAnsi="Calibri" w:cs="Calibri"/>
                <w:b/>
                <w:bCs/>
                <w:color w:val="FFFFFF"/>
                <w:sz w:val="22"/>
              </w:rPr>
              <w:t>2021</w:t>
            </w:r>
          </w:p>
        </w:tc>
      </w:tr>
      <w:tr w:rsidR="00804AFC" w:rsidRPr="00D85079" w:rsidTr="009E30ED">
        <w:trPr>
          <w:trHeight w:hRule="exact" w:val="284"/>
          <w:jc w:val="center"/>
        </w:trPr>
        <w:tc>
          <w:tcPr>
            <w:tcW w:w="2679" w:type="dxa"/>
            <w:vMerge/>
            <w:shd w:val="clear" w:color="auto" w:fill="4F81BD"/>
            <w:vAlign w:val="center"/>
            <w:hideMark/>
          </w:tcPr>
          <w:p w:rsidR="00804AFC" w:rsidRPr="00D85079" w:rsidRDefault="00804AFC" w:rsidP="00804AFC">
            <w:pPr>
              <w:spacing w:after="0" w:line="240" w:lineRule="auto"/>
              <w:rPr>
                <w:rFonts w:ascii="Calibri" w:eastAsia="Times New Roman" w:hAnsi="Calibri" w:cs="Times New Roman"/>
                <w:b/>
                <w:bCs/>
                <w:color w:val="FFFFFF"/>
                <w:szCs w:val="21"/>
                <w:lang w:eastAsia="cs-CZ"/>
              </w:rPr>
            </w:pPr>
          </w:p>
        </w:tc>
        <w:tc>
          <w:tcPr>
            <w:tcW w:w="992" w:type="dxa"/>
            <w:vMerge/>
            <w:shd w:val="clear" w:color="auto" w:fill="6691C6"/>
            <w:vAlign w:val="center"/>
            <w:hideMark/>
          </w:tcPr>
          <w:p w:rsidR="00804AFC" w:rsidRPr="00D85079" w:rsidRDefault="00804AFC" w:rsidP="00804AFC">
            <w:pPr>
              <w:spacing w:after="0" w:line="240" w:lineRule="auto"/>
              <w:jc w:val="center"/>
              <w:rPr>
                <w:rFonts w:ascii="Calibri" w:eastAsia="Times New Roman" w:hAnsi="Calibri" w:cs="Times New Roman"/>
                <w:b/>
                <w:bCs/>
                <w:color w:val="FFFFFF"/>
                <w:szCs w:val="21"/>
                <w:lang w:eastAsia="cs-CZ"/>
              </w:rPr>
            </w:pPr>
          </w:p>
        </w:tc>
        <w:tc>
          <w:tcPr>
            <w:tcW w:w="992" w:type="dxa"/>
            <w:vMerge/>
            <w:shd w:val="clear" w:color="auto" w:fill="4F81BD"/>
            <w:vAlign w:val="center"/>
            <w:hideMark/>
          </w:tcPr>
          <w:p w:rsidR="00804AFC" w:rsidRPr="00D85079" w:rsidRDefault="00804AFC" w:rsidP="00804AFC">
            <w:pPr>
              <w:spacing w:after="0" w:line="240" w:lineRule="auto"/>
              <w:jc w:val="center"/>
              <w:rPr>
                <w:rFonts w:ascii="Calibri" w:eastAsia="Times New Roman" w:hAnsi="Calibri" w:cs="Times New Roman"/>
                <w:b/>
                <w:bCs/>
                <w:color w:val="FFFFFF"/>
                <w:szCs w:val="21"/>
                <w:lang w:eastAsia="cs-CZ"/>
              </w:rPr>
            </w:pPr>
          </w:p>
        </w:tc>
        <w:tc>
          <w:tcPr>
            <w:tcW w:w="992" w:type="dxa"/>
            <w:vMerge/>
            <w:shd w:val="clear" w:color="auto" w:fill="6691C6"/>
            <w:vAlign w:val="center"/>
            <w:hideMark/>
          </w:tcPr>
          <w:p w:rsidR="00804AFC" w:rsidRPr="00D85079" w:rsidRDefault="00804AFC" w:rsidP="00804AFC">
            <w:pPr>
              <w:spacing w:after="0" w:line="240" w:lineRule="auto"/>
              <w:jc w:val="center"/>
              <w:rPr>
                <w:rFonts w:ascii="Calibri" w:eastAsia="Times New Roman" w:hAnsi="Calibri" w:cs="Times New Roman"/>
                <w:b/>
                <w:bCs/>
                <w:color w:val="FFFFFF"/>
                <w:szCs w:val="21"/>
                <w:lang w:eastAsia="cs-CZ"/>
              </w:rPr>
            </w:pPr>
          </w:p>
        </w:tc>
        <w:tc>
          <w:tcPr>
            <w:tcW w:w="938" w:type="dxa"/>
            <w:vMerge/>
            <w:shd w:val="clear" w:color="auto" w:fill="4F81BD"/>
            <w:vAlign w:val="center"/>
            <w:hideMark/>
          </w:tcPr>
          <w:p w:rsidR="00804AFC" w:rsidRPr="00D85079" w:rsidRDefault="00804AFC" w:rsidP="00804AFC">
            <w:pPr>
              <w:spacing w:after="0" w:line="240" w:lineRule="auto"/>
              <w:jc w:val="center"/>
              <w:rPr>
                <w:rFonts w:ascii="Calibri" w:eastAsia="Times New Roman" w:hAnsi="Calibri" w:cs="Times New Roman"/>
                <w:b/>
                <w:bCs/>
                <w:color w:val="FFFFFF"/>
                <w:szCs w:val="21"/>
                <w:lang w:eastAsia="cs-CZ"/>
              </w:rPr>
            </w:pPr>
          </w:p>
        </w:tc>
        <w:tc>
          <w:tcPr>
            <w:tcW w:w="1040" w:type="dxa"/>
            <w:vMerge/>
            <w:shd w:val="clear" w:color="auto" w:fill="6691C6"/>
            <w:vAlign w:val="center"/>
          </w:tcPr>
          <w:p w:rsidR="00804AFC" w:rsidRPr="00D85079" w:rsidRDefault="00804AFC" w:rsidP="00804AFC">
            <w:pPr>
              <w:spacing w:after="0" w:line="240" w:lineRule="auto"/>
              <w:jc w:val="center"/>
              <w:rPr>
                <w:rFonts w:ascii="Calibri" w:eastAsia="Times New Roman" w:hAnsi="Calibri" w:cs="Times New Roman"/>
                <w:b/>
                <w:bCs/>
                <w:color w:val="FFFFFF"/>
                <w:szCs w:val="21"/>
                <w:lang w:eastAsia="cs-CZ"/>
              </w:rPr>
            </w:pPr>
          </w:p>
        </w:tc>
        <w:tc>
          <w:tcPr>
            <w:tcW w:w="1041" w:type="dxa"/>
            <w:shd w:val="clear" w:color="auto" w:fill="4F81BD"/>
            <w:vAlign w:val="center"/>
            <w:hideMark/>
          </w:tcPr>
          <w:p w:rsidR="00804AFC" w:rsidRPr="00D85079" w:rsidRDefault="00804AFC" w:rsidP="00804AFC">
            <w:pPr>
              <w:spacing w:after="0" w:line="240" w:lineRule="auto"/>
              <w:jc w:val="center"/>
              <w:rPr>
                <w:rFonts w:ascii="Calibri" w:eastAsia="Times New Roman" w:hAnsi="Calibri" w:cs="Times New Roman"/>
                <w:bCs/>
                <w:color w:val="FFFFFF"/>
                <w:szCs w:val="21"/>
                <w:lang w:eastAsia="cs-CZ"/>
              </w:rPr>
            </w:pPr>
            <w:r>
              <w:rPr>
                <w:rFonts w:ascii="Calibri" w:hAnsi="Calibri" w:cs="Calibri"/>
                <w:b/>
                <w:bCs/>
                <w:color w:val="FFFFFF"/>
                <w:sz w:val="22"/>
              </w:rPr>
              <w:t>oč. skut.</w:t>
            </w:r>
          </w:p>
        </w:tc>
        <w:tc>
          <w:tcPr>
            <w:tcW w:w="1041" w:type="dxa"/>
            <w:shd w:val="clear" w:color="auto" w:fill="6691C6"/>
            <w:vAlign w:val="center"/>
          </w:tcPr>
          <w:p w:rsidR="00804AFC" w:rsidRPr="00D85079" w:rsidRDefault="00804AFC" w:rsidP="00804AFC">
            <w:pPr>
              <w:spacing w:after="0" w:line="240" w:lineRule="auto"/>
              <w:jc w:val="center"/>
              <w:rPr>
                <w:rFonts w:ascii="Calibri" w:eastAsia="Times New Roman" w:hAnsi="Calibri" w:cs="Times New Roman"/>
                <w:bCs/>
                <w:color w:val="FFFFFF"/>
                <w:szCs w:val="21"/>
                <w:lang w:eastAsia="cs-CZ"/>
              </w:rPr>
            </w:pPr>
            <w:r>
              <w:rPr>
                <w:rFonts w:ascii="Calibri" w:hAnsi="Calibri" w:cs="Calibri"/>
                <w:b/>
                <w:bCs/>
                <w:color w:val="FFFFFF"/>
                <w:sz w:val="22"/>
              </w:rPr>
              <w:t>ZPP</w:t>
            </w:r>
          </w:p>
        </w:tc>
      </w:tr>
      <w:tr w:rsidR="00D85079" w:rsidRPr="00D85079" w:rsidTr="005D233A">
        <w:trPr>
          <w:trHeight w:hRule="exact" w:val="510"/>
          <w:jc w:val="center"/>
        </w:trPr>
        <w:tc>
          <w:tcPr>
            <w:tcW w:w="2679" w:type="dxa"/>
            <w:shd w:val="clear" w:color="auto" w:fill="auto"/>
            <w:vAlign w:val="center"/>
            <w:hideMark/>
          </w:tcPr>
          <w:p w:rsidR="00D85079" w:rsidRPr="00963C2D" w:rsidRDefault="00D85079" w:rsidP="00D85079">
            <w:pPr>
              <w:spacing w:after="0" w:line="240" w:lineRule="auto"/>
              <w:rPr>
                <w:rFonts w:ascii="Calibri" w:eastAsia="Times New Roman" w:hAnsi="Calibri" w:cs="Times New Roman"/>
                <w:b/>
                <w:bCs/>
                <w:color w:val="000000"/>
                <w:szCs w:val="21"/>
                <w:lang w:eastAsia="cs-CZ"/>
              </w:rPr>
            </w:pPr>
            <w:r w:rsidRPr="00963C2D">
              <w:rPr>
                <w:rFonts w:ascii="Calibri" w:eastAsia="Times New Roman" w:hAnsi="Calibri" w:cs="Times New Roman"/>
                <w:b/>
                <w:bCs/>
                <w:color w:val="000000"/>
                <w:szCs w:val="21"/>
                <w:lang w:eastAsia="cs-CZ"/>
              </w:rPr>
              <w:t>Náklady na léčení cizinců (mil. Kč)</w:t>
            </w:r>
          </w:p>
        </w:tc>
        <w:tc>
          <w:tcPr>
            <w:tcW w:w="992" w:type="dxa"/>
            <w:shd w:val="clear" w:color="auto" w:fill="DBE5F1"/>
            <w:vAlign w:val="center"/>
            <w:hideMark/>
          </w:tcPr>
          <w:p w:rsidR="00D85079" w:rsidRPr="00963C2D" w:rsidRDefault="00D85079" w:rsidP="00D85079">
            <w:pPr>
              <w:spacing w:after="0" w:line="240" w:lineRule="auto"/>
              <w:jc w:val="right"/>
              <w:rPr>
                <w:rFonts w:ascii="Calibri" w:hAnsi="Calibri"/>
                <w:color w:val="000000"/>
                <w:szCs w:val="21"/>
              </w:rPr>
            </w:pPr>
            <w:r w:rsidRPr="00963C2D">
              <w:rPr>
                <w:rFonts w:ascii="Calibri" w:hAnsi="Calibri" w:cs="Calibri"/>
                <w:color w:val="000000"/>
                <w:szCs w:val="21"/>
              </w:rPr>
              <w:t xml:space="preserve">884 </w:t>
            </w:r>
          </w:p>
        </w:tc>
        <w:tc>
          <w:tcPr>
            <w:tcW w:w="992" w:type="dxa"/>
            <w:shd w:val="clear" w:color="auto" w:fill="auto"/>
            <w:vAlign w:val="center"/>
            <w:hideMark/>
          </w:tcPr>
          <w:p w:rsidR="00D85079" w:rsidRPr="00963C2D" w:rsidRDefault="00D85079" w:rsidP="00D85079">
            <w:pPr>
              <w:spacing w:after="0" w:line="240" w:lineRule="auto"/>
              <w:jc w:val="right"/>
              <w:rPr>
                <w:rFonts w:ascii="Calibri" w:hAnsi="Calibri"/>
                <w:color w:val="000000"/>
                <w:szCs w:val="21"/>
              </w:rPr>
            </w:pPr>
            <w:r w:rsidRPr="00963C2D">
              <w:rPr>
                <w:rFonts w:ascii="Calibri" w:hAnsi="Calibri" w:cs="Calibri"/>
                <w:color w:val="000000"/>
                <w:szCs w:val="21"/>
              </w:rPr>
              <w:t xml:space="preserve">1 090 </w:t>
            </w:r>
          </w:p>
        </w:tc>
        <w:tc>
          <w:tcPr>
            <w:tcW w:w="992" w:type="dxa"/>
            <w:shd w:val="clear" w:color="auto" w:fill="DBE5F1"/>
            <w:vAlign w:val="center"/>
            <w:hideMark/>
          </w:tcPr>
          <w:p w:rsidR="00D85079" w:rsidRPr="00963C2D" w:rsidRDefault="00D85079" w:rsidP="00D85079">
            <w:pPr>
              <w:spacing w:after="0" w:line="240" w:lineRule="auto"/>
              <w:jc w:val="right"/>
              <w:rPr>
                <w:rFonts w:ascii="Calibri" w:hAnsi="Calibri"/>
                <w:color w:val="000000"/>
                <w:szCs w:val="21"/>
              </w:rPr>
            </w:pPr>
            <w:r w:rsidRPr="00963C2D">
              <w:rPr>
                <w:rFonts w:ascii="Calibri" w:hAnsi="Calibri" w:cs="Calibri"/>
                <w:color w:val="000000"/>
                <w:szCs w:val="21"/>
              </w:rPr>
              <w:t xml:space="preserve">1 284 </w:t>
            </w:r>
          </w:p>
        </w:tc>
        <w:tc>
          <w:tcPr>
            <w:tcW w:w="938" w:type="dxa"/>
            <w:shd w:val="clear" w:color="auto" w:fill="auto"/>
            <w:vAlign w:val="center"/>
            <w:hideMark/>
          </w:tcPr>
          <w:p w:rsidR="00D85079" w:rsidRPr="00963C2D" w:rsidRDefault="00D85079" w:rsidP="00D85079">
            <w:pPr>
              <w:spacing w:after="0" w:line="240" w:lineRule="auto"/>
              <w:jc w:val="right"/>
              <w:rPr>
                <w:rFonts w:ascii="Calibri" w:hAnsi="Calibri"/>
                <w:color w:val="000000"/>
                <w:szCs w:val="21"/>
              </w:rPr>
            </w:pPr>
            <w:r w:rsidRPr="00963C2D">
              <w:rPr>
                <w:rFonts w:ascii="Calibri" w:hAnsi="Calibri" w:cs="Calibri"/>
                <w:color w:val="000000"/>
                <w:szCs w:val="21"/>
              </w:rPr>
              <w:t xml:space="preserve">1 494 </w:t>
            </w:r>
          </w:p>
        </w:tc>
        <w:tc>
          <w:tcPr>
            <w:tcW w:w="1040" w:type="dxa"/>
            <w:shd w:val="clear" w:color="auto" w:fill="DBE5F1"/>
            <w:vAlign w:val="center"/>
            <w:hideMark/>
          </w:tcPr>
          <w:p w:rsidR="00D85079" w:rsidRPr="00963C2D" w:rsidRDefault="00D85079" w:rsidP="00D85079">
            <w:pPr>
              <w:spacing w:after="0" w:line="240" w:lineRule="auto"/>
              <w:jc w:val="right"/>
              <w:rPr>
                <w:rFonts w:ascii="Calibri" w:hAnsi="Calibri"/>
                <w:color w:val="000000"/>
                <w:szCs w:val="21"/>
              </w:rPr>
            </w:pPr>
            <w:r w:rsidRPr="00963C2D">
              <w:rPr>
                <w:rFonts w:ascii="Calibri" w:hAnsi="Calibri" w:cs="Calibri"/>
                <w:color w:val="000000"/>
                <w:szCs w:val="21"/>
              </w:rPr>
              <w:t>1 61</w:t>
            </w:r>
            <w:r w:rsidR="00804AFC" w:rsidRPr="00963C2D">
              <w:rPr>
                <w:rFonts w:ascii="Calibri" w:hAnsi="Calibri" w:cs="Calibri"/>
                <w:color w:val="000000"/>
                <w:szCs w:val="21"/>
              </w:rPr>
              <w:t>5</w:t>
            </w:r>
            <w:r w:rsidRPr="00963C2D">
              <w:rPr>
                <w:rFonts w:ascii="Calibri" w:hAnsi="Calibri" w:cs="Calibri"/>
                <w:color w:val="000000"/>
                <w:szCs w:val="21"/>
              </w:rPr>
              <w:t xml:space="preserve"> </w:t>
            </w:r>
          </w:p>
        </w:tc>
        <w:tc>
          <w:tcPr>
            <w:tcW w:w="1041" w:type="dxa"/>
            <w:shd w:val="clear" w:color="auto" w:fill="auto"/>
            <w:vAlign w:val="center"/>
            <w:hideMark/>
          </w:tcPr>
          <w:p w:rsidR="00D85079" w:rsidRPr="00963C2D" w:rsidRDefault="00D85079" w:rsidP="00D85079">
            <w:pPr>
              <w:spacing w:after="0" w:line="240" w:lineRule="auto"/>
              <w:jc w:val="right"/>
              <w:rPr>
                <w:rFonts w:ascii="Calibri" w:hAnsi="Calibri"/>
                <w:color w:val="000000"/>
                <w:szCs w:val="21"/>
              </w:rPr>
            </w:pPr>
            <w:r w:rsidRPr="00963C2D">
              <w:rPr>
                <w:rFonts w:ascii="Calibri" w:hAnsi="Calibri" w:cs="Calibri"/>
                <w:color w:val="000000"/>
                <w:szCs w:val="21"/>
              </w:rPr>
              <w:t>1 72</w:t>
            </w:r>
            <w:r w:rsidR="00804AFC" w:rsidRPr="00963C2D">
              <w:rPr>
                <w:rFonts w:ascii="Calibri" w:hAnsi="Calibri" w:cs="Calibri"/>
                <w:color w:val="000000"/>
                <w:szCs w:val="21"/>
              </w:rPr>
              <w:t>9</w:t>
            </w:r>
            <w:r w:rsidRPr="00963C2D">
              <w:rPr>
                <w:rFonts w:ascii="Calibri" w:hAnsi="Calibri" w:cs="Calibri"/>
                <w:color w:val="000000"/>
                <w:szCs w:val="21"/>
              </w:rPr>
              <w:t xml:space="preserve"> </w:t>
            </w:r>
          </w:p>
        </w:tc>
        <w:tc>
          <w:tcPr>
            <w:tcW w:w="1041" w:type="dxa"/>
            <w:shd w:val="clear" w:color="auto" w:fill="DBE5F1"/>
            <w:vAlign w:val="center"/>
          </w:tcPr>
          <w:p w:rsidR="00D85079" w:rsidRPr="00963C2D" w:rsidRDefault="00D85079" w:rsidP="00D85079">
            <w:pPr>
              <w:spacing w:after="0" w:line="240" w:lineRule="auto"/>
              <w:jc w:val="right"/>
              <w:rPr>
                <w:rFonts w:ascii="Calibri" w:hAnsi="Calibri"/>
                <w:color w:val="000000"/>
                <w:szCs w:val="21"/>
              </w:rPr>
            </w:pPr>
            <w:r w:rsidRPr="00963C2D">
              <w:rPr>
                <w:rFonts w:ascii="Calibri" w:hAnsi="Calibri" w:cs="Calibri"/>
                <w:color w:val="000000"/>
                <w:szCs w:val="21"/>
              </w:rPr>
              <w:t>1 831</w:t>
            </w:r>
          </w:p>
        </w:tc>
      </w:tr>
      <w:tr w:rsidR="00D85079" w:rsidRPr="00D85079" w:rsidTr="005D233A">
        <w:trPr>
          <w:trHeight w:hRule="exact" w:val="284"/>
          <w:jc w:val="center"/>
        </w:trPr>
        <w:tc>
          <w:tcPr>
            <w:tcW w:w="2679" w:type="dxa"/>
            <w:shd w:val="clear" w:color="auto" w:fill="EEF3F8"/>
            <w:vAlign w:val="center"/>
            <w:hideMark/>
          </w:tcPr>
          <w:p w:rsidR="00D85079" w:rsidRPr="00963C2D" w:rsidRDefault="00D85079" w:rsidP="00D85079">
            <w:pPr>
              <w:spacing w:after="0" w:line="240" w:lineRule="auto"/>
              <w:rPr>
                <w:rFonts w:ascii="Calibri" w:eastAsia="Times New Roman" w:hAnsi="Calibri" w:cs="Times New Roman"/>
                <w:b/>
                <w:bCs/>
                <w:color w:val="000000"/>
                <w:szCs w:val="21"/>
                <w:lang w:eastAsia="cs-CZ"/>
              </w:rPr>
            </w:pPr>
            <w:r w:rsidRPr="00963C2D">
              <w:rPr>
                <w:rFonts w:ascii="Calibri" w:eastAsia="Times New Roman" w:hAnsi="Calibri" w:cs="Times New Roman"/>
                <w:b/>
                <w:bCs/>
                <w:color w:val="000000"/>
                <w:szCs w:val="21"/>
                <w:lang w:eastAsia="cs-CZ"/>
              </w:rPr>
              <w:t xml:space="preserve">Počet ošetřených cizinců </w:t>
            </w:r>
          </w:p>
        </w:tc>
        <w:tc>
          <w:tcPr>
            <w:tcW w:w="992" w:type="dxa"/>
            <w:shd w:val="clear" w:color="auto" w:fill="EEF3F8"/>
            <w:vAlign w:val="center"/>
            <w:hideMark/>
          </w:tcPr>
          <w:p w:rsidR="00D85079" w:rsidRPr="00963C2D" w:rsidRDefault="00D85079" w:rsidP="00D85079">
            <w:pPr>
              <w:spacing w:after="0" w:line="240" w:lineRule="auto"/>
              <w:jc w:val="right"/>
              <w:rPr>
                <w:rFonts w:ascii="Calibri" w:hAnsi="Calibri" w:cs="Calibri"/>
                <w:color w:val="000000"/>
                <w:szCs w:val="21"/>
              </w:rPr>
            </w:pPr>
            <w:r w:rsidRPr="00963C2D">
              <w:rPr>
                <w:rFonts w:ascii="Calibri" w:hAnsi="Calibri" w:cs="Calibri"/>
                <w:color w:val="000000"/>
                <w:szCs w:val="21"/>
              </w:rPr>
              <w:t>159 611</w:t>
            </w:r>
          </w:p>
        </w:tc>
        <w:tc>
          <w:tcPr>
            <w:tcW w:w="992" w:type="dxa"/>
            <w:shd w:val="clear" w:color="auto" w:fill="EEF3F8"/>
            <w:vAlign w:val="center"/>
            <w:hideMark/>
          </w:tcPr>
          <w:p w:rsidR="00D85079" w:rsidRPr="00963C2D" w:rsidRDefault="00D85079" w:rsidP="00D85079">
            <w:pPr>
              <w:spacing w:after="0" w:line="240" w:lineRule="auto"/>
              <w:jc w:val="right"/>
              <w:rPr>
                <w:rFonts w:ascii="Calibri" w:hAnsi="Calibri" w:cs="Calibri"/>
                <w:color w:val="000000"/>
                <w:szCs w:val="21"/>
              </w:rPr>
            </w:pPr>
            <w:r w:rsidRPr="00963C2D">
              <w:rPr>
                <w:rFonts w:ascii="Calibri" w:hAnsi="Calibri" w:cs="Calibri"/>
                <w:color w:val="000000"/>
                <w:szCs w:val="21"/>
              </w:rPr>
              <w:t>182 409</w:t>
            </w:r>
          </w:p>
        </w:tc>
        <w:tc>
          <w:tcPr>
            <w:tcW w:w="992" w:type="dxa"/>
            <w:shd w:val="clear" w:color="auto" w:fill="EEF3F8"/>
            <w:vAlign w:val="center"/>
            <w:hideMark/>
          </w:tcPr>
          <w:p w:rsidR="00D85079" w:rsidRPr="00963C2D" w:rsidRDefault="00D85079" w:rsidP="00D85079">
            <w:pPr>
              <w:spacing w:after="0" w:line="240" w:lineRule="auto"/>
              <w:jc w:val="right"/>
              <w:rPr>
                <w:rFonts w:ascii="Calibri" w:hAnsi="Calibri" w:cs="Calibri"/>
                <w:color w:val="000000"/>
                <w:szCs w:val="21"/>
              </w:rPr>
            </w:pPr>
            <w:r w:rsidRPr="00963C2D">
              <w:rPr>
                <w:rFonts w:ascii="Calibri" w:hAnsi="Calibri" w:cs="Calibri"/>
                <w:color w:val="000000"/>
                <w:szCs w:val="21"/>
              </w:rPr>
              <w:t>204 368</w:t>
            </w:r>
          </w:p>
        </w:tc>
        <w:tc>
          <w:tcPr>
            <w:tcW w:w="938" w:type="dxa"/>
            <w:shd w:val="clear" w:color="auto" w:fill="EEF3F8"/>
            <w:vAlign w:val="center"/>
            <w:hideMark/>
          </w:tcPr>
          <w:p w:rsidR="00D85079" w:rsidRPr="00963C2D" w:rsidRDefault="00D85079" w:rsidP="00D85079">
            <w:pPr>
              <w:spacing w:after="0" w:line="240" w:lineRule="auto"/>
              <w:jc w:val="right"/>
              <w:rPr>
                <w:rFonts w:ascii="Calibri" w:hAnsi="Calibri" w:cs="Calibri"/>
                <w:color w:val="000000"/>
                <w:szCs w:val="21"/>
              </w:rPr>
            </w:pPr>
            <w:r w:rsidRPr="00963C2D">
              <w:rPr>
                <w:rFonts w:ascii="Calibri" w:hAnsi="Calibri" w:cs="Calibri"/>
                <w:color w:val="000000"/>
                <w:szCs w:val="21"/>
              </w:rPr>
              <w:t>232 961</w:t>
            </w:r>
          </w:p>
        </w:tc>
        <w:tc>
          <w:tcPr>
            <w:tcW w:w="1040" w:type="dxa"/>
            <w:shd w:val="clear" w:color="auto" w:fill="EEF3F8"/>
            <w:vAlign w:val="center"/>
            <w:hideMark/>
          </w:tcPr>
          <w:p w:rsidR="00D85079" w:rsidRPr="00963C2D" w:rsidRDefault="00D85079" w:rsidP="00D85079">
            <w:pPr>
              <w:spacing w:after="0" w:line="240" w:lineRule="auto"/>
              <w:jc w:val="right"/>
              <w:rPr>
                <w:rFonts w:ascii="Calibri" w:hAnsi="Calibri" w:cs="Calibri"/>
                <w:color w:val="000000"/>
                <w:szCs w:val="21"/>
              </w:rPr>
            </w:pPr>
            <w:r w:rsidRPr="00963C2D">
              <w:rPr>
                <w:rFonts w:ascii="Calibri" w:hAnsi="Calibri" w:cs="Calibri"/>
                <w:color w:val="000000"/>
                <w:szCs w:val="21"/>
              </w:rPr>
              <w:t>248 388</w:t>
            </w:r>
          </w:p>
        </w:tc>
        <w:tc>
          <w:tcPr>
            <w:tcW w:w="1041" w:type="dxa"/>
            <w:shd w:val="clear" w:color="auto" w:fill="EEF3F8"/>
            <w:vAlign w:val="center"/>
            <w:hideMark/>
          </w:tcPr>
          <w:p w:rsidR="00D85079" w:rsidRPr="00963C2D" w:rsidRDefault="00D85079" w:rsidP="00D85079">
            <w:pPr>
              <w:spacing w:after="0" w:line="240" w:lineRule="auto"/>
              <w:jc w:val="right"/>
              <w:rPr>
                <w:rFonts w:ascii="Calibri" w:hAnsi="Calibri" w:cs="Calibri"/>
                <w:color w:val="000000"/>
                <w:szCs w:val="21"/>
              </w:rPr>
            </w:pPr>
            <w:r w:rsidRPr="00963C2D">
              <w:rPr>
                <w:rFonts w:ascii="Calibri" w:hAnsi="Calibri" w:cs="Calibri"/>
                <w:color w:val="000000"/>
                <w:szCs w:val="21"/>
              </w:rPr>
              <w:t>245 212</w:t>
            </w:r>
          </w:p>
        </w:tc>
        <w:tc>
          <w:tcPr>
            <w:tcW w:w="1041" w:type="dxa"/>
            <w:shd w:val="clear" w:color="auto" w:fill="EEF3F8"/>
            <w:vAlign w:val="center"/>
          </w:tcPr>
          <w:p w:rsidR="00D85079" w:rsidRPr="00963C2D" w:rsidRDefault="00D85079" w:rsidP="00D85079">
            <w:pPr>
              <w:spacing w:after="0" w:line="240" w:lineRule="auto"/>
              <w:jc w:val="right"/>
              <w:rPr>
                <w:rFonts w:ascii="Calibri" w:hAnsi="Calibri" w:cs="Calibri"/>
                <w:color w:val="000000"/>
                <w:szCs w:val="21"/>
              </w:rPr>
            </w:pPr>
            <w:r w:rsidRPr="00963C2D">
              <w:rPr>
                <w:rFonts w:ascii="Calibri" w:hAnsi="Calibri" w:cs="Calibri"/>
                <w:color w:val="000000"/>
                <w:szCs w:val="21"/>
              </w:rPr>
              <w:t>253 580</w:t>
            </w:r>
          </w:p>
        </w:tc>
      </w:tr>
      <w:tr w:rsidR="00D85079" w:rsidRPr="00C954C6" w:rsidTr="005D233A">
        <w:trPr>
          <w:trHeight w:hRule="exact" w:val="510"/>
          <w:jc w:val="center"/>
        </w:trPr>
        <w:tc>
          <w:tcPr>
            <w:tcW w:w="2679" w:type="dxa"/>
            <w:shd w:val="clear" w:color="auto" w:fill="auto"/>
            <w:vAlign w:val="center"/>
            <w:hideMark/>
          </w:tcPr>
          <w:p w:rsidR="00D85079" w:rsidRPr="00963C2D" w:rsidRDefault="00D85079" w:rsidP="00D85079">
            <w:pPr>
              <w:spacing w:after="0" w:line="240" w:lineRule="auto"/>
              <w:rPr>
                <w:rFonts w:ascii="Calibri" w:eastAsia="Times New Roman" w:hAnsi="Calibri" w:cs="Times New Roman"/>
                <w:b/>
                <w:bCs/>
                <w:color w:val="000000"/>
                <w:szCs w:val="21"/>
                <w:lang w:eastAsia="cs-CZ"/>
              </w:rPr>
            </w:pPr>
            <w:r w:rsidRPr="00963C2D">
              <w:rPr>
                <w:rFonts w:ascii="Calibri" w:eastAsia="Times New Roman" w:hAnsi="Calibri" w:cs="Times New Roman"/>
                <w:b/>
                <w:bCs/>
                <w:color w:val="000000"/>
                <w:szCs w:val="21"/>
                <w:lang w:eastAsia="cs-CZ"/>
              </w:rPr>
              <w:t xml:space="preserve">Průměrné náklady na </w:t>
            </w:r>
            <w:r w:rsidRPr="00963C2D">
              <w:rPr>
                <w:rFonts w:ascii="Calibri" w:eastAsia="Times New Roman" w:hAnsi="Calibri" w:cs="Times New Roman"/>
                <w:b/>
                <w:bCs/>
                <w:color w:val="000000"/>
                <w:szCs w:val="21"/>
                <w:lang w:eastAsia="cs-CZ"/>
              </w:rPr>
              <w:br/>
              <w:t xml:space="preserve">1 ošetřeného cizince </w:t>
            </w:r>
            <w:r w:rsidRPr="00963C2D">
              <w:rPr>
                <w:rFonts w:ascii="Calibri" w:eastAsia="Times New Roman" w:hAnsi="Calibri" w:cs="Times New Roman"/>
                <w:bCs/>
                <w:color w:val="000000"/>
                <w:szCs w:val="21"/>
                <w:lang w:eastAsia="cs-CZ"/>
              </w:rPr>
              <w:t>(tis.</w:t>
            </w:r>
            <w:r w:rsidR="005A162A" w:rsidRPr="00963C2D">
              <w:rPr>
                <w:rFonts w:ascii="Calibri" w:eastAsia="Times New Roman" w:hAnsi="Calibri" w:cs="Times New Roman"/>
                <w:bCs/>
                <w:color w:val="000000"/>
                <w:szCs w:val="21"/>
                <w:lang w:eastAsia="cs-CZ"/>
              </w:rPr>
              <w:t xml:space="preserve"> </w:t>
            </w:r>
            <w:r w:rsidRPr="00963C2D">
              <w:rPr>
                <w:rFonts w:ascii="Calibri" w:eastAsia="Times New Roman" w:hAnsi="Calibri" w:cs="Times New Roman"/>
                <w:bCs/>
                <w:color w:val="000000"/>
                <w:szCs w:val="21"/>
                <w:lang w:eastAsia="cs-CZ"/>
              </w:rPr>
              <w:t>Kč)</w:t>
            </w:r>
          </w:p>
        </w:tc>
        <w:tc>
          <w:tcPr>
            <w:tcW w:w="992" w:type="dxa"/>
            <w:shd w:val="clear" w:color="auto" w:fill="DBE5F1"/>
            <w:vAlign w:val="center"/>
            <w:hideMark/>
          </w:tcPr>
          <w:p w:rsidR="00D85079" w:rsidRPr="00963C2D" w:rsidRDefault="00D85079" w:rsidP="00D85079">
            <w:pPr>
              <w:spacing w:after="0" w:line="240" w:lineRule="auto"/>
              <w:jc w:val="right"/>
              <w:rPr>
                <w:rFonts w:ascii="Calibri" w:hAnsi="Calibri" w:cs="Calibri"/>
                <w:color w:val="000000"/>
                <w:szCs w:val="21"/>
              </w:rPr>
            </w:pPr>
            <w:r w:rsidRPr="00963C2D">
              <w:rPr>
                <w:rFonts w:ascii="Calibri" w:hAnsi="Calibri" w:cs="Calibri"/>
                <w:color w:val="000000"/>
                <w:szCs w:val="21"/>
              </w:rPr>
              <w:t>5,54</w:t>
            </w:r>
          </w:p>
        </w:tc>
        <w:tc>
          <w:tcPr>
            <w:tcW w:w="992" w:type="dxa"/>
            <w:shd w:val="clear" w:color="auto" w:fill="auto"/>
            <w:vAlign w:val="center"/>
            <w:hideMark/>
          </w:tcPr>
          <w:p w:rsidR="00D85079" w:rsidRPr="00963C2D" w:rsidRDefault="00D85079" w:rsidP="00D85079">
            <w:pPr>
              <w:spacing w:after="0" w:line="240" w:lineRule="auto"/>
              <w:jc w:val="right"/>
              <w:rPr>
                <w:rFonts w:ascii="Calibri" w:hAnsi="Calibri" w:cs="Calibri"/>
                <w:color w:val="000000"/>
                <w:szCs w:val="21"/>
              </w:rPr>
            </w:pPr>
            <w:r w:rsidRPr="00963C2D">
              <w:rPr>
                <w:rFonts w:ascii="Calibri" w:hAnsi="Calibri" w:cs="Calibri"/>
                <w:color w:val="000000"/>
                <w:szCs w:val="21"/>
              </w:rPr>
              <w:t>5,98</w:t>
            </w:r>
          </w:p>
        </w:tc>
        <w:tc>
          <w:tcPr>
            <w:tcW w:w="992" w:type="dxa"/>
            <w:shd w:val="clear" w:color="auto" w:fill="DBE5F1"/>
            <w:vAlign w:val="center"/>
            <w:hideMark/>
          </w:tcPr>
          <w:p w:rsidR="00D85079" w:rsidRPr="00963C2D" w:rsidRDefault="00D85079" w:rsidP="00D85079">
            <w:pPr>
              <w:spacing w:after="0" w:line="240" w:lineRule="auto"/>
              <w:jc w:val="right"/>
              <w:rPr>
                <w:rFonts w:ascii="Calibri" w:hAnsi="Calibri" w:cs="Calibri"/>
                <w:color w:val="000000"/>
                <w:szCs w:val="21"/>
              </w:rPr>
            </w:pPr>
            <w:r w:rsidRPr="00963C2D">
              <w:rPr>
                <w:rFonts w:ascii="Calibri" w:hAnsi="Calibri" w:cs="Calibri"/>
                <w:color w:val="000000"/>
                <w:szCs w:val="21"/>
              </w:rPr>
              <w:t>6,28</w:t>
            </w:r>
          </w:p>
        </w:tc>
        <w:tc>
          <w:tcPr>
            <w:tcW w:w="938" w:type="dxa"/>
            <w:shd w:val="clear" w:color="auto" w:fill="auto"/>
            <w:vAlign w:val="center"/>
            <w:hideMark/>
          </w:tcPr>
          <w:p w:rsidR="00D85079" w:rsidRPr="00963C2D" w:rsidRDefault="00D85079" w:rsidP="00D85079">
            <w:pPr>
              <w:spacing w:after="0" w:line="240" w:lineRule="auto"/>
              <w:jc w:val="right"/>
              <w:rPr>
                <w:rFonts w:ascii="Calibri" w:hAnsi="Calibri" w:cs="Calibri"/>
                <w:color w:val="000000"/>
                <w:szCs w:val="21"/>
              </w:rPr>
            </w:pPr>
            <w:r w:rsidRPr="00963C2D">
              <w:rPr>
                <w:rFonts w:ascii="Calibri" w:hAnsi="Calibri" w:cs="Calibri"/>
                <w:color w:val="000000"/>
                <w:szCs w:val="21"/>
              </w:rPr>
              <w:t>6,41</w:t>
            </w:r>
          </w:p>
        </w:tc>
        <w:tc>
          <w:tcPr>
            <w:tcW w:w="1040" w:type="dxa"/>
            <w:shd w:val="clear" w:color="auto" w:fill="DBE5F1"/>
            <w:vAlign w:val="center"/>
            <w:hideMark/>
          </w:tcPr>
          <w:p w:rsidR="00D85079" w:rsidRPr="00963C2D" w:rsidRDefault="00D85079" w:rsidP="00D85079">
            <w:pPr>
              <w:spacing w:after="0" w:line="240" w:lineRule="auto"/>
              <w:jc w:val="right"/>
              <w:rPr>
                <w:rFonts w:ascii="Calibri" w:hAnsi="Calibri" w:cs="Calibri"/>
                <w:color w:val="000000"/>
                <w:szCs w:val="21"/>
              </w:rPr>
            </w:pPr>
            <w:r w:rsidRPr="00963C2D">
              <w:rPr>
                <w:rFonts w:ascii="Calibri" w:hAnsi="Calibri" w:cs="Calibri"/>
                <w:color w:val="000000"/>
                <w:szCs w:val="21"/>
              </w:rPr>
              <w:t>6,50</w:t>
            </w:r>
          </w:p>
        </w:tc>
        <w:tc>
          <w:tcPr>
            <w:tcW w:w="1041" w:type="dxa"/>
            <w:shd w:val="clear" w:color="auto" w:fill="auto"/>
            <w:vAlign w:val="center"/>
            <w:hideMark/>
          </w:tcPr>
          <w:p w:rsidR="00D85079" w:rsidRPr="00963C2D" w:rsidRDefault="00D85079" w:rsidP="00D85079">
            <w:pPr>
              <w:spacing w:after="0" w:line="240" w:lineRule="auto"/>
              <w:jc w:val="right"/>
              <w:rPr>
                <w:rFonts w:ascii="Calibri" w:hAnsi="Calibri" w:cs="Calibri"/>
                <w:color w:val="000000"/>
                <w:szCs w:val="21"/>
              </w:rPr>
            </w:pPr>
            <w:r w:rsidRPr="00963C2D">
              <w:rPr>
                <w:rFonts w:ascii="Calibri" w:hAnsi="Calibri" w:cs="Calibri"/>
                <w:color w:val="000000"/>
                <w:szCs w:val="21"/>
              </w:rPr>
              <w:t>7,05</w:t>
            </w:r>
          </w:p>
        </w:tc>
        <w:tc>
          <w:tcPr>
            <w:tcW w:w="1041" w:type="dxa"/>
            <w:shd w:val="clear" w:color="auto" w:fill="DBE5F1"/>
            <w:vAlign w:val="center"/>
          </w:tcPr>
          <w:p w:rsidR="00D85079" w:rsidRPr="00963C2D" w:rsidRDefault="00D85079" w:rsidP="00D85079">
            <w:pPr>
              <w:spacing w:after="0" w:line="240" w:lineRule="auto"/>
              <w:jc w:val="right"/>
              <w:rPr>
                <w:rFonts w:ascii="Calibri" w:hAnsi="Calibri" w:cs="Calibri"/>
                <w:color w:val="000000"/>
                <w:szCs w:val="21"/>
              </w:rPr>
            </w:pPr>
            <w:r w:rsidRPr="00963C2D">
              <w:rPr>
                <w:rFonts w:ascii="Calibri" w:hAnsi="Calibri" w:cs="Calibri"/>
                <w:color w:val="000000"/>
                <w:szCs w:val="21"/>
              </w:rPr>
              <w:t>7,22</w:t>
            </w:r>
          </w:p>
        </w:tc>
      </w:tr>
    </w:tbl>
    <w:p w:rsidR="00B456F9" w:rsidRPr="00F72C92" w:rsidRDefault="00B456F9" w:rsidP="00B456F9">
      <w:pPr>
        <w:spacing w:before="180"/>
        <w:jc w:val="both"/>
      </w:pPr>
      <w:r w:rsidRPr="00F72C92">
        <w:rPr>
          <w:rFonts w:eastAsia="Calibri"/>
        </w:rPr>
        <w:t xml:space="preserve">Objemy úhrad na léčení </w:t>
      </w:r>
      <w:r w:rsidRPr="00F72C92">
        <w:t xml:space="preserve">zahraničních pojištěnců </w:t>
      </w:r>
      <w:r w:rsidRPr="00F72C92">
        <w:rPr>
          <w:rFonts w:eastAsia="Calibri"/>
        </w:rPr>
        <w:t>nelze plánovat s vyšší přesností, pouze je možné provést odhad dle minulého vývoje.</w:t>
      </w:r>
      <w:r w:rsidRPr="00F72C92">
        <w:t xml:space="preserve"> Očekává se i nadále pokračující trend nárůstu nákladů s ohledem na zvyšující se počet migrujících občanů jiných členských států EU, EHP, Švýcarské konfederace a dalších smluvních států, kterým byly v ČR poskytnuty zdravotní služby.</w:t>
      </w:r>
    </w:p>
    <w:p w:rsidR="00B456F9" w:rsidRPr="00D85079" w:rsidRDefault="00B456F9" w:rsidP="00B456F9">
      <w:pPr>
        <w:pStyle w:val="Titulek"/>
        <w:jc w:val="both"/>
      </w:pPr>
      <w:bookmarkStart w:id="70" w:name="_Toc25073790"/>
      <w:bookmarkStart w:id="71" w:name="_Toc63685276"/>
      <w:r w:rsidRPr="00D85079">
        <w:lastRenderedPageBreak/>
        <w:t xml:space="preserve">Tabulka č. </w:t>
      </w:r>
      <w:r w:rsidR="008E5E29" w:rsidRPr="00D85079">
        <w:rPr>
          <w:noProof/>
        </w:rPr>
        <w:fldChar w:fldCharType="begin"/>
      </w:r>
      <w:r w:rsidRPr="00D85079">
        <w:rPr>
          <w:noProof/>
        </w:rPr>
        <w:instrText xml:space="preserve"> SEQ Tabulka \* ARABIC </w:instrText>
      </w:r>
      <w:r w:rsidR="008E5E29" w:rsidRPr="00D85079">
        <w:rPr>
          <w:noProof/>
        </w:rPr>
        <w:fldChar w:fldCharType="separate"/>
      </w:r>
      <w:r w:rsidR="006D5C90">
        <w:rPr>
          <w:noProof/>
        </w:rPr>
        <w:t>23</w:t>
      </w:r>
      <w:r w:rsidR="008E5E29" w:rsidRPr="00D85079">
        <w:rPr>
          <w:noProof/>
        </w:rPr>
        <w:fldChar w:fldCharType="end"/>
      </w:r>
      <w:r w:rsidRPr="00D85079">
        <w:t>: Vývoj nákladů na léčení zahraničních pojištěnců v České republice v r. 202</w:t>
      </w:r>
      <w:r w:rsidR="00804AFC">
        <w:t>1</w:t>
      </w:r>
      <w:r w:rsidRPr="00D85079">
        <w:t xml:space="preserve"> dle zdravotních pojišťoven</w:t>
      </w:r>
      <w:bookmarkEnd w:id="70"/>
      <w:bookmarkEnd w:id="71"/>
    </w:p>
    <w:tbl>
      <w:tblPr>
        <w:tblW w:w="9639" w:type="dxa"/>
        <w:jc w:val="center"/>
        <w:tblBorders>
          <w:top w:val="single" w:sz="12" w:space="0" w:color="548DD4" w:themeColor="text2" w:themeTint="99"/>
          <w:left w:val="single" w:sz="12" w:space="0" w:color="548DD4" w:themeColor="text2" w:themeTint="99"/>
          <w:bottom w:val="single" w:sz="12" w:space="0" w:color="548DD4" w:themeColor="text2" w:themeTint="99"/>
          <w:right w:val="single" w:sz="12" w:space="0" w:color="548DD4" w:themeColor="text2" w:themeTint="99"/>
        </w:tblBorders>
        <w:tblCellMar>
          <w:left w:w="70" w:type="dxa"/>
          <w:right w:w="70" w:type="dxa"/>
        </w:tblCellMar>
        <w:tblLook w:val="04A0" w:firstRow="1" w:lastRow="0" w:firstColumn="1" w:lastColumn="0" w:noHBand="0" w:noVBand="1"/>
      </w:tblPr>
      <w:tblGrid>
        <w:gridCol w:w="2567"/>
        <w:gridCol w:w="962"/>
        <w:gridCol w:w="992"/>
        <w:gridCol w:w="993"/>
        <w:gridCol w:w="1008"/>
        <w:gridCol w:w="992"/>
        <w:gridCol w:w="1031"/>
        <w:gridCol w:w="1094"/>
      </w:tblGrid>
      <w:tr w:rsidR="00B456F9" w:rsidRPr="00D85079" w:rsidTr="00963C2D">
        <w:trPr>
          <w:trHeight w:val="568"/>
          <w:jc w:val="center"/>
        </w:trPr>
        <w:tc>
          <w:tcPr>
            <w:tcW w:w="2567" w:type="dxa"/>
            <w:shd w:val="clear" w:color="auto" w:fill="4F81BD"/>
            <w:vAlign w:val="center"/>
            <w:hideMark/>
          </w:tcPr>
          <w:p w:rsidR="00B456F9" w:rsidRPr="00963C2D" w:rsidRDefault="00B456F9" w:rsidP="00963C2D">
            <w:pPr>
              <w:spacing w:after="0" w:line="240" w:lineRule="auto"/>
              <w:rPr>
                <w:rFonts w:ascii="Calibri" w:eastAsia="Times New Roman" w:hAnsi="Calibri" w:cs="Times New Roman"/>
                <w:b/>
                <w:bCs/>
                <w:color w:val="FFFFFF"/>
                <w:szCs w:val="21"/>
                <w:lang w:eastAsia="cs-CZ"/>
              </w:rPr>
            </w:pPr>
            <w:r w:rsidRPr="00963C2D">
              <w:rPr>
                <w:rFonts w:ascii="Calibri" w:eastAsia="Times New Roman" w:hAnsi="Calibri" w:cs="Times New Roman"/>
                <w:b/>
                <w:bCs/>
                <w:color w:val="FFFFFF"/>
                <w:szCs w:val="21"/>
                <w:lang w:eastAsia="cs-CZ"/>
              </w:rPr>
              <w:t>ZPP 202</w:t>
            </w:r>
            <w:r w:rsidR="00804AFC" w:rsidRPr="00963C2D">
              <w:rPr>
                <w:rFonts w:ascii="Calibri" w:eastAsia="Times New Roman" w:hAnsi="Calibri" w:cs="Times New Roman"/>
                <w:b/>
                <w:bCs/>
                <w:color w:val="FFFFFF"/>
                <w:szCs w:val="21"/>
                <w:lang w:eastAsia="cs-CZ"/>
              </w:rPr>
              <w:t>1</w:t>
            </w:r>
          </w:p>
        </w:tc>
        <w:tc>
          <w:tcPr>
            <w:tcW w:w="962" w:type="dxa"/>
            <w:shd w:val="clear" w:color="auto" w:fill="6691C6"/>
            <w:vAlign w:val="center"/>
          </w:tcPr>
          <w:p w:rsidR="00B456F9" w:rsidRPr="00963C2D" w:rsidRDefault="00B456F9" w:rsidP="004D6049">
            <w:pPr>
              <w:spacing w:after="0" w:line="240" w:lineRule="auto"/>
              <w:jc w:val="center"/>
              <w:rPr>
                <w:rFonts w:ascii="Calibri" w:eastAsia="Times New Roman" w:hAnsi="Calibri" w:cs="Times New Roman"/>
                <w:color w:val="FFFFFF"/>
                <w:szCs w:val="21"/>
                <w:lang w:eastAsia="cs-CZ"/>
              </w:rPr>
            </w:pPr>
            <w:r w:rsidRPr="00963C2D">
              <w:rPr>
                <w:rFonts w:ascii="Calibri" w:eastAsia="Times New Roman" w:hAnsi="Calibri" w:cs="Times New Roman"/>
                <w:color w:val="FFFFFF"/>
                <w:szCs w:val="21"/>
                <w:lang w:eastAsia="cs-CZ"/>
              </w:rPr>
              <w:t>VZP ČR</w:t>
            </w:r>
          </w:p>
        </w:tc>
        <w:tc>
          <w:tcPr>
            <w:tcW w:w="992" w:type="dxa"/>
            <w:shd w:val="clear" w:color="auto" w:fill="4F81BD"/>
            <w:vAlign w:val="center"/>
            <w:hideMark/>
          </w:tcPr>
          <w:p w:rsidR="00B456F9" w:rsidRPr="00963C2D" w:rsidRDefault="00B456F9" w:rsidP="004D6049">
            <w:pPr>
              <w:spacing w:after="0" w:line="240" w:lineRule="auto"/>
              <w:jc w:val="center"/>
              <w:rPr>
                <w:rFonts w:ascii="Calibri" w:eastAsia="Times New Roman" w:hAnsi="Calibri" w:cs="Times New Roman"/>
                <w:color w:val="FFFFFF"/>
                <w:szCs w:val="21"/>
                <w:lang w:eastAsia="cs-CZ"/>
              </w:rPr>
            </w:pPr>
            <w:proofErr w:type="spellStart"/>
            <w:r w:rsidRPr="00963C2D">
              <w:rPr>
                <w:rFonts w:ascii="Calibri" w:eastAsia="Times New Roman" w:hAnsi="Calibri" w:cs="Times New Roman"/>
                <w:color w:val="FFFFFF"/>
                <w:szCs w:val="21"/>
                <w:lang w:eastAsia="cs-CZ"/>
              </w:rPr>
              <w:t>VoZP</w:t>
            </w:r>
            <w:proofErr w:type="spellEnd"/>
            <w:r w:rsidRPr="00963C2D">
              <w:rPr>
                <w:rFonts w:ascii="Calibri" w:eastAsia="Times New Roman" w:hAnsi="Calibri" w:cs="Times New Roman"/>
                <w:color w:val="FFFFFF"/>
                <w:szCs w:val="21"/>
                <w:lang w:eastAsia="cs-CZ"/>
              </w:rPr>
              <w:t xml:space="preserve"> ČR</w:t>
            </w:r>
          </w:p>
        </w:tc>
        <w:tc>
          <w:tcPr>
            <w:tcW w:w="993" w:type="dxa"/>
            <w:shd w:val="clear" w:color="auto" w:fill="6691C6"/>
            <w:vAlign w:val="center"/>
            <w:hideMark/>
          </w:tcPr>
          <w:p w:rsidR="00B456F9" w:rsidRPr="00963C2D" w:rsidRDefault="00B456F9" w:rsidP="004D6049">
            <w:pPr>
              <w:spacing w:after="0" w:line="240" w:lineRule="auto"/>
              <w:jc w:val="center"/>
              <w:rPr>
                <w:rFonts w:ascii="Calibri" w:eastAsia="Times New Roman" w:hAnsi="Calibri" w:cs="Times New Roman"/>
                <w:color w:val="FFFFFF"/>
                <w:szCs w:val="21"/>
                <w:lang w:eastAsia="cs-CZ"/>
              </w:rPr>
            </w:pPr>
            <w:r w:rsidRPr="00963C2D">
              <w:rPr>
                <w:rFonts w:ascii="Calibri" w:eastAsia="Times New Roman" w:hAnsi="Calibri" w:cs="Times New Roman"/>
                <w:color w:val="FFFFFF"/>
                <w:szCs w:val="21"/>
                <w:lang w:eastAsia="cs-CZ"/>
              </w:rPr>
              <w:t>ČPZP</w:t>
            </w:r>
          </w:p>
        </w:tc>
        <w:tc>
          <w:tcPr>
            <w:tcW w:w="1008" w:type="dxa"/>
            <w:shd w:val="clear" w:color="auto" w:fill="4F81BD"/>
            <w:vAlign w:val="center"/>
            <w:hideMark/>
          </w:tcPr>
          <w:p w:rsidR="00B456F9" w:rsidRPr="00963C2D" w:rsidRDefault="00B456F9" w:rsidP="004D6049">
            <w:pPr>
              <w:spacing w:after="0" w:line="240" w:lineRule="auto"/>
              <w:jc w:val="center"/>
              <w:rPr>
                <w:rFonts w:ascii="Calibri" w:eastAsia="Times New Roman" w:hAnsi="Calibri" w:cs="Times New Roman"/>
                <w:color w:val="FFFFFF"/>
                <w:szCs w:val="21"/>
                <w:lang w:eastAsia="cs-CZ"/>
              </w:rPr>
            </w:pPr>
            <w:r w:rsidRPr="00963C2D">
              <w:rPr>
                <w:rFonts w:ascii="Calibri" w:eastAsia="Times New Roman" w:hAnsi="Calibri" w:cs="Times New Roman"/>
                <w:color w:val="FFFFFF"/>
                <w:szCs w:val="21"/>
                <w:lang w:eastAsia="cs-CZ"/>
              </w:rPr>
              <w:t>OZP</w:t>
            </w:r>
          </w:p>
        </w:tc>
        <w:tc>
          <w:tcPr>
            <w:tcW w:w="992" w:type="dxa"/>
            <w:shd w:val="clear" w:color="auto" w:fill="6691C6"/>
            <w:vAlign w:val="center"/>
            <w:hideMark/>
          </w:tcPr>
          <w:p w:rsidR="00B456F9" w:rsidRPr="00963C2D" w:rsidRDefault="00B456F9" w:rsidP="004D6049">
            <w:pPr>
              <w:spacing w:after="0" w:line="240" w:lineRule="auto"/>
              <w:jc w:val="center"/>
              <w:rPr>
                <w:rFonts w:ascii="Calibri" w:eastAsia="Times New Roman" w:hAnsi="Calibri" w:cs="Times New Roman"/>
                <w:color w:val="FFFFFF"/>
                <w:szCs w:val="21"/>
                <w:lang w:eastAsia="cs-CZ"/>
              </w:rPr>
            </w:pPr>
            <w:r w:rsidRPr="00963C2D">
              <w:rPr>
                <w:rFonts w:ascii="Calibri" w:eastAsia="Times New Roman" w:hAnsi="Calibri" w:cs="Times New Roman"/>
                <w:color w:val="FFFFFF"/>
                <w:szCs w:val="21"/>
                <w:lang w:eastAsia="cs-CZ"/>
              </w:rPr>
              <w:t>ZPŠ</w:t>
            </w:r>
          </w:p>
        </w:tc>
        <w:tc>
          <w:tcPr>
            <w:tcW w:w="1031" w:type="dxa"/>
            <w:shd w:val="clear" w:color="auto" w:fill="4F81BD"/>
            <w:vAlign w:val="center"/>
            <w:hideMark/>
          </w:tcPr>
          <w:p w:rsidR="00B456F9" w:rsidRPr="00963C2D" w:rsidRDefault="00DF5584" w:rsidP="004D6049">
            <w:pPr>
              <w:spacing w:after="0" w:line="240" w:lineRule="auto"/>
              <w:jc w:val="center"/>
              <w:rPr>
                <w:rFonts w:ascii="Calibri" w:eastAsia="Times New Roman" w:hAnsi="Calibri" w:cs="Times New Roman"/>
                <w:color w:val="FFFFFF"/>
                <w:szCs w:val="21"/>
                <w:lang w:eastAsia="cs-CZ"/>
              </w:rPr>
            </w:pPr>
            <w:r w:rsidRPr="00963C2D">
              <w:rPr>
                <w:rFonts w:ascii="Calibri" w:eastAsia="Times New Roman" w:hAnsi="Calibri" w:cs="Times New Roman"/>
                <w:color w:val="FFFFFF"/>
                <w:szCs w:val="21"/>
                <w:lang w:eastAsia="cs-CZ"/>
              </w:rPr>
              <w:t>ZP MV ČR</w:t>
            </w:r>
          </w:p>
        </w:tc>
        <w:tc>
          <w:tcPr>
            <w:tcW w:w="1094" w:type="dxa"/>
            <w:shd w:val="clear" w:color="auto" w:fill="6691C6"/>
            <w:vAlign w:val="center"/>
          </w:tcPr>
          <w:p w:rsidR="00B456F9" w:rsidRPr="00963C2D" w:rsidRDefault="00B456F9" w:rsidP="004D6049">
            <w:pPr>
              <w:spacing w:after="0" w:line="240" w:lineRule="auto"/>
              <w:jc w:val="center"/>
              <w:rPr>
                <w:rFonts w:ascii="Calibri" w:eastAsia="Times New Roman" w:hAnsi="Calibri" w:cs="Times New Roman"/>
                <w:color w:val="FFFFFF"/>
                <w:szCs w:val="21"/>
                <w:lang w:eastAsia="cs-CZ"/>
              </w:rPr>
            </w:pPr>
            <w:r w:rsidRPr="00963C2D">
              <w:rPr>
                <w:rFonts w:ascii="Calibri" w:eastAsia="Times New Roman" w:hAnsi="Calibri" w:cs="Times New Roman"/>
                <w:color w:val="FFFFFF"/>
                <w:szCs w:val="21"/>
                <w:lang w:eastAsia="cs-CZ"/>
              </w:rPr>
              <w:t>RBP</w:t>
            </w:r>
          </w:p>
        </w:tc>
      </w:tr>
      <w:tr w:rsidR="00804AFC" w:rsidRPr="00D85079" w:rsidTr="001B2DFE">
        <w:trPr>
          <w:trHeight w:hRule="exact" w:val="510"/>
          <w:jc w:val="center"/>
        </w:trPr>
        <w:tc>
          <w:tcPr>
            <w:tcW w:w="2567" w:type="dxa"/>
            <w:shd w:val="clear" w:color="auto" w:fill="auto"/>
            <w:vAlign w:val="center"/>
          </w:tcPr>
          <w:p w:rsidR="00804AFC" w:rsidRPr="00963C2D" w:rsidRDefault="00804AFC" w:rsidP="00804AFC">
            <w:pPr>
              <w:spacing w:after="0" w:line="240" w:lineRule="auto"/>
              <w:rPr>
                <w:b/>
                <w:szCs w:val="21"/>
              </w:rPr>
            </w:pPr>
            <w:r w:rsidRPr="00963C2D">
              <w:rPr>
                <w:b/>
                <w:szCs w:val="21"/>
              </w:rPr>
              <w:t>Náklady na léčení cizinců (mil. Kč)</w:t>
            </w:r>
          </w:p>
        </w:tc>
        <w:tc>
          <w:tcPr>
            <w:tcW w:w="962" w:type="dxa"/>
            <w:shd w:val="clear" w:color="auto" w:fill="DBE5F1" w:themeFill="accent1" w:themeFillTint="33"/>
            <w:vAlign w:val="center"/>
          </w:tcPr>
          <w:p w:rsidR="00804AFC" w:rsidRPr="00963C2D" w:rsidRDefault="00804AFC" w:rsidP="00804AFC">
            <w:pPr>
              <w:spacing w:after="0" w:line="240" w:lineRule="auto"/>
              <w:jc w:val="right"/>
              <w:rPr>
                <w:rFonts w:cstheme="minorHAnsi"/>
                <w:szCs w:val="21"/>
              </w:rPr>
            </w:pPr>
            <w:r w:rsidRPr="00963C2D">
              <w:rPr>
                <w:rFonts w:cstheme="minorHAnsi"/>
                <w:szCs w:val="21"/>
              </w:rPr>
              <w:t>1 205</w:t>
            </w:r>
          </w:p>
        </w:tc>
        <w:tc>
          <w:tcPr>
            <w:tcW w:w="992" w:type="dxa"/>
            <w:shd w:val="clear" w:color="auto" w:fill="auto"/>
            <w:vAlign w:val="center"/>
          </w:tcPr>
          <w:p w:rsidR="00804AFC" w:rsidRPr="00963C2D" w:rsidRDefault="00804AFC" w:rsidP="00804AFC">
            <w:pPr>
              <w:spacing w:after="0" w:line="240" w:lineRule="auto"/>
              <w:jc w:val="right"/>
              <w:rPr>
                <w:rFonts w:cstheme="minorHAnsi"/>
                <w:szCs w:val="21"/>
              </w:rPr>
            </w:pPr>
            <w:r w:rsidRPr="00963C2D">
              <w:rPr>
                <w:rFonts w:cstheme="minorHAnsi"/>
                <w:szCs w:val="21"/>
              </w:rPr>
              <w:t>180</w:t>
            </w:r>
          </w:p>
        </w:tc>
        <w:tc>
          <w:tcPr>
            <w:tcW w:w="993" w:type="dxa"/>
            <w:shd w:val="clear" w:color="auto" w:fill="DBE5F1" w:themeFill="accent1" w:themeFillTint="33"/>
            <w:vAlign w:val="center"/>
          </w:tcPr>
          <w:p w:rsidR="00804AFC" w:rsidRPr="00963C2D" w:rsidRDefault="00804AFC" w:rsidP="00804AFC">
            <w:pPr>
              <w:spacing w:after="0" w:line="240" w:lineRule="auto"/>
              <w:jc w:val="right"/>
              <w:rPr>
                <w:rFonts w:cstheme="minorHAnsi"/>
                <w:szCs w:val="21"/>
              </w:rPr>
            </w:pPr>
            <w:r w:rsidRPr="00963C2D">
              <w:rPr>
                <w:rFonts w:cstheme="minorHAnsi"/>
                <w:szCs w:val="21"/>
              </w:rPr>
              <w:t>15</w:t>
            </w:r>
            <w:r w:rsidR="00791E4F" w:rsidRPr="00963C2D">
              <w:rPr>
                <w:rFonts w:cstheme="minorHAnsi"/>
                <w:szCs w:val="21"/>
              </w:rPr>
              <w:t>2</w:t>
            </w:r>
          </w:p>
        </w:tc>
        <w:tc>
          <w:tcPr>
            <w:tcW w:w="1008" w:type="dxa"/>
            <w:shd w:val="clear" w:color="auto" w:fill="auto"/>
            <w:vAlign w:val="center"/>
          </w:tcPr>
          <w:p w:rsidR="00804AFC" w:rsidRPr="00963C2D" w:rsidRDefault="00804AFC" w:rsidP="00804AFC">
            <w:pPr>
              <w:spacing w:after="0" w:line="240" w:lineRule="auto"/>
              <w:jc w:val="right"/>
              <w:rPr>
                <w:rFonts w:cstheme="minorHAnsi"/>
                <w:szCs w:val="21"/>
              </w:rPr>
            </w:pPr>
            <w:r w:rsidRPr="00963C2D">
              <w:rPr>
                <w:rFonts w:cstheme="minorHAnsi"/>
                <w:szCs w:val="21"/>
              </w:rPr>
              <w:t xml:space="preserve">57 </w:t>
            </w:r>
          </w:p>
        </w:tc>
        <w:tc>
          <w:tcPr>
            <w:tcW w:w="992" w:type="dxa"/>
            <w:shd w:val="clear" w:color="auto" w:fill="DBE5F1" w:themeFill="accent1" w:themeFillTint="33"/>
            <w:vAlign w:val="center"/>
          </w:tcPr>
          <w:p w:rsidR="00804AFC" w:rsidRPr="00963C2D" w:rsidRDefault="00804AFC" w:rsidP="00804AFC">
            <w:pPr>
              <w:spacing w:after="0" w:line="240" w:lineRule="auto"/>
              <w:jc w:val="right"/>
              <w:rPr>
                <w:rFonts w:cstheme="minorHAnsi"/>
                <w:szCs w:val="21"/>
              </w:rPr>
            </w:pPr>
            <w:r w:rsidRPr="00963C2D">
              <w:rPr>
                <w:rFonts w:cstheme="minorHAnsi"/>
                <w:szCs w:val="21"/>
              </w:rPr>
              <w:t>11</w:t>
            </w:r>
          </w:p>
        </w:tc>
        <w:tc>
          <w:tcPr>
            <w:tcW w:w="1031" w:type="dxa"/>
            <w:shd w:val="clear" w:color="auto" w:fill="auto"/>
            <w:vAlign w:val="center"/>
          </w:tcPr>
          <w:p w:rsidR="00804AFC" w:rsidRPr="00963C2D" w:rsidRDefault="00804AFC" w:rsidP="00804AFC">
            <w:pPr>
              <w:spacing w:after="0" w:line="240" w:lineRule="auto"/>
              <w:jc w:val="right"/>
              <w:rPr>
                <w:rFonts w:cstheme="minorHAnsi"/>
                <w:szCs w:val="21"/>
              </w:rPr>
            </w:pPr>
            <w:r w:rsidRPr="00963C2D">
              <w:rPr>
                <w:rFonts w:cstheme="minorHAnsi"/>
                <w:szCs w:val="21"/>
              </w:rPr>
              <w:t>205</w:t>
            </w:r>
          </w:p>
        </w:tc>
        <w:tc>
          <w:tcPr>
            <w:tcW w:w="1094" w:type="dxa"/>
            <w:shd w:val="clear" w:color="auto" w:fill="DBE5F1" w:themeFill="accent1" w:themeFillTint="33"/>
            <w:vAlign w:val="center"/>
          </w:tcPr>
          <w:p w:rsidR="00804AFC" w:rsidRPr="00963C2D" w:rsidRDefault="00804AFC" w:rsidP="00804AFC">
            <w:pPr>
              <w:spacing w:after="0" w:line="240" w:lineRule="auto"/>
              <w:jc w:val="right"/>
              <w:rPr>
                <w:rFonts w:cstheme="minorHAnsi"/>
                <w:szCs w:val="21"/>
              </w:rPr>
            </w:pPr>
            <w:r w:rsidRPr="00963C2D">
              <w:rPr>
                <w:rFonts w:cstheme="minorHAnsi"/>
                <w:szCs w:val="21"/>
              </w:rPr>
              <w:t>21</w:t>
            </w:r>
          </w:p>
        </w:tc>
      </w:tr>
      <w:tr w:rsidR="00804AFC" w:rsidRPr="00D85079" w:rsidTr="001B2DFE">
        <w:trPr>
          <w:trHeight w:hRule="exact" w:val="365"/>
          <w:jc w:val="center"/>
        </w:trPr>
        <w:tc>
          <w:tcPr>
            <w:tcW w:w="2567" w:type="dxa"/>
            <w:shd w:val="clear" w:color="auto" w:fill="EEF3F8"/>
            <w:vAlign w:val="center"/>
          </w:tcPr>
          <w:p w:rsidR="00804AFC" w:rsidRPr="00963C2D" w:rsidRDefault="00804AFC" w:rsidP="00804AFC">
            <w:pPr>
              <w:spacing w:after="0" w:line="240" w:lineRule="auto"/>
              <w:rPr>
                <w:b/>
                <w:szCs w:val="21"/>
              </w:rPr>
            </w:pPr>
            <w:r w:rsidRPr="00963C2D">
              <w:rPr>
                <w:b/>
                <w:szCs w:val="21"/>
              </w:rPr>
              <w:t>Počet ošetřených cizinců</w:t>
            </w:r>
          </w:p>
        </w:tc>
        <w:tc>
          <w:tcPr>
            <w:tcW w:w="962" w:type="dxa"/>
            <w:shd w:val="clear" w:color="auto" w:fill="EEF3F8"/>
            <w:noWrap/>
            <w:vAlign w:val="center"/>
          </w:tcPr>
          <w:p w:rsidR="00804AFC" w:rsidRPr="00963C2D" w:rsidRDefault="00804AFC" w:rsidP="00804AFC">
            <w:pPr>
              <w:spacing w:after="0" w:line="240" w:lineRule="auto"/>
              <w:jc w:val="right"/>
              <w:rPr>
                <w:rFonts w:cstheme="minorHAnsi"/>
                <w:szCs w:val="21"/>
              </w:rPr>
            </w:pPr>
            <w:r w:rsidRPr="00963C2D">
              <w:rPr>
                <w:rFonts w:cstheme="minorHAnsi"/>
                <w:szCs w:val="21"/>
              </w:rPr>
              <w:t>180 000</w:t>
            </w:r>
          </w:p>
        </w:tc>
        <w:tc>
          <w:tcPr>
            <w:tcW w:w="992" w:type="dxa"/>
            <w:shd w:val="clear" w:color="auto" w:fill="EEF3F8"/>
            <w:noWrap/>
            <w:vAlign w:val="center"/>
          </w:tcPr>
          <w:p w:rsidR="00804AFC" w:rsidRPr="00963C2D" w:rsidRDefault="00804AFC" w:rsidP="00804AFC">
            <w:pPr>
              <w:spacing w:after="0" w:line="240" w:lineRule="auto"/>
              <w:jc w:val="right"/>
              <w:rPr>
                <w:rFonts w:cstheme="minorHAnsi"/>
                <w:szCs w:val="21"/>
              </w:rPr>
            </w:pPr>
            <w:r w:rsidRPr="00963C2D">
              <w:rPr>
                <w:rFonts w:cstheme="minorHAnsi"/>
                <w:szCs w:val="21"/>
              </w:rPr>
              <w:t>11 800</w:t>
            </w:r>
          </w:p>
        </w:tc>
        <w:tc>
          <w:tcPr>
            <w:tcW w:w="993" w:type="dxa"/>
            <w:shd w:val="clear" w:color="auto" w:fill="EEF3F8"/>
            <w:noWrap/>
            <w:vAlign w:val="center"/>
          </w:tcPr>
          <w:p w:rsidR="00804AFC" w:rsidRPr="00963C2D" w:rsidRDefault="00804AFC" w:rsidP="00804AFC">
            <w:pPr>
              <w:spacing w:after="0" w:line="240" w:lineRule="auto"/>
              <w:jc w:val="right"/>
              <w:rPr>
                <w:rFonts w:cstheme="minorHAnsi"/>
                <w:szCs w:val="21"/>
              </w:rPr>
            </w:pPr>
            <w:r w:rsidRPr="00963C2D">
              <w:rPr>
                <w:rFonts w:cstheme="minorHAnsi"/>
                <w:szCs w:val="21"/>
              </w:rPr>
              <w:t>24 080</w:t>
            </w:r>
          </w:p>
        </w:tc>
        <w:tc>
          <w:tcPr>
            <w:tcW w:w="1008" w:type="dxa"/>
            <w:shd w:val="clear" w:color="auto" w:fill="EEF3F8"/>
            <w:noWrap/>
            <w:vAlign w:val="center"/>
          </w:tcPr>
          <w:p w:rsidR="00804AFC" w:rsidRPr="00963C2D" w:rsidRDefault="00804AFC" w:rsidP="00804AFC">
            <w:pPr>
              <w:spacing w:after="0" w:line="240" w:lineRule="auto"/>
              <w:jc w:val="right"/>
              <w:rPr>
                <w:rFonts w:cstheme="minorHAnsi"/>
                <w:szCs w:val="21"/>
              </w:rPr>
            </w:pPr>
            <w:r w:rsidRPr="00963C2D">
              <w:rPr>
                <w:rFonts w:cstheme="minorHAnsi"/>
                <w:szCs w:val="21"/>
              </w:rPr>
              <w:t>3 900</w:t>
            </w:r>
          </w:p>
        </w:tc>
        <w:tc>
          <w:tcPr>
            <w:tcW w:w="992" w:type="dxa"/>
            <w:shd w:val="clear" w:color="auto" w:fill="EEF3F8"/>
            <w:noWrap/>
            <w:vAlign w:val="center"/>
          </w:tcPr>
          <w:p w:rsidR="00804AFC" w:rsidRPr="00963C2D" w:rsidRDefault="00804AFC" w:rsidP="00804AFC">
            <w:pPr>
              <w:spacing w:after="0" w:line="240" w:lineRule="auto"/>
              <w:jc w:val="right"/>
              <w:rPr>
                <w:rFonts w:cstheme="minorHAnsi"/>
                <w:szCs w:val="21"/>
              </w:rPr>
            </w:pPr>
            <w:r w:rsidRPr="00963C2D">
              <w:rPr>
                <w:rFonts w:cstheme="minorHAnsi"/>
                <w:szCs w:val="21"/>
              </w:rPr>
              <w:t>1 100</w:t>
            </w:r>
          </w:p>
        </w:tc>
        <w:tc>
          <w:tcPr>
            <w:tcW w:w="1031" w:type="dxa"/>
            <w:shd w:val="clear" w:color="auto" w:fill="EEF3F8"/>
            <w:noWrap/>
            <w:vAlign w:val="center"/>
          </w:tcPr>
          <w:p w:rsidR="00804AFC" w:rsidRPr="00963C2D" w:rsidRDefault="00804AFC" w:rsidP="00804AFC">
            <w:pPr>
              <w:spacing w:after="0" w:line="240" w:lineRule="auto"/>
              <w:jc w:val="right"/>
              <w:rPr>
                <w:rFonts w:cstheme="minorHAnsi"/>
                <w:szCs w:val="21"/>
              </w:rPr>
            </w:pPr>
            <w:r w:rsidRPr="00963C2D">
              <w:rPr>
                <w:rFonts w:cstheme="minorHAnsi"/>
                <w:szCs w:val="21"/>
              </w:rPr>
              <w:t>29 700</w:t>
            </w:r>
          </w:p>
        </w:tc>
        <w:tc>
          <w:tcPr>
            <w:tcW w:w="1094" w:type="dxa"/>
            <w:shd w:val="clear" w:color="auto" w:fill="EEF3F8"/>
            <w:vAlign w:val="center"/>
          </w:tcPr>
          <w:p w:rsidR="00804AFC" w:rsidRPr="00963C2D" w:rsidRDefault="00804AFC" w:rsidP="00804AFC">
            <w:pPr>
              <w:spacing w:after="0" w:line="240" w:lineRule="auto"/>
              <w:jc w:val="right"/>
              <w:rPr>
                <w:rFonts w:cstheme="minorHAnsi"/>
                <w:color w:val="000000"/>
                <w:szCs w:val="21"/>
              </w:rPr>
            </w:pPr>
            <w:r w:rsidRPr="00963C2D">
              <w:rPr>
                <w:rFonts w:cstheme="minorHAnsi"/>
                <w:szCs w:val="21"/>
              </w:rPr>
              <w:t>3 000</w:t>
            </w:r>
          </w:p>
        </w:tc>
      </w:tr>
      <w:tr w:rsidR="00804AFC" w:rsidRPr="00D85079" w:rsidTr="001B2DFE">
        <w:trPr>
          <w:trHeight w:hRule="exact" w:val="502"/>
          <w:jc w:val="center"/>
        </w:trPr>
        <w:tc>
          <w:tcPr>
            <w:tcW w:w="2567" w:type="dxa"/>
            <w:shd w:val="clear" w:color="auto" w:fill="auto"/>
            <w:vAlign w:val="center"/>
          </w:tcPr>
          <w:p w:rsidR="00804AFC" w:rsidRPr="00963C2D" w:rsidRDefault="00804AFC" w:rsidP="00804AFC">
            <w:pPr>
              <w:spacing w:after="0" w:line="240" w:lineRule="auto"/>
              <w:rPr>
                <w:b/>
                <w:szCs w:val="21"/>
              </w:rPr>
            </w:pPr>
            <w:r w:rsidRPr="00963C2D">
              <w:rPr>
                <w:b/>
                <w:szCs w:val="21"/>
              </w:rPr>
              <w:t xml:space="preserve">Průměrné náklady na 1 ošetřeného cizince </w:t>
            </w:r>
            <w:r w:rsidRPr="00963C2D">
              <w:rPr>
                <w:bCs/>
                <w:szCs w:val="21"/>
              </w:rPr>
              <w:t>(tis. Kč)</w:t>
            </w:r>
          </w:p>
        </w:tc>
        <w:tc>
          <w:tcPr>
            <w:tcW w:w="962" w:type="dxa"/>
            <w:shd w:val="clear" w:color="auto" w:fill="DBE5F1" w:themeFill="accent1" w:themeFillTint="33"/>
            <w:vAlign w:val="center"/>
          </w:tcPr>
          <w:p w:rsidR="00804AFC" w:rsidRPr="00963C2D" w:rsidRDefault="00804AFC" w:rsidP="00804AFC">
            <w:pPr>
              <w:spacing w:after="0" w:line="240" w:lineRule="auto"/>
              <w:jc w:val="right"/>
              <w:rPr>
                <w:rFonts w:cstheme="minorHAnsi"/>
                <w:color w:val="000000"/>
                <w:szCs w:val="21"/>
              </w:rPr>
            </w:pPr>
            <w:r w:rsidRPr="00963C2D">
              <w:rPr>
                <w:rFonts w:cstheme="minorHAnsi"/>
                <w:color w:val="000000"/>
                <w:szCs w:val="21"/>
              </w:rPr>
              <w:t>6,70</w:t>
            </w:r>
          </w:p>
        </w:tc>
        <w:tc>
          <w:tcPr>
            <w:tcW w:w="992" w:type="dxa"/>
            <w:shd w:val="clear" w:color="auto" w:fill="auto"/>
            <w:vAlign w:val="center"/>
          </w:tcPr>
          <w:p w:rsidR="00804AFC" w:rsidRPr="00963C2D" w:rsidRDefault="00804AFC" w:rsidP="00804AFC">
            <w:pPr>
              <w:spacing w:after="0" w:line="240" w:lineRule="auto"/>
              <w:jc w:val="right"/>
              <w:rPr>
                <w:rFonts w:cstheme="minorHAnsi"/>
                <w:color w:val="000000"/>
                <w:szCs w:val="21"/>
              </w:rPr>
            </w:pPr>
            <w:r w:rsidRPr="00963C2D">
              <w:rPr>
                <w:rFonts w:cstheme="minorHAnsi"/>
                <w:color w:val="000000"/>
                <w:szCs w:val="21"/>
              </w:rPr>
              <w:t>15,25</w:t>
            </w:r>
          </w:p>
        </w:tc>
        <w:tc>
          <w:tcPr>
            <w:tcW w:w="993" w:type="dxa"/>
            <w:shd w:val="clear" w:color="auto" w:fill="DBE5F1" w:themeFill="accent1" w:themeFillTint="33"/>
            <w:vAlign w:val="center"/>
          </w:tcPr>
          <w:p w:rsidR="00804AFC" w:rsidRPr="00963C2D" w:rsidRDefault="00804AFC" w:rsidP="00804AFC">
            <w:pPr>
              <w:spacing w:after="0" w:line="240" w:lineRule="auto"/>
              <w:jc w:val="right"/>
              <w:rPr>
                <w:rFonts w:cstheme="minorHAnsi"/>
                <w:color w:val="000000"/>
                <w:szCs w:val="21"/>
              </w:rPr>
            </w:pPr>
            <w:r w:rsidRPr="00963C2D">
              <w:rPr>
                <w:rFonts w:cstheme="minorHAnsi"/>
                <w:color w:val="000000"/>
                <w:szCs w:val="21"/>
              </w:rPr>
              <w:t>6,31</w:t>
            </w:r>
          </w:p>
        </w:tc>
        <w:tc>
          <w:tcPr>
            <w:tcW w:w="1008" w:type="dxa"/>
            <w:shd w:val="clear" w:color="auto" w:fill="auto"/>
            <w:vAlign w:val="center"/>
          </w:tcPr>
          <w:p w:rsidR="00804AFC" w:rsidRPr="00963C2D" w:rsidRDefault="00804AFC" w:rsidP="00804AFC">
            <w:pPr>
              <w:spacing w:after="0" w:line="240" w:lineRule="auto"/>
              <w:jc w:val="right"/>
              <w:rPr>
                <w:rFonts w:cstheme="minorHAnsi"/>
                <w:color w:val="000000"/>
                <w:szCs w:val="21"/>
              </w:rPr>
            </w:pPr>
            <w:r w:rsidRPr="00963C2D">
              <w:rPr>
                <w:rFonts w:cstheme="minorHAnsi"/>
                <w:color w:val="000000"/>
                <w:szCs w:val="21"/>
              </w:rPr>
              <w:t>14,62</w:t>
            </w:r>
          </w:p>
        </w:tc>
        <w:tc>
          <w:tcPr>
            <w:tcW w:w="992" w:type="dxa"/>
            <w:shd w:val="clear" w:color="auto" w:fill="DBE5F1" w:themeFill="accent1" w:themeFillTint="33"/>
            <w:vAlign w:val="center"/>
          </w:tcPr>
          <w:p w:rsidR="00804AFC" w:rsidRPr="00963C2D" w:rsidRDefault="00804AFC" w:rsidP="00804AFC">
            <w:pPr>
              <w:spacing w:after="0" w:line="240" w:lineRule="auto"/>
              <w:jc w:val="right"/>
              <w:rPr>
                <w:rFonts w:cstheme="minorHAnsi"/>
                <w:color w:val="000000"/>
                <w:szCs w:val="21"/>
              </w:rPr>
            </w:pPr>
            <w:r w:rsidRPr="00963C2D">
              <w:rPr>
                <w:rFonts w:cstheme="minorHAnsi"/>
                <w:color w:val="000000"/>
                <w:szCs w:val="21"/>
              </w:rPr>
              <w:t>10,00</w:t>
            </w:r>
          </w:p>
        </w:tc>
        <w:tc>
          <w:tcPr>
            <w:tcW w:w="1031" w:type="dxa"/>
            <w:shd w:val="clear" w:color="auto" w:fill="auto"/>
            <w:vAlign w:val="center"/>
          </w:tcPr>
          <w:p w:rsidR="00804AFC" w:rsidRPr="00963C2D" w:rsidRDefault="00804AFC" w:rsidP="00804AFC">
            <w:pPr>
              <w:spacing w:after="0" w:line="240" w:lineRule="auto"/>
              <w:jc w:val="right"/>
              <w:rPr>
                <w:rFonts w:cstheme="minorHAnsi"/>
                <w:color w:val="000000"/>
                <w:szCs w:val="21"/>
              </w:rPr>
            </w:pPr>
            <w:r w:rsidRPr="00963C2D">
              <w:rPr>
                <w:rFonts w:cstheme="minorHAnsi"/>
                <w:color w:val="000000"/>
                <w:szCs w:val="21"/>
              </w:rPr>
              <w:t>6,90</w:t>
            </w:r>
          </w:p>
        </w:tc>
        <w:tc>
          <w:tcPr>
            <w:tcW w:w="1094" w:type="dxa"/>
            <w:shd w:val="clear" w:color="auto" w:fill="DBE5F1" w:themeFill="accent1" w:themeFillTint="33"/>
            <w:vAlign w:val="center"/>
          </w:tcPr>
          <w:p w:rsidR="00804AFC" w:rsidRPr="00963C2D" w:rsidRDefault="00804AFC" w:rsidP="00804AFC">
            <w:pPr>
              <w:spacing w:after="0" w:line="240" w:lineRule="auto"/>
              <w:jc w:val="right"/>
              <w:rPr>
                <w:rFonts w:cstheme="minorHAnsi"/>
                <w:color w:val="000000"/>
                <w:szCs w:val="21"/>
              </w:rPr>
            </w:pPr>
            <w:r w:rsidRPr="00963C2D">
              <w:rPr>
                <w:rFonts w:cstheme="minorHAnsi"/>
                <w:color w:val="000000"/>
                <w:szCs w:val="21"/>
              </w:rPr>
              <w:t>7,00</w:t>
            </w:r>
          </w:p>
        </w:tc>
      </w:tr>
    </w:tbl>
    <w:p w:rsidR="00B456F9" w:rsidRPr="00D85079" w:rsidRDefault="00B456F9" w:rsidP="00B456F9">
      <w:pPr>
        <w:pStyle w:val="Titulek"/>
        <w:spacing w:before="240"/>
        <w:jc w:val="both"/>
      </w:pPr>
      <w:bookmarkStart w:id="72" w:name="_Toc25073791"/>
      <w:bookmarkStart w:id="73" w:name="_Toc63685277"/>
      <w:r w:rsidRPr="00D85079">
        <w:t xml:space="preserve">Tabulka č. </w:t>
      </w:r>
      <w:r w:rsidR="008E5E29" w:rsidRPr="00D85079">
        <w:rPr>
          <w:noProof/>
        </w:rPr>
        <w:fldChar w:fldCharType="begin"/>
      </w:r>
      <w:r w:rsidRPr="00D85079">
        <w:rPr>
          <w:noProof/>
        </w:rPr>
        <w:instrText xml:space="preserve"> SEQ Tabulka \* ARABIC </w:instrText>
      </w:r>
      <w:r w:rsidR="008E5E29" w:rsidRPr="00D85079">
        <w:rPr>
          <w:noProof/>
        </w:rPr>
        <w:fldChar w:fldCharType="separate"/>
      </w:r>
      <w:r w:rsidR="006D5C90">
        <w:rPr>
          <w:noProof/>
        </w:rPr>
        <w:t>24</w:t>
      </w:r>
      <w:r w:rsidR="008E5E29" w:rsidRPr="00D85079">
        <w:rPr>
          <w:noProof/>
        </w:rPr>
        <w:fldChar w:fldCharType="end"/>
      </w:r>
      <w:r w:rsidRPr="00D85079">
        <w:t>: Vývoj nákladů na léčení zahraničních pojištěnců v České republice v r. 20</w:t>
      </w:r>
      <w:r w:rsidR="00804AFC">
        <w:t>20</w:t>
      </w:r>
      <w:r w:rsidRPr="00D85079">
        <w:t xml:space="preserve"> dle zdravotních pojišťoven</w:t>
      </w:r>
      <w:bookmarkEnd w:id="72"/>
      <w:bookmarkEnd w:id="73"/>
    </w:p>
    <w:tbl>
      <w:tblPr>
        <w:tblW w:w="9639" w:type="dxa"/>
        <w:jc w:val="center"/>
        <w:tblBorders>
          <w:top w:val="single" w:sz="12" w:space="0" w:color="548DD4" w:themeColor="text2" w:themeTint="99"/>
          <w:left w:val="single" w:sz="12" w:space="0" w:color="548DD4" w:themeColor="text2" w:themeTint="99"/>
          <w:bottom w:val="single" w:sz="12" w:space="0" w:color="548DD4" w:themeColor="text2" w:themeTint="99"/>
          <w:right w:val="single" w:sz="12" w:space="0" w:color="548DD4" w:themeColor="text2" w:themeTint="99"/>
        </w:tblBorders>
        <w:tblCellMar>
          <w:left w:w="70" w:type="dxa"/>
          <w:right w:w="70" w:type="dxa"/>
        </w:tblCellMar>
        <w:tblLook w:val="04A0" w:firstRow="1" w:lastRow="0" w:firstColumn="1" w:lastColumn="0" w:noHBand="0" w:noVBand="1"/>
      </w:tblPr>
      <w:tblGrid>
        <w:gridCol w:w="2567"/>
        <w:gridCol w:w="962"/>
        <w:gridCol w:w="992"/>
        <w:gridCol w:w="993"/>
        <w:gridCol w:w="1008"/>
        <w:gridCol w:w="992"/>
        <w:gridCol w:w="1031"/>
        <w:gridCol w:w="1094"/>
      </w:tblGrid>
      <w:tr w:rsidR="00B456F9" w:rsidRPr="00D85079" w:rsidTr="004D6049">
        <w:trPr>
          <w:trHeight w:val="568"/>
          <w:jc w:val="center"/>
        </w:trPr>
        <w:tc>
          <w:tcPr>
            <w:tcW w:w="2567" w:type="dxa"/>
            <w:shd w:val="clear" w:color="auto" w:fill="4F81BD"/>
            <w:vAlign w:val="center"/>
            <w:hideMark/>
          </w:tcPr>
          <w:p w:rsidR="00B456F9" w:rsidRPr="00963C2D" w:rsidRDefault="00B456F9" w:rsidP="00804AFC">
            <w:pPr>
              <w:spacing w:after="0" w:line="240" w:lineRule="auto"/>
              <w:rPr>
                <w:rFonts w:ascii="Calibri" w:eastAsia="Times New Roman" w:hAnsi="Calibri" w:cs="Times New Roman"/>
                <w:b/>
                <w:bCs/>
                <w:color w:val="FFFFFF"/>
                <w:szCs w:val="21"/>
                <w:lang w:eastAsia="cs-CZ"/>
              </w:rPr>
            </w:pPr>
            <w:r w:rsidRPr="00963C2D">
              <w:rPr>
                <w:rFonts w:ascii="Calibri" w:eastAsia="Times New Roman" w:hAnsi="Calibri" w:cs="Times New Roman"/>
                <w:b/>
                <w:bCs/>
                <w:color w:val="FFFFFF"/>
                <w:szCs w:val="21"/>
                <w:lang w:eastAsia="cs-CZ"/>
              </w:rPr>
              <w:t>Oč. skut 20</w:t>
            </w:r>
            <w:r w:rsidR="00804AFC" w:rsidRPr="00963C2D">
              <w:rPr>
                <w:rFonts w:ascii="Calibri" w:eastAsia="Times New Roman" w:hAnsi="Calibri" w:cs="Times New Roman"/>
                <w:b/>
                <w:bCs/>
                <w:color w:val="FFFFFF"/>
                <w:szCs w:val="21"/>
                <w:lang w:eastAsia="cs-CZ"/>
              </w:rPr>
              <w:t>20</w:t>
            </w:r>
          </w:p>
        </w:tc>
        <w:tc>
          <w:tcPr>
            <w:tcW w:w="962" w:type="dxa"/>
            <w:shd w:val="clear" w:color="auto" w:fill="6691C6"/>
            <w:vAlign w:val="center"/>
          </w:tcPr>
          <w:p w:rsidR="00B456F9" w:rsidRPr="00963C2D" w:rsidRDefault="00B456F9" w:rsidP="004D6049">
            <w:pPr>
              <w:spacing w:after="0" w:line="240" w:lineRule="auto"/>
              <w:jc w:val="center"/>
              <w:rPr>
                <w:rFonts w:ascii="Calibri" w:eastAsia="Times New Roman" w:hAnsi="Calibri" w:cs="Times New Roman"/>
                <w:color w:val="FFFFFF"/>
                <w:szCs w:val="21"/>
                <w:lang w:eastAsia="cs-CZ"/>
              </w:rPr>
            </w:pPr>
            <w:r w:rsidRPr="00963C2D">
              <w:rPr>
                <w:rFonts w:ascii="Calibri" w:eastAsia="Times New Roman" w:hAnsi="Calibri" w:cs="Times New Roman"/>
                <w:color w:val="FFFFFF"/>
                <w:szCs w:val="21"/>
                <w:lang w:eastAsia="cs-CZ"/>
              </w:rPr>
              <w:t>VZP ČR</w:t>
            </w:r>
          </w:p>
        </w:tc>
        <w:tc>
          <w:tcPr>
            <w:tcW w:w="992" w:type="dxa"/>
            <w:shd w:val="clear" w:color="auto" w:fill="4F81BD"/>
            <w:vAlign w:val="center"/>
            <w:hideMark/>
          </w:tcPr>
          <w:p w:rsidR="00B456F9" w:rsidRPr="00963C2D" w:rsidRDefault="00B456F9" w:rsidP="004D6049">
            <w:pPr>
              <w:spacing w:after="0" w:line="240" w:lineRule="auto"/>
              <w:jc w:val="center"/>
              <w:rPr>
                <w:rFonts w:ascii="Calibri" w:eastAsia="Times New Roman" w:hAnsi="Calibri" w:cs="Times New Roman"/>
                <w:color w:val="FFFFFF"/>
                <w:szCs w:val="21"/>
                <w:lang w:eastAsia="cs-CZ"/>
              </w:rPr>
            </w:pPr>
            <w:proofErr w:type="spellStart"/>
            <w:r w:rsidRPr="00963C2D">
              <w:rPr>
                <w:rFonts w:ascii="Calibri" w:eastAsia="Times New Roman" w:hAnsi="Calibri" w:cs="Times New Roman"/>
                <w:color w:val="FFFFFF"/>
                <w:szCs w:val="21"/>
                <w:lang w:eastAsia="cs-CZ"/>
              </w:rPr>
              <w:t>VoZP</w:t>
            </w:r>
            <w:proofErr w:type="spellEnd"/>
            <w:r w:rsidRPr="00963C2D">
              <w:rPr>
                <w:rFonts w:ascii="Calibri" w:eastAsia="Times New Roman" w:hAnsi="Calibri" w:cs="Times New Roman"/>
                <w:color w:val="FFFFFF"/>
                <w:szCs w:val="21"/>
                <w:lang w:eastAsia="cs-CZ"/>
              </w:rPr>
              <w:t xml:space="preserve"> ČR</w:t>
            </w:r>
          </w:p>
        </w:tc>
        <w:tc>
          <w:tcPr>
            <w:tcW w:w="993" w:type="dxa"/>
            <w:shd w:val="clear" w:color="auto" w:fill="6691C6"/>
            <w:vAlign w:val="center"/>
            <w:hideMark/>
          </w:tcPr>
          <w:p w:rsidR="00B456F9" w:rsidRPr="00963C2D" w:rsidRDefault="00B456F9" w:rsidP="004D6049">
            <w:pPr>
              <w:spacing w:after="0" w:line="240" w:lineRule="auto"/>
              <w:jc w:val="center"/>
              <w:rPr>
                <w:rFonts w:ascii="Calibri" w:eastAsia="Times New Roman" w:hAnsi="Calibri" w:cs="Times New Roman"/>
                <w:color w:val="FFFFFF"/>
                <w:szCs w:val="21"/>
                <w:lang w:eastAsia="cs-CZ"/>
              </w:rPr>
            </w:pPr>
            <w:r w:rsidRPr="00963C2D">
              <w:rPr>
                <w:rFonts w:ascii="Calibri" w:eastAsia="Times New Roman" w:hAnsi="Calibri" w:cs="Times New Roman"/>
                <w:color w:val="FFFFFF"/>
                <w:szCs w:val="21"/>
                <w:lang w:eastAsia="cs-CZ"/>
              </w:rPr>
              <w:t>ČPZP</w:t>
            </w:r>
          </w:p>
        </w:tc>
        <w:tc>
          <w:tcPr>
            <w:tcW w:w="1008" w:type="dxa"/>
            <w:shd w:val="clear" w:color="auto" w:fill="4F81BD"/>
            <w:vAlign w:val="center"/>
            <w:hideMark/>
          </w:tcPr>
          <w:p w:rsidR="00B456F9" w:rsidRPr="00963C2D" w:rsidRDefault="00B456F9" w:rsidP="004D6049">
            <w:pPr>
              <w:spacing w:after="0" w:line="240" w:lineRule="auto"/>
              <w:jc w:val="center"/>
              <w:rPr>
                <w:rFonts w:ascii="Calibri" w:eastAsia="Times New Roman" w:hAnsi="Calibri" w:cs="Times New Roman"/>
                <w:color w:val="FFFFFF"/>
                <w:szCs w:val="21"/>
                <w:lang w:eastAsia="cs-CZ"/>
              </w:rPr>
            </w:pPr>
            <w:r w:rsidRPr="00963C2D">
              <w:rPr>
                <w:rFonts w:ascii="Calibri" w:eastAsia="Times New Roman" w:hAnsi="Calibri" w:cs="Times New Roman"/>
                <w:color w:val="FFFFFF"/>
                <w:szCs w:val="21"/>
                <w:lang w:eastAsia="cs-CZ"/>
              </w:rPr>
              <w:t>OZP</w:t>
            </w:r>
          </w:p>
        </w:tc>
        <w:tc>
          <w:tcPr>
            <w:tcW w:w="992" w:type="dxa"/>
            <w:shd w:val="clear" w:color="auto" w:fill="6691C6"/>
            <w:vAlign w:val="center"/>
            <w:hideMark/>
          </w:tcPr>
          <w:p w:rsidR="00B456F9" w:rsidRPr="00963C2D" w:rsidRDefault="00B456F9" w:rsidP="004D6049">
            <w:pPr>
              <w:spacing w:after="0" w:line="240" w:lineRule="auto"/>
              <w:jc w:val="center"/>
              <w:rPr>
                <w:rFonts w:ascii="Calibri" w:eastAsia="Times New Roman" w:hAnsi="Calibri" w:cs="Times New Roman"/>
                <w:color w:val="FFFFFF"/>
                <w:szCs w:val="21"/>
                <w:lang w:eastAsia="cs-CZ"/>
              </w:rPr>
            </w:pPr>
            <w:r w:rsidRPr="00963C2D">
              <w:rPr>
                <w:rFonts w:ascii="Calibri" w:eastAsia="Times New Roman" w:hAnsi="Calibri" w:cs="Times New Roman"/>
                <w:color w:val="FFFFFF"/>
                <w:szCs w:val="21"/>
                <w:lang w:eastAsia="cs-CZ"/>
              </w:rPr>
              <w:t>ZPŠ</w:t>
            </w:r>
          </w:p>
        </w:tc>
        <w:tc>
          <w:tcPr>
            <w:tcW w:w="1031" w:type="dxa"/>
            <w:shd w:val="clear" w:color="auto" w:fill="4F81BD"/>
            <w:vAlign w:val="center"/>
            <w:hideMark/>
          </w:tcPr>
          <w:p w:rsidR="00B456F9" w:rsidRPr="00963C2D" w:rsidRDefault="00DF5584" w:rsidP="004D6049">
            <w:pPr>
              <w:spacing w:after="0" w:line="240" w:lineRule="auto"/>
              <w:jc w:val="center"/>
              <w:rPr>
                <w:rFonts w:ascii="Calibri" w:eastAsia="Times New Roman" w:hAnsi="Calibri" w:cs="Times New Roman"/>
                <w:color w:val="FFFFFF"/>
                <w:szCs w:val="21"/>
                <w:lang w:eastAsia="cs-CZ"/>
              </w:rPr>
            </w:pPr>
            <w:r w:rsidRPr="00963C2D">
              <w:rPr>
                <w:rFonts w:ascii="Calibri" w:eastAsia="Times New Roman" w:hAnsi="Calibri" w:cs="Times New Roman"/>
                <w:color w:val="FFFFFF"/>
                <w:szCs w:val="21"/>
                <w:lang w:eastAsia="cs-CZ"/>
              </w:rPr>
              <w:t>ZP MV ČR</w:t>
            </w:r>
          </w:p>
        </w:tc>
        <w:tc>
          <w:tcPr>
            <w:tcW w:w="1094" w:type="dxa"/>
            <w:shd w:val="clear" w:color="auto" w:fill="6691C6"/>
            <w:vAlign w:val="center"/>
          </w:tcPr>
          <w:p w:rsidR="00B456F9" w:rsidRPr="00963C2D" w:rsidRDefault="00B456F9" w:rsidP="004D6049">
            <w:pPr>
              <w:spacing w:after="0" w:line="240" w:lineRule="auto"/>
              <w:jc w:val="center"/>
              <w:rPr>
                <w:rFonts w:ascii="Calibri" w:eastAsia="Times New Roman" w:hAnsi="Calibri" w:cs="Times New Roman"/>
                <w:color w:val="FFFFFF"/>
                <w:szCs w:val="21"/>
                <w:lang w:eastAsia="cs-CZ"/>
              </w:rPr>
            </w:pPr>
            <w:r w:rsidRPr="00963C2D">
              <w:rPr>
                <w:rFonts w:ascii="Calibri" w:eastAsia="Times New Roman" w:hAnsi="Calibri" w:cs="Times New Roman"/>
                <w:color w:val="FFFFFF"/>
                <w:szCs w:val="21"/>
                <w:lang w:eastAsia="cs-CZ"/>
              </w:rPr>
              <w:t>RBP</w:t>
            </w:r>
          </w:p>
        </w:tc>
      </w:tr>
      <w:tr w:rsidR="00804AFC" w:rsidRPr="00D85079" w:rsidTr="003D3163">
        <w:trPr>
          <w:trHeight w:hRule="exact" w:val="510"/>
          <w:jc w:val="center"/>
        </w:trPr>
        <w:tc>
          <w:tcPr>
            <w:tcW w:w="2567" w:type="dxa"/>
            <w:shd w:val="clear" w:color="auto" w:fill="auto"/>
            <w:vAlign w:val="center"/>
          </w:tcPr>
          <w:p w:rsidR="00804AFC" w:rsidRPr="00963C2D" w:rsidRDefault="00804AFC" w:rsidP="00804AFC">
            <w:pPr>
              <w:spacing w:after="0" w:line="240" w:lineRule="auto"/>
              <w:rPr>
                <w:b/>
                <w:szCs w:val="21"/>
              </w:rPr>
            </w:pPr>
            <w:r w:rsidRPr="00963C2D">
              <w:rPr>
                <w:b/>
                <w:szCs w:val="21"/>
              </w:rPr>
              <w:t>Náklady na léčení cizinců (mil. Kč)</w:t>
            </w:r>
          </w:p>
        </w:tc>
        <w:tc>
          <w:tcPr>
            <w:tcW w:w="962" w:type="dxa"/>
            <w:shd w:val="clear" w:color="auto" w:fill="DBE5F1" w:themeFill="accent1" w:themeFillTint="33"/>
            <w:vAlign w:val="center"/>
          </w:tcPr>
          <w:p w:rsidR="00804AFC" w:rsidRPr="00963C2D" w:rsidRDefault="00804AFC" w:rsidP="00804AFC">
            <w:pPr>
              <w:spacing w:after="0" w:line="240" w:lineRule="auto"/>
              <w:jc w:val="right"/>
              <w:rPr>
                <w:rFonts w:cstheme="minorHAnsi"/>
                <w:szCs w:val="21"/>
              </w:rPr>
            </w:pPr>
            <w:r w:rsidRPr="00963C2D">
              <w:rPr>
                <w:rFonts w:cstheme="minorHAnsi"/>
                <w:szCs w:val="21"/>
              </w:rPr>
              <w:t>1 155</w:t>
            </w:r>
          </w:p>
        </w:tc>
        <w:tc>
          <w:tcPr>
            <w:tcW w:w="992" w:type="dxa"/>
            <w:shd w:val="clear" w:color="auto" w:fill="auto"/>
            <w:vAlign w:val="center"/>
          </w:tcPr>
          <w:p w:rsidR="00804AFC" w:rsidRPr="00963C2D" w:rsidRDefault="00804AFC" w:rsidP="00804AFC">
            <w:pPr>
              <w:spacing w:after="0" w:line="240" w:lineRule="auto"/>
              <w:jc w:val="right"/>
              <w:rPr>
                <w:rFonts w:cstheme="minorHAnsi"/>
                <w:szCs w:val="21"/>
              </w:rPr>
            </w:pPr>
            <w:r w:rsidRPr="00963C2D">
              <w:rPr>
                <w:rFonts w:cstheme="minorHAnsi"/>
                <w:szCs w:val="21"/>
              </w:rPr>
              <w:t>180</w:t>
            </w:r>
          </w:p>
        </w:tc>
        <w:tc>
          <w:tcPr>
            <w:tcW w:w="993" w:type="dxa"/>
            <w:shd w:val="clear" w:color="auto" w:fill="DBE5F1" w:themeFill="accent1" w:themeFillTint="33"/>
            <w:vAlign w:val="center"/>
          </w:tcPr>
          <w:p w:rsidR="00804AFC" w:rsidRPr="00963C2D" w:rsidRDefault="00804AFC" w:rsidP="00804AFC">
            <w:pPr>
              <w:spacing w:after="0" w:line="240" w:lineRule="auto"/>
              <w:jc w:val="right"/>
              <w:rPr>
                <w:rFonts w:cstheme="minorHAnsi"/>
                <w:szCs w:val="21"/>
              </w:rPr>
            </w:pPr>
            <w:r w:rsidRPr="00963C2D">
              <w:rPr>
                <w:rFonts w:cstheme="minorHAnsi"/>
                <w:szCs w:val="21"/>
              </w:rPr>
              <w:t>13</w:t>
            </w:r>
            <w:r w:rsidR="00791E4F" w:rsidRPr="00963C2D">
              <w:rPr>
                <w:rFonts w:cstheme="minorHAnsi"/>
                <w:szCs w:val="21"/>
              </w:rPr>
              <w:t>6</w:t>
            </w:r>
          </w:p>
        </w:tc>
        <w:tc>
          <w:tcPr>
            <w:tcW w:w="1008" w:type="dxa"/>
            <w:shd w:val="clear" w:color="auto" w:fill="auto"/>
            <w:vAlign w:val="center"/>
          </w:tcPr>
          <w:p w:rsidR="00804AFC" w:rsidRPr="00963C2D" w:rsidRDefault="00804AFC" w:rsidP="00804AFC">
            <w:pPr>
              <w:spacing w:after="0" w:line="240" w:lineRule="auto"/>
              <w:jc w:val="right"/>
              <w:rPr>
                <w:rFonts w:cstheme="minorHAnsi"/>
                <w:szCs w:val="21"/>
              </w:rPr>
            </w:pPr>
            <w:r w:rsidRPr="00963C2D">
              <w:rPr>
                <w:rFonts w:cstheme="minorHAnsi"/>
                <w:szCs w:val="21"/>
              </w:rPr>
              <w:t>55</w:t>
            </w:r>
          </w:p>
        </w:tc>
        <w:tc>
          <w:tcPr>
            <w:tcW w:w="992" w:type="dxa"/>
            <w:shd w:val="clear" w:color="auto" w:fill="DBE5F1" w:themeFill="accent1" w:themeFillTint="33"/>
            <w:vAlign w:val="center"/>
          </w:tcPr>
          <w:p w:rsidR="00804AFC" w:rsidRPr="00963C2D" w:rsidRDefault="00804AFC" w:rsidP="00804AFC">
            <w:pPr>
              <w:spacing w:after="0" w:line="240" w:lineRule="auto"/>
              <w:jc w:val="right"/>
              <w:rPr>
                <w:rFonts w:cstheme="minorHAnsi"/>
                <w:szCs w:val="21"/>
              </w:rPr>
            </w:pPr>
            <w:r w:rsidRPr="00963C2D">
              <w:rPr>
                <w:rFonts w:cstheme="minorHAnsi"/>
                <w:szCs w:val="21"/>
              </w:rPr>
              <w:t>9</w:t>
            </w:r>
          </w:p>
        </w:tc>
        <w:tc>
          <w:tcPr>
            <w:tcW w:w="1031" w:type="dxa"/>
            <w:shd w:val="clear" w:color="auto" w:fill="auto"/>
            <w:vAlign w:val="center"/>
          </w:tcPr>
          <w:p w:rsidR="00804AFC" w:rsidRPr="00963C2D" w:rsidRDefault="00804AFC" w:rsidP="00804AFC">
            <w:pPr>
              <w:spacing w:after="0" w:line="240" w:lineRule="auto"/>
              <w:jc w:val="right"/>
              <w:rPr>
                <w:rFonts w:cstheme="minorHAnsi"/>
                <w:szCs w:val="21"/>
              </w:rPr>
            </w:pPr>
            <w:r w:rsidRPr="00963C2D">
              <w:rPr>
                <w:rFonts w:cstheme="minorHAnsi"/>
                <w:szCs w:val="21"/>
              </w:rPr>
              <w:t>175</w:t>
            </w:r>
          </w:p>
        </w:tc>
        <w:tc>
          <w:tcPr>
            <w:tcW w:w="1094" w:type="dxa"/>
            <w:shd w:val="clear" w:color="auto" w:fill="DBE5F1" w:themeFill="accent1" w:themeFillTint="33"/>
            <w:vAlign w:val="center"/>
          </w:tcPr>
          <w:p w:rsidR="00804AFC" w:rsidRPr="00963C2D" w:rsidRDefault="00804AFC" w:rsidP="00804AFC">
            <w:pPr>
              <w:spacing w:after="0" w:line="240" w:lineRule="auto"/>
              <w:jc w:val="right"/>
              <w:rPr>
                <w:rFonts w:cstheme="minorHAnsi"/>
                <w:szCs w:val="21"/>
              </w:rPr>
            </w:pPr>
            <w:r w:rsidRPr="00963C2D">
              <w:rPr>
                <w:rFonts w:cstheme="minorHAnsi"/>
                <w:szCs w:val="21"/>
              </w:rPr>
              <w:t>19</w:t>
            </w:r>
          </w:p>
        </w:tc>
      </w:tr>
      <w:tr w:rsidR="00804AFC" w:rsidRPr="00D85079" w:rsidTr="003D3163">
        <w:trPr>
          <w:trHeight w:hRule="exact" w:val="321"/>
          <w:jc w:val="center"/>
        </w:trPr>
        <w:tc>
          <w:tcPr>
            <w:tcW w:w="2567" w:type="dxa"/>
            <w:shd w:val="clear" w:color="auto" w:fill="EEF3F8"/>
            <w:vAlign w:val="center"/>
          </w:tcPr>
          <w:p w:rsidR="00804AFC" w:rsidRPr="00963C2D" w:rsidRDefault="00804AFC" w:rsidP="00804AFC">
            <w:pPr>
              <w:spacing w:after="0" w:line="240" w:lineRule="auto"/>
              <w:rPr>
                <w:b/>
                <w:szCs w:val="21"/>
              </w:rPr>
            </w:pPr>
            <w:r w:rsidRPr="00963C2D">
              <w:rPr>
                <w:b/>
                <w:szCs w:val="21"/>
              </w:rPr>
              <w:t xml:space="preserve">Počet ošetřených cizinců </w:t>
            </w:r>
          </w:p>
        </w:tc>
        <w:tc>
          <w:tcPr>
            <w:tcW w:w="962" w:type="dxa"/>
            <w:shd w:val="clear" w:color="auto" w:fill="EEF3F8"/>
            <w:noWrap/>
            <w:vAlign w:val="center"/>
          </w:tcPr>
          <w:p w:rsidR="00804AFC" w:rsidRPr="00963C2D" w:rsidRDefault="00804AFC" w:rsidP="00804AFC">
            <w:pPr>
              <w:spacing w:after="0" w:line="240" w:lineRule="auto"/>
              <w:jc w:val="right"/>
              <w:rPr>
                <w:rFonts w:cstheme="minorHAnsi"/>
                <w:szCs w:val="21"/>
              </w:rPr>
            </w:pPr>
            <w:r w:rsidRPr="00963C2D">
              <w:rPr>
                <w:rFonts w:cstheme="minorHAnsi"/>
                <w:szCs w:val="21"/>
              </w:rPr>
              <w:t>175 000</w:t>
            </w:r>
          </w:p>
        </w:tc>
        <w:tc>
          <w:tcPr>
            <w:tcW w:w="992" w:type="dxa"/>
            <w:shd w:val="clear" w:color="auto" w:fill="EEF3F8"/>
            <w:noWrap/>
            <w:vAlign w:val="center"/>
          </w:tcPr>
          <w:p w:rsidR="00804AFC" w:rsidRPr="00963C2D" w:rsidRDefault="00804AFC" w:rsidP="00804AFC">
            <w:pPr>
              <w:spacing w:after="0" w:line="240" w:lineRule="auto"/>
              <w:jc w:val="right"/>
              <w:rPr>
                <w:rFonts w:cstheme="minorHAnsi"/>
                <w:szCs w:val="21"/>
              </w:rPr>
            </w:pPr>
            <w:r w:rsidRPr="00963C2D">
              <w:rPr>
                <w:rFonts w:cstheme="minorHAnsi"/>
                <w:szCs w:val="21"/>
              </w:rPr>
              <w:t>12 800</w:t>
            </w:r>
          </w:p>
        </w:tc>
        <w:tc>
          <w:tcPr>
            <w:tcW w:w="993" w:type="dxa"/>
            <w:shd w:val="clear" w:color="auto" w:fill="EEF3F8"/>
            <w:noWrap/>
            <w:vAlign w:val="center"/>
          </w:tcPr>
          <w:p w:rsidR="00804AFC" w:rsidRPr="00963C2D" w:rsidRDefault="00804AFC" w:rsidP="00804AFC">
            <w:pPr>
              <w:spacing w:after="0" w:line="240" w:lineRule="auto"/>
              <w:jc w:val="right"/>
              <w:rPr>
                <w:rFonts w:cstheme="minorHAnsi"/>
                <w:szCs w:val="21"/>
              </w:rPr>
            </w:pPr>
            <w:r w:rsidRPr="00963C2D">
              <w:rPr>
                <w:rFonts w:cstheme="minorHAnsi"/>
                <w:szCs w:val="21"/>
              </w:rPr>
              <w:t>22 297</w:t>
            </w:r>
          </w:p>
        </w:tc>
        <w:tc>
          <w:tcPr>
            <w:tcW w:w="1008" w:type="dxa"/>
            <w:shd w:val="clear" w:color="auto" w:fill="EEF3F8"/>
            <w:noWrap/>
            <w:vAlign w:val="center"/>
          </w:tcPr>
          <w:p w:rsidR="00804AFC" w:rsidRPr="00963C2D" w:rsidRDefault="00804AFC" w:rsidP="00804AFC">
            <w:pPr>
              <w:spacing w:after="0" w:line="240" w:lineRule="auto"/>
              <w:jc w:val="right"/>
              <w:rPr>
                <w:rFonts w:cstheme="minorHAnsi"/>
                <w:szCs w:val="21"/>
              </w:rPr>
            </w:pPr>
            <w:r w:rsidRPr="00963C2D">
              <w:rPr>
                <w:rFonts w:cstheme="minorHAnsi"/>
                <w:szCs w:val="21"/>
              </w:rPr>
              <w:t>3 800</w:t>
            </w:r>
          </w:p>
        </w:tc>
        <w:tc>
          <w:tcPr>
            <w:tcW w:w="992" w:type="dxa"/>
            <w:shd w:val="clear" w:color="auto" w:fill="EEF3F8"/>
            <w:noWrap/>
            <w:vAlign w:val="center"/>
          </w:tcPr>
          <w:p w:rsidR="00804AFC" w:rsidRPr="00963C2D" w:rsidRDefault="00804AFC" w:rsidP="00804AFC">
            <w:pPr>
              <w:spacing w:after="0" w:line="240" w:lineRule="auto"/>
              <w:jc w:val="right"/>
              <w:rPr>
                <w:rFonts w:cstheme="minorHAnsi"/>
                <w:szCs w:val="21"/>
              </w:rPr>
            </w:pPr>
            <w:r w:rsidRPr="00963C2D">
              <w:rPr>
                <w:rFonts w:cstheme="minorHAnsi"/>
                <w:szCs w:val="21"/>
              </w:rPr>
              <w:t>915</w:t>
            </w:r>
          </w:p>
        </w:tc>
        <w:tc>
          <w:tcPr>
            <w:tcW w:w="1031" w:type="dxa"/>
            <w:shd w:val="clear" w:color="auto" w:fill="EEF3F8"/>
            <w:noWrap/>
            <w:vAlign w:val="center"/>
          </w:tcPr>
          <w:p w:rsidR="00804AFC" w:rsidRPr="00963C2D" w:rsidRDefault="00804AFC" w:rsidP="00804AFC">
            <w:pPr>
              <w:spacing w:after="0" w:line="240" w:lineRule="auto"/>
              <w:jc w:val="right"/>
              <w:rPr>
                <w:rFonts w:cstheme="minorHAnsi"/>
                <w:szCs w:val="21"/>
              </w:rPr>
            </w:pPr>
            <w:r w:rsidRPr="00963C2D">
              <w:rPr>
                <w:rFonts w:cstheme="minorHAnsi"/>
                <w:szCs w:val="21"/>
              </w:rPr>
              <w:t>27 800</w:t>
            </w:r>
          </w:p>
        </w:tc>
        <w:tc>
          <w:tcPr>
            <w:tcW w:w="1094" w:type="dxa"/>
            <w:shd w:val="clear" w:color="auto" w:fill="EEF3F8"/>
            <w:vAlign w:val="center"/>
          </w:tcPr>
          <w:p w:rsidR="00804AFC" w:rsidRPr="00963C2D" w:rsidRDefault="00804AFC" w:rsidP="00804AFC">
            <w:pPr>
              <w:spacing w:after="0" w:line="240" w:lineRule="auto"/>
              <w:jc w:val="right"/>
              <w:rPr>
                <w:rFonts w:cstheme="minorHAnsi"/>
                <w:color w:val="000000"/>
                <w:szCs w:val="21"/>
              </w:rPr>
            </w:pPr>
            <w:r w:rsidRPr="00963C2D">
              <w:rPr>
                <w:rFonts w:cstheme="minorHAnsi"/>
                <w:szCs w:val="21"/>
              </w:rPr>
              <w:t>2 600</w:t>
            </w:r>
          </w:p>
        </w:tc>
      </w:tr>
      <w:tr w:rsidR="00804AFC" w:rsidRPr="00C954C6" w:rsidTr="003D3163">
        <w:trPr>
          <w:trHeight w:hRule="exact" w:val="502"/>
          <w:jc w:val="center"/>
        </w:trPr>
        <w:tc>
          <w:tcPr>
            <w:tcW w:w="2567" w:type="dxa"/>
            <w:shd w:val="clear" w:color="auto" w:fill="auto"/>
            <w:vAlign w:val="center"/>
          </w:tcPr>
          <w:p w:rsidR="00804AFC" w:rsidRPr="00963C2D" w:rsidRDefault="00804AFC" w:rsidP="00804AFC">
            <w:pPr>
              <w:spacing w:after="0" w:line="240" w:lineRule="auto"/>
              <w:rPr>
                <w:b/>
                <w:szCs w:val="21"/>
              </w:rPr>
            </w:pPr>
            <w:r w:rsidRPr="00963C2D">
              <w:rPr>
                <w:b/>
                <w:szCs w:val="21"/>
              </w:rPr>
              <w:t xml:space="preserve">Průměrné náklady na 1 ošetřeného cizince </w:t>
            </w:r>
            <w:r w:rsidRPr="00963C2D">
              <w:rPr>
                <w:bCs/>
                <w:szCs w:val="21"/>
              </w:rPr>
              <w:t>(tis. Kč)</w:t>
            </w:r>
          </w:p>
        </w:tc>
        <w:tc>
          <w:tcPr>
            <w:tcW w:w="962" w:type="dxa"/>
            <w:shd w:val="clear" w:color="auto" w:fill="DBE5F1" w:themeFill="accent1" w:themeFillTint="33"/>
            <w:vAlign w:val="center"/>
          </w:tcPr>
          <w:p w:rsidR="00804AFC" w:rsidRPr="00963C2D" w:rsidRDefault="00804AFC" w:rsidP="00804AFC">
            <w:pPr>
              <w:spacing w:after="0" w:line="240" w:lineRule="auto"/>
              <w:jc w:val="right"/>
              <w:rPr>
                <w:rFonts w:cstheme="minorHAnsi"/>
                <w:color w:val="000000"/>
                <w:szCs w:val="21"/>
              </w:rPr>
            </w:pPr>
            <w:r w:rsidRPr="00963C2D">
              <w:rPr>
                <w:rFonts w:cstheme="minorHAnsi"/>
                <w:color w:val="000000"/>
                <w:szCs w:val="21"/>
              </w:rPr>
              <w:t>6,60</w:t>
            </w:r>
          </w:p>
        </w:tc>
        <w:tc>
          <w:tcPr>
            <w:tcW w:w="992" w:type="dxa"/>
            <w:shd w:val="clear" w:color="auto" w:fill="auto"/>
            <w:vAlign w:val="center"/>
          </w:tcPr>
          <w:p w:rsidR="00804AFC" w:rsidRPr="00963C2D" w:rsidRDefault="00804AFC" w:rsidP="00804AFC">
            <w:pPr>
              <w:spacing w:after="0" w:line="240" w:lineRule="auto"/>
              <w:jc w:val="right"/>
              <w:rPr>
                <w:rFonts w:cstheme="minorHAnsi"/>
                <w:color w:val="000000"/>
                <w:szCs w:val="21"/>
              </w:rPr>
            </w:pPr>
            <w:r w:rsidRPr="00963C2D">
              <w:rPr>
                <w:rFonts w:cstheme="minorHAnsi"/>
                <w:color w:val="000000"/>
                <w:szCs w:val="21"/>
              </w:rPr>
              <w:t>14,06</w:t>
            </w:r>
          </w:p>
        </w:tc>
        <w:tc>
          <w:tcPr>
            <w:tcW w:w="993" w:type="dxa"/>
            <w:shd w:val="clear" w:color="auto" w:fill="DBE5F1" w:themeFill="accent1" w:themeFillTint="33"/>
            <w:vAlign w:val="center"/>
          </w:tcPr>
          <w:p w:rsidR="00804AFC" w:rsidRPr="00963C2D" w:rsidRDefault="00804AFC" w:rsidP="00804AFC">
            <w:pPr>
              <w:spacing w:after="0" w:line="240" w:lineRule="auto"/>
              <w:jc w:val="right"/>
              <w:rPr>
                <w:rFonts w:cstheme="minorHAnsi"/>
                <w:color w:val="000000"/>
                <w:szCs w:val="21"/>
              </w:rPr>
            </w:pPr>
            <w:r w:rsidRPr="00963C2D">
              <w:rPr>
                <w:rFonts w:cstheme="minorHAnsi"/>
                <w:color w:val="000000"/>
                <w:szCs w:val="21"/>
              </w:rPr>
              <w:t>6,08</w:t>
            </w:r>
          </w:p>
        </w:tc>
        <w:tc>
          <w:tcPr>
            <w:tcW w:w="1008" w:type="dxa"/>
            <w:shd w:val="clear" w:color="auto" w:fill="auto"/>
            <w:vAlign w:val="center"/>
          </w:tcPr>
          <w:p w:rsidR="00804AFC" w:rsidRPr="00963C2D" w:rsidRDefault="00804AFC" w:rsidP="00804AFC">
            <w:pPr>
              <w:spacing w:after="0" w:line="240" w:lineRule="auto"/>
              <w:jc w:val="right"/>
              <w:rPr>
                <w:rFonts w:cstheme="minorHAnsi"/>
                <w:color w:val="000000"/>
                <w:szCs w:val="21"/>
              </w:rPr>
            </w:pPr>
            <w:r w:rsidRPr="00963C2D">
              <w:rPr>
                <w:rFonts w:cstheme="minorHAnsi"/>
                <w:color w:val="000000"/>
                <w:szCs w:val="21"/>
              </w:rPr>
              <w:t>14,47</w:t>
            </w:r>
          </w:p>
        </w:tc>
        <w:tc>
          <w:tcPr>
            <w:tcW w:w="992" w:type="dxa"/>
            <w:shd w:val="clear" w:color="auto" w:fill="DBE5F1" w:themeFill="accent1" w:themeFillTint="33"/>
            <w:vAlign w:val="center"/>
          </w:tcPr>
          <w:p w:rsidR="00804AFC" w:rsidRPr="00963C2D" w:rsidRDefault="00804AFC" w:rsidP="00804AFC">
            <w:pPr>
              <w:spacing w:after="0" w:line="240" w:lineRule="auto"/>
              <w:jc w:val="right"/>
              <w:rPr>
                <w:rFonts w:cstheme="minorHAnsi"/>
                <w:color w:val="000000"/>
                <w:szCs w:val="21"/>
              </w:rPr>
            </w:pPr>
            <w:r w:rsidRPr="00963C2D">
              <w:rPr>
                <w:rFonts w:cstheme="minorHAnsi"/>
                <w:color w:val="000000"/>
                <w:szCs w:val="21"/>
              </w:rPr>
              <w:t>9,84</w:t>
            </w:r>
          </w:p>
        </w:tc>
        <w:tc>
          <w:tcPr>
            <w:tcW w:w="1031" w:type="dxa"/>
            <w:shd w:val="clear" w:color="auto" w:fill="auto"/>
            <w:vAlign w:val="center"/>
          </w:tcPr>
          <w:p w:rsidR="00804AFC" w:rsidRPr="00963C2D" w:rsidRDefault="00804AFC" w:rsidP="00804AFC">
            <w:pPr>
              <w:spacing w:after="0" w:line="240" w:lineRule="auto"/>
              <w:jc w:val="right"/>
              <w:rPr>
                <w:rFonts w:cstheme="minorHAnsi"/>
                <w:color w:val="000000"/>
                <w:szCs w:val="21"/>
              </w:rPr>
            </w:pPr>
            <w:r w:rsidRPr="00963C2D">
              <w:rPr>
                <w:rFonts w:cstheme="minorHAnsi"/>
                <w:color w:val="000000"/>
                <w:szCs w:val="21"/>
              </w:rPr>
              <w:t>6,29</w:t>
            </w:r>
          </w:p>
        </w:tc>
        <w:tc>
          <w:tcPr>
            <w:tcW w:w="1094" w:type="dxa"/>
            <w:shd w:val="clear" w:color="auto" w:fill="DBE5F1" w:themeFill="accent1" w:themeFillTint="33"/>
            <w:vAlign w:val="center"/>
          </w:tcPr>
          <w:p w:rsidR="00804AFC" w:rsidRPr="00963C2D" w:rsidRDefault="00804AFC" w:rsidP="00804AFC">
            <w:pPr>
              <w:spacing w:after="0" w:line="240" w:lineRule="auto"/>
              <w:jc w:val="right"/>
              <w:rPr>
                <w:rFonts w:cstheme="minorHAnsi"/>
                <w:color w:val="000000"/>
                <w:szCs w:val="21"/>
              </w:rPr>
            </w:pPr>
            <w:r w:rsidRPr="00963C2D">
              <w:rPr>
                <w:rFonts w:cstheme="minorHAnsi"/>
                <w:color w:val="000000"/>
                <w:szCs w:val="21"/>
              </w:rPr>
              <w:t>7,31</w:t>
            </w:r>
          </w:p>
        </w:tc>
      </w:tr>
    </w:tbl>
    <w:p w:rsidR="00466CEC" w:rsidRPr="00C954C6" w:rsidRDefault="00466CEC" w:rsidP="00466CEC">
      <w:pPr>
        <w:rPr>
          <w:highlight w:val="yellow"/>
          <w:lang w:eastAsia="cs-CZ"/>
        </w:rPr>
      </w:pPr>
      <w:r w:rsidRPr="00C954C6">
        <w:rPr>
          <w:highlight w:val="yellow"/>
          <w:lang w:eastAsia="cs-CZ"/>
        </w:rPr>
        <w:br w:type="page"/>
      </w:r>
    </w:p>
    <w:p w:rsidR="00436F6E" w:rsidRPr="00DB6D8C" w:rsidRDefault="00436F6E" w:rsidP="00AC25F3">
      <w:pPr>
        <w:pStyle w:val="Nadpis2"/>
      </w:pPr>
      <w:bookmarkStart w:id="74" w:name="_Toc63684684"/>
      <w:r w:rsidRPr="00DB6D8C">
        <w:lastRenderedPageBreak/>
        <w:t>Náklady na preventivní zdravotní péči čerpané z fondu prevence</w:t>
      </w:r>
      <w:bookmarkEnd w:id="74"/>
    </w:p>
    <w:p w:rsidR="00B456F9" w:rsidRPr="00926688" w:rsidRDefault="00B456F9" w:rsidP="00B456F9">
      <w:pPr>
        <w:spacing w:before="180" w:line="276" w:lineRule="auto"/>
        <w:jc w:val="both"/>
        <w:rPr>
          <w:rFonts w:cstheme="minorHAnsi"/>
          <w:szCs w:val="21"/>
        </w:rPr>
      </w:pPr>
      <w:r w:rsidRPr="00926688">
        <w:rPr>
          <w:rFonts w:cstheme="minorHAnsi"/>
          <w:b/>
          <w:szCs w:val="21"/>
        </w:rPr>
        <w:t>V oblasti zdravotní péče hrazené nad rámec v. z. p. čerpané z </w:t>
      </w:r>
      <w:proofErr w:type="spellStart"/>
      <w:r w:rsidRPr="00926688">
        <w:rPr>
          <w:rFonts w:cstheme="minorHAnsi"/>
          <w:b/>
          <w:szCs w:val="21"/>
        </w:rPr>
        <w:t>Fprev</w:t>
      </w:r>
      <w:proofErr w:type="spellEnd"/>
      <w:r w:rsidRPr="00926688">
        <w:rPr>
          <w:rFonts w:cstheme="minorHAnsi"/>
          <w:b/>
          <w:szCs w:val="21"/>
        </w:rPr>
        <w:t xml:space="preserve"> </w:t>
      </w:r>
      <w:r w:rsidRPr="00926688">
        <w:rPr>
          <w:rFonts w:cstheme="minorHAnsi"/>
          <w:szCs w:val="21"/>
        </w:rPr>
        <w:t>a dalších specifických fondů plánují ZP objem finančních prostředků ve výši 1</w:t>
      </w:r>
      <w:r w:rsidR="008F5F00" w:rsidRPr="00926688">
        <w:rPr>
          <w:rFonts w:cstheme="minorHAnsi"/>
          <w:szCs w:val="21"/>
        </w:rPr>
        <w:t> </w:t>
      </w:r>
      <w:r w:rsidRPr="00926688">
        <w:rPr>
          <w:rFonts w:cstheme="minorHAnsi"/>
          <w:szCs w:val="21"/>
        </w:rPr>
        <w:t>7</w:t>
      </w:r>
      <w:r w:rsidR="008F5F00" w:rsidRPr="00926688">
        <w:rPr>
          <w:rFonts w:cstheme="minorHAnsi"/>
          <w:szCs w:val="21"/>
        </w:rPr>
        <w:t>4</w:t>
      </w:r>
      <w:r w:rsidRPr="00926688">
        <w:rPr>
          <w:rFonts w:cstheme="minorHAnsi"/>
          <w:szCs w:val="21"/>
        </w:rPr>
        <w:t>9</w:t>
      </w:r>
      <w:r w:rsidR="008F5F00" w:rsidRPr="00926688">
        <w:rPr>
          <w:rFonts w:cstheme="minorHAnsi"/>
          <w:szCs w:val="21"/>
        </w:rPr>
        <w:t>,5</w:t>
      </w:r>
      <w:r w:rsidRPr="00926688">
        <w:rPr>
          <w:rFonts w:cstheme="minorHAnsi"/>
          <w:szCs w:val="21"/>
        </w:rPr>
        <w:t xml:space="preserve"> mil. Kč (ze zdrojů </w:t>
      </w:r>
      <w:proofErr w:type="spellStart"/>
      <w:r w:rsidRPr="00926688">
        <w:rPr>
          <w:rFonts w:cstheme="minorHAnsi"/>
          <w:szCs w:val="21"/>
        </w:rPr>
        <w:t>Fprev</w:t>
      </w:r>
      <w:proofErr w:type="spellEnd"/>
      <w:r w:rsidRPr="00926688">
        <w:rPr>
          <w:rFonts w:cstheme="minorHAnsi"/>
          <w:szCs w:val="21"/>
        </w:rPr>
        <w:t xml:space="preserve"> 1 7</w:t>
      </w:r>
      <w:r w:rsidR="007969D1" w:rsidRPr="00926688">
        <w:rPr>
          <w:rFonts w:cstheme="minorHAnsi"/>
          <w:szCs w:val="21"/>
        </w:rPr>
        <w:t>35</w:t>
      </w:r>
      <w:r w:rsidRPr="00926688">
        <w:rPr>
          <w:rFonts w:cstheme="minorHAnsi"/>
          <w:szCs w:val="21"/>
        </w:rPr>
        <w:t>,</w:t>
      </w:r>
      <w:r w:rsidR="007969D1" w:rsidRPr="00926688">
        <w:rPr>
          <w:rFonts w:cstheme="minorHAnsi"/>
          <w:szCs w:val="21"/>
        </w:rPr>
        <w:t>3</w:t>
      </w:r>
      <w:r w:rsidRPr="00926688">
        <w:rPr>
          <w:rFonts w:cstheme="minorHAnsi"/>
          <w:szCs w:val="21"/>
        </w:rPr>
        <w:t xml:space="preserve"> mil. Kč a 14,</w:t>
      </w:r>
      <w:r w:rsidR="008F5F00" w:rsidRPr="00926688">
        <w:rPr>
          <w:rFonts w:cstheme="minorHAnsi"/>
          <w:szCs w:val="21"/>
        </w:rPr>
        <w:t>2</w:t>
      </w:r>
      <w:r w:rsidRPr="00926688">
        <w:rPr>
          <w:rFonts w:cstheme="minorHAnsi"/>
          <w:szCs w:val="21"/>
        </w:rPr>
        <w:t> mil. Kč ze zdrojů MO). Oproti očekávané skutečnosti roku 20</w:t>
      </w:r>
      <w:r w:rsidR="005072A5" w:rsidRPr="00926688">
        <w:rPr>
          <w:rFonts w:cstheme="minorHAnsi"/>
          <w:szCs w:val="21"/>
        </w:rPr>
        <w:t>20</w:t>
      </w:r>
      <w:r w:rsidRPr="00926688">
        <w:rPr>
          <w:rFonts w:cstheme="minorHAnsi"/>
          <w:szCs w:val="21"/>
        </w:rPr>
        <w:t xml:space="preserve"> plánují ZP celkové zvýšení finančních prostředků o </w:t>
      </w:r>
      <w:r w:rsidR="005072A5" w:rsidRPr="00926688">
        <w:rPr>
          <w:rFonts w:cstheme="minorHAnsi"/>
          <w:szCs w:val="21"/>
        </w:rPr>
        <w:t>15,5</w:t>
      </w:r>
      <w:r w:rsidRPr="00926688">
        <w:rPr>
          <w:rFonts w:cstheme="minorHAnsi"/>
          <w:szCs w:val="21"/>
        </w:rPr>
        <w:t> % (v absolutním vyjádření o </w:t>
      </w:r>
      <w:r w:rsidR="005072A5" w:rsidRPr="00926688">
        <w:rPr>
          <w:rFonts w:cstheme="minorHAnsi"/>
          <w:szCs w:val="21"/>
        </w:rPr>
        <w:t>235</w:t>
      </w:r>
      <w:r w:rsidRPr="00926688">
        <w:rPr>
          <w:rFonts w:cstheme="minorHAnsi"/>
          <w:szCs w:val="21"/>
        </w:rPr>
        <w:t>,</w:t>
      </w:r>
      <w:r w:rsidR="005072A5" w:rsidRPr="00926688">
        <w:rPr>
          <w:rFonts w:cstheme="minorHAnsi"/>
          <w:szCs w:val="21"/>
        </w:rPr>
        <w:t>1</w:t>
      </w:r>
      <w:r w:rsidRPr="00926688">
        <w:rPr>
          <w:rFonts w:cstheme="minorHAnsi"/>
          <w:szCs w:val="21"/>
        </w:rPr>
        <w:t xml:space="preserve"> mil. Kč) viz </w:t>
      </w:r>
      <w:r w:rsidRPr="00926688">
        <w:rPr>
          <w:rFonts w:cstheme="minorHAnsi"/>
          <w:i/>
          <w:szCs w:val="21"/>
        </w:rPr>
        <w:t>Tabulka č. 2</w:t>
      </w:r>
      <w:r w:rsidR="005072A5" w:rsidRPr="00926688">
        <w:rPr>
          <w:rFonts w:cstheme="minorHAnsi"/>
          <w:i/>
          <w:szCs w:val="21"/>
        </w:rPr>
        <w:t>3</w:t>
      </w:r>
      <w:r w:rsidRPr="00926688">
        <w:rPr>
          <w:rFonts w:cstheme="minorHAnsi"/>
          <w:szCs w:val="21"/>
        </w:rPr>
        <w:t>. V přepočtu na jednoho pojištěnce jsou v r. 202</w:t>
      </w:r>
      <w:r w:rsidR="005072A5" w:rsidRPr="00926688">
        <w:rPr>
          <w:rFonts w:cstheme="minorHAnsi"/>
          <w:szCs w:val="21"/>
        </w:rPr>
        <w:t>1</w:t>
      </w:r>
      <w:r w:rsidRPr="00926688">
        <w:rPr>
          <w:rFonts w:cstheme="minorHAnsi"/>
          <w:szCs w:val="21"/>
        </w:rPr>
        <w:t xml:space="preserve"> plánovány náklady na preventivní zdravotní péči za všechny ZP ve výši 1</w:t>
      </w:r>
      <w:r w:rsidR="005072A5" w:rsidRPr="00926688">
        <w:rPr>
          <w:rFonts w:cstheme="minorHAnsi"/>
          <w:szCs w:val="21"/>
        </w:rPr>
        <w:t>66</w:t>
      </w:r>
      <w:r w:rsidRPr="00926688">
        <w:rPr>
          <w:rFonts w:cstheme="minorHAnsi"/>
          <w:szCs w:val="21"/>
        </w:rPr>
        <w:t xml:space="preserve"> Kč, tj</w:t>
      </w:r>
      <w:r w:rsidR="00AD3114" w:rsidRPr="00926688">
        <w:rPr>
          <w:rFonts w:cstheme="minorHAnsi"/>
          <w:szCs w:val="21"/>
        </w:rPr>
        <w:t>.</w:t>
      </w:r>
      <w:r w:rsidRPr="00926688">
        <w:rPr>
          <w:rFonts w:cstheme="minorHAnsi"/>
          <w:szCs w:val="21"/>
        </w:rPr>
        <w:t xml:space="preserve"> meziroční zvýšení o </w:t>
      </w:r>
      <w:r w:rsidR="005072A5" w:rsidRPr="00926688">
        <w:rPr>
          <w:rFonts w:cstheme="minorHAnsi"/>
          <w:szCs w:val="21"/>
        </w:rPr>
        <w:t>15</w:t>
      </w:r>
      <w:r w:rsidRPr="00926688">
        <w:rPr>
          <w:rFonts w:cstheme="minorHAnsi"/>
          <w:szCs w:val="21"/>
        </w:rPr>
        <w:t>,</w:t>
      </w:r>
      <w:r w:rsidR="005072A5" w:rsidRPr="00926688">
        <w:rPr>
          <w:rFonts w:cstheme="minorHAnsi"/>
          <w:szCs w:val="21"/>
        </w:rPr>
        <w:t>6</w:t>
      </w:r>
      <w:r w:rsidRPr="00926688">
        <w:rPr>
          <w:rFonts w:cstheme="minorHAnsi"/>
          <w:szCs w:val="21"/>
        </w:rPr>
        <w:t> %. U VZP ČR jsou plánovány ve výši 1</w:t>
      </w:r>
      <w:r w:rsidR="005072A5" w:rsidRPr="00926688">
        <w:rPr>
          <w:rFonts w:cstheme="minorHAnsi"/>
          <w:szCs w:val="21"/>
        </w:rPr>
        <w:t>20</w:t>
      </w:r>
      <w:r w:rsidRPr="00926688">
        <w:rPr>
          <w:rFonts w:cstheme="minorHAnsi"/>
          <w:szCs w:val="21"/>
        </w:rPr>
        <w:t xml:space="preserve"> Kč a u ZZP 2</w:t>
      </w:r>
      <w:r w:rsidR="005072A5" w:rsidRPr="00926688">
        <w:rPr>
          <w:rFonts w:cstheme="minorHAnsi"/>
          <w:szCs w:val="21"/>
        </w:rPr>
        <w:t>25</w:t>
      </w:r>
      <w:r w:rsidRPr="00926688">
        <w:rPr>
          <w:rFonts w:cstheme="minorHAnsi"/>
          <w:szCs w:val="21"/>
        </w:rPr>
        <w:t xml:space="preserve"> Kč (v rozmezí od </w:t>
      </w:r>
      <w:r w:rsidR="00DB6D8C" w:rsidRPr="00926688">
        <w:rPr>
          <w:rFonts w:cstheme="minorHAnsi"/>
          <w:szCs w:val="21"/>
        </w:rPr>
        <w:t>204</w:t>
      </w:r>
      <w:r w:rsidRPr="00926688">
        <w:rPr>
          <w:rFonts w:cstheme="minorHAnsi"/>
          <w:szCs w:val="21"/>
        </w:rPr>
        <w:t xml:space="preserve"> Kč u </w:t>
      </w:r>
      <w:r w:rsidR="00DB6D8C" w:rsidRPr="00926688">
        <w:rPr>
          <w:rFonts w:cstheme="minorHAnsi"/>
          <w:szCs w:val="21"/>
        </w:rPr>
        <w:t>RBP</w:t>
      </w:r>
      <w:r w:rsidRPr="00926688">
        <w:rPr>
          <w:rFonts w:cstheme="minorHAnsi"/>
          <w:szCs w:val="21"/>
        </w:rPr>
        <w:t xml:space="preserve"> po 29</w:t>
      </w:r>
      <w:r w:rsidR="00DB6D8C" w:rsidRPr="00926688">
        <w:rPr>
          <w:rFonts w:cstheme="minorHAnsi"/>
          <w:szCs w:val="21"/>
        </w:rPr>
        <w:t>6</w:t>
      </w:r>
      <w:r w:rsidRPr="00926688">
        <w:rPr>
          <w:rFonts w:cstheme="minorHAnsi"/>
          <w:szCs w:val="21"/>
        </w:rPr>
        <w:t xml:space="preserve"> Kč u ZPŠ)</w:t>
      </w:r>
      <w:r w:rsidR="00EF6718" w:rsidRPr="00926688">
        <w:rPr>
          <w:rFonts w:cstheme="minorHAnsi"/>
          <w:szCs w:val="21"/>
        </w:rPr>
        <w:t>.</w:t>
      </w:r>
    </w:p>
    <w:p w:rsidR="00B456F9" w:rsidRPr="00926688" w:rsidRDefault="00EF6718" w:rsidP="00B456F9">
      <w:pPr>
        <w:spacing w:before="180" w:line="276" w:lineRule="auto"/>
        <w:jc w:val="both"/>
        <w:rPr>
          <w:rFonts w:cstheme="minorHAnsi"/>
          <w:szCs w:val="21"/>
        </w:rPr>
      </w:pPr>
      <w:r w:rsidRPr="00926688">
        <w:rPr>
          <w:rFonts w:cstheme="minorHAnsi"/>
          <w:szCs w:val="21"/>
        </w:rPr>
        <w:t>V</w:t>
      </w:r>
      <w:r w:rsidR="00B456F9" w:rsidRPr="00926688">
        <w:rPr>
          <w:rFonts w:cstheme="minorHAnsi"/>
          <w:szCs w:val="21"/>
        </w:rPr>
        <w:t> roce 20</w:t>
      </w:r>
      <w:r w:rsidR="00DB6D8C" w:rsidRPr="00926688">
        <w:rPr>
          <w:rFonts w:cstheme="minorHAnsi"/>
          <w:szCs w:val="21"/>
        </w:rPr>
        <w:t>21</w:t>
      </w:r>
      <w:r w:rsidR="00B456F9" w:rsidRPr="00926688">
        <w:rPr>
          <w:rFonts w:cstheme="minorHAnsi"/>
          <w:szCs w:val="21"/>
        </w:rPr>
        <w:t xml:space="preserve"> směřují ZP nabídku zdravotně preventivních programů na odhalování závažných onemocnění (kardiovaskulární onemocnění, diabetes </w:t>
      </w:r>
      <w:proofErr w:type="spellStart"/>
      <w:r w:rsidR="00B456F9" w:rsidRPr="00926688">
        <w:rPr>
          <w:rFonts w:cstheme="minorHAnsi"/>
          <w:szCs w:val="21"/>
        </w:rPr>
        <w:t>mellitus</w:t>
      </w:r>
      <w:proofErr w:type="spellEnd"/>
      <w:r w:rsidR="00B456F9" w:rsidRPr="00926688">
        <w:rPr>
          <w:rFonts w:cstheme="minorHAnsi"/>
          <w:szCs w:val="21"/>
        </w:rPr>
        <w:t xml:space="preserve">, onkologická onemocnění), na očkování proti infekčním nemocem s nebezpečnými následky, </w:t>
      </w:r>
      <w:r w:rsidR="00C33EDE" w:rsidRPr="00926688">
        <w:rPr>
          <w:rFonts w:cstheme="minorHAnsi"/>
          <w:szCs w:val="21"/>
        </w:rPr>
        <w:t xml:space="preserve">na dentální hygienu, </w:t>
      </w:r>
      <w:r w:rsidR="00B456F9" w:rsidRPr="00926688">
        <w:rPr>
          <w:rFonts w:cstheme="minorHAnsi"/>
          <w:szCs w:val="21"/>
        </w:rPr>
        <w:t xml:space="preserve">na podporu </w:t>
      </w:r>
      <w:r w:rsidR="008C4076" w:rsidRPr="00926688">
        <w:rPr>
          <w:rFonts w:cstheme="minorHAnsi"/>
          <w:szCs w:val="21"/>
        </w:rPr>
        <w:t xml:space="preserve">aktivního pohybu jakožto prevence obezity a dalších civilizačních chorob </w:t>
      </w:r>
      <w:r w:rsidR="00B456F9" w:rsidRPr="00926688">
        <w:rPr>
          <w:rFonts w:cstheme="minorHAnsi"/>
          <w:szCs w:val="21"/>
        </w:rPr>
        <w:t>a dále na projekty podporující zvýšení kvality zdravotní péče, zdravý způsob života a zdraví pojištěnců.</w:t>
      </w:r>
      <w:r w:rsidR="00D57CD3" w:rsidRPr="00926688">
        <w:rPr>
          <w:rFonts w:cstheme="minorHAnsi"/>
          <w:szCs w:val="21"/>
        </w:rPr>
        <w:t xml:space="preserve"> Dále jsou z fondu prevence hrazeny ozdravné pobyty</w:t>
      </w:r>
      <w:r w:rsidR="00C33EDE" w:rsidRPr="00926688">
        <w:rPr>
          <w:rFonts w:cstheme="minorHAnsi"/>
          <w:szCs w:val="21"/>
        </w:rPr>
        <w:t xml:space="preserve"> pro chronicky nemocné děti pořádané v oblastech s prokazatelně pozitivními vlivy na zdravotní stav dětí</w:t>
      </w:r>
      <w:r w:rsidR="00D57CD3" w:rsidRPr="00926688">
        <w:rPr>
          <w:rFonts w:cstheme="minorHAnsi"/>
          <w:szCs w:val="21"/>
        </w:rPr>
        <w:t xml:space="preserve"> </w:t>
      </w:r>
      <w:r w:rsidR="00C33EDE" w:rsidRPr="00926688">
        <w:rPr>
          <w:rFonts w:cstheme="minorHAnsi"/>
          <w:szCs w:val="21"/>
        </w:rPr>
        <w:t xml:space="preserve">– přímořské </w:t>
      </w:r>
      <w:r w:rsidRPr="00926688">
        <w:rPr>
          <w:rFonts w:cstheme="minorHAnsi"/>
          <w:szCs w:val="21"/>
        </w:rPr>
        <w:br/>
      </w:r>
      <w:r w:rsidR="00C33EDE" w:rsidRPr="00926688">
        <w:rPr>
          <w:rFonts w:cstheme="minorHAnsi"/>
          <w:szCs w:val="21"/>
        </w:rPr>
        <w:t>a vysokohorské pobyty.</w:t>
      </w:r>
    </w:p>
    <w:p w:rsidR="00B456F9" w:rsidRPr="003222CE" w:rsidRDefault="00B456F9" w:rsidP="00B456F9">
      <w:pPr>
        <w:pStyle w:val="Titulek"/>
        <w:spacing w:before="240"/>
        <w:jc w:val="both"/>
      </w:pPr>
      <w:bookmarkStart w:id="75" w:name="_Toc25073792"/>
      <w:bookmarkStart w:id="76" w:name="_Toc63685278"/>
      <w:r w:rsidRPr="003222CE">
        <w:t xml:space="preserve">Tabulka č. </w:t>
      </w:r>
      <w:r w:rsidR="008E5E29" w:rsidRPr="003222CE">
        <w:rPr>
          <w:noProof/>
        </w:rPr>
        <w:fldChar w:fldCharType="begin"/>
      </w:r>
      <w:r w:rsidRPr="003222CE">
        <w:rPr>
          <w:noProof/>
        </w:rPr>
        <w:instrText xml:space="preserve"> SEQ Tabulka \* ARABIC </w:instrText>
      </w:r>
      <w:r w:rsidR="008E5E29" w:rsidRPr="003222CE">
        <w:rPr>
          <w:noProof/>
        </w:rPr>
        <w:fldChar w:fldCharType="separate"/>
      </w:r>
      <w:r w:rsidR="006D5C90">
        <w:rPr>
          <w:noProof/>
        </w:rPr>
        <w:t>25</w:t>
      </w:r>
      <w:r w:rsidR="008E5E29" w:rsidRPr="003222CE">
        <w:rPr>
          <w:noProof/>
        </w:rPr>
        <w:fldChar w:fldCharType="end"/>
      </w:r>
      <w:r w:rsidRPr="003222CE">
        <w:t>: Náklady na preventivní zdravotní péči čerpané z fondu prevence</w:t>
      </w:r>
      <w:bookmarkEnd w:id="75"/>
      <w:bookmarkEnd w:id="76"/>
    </w:p>
    <w:tbl>
      <w:tblPr>
        <w:tblW w:w="9639" w:type="dxa"/>
        <w:jc w:val="center"/>
        <w:tblBorders>
          <w:top w:val="single" w:sz="12" w:space="0" w:color="548DD4" w:themeColor="text2" w:themeTint="99"/>
          <w:left w:val="single" w:sz="12" w:space="0" w:color="548DD4" w:themeColor="text2" w:themeTint="99"/>
          <w:bottom w:val="single" w:sz="12" w:space="0" w:color="548DD4" w:themeColor="text2" w:themeTint="99"/>
          <w:right w:val="single" w:sz="12" w:space="0" w:color="548DD4" w:themeColor="text2" w:themeTint="99"/>
        </w:tblBorders>
        <w:tblCellMar>
          <w:left w:w="70" w:type="dxa"/>
          <w:right w:w="70" w:type="dxa"/>
        </w:tblCellMar>
        <w:tblLook w:val="04A0" w:firstRow="1" w:lastRow="0" w:firstColumn="1" w:lastColumn="0" w:noHBand="0" w:noVBand="1"/>
      </w:tblPr>
      <w:tblGrid>
        <w:gridCol w:w="2553"/>
        <w:gridCol w:w="1012"/>
        <w:gridCol w:w="1012"/>
        <w:gridCol w:w="1012"/>
        <w:gridCol w:w="1013"/>
        <w:gridCol w:w="1012"/>
        <w:gridCol w:w="1012"/>
        <w:gridCol w:w="1013"/>
      </w:tblGrid>
      <w:tr w:rsidR="003222CE" w:rsidRPr="003222CE" w:rsidTr="009E30ED">
        <w:trPr>
          <w:trHeight w:hRule="exact" w:val="284"/>
          <w:jc w:val="center"/>
        </w:trPr>
        <w:tc>
          <w:tcPr>
            <w:tcW w:w="2553" w:type="dxa"/>
            <w:vMerge w:val="restart"/>
            <w:shd w:val="clear" w:color="auto" w:fill="4F81BD"/>
            <w:hideMark/>
          </w:tcPr>
          <w:p w:rsidR="003222CE" w:rsidRPr="00963C2D" w:rsidRDefault="003222CE" w:rsidP="003222CE">
            <w:pPr>
              <w:spacing w:after="0" w:line="240" w:lineRule="auto"/>
              <w:rPr>
                <w:rFonts w:eastAsia="Times New Roman" w:cstheme="minorHAnsi"/>
                <w:b/>
                <w:bCs/>
                <w:color w:val="FFFFFF"/>
                <w:szCs w:val="21"/>
                <w:lang w:eastAsia="cs-CZ"/>
              </w:rPr>
            </w:pPr>
            <w:r w:rsidRPr="00963C2D">
              <w:rPr>
                <w:rFonts w:eastAsia="Times New Roman" w:cstheme="minorHAnsi"/>
                <w:b/>
                <w:bCs/>
                <w:color w:val="FFFFFF"/>
                <w:szCs w:val="21"/>
                <w:lang w:eastAsia="cs-CZ"/>
              </w:rPr>
              <w:t>Ukazatel</w:t>
            </w:r>
          </w:p>
          <w:p w:rsidR="003222CE" w:rsidRPr="00963C2D" w:rsidRDefault="003222CE" w:rsidP="003222CE">
            <w:pPr>
              <w:spacing w:after="0" w:line="240" w:lineRule="auto"/>
              <w:rPr>
                <w:rFonts w:eastAsia="Times New Roman" w:cstheme="minorHAnsi"/>
                <w:bCs/>
                <w:color w:val="FFFFFF"/>
                <w:szCs w:val="21"/>
                <w:lang w:eastAsia="cs-CZ"/>
              </w:rPr>
            </w:pPr>
            <w:r w:rsidRPr="00963C2D">
              <w:rPr>
                <w:rFonts w:eastAsia="Times New Roman" w:cstheme="minorHAnsi"/>
                <w:bCs/>
                <w:color w:val="FFFFFF"/>
                <w:szCs w:val="21"/>
                <w:lang w:eastAsia="cs-CZ"/>
              </w:rPr>
              <w:t>(v mil. Kč)</w:t>
            </w:r>
          </w:p>
        </w:tc>
        <w:tc>
          <w:tcPr>
            <w:tcW w:w="1012" w:type="dxa"/>
            <w:vMerge w:val="restart"/>
            <w:shd w:val="clear" w:color="auto" w:fill="6691C6"/>
            <w:vAlign w:val="center"/>
            <w:hideMark/>
          </w:tcPr>
          <w:p w:rsidR="003222CE" w:rsidRPr="00963C2D" w:rsidRDefault="003222CE" w:rsidP="003222CE">
            <w:pPr>
              <w:spacing w:after="0" w:line="240" w:lineRule="auto"/>
              <w:jc w:val="center"/>
              <w:rPr>
                <w:rFonts w:eastAsia="Times New Roman" w:cstheme="minorHAnsi"/>
                <w:b/>
                <w:bCs/>
                <w:color w:val="FFFFFF"/>
                <w:szCs w:val="21"/>
                <w:lang w:eastAsia="cs-CZ"/>
              </w:rPr>
            </w:pPr>
            <w:r w:rsidRPr="00963C2D">
              <w:rPr>
                <w:rFonts w:cstheme="minorHAnsi"/>
                <w:b/>
                <w:bCs/>
                <w:color w:val="FFFFFF"/>
                <w:szCs w:val="21"/>
              </w:rPr>
              <w:t>2015</w:t>
            </w:r>
          </w:p>
        </w:tc>
        <w:tc>
          <w:tcPr>
            <w:tcW w:w="1012" w:type="dxa"/>
            <w:vMerge w:val="restart"/>
            <w:shd w:val="clear" w:color="auto" w:fill="4F81BD"/>
            <w:vAlign w:val="center"/>
            <w:hideMark/>
          </w:tcPr>
          <w:p w:rsidR="003222CE" w:rsidRPr="00963C2D" w:rsidRDefault="003222CE" w:rsidP="003222CE">
            <w:pPr>
              <w:spacing w:after="0" w:line="240" w:lineRule="auto"/>
              <w:jc w:val="center"/>
              <w:rPr>
                <w:rFonts w:eastAsia="Times New Roman" w:cstheme="minorHAnsi"/>
                <w:b/>
                <w:bCs/>
                <w:color w:val="FFFFFF"/>
                <w:szCs w:val="21"/>
                <w:lang w:eastAsia="cs-CZ"/>
              </w:rPr>
            </w:pPr>
            <w:r w:rsidRPr="00963C2D">
              <w:rPr>
                <w:rFonts w:cstheme="minorHAnsi"/>
                <w:b/>
                <w:bCs/>
                <w:color w:val="FFFFFF"/>
                <w:szCs w:val="21"/>
              </w:rPr>
              <w:t>2016</w:t>
            </w:r>
          </w:p>
        </w:tc>
        <w:tc>
          <w:tcPr>
            <w:tcW w:w="1012" w:type="dxa"/>
            <w:vMerge w:val="restart"/>
            <w:shd w:val="clear" w:color="auto" w:fill="6691C6"/>
            <w:vAlign w:val="center"/>
            <w:hideMark/>
          </w:tcPr>
          <w:p w:rsidR="003222CE" w:rsidRPr="00963C2D" w:rsidRDefault="003222CE" w:rsidP="003222CE">
            <w:pPr>
              <w:spacing w:after="0" w:line="240" w:lineRule="auto"/>
              <w:jc w:val="center"/>
              <w:rPr>
                <w:rFonts w:eastAsia="Times New Roman" w:cstheme="minorHAnsi"/>
                <w:b/>
                <w:bCs/>
                <w:color w:val="FFFFFF"/>
                <w:szCs w:val="21"/>
                <w:lang w:eastAsia="cs-CZ"/>
              </w:rPr>
            </w:pPr>
            <w:r w:rsidRPr="00963C2D">
              <w:rPr>
                <w:rFonts w:cstheme="minorHAnsi"/>
                <w:b/>
                <w:bCs/>
                <w:color w:val="FFFFFF"/>
                <w:szCs w:val="21"/>
              </w:rPr>
              <w:t>2017</w:t>
            </w:r>
          </w:p>
        </w:tc>
        <w:tc>
          <w:tcPr>
            <w:tcW w:w="1013" w:type="dxa"/>
            <w:vMerge w:val="restart"/>
            <w:shd w:val="clear" w:color="auto" w:fill="4F81BD"/>
            <w:vAlign w:val="center"/>
            <w:hideMark/>
          </w:tcPr>
          <w:p w:rsidR="003222CE" w:rsidRPr="00963C2D" w:rsidRDefault="003222CE" w:rsidP="003222CE">
            <w:pPr>
              <w:spacing w:after="0" w:line="240" w:lineRule="auto"/>
              <w:jc w:val="center"/>
              <w:rPr>
                <w:rFonts w:eastAsia="Times New Roman" w:cstheme="minorHAnsi"/>
                <w:b/>
                <w:bCs/>
                <w:color w:val="FFFFFF"/>
                <w:szCs w:val="21"/>
                <w:lang w:eastAsia="cs-CZ"/>
              </w:rPr>
            </w:pPr>
            <w:r w:rsidRPr="00963C2D">
              <w:rPr>
                <w:rFonts w:cstheme="minorHAnsi"/>
                <w:b/>
                <w:bCs/>
                <w:color w:val="FFFFFF"/>
                <w:szCs w:val="21"/>
              </w:rPr>
              <w:t>2018</w:t>
            </w:r>
          </w:p>
        </w:tc>
        <w:tc>
          <w:tcPr>
            <w:tcW w:w="1012" w:type="dxa"/>
            <w:vMerge w:val="restart"/>
            <w:shd w:val="clear" w:color="auto" w:fill="6691C6"/>
            <w:vAlign w:val="center"/>
            <w:hideMark/>
          </w:tcPr>
          <w:p w:rsidR="003222CE" w:rsidRPr="00963C2D" w:rsidRDefault="003222CE" w:rsidP="003222CE">
            <w:pPr>
              <w:spacing w:after="0" w:line="240" w:lineRule="auto"/>
              <w:jc w:val="center"/>
              <w:rPr>
                <w:rFonts w:eastAsia="Times New Roman" w:cstheme="minorHAnsi"/>
                <w:b/>
                <w:bCs/>
                <w:color w:val="FFFFFF"/>
                <w:szCs w:val="21"/>
                <w:lang w:eastAsia="cs-CZ"/>
              </w:rPr>
            </w:pPr>
            <w:r w:rsidRPr="00963C2D">
              <w:rPr>
                <w:rFonts w:cstheme="minorHAnsi"/>
                <w:b/>
                <w:bCs/>
                <w:color w:val="FFFFFF"/>
                <w:szCs w:val="21"/>
              </w:rPr>
              <w:t>2019</w:t>
            </w:r>
          </w:p>
        </w:tc>
        <w:tc>
          <w:tcPr>
            <w:tcW w:w="1012" w:type="dxa"/>
            <w:shd w:val="clear" w:color="auto" w:fill="4F81BD"/>
            <w:vAlign w:val="center"/>
            <w:hideMark/>
          </w:tcPr>
          <w:p w:rsidR="003222CE" w:rsidRPr="00963C2D" w:rsidRDefault="003222CE" w:rsidP="003222CE">
            <w:pPr>
              <w:spacing w:after="0" w:line="240" w:lineRule="auto"/>
              <w:jc w:val="center"/>
              <w:rPr>
                <w:rFonts w:eastAsia="Times New Roman" w:cstheme="minorHAnsi"/>
                <w:b/>
                <w:bCs/>
                <w:color w:val="FFFFFF"/>
                <w:szCs w:val="21"/>
                <w:lang w:eastAsia="cs-CZ"/>
              </w:rPr>
            </w:pPr>
            <w:r w:rsidRPr="00963C2D">
              <w:rPr>
                <w:rFonts w:cstheme="minorHAnsi"/>
                <w:b/>
                <w:bCs/>
                <w:color w:val="FFFFFF"/>
                <w:szCs w:val="21"/>
              </w:rPr>
              <w:t>2020</w:t>
            </w:r>
          </w:p>
        </w:tc>
        <w:tc>
          <w:tcPr>
            <w:tcW w:w="1013" w:type="dxa"/>
            <w:shd w:val="clear" w:color="auto" w:fill="6691C6"/>
            <w:vAlign w:val="center"/>
          </w:tcPr>
          <w:p w:rsidR="003222CE" w:rsidRPr="00963C2D" w:rsidRDefault="003222CE" w:rsidP="003222CE">
            <w:pPr>
              <w:spacing w:after="0" w:line="240" w:lineRule="auto"/>
              <w:jc w:val="center"/>
              <w:rPr>
                <w:rFonts w:eastAsia="Times New Roman" w:cstheme="minorHAnsi"/>
                <w:b/>
                <w:bCs/>
                <w:color w:val="FFFFFF"/>
                <w:szCs w:val="21"/>
                <w:lang w:eastAsia="cs-CZ"/>
              </w:rPr>
            </w:pPr>
            <w:r w:rsidRPr="00963C2D">
              <w:rPr>
                <w:rFonts w:cstheme="minorHAnsi"/>
                <w:b/>
                <w:bCs/>
                <w:color w:val="FFFFFF"/>
                <w:szCs w:val="21"/>
              </w:rPr>
              <w:t>2021</w:t>
            </w:r>
          </w:p>
        </w:tc>
      </w:tr>
      <w:tr w:rsidR="003222CE" w:rsidRPr="003222CE" w:rsidTr="009E30ED">
        <w:trPr>
          <w:trHeight w:hRule="exact" w:val="284"/>
          <w:jc w:val="center"/>
        </w:trPr>
        <w:tc>
          <w:tcPr>
            <w:tcW w:w="2553" w:type="dxa"/>
            <w:vMerge/>
            <w:shd w:val="clear" w:color="auto" w:fill="4F81BD"/>
            <w:vAlign w:val="center"/>
            <w:hideMark/>
          </w:tcPr>
          <w:p w:rsidR="003222CE" w:rsidRPr="00963C2D" w:rsidRDefault="003222CE" w:rsidP="003222CE">
            <w:pPr>
              <w:spacing w:after="0" w:line="240" w:lineRule="auto"/>
              <w:rPr>
                <w:rFonts w:eastAsia="Times New Roman" w:cstheme="minorHAnsi"/>
                <w:b/>
                <w:bCs/>
                <w:color w:val="FFFFFF"/>
                <w:szCs w:val="21"/>
                <w:lang w:eastAsia="cs-CZ"/>
              </w:rPr>
            </w:pPr>
          </w:p>
        </w:tc>
        <w:tc>
          <w:tcPr>
            <w:tcW w:w="1012" w:type="dxa"/>
            <w:vMerge/>
            <w:shd w:val="clear" w:color="auto" w:fill="6691C6"/>
            <w:hideMark/>
          </w:tcPr>
          <w:p w:rsidR="003222CE" w:rsidRPr="00963C2D" w:rsidRDefault="003222CE" w:rsidP="003222CE">
            <w:pPr>
              <w:spacing w:after="0" w:line="240" w:lineRule="auto"/>
              <w:jc w:val="center"/>
              <w:rPr>
                <w:rFonts w:eastAsia="Times New Roman" w:cstheme="minorHAnsi"/>
                <w:color w:val="000000"/>
                <w:szCs w:val="21"/>
                <w:lang w:eastAsia="cs-CZ"/>
              </w:rPr>
            </w:pPr>
          </w:p>
        </w:tc>
        <w:tc>
          <w:tcPr>
            <w:tcW w:w="1012" w:type="dxa"/>
            <w:vMerge/>
            <w:shd w:val="clear" w:color="auto" w:fill="4F81BD"/>
            <w:hideMark/>
          </w:tcPr>
          <w:p w:rsidR="003222CE" w:rsidRPr="00963C2D" w:rsidRDefault="003222CE" w:rsidP="003222CE">
            <w:pPr>
              <w:spacing w:after="0" w:line="240" w:lineRule="auto"/>
              <w:jc w:val="center"/>
              <w:rPr>
                <w:rFonts w:eastAsia="Times New Roman" w:cstheme="minorHAnsi"/>
                <w:color w:val="000000"/>
                <w:szCs w:val="21"/>
                <w:lang w:eastAsia="cs-CZ"/>
              </w:rPr>
            </w:pPr>
          </w:p>
        </w:tc>
        <w:tc>
          <w:tcPr>
            <w:tcW w:w="1012" w:type="dxa"/>
            <w:vMerge/>
            <w:shd w:val="clear" w:color="auto" w:fill="6691C6"/>
            <w:hideMark/>
          </w:tcPr>
          <w:p w:rsidR="003222CE" w:rsidRPr="00963C2D" w:rsidRDefault="003222CE" w:rsidP="003222CE">
            <w:pPr>
              <w:spacing w:after="0" w:line="240" w:lineRule="auto"/>
              <w:jc w:val="center"/>
              <w:rPr>
                <w:rFonts w:eastAsia="Times New Roman" w:cstheme="minorHAnsi"/>
                <w:color w:val="000000"/>
                <w:szCs w:val="21"/>
                <w:lang w:eastAsia="cs-CZ"/>
              </w:rPr>
            </w:pPr>
          </w:p>
        </w:tc>
        <w:tc>
          <w:tcPr>
            <w:tcW w:w="1013" w:type="dxa"/>
            <w:vMerge/>
            <w:shd w:val="clear" w:color="auto" w:fill="4F81BD"/>
            <w:hideMark/>
          </w:tcPr>
          <w:p w:rsidR="003222CE" w:rsidRPr="00963C2D" w:rsidRDefault="003222CE" w:rsidP="003222CE">
            <w:pPr>
              <w:spacing w:after="0" w:line="240" w:lineRule="auto"/>
              <w:jc w:val="center"/>
              <w:rPr>
                <w:rFonts w:eastAsia="Times New Roman" w:cstheme="minorHAnsi"/>
                <w:b/>
                <w:bCs/>
                <w:color w:val="FFFFFF"/>
                <w:szCs w:val="21"/>
                <w:lang w:eastAsia="cs-CZ"/>
              </w:rPr>
            </w:pPr>
          </w:p>
        </w:tc>
        <w:tc>
          <w:tcPr>
            <w:tcW w:w="1012" w:type="dxa"/>
            <w:vMerge/>
            <w:shd w:val="clear" w:color="auto" w:fill="6691C6"/>
            <w:vAlign w:val="center"/>
            <w:hideMark/>
          </w:tcPr>
          <w:p w:rsidR="003222CE" w:rsidRPr="00963C2D" w:rsidRDefault="003222CE" w:rsidP="003222CE">
            <w:pPr>
              <w:spacing w:after="0" w:line="240" w:lineRule="auto"/>
              <w:jc w:val="center"/>
              <w:rPr>
                <w:rFonts w:eastAsia="Times New Roman" w:cstheme="minorHAnsi"/>
                <w:b/>
                <w:bCs/>
                <w:color w:val="FFFFFF"/>
                <w:szCs w:val="21"/>
                <w:lang w:eastAsia="cs-CZ"/>
              </w:rPr>
            </w:pPr>
          </w:p>
        </w:tc>
        <w:tc>
          <w:tcPr>
            <w:tcW w:w="1012" w:type="dxa"/>
            <w:shd w:val="clear" w:color="auto" w:fill="4F81BD"/>
            <w:vAlign w:val="center"/>
            <w:hideMark/>
          </w:tcPr>
          <w:p w:rsidR="003222CE" w:rsidRPr="00963C2D" w:rsidRDefault="003222CE" w:rsidP="003222CE">
            <w:pPr>
              <w:spacing w:after="0" w:line="240" w:lineRule="auto"/>
              <w:jc w:val="center"/>
              <w:rPr>
                <w:rFonts w:eastAsia="Times New Roman" w:cstheme="minorHAnsi"/>
                <w:bCs/>
                <w:color w:val="FFFFFF"/>
                <w:szCs w:val="21"/>
                <w:lang w:eastAsia="cs-CZ"/>
              </w:rPr>
            </w:pPr>
            <w:r w:rsidRPr="00963C2D">
              <w:rPr>
                <w:rFonts w:cstheme="minorHAnsi"/>
                <w:b/>
                <w:bCs/>
                <w:color w:val="FFFFFF"/>
                <w:szCs w:val="21"/>
              </w:rPr>
              <w:t>oč. skut.</w:t>
            </w:r>
          </w:p>
        </w:tc>
        <w:tc>
          <w:tcPr>
            <w:tcW w:w="1013" w:type="dxa"/>
            <w:shd w:val="clear" w:color="auto" w:fill="6691C6"/>
            <w:vAlign w:val="center"/>
          </w:tcPr>
          <w:p w:rsidR="003222CE" w:rsidRPr="00963C2D" w:rsidRDefault="003222CE" w:rsidP="003222CE">
            <w:pPr>
              <w:spacing w:after="0" w:line="240" w:lineRule="auto"/>
              <w:jc w:val="center"/>
              <w:rPr>
                <w:rFonts w:eastAsia="Times New Roman" w:cstheme="minorHAnsi"/>
                <w:bCs/>
                <w:color w:val="FFFFFF"/>
                <w:szCs w:val="21"/>
                <w:lang w:eastAsia="cs-CZ"/>
              </w:rPr>
            </w:pPr>
            <w:r w:rsidRPr="00963C2D">
              <w:rPr>
                <w:rFonts w:cstheme="minorHAnsi"/>
                <w:b/>
                <w:bCs/>
                <w:color w:val="FFFFFF"/>
                <w:szCs w:val="21"/>
              </w:rPr>
              <w:t>ZPP</w:t>
            </w:r>
          </w:p>
        </w:tc>
      </w:tr>
      <w:tr w:rsidR="003222CE" w:rsidRPr="003222CE" w:rsidTr="003222CE">
        <w:trPr>
          <w:trHeight w:hRule="exact" w:val="510"/>
          <w:jc w:val="center"/>
        </w:trPr>
        <w:tc>
          <w:tcPr>
            <w:tcW w:w="2553" w:type="dxa"/>
            <w:shd w:val="clear" w:color="auto" w:fill="auto"/>
            <w:vAlign w:val="center"/>
            <w:hideMark/>
          </w:tcPr>
          <w:p w:rsidR="003222CE" w:rsidRPr="00963C2D" w:rsidRDefault="003222CE" w:rsidP="003222CE">
            <w:pPr>
              <w:spacing w:after="0" w:line="240" w:lineRule="auto"/>
              <w:rPr>
                <w:rFonts w:eastAsia="Times New Roman" w:cstheme="minorHAnsi"/>
                <w:b/>
                <w:bCs/>
                <w:color w:val="000000"/>
                <w:szCs w:val="21"/>
                <w:lang w:eastAsia="cs-CZ"/>
              </w:rPr>
            </w:pPr>
            <w:r w:rsidRPr="00963C2D">
              <w:rPr>
                <w:rFonts w:eastAsia="Times New Roman" w:cstheme="minorHAnsi"/>
                <w:b/>
                <w:bCs/>
                <w:color w:val="000000"/>
                <w:szCs w:val="21"/>
                <w:lang w:eastAsia="cs-CZ"/>
              </w:rPr>
              <w:t xml:space="preserve">Náklady na </w:t>
            </w:r>
            <w:r w:rsidRPr="00963C2D">
              <w:rPr>
                <w:rFonts w:eastAsia="Times New Roman" w:cstheme="minorHAnsi"/>
                <w:b/>
                <w:bCs/>
                <w:color w:val="000000"/>
                <w:szCs w:val="21"/>
                <w:lang w:eastAsia="cs-CZ"/>
              </w:rPr>
              <w:br/>
              <w:t>zdravotní programy</w:t>
            </w:r>
          </w:p>
        </w:tc>
        <w:tc>
          <w:tcPr>
            <w:tcW w:w="1012" w:type="dxa"/>
            <w:shd w:val="clear" w:color="auto" w:fill="DBE5F1"/>
            <w:vAlign w:val="center"/>
            <w:hideMark/>
          </w:tcPr>
          <w:p w:rsidR="003222CE" w:rsidRPr="00963C2D" w:rsidRDefault="003222CE" w:rsidP="003222CE">
            <w:pPr>
              <w:spacing w:after="0" w:line="240" w:lineRule="auto"/>
              <w:jc w:val="right"/>
              <w:rPr>
                <w:rFonts w:cstheme="minorHAnsi"/>
                <w:color w:val="000000"/>
                <w:szCs w:val="21"/>
              </w:rPr>
            </w:pPr>
            <w:r w:rsidRPr="00963C2D">
              <w:rPr>
                <w:rFonts w:cstheme="minorHAnsi"/>
                <w:color w:val="000000"/>
                <w:szCs w:val="21"/>
              </w:rPr>
              <w:t>580</w:t>
            </w:r>
          </w:p>
        </w:tc>
        <w:tc>
          <w:tcPr>
            <w:tcW w:w="1012" w:type="dxa"/>
            <w:shd w:val="clear" w:color="auto" w:fill="auto"/>
            <w:vAlign w:val="center"/>
            <w:hideMark/>
          </w:tcPr>
          <w:p w:rsidR="003222CE" w:rsidRPr="00963C2D" w:rsidRDefault="003222CE" w:rsidP="003222CE">
            <w:pPr>
              <w:spacing w:after="0" w:line="240" w:lineRule="auto"/>
              <w:jc w:val="right"/>
              <w:rPr>
                <w:rFonts w:cstheme="minorHAnsi"/>
                <w:color w:val="000000"/>
                <w:szCs w:val="21"/>
              </w:rPr>
            </w:pPr>
            <w:r w:rsidRPr="00963C2D">
              <w:rPr>
                <w:rFonts w:cstheme="minorHAnsi"/>
                <w:color w:val="000000"/>
                <w:szCs w:val="21"/>
              </w:rPr>
              <w:t>743</w:t>
            </w:r>
          </w:p>
        </w:tc>
        <w:tc>
          <w:tcPr>
            <w:tcW w:w="1012" w:type="dxa"/>
            <w:shd w:val="clear" w:color="auto" w:fill="DBE5F1"/>
            <w:vAlign w:val="center"/>
            <w:hideMark/>
          </w:tcPr>
          <w:p w:rsidR="003222CE" w:rsidRPr="00963C2D" w:rsidRDefault="003222CE" w:rsidP="003222CE">
            <w:pPr>
              <w:spacing w:after="0" w:line="240" w:lineRule="auto"/>
              <w:jc w:val="right"/>
              <w:rPr>
                <w:rFonts w:cstheme="minorHAnsi"/>
                <w:color w:val="000000"/>
                <w:szCs w:val="21"/>
              </w:rPr>
            </w:pPr>
            <w:r w:rsidRPr="00963C2D">
              <w:rPr>
                <w:rFonts w:cstheme="minorHAnsi"/>
                <w:color w:val="000000"/>
                <w:szCs w:val="21"/>
              </w:rPr>
              <w:t>703</w:t>
            </w:r>
          </w:p>
        </w:tc>
        <w:tc>
          <w:tcPr>
            <w:tcW w:w="1013" w:type="dxa"/>
            <w:shd w:val="clear" w:color="auto" w:fill="auto"/>
            <w:vAlign w:val="center"/>
            <w:hideMark/>
          </w:tcPr>
          <w:p w:rsidR="003222CE" w:rsidRPr="00963C2D" w:rsidRDefault="003222CE" w:rsidP="003222CE">
            <w:pPr>
              <w:spacing w:after="0" w:line="240" w:lineRule="auto"/>
              <w:jc w:val="right"/>
              <w:rPr>
                <w:rFonts w:cstheme="minorHAnsi"/>
                <w:color w:val="000000"/>
                <w:szCs w:val="21"/>
              </w:rPr>
            </w:pPr>
            <w:r w:rsidRPr="00963C2D">
              <w:rPr>
                <w:rFonts w:cstheme="minorHAnsi"/>
                <w:color w:val="000000"/>
                <w:szCs w:val="21"/>
              </w:rPr>
              <w:t>876</w:t>
            </w:r>
          </w:p>
        </w:tc>
        <w:tc>
          <w:tcPr>
            <w:tcW w:w="1012" w:type="dxa"/>
            <w:shd w:val="clear" w:color="auto" w:fill="DBE5F1"/>
            <w:vAlign w:val="center"/>
            <w:hideMark/>
          </w:tcPr>
          <w:p w:rsidR="003222CE" w:rsidRPr="00963C2D" w:rsidRDefault="003222CE" w:rsidP="00BF5979">
            <w:pPr>
              <w:spacing w:after="0" w:line="240" w:lineRule="auto"/>
              <w:jc w:val="right"/>
              <w:rPr>
                <w:rFonts w:cstheme="minorHAnsi"/>
                <w:color w:val="000000"/>
                <w:szCs w:val="21"/>
              </w:rPr>
            </w:pPr>
            <w:r w:rsidRPr="00963C2D">
              <w:rPr>
                <w:rFonts w:cstheme="minorHAnsi"/>
                <w:color w:val="000000"/>
                <w:szCs w:val="21"/>
              </w:rPr>
              <w:t>1 114</w:t>
            </w:r>
          </w:p>
        </w:tc>
        <w:tc>
          <w:tcPr>
            <w:tcW w:w="1012" w:type="dxa"/>
            <w:shd w:val="clear" w:color="auto" w:fill="auto"/>
            <w:vAlign w:val="center"/>
            <w:hideMark/>
          </w:tcPr>
          <w:p w:rsidR="003222CE" w:rsidRPr="00963C2D" w:rsidRDefault="003222CE" w:rsidP="00BF5979">
            <w:pPr>
              <w:spacing w:after="0" w:line="240" w:lineRule="auto"/>
              <w:jc w:val="right"/>
              <w:rPr>
                <w:rFonts w:cstheme="minorHAnsi"/>
                <w:color w:val="000000"/>
                <w:szCs w:val="21"/>
              </w:rPr>
            </w:pPr>
            <w:r w:rsidRPr="00963C2D">
              <w:rPr>
                <w:rFonts w:cstheme="minorHAnsi"/>
                <w:color w:val="000000"/>
                <w:szCs w:val="21"/>
              </w:rPr>
              <w:t>1 219</w:t>
            </w:r>
          </w:p>
        </w:tc>
        <w:tc>
          <w:tcPr>
            <w:tcW w:w="1013" w:type="dxa"/>
            <w:shd w:val="clear" w:color="auto" w:fill="DBE5F1"/>
            <w:vAlign w:val="center"/>
          </w:tcPr>
          <w:p w:rsidR="003222CE" w:rsidRPr="00963C2D" w:rsidRDefault="003222CE" w:rsidP="00BF5979">
            <w:pPr>
              <w:spacing w:after="0" w:line="240" w:lineRule="auto"/>
              <w:jc w:val="right"/>
              <w:rPr>
                <w:rFonts w:cstheme="minorHAnsi"/>
                <w:color w:val="000000"/>
                <w:szCs w:val="21"/>
              </w:rPr>
            </w:pPr>
            <w:r w:rsidRPr="00963C2D">
              <w:rPr>
                <w:rFonts w:cstheme="minorHAnsi"/>
                <w:color w:val="000000"/>
                <w:szCs w:val="21"/>
              </w:rPr>
              <w:t>1 381</w:t>
            </w:r>
          </w:p>
        </w:tc>
      </w:tr>
      <w:tr w:rsidR="003222CE" w:rsidRPr="003222CE" w:rsidTr="003222CE">
        <w:trPr>
          <w:trHeight w:hRule="exact" w:val="510"/>
          <w:jc w:val="center"/>
        </w:trPr>
        <w:tc>
          <w:tcPr>
            <w:tcW w:w="2553" w:type="dxa"/>
            <w:shd w:val="clear" w:color="auto" w:fill="EEF3F8"/>
            <w:vAlign w:val="center"/>
            <w:hideMark/>
          </w:tcPr>
          <w:p w:rsidR="003222CE" w:rsidRPr="00963C2D" w:rsidRDefault="003222CE" w:rsidP="003222CE">
            <w:pPr>
              <w:spacing w:after="0" w:line="240" w:lineRule="auto"/>
              <w:rPr>
                <w:rFonts w:eastAsia="Times New Roman" w:cstheme="minorHAnsi"/>
                <w:b/>
                <w:bCs/>
                <w:color w:val="000000"/>
                <w:szCs w:val="21"/>
                <w:lang w:eastAsia="cs-CZ"/>
              </w:rPr>
            </w:pPr>
            <w:r w:rsidRPr="00963C2D">
              <w:rPr>
                <w:rFonts w:eastAsia="Times New Roman" w:cstheme="minorHAnsi"/>
                <w:b/>
                <w:bCs/>
                <w:color w:val="000000"/>
                <w:szCs w:val="21"/>
                <w:lang w:eastAsia="cs-CZ"/>
              </w:rPr>
              <w:t xml:space="preserve">Náklady na </w:t>
            </w:r>
            <w:r w:rsidRPr="00963C2D">
              <w:rPr>
                <w:rFonts w:eastAsia="Times New Roman" w:cstheme="minorHAnsi"/>
                <w:b/>
                <w:bCs/>
                <w:color w:val="000000"/>
                <w:szCs w:val="21"/>
                <w:lang w:eastAsia="cs-CZ"/>
              </w:rPr>
              <w:br/>
              <w:t>ozdravné pobyty</w:t>
            </w:r>
          </w:p>
        </w:tc>
        <w:tc>
          <w:tcPr>
            <w:tcW w:w="1012" w:type="dxa"/>
            <w:shd w:val="clear" w:color="auto" w:fill="EEF3F8"/>
            <w:vAlign w:val="center"/>
            <w:hideMark/>
          </w:tcPr>
          <w:p w:rsidR="003222CE" w:rsidRPr="00963C2D" w:rsidRDefault="003222CE" w:rsidP="003222CE">
            <w:pPr>
              <w:spacing w:after="0" w:line="240" w:lineRule="auto"/>
              <w:jc w:val="right"/>
              <w:rPr>
                <w:rFonts w:cstheme="minorHAnsi"/>
                <w:color w:val="000000"/>
                <w:szCs w:val="21"/>
              </w:rPr>
            </w:pPr>
            <w:r w:rsidRPr="00963C2D">
              <w:rPr>
                <w:rFonts w:cstheme="minorHAnsi"/>
                <w:color w:val="000000"/>
                <w:szCs w:val="21"/>
              </w:rPr>
              <w:t>104</w:t>
            </w:r>
          </w:p>
        </w:tc>
        <w:tc>
          <w:tcPr>
            <w:tcW w:w="1012" w:type="dxa"/>
            <w:shd w:val="clear" w:color="auto" w:fill="EEF3F8"/>
            <w:vAlign w:val="center"/>
            <w:hideMark/>
          </w:tcPr>
          <w:p w:rsidR="003222CE" w:rsidRPr="00963C2D" w:rsidRDefault="003222CE" w:rsidP="003222CE">
            <w:pPr>
              <w:spacing w:after="0" w:line="240" w:lineRule="auto"/>
              <w:jc w:val="right"/>
              <w:rPr>
                <w:rFonts w:cstheme="minorHAnsi"/>
                <w:color w:val="000000"/>
                <w:szCs w:val="21"/>
              </w:rPr>
            </w:pPr>
            <w:r w:rsidRPr="00963C2D">
              <w:rPr>
                <w:rFonts w:cstheme="minorHAnsi"/>
                <w:color w:val="000000"/>
                <w:szCs w:val="21"/>
              </w:rPr>
              <w:t>106</w:t>
            </w:r>
          </w:p>
        </w:tc>
        <w:tc>
          <w:tcPr>
            <w:tcW w:w="1012" w:type="dxa"/>
            <w:shd w:val="clear" w:color="auto" w:fill="EEF3F8"/>
            <w:vAlign w:val="center"/>
            <w:hideMark/>
          </w:tcPr>
          <w:p w:rsidR="003222CE" w:rsidRPr="00963C2D" w:rsidRDefault="003222CE" w:rsidP="003222CE">
            <w:pPr>
              <w:spacing w:after="0" w:line="240" w:lineRule="auto"/>
              <w:jc w:val="right"/>
              <w:rPr>
                <w:rFonts w:cstheme="minorHAnsi"/>
                <w:color w:val="000000"/>
                <w:szCs w:val="21"/>
              </w:rPr>
            </w:pPr>
            <w:r w:rsidRPr="00963C2D">
              <w:rPr>
                <w:rFonts w:cstheme="minorHAnsi"/>
                <w:color w:val="000000"/>
                <w:szCs w:val="21"/>
              </w:rPr>
              <w:t>99</w:t>
            </w:r>
          </w:p>
        </w:tc>
        <w:tc>
          <w:tcPr>
            <w:tcW w:w="1013" w:type="dxa"/>
            <w:shd w:val="clear" w:color="auto" w:fill="EEF3F8"/>
            <w:vAlign w:val="center"/>
            <w:hideMark/>
          </w:tcPr>
          <w:p w:rsidR="003222CE" w:rsidRPr="00963C2D" w:rsidRDefault="003222CE" w:rsidP="003222CE">
            <w:pPr>
              <w:spacing w:after="0" w:line="240" w:lineRule="auto"/>
              <w:jc w:val="right"/>
              <w:rPr>
                <w:rFonts w:cstheme="minorHAnsi"/>
                <w:color w:val="000000"/>
                <w:szCs w:val="21"/>
              </w:rPr>
            </w:pPr>
            <w:r w:rsidRPr="00963C2D">
              <w:rPr>
                <w:rFonts w:cstheme="minorHAnsi"/>
                <w:color w:val="000000"/>
                <w:szCs w:val="21"/>
              </w:rPr>
              <w:t>109</w:t>
            </w:r>
          </w:p>
        </w:tc>
        <w:tc>
          <w:tcPr>
            <w:tcW w:w="1012" w:type="dxa"/>
            <w:shd w:val="clear" w:color="auto" w:fill="EEF3F8"/>
            <w:vAlign w:val="center"/>
            <w:hideMark/>
          </w:tcPr>
          <w:p w:rsidR="003222CE" w:rsidRPr="00963C2D" w:rsidRDefault="003222CE" w:rsidP="00BF5979">
            <w:pPr>
              <w:spacing w:after="0" w:line="240" w:lineRule="auto"/>
              <w:jc w:val="right"/>
              <w:rPr>
                <w:rFonts w:cstheme="minorHAnsi"/>
                <w:color w:val="000000"/>
                <w:szCs w:val="21"/>
              </w:rPr>
            </w:pPr>
            <w:r w:rsidRPr="00963C2D">
              <w:rPr>
                <w:rFonts w:cstheme="minorHAnsi"/>
                <w:color w:val="000000"/>
                <w:szCs w:val="21"/>
              </w:rPr>
              <w:t>93</w:t>
            </w:r>
          </w:p>
        </w:tc>
        <w:tc>
          <w:tcPr>
            <w:tcW w:w="1012" w:type="dxa"/>
            <w:shd w:val="clear" w:color="auto" w:fill="EEF3F8"/>
            <w:vAlign w:val="center"/>
            <w:hideMark/>
          </w:tcPr>
          <w:p w:rsidR="003222CE" w:rsidRPr="00963C2D" w:rsidRDefault="003222CE" w:rsidP="00BF5979">
            <w:pPr>
              <w:spacing w:after="0" w:line="240" w:lineRule="auto"/>
              <w:jc w:val="right"/>
              <w:rPr>
                <w:rFonts w:cstheme="minorHAnsi"/>
                <w:color w:val="000000"/>
                <w:szCs w:val="21"/>
              </w:rPr>
            </w:pPr>
            <w:r w:rsidRPr="00963C2D">
              <w:rPr>
                <w:rFonts w:cstheme="minorHAnsi"/>
                <w:color w:val="000000"/>
                <w:szCs w:val="21"/>
              </w:rPr>
              <w:t>42</w:t>
            </w:r>
          </w:p>
        </w:tc>
        <w:tc>
          <w:tcPr>
            <w:tcW w:w="1013" w:type="dxa"/>
            <w:shd w:val="clear" w:color="auto" w:fill="EEF3F8"/>
            <w:vAlign w:val="center"/>
          </w:tcPr>
          <w:p w:rsidR="003222CE" w:rsidRPr="00963C2D" w:rsidRDefault="003222CE" w:rsidP="00BF5979">
            <w:pPr>
              <w:spacing w:after="0" w:line="240" w:lineRule="auto"/>
              <w:jc w:val="right"/>
              <w:rPr>
                <w:rFonts w:cstheme="minorHAnsi"/>
                <w:color w:val="000000"/>
                <w:szCs w:val="21"/>
              </w:rPr>
            </w:pPr>
            <w:r w:rsidRPr="00963C2D">
              <w:rPr>
                <w:rFonts w:cstheme="minorHAnsi"/>
                <w:color w:val="000000"/>
                <w:szCs w:val="21"/>
              </w:rPr>
              <w:t>82</w:t>
            </w:r>
          </w:p>
        </w:tc>
      </w:tr>
      <w:tr w:rsidR="003222CE" w:rsidRPr="003222CE" w:rsidTr="003222CE">
        <w:trPr>
          <w:trHeight w:hRule="exact" w:val="284"/>
          <w:jc w:val="center"/>
        </w:trPr>
        <w:tc>
          <w:tcPr>
            <w:tcW w:w="2553" w:type="dxa"/>
            <w:shd w:val="clear" w:color="auto" w:fill="auto"/>
            <w:vAlign w:val="center"/>
            <w:hideMark/>
          </w:tcPr>
          <w:p w:rsidR="003222CE" w:rsidRPr="00963C2D" w:rsidRDefault="003222CE" w:rsidP="003222CE">
            <w:pPr>
              <w:spacing w:after="0" w:line="240" w:lineRule="auto"/>
              <w:rPr>
                <w:rFonts w:eastAsia="Times New Roman" w:cstheme="minorHAnsi"/>
                <w:b/>
                <w:bCs/>
                <w:color w:val="000000"/>
                <w:szCs w:val="21"/>
                <w:lang w:eastAsia="cs-CZ"/>
              </w:rPr>
            </w:pPr>
            <w:r w:rsidRPr="00963C2D">
              <w:rPr>
                <w:rFonts w:eastAsia="Times New Roman" w:cstheme="minorHAnsi"/>
                <w:b/>
                <w:bCs/>
                <w:color w:val="000000"/>
                <w:szCs w:val="21"/>
                <w:lang w:eastAsia="cs-CZ"/>
              </w:rPr>
              <w:t>Ostatní činnosti</w:t>
            </w:r>
          </w:p>
        </w:tc>
        <w:tc>
          <w:tcPr>
            <w:tcW w:w="1012" w:type="dxa"/>
            <w:shd w:val="clear" w:color="auto" w:fill="DBE5F1"/>
            <w:vAlign w:val="center"/>
            <w:hideMark/>
          </w:tcPr>
          <w:p w:rsidR="003222CE" w:rsidRPr="00963C2D" w:rsidRDefault="003222CE" w:rsidP="003222CE">
            <w:pPr>
              <w:spacing w:after="0" w:line="240" w:lineRule="auto"/>
              <w:jc w:val="right"/>
              <w:rPr>
                <w:rFonts w:cstheme="minorHAnsi"/>
                <w:color w:val="000000"/>
                <w:szCs w:val="21"/>
              </w:rPr>
            </w:pPr>
            <w:r w:rsidRPr="00963C2D">
              <w:rPr>
                <w:rFonts w:cstheme="minorHAnsi"/>
                <w:color w:val="000000"/>
                <w:szCs w:val="21"/>
              </w:rPr>
              <w:t>90</w:t>
            </w:r>
          </w:p>
        </w:tc>
        <w:tc>
          <w:tcPr>
            <w:tcW w:w="1012" w:type="dxa"/>
            <w:shd w:val="clear" w:color="auto" w:fill="auto"/>
            <w:vAlign w:val="center"/>
            <w:hideMark/>
          </w:tcPr>
          <w:p w:rsidR="003222CE" w:rsidRPr="00963C2D" w:rsidRDefault="003222CE" w:rsidP="003222CE">
            <w:pPr>
              <w:spacing w:after="0" w:line="240" w:lineRule="auto"/>
              <w:jc w:val="right"/>
              <w:rPr>
                <w:rFonts w:cstheme="minorHAnsi"/>
                <w:color w:val="000000"/>
                <w:szCs w:val="21"/>
              </w:rPr>
            </w:pPr>
            <w:r w:rsidRPr="00963C2D">
              <w:rPr>
                <w:rFonts w:cstheme="minorHAnsi"/>
                <w:color w:val="000000"/>
                <w:szCs w:val="21"/>
              </w:rPr>
              <w:t>127</w:t>
            </w:r>
          </w:p>
        </w:tc>
        <w:tc>
          <w:tcPr>
            <w:tcW w:w="1012" w:type="dxa"/>
            <w:shd w:val="clear" w:color="auto" w:fill="DBE5F1"/>
            <w:vAlign w:val="center"/>
            <w:hideMark/>
          </w:tcPr>
          <w:p w:rsidR="003222CE" w:rsidRPr="00963C2D" w:rsidRDefault="003222CE" w:rsidP="003222CE">
            <w:pPr>
              <w:spacing w:after="0" w:line="240" w:lineRule="auto"/>
              <w:jc w:val="right"/>
              <w:rPr>
                <w:rFonts w:cstheme="minorHAnsi"/>
                <w:color w:val="000000"/>
                <w:szCs w:val="21"/>
              </w:rPr>
            </w:pPr>
            <w:r w:rsidRPr="00963C2D">
              <w:rPr>
                <w:rFonts w:cstheme="minorHAnsi"/>
                <w:color w:val="000000"/>
                <w:szCs w:val="21"/>
              </w:rPr>
              <w:t>80</w:t>
            </w:r>
          </w:p>
        </w:tc>
        <w:tc>
          <w:tcPr>
            <w:tcW w:w="1013" w:type="dxa"/>
            <w:shd w:val="clear" w:color="auto" w:fill="auto"/>
            <w:vAlign w:val="center"/>
            <w:hideMark/>
          </w:tcPr>
          <w:p w:rsidR="003222CE" w:rsidRPr="00963C2D" w:rsidRDefault="003222CE" w:rsidP="003222CE">
            <w:pPr>
              <w:spacing w:after="0" w:line="240" w:lineRule="auto"/>
              <w:jc w:val="right"/>
              <w:rPr>
                <w:rFonts w:cstheme="minorHAnsi"/>
                <w:color w:val="000000"/>
                <w:szCs w:val="21"/>
              </w:rPr>
            </w:pPr>
            <w:r w:rsidRPr="00963C2D">
              <w:rPr>
                <w:rFonts w:cstheme="minorHAnsi"/>
                <w:color w:val="000000"/>
                <w:szCs w:val="21"/>
              </w:rPr>
              <w:t>99</w:t>
            </w:r>
          </w:p>
        </w:tc>
        <w:tc>
          <w:tcPr>
            <w:tcW w:w="1012" w:type="dxa"/>
            <w:shd w:val="clear" w:color="auto" w:fill="DBE5F1"/>
            <w:vAlign w:val="center"/>
            <w:hideMark/>
          </w:tcPr>
          <w:p w:rsidR="003222CE" w:rsidRPr="00963C2D" w:rsidRDefault="003222CE" w:rsidP="00BF5979">
            <w:pPr>
              <w:spacing w:after="0" w:line="240" w:lineRule="auto"/>
              <w:jc w:val="right"/>
              <w:rPr>
                <w:rFonts w:cstheme="minorHAnsi"/>
                <w:color w:val="000000"/>
                <w:szCs w:val="21"/>
              </w:rPr>
            </w:pPr>
            <w:r w:rsidRPr="00963C2D">
              <w:rPr>
                <w:rFonts w:cstheme="minorHAnsi"/>
                <w:color w:val="000000"/>
                <w:szCs w:val="21"/>
              </w:rPr>
              <w:t>165</w:t>
            </w:r>
          </w:p>
        </w:tc>
        <w:tc>
          <w:tcPr>
            <w:tcW w:w="1012" w:type="dxa"/>
            <w:shd w:val="clear" w:color="auto" w:fill="auto"/>
            <w:vAlign w:val="center"/>
            <w:hideMark/>
          </w:tcPr>
          <w:p w:rsidR="003222CE" w:rsidRPr="00963C2D" w:rsidRDefault="003222CE" w:rsidP="00BF5979">
            <w:pPr>
              <w:spacing w:after="0" w:line="240" w:lineRule="auto"/>
              <w:jc w:val="right"/>
              <w:rPr>
                <w:rFonts w:cstheme="minorHAnsi"/>
                <w:color w:val="000000"/>
                <w:szCs w:val="21"/>
              </w:rPr>
            </w:pPr>
            <w:r w:rsidRPr="00963C2D">
              <w:rPr>
                <w:rFonts w:cstheme="minorHAnsi"/>
                <w:color w:val="000000"/>
                <w:szCs w:val="21"/>
              </w:rPr>
              <w:t>241</w:t>
            </w:r>
          </w:p>
        </w:tc>
        <w:tc>
          <w:tcPr>
            <w:tcW w:w="1013" w:type="dxa"/>
            <w:shd w:val="clear" w:color="auto" w:fill="DBE5F1"/>
            <w:vAlign w:val="center"/>
          </w:tcPr>
          <w:p w:rsidR="003222CE" w:rsidRPr="00963C2D" w:rsidRDefault="003222CE" w:rsidP="00BF5979">
            <w:pPr>
              <w:spacing w:after="0" w:line="240" w:lineRule="auto"/>
              <w:jc w:val="right"/>
              <w:rPr>
                <w:rFonts w:cstheme="minorHAnsi"/>
                <w:color w:val="000000"/>
                <w:szCs w:val="21"/>
              </w:rPr>
            </w:pPr>
            <w:r w:rsidRPr="00963C2D">
              <w:rPr>
                <w:rFonts w:cstheme="minorHAnsi"/>
                <w:color w:val="000000"/>
                <w:szCs w:val="21"/>
              </w:rPr>
              <w:t>272</w:t>
            </w:r>
          </w:p>
        </w:tc>
      </w:tr>
      <w:tr w:rsidR="003222CE" w:rsidRPr="003222CE" w:rsidTr="003222CE">
        <w:trPr>
          <w:trHeight w:hRule="exact" w:val="284"/>
          <w:jc w:val="center"/>
        </w:trPr>
        <w:tc>
          <w:tcPr>
            <w:tcW w:w="2553" w:type="dxa"/>
            <w:shd w:val="clear" w:color="auto" w:fill="EEF3F8"/>
            <w:vAlign w:val="center"/>
          </w:tcPr>
          <w:p w:rsidR="003222CE" w:rsidRPr="00963C2D" w:rsidRDefault="003222CE" w:rsidP="003222CE">
            <w:pPr>
              <w:spacing w:after="0" w:line="240" w:lineRule="auto"/>
              <w:rPr>
                <w:rFonts w:cstheme="minorHAnsi"/>
                <w:b/>
                <w:bCs/>
                <w:color w:val="000000"/>
                <w:szCs w:val="21"/>
              </w:rPr>
            </w:pPr>
            <w:r w:rsidRPr="00963C2D">
              <w:rPr>
                <w:rFonts w:cstheme="minorHAnsi"/>
                <w:b/>
                <w:bCs/>
                <w:color w:val="000000"/>
                <w:szCs w:val="21"/>
              </w:rPr>
              <w:t>Z jiných zdrojů (</w:t>
            </w:r>
            <w:proofErr w:type="spellStart"/>
            <w:r w:rsidRPr="00963C2D">
              <w:rPr>
                <w:rFonts w:cstheme="minorHAnsi"/>
                <w:b/>
                <w:bCs/>
                <w:color w:val="000000"/>
                <w:szCs w:val="21"/>
              </w:rPr>
              <w:t>VoZP</w:t>
            </w:r>
            <w:proofErr w:type="spellEnd"/>
            <w:r w:rsidRPr="00963C2D">
              <w:rPr>
                <w:rFonts w:cstheme="minorHAnsi"/>
                <w:b/>
                <w:bCs/>
                <w:color w:val="000000"/>
                <w:szCs w:val="21"/>
              </w:rPr>
              <w:t> ČR)</w:t>
            </w:r>
          </w:p>
        </w:tc>
        <w:tc>
          <w:tcPr>
            <w:tcW w:w="1012" w:type="dxa"/>
            <w:shd w:val="clear" w:color="auto" w:fill="EEF3F8"/>
            <w:vAlign w:val="center"/>
          </w:tcPr>
          <w:p w:rsidR="003222CE" w:rsidRPr="00963C2D" w:rsidRDefault="003222CE" w:rsidP="003222CE">
            <w:pPr>
              <w:spacing w:after="0" w:line="240" w:lineRule="auto"/>
              <w:jc w:val="right"/>
              <w:rPr>
                <w:rFonts w:cstheme="minorHAnsi"/>
                <w:color w:val="000000"/>
                <w:szCs w:val="21"/>
              </w:rPr>
            </w:pPr>
            <w:r w:rsidRPr="00963C2D">
              <w:rPr>
                <w:rFonts w:cstheme="minorHAnsi"/>
                <w:color w:val="000000"/>
                <w:szCs w:val="21"/>
              </w:rPr>
              <w:t>10</w:t>
            </w:r>
          </w:p>
        </w:tc>
        <w:tc>
          <w:tcPr>
            <w:tcW w:w="1012" w:type="dxa"/>
            <w:shd w:val="clear" w:color="auto" w:fill="EEF3F8"/>
            <w:vAlign w:val="center"/>
          </w:tcPr>
          <w:p w:rsidR="003222CE" w:rsidRPr="00963C2D" w:rsidRDefault="003222CE" w:rsidP="003222CE">
            <w:pPr>
              <w:spacing w:after="0" w:line="240" w:lineRule="auto"/>
              <w:jc w:val="right"/>
              <w:rPr>
                <w:rFonts w:cstheme="minorHAnsi"/>
                <w:color w:val="000000"/>
                <w:szCs w:val="21"/>
              </w:rPr>
            </w:pPr>
            <w:r w:rsidRPr="00963C2D">
              <w:rPr>
                <w:rFonts w:cstheme="minorHAnsi"/>
                <w:color w:val="000000"/>
                <w:szCs w:val="21"/>
              </w:rPr>
              <w:t>10</w:t>
            </w:r>
          </w:p>
        </w:tc>
        <w:tc>
          <w:tcPr>
            <w:tcW w:w="1012" w:type="dxa"/>
            <w:shd w:val="clear" w:color="auto" w:fill="EEF3F8"/>
            <w:vAlign w:val="center"/>
          </w:tcPr>
          <w:p w:rsidR="003222CE" w:rsidRPr="00963C2D" w:rsidRDefault="003222CE" w:rsidP="003222CE">
            <w:pPr>
              <w:spacing w:after="0" w:line="240" w:lineRule="auto"/>
              <w:jc w:val="right"/>
              <w:rPr>
                <w:rFonts w:cstheme="minorHAnsi"/>
                <w:color w:val="000000"/>
                <w:szCs w:val="21"/>
              </w:rPr>
            </w:pPr>
            <w:r w:rsidRPr="00963C2D">
              <w:rPr>
                <w:rFonts w:cstheme="minorHAnsi"/>
                <w:color w:val="000000"/>
                <w:szCs w:val="21"/>
              </w:rPr>
              <w:t>10</w:t>
            </w:r>
          </w:p>
        </w:tc>
        <w:tc>
          <w:tcPr>
            <w:tcW w:w="1013" w:type="dxa"/>
            <w:shd w:val="clear" w:color="auto" w:fill="EEF3F8"/>
            <w:vAlign w:val="center"/>
          </w:tcPr>
          <w:p w:rsidR="003222CE" w:rsidRPr="00963C2D" w:rsidRDefault="003222CE" w:rsidP="003222CE">
            <w:pPr>
              <w:spacing w:after="0" w:line="240" w:lineRule="auto"/>
              <w:jc w:val="right"/>
              <w:rPr>
                <w:rFonts w:cstheme="minorHAnsi"/>
                <w:color w:val="000000"/>
                <w:szCs w:val="21"/>
              </w:rPr>
            </w:pPr>
            <w:r w:rsidRPr="00963C2D">
              <w:rPr>
                <w:rFonts w:cstheme="minorHAnsi"/>
                <w:color w:val="000000"/>
                <w:szCs w:val="21"/>
              </w:rPr>
              <w:t>9</w:t>
            </w:r>
          </w:p>
        </w:tc>
        <w:tc>
          <w:tcPr>
            <w:tcW w:w="1012" w:type="dxa"/>
            <w:shd w:val="clear" w:color="auto" w:fill="EEF3F8"/>
            <w:vAlign w:val="center"/>
          </w:tcPr>
          <w:p w:rsidR="003222CE" w:rsidRPr="00963C2D" w:rsidRDefault="003222CE" w:rsidP="00BF5979">
            <w:pPr>
              <w:spacing w:after="0" w:line="240" w:lineRule="auto"/>
              <w:jc w:val="right"/>
              <w:rPr>
                <w:rFonts w:cstheme="minorHAnsi"/>
                <w:color w:val="000000"/>
                <w:szCs w:val="21"/>
              </w:rPr>
            </w:pPr>
            <w:r w:rsidRPr="00963C2D">
              <w:rPr>
                <w:rFonts w:cstheme="minorHAnsi"/>
                <w:color w:val="000000"/>
                <w:szCs w:val="21"/>
              </w:rPr>
              <w:t>12</w:t>
            </w:r>
          </w:p>
        </w:tc>
        <w:tc>
          <w:tcPr>
            <w:tcW w:w="1012" w:type="dxa"/>
            <w:shd w:val="clear" w:color="auto" w:fill="EEF3F8"/>
            <w:vAlign w:val="center"/>
          </w:tcPr>
          <w:p w:rsidR="003222CE" w:rsidRPr="00963C2D" w:rsidRDefault="003222CE" w:rsidP="00BF5979">
            <w:pPr>
              <w:spacing w:after="0" w:line="240" w:lineRule="auto"/>
              <w:jc w:val="right"/>
              <w:rPr>
                <w:rFonts w:cstheme="minorHAnsi"/>
                <w:color w:val="000000"/>
                <w:szCs w:val="21"/>
              </w:rPr>
            </w:pPr>
            <w:r w:rsidRPr="00963C2D">
              <w:rPr>
                <w:rFonts w:cstheme="minorHAnsi"/>
                <w:color w:val="000000"/>
                <w:szCs w:val="21"/>
              </w:rPr>
              <w:t>13</w:t>
            </w:r>
          </w:p>
        </w:tc>
        <w:tc>
          <w:tcPr>
            <w:tcW w:w="1013" w:type="dxa"/>
            <w:shd w:val="clear" w:color="auto" w:fill="EEF3F8"/>
            <w:vAlign w:val="center"/>
          </w:tcPr>
          <w:p w:rsidR="003222CE" w:rsidRPr="00963C2D" w:rsidRDefault="003222CE" w:rsidP="00BF5979">
            <w:pPr>
              <w:spacing w:after="0" w:line="240" w:lineRule="auto"/>
              <w:jc w:val="right"/>
              <w:rPr>
                <w:rFonts w:cstheme="minorHAnsi"/>
                <w:color w:val="000000"/>
                <w:szCs w:val="21"/>
              </w:rPr>
            </w:pPr>
            <w:r w:rsidRPr="00963C2D">
              <w:rPr>
                <w:rFonts w:cstheme="minorHAnsi"/>
                <w:color w:val="000000"/>
                <w:szCs w:val="21"/>
              </w:rPr>
              <w:t>14</w:t>
            </w:r>
          </w:p>
        </w:tc>
      </w:tr>
      <w:tr w:rsidR="003222CE" w:rsidRPr="00C954C6" w:rsidTr="003222CE">
        <w:trPr>
          <w:trHeight w:hRule="exact" w:val="510"/>
          <w:jc w:val="center"/>
        </w:trPr>
        <w:tc>
          <w:tcPr>
            <w:tcW w:w="2553" w:type="dxa"/>
            <w:shd w:val="clear" w:color="auto" w:fill="auto"/>
            <w:vAlign w:val="center"/>
            <w:hideMark/>
          </w:tcPr>
          <w:p w:rsidR="003222CE" w:rsidRPr="00963C2D" w:rsidRDefault="003222CE" w:rsidP="003222CE">
            <w:pPr>
              <w:spacing w:after="0" w:line="240" w:lineRule="auto"/>
              <w:rPr>
                <w:rFonts w:eastAsia="Times New Roman" w:cstheme="minorHAnsi"/>
                <w:b/>
                <w:bCs/>
                <w:color w:val="000000"/>
                <w:szCs w:val="21"/>
                <w:lang w:eastAsia="cs-CZ"/>
              </w:rPr>
            </w:pPr>
            <w:r w:rsidRPr="00963C2D">
              <w:rPr>
                <w:rFonts w:eastAsia="Times New Roman" w:cstheme="minorHAnsi"/>
                <w:b/>
                <w:bCs/>
                <w:color w:val="000000"/>
                <w:szCs w:val="21"/>
                <w:lang w:eastAsia="cs-CZ"/>
              </w:rPr>
              <w:t>Celkové náklady na preventivní zdravotní péči</w:t>
            </w:r>
          </w:p>
        </w:tc>
        <w:tc>
          <w:tcPr>
            <w:tcW w:w="1012" w:type="dxa"/>
            <w:shd w:val="clear" w:color="auto" w:fill="DBE5F1"/>
            <w:vAlign w:val="center"/>
            <w:hideMark/>
          </w:tcPr>
          <w:p w:rsidR="003222CE" w:rsidRPr="00963C2D" w:rsidRDefault="003222CE" w:rsidP="003222CE">
            <w:pPr>
              <w:spacing w:after="0" w:line="240" w:lineRule="auto"/>
              <w:jc w:val="right"/>
              <w:rPr>
                <w:rFonts w:cstheme="minorHAnsi"/>
                <w:b/>
                <w:bCs/>
                <w:color w:val="000000"/>
                <w:szCs w:val="21"/>
              </w:rPr>
            </w:pPr>
            <w:r w:rsidRPr="00963C2D">
              <w:rPr>
                <w:rFonts w:cstheme="minorHAnsi"/>
                <w:b/>
                <w:bCs/>
                <w:color w:val="000000"/>
                <w:szCs w:val="21"/>
              </w:rPr>
              <w:t>783</w:t>
            </w:r>
          </w:p>
        </w:tc>
        <w:tc>
          <w:tcPr>
            <w:tcW w:w="1012" w:type="dxa"/>
            <w:shd w:val="clear" w:color="auto" w:fill="auto"/>
            <w:vAlign w:val="center"/>
            <w:hideMark/>
          </w:tcPr>
          <w:p w:rsidR="003222CE" w:rsidRPr="00963C2D" w:rsidRDefault="003222CE" w:rsidP="003222CE">
            <w:pPr>
              <w:spacing w:after="0" w:line="240" w:lineRule="auto"/>
              <w:jc w:val="right"/>
              <w:rPr>
                <w:rFonts w:cstheme="minorHAnsi"/>
                <w:b/>
                <w:bCs/>
                <w:color w:val="000000"/>
                <w:szCs w:val="21"/>
              </w:rPr>
            </w:pPr>
            <w:r w:rsidRPr="00963C2D">
              <w:rPr>
                <w:rFonts w:cstheme="minorHAnsi"/>
                <w:b/>
                <w:bCs/>
                <w:color w:val="000000"/>
                <w:szCs w:val="21"/>
              </w:rPr>
              <w:t>987</w:t>
            </w:r>
          </w:p>
        </w:tc>
        <w:tc>
          <w:tcPr>
            <w:tcW w:w="1012" w:type="dxa"/>
            <w:shd w:val="clear" w:color="auto" w:fill="DBE5F1"/>
            <w:vAlign w:val="center"/>
            <w:hideMark/>
          </w:tcPr>
          <w:p w:rsidR="003222CE" w:rsidRPr="00963C2D" w:rsidRDefault="003222CE" w:rsidP="003222CE">
            <w:pPr>
              <w:spacing w:after="0" w:line="240" w:lineRule="auto"/>
              <w:jc w:val="right"/>
              <w:rPr>
                <w:rFonts w:cstheme="minorHAnsi"/>
                <w:b/>
                <w:bCs/>
                <w:color w:val="000000"/>
                <w:szCs w:val="21"/>
              </w:rPr>
            </w:pPr>
            <w:r w:rsidRPr="00963C2D">
              <w:rPr>
                <w:rFonts w:cstheme="minorHAnsi"/>
                <w:b/>
                <w:bCs/>
                <w:color w:val="000000"/>
                <w:szCs w:val="21"/>
              </w:rPr>
              <w:t>892</w:t>
            </w:r>
          </w:p>
        </w:tc>
        <w:tc>
          <w:tcPr>
            <w:tcW w:w="1013" w:type="dxa"/>
            <w:shd w:val="clear" w:color="auto" w:fill="auto"/>
            <w:vAlign w:val="center"/>
            <w:hideMark/>
          </w:tcPr>
          <w:p w:rsidR="003222CE" w:rsidRPr="00963C2D" w:rsidRDefault="003222CE" w:rsidP="003222CE">
            <w:pPr>
              <w:spacing w:after="0" w:line="240" w:lineRule="auto"/>
              <w:jc w:val="right"/>
              <w:rPr>
                <w:rFonts w:cstheme="minorHAnsi"/>
                <w:b/>
                <w:bCs/>
                <w:color w:val="000000"/>
                <w:szCs w:val="21"/>
              </w:rPr>
            </w:pPr>
            <w:r w:rsidRPr="00963C2D">
              <w:rPr>
                <w:rFonts w:cstheme="minorHAnsi"/>
                <w:b/>
                <w:bCs/>
                <w:color w:val="000000"/>
                <w:szCs w:val="21"/>
              </w:rPr>
              <w:t>1 093</w:t>
            </w:r>
          </w:p>
        </w:tc>
        <w:tc>
          <w:tcPr>
            <w:tcW w:w="1012" w:type="dxa"/>
            <w:shd w:val="clear" w:color="auto" w:fill="DBE5F1"/>
            <w:vAlign w:val="center"/>
            <w:hideMark/>
          </w:tcPr>
          <w:p w:rsidR="003222CE" w:rsidRPr="00963C2D" w:rsidRDefault="003222CE" w:rsidP="00BF5979">
            <w:pPr>
              <w:spacing w:after="0" w:line="240" w:lineRule="auto"/>
              <w:jc w:val="right"/>
              <w:rPr>
                <w:rFonts w:cstheme="minorHAnsi"/>
                <w:b/>
                <w:bCs/>
                <w:color w:val="000000"/>
                <w:szCs w:val="21"/>
              </w:rPr>
            </w:pPr>
            <w:r w:rsidRPr="00963C2D">
              <w:rPr>
                <w:rFonts w:cstheme="minorHAnsi"/>
                <w:b/>
                <w:bCs/>
                <w:color w:val="000000"/>
                <w:szCs w:val="21"/>
              </w:rPr>
              <w:t>1 384</w:t>
            </w:r>
          </w:p>
        </w:tc>
        <w:tc>
          <w:tcPr>
            <w:tcW w:w="1012" w:type="dxa"/>
            <w:shd w:val="clear" w:color="auto" w:fill="auto"/>
            <w:vAlign w:val="center"/>
            <w:hideMark/>
          </w:tcPr>
          <w:p w:rsidR="003222CE" w:rsidRPr="00963C2D" w:rsidRDefault="003222CE" w:rsidP="00BF5979">
            <w:pPr>
              <w:spacing w:after="0" w:line="240" w:lineRule="auto"/>
              <w:jc w:val="right"/>
              <w:rPr>
                <w:rFonts w:cstheme="minorHAnsi"/>
                <w:b/>
                <w:bCs/>
                <w:color w:val="000000"/>
                <w:szCs w:val="21"/>
              </w:rPr>
            </w:pPr>
            <w:r w:rsidRPr="00963C2D">
              <w:rPr>
                <w:rFonts w:cstheme="minorHAnsi"/>
                <w:b/>
                <w:bCs/>
                <w:color w:val="000000"/>
                <w:szCs w:val="21"/>
              </w:rPr>
              <w:t>1 515</w:t>
            </w:r>
          </w:p>
        </w:tc>
        <w:tc>
          <w:tcPr>
            <w:tcW w:w="1013" w:type="dxa"/>
            <w:shd w:val="clear" w:color="auto" w:fill="DBE5F1"/>
            <w:vAlign w:val="center"/>
          </w:tcPr>
          <w:p w:rsidR="003222CE" w:rsidRPr="00963C2D" w:rsidRDefault="003222CE" w:rsidP="00BF5979">
            <w:pPr>
              <w:spacing w:after="0" w:line="240" w:lineRule="auto"/>
              <w:jc w:val="right"/>
              <w:rPr>
                <w:rFonts w:cstheme="minorHAnsi"/>
                <w:b/>
                <w:bCs/>
                <w:color w:val="000000"/>
                <w:szCs w:val="21"/>
              </w:rPr>
            </w:pPr>
            <w:r w:rsidRPr="00963C2D">
              <w:rPr>
                <w:rFonts w:cstheme="minorHAnsi"/>
                <w:b/>
                <w:bCs/>
                <w:color w:val="000000"/>
                <w:szCs w:val="21"/>
              </w:rPr>
              <w:t>1 749</w:t>
            </w:r>
          </w:p>
        </w:tc>
      </w:tr>
    </w:tbl>
    <w:p w:rsidR="00B456F9" w:rsidRPr="002E7B93" w:rsidRDefault="00B456F9" w:rsidP="00B456F9">
      <w:pPr>
        <w:spacing w:before="180"/>
        <w:jc w:val="both"/>
        <w:rPr>
          <w:rFonts w:eastAsia="Calibri"/>
        </w:rPr>
      </w:pPr>
      <w:r w:rsidRPr="002E7B93">
        <w:rPr>
          <w:rFonts w:eastAsia="Calibri"/>
        </w:rPr>
        <w:t xml:space="preserve">Podmínky pro čerpání prostředků z fondu prevence stanoví zvlášť každá ZP a MZ nemá zákonnou pravomoc </w:t>
      </w:r>
      <w:r w:rsidR="00EF6718" w:rsidRPr="002E7B93">
        <w:rPr>
          <w:rFonts w:eastAsia="Calibri"/>
        </w:rPr>
        <w:br/>
      </w:r>
      <w:r w:rsidRPr="002E7B93">
        <w:rPr>
          <w:rFonts w:eastAsia="Calibri"/>
        </w:rPr>
        <w:t>do nich zasahovat, pakliže nejsou výslovně v rozporu s účelem fondu prevence. Závisí zcela na rozhodnutí ZP, jaké preventivní programy vyhovující příslušnému ustanovení zákona a za jakých podmínek svým pojištěncům nabídne. Konkrétní výše těchto příspěvků a konkrétní podmínky pro jejich poskytnutí nejsou řízeny zvláštním právním předpisem, nýbrž je pojišťovna sama, dle svého uvážení, může určit.</w:t>
      </w:r>
    </w:p>
    <w:p w:rsidR="00B456F9" w:rsidRPr="003222CE" w:rsidRDefault="00B456F9" w:rsidP="00B456F9">
      <w:pPr>
        <w:pStyle w:val="Titulek"/>
        <w:spacing w:before="240"/>
        <w:jc w:val="both"/>
      </w:pPr>
      <w:bookmarkStart w:id="77" w:name="_Toc25073793"/>
      <w:bookmarkStart w:id="78" w:name="_Toc63685279"/>
      <w:r w:rsidRPr="003222CE">
        <w:t xml:space="preserve">Tabulka č. </w:t>
      </w:r>
      <w:r w:rsidR="008E5E29" w:rsidRPr="003222CE">
        <w:rPr>
          <w:noProof/>
        </w:rPr>
        <w:fldChar w:fldCharType="begin"/>
      </w:r>
      <w:r w:rsidRPr="003222CE">
        <w:rPr>
          <w:noProof/>
        </w:rPr>
        <w:instrText xml:space="preserve"> SEQ Tabulka \* ARABIC </w:instrText>
      </w:r>
      <w:r w:rsidR="008E5E29" w:rsidRPr="003222CE">
        <w:rPr>
          <w:noProof/>
        </w:rPr>
        <w:fldChar w:fldCharType="separate"/>
      </w:r>
      <w:r w:rsidR="006D5C90">
        <w:rPr>
          <w:noProof/>
        </w:rPr>
        <w:t>26</w:t>
      </w:r>
      <w:r w:rsidR="008E5E29" w:rsidRPr="003222CE">
        <w:rPr>
          <w:noProof/>
        </w:rPr>
        <w:fldChar w:fldCharType="end"/>
      </w:r>
      <w:r w:rsidRPr="003222CE">
        <w:t>: Náklady na preventivní zdravotní péči čerpané z fondu prevence v r. 202</w:t>
      </w:r>
      <w:r w:rsidR="00BF5979">
        <w:t>1</w:t>
      </w:r>
      <w:r w:rsidRPr="003222CE">
        <w:t xml:space="preserve"> dle zdravotních pojišťoven</w:t>
      </w:r>
      <w:bookmarkEnd w:id="77"/>
      <w:bookmarkEnd w:id="78"/>
    </w:p>
    <w:tbl>
      <w:tblPr>
        <w:tblW w:w="9639" w:type="dxa"/>
        <w:jc w:val="center"/>
        <w:tblBorders>
          <w:top w:val="single" w:sz="12" w:space="0" w:color="548DD4" w:themeColor="text2" w:themeTint="99"/>
          <w:left w:val="single" w:sz="12" w:space="0" w:color="548DD4" w:themeColor="text2" w:themeTint="99"/>
          <w:bottom w:val="single" w:sz="12" w:space="0" w:color="548DD4" w:themeColor="text2" w:themeTint="99"/>
          <w:right w:val="single" w:sz="12" w:space="0" w:color="548DD4" w:themeColor="text2" w:themeTint="99"/>
        </w:tblBorders>
        <w:tblCellMar>
          <w:left w:w="70" w:type="dxa"/>
          <w:right w:w="70" w:type="dxa"/>
        </w:tblCellMar>
        <w:tblLook w:val="04A0" w:firstRow="1" w:lastRow="0" w:firstColumn="1" w:lastColumn="0" w:noHBand="0" w:noVBand="1"/>
      </w:tblPr>
      <w:tblGrid>
        <w:gridCol w:w="2553"/>
        <w:gridCol w:w="1012"/>
        <w:gridCol w:w="1012"/>
        <w:gridCol w:w="1012"/>
        <w:gridCol w:w="1013"/>
        <w:gridCol w:w="1012"/>
        <w:gridCol w:w="1012"/>
        <w:gridCol w:w="1013"/>
      </w:tblGrid>
      <w:tr w:rsidR="00B456F9" w:rsidRPr="00946EC9" w:rsidTr="004D6049">
        <w:trPr>
          <w:trHeight w:val="568"/>
          <w:jc w:val="center"/>
        </w:trPr>
        <w:tc>
          <w:tcPr>
            <w:tcW w:w="2553" w:type="dxa"/>
            <w:shd w:val="clear" w:color="auto" w:fill="4F81BD"/>
            <w:hideMark/>
          </w:tcPr>
          <w:p w:rsidR="00B456F9" w:rsidRPr="00946EC9" w:rsidRDefault="00B456F9" w:rsidP="004D6049">
            <w:pPr>
              <w:spacing w:after="0" w:line="240" w:lineRule="auto"/>
              <w:rPr>
                <w:rFonts w:eastAsia="Times New Roman" w:cstheme="minorHAnsi"/>
                <w:b/>
                <w:bCs/>
                <w:color w:val="FFFFFF"/>
                <w:szCs w:val="21"/>
                <w:lang w:eastAsia="cs-CZ"/>
              </w:rPr>
            </w:pPr>
            <w:r w:rsidRPr="00946EC9">
              <w:rPr>
                <w:rFonts w:eastAsia="Times New Roman" w:cstheme="minorHAnsi"/>
                <w:b/>
                <w:bCs/>
                <w:color w:val="FFFFFF"/>
                <w:szCs w:val="21"/>
                <w:lang w:eastAsia="cs-CZ"/>
              </w:rPr>
              <w:t>ZPP 202</w:t>
            </w:r>
            <w:r w:rsidR="00BF5979" w:rsidRPr="00946EC9">
              <w:rPr>
                <w:rFonts w:eastAsia="Times New Roman" w:cstheme="minorHAnsi"/>
                <w:b/>
                <w:bCs/>
                <w:color w:val="FFFFFF"/>
                <w:szCs w:val="21"/>
                <w:lang w:eastAsia="cs-CZ"/>
              </w:rPr>
              <w:t>1</w:t>
            </w:r>
            <w:r w:rsidRPr="00946EC9">
              <w:rPr>
                <w:rFonts w:eastAsia="Times New Roman" w:cstheme="minorHAnsi"/>
                <w:b/>
                <w:bCs/>
                <w:color w:val="FFFFFF"/>
                <w:szCs w:val="21"/>
                <w:lang w:eastAsia="cs-CZ"/>
              </w:rPr>
              <w:t xml:space="preserve"> </w:t>
            </w:r>
          </w:p>
          <w:p w:rsidR="00B456F9" w:rsidRPr="00946EC9" w:rsidRDefault="00B456F9" w:rsidP="004D6049">
            <w:pPr>
              <w:spacing w:after="0" w:line="240" w:lineRule="auto"/>
              <w:rPr>
                <w:rFonts w:eastAsia="Times New Roman" w:cstheme="minorHAnsi"/>
                <w:bCs/>
                <w:color w:val="FFFFFF"/>
                <w:szCs w:val="21"/>
                <w:lang w:eastAsia="cs-CZ"/>
              </w:rPr>
            </w:pPr>
            <w:r w:rsidRPr="00946EC9">
              <w:rPr>
                <w:rFonts w:eastAsia="Times New Roman" w:cstheme="minorHAnsi"/>
                <w:bCs/>
                <w:color w:val="FFFFFF"/>
                <w:szCs w:val="21"/>
                <w:lang w:eastAsia="cs-CZ"/>
              </w:rPr>
              <w:t>(v mil. Kč)</w:t>
            </w:r>
          </w:p>
        </w:tc>
        <w:tc>
          <w:tcPr>
            <w:tcW w:w="1012" w:type="dxa"/>
            <w:shd w:val="clear" w:color="auto" w:fill="6691C6"/>
            <w:vAlign w:val="center"/>
            <w:hideMark/>
          </w:tcPr>
          <w:p w:rsidR="00B456F9" w:rsidRPr="00946EC9" w:rsidRDefault="00B456F9" w:rsidP="004D6049">
            <w:pPr>
              <w:spacing w:after="0" w:line="240" w:lineRule="auto"/>
              <w:jc w:val="center"/>
              <w:rPr>
                <w:rFonts w:eastAsia="Times New Roman" w:cstheme="minorHAnsi"/>
                <w:color w:val="FFFFFF"/>
                <w:szCs w:val="21"/>
                <w:lang w:eastAsia="cs-CZ"/>
              </w:rPr>
            </w:pPr>
            <w:r w:rsidRPr="00946EC9">
              <w:rPr>
                <w:rFonts w:eastAsia="Times New Roman" w:cstheme="minorHAnsi"/>
                <w:color w:val="FFFFFF"/>
                <w:szCs w:val="21"/>
                <w:lang w:eastAsia="cs-CZ"/>
              </w:rPr>
              <w:t>VZP ČR</w:t>
            </w:r>
          </w:p>
        </w:tc>
        <w:tc>
          <w:tcPr>
            <w:tcW w:w="1012" w:type="dxa"/>
            <w:shd w:val="clear" w:color="auto" w:fill="4F81BD"/>
            <w:vAlign w:val="center"/>
            <w:hideMark/>
          </w:tcPr>
          <w:p w:rsidR="00B456F9" w:rsidRPr="00946EC9" w:rsidRDefault="00B456F9" w:rsidP="004D6049">
            <w:pPr>
              <w:spacing w:after="0" w:line="240" w:lineRule="auto"/>
              <w:jc w:val="center"/>
              <w:rPr>
                <w:rFonts w:eastAsia="Times New Roman" w:cstheme="minorHAnsi"/>
                <w:color w:val="FFFFFF"/>
                <w:szCs w:val="21"/>
                <w:lang w:eastAsia="cs-CZ"/>
              </w:rPr>
            </w:pPr>
            <w:proofErr w:type="spellStart"/>
            <w:r w:rsidRPr="00946EC9">
              <w:rPr>
                <w:rFonts w:eastAsia="Times New Roman" w:cstheme="minorHAnsi"/>
                <w:color w:val="FFFFFF"/>
                <w:szCs w:val="21"/>
                <w:lang w:eastAsia="cs-CZ"/>
              </w:rPr>
              <w:t>VoZP</w:t>
            </w:r>
            <w:proofErr w:type="spellEnd"/>
            <w:r w:rsidRPr="00946EC9">
              <w:rPr>
                <w:rFonts w:eastAsia="Times New Roman" w:cstheme="minorHAnsi"/>
                <w:color w:val="FFFFFF"/>
                <w:szCs w:val="21"/>
                <w:lang w:eastAsia="cs-CZ"/>
              </w:rPr>
              <w:t xml:space="preserve"> ČR</w:t>
            </w:r>
          </w:p>
        </w:tc>
        <w:tc>
          <w:tcPr>
            <w:tcW w:w="1012" w:type="dxa"/>
            <w:shd w:val="clear" w:color="auto" w:fill="6691C6"/>
            <w:vAlign w:val="center"/>
            <w:hideMark/>
          </w:tcPr>
          <w:p w:rsidR="00B456F9" w:rsidRPr="00946EC9" w:rsidRDefault="00B456F9" w:rsidP="004D6049">
            <w:pPr>
              <w:spacing w:after="0" w:line="240" w:lineRule="auto"/>
              <w:jc w:val="center"/>
              <w:rPr>
                <w:rFonts w:eastAsia="Times New Roman" w:cstheme="minorHAnsi"/>
                <w:color w:val="FFFFFF"/>
                <w:szCs w:val="21"/>
                <w:lang w:eastAsia="cs-CZ"/>
              </w:rPr>
            </w:pPr>
            <w:r w:rsidRPr="00946EC9">
              <w:rPr>
                <w:rFonts w:eastAsia="Times New Roman" w:cstheme="minorHAnsi"/>
                <w:color w:val="FFFFFF"/>
                <w:szCs w:val="21"/>
                <w:lang w:eastAsia="cs-CZ"/>
              </w:rPr>
              <w:t>ČPZP</w:t>
            </w:r>
          </w:p>
        </w:tc>
        <w:tc>
          <w:tcPr>
            <w:tcW w:w="1013" w:type="dxa"/>
            <w:shd w:val="clear" w:color="auto" w:fill="4F81BD"/>
            <w:vAlign w:val="center"/>
            <w:hideMark/>
          </w:tcPr>
          <w:p w:rsidR="00B456F9" w:rsidRPr="00946EC9" w:rsidRDefault="00B456F9" w:rsidP="004D6049">
            <w:pPr>
              <w:spacing w:after="0" w:line="240" w:lineRule="auto"/>
              <w:jc w:val="center"/>
              <w:rPr>
                <w:rFonts w:eastAsia="Times New Roman" w:cstheme="minorHAnsi"/>
                <w:color w:val="FFFFFF"/>
                <w:szCs w:val="21"/>
                <w:lang w:eastAsia="cs-CZ"/>
              </w:rPr>
            </w:pPr>
            <w:r w:rsidRPr="00946EC9">
              <w:rPr>
                <w:rFonts w:eastAsia="Times New Roman" w:cstheme="minorHAnsi"/>
                <w:color w:val="FFFFFF"/>
                <w:szCs w:val="21"/>
                <w:lang w:eastAsia="cs-CZ"/>
              </w:rPr>
              <w:t>OZP</w:t>
            </w:r>
          </w:p>
        </w:tc>
        <w:tc>
          <w:tcPr>
            <w:tcW w:w="1012" w:type="dxa"/>
            <w:shd w:val="clear" w:color="auto" w:fill="6691C6"/>
            <w:vAlign w:val="center"/>
            <w:hideMark/>
          </w:tcPr>
          <w:p w:rsidR="00B456F9" w:rsidRPr="00946EC9" w:rsidRDefault="00B456F9" w:rsidP="004D6049">
            <w:pPr>
              <w:spacing w:after="0" w:line="240" w:lineRule="auto"/>
              <w:jc w:val="center"/>
              <w:rPr>
                <w:rFonts w:eastAsia="Times New Roman" w:cstheme="minorHAnsi"/>
                <w:color w:val="FFFFFF"/>
                <w:szCs w:val="21"/>
                <w:lang w:eastAsia="cs-CZ"/>
              </w:rPr>
            </w:pPr>
            <w:r w:rsidRPr="00946EC9">
              <w:rPr>
                <w:rFonts w:eastAsia="Times New Roman" w:cstheme="minorHAnsi"/>
                <w:color w:val="FFFFFF"/>
                <w:szCs w:val="21"/>
                <w:lang w:eastAsia="cs-CZ"/>
              </w:rPr>
              <w:t>ZPŠ</w:t>
            </w:r>
          </w:p>
        </w:tc>
        <w:tc>
          <w:tcPr>
            <w:tcW w:w="1012" w:type="dxa"/>
            <w:shd w:val="clear" w:color="auto" w:fill="4F81BD"/>
            <w:vAlign w:val="center"/>
            <w:hideMark/>
          </w:tcPr>
          <w:p w:rsidR="00B456F9" w:rsidRPr="00946EC9" w:rsidRDefault="00DF5584" w:rsidP="004D6049">
            <w:pPr>
              <w:spacing w:after="0" w:line="240" w:lineRule="auto"/>
              <w:jc w:val="center"/>
              <w:rPr>
                <w:rFonts w:eastAsia="Times New Roman" w:cstheme="minorHAnsi"/>
                <w:color w:val="FFFFFF"/>
                <w:szCs w:val="21"/>
                <w:lang w:eastAsia="cs-CZ"/>
              </w:rPr>
            </w:pPr>
            <w:r w:rsidRPr="00946EC9">
              <w:rPr>
                <w:rFonts w:eastAsia="Times New Roman" w:cstheme="minorHAnsi"/>
                <w:color w:val="FFFFFF"/>
                <w:szCs w:val="21"/>
                <w:lang w:eastAsia="cs-CZ"/>
              </w:rPr>
              <w:t>ZP MV ČR</w:t>
            </w:r>
          </w:p>
        </w:tc>
        <w:tc>
          <w:tcPr>
            <w:tcW w:w="1013" w:type="dxa"/>
            <w:shd w:val="clear" w:color="auto" w:fill="6691C6"/>
            <w:vAlign w:val="center"/>
          </w:tcPr>
          <w:p w:rsidR="00B456F9" w:rsidRPr="00946EC9" w:rsidRDefault="00B456F9" w:rsidP="004D6049">
            <w:pPr>
              <w:spacing w:after="0" w:line="240" w:lineRule="auto"/>
              <w:jc w:val="center"/>
              <w:rPr>
                <w:rFonts w:eastAsia="Times New Roman" w:cstheme="minorHAnsi"/>
                <w:color w:val="FFFFFF"/>
                <w:szCs w:val="21"/>
                <w:lang w:eastAsia="cs-CZ"/>
              </w:rPr>
            </w:pPr>
            <w:r w:rsidRPr="00946EC9">
              <w:rPr>
                <w:rFonts w:eastAsia="Times New Roman" w:cstheme="minorHAnsi"/>
                <w:color w:val="FFFFFF"/>
                <w:szCs w:val="21"/>
                <w:lang w:eastAsia="cs-CZ"/>
              </w:rPr>
              <w:t>RBP</w:t>
            </w:r>
          </w:p>
        </w:tc>
      </w:tr>
      <w:tr w:rsidR="00BF5979" w:rsidRPr="00946EC9" w:rsidTr="00E26C2B">
        <w:trPr>
          <w:trHeight w:hRule="exact" w:val="510"/>
          <w:jc w:val="center"/>
        </w:trPr>
        <w:tc>
          <w:tcPr>
            <w:tcW w:w="2553" w:type="dxa"/>
            <w:shd w:val="clear" w:color="auto" w:fill="auto"/>
            <w:vAlign w:val="center"/>
            <w:hideMark/>
          </w:tcPr>
          <w:p w:rsidR="00BF5979" w:rsidRPr="00946EC9" w:rsidRDefault="00BF5979" w:rsidP="00BF5979">
            <w:pPr>
              <w:spacing w:after="0" w:line="240" w:lineRule="auto"/>
              <w:rPr>
                <w:rFonts w:eastAsia="Times New Roman" w:cstheme="minorHAnsi"/>
                <w:b/>
                <w:bCs/>
                <w:color w:val="000000"/>
                <w:szCs w:val="21"/>
                <w:lang w:eastAsia="cs-CZ"/>
              </w:rPr>
            </w:pPr>
            <w:r w:rsidRPr="00946EC9">
              <w:rPr>
                <w:rFonts w:eastAsia="Times New Roman" w:cstheme="minorHAnsi"/>
                <w:b/>
                <w:bCs/>
                <w:color w:val="000000"/>
                <w:szCs w:val="21"/>
                <w:lang w:eastAsia="cs-CZ"/>
              </w:rPr>
              <w:t xml:space="preserve">Náklady na </w:t>
            </w:r>
            <w:r w:rsidRPr="00946EC9">
              <w:rPr>
                <w:rFonts w:eastAsia="Times New Roman" w:cstheme="minorHAnsi"/>
                <w:b/>
                <w:bCs/>
                <w:color w:val="000000"/>
                <w:szCs w:val="21"/>
                <w:lang w:eastAsia="cs-CZ"/>
              </w:rPr>
              <w:br/>
              <w:t>zdravotní programy</w:t>
            </w:r>
          </w:p>
        </w:tc>
        <w:tc>
          <w:tcPr>
            <w:tcW w:w="1012" w:type="dxa"/>
            <w:shd w:val="clear" w:color="auto" w:fill="DBE5F1"/>
            <w:vAlign w:val="center"/>
          </w:tcPr>
          <w:p w:rsidR="00BF5979" w:rsidRPr="00946EC9" w:rsidRDefault="00BF5979" w:rsidP="00BF5979">
            <w:pPr>
              <w:spacing w:after="0" w:line="240" w:lineRule="auto"/>
              <w:jc w:val="right"/>
              <w:rPr>
                <w:rFonts w:cstheme="minorHAnsi"/>
                <w:szCs w:val="21"/>
              </w:rPr>
            </w:pPr>
            <w:r w:rsidRPr="00946EC9">
              <w:rPr>
                <w:rFonts w:cstheme="minorHAnsi"/>
                <w:bCs/>
                <w:szCs w:val="21"/>
              </w:rPr>
              <w:t>485</w:t>
            </w:r>
          </w:p>
        </w:tc>
        <w:tc>
          <w:tcPr>
            <w:tcW w:w="1012" w:type="dxa"/>
            <w:shd w:val="clear" w:color="auto" w:fill="auto"/>
            <w:vAlign w:val="center"/>
          </w:tcPr>
          <w:p w:rsidR="00BF5979" w:rsidRPr="00946EC9" w:rsidRDefault="00BF5979" w:rsidP="00BF5979">
            <w:pPr>
              <w:spacing w:after="0" w:line="240" w:lineRule="auto"/>
              <w:jc w:val="right"/>
              <w:rPr>
                <w:rFonts w:cstheme="minorHAnsi"/>
                <w:szCs w:val="21"/>
              </w:rPr>
            </w:pPr>
            <w:r w:rsidRPr="00946EC9">
              <w:rPr>
                <w:rFonts w:cstheme="minorHAnsi"/>
                <w:szCs w:val="21"/>
              </w:rPr>
              <w:t>142</w:t>
            </w:r>
          </w:p>
        </w:tc>
        <w:tc>
          <w:tcPr>
            <w:tcW w:w="1012" w:type="dxa"/>
            <w:shd w:val="clear" w:color="auto" w:fill="DBE5F1"/>
            <w:vAlign w:val="center"/>
          </w:tcPr>
          <w:p w:rsidR="00BF5979" w:rsidRPr="00946EC9" w:rsidRDefault="00BF5979" w:rsidP="00BF5979">
            <w:pPr>
              <w:spacing w:after="0" w:line="240" w:lineRule="auto"/>
              <w:jc w:val="right"/>
              <w:rPr>
                <w:rFonts w:cstheme="minorHAnsi"/>
                <w:szCs w:val="21"/>
              </w:rPr>
            </w:pPr>
            <w:r w:rsidRPr="00946EC9">
              <w:rPr>
                <w:rFonts w:cstheme="minorHAnsi"/>
                <w:szCs w:val="21"/>
              </w:rPr>
              <w:t>286</w:t>
            </w:r>
          </w:p>
        </w:tc>
        <w:tc>
          <w:tcPr>
            <w:tcW w:w="1013" w:type="dxa"/>
            <w:shd w:val="clear" w:color="auto" w:fill="auto"/>
            <w:vAlign w:val="center"/>
          </w:tcPr>
          <w:p w:rsidR="00BF5979" w:rsidRPr="00946EC9" w:rsidRDefault="00BF5979" w:rsidP="00BF5979">
            <w:pPr>
              <w:spacing w:after="0" w:line="240" w:lineRule="auto"/>
              <w:jc w:val="right"/>
              <w:rPr>
                <w:rFonts w:cstheme="minorHAnsi"/>
                <w:szCs w:val="21"/>
              </w:rPr>
            </w:pPr>
            <w:r w:rsidRPr="00946EC9">
              <w:rPr>
                <w:rFonts w:cstheme="minorHAnsi"/>
                <w:szCs w:val="21"/>
              </w:rPr>
              <w:t>157</w:t>
            </w:r>
          </w:p>
        </w:tc>
        <w:tc>
          <w:tcPr>
            <w:tcW w:w="1012" w:type="dxa"/>
            <w:shd w:val="clear" w:color="auto" w:fill="DBE5F1"/>
            <w:vAlign w:val="center"/>
          </w:tcPr>
          <w:p w:rsidR="00BF5979" w:rsidRPr="00946EC9" w:rsidRDefault="00BF5979" w:rsidP="00BF5979">
            <w:pPr>
              <w:spacing w:after="0" w:line="240" w:lineRule="auto"/>
              <w:jc w:val="right"/>
              <w:rPr>
                <w:rFonts w:cstheme="minorHAnsi"/>
                <w:szCs w:val="21"/>
              </w:rPr>
            </w:pPr>
            <w:r w:rsidRPr="00946EC9">
              <w:rPr>
                <w:rFonts w:cstheme="minorHAnsi"/>
                <w:szCs w:val="21"/>
              </w:rPr>
              <w:t>1</w:t>
            </w:r>
            <w:r w:rsidR="002E7B93" w:rsidRPr="00946EC9">
              <w:rPr>
                <w:rFonts w:cstheme="minorHAnsi"/>
                <w:szCs w:val="21"/>
              </w:rPr>
              <w:t>3</w:t>
            </w:r>
          </w:p>
        </w:tc>
        <w:tc>
          <w:tcPr>
            <w:tcW w:w="1012" w:type="dxa"/>
            <w:shd w:val="clear" w:color="auto" w:fill="auto"/>
            <w:vAlign w:val="center"/>
          </w:tcPr>
          <w:p w:rsidR="00BF5979" w:rsidRPr="00946EC9" w:rsidRDefault="00BF5979" w:rsidP="00BF5979">
            <w:pPr>
              <w:spacing w:after="0" w:line="240" w:lineRule="auto"/>
              <w:jc w:val="right"/>
              <w:rPr>
                <w:rFonts w:cstheme="minorHAnsi"/>
                <w:szCs w:val="21"/>
              </w:rPr>
            </w:pPr>
            <w:r w:rsidRPr="00946EC9">
              <w:rPr>
                <w:rFonts w:cstheme="minorHAnsi"/>
                <w:szCs w:val="21"/>
              </w:rPr>
              <w:t>255</w:t>
            </w:r>
          </w:p>
        </w:tc>
        <w:tc>
          <w:tcPr>
            <w:tcW w:w="1013" w:type="dxa"/>
            <w:shd w:val="clear" w:color="auto" w:fill="DBE5F1"/>
            <w:vAlign w:val="center"/>
          </w:tcPr>
          <w:p w:rsidR="00BF5979" w:rsidRPr="00946EC9" w:rsidRDefault="00BF5979" w:rsidP="00BF5979">
            <w:pPr>
              <w:spacing w:after="0" w:line="240" w:lineRule="auto"/>
              <w:jc w:val="right"/>
              <w:rPr>
                <w:rFonts w:cstheme="minorHAnsi"/>
                <w:color w:val="000000"/>
                <w:szCs w:val="21"/>
              </w:rPr>
            </w:pPr>
            <w:r w:rsidRPr="00946EC9">
              <w:rPr>
                <w:rFonts w:cstheme="minorHAnsi"/>
                <w:szCs w:val="21"/>
              </w:rPr>
              <w:t>43</w:t>
            </w:r>
          </w:p>
        </w:tc>
      </w:tr>
      <w:tr w:rsidR="00BF5979" w:rsidRPr="00946EC9" w:rsidTr="00E26C2B">
        <w:trPr>
          <w:trHeight w:hRule="exact" w:val="510"/>
          <w:jc w:val="center"/>
        </w:trPr>
        <w:tc>
          <w:tcPr>
            <w:tcW w:w="2553" w:type="dxa"/>
            <w:shd w:val="clear" w:color="auto" w:fill="EEF3F8"/>
            <w:vAlign w:val="center"/>
            <w:hideMark/>
          </w:tcPr>
          <w:p w:rsidR="00BF5979" w:rsidRPr="00946EC9" w:rsidRDefault="00BF5979" w:rsidP="00BF5979">
            <w:pPr>
              <w:spacing w:after="0" w:line="240" w:lineRule="auto"/>
              <w:rPr>
                <w:rFonts w:eastAsia="Times New Roman" w:cstheme="minorHAnsi"/>
                <w:b/>
                <w:bCs/>
                <w:color w:val="000000"/>
                <w:szCs w:val="21"/>
                <w:lang w:eastAsia="cs-CZ"/>
              </w:rPr>
            </w:pPr>
            <w:r w:rsidRPr="00946EC9">
              <w:rPr>
                <w:rFonts w:eastAsia="Times New Roman" w:cstheme="minorHAnsi"/>
                <w:b/>
                <w:bCs/>
                <w:color w:val="000000"/>
                <w:szCs w:val="21"/>
                <w:lang w:eastAsia="cs-CZ"/>
              </w:rPr>
              <w:t xml:space="preserve">Náklady na </w:t>
            </w:r>
            <w:r w:rsidRPr="00946EC9">
              <w:rPr>
                <w:rFonts w:eastAsia="Times New Roman" w:cstheme="minorHAnsi"/>
                <w:b/>
                <w:bCs/>
                <w:color w:val="000000"/>
                <w:szCs w:val="21"/>
                <w:lang w:eastAsia="cs-CZ"/>
              </w:rPr>
              <w:br/>
              <w:t>ozdravné pobyty</w:t>
            </w:r>
          </w:p>
        </w:tc>
        <w:tc>
          <w:tcPr>
            <w:tcW w:w="1012" w:type="dxa"/>
            <w:shd w:val="clear" w:color="auto" w:fill="EEF3F8"/>
            <w:vAlign w:val="center"/>
          </w:tcPr>
          <w:p w:rsidR="00BF5979" w:rsidRPr="00946EC9" w:rsidRDefault="00BF5979" w:rsidP="00BF5979">
            <w:pPr>
              <w:spacing w:after="0" w:line="240" w:lineRule="auto"/>
              <w:jc w:val="right"/>
              <w:rPr>
                <w:rFonts w:cstheme="minorHAnsi"/>
                <w:szCs w:val="21"/>
              </w:rPr>
            </w:pPr>
            <w:r w:rsidRPr="00946EC9">
              <w:rPr>
                <w:rFonts w:cstheme="minorHAnsi"/>
                <w:bCs/>
                <w:szCs w:val="21"/>
              </w:rPr>
              <w:t>20</w:t>
            </w:r>
          </w:p>
        </w:tc>
        <w:tc>
          <w:tcPr>
            <w:tcW w:w="1012" w:type="dxa"/>
            <w:shd w:val="clear" w:color="auto" w:fill="EEF3F8"/>
            <w:vAlign w:val="center"/>
          </w:tcPr>
          <w:p w:rsidR="00BF5979" w:rsidRPr="00946EC9" w:rsidRDefault="002E7B93" w:rsidP="00BF5979">
            <w:pPr>
              <w:spacing w:after="0" w:line="240" w:lineRule="auto"/>
              <w:jc w:val="right"/>
              <w:rPr>
                <w:rFonts w:cstheme="minorHAnsi"/>
                <w:szCs w:val="21"/>
              </w:rPr>
            </w:pPr>
            <w:r w:rsidRPr="00946EC9">
              <w:rPr>
                <w:rFonts w:cstheme="minorHAnsi"/>
                <w:szCs w:val="21"/>
              </w:rPr>
              <w:t>8</w:t>
            </w:r>
          </w:p>
        </w:tc>
        <w:tc>
          <w:tcPr>
            <w:tcW w:w="1012" w:type="dxa"/>
            <w:shd w:val="clear" w:color="auto" w:fill="EEF3F8"/>
            <w:vAlign w:val="center"/>
          </w:tcPr>
          <w:p w:rsidR="00BF5979" w:rsidRPr="00946EC9" w:rsidRDefault="00BF5979" w:rsidP="00BF5979">
            <w:pPr>
              <w:spacing w:after="0" w:line="240" w:lineRule="auto"/>
              <w:jc w:val="right"/>
              <w:rPr>
                <w:rFonts w:cstheme="minorHAnsi"/>
                <w:szCs w:val="21"/>
              </w:rPr>
            </w:pPr>
            <w:r w:rsidRPr="00946EC9">
              <w:rPr>
                <w:rFonts w:cstheme="minorHAnsi"/>
                <w:szCs w:val="21"/>
              </w:rPr>
              <w:t>4</w:t>
            </w:r>
          </w:p>
        </w:tc>
        <w:tc>
          <w:tcPr>
            <w:tcW w:w="1013" w:type="dxa"/>
            <w:shd w:val="clear" w:color="auto" w:fill="EEF3F8"/>
            <w:vAlign w:val="center"/>
          </w:tcPr>
          <w:p w:rsidR="00BF5979" w:rsidRPr="00946EC9" w:rsidRDefault="002E7B93" w:rsidP="00BF5979">
            <w:pPr>
              <w:spacing w:after="0" w:line="240" w:lineRule="auto"/>
              <w:jc w:val="right"/>
              <w:rPr>
                <w:rFonts w:cstheme="minorHAnsi"/>
                <w:szCs w:val="21"/>
              </w:rPr>
            </w:pPr>
            <w:r w:rsidRPr="00946EC9">
              <w:rPr>
                <w:rFonts w:cstheme="minorHAnsi"/>
                <w:szCs w:val="21"/>
              </w:rPr>
              <w:t>8</w:t>
            </w:r>
          </w:p>
        </w:tc>
        <w:tc>
          <w:tcPr>
            <w:tcW w:w="1012" w:type="dxa"/>
            <w:shd w:val="clear" w:color="auto" w:fill="EEF3F8"/>
            <w:vAlign w:val="center"/>
          </w:tcPr>
          <w:p w:rsidR="00BF5979" w:rsidRPr="00946EC9" w:rsidRDefault="00BF5979" w:rsidP="00BF5979">
            <w:pPr>
              <w:spacing w:after="0" w:line="240" w:lineRule="auto"/>
              <w:jc w:val="right"/>
              <w:rPr>
                <w:rFonts w:cstheme="minorHAnsi"/>
                <w:szCs w:val="21"/>
              </w:rPr>
            </w:pPr>
            <w:r w:rsidRPr="00946EC9">
              <w:rPr>
                <w:rFonts w:cstheme="minorHAnsi"/>
                <w:szCs w:val="21"/>
              </w:rPr>
              <w:t>2</w:t>
            </w:r>
          </w:p>
        </w:tc>
        <w:tc>
          <w:tcPr>
            <w:tcW w:w="1012" w:type="dxa"/>
            <w:shd w:val="clear" w:color="auto" w:fill="EEF3F8"/>
            <w:vAlign w:val="center"/>
          </w:tcPr>
          <w:p w:rsidR="00BF5979" w:rsidRPr="00701EA8" w:rsidRDefault="00BF5979" w:rsidP="00BF5979">
            <w:pPr>
              <w:spacing w:after="0" w:line="240" w:lineRule="auto"/>
              <w:jc w:val="right"/>
              <w:rPr>
                <w:rFonts w:cstheme="minorHAnsi"/>
                <w:szCs w:val="21"/>
              </w:rPr>
            </w:pPr>
            <w:r w:rsidRPr="00701EA8">
              <w:rPr>
                <w:rFonts w:cstheme="minorHAnsi"/>
                <w:szCs w:val="21"/>
              </w:rPr>
              <w:t>32</w:t>
            </w:r>
          </w:p>
        </w:tc>
        <w:tc>
          <w:tcPr>
            <w:tcW w:w="1013" w:type="dxa"/>
            <w:shd w:val="clear" w:color="auto" w:fill="EEF3F8"/>
            <w:vAlign w:val="center"/>
          </w:tcPr>
          <w:p w:rsidR="00BF5979" w:rsidRPr="00701EA8" w:rsidRDefault="002E7B93" w:rsidP="00BF5979">
            <w:pPr>
              <w:spacing w:after="0" w:line="240" w:lineRule="auto"/>
              <w:jc w:val="right"/>
              <w:rPr>
                <w:rFonts w:cstheme="minorHAnsi"/>
                <w:color w:val="000000"/>
                <w:szCs w:val="21"/>
              </w:rPr>
            </w:pPr>
            <w:r w:rsidRPr="00701EA8">
              <w:rPr>
                <w:rFonts w:cstheme="minorHAnsi"/>
                <w:szCs w:val="21"/>
              </w:rPr>
              <w:t>9</w:t>
            </w:r>
          </w:p>
        </w:tc>
      </w:tr>
      <w:tr w:rsidR="00BF5979" w:rsidRPr="00946EC9" w:rsidTr="00E26C2B">
        <w:trPr>
          <w:trHeight w:hRule="exact" w:val="284"/>
          <w:jc w:val="center"/>
        </w:trPr>
        <w:tc>
          <w:tcPr>
            <w:tcW w:w="2553" w:type="dxa"/>
            <w:shd w:val="clear" w:color="auto" w:fill="auto"/>
            <w:vAlign w:val="center"/>
            <w:hideMark/>
          </w:tcPr>
          <w:p w:rsidR="00BF5979" w:rsidRPr="00946EC9" w:rsidRDefault="00BF5979" w:rsidP="00BF5979">
            <w:pPr>
              <w:spacing w:after="0" w:line="240" w:lineRule="auto"/>
              <w:rPr>
                <w:rFonts w:eastAsia="Times New Roman" w:cstheme="minorHAnsi"/>
                <w:b/>
                <w:bCs/>
                <w:color w:val="000000"/>
                <w:szCs w:val="21"/>
                <w:lang w:eastAsia="cs-CZ"/>
              </w:rPr>
            </w:pPr>
            <w:r w:rsidRPr="00946EC9">
              <w:rPr>
                <w:rFonts w:eastAsia="Times New Roman" w:cstheme="minorHAnsi"/>
                <w:b/>
                <w:bCs/>
                <w:color w:val="000000"/>
                <w:szCs w:val="21"/>
                <w:lang w:eastAsia="cs-CZ"/>
              </w:rPr>
              <w:t>Ostatní činnosti</w:t>
            </w:r>
          </w:p>
        </w:tc>
        <w:tc>
          <w:tcPr>
            <w:tcW w:w="1012" w:type="dxa"/>
            <w:shd w:val="clear" w:color="auto" w:fill="DBE5F1"/>
            <w:vAlign w:val="center"/>
          </w:tcPr>
          <w:p w:rsidR="00BF5979" w:rsidRPr="00701EA8" w:rsidRDefault="00BF5979" w:rsidP="00BF5979">
            <w:pPr>
              <w:spacing w:after="0" w:line="240" w:lineRule="auto"/>
              <w:jc w:val="right"/>
              <w:rPr>
                <w:rFonts w:cstheme="minorHAnsi"/>
                <w:szCs w:val="21"/>
              </w:rPr>
            </w:pPr>
            <w:r w:rsidRPr="00701EA8">
              <w:rPr>
                <w:rFonts w:cstheme="minorHAnsi"/>
                <w:bCs/>
                <w:szCs w:val="21"/>
              </w:rPr>
              <w:t>20</w:t>
            </w:r>
            <w:r w:rsidR="002E7B93" w:rsidRPr="00701EA8">
              <w:rPr>
                <w:rFonts w:cstheme="minorHAnsi"/>
                <w:bCs/>
                <w:szCs w:val="21"/>
              </w:rPr>
              <w:t>5</w:t>
            </w:r>
          </w:p>
        </w:tc>
        <w:tc>
          <w:tcPr>
            <w:tcW w:w="1012" w:type="dxa"/>
            <w:shd w:val="clear" w:color="auto" w:fill="auto"/>
            <w:vAlign w:val="center"/>
          </w:tcPr>
          <w:p w:rsidR="00BF5979" w:rsidRPr="00701EA8" w:rsidRDefault="00BF5979" w:rsidP="00BF5979">
            <w:pPr>
              <w:spacing w:after="0" w:line="240" w:lineRule="auto"/>
              <w:jc w:val="right"/>
              <w:rPr>
                <w:rFonts w:cstheme="minorHAnsi"/>
                <w:szCs w:val="21"/>
              </w:rPr>
            </w:pPr>
            <w:r w:rsidRPr="00701EA8">
              <w:rPr>
                <w:rFonts w:cstheme="minorHAnsi"/>
                <w:szCs w:val="21"/>
              </w:rPr>
              <w:t>2</w:t>
            </w:r>
          </w:p>
        </w:tc>
        <w:tc>
          <w:tcPr>
            <w:tcW w:w="1012" w:type="dxa"/>
            <w:shd w:val="clear" w:color="auto" w:fill="DBE5F1"/>
            <w:vAlign w:val="center"/>
          </w:tcPr>
          <w:p w:rsidR="00BF5979" w:rsidRPr="00701EA8" w:rsidRDefault="00BF5979" w:rsidP="00BF5979">
            <w:pPr>
              <w:spacing w:after="0" w:line="240" w:lineRule="auto"/>
              <w:jc w:val="right"/>
              <w:rPr>
                <w:rFonts w:cstheme="minorHAnsi"/>
                <w:color w:val="000000"/>
                <w:szCs w:val="21"/>
              </w:rPr>
            </w:pPr>
            <w:r w:rsidRPr="00701EA8">
              <w:rPr>
                <w:rFonts w:cstheme="minorHAnsi"/>
                <w:szCs w:val="21"/>
              </w:rPr>
              <w:t>0</w:t>
            </w:r>
          </w:p>
        </w:tc>
        <w:tc>
          <w:tcPr>
            <w:tcW w:w="1013" w:type="dxa"/>
            <w:shd w:val="clear" w:color="auto" w:fill="auto"/>
            <w:vAlign w:val="center"/>
          </w:tcPr>
          <w:p w:rsidR="00BF5979" w:rsidRPr="00701EA8" w:rsidRDefault="002E7B93" w:rsidP="00BF5979">
            <w:pPr>
              <w:spacing w:after="0" w:line="240" w:lineRule="auto"/>
              <w:jc w:val="right"/>
              <w:rPr>
                <w:rFonts w:cstheme="minorHAnsi"/>
                <w:szCs w:val="21"/>
              </w:rPr>
            </w:pPr>
            <w:r w:rsidRPr="00701EA8">
              <w:rPr>
                <w:rFonts w:cstheme="minorHAnsi"/>
                <w:szCs w:val="21"/>
              </w:rPr>
              <w:t>1</w:t>
            </w:r>
          </w:p>
        </w:tc>
        <w:tc>
          <w:tcPr>
            <w:tcW w:w="1012" w:type="dxa"/>
            <w:shd w:val="clear" w:color="auto" w:fill="DBE5F1"/>
            <w:vAlign w:val="center"/>
          </w:tcPr>
          <w:p w:rsidR="00BF5979" w:rsidRPr="00701EA8" w:rsidRDefault="00BF5979" w:rsidP="00BF5979">
            <w:pPr>
              <w:spacing w:after="0" w:line="240" w:lineRule="auto"/>
              <w:jc w:val="right"/>
              <w:rPr>
                <w:rFonts w:cstheme="minorHAnsi"/>
                <w:szCs w:val="21"/>
              </w:rPr>
            </w:pPr>
            <w:r w:rsidRPr="00701EA8">
              <w:rPr>
                <w:rFonts w:cstheme="minorHAnsi"/>
                <w:szCs w:val="21"/>
              </w:rPr>
              <w:t>28</w:t>
            </w:r>
          </w:p>
        </w:tc>
        <w:tc>
          <w:tcPr>
            <w:tcW w:w="1012" w:type="dxa"/>
            <w:shd w:val="clear" w:color="auto" w:fill="auto"/>
            <w:vAlign w:val="center"/>
          </w:tcPr>
          <w:p w:rsidR="00BF5979" w:rsidRPr="00701EA8" w:rsidRDefault="00BF5979" w:rsidP="00BF5979">
            <w:pPr>
              <w:spacing w:after="0" w:line="240" w:lineRule="auto"/>
              <w:jc w:val="right"/>
              <w:rPr>
                <w:rFonts w:cstheme="minorHAnsi"/>
                <w:szCs w:val="21"/>
              </w:rPr>
            </w:pPr>
            <w:r w:rsidRPr="00701EA8">
              <w:rPr>
                <w:rFonts w:cstheme="minorHAnsi"/>
                <w:szCs w:val="21"/>
              </w:rPr>
              <w:t>0</w:t>
            </w:r>
          </w:p>
        </w:tc>
        <w:tc>
          <w:tcPr>
            <w:tcW w:w="1013" w:type="dxa"/>
            <w:shd w:val="clear" w:color="auto" w:fill="DBE5F1"/>
            <w:vAlign w:val="center"/>
          </w:tcPr>
          <w:p w:rsidR="00BF5979" w:rsidRPr="00701EA8" w:rsidRDefault="00BF5979" w:rsidP="00BF5979">
            <w:pPr>
              <w:spacing w:after="0" w:line="240" w:lineRule="auto"/>
              <w:jc w:val="right"/>
              <w:rPr>
                <w:rFonts w:cstheme="minorHAnsi"/>
                <w:color w:val="000000"/>
                <w:szCs w:val="21"/>
              </w:rPr>
            </w:pPr>
            <w:r w:rsidRPr="00701EA8">
              <w:rPr>
                <w:rFonts w:cstheme="minorHAnsi"/>
                <w:szCs w:val="21"/>
              </w:rPr>
              <w:t>36</w:t>
            </w:r>
          </w:p>
        </w:tc>
      </w:tr>
      <w:tr w:rsidR="00BF5979" w:rsidRPr="00946EC9" w:rsidTr="00E26C2B">
        <w:trPr>
          <w:trHeight w:hRule="exact" w:val="284"/>
          <w:jc w:val="center"/>
        </w:trPr>
        <w:tc>
          <w:tcPr>
            <w:tcW w:w="2553" w:type="dxa"/>
            <w:shd w:val="clear" w:color="auto" w:fill="EEF3F8"/>
            <w:vAlign w:val="center"/>
          </w:tcPr>
          <w:p w:rsidR="00BF5979" w:rsidRPr="00946EC9" w:rsidRDefault="00BF5979" w:rsidP="00BF5979">
            <w:pPr>
              <w:spacing w:after="0" w:line="240" w:lineRule="auto"/>
              <w:rPr>
                <w:rFonts w:cstheme="minorHAnsi"/>
                <w:b/>
                <w:bCs/>
                <w:color w:val="000000"/>
                <w:szCs w:val="21"/>
              </w:rPr>
            </w:pPr>
            <w:r w:rsidRPr="00946EC9">
              <w:rPr>
                <w:rFonts w:cstheme="minorHAnsi"/>
                <w:b/>
                <w:bCs/>
                <w:color w:val="000000"/>
                <w:szCs w:val="21"/>
              </w:rPr>
              <w:t>Z jiných zdrojů (</w:t>
            </w:r>
            <w:proofErr w:type="spellStart"/>
            <w:r w:rsidRPr="00946EC9">
              <w:rPr>
                <w:rFonts w:cstheme="minorHAnsi"/>
                <w:b/>
                <w:bCs/>
                <w:color w:val="000000"/>
                <w:szCs w:val="21"/>
              </w:rPr>
              <w:t>VoZP</w:t>
            </w:r>
            <w:proofErr w:type="spellEnd"/>
            <w:r w:rsidRPr="00946EC9">
              <w:rPr>
                <w:rFonts w:cstheme="minorHAnsi"/>
                <w:b/>
                <w:bCs/>
                <w:color w:val="000000"/>
                <w:szCs w:val="21"/>
              </w:rPr>
              <w:t> ČR)</w:t>
            </w:r>
          </w:p>
        </w:tc>
        <w:tc>
          <w:tcPr>
            <w:tcW w:w="1012" w:type="dxa"/>
            <w:shd w:val="clear" w:color="auto" w:fill="EEF3F8"/>
            <w:vAlign w:val="center"/>
          </w:tcPr>
          <w:p w:rsidR="00BF5979" w:rsidRPr="00701EA8" w:rsidRDefault="00BF5979" w:rsidP="00BF5979">
            <w:pPr>
              <w:spacing w:after="0" w:line="240" w:lineRule="auto"/>
              <w:jc w:val="right"/>
              <w:rPr>
                <w:rFonts w:cstheme="minorHAnsi"/>
                <w:color w:val="000000"/>
                <w:szCs w:val="21"/>
              </w:rPr>
            </w:pPr>
            <w:r w:rsidRPr="00701EA8">
              <w:rPr>
                <w:rFonts w:cstheme="minorHAnsi"/>
                <w:color w:val="000000"/>
                <w:szCs w:val="21"/>
              </w:rPr>
              <w:t>0</w:t>
            </w:r>
          </w:p>
        </w:tc>
        <w:tc>
          <w:tcPr>
            <w:tcW w:w="1012" w:type="dxa"/>
            <w:shd w:val="clear" w:color="auto" w:fill="EEF3F8"/>
            <w:vAlign w:val="center"/>
          </w:tcPr>
          <w:p w:rsidR="00BF5979" w:rsidRPr="00701EA8" w:rsidRDefault="00BF5979" w:rsidP="00BF5979">
            <w:pPr>
              <w:spacing w:after="0" w:line="240" w:lineRule="auto"/>
              <w:jc w:val="right"/>
              <w:rPr>
                <w:rFonts w:cstheme="minorHAnsi"/>
                <w:szCs w:val="21"/>
              </w:rPr>
            </w:pPr>
            <w:r w:rsidRPr="00701EA8">
              <w:rPr>
                <w:rFonts w:cstheme="minorHAnsi"/>
                <w:szCs w:val="21"/>
              </w:rPr>
              <w:t>14</w:t>
            </w:r>
          </w:p>
        </w:tc>
        <w:tc>
          <w:tcPr>
            <w:tcW w:w="1012" w:type="dxa"/>
            <w:shd w:val="clear" w:color="auto" w:fill="EEF3F8"/>
            <w:vAlign w:val="center"/>
          </w:tcPr>
          <w:p w:rsidR="00BF5979" w:rsidRPr="00701EA8" w:rsidRDefault="00BF5979" w:rsidP="00BF5979">
            <w:pPr>
              <w:spacing w:after="0" w:line="240" w:lineRule="auto"/>
              <w:jc w:val="right"/>
              <w:rPr>
                <w:rFonts w:cstheme="minorHAnsi"/>
                <w:color w:val="000000"/>
                <w:szCs w:val="21"/>
              </w:rPr>
            </w:pPr>
            <w:r w:rsidRPr="00701EA8">
              <w:rPr>
                <w:rFonts w:cstheme="minorHAnsi"/>
                <w:color w:val="000000"/>
                <w:szCs w:val="21"/>
              </w:rPr>
              <w:t>0</w:t>
            </w:r>
          </w:p>
        </w:tc>
        <w:tc>
          <w:tcPr>
            <w:tcW w:w="1013" w:type="dxa"/>
            <w:shd w:val="clear" w:color="auto" w:fill="EEF3F8"/>
            <w:vAlign w:val="center"/>
          </w:tcPr>
          <w:p w:rsidR="00BF5979" w:rsidRPr="00701EA8" w:rsidRDefault="00BF5979" w:rsidP="00BF5979">
            <w:pPr>
              <w:spacing w:after="0" w:line="240" w:lineRule="auto"/>
              <w:jc w:val="right"/>
              <w:rPr>
                <w:rFonts w:cstheme="minorHAnsi"/>
                <w:color w:val="000000"/>
                <w:szCs w:val="21"/>
              </w:rPr>
            </w:pPr>
            <w:r w:rsidRPr="00701EA8">
              <w:rPr>
                <w:rFonts w:cstheme="minorHAnsi"/>
                <w:color w:val="000000"/>
                <w:szCs w:val="21"/>
              </w:rPr>
              <w:t>0</w:t>
            </w:r>
          </w:p>
        </w:tc>
        <w:tc>
          <w:tcPr>
            <w:tcW w:w="1012" w:type="dxa"/>
            <w:shd w:val="clear" w:color="auto" w:fill="EEF3F8"/>
            <w:vAlign w:val="center"/>
          </w:tcPr>
          <w:p w:rsidR="00BF5979" w:rsidRPr="00701EA8" w:rsidRDefault="00BF5979" w:rsidP="00BF5979">
            <w:pPr>
              <w:spacing w:after="0" w:line="240" w:lineRule="auto"/>
              <w:jc w:val="right"/>
              <w:rPr>
                <w:rFonts w:cstheme="minorHAnsi"/>
                <w:color w:val="000000"/>
                <w:szCs w:val="21"/>
              </w:rPr>
            </w:pPr>
            <w:r w:rsidRPr="00701EA8">
              <w:rPr>
                <w:rFonts w:cstheme="minorHAnsi"/>
                <w:color w:val="000000"/>
                <w:szCs w:val="21"/>
              </w:rPr>
              <w:t>0</w:t>
            </w:r>
          </w:p>
        </w:tc>
        <w:tc>
          <w:tcPr>
            <w:tcW w:w="1012" w:type="dxa"/>
            <w:shd w:val="clear" w:color="auto" w:fill="EEF3F8"/>
            <w:vAlign w:val="center"/>
          </w:tcPr>
          <w:p w:rsidR="00BF5979" w:rsidRPr="00701EA8" w:rsidRDefault="00BF5979" w:rsidP="00BF5979">
            <w:pPr>
              <w:spacing w:after="0" w:line="240" w:lineRule="auto"/>
              <w:jc w:val="right"/>
              <w:rPr>
                <w:rFonts w:cstheme="minorHAnsi"/>
                <w:color w:val="000000"/>
                <w:szCs w:val="21"/>
              </w:rPr>
            </w:pPr>
            <w:r w:rsidRPr="00701EA8">
              <w:rPr>
                <w:rFonts w:cstheme="minorHAnsi"/>
                <w:color w:val="000000"/>
                <w:szCs w:val="21"/>
              </w:rPr>
              <w:t>0</w:t>
            </w:r>
          </w:p>
        </w:tc>
        <w:tc>
          <w:tcPr>
            <w:tcW w:w="1013" w:type="dxa"/>
            <w:shd w:val="clear" w:color="auto" w:fill="EEF3F8"/>
            <w:vAlign w:val="center"/>
          </w:tcPr>
          <w:p w:rsidR="00BF5979" w:rsidRPr="00701EA8" w:rsidRDefault="00BF5979" w:rsidP="00BF5979">
            <w:pPr>
              <w:spacing w:after="0" w:line="240" w:lineRule="auto"/>
              <w:jc w:val="right"/>
              <w:rPr>
                <w:rFonts w:cstheme="minorHAnsi"/>
                <w:color w:val="000000"/>
                <w:szCs w:val="21"/>
              </w:rPr>
            </w:pPr>
            <w:r w:rsidRPr="00701EA8">
              <w:rPr>
                <w:rFonts w:cstheme="minorHAnsi"/>
                <w:color w:val="000000"/>
                <w:szCs w:val="21"/>
              </w:rPr>
              <w:t>0</w:t>
            </w:r>
          </w:p>
        </w:tc>
      </w:tr>
      <w:tr w:rsidR="00BF5979" w:rsidRPr="00946EC9" w:rsidTr="00E26C2B">
        <w:trPr>
          <w:trHeight w:hRule="exact" w:val="510"/>
          <w:jc w:val="center"/>
        </w:trPr>
        <w:tc>
          <w:tcPr>
            <w:tcW w:w="2553" w:type="dxa"/>
            <w:shd w:val="clear" w:color="auto" w:fill="auto"/>
            <w:vAlign w:val="center"/>
            <w:hideMark/>
          </w:tcPr>
          <w:p w:rsidR="00BF5979" w:rsidRPr="00946EC9" w:rsidRDefault="00BF5979" w:rsidP="00BF5979">
            <w:pPr>
              <w:spacing w:after="0" w:line="240" w:lineRule="auto"/>
              <w:rPr>
                <w:rFonts w:eastAsia="Times New Roman" w:cstheme="minorHAnsi"/>
                <w:b/>
                <w:bCs/>
                <w:color w:val="000000"/>
                <w:szCs w:val="21"/>
                <w:lang w:eastAsia="cs-CZ"/>
              </w:rPr>
            </w:pPr>
            <w:r w:rsidRPr="00946EC9">
              <w:rPr>
                <w:rFonts w:eastAsia="Times New Roman" w:cstheme="minorHAnsi"/>
                <w:b/>
                <w:bCs/>
                <w:color w:val="000000"/>
                <w:szCs w:val="21"/>
                <w:lang w:eastAsia="cs-CZ"/>
              </w:rPr>
              <w:t>Celkové náklady na preventivní zdravotní péči</w:t>
            </w:r>
          </w:p>
        </w:tc>
        <w:tc>
          <w:tcPr>
            <w:tcW w:w="1012" w:type="dxa"/>
            <w:shd w:val="clear" w:color="auto" w:fill="DBE5F1"/>
            <w:vAlign w:val="center"/>
          </w:tcPr>
          <w:p w:rsidR="00BF5979" w:rsidRPr="00701EA8" w:rsidRDefault="00BF5979" w:rsidP="00BF5979">
            <w:pPr>
              <w:spacing w:after="0" w:line="240" w:lineRule="auto"/>
              <w:jc w:val="right"/>
              <w:rPr>
                <w:rFonts w:cstheme="minorHAnsi"/>
                <w:b/>
                <w:bCs/>
                <w:color w:val="000000"/>
                <w:szCs w:val="21"/>
              </w:rPr>
            </w:pPr>
            <w:r w:rsidRPr="00701EA8">
              <w:rPr>
                <w:rFonts w:cstheme="minorHAnsi"/>
                <w:b/>
                <w:bCs/>
                <w:color w:val="000000"/>
                <w:szCs w:val="21"/>
              </w:rPr>
              <w:t>710</w:t>
            </w:r>
          </w:p>
        </w:tc>
        <w:tc>
          <w:tcPr>
            <w:tcW w:w="1012" w:type="dxa"/>
            <w:shd w:val="clear" w:color="auto" w:fill="auto"/>
            <w:vAlign w:val="center"/>
          </w:tcPr>
          <w:p w:rsidR="00BF5979" w:rsidRPr="00701EA8" w:rsidRDefault="00BF5979" w:rsidP="00BF5979">
            <w:pPr>
              <w:spacing w:after="0" w:line="240" w:lineRule="auto"/>
              <w:jc w:val="right"/>
              <w:rPr>
                <w:rFonts w:cstheme="minorHAnsi"/>
                <w:b/>
                <w:bCs/>
                <w:color w:val="000000"/>
                <w:szCs w:val="21"/>
              </w:rPr>
            </w:pPr>
            <w:r w:rsidRPr="00701EA8">
              <w:rPr>
                <w:rFonts w:cstheme="minorHAnsi"/>
                <w:b/>
                <w:bCs/>
                <w:color w:val="000000"/>
                <w:szCs w:val="21"/>
              </w:rPr>
              <w:t>166</w:t>
            </w:r>
          </w:p>
        </w:tc>
        <w:tc>
          <w:tcPr>
            <w:tcW w:w="1012" w:type="dxa"/>
            <w:shd w:val="clear" w:color="auto" w:fill="DBE5F1"/>
            <w:vAlign w:val="center"/>
          </w:tcPr>
          <w:p w:rsidR="00BF5979" w:rsidRPr="00701EA8" w:rsidRDefault="00BF5979" w:rsidP="00BF5979">
            <w:pPr>
              <w:spacing w:after="0" w:line="240" w:lineRule="auto"/>
              <w:jc w:val="right"/>
              <w:rPr>
                <w:rFonts w:cstheme="minorHAnsi"/>
                <w:b/>
                <w:bCs/>
                <w:color w:val="000000"/>
                <w:szCs w:val="21"/>
              </w:rPr>
            </w:pPr>
            <w:r w:rsidRPr="00701EA8">
              <w:rPr>
                <w:rFonts w:cstheme="minorHAnsi"/>
                <w:b/>
                <w:bCs/>
                <w:color w:val="000000"/>
                <w:szCs w:val="21"/>
              </w:rPr>
              <w:t>290</w:t>
            </w:r>
          </w:p>
        </w:tc>
        <w:tc>
          <w:tcPr>
            <w:tcW w:w="1013" w:type="dxa"/>
            <w:shd w:val="clear" w:color="auto" w:fill="auto"/>
            <w:vAlign w:val="center"/>
          </w:tcPr>
          <w:p w:rsidR="00BF5979" w:rsidRPr="00701EA8" w:rsidRDefault="00BF5979" w:rsidP="00BF5979">
            <w:pPr>
              <w:spacing w:after="0" w:line="240" w:lineRule="auto"/>
              <w:jc w:val="right"/>
              <w:rPr>
                <w:rFonts w:cstheme="minorHAnsi"/>
                <w:b/>
                <w:bCs/>
                <w:color w:val="000000"/>
                <w:szCs w:val="21"/>
              </w:rPr>
            </w:pPr>
            <w:r w:rsidRPr="00701EA8">
              <w:rPr>
                <w:rFonts w:cstheme="minorHAnsi"/>
                <w:b/>
                <w:bCs/>
                <w:color w:val="000000"/>
                <w:szCs w:val="21"/>
              </w:rPr>
              <w:t>165</w:t>
            </w:r>
          </w:p>
        </w:tc>
        <w:tc>
          <w:tcPr>
            <w:tcW w:w="1012" w:type="dxa"/>
            <w:shd w:val="clear" w:color="auto" w:fill="DBE5F1"/>
            <w:vAlign w:val="center"/>
          </w:tcPr>
          <w:p w:rsidR="00BF5979" w:rsidRPr="00701EA8" w:rsidRDefault="00BF5979" w:rsidP="00BF5979">
            <w:pPr>
              <w:spacing w:after="0" w:line="240" w:lineRule="auto"/>
              <w:jc w:val="right"/>
              <w:rPr>
                <w:rFonts w:cstheme="minorHAnsi"/>
                <w:b/>
                <w:bCs/>
                <w:color w:val="000000"/>
                <w:szCs w:val="21"/>
              </w:rPr>
            </w:pPr>
            <w:r w:rsidRPr="00701EA8">
              <w:rPr>
                <w:rFonts w:cstheme="minorHAnsi"/>
                <w:b/>
                <w:bCs/>
                <w:color w:val="000000"/>
                <w:szCs w:val="21"/>
              </w:rPr>
              <w:t>43</w:t>
            </w:r>
          </w:p>
        </w:tc>
        <w:tc>
          <w:tcPr>
            <w:tcW w:w="1012" w:type="dxa"/>
            <w:shd w:val="clear" w:color="auto" w:fill="auto"/>
            <w:vAlign w:val="center"/>
          </w:tcPr>
          <w:p w:rsidR="00BF5979" w:rsidRPr="00701EA8" w:rsidRDefault="00BF5979" w:rsidP="00BF5979">
            <w:pPr>
              <w:spacing w:after="0" w:line="240" w:lineRule="auto"/>
              <w:jc w:val="right"/>
              <w:rPr>
                <w:rFonts w:cstheme="minorHAnsi"/>
                <w:b/>
                <w:bCs/>
                <w:color w:val="000000"/>
                <w:szCs w:val="21"/>
              </w:rPr>
            </w:pPr>
            <w:r w:rsidRPr="00701EA8">
              <w:rPr>
                <w:rFonts w:cstheme="minorHAnsi"/>
                <w:b/>
                <w:bCs/>
                <w:color w:val="000000"/>
                <w:szCs w:val="21"/>
              </w:rPr>
              <w:t>287</w:t>
            </w:r>
          </w:p>
        </w:tc>
        <w:tc>
          <w:tcPr>
            <w:tcW w:w="1013" w:type="dxa"/>
            <w:shd w:val="clear" w:color="auto" w:fill="DBE5F1"/>
            <w:vAlign w:val="center"/>
          </w:tcPr>
          <w:p w:rsidR="00BF5979" w:rsidRPr="00701EA8" w:rsidRDefault="00BF5979" w:rsidP="00BF5979">
            <w:pPr>
              <w:spacing w:after="0" w:line="240" w:lineRule="auto"/>
              <w:jc w:val="right"/>
              <w:rPr>
                <w:rFonts w:cstheme="minorHAnsi"/>
                <w:b/>
                <w:bCs/>
                <w:color w:val="000000"/>
                <w:szCs w:val="21"/>
              </w:rPr>
            </w:pPr>
            <w:r w:rsidRPr="00701EA8">
              <w:rPr>
                <w:rFonts w:cstheme="minorHAnsi"/>
                <w:b/>
                <w:bCs/>
                <w:color w:val="000000"/>
                <w:szCs w:val="21"/>
              </w:rPr>
              <w:t>88</w:t>
            </w:r>
          </w:p>
        </w:tc>
      </w:tr>
    </w:tbl>
    <w:p w:rsidR="00B456F9" w:rsidRPr="003222CE" w:rsidRDefault="00B456F9" w:rsidP="00B456F9">
      <w:pPr>
        <w:pStyle w:val="Titulek"/>
        <w:spacing w:before="240"/>
        <w:jc w:val="both"/>
      </w:pPr>
      <w:bookmarkStart w:id="79" w:name="_Toc25073794"/>
      <w:bookmarkStart w:id="80" w:name="_Toc63685280"/>
      <w:r w:rsidRPr="003222CE">
        <w:lastRenderedPageBreak/>
        <w:t xml:space="preserve">Tabulka č. </w:t>
      </w:r>
      <w:r w:rsidR="008E5E29" w:rsidRPr="003222CE">
        <w:rPr>
          <w:noProof/>
        </w:rPr>
        <w:fldChar w:fldCharType="begin"/>
      </w:r>
      <w:r w:rsidRPr="003222CE">
        <w:rPr>
          <w:noProof/>
        </w:rPr>
        <w:instrText xml:space="preserve"> SEQ Tabulka \* ARABIC </w:instrText>
      </w:r>
      <w:r w:rsidR="008E5E29" w:rsidRPr="003222CE">
        <w:rPr>
          <w:noProof/>
        </w:rPr>
        <w:fldChar w:fldCharType="separate"/>
      </w:r>
      <w:r w:rsidR="006D5C90">
        <w:rPr>
          <w:noProof/>
        </w:rPr>
        <w:t>27</w:t>
      </w:r>
      <w:r w:rsidR="008E5E29" w:rsidRPr="003222CE">
        <w:rPr>
          <w:noProof/>
        </w:rPr>
        <w:fldChar w:fldCharType="end"/>
      </w:r>
      <w:r w:rsidRPr="003222CE">
        <w:t>: Náklady na preventivní zdravotní péči čerpané z fondu prevence v r. 20</w:t>
      </w:r>
      <w:r w:rsidR="00BF5979">
        <w:t>20</w:t>
      </w:r>
      <w:r w:rsidRPr="003222CE">
        <w:t xml:space="preserve"> dle zdravotních pojišťoven</w:t>
      </w:r>
      <w:bookmarkEnd w:id="79"/>
      <w:bookmarkEnd w:id="80"/>
    </w:p>
    <w:tbl>
      <w:tblPr>
        <w:tblW w:w="9639" w:type="dxa"/>
        <w:jc w:val="center"/>
        <w:tblBorders>
          <w:top w:val="single" w:sz="12" w:space="0" w:color="548DD4" w:themeColor="text2" w:themeTint="99"/>
          <w:left w:val="single" w:sz="12" w:space="0" w:color="548DD4" w:themeColor="text2" w:themeTint="99"/>
          <w:bottom w:val="single" w:sz="12" w:space="0" w:color="548DD4" w:themeColor="text2" w:themeTint="99"/>
          <w:right w:val="single" w:sz="12" w:space="0" w:color="548DD4" w:themeColor="text2" w:themeTint="99"/>
        </w:tblBorders>
        <w:tblCellMar>
          <w:left w:w="70" w:type="dxa"/>
          <w:right w:w="70" w:type="dxa"/>
        </w:tblCellMar>
        <w:tblLook w:val="04A0" w:firstRow="1" w:lastRow="0" w:firstColumn="1" w:lastColumn="0" w:noHBand="0" w:noVBand="1"/>
      </w:tblPr>
      <w:tblGrid>
        <w:gridCol w:w="2553"/>
        <w:gridCol w:w="1012"/>
        <w:gridCol w:w="1012"/>
        <w:gridCol w:w="1012"/>
        <w:gridCol w:w="1013"/>
        <w:gridCol w:w="1012"/>
        <w:gridCol w:w="1012"/>
        <w:gridCol w:w="1013"/>
      </w:tblGrid>
      <w:tr w:rsidR="00B456F9" w:rsidRPr="003222CE" w:rsidTr="004D6049">
        <w:trPr>
          <w:trHeight w:val="568"/>
          <w:jc w:val="center"/>
        </w:trPr>
        <w:tc>
          <w:tcPr>
            <w:tcW w:w="2553" w:type="dxa"/>
            <w:shd w:val="clear" w:color="auto" w:fill="4F81BD"/>
            <w:hideMark/>
          </w:tcPr>
          <w:p w:rsidR="00B456F9" w:rsidRPr="003222CE" w:rsidRDefault="00B456F9" w:rsidP="004D6049">
            <w:pPr>
              <w:spacing w:after="0" w:line="240" w:lineRule="auto"/>
              <w:rPr>
                <w:rFonts w:eastAsia="Times New Roman" w:cs="Arial"/>
                <w:b/>
                <w:bCs/>
                <w:color w:val="FFFFFF"/>
                <w:szCs w:val="21"/>
                <w:lang w:eastAsia="cs-CZ"/>
              </w:rPr>
            </w:pPr>
            <w:r w:rsidRPr="003222CE">
              <w:rPr>
                <w:rFonts w:eastAsia="Times New Roman" w:cs="Arial"/>
                <w:b/>
                <w:bCs/>
                <w:color w:val="FFFFFF"/>
                <w:szCs w:val="21"/>
                <w:lang w:eastAsia="cs-CZ"/>
              </w:rPr>
              <w:t>Oč. skut. 20</w:t>
            </w:r>
            <w:r w:rsidR="00BF5979">
              <w:rPr>
                <w:rFonts w:eastAsia="Times New Roman" w:cs="Arial"/>
                <w:b/>
                <w:bCs/>
                <w:color w:val="FFFFFF"/>
                <w:szCs w:val="21"/>
                <w:lang w:eastAsia="cs-CZ"/>
              </w:rPr>
              <w:t>20</w:t>
            </w:r>
            <w:r w:rsidRPr="003222CE">
              <w:rPr>
                <w:rFonts w:eastAsia="Times New Roman" w:cs="Arial"/>
                <w:b/>
                <w:bCs/>
                <w:color w:val="FFFFFF"/>
                <w:szCs w:val="21"/>
                <w:lang w:eastAsia="cs-CZ"/>
              </w:rPr>
              <w:t xml:space="preserve"> </w:t>
            </w:r>
          </w:p>
          <w:p w:rsidR="00B456F9" w:rsidRPr="003222CE" w:rsidRDefault="00B456F9" w:rsidP="004D6049">
            <w:pPr>
              <w:spacing w:after="0" w:line="240" w:lineRule="auto"/>
              <w:rPr>
                <w:rFonts w:eastAsia="Times New Roman" w:cs="Arial"/>
                <w:bCs/>
                <w:color w:val="FFFFFF"/>
                <w:szCs w:val="21"/>
                <w:lang w:eastAsia="cs-CZ"/>
              </w:rPr>
            </w:pPr>
            <w:r w:rsidRPr="003222CE">
              <w:rPr>
                <w:rFonts w:eastAsia="Times New Roman" w:cs="Arial"/>
                <w:bCs/>
                <w:color w:val="FFFFFF"/>
                <w:szCs w:val="21"/>
                <w:lang w:eastAsia="cs-CZ"/>
              </w:rPr>
              <w:t>(v mil. Kč)</w:t>
            </w:r>
          </w:p>
        </w:tc>
        <w:tc>
          <w:tcPr>
            <w:tcW w:w="1012" w:type="dxa"/>
            <w:shd w:val="clear" w:color="auto" w:fill="6691C6"/>
            <w:vAlign w:val="center"/>
            <w:hideMark/>
          </w:tcPr>
          <w:p w:rsidR="00B456F9" w:rsidRPr="00946EC9" w:rsidRDefault="00B456F9" w:rsidP="004D6049">
            <w:pPr>
              <w:spacing w:after="0" w:line="240" w:lineRule="auto"/>
              <w:jc w:val="center"/>
              <w:rPr>
                <w:rFonts w:eastAsia="Times New Roman" w:cs="Times New Roman"/>
                <w:color w:val="FFFFFF"/>
                <w:szCs w:val="21"/>
                <w:lang w:eastAsia="cs-CZ"/>
              </w:rPr>
            </w:pPr>
            <w:r w:rsidRPr="00946EC9">
              <w:rPr>
                <w:rFonts w:eastAsia="Times New Roman" w:cs="Times New Roman"/>
                <w:color w:val="FFFFFF"/>
                <w:szCs w:val="21"/>
                <w:lang w:eastAsia="cs-CZ"/>
              </w:rPr>
              <w:t>VZP ČR</w:t>
            </w:r>
          </w:p>
        </w:tc>
        <w:tc>
          <w:tcPr>
            <w:tcW w:w="1012" w:type="dxa"/>
            <w:shd w:val="clear" w:color="auto" w:fill="4F81BD"/>
            <w:vAlign w:val="center"/>
            <w:hideMark/>
          </w:tcPr>
          <w:p w:rsidR="00B456F9" w:rsidRPr="00946EC9" w:rsidRDefault="00B456F9" w:rsidP="004D6049">
            <w:pPr>
              <w:spacing w:after="0" w:line="240" w:lineRule="auto"/>
              <w:jc w:val="center"/>
              <w:rPr>
                <w:rFonts w:eastAsia="Times New Roman" w:cs="Times New Roman"/>
                <w:color w:val="FFFFFF"/>
                <w:szCs w:val="21"/>
                <w:lang w:eastAsia="cs-CZ"/>
              </w:rPr>
            </w:pPr>
            <w:proofErr w:type="spellStart"/>
            <w:r w:rsidRPr="00946EC9">
              <w:rPr>
                <w:rFonts w:eastAsia="Times New Roman" w:cs="Times New Roman"/>
                <w:color w:val="FFFFFF"/>
                <w:szCs w:val="21"/>
                <w:lang w:eastAsia="cs-CZ"/>
              </w:rPr>
              <w:t>VoZP</w:t>
            </w:r>
            <w:proofErr w:type="spellEnd"/>
            <w:r w:rsidRPr="00946EC9">
              <w:rPr>
                <w:rFonts w:eastAsia="Times New Roman" w:cs="Times New Roman"/>
                <w:color w:val="FFFFFF"/>
                <w:szCs w:val="21"/>
                <w:lang w:eastAsia="cs-CZ"/>
              </w:rPr>
              <w:t xml:space="preserve"> ČR</w:t>
            </w:r>
          </w:p>
        </w:tc>
        <w:tc>
          <w:tcPr>
            <w:tcW w:w="1012" w:type="dxa"/>
            <w:shd w:val="clear" w:color="auto" w:fill="6691C6"/>
            <w:vAlign w:val="center"/>
            <w:hideMark/>
          </w:tcPr>
          <w:p w:rsidR="00B456F9" w:rsidRPr="00946EC9" w:rsidRDefault="00B456F9" w:rsidP="004D6049">
            <w:pPr>
              <w:spacing w:after="0" w:line="240" w:lineRule="auto"/>
              <w:jc w:val="center"/>
              <w:rPr>
                <w:rFonts w:eastAsia="Times New Roman" w:cs="Times New Roman"/>
                <w:color w:val="FFFFFF"/>
                <w:szCs w:val="21"/>
                <w:lang w:eastAsia="cs-CZ"/>
              </w:rPr>
            </w:pPr>
            <w:r w:rsidRPr="00946EC9">
              <w:rPr>
                <w:rFonts w:eastAsia="Times New Roman" w:cs="Times New Roman"/>
                <w:color w:val="FFFFFF"/>
                <w:szCs w:val="21"/>
                <w:lang w:eastAsia="cs-CZ"/>
              </w:rPr>
              <w:t>ČPZP</w:t>
            </w:r>
          </w:p>
        </w:tc>
        <w:tc>
          <w:tcPr>
            <w:tcW w:w="1013" w:type="dxa"/>
            <w:shd w:val="clear" w:color="auto" w:fill="4F81BD"/>
            <w:vAlign w:val="center"/>
            <w:hideMark/>
          </w:tcPr>
          <w:p w:rsidR="00B456F9" w:rsidRPr="00946EC9" w:rsidRDefault="00B456F9" w:rsidP="004D6049">
            <w:pPr>
              <w:spacing w:after="0" w:line="240" w:lineRule="auto"/>
              <w:jc w:val="center"/>
              <w:rPr>
                <w:rFonts w:eastAsia="Times New Roman" w:cs="Times New Roman"/>
                <w:color w:val="FFFFFF"/>
                <w:szCs w:val="21"/>
                <w:lang w:eastAsia="cs-CZ"/>
              </w:rPr>
            </w:pPr>
            <w:r w:rsidRPr="00946EC9">
              <w:rPr>
                <w:rFonts w:eastAsia="Times New Roman" w:cs="Times New Roman"/>
                <w:color w:val="FFFFFF"/>
                <w:szCs w:val="21"/>
                <w:lang w:eastAsia="cs-CZ"/>
              </w:rPr>
              <w:t>OZP</w:t>
            </w:r>
          </w:p>
        </w:tc>
        <w:tc>
          <w:tcPr>
            <w:tcW w:w="1012" w:type="dxa"/>
            <w:shd w:val="clear" w:color="auto" w:fill="6691C6"/>
            <w:vAlign w:val="center"/>
            <w:hideMark/>
          </w:tcPr>
          <w:p w:rsidR="00B456F9" w:rsidRPr="00946EC9" w:rsidRDefault="00B456F9" w:rsidP="004D6049">
            <w:pPr>
              <w:spacing w:after="0" w:line="240" w:lineRule="auto"/>
              <w:jc w:val="center"/>
              <w:rPr>
                <w:rFonts w:eastAsia="Times New Roman" w:cs="Times New Roman"/>
                <w:color w:val="FFFFFF"/>
                <w:szCs w:val="21"/>
                <w:lang w:eastAsia="cs-CZ"/>
              </w:rPr>
            </w:pPr>
            <w:r w:rsidRPr="00946EC9">
              <w:rPr>
                <w:rFonts w:eastAsia="Times New Roman" w:cs="Times New Roman"/>
                <w:color w:val="FFFFFF"/>
                <w:szCs w:val="21"/>
                <w:lang w:eastAsia="cs-CZ"/>
              </w:rPr>
              <w:t>ZPŠ</w:t>
            </w:r>
          </w:p>
        </w:tc>
        <w:tc>
          <w:tcPr>
            <w:tcW w:w="1012" w:type="dxa"/>
            <w:shd w:val="clear" w:color="auto" w:fill="4F81BD"/>
            <w:vAlign w:val="center"/>
            <w:hideMark/>
          </w:tcPr>
          <w:p w:rsidR="00B456F9" w:rsidRPr="00946EC9" w:rsidRDefault="00DF5584" w:rsidP="004D6049">
            <w:pPr>
              <w:spacing w:after="0" w:line="240" w:lineRule="auto"/>
              <w:jc w:val="center"/>
              <w:rPr>
                <w:rFonts w:eastAsia="Times New Roman" w:cs="Times New Roman"/>
                <w:color w:val="FFFFFF"/>
                <w:szCs w:val="21"/>
                <w:lang w:eastAsia="cs-CZ"/>
              </w:rPr>
            </w:pPr>
            <w:r w:rsidRPr="00946EC9">
              <w:rPr>
                <w:rFonts w:eastAsia="Times New Roman" w:cs="Times New Roman"/>
                <w:color w:val="FFFFFF"/>
                <w:szCs w:val="21"/>
                <w:lang w:eastAsia="cs-CZ"/>
              </w:rPr>
              <w:t>ZP MV ČR</w:t>
            </w:r>
          </w:p>
        </w:tc>
        <w:tc>
          <w:tcPr>
            <w:tcW w:w="1013" w:type="dxa"/>
            <w:shd w:val="clear" w:color="auto" w:fill="6691C6"/>
            <w:vAlign w:val="center"/>
          </w:tcPr>
          <w:p w:rsidR="00B456F9" w:rsidRPr="00946EC9" w:rsidRDefault="00B456F9" w:rsidP="004D6049">
            <w:pPr>
              <w:spacing w:after="0" w:line="240" w:lineRule="auto"/>
              <w:jc w:val="center"/>
              <w:rPr>
                <w:rFonts w:eastAsia="Times New Roman" w:cs="Times New Roman"/>
                <w:color w:val="FFFFFF"/>
                <w:szCs w:val="21"/>
                <w:lang w:eastAsia="cs-CZ"/>
              </w:rPr>
            </w:pPr>
            <w:r w:rsidRPr="00946EC9">
              <w:rPr>
                <w:rFonts w:eastAsia="Times New Roman" w:cs="Times New Roman"/>
                <w:color w:val="FFFFFF"/>
                <w:szCs w:val="21"/>
                <w:lang w:eastAsia="cs-CZ"/>
              </w:rPr>
              <w:t>RBP</w:t>
            </w:r>
          </w:p>
        </w:tc>
      </w:tr>
      <w:tr w:rsidR="00BF5979" w:rsidRPr="003222CE" w:rsidTr="00FE7832">
        <w:trPr>
          <w:trHeight w:hRule="exact" w:val="510"/>
          <w:jc w:val="center"/>
        </w:trPr>
        <w:tc>
          <w:tcPr>
            <w:tcW w:w="2553" w:type="dxa"/>
            <w:shd w:val="clear" w:color="auto" w:fill="auto"/>
            <w:vAlign w:val="bottom"/>
            <w:hideMark/>
          </w:tcPr>
          <w:p w:rsidR="00BF5979" w:rsidRPr="003222CE" w:rsidRDefault="00BF5979" w:rsidP="00BF5979">
            <w:pPr>
              <w:spacing w:after="0" w:line="240" w:lineRule="auto"/>
              <w:rPr>
                <w:rFonts w:eastAsia="Times New Roman" w:cs="Arial"/>
                <w:b/>
                <w:bCs/>
                <w:color w:val="000000"/>
                <w:szCs w:val="21"/>
                <w:lang w:eastAsia="cs-CZ"/>
              </w:rPr>
            </w:pPr>
            <w:r w:rsidRPr="003222CE">
              <w:rPr>
                <w:rFonts w:eastAsia="Times New Roman" w:cs="Arial"/>
                <w:b/>
                <w:bCs/>
                <w:color w:val="000000"/>
                <w:szCs w:val="21"/>
                <w:lang w:eastAsia="cs-CZ"/>
              </w:rPr>
              <w:t xml:space="preserve">Náklady na </w:t>
            </w:r>
            <w:r w:rsidRPr="003222CE">
              <w:rPr>
                <w:rFonts w:eastAsia="Times New Roman" w:cs="Arial"/>
                <w:b/>
                <w:bCs/>
                <w:color w:val="000000"/>
                <w:szCs w:val="21"/>
                <w:lang w:eastAsia="cs-CZ"/>
              </w:rPr>
              <w:br/>
              <w:t>zdravotní programy</w:t>
            </w:r>
          </w:p>
        </w:tc>
        <w:tc>
          <w:tcPr>
            <w:tcW w:w="1012" w:type="dxa"/>
            <w:shd w:val="clear" w:color="auto" w:fill="DBE5F1"/>
            <w:vAlign w:val="center"/>
          </w:tcPr>
          <w:p w:rsidR="00BF5979" w:rsidRPr="00946EC9" w:rsidRDefault="00BF5979" w:rsidP="00BF5979">
            <w:pPr>
              <w:spacing w:after="0" w:line="240" w:lineRule="auto"/>
              <w:jc w:val="right"/>
              <w:rPr>
                <w:rFonts w:cstheme="minorHAnsi"/>
                <w:szCs w:val="21"/>
              </w:rPr>
            </w:pPr>
            <w:r w:rsidRPr="00701EA8">
              <w:rPr>
                <w:rFonts w:cstheme="minorHAnsi"/>
                <w:bCs/>
                <w:szCs w:val="21"/>
              </w:rPr>
              <w:t>456</w:t>
            </w:r>
          </w:p>
        </w:tc>
        <w:tc>
          <w:tcPr>
            <w:tcW w:w="1012" w:type="dxa"/>
            <w:shd w:val="clear" w:color="auto" w:fill="auto"/>
            <w:vAlign w:val="center"/>
          </w:tcPr>
          <w:p w:rsidR="00BF5979" w:rsidRPr="00946EC9" w:rsidRDefault="00BF5979" w:rsidP="00BF5979">
            <w:pPr>
              <w:spacing w:after="0" w:line="240" w:lineRule="auto"/>
              <w:jc w:val="right"/>
              <w:rPr>
                <w:rFonts w:cstheme="minorHAnsi"/>
                <w:szCs w:val="21"/>
              </w:rPr>
            </w:pPr>
            <w:r w:rsidRPr="00701EA8">
              <w:rPr>
                <w:rFonts w:cstheme="minorHAnsi"/>
                <w:szCs w:val="21"/>
              </w:rPr>
              <w:t>10</w:t>
            </w:r>
            <w:r w:rsidR="007642E1" w:rsidRPr="00701EA8">
              <w:rPr>
                <w:rFonts w:cstheme="minorHAnsi"/>
                <w:szCs w:val="21"/>
              </w:rPr>
              <w:t>5</w:t>
            </w:r>
          </w:p>
        </w:tc>
        <w:tc>
          <w:tcPr>
            <w:tcW w:w="1012" w:type="dxa"/>
            <w:shd w:val="clear" w:color="auto" w:fill="DBE5F1"/>
            <w:vAlign w:val="center"/>
          </w:tcPr>
          <w:p w:rsidR="00BF5979" w:rsidRPr="00946EC9" w:rsidRDefault="00BF5979" w:rsidP="00BF5979">
            <w:pPr>
              <w:spacing w:after="0" w:line="240" w:lineRule="auto"/>
              <w:jc w:val="right"/>
              <w:rPr>
                <w:rFonts w:cstheme="minorHAnsi"/>
                <w:szCs w:val="21"/>
              </w:rPr>
            </w:pPr>
            <w:r w:rsidRPr="00701EA8">
              <w:rPr>
                <w:rFonts w:cstheme="minorHAnsi"/>
                <w:szCs w:val="21"/>
              </w:rPr>
              <w:t>210</w:t>
            </w:r>
          </w:p>
        </w:tc>
        <w:tc>
          <w:tcPr>
            <w:tcW w:w="1013" w:type="dxa"/>
            <w:shd w:val="clear" w:color="auto" w:fill="auto"/>
            <w:vAlign w:val="center"/>
          </w:tcPr>
          <w:p w:rsidR="00BF5979" w:rsidRPr="00946EC9" w:rsidRDefault="00BF5979" w:rsidP="00BF5979">
            <w:pPr>
              <w:spacing w:after="0" w:line="240" w:lineRule="auto"/>
              <w:jc w:val="right"/>
              <w:rPr>
                <w:rFonts w:cstheme="minorHAnsi"/>
                <w:szCs w:val="21"/>
              </w:rPr>
            </w:pPr>
            <w:r w:rsidRPr="00701EA8">
              <w:rPr>
                <w:rFonts w:cstheme="minorHAnsi"/>
                <w:szCs w:val="21"/>
              </w:rPr>
              <w:t>1</w:t>
            </w:r>
            <w:r w:rsidR="007642E1" w:rsidRPr="00701EA8">
              <w:rPr>
                <w:rFonts w:cstheme="minorHAnsi"/>
                <w:szCs w:val="21"/>
              </w:rPr>
              <w:t>50</w:t>
            </w:r>
          </w:p>
        </w:tc>
        <w:tc>
          <w:tcPr>
            <w:tcW w:w="1012" w:type="dxa"/>
            <w:shd w:val="clear" w:color="auto" w:fill="DBE5F1"/>
            <w:vAlign w:val="center"/>
          </w:tcPr>
          <w:p w:rsidR="00BF5979" w:rsidRPr="00946EC9" w:rsidRDefault="00BF5979" w:rsidP="00BF5979">
            <w:pPr>
              <w:spacing w:after="0" w:line="240" w:lineRule="auto"/>
              <w:jc w:val="right"/>
              <w:rPr>
                <w:rFonts w:cstheme="minorHAnsi"/>
                <w:szCs w:val="21"/>
              </w:rPr>
            </w:pPr>
            <w:r w:rsidRPr="00701EA8">
              <w:rPr>
                <w:rFonts w:cstheme="minorHAnsi"/>
                <w:szCs w:val="21"/>
              </w:rPr>
              <w:t>12</w:t>
            </w:r>
          </w:p>
        </w:tc>
        <w:tc>
          <w:tcPr>
            <w:tcW w:w="1012" w:type="dxa"/>
            <w:shd w:val="clear" w:color="auto" w:fill="auto"/>
            <w:vAlign w:val="center"/>
          </w:tcPr>
          <w:p w:rsidR="00BF5979" w:rsidRPr="00946EC9" w:rsidRDefault="00BF5979" w:rsidP="00BF5979">
            <w:pPr>
              <w:spacing w:after="0" w:line="240" w:lineRule="auto"/>
              <w:jc w:val="right"/>
              <w:rPr>
                <w:rFonts w:cstheme="minorHAnsi"/>
                <w:szCs w:val="21"/>
              </w:rPr>
            </w:pPr>
            <w:r w:rsidRPr="00701EA8">
              <w:rPr>
                <w:rFonts w:cstheme="minorHAnsi"/>
                <w:szCs w:val="21"/>
              </w:rPr>
              <w:t>245</w:t>
            </w:r>
          </w:p>
        </w:tc>
        <w:tc>
          <w:tcPr>
            <w:tcW w:w="1013" w:type="dxa"/>
            <w:shd w:val="clear" w:color="auto" w:fill="DBE5F1"/>
            <w:vAlign w:val="center"/>
          </w:tcPr>
          <w:p w:rsidR="00BF5979" w:rsidRPr="00946EC9" w:rsidRDefault="00BF5979" w:rsidP="00BF5979">
            <w:pPr>
              <w:spacing w:after="0" w:line="240" w:lineRule="auto"/>
              <w:jc w:val="right"/>
              <w:rPr>
                <w:rFonts w:cstheme="minorHAnsi"/>
                <w:color w:val="000000"/>
                <w:szCs w:val="21"/>
              </w:rPr>
            </w:pPr>
            <w:r w:rsidRPr="00701EA8">
              <w:rPr>
                <w:rFonts w:cstheme="minorHAnsi"/>
                <w:szCs w:val="21"/>
              </w:rPr>
              <w:t>40</w:t>
            </w:r>
          </w:p>
        </w:tc>
      </w:tr>
      <w:tr w:rsidR="00BF5979" w:rsidRPr="003222CE" w:rsidTr="00FE7832">
        <w:trPr>
          <w:trHeight w:hRule="exact" w:val="510"/>
          <w:jc w:val="center"/>
        </w:trPr>
        <w:tc>
          <w:tcPr>
            <w:tcW w:w="2553" w:type="dxa"/>
            <w:shd w:val="clear" w:color="auto" w:fill="EEF3F8"/>
            <w:vAlign w:val="bottom"/>
            <w:hideMark/>
          </w:tcPr>
          <w:p w:rsidR="00BF5979" w:rsidRPr="003222CE" w:rsidRDefault="00BF5979" w:rsidP="00BF5979">
            <w:pPr>
              <w:spacing w:after="0" w:line="240" w:lineRule="auto"/>
              <w:rPr>
                <w:rFonts w:eastAsia="Times New Roman" w:cs="Arial"/>
                <w:b/>
                <w:bCs/>
                <w:color w:val="000000"/>
                <w:szCs w:val="21"/>
                <w:lang w:eastAsia="cs-CZ"/>
              </w:rPr>
            </w:pPr>
            <w:r w:rsidRPr="003222CE">
              <w:rPr>
                <w:rFonts w:eastAsia="Times New Roman" w:cs="Arial"/>
                <w:b/>
                <w:bCs/>
                <w:color w:val="000000"/>
                <w:szCs w:val="21"/>
                <w:lang w:eastAsia="cs-CZ"/>
              </w:rPr>
              <w:t xml:space="preserve">Náklady na </w:t>
            </w:r>
            <w:r w:rsidRPr="003222CE">
              <w:rPr>
                <w:rFonts w:eastAsia="Times New Roman" w:cs="Arial"/>
                <w:b/>
                <w:bCs/>
                <w:color w:val="000000"/>
                <w:szCs w:val="21"/>
                <w:lang w:eastAsia="cs-CZ"/>
              </w:rPr>
              <w:br/>
              <w:t>ozdravné pobyty</w:t>
            </w:r>
          </w:p>
        </w:tc>
        <w:tc>
          <w:tcPr>
            <w:tcW w:w="1012" w:type="dxa"/>
            <w:shd w:val="clear" w:color="auto" w:fill="EEF3F8"/>
            <w:vAlign w:val="center"/>
          </w:tcPr>
          <w:p w:rsidR="00BF5979" w:rsidRPr="00946EC9" w:rsidRDefault="00BF5979" w:rsidP="00BF5979">
            <w:pPr>
              <w:spacing w:after="0" w:line="240" w:lineRule="auto"/>
              <w:jc w:val="right"/>
              <w:rPr>
                <w:rFonts w:cstheme="minorHAnsi"/>
                <w:szCs w:val="21"/>
              </w:rPr>
            </w:pPr>
            <w:r w:rsidRPr="00701EA8">
              <w:rPr>
                <w:rFonts w:cstheme="minorHAnsi"/>
                <w:bCs/>
                <w:szCs w:val="21"/>
              </w:rPr>
              <w:t>20</w:t>
            </w:r>
          </w:p>
        </w:tc>
        <w:tc>
          <w:tcPr>
            <w:tcW w:w="1012" w:type="dxa"/>
            <w:shd w:val="clear" w:color="auto" w:fill="EEF3F8"/>
            <w:vAlign w:val="center"/>
          </w:tcPr>
          <w:p w:rsidR="00BF5979" w:rsidRPr="00946EC9" w:rsidRDefault="007642E1" w:rsidP="00BF5979">
            <w:pPr>
              <w:spacing w:after="0" w:line="240" w:lineRule="auto"/>
              <w:jc w:val="right"/>
              <w:rPr>
                <w:rFonts w:cstheme="minorHAnsi"/>
                <w:szCs w:val="21"/>
              </w:rPr>
            </w:pPr>
            <w:r w:rsidRPr="00701EA8">
              <w:rPr>
                <w:rFonts w:cstheme="minorHAnsi"/>
                <w:szCs w:val="21"/>
              </w:rPr>
              <w:t>4</w:t>
            </w:r>
          </w:p>
        </w:tc>
        <w:tc>
          <w:tcPr>
            <w:tcW w:w="1012" w:type="dxa"/>
            <w:shd w:val="clear" w:color="auto" w:fill="EEF3F8"/>
            <w:vAlign w:val="center"/>
          </w:tcPr>
          <w:p w:rsidR="00BF5979" w:rsidRPr="00946EC9" w:rsidRDefault="00BF5979" w:rsidP="00BF5979">
            <w:pPr>
              <w:spacing w:after="0" w:line="240" w:lineRule="auto"/>
              <w:jc w:val="right"/>
              <w:rPr>
                <w:rFonts w:cstheme="minorHAnsi"/>
                <w:szCs w:val="21"/>
              </w:rPr>
            </w:pPr>
            <w:r w:rsidRPr="00701EA8">
              <w:rPr>
                <w:rFonts w:cstheme="minorHAnsi"/>
                <w:szCs w:val="21"/>
              </w:rPr>
              <w:t>0</w:t>
            </w:r>
          </w:p>
        </w:tc>
        <w:tc>
          <w:tcPr>
            <w:tcW w:w="1013" w:type="dxa"/>
            <w:shd w:val="clear" w:color="auto" w:fill="EEF3F8"/>
            <w:vAlign w:val="center"/>
          </w:tcPr>
          <w:p w:rsidR="00BF5979" w:rsidRPr="00946EC9" w:rsidRDefault="00BF5979" w:rsidP="00BF5979">
            <w:pPr>
              <w:spacing w:after="0" w:line="240" w:lineRule="auto"/>
              <w:jc w:val="right"/>
              <w:rPr>
                <w:rFonts w:cstheme="minorHAnsi"/>
                <w:szCs w:val="21"/>
              </w:rPr>
            </w:pPr>
            <w:r w:rsidRPr="00701EA8">
              <w:rPr>
                <w:rFonts w:cstheme="minorHAnsi"/>
                <w:szCs w:val="21"/>
              </w:rPr>
              <w:t>5</w:t>
            </w:r>
          </w:p>
        </w:tc>
        <w:tc>
          <w:tcPr>
            <w:tcW w:w="1012" w:type="dxa"/>
            <w:shd w:val="clear" w:color="auto" w:fill="EEF3F8"/>
            <w:vAlign w:val="center"/>
          </w:tcPr>
          <w:p w:rsidR="00BF5979" w:rsidRPr="00946EC9" w:rsidRDefault="002C5F33" w:rsidP="00BF5979">
            <w:pPr>
              <w:spacing w:after="0" w:line="240" w:lineRule="auto"/>
              <w:jc w:val="right"/>
              <w:rPr>
                <w:rFonts w:cstheme="minorHAnsi"/>
                <w:szCs w:val="21"/>
              </w:rPr>
            </w:pPr>
            <w:r w:rsidRPr="00701EA8">
              <w:rPr>
                <w:rFonts w:cstheme="minorHAnsi"/>
                <w:szCs w:val="21"/>
              </w:rPr>
              <w:t>0</w:t>
            </w:r>
          </w:p>
        </w:tc>
        <w:tc>
          <w:tcPr>
            <w:tcW w:w="1012" w:type="dxa"/>
            <w:shd w:val="clear" w:color="auto" w:fill="EEF3F8"/>
            <w:vAlign w:val="center"/>
          </w:tcPr>
          <w:p w:rsidR="00BF5979" w:rsidRPr="00946EC9" w:rsidRDefault="00BF5979" w:rsidP="00BF5979">
            <w:pPr>
              <w:spacing w:after="0" w:line="240" w:lineRule="auto"/>
              <w:jc w:val="right"/>
              <w:rPr>
                <w:rFonts w:cstheme="minorHAnsi"/>
                <w:szCs w:val="21"/>
              </w:rPr>
            </w:pPr>
            <w:r w:rsidRPr="00701EA8">
              <w:rPr>
                <w:rFonts w:cstheme="minorHAnsi"/>
                <w:szCs w:val="21"/>
              </w:rPr>
              <w:t>7</w:t>
            </w:r>
          </w:p>
        </w:tc>
        <w:tc>
          <w:tcPr>
            <w:tcW w:w="1013" w:type="dxa"/>
            <w:shd w:val="clear" w:color="auto" w:fill="EEF3F8"/>
            <w:vAlign w:val="center"/>
          </w:tcPr>
          <w:p w:rsidR="00BF5979" w:rsidRPr="00946EC9" w:rsidRDefault="002C5F33" w:rsidP="00BF5979">
            <w:pPr>
              <w:spacing w:after="0" w:line="240" w:lineRule="auto"/>
              <w:jc w:val="right"/>
              <w:rPr>
                <w:rFonts w:cstheme="minorHAnsi"/>
                <w:color w:val="000000"/>
                <w:szCs w:val="21"/>
              </w:rPr>
            </w:pPr>
            <w:r w:rsidRPr="00701EA8">
              <w:rPr>
                <w:rFonts w:cstheme="minorHAnsi"/>
                <w:szCs w:val="21"/>
              </w:rPr>
              <w:t>6</w:t>
            </w:r>
          </w:p>
        </w:tc>
      </w:tr>
      <w:tr w:rsidR="00BF5979" w:rsidRPr="003222CE" w:rsidTr="00FE7832">
        <w:trPr>
          <w:trHeight w:hRule="exact" w:val="284"/>
          <w:jc w:val="center"/>
        </w:trPr>
        <w:tc>
          <w:tcPr>
            <w:tcW w:w="2553" w:type="dxa"/>
            <w:shd w:val="clear" w:color="auto" w:fill="auto"/>
            <w:vAlign w:val="bottom"/>
            <w:hideMark/>
          </w:tcPr>
          <w:p w:rsidR="00BF5979" w:rsidRPr="003222CE" w:rsidRDefault="00BF5979" w:rsidP="00BF5979">
            <w:pPr>
              <w:spacing w:after="0" w:line="240" w:lineRule="auto"/>
              <w:rPr>
                <w:rFonts w:eastAsia="Times New Roman" w:cs="Arial"/>
                <w:b/>
                <w:bCs/>
                <w:color w:val="000000"/>
                <w:szCs w:val="21"/>
                <w:lang w:eastAsia="cs-CZ"/>
              </w:rPr>
            </w:pPr>
            <w:r w:rsidRPr="003222CE">
              <w:rPr>
                <w:rFonts w:eastAsia="Times New Roman" w:cs="Arial"/>
                <w:b/>
                <w:bCs/>
                <w:color w:val="000000"/>
                <w:szCs w:val="21"/>
                <w:lang w:eastAsia="cs-CZ"/>
              </w:rPr>
              <w:t>Ostatní činnosti</w:t>
            </w:r>
          </w:p>
        </w:tc>
        <w:tc>
          <w:tcPr>
            <w:tcW w:w="1012" w:type="dxa"/>
            <w:shd w:val="clear" w:color="auto" w:fill="DBE5F1"/>
            <w:vAlign w:val="center"/>
          </w:tcPr>
          <w:p w:rsidR="00BF5979" w:rsidRPr="00946EC9" w:rsidRDefault="00BF5979" w:rsidP="00BF5979">
            <w:pPr>
              <w:spacing w:after="0" w:line="240" w:lineRule="auto"/>
              <w:jc w:val="right"/>
              <w:rPr>
                <w:rFonts w:cstheme="minorHAnsi"/>
                <w:szCs w:val="21"/>
              </w:rPr>
            </w:pPr>
            <w:r w:rsidRPr="00701EA8">
              <w:rPr>
                <w:rFonts w:cstheme="minorHAnsi"/>
                <w:bCs/>
                <w:szCs w:val="21"/>
              </w:rPr>
              <w:t>17</w:t>
            </w:r>
            <w:r w:rsidR="007642E1" w:rsidRPr="00701EA8">
              <w:rPr>
                <w:rFonts w:cstheme="minorHAnsi"/>
                <w:bCs/>
                <w:szCs w:val="21"/>
              </w:rPr>
              <w:t>6</w:t>
            </w:r>
          </w:p>
        </w:tc>
        <w:tc>
          <w:tcPr>
            <w:tcW w:w="1012" w:type="dxa"/>
            <w:shd w:val="clear" w:color="auto" w:fill="auto"/>
            <w:vAlign w:val="center"/>
          </w:tcPr>
          <w:p w:rsidR="00BF5979" w:rsidRPr="00946EC9" w:rsidRDefault="00BF5979" w:rsidP="00BF5979">
            <w:pPr>
              <w:spacing w:after="0" w:line="240" w:lineRule="auto"/>
              <w:jc w:val="right"/>
              <w:rPr>
                <w:rFonts w:cstheme="minorHAnsi"/>
                <w:szCs w:val="21"/>
              </w:rPr>
            </w:pPr>
            <w:r w:rsidRPr="00701EA8">
              <w:rPr>
                <w:rFonts w:cstheme="minorHAnsi"/>
                <w:szCs w:val="21"/>
              </w:rPr>
              <w:t>2</w:t>
            </w:r>
          </w:p>
        </w:tc>
        <w:tc>
          <w:tcPr>
            <w:tcW w:w="1012" w:type="dxa"/>
            <w:shd w:val="clear" w:color="auto" w:fill="DBE5F1"/>
            <w:vAlign w:val="center"/>
          </w:tcPr>
          <w:p w:rsidR="00BF5979" w:rsidRPr="00946EC9" w:rsidRDefault="00BF5979" w:rsidP="00BF5979">
            <w:pPr>
              <w:spacing w:after="0" w:line="240" w:lineRule="auto"/>
              <w:jc w:val="right"/>
              <w:rPr>
                <w:rFonts w:cstheme="minorHAnsi"/>
                <w:color w:val="000000"/>
                <w:szCs w:val="21"/>
              </w:rPr>
            </w:pPr>
            <w:r w:rsidRPr="00701EA8">
              <w:rPr>
                <w:rFonts w:cstheme="minorHAnsi"/>
                <w:szCs w:val="21"/>
              </w:rPr>
              <w:t>0</w:t>
            </w:r>
          </w:p>
        </w:tc>
        <w:tc>
          <w:tcPr>
            <w:tcW w:w="1013" w:type="dxa"/>
            <w:shd w:val="clear" w:color="auto" w:fill="auto"/>
            <w:vAlign w:val="center"/>
          </w:tcPr>
          <w:p w:rsidR="00BF5979" w:rsidRPr="00946EC9" w:rsidRDefault="002C5F33" w:rsidP="00BF5979">
            <w:pPr>
              <w:spacing w:after="0" w:line="240" w:lineRule="auto"/>
              <w:jc w:val="right"/>
              <w:rPr>
                <w:rFonts w:cstheme="minorHAnsi"/>
                <w:szCs w:val="21"/>
              </w:rPr>
            </w:pPr>
            <w:r w:rsidRPr="00701EA8">
              <w:rPr>
                <w:rFonts w:cstheme="minorHAnsi"/>
                <w:szCs w:val="21"/>
              </w:rPr>
              <w:t>0</w:t>
            </w:r>
          </w:p>
        </w:tc>
        <w:tc>
          <w:tcPr>
            <w:tcW w:w="1012" w:type="dxa"/>
            <w:shd w:val="clear" w:color="auto" w:fill="DBE5F1"/>
            <w:vAlign w:val="center"/>
          </w:tcPr>
          <w:p w:rsidR="00BF5979" w:rsidRPr="00946EC9" w:rsidRDefault="00BF5979" w:rsidP="00BF5979">
            <w:pPr>
              <w:spacing w:after="0" w:line="240" w:lineRule="auto"/>
              <w:jc w:val="right"/>
              <w:rPr>
                <w:rFonts w:cstheme="minorHAnsi"/>
                <w:szCs w:val="21"/>
              </w:rPr>
            </w:pPr>
            <w:r w:rsidRPr="00701EA8">
              <w:rPr>
                <w:rFonts w:cstheme="minorHAnsi"/>
                <w:szCs w:val="21"/>
              </w:rPr>
              <w:t>1</w:t>
            </w:r>
            <w:r w:rsidR="002C5F33" w:rsidRPr="00701EA8">
              <w:rPr>
                <w:rFonts w:cstheme="minorHAnsi"/>
                <w:szCs w:val="21"/>
              </w:rPr>
              <w:t>9</w:t>
            </w:r>
          </w:p>
        </w:tc>
        <w:tc>
          <w:tcPr>
            <w:tcW w:w="1012" w:type="dxa"/>
            <w:shd w:val="clear" w:color="auto" w:fill="auto"/>
            <w:vAlign w:val="center"/>
          </w:tcPr>
          <w:p w:rsidR="00BF5979" w:rsidRPr="00946EC9" w:rsidRDefault="00BF5979" w:rsidP="00BF5979">
            <w:pPr>
              <w:spacing w:after="0" w:line="240" w:lineRule="auto"/>
              <w:jc w:val="right"/>
              <w:rPr>
                <w:rFonts w:cstheme="minorHAnsi"/>
                <w:szCs w:val="21"/>
              </w:rPr>
            </w:pPr>
            <w:r w:rsidRPr="00701EA8">
              <w:rPr>
                <w:rFonts w:cstheme="minorHAnsi"/>
                <w:szCs w:val="21"/>
              </w:rPr>
              <w:t>0</w:t>
            </w:r>
          </w:p>
        </w:tc>
        <w:tc>
          <w:tcPr>
            <w:tcW w:w="1013" w:type="dxa"/>
            <w:shd w:val="clear" w:color="auto" w:fill="DBE5F1"/>
            <w:vAlign w:val="center"/>
          </w:tcPr>
          <w:p w:rsidR="00BF5979" w:rsidRPr="00946EC9" w:rsidRDefault="00BF5979" w:rsidP="00BF5979">
            <w:pPr>
              <w:spacing w:after="0" w:line="240" w:lineRule="auto"/>
              <w:jc w:val="right"/>
              <w:rPr>
                <w:rFonts w:cstheme="minorHAnsi"/>
                <w:color w:val="000000"/>
                <w:szCs w:val="21"/>
              </w:rPr>
            </w:pPr>
            <w:r w:rsidRPr="00701EA8">
              <w:rPr>
                <w:rFonts w:cstheme="minorHAnsi"/>
                <w:szCs w:val="21"/>
              </w:rPr>
              <w:t>45</w:t>
            </w:r>
          </w:p>
        </w:tc>
      </w:tr>
      <w:tr w:rsidR="00BF5979" w:rsidRPr="003222CE" w:rsidTr="00FE7832">
        <w:trPr>
          <w:trHeight w:hRule="exact" w:val="284"/>
          <w:jc w:val="center"/>
        </w:trPr>
        <w:tc>
          <w:tcPr>
            <w:tcW w:w="2553" w:type="dxa"/>
            <w:shd w:val="clear" w:color="auto" w:fill="EEF3F8"/>
            <w:vAlign w:val="bottom"/>
          </w:tcPr>
          <w:p w:rsidR="00BF5979" w:rsidRPr="003222CE" w:rsidRDefault="00BF5979" w:rsidP="00BF5979">
            <w:pPr>
              <w:spacing w:after="0" w:line="240" w:lineRule="auto"/>
              <w:rPr>
                <w:b/>
                <w:bCs/>
                <w:color w:val="000000"/>
                <w:szCs w:val="21"/>
              </w:rPr>
            </w:pPr>
            <w:r w:rsidRPr="003222CE">
              <w:rPr>
                <w:b/>
                <w:bCs/>
                <w:color w:val="000000"/>
                <w:szCs w:val="21"/>
              </w:rPr>
              <w:t>Z jiných zdrojů (</w:t>
            </w:r>
            <w:proofErr w:type="spellStart"/>
            <w:r w:rsidRPr="003222CE">
              <w:rPr>
                <w:b/>
                <w:bCs/>
                <w:color w:val="000000"/>
                <w:szCs w:val="21"/>
              </w:rPr>
              <w:t>VoZP</w:t>
            </w:r>
            <w:proofErr w:type="spellEnd"/>
            <w:r w:rsidRPr="003222CE">
              <w:rPr>
                <w:b/>
                <w:bCs/>
                <w:color w:val="000000"/>
                <w:szCs w:val="21"/>
              </w:rPr>
              <w:t> ČR)</w:t>
            </w:r>
          </w:p>
        </w:tc>
        <w:tc>
          <w:tcPr>
            <w:tcW w:w="1012" w:type="dxa"/>
            <w:shd w:val="clear" w:color="auto" w:fill="EEF3F8"/>
            <w:vAlign w:val="center"/>
          </w:tcPr>
          <w:p w:rsidR="00BF5979" w:rsidRPr="00946EC9" w:rsidRDefault="00BF5979" w:rsidP="00BF5979">
            <w:pPr>
              <w:spacing w:after="0" w:line="240" w:lineRule="auto"/>
              <w:jc w:val="right"/>
              <w:rPr>
                <w:rFonts w:cstheme="minorHAnsi"/>
                <w:color w:val="000000"/>
                <w:szCs w:val="21"/>
              </w:rPr>
            </w:pPr>
            <w:r w:rsidRPr="00701EA8">
              <w:rPr>
                <w:rFonts w:cstheme="minorHAnsi"/>
                <w:color w:val="000000"/>
                <w:szCs w:val="21"/>
              </w:rPr>
              <w:t>0</w:t>
            </w:r>
          </w:p>
        </w:tc>
        <w:tc>
          <w:tcPr>
            <w:tcW w:w="1012" w:type="dxa"/>
            <w:shd w:val="clear" w:color="auto" w:fill="EEF3F8"/>
            <w:vAlign w:val="center"/>
          </w:tcPr>
          <w:p w:rsidR="00BF5979" w:rsidRPr="00946EC9" w:rsidRDefault="00BF5979" w:rsidP="00BF5979">
            <w:pPr>
              <w:spacing w:after="0" w:line="240" w:lineRule="auto"/>
              <w:jc w:val="right"/>
              <w:rPr>
                <w:rFonts w:cstheme="minorHAnsi"/>
                <w:szCs w:val="21"/>
              </w:rPr>
            </w:pPr>
            <w:r w:rsidRPr="00701EA8">
              <w:rPr>
                <w:rFonts w:cstheme="minorHAnsi"/>
                <w:szCs w:val="21"/>
              </w:rPr>
              <w:t>12</w:t>
            </w:r>
          </w:p>
        </w:tc>
        <w:tc>
          <w:tcPr>
            <w:tcW w:w="1012" w:type="dxa"/>
            <w:shd w:val="clear" w:color="auto" w:fill="EEF3F8"/>
            <w:vAlign w:val="center"/>
          </w:tcPr>
          <w:p w:rsidR="00BF5979" w:rsidRPr="00946EC9" w:rsidRDefault="00BF5979" w:rsidP="00BF5979">
            <w:pPr>
              <w:spacing w:after="0" w:line="240" w:lineRule="auto"/>
              <w:jc w:val="right"/>
              <w:rPr>
                <w:rFonts w:cstheme="minorHAnsi"/>
                <w:color w:val="000000"/>
                <w:szCs w:val="21"/>
              </w:rPr>
            </w:pPr>
            <w:r w:rsidRPr="00701EA8">
              <w:rPr>
                <w:rFonts w:cstheme="minorHAnsi"/>
                <w:color w:val="000000"/>
                <w:szCs w:val="21"/>
              </w:rPr>
              <w:t>0</w:t>
            </w:r>
          </w:p>
        </w:tc>
        <w:tc>
          <w:tcPr>
            <w:tcW w:w="1013" w:type="dxa"/>
            <w:shd w:val="clear" w:color="auto" w:fill="EEF3F8"/>
            <w:vAlign w:val="center"/>
          </w:tcPr>
          <w:p w:rsidR="00BF5979" w:rsidRPr="00946EC9" w:rsidRDefault="00BF5979" w:rsidP="00BF5979">
            <w:pPr>
              <w:spacing w:after="0" w:line="240" w:lineRule="auto"/>
              <w:jc w:val="right"/>
              <w:rPr>
                <w:rFonts w:cstheme="minorHAnsi"/>
                <w:color w:val="000000"/>
                <w:szCs w:val="21"/>
              </w:rPr>
            </w:pPr>
            <w:r w:rsidRPr="00701EA8">
              <w:rPr>
                <w:rFonts w:cstheme="minorHAnsi"/>
                <w:color w:val="000000"/>
                <w:szCs w:val="21"/>
              </w:rPr>
              <w:t>0</w:t>
            </w:r>
          </w:p>
        </w:tc>
        <w:tc>
          <w:tcPr>
            <w:tcW w:w="1012" w:type="dxa"/>
            <w:shd w:val="clear" w:color="auto" w:fill="EEF3F8"/>
            <w:vAlign w:val="center"/>
          </w:tcPr>
          <w:p w:rsidR="00BF5979" w:rsidRPr="00946EC9" w:rsidRDefault="00BF5979" w:rsidP="00BF5979">
            <w:pPr>
              <w:spacing w:after="0" w:line="240" w:lineRule="auto"/>
              <w:jc w:val="right"/>
              <w:rPr>
                <w:rFonts w:cstheme="minorHAnsi"/>
                <w:color w:val="000000"/>
                <w:szCs w:val="21"/>
              </w:rPr>
            </w:pPr>
            <w:r w:rsidRPr="00701EA8">
              <w:rPr>
                <w:rFonts w:cstheme="minorHAnsi"/>
                <w:color w:val="000000"/>
                <w:szCs w:val="21"/>
              </w:rPr>
              <w:t>0</w:t>
            </w:r>
          </w:p>
        </w:tc>
        <w:tc>
          <w:tcPr>
            <w:tcW w:w="1012" w:type="dxa"/>
            <w:shd w:val="clear" w:color="auto" w:fill="EEF3F8"/>
            <w:vAlign w:val="center"/>
          </w:tcPr>
          <w:p w:rsidR="00BF5979" w:rsidRPr="00946EC9" w:rsidRDefault="00BF5979" w:rsidP="00BF5979">
            <w:pPr>
              <w:spacing w:after="0" w:line="240" w:lineRule="auto"/>
              <w:jc w:val="right"/>
              <w:rPr>
                <w:rFonts w:cstheme="minorHAnsi"/>
                <w:color w:val="000000"/>
                <w:szCs w:val="21"/>
              </w:rPr>
            </w:pPr>
            <w:r w:rsidRPr="00701EA8">
              <w:rPr>
                <w:rFonts w:cstheme="minorHAnsi"/>
                <w:color w:val="000000"/>
                <w:szCs w:val="21"/>
              </w:rPr>
              <w:t>0</w:t>
            </w:r>
          </w:p>
        </w:tc>
        <w:tc>
          <w:tcPr>
            <w:tcW w:w="1013" w:type="dxa"/>
            <w:shd w:val="clear" w:color="auto" w:fill="EEF3F8"/>
            <w:vAlign w:val="center"/>
          </w:tcPr>
          <w:p w:rsidR="00BF5979" w:rsidRPr="00946EC9" w:rsidRDefault="00BF5979" w:rsidP="00BF5979">
            <w:pPr>
              <w:spacing w:after="0" w:line="240" w:lineRule="auto"/>
              <w:jc w:val="right"/>
              <w:rPr>
                <w:rFonts w:cstheme="minorHAnsi"/>
                <w:color w:val="000000"/>
                <w:szCs w:val="21"/>
              </w:rPr>
            </w:pPr>
            <w:r w:rsidRPr="00701EA8">
              <w:rPr>
                <w:rFonts w:cstheme="minorHAnsi"/>
                <w:color w:val="000000"/>
                <w:szCs w:val="21"/>
              </w:rPr>
              <w:t>0</w:t>
            </w:r>
          </w:p>
        </w:tc>
      </w:tr>
      <w:tr w:rsidR="00BF5979" w:rsidRPr="00C954C6" w:rsidTr="00FE7832">
        <w:trPr>
          <w:trHeight w:hRule="exact" w:val="510"/>
          <w:jc w:val="center"/>
        </w:trPr>
        <w:tc>
          <w:tcPr>
            <w:tcW w:w="2553" w:type="dxa"/>
            <w:shd w:val="clear" w:color="auto" w:fill="auto"/>
            <w:vAlign w:val="bottom"/>
            <w:hideMark/>
          </w:tcPr>
          <w:p w:rsidR="00BF5979" w:rsidRPr="003222CE" w:rsidRDefault="00BF5979" w:rsidP="00BF5979">
            <w:pPr>
              <w:spacing w:after="0" w:line="240" w:lineRule="auto"/>
              <w:rPr>
                <w:rFonts w:eastAsia="Times New Roman" w:cs="Arial"/>
                <w:b/>
                <w:bCs/>
                <w:color w:val="000000"/>
                <w:szCs w:val="21"/>
                <w:lang w:eastAsia="cs-CZ"/>
              </w:rPr>
            </w:pPr>
            <w:r w:rsidRPr="003222CE">
              <w:rPr>
                <w:rFonts w:eastAsia="Times New Roman" w:cs="Arial"/>
                <w:b/>
                <w:bCs/>
                <w:color w:val="000000"/>
                <w:szCs w:val="21"/>
                <w:lang w:eastAsia="cs-CZ"/>
              </w:rPr>
              <w:t>Celkové náklady na preventivní zdravotní péči</w:t>
            </w:r>
          </w:p>
        </w:tc>
        <w:tc>
          <w:tcPr>
            <w:tcW w:w="1012" w:type="dxa"/>
            <w:shd w:val="clear" w:color="auto" w:fill="DBE5F1"/>
            <w:vAlign w:val="center"/>
          </w:tcPr>
          <w:p w:rsidR="00BF5979" w:rsidRPr="00946EC9" w:rsidRDefault="00BF5979" w:rsidP="00BF5979">
            <w:pPr>
              <w:spacing w:after="0" w:line="240" w:lineRule="auto"/>
              <w:jc w:val="right"/>
              <w:rPr>
                <w:rFonts w:cstheme="minorHAnsi"/>
                <w:b/>
                <w:bCs/>
                <w:color w:val="000000"/>
                <w:szCs w:val="21"/>
              </w:rPr>
            </w:pPr>
            <w:r w:rsidRPr="00701EA8">
              <w:rPr>
                <w:rFonts w:cstheme="minorHAnsi"/>
                <w:b/>
                <w:bCs/>
                <w:color w:val="000000"/>
                <w:szCs w:val="21"/>
              </w:rPr>
              <w:t>65</w:t>
            </w:r>
            <w:r w:rsidR="007642E1" w:rsidRPr="00701EA8">
              <w:rPr>
                <w:rFonts w:cstheme="minorHAnsi"/>
                <w:b/>
                <w:bCs/>
                <w:color w:val="000000"/>
                <w:szCs w:val="21"/>
              </w:rPr>
              <w:t>2</w:t>
            </w:r>
          </w:p>
        </w:tc>
        <w:tc>
          <w:tcPr>
            <w:tcW w:w="1012" w:type="dxa"/>
            <w:shd w:val="clear" w:color="auto" w:fill="auto"/>
            <w:vAlign w:val="center"/>
          </w:tcPr>
          <w:p w:rsidR="00BF5979" w:rsidRPr="00946EC9" w:rsidRDefault="00BF5979" w:rsidP="00BF5979">
            <w:pPr>
              <w:spacing w:after="0" w:line="240" w:lineRule="auto"/>
              <w:jc w:val="right"/>
              <w:rPr>
                <w:rFonts w:cstheme="minorHAnsi"/>
                <w:b/>
                <w:bCs/>
                <w:color w:val="000000"/>
                <w:szCs w:val="21"/>
              </w:rPr>
            </w:pPr>
            <w:r w:rsidRPr="00701EA8">
              <w:rPr>
                <w:rFonts w:cstheme="minorHAnsi"/>
                <w:b/>
                <w:bCs/>
                <w:color w:val="000000"/>
                <w:szCs w:val="21"/>
              </w:rPr>
              <w:t>12</w:t>
            </w:r>
            <w:r w:rsidR="002C5F33" w:rsidRPr="00701EA8">
              <w:rPr>
                <w:rFonts w:cstheme="minorHAnsi"/>
                <w:b/>
                <w:bCs/>
                <w:color w:val="000000"/>
                <w:szCs w:val="21"/>
              </w:rPr>
              <w:t>3</w:t>
            </w:r>
          </w:p>
        </w:tc>
        <w:tc>
          <w:tcPr>
            <w:tcW w:w="1012" w:type="dxa"/>
            <w:shd w:val="clear" w:color="auto" w:fill="DBE5F1"/>
            <w:vAlign w:val="center"/>
          </w:tcPr>
          <w:p w:rsidR="00BF5979" w:rsidRPr="00946EC9" w:rsidRDefault="00BF5979" w:rsidP="00BF5979">
            <w:pPr>
              <w:spacing w:after="0" w:line="240" w:lineRule="auto"/>
              <w:jc w:val="right"/>
              <w:rPr>
                <w:rFonts w:cstheme="minorHAnsi"/>
                <w:b/>
                <w:bCs/>
                <w:color w:val="000000"/>
                <w:szCs w:val="21"/>
              </w:rPr>
            </w:pPr>
            <w:r w:rsidRPr="00701EA8">
              <w:rPr>
                <w:rFonts w:cstheme="minorHAnsi"/>
                <w:b/>
                <w:bCs/>
                <w:color w:val="000000"/>
                <w:szCs w:val="21"/>
              </w:rPr>
              <w:t>210</w:t>
            </w:r>
          </w:p>
        </w:tc>
        <w:tc>
          <w:tcPr>
            <w:tcW w:w="1013" w:type="dxa"/>
            <w:shd w:val="clear" w:color="auto" w:fill="auto"/>
            <w:vAlign w:val="center"/>
          </w:tcPr>
          <w:p w:rsidR="00BF5979" w:rsidRPr="00946EC9" w:rsidRDefault="00BF5979" w:rsidP="00BF5979">
            <w:pPr>
              <w:spacing w:after="0" w:line="240" w:lineRule="auto"/>
              <w:jc w:val="right"/>
              <w:rPr>
                <w:rFonts w:cstheme="minorHAnsi"/>
                <w:b/>
                <w:bCs/>
                <w:color w:val="000000"/>
                <w:szCs w:val="21"/>
              </w:rPr>
            </w:pPr>
            <w:r w:rsidRPr="00701EA8">
              <w:rPr>
                <w:rFonts w:cstheme="minorHAnsi"/>
                <w:b/>
                <w:bCs/>
                <w:color w:val="000000"/>
                <w:szCs w:val="21"/>
              </w:rPr>
              <w:t>155</w:t>
            </w:r>
          </w:p>
        </w:tc>
        <w:tc>
          <w:tcPr>
            <w:tcW w:w="1012" w:type="dxa"/>
            <w:shd w:val="clear" w:color="auto" w:fill="DBE5F1"/>
            <w:vAlign w:val="center"/>
          </w:tcPr>
          <w:p w:rsidR="00BF5979" w:rsidRPr="00946EC9" w:rsidRDefault="00BF5979" w:rsidP="00BF5979">
            <w:pPr>
              <w:spacing w:after="0" w:line="240" w:lineRule="auto"/>
              <w:jc w:val="right"/>
              <w:rPr>
                <w:rFonts w:cstheme="minorHAnsi"/>
                <w:b/>
                <w:bCs/>
                <w:color w:val="000000"/>
                <w:szCs w:val="21"/>
              </w:rPr>
            </w:pPr>
            <w:r w:rsidRPr="00701EA8">
              <w:rPr>
                <w:rFonts w:cstheme="minorHAnsi"/>
                <w:b/>
                <w:bCs/>
                <w:color w:val="000000"/>
                <w:szCs w:val="21"/>
              </w:rPr>
              <w:t>31</w:t>
            </w:r>
          </w:p>
        </w:tc>
        <w:tc>
          <w:tcPr>
            <w:tcW w:w="1012" w:type="dxa"/>
            <w:shd w:val="clear" w:color="auto" w:fill="auto"/>
            <w:vAlign w:val="center"/>
          </w:tcPr>
          <w:p w:rsidR="00BF5979" w:rsidRPr="00946EC9" w:rsidRDefault="00BF5979" w:rsidP="00BF5979">
            <w:pPr>
              <w:spacing w:after="0" w:line="240" w:lineRule="auto"/>
              <w:jc w:val="right"/>
              <w:rPr>
                <w:rFonts w:cstheme="minorHAnsi"/>
                <w:b/>
                <w:bCs/>
                <w:color w:val="000000"/>
                <w:szCs w:val="21"/>
              </w:rPr>
            </w:pPr>
            <w:r w:rsidRPr="00701EA8">
              <w:rPr>
                <w:rFonts w:cstheme="minorHAnsi"/>
                <w:b/>
                <w:bCs/>
                <w:color w:val="000000"/>
                <w:szCs w:val="21"/>
              </w:rPr>
              <w:t>252</w:t>
            </w:r>
          </w:p>
        </w:tc>
        <w:tc>
          <w:tcPr>
            <w:tcW w:w="1013" w:type="dxa"/>
            <w:shd w:val="clear" w:color="auto" w:fill="DBE5F1"/>
            <w:vAlign w:val="center"/>
          </w:tcPr>
          <w:p w:rsidR="00BF5979" w:rsidRPr="00946EC9" w:rsidRDefault="00BF5979" w:rsidP="00BF5979">
            <w:pPr>
              <w:spacing w:after="0" w:line="240" w:lineRule="auto"/>
              <w:jc w:val="right"/>
              <w:rPr>
                <w:rFonts w:cstheme="minorHAnsi"/>
                <w:b/>
                <w:bCs/>
                <w:color w:val="000000"/>
                <w:szCs w:val="21"/>
              </w:rPr>
            </w:pPr>
            <w:r w:rsidRPr="00701EA8">
              <w:rPr>
                <w:rFonts w:cstheme="minorHAnsi"/>
                <w:b/>
                <w:bCs/>
                <w:color w:val="000000"/>
                <w:szCs w:val="21"/>
              </w:rPr>
              <w:t>91</w:t>
            </w:r>
          </w:p>
        </w:tc>
      </w:tr>
    </w:tbl>
    <w:p w:rsidR="00436F6E" w:rsidRPr="00C954C6" w:rsidRDefault="00436F6E" w:rsidP="00436F6E">
      <w:pPr>
        <w:rPr>
          <w:rFonts w:eastAsia="Times New Roman" w:cs="Arial"/>
          <w:sz w:val="28"/>
          <w:szCs w:val="28"/>
          <w:highlight w:val="yellow"/>
          <w:lang w:eastAsia="cs-CZ"/>
        </w:rPr>
      </w:pPr>
      <w:r w:rsidRPr="00C954C6">
        <w:rPr>
          <w:highlight w:val="yellow"/>
        </w:rPr>
        <w:br w:type="page"/>
      </w:r>
    </w:p>
    <w:p w:rsidR="00436F6E" w:rsidRPr="00635A1E" w:rsidRDefault="00436F6E" w:rsidP="00436F6E">
      <w:pPr>
        <w:pStyle w:val="Nadpis1"/>
      </w:pPr>
      <w:bookmarkStart w:id="81" w:name="_Toc63684685"/>
      <w:r w:rsidRPr="00635A1E">
        <w:lastRenderedPageBreak/>
        <w:t>Závěr</w:t>
      </w:r>
      <w:bookmarkEnd w:id="81"/>
      <w:r w:rsidRPr="00635A1E">
        <w:t xml:space="preserve"> </w:t>
      </w:r>
    </w:p>
    <w:p w:rsidR="00635A1E" w:rsidRPr="0009745C" w:rsidRDefault="00436F6E" w:rsidP="00635A1E">
      <w:pPr>
        <w:jc w:val="both"/>
      </w:pPr>
      <w:r w:rsidRPr="00635A1E">
        <w:t>Všechny zdravotní pojišťovny plánují v roce 20</w:t>
      </w:r>
      <w:r w:rsidR="00D57CD3" w:rsidRPr="00635A1E">
        <w:t>2</w:t>
      </w:r>
      <w:r w:rsidR="00E3058F" w:rsidRPr="00635A1E">
        <w:t>1</w:t>
      </w:r>
      <w:r w:rsidRPr="00635A1E">
        <w:t xml:space="preserve"> navýšení nákladů na zdravotní služby. V celkovém úhrnu by meziroční navýšení výdajů ZFZP mělo činit </w:t>
      </w:r>
      <w:r w:rsidR="00D57CD3" w:rsidRPr="00635A1E">
        <w:t>3</w:t>
      </w:r>
      <w:r w:rsidR="00E3058F" w:rsidRPr="00635A1E">
        <w:t>1</w:t>
      </w:r>
      <w:r w:rsidRPr="00635A1E">
        <w:t>,</w:t>
      </w:r>
      <w:r w:rsidR="00E3058F" w:rsidRPr="00635A1E">
        <w:t>45</w:t>
      </w:r>
      <w:r w:rsidRPr="00635A1E">
        <w:t xml:space="preserve"> mld. Kč (</w:t>
      </w:r>
      <w:r w:rsidR="00E3058F" w:rsidRPr="00635A1E">
        <w:t>8</w:t>
      </w:r>
      <w:r w:rsidRPr="00635A1E">
        <w:t>,</w:t>
      </w:r>
      <w:r w:rsidR="00D57CD3" w:rsidRPr="00635A1E">
        <w:t>9</w:t>
      </w:r>
      <w:r w:rsidRPr="00635A1E">
        <w:t xml:space="preserve"> %). Uvedené prostředky by ve sféře poskytovatelů zdravotních služeb měly sloužit především k navyšování platů zaměstnanců ve zdravotnictví</w:t>
      </w:r>
      <w:r w:rsidR="00635A1E" w:rsidRPr="00635A1E">
        <w:t>,</w:t>
      </w:r>
      <w:r w:rsidRPr="00635A1E">
        <w:t> k podpoře poskytovatelů zdravotních služeb v lokalitách se zhoršenou možností zajištění místní a časové dostupnosti hrazených zdravotních služeb</w:t>
      </w:r>
      <w:r w:rsidR="00635A1E" w:rsidRPr="00635A1E">
        <w:t xml:space="preserve"> a k financování změn ve struktuře poskytované péče v souvislosti s epidemií COVID-19.</w:t>
      </w:r>
    </w:p>
    <w:p w:rsidR="00132F97" w:rsidRPr="00E3058F" w:rsidRDefault="00436F6E" w:rsidP="00466CEC">
      <w:pPr>
        <w:jc w:val="both"/>
      </w:pPr>
      <w:r w:rsidRPr="00E3058F">
        <w:t xml:space="preserve">Systém veřejného zdravotního pojištění bude v roce </w:t>
      </w:r>
      <w:r w:rsidR="008C6A0B" w:rsidRPr="00E3058F">
        <w:t>202</w:t>
      </w:r>
      <w:r w:rsidR="00DF3158" w:rsidRPr="00E3058F">
        <w:t>1</w:t>
      </w:r>
      <w:r w:rsidR="008C6A0B" w:rsidRPr="00E3058F">
        <w:t xml:space="preserve"> deficitní </w:t>
      </w:r>
      <w:r w:rsidRPr="00E3058F">
        <w:t xml:space="preserve">především vlivem vysokého tempa růstu </w:t>
      </w:r>
      <w:r w:rsidR="008C6A0B" w:rsidRPr="00E3058F">
        <w:t>výdajů na zdravotní služby</w:t>
      </w:r>
      <w:r w:rsidRPr="00E3058F">
        <w:t xml:space="preserve">. Systém by měl v tomto roce dosáhnout </w:t>
      </w:r>
      <w:r w:rsidR="00132F97" w:rsidRPr="00E3058F">
        <w:t xml:space="preserve">deficitu </w:t>
      </w:r>
      <w:r w:rsidRPr="00E3058F">
        <w:t xml:space="preserve">hospodaření v hodnotě </w:t>
      </w:r>
      <w:r w:rsidR="00063783">
        <w:t>−</w:t>
      </w:r>
      <w:r w:rsidR="00DF3158" w:rsidRPr="00E3058F">
        <w:t>13,7</w:t>
      </w:r>
      <w:r w:rsidR="00132F97" w:rsidRPr="00E3058F">
        <w:t xml:space="preserve"> </w:t>
      </w:r>
      <w:r w:rsidRPr="00E3058F">
        <w:t xml:space="preserve">mld. Kč, což představuje </w:t>
      </w:r>
      <w:r w:rsidR="00DF3158" w:rsidRPr="00E3058F">
        <w:t xml:space="preserve">podstatné zhoršení hospodářského výsledku oproti roku 2020, v němž je očekáváno v podstatě vyrovnané hospodaření s deficitem </w:t>
      </w:r>
      <w:r w:rsidR="00063783">
        <w:t>−</w:t>
      </w:r>
      <w:r w:rsidR="00DF3158" w:rsidRPr="00E3058F">
        <w:t xml:space="preserve">0,2 mld. Kč </w:t>
      </w:r>
    </w:p>
    <w:p w:rsidR="00436F6E" w:rsidRPr="00E3058F" w:rsidRDefault="00436F6E" w:rsidP="00466CEC">
      <w:pPr>
        <w:jc w:val="both"/>
      </w:pPr>
      <w:r w:rsidRPr="00607153">
        <w:t>V dalších letech pak na základě zpracovaných střednědobých výhledů ZP bude systém</w:t>
      </w:r>
      <w:r w:rsidR="00DF3158" w:rsidRPr="00607153">
        <w:t xml:space="preserve"> rovněž deficitní</w:t>
      </w:r>
      <w:r w:rsidRPr="00607153">
        <w:t xml:space="preserve">, pro rok </w:t>
      </w:r>
      <w:r w:rsidR="00132F97" w:rsidRPr="00607153">
        <w:t>202</w:t>
      </w:r>
      <w:r w:rsidR="00DF3158" w:rsidRPr="00607153">
        <w:t>2</w:t>
      </w:r>
      <w:r w:rsidR="00132F97" w:rsidRPr="00607153">
        <w:t xml:space="preserve"> </w:t>
      </w:r>
      <w:r w:rsidR="00B4549A" w:rsidRPr="00607153">
        <w:t xml:space="preserve">je odhadováno záporné saldo </w:t>
      </w:r>
      <w:r w:rsidR="00063783" w:rsidRPr="00607153">
        <w:t>−</w:t>
      </w:r>
      <w:r w:rsidR="00DF3158" w:rsidRPr="00607153">
        <w:t>18</w:t>
      </w:r>
      <w:r w:rsidR="00B4549A" w:rsidRPr="00607153">
        <w:t>,</w:t>
      </w:r>
      <w:r w:rsidR="00DF3158" w:rsidRPr="00607153">
        <w:t xml:space="preserve">8 </w:t>
      </w:r>
      <w:r w:rsidRPr="00607153">
        <w:t xml:space="preserve">mld. Kč a pro rok </w:t>
      </w:r>
      <w:r w:rsidR="00132F97" w:rsidRPr="00607153">
        <w:t>202</w:t>
      </w:r>
      <w:r w:rsidR="00DF3158" w:rsidRPr="00607153">
        <w:t>3</w:t>
      </w:r>
      <w:r w:rsidR="00B4549A" w:rsidRPr="00607153">
        <w:t xml:space="preserve"> pak </w:t>
      </w:r>
      <w:r w:rsidR="00063783" w:rsidRPr="00607153">
        <w:t>−</w:t>
      </w:r>
      <w:r w:rsidR="00DF3158" w:rsidRPr="00607153">
        <w:t>4,6</w:t>
      </w:r>
      <w:r w:rsidRPr="00607153">
        <w:t xml:space="preserve"> mld. Kč. </w:t>
      </w:r>
      <w:r w:rsidR="00626AEB" w:rsidRPr="00607153">
        <w:t>V období 2021</w:t>
      </w:r>
      <w:r w:rsidR="00063783" w:rsidRPr="00607153">
        <w:t>–</w:t>
      </w:r>
      <w:r w:rsidR="00626AEB" w:rsidRPr="00607153">
        <w:t xml:space="preserve">2023 bude docházet k soustavnému </w:t>
      </w:r>
      <w:r w:rsidR="00643A6E" w:rsidRPr="00607153">
        <w:t xml:space="preserve">snižování finanční odolnosti systému </w:t>
      </w:r>
      <w:r w:rsidR="00D30F4B" w:rsidRPr="00607153">
        <w:t>v. z. p.</w:t>
      </w:r>
      <w:r w:rsidR="00BB71C8" w:rsidRPr="00607153">
        <w:t>, které vyvrcholí vznikem závazků po lhůtě splatnosti vůči poskytovatelům zdravotních služeb</w:t>
      </w:r>
      <w:r w:rsidR="00975775">
        <w:t xml:space="preserve"> v hodnotě 16,1 mld. Kč na konci roku 2023</w:t>
      </w:r>
      <w:r w:rsidR="00BB71C8" w:rsidRPr="00607153">
        <w:t>.</w:t>
      </w:r>
      <w:r w:rsidR="00BB71C8">
        <w:t xml:space="preserve"> </w:t>
      </w:r>
      <w:r w:rsidR="00626AEB" w:rsidRPr="00E3058F">
        <w:t xml:space="preserve"> </w:t>
      </w:r>
    </w:p>
    <w:p w:rsidR="00AE1155" w:rsidRPr="0033722F" w:rsidRDefault="00AE1155" w:rsidP="00AE1155">
      <w:pPr>
        <w:jc w:val="both"/>
      </w:pPr>
      <w:r w:rsidRPr="006728D2">
        <w:t>Jak vyplývá ze zátěžových testů zdravotních pojišťoven, vysoký meziroční nárůst výdajů mezi lety 2020/2021 nelze dále opakovat. Střednědobé udržitelnosti systému v. z. p. při dané predikci příjmů lze dosáhnout pouze významným snížením tempa růstu výdajů na zdravotní služby. Tomuto závěru nezabránilo ani masivní jednorázové navýšení transferu ze státního rozpočtu v letech 2020 a 2021 s kumulativním dopadem oproti nastavené úrovni před pandemií COVID-19 o cca 69 mld. Kč, u kterého nelze očekávat jeho opakování.</w:t>
      </w:r>
    </w:p>
    <w:p w:rsidR="00D33329" w:rsidRDefault="00D33329">
      <w:pPr>
        <w:spacing w:after="200" w:line="276" w:lineRule="auto"/>
      </w:pPr>
      <w:r>
        <w:br w:type="page"/>
      </w:r>
    </w:p>
    <w:p w:rsidR="00736238" w:rsidRDefault="00DC2930" w:rsidP="00736238">
      <w:pPr>
        <w:pStyle w:val="Nadpis1"/>
      </w:pPr>
      <w:bookmarkStart w:id="82" w:name="_Toc63684686"/>
      <w:r>
        <w:lastRenderedPageBreak/>
        <w:t xml:space="preserve">Právní </w:t>
      </w:r>
      <w:r w:rsidR="00736238">
        <w:t>rámec</w:t>
      </w:r>
      <w:bookmarkEnd w:id="82"/>
    </w:p>
    <w:p w:rsidR="00736238" w:rsidRDefault="00736238" w:rsidP="00736238">
      <w:pPr>
        <w:jc w:val="both"/>
      </w:pPr>
      <w:r>
        <w:t xml:space="preserve">Současná </w:t>
      </w:r>
      <w:r w:rsidR="00DC2930">
        <w:t xml:space="preserve">právní </w:t>
      </w:r>
      <w:r>
        <w:t>úprava upravuje problematiku obdobně v případě Všeobecné zdravotní pojišťovny ČR a</w:t>
      </w:r>
      <w:r w:rsidR="00A20A86">
        <w:t> </w:t>
      </w:r>
      <w:r>
        <w:t>zaměstnaneckých zdravotních pojišťoven. Následující subkapitoly obsahují příslušná ustanovení, která slouží k hlubšímu zasazení předkládané</w:t>
      </w:r>
      <w:r w:rsidR="004843AD">
        <w:t>ho</w:t>
      </w:r>
      <w:r>
        <w:t xml:space="preserve"> dokumentu do kontextu.</w:t>
      </w:r>
    </w:p>
    <w:p w:rsidR="00736238" w:rsidRPr="00AC25F3" w:rsidRDefault="00736238" w:rsidP="00AC25F3">
      <w:pPr>
        <w:pStyle w:val="Nadpis2"/>
      </w:pPr>
      <w:bookmarkStart w:id="83" w:name="_Toc63684687"/>
      <w:r w:rsidRPr="00AC25F3">
        <w:t>Všeobecná zdravotní pojišťovna ČR</w:t>
      </w:r>
      <w:bookmarkEnd w:id="83"/>
    </w:p>
    <w:p w:rsidR="006E73FE" w:rsidRPr="00A75AFC" w:rsidRDefault="00736238" w:rsidP="00A75AFC">
      <w:r w:rsidRPr="00040258">
        <w:t xml:space="preserve">Konkrétní zákonná úprava je k 1. 12. </w:t>
      </w:r>
      <w:r w:rsidR="00B14E11" w:rsidRPr="00040258">
        <w:t>20</w:t>
      </w:r>
      <w:r w:rsidR="00B14E11">
        <w:t>20</w:t>
      </w:r>
      <w:r w:rsidR="00B14E11" w:rsidRPr="00040258">
        <w:t xml:space="preserve"> </w:t>
      </w:r>
      <w:r w:rsidRPr="00040258">
        <w:t xml:space="preserve">v případě VZP ČR uvedena v § 6 zákona č. 551/1991 Sb., o Všeobecné zdravotní pojišťovně České republiky ve </w:t>
      </w:r>
      <w:r w:rsidR="00A75AFC">
        <w:t>znění pozdějších předpisů tato:</w:t>
      </w:r>
    </w:p>
    <w:p w:rsidR="006E73FE" w:rsidRPr="00A75AFC" w:rsidRDefault="006E73FE" w:rsidP="006E73FE">
      <w:pPr>
        <w:spacing w:after="0" w:line="23" w:lineRule="atLeast"/>
        <w:jc w:val="both"/>
        <w:rPr>
          <w:i/>
        </w:rPr>
      </w:pPr>
      <w:r>
        <w:rPr>
          <w:rFonts w:ascii="Arial" w:hAnsi="Arial" w:cs="Arial"/>
          <w:sz w:val="16"/>
          <w:szCs w:val="16"/>
        </w:rPr>
        <w:tab/>
      </w:r>
      <w:r w:rsidRPr="00A75AFC">
        <w:rPr>
          <w:i/>
        </w:rPr>
        <w:t>(1) Pojišťovna každý kalendářní rok sestavuje zdravotně pojistný plán na následující kalendářní rok (dále jen "zdravotně pojistný plán") a výhled nejméně na dva další kalendářní roky následující po roce, na který je sestaven zdravotně pojistný plán (dále jen "výhled"). Při sestavování zdravotně pojistného plánu se vychází z</w:t>
      </w:r>
      <w:r w:rsidR="00A20A86">
        <w:rPr>
          <w:i/>
        </w:rPr>
        <w:t> </w:t>
      </w:r>
      <w:r w:rsidRPr="00A75AFC">
        <w:rPr>
          <w:i/>
        </w:rPr>
        <w:t xml:space="preserve">výhledu. </w:t>
      </w:r>
    </w:p>
    <w:p w:rsidR="006E73FE" w:rsidRPr="00A75AFC" w:rsidRDefault="006E73FE" w:rsidP="006E73FE">
      <w:pPr>
        <w:widowControl w:val="0"/>
        <w:autoSpaceDE w:val="0"/>
        <w:autoSpaceDN w:val="0"/>
        <w:adjustRightInd w:val="0"/>
        <w:spacing w:after="0" w:line="240" w:lineRule="auto"/>
        <w:jc w:val="both"/>
        <w:rPr>
          <w:i/>
        </w:rPr>
      </w:pPr>
      <w:r w:rsidRPr="00A75AFC">
        <w:rPr>
          <w:i/>
        </w:rPr>
        <w:tab/>
        <w:t xml:space="preserve">(2) Zdravotně pojistný plán je zpravidla sestavován jako vyrovnaný, přičemž vyrovnaným zdravotně pojistným plánem se pro účely tohoto zákona rozumí takový plán, ve kterém plánované výdaje nepřekračují součet plánovaných příjmů. </w:t>
      </w:r>
    </w:p>
    <w:p w:rsidR="006E73FE" w:rsidRPr="00A75AFC" w:rsidRDefault="006E73FE" w:rsidP="006E73FE">
      <w:pPr>
        <w:widowControl w:val="0"/>
        <w:autoSpaceDE w:val="0"/>
        <w:autoSpaceDN w:val="0"/>
        <w:adjustRightInd w:val="0"/>
        <w:spacing w:after="0" w:line="240" w:lineRule="auto"/>
        <w:jc w:val="both"/>
        <w:rPr>
          <w:i/>
        </w:rPr>
      </w:pPr>
      <w:r w:rsidRPr="00A75AFC">
        <w:rPr>
          <w:i/>
        </w:rPr>
        <w:tab/>
        <w:t>(3) Zdravotně pojist</w:t>
      </w:r>
      <w:r>
        <w:rPr>
          <w:i/>
        </w:rPr>
        <w:t xml:space="preserve">ný plán může být sestaven jako </w:t>
      </w:r>
    </w:p>
    <w:p w:rsidR="006E73FE" w:rsidRPr="00A75AFC" w:rsidRDefault="006E73FE" w:rsidP="006E73FE">
      <w:pPr>
        <w:widowControl w:val="0"/>
        <w:autoSpaceDE w:val="0"/>
        <w:autoSpaceDN w:val="0"/>
        <w:adjustRightInd w:val="0"/>
        <w:spacing w:after="0" w:line="240" w:lineRule="auto"/>
        <w:jc w:val="both"/>
        <w:rPr>
          <w:i/>
        </w:rPr>
      </w:pPr>
      <w:r w:rsidRPr="00A75AFC">
        <w:rPr>
          <w:i/>
        </w:rPr>
        <w:t>a) přebytkový, jestliže je část příjmů daného roku určena k využití až v následujících letech; tyto příjmy musí být v</w:t>
      </w:r>
      <w:r w:rsidR="00A20A86">
        <w:rPr>
          <w:i/>
        </w:rPr>
        <w:t> </w:t>
      </w:r>
      <w:r w:rsidRPr="00A75AFC">
        <w:rPr>
          <w:i/>
        </w:rPr>
        <w:t xml:space="preserve">takovém zdravotně </w:t>
      </w:r>
      <w:r>
        <w:rPr>
          <w:i/>
        </w:rPr>
        <w:t xml:space="preserve">pojistném plánu vymezeny, nebo </w:t>
      </w:r>
    </w:p>
    <w:p w:rsidR="006E73FE" w:rsidRPr="00A75AFC" w:rsidRDefault="006E73FE" w:rsidP="006E73FE">
      <w:pPr>
        <w:widowControl w:val="0"/>
        <w:autoSpaceDE w:val="0"/>
        <w:autoSpaceDN w:val="0"/>
        <w:adjustRightInd w:val="0"/>
        <w:spacing w:after="0" w:line="240" w:lineRule="auto"/>
        <w:jc w:val="both"/>
        <w:rPr>
          <w:i/>
        </w:rPr>
      </w:pPr>
      <w:r w:rsidRPr="00A75AFC">
        <w:rPr>
          <w:i/>
        </w:rPr>
        <w:t xml:space="preserve">b) schodkový, jestliže je schodek možné uhradit finančními zůstatky na fondech z minulých let při zachování zůstatku rezervního fondu nejméně ve výši podle </w:t>
      </w:r>
      <w:hyperlink r:id="rId28" w:history="1">
        <w:r w:rsidRPr="00A75AFC">
          <w:rPr>
            <w:i/>
          </w:rPr>
          <w:t>§ 7 odst. 1 písm. b)</w:t>
        </w:r>
      </w:hyperlink>
      <w:r w:rsidRPr="00A75AFC">
        <w:rPr>
          <w:i/>
        </w:rPr>
        <w:t>; způsob úhrady schodku musí být v takovém zdra</w:t>
      </w:r>
      <w:r>
        <w:rPr>
          <w:i/>
        </w:rPr>
        <w:t xml:space="preserve">votně pojistném plánu vymezen. </w:t>
      </w:r>
    </w:p>
    <w:p w:rsidR="006E73FE" w:rsidRPr="00A75AFC" w:rsidRDefault="006E73FE" w:rsidP="006E73FE">
      <w:pPr>
        <w:widowControl w:val="0"/>
        <w:autoSpaceDE w:val="0"/>
        <w:autoSpaceDN w:val="0"/>
        <w:adjustRightInd w:val="0"/>
        <w:spacing w:after="0" w:line="240" w:lineRule="auto"/>
        <w:jc w:val="both"/>
        <w:rPr>
          <w:i/>
        </w:rPr>
      </w:pPr>
      <w:r w:rsidRPr="00A75AFC">
        <w:rPr>
          <w:i/>
        </w:rPr>
        <w:tab/>
        <w:t>(4) Pojišťovna hospodaří v souladu se schváleným zdravotně poji</w:t>
      </w:r>
      <w:r>
        <w:rPr>
          <w:i/>
        </w:rPr>
        <w:t xml:space="preserve">stným plánem nebo provizoriem. </w:t>
      </w:r>
    </w:p>
    <w:p w:rsidR="006E73FE" w:rsidRPr="006E73FE" w:rsidRDefault="006E73FE" w:rsidP="006E73FE">
      <w:pPr>
        <w:widowControl w:val="0"/>
        <w:autoSpaceDE w:val="0"/>
        <w:autoSpaceDN w:val="0"/>
        <w:adjustRightInd w:val="0"/>
        <w:spacing w:after="0" w:line="240" w:lineRule="auto"/>
        <w:jc w:val="both"/>
        <w:rPr>
          <w:i/>
        </w:rPr>
      </w:pPr>
      <w:r w:rsidRPr="00A75AFC">
        <w:rPr>
          <w:i/>
        </w:rPr>
        <w:tab/>
        <w:t>(5) Pojišťovna je povinna zajistit prostřednictvím auditora) nebo právnické osoby, která je zapsána v</w:t>
      </w:r>
      <w:r w:rsidR="00A20A86">
        <w:rPr>
          <w:i/>
        </w:rPr>
        <w:t> </w:t>
      </w:r>
      <w:r w:rsidRPr="00A75AFC">
        <w:rPr>
          <w:i/>
        </w:rPr>
        <w:t>seznamu auditorů)</w:t>
      </w:r>
      <w:r w:rsidRPr="006E73FE">
        <w:rPr>
          <w:i/>
        </w:rPr>
        <w:t xml:space="preserve">, (dále jen "auditor") </w:t>
      </w:r>
    </w:p>
    <w:p w:rsidR="006E73FE" w:rsidRPr="006E73FE" w:rsidRDefault="006E73FE" w:rsidP="006E73FE">
      <w:pPr>
        <w:widowControl w:val="0"/>
        <w:autoSpaceDE w:val="0"/>
        <w:autoSpaceDN w:val="0"/>
        <w:adjustRightInd w:val="0"/>
        <w:spacing w:after="0" w:line="240" w:lineRule="auto"/>
        <w:jc w:val="both"/>
        <w:rPr>
          <w:i/>
        </w:rPr>
      </w:pPr>
      <w:r w:rsidRPr="006E73FE">
        <w:rPr>
          <w:i/>
        </w:rPr>
        <w:t>a) ověření účetní zá</w:t>
      </w:r>
      <w:r>
        <w:rPr>
          <w:i/>
        </w:rPr>
        <w:t xml:space="preserve">věrky Pojišťovny, </w:t>
      </w:r>
    </w:p>
    <w:p w:rsidR="006E73FE" w:rsidRPr="006E73FE" w:rsidRDefault="006E73FE" w:rsidP="006E73FE">
      <w:pPr>
        <w:widowControl w:val="0"/>
        <w:autoSpaceDE w:val="0"/>
        <w:autoSpaceDN w:val="0"/>
        <w:adjustRightInd w:val="0"/>
        <w:spacing w:after="0" w:line="240" w:lineRule="auto"/>
        <w:jc w:val="both"/>
        <w:rPr>
          <w:i/>
        </w:rPr>
      </w:pPr>
      <w:r w:rsidRPr="006E73FE">
        <w:rPr>
          <w:i/>
        </w:rPr>
        <w:t>b) ověření návrhu výroční zpráv</w:t>
      </w:r>
      <w:r>
        <w:rPr>
          <w:i/>
        </w:rPr>
        <w:t xml:space="preserve">y Pojišťovny za příslušný rok. </w:t>
      </w:r>
    </w:p>
    <w:p w:rsidR="006E73FE" w:rsidRPr="006E73FE" w:rsidRDefault="006E73FE" w:rsidP="006E73FE">
      <w:pPr>
        <w:widowControl w:val="0"/>
        <w:autoSpaceDE w:val="0"/>
        <w:autoSpaceDN w:val="0"/>
        <w:adjustRightInd w:val="0"/>
        <w:spacing w:after="0" w:line="240" w:lineRule="auto"/>
        <w:jc w:val="both"/>
        <w:rPr>
          <w:i/>
        </w:rPr>
      </w:pPr>
      <w:r w:rsidRPr="006E73FE">
        <w:rPr>
          <w:i/>
        </w:rPr>
        <w:tab/>
        <w:t>(6) Pojišťovna je povinna v návaznosti na termíny stanovené jiným zákonem pro předkládání návrhu státního rozpočtu a státního závěrečného účtu předložit Ministerstvu zdravotnictví a Ministerstvu financí návrh zdravotně pojistného plánu na následující kalendářní rok, účetní závěrku, návrh výroční zprávy za minulý kalendářní rok včetně zprávy auditor</w:t>
      </w:r>
      <w:r>
        <w:rPr>
          <w:i/>
        </w:rPr>
        <w:t xml:space="preserve">a a pro informaci také výhled. </w:t>
      </w:r>
    </w:p>
    <w:p w:rsidR="006E73FE" w:rsidRPr="006E73FE" w:rsidRDefault="006E73FE" w:rsidP="006E73FE">
      <w:pPr>
        <w:widowControl w:val="0"/>
        <w:autoSpaceDE w:val="0"/>
        <w:autoSpaceDN w:val="0"/>
        <w:adjustRightInd w:val="0"/>
        <w:spacing w:after="0" w:line="240" w:lineRule="auto"/>
        <w:jc w:val="both"/>
        <w:rPr>
          <w:i/>
        </w:rPr>
      </w:pPr>
      <w:r w:rsidRPr="006E73FE">
        <w:rPr>
          <w:i/>
        </w:rPr>
        <w:tab/>
        <w:t>(7) Zdravotně pojistný plán a výhled obsahují údaje o Pojišťovně, plán příjmů a výdajů Pojišťovny včetně členění podle jednotlivých fondů, předpokládaný vývoj struktury pojištěnců, údaje o rozsahu hrazených služeb zajišťovaných Pojišťovnou, plán vývoje sítě smluvních poskytovatelů hrazených služeb včetně informace o</w:t>
      </w:r>
      <w:r w:rsidR="00A20A86">
        <w:rPr>
          <w:i/>
        </w:rPr>
        <w:t> </w:t>
      </w:r>
      <w:r w:rsidRPr="006E73FE">
        <w:rPr>
          <w:i/>
        </w:rPr>
        <w:t>zajištění dostupnosti hrazených služeb a plán provozních nákladů. Podrobnou strukturu obsahu informací podle věty první a způsob předkládání zdravotně pojistného plánu a výhledu stanoví Ministerstvo zdravotnictví společně s Ministerst</w:t>
      </w:r>
      <w:r>
        <w:rPr>
          <w:i/>
        </w:rPr>
        <w:t xml:space="preserve">vem financí vyhláškou. </w:t>
      </w:r>
    </w:p>
    <w:p w:rsidR="006E73FE" w:rsidRPr="006E73FE" w:rsidRDefault="006E73FE" w:rsidP="006E73FE">
      <w:pPr>
        <w:widowControl w:val="0"/>
        <w:autoSpaceDE w:val="0"/>
        <w:autoSpaceDN w:val="0"/>
        <w:adjustRightInd w:val="0"/>
        <w:spacing w:after="0" w:line="240" w:lineRule="auto"/>
        <w:jc w:val="both"/>
        <w:rPr>
          <w:i/>
        </w:rPr>
      </w:pPr>
      <w:r w:rsidRPr="006E73FE">
        <w:rPr>
          <w:i/>
        </w:rPr>
        <w:tab/>
        <w:t xml:space="preserve">(8) Ministerstvo zdravotnictví a Ministerstvo financí posoudí předložený návrh zdravotně pojistného plánu z hlediska souladu s právními předpisy a z hlediska souladu s veřejným zájmem podle </w:t>
      </w:r>
      <w:hyperlink r:id="rId29" w:history="1">
        <w:r w:rsidRPr="00A75AFC">
          <w:rPr>
            <w:i/>
          </w:rPr>
          <w:t>zákona o veřejném zdravotním pojištění</w:t>
        </w:r>
      </w:hyperlink>
      <w:r>
        <w:rPr>
          <w:i/>
        </w:rPr>
        <w:t xml:space="preserve">. </w:t>
      </w:r>
    </w:p>
    <w:p w:rsidR="006E73FE" w:rsidRPr="006E73FE" w:rsidRDefault="006E73FE" w:rsidP="006E73FE">
      <w:pPr>
        <w:widowControl w:val="0"/>
        <w:autoSpaceDE w:val="0"/>
        <w:autoSpaceDN w:val="0"/>
        <w:adjustRightInd w:val="0"/>
        <w:spacing w:after="0" w:line="240" w:lineRule="auto"/>
        <w:jc w:val="both"/>
        <w:rPr>
          <w:i/>
        </w:rPr>
      </w:pPr>
      <w:r w:rsidRPr="006E73FE">
        <w:rPr>
          <w:i/>
        </w:rPr>
        <w:tab/>
        <w:t xml:space="preserve">(9) V případě, kdy Ministerstvo zdravotnictví a Ministerstvo financí po posouzení souladu návrhu zdravotně pojistného plánu s právními předpisy a veřejným zájmem podle </w:t>
      </w:r>
      <w:hyperlink r:id="rId30" w:history="1">
        <w:r w:rsidRPr="00A75AFC">
          <w:rPr>
            <w:i/>
          </w:rPr>
          <w:t>zákona o veřejném zdravotním pojištění zjistí</w:t>
        </w:r>
      </w:hyperlink>
      <w:r w:rsidRPr="006E73FE">
        <w:rPr>
          <w:i/>
        </w:rPr>
        <w:t>, že návrh zdravotně pojistného plánu není s těmito hledisky v rozporu, předloží návrh zdr</w:t>
      </w:r>
      <w:r>
        <w:rPr>
          <w:i/>
        </w:rPr>
        <w:t xml:space="preserve">avotně pojistného plánu vládě. </w:t>
      </w:r>
    </w:p>
    <w:p w:rsidR="006E73FE" w:rsidRPr="006E73FE" w:rsidRDefault="006E73FE" w:rsidP="006E73FE">
      <w:pPr>
        <w:widowControl w:val="0"/>
        <w:autoSpaceDE w:val="0"/>
        <w:autoSpaceDN w:val="0"/>
        <w:adjustRightInd w:val="0"/>
        <w:spacing w:after="0" w:line="240" w:lineRule="auto"/>
        <w:jc w:val="both"/>
        <w:rPr>
          <w:i/>
        </w:rPr>
      </w:pPr>
      <w:r w:rsidRPr="006E73FE">
        <w:rPr>
          <w:i/>
        </w:rPr>
        <w:tab/>
        <w:t xml:space="preserve">(10) V případě, kdy Ministerstvo zdravotnictví a Ministerstvo financí zjistí, že návrh zdravotně pojistného plánu odporuje právním předpisům anebo veřejnému zájmu podle </w:t>
      </w:r>
      <w:hyperlink r:id="rId31" w:history="1">
        <w:r w:rsidRPr="00A75AFC">
          <w:rPr>
            <w:i/>
          </w:rPr>
          <w:t>zákona o veřejném zdravotním pojištění</w:t>
        </w:r>
      </w:hyperlink>
      <w:r w:rsidRPr="006E73FE">
        <w:rPr>
          <w:i/>
        </w:rPr>
        <w:t xml:space="preserve">, vrátí Pojišťovně návrh zdravotně pojistného plánu s výzvou k přepracování. Pojišťovna předloží přepracovaný návrh zdravotně pojistného plánu do 30 dnů ode dne doručení výzvy. </w:t>
      </w:r>
    </w:p>
    <w:p w:rsidR="006E73FE" w:rsidRPr="006E73FE" w:rsidRDefault="006E73FE" w:rsidP="006E73FE">
      <w:pPr>
        <w:widowControl w:val="0"/>
        <w:autoSpaceDE w:val="0"/>
        <w:autoSpaceDN w:val="0"/>
        <w:adjustRightInd w:val="0"/>
        <w:spacing w:after="0" w:line="240" w:lineRule="auto"/>
        <w:jc w:val="both"/>
        <w:rPr>
          <w:i/>
        </w:rPr>
      </w:pPr>
      <w:r w:rsidRPr="006E73FE">
        <w:rPr>
          <w:i/>
        </w:rPr>
        <w:tab/>
        <w:t>(11) Návrh zdravotně pojistného plánu, účetní závěrku a návrh výroční zprávy za minulý rok schvaluje na návrh vlády Poslanecká sněmovna Parlamentu v návaznosti na termíny projednávání návrhu státního rozpočt</w:t>
      </w:r>
      <w:r>
        <w:rPr>
          <w:i/>
        </w:rPr>
        <w:t xml:space="preserve">u </w:t>
      </w:r>
      <w:r>
        <w:rPr>
          <w:i/>
        </w:rPr>
        <w:lastRenderedPageBreak/>
        <w:t>a</w:t>
      </w:r>
      <w:r w:rsidR="00A20A86">
        <w:rPr>
          <w:i/>
        </w:rPr>
        <w:t> </w:t>
      </w:r>
      <w:r>
        <w:rPr>
          <w:i/>
        </w:rPr>
        <w:t xml:space="preserve">státního závěrečného účtu. </w:t>
      </w:r>
    </w:p>
    <w:p w:rsidR="006E73FE" w:rsidRPr="006E73FE" w:rsidRDefault="006E73FE" w:rsidP="006E73FE">
      <w:pPr>
        <w:widowControl w:val="0"/>
        <w:autoSpaceDE w:val="0"/>
        <w:autoSpaceDN w:val="0"/>
        <w:adjustRightInd w:val="0"/>
        <w:spacing w:after="0" w:line="240" w:lineRule="auto"/>
        <w:jc w:val="both"/>
        <w:rPr>
          <w:i/>
        </w:rPr>
      </w:pPr>
      <w:r w:rsidRPr="006E73FE">
        <w:rPr>
          <w:i/>
        </w:rPr>
        <w:tab/>
        <w:t>(12) Nebude-li zdravotně pojistný plán Pojišťovny schválen před 1. lednem příslušného kalendářního roku, řídí se činnost Pojišťovny do schválení zdravotně pojistného plánu provizoriem stanoveným Ministerstvem zdravotnictví v dohodě s Ministerstvem financí. Základem pro stanovení provizoria je návrh zdravotně pojistného plán</w:t>
      </w:r>
      <w:r>
        <w:rPr>
          <w:i/>
        </w:rPr>
        <w:t xml:space="preserve">u na příslušný kalendářní rok. </w:t>
      </w:r>
    </w:p>
    <w:p w:rsidR="006E73FE" w:rsidRPr="006E73FE" w:rsidRDefault="006E73FE" w:rsidP="006E73FE">
      <w:pPr>
        <w:widowControl w:val="0"/>
        <w:autoSpaceDE w:val="0"/>
        <w:autoSpaceDN w:val="0"/>
        <w:adjustRightInd w:val="0"/>
        <w:spacing w:after="0" w:line="240" w:lineRule="auto"/>
        <w:jc w:val="both"/>
        <w:rPr>
          <w:i/>
        </w:rPr>
      </w:pPr>
      <w:r w:rsidRPr="006E73FE">
        <w:rPr>
          <w:i/>
        </w:rPr>
        <w:tab/>
        <w:t xml:space="preserve">(13) Schválený zdravotně pojistný plán, nebo do schválení zdravotně pojistného plánu provizorium, výroční zprávu a účetní závěrku Pojišťovna zveřejní na </w:t>
      </w:r>
      <w:r>
        <w:rPr>
          <w:i/>
        </w:rPr>
        <w:t xml:space="preserve">svých internetových stránkách. </w:t>
      </w:r>
    </w:p>
    <w:p w:rsidR="006E73FE" w:rsidRPr="00040258" w:rsidRDefault="006E73FE" w:rsidP="006E73FE">
      <w:pPr>
        <w:widowControl w:val="0"/>
        <w:autoSpaceDE w:val="0"/>
        <w:autoSpaceDN w:val="0"/>
        <w:adjustRightInd w:val="0"/>
        <w:spacing w:after="0" w:line="240" w:lineRule="auto"/>
        <w:jc w:val="both"/>
        <w:rPr>
          <w:i/>
        </w:rPr>
      </w:pPr>
      <w:r w:rsidRPr="006E73FE">
        <w:rPr>
          <w:i/>
        </w:rPr>
        <w:tab/>
        <w:t xml:space="preserve">(14) Při uplatnění opatření podle </w:t>
      </w:r>
      <w:hyperlink r:id="rId32" w:history="1">
        <w:r w:rsidRPr="006E73FE">
          <w:rPr>
            <w:i/>
          </w:rPr>
          <w:t>zákona o pravidlech rozpočtové odpovědnosti</w:t>
        </w:r>
      </w:hyperlink>
      <w:r w:rsidRPr="006E73FE">
        <w:rPr>
          <w:i/>
        </w:rPr>
        <w:t xml:space="preserve"> může být zdravotně pojistný plán navržen podle odstavce 3 písm. b) jen v případě, že schodek bude možné uhradit nejvýše jednou třetinou finančních zůstatků Pojišťovny z minulých let nebo návratnou finanční výpomocí. </w:t>
      </w:r>
    </w:p>
    <w:p w:rsidR="00736238" w:rsidRPr="006A5473" w:rsidRDefault="00736238" w:rsidP="00AC25F3">
      <w:pPr>
        <w:pStyle w:val="Nadpis2"/>
      </w:pPr>
      <w:bookmarkStart w:id="84" w:name="_Toc63684688"/>
      <w:r w:rsidRPr="006A5473">
        <w:t>Zaměstnanecké zdravotní pojišťovny</w:t>
      </w:r>
      <w:bookmarkEnd w:id="84"/>
    </w:p>
    <w:p w:rsidR="00A75AFC" w:rsidRDefault="00736238" w:rsidP="00A75AFC">
      <w:pPr>
        <w:jc w:val="both"/>
      </w:pPr>
      <w:r w:rsidRPr="00040258">
        <w:t xml:space="preserve">Konkrétní zákonná úprava je k 1. 12. </w:t>
      </w:r>
      <w:r w:rsidR="006E73FE">
        <w:t>2020</w:t>
      </w:r>
      <w:r w:rsidR="006E73FE" w:rsidRPr="00040258">
        <w:t xml:space="preserve"> </w:t>
      </w:r>
      <w:r w:rsidRPr="00040258">
        <w:t xml:space="preserve">v případě ZZP uvedena v § 15 zákona č. 280/1992 Sb., o resortních, oborových, podnikových a dalších zdravotních pojišťovnách ve </w:t>
      </w:r>
      <w:r w:rsidR="00A75AFC">
        <w:t>znění pozdějších předpisů tato:</w:t>
      </w:r>
    </w:p>
    <w:p w:rsidR="00A75AFC" w:rsidRPr="00A75AFC" w:rsidRDefault="00A75AFC" w:rsidP="00A75AFC">
      <w:pPr>
        <w:spacing w:after="0"/>
        <w:jc w:val="both"/>
        <w:rPr>
          <w:i/>
        </w:rPr>
      </w:pPr>
      <w:r w:rsidRPr="00A75AFC">
        <w:rPr>
          <w:i/>
        </w:rPr>
        <w:t xml:space="preserve">(1) Zaměstnanecká pojišťovna každý kalendářní rok sestavuje zdravotně pojistný plán a výhled. Při sestavování zdravotně pojistného plánu se vychází z výhledu. </w:t>
      </w:r>
    </w:p>
    <w:p w:rsidR="00A75AFC" w:rsidRPr="00A75AFC" w:rsidRDefault="00A75AFC" w:rsidP="00A75AFC">
      <w:pPr>
        <w:spacing w:after="0"/>
        <w:jc w:val="both"/>
        <w:rPr>
          <w:i/>
        </w:rPr>
      </w:pPr>
      <w:r w:rsidRPr="00A75AFC">
        <w:rPr>
          <w:i/>
        </w:rPr>
        <w:tab/>
        <w:t xml:space="preserve">(2) Zdravotně pojistný plán je zpravidla sestavován jako vyrovnaný, přičemž vyrovnaným zdravotně pojistným plánem se pro účely tohoto zákona rozumí takový plán, ve kterém plánované výdaje nepřekračují součet plánovaných příjmů. </w:t>
      </w:r>
    </w:p>
    <w:p w:rsidR="00A75AFC" w:rsidRPr="00A75AFC" w:rsidRDefault="00A75AFC" w:rsidP="00A75AFC">
      <w:pPr>
        <w:spacing w:after="0"/>
        <w:jc w:val="both"/>
        <w:rPr>
          <w:i/>
        </w:rPr>
      </w:pPr>
      <w:r w:rsidRPr="00A75AFC">
        <w:rPr>
          <w:i/>
        </w:rPr>
        <w:tab/>
        <w:t xml:space="preserve">(3) Zdravotně pojistný plán může být sestaven jako </w:t>
      </w:r>
    </w:p>
    <w:p w:rsidR="00A75AFC" w:rsidRPr="00A75AFC" w:rsidRDefault="00A75AFC" w:rsidP="00A75AFC">
      <w:pPr>
        <w:spacing w:after="0"/>
        <w:jc w:val="both"/>
        <w:rPr>
          <w:i/>
        </w:rPr>
      </w:pPr>
      <w:r w:rsidRPr="00A75AFC">
        <w:rPr>
          <w:i/>
        </w:rPr>
        <w:t>a) přebytkový, jestliže je část příjmů daného roku určena k využití až v následujících letech; tyto příjmy musí být v</w:t>
      </w:r>
      <w:r w:rsidR="00A20A86">
        <w:rPr>
          <w:i/>
        </w:rPr>
        <w:t> </w:t>
      </w:r>
      <w:r w:rsidRPr="00A75AFC">
        <w:rPr>
          <w:i/>
        </w:rPr>
        <w:t xml:space="preserve">takovém zdravotně pojistném plánu vymezeny, nebo </w:t>
      </w:r>
    </w:p>
    <w:p w:rsidR="00A75AFC" w:rsidRPr="00A75AFC" w:rsidRDefault="00A75AFC" w:rsidP="00A75AFC">
      <w:pPr>
        <w:spacing w:after="0"/>
        <w:jc w:val="both"/>
        <w:rPr>
          <w:i/>
        </w:rPr>
      </w:pPr>
      <w:r w:rsidRPr="00A75AFC">
        <w:rPr>
          <w:i/>
        </w:rPr>
        <w:t xml:space="preserve">b) schodkový, jestliže je schodek možné uhradit finančními zůstatky na fondech z minulých let při zachování zůstatku rezervního fondu nejméně ve výši podle </w:t>
      </w:r>
      <w:hyperlink r:id="rId33" w:history="1">
        <w:r w:rsidRPr="00A75AFC">
          <w:rPr>
            <w:i/>
          </w:rPr>
          <w:t>§ 18 odst. 1</w:t>
        </w:r>
      </w:hyperlink>
      <w:r w:rsidRPr="00A75AFC">
        <w:rPr>
          <w:i/>
        </w:rPr>
        <w:t xml:space="preserve">; způsob úhrady musí být v takovém zdravotně pojistném plánu vymezen. </w:t>
      </w:r>
    </w:p>
    <w:p w:rsidR="00A75AFC" w:rsidRPr="00A75AFC" w:rsidRDefault="00A75AFC" w:rsidP="00A75AFC">
      <w:pPr>
        <w:spacing w:after="0"/>
        <w:jc w:val="both"/>
        <w:rPr>
          <w:i/>
        </w:rPr>
      </w:pPr>
      <w:r w:rsidRPr="00A75AFC">
        <w:rPr>
          <w:i/>
        </w:rPr>
        <w:tab/>
        <w:t xml:space="preserve">(4) Zaměstnanecká pojišťovna hospodaří v souladu se schváleným zdravotně pojistným plánem nebo provizoriem. </w:t>
      </w:r>
    </w:p>
    <w:p w:rsidR="00A75AFC" w:rsidRPr="00A75AFC" w:rsidRDefault="00A75AFC" w:rsidP="00A75AFC">
      <w:pPr>
        <w:spacing w:after="0"/>
        <w:jc w:val="both"/>
        <w:rPr>
          <w:i/>
        </w:rPr>
      </w:pPr>
      <w:r w:rsidRPr="00A75AFC">
        <w:rPr>
          <w:i/>
        </w:rPr>
        <w:tab/>
        <w:t xml:space="preserve">(5) Zaměstnanecká pojišťovna je povinna zajistit prostřednictvím auditora nebo právnické osoby, která je zapsána v seznamu auditorů, (dále jen "auditor") </w:t>
      </w:r>
    </w:p>
    <w:p w:rsidR="00A75AFC" w:rsidRPr="00A75AFC" w:rsidRDefault="00A75AFC" w:rsidP="00A75AFC">
      <w:pPr>
        <w:spacing w:after="0"/>
        <w:jc w:val="both"/>
        <w:rPr>
          <w:i/>
        </w:rPr>
      </w:pPr>
      <w:r w:rsidRPr="00A75AFC">
        <w:rPr>
          <w:i/>
        </w:rPr>
        <w:t xml:space="preserve">a) ověření účetní závěrky zaměstnanecké pojišťovny, </w:t>
      </w:r>
    </w:p>
    <w:p w:rsidR="00A75AFC" w:rsidRPr="00A75AFC" w:rsidRDefault="00A75AFC" w:rsidP="00A75AFC">
      <w:pPr>
        <w:spacing w:after="0"/>
        <w:jc w:val="both"/>
        <w:rPr>
          <w:i/>
        </w:rPr>
      </w:pPr>
      <w:r w:rsidRPr="00A75AFC">
        <w:rPr>
          <w:i/>
        </w:rPr>
        <w:t xml:space="preserve">b) ověření návrhu výroční zprávy zaměstnanecké pojišťovny za příslušný rok. </w:t>
      </w:r>
    </w:p>
    <w:p w:rsidR="00A75AFC" w:rsidRPr="00A75AFC" w:rsidRDefault="00A75AFC" w:rsidP="00A75AFC">
      <w:pPr>
        <w:spacing w:after="0"/>
        <w:jc w:val="both"/>
        <w:rPr>
          <w:i/>
        </w:rPr>
      </w:pPr>
      <w:r w:rsidRPr="00A75AFC">
        <w:rPr>
          <w:i/>
        </w:rPr>
        <w:tab/>
        <w:t>(6) Zaměstnanecká pojišťovna je povinna v návaznosti na termíny stanovené jiným zákonem pro předkládání návrhu státního rozpočtu a státního závěrečného účtu předložit Ministerstvu zdravotnictví a</w:t>
      </w:r>
      <w:r w:rsidR="00A20A86">
        <w:rPr>
          <w:i/>
        </w:rPr>
        <w:t> </w:t>
      </w:r>
      <w:r w:rsidRPr="00A75AFC">
        <w:rPr>
          <w:i/>
        </w:rPr>
        <w:t xml:space="preserve">Ministerstvu financí návrh zdravotně pojistného plánu na následující kalendářní rok, účetní závěrku, návrh výroční zprávy za minulý kalendářní rok včetně zprávy auditora a pro informaci také výhled. </w:t>
      </w:r>
    </w:p>
    <w:p w:rsidR="00A75AFC" w:rsidRPr="00A75AFC" w:rsidRDefault="00A75AFC" w:rsidP="00A75AFC">
      <w:pPr>
        <w:spacing w:after="0"/>
        <w:jc w:val="both"/>
        <w:rPr>
          <w:i/>
        </w:rPr>
      </w:pPr>
      <w:r w:rsidRPr="00A75AFC">
        <w:rPr>
          <w:i/>
        </w:rPr>
        <w:tab/>
        <w:t xml:space="preserve">(7) Zdravotně pojistný plán a výhled obsahují údaje o zaměstnanecké pojišťovně, plán příjmů a výdajů zaměstnanecké pojišťovny včetně členění podle jednotlivých fondů, předpokládaný vývoj struktury pojištěnců, údaje o rozsahu hrazených služeb zajišťovaných zaměstnaneckou pojišťovnou, plán vývoje sítě smluvních poskytovatelů hrazených služeb včetně informace o zajištění dostupnosti hrazených služeb a plán provozních nákladů. Podrobnou strukturu obsahu informací podle věty první a způsob předkládání zdravotně pojistného plánu a výhledu stanoví Ministerstvo zdravotnictví společně s Ministerstvem financí vyhláškou. </w:t>
      </w:r>
    </w:p>
    <w:p w:rsidR="00A75AFC" w:rsidRPr="00A75AFC" w:rsidRDefault="00A75AFC" w:rsidP="00A75AFC">
      <w:pPr>
        <w:spacing w:after="0"/>
        <w:jc w:val="both"/>
        <w:rPr>
          <w:i/>
        </w:rPr>
      </w:pPr>
      <w:r w:rsidRPr="00A75AFC">
        <w:rPr>
          <w:i/>
        </w:rPr>
        <w:tab/>
        <w:t xml:space="preserve">(8) Ministerstvo zdravotnictví a Ministerstvo financí posoudí předložený návrh zdravotně pojistného plánu z hlediska souladu s právními předpisy a z hlediska souladu s veřejným zájmem podle </w:t>
      </w:r>
      <w:hyperlink r:id="rId34" w:history="1">
        <w:r w:rsidRPr="00A75AFC">
          <w:rPr>
            <w:i/>
          </w:rPr>
          <w:t>zákona o veřejném zdravotním pojištění</w:t>
        </w:r>
      </w:hyperlink>
      <w:r w:rsidRPr="00A75AFC">
        <w:rPr>
          <w:i/>
        </w:rPr>
        <w:t xml:space="preserve">. </w:t>
      </w:r>
    </w:p>
    <w:p w:rsidR="00A75AFC" w:rsidRPr="00A75AFC" w:rsidRDefault="00A75AFC" w:rsidP="00A75AFC">
      <w:pPr>
        <w:spacing w:after="0"/>
        <w:jc w:val="both"/>
        <w:rPr>
          <w:i/>
        </w:rPr>
      </w:pPr>
      <w:r w:rsidRPr="00A75AFC">
        <w:rPr>
          <w:i/>
        </w:rPr>
        <w:tab/>
        <w:t xml:space="preserve">(9) V případě, kdy Ministerstvo zdravotnictví a Ministerstvo financí po posouzení souladu návrhu zdravotně pojistného plánu s právními předpisy a veřejným zájmem podle </w:t>
      </w:r>
      <w:hyperlink r:id="rId35" w:history="1">
        <w:r w:rsidRPr="00A75AFC">
          <w:rPr>
            <w:i/>
          </w:rPr>
          <w:t xml:space="preserve">zákona o veřejném zdravotním </w:t>
        </w:r>
        <w:r w:rsidRPr="00A75AFC">
          <w:rPr>
            <w:i/>
          </w:rPr>
          <w:lastRenderedPageBreak/>
          <w:t>pojištění</w:t>
        </w:r>
      </w:hyperlink>
      <w:r w:rsidRPr="00A75AFC">
        <w:rPr>
          <w:i/>
        </w:rPr>
        <w:t xml:space="preserve"> zjistí, že návrh zdravotně pojistného plánu není s těmito hledisky v rozporu, předloží návrh zdravotně pojistného plánu vládě. </w:t>
      </w:r>
    </w:p>
    <w:p w:rsidR="00A75AFC" w:rsidRPr="00A75AFC" w:rsidRDefault="00A75AFC" w:rsidP="00A75AFC">
      <w:pPr>
        <w:spacing w:after="0"/>
        <w:jc w:val="both"/>
        <w:rPr>
          <w:i/>
        </w:rPr>
      </w:pPr>
      <w:r w:rsidRPr="00A75AFC">
        <w:rPr>
          <w:i/>
        </w:rPr>
        <w:tab/>
        <w:t xml:space="preserve">(10) V případě, kdy Ministerstvo zdravotnictví a Ministerstvo financí zjistí, že návrh zdravotně pojistného plánu odporuje právním předpisům anebo veřejnému zájmu podle </w:t>
      </w:r>
      <w:hyperlink r:id="rId36" w:history="1">
        <w:r w:rsidRPr="00A75AFC">
          <w:rPr>
            <w:i/>
          </w:rPr>
          <w:t>zákona o veřejném zdravotním pojištění</w:t>
        </w:r>
      </w:hyperlink>
      <w:r w:rsidRPr="00A75AFC">
        <w:rPr>
          <w:i/>
        </w:rPr>
        <w:t xml:space="preserve">, vrátí zaměstnanecké pojišťovně návrh zdravotně pojistného plánu s výzvou k přepracování. Zaměstnanecká pojišťovna předloží přepracovaný návrh zdravotně pojistného plánu do 30 dnů ode dne doručení výzvy. </w:t>
      </w:r>
    </w:p>
    <w:p w:rsidR="00A75AFC" w:rsidRPr="00A75AFC" w:rsidRDefault="00A75AFC" w:rsidP="00A75AFC">
      <w:pPr>
        <w:spacing w:after="0"/>
        <w:jc w:val="both"/>
        <w:rPr>
          <w:i/>
        </w:rPr>
      </w:pPr>
      <w:r w:rsidRPr="00A75AFC">
        <w:rPr>
          <w:i/>
        </w:rPr>
        <w:tab/>
        <w:t>(11) Návrh zdravotně pojistného plánu, účetní závěrku a návrh výroční zprávy za minulý rok schvaluje na návrh vlády Poslanecká sněmovna Parlamentu v návaznosti na termíny projednávání návrhu státního rozpočtu a</w:t>
      </w:r>
      <w:r w:rsidR="00A20A86">
        <w:rPr>
          <w:i/>
        </w:rPr>
        <w:t> </w:t>
      </w:r>
      <w:r w:rsidRPr="00A75AFC">
        <w:rPr>
          <w:i/>
        </w:rPr>
        <w:t xml:space="preserve">státního závěrečného účtu. </w:t>
      </w:r>
    </w:p>
    <w:p w:rsidR="00A75AFC" w:rsidRPr="00A75AFC" w:rsidRDefault="00A75AFC" w:rsidP="00A75AFC">
      <w:pPr>
        <w:spacing w:after="0"/>
        <w:jc w:val="both"/>
        <w:rPr>
          <w:i/>
        </w:rPr>
      </w:pPr>
      <w:r w:rsidRPr="00A75AFC">
        <w:rPr>
          <w:i/>
        </w:rPr>
        <w:tab/>
        <w:t xml:space="preserve">(12) Nebude-li zdravotně pojistný plán zaměstnanecké pojišťovny schválen před 1. lednem příslušného kalendářního roku, řídí se činnost zaměstnanecké pojišťovny do schválení zdravotně pojistného plánu provizoriem stanoveným Ministerstvem zdravotnictví v dohodě s Ministerstvem financí. Základem pro stanovení provizoria je návrh zdravotně pojistného plánu na příslušný kalendářní rok. </w:t>
      </w:r>
    </w:p>
    <w:p w:rsidR="00A75AFC" w:rsidRPr="00A75AFC" w:rsidRDefault="00A75AFC" w:rsidP="00A75AFC">
      <w:pPr>
        <w:spacing w:after="0"/>
        <w:jc w:val="both"/>
        <w:rPr>
          <w:i/>
        </w:rPr>
      </w:pPr>
      <w:r w:rsidRPr="00A75AFC">
        <w:rPr>
          <w:i/>
        </w:rPr>
        <w:tab/>
        <w:t xml:space="preserve">(13) Schválený zdravotně pojistný plán, nebo do schválení zdravotně pojistného plánu provizorium, výroční zprávu a účetní závěrku zaměstnanecká pojišťovna zveřejní na svých internetových stránkách. </w:t>
      </w:r>
    </w:p>
    <w:p w:rsidR="00A75AFC" w:rsidRDefault="00A75AFC" w:rsidP="00A75AFC">
      <w:pPr>
        <w:spacing w:after="0"/>
        <w:jc w:val="both"/>
        <w:rPr>
          <w:i/>
        </w:rPr>
      </w:pPr>
      <w:r w:rsidRPr="00A75AFC">
        <w:rPr>
          <w:i/>
        </w:rPr>
        <w:tab/>
        <w:t xml:space="preserve">(14) Při uplatnění opatření podle </w:t>
      </w:r>
      <w:hyperlink r:id="rId37" w:history="1">
        <w:r w:rsidRPr="00A75AFC">
          <w:rPr>
            <w:i/>
          </w:rPr>
          <w:t>zákona o pravidlech rozpočtové odpovědnosti</w:t>
        </w:r>
      </w:hyperlink>
      <w:r w:rsidRPr="00A75AFC">
        <w:rPr>
          <w:i/>
        </w:rPr>
        <w:t xml:space="preserve"> může být zdravotně pojistný plán navržen podle odstavce 3 písm. b) jen v případě, že schodek bude možné uhradit nejvýše jednou třetinou finančních zůstatků zaměstnanecké pojišťovny z minulých let nebo návratnou finanční výpomocí. </w:t>
      </w:r>
    </w:p>
    <w:p w:rsidR="00887B9E" w:rsidRPr="00A75AFC" w:rsidRDefault="00887B9E" w:rsidP="00A75AFC">
      <w:pPr>
        <w:jc w:val="both"/>
      </w:pPr>
      <w:r>
        <w:rPr>
          <w:i/>
        </w:rPr>
        <w:br w:type="page"/>
      </w:r>
    </w:p>
    <w:p w:rsidR="00436F6E" w:rsidRPr="00AF37E6" w:rsidRDefault="00436F6E" w:rsidP="00436F6E">
      <w:pPr>
        <w:pStyle w:val="Nadpis1"/>
      </w:pPr>
      <w:bookmarkStart w:id="85" w:name="_Toc63684689"/>
      <w:r>
        <w:lastRenderedPageBreak/>
        <w:t>Seznam grafů a tabulek</w:t>
      </w:r>
      <w:r w:rsidR="00111366">
        <w:t xml:space="preserve"> v tomto dokumentu</w:t>
      </w:r>
      <w:bookmarkEnd w:id="85"/>
    </w:p>
    <w:p w:rsidR="00436F6E" w:rsidRDefault="00436F6E" w:rsidP="00AC25F3">
      <w:pPr>
        <w:pStyle w:val="Nadpis2"/>
      </w:pPr>
      <w:bookmarkStart w:id="86" w:name="_Toc63684690"/>
      <w:r>
        <w:t>Grafy</w:t>
      </w:r>
      <w:bookmarkEnd w:id="86"/>
    </w:p>
    <w:p w:rsidR="00607153" w:rsidRDefault="008E5E29">
      <w:pPr>
        <w:pStyle w:val="Seznamobrzk"/>
        <w:tabs>
          <w:tab w:val="right" w:leader="dot" w:pos="9628"/>
        </w:tabs>
        <w:rPr>
          <w:rFonts w:eastAsiaTheme="minorEastAsia"/>
          <w:noProof/>
          <w:sz w:val="22"/>
          <w:lang w:eastAsia="cs-CZ"/>
        </w:rPr>
      </w:pPr>
      <w:r>
        <w:fldChar w:fldCharType="begin"/>
      </w:r>
      <w:r w:rsidR="00466CEC">
        <w:instrText xml:space="preserve"> TOC \h \z \c "Graf" </w:instrText>
      </w:r>
      <w:r>
        <w:fldChar w:fldCharType="separate"/>
      </w:r>
      <w:hyperlink w:anchor="_Toc63685281" w:history="1">
        <w:r w:rsidR="00607153" w:rsidRPr="006A6240">
          <w:rPr>
            <w:rStyle w:val="Hypertextovodkaz"/>
            <w:noProof/>
            <w:lang w:bidi="hi-IN"/>
          </w:rPr>
          <w:t>Graf č. 1: Vývoj příjmů a výdajů systému v. z. p. (mld. Kč)</w:t>
        </w:r>
        <w:r w:rsidR="00607153">
          <w:rPr>
            <w:noProof/>
            <w:webHidden/>
          </w:rPr>
          <w:tab/>
        </w:r>
        <w:r w:rsidR="00607153">
          <w:rPr>
            <w:noProof/>
            <w:webHidden/>
          </w:rPr>
          <w:fldChar w:fldCharType="begin"/>
        </w:r>
        <w:r w:rsidR="00607153">
          <w:rPr>
            <w:noProof/>
            <w:webHidden/>
          </w:rPr>
          <w:instrText xml:space="preserve"> PAGEREF _Toc63685281 \h </w:instrText>
        </w:r>
        <w:r w:rsidR="00607153">
          <w:rPr>
            <w:noProof/>
            <w:webHidden/>
          </w:rPr>
        </w:r>
        <w:r w:rsidR="00607153">
          <w:rPr>
            <w:noProof/>
            <w:webHidden/>
          </w:rPr>
          <w:fldChar w:fldCharType="separate"/>
        </w:r>
        <w:r w:rsidR="00607153">
          <w:rPr>
            <w:noProof/>
            <w:webHidden/>
          </w:rPr>
          <w:t>9</w:t>
        </w:r>
        <w:r w:rsidR="00607153">
          <w:rPr>
            <w:noProof/>
            <w:webHidden/>
          </w:rPr>
          <w:fldChar w:fldCharType="end"/>
        </w:r>
      </w:hyperlink>
    </w:p>
    <w:p w:rsidR="00607153" w:rsidRDefault="00904B42">
      <w:pPr>
        <w:pStyle w:val="Seznamobrzk"/>
        <w:tabs>
          <w:tab w:val="right" w:leader="dot" w:pos="9628"/>
        </w:tabs>
        <w:rPr>
          <w:rFonts w:eastAsiaTheme="minorEastAsia"/>
          <w:noProof/>
          <w:sz w:val="22"/>
          <w:lang w:eastAsia="cs-CZ"/>
        </w:rPr>
      </w:pPr>
      <w:hyperlink w:anchor="_Toc63685282" w:history="1">
        <w:r w:rsidR="00607153" w:rsidRPr="006A6240">
          <w:rPr>
            <w:rStyle w:val="Hypertextovodkaz"/>
            <w:noProof/>
            <w:lang w:bidi="hi-IN"/>
          </w:rPr>
          <w:t>Graf č. 2: Saldo příjmů a výdajů systému v. z. p. (mld. Kč)</w:t>
        </w:r>
        <w:r w:rsidR="00607153">
          <w:rPr>
            <w:noProof/>
            <w:webHidden/>
          </w:rPr>
          <w:tab/>
        </w:r>
        <w:r w:rsidR="00607153">
          <w:rPr>
            <w:noProof/>
            <w:webHidden/>
          </w:rPr>
          <w:fldChar w:fldCharType="begin"/>
        </w:r>
        <w:r w:rsidR="00607153">
          <w:rPr>
            <w:noProof/>
            <w:webHidden/>
          </w:rPr>
          <w:instrText xml:space="preserve"> PAGEREF _Toc63685282 \h </w:instrText>
        </w:r>
        <w:r w:rsidR="00607153">
          <w:rPr>
            <w:noProof/>
            <w:webHidden/>
          </w:rPr>
        </w:r>
        <w:r w:rsidR="00607153">
          <w:rPr>
            <w:noProof/>
            <w:webHidden/>
          </w:rPr>
          <w:fldChar w:fldCharType="separate"/>
        </w:r>
        <w:r w:rsidR="00607153">
          <w:rPr>
            <w:noProof/>
            <w:webHidden/>
          </w:rPr>
          <w:t>10</w:t>
        </w:r>
        <w:r w:rsidR="00607153">
          <w:rPr>
            <w:noProof/>
            <w:webHidden/>
          </w:rPr>
          <w:fldChar w:fldCharType="end"/>
        </w:r>
      </w:hyperlink>
    </w:p>
    <w:p w:rsidR="00607153" w:rsidRDefault="00904B42">
      <w:pPr>
        <w:pStyle w:val="Seznamobrzk"/>
        <w:tabs>
          <w:tab w:val="right" w:leader="dot" w:pos="9628"/>
        </w:tabs>
        <w:rPr>
          <w:rFonts w:eastAsiaTheme="minorEastAsia"/>
          <w:noProof/>
          <w:sz w:val="22"/>
          <w:lang w:eastAsia="cs-CZ"/>
        </w:rPr>
      </w:pPr>
      <w:hyperlink w:anchor="_Toc63685283" w:history="1">
        <w:r w:rsidR="00607153" w:rsidRPr="006A6240">
          <w:rPr>
            <w:rStyle w:val="Hypertextovodkaz"/>
            <w:noProof/>
            <w:lang w:bidi="hi-IN"/>
          </w:rPr>
          <w:t>Graf č. 3: Plánované saldo příjmů a výdajů 2020 a 2021 (mld. Kč)</w:t>
        </w:r>
        <w:r w:rsidR="00607153">
          <w:rPr>
            <w:noProof/>
            <w:webHidden/>
          </w:rPr>
          <w:tab/>
        </w:r>
        <w:r w:rsidR="00607153">
          <w:rPr>
            <w:noProof/>
            <w:webHidden/>
          </w:rPr>
          <w:fldChar w:fldCharType="begin"/>
        </w:r>
        <w:r w:rsidR="00607153">
          <w:rPr>
            <w:noProof/>
            <w:webHidden/>
          </w:rPr>
          <w:instrText xml:space="preserve"> PAGEREF _Toc63685283 \h </w:instrText>
        </w:r>
        <w:r w:rsidR="00607153">
          <w:rPr>
            <w:noProof/>
            <w:webHidden/>
          </w:rPr>
        </w:r>
        <w:r w:rsidR="00607153">
          <w:rPr>
            <w:noProof/>
            <w:webHidden/>
          </w:rPr>
          <w:fldChar w:fldCharType="separate"/>
        </w:r>
        <w:r w:rsidR="00607153">
          <w:rPr>
            <w:noProof/>
            <w:webHidden/>
          </w:rPr>
          <w:t>10</w:t>
        </w:r>
        <w:r w:rsidR="00607153">
          <w:rPr>
            <w:noProof/>
            <w:webHidden/>
          </w:rPr>
          <w:fldChar w:fldCharType="end"/>
        </w:r>
      </w:hyperlink>
    </w:p>
    <w:p w:rsidR="00607153" w:rsidRDefault="00904B42">
      <w:pPr>
        <w:pStyle w:val="Seznamobrzk"/>
        <w:tabs>
          <w:tab w:val="right" w:leader="dot" w:pos="9628"/>
        </w:tabs>
        <w:rPr>
          <w:rFonts w:eastAsiaTheme="minorEastAsia"/>
          <w:noProof/>
          <w:sz w:val="22"/>
          <w:lang w:eastAsia="cs-CZ"/>
        </w:rPr>
      </w:pPr>
      <w:hyperlink w:anchor="_Toc63685284" w:history="1">
        <w:r w:rsidR="00607153" w:rsidRPr="006A6240">
          <w:rPr>
            <w:rStyle w:val="Hypertextovodkaz"/>
            <w:noProof/>
            <w:lang w:bidi="hi-IN"/>
          </w:rPr>
          <w:t>Graf č. 4: Plánovaná finanční zásoba na BÚ ZFZP ve dnech výdajů na zdravotní služby v letech 2020 a 2021</w:t>
        </w:r>
        <w:r w:rsidR="00607153">
          <w:rPr>
            <w:noProof/>
            <w:webHidden/>
          </w:rPr>
          <w:tab/>
        </w:r>
        <w:r w:rsidR="00607153">
          <w:rPr>
            <w:noProof/>
            <w:webHidden/>
          </w:rPr>
          <w:fldChar w:fldCharType="begin"/>
        </w:r>
        <w:r w:rsidR="00607153">
          <w:rPr>
            <w:noProof/>
            <w:webHidden/>
          </w:rPr>
          <w:instrText xml:space="preserve"> PAGEREF _Toc63685284 \h </w:instrText>
        </w:r>
        <w:r w:rsidR="00607153">
          <w:rPr>
            <w:noProof/>
            <w:webHidden/>
          </w:rPr>
        </w:r>
        <w:r w:rsidR="00607153">
          <w:rPr>
            <w:noProof/>
            <w:webHidden/>
          </w:rPr>
          <w:fldChar w:fldCharType="separate"/>
        </w:r>
        <w:r w:rsidR="00607153">
          <w:rPr>
            <w:noProof/>
            <w:webHidden/>
          </w:rPr>
          <w:t>13</w:t>
        </w:r>
        <w:r w:rsidR="00607153">
          <w:rPr>
            <w:noProof/>
            <w:webHidden/>
          </w:rPr>
          <w:fldChar w:fldCharType="end"/>
        </w:r>
      </w:hyperlink>
    </w:p>
    <w:p w:rsidR="00607153" w:rsidRDefault="00904B42">
      <w:pPr>
        <w:pStyle w:val="Seznamobrzk"/>
        <w:tabs>
          <w:tab w:val="right" w:leader="dot" w:pos="9628"/>
        </w:tabs>
        <w:rPr>
          <w:rFonts w:eastAsiaTheme="minorEastAsia"/>
          <w:noProof/>
          <w:sz w:val="22"/>
          <w:lang w:eastAsia="cs-CZ"/>
        </w:rPr>
      </w:pPr>
      <w:hyperlink w:anchor="_Toc63685285" w:history="1">
        <w:r w:rsidR="00607153" w:rsidRPr="006A6240">
          <w:rPr>
            <w:rStyle w:val="Hypertextovodkaz"/>
            <w:noProof/>
            <w:lang w:bidi="hi-IN"/>
          </w:rPr>
          <w:t>Graf č. 5: Zůstatky zdravotních pojišťoven</w:t>
        </w:r>
        <w:r w:rsidR="00607153">
          <w:rPr>
            <w:noProof/>
            <w:webHidden/>
          </w:rPr>
          <w:tab/>
        </w:r>
        <w:r w:rsidR="00607153">
          <w:rPr>
            <w:noProof/>
            <w:webHidden/>
          </w:rPr>
          <w:fldChar w:fldCharType="begin"/>
        </w:r>
        <w:r w:rsidR="00607153">
          <w:rPr>
            <w:noProof/>
            <w:webHidden/>
          </w:rPr>
          <w:instrText xml:space="preserve"> PAGEREF _Toc63685285 \h </w:instrText>
        </w:r>
        <w:r w:rsidR="00607153">
          <w:rPr>
            <w:noProof/>
            <w:webHidden/>
          </w:rPr>
        </w:r>
        <w:r w:rsidR="00607153">
          <w:rPr>
            <w:noProof/>
            <w:webHidden/>
          </w:rPr>
          <w:fldChar w:fldCharType="separate"/>
        </w:r>
        <w:r w:rsidR="00607153">
          <w:rPr>
            <w:noProof/>
            <w:webHidden/>
          </w:rPr>
          <w:t>14</w:t>
        </w:r>
        <w:r w:rsidR="00607153">
          <w:rPr>
            <w:noProof/>
            <w:webHidden/>
          </w:rPr>
          <w:fldChar w:fldCharType="end"/>
        </w:r>
      </w:hyperlink>
    </w:p>
    <w:p w:rsidR="00607153" w:rsidRDefault="00904B42">
      <w:pPr>
        <w:pStyle w:val="Seznamobrzk"/>
        <w:tabs>
          <w:tab w:val="right" w:leader="dot" w:pos="9628"/>
        </w:tabs>
        <w:rPr>
          <w:rFonts w:eastAsiaTheme="minorEastAsia"/>
          <w:noProof/>
          <w:sz w:val="22"/>
          <w:lang w:eastAsia="cs-CZ"/>
        </w:rPr>
      </w:pPr>
      <w:hyperlink w:anchor="_Toc63685286" w:history="1">
        <w:r w:rsidR="00607153" w:rsidRPr="006A6240">
          <w:rPr>
            <w:rStyle w:val="Hypertextovodkaz"/>
            <w:noProof/>
            <w:lang w:bidi="hi-IN"/>
          </w:rPr>
          <w:t>Graf č. 6: Stav peněžních prostředků jednotlivých ZP k 31. 12. 2020 a 31. 12. 2021</w:t>
        </w:r>
        <w:r w:rsidR="00607153">
          <w:rPr>
            <w:noProof/>
            <w:webHidden/>
          </w:rPr>
          <w:tab/>
        </w:r>
        <w:r w:rsidR="00607153">
          <w:rPr>
            <w:noProof/>
            <w:webHidden/>
          </w:rPr>
          <w:fldChar w:fldCharType="begin"/>
        </w:r>
        <w:r w:rsidR="00607153">
          <w:rPr>
            <w:noProof/>
            <w:webHidden/>
          </w:rPr>
          <w:instrText xml:space="preserve"> PAGEREF _Toc63685286 \h </w:instrText>
        </w:r>
        <w:r w:rsidR="00607153">
          <w:rPr>
            <w:noProof/>
            <w:webHidden/>
          </w:rPr>
        </w:r>
        <w:r w:rsidR="00607153">
          <w:rPr>
            <w:noProof/>
            <w:webHidden/>
          </w:rPr>
          <w:fldChar w:fldCharType="separate"/>
        </w:r>
        <w:r w:rsidR="00607153">
          <w:rPr>
            <w:noProof/>
            <w:webHidden/>
          </w:rPr>
          <w:t>15</w:t>
        </w:r>
        <w:r w:rsidR="00607153">
          <w:rPr>
            <w:noProof/>
            <w:webHidden/>
          </w:rPr>
          <w:fldChar w:fldCharType="end"/>
        </w:r>
      </w:hyperlink>
    </w:p>
    <w:p w:rsidR="00607153" w:rsidRDefault="00904B42">
      <w:pPr>
        <w:pStyle w:val="Seznamobrzk"/>
        <w:tabs>
          <w:tab w:val="right" w:leader="dot" w:pos="9628"/>
        </w:tabs>
        <w:rPr>
          <w:rFonts w:eastAsiaTheme="minorEastAsia"/>
          <w:noProof/>
          <w:sz w:val="22"/>
          <w:lang w:eastAsia="cs-CZ"/>
        </w:rPr>
      </w:pPr>
      <w:hyperlink w:anchor="_Toc63685287" w:history="1">
        <w:r w:rsidR="00607153" w:rsidRPr="006A6240">
          <w:rPr>
            <w:rStyle w:val="Hypertextovodkaz"/>
            <w:noProof/>
            <w:lang w:bidi="hi-IN"/>
          </w:rPr>
          <w:t>Graf č. 7: Vývoj salda příjmů a výdajů celkem (bez vlivu JČ) v letech 2020–2023 (v mld. Kč)</w:t>
        </w:r>
        <w:r w:rsidR="00607153">
          <w:rPr>
            <w:noProof/>
            <w:webHidden/>
          </w:rPr>
          <w:tab/>
        </w:r>
        <w:r w:rsidR="00607153">
          <w:rPr>
            <w:noProof/>
            <w:webHidden/>
          </w:rPr>
          <w:fldChar w:fldCharType="begin"/>
        </w:r>
        <w:r w:rsidR="00607153">
          <w:rPr>
            <w:noProof/>
            <w:webHidden/>
          </w:rPr>
          <w:instrText xml:space="preserve"> PAGEREF _Toc63685287 \h </w:instrText>
        </w:r>
        <w:r w:rsidR="00607153">
          <w:rPr>
            <w:noProof/>
            <w:webHidden/>
          </w:rPr>
        </w:r>
        <w:r w:rsidR="00607153">
          <w:rPr>
            <w:noProof/>
            <w:webHidden/>
          </w:rPr>
          <w:fldChar w:fldCharType="separate"/>
        </w:r>
        <w:r w:rsidR="00607153">
          <w:rPr>
            <w:noProof/>
            <w:webHidden/>
          </w:rPr>
          <w:t>16</w:t>
        </w:r>
        <w:r w:rsidR="00607153">
          <w:rPr>
            <w:noProof/>
            <w:webHidden/>
          </w:rPr>
          <w:fldChar w:fldCharType="end"/>
        </w:r>
      </w:hyperlink>
    </w:p>
    <w:p w:rsidR="00607153" w:rsidRDefault="00904B42">
      <w:pPr>
        <w:pStyle w:val="Seznamobrzk"/>
        <w:tabs>
          <w:tab w:val="right" w:leader="dot" w:pos="9628"/>
        </w:tabs>
        <w:rPr>
          <w:rFonts w:eastAsiaTheme="minorEastAsia"/>
          <w:noProof/>
          <w:sz w:val="22"/>
          <w:lang w:eastAsia="cs-CZ"/>
        </w:rPr>
      </w:pPr>
      <w:hyperlink w:anchor="_Toc63685288" w:history="1">
        <w:r w:rsidR="00607153" w:rsidRPr="006A6240">
          <w:rPr>
            <w:rStyle w:val="Hypertextovodkaz"/>
            <w:noProof/>
            <w:lang w:bidi="hi-IN"/>
          </w:rPr>
          <w:t>Graf č. 8: Vývoj hospodaření systému v. z. p. 2020–2023 (mld. Kč)</w:t>
        </w:r>
        <w:r w:rsidR="00607153">
          <w:rPr>
            <w:noProof/>
            <w:webHidden/>
          </w:rPr>
          <w:tab/>
        </w:r>
        <w:r w:rsidR="00607153">
          <w:rPr>
            <w:noProof/>
            <w:webHidden/>
          </w:rPr>
          <w:fldChar w:fldCharType="begin"/>
        </w:r>
        <w:r w:rsidR="00607153">
          <w:rPr>
            <w:noProof/>
            <w:webHidden/>
          </w:rPr>
          <w:instrText xml:space="preserve"> PAGEREF _Toc63685288 \h </w:instrText>
        </w:r>
        <w:r w:rsidR="00607153">
          <w:rPr>
            <w:noProof/>
            <w:webHidden/>
          </w:rPr>
        </w:r>
        <w:r w:rsidR="00607153">
          <w:rPr>
            <w:noProof/>
            <w:webHidden/>
          </w:rPr>
          <w:fldChar w:fldCharType="separate"/>
        </w:r>
        <w:r w:rsidR="00607153">
          <w:rPr>
            <w:noProof/>
            <w:webHidden/>
          </w:rPr>
          <w:t>17</w:t>
        </w:r>
        <w:r w:rsidR="00607153">
          <w:rPr>
            <w:noProof/>
            <w:webHidden/>
          </w:rPr>
          <w:fldChar w:fldCharType="end"/>
        </w:r>
      </w:hyperlink>
    </w:p>
    <w:p w:rsidR="00607153" w:rsidRDefault="00904B42">
      <w:pPr>
        <w:pStyle w:val="Seznamobrzk"/>
        <w:tabs>
          <w:tab w:val="right" w:leader="dot" w:pos="9628"/>
        </w:tabs>
        <w:rPr>
          <w:rFonts w:eastAsiaTheme="minorEastAsia"/>
          <w:noProof/>
          <w:sz w:val="22"/>
          <w:lang w:eastAsia="cs-CZ"/>
        </w:rPr>
      </w:pPr>
      <w:hyperlink w:anchor="_Toc63685289" w:history="1">
        <w:r w:rsidR="00607153" w:rsidRPr="006A6240">
          <w:rPr>
            <w:rStyle w:val="Hypertextovodkaz"/>
            <w:noProof/>
            <w:lang w:bidi="hi-IN"/>
          </w:rPr>
          <w:t>Graf č. 9: Vývoj podílu zůstatků na účtech k ročním výdajům systému v. z. p.</w:t>
        </w:r>
        <w:r w:rsidR="00607153">
          <w:rPr>
            <w:noProof/>
            <w:webHidden/>
          </w:rPr>
          <w:tab/>
        </w:r>
        <w:r w:rsidR="00607153">
          <w:rPr>
            <w:noProof/>
            <w:webHidden/>
          </w:rPr>
          <w:fldChar w:fldCharType="begin"/>
        </w:r>
        <w:r w:rsidR="00607153">
          <w:rPr>
            <w:noProof/>
            <w:webHidden/>
          </w:rPr>
          <w:instrText xml:space="preserve"> PAGEREF _Toc63685289 \h </w:instrText>
        </w:r>
        <w:r w:rsidR="00607153">
          <w:rPr>
            <w:noProof/>
            <w:webHidden/>
          </w:rPr>
        </w:r>
        <w:r w:rsidR="00607153">
          <w:rPr>
            <w:noProof/>
            <w:webHidden/>
          </w:rPr>
          <w:fldChar w:fldCharType="separate"/>
        </w:r>
        <w:r w:rsidR="00607153">
          <w:rPr>
            <w:noProof/>
            <w:webHidden/>
          </w:rPr>
          <w:t>18</w:t>
        </w:r>
        <w:r w:rsidR="00607153">
          <w:rPr>
            <w:noProof/>
            <w:webHidden/>
          </w:rPr>
          <w:fldChar w:fldCharType="end"/>
        </w:r>
      </w:hyperlink>
    </w:p>
    <w:p w:rsidR="00607153" w:rsidRDefault="00904B42">
      <w:pPr>
        <w:pStyle w:val="Seznamobrzk"/>
        <w:tabs>
          <w:tab w:val="right" w:leader="dot" w:pos="9628"/>
        </w:tabs>
        <w:rPr>
          <w:rFonts w:eastAsiaTheme="minorEastAsia"/>
          <w:noProof/>
          <w:sz w:val="22"/>
          <w:lang w:eastAsia="cs-CZ"/>
        </w:rPr>
      </w:pPr>
      <w:hyperlink w:anchor="_Toc63685290" w:history="1">
        <w:r w:rsidR="00607153" w:rsidRPr="006A6240">
          <w:rPr>
            <w:rStyle w:val="Hypertextovodkaz"/>
            <w:noProof/>
            <w:lang w:bidi="hi-IN"/>
          </w:rPr>
          <w:t>Graf č. 10: Střednědobá udržitelnost hospodaření ZP</w:t>
        </w:r>
        <w:r w:rsidR="00607153">
          <w:rPr>
            <w:noProof/>
            <w:webHidden/>
          </w:rPr>
          <w:tab/>
        </w:r>
        <w:r w:rsidR="00607153">
          <w:rPr>
            <w:noProof/>
            <w:webHidden/>
          </w:rPr>
          <w:fldChar w:fldCharType="begin"/>
        </w:r>
        <w:r w:rsidR="00607153">
          <w:rPr>
            <w:noProof/>
            <w:webHidden/>
          </w:rPr>
          <w:instrText xml:space="preserve"> PAGEREF _Toc63685290 \h </w:instrText>
        </w:r>
        <w:r w:rsidR="00607153">
          <w:rPr>
            <w:noProof/>
            <w:webHidden/>
          </w:rPr>
        </w:r>
        <w:r w:rsidR="00607153">
          <w:rPr>
            <w:noProof/>
            <w:webHidden/>
          </w:rPr>
          <w:fldChar w:fldCharType="separate"/>
        </w:r>
        <w:r w:rsidR="00607153">
          <w:rPr>
            <w:noProof/>
            <w:webHidden/>
          </w:rPr>
          <w:t>19</w:t>
        </w:r>
        <w:r w:rsidR="00607153">
          <w:rPr>
            <w:noProof/>
            <w:webHidden/>
          </w:rPr>
          <w:fldChar w:fldCharType="end"/>
        </w:r>
      </w:hyperlink>
    </w:p>
    <w:p w:rsidR="00607153" w:rsidRDefault="00904B42">
      <w:pPr>
        <w:pStyle w:val="Seznamobrzk"/>
        <w:tabs>
          <w:tab w:val="right" w:leader="dot" w:pos="9628"/>
        </w:tabs>
        <w:rPr>
          <w:rFonts w:eastAsiaTheme="minorEastAsia"/>
          <w:noProof/>
          <w:sz w:val="22"/>
          <w:lang w:eastAsia="cs-CZ"/>
        </w:rPr>
      </w:pPr>
      <w:hyperlink w:anchor="_Toc63685291" w:history="1">
        <w:r w:rsidR="00607153" w:rsidRPr="006A6240">
          <w:rPr>
            <w:rStyle w:val="Hypertextovodkaz"/>
            <w:noProof/>
            <w:lang w:bidi="hi-IN"/>
          </w:rPr>
          <w:t>Graf č. 11: Dynamika příjmů a výdajů systému v. z. p.</w:t>
        </w:r>
        <w:r w:rsidR="00607153">
          <w:rPr>
            <w:noProof/>
            <w:webHidden/>
          </w:rPr>
          <w:tab/>
        </w:r>
        <w:r w:rsidR="00607153">
          <w:rPr>
            <w:noProof/>
            <w:webHidden/>
          </w:rPr>
          <w:fldChar w:fldCharType="begin"/>
        </w:r>
        <w:r w:rsidR="00607153">
          <w:rPr>
            <w:noProof/>
            <w:webHidden/>
          </w:rPr>
          <w:instrText xml:space="preserve"> PAGEREF _Toc63685291 \h </w:instrText>
        </w:r>
        <w:r w:rsidR="00607153">
          <w:rPr>
            <w:noProof/>
            <w:webHidden/>
          </w:rPr>
        </w:r>
        <w:r w:rsidR="00607153">
          <w:rPr>
            <w:noProof/>
            <w:webHidden/>
          </w:rPr>
          <w:fldChar w:fldCharType="separate"/>
        </w:r>
        <w:r w:rsidR="00607153">
          <w:rPr>
            <w:noProof/>
            <w:webHidden/>
          </w:rPr>
          <w:t>19</w:t>
        </w:r>
        <w:r w:rsidR="00607153">
          <w:rPr>
            <w:noProof/>
            <w:webHidden/>
          </w:rPr>
          <w:fldChar w:fldCharType="end"/>
        </w:r>
      </w:hyperlink>
    </w:p>
    <w:p w:rsidR="00607153" w:rsidRDefault="00904B42">
      <w:pPr>
        <w:pStyle w:val="Seznamobrzk"/>
        <w:tabs>
          <w:tab w:val="right" w:leader="dot" w:pos="9628"/>
        </w:tabs>
        <w:rPr>
          <w:rFonts w:eastAsiaTheme="minorEastAsia"/>
          <w:noProof/>
          <w:sz w:val="22"/>
          <w:lang w:eastAsia="cs-CZ"/>
        </w:rPr>
      </w:pPr>
      <w:hyperlink w:anchor="_Toc63685292" w:history="1">
        <w:r w:rsidR="00607153" w:rsidRPr="006A6240">
          <w:rPr>
            <w:rStyle w:val="Hypertextovodkaz"/>
            <w:noProof/>
            <w:lang w:bidi="hi-IN"/>
          </w:rPr>
          <w:t>Graf č. 12: Hypotetické scénáře vývoje 2022–2024: podíl zůstatků na účtech ZP na celkových výdajích v daném roce – srovnání variant č. 0 a č. 1 dle ZPP 20210, ZPP 2020 a ZPP 2019 (růst výdajů dle SDV)</w:t>
        </w:r>
        <w:r w:rsidR="00607153">
          <w:rPr>
            <w:noProof/>
            <w:webHidden/>
          </w:rPr>
          <w:tab/>
        </w:r>
        <w:r w:rsidR="00607153">
          <w:rPr>
            <w:noProof/>
            <w:webHidden/>
          </w:rPr>
          <w:fldChar w:fldCharType="begin"/>
        </w:r>
        <w:r w:rsidR="00607153">
          <w:rPr>
            <w:noProof/>
            <w:webHidden/>
          </w:rPr>
          <w:instrText xml:space="preserve"> PAGEREF _Toc63685292 \h </w:instrText>
        </w:r>
        <w:r w:rsidR="00607153">
          <w:rPr>
            <w:noProof/>
            <w:webHidden/>
          </w:rPr>
        </w:r>
        <w:r w:rsidR="00607153">
          <w:rPr>
            <w:noProof/>
            <w:webHidden/>
          </w:rPr>
          <w:fldChar w:fldCharType="separate"/>
        </w:r>
        <w:r w:rsidR="00607153">
          <w:rPr>
            <w:noProof/>
            <w:webHidden/>
          </w:rPr>
          <w:t>21</w:t>
        </w:r>
        <w:r w:rsidR="00607153">
          <w:rPr>
            <w:noProof/>
            <w:webHidden/>
          </w:rPr>
          <w:fldChar w:fldCharType="end"/>
        </w:r>
      </w:hyperlink>
    </w:p>
    <w:p w:rsidR="00607153" w:rsidRDefault="00904B42">
      <w:pPr>
        <w:pStyle w:val="Seznamobrzk"/>
        <w:tabs>
          <w:tab w:val="right" w:leader="dot" w:pos="9628"/>
        </w:tabs>
        <w:rPr>
          <w:rFonts w:eastAsiaTheme="minorEastAsia"/>
          <w:noProof/>
          <w:sz w:val="22"/>
          <w:lang w:eastAsia="cs-CZ"/>
        </w:rPr>
      </w:pPr>
      <w:hyperlink w:anchor="_Toc63685293" w:history="1">
        <w:r w:rsidR="00607153" w:rsidRPr="006A6240">
          <w:rPr>
            <w:rStyle w:val="Hypertextovodkaz"/>
            <w:noProof/>
            <w:lang w:bidi="hi-IN"/>
          </w:rPr>
          <w:t>Graf č. 13: Hypotetické scénáře vývoje 2022–2024: podíl zůstatků na účtech ZP na celkových výdajích v daném roce – srovnání variant č. 0 a č. 2 dle ZPP 2021, ZPP 2020 a ZPP 2019 (růst výdajů dle SDV)</w:t>
        </w:r>
        <w:r w:rsidR="00607153">
          <w:rPr>
            <w:noProof/>
            <w:webHidden/>
          </w:rPr>
          <w:tab/>
        </w:r>
        <w:r w:rsidR="00607153">
          <w:rPr>
            <w:noProof/>
            <w:webHidden/>
          </w:rPr>
          <w:fldChar w:fldCharType="begin"/>
        </w:r>
        <w:r w:rsidR="00607153">
          <w:rPr>
            <w:noProof/>
            <w:webHidden/>
          </w:rPr>
          <w:instrText xml:space="preserve"> PAGEREF _Toc63685293 \h </w:instrText>
        </w:r>
        <w:r w:rsidR="00607153">
          <w:rPr>
            <w:noProof/>
            <w:webHidden/>
          </w:rPr>
        </w:r>
        <w:r w:rsidR="00607153">
          <w:rPr>
            <w:noProof/>
            <w:webHidden/>
          </w:rPr>
          <w:fldChar w:fldCharType="separate"/>
        </w:r>
        <w:r w:rsidR="00607153">
          <w:rPr>
            <w:noProof/>
            <w:webHidden/>
          </w:rPr>
          <w:t>21</w:t>
        </w:r>
        <w:r w:rsidR="00607153">
          <w:rPr>
            <w:noProof/>
            <w:webHidden/>
          </w:rPr>
          <w:fldChar w:fldCharType="end"/>
        </w:r>
      </w:hyperlink>
    </w:p>
    <w:p w:rsidR="00607153" w:rsidRDefault="00904B42">
      <w:pPr>
        <w:pStyle w:val="Seznamobrzk"/>
        <w:tabs>
          <w:tab w:val="right" w:leader="dot" w:pos="9628"/>
        </w:tabs>
        <w:rPr>
          <w:rFonts w:eastAsiaTheme="minorEastAsia"/>
          <w:noProof/>
          <w:sz w:val="22"/>
          <w:lang w:eastAsia="cs-CZ"/>
        </w:rPr>
      </w:pPr>
      <w:hyperlink w:anchor="_Toc63685294" w:history="1">
        <w:r w:rsidR="00607153" w:rsidRPr="006A6240">
          <w:rPr>
            <w:rStyle w:val="Hypertextovodkaz"/>
            <w:noProof/>
            <w:lang w:bidi="hi-IN"/>
          </w:rPr>
          <w:t>Graf č. 14: Hypotetické scénáře vývoje 2022–2024: podíl zůstatků na účtech ZP na celkových výdajích v daném roce – srovnání variant č. 0 a č. 1 dle ZPP 2021, ZPP 2020 a ZPP 2019 (růst výdajů 2020/2021)</w:t>
        </w:r>
        <w:r w:rsidR="00607153">
          <w:rPr>
            <w:noProof/>
            <w:webHidden/>
          </w:rPr>
          <w:tab/>
        </w:r>
        <w:r w:rsidR="00607153">
          <w:rPr>
            <w:noProof/>
            <w:webHidden/>
          </w:rPr>
          <w:fldChar w:fldCharType="begin"/>
        </w:r>
        <w:r w:rsidR="00607153">
          <w:rPr>
            <w:noProof/>
            <w:webHidden/>
          </w:rPr>
          <w:instrText xml:space="preserve"> PAGEREF _Toc63685294 \h </w:instrText>
        </w:r>
        <w:r w:rsidR="00607153">
          <w:rPr>
            <w:noProof/>
            <w:webHidden/>
          </w:rPr>
        </w:r>
        <w:r w:rsidR="00607153">
          <w:rPr>
            <w:noProof/>
            <w:webHidden/>
          </w:rPr>
          <w:fldChar w:fldCharType="separate"/>
        </w:r>
        <w:r w:rsidR="00607153">
          <w:rPr>
            <w:noProof/>
            <w:webHidden/>
          </w:rPr>
          <w:t>22</w:t>
        </w:r>
        <w:r w:rsidR="00607153">
          <w:rPr>
            <w:noProof/>
            <w:webHidden/>
          </w:rPr>
          <w:fldChar w:fldCharType="end"/>
        </w:r>
      </w:hyperlink>
    </w:p>
    <w:p w:rsidR="00607153" w:rsidRDefault="00904B42">
      <w:pPr>
        <w:pStyle w:val="Seznamobrzk"/>
        <w:tabs>
          <w:tab w:val="right" w:leader="dot" w:pos="9628"/>
        </w:tabs>
        <w:rPr>
          <w:rFonts w:eastAsiaTheme="minorEastAsia"/>
          <w:noProof/>
          <w:sz w:val="22"/>
          <w:lang w:eastAsia="cs-CZ"/>
        </w:rPr>
      </w:pPr>
      <w:hyperlink w:anchor="_Toc63685295" w:history="1">
        <w:r w:rsidR="00607153" w:rsidRPr="006A6240">
          <w:rPr>
            <w:rStyle w:val="Hypertextovodkaz"/>
            <w:noProof/>
            <w:lang w:bidi="hi-IN"/>
          </w:rPr>
          <w:t>Graf č. 15: Hypotetické scénáře vývoje 2022–2024: podíl zůstatků na účtech ZP na celkových výdajích v daném roce – srovnání variant č. 0 a č. 2 dle ZPP 2021, ZPP 2020 a ZPP 2019 (růst výdajů 2020/2021)</w:t>
        </w:r>
        <w:r w:rsidR="00607153">
          <w:rPr>
            <w:noProof/>
            <w:webHidden/>
          </w:rPr>
          <w:tab/>
        </w:r>
        <w:r w:rsidR="00607153">
          <w:rPr>
            <w:noProof/>
            <w:webHidden/>
          </w:rPr>
          <w:fldChar w:fldCharType="begin"/>
        </w:r>
        <w:r w:rsidR="00607153">
          <w:rPr>
            <w:noProof/>
            <w:webHidden/>
          </w:rPr>
          <w:instrText xml:space="preserve"> PAGEREF _Toc63685295 \h </w:instrText>
        </w:r>
        <w:r w:rsidR="00607153">
          <w:rPr>
            <w:noProof/>
            <w:webHidden/>
          </w:rPr>
        </w:r>
        <w:r w:rsidR="00607153">
          <w:rPr>
            <w:noProof/>
            <w:webHidden/>
          </w:rPr>
          <w:fldChar w:fldCharType="separate"/>
        </w:r>
        <w:r w:rsidR="00607153">
          <w:rPr>
            <w:noProof/>
            <w:webHidden/>
          </w:rPr>
          <w:t>23</w:t>
        </w:r>
        <w:r w:rsidR="00607153">
          <w:rPr>
            <w:noProof/>
            <w:webHidden/>
          </w:rPr>
          <w:fldChar w:fldCharType="end"/>
        </w:r>
      </w:hyperlink>
    </w:p>
    <w:p w:rsidR="00607153" w:rsidRDefault="00904B42">
      <w:pPr>
        <w:pStyle w:val="Seznamobrzk"/>
        <w:tabs>
          <w:tab w:val="right" w:leader="dot" w:pos="9628"/>
        </w:tabs>
        <w:rPr>
          <w:rFonts w:eastAsiaTheme="minorEastAsia"/>
          <w:noProof/>
          <w:sz w:val="22"/>
          <w:lang w:eastAsia="cs-CZ"/>
        </w:rPr>
      </w:pPr>
      <w:hyperlink w:anchor="_Toc63685296" w:history="1">
        <w:r w:rsidR="00607153" w:rsidRPr="006A6240">
          <w:rPr>
            <w:rStyle w:val="Hypertextovodkaz"/>
            <w:noProof/>
            <w:lang w:bidi="hi-IN"/>
          </w:rPr>
          <w:t>Graf č. 16: Počet zaměstnanců k 31. 12. 2020 a 31. 12. 2021 dle ZPP</w:t>
        </w:r>
        <w:r w:rsidR="00607153">
          <w:rPr>
            <w:noProof/>
            <w:webHidden/>
          </w:rPr>
          <w:tab/>
        </w:r>
        <w:r w:rsidR="00607153">
          <w:rPr>
            <w:noProof/>
            <w:webHidden/>
          </w:rPr>
          <w:fldChar w:fldCharType="begin"/>
        </w:r>
        <w:r w:rsidR="00607153">
          <w:rPr>
            <w:noProof/>
            <w:webHidden/>
          </w:rPr>
          <w:instrText xml:space="preserve"> PAGEREF _Toc63685296 \h </w:instrText>
        </w:r>
        <w:r w:rsidR="00607153">
          <w:rPr>
            <w:noProof/>
            <w:webHidden/>
          </w:rPr>
        </w:r>
        <w:r w:rsidR="00607153">
          <w:rPr>
            <w:noProof/>
            <w:webHidden/>
          </w:rPr>
          <w:fldChar w:fldCharType="separate"/>
        </w:r>
        <w:r w:rsidR="00607153">
          <w:rPr>
            <w:noProof/>
            <w:webHidden/>
          </w:rPr>
          <w:t>24</w:t>
        </w:r>
        <w:r w:rsidR="00607153">
          <w:rPr>
            <w:noProof/>
            <w:webHidden/>
          </w:rPr>
          <w:fldChar w:fldCharType="end"/>
        </w:r>
      </w:hyperlink>
    </w:p>
    <w:p w:rsidR="00607153" w:rsidRDefault="00904B42">
      <w:pPr>
        <w:pStyle w:val="Seznamobrzk"/>
        <w:tabs>
          <w:tab w:val="right" w:leader="dot" w:pos="9628"/>
        </w:tabs>
        <w:rPr>
          <w:rFonts w:eastAsiaTheme="minorEastAsia"/>
          <w:noProof/>
          <w:sz w:val="22"/>
          <w:lang w:eastAsia="cs-CZ"/>
        </w:rPr>
      </w:pPr>
      <w:hyperlink w:anchor="_Toc63685297" w:history="1">
        <w:r w:rsidR="00607153" w:rsidRPr="006A6240">
          <w:rPr>
            <w:rStyle w:val="Hypertextovodkaz"/>
            <w:noProof/>
            <w:lang w:bidi="hi-IN"/>
          </w:rPr>
          <w:t>Graf č. 17: Celkové náklady na zdravotní služby</w:t>
        </w:r>
        <w:r w:rsidR="00607153">
          <w:rPr>
            <w:noProof/>
            <w:webHidden/>
          </w:rPr>
          <w:tab/>
        </w:r>
        <w:r w:rsidR="00607153">
          <w:rPr>
            <w:noProof/>
            <w:webHidden/>
          </w:rPr>
          <w:fldChar w:fldCharType="begin"/>
        </w:r>
        <w:r w:rsidR="00607153">
          <w:rPr>
            <w:noProof/>
            <w:webHidden/>
          </w:rPr>
          <w:instrText xml:space="preserve"> PAGEREF _Toc63685297 \h </w:instrText>
        </w:r>
        <w:r w:rsidR="00607153">
          <w:rPr>
            <w:noProof/>
            <w:webHidden/>
          </w:rPr>
        </w:r>
        <w:r w:rsidR="00607153">
          <w:rPr>
            <w:noProof/>
            <w:webHidden/>
          </w:rPr>
          <w:fldChar w:fldCharType="separate"/>
        </w:r>
        <w:r w:rsidR="00607153">
          <w:rPr>
            <w:noProof/>
            <w:webHidden/>
          </w:rPr>
          <w:t>28</w:t>
        </w:r>
        <w:r w:rsidR="00607153">
          <w:rPr>
            <w:noProof/>
            <w:webHidden/>
          </w:rPr>
          <w:fldChar w:fldCharType="end"/>
        </w:r>
      </w:hyperlink>
    </w:p>
    <w:p w:rsidR="00607153" w:rsidRDefault="00904B42">
      <w:pPr>
        <w:pStyle w:val="Seznamobrzk"/>
        <w:tabs>
          <w:tab w:val="right" w:leader="dot" w:pos="9628"/>
        </w:tabs>
        <w:rPr>
          <w:rFonts w:eastAsiaTheme="minorEastAsia"/>
          <w:noProof/>
          <w:sz w:val="22"/>
          <w:lang w:eastAsia="cs-CZ"/>
        </w:rPr>
      </w:pPr>
      <w:hyperlink w:anchor="_Toc63685298" w:history="1">
        <w:r w:rsidR="00607153" w:rsidRPr="006A6240">
          <w:rPr>
            <w:rStyle w:val="Hypertextovodkaz"/>
            <w:noProof/>
            <w:lang w:bidi="hi-IN"/>
          </w:rPr>
          <w:t>Graf č. 18: Náklady na zdravotní služby podle segmentů</w:t>
        </w:r>
        <w:r w:rsidR="00607153">
          <w:rPr>
            <w:noProof/>
            <w:webHidden/>
          </w:rPr>
          <w:tab/>
        </w:r>
        <w:r w:rsidR="00607153">
          <w:rPr>
            <w:noProof/>
            <w:webHidden/>
          </w:rPr>
          <w:fldChar w:fldCharType="begin"/>
        </w:r>
        <w:r w:rsidR="00607153">
          <w:rPr>
            <w:noProof/>
            <w:webHidden/>
          </w:rPr>
          <w:instrText xml:space="preserve"> PAGEREF _Toc63685298 \h </w:instrText>
        </w:r>
        <w:r w:rsidR="00607153">
          <w:rPr>
            <w:noProof/>
            <w:webHidden/>
          </w:rPr>
        </w:r>
        <w:r w:rsidR="00607153">
          <w:rPr>
            <w:noProof/>
            <w:webHidden/>
          </w:rPr>
          <w:fldChar w:fldCharType="separate"/>
        </w:r>
        <w:r w:rsidR="00607153">
          <w:rPr>
            <w:noProof/>
            <w:webHidden/>
          </w:rPr>
          <w:t>28</w:t>
        </w:r>
        <w:r w:rsidR="00607153">
          <w:rPr>
            <w:noProof/>
            <w:webHidden/>
          </w:rPr>
          <w:fldChar w:fldCharType="end"/>
        </w:r>
      </w:hyperlink>
    </w:p>
    <w:p w:rsidR="00607153" w:rsidRDefault="00904B42">
      <w:pPr>
        <w:pStyle w:val="Seznamobrzk"/>
        <w:tabs>
          <w:tab w:val="right" w:leader="dot" w:pos="9628"/>
        </w:tabs>
        <w:rPr>
          <w:rFonts w:eastAsiaTheme="minorEastAsia"/>
          <w:noProof/>
          <w:sz w:val="22"/>
          <w:lang w:eastAsia="cs-CZ"/>
        </w:rPr>
      </w:pPr>
      <w:hyperlink w:anchor="_Toc63685299" w:history="1">
        <w:r w:rsidR="00607153" w:rsidRPr="006A6240">
          <w:rPr>
            <w:rStyle w:val="Hypertextovodkaz"/>
            <w:noProof/>
            <w:lang w:bidi="hi-IN"/>
          </w:rPr>
          <w:t>Graf č. 19: Celkové náklady na zdravotní služby v přepočtu na 1 pojištěnce</w:t>
        </w:r>
        <w:r w:rsidR="00607153">
          <w:rPr>
            <w:noProof/>
            <w:webHidden/>
          </w:rPr>
          <w:tab/>
        </w:r>
        <w:r w:rsidR="00607153">
          <w:rPr>
            <w:noProof/>
            <w:webHidden/>
          </w:rPr>
          <w:fldChar w:fldCharType="begin"/>
        </w:r>
        <w:r w:rsidR="00607153">
          <w:rPr>
            <w:noProof/>
            <w:webHidden/>
          </w:rPr>
          <w:instrText xml:space="preserve"> PAGEREF _Toc63685299 \h </w:instrText>
        </w:r>
        <w:r w:rsidR="00607153">
          <w:rPr>
            <w:noProof/>
            <w:webHidden/>
          </w:rPr>
        </w:r>
        <w:r w:rsidR="00607153">
          <w:rPr>
            <w:noProof/>
            <w:webHidden/>
          </w:rPr>
          <w:fldChar w:fldCharType="separate"/>
        </w:r>
        <w:r w:rsidR="00607153">
          <w:rPr>
            <w:noProof/>
            <w:webHidden/>
          </w:rPr>
          <w:t>30</w:t>
        </w:r>
        <w:r w:rsidR="00607153">
          <w:rPr>
            <w:noProof/>
            <w:webHidden/>
          </w:rPr>
          <w:fldChar w:fldCharType="end"/>
        </w:r>
      </w:hyperlink>
    </w:p>
    <w:p w:rsidR="00436F6E" w:rsidRDefault="00904B42" w:rsidP="00607153">
      <w:pPr>
        <w:pStyle w:val="Seznamobrzk"/>
        <w:tabs>
          <w:tab w:val="right" w:leader="dot" w:pos="9628"/>
        </w:tabs>
      </w:pPr>
      <w:hyperlink w:anchor="_Toc63685300" w:history="1">
        <w:r w:rsidR="00607153" w:rsidRPr="006A6240">
          <w:rPr>
            <w:rStyle w:val="Hypertextovodkaz"/>
            <w:noProof/>
            <w:lang w:bidi="hi-IN"/>
          </w:rPr>
          <w:t>Graf č. 20: Náklady na zdravotní služby podle segmentů v přepočtu na 1 pojištěnce</w:t>
        </w:r>
        <w:r w:rsidR="00607153">
          <w:rPr>
            <w:noProof/>
            <w:webHidden/>
          </w:rPr>
          <w:tab/>
        </w:r>
        <w:r w:rsidR="00607153">
          <w:rPr>
            <w:noProof/>
            <w:webHidden/>
          </w:rPr>
          <w:fldChar w:fldCharType="begin"/>
        </w:r>
        <w:r w:rsidR="00607153">
          <w:rPr>
            <w:noProof/>
            <w:webHidden/>
          </w:rPr>
          <w:instrText xml:space="preserve"> PAGEREF _Toc63685300 \h </w:instrText>
        </w:r>
        <w:r w:rsidR="00607153">
          <w:rPr>
            <w:noProof/>
            <w:webHidden/>
          </w:rPr>
        </w:r>
        <w:r w:rsidR="00607153">
          <w:rPr>
            <w:noProof/>
            <w:webHidden/>
          </w:rPr>
          <w:fldChar w:fldCharType="separate"/>
        </w:r>
        <w:r w:rsidR="00607153">
          <w:rPr>
            <w:noProof/>
            <w:webHidden/>
          </w:rPr>
          <w:t>30</w:t>
        </w:r>
        <w:r w:rsidR="00607153">
          <w:rPr>
            <w:noProof/>
            <w:webHidden/>
          </w:rPr>
          <w:fldChar w:fldCharType="end"/>
        </w:r>
      </w:hyperlink>
      <w:r w:rsidR="008E5E29">
        <w:fldChar w:fldCharType="end"/>
      </w:r>
    </w:p>
    <w:p w:rsidR="00436F6E" w:rsidRDefault="00436F6E" w:rsidP="00AC25F3">
      <w:pPr>
        <w:pStyle w:val="Nadpis2"/>
      </w:pPr>
      <w:bookmarkStart w:id="87" w:name="_Toc63684691"/>
      <w:r>
        <w:t>Tabulky</w:t>
      </w:r>
      <w:bookmarkEnd w:id="87"/>
    </w:p>
    <w:p w:rsidR="00607153" w:rsidRDefault="008E5E29">
      <w:pPr>
        <w:pStyle w:val="Seznamobrzk"/>
        <w:tabs>
          <w:tab w:val="right" w:leader="dot" w:pos="9628"/>
        </w:tabs>
        <w:rPr>
          <w:rFonts w:eastAsiaTheme="minorEastAsia"/>
          <w:noProof/>
          <w:sz w:val="22"/>
          <w:lang w:eastAsia="cs-CZ"/>
        </w:rPr>
      </w:pPr>
      <w:r>
        <w:fldChar w:fldCharType="begin"/>
      </w:r>
      <w:r w:rsidR="00436F6E">
        <w:instrText xml:space="preserve"> TOC \h \z \c "Tabulka" </w:instrText>
      </w:r>
      <w:r>
        <w:fldChar w:fldCharType="separate"/>
      </w:r>
      <w:hyperlink w:anchor="_Toc63685254" w:history="1">
        <w:r w:rsidR="00607153" w:rsidRPr="002E1F55">
          <w:rPr>
            <w:rStyle w:val="Hypertextovodkaz"/>
            <w:noProof/>
            <w:lang w:bidi="hi-IN"/>
          </w:rPr>
          <w:t>Tabulka č. 1: Plánované příjmy systému v. z. p. 2021</w:t>
        </w:r>
        <w:r w:rsidR="00607153">
          <w:rPr>
            <w:noProof/>
            <w:webHidden/>
          </w:rPr>
          <w:tab/>
        </w:r>
        <w:r w:rsidR="00607153">
          <w:rPr>
            <w:noProof/>
            <w:webHidden/>
          </w:rPr>
          <w:fldChar w:fldCharType="begin"/>
        </w:r>
        <w:r w:rsidR="00607153">
          <w:rPr>
            <w:noProof/>
            <w:webHidden/>
          </w:rPr>
          <w:instrText xml:space="preserve"> PAGEREF _Toc63685254 \h </w:instrText>
        </w:r>
        <w:r w:rsidR="00607153">
          <w:rPr>
            <w:noProof/>
            <w:webHidden/>
          </w:rPr>
        </w:r>
        <w:r w:rsidR="00607153">
          <w:rPr>
            <w:noProof/>
            <w:webHidden/>
          </w:rPr>
          <w:fldChar w:fldCharType="separate"/>
        </w:r>
        <w:r w:rsidR="00607153">
          <w:rPr>
            <w:noProof/>
            <w:webHidden/>
          </w:rPr>
          <w:t>5</w:t>
        </w:r>
        <w:r w:rsidR="00607153">
          <w:rPr>
            <w:noProof/>
            <w:webHidden/>
          </w:rPr>
          <w:fldChar w:fldCharType="end"/>
        </w:r>
      </w:hyperlink>
    </w:p>
    <w:p w:rsidR="00607153" w:rsidRDefault="00904B42">
      <w:pPr>
        <w:pStyle w:val="Seznamobrzk"/>
        <w:tabs>
          <w:tab w:val="right" w:leader="dot" w:pos="9628"/>
        </w:tabs>
        <w:rPr>
          <w:rFonts w:eastAsiaTheme="minorEastAsia"/>
          <w:noProof/>
          <w:sz w:val="22"/>
          <w:lang w:eastAsia="cs-CZ"/>
        </w:rPr>
      </w:pPr>
      <w:hyperlink w:anchor="_Toc63685255" w:history="1">
        <w:r w:rsidR="00607153" w:rsidRPr="002E1F55">
          <w:rPr>
            <w:rStyle w:val="Hypertextovodkaz"/>
            <w:noProof/>
            <w:lang w:bidi="hi-IN"/>
          </w:rPr>
          <w:t>Tabulka č. 2: Plánované příjmy systému v. z. p. 2021 dle zdravotních pojišťoven</w:t>
        </w:r>
        <w:r w:rsidR="00607153">
          <w:rPr>
            <w:noProof/>
            <w:webHidden/>
          </w:rPr>
          <w:tab/>
        </w:r>
        <w:r w:rsidR="00607153">
          <w:rPr>
            <w:noProof/>
            <w:webHidden/>
          </w:rPr>
          <w:fldChar w:fldCharType="begin"/>
        </w:r>
        <w:r w:rsidR="00607153">
          <w:rPr>
            <w:noProof/>
            <w:webHidden/>
          </w:rPr>
          <w:instrText xml:space="preserve"> PAGEREF _Toc63685255 \h </w:instrText>
        </w:r>
        <w:r w:rsidR="00607153">
          <w:rPr>
            <w:noProof/>
            <w:webHidden/>
          </w:rPr>
        </w:r>
        <w:r w:rsidR="00607153">
          <w:rPr>
            <w:noProof/>
            <w:webHidden/>
          </w:rPr>
          <w:fldChar w:fldCharType="separate"/>
        </w:r>
        <w:r w:rsidR="00607153">
          <w:rPr>
            <w:noProof/>
            <w:webHidden/>
          </w:rPr>
          <w:t>6</w:t>
        </w:r>
        <w:r w:rsidR="00607153">
          <w:rPr>
            <w:noProof/>
            <w:webHidden/>
          </w:rPr>
          <w:fldChar w:fldCharType="end"/>
        </w:r>
      </w:hyperlink>
    </w:p>
    <w:p w:rsidR="00607153" w:rsidRDefault="00904B42">
      <w:pPr>
        <w:pStyle w:val="Seznamobrzk"/>
        <w:tabs>
          <w:tab w:val="right" w:leader="dot" w:pos="9628"/>
        </w:tabs>
        <w:rPr>
          <w:rFonts w:eastAsiaTheme="minorEastAsia"/>
          <w:noProof/>
          <w:sz w:val="22"/>
          <w:lang w:eastAsia="cs-CZ"/>
        </w:rPr>
      </w:pPr>
      <w:hyperlink w:anchor="_Toc63685256" w:history="1">
        <w:r w:rsidR="00607153" w:rsidRPr="002E1F55">
          <w:rPr>
            <w:rStyle w:val="Hypertextovodkaz"/>
            <w:noProof/>
            <w:lang w:bidi="hi-IN"/>
          </w:rPr>
          <w:t>Tabulka č. 3: Očekávané příjmy systému v. z. p. 2020 dle zdravotních pojišťoven</w:t>
        </w:r>
        <w:r w:rsidR="00607153">
          <w:rPr>
            <w:noProof/>
            <w:webHidden/>
          </w:rPr>
          <w:tab/>
        </w:r>
        <w:r w:rsidR="00607153">
          <w:rPr>
            <w:noProof/>
            <w:webHidden/>
          </w:rPr>
          <w:fldChar w:fldCharType="begin"/>
        </w:r>
        <w:r w:rsidR="00607153">
          <w:rPr>
            <w:noProof/>
            <w:webHidden/>
          </w:rPr>
          <w:instrText xml:space="preserve"> PAGEREF _Toc63685256 \h </w:instrText>
        </w:r>
        <w:r w:rsidR="00607153">
          <w:rPr>
            <w:noProof/>
            <w:webHidden/>
          </w:rPr>
        </w:r>
        <w:r w:rsidR="00607153">
          <w:rPr>
            <w:noProof/>
            <w:webHidden/>
          </w:rPr>
          <w:fldChar w:fldCharType="separate"/>
        </w:r>
        <w:r w:rsidR="00607153">
          <w:rPr>
            <w:noProof/>
            <w:webHidden/>
          </w:rPr>
          <w:t>6</w:t>
        </w:r>
        <w:r w:rsidR="00607153">
          <w:rPr>
            <w:noProof/>
            <w:webHidden/>
          </w:rPr>
          <w:fldChar w:fldCharType="end"/>
        </w:r>
      </w:hyperlink>
    </w:p>
    <w:p w:rsidR="00607153" w:rsidRDefault="00904B42">
      <w:pPr>
        <w:pStyle w:val="Seznamobrzk"/>
        <w:tabs>
          <w:tab w:val="right" w:leader="dot" w:pos="9628"/>
        </w:tabs>
        <w:rPr>
          <w:rFonts w:eastAsiaTheme="minorEastAsia"/>
          <w:noProof/>
          <w:sz w:val="22"/>
          <w:lang w:eastAsia="cs-CZ"/>
        </w:rPr>
      </w:pPr>
      <w:hyperlink w:anchor="_Toc63685257" w:history="1">
        <w:r w:rsidR="00607153" w:rsidRPr="002E1F55">
          <w:rPr>
            <w:rStyle w:val="Hypertextovodkaz"/>
            <w:noProof/>
            <w:lang w:bidi="hi-IN"/>
          </w:rPr>
          <w:t>Tabulka č. 4: Plánované výdaje systému v. z. p. 2021</w:t>
        </w:r>
        <w:r w:rsidR="00607153">
          <w:rPr>
            <w:noProof/>
            <w:webHidden/>
          </w:rPr>
          <w:tab/>
        </w:r>
        <w:r w:rsidR="00607153">
          <w:rPr>
            <w:noProof/>
            <w:webHidden/>
          </w:rPr>
          <w:fldChar w:fldCharType="begin"/>
        </w:r>
        <w:r w:rsidR="00607153">
          <w:rPr>
            <w:noProof/>
            <w:webHidden/>
          </w:rPr>
          <w:instrText xml:space="preserve"> PAGEREF _Toc63685257 \h </w:instrText>
        </w:r>
        <w:r w:rsidR="00607153">
          <w:rPr>
            <w:noProof/>
            <w:webHidden/>
          </w:rPr>
        </w:r>
        <w:r w:rsidR="00607153">
          <w:rPr>
            <w:noProof/>
            <w:webHidden/>
          </w:rPr>
          <w:fldChar w:fldCharType="separate"/>
        </w:r>
        <w:r w:rsidR="00607153">
          <w:rPr>
            <w:noProof/>
            <w:webHidden/>
          </w:rPr>
          <w:t>7</w:t>
        </w:r>
        <w:r w:rsidR="00607153">
          <w:rPr>
            <w:noProof/>
            <w:webHidden/>
          </w:rPr>
          <w:fldChar w:fldCharType="end"/>
        </w:r>
      </w:hyperlink>
    </w:p>
    <w:p w:rsidR="00607153" w:rsidRDefault="00904B42">
      <w:pPr>
        <w:pStyle w:val="Seznamobrzk"/>
        <w:tabs>
          <w:tab w:val="right" w:leader="dot" w:pos="9628"/>
        </w:tabs>
        <w:rPr>
          <w:rFonts w:eastAsiaTheme="minorEastAsia"/>
          <w:noProof/>
          <w:sz w:val="22"/>
          <w:lang w:eastAsia="cs-CZ"/>
        </w:rPr>
      </w:pPr>
      <w:hyperlink w:anchor="_Toc63685258" w:history="1">
        <w:r w:rsidR="00607153" w:rsidRPr="002E1F55">
          <w:rPr>
            <w:rStyle w:val="Hypertextovodkaz"/>
            <w:noProof/>
            <w:lang w:bidi="hi-IN"/>
          </w:rPr>
          <w:t>Tabulka č. 5: Plánované výdaje systému v. z. p. 2021 dle zdravotních pojišťoven</w:t>
        </w:r>
        <w:r w:rsidR="00607153">
          <w:rPr>
            <w:noProof/>
            <w:webHidden/>
          </w:rPr>
          <w:tab/>
        </w:r>
        <w:r w:rsidR="00607153">
          <w:rPr>
            <w:noProof/>
            <w:webHidden/>
          </w:rPr>
          <w:fldChar w:fldCharType="begin"/>
        </w:r>
        <w:r w:rsidR="00607153">
          <w:rPr>
            <w:noProof/>
            <w:webHidden/>
          </w:rPr>
          <w:instrText xml:space="preserve"> PAGEREF _Toc63685258 \h </w:instrText>
        </w:r>
        <w:r w:rsidR="00607153">
          <w:rPr>
            <w:noProof/>
            <w:webHidden/>
          </w:rPr>
        </w:r>
        <w:r w:rsidR="00607153">
          <w:rPr>
            <w:noProof/>
            <w:webHidden/>
          </w:rPr>
          <w:fldChar w:fldCharType="separate"/>
        </w:r>
        <w:r w:rsidR="00607153">
          <w:rPr>
            <w:noProof/>
            <w:webHidden/>
          </w:rPr>
          <w:t>8</w:t>
        </w:r>
        <w:r w:rsidR="00607153">
          <w:rPr>
            <w:noProof/>
            <w:webHidden/>
          </w:rPr>
          <w:fldChar w:fldCharType="end"/>
        </w:r>
      </w:hyperlink>
    </w:p>
    <w:p w:rsidR="00607153" w:rsidRDefault="00904B42">
      <w:pPr>
        <w:pStyle w:val="Seznamobrzk"/>
        <w:tabs>
          <w:tab w:val="right" w:leader="dot" w:pos="9628"/>
        </w:tabs>
        <w:rPr>
          <w:rFonts w:eastAsiaTheme="minorEastAsia"/>
          <w:noProof/>
          <w:sz w:val="22"/>
          <w:lang w:eastAsia="cs-CZ"/>
        </w:rPr>
      </w:pPr>
      <w:hyperlink w:anchor="_Toc63685259" w:history="1">
        <w:r w:rsidR="00607153" w:rsidRPr="002E1F55">
          <w:rPr>
            <w:rStyle w:val="Hypertextovodkaz"/>
            <w:noProof/>
            <w:lang w:bidi="hi-IN"/>
          </w:rPr>
          <w:t>Tabulka č. 6: Plánované výdaje systému v. z. p. 2020 dle zdravotních pojišťoven</w:t>
        </w:r>
        <w:r w:rsidR="00607153">
          <w:rPr>
            <w:noProof/>
            <w:webHidden/>
          </w:rPr>
          <w:tab/>
        </w:r>
        <w:r w:rsidR="00607153">
          <w:rPr>
            <w:noProof/>
            <w:webHidden/>
          </w:rPr>
          <w:fldChar w:fldCharType="begin"/>
        </w:r>
        <w:r w:rsidR="00607153">
          <w:rPr>
            <w:noProof/>
            <w:webHidden/>
          </w:rPr>
          <w:instrText xml:space="preserve"> PAGEREF _Toc63685259 \h </w:instrText>
        </w:r>
        <w:r w:rsidR="00607153">
          <w:rPr>
            <w:noProof/>
            <w:webHidden/>
          </w:rPr>
        </w:r>
        <w:r w:rsidR="00607153">
          <w:rPr>
            <w:noProof/>
            <w:webHidden/>
          </w:rPr>
          <w:fldChar w:fldCharType="separate"/>
        </w:r>
        <w:r w:rsidR="00607153">
          <w:rPr>
            <w:noProof/>
            <w:webHidden/>
          </w:rPr>
          <w:t>8</w:t>
        </w:r>
        <w:r w:rsidR="00607153">
          <w:rPr>
            <w:noProof/>
            <w:webHidden/>
          </w:rPr>
          <w:fldChar w:fldCharType="end"/>
        </w:r>
      </w:hyperlink>
    </w:p>
    <w:p w:rsidR="00607153" w:rsidRDefault="00904B42">
      <w:pPr>
        <w:pStyle w:val="Seznamobrzk"/>
        <w:tabs>
          <w:tab w:val="right" w:leader="dot" w:pos="9628"/>
        </w:tabs>
        <w:rPr>
          <w:rFonts w:eastAsiaTheme="minorEastAsia"/>
          <w:noProof/>
          <w:sz w:val="22"/>
          <w:lang w:eastAsia="cs-CZ"/>
        </w:rPr>
      </w:pPr>
      <w:hyperlink w:anchor="_Toc63685260" w:history="1">
        <w:r w:rsidR="00607153" w:rsidRPr="002E1F55">
          <w:rPr>
            <w:rStyle w:val="Hypertextovodkaz"/>
            <w:noProof/>
            <w:lang w:bidi="hi-IN"/>
          </w:rPr>
          <w:t>Tabulka č. 7: Vybrané ukazatele 2021 dle zdravotních pojišťoven</w:t>
        </w:r>
        <w:r w:rsidR="00607153">
          <w:rPr>
            <w:noProof/>
            <w:webHidden/>
          </w:rPr>
          <w:tab/>
        </w:r>
        <w:r w:rsidR="00607153">
          <w:rPr>
            <w:noProof/>
            <w:webHidden/>
          </w:rPr>
          <w:fldChar w:fldCharType="begin"/>
        </w:r>
        <w:r w:rsidR="00607153">
          <w:rPr>
            <w:noProof/>
            <w:webHidden/>
          </w:rPr>
          <w:instrText xml:space="preserve"> PAGEREF _Toc63685260 \h </w:instrText>
        </w:r>
        <w:r w:rsidR="00607153">
          <w:rPr>
            <w:noProof/>
            <w:webHidden/>
          </w:rPr>
        </w:r>
        <w:r w:rsidR="00607153">
          <w:rPr>
            <w:noProof/>
            <w:webHidden/>
          </w:rPr>
          <w:fldChar w:fldCharType="separate"/>
        </w:r>
        <w:r w:rsidR="00607153">
          <w:rPr>
            <w:noProof/>
            <w:webHidden/>
          </w:rPr>
          <w:t>12</w:t>
        </w:r>
        <w:r w:rsidR="00607153">
          <w:rPr>
            <w:noProof/>
            <w:webHidden/>
          </w:rPr>
          <w:fldChar w:fldCharType="end"/>
        </w:r>
      </w:hyperlink>
    </w:p>
    <w:p w:rsidR="00607153" w:rsidRDefault="00904B42">
      <w:pPr>
        <w:pStyle w:val="Seznamobrzk"/>
        <w:tabs>
          <w:tab w:val="right" w:leader="dot" w:pos="9628"/>
        </w:tabs>
        <w:rPr>
          <w:rFonts w:eastAsiaTheme="minorEastAsia"/>
          <w:noProof/>
          <w:sz w:val="22"/>
          <w:lang w:eastAsia="cs-CZ"/>
        </w:rPr>
      </w:pPr>
      <w:hyperlink w:anchor="_Toc63685261" w:history="1">
        <w:r w:rsidR="00607153" w:rsidRPr="002E1F55">
          <w:rPr>
            <w:rStyle w:val="Hypertextovodkaz"/>
            <w:noProof/>
            <w:lang w:bidi="hi-IN"/>
          </w:rPr>
          <w:t>Tabulka č. 8: Vybrané ukazatele 2020 dle zdravotních pojišťoven</w:t>
        </w:r>
        <w:r w:rsidR="00607153">
          <w:rPr>
            <w:noProof/>
            <w:webHidden/>
          </w:rPr>
          <w:tab/>
        </w:r>
        <w:r w:rsidR="00607153">
          <w:rPr>
            <w:noProof/>
            <w:webHidden/>
          </w:rPr>
          <w:fldChar w:fldCharType="begin"/>
        </w:r>
        <w:r w:rsidR="00607153">
          <w:rPr>
            <w:noProof/>
            <w:webHidden/>
          </w:rPr>
          <w:instrText xml:space="preserve"> PAGEREF _Toc63685261 \h </w:instrText>
        </w:r>
        <w:r w:rsidR="00607153">
          <w:rPr>
            <w:noProof/>
            <w:webHidden/>
          </w:rPr>
        </w:r>
        <w:r w:rsidR="00607153">
          <w:rPr>
            <w:noProof/>
            <w:webHidden/>
          </w:rPr>
          <w:fldChar w:fldCharType="separate"/>
        </w:r>
        <w:r w:rsidR="00607153">
          <w:rPr>
            <w:noProof/>
            <w:webHidden/>
          </w:rPr>
          <w:t>13</w:t>
        </w:r>
        <w:r w:rsidR="00607153">
          <w:rPr>
            <w:noProof/>
            <w:webHidden/>
          </w:rPr>
          <w:fldChar w:fldCharType="end"/>
        </w:r>
      </w:hyperlink>
    </w:p>
    <w:p w:rsidR="00607153" w:rsidRDefault="00904B42">
      <w:pPr>
        <w:pStyle w:val="Seznamobrzk"/>
        <w:tabs>
          <w:tab w:val="right" w:leader="dot" w:pos="9628"/>
        </w:tabs>
        <w:rPr>
          <w:rFonts w:eastAsiaTheme="minorEastAsia"/>
          <w:noProof/>
          <w:sz w:val="22"/>
          <w:lang w:eastAsia="cs-CZ"/>
        </w:rPr>
      </w:pPr>
      <w:hyperlink w:anchor="_Toc63685262" w:history="1">
        <w:r w:rsidR="00607153" w:rsidRPr="002E1F55">
          <w:rPr>
            <w:rStyle w:val="Hypertextovodkaz"/>
            <w:noProof/>
            <w:lang w:bidi="hi-IN"/>
          </w:rPr>
          <w:t>Tabulka č. 9: Vývoj zůstatků na bankovních účtech dle zdravotních pojišťoven</w:t>
        </w:r>
        <w:r w:rsidR="00607153">
          <w:rPr>
            <w:noProof/>
            <w:webHidden/>
          </w:rPr>
          <w:tab/>
        </w:r>
        <w:r w:rsidR="00607153">
          <w:rPr>
            <w:noProof/>
            <w:webHidden/>
          </w:rPr>
          <w:fldChar w:fldCharType="begin"/>
        </w:r>
        <w:r w:rsidR="00607153">
          <w:rPr>
            <w:noProof/>
            <w:webHidden/>
          </w:rPr>
          <w:instrText xml:space="preserve"> PAGEREF _Toc63685262 \h </w:instrText>
        </w:r>
        <w:r w:rsidR="00607153">
          <w:rPr>
            <w:noProof/>
            <w:webHidden/>
          </w:rPr>
        </w:r>
        <w:r w:rsidR="00607153">
          <w:rPr>
            <w:noProof/>
            <w:webHidden/>
          </w:rPr>
          <w:fldChar w:fldCharType="separate"/>
        </w:r>
        <w:r w:rsidR="00607153">
          <w:rPr>
            <w:noProof/>
            <w:webHidden/>
          </w:rPr>
          <w:t>14</w:t>
        </w:r>
        <w:r w:rsidR="00607153">
          <w:rPr>
            <w:noProof/>
            <w:webHidden/>
          </w:rPr>
          <w:fldChar w:fldCharType="end"/>
        </w:r>
      </w:hyperlink>
    </w:p>
    <w:p w:rsidR="00607153" w:rsidRDefault="00904B42">
      <w:pPr>
        <w:pStyle w:val="Seznamobrzk"/>
        <w:tabs>
          <w:tab w:val="right" w:leader="dot" w:pos="9628"/>
        </w:tabs>
        <w:rPr>
          <w:rFonts w:eastAsiaTheme="minorEastAsia"/>
          <w:noProof/>
          <w:sz w:val="22"/>
          <w:lang w:eastAsia="cs-CZ"/>
        </w:rPr>
      </w:pPr>
      <w:hyperlink w:anchor="_Toc63685263" w:history="1">
        <w:r w:rsidR="00607153" w:rsidRPr="002E1F55">
          <w:rPr>
            <w:rStyle w:val="Hypertextovodkaz"/>
            <w:noProof/>
            <w:lang w:bidi="hi-IN"/>
          </w:rPr>
          <w:t>Tabulka č. 10: Vybrané makroekonomické indikátory dle MF</w:t>
        </w:r>
        <w:r w:rsidR="00607153">
          <w:rPr>
            <w:noProof/>
            <w:webHidden/>
          </w:rPr>
          <w:tab/>
        </w:r>
        <w:r w:rsidR="00607153">
          <w:rPr>
            <w:noProof/>
            <w:webHidden/>
          </w:rPr>
          <w:fldChar w:fldCharType="begin"/>
        </w:r>
        <w:r w:rsidR="00607153">
          <w:rPr>
            <w:noProof/>
            <w:webHidden/>
          </w:rPr>
          <w:instrText xml:space="preserve"> PAGEREF _Toc63685263 \h </w:instrText>
        </w:r>
        <w:r w:rsidR="00607153">
          <w:rPr>
            <w:noProof/>
            <w:webHidden/>
          </w:rPr>
        </w:r>
        <w:r w:rsidR="00607153">
          <w:rPr>
            <w:noProof/>
            <w:webHidden/>
          </w:rPr>
          <w:fldChar w:fldCharType="separate"/>
        </w:r>
        <w:r w:rsidR="00607153">
          <w:rPr>
            <w:noProof/>
            <w:webHidden/>
          </w:rPr>
          <w:t>16</w:t>
        </w:r>
        <w:r w:rsidR="00607153">
          <w:rPr>
            <w:noProof/>
            <w:webHidden/>
          </w:rPr>
          <w:fldChar w:fldCharType="end"/>
        </w:r>
      </w:hyperlink>
    </w:p>
    <w:p w:rsidR="00607153" w:rsidRDefault="00904B42">
      <w:pPr>
        <w:pStyle w:val="Seznamobrzk"/>
        <w:tabs>
          <w:tab w:val="right" w:leader="dot" w:pos="9628"/>
        </w:tabs>
        <w:rPr>
          <w:rFonts w:eastAsiaTheme="minorEastAsia"/>
          <w:noProof/>
          <w:sz w:val="22"/>
          <w:lang w:eastAsia="cs-CZ"/>
        </w:rPr>
      </w:pPr>
      <w:hyperlink w:anchor="_Toc63685264" w:history="1">
        <w:r w:rsidR="00607153" w:rsidRPr="002E1F55">
          <w:rPr>
            <w:rStyle w:val="Hypertextovodkaz"/>
            <w:rFonts w:ascii="Calibri" w:hAnsi="Calibri"/>
            <w:b/>
            <w:bCs/>
            <w:noProof/>
            <w:spacing w:val="6"/>
            <w:lang w:bidi="hi-IN"/>
          </w:rPr>
          <w:t>Tabulka č. 11: Kumulované hospodářské výsledky – 2022–2024 (mld. Kč)</w:t>
        </w:r>
        <w:r w:rsidR="00607153">
          <w:rPr>
            <w:noProof/>
            <w:webHidden/>
          </w:rPr>
          <w:tab/>
        </w:r>
        <w:r w:rsidR="00607153">
          <w:rPr>
            <w:noProof/>
            <w:webHidden/>
          </w:rPr>
          <w:fldChar w:fldCharType="begin"/>
        </w:r>
        <w:r w:rsidR="00607153">
          <w:rPr>
            <w:noProof/>
            <w:webHidden/>
          </w:rPr>
          <w:instrText xml:space="preserve"> PAGEREF _Toc63685264 \h </w:instrText>
        </w:r>
        <w:r w:rsidR="00607153">
          <w:rPr>
            <w:noProof/>
            <w:webHidden/>
          </w:rPr>
        </w:r>
        <w:r w:rsidR="00607153">
          <w:rPr>
            <w:noProof/>
            <w:webHidden/>
          </w:rPr>
          <w:fldChar w:fldCharType="separate"/>
        </w:r>
        <w:r w:rsidR="00607153">
          <w:rPr>
            <w:noProof/>
            <w:webHidden/>
          </w:rPr>
          <w:t>21</w:t>
        </w:r>
        <w:r w:rsidR="00607153">
          <w:rPr>
            <w:noProof/>
            <w:webHidden/>
          </w:rPr>
          <w:fldChar w:fldCharType="end"/>
        </w:r>
      </w:hyperlink>
    </w:p>
    <w:p w:rsidR="00607153" w:rsidRDefault="00904B42">
      <w:pPr>
        <w:pStyle w:val="Seznamobrzk"/>
        <w:tabs>
          <w:tab w:val="right" w:leader="dot" w:pos="9628"/>
        </w:tabs>
        <w:rPr>
          <w:rFonts w:eastAsiaTheme="minorEastAsia"/>
          <w:noProof/>
          <w:sz w:val="22"/>
          <w:lang w:eastAsia="cs-CZ"/>
        </w:rPr>
      </w:pPr>
      <w:hyperlink w:anchor="_Toc63685265" w:history="1">
        <w:r w:rsidR="00607153" w:rsidRPr="002E1F55">
          <w:rPr>
            <w:rStyle w:val="Hypertextovodkaz"/>
            <w:noProof/>
            <w:lang w:bidi="hi-IN"/>
          </w:rPr>
          <w:t>Tabulka č. 12: Kumulované hospodářské výsledky – 2022–2024 (mld. Kč)</w:t>
        </w:r>
        <w:r w:rsidR="00607153">
          <w:rPr>
            <w:noProof/>
            <w:webHidden/>
          </w:rPr>
          <w:tab/>
        </w:r>
        <w:r w:rsidR="00607153">
          <w:rPr>
            <w:noProof/>
            <w:webHidden/>
          </w:rPr>
          <w:fldChar w:fldCharType="begin"/>
        </w:r>
        <w:r w:rsidR="00607153">
          <w:rPr>
            <w:noProof/>
            <w:webHidden/>
          </w:rPr>
          <w:instrText xml:space="preserve"> PAGEREF _Toc63685265 \h </w:instrText>
        </w:r>
        <w:r w:rsidR="00607153">
          <w:rPr>
            <w:noProof/>
            <w:webHidden/>
          </w:rPr>
        </w:r>
        <w:r w:rsidR="00607153">
          <w:rPr>
            <w:noProof/>
            <w:webHidden/>
          </w:rPr>
          <w:fldChar w:fldCharType="separate"/>
        </w:r>
        <w:r w:rsidR="00607153">
          <w:rPr>
            <w:noProof/>
            <w:webHidden/>
          </w:rPr>
          <w:t>22</w:t>
        </w:r>
        <w:r w:rsidR="00607153">
          <w:rPr>
            <w:noProof/>
            <w:webHidden/>
          </w:rPr>
          <w:fldChar w:fldCharType="end"/>
        </w:r>
      </w:hyperlink>
    </w:p>
    <w:p w:rsidR="00607153" w:rsidRDefault="00904B42">
      <w:pPr>
        <w:pStyle w:val="Seznamobrzk"/>
        <w:tabs>
          <w:tab w:val="right" w:leader="dot" w:pos="9628"/>
        </w:tabs>
        <w:rPr>
          <w:rFonts w:eastAsiaTheme="minorEastAsia"/>
          <w:noProof/>
          <w:sz w:val="22"/>
          <w:lang w:eastAsia="cs-CZ"/>
        </w:rPr>
      </w:pPr>
      <w:hyperlink w:anchor="_Toc63685266" w:history="1">
        <w:r w:rsidR="00607153" w:rsidRPr="002E1F55">
          <w:rPr>
            <w:rStyle w:val="Hypertextovodkaz"/>
            <w:noProof/>
            <w:lang w:bidi="hi-IN"/>
          </w:rPr>
          <w:t>Tabulka č. 13: Pojištěnci a zaměstnanci systému v. z. p. 2021 dle zdravotních pojišťoven</w:t>
        </w:r>
        <w:r w:rsidR="00607153">
          <w:rPr>
            <w:noProof/>
            <w:webHidden/>
          </w:rPr>
          <w:tab/>
        </w:r>
        <w:r w:rsidR="00607153">
          <w:rPr>
            <w:noProof/>
            <w:webHidden/>
          </w:rPr>
          <w:fldChar w:fldCharType="begin"/>
        </w:r>
        <w:r w:rsidR="00607153">
          <w:rPr>
            <w:noProof/>
            <w:webHidden/>
          </w:rPr>
          <w:instrText xml:space="preserve"> PAGEREF _Toc63685266 \h </w:instrText>
        </w:r>
        <w:r w:rsidR="00607153">
          <w:rPr>
            <w:noProof/>
            <w:webHidden/>
          </w:rPr>
        </w:r>
        <w:r w:rsidR="00607153">
          <w:rPr>
            <w:noProof/>
            <w:webHidden/>
          </w:rPr>
          <w:fldChar w:fldCharType="separate"/>
        </w:r>
        <w:r w:rsidR="00607153">
          <w:rPr>
            <w:noProof/>
            <w:webHidden/>
          </w:rPr>
          <w:t>24</w:t>
        </w:r>
        <w:r w:rsidR="00607153">
          <w:rPr>
            <w:noProof/>
            <w:webHidden/>
          </w:rPr>
          <w:fldChar w:fldCharType="end"/>
        </w:r>
      </w:hyperlink>
    </w:p>
    <w:p w:rsidR="00607153" w:rsidRDefault="00904B42">
      <w:pPr>
        <w:pStyle w:val="Seznamobrzk"/>
        <w:tabs>
          <w:tab w:val="right" w:leader="dot" w:pos="9628"/>
        </w:tabs>
        <w:rPr>
          <w:rFonts w:eastAsiaTheme="minorEastAsia"/>
          <w:noProof/>
          <w:sz w:val="22"/>
          <w:lang w:eastAsia="cs-CZ"/>
        </w:rPr>
      </w:pPr>
      <w:hyperlink w:anchor="_Toc63685267" w:history="1">
        <w:r w:rsidR="00607153" w:rsidRPr="002E1F55">
          <w:rPr>
            <w:rStyle w:val="Hypertextovodkaz"/>
            <w:noProof/>
            <w:lang w:bidi="hi-IN"/>
          </w:rPr>
          <w:t>Tabulka č. 14: Pojištěnci a zaměstnanci systému v. z. p. 2020 dle zdravotních pojišťoven</w:t>
        </w:r>
        <w:r w:rsidR="00607153">
          <w:rPr>
            <w:noProof/>
            <w:webHidden/>
          </w:rPr>
          <w:tab/>
        </w:r>
        <w:r w:rsidR="00607153">
          <w:rPr>
            <w:noProof/>
            <w:webHidden/>
          </w:rPr>
          <w:fldChar w:fldCharType="begin"/>
        </w:r>
        <w:r w:rsidR="00607153">
          <w:rPr>
            <w:noProof/>
            <w:webHidden/>
          </w:rPr>
          <w:instrText xml:space="preserve"> PAGEREF _Toc63685267 \h </w:instrText>
        </w:r>
        <w:r w:rsidR="00607153">
          <w:rPr>
            <w:noProof/>
            <w:webHidden/>
          </w:rPr>
        </w:r>
        <w:r w:rsidR="00607153">
          <w:rPr>
            <w:noProof/>
            <w:webHidden/>
          </w:rPr>
          <w:fldChar w:fldCharType="separate"/>
        </w:r>
        <w:r w:rsidR="00607153">
          <w:rPr>
            <w:noProof/>
            <w:webHidden/>
          </w:rPr>
          <w:t>24</w:t>
        </w:r>
        <w:r w:rsidR="00607153">
          <w:rPr>
            <w:noProof/>
            <w:webHidden/>
          </w:rPr>
          <w:fldChar w:fldCharType="end"/>
        </w:r>
      </w:hyperlink>
    </w:p>
    <w:p w:rsidR="00607153" w:rsidRDefault="00904B42">
      <w:pPr>
        <w:pStyle w:val="Seznamobrzk"/>
        <w:tabs>
          <w:tab w:val="right" w:leader="dot" w:pos="9628"/>
        </w:tabs>
        <w:rPr>
          <w:rFonts w:eastAsiaTheme="minorEastAsia"/>
          <w:noProof/>
          <w:sz w:val="22"/>
          <w:lang w:eastAsia="cs-CZ"/>
        </w:rPr>
      </w:pPr>
      <w:hyperlink w:anchor="_Toc63685268" w:history="1">
        <w:r w:rsidR="00607153" w:rsidRPr="002E1F55">
          <w:rPr>
            <w:rStyle w:val="Hypertextovodkaz"/>
            <w:noProof/>
            <w:lang w:bidi="hi-IN"/>
          </w:rPr>
          <w:t>Tabulka č. 15: Struktura nákladů na zdravotní služby podle jednotlivých segmentů</w:t>
        </w:r>
        <w:r w:rsidR="00607153">
          <w:rPr>
            <w:noProof/>
            <w:webHidden/>
          </w:rPr>
          <w:tab/>
        </w:r>
        <w:r w:rsidR="00607153">
          <w:rPr>
            <w:noProof/>
            <w:webHidden/>
          </w:rPr>
          <w:fldChar w:fldCharType="begin"/>
        </w:r>
        <w:r w:rsidR="00607153">
          <w:rPr>
            <w:noProof/>
            <w:webHidden/>
          </w:rPr>
          <w:instrText xml:space="preserve"> PAGEREF _Toc63685268 \h </w:instrText>
        </w:r>
        <w:r w:rsidR="00607153">
          <w:rPr>
            <w:noProof/>
            <w:webHidden/>
          </w:rPr>
        </w:r>
        <w:r w:rsidR="00607153">
          <w:rPr>
            <w:noProof/>
            <w:webHidden/>
          </w:rPr>
          <w:fldChar w:fldCharType="separate"/>
        </w:r>
        <w:r w:rsidR="00607153">
          <w:rPr>
            <w:noProof/>
            <w:webHidden/>
          </w:rPr>
          <w:t>27</w:t>
        </w:r>
        <w:r w:rsidR="00607153">
          <w:rPr>
            <w:noProof/>
            <w:webHidden/>
          </w:rPr>
          <w:fldChar w:fldCharType="end"/>
        </w:r>
      </w:hyperlink>
    </w:p>
    <w:p w:rsidR="00607153" w:rsidRDefault="00904B42">
      <w:pPr>
        <w:pStyle w:val="Seznamobrzk"/>
        <w:tabs>
          <w:tab w:val="right" w:leader="dot" w:pos="9628"/>
        </w:tabs>
        <w:rPr>
          <w:rFonts w:eastAsiaTheme="minorEastAsia"/>
          <w:noProof/>
          <w:sz w:val="22"/>
          <w:lang w:eastAsia="cs-CZ"/>
        </w:rPr>
      </w:pPr>
      <w:hyperlink w:anchor="_Toc63685269" w:history="1">
        <w:r w:rsidR="00607153" w:rsidRPr="002E1F55">
          <w:rPr>
            <w:rStyle w:val="Hypertextovodkaz"/>
            <w:noProof/>
            <w:lang w:bidi="hi-IN"/>
          </w:rPr>
          <w:t>Tabulka č. 16: Vývoj nákladů na jednotlivé segmenty</w:t>
        </w:r>
        <w:r w:rsidR="00607153">
          <w:rPr>
            <w:noProof/>
            <w:webHidden/>
          </w:rPr>
          <w:tab/>
        </w:r>
        <w:r w:rsidR="00607153">
          <w:rPr>
            <w:noProof/>
            <w:webHidden/>
          </w:rPr>
          <w:fldChar w:fldCharType="begin"/>
        </w:r>
        <w:r w:rsidR="00607153">
          <w:rPr>
            <w:noProof/>
            <w:webHidden/>
          </w:rPr>
          <w:instrText xml:space="preserve"> PAGEREF _Toc63685269 \h </w:instrText>
        </w:r>
        <w:r w:rsidR="00607153">
          <w:rPr>
            <w:noProof/>
            <w:webHidden/>
          </w:rPr>
        </w:r>
        <w:r w:rsidR="00607153">
          <w:rPr>
            <w:noProof/>
            <w:webHidden/>
          </w:rPr>
          <w:fldChar w:fldCharType="separate"/>
        </w:r>
        <w:r w:rsidR="00607153">
          <w:rPr>
            <w:noProof/>
            <w:webHidden/>
          </w:rPr>
          <w:t>28</w:t>
        </w:r>
        <w:r w:rsidR="00607153">
          <w:rPr>
            <w:noProof/>
            <w:webHidden/>
          </w:rPr>
          <w:fldChar w:fldCharType="end"/>
        </w:r>
      </w:hyperlink>
    </w:p>
    <w:p w:rsidR="00607153" w:rsidRDefault="00904B42">
      <w:pPr>
        <w:pStyle w:val="Seznamobrzk"/>
        <w:tabs>
          <w:tab w:val="right" w:leader="dot" w:pos="9628"/>
        </w:tabs>
        <w:rPr>
          <w:rFonts w:eastAsiaTheme="minorEastAsia"/>
          <w:noProof/>
          <w:sz w:val="22"/>
          <w:lang w:eastAsia="cs-CZ"/>
        </w:rPr>
      </w:pPr>
      <w:hyperlink w:anchor="_Toc63685270" w:history="1">
        <w:r w:rsidR="00607153" w:rsidRPr="002E1F55">
          <w:rPr>
            <w:rStyle w:val="Hypertextovodkaz"/>
            <w:noProof/>
            <w:lang w:bidi="hi-IN"/>
          </w:rPr>
          <w:t>Tabulka č. 17: Struktura nákladů na zdravotní služby podle jednotlivých segmentů v r. 2021 dle zdravotních pojišťoven</w:t>
        </w:r>
        <w:r w:rsidR="00607153">
          <w:rPr>
            <w:noProof/>
            <w:webHidden/>
          </w:rPr>
          <w:tab/>
        </w:r>
        <w:r w:rsidR="00607153">
          <w:rPr>
            <w:noProof/>
            <w:webHidden/>
          </w:rPr>
          <w:fldChar w:fldCharType="begin"/>
        </w:r>
        <w:r w:rsidR="00607153">
          <w:rPr>
            <w:noProof/>
            <w:webHidden/>
          </w:rPr>
          <w:instrText xml:space="preserve"> PAGEREF _Toc63685270 \h </w:instrText>
        </w:r>
        <w:r w:rsidR="00607153">
          <w:rPr>
            <w:noProof/>
            <w:webHidden/>
          </w:rPr>
        </w:r>
        <w:r w:rsidR="00607153">
          <w:rPr>
            <w:noProof/>
            <w:webHidden/>
          </w:rPr>
          <w:fldChar w:fldCharType="separate"/>
        </w:r>
        <w:r w:rsidR="00607153">
          <w:rPr>
            <w:noProof/>
            <w:webHidden/>
          </w:rPr>
          <w:t>29</w:t>
        </w:r>
        <w:r w:rsidR="00607153">
          <w:rPr>
            <w:noProof/>
            <w:webHidden/>
          </w:rPr>
          <w:fldChar w:fldCharType="end"/>
        </w:r>
      </w:hyperlink>
    </w:p>
    <w:p w:rsidR="00607153" w:rsidRDefault="00904B42">
      <w:pPr>
        <w:pStyle w:val="Seznamobrzk"/>
        <w:tabs>
          <w:tab w:val="right" w:leader="dot" w:pos="9628"/>
        </w:tabs>
        <w:rPr>
          <w:rFonts w:eastAsiaTheme="minorEastAsia"/>
          <w:noProof/>
          <w:sz w:val="22"/>
          <w:lang w:eastAsia="cs-CZ"/>
        </w:rPr>
      </w:pPr>
      <w:hyperlink w:anchor="_Toc63685271" w:history="1">
        <w:r w:rsidR="00607153" w:rsidRPr="002E1F55">
          <w:rPr>
            <w:rStyle w:val="Hypertextovodkaz"/>
            <w:noProof/>
            <w:lang w:bidi="hi-IN"/>
          </w:rPr>
          <w:t>Tabulka č. 18: Struktura nákladů na zdravotní služby podle jednotlivých segmentů v r. 2020 dle zdravotních pojišťoven</w:t>
        </w:r>
        <w:r w:rsidR="00607153">
          <w:rPr>
            <w:noProof/>
            <w:webHidden/>
          </w:rPr>
          <w:tab/>
        </w:r>
        <w:r w:rsidR="00607153">
          <w:rPr>
            <w:noProof/>
            <w:webHidden/>
          </w:rPr>
          <w:fldChar w:fldCharType="begin"/>
        </w:r>
        <w:r w:rsidR="00607153">
          <w:rPr>
            <w:noProof/>
            <w:webHidden/>
          </w:rPr>
          <w:instrText xml:space="preserve"> PAGEREF _Toc63685271 \h </w:instrText>
        </w:r>
        <w:r w:rsidR="00607153">
          <w:rPr>
            <w:noProof/>
            <w:webHidden/>
          </w:rPr>
        </w:r>
        <w:r w:rsidR="00607153">
          <w:rPr>
            <w:noProof/>
            <w:webHidden/>
          </w:rPr>
          <w:fldChar w:fldCharType="separate"/>
        </w:r>
        <w:r w:rsidR="00607153">
          <w:rPr>
            <w:noProof/>
            <w:webHidden/>
          </w:rPr>
          <w:t>29</w:t>
        </w:r>
        <w:r w:rsidR="00607153">
          <w:rPr>
            <w:noProof/>
            <w:webHidden/>
          </w:rPr>
          <w:fldChar w:fldCharType="end"/>
        </w:r>
      </w:hyperlink>
    </w:p>
    <w:p w:rsidR="00607153" w:rsidRDefault="00904B42">
      <w:pPr>
        <w:pStyle w:val="Seznamobrzk"/>
        <w:tabs>
          <w:tab w:val="right" w:leader="dot" w:pos="9628"/>
        </w:tabs>
        <w:rPr>
          <w:rFonts w:eastAsiaTheme="minorEastAsia"/>
          <w:noProof/>
          <w:sz w:val="22"/>
          <w:lang w:eastAsia="cs-CZ"/>
        </w:rPr>
      </w:pPr>
      <w:hyperlink w:anchor="_Toc63685272" w:history="1">
        <w:r w:rsidR="00607153" w:rsidRPr="002E1F55">
          <w:rPr>
            <w:rStyle w:val="Hypertextovodkaz"/>
            <w:noProof/>
            <w:lang w:bidi="hi-IN"/>
          </w:rPr>
          <w:t>Tabulka č. 19: Struktura nákladů na zdravotní služby v přepočtu na 1 pojištěnce</w:t>
        </w:r>
        <w:r w:rsidR="00607153">
          <w:rPr>
            <w:noProof/>
            <w:webHidden/>
          </w:rPr>
          <w:tab/>
        </w:r>
        <w:r w:rsidR="00607153">
          <w:rPr>
            <w:noProof/>
            <w:webHidden/>
          </w:rPr>
          <w:fldChar w:fldCharType="begin"/>
        </w:r>
        <w:r w:rsidR="00607153">
          <w:rPr>
            <w:noProof/>
            <w:webHidden/>
          </w:rPr>
          <w:instrText xml:space="preserve"> PAGEREF _Toc63685272 \h </w:instrText>
        </w:r>
        <w:r w:rsidR="00607153">
          <w:rPr>
            <w:noProof/>
            <w:webHidden/>
          </w:rPr>
        </w:r>
        <w:r w:rsidR="00607153">
          <w:rPr>
            <w:noProof/>
            <w:webHidden/>
          </w:rPr>
          <w:fldChar w:fldCharType="separate"/>
        </w:r>
        <w:r w:rsidR="00607153">
          <w:rPr>
            <w:noProof/>
            <w:webHidden/>
          </w:rPr>
          <w:t>29</w:t>
        </w:r>
        <w:r w:rsidR="00607153">
          <w:rPr>
            <w:noProof/>
            <w:webHidden/>
          </w:rPr>
          <w:fldChar w:fldCharType="end"/>
        </w:r>
      </w:hyperlink>
    </w:p>
    <w:p w:rsidR="00607153" w:rsidRDefault="00904B42">
      <w:pPr>
        <w:pStyle w:val="Seznamobrzk"/>
        <w:tabs>
          <w:tab w:val="right" w:leader="dot" w:pos="9628"/>
        </w:tabs>
        <w:rPr>
          <w:rFonts w:eastAsiaTheme="minorEastAsia"/>
          <w:noProof/>
          <w:sz w:val="22"/>
          <w:lang w:eastAsia="cs-CZ"/>
        </w:rPr>
      </w:pPr>
      <w:hyperlink w:anchor="_Toc63685273" w:history="1">
        <w:r w:rsidR="00607153" w:rsidRPr="002E1F55">
          <w:rPr>
            <w:rStyle w:val="Hypertextovodkaz"/>
            <w:noProof/>
            <w:lang w:bidi="hi-IN"/>
          </w:rPr>
          <w:t>Tabulka č. 20: Struktura nákladů na zdravotní služby v přepočtu na 1 pojištěnce v r. 2021 dle zdravotních pojišťoven</w:t>
        </w:r>
        <w:r w:rsidR="00607153">
          <w:rPr>
            <w:noProof/>
            <w:webHidden/>
          </w:rPr>
          <w:tab/>
        </w:r>
        <w:r w:rsidR="00607153">
          <w:rPr>
            <w:noProof/>
            <w:webHidden/>
          </w:rPr>
          <w:fldChar w:fldCharType="begin"/>
        </w:r>
        <w:r w:rsidR="00607153">
          <w:rPr>
            <w:noProof/>
            <w:webHidden/>
          </w:rPr>
          <w:instrText xml:space="preserve"> PAGEREF _Toc63685273 \h </w:instrText>
        </w:r>
        <w:r w:rsidR="00607153">
          <w:rPr>
            <w:noProof/>
            <w:webHidden/>
          </w:rPr>
        </w:r>
        <w:r w:rsidR="00607153">
          <w:rPr>
            <w:noProof/>
            <w:webHidden/>
          </w:rPr>
          <w:fldChar w:fldCharType="separate"/>
        </w:r>
        <w:r w:rsidR="00607153">
          <w:rPr>
            <w:noProof/>
            <w:webHidden/>
          </w:rPr>
          <w:t>31</w:t>
        </w:r>
        <w:r w:rsidR="00607153">
          <w:rPr>
            <w:noProof/>
            <w:webHidden/>
          </w:rPr>
          <w:fldChar w:fldCharType="end"/>
        </w:r>
      </w:hyperlink>
    </w:p>
    <w:p w:rsidR="00607153" w:rsidRDefault="00904B42">
      <w:pPr>
        <w:pStyle w:val="Seznamobrzk"/>
        <w:tabs>
          <w:tab w:val="right" w:leader="dot" w:pos="9628"/>
        </w:tabs>
        <w:rPr>
          <w:rFonts w:eastAsiaTheme="minorEastAsia"/>
          <w:noProof/>
          <w:sz w:val="22"/>
          <w:lang w:eastAsia="cs-CZ"/>
        </w:rPr>
      </w:pPr>
      <w:hyperlink w:anchor="_Toc63685274" w:history="1">
        <w:r w:rsidR="00607153" w:rsidRPr="002E1F55">
          <w:rPr>
            <w:rStyle w:val="Hypertextovodkaz"/>
            <w:noProof/>
            <w:lang w:bidi="hi-IN"/>
          </w:rPr>
          <w:t>Tabulka č. 21: Struktura nákladů na zdravotní služby v přepočtu na 1 pojištěnce v r. 2020 dle zdravotních pojišťoven</w:t>
        </w:r>
        <w:r w:rsidR="00607153">
          <w:rPr>
            <w:noProof/>
            <w:webHidden/>
          </w:rPr>
          <w:tab/>
        </w:r>
        <w:r w:rsidR="00607153">
          <w:rPr>
            <w:noProof/>
            <w:webHidden/>
          </w:rPr>
          <w:fldChar w:fldCharType="begin"/>
        </w:r>
        <w:r w:rsidR="00607153">
          <w:rPr>
            <w:noProof/>
            <w:webHidden/>
          </w:rPr>
          <w:instrText xml:space="preserve"> PAGEREF _Toc63685274 \h </w:instrText>
        </w:r>
        <w:r w:rsidR="00607153">
          <w:rPr>
            <w:noProof/>
            <w:webHidden/>
          </w:rPr>
        </w:r>
        <w:r w:rsidR="00607153">
          <w:rPr>
            <w:noProof/>
            <w:webHidden/>
          </w:rPr>
          <w:fldChar w:fldCharType="separate"/>
        </w:r>
        <w:r w:rsidR="00607153">
          <w:rPr>
            <w:noProof/>
            <w:webHidden/>
          </w:rPr>
          <w:t>31</w:t>
        </w:r>
        <w:r w:rsidR="00607153">
          <w:rPr>
            <w:noProof/>
            <w:webHidden/>
          </w:rPr>
          <w:fldChar w:fldCharType="end"/>
        </w:r>
      </w:hyperlink>
    </w:p>
    <w:p w:rsidR="00607153" w:rsidRDefault="00904B42">
      <w:pPr>
        <w:pStyle w:val="Seznamobrzk"/>
        <w:tabs>
          <w:tab w:val="right" w:leader="dot" w:pos="9628"/>
        </w:tabs>
        <w:rPr>
          <w:rFonts w:eastAsiaTheme="minorEastAsia"/>
          <w:noProof/>
          <w:sz w:val="22"/>
          <w:lang w:eastAsia="cs-CZ"/>
        </w:rPr>
      </w:pPr>
      <w:hyperlink w:anchor="_Toc63685275" w:history="1">
        <w:r w:rsidR="00607153" w:rsidRPr="002E1F55">
          <w:rPr>
            <w:rStyle w:val="Hypertextovodkaz"/>
            <w:noProof/>
            <w:lang w:bidi="hi-IN"/>
          </w:rPr>
          <w:t>Tabulka č. 22: Vývoj nákladů na léčení zahraničních pojištěnců v České republice</w:t>
        </w:r>
        <w:r w:rsidR="00607153">
          <w:rPr>
            <w:noProof/>
            <w:webHidden/>
          </w:rPr>
          <w:tab/>
        </w:r>
        <w:r w:rsidR="00607153">
          <w:rPr>
            <w:noProof/>
            <w:webHidden/>
          </w:rPr>
          <w:fldChar w:fldCharType="begin"/>
        </w:r>
        <w:r w:rsidR="00607153">
          <w:rPr>
            <w:noProof/>
            <w:webHidden/>
          </w:rPr>
          <w:instrText xml:space="preserve"> PAGEREF _Toc63685275 \h </w:instrText>
        </w:r>
        <w:r w:rsidR="00607153">
          <w:rPr>
            <w:noProof/>
            <w:webHidden/>
          </w:rPr>
        </w:r>
        <w:r w:rsidR="00607153">
          <w:rPr>
            <w:noProof/>
            <w:webHidden/>
          </w:rPr>
          <w:fldChar w:fldCharType="separate"/>
        </w:r>
        <w:r w:rsidR="00607153">
          <w:rPr>
            <w:noProof/>
            <w:webHidden/>
          </w:rPr>
          <w:t>31</w:t>
        </w:r>
        <w:r w:rsidR="00607153">
          <w:rPr>
            <w:noProof/>
            <w:webHidden/>
          </w:rPr>
          <w:fldChar w:fldCharType="end"/>
        </w:r>
      </w:hyperlink>
    </w:p>
    <w:p w:rsidR="00607153" w:rsidRDefault="00904B42">
      <w:pPr>
        <w:pStyle w:val="Seznamobrzk"/>
        <w:tabs>
          <w:tab w:val="right" w:leader="dot" w:pos="9628"/>
        </w:tabs>
        <w:rPr>
          <w:rFonts w:eastAsiaTheme="minorEastAsia"/>
          <w:noProof/>
          <w:sz w:val="22"/>
          <w:lang w:eastAsia="cs-CZ"/>
        </w:rPr>
      </w:pPr>
      <w:hyperlink w:anchor="_Toc63685276" w:history="1">
        <w:r w:rsidR="00607153" w:rsidRPr="002E1F55">
          <w:rPr>
            <w:rStyle w:val="Hypertextovodkaz"/>
            <w:noProof/>
            <w:lang w:bidi="hi-IN"/>
          </w:rPr>
          <w:t>Tabulka č. 23: Vývoj nákladů na léčení zahraničních pojištěnců v České republice v r. 2021 dle zdravotních pojišťoven</w:t>
        </w:r>
        <w:r w:rsidR="00607153">
          <w:rPr>
            <w:noProof/>
            <w:webHidden/>
          </w:rPr>
          <w:tab/>
        </w:r>
        <w:r w:rsidR="00607153">
          <w:rPr>
            <w:noProof/>
            <w:webHidden/>
          </w:rPr>
          <w:fldChar w:fldCharType="begin"/>
        </w:r>
        <w:r w:rsidR="00607153">
          <w:rPr>
            <w:noProof/>
            <w:webHidden/>
          </w:rPr>
          <w:instrText xml:space="preserve"> PAGEREF _Toc63685276 \h </w:instrText>
        </w:r>
        <w:r w:rsidR="00607153">
          <w:rPr>
            <w:noProof/>
            <w:webHidden/>
          </w:rPr>
        </w:r>
        <w:r w:rsidR="00607153">
          <w:rPr>
            <w:noProof/>
            <w:webHidden/>
          </w:rPr>
          <w:fldChar w:fldCharType="separate"/>
        </w:r>
        <w:r w:rsidR="00607153">
          <w:rPr>
            <w:noProof/>
            <w:webHidden/>
          </w:rPr>
          <w:t>32</w:t>
        </w:r>
        <w:r w:rsidR="00607153">
          <w:rPr>
            <w:noProof/>
            <w:webHidden/>
          </w:rPr>
          <w:fldChar w:fldCharType="end"/>
        </w:r>
      </w:hyperlink>
    </w:p>
    <w:p w:rsidR="00607153" w:rsidRDefault="00904B42">
      <w:pPr>
        <w:pStyle w:val="Seznamobrzk"/>
        <w:tabs>
          <w:tab w:val="right" w:leader="dot" w:pos="9628"/>
        </w:tabs>
        <w:rPr>
          <w:rFonts w:eastAsiaTheme="minorEastAsia"/>
          <w:noProof/>
          <w:sz w:val="22"/>
          <w:lang w:eastAsia="cs-CZ"/>
        </w:rPr>
      </w:pPr>
      <w:hyperlink w:anchor="_Toc63685277" w:history="1">
        <w:r w:rsidR="00607153" w:rsidRPr="002E1F55">
          <w:rPr>
            <w:rStyle w:val="Hypertextovodkaz"/>
            <w:noProof/>
            <w:lang w:bidi="hi-IN"/>
          </w:rPr>
          <w:t>Tabulka č. 24: Vývoj nákladů na léčení zahraničních pojištěnců v České republice v r. 2020 dle zdravotních pojišťoven</w:t>
        </w:r>
        <w:r w:rsidR="00607153">
          <w:rPr>
            <w:noProof/>
            <w:webHidden/>
          </w:rPr>
          <w:tab/>
        </w:r>
        <w:r w:rsidR="00607153">
          <w:rPr>
            <w:noProof/>
            <w:webHidden/>
          </w:rPr>
          <w:fldChar w:fldCharType="begin"/>
        </w:r>
        <w:r w:rsidR="00607153">
          <w:rPr>
            <w:noProof/>
            <w:webHidden/>
          </w:rPr>
          <w:instrText xml:space="preserve"> PAGEREF _Toc63685277 \h </w:instrText>
        </w:r>
        <w:r w:rsidR="00607153">
          <w:rPr>
            <w:noProof/>
            <w:webHidden/>
          </w:rPr>
        </w:r>
        <w:r w:rsidR="00607153">
          <w:rPr>
            <w:noProof/>
            <w:webHidden/>
          </w:rPr>
          <w:fldChar w:fldCharType="separate"/>
        </w:r>
        <w:r w:rsidR="00607153">
          <w:rPr>
            <w:noProof/>
            <w:webHidden/>
          </w:rPr>
          <w:t>32</w:t>
        </w:r>
        <w:r w:rsidR="00607153">
          <w:rPr>
            <w:noProof/>
            <w:webHidden/>
          </w:rPr>
          <w:fldChar w:fldCharType="end"/>
        </w:r>
      </w:hyperlink>
    </w:p>
    <w:p w:rsidR="00607153" w:rsidRDefault="00904B42">
      <w:pPr>
        <w:pStyle w:val="Seznamobrzk"/>
        <w:tabs>
          <w:tab w:val="right" w:leader="dot" w:pos="9628"/>
        </w:tabs>
        <w:rPr>
          <w:rFonts w:eastAsiaTheme="minorEastAsia"/>
          <w:noProof/>
          <w:sz w:val="22"/>
          <w:lang w:eastAsia="cs-CZ"/>
        </w:rPr>
      </w:pPr>
      <w:hyperlink w:anchor="_Toc63685278" w:history="1">
        <w:r w:rsidR="00607153" w:rsidRPr="002E1F55">
          <w:rPr>
            <w:rStyle w:val="Hypertextovodkaz"/>
            <w:noProof/>
            <w:lang w:bidi="hi-IN"/>
          </w:rPr>
          <w:t>Tabulka č. 25: Náklady na preventivní zdravotní péči čerpané z fondu prevence</w:t>
        </w:r>
        <w:r w:rsidR="00607153">
          <w:rPr>
            <w:noProof/>
            <w:webHidden/>
          </w:rPr>
          <w:tab/>
        </w:r>
        <w:r w:rsidR="00607153">
          <w:rPr>
            <w:noProof/>
            <w:webHidden/>
          </w:rPr>
          <w:fldChar w:fldCharType="begin"/>
        </w:r>
        <w:r w:rsidR="00607153">
          <w:rPr>
            <w:noProof/>
            <w:webHidden/>
          </w:rPr>
          <w:instrText xml:space="preserve"> PAGEREF _Toc63685278 \h </w:instrText>
        </w:r>
        <w:r w:rsidR="00607153">
          <w:rPr>
            <w:noProof/>
            <w:webHidden/>
          </w:rPr>
        </w:r>
        <w:r w:rsidR="00607153">
          <w:rPr>
            <w:noProof/>
            <w:webHidden/>
          </w:rPr>
          <w:fldChar w:fldCharType="separate"/>
        </w:r>
        <w:r w:rsidR="00607153">
          <w:rPr>
            <w:noProof/>
            <w:webHidden/>
          </w:rPr>
          <w:t>33</w:t>
        </w:r>
        <w:r w:rsidR="00607153">
          <w:rPr>
            <w:noProof/>
            <w:webHidden/>
          </w:rPr>
          <w:fldChar w:fldCharType="end"/>
        </w:r>
      </w:hyperlink>
    </w:p>
    <w:p w:rsidR="00607153" w:rsidRDefault="00904B42">
      <w:pPr>
        <w:pStyle w:val="Seznamobrzk"/>
        <w:tabs>
          <w:tab w:val="right" w:leader="dot" w:pos="9628"/>
        </w:tabs>
        <w:rPr>
          <w:rFonts w:eastAsiaTheme="minorEastAsia"/>
          <w:noProof/>
          <w:sz w:val="22"/>
          <w:lang w:eastAsia="cs-CZ"/>
        </w:rPr>
      </w:pPr>
      <w:hyperlink w:anchor="_Toc63685279" w:history="1">
        <w:r w:rsidR="00607153" w:rsidRPr="002E1F55">
          <w:rPr>
            <w:rStyle w:val="Hypertextovodkaz"/>
            <w:noProof/>
            <w:lang w:bidi="hi-IN"/>
          </w:rPr>
          <w:t>Tabulka č. 26: Náklady na preventivní zdravotní péči čerpané z fondu prevence v r. 2021 dle zdravotních pojišťoven</w:t>
        </w:r>
        <w:r w:rsidR="00607153">
          <w:rPr>
            <w:noProof/>
            <w:webHidden/>
          </w:rPr>
          <w:tab/>
        </w:r>
        <w:r w:rsidR="00607153">
          <w:rPr>
            <w:noProof/>
            <w:webHidden/>
          </w:rPr>
          <w:fldChar w:fldCharType="begin"/>
        </w:r>
        <w:r w:rsidR="00607153">
          <w:rPr>
            <w:noProof/>
            <w:webHidden/>
          </w:rPr>
          <w:instrText xml:space="preserve"> PAGEREF _Toc63685279 \h </w:instrText>
        </w:r>
        <w:r w:rsidR="00607153">
          <w:rPr>
            <w:noProof/>
            <w:webHidden/>
          </w:rPr>
        </w:r>
        <w:r w:rsidR="00607153">
          <w:rPr>
            <w:noProof/>
            <w:webHidden/>
          </w:rPr>
          <w:fldChar w:fldCharType="separate"/>
        </w:r>
        <w:r w:rsidR="00607153">
          <w:rPr>
            <w:noProof/>
            <w:webHidden/>
          </w:rPr>
          <w:t>33</w:t>
        </w:r>
        <w:r w:rsidR="00607153">
          <w:rPr>
            <w:noProof/>
            <w:webHidden/>
          </w:rPr>
          <w:fldChar w:fldCharType="end"/>
        </w:r>
      </w:hyperlink>
    </w:p>
    <w:p w:rsidR="00607153" w:rsidRDefault="00904B42">
      <w:pPr>
        <w:pStyle w:val="Seznamobrzk"/>
        <w:tabs>
          <w:tab w:val="right" w:leader="dot" w:pos="9628"/>
        </w:tabs>
        <w:rPr>
          <w:rFonts w:eastAsiaTheme="minorEastAsia"/>
          <w:noProof/>
          <w:sz w:val="22"/>
          <w:lang w:eastAsia="cs-CZ"/>
        </w:rPr>
      </w:pPr>
      <w:hyperlink w:anchor="_Toc63685280" w:history="1">
        <w:r w:rsidR="00607153" w:rsidRPr="002E1F55">
          <w:rPr>
            <w:rStyle w:val="Hypertextovodkaz"/>
            <w:noProof/>
            <w:lang w:bidi="hi-IN"/>
          </w:rPr>
          <w:t>Tabulka č. 27: Náklady na preventivní zdravotní péči čerpané z fondu prevence v r. 2020 dle zdravotních pojišťoven</w:t>
        </w:r>
        <w:r w:rsidR="00607153">
          <w:rPr>
            <w:noProof/>
            <w:webHidden/>
          </w:rPr>
          <w:tab/>
        </w:r>
        <w:r w:rsidR="00607153">
          <w:rPr>
            <w:noProof/>
            <w:webHidden/>
          </w:rPr>
          <w:fldChar w:fldCharType="begin"/>
        </w:r>
        <w:r w:rsidR="00607153">
          <w:rPr>
            <w:noProof/>
            <w:webHidden/>
          </w:rPr>
          <w:instrText xml:space="preserve"> PAGEREF _Toc63685280 \h </w:instrText>
        </w:r>
        <w:r w:rsidR="00607153">
          <w:rPr>
            <w:noProof/>
            <w:webHidden/>
          </w:rPr>
        </w:r>
        <w:r w:rsidR="00607153">
          <w:rPr>
            <w:noProof/>
            <w:webHidden/>
          </w:rPr>
          <w:fldChar w:fldCharType="separate"/>
        </w:r>
        <w:r w:rsidR="00607153">
          <w:rPr>
            <w:noProof/>
            <w:webHidden/>
          </w:rPr>
          <w:t>34</w:t>
        </w:r>
        <w:r w:rsidR="00607153">
          <w:rPr>
            <w:noProof/>
            <w:webHidden/>
          </w:rPr>
          <w:fldChar w:fldCharType="end"/>
        </w:r>
      </w:hyperlink>
    </w:p>
    <w:p w:rsidR="00111366" w:rsidRDefault="008E5E29" w:rsidP="00111366">
      <w:r>
        <w:fldChar w:fldCharType="end"/>
      </w:r>
      <w:r w:rsidR="00111366">
        <w:br w:type="page"/>
      </w:r>
    </w:p>
    <w:p w:rsidR="00111366" w:rsidRPr="00AF37E6" w:rsidRDefault="00111366" w:rsidP="00111366">
      <w:pPr>
        <w:pStyle w:val="Nadpis1"/>
      </w:pPr>
      <w:bookmarkStart w:id="88" w:name="_Toc63684692"/>
      <w:r>
        <w:lastRenderedPageBreak/>
        <w:t>Tabulková příloha</w:t>
      </w:r>
      <w:bookmarkEnd w:id="88"/>
    </w:p>
    <w:p w:rsidR="00355502" w:rsidRDefault="00355502" w:rsidP="00355502">
      <w:pPr>
        <w:jc w:val="both"/>
      </w:pPr>
      <w:r w:rsidRPr="00CE63EA">
        <w:rPr>
          <w:szCs w:val="21"/>
        </w:rPr>
        <w:t xml:space="preserve">Tabulková příloha podrobněji </w:t>
      </w:r>
      <w:r>
        <w:rPr>
          <w:szCs w:val="21"/>
        </w:rPr>
        <w:t>zobrazuje</w:t>
      </w:r>
      <w:r w:rsidRPr="00CE63EA">
        <w:rPr>
          <w:rFonts w:ascii="Calibri" w:hAnsi="Calibri"/>
          <w:spacing w:val="-10"/>
          <w:szCs w:val="21"/>
        </w:rPr>
        <w:t xml:space="preserve"> vývoj systému veřejného zdravotního pojištění</w:t>
      </w:r>
      <w:r>
        <w:rPr>
          <w:rFonts w:ascii="Calibri" w:hAnsi="Calibri"/>
          <w:spacing w:val="-10"/>
          <w:szCs w:val="21"/>
        </w:rPr>
        <w:t xml:space="preserve"> jako celku i</w:t>
      </w:r>
      <w:r w:rsidRPr="00CE63EA">
        <w:rPr>
          <w:rFonts w:ascii="Calibri" w:hAnsi="Calibri"/>
          <w:spacing w:val="-10"/>
          <w:szCs w:val="21"/>
        </w:rPr>
        <w:t xml:space="preserve"> jednotlivý</w:t>
      </w:r>
      <w:r>
        <w:rPr>
          <w:rFonts w:ascii="Calibri" w:hAnsi="Calibri"/>
          <w:spacing w:val="-10"/>
          <w:szCs w:val="21"/>
        </w:rPr>
        <w:t>ch</w:t>
      </w:r>
      <w:r w:rsidRPr="00CE63EA">
        <w:rPr>
          <w:rFonts w:ascii="Calibri" w:hAnsi="Calibri"/>
          <w:spacing w:val="-10"/>
          <w:szCs w:val="21"/>
        </w:rPr>
        <w:t xml:space="preserve"> </w:t>
      </w:r>
      <w:r>
        <w:rPr>
          <w:rFonts w:ascii="Calibri" w:hAnsi="Calibri"/>
          <w:spacing w:val="-10"/>
          <w:szCs w:val="21"/>
        </w:rPr>
        <w:t xml:space="preserve">zdravotních </w:t>
      </w:r>
      <w:r w:rsidRPr="00CE63EA">
        <w:rPr>
          <w:rFonts w:ascii="Calibri" w:hAnsi="Calibri"/>
          <w:spacing w:val="-10"/>
          <w:szCs w:val="21"/>
        </w:rPr>
        <w:t>pojišťov</w:t>
      </w:r>
      <w:r>
        <w:rPr>
          <w:rFonts w:ascii="Calibri" w:hAnsi="Calibri"/>
          <w:spacing w:val="-10"/>
          <w:szCs w:val="21"/>
        </w:rPr>
        <w:t>e</w:t>
      </w:r>
      <w:r w:rsidRPr="00CE63EA">
        <w:rPr>
          <w:rFonts w:ascii="Calibri" w:hAnsi="Calibri"/>
          <w:spacing w:val="-10"/>
          <w:szCs w:val="21"/>
        </w:rPr>
        <w:t>n.</w:t>
      </w:r>
      <w:r w:rsidRPr="00CE63EA">
        <w:t xml:space="preserve"> </w:t>
      </w:r>
    </w:p>
    <w:p w:rsidR="00F361A0" w:rsidRDefault="00355502" w:rsidP="006728D2">
      <w:pPr>
        <w:rPr>
          <w:rFonts w:cstheme="minorHAnsi"/>
          <w:szCs w:val="28"/>
        </w:rPr>
      </w:pPr>
      <w:bookmarkStart w:id="89" w:name="_Toc25072442"/>
      <w:r w:rsidRPr="00DC14CC">
        <w:rPr>
          <w:rFonts w:cstheme="minorHAnsi"/>
          <w:b/>
          <w:color w:val="4F81BD" w:themeColor="accent1"/>
          <w:sz w:val="28"/>
          <w:szCs w:val="28"/>
        </w:rPr>
        <w:t>Přehled</w:t>
      </w:r>
      <w:bookmarkEnd w:id="89"/>
    </w:p>
    <w:p w:rsidR="00355502" w:rsidRPr="00E9516F" w:rsidRDefault="00355502" w:rsidP="00355502">
      <w:pPr>
        <w:spacing w:line="23" w:lineRule="atLeast"/>
        <w:ind w:left="2127" w:hanging="2127"/>
        <w:jc w:val="both"/>
      </w:pPr>
      <w:r w:rsidRPr="005564BB">
        <w:rPr>
          <w:b/>
        </w:rPr>
        <w:t>Tabulka č. 1</w:t>
      </w:r>
      <w:r w:rsidRPr="005564BB">
        <w:rPr>
          <w:b/>
        </w:rPr>
        <w:tab/>
      </w:r>
      <w:r w:rsidRPr="005564BB">
        <w:t xml:space="preserve">Vybrané ukazatele hospodaření zdravotních pojišťoven v oč. skut. r. </w:t>
      </w:r>
      <w:r w:rsidR="00A65F2E" w:rsidRPr="005564BB">
        <w:t>20</w:t>
      </w:r>
      <w:r w:rsidR="00A65F2E">
        <w:t>20</w:t>
      </w:r>
      <w:r w:rsidR="00A65F2E" w:rsidRPr="005564BB">
        <w:t xml:space="preserve"> </w:t>
      </w:r>
      <w:r w:rsidRPr="005564BB">
        <w:t xml:space="preserve">a ZPP </w:t>
      </w:r>
      <w:r w:rsidR="00A65F2E" w:rsidRPr="005564BB">
        <w:t>20</w:t>
      </w:r>
      <w:r w:rsidR="00A65F2E">
        <w:t>21</w:t>
      </w:r>
    </w:p>
    <w:p w:rsidR="00355502" w:rsidRPr="005564BB" w:rsidRDefault="00355502" w:rsidP="00355502">
      <w:pPr>
        <w:spacing w:line="23" w:lineRule="atLeast"/>
        <w:ind w:left="2127" w:hanging="2127"/>
        <w:jc w:val="both"/>
        <w:rPr>
          <w:b/>
        </w:rPr>
      </w:pPr>
      <w:r w:rsidRPr="005564BB">
        <w:rPr>
          <w:b/>
        </w:rPr>
        <w:t>Tabulka č. 1a</w:t>
      </w:r>
      <w:r w:rsidRPr="005564BB">
        <w:rPr>
          <w:b/>
        </w:rPr>
        <w:tab/>
      </w:r>
      <w:r w:rsidRPr="005564BB">
        <w:t>Náklady na činnost zdravotních pojišťoven v oč. skut. r. </w:t>
      </w:r>
      <w:r w:rsidR="00A65F2E" w:rsidRPr="005564BB">
        <w:t>20</w:t>
      </w:r>
      <w:r w:rsidR="00A65F2E">
        <w:t>20</w:t>
      </w:r>
      <w:r w:rsidR="00A65F2E" w:rsidRPr="005564BB">
        <w:t xml:space="preserve"> </w:t>
      </w:r>
      <w:r w:rsidRPr="005564BB">
        <w:t>a ZPP 20</w:t>
      </w:r>
      <w:r>
        <w:t>2</w:t>
      </w:r>
      <w:r w:rsidR="00A65F2E">
        <w:t>1</w:t>
      </w:r>
    </w:p>
    <w:p w:rsidR="00355502" w:rsidRPr="005564BB" w:rsidRDefault="00355502" w:rsidP="00355502">
      <w:pPr>
        <w:spacing w:line="23" w:lineRule="atLeast"/>
        <w:ind w:left="2127" w:hanging="2127"/>
        <w:jc w:val="both"/>
        <w:rPr>
          <w:b/>
        </w:rPr>
      </w:pPr>
      <w:r w:rsidRPr="005564BB">
        <w:rPr>
          <w:b/>
        </w:rPr>
        <w:t>Tabulka č. 1b</w:t>
      </w:r>
      <w:r w:rsidRPr="005564BB">
        <w:rPr>
          <w:b/>
        </w:rPr>
        <w:tab/>
      </w:r>
      <w:r w:rsidRPr="005564BB">
        <w:t xml:space="preserve">Finanční zůstatky na bankovních účtech základního fondu zdravotního pojištění podle jednotlivých zdravotních pojišťoven v oč. skut. r. </w:t>
      </w:r>
      <w:r w:rsidR="00A65F2E" w:rsidRPr="005564BB">
        <w:t>20</w:t>
      </w:r>
      <w:r w:rsidR="00A65F2E">
        <w:t>20</w:t>
      </w:r>
      <w:r w:rsidR="00A65F2E" w:rsidRPr="005564BB">
        <w:t xml:space="preserve"> </w:t>
      </w:r>
      <w:r w:rsidRPr="005564BB">
        <w:t>a ZPP 20</w:t>
      </w:r>
      <w:r>
        <w:t>2</w:t>
      </w:r>
      <w:r w:rsidR="00A65F2E">
        <w:t>1</w:t>
      </w:r>
    </w:p>
    <w:p w:rsidR="00355502" w:rsidRPr="007E1F99" w:rsidRDefault="00355502" w:rsidP="00355502">
      <w:pPr>
        <w:spacing w:line="23" w:lineRule="atLeast"/>
        <w:ind w:left="2127" w:hanging="2127"/>
        <w:jc w:val="both"/>
        <w:rPr>
          <w:b/>
        </w:rPr>
      </w:pPr>
      <w:r w:rsidRPr="005564BB">
        <w:rPr>
          <w:b/>
        </w:rPr>
        <w:t>Tabulka č. 1c</w:t>
      </w:r>
      <w:r w:rsidRPr="005564BB">
        <w:rPr>
          <w:b/>
        </w:rPr>
        <w:tab/>
      </w:r>
      <w:r w:rsidRPr="005564BB">
        <w:t xml:space="preserve">Výstupy z přerozdělování platby státu podle očekávané skutečnosti </w:t>
      </w:r>
      <w:r w:rsidR="00A65F2E">
        <w:t>2020</w:t>
      </w:r>
      <w:r w:rsidR="00A65F2E" w:rsidRPr="005564BB">
        <w:t xml:space="preserve"> </w:t>
      </w:r>
      <w:r w:rsidRPr="005564BB">
        <w:t>a ZPP 20</w:t>
      </w:r>
      <w:r>
        <w:t>2</w:t>
      </w:r>
      <w:r w:rsidR="00A65F2E">
        <w:t>1</w:t>
      </w:r>
    </w:p>
    <w:p w:rsidR="00355502" w:rsidRPr="00E9516F" w:rsidRDefault="00355502" w:rsidP="00355502">
      <w:pPr>
        <w:spacing w:line="23" w:lineRule="atLeast"/>
        <w:ind w:left="2127" w:hanging="2127"/>
        <w:jc w:val="both"/>
      </w:pPr>
      <w:r w:rsidRPr="005564BB">
        <w:rPr>
          <w:b/>
        </w:rPr>
        <w:t>Tabulka č. 2</w:t>
      </w:r>
      <w:r w:rsidRPr="005564BB">
        <w:rPr>
          <w:b/>
        </w:rPr>
        <w:tab/>
      </w:r>
      <w:r w:rsidRPr="007E1F99">
        <w:t xml:space="preserve">Vývoj hospodaření systému veřejného zdravotního pojištění v letech </w:t>
      </w:r>
      <w:r w:rsidR="00A65F2E">
        <w:t>2017</w:t>
      </w:r>
      <w:r w:rsidR="00A65F2E" w:rsidRPr="007E1F99">
        <w:t xml:space="preserve"> </w:t>
      </w:r>
      <w:r w:rsidRPr="007E1F99">
        <w:t>až 20</w:t>
      </w:r>
      <w:r>
        <w:t>2</w:t>
      </w:r>
      <w:r w:rsidR="00456113">
        <w:t>1</w:t>
      </w:r>
    </w:p>
    <w:p w:rsidR="00355502" w:rsidRPr="005564BB" w:rsidRDefault="00355502" w:rsidP="00355502">
      <w:pPr>
        <w:spacing w:line="23" w:lineRule="atLeast"/>
        <w:ind w:left="2127" w:hanging="2127"/>
        <w:jc w:val="both"/>
        <w:rPr>
          <w:b/>
        </w:rPr>
      </w:pPr>
      <w:r w:rsidRPr="005564BB">
        <w:rPr>
          <w:b/>
        </w:rPr>
        <w:t xml:space="preserve">Tabulka č. 3 </w:t>
      </w:r>
      <w:r w:rsidRPr="005564BB">
        <w:rPr>
          <w:b/>
        </w:rPr>
        <w:tab/>
      </w:r>
      <w:r w:rsidRPr="007E1F99">
        <w:t>Výše finančních prostředků na bankovních účtech rezervních fondů</w:t>
      </w:r>
    </w:p>
    <w:p w:rsidR="00355502" w:rsidRPr="007E1F99" w:rsidRDefault="00355502" w:rsidP="00355502">
      <w:pPr>
        <w:spacing w:line="23" w:lineRule="atLeast"/>
        <w:ind w:left="2127" w:hanging="2127"/>
        <w:jc w:val="both"/>
        <w:rPr>
          <w:b/>
        </w:rPr>
      </w:pPr>
      <w:r w:rsidRPr="005564BB">
        <w:rPr>
          <w:b/>
        </w:rPr>
        <w:t>Tabulka č. 4</w:t>
      </w:r>
      <w:r w:rsidRPr="005564BB">
        <w:rPr>
          <w:b/>
        </w:rPr>
        <w:tab/>
      </w:r>
      <w:r w:rsidRPr="007E1F99">
        <w:t>Struktura nákladů na zdravotní služby podle jednotlivých segmentů</w:t>
      </w:r>
      <w:r w:rsidRPr="005564BB">
        <w:rPr>
          <w:b/>
        </w:rPr>
        <w:t xml:space="preserve"> </w:t>
      </w:r>
    </w:p>
    <w:p w:rsidR="00355502" w:rsidRPr="005564BB" w:rsidRDefault="00355502" w:rsidP="00355502">
      <w:pPr>
        <w:spacing w:line="23" w:lineRule="atLeast"/>
        <w:ind w:left="2127" w:hanging="2127"/>
        <w:jc w:val="both"/>
        <w:rPr>
          <w:b/>
        </w:rPr>
      </w:pPr>
      <w:r w:rsidRPr="005564BB">
        <w:rPr>
          <w:b/>
        </w:rPr>
        <w:t>Tabulka č. 4a</w:t>
      </w:r>
      <w:r w:rsidRPr="005564BB">
        <w:rPr>
          <w:b/>
        </w:rPr>
        <w:tab/>
      </w:r>
      <w:r w:rsidRPr="007E1F99">
        <w:t xml:space="preserve">Struktura nákladů na zdravotní služby podle jednotlivých segmentů v přepočtu na 1 pojištěnce </w:t>
      </w:r>
    </w:p>
    <w:p w:rsidR="00355502" w:rsidRPr="00E9516F" w:rsidRDefault="00355502" w:rsidP="00355502">
      <w:pPr>
        <w:spacing w:line="23" w:lineRule="atLeast"/>
        <w:ind w:left="2127" w:hanging="2127"/>
        <w:jc w:val="both"/>
      </w:pPr>
      <w:r w:rsidRPr="007E1F99">
        <w:rPr>
          <w:b/>
        </w:rPr>
        <w:t>Tabulka č. 4b</w:t>
      </w:r>
      <w:r w:rsidRPr="00E9516F">
        <w:tab/>
      </w:r>
      <w:r w:rsidRPr="007E1F99">
        <w:t>Vývoj nákladů na léčení zahraničních pojištěnců v České</w:t>
      </w:r>
      <w:r w:rsidRPr="00E9516F">
        <w:t xml:space="preserve"> republice na základě uzavřených mezinárodních smluv</w:t>
      </w:r>
    </w:p>
    <w:p w:rsidR="00355502" w:rsidRPr="007E1F99" w:rsidRDefault="00355502" w:rsidP="00355502">
      <w:pPr>
        <w:spacing w:line="23" w:lineRule="atLeast"/>
        <w:ind w:left="2127" w:hanging="2127"/>
        <w:jc w:val="both"/>
      </w:pPr>
      <w:r w:rsidRPr="007E1F99">
        <w:rPr>
          <w:b/>
        </w:rPr>
        <w:t>Tabulka č. 4c</w:t>
      </w:r>
      <w:r w:rsidRPr="007E1F99">
        <w:rPr>
          <w:b/>
        </w:rPr>
        <w:tab/>
      </w:r>
      <w:r w:rsidRPr="007E1F99">
        <w:t>Náklady na preventivní zdravotní služby čerpané z fondu prevence</w:t>
      </w:r>
    </w:p>
    <w:p w:rsidR="00111366" w:rsidRDefault="00111366">
      <w:pPr>
        <w:spacing w:after="200" w:line="276" w:lineRule="auto"/>
      </w:pPr>
      <w:r>
        <w:br w:type="page"/>
      </w:r>
    </w:p>
    <w:p w:rsidR="00111366" w:rsidRPr="00AF37E6" w:rsidRDefault="00E453BE" w:rsidP="00E453BE">
      <w:pPr>
        <w:pStyle w:val="Nadpis1"/>
      </w:pPr>
      <w:bookmarkStart w:id="90" w:name="_Toc63684693"/>
      <w:r w:rsidRPr="00E453BE">
        <w:lastRenderedPageBreak/>
        <w:t>Zkratky použité v textové části materiálu a tabulkových přílohách</w:t>
      </w:r>
      <w:bookmarkEnd w:id="90"/>
    </w:p>
    <w:p w:rsidR="00635800" w:rsidRPr="00BD1D2E" w:rsidRDefault="00635800" w:rsidP="00BD1D2E">
      <w:pPr>
        <w:spacing w:line="23" w:lineRule="atLeast"/>
        <w:ind w:left="2127" w:hanging="2127"/>
        <w:jc w:val="both"/>
      </w:pPr>
      <w:r w:rsidRPr="001B7734">
        <w:rPr>
          <w:b/>
        </w:rPr>
        <w:t>AČR</w:t>
      </w:r>
      <w:r w:rsidRPr="00BD1D2E">
        <w:rPr>
          <w:b/>
        </w:rPr>
        <w:tab/>
      </w:r>
      <w:r w:rsidRPr="00BD1D2E">
        <w:t>Armáda České republiky</w:t>
      </w:r>
    </w:p>
    <w:p w:rsidR="00635800" w:rsidRPr="00BD1D2E" w:rsidRDefault="001B7734" w:rsidP="00BD1D2E">
      <w:pPr>
        <w:spacing w:line="23" w:lineRule="atLeast"/>
        <w:ind w:left="2127" w:hanging="2127"/>
        <w:jc w:val="both"/>
        <w:rPr>
          <w:b/>
        </w:rPr>
      </w:pPr>
      <w:r w:rsidRPr="001B7734">
        <w:rPr>
          <w:b/>
        </w:rPr>
        <w:t>AS OZP</w:t>
      </w:r>
      <w:r w:rsidRPr="00BD1D2E">
        <w:rPr>
          <w:b/>
        </w:rPr>
        <w:tab/>
      </w:r>
      <w:r w:rsidR="00635800" w:rsidRPr="00BD1D2E">
        <w:t>Asistenční služba Oborové zdravotní pojišťovny zaměstnanců bank, pojišťoven a stavebnictví</w:t>
      </w:r>
    </w:p>
    <w:p w:rsidR="00635800" w:rsidRPr="00BD1D2E" w:rsidRDefault="00635800" w:rsidP="00BD1D2E">
      <w:pPr>
        <w:spacing w:line="23" w:lineRule="atLeast"/>
        <w:ind w:left="2127" w:hanging="2127"/>
        <w:jc w:val="both"/>
      </w:pPr>
      <w:r w:rsidRPr="001B7734">
        <w:rPr>
          <w:b/>
        </w:rPr>
        <w:t>BÚ</w:t>
      </w:r>
      <w:r w:rsidR="001B7734" w:rsidRPr="00BD1D2E">
        <w:rPr>
          <w:b/>
        </w:rPr>
        <w:tab/>
      </w:r>
      <w:r w:rsidRPr="00BD1D2E">
        <w:t>Bankovní účet (stavy zůstatků na bankovním účtu příslušného fondu, které v sobě zahrnují stav peněžních prostředků na běžném účtu, hodnoty v pokladnách i hodnoty peněz na cestě, případně i termínované vklady, případně i hodnoty CP příslušejících danému fondu)</w:t>
      </w:r>
    </w:p>
    <w:p w:rsidR="00635800" w:rsidRPr="006A01CD" w:rsidRDefault="006A01CD" w:rsidP="00BD1D2E">
      <w:pPr>
        <w:spacing w:line="23" w:lineRule="atLeast"/>
        <w:ind w:left="2127" w:hanging="2127"/>
        <w:jc w:val="both"/>
        <w:rPr>
          <w:b/>
        </w:rPr>
      </w:pPr>
      <w:r w:rsidRPr="006A01CD">
        <w:rPr>
          <w:b/>
        </w:rPr>
        <w:t>Cizinci</w:t>
      </w:r>
      <w:r w:rsidRPr="006A01CD">
        <w:rPr>
          <w:b/>
        </w:rPr>
        <w:tab/>
      </w:r>
      <w:r w:rsidR="00635800" w:rsidRPr="00BD1D2E">
        <w:t>pojištěnci jiných členských států EU, EHP, Švýcarské konfederace, popřípadě dalších států, se kterými ČR uzavřela mezinárodní smlouvu o sociálním zabezpečení</w:t>
      </w:r>
    </w:p>
    <w:p w:rsidR="00635800" w:rsidRPr="006A01CD" w:rsidRDefault="00635800" w:rsidP="00BD1D2E">
      <w:pPr>
        <w:spacing w:line="23" w:lineRule="atLeast"/>
        <w:ind w:left="2127" w:hanging="2127"/>
        <w:jc w:val="both"/>
        <w:rPr>
          <w:b/>
        </w:rPr>
      </w:pPr>
      <w:r w:rsidRPr="006A01CD">
        <w:rPr>
          <w:b/>
        </w:rPr>
        <w:t>CMÚ</w:t>
      </w:r>
      <w:r w:rsidRPr="006A01CD">
        <w:rPr>
          <w:b/>
        </w:rPr>
        <w:tab/>
      </w:r>
      <w:r w:rsidRPr="00BD1D2E">
        <w:t>Centrum mezistátních úhrad</w:t>
      </w:r>
    </w:p>
    <w:p w:rsidR="00635800" w:rsidRPr="006A01CD" w:rsidRDefault="00635800" w:rsidP="00BD1D2E">
      <w:pPr>
        <w:spacing w:line="23" w:lineRule="atLeast"/>
        <w:ind w:left="2127" w:hanging="2127"/>
        <w:jc w:val="both"/>
        <w:rPr>
          <w:b/>
        </w:rPr>
      </w:pPr>
      <w:r w:rsidRPr="006A01CD">
        <w:rPr>
          <w:b/>
        </w:rPr>
        <w:t>CP</w:t>
      </w:r>
      <w:r w:rsidRPr="006A01CD">
        <w:rPr>
          <w:b/>
        </w:rPr>
        <w:tab/>
      </w:r>
      <w:r w:rsidRPr="00BD1D2E">
        <w:t>Cenné papíry</w:t>
      </w:r>
    </w:p>
    <w:p w:rsidR="00635800" w:rsidRPr="006A01CD" w:rsidRDefault="00635800" w:rsidP="00BD1D2E">
      <w:pPr>
        <w:spacing w:line="23" w:lineRule="atLeast"/>
        <w:ind w:left="2127" w:hanging="2127"/>
        <w:jc w:val="both"/>
        <w:rPr>
          <w:b/>
        </w:rPr>
      </w:pPr>
      <w:r w:rsidRPr="006A01CD">
        <w:rPr>
          <w:b/>
        </w:rPr>
        <w:t>ČLK</w:t>
      </w:r>
      <w:r w:rsidRPr="006A01CD">
        <w:rPr>
          <w:b/>
        </w:rPr>
        <w:tab/>
      </w:r>
      <w:r w:rsidRPr="00BD1D2E">
        <w:t>Česká lékařská komora</w:t>
      </w:r>
    </w:p>
    <w:p w:rsidR="00635800" w:rsidRPr="006A01CD" w:rsidRDefault="00635800" w:rsidP="00BD1D2E">
      <w:pPr>
        <w:spacing w:line="23" w:lineRule="atLeast"/>
        <w:ind w:left="2127" w:hanging="2127"/>
        <w:jc w:val="both"/>
        <w:rPr>
          <w:b/>
        </w:rPr>
      </w:pPr>
      <w:r w:rsidRPr="006A01CD">
        <w:rPr>
          <w:b/>
        </w:rPr>
        <w:t>ČNB</w:t>
      </w:r>
      <w:r w:rsidRPr="006A01CD">
        <w:rPr>
          <w:b/>
        </w:rPr>
        <w:tab/>
      </w:r>
      <w:r w:rsidRPr="00BD1D2E">
        <w:t>Česká národní banka</w:t>
      </w:r>
      <w:r w:rsidRPr="006A01CD">
        <w:rPr>
          <w:b/>
        </w:rPr>
        <w:t xml:space="preserve"> </w:t>
      </w:r>
    </w:p>
    <w:p w:rsidR="00635800" w:rsidRPr="006A01CD" w:rsidRDefault="00635800" w:rsidP="00BD1D2E">
      <w:pPr>
        <w:spacing w:line="23" w:lineRule="atLeast"/>
        <w:ind w:left="2127" w:hanging="2127"/>
        <w:jc w:val="both"/>
        <w:rPr>
          <w:b/>
        </w:rPr>
      </w:pPr>
      <w:r w:rsidRPr="006A01CD">
        <w:rPr>
          <w:b/>
        </w:rPr>
        <w:t xml:space="preserve">ČPZP </w:t>
      </w:r>
      <w:r w:rsidRPr="006A01CD">
        <w:rPr>
          <w:b/>
        </w:rPr>
        <w:tab/>
      </w:r>
      <w:r w:rsidRPr="00BD1D2E">
        <w:t>Česká průmyslová zdravotní pojišťovna</w:t>
      </w:r>
    </w:p>
    <w:p w:rsidR="00635800" w:rsidRPr="00E651CD" w:rsidRDefault="00635800" w:rsidP="00BD1D2E">
      <w:pPr>
        <w:spacing w:line="23" w:lineRule="atLeast"/>
        <w:ind w:left="2127" w:hanging="2127"/>
        <w:jc w:val="both"/>
        <w:rPr>
          <w:b/>
        </w:rPr>
      </w:pPr>
      <w:r w:rsidRPr="00E651CD">
        <w:rPr>
          <w:b/>
        </w:rPr>
        <w:t>ČR</w:t>
      </w:r>
      <w:r w:rsidRPr="00E651CD">
        <w:rPr>
          <w:b/>
        </w:rPr>
        <w:tab/>
      </w:r>
      <w:r w:rsidRPr="00BD1D2E">
        <w:t>Česká republika</w:t>
      </w:r>
    </w:p>
    <w:p w:rsidR="00635800" w:rsidRPr="00E651CD" w:rsidRDefault="00635800" w:rsidP="00BD1D2E">
      <w:pPr>
        <w:spacing w:line="23" w:lineRule="atLeast"/>
        <w:ind w:left="2127" w:hanging="2127"/>
        <w:jc w:val="both"/>
        <w:rPr>
          <w:b/>
        </w:rPr>
      </w:pPr>
      <w:r w:rsidRPr="00E651CD">
        <w:rPr>
          <w:b/>
        </w:rPr>
        <w:t>ČSÚ</w:t>
      </w:r>
      <w:r w:rsidRPr="00E651CD">
        <w:rPr>
          <w:b/>
        </w:rPr>
        <w:tab/>
      </w:r>
      <w:r w:rsidRPr="00BD1D2E">
        <w:t>Český statistický úřad</w:t>
      </w:r>
    </w:p>
    <w:p w:rsidR="00635800" w:rsidRPr="00BD1D2E" w:rsidRDefault="00635800" w:rsidP="00BD1D2E">
      <w:pPr>
        <w:spacing w:line="23" w:lineRule="atLeast"/>
        <w:ind w:left="2127" w:hanging="2127"/>
        <w:jc w:val="both"/>
        <w:rPr>
          <w:b/>
        </w:rPr>
      </w:pPr>
      <w:r w:rsidRPr="00E651CD">
        <w:rPr>
          <w:b/>
        </w:rPr>
        <w:t>DPH</w:t>
      </w:r>
      <w:r w:rsidRPr="00E651CD">
        <w:rPr>
          <w:b/>
        </w:rPr>
        <w:tab/>
      </w:r>
      <w:r w:rsidRPr="00BD1D2E">
        <w:t>Daň z přidané hodnoty</w:t>
      </w:r>
    </w:p>
    <w:p w:rsidR="00635800" w:rsidRPr="00E651CD" w:rsidRDefault="00635800" w:rsidP="00BD1D2E">
      <w:pPr>
        <w:spacing w:line="23" w:lineRule="atLeast"/>
        <w:ind w:left="2127" w:hanging="2127"/>
        <w:jc w:val="both"/>
        <w:rPr>
          <w:b/>
        </w:rPr>
      </w:pPr>
      <w:r w:rsidRPr="00E651CD">
        <w:rPr>
          <w:b/>
        </w:rPr>
        <w:t>DR</w:t>
      </w:r>
      <w:r w:rsidRPr="00E651CD">
        <w:rPr>
          <w:b/>
        </w:rPr>
        <w:tab/>
      </w:r>
      <w:r w:rsidRPr="00BD1D2E">
        <w:t>Dozorčí rada</w:t>
      </w:r>
    </w:p>
    <w:p w:rsidR="00635800" w:rsidRPr="00BD1D2E" w:rsidRDefault="00635800" w:rsidP="00BD1D2E">
      <w:pPr>
        <w:spacing w:line="23" w:lineRule="atLeast"/>
        <w:ind w:left="2127" w:hanging="2127"/>
        <w:jc w:val="both"/>
        <w:rPr>
          <w:b/>
        </w:rPr>
      </w:pPr>
      <w:r w:rsidRPr="00E651CD">
        <w:rPr>
          <w:b/>
        </w:rPr>
        <w:t>DRG</w:t>
      </w:r>
      <w:r w:rsidRPr="00E651CD">
        <w:rPr>
          <w:b/>
        </w:rPr>
        <w:tab/>
      </w:r>
      <w:r w:rsidRPr="00BD1D2E">
        <w:t>Platba za diagnostické skupiny</w:t>
      </w:r>
      <w:r w:rsidR="006A01CD" w:rsidRPr="00BD1D2E">
        <w:t xml:space="preserve"> </w:t>
      </w:r>
      <w:r w:rsidRPr="00BD1D2E">
        <w:t>(</w:t>
      </w:r>
      <w:proofErr w:type="spellStart"/>
      <w:r w:rsidRPr="00BD1D2E">
        <w:t>Diagnosis</w:t>
      </w:r>
      <w:proofErr w:type="spellEnd"/>
      <w:r w:rsidRPr="00BD1D2E">
        <w:t xml:space="preserve"> </w:t>
      </w:r>
      <w:proofErr w:type="spellStart"/>
      <w:r w:rsidRPr="00BD1D2E">
        <w:t>Related</w:t>
      </w:r>
      <w:proofErr w:type="spellEnd"/>
      <w:r w:rsidRPr="00BD1D2E">
        <w:t xml:space="preserve"> Group)</w:t>
      </w:r>
    </w:p>
    <w:p w:rsidR="00635800" w:rsidRPr="00E651CD" w:rsidRDefault="00635800" w:rsidP="00BD1D2E">
      <w:pPr>
        <w:spacing w:line="23" w:lineRule="atLeast"/>
        <w:ind w:left="2127" w:hanging="2127"/>
        <w:jc w:val="both"/>
        <w:rPr>
          <w:b/>
        </w:rPr>
      </w:pPr>
      <w:r w:rsidRPr="00E651CD">
        <w:rPr>
          <w:b/>
        </w:rPr>
        <w:t>EU</w:t>
      </w:r>
      <w:r w:rsidRPr="00E651CD">
        <w:rPr>
          <w:b/>
        </w:rPr>
        <w:tab/>
      </w:r>
      <w:r w:rsidRPr="00BD1D2E">
        <w:t>Evropská unie</w:t>
      </w:r>
      <w:r w:rsidRPr="00E651CD">
        <w:rPr>
          <w:b/>
        </w:rPr>
        <w:t xml:space="preserve"> </w:t>
      </w:r>
    </w:p>
    <w:p w:rsidR="00635800" w:rsidRPr="00BD1D2E" w:rsidRDefault="00635800" w:rsidP="00BD1D2E">
      <w:pPr>
        <w:spacing w:line="23" w:lineRule="atLeast"/>
        <w:ind w:left="2127" w:hanging="2127"/>
        <w:jc w:val="both"/>
      </w:pPr>
      <w:r w:rsidRPr="00E651CD">
        <w:rPr>
          <w:b/>
        </w:rPr>
        <w:t>FPÚPP</w:t>
      </w:r>
      <w:r w:rsidRPr="00E651CD">
        <w:rPr>
          <w:b/>
        </w:rPr>
        <w:tab/>
      </w:r>
      <w:r w:rsidRPr="00BD1D2E">
        <w:t>Fond pro úhradu preventivní péče (pouze Vojenská zdravotní pojišťovna ČR)</w:t>
      </w:r>
    </w:p>
    <w:p w:rsidR="00635800" w:rsidRPr="00E651CD" w:rsidRDefault="00635800" w:rsidP="00BD1D2E">
      <w:pPr>
        <w:spacing w:line="23" w:lineRule="atLeast"/>
        <w:ind w:left="2127" w:hanging="2127"/>
        <w:jc w:val="both"/>
        <w:rPr>
          <w:b/>
        </w:rPr>
      </w:pPr>
      <w:r w:rsidRPr="00E651CD">
        <w:rPr>
          <w:b/>
        </w:rPr>
        <w:t>FZÚZP</w:t>
      </w:r>
      <w:r w:rsidRPr="00E651CD">
        <w:rPr>
          <w:b/>
        </w:rPr>
        <w:tab/>
      </w:r>
      <w:r w:rsidRPr="00BD1D2E">
        <w:t>Fond zprostředkování úhrady zdravotní péče (pouze Vojenská zdravotní pojišťovna ČR)</w:t>
      </w:r>
    </w:p>
    <w:p w:rsidR="00635800" w:rsidRPr="00E651CD" w:rsidRDefault="00635800" w:rsidP="00BD1D2E">
      <w:pPr>
        <w:spacing w:line="23" w:lineRule="atLeast"/>
        <w:ind w:left="2127" w:hanging="2127"/>
        <w:jc w:val="both"/>
        <w:rPr>
          <w:b/>
        </w:rPr>
      </w:pPr>
      <w:proofErr w:type="spellStart"/>
      <w:r w:rsidRPr="00E651CD">
        <w:rPr>
          <w:b/>
        </w:rPr>
        <w:t>Fprev</w:t>
      </w:r>
      <w:proofErr w:type="spellEnd"/>
      <w:r w:rsidRPr="00E651CD">
        <w:rPr>
          <w:b/>
        </w:rPr>
        <w:tab/>
      </w:r>
      <w:r w:rsidRPr="00551389">
        <w:t>Fond prevence</w:t>
      </w:r>
    </w:p>
    <w:p w:rsidR="00635800" w:rsidRPr="00E651CD" w:rsidRDefault="00635800" w:rsidP="00BD1D2E">
      <w:pPr>
        <w:spacing w:line="23" w:lineRule="atLeast"/>
        <w:ind w:left="2127" w:hanging="2127"/>
        <w:jc w:val="both"/>
        <w:rPr>
          <w:b/>
        </w:rPr>
      </w:pPr>
      <w:r w:rsidRPr="00E651CD">
        <w:rPr>
          <w:b/>
        </w:rPr>
        <w:t>FRM</w:t>
      </w:r>
      <w:r w:rsidRPr="00E651CD">
        <w:rPr>
          <w:b/>
        </w:rPr>
        <w:tab/>
      </w:r>
      <w:r w:rsidRPr="00551389">
        <w:t>Fond reprodukce majetku</w:t>
      </w:r>
    </w:p>
    <w:p w:rsidR="00635800" w:rsidRPr="00E651CD" w:rsidRDefault="00635800" w:rsidP="00BD1D2E">
      <w:pPr>
        <w:spacing w:line="23" w:lineRule="atLeast"/>
        <w:ind w:left="2127" w:hanging="2127"/>
        <w:jc w:val="both"/>
        <w:rPr>
          <w:b/>
        </w:rPr>
      </w:pPr>
      <w:r w:rsidRPr="00E651CD">
        <w:rPr>
          <w:b/>
        </w:rPr>
        <w:t>HVLP</w:t>
      </w:r>
      <w:r w:rsidRPr="00E651CD">
        <w:rPr>
          <w:b/>
        </w:rPr>
        <w:tab/>
      </w:r>
      <w:r w:rsidRPr="00551389">
        <w:t>Hromadně vyráběné léčivé přípravky</w:t>
      </w:r>
    </w:p>
    <w:p w:rsidR="00635800" w:rsidRPr="00E651CD" w:rsidRDefault="00635800" w:rsidP="00BD1D2E">
      <w:pPr>
        <w:spacing w:line="23" w:lineRule="atLeast"/>
        <w:ind w:left="2127" w:hanging="2127"/>
        <w:jc w:val="both"/>
        <w:rPr>
          <w:b/>
        </w:rPr>
      </w:pPr>
      <w:r w:rsidRPr="00E651CD">
        <w:rPr>
          <w:b/>
        </w:rPr>
        <w:t>IS</w:t>
      </w:r>
      <w:r w:rsidRPr="00E651CD">
        <w:rPr>
          <w:b/>
        </w:rPr>
        <w:tab/>
      </w:r>
      <w:r w:rsidRPr="00551389">
        <w:t>Informační systém</w:t>
      </w:r>
    </w:p>
    <w:p w:rsidR="00D33DD4" w:rsidRPr="00E651CD" w:rsidRDefault="00D33DD4" w:rsidP="00D33DD4">
      <w:pPr>
        <w:spacing w:line="23" w:lineRule="atLeast"/>
        <w:ind w:left="2127" w:hanging="2127"/>
        <w:jc w:val="both"/>
        <w:rPr>
          <w:b/>
        </w:rPr>
      </w:pPr>
      <w:r w:rsidRPr="00844885">
        <w:rPr>
          <w:b/>
        </w:rPr>
        <w:t>JČ</w:t>
      </w:r>
      <w:r w:rsidRPr="00844885">
        <w:rPr>
          <w:b/>
        </w:rPr>
        <w:tab/>
      </w:r>
      <w:r w:rsidRPr="00844885">
        <w:t>Jiná činnost</w:t>
      </w:r>
    </w:p>
    <w:p w:rsidR="00635800" w:rsidRPr="00E651CD" w:rsidRDefault="00635800" w:rsidP="00BD1D2E">
      <w:pPr>
        <w:spacing w:line="23" w:lineRule="atLeast"/>
        <w:ind w:left="2127" w:hanging="2127"/>
        <w:jc w:val="both"/>
        <w:rPr>
          <w:b/>
        </w:rPr>
      </w:pPr>
      <w:r w:rsidRPr="00E651CD">
        <w:rPr>
          <w:b/>
        </w:rPr>
        <w:t>LDN</w:t>
      </w:r>
      <w:r w:rsidRPr="00E651CD">
        <w:rPr>
          <w:b/>
        </w:rPr>
        <w:tab/>
      </w:r>
      <w:r w:rsidRPr="00551389">
        <w:t>Samostatní poskytovatelé zdravotních služeb vykazující kód ošetřovacího dne 00024 (Léčebny dlouhodobě nemocných)</w:t>
      </w:r>
    </w:p>
    <w:p w:rsidR="00635800" w:rsidRPr="00E651CD" w:rsidRDefault="00635800" w:rsidP="00BD1D2E">
      <w:pPr>
        <w:spacing w:line="23" w:lineRule="atLeast"/>
        <w:ind w:left="2127" w:hanging="2127"/>
        <w:jc w:val="both"/>
        <w:rPr>
          <w:b/>
        </w:rPr>
      </w:pPr>
      <w:r w:rsidRPr="00E651CD">
        <w:rPr>
          <w:b/>
        </w:rPr>
        <w:t>LSPP</w:t>
      </w:r>
      <w:r w:rsidRPr="00E651CD">
        <w:rPr>
          <w:b/>
        </w:rPr>
        <w:tab/>
      </w:r>
      <w:r w:rsidRPr="00551389">
        <w:t>Lékařská služba první pomoci</w:t>
      </w:r>
    </w:p>
    <w:p w:rsidR="00635800" w:rsidRPr="00E651CD" w:rsidRDefault="00635800" w:rsidP="00BD1D2E">
      <w:pPr>
        <w:spacing w:line="23" w:lineRule="atLeast"/>
        <w:ind w:left="2127" w:hanging="2127"/>
        <w:jc w:val="both"/>
        <w:rPr>
          <w:b/>
        </w:rPr>
      </w:pPr>
      <w:r w:rsidRPr="00E651CD">
        <w:rPr>
          <w:b/>
        </w:rPr>
        <w:t>MF</w:t>
      </w:r>
      <w:r w:rsidRPr="00E651CD">
        <w:rPr>
          <w:b/>
        </w:rPr>
        <w:tab/>
      </w:r>
      <w:r w:rsidRPr="00551389">
        <w:t>Ministerstvo financí</w:t>
      </w:r>
    </w:p>
    <w:p w:rsidR="00635800" w:rsidRPr="00E651CD" w:rsidRDefault="00635800" w:rsidP="00BD1D2E">
      <w:pPr>
        <w:spacing w:line="23" w:lineRule="atLeast"/>
        <w:ind w:left="2127" w:hanging="2127"/>
        <w:jc w:val="both"/>
        <w:rPr>
          <w:b/>
        </w:rPr>
      </w:pPr>
      <w:r w:rsidRPr="00E651CD">
        <w:rPr>
          <w:b/>
        </w:rPr>
        <w:t>MO</w:t>
      </w:r>
      <w:r w:rsidRPr="00E651CD">
        <w:rPr>
          <w:b/>
        </w:rPr>
        <w:tab/>
      </w:r>
      <w:r w:rsidRPr="00551389">
        <w:t>Ministerstvo obrany</w:t>
      </w:r>
    </w:p>
    <w:p w:rsidR="00635800" w:rsidRPr="00BD1D2E" w:rsidRDefault="00635800" w:rsidP="00BD1D2E">
      <w:pPr>
        <w:spacing w:line="23" w:lineRule="atLeast"/>
        <w:ind w:left="2127" w:hanging="2127"/>
        <w:jc w:val="both"/>
        <w:rPr>
          <w:b/>
        </w:rPr>
      </w:pPr>
      <w:r w:rsidRPr="00BD1D2E">
        <w:rPr>
          <w:b/>
        </w:rPr>
        <w:lastRenderedPageBreak/>
        <w:t>MPSV</w:t>
      </w:r>
      <w:r w:rsidRPr="00BD1D2E">
        <w:rPr>
          <w:b/>
        </w:rPr>
        <w:tab/>
      </w:r>
      <w:r w:rsidRPr="00551389">
        <w:t>Ministerstvo práce a sociálních věcí</w:t>
      </w:r>
    </w:p>
    <w:p w:rsidR="00635800" w:rsidRPr="00BD1D2E" w:rsidRDefault="00635800" w:rsidP="00BD1D2E">
      <w:pPr>
        <w:spacing w:line="23" w:lineRule="atLeast"/>
        <w:ind w:left="2127" w:hanging="2127"/>
        <w:jc w:val="both"/>
        <w:rPr>
          <w:b/>
        </w:rPr>
      </w:pPr>
      <w:r w:rsidRPr="00BD1D2E">
        <w:rPr>
          <w:b/>
        </w:rPr>
        <w:t>MV</w:t>
      </w:r>
      <w:r w:rsidRPr="00BD1D2E">
        <w:rPr>
          <w:b/>
        </w:rPr>
        <w:tab/>
      </w:r>
      <w:r w:rsidRPr="00551389">
        <w:t>Ministerstvo vnitra</w:t>
      </w:r>
    </w:p>
    <w:p w:rsidR="00635800" w:rsidRPr="00BD1D2E" w:rsidRDefault="00635800" w:rsidP="00BD1D2E">
      <w:pPr>
        <w:spacing w:line="23" w:lineRule="atLeast"/>
        <w:ind w:left="2127" w:hanging="2127"/>
        <w:jc w:val="both"/>
        <w:rPr>
          <w:b/>
        </w:rPr>
      </w:pPr>
      <w:r w:rsidRPr="00BD1D2E">
        <w:rPr>
          <w:b/>
        </w:rPr>
        <w:t>MZ</w:t>
      </w:r>
      <w:r w:rsidRPr="00BD1D2E">
        <w:rPr>
          <w:b/>
        </w:rPr>
        <w:tab/>
      </w:r>
      <w:r w:rsidRPr="00551389">
        <w:t>Ministerstvo zdravotnictví</w:t>
      </w:r>
    </w:p>
    <w:p w:rsidR="00635800" w:rsidRPr="00BD1D2E" w:rsidRDefault="00635800" w:rsidP="00BD1D2E">
      <w:pPr>
        <w:spacing w:line="23" w:lineRule="atLeast"/>
        <w:ind w:left="2127" w:hanging="2127"/>
        <w:jc w:val="both"/>
        <w:rPr>
          <w:b/>
        </w:rPr>
      </w:pPr>
      <w:r w:rsidRPr="00BD1D2E">
        <w:rPr>
          <w:b/>
        </w:rPr>
        <w:t>NKÚ</w:t>
      </w:r>
      <w:r w:rsidRPr="00BD1D2E">
        <w:rPr>
          <w:b/>
        </w:rPr>
        <w:tab/>
      </w:r>
      <w:r w:rsidRPr="00551389">
        <w:t>Nejvyšší kontrolní úřad</w:t>
      </w:r>
    </w:p>
    <w:p w:rsidR="00635800" w:rsidRPr="00BD1D2E" w:rsidRDefault="00635800" w:rsidP="00BD1D2E">
      <w:pPr>
        <w:spacing w:line="23" w:lineRule="atLeast"/>
        <w:ind w:left="2127" w:hanging="2127"/>
        <w:jc w:val="both"/>
        <w:rPr>
          <w:b/>
        </w:rPr>
      </w:pPr>
      <w:r w:rsidRPr="00BD1D2E">
        <w:rPr>
          <w:b/>
        </w:rPr>
        <w:t xml:space="preserve">OBZP </w:t>
      </w:r>
      <w:r w:rsidRPr="00BD1D2E">
        <w:rPr>
          <w:b/>
        </w:rPr>
        <w:tab/>
      </w:r>
      <w:r w:rsidRPr="00551389">
        <w:t>Osoby bez zdanitelných příjmů</w:t>
      </w:r>
    </w:p>
    <w:p w:rsidR="00635800" w:rsidRPr="00BD1D2E" w:rsidRDefault="00635800" w:rsidP="00BD1D2E">
      <w:pPr>
        <w:spacing w:line="23" w:lineRule="atLeast"/>
        <w:ind w:left="2127" w:hanging="2127"/>
        <w:jc w:val="both"/>
        <w:rPr>
          <w:b/>
        </w:rPr>
      </w:pPr>
      <w:r w:rsidRPr="00BD1D2E">
        <w:rPr>
          <w:b/>
        </w:rPr>
        <w:t>OLÚ</w:t>
      </w:r>
      <w:r w:rsidRPr="00BD1D2E">
        <w:rPr>
          <w:b/>
        </w:rPr>
        <w:tab/>
      </w:r>
      <w:r w:rsidRPr="00551389">
        <w:t>Poskytovatelé lůžkové následné péče OD 00021, OD 00022, OD 00023, OD 00025, OD 00026, OD 00027, OD 00028 (Odborné léčebné ústavy)</w:t>
      </w:r>
    </w:p>
    <w:p w:rsidR="00635800" w:rsidRPr="00551389" w:rsidRDefault="00635800" w:rsidP="00BD1D2E">
      <w:pPr>
        <w:spacing w:line="23" w:lineRule="atLeast"/>
        <w:ind w:left="2127" w:hanging="2127"/>
        <w:jc w:val="both"/>
      </w:pPr>
      <w:r w:rsidRPr="00BD1D2E">
        <w:rPr>
          <w:b/>
        </w:rPr>
        <w:t xml:space="preserve">OSVČ </w:t>
      </w:r>
      <w:r w:rsidRPr="00BD1D2E">
        <w:rPr>
          <w:b/>
        </w:rPr>
        <w:tab/>
      </w:r>
      <w:r w:rsidRPr="00551389">
        <w:t xml:space="preserve">Osoby samostatně výdělečně činné </w:t>
      </w:r>
    </w:p>
    <w:p w:rsidR="00635800" w:rsidRPr="00BD1D2E" w:rsidRDefault="00635800" w:rsidP="00BD1D2E">
      <w:pPr>
        <w:spacing w:line="23" w:lineRule="atLeast"/>
        <w:ind w:left="2127" w:hanging="2127"/>
        <w:jc w:val="both"/>
        <w:rPr>
          <w:b/>
        </w:rPr>
      </w:pPr>
      <w:r w:rsidRPr="00BD1D2E">
        <w:rPr>
          <w:b/>
        </w:rPr>
        <w:t xml:space="preserve">OZP </w:t>
      </w:r>
      <w:r w:rsidRPr="00BD1D2E">
        <w:rPr>
          <w:b/>
        </w:rPr>
        <w:tab/>
      </w:r>
      <w:r w:rsidRPr="00551389">
        <w:t xml:space="preserve">Oborová zdravotní pojišťovna zaměstnanců bank, pojišťoven </w:t>
      </w:r>
      <w:proofErr w:type="gramStart"/>
      <w:r w:rsidRPr="00551389">
        <w:t>a  stavebnictví</w:t>
      </w:r>
      <w:proofErr w:type="gramEnd"/>
    </w:p>
    <w:p w:rsidR="00635800" w:rsidRPr="00BD1D2E" w:rsidRDefault="00635800" w:rsidP="00BD1D2E">
      <w:pPr>
        <w:spacing w:line="23" w:lineRule="atLeast"/>
        <w:ind w:left="2127" w:hanging="2127"/>
        <w:jc w:val="both"/>
        <w:rPr>
          <w:b/>
        </w:rPr>
      </w:pPr>
      <w:r w:rsidRPr="00BD1D2E">
        <w:rPr>
          <w:b/>
        </w:rPr>
        <w:t>Oč. skut. 20</w:t>
      </w:r>
      <w:r w:rsidR="006603BB">
        <w:rPr>
          <w:b/>
        </w:rPr>
        <w:t>20</w:t>
      </w:r>
      <w:r w:rsidRPr="00BD1D2E">
        <w:rPr>
          <w:b/>
        </w:rPr>
        <w:tab/>
      </w:r>
      <w:r w:rsidRPr="00551389">
        <w:t>Očekávaná skutečnost na rok 20</w:t>
      </w:r>
      <w:r w:rsidR="006603BB">
        <w:t>20</w:t>
      </w:r>
    </w:p>
    <w:p w:rsidR="00635800" w:rsidRPr="00BD1D2E" w:rsidRDefault="00635800" w:rsidP="00BD1D2E">
      <w:pPr>
        <w:spacing w:line="23" w:lineRule="atLeast"/>
        <w:ind w:left="2127" w:hanging="2127"/>
        <w:jc w:val="both"/>
        <w:rPr>
          <w:b/>
        </w:rPr>
      </w:pPr>
      <w:r w:rsidRPr="00BD1D2E">
        <w:rPr>
          <w:b/>
        </w:rPr>
        <w:t xml:space="preserve">Platba státu </w:t>
      </w:r>
      <w:r w:rsidRPr="00BD1D2E">
        <w:rPr>
          <w:b/>
        </w:rPr>
        <w:tab/>
      </w:r>
      <w:r w:rsidRPr="00551389">
        <w:t>Pojistné hrazené státem za osobu, za kterou je podle § 7 zákona č. 48/1997 Sb. plátcem pojistného stát. Podle § 3c zákona č. 592/1992 Sb. je stanoven měsíční vyměřovací základ, procentní výši pojistného upravuje § 2 tohoto zákona. Platba státu je poskytována podle § 12 měsíčně na zvláštní účet přerozdělování.</w:t>
      </w:r>
    </w:p>
    <w:p w:rsidR="00635800" w:rsidRPr="00BD1D2E" w:rsidRDefault="00635800" w:rsidP="00BD1D2E">
      <w:pPr>
        <w:spacing w:line="23" w:lineRule="atLeast"/>
        <w:ind w:left="2127" w:hanging="2127"/>
        <w:jc w:val="both"/>
        <w:rPr>
          <w:b/>
        </w:rPr>
      </w:pPr>
      <w:r w:rsidRPr="00BD1D2E">
        <w:rPr>
          <w:b/>
        </w:rPr>
        <w:t>p. b.</w:t>
      </w:r>
      <w:r w:rsidRPr="00BD1D2E">
        <w:rPr>
          <w:b/>
        </w:rPr>
        <w:tab/>
      </w:r>
      <w:r w:rsidRPr="00551389">
        <w:t>Procentní bod</w:t>
      </w:r>
    </w:p>
    <w:p w:rsidR="00635800" w:rsidRPr="00BD1D2E" w:rsidRDefault="00635800" w:rsidP="00BD1D2E">
      <w:pPr>
        <w:spacing w:line="23" w:lineRule="atLeast"/>
        <w:ind w:left="2127" w:hanging="2127"/>
        <w:jc w:val="both"/>
        <w:rPr>
          <w:b/>
        </w:rPr>
      </w:pPr>
      <w:r w:rsidRPr="00BD1D2E">
        <w:rPr>
          <w:b/>
        </w:rPr>
        <w:t>PF</w:t>
      </w:r>
      <w:r w:rsidRPr="00BD1D2E">
        <w:rPr>
          <w:b/>
        </w:rPr>
        <w:tab/>
      </w:r>
      <w:r w:rsidRPr="00551389">
        <w:t>Provozní fond</w:t>
      </w:r>
    </w:p>
    <w:p w:rsidR="00635800" w:rsidRPr="00BD1D2E" w:rsidRDefault="00635800" w:rsidP="00BD1D2E">
      <w:pPr>
        <w:spacing w:line="23" w:lineRule="atLeast"/>
        <w:ind w:left="2127" w:hanging="2127"/>
        <w:jc w:val="both"/>
        <w:rPr>
          <w:b/>
        </w:rPr>
      </w:pPr>
      <w:r w:rsidRPr="00BD1D2E">
        <w:rPr>
          <w:b/>
        </w:rPr>
        <w:t>PSP ČR</w:t>
      </w:r>
      <w:r w:rsidRPr="00BD1D2E">
        <w:rPr>
          <w:b/>
        </w:rPr>
        <w:tab/>
      </w:r>
      <w:r w:rsidRPr="00551389">
        <w:t>Poslanecká sněmovna Parlamentu ČR</w:t>
      </w:r>
    </w:p>
    <w:p w:rsidR="00635800" w:rsidRPr="00BD1D2E" w:rsidRDefault="00635800" w:rsidP="00BD1D2E">
      <w:pPr>
        <w:spacing w:line="23" w:lineRule="atLeast"/>
        <w:ind w:left="2127" w:hanging="2127"/>
        <w:jc w:val="both"/>
        <w:rPr>
          <w:b/>
        </w:rPr>
      </w:pPr>
      <w:r w:rsidRPr="00BD1D2E">
        <w:rPr>
          <w:b/>
        </w:rPr>
        <w:t>PZS</w:t>
      </w:r>
      <w:r w:rsidRPr="00BD1D2E">
        <w:rPr>
          <w:b/>
        </w:rPr>
        <w:tab/>
      </w:r>
      <w:r w:rsidRPr="00551389">
        <w:t>Poskytovatelé zdravotních služeb</w:t>
      </w:r>
    </w:p>
    <w:p w:rsidR="00635800" w:rsidRPr="00551389" w:rsidRDefault="00635800" w:rsidP="00BD1D2E">
      <w:pPr>
        <w:spacing w:line="23" w:lineRule="atLeast"/>
        <w:ind w:left="2127" w:hanging="2127"/>
        <w:jc w:val="both"/>
      </w:pPr>
      <w:r w:rsidRPr="00844885">
        <w:rPr>
          <w:b/>
        </w:rPr>
        <w:t>RBP</w:t>
      </w:r>
      <w:r w:rsidRPr="00844885">
        <w:rPr>
          <w:b/>
        </w:rPr>
        <w:tab/>
      </w:r>
      <w:proofErr w:type="spellStart"/>
      <w:r w:rsidR="00D33DD4" w:rsidRPr="00844885">
        <w:t>RBP</w:t>
      </w:r>
      <w:proofErr w:type="spellEnd"/>
      <w:r w:rsidR="00D33DD4" w:rsidRPr="00844885">
        <w:t>, zdravotní pojišťovna</w:t>
      </w:r>
    </w:p>
    <w:p w:rsidR="00635800" w:rsidRPr="00BD1D2E" w:rsidRDefault="00635800" w:rsidP="00BD1D2E">
      <w:pPr>
        <w:spacing w:line="23" w:lineRule="atLeast"/>
        <w:ind w:left="2127" w:hanging="2127"/>
        <w:jc w:val="both"/>
        <w:rPr>
          <w:b/>
        </w:rPr>
      </w:pPr>
      <w:r w:rsidRPr="00BD1D2E">
        <w:rPr>
          <w:b/>
        </w:rPr>
        <w:t>RF</w:t>
      </w:r>
      <w:r w:rsidRPr="00BD1D2E">
        <w:rPr>
          <w:b/>
        </w:rPr>
        <w:tab/>
      </w:r>
      <w:r w:rsidRPr="00551389">
        <w:t>Rezervní fond</w:t>
      </w:r>
    </w:p>
    <w:p w:rsidR="00635800" w:rsidRPr="00BD1D2E" w:rsidRDefault="00635800" w:rsidP="00BD1D2E">
      <w:pPr>
        <w:spacing w:line="23" w:lineRule="atLeast"/>
        <w:ind w:left="2127" w:hanging="2127"/>
        <w:jc w:val="both"/>
        <w:rPr>
          <w:b/>
        </w:rPr>
      </w:pPr>
      <w:r w:rsidRPr="00BD1D2E">
        <w:rPr>
          <w:b/>
        </w:rPr>
        <w:t>RO</w:t>
      </w:r>
      <w:r w:rsidRPr="00BD1D2E">
        <w:rPr>
          <w:b/>
        </w:rPr>
        <w:tab/>
      </w:r>
      <w:r w:rsidRPr="00551389">
        <w:t>Rozhodčí orgán</w:t>
      </w:r>
    </w:p>
    <w:p w:rsidR="00635800" w:rsidRPr="00BD1D2E" w:rsidRDefault="00635800" w:rsidP="00BD1D2E">
      <w:pPr>
        <w:spacing w:line="23" w:lineRule="atLeast"/>
        <w:ind w:left="2127" w:hanging="2127"/>
        <w:jc w:val="both"/>
        <w:rPr>
          <w:b/>
        </w:rPr>
      </w:pPr>
      <w:r w:rsidRPr="00BD1D2E">
        <w:rPr>
          <w:b/>
        </w:rPr>
        <w:t>Saldo příjmů a výdajů</w:t>
      </w:r>
      <w:r w:rsidRPr="00BD1D2E">
        <w:rPr>
          <w:b/>
        </w:rPr>
        <w:tab/>
      </w:r>
      <w:r w:rsidRPr="00551389">
        <w:t>Saldo příjmů celkem, včetně zdaňovaných, a výdajů celkem, včetně zdaňovaných celkem, včetně zdaňovaných</w:t>
      </w:r>
      <w:r w:rsidRPr="00BD1D2E">
        <w:rPr>
          <w:b/>
        </w:rPr>
        <w:t xml:space="preserve"> </w:t>
      </w:r>
    </w:p>
    <w:p w:rsidR="00635800" w:rsidRPr="00BD1D2E" w:rsidRDefault="00635800" w:rsidP="00BD1D2E">
      <w:pPr>
        <w:spacing w:line="23" w:lineRule="atLeast"/>
        <w:ind w:left="1701" w:hanging="1701"/>
        <w:jc w:val="both"/>
        <w:rPr>
          <w:b/>
        </w:rPr>
      </w:pPr>
      <w:r w:rsidRPr="00BD1D2E">
        <w:rPr>
          <w:b/>
        </w:rPr>
        <w:t>SF</w:t>
      </w:r>
      <w:r w:rsidRPr="00BD1D2E">
        <w:rPr>
          <w:b/>
        </w:rPr>
        <w:tab/>
      </w:r>
      <w:r w:rsidR="00551389">
        <w:rPr>
          <w:b/>
        </w:rPr>
        <w:tab/>
      </w:r>
      <w:r w:rsidRPr="00551389">
        <w:t>Sociální fond</w:t>
      </w:r>
    </w:p>
    <w:p w:rsidR="00635800" w:rsidRPr="00BD1D2E" w:rsidRDefault="00635800" w:rsidP="00BD1D2E">
      <w:pPr>
        <w:spacing w:line="23" w:lineRule="atLeast"/>
        <w:ind w:left="1701" w:hanging="1701"/>
        <w:jc w:val="both"/>
        <w:rPr>
          <w:b/>
        </w:rPr>
      </w:pPr>
      <w:r w:rsidRPr="00BD1D2E">
        <w:rPr>
          <w:b/>
        </w:rPr>
        <w:t>SR</w:t>
      </w:r>
      <w:r w:rsidRPr="00BD1D2E">
        <w:rPr>
          <w:b/>
        </w:rPr>
        <w:tab/>
      </w:r>
      <w:r w:rsidR="00551389">
        <w:rPr>
          <w:b/>
        </w:rPr>
        <w:tab/>
      </w:r>
      <w:r w:rsidRPr="00551389">
        <w:t>Správní rada</w:t>
      </w:r>
    </w:p>
    <w:p w:rsidR="00635800" w:rsidRPr="00BD1D2E" w:rsidRDefault="00635800" w:rsidP="00551389">
      <w:pPr>
        <w:spacing w:line="23" w:lineRule="atLeast"/>
        <w:ind w:left="2127" w:hanging="2127"/>
        <w:jc w:val="both"/>
        <w:rPr>
          <w:b/>
        </w:rPr>
      </w:pPr>
      <w:r w:rsidRPr="00BD1D2E">
        <w:rPr>
          <w:b/>
        </w:rPr>
        <w:t xml:space="preserve">Státní pojištěnci </w:t>
      </w:r>
      <w:r w:rsidRPr="00BD1D2E">
        <w:rPr>
          <w:b/>
        </w:rPr>
        <w:tab/>
      </w:r>
      <w:r w:rsidRPr="00551389">
        <w:t>Skupina pojištěnců definovaných v § 7 zákona č. 48/1997 Sb., za které je plátcem pojistného stát</w:t>
      </w:r>
    </w:p>
    <w:p w:rsidR="00635800" w:rsidRPr="00BD1D2E" w:rsidRDefault="00635800" w:rsidP="00BD1D2E">
      <w:pPr>
        <w:spacing w:line="23" w:lineRule="atLeast"/>
        <w:ind w:left="2127" w:hanging="2127"/>
        <w:jc w:val="both"/>
        <w:rPr>
          <w:b/>
        </w:rPr>
      </w:pPr>
      <w:r w:rsidRPr="00BD1D2E">
        <w:rPr>
          <w:b/>
        </w:rPr>
        <w:t>v. z. p.</w:t>
      </w:r>
      <w:r w:rsidRPr="00BD1D2E">
        <w:rPr>
          <w:b/>
        </w:rPr>
        <w:tab/>
      </w:r>
      <w:r w:rsidRPr="00551389">
        <w:t>Veřejné zdravotní pojištění</w:t>
      </w:r>
    </w:p>
    <w:p w:rsidR="00635800" w:rsidRPr="00BD1D2E" w:rsidRDefault="00635800" w:rsidP="00BD1D2E">
      <w:pPr>
        <w:spacing w:line="23" w:lineRule="atLeast"/>
        <w:ind w:left="2127" w:hanging="2127"/>
        <w:jc w:val="both"/>
        <w:rPr>
          <w:b/>
        </w:rPr>
      </w:pPr>
      <w:proofErr w:type="spellStart"/>
      <w:r w:rsidRPr="00BD1D2E">
        <w:rPr>
          <w:b/>
        </w:rPr>
        <w:t>VoZP</w:t>
      </w:r>
      <w:proofErr w:type="spellEnd"/>
      <w:r w:rsidRPr="00BD1D2E">
        <w:rPr>
          <w:b/>
        </w:rPr>
        <w:t xml:space="preserve"> ČR </w:t>
      </w:r>
      <w:r w:rsidRPr="00BD1D2E">
        <w:rPr>
          <w:b/>
        </w:rPr>
        <w:tab/>
      </w:r>
      <w:r w:rsidRPr="00551389">
        <w:t>Vojenská zdravotní pojišťovna ČR</w:t>
      </w:r>
    </w:p>
    <w:p w:rsidR="00635800" w:rsidRPr="007709C3" w:rsidRDefault="00635800" w:rsidP="00BD1D2E">
      <w:pPr>
        <w:spacing w:line="23" w:lineRule="atLeast"/>
        <w:ind w:left="2127" w:hanging="2127"/>
        <w:jc w:val="both"/>
        <w:rPr>
          <w:b/>
        </w:rPr>
      </w:pPr>
      <w:r w:rsidRPr="00BD1D2E">
        <w:rPr>
          <w:b/>
        </w:rPr>
        <w:t xml:space="preserve">VZP ČR </w:t>
      </w:r>
      <w:r w:rsidRPr="00BD1D2E">
        <w:rPr>
          <w:b/>
        </w:rPr>
        <w:tab/>
      </w:r>
      <w:r w:rsidRPr="00551389">
        <w:t>Všeobecná zdravotní pojišťovna ČR</w:t>
      </w:r>
    </w:p>
    <w:p w:rsidR="00635800" w:rsidRPr="00BD1D2E" w:rsidRDefault="00635800" w:rsidP="00BD1D2E">
      <w:pPr>
        <w:spacing w:line="23" w:lineRule="atLeast"/>
        <w:ind w:left="2127" w:hanging="2127"/>
        <w:jc w:val="both"/>
        <w:rPr>
          <w:b/>
        </w:rPr>
      </w:pPr>
      <w:r w:rsidRPr="00BD1D2E">
        <w:rPr>
          <w:b/>
        </w:rPr>
        <w:t>ZFZP</w:t>
      </w:r>
      <w:r w:rsidRPr="00BD1D2E">
        <w:rPr>
          <w:b/>
        </w:rPr>
        <w:tab/>
      </w:r>
      <w:r w:rsidRPr="00551389">
        <w:t>Základní fond zdravotního pojištění</w:t>
      </w:r>
    </w:p>
    <w:p w:rsidR="00635800" w:rsidRPr="00BD1D2E" w:rsidRDefault="00DF5584" w:rsidP="00BD1D2E">
      <w:pPr>
        <w:spacing w:line="23" w:lineRule="atLeast"/>
        <w:ind w:left="2127" w:hanging="2127"/>
        <w:jc w:val="both"/>
        <w:rPr>
          <w:b/>
        </w:rPr>
      </w:pPr>
      <w:r>
        <w:rPr>
          <w:b/>
        </w:rPr>
        <w:t>ZP MV ČR</w:t>
      </w:r>
      <w:r w:rsidR="00635800" w:rsidRPr="00BD1D2E">
        <w:rPr>
          <w:b/>
        </w:rPr>
        <w:t xml:space="preserve"> </w:t>
      </w:r>
      <w:r w:rsidR="00635800" w:rsidRPr="00BD1D2E">
        <w:rPr>
          <w:b/>
        </w:rPr>
        <w:tab/>
      </w:r>
      <w:r w:rsidR="00635800" w:rsidRPr="00551389">
        <w:t>Zdravotní pojišťovna ministerstva vnitra ČR</w:t>
      </w:r>
    </w:p>
    <w:p w:rsidR="00635800" w:rsidRPr="007709C3" w:rsidRDefault="00635800" w:rsidP="00BD1D2E">
      <w:pPr>
        <w:spacing w:line="23" w:lineRule="atLeast"/>
        <w:ind w:left="2127" w:hanging="2127"/>
        <w:jc w:val="both"/>
        <w:rPr>
          <w:b/>
        </w:rPr>
      </w:pPr>
      <w:r w:rsidRPr="00BD1D2E">
        <w:rPr>
          <w:b/>
        </w:rPr>
        <w:t>ZP</w:t>
      </w:r>
      <w:r w:rsidRPr="00BD1D2E">
        <w:rPr>
          <w:b/>
        </w:rPr>
        <w:tab/>
      </w:r>
      <w:r w:rsidRPr="00551389">
        <w:t>Zdravotní pojišťovny</w:t>
      </w:r>
      <w:r w:rsidRPr="00BD1D2E">
        <w:rPr>
          <w:b/>
        </w:rPr>
        <w:t xml:space="preserve"> </w:t>
      </w:r>
    </w:p>
    <w:p w:rsidR="00635800" w:rsidRPr="00BD1D2E" w:rsidRDefault="00635800" w:rsidP="00BD1D2E">
      <w:pPr>
        <w:spacing w:line="23" w:lineRule="atLeast"/>
        <w:ind w:left="2127" w:hanging="2127"/>
        <w:jc w:val="both"/>
        <w:rPr>
          <w:b/>
        </w:rPr>
      </w:pPr>
      <w:r w:rsidRPr="00BD1D2E">
        <w:rPr>
          <w:b/>
        </w:rPr>
        <w:t>ZPP 20</w:t>
      </w:r>
      <w:r w:rsidR="006B462E">
        <w:rPr>
          <w:b/>
        </w:rPr>
        <w:t>21</w:t>
      </w:r>
      <w:r w:rsidRPr="00BD1D2E">
        <w:rPr>
          <w:b/>
        </w:rPr>
        <w:tab/>
      </w:r>
      <w:r w:rsidRPr="00551389">
        <w:t>Zdravotně pojistný plán na rok 20</w:t>
      </w:r>
      <w:r w:rsidR="006B462E">
        <w:t>21</w:t>
      </w:r>
    </w:p>
    <w:p w:rsidR="00635800" w:rsidRPr="00BD1D2E" w:rsidRDefault="00635800" w:rsidP="00BD1D2E">
      <w:pPr>
        <w:spacing w:line="23" w:lineRule="atLeast"/>
        <w:ind w:left="2127" w:hanging="2127"/>
        <w:jc w:val="both"/>
        <w:rPr>
          <w:b/>
        </w:rPr>
      </w:pPr>
      <w:r w:rsidRPr="00BD1D2E">
        <w:rPr>
          <w:b/>
        </w:rPr>
        <w:lastRenderedPageBreak/>
        <w:t xml:space="preserve">ZPŠ </w:t>
      </w:r>
      <w:r w:rsidRPr="00BD1D2E">
        <w:rPr>
          <w:b/>
        </w:rPr>
        <w:tab/>
      </w:r>
      <w:r w:rsidRPr="00551389">
        <w:t>Zaměstnanecká pojišťovna Škoda</w:t>
      </w:r>
      <w:r w:rsidRPr="00BD1D2E">
        <w:rPr>
          <w:b/>
        </w:rPr>
        <w:t xml:space="preserve"> </w:t>
      </w:r>
    </w:p>
    <w:p w:rsidR="00635800" w:rsidRPr="00BD1D2E" w:rsidRDefault="00635800" w:rsidP="00BD1D2E">
      <w:pPr>
        <w:spacing w:line="23" w:lineRule="atLeast"/>
        <w:ind w:left="2127" w:hanging="2127"/>
        <w:jc w:val="both"/>
        <w:rPr>
          <w:b/>
        </w:rPr>
      </w:pPr>
      <w:r w:rsidRPr="00BD1D2E">
        <w:rPr>
          <w:b/>
        </w:rPr>
        <w:t>ZUM</w:t>
      </w:r>
      <w:r w:rsidRPr="00BD1D2E">
        <w:rPr>
          <w:b/>
        </w:rPr>
        <w:tab/>
      </w:r>
      <w:r w:rsidRPr="00551389">
        <w:t>Zvlášť účtovaný materiál</w:t>
      </w:r>
    </w:p>
    <w:p w:rsidR="00635800" w:rsidRPr="00BD1D2E" w:rsidRDefault="00635800" w:rsidP="00BD1D2E">
      <w:pPr>
        <w:spacing w:line="23" w:lineRule="atLeast"/>
        <w:ind w:left="2127" w:hanging="2127"/>
        <w:jc w:val="both"/>
        <w:rPr>
          <w:b/>
        </w:rPr>
      </w:pPr>
      <w:r w:rsidRPr="00BD1D2E">
        <w:rPr>
          <w:b/>
        </w:rPr>
        <w:t>ZULP</w:t>
      </w:r>
      <w:r w:rsidRPr="00BD1D2E">
        <w:rPr>
          <w:b/>
        </w:rPr>
        <w:tab/>
      </w:r>
      <w:r w:rsidRPr="00551389">
        <w:t>Zvlášť účtované léčivé přípravky</w:t>
      </w:r>
    </w:p>
    <w:p w:rsidR="00635800" w:rsidRPr="007709C3" w:rsidRDefault="00635800" w:rsidP="00BD1D2E">
      <w:pPr>
        <w:spacing w:line="23" w:lineRule="atLeast"/>
        <w:ind w:left="2127" w:hanging="2127"/>
        <w:jc w:val="both"/>
        <w:rPr>
          <w:b/>
        </w:rPr>
      </w:pPr>
      <w:r w:rsidRPr="00BD1D2E">
        <w:rPr>
          <w:b/>
        </w:rPr>
        <w:t>ZZP</w:t>
      </w:r>
      <w:r w:rsidRPr="00BD1D2E">
        <w:rPr>
          <w:b/>
        </w:rPr>
        <w:tab/>
      </w:r>
      <w:r w:rsidRPr="00551389">
        <w:t>Zaměstnanecké zdravotní pojišťovny</w:t>
      </w:r>
      <w:r w:rsidRPr="00BD1D2E">
        <w:rPr>
          <w:b/>
        </w:rPr>
        <w:t xml:space="preserve"> </w:t>
      </w:r>
    </w:p>
    <w:p w:rsidR="00635800" w:rsidRPr="00BD1D2E" w:rsidRDefault="00635800" w:rsidP="00BD1D2E">
      <w:pPr>
        <w:spacing w:line="23" w:lineRule="atLeast"/>
        <w:ind w:left="2127" w:hanging="2127"/>
        <w:jc w:val="both"/>
        <w:rPr>
          <w:b/>
        </w:rPr>
      </w:pPr>
      <w:r w:rsidRPr="00BD1D2E">
        <w:rPr>
          <w:b/>
        </w:rPr>
        <w:t>ZZS</w:t>
      </w:r>
      <w:r w:rsidRPr="00BD1D2E">
        <w:rPr>
          <w:b/>
        </w:rPr>
        <w:tab/>
      </w:r>
      <w:r w:rsidRPr="00551389">
        <w:t>Zdravotnická záchranná služba</w:t>
      </w:r>
    </w:p>
    <w:p w:rsidR="00111366" w:rsidRDefault="00111366">
      <w:pPr>
        <w:spacing w:after="200" w:line="276" w:lineRule="auto"/>
      </w:pPr>
      <w:r>
        <w:br w:type="page"/>
      </w:r>
    </w:p>
    <w:p w:rsidR="00BC3E04" w:rsidRPr="00BC3E04" w:rsidRDefault="00BC3E04" w:rsidP="00BC3E04">
      <w:pPr>
        <w:pStyle w:val="Nadpis1"/>
      </w:pPr>
      <w:bookmarkStart w:id="91" w:name="_Toc63684694"/>
      <w:r w:rsidRPr="00BC3E04">
        <w:lastRenderedPageBreak/>
        <w:t>Právní předpisy citov</w:t>
      </w:r>
      <w:r w:rsidR="00551389">
        <w:t>ané v textové části materiálu a </w:t>
      </w:r>
      <w:r w:rsidRPr="00BC3E04">
        <w:t>tabulkových přílohách</w:t>
      </w:r>
      <w:bookmarkEnd w:id="91"/>
      <w:r w:rsidRPr="00BC3E04">
        <w:t xml:space="preserve"> </w:t>
      </w:r>
    </w:p>
    <w:p w:rsidR="00E92620" w:rsidRPr="00BC3E04" w:rsidRDefault="00E92620" w:rsidP="00E92620">
      <w:pPr>
        <w:spacing w:line="276" w:lineRule="auto"/>
        <w:ind w:left="2829" w:hanging="2829"/>
        <w:jc w:val="both"/>
        <w:rPr>
          <w:b/>
        </w:rPr>
      </w:pPr>
      <w:r w:rsidRPr="00BC3E04">
        <w:rPr>
          <w:b/>
        </w:rPr>
        <w:t>Zákon č. 526/1990 Sb.</w:t>
      </w:r>
      <w:r w:rsidRPr="00BC3E04">
        <w:rPr>
          <w:b/>
        </w:rPr>
        <w:tab/>
      </w:r>
      <w:r w:rsidRPr="00BC3E04">
        <w:t>Zákon č. 526/1990 Sb., o cenách, ve znění pozdějších předpisů</w:t>
      </w:r>
    </w:p>
    <w:p w:rsidR="00635800" w:rsidRPr="002F4F7E" w:rsidRDefault="00E453BE" w:rsidP="00BD1D2E">
      <w:pPr>
        <w:tabs>
          <w:tab w:val="left" w:leader="dot" w:pos="2835"/>
        </w:tabs>
        <w:spacing w:line="276" w:lineRule="auto"/>
        <w:ind w:left="2829" w:hanging="2829"/>
        <w:jc w:val="both"/>
      </w:pPr>
      <w:r>
        <w:rPr>
          <w:b/>
        </w:rPr>
        <w:t>Zákon č. 551/1991 Sb.</w:t>
      </w:r>
      <w:r>
        <w:rPr>
          <w:b/>
        </w:rPr>
        <w:tab/>
      </w:r>
      <w:r w:rsidR="00635800" w:rsidRPr="002F4F7E">
        <w:t>Zákon č. 551/1991 Sb., o Všeobecné zdravotní pojišťovně České republiky, ve znění pozdějších předpisů</w:t>
      </w:r>
    </w:p>
    <w:p w:rsidR="00E92620" w:rsidRDefault="008D016A" w:rsidP="00BD1D2E">
      <w:pPr>
        <w:spacing w:line="276" w:lineRule="auto"/>
        <w:ind w:left="2829" w:hanging="2829"/>
        <w:jc w:val="both"/>
      </w:pPr>
      <w:r w:rsidRPr="00BC3E04">
        <w:rPr>
          <w:b/>
        </w:rPr>
        <w:t>Zákon č. 563/1991 Sb.</w:t>
      </w:r>
      <w:r w:rsidRPr="00BC3E04">
        <w:rPr>
          <w:b/>
        </w:rPr>
        <w:tab/>
      </w:r>
      <w:r w:rsidRPr="00BC3E04">
        <w:t>Zákon č. 563/1991 Sb., o účetnictví, ve znění pozdějších předpisů</w:t>
      </w:r>
    </w:p>
    <w:p w:rsidR="00E92620" w:rsidRPr="00BC3E04" w:rsidRDefault="00E92620" w:rsidP="00E92620">
      <w:pPr>
        <w:spacing w:line="276" w:lineRule="auto"/>
        <w:ind w:left="2829" w:hanging="2829"/>
        <w:jc w:val="both"/>
        <w:rPr>
          <w:b/>
        </w:rPr>
      </w:pPr>
      <w:r w:rsidRPr="00BC3E04">
        <w:rPr>
          <w:b/>
        </w:rPr>
        <w:t>Zákon č. 586/1992 Sb.</w:t>
      </w:r>
      <w:r w:rsidRPr="00BC3E04">
        <w:rPr>
          <w:b/>
        </w:rPr>
        <w:tab/>
      </w:r>
      <w:r w:rsidRPr="00BC3E04">
        <w:t>Zákon č. 586/1992 Sb., o daních z příjmů, ve znění pozdějších předpisů</w:t>
      </w:r>
    </w:p>
    <w:p w:rsidR="00635800" w:rsidRPr="002F4F7E" w:rsidRDefault="00635800" w:rsidP="00BD1D2E">
      <w:pPr>
        <w:spacing w:line="276" w:lineRule="auto"/>
        <w:ind w:left="2829" w:hanging="2829"/>
        <w:jc w:val="both"/>
      </w:pPr>
      <w:r w:rsidRPr="00BC3E04">
        <w:rPr>
          <w:b/>
        </w:rPr>
        <w:t>Zákon č. 280/1992 Sb.</w:t>
      </w:r>
      <w:r w:rsidRPr="002F4F7E">
        <w:tab/>
        <w:t>Zákon č. 280/1992 Sb., o resortních, oborových, podnikových a</w:t>
      </w:r>
      <w:r>
        <w:t> </w:t>
      </w:r>
      <w:r w:rsidRPr="002F4F7E">
        <w:t>dalších zdravotních pojišťovnách, ve znění pozdějších předpisů</w:t>
      </w:r>
    </w:p>
    <w:p w:rsidR="00635800" w:rsidRPr="002F4F7E" w:rsidRDefault="00635800" w:rsidP="00BD1D2E">
      <w:pPr>
        <w:spacing w:line="276" w:lineRule="auto"/>
        <w:ind w:left="2829" w:hanging="2829"/>
        <w:jc w:val="both"/>
      </w:pPr>
      <w:r w:rsidRPr="00BC3E04">
        <w:rPr>
          <w:b/>
        </w:rPr>
        <w:t>Zákon č. 592/1992 Sb.</w:t>
      </w:r>
      <w:r w:rsidRPr="002F4F7E">
        <w:tab/>
        <w:t>Zákon č. 592/1992 Sb., o pojistném na v</w:t>
      </w:r>
      <w:r>
        <w:t>eřejné</w:t>
      </w:r>
      <w:r w:rsidRPr="002F4F7E">
        <w:t xml:space="preserve"> zdravotní pojištění, ve znění pozdějších předpisů</w:t>
      </w:r>
    </w:p>
    <w:p w:rsidR="00635800" w:rsidRPr="00BC3E04" w:rsidRDefault="00635800" w:rsidP="00BD1D2E">
      <w:pPr>
        <w:spacing w:line="276" w:lineRule="auto"/>
        <w:ind w:left="2829" w:hanging="2829"/>
        <w:jc w:val="both"/>
        <w:rPr>
          <w:b/>
        </w:rPr>
      </w:pPr>
      <w:r w:rsidRPr="00BC3E04">
        <w:rPr>
          <w:b/>
        </w:rPr>
        <w:t>Zákon č. 48/1997 Sb.</w:t>
      </w:r>
      <w:r w:rsidRPr="00BC3E04">
        <w:rPr>
          <w:b/>
        </w:rPr>
        <w:tab/>
      </w:r>
      <w:r w:rsidRPr="00BC3E04">
        <w:t>Zákon č. 48/1997 Sb., o veřejném zdravotním pojištění a o změně a doplnění některých souvisejících zákonů, ve znění pozdějších předpisů</w:t>
      </w:r>
    </w:p>
    <w:p w:rsidR="00635800" w:rsidRDefault="00635800" w:rsidP="00BD1D2E">
      <w:pPr>
        <w:spacing w:line="276" w:lineRule="auto"/>
        <w:ind w:left="2829" w:hanging="2829"/>
        <w:jc w:val="both"/>
      </w:pPr>
      <w:r w:rsidRPr="00BC3E04">
        <w:rPr>
          <w:b/>
        </w:rPr>
        <w:t>Zákon č. 225/1999 Sb.</w:t>
      </w:r>
      <w:r w:rsidRPr="00BC3E04">
        <w:rPr>
          <w:b/>
        </w:rPr>
        <w:tab/>
      </w:r>
      <w:r w:rsidRPr="00BC3E04">
        <w:t>Zákon č. 225/1999 Sb., kterým se mění některé zákony v souvislosti s přijetím zákona o vojácích z povolání, ve znění pozdějších předpisů</w:t>
      </w:r>
    </w:p>
    <w:p w:rsidR="00E92620" w:rsidRPr="00BC3E04" w:rsidRDefault="00E92620" w:rsidP="00E92620">
      <w:pPr>
        <w:spacing w:line="276" w:lineRule="auto"/>
        <w:ind w:left="2829" w:hanging="2829"/>
        <w:jc w:val="both"/>
        <w:rPr>
          <w:b/>
        </w:rPr>
      </w:pPr>
      <w:r w:rsidRPr="00BC3E04">
        <w:rPr>
          <w:b/>
        </w:rPr>
        <w:t>Zákon č. 320/2001 Sb.</w:t>
      </w:r>
      <w:r w:rsidRPr="00BC3E04">
        <w:rPr>
          <w:b/>
        </w:rPr>
        <w:tab/>
      </w:r>
      <w:r w:rsidRPr="00BC3E04">
        <w:t>Zákon č. 320/2001 Sb., o finanční kontrole ve veřejné správě a o změně některých zákonů (zákon o finanční kontrole), ve znění pozdějších předpisů.</w:t>
      </w:r>
    </w:p>
    <w:p w:rsidR="00635800" w:rsidRPr="00BC3E04" w:rsidRDefault="00635800" w:rsidP="00BD1D2E">
      <w:pPr>
        <w:spacing w:line="276" w:lineRule="auto"/>
        <w:ind w:left="2829" w:hanging="2829"/>
        <w:jc w:val="both"/>
        <w:rPr>
          <w:b/>
        </w:rPr>
      </w:pPr>
      <w:r w:rsidRPr="00BC3E04">
        <w:rPr>
          <w:b/>
        </w:rPr>
        <w:t>Zákon č. 182/ 2006 Sb.</w:t>
      </w:r>
      <w:r w:rsidRPr="00BC3E04">
        <w:rPr>
          <w:b/>
        </w:rPr>
        <w:tab/>
      </w:r>
      <w:r w:rsidRPr="00BC3E04">
        <w:t>Zákon č. 182/2006 Sb., o úpadku a způsobech jeho řešení (insolvenční zákon), ve znění pozdějších předpisů</w:t>
      </w:r>
    </w:p>
    <w:p w:rsidR="00635800" w:rsidRPr="00BC3E04" w:rsidRDefault="00635800" w:rsidP="00BD1D2E">
      <w:pPr>
        <w:spacing w:line="276" w:lineRule="auto"/>
        <w:ind w:left="2829" w:hanging="2829"/>
        <w:jc w:val="both"/>
        <w:rPr>
          <w:b/>
        </w:rPr>
      </w:pPr>
      <w:r w:rsidRPr="00BC3E04">
        <w:rPr>
          <w:b/>
        </w:rPr>
        <w:t>Zákon č. 93/2009 Sb.</w:t>
      </w:r>
      <w:r w:rsidRPr="00BC3E04">
        <w:rPr>
          <w:b/>
        </w:rPr>
        <w:tab/>
      </w:r>
      <w:r w:rsidR="0039626E" w:rsidRPr="0039626E">
        <w:t>Zákon č. 93/2009 Sb., o auditorech a o změně některých zákonů (zákon o auditorech), ve znění pozdějších předpisů</w:t>
      </w:r>
    </w:p>
    <w:p w:rsidR="00635800" w:rsidRDefault="00635800" w:rsidP="00BD1D2E">
      <w:pPr>
        <w:spacing w:line="276" w:lineRule="auto"/>
        <w:ind w:left="2829" w:hanging="2829"/>
        <w:jc w:val="both"/>
      </w:pPr>
      <w:r w:rsidRPr="00BC3E04">
        <w:rPr>
          <w:b/>
        </w:rPr>
        <w:t>Zákon č. 255/2012 Sb.</w:t>
      </w:r>
      <w:r w:rsidRPr="00BC3E04">
        <w:rPr>
          <w:b/>
        </w:rPr>
        <w:tab/>
      </w:r>
      <w:r w:rsidR="0039626E" w:rsidRPr="0039626E">
        <w:t>Zákon č. 255/2012 Sb., o kontrole (kontrolní řád), ve znění zákona č. 183/2017 Sb.</w:t>
      </w:r>
      <w:r w:rsidR="0039626E">
        <w:t xml:space="preserve"> </w:t>
      </w:r>
    </w:p>
    <w:p w:rsidR="00C93083" w:rsidRDefault="00C93083" w:rsidP="00BD1D2E">
      <w:pPr>
        <w:spacing w:line="276" w:lineRule="auto"/>
        <w:ind w:left="2829" w:hanging="2829"/>
        <w:jc w:val="both"/>
        <w:rPr>
          <w:b/>
          <w:szCs w:val="21"/>
        </w:rPr>
      </w:pPr>
      <w:r w:rsidRPr="00C93083">
        <w:rPr>
          <w:b/>
          <w:szCs w:val="21"/>
        </w:rPr>
        <w:t>Zákon č. 231/2020 Sb.</w:t>
      </w:r>
      <w:r>
        <w:rPr>
          <w:b/>
          <w:szCs w:val="21"/>
        </w:rPr>
        <w:tab/>
      </w:r>
      <w:r w:rsidRPr="00C93083">
        <w:rPr>
          <w:szCs w:val="21"/>
        </w:rPr>
        <w:t>Zákon, kterým se mění zákon č. 592/1992 Sb., o pojistném na veřejné zdravotní pojištění, ve znění pozdějších předpisů</w:t>
      </w:r>
    </w:p>
    <w:p w:rsidR="00551BD0" w:rsidRPr="008D016A" w:rsidRDefault="00551BD0" w:rsidP="00BD1D2E">
      <w:pPr>
        <w:spacing w:line="276" w:lineRule="auto"/>
        <w:ind w:left="2829" w:hanging="2829"/>
        <w:jc w:val="both"/>
        <w:rPr>
          <w:b/>
          <w:szCs w:val="21"/>
        </w:rPr>
      </w:pPr>
      <w:r w:rsidRPr="008D016A">
        <w:rPr>
          <w:b/>
          <w:szCs w:val="21"/>
        </w:rPr>
        <w:t>Zákon č. 540/2020 Sb.</w:t>
      </w:r>
      <w:r w:rsidRPr="008D016A">
        <w:rPr>
          <w:b/>
          <w:szCs w:val="21"/>
        </w:rPr>
        <w:tab/>
      </w:r>
      <w:r w:rsidRPr="008D016A">
        <w:rPr>
          <w:bCs/>
          <w:szCs w:val="21"/>
        </w:rPr>
        <w:t>Zákon č. 540/2020 Sb., kterým se mění zákon č. 586/1992 Sb., o daních z příjmů, ve znění pozdějších předpisů, a některé další zákony v souvislosti s paušální daní</w:t>
      </w:r>
    </w:p>
    <w:p w:rsidR="004F6AC6" w:rsidRPr="00BC3E04" w:rsidRDefault="004F6AC6" w:rsidP="004F6AC6">
      <w:pPr>
        <w:spacing w:line="276" w:lineRule="auto"/>
        <w:ind w:left="2832" w:hanging="2832"/>
        <w:jc w:val="both"/>
        <w:rPr>
          <w:b/>
        </w:rPr>
      </w:pPr>
      <w:r w:rsidRPr="00BC3E04">
        <w:rPr>
          <w:b/>
        </w:rPr>
        <w:t>Vyhláška č. 134/1998 Sb.</w:t>
      </w:r>
      <w:r w:rsidRPr="00BC3E04">
        <w:rPr>
          <w:b/>
        </w:rPr>
        <w:tab/>
      </w:r>
      <w:r w:rsidRPr="00BC3E04">
        <w:t>Vyhláška č. 134/1998 Sb., kterou se vydává seznam zdravotních výkonů s bodovými hodnotami, ve znění pozdějších předpisů</w:t>
      </w:r>
    </w:p>
    <w:p w:rsidR="00635800" w:rsidRPr="00BC3E04" w:rsidRDefault="00635800" w:rsidP="00BD1D2E">
      <w:pPr>
        <w:spacing w:line="276" w:lineRule="auto"/>
        <w:ind w:left="2829" w:hanging="2829"/>
        <w:jc w:val="both"/>
        <w:rPr>
          <w:b/>
        </w:rPr>
      </w:pPr>
      <w:r w:rsidRPr="00BC3E04">
        <w:rPr>
          <w:b/>
        </w:rPr>
        <w:t>Vyhláška č. 41/2000 Sb.</w:t>
      </w:r>
      <w:r w:rsidRPr="00BC3E04">
        <w:rPr>
          <w:b/>
        </w:rPr>
        <w:tab/>
      </w:r>
      <w:r w:rsidRPr="00BC3E04">
        <w:t>Vyhláška č. 41/2000 Sb., kterou se stanoví podrobné podmínky tvorby a užití finančních prostředků fondů Vojenské zdravotní pojišťovny České republiky na úhradu zdravotní péče hrazené nad rámec veřejného zdravotního pojištění z prostředků státního rozpočtu kapitoly Ministerstva obrany</w:t>
      </w:r>
    </w:p>
    <w:p w:rsidR="00635800" w:rsidRDefault="00635800" w:rsidP="00BD1D2E">
      <w:pPr>
        <w:spacing w:line="276" w:lineRule="auto"/>
        <w:ind w:left="2832" w:hanging="2832"/>
        <w:jc w:val="both"/>
        <w:rPr>
          <w:szCs w:val="21"/>
        </w:rPr>
      </w:pPr>
      <w:r w:rsidRPr="00E92620">
        <w:rPr>
          <w:b/>
          <w:szCs w:val="21"/>
        </w:rPr>
        <w:lastRenderedPageBreak/>
        <w:t>Vyhláška č. 503/2002 Sb.</w:t>
      </w:r>
      <w:r w:rsidRPr="00E92620">
        <w:rPr>
          <w:b/>
          <w:szCs w:val="21"/>
        </w:rPr>
        <w:tab/>
      </w:r>
      <w:r w:rsidR="0039626E" w:rsidRPr="004F6AC6">
        <w:rPr>
          <w:bCs/>
          <w:szCs w:val="21"/>
        </w:rPr>
        <w:t>Vyhláška č. 503/2002 Sb., kterou se provádějí některá ustanovení zákona č. 563/1991 Sb., o účetnictví, ve znění pozdějších předpisů, pro zdravotní pojišťovny, ve znění pozdějších předpisů</w:t>
      </w:r>
    </w:p>
    <w:p w:rsidR="004F6AC6" w:rsidRPr="00BC3E04" w:rsidRDefault="004F6AC6" w:rsidP="004F6AC6">
      <w:pPr>
        <w:spacing w:line="276" w:lineRule="auto"/>
        <w:ind w:left="2829" w:hanging="2829"/>
        <w:jc w:val="both"/>
        <w:rPr>
          <w:b/>
        </w:rPr>
      </w:pPr>
      <w:r w:rsidRPr="00BC3E04">
        <w:rPr>
          <w:b/>
        </w:rPr>
        <w:t>Vyhláška č. 418/2003 Sb.</w:t>
      </w:r>
      <w:r w:rsidRPr="00BC3E04">
        <w:rPr>
          <w:b/>
        </w:rPr>
        <w:tab/>
      </w:r>
      <w:r w:rsidRPr="00BC3E04">
        <w:t>Vyhláška č. 418/2003 Sb., kterou se stanoví podrobnější vymezení okruhu a výše příjmů a výdajů fondů veřejného zdravotního pojištění zdravotních pojišťoven, podmínky jejich tvorby, užití, přípustnosti vzájemných převodů finančních prostředků a hospodaření s nimi, limit nákladů na činnost zdravotních pojišťoven krytých ze zdrojů základního fondu včetně postupu propočtu tohoto limitu, ve znění pozdějších předpisů</w:t>
      </w:r>
    </w:p>
    <w:p w:rsidR="00635800" w:rsidRDefault="001B7734" w:rsidP="00BD1D2E">
      <w:pPr>
        <w:spacing w:line="276" w:lineRule="auto"/>
        <w:jc w:val="both"/>
      </w:pPr>
      <w:r>
        <w:rPr>
          <w:b/>
        </w:rPr>
        <w:t>Vyhláška č. 618/2006 Sb.</w:t>
      </w:r>
      <w:r>
        <w:rPr>
          <w:b/>
        </w:rPr>
        <w:tab/>
      </w:r>
      <w:r w:rsidR="00635800" w:rsidRPr="002F4F7E">
        <w:t>Vyhláška č. 618/2006 Sb., kterou se vydávají rámcové smlouvy</w:t>
      </w:r>
    </w:p>
    <w:p w:rsidR="004F6AC6" w:rsidRPr="002F4F7E" w:rsidRDefault="004F6AC6" w:rsidP="004F6AC6">
      <w:pPr>
        <w:spacing w:line="276" w:lineRule="auto"/>
        <w:jc w:val="both"/>
        <w:rPr>
          <w:b/>
        </w:rPr>
      </w:pPr>
      <w:r w:rsidRPr="00C954C6">
        <w:rPr>
          <w:b/>
        </w:rPr>
        <w:t>Vyhláška č. 63/2007 Sb.</w:t>
      </w:r>
      <w:r w:rsidRPr="00C954C6">
        <w:rPr>
          <w:b/>
        </w:rPr>
        <w:tab/>
      </w:r>
      <w:r w:rsidRPr="00C954C6">
        <w:rPr>
          <w:b/>
        </w:rPr>
        <w:tab/>
      </w:r>
      <w:r w:rsidRPr="00C954C6">
        <w:t>Vyhláška č. 63/</w:t>
      </w:r>
      <w:r w:rsidRPr="002F4F7E">
        <w:t>2007 Sb., o úhradách léčiv a potravin pro zvláštní lékařské účely</w:t>
      </w:r>
    </w:p>
    <w:p w:rsidR="00C93083" w:rsidRDefault="004F6AC6" w:rsidP="004F6AC6">
      <w:pPr>
        <w:spacing w:line="276" w:lineRule="auto"/>
        <w:ind w:left="2832" w:hanging="2832"/>
        <w:jc w:val="both"/>
        <w:rPr>
          <w:b/>
        </w:rPr>
      </w:pPr>
      <w:r w:rsidRPr="00E453BE">
        <w:rPr>
          <w:b/>
        </w:rPr>
        <w:t>Vyhláška č. 362/2010 Sb.</w:t>
      </w:r>
      <w:r w:rsidRPr="00E453BE">
        <w:rPr>
          <w:b/>
        </w:rPr>
        <w:tab/>
      </w:r>
      <w:r>
        <w:tab/>
      </w:r>
      <w:r w:rsidRPr="002F4F7E">
        <w:t>Vyhláška č. 362/2010 Sb., o způsobu podávání informací o</w:t>
      </w:r>
      <w:r>
        <w:t> </w:t>
      </w:r>
      <w:r w:rsidRPr="002F4F7E">
        <w:t>hospodaření zdravotních pojišťoven a jejich rozsahu</w:t>
      </w:r>
    </w:p>
    <w:p w:rsidR="004F6AC6" w:rsidRPr="00C954C6" w:rsidRDefault="004F6AC6" w:rsidP="004F6AC6">
      <w:pPr>
        <w:spacing w:line="276" w:lineRule="auto"/>
        <w:ind w:left="2832" w:hanging="2832"/>
        <w:jc w:val="both"/>
        <w:rPr>
          <w:b/>
        </w:rPr>
      </w:pPr>
      <w:r w:rsidRPr="00C954C6">
        <w:rPr>
          <w:b/>
        </w:rPr>
        <w:t>Vyhláška č. 428/2020 Sb.</w:t>
      </w:r>
      <w:r w:rsidRPr="00C954C6">
        <w:rPr>
          <w:b/>
        </w:rPr>
        <w:tab/>
      </w:r>
      <w:r w:rsidRPr="00C954C6">
        <w:tab/>
        <w:t>Vyhláška č</w:t>
      </w:r>
      <w:r w:rsidRPr="00C954C6">
        <w:rPr>
          <w:bCs/>
        </w:rPr>
        <w:t>. 428/2020</w:t>
      </w:r>
      <w:r w:rsidRPr="00C954C6">
        <w:rPr>
          <w:b/>
        </w:rPr>
        <w:t xml:space="preserve"> </w:t>
      </w:r>
      <w:r w:rsidRPr="00C954C6">
        <w:t>Sb., o stanovení hodnot bodu, výše úhrad hrazených služeb a regulačních omezení pro rok 2021</w:t>
      </w:r>
    </w:p>
    <w:p w:rsidR="00635800" w:rsidRPr="002F4F7E" w:rsidRDefault="001B7734" w:rsidP="00BD1D2E">
      <w:pPr>
        <w:spacing w:line="276" w:lineRule="auto"/>
        <w:ind w:left="2835" w:hanging="2835"/>
        <w:jc w:val="both"/>
      </w:pPr>
      <w:r w:rsidRPr="001B7734">
        <w:rPr>
          <w:b/>
        </w:rPr>
        <w:t>Nařízení vlády č. 567/2006 Sb.</w:t>
      </w:r>
      <w:r w:rsidRPr="001B7734">
        <w:rPr>
          <w:b/>
        </w:rPr>
        <w:tab/>
      </w:r>
      <w:r w:rsidR="00635800" w:rsidRPr="002F4F7E">
        <w:t>Nařízení vlády č. 567/2006 Sb., o minimální mzdě a</w:t>
      </w:r>
      <w:r w:rsidR="00635800">
        <w:t> </w:t>
      </w:r>
      <w:r w:rsidR="00635800" w:rsidRPr="002F4F7E">
        <w:t>o</w:t>
      </w:r>
      <w:r w:rsidR="00635800">
        <w:t> </w:t>
      </w:r>
      <w:r w:rsidR="00635800" w:rsidRPr="002F4F7E">
        <w:t xml:space="preserve">nejnižších úrovních zaručené mzdy, o vymezení ztíženého </w:t>
      </w:r>
      <w:r w:rsidR="00635800" w:rsidRPr="00E3700F">
        <w:rPr>
          <w:color w:val="000000"/>
        </w:rPr>
        <w:t>pracovního prostředí a o výši příplatku ke mzdě za práci ve</w:t>
      </w:r>
      <w:r w:rsidR="00635800" w:rsidRPr="002F4F7E">
        <w:t xml:space="preserve"> ztíženém pracovním prostředí, ve znění pozdějších předpisů</w:t>
      </w:r>
    </w:p>
    <w:p w:rsidR="00635800" w:rsidRDefault="00635800" w:rsidP="00BD1D2E">
      <w:pPr>
        <w:spacing w:line="276" w:lineRule="auto"/>
        <w:ind w:left="2836" w:hanging="2835"/>
        <w:jc w:val="both"/>
      </w:pPr>
      <w:r w:rsidRPr="001B7734">
        <w:rPr>
          <w:b/>
        </w:rPr>
        <w:t>Nařízení vlády č. 307/2012 Sb.</w:t>
      </w:r>
      <w:r w:rsidRPr="002F4F7E">
        <w:tab/>
        <w:t>Nařízení vlády č. 307/2012 Sb., o místní a časové dostupnosti zdravotních služeb</w:t>
      </w:r>
    </w:p>
    <w:p w:rsidR="00C93083" w:rsidRDefault="00C93083" w:rsidP="00BD1D2E">
      <w:pPr>
        <w:spacing w:line="276" w:lineRule="auto"/>
        <w:ind w:left="2836" w:hanging="2835"/>
        <w:jc w:val="both"/>
        <w:rPr>
          <w:b/>
        </w:rPr>
      </w:pPr>
      <w:r w:rsidRPr="005A68C3">
        <w:rPr>
          <w:b/>
        </w:rPr>
        <w:t xml:space="preserve">Nařízení vlády č. </w:t>
      </w:r>
      <w:r w:rsidRPr="00C93083">
        <w:rPr>
          <w:b/>
        </w:rPr>
        <w:t>381/2020 Sb.</w:t>
      </w:r>
      <w:r w:rsidRPr="005A68C3">
        <w:rPr>
          <w:b/>
        </w:rPr>
        <w:tab/>
      </w:r>
      <w:r w:rsidRPr="00C93083">
        <w:t>Nařízení vlády o výši všeobecného vyměřovacího základu za rok 2019, přepočítacího koeficientu pro úpravu všeobecného vyměřovacího základu za rok 2019, redukčních hranic pro stanovení výpočtového základu pro rok 2021 a základní výměry důchodu stanovené pro rok 2021 a o zvýšení důchodů v roce 2021</w:t>
      </w:r>
    </w:p>
    <w:p w:rsidR="004F6AC6" w:rsidRPr="00C93083" w:rsidRDefault="004F6AC6" w:rsidP="00BD1D2E">
      <w:pPr>
        <w:spacing w:line="276" w:lineRule="auto"/>
        <w:ind w:left="2836" w:hanging="2835"/>
        <w:jc w:val="both"/>
        <w:rPr>
          <w:b/>
        </w:rPr>
      </w:pPr>
      <w:r w:rsidRPr="00C93083">
        <w:rPr>
          <w:b/>
        </w:rPr>
        <w:t>Nařízení vlády č. 487/2020 Sb.</w:t>
      </w:r>
      <w:r w:rsidRPr="00C93083">
        <w:rPr>
          <w:b/>
        </w:rPr>
        <w:tab/>
      </w:r>
      <w:r w:rsidRPr="00C93083">
        <w:t>Nařízení vlády, kterým se mění nařízení vlády č. 567/2006 Sb., o minimální mzdě, o nejnižších úrovních zaručené mzdy, o vymezení ztíženého pracovního prostředí a o výši příplatku ke mzdě za práci ve ztíženém pracovním prostředí, ve znění pozdějších předpisů</w:t>
      </w:r>
    </w:p>
    <w:p w:rsidR="00635800" w:rsidRPr="002F4F7E" w:rsidRDefault="001B7734" w:rsidP="00BD1D2E">
      <w:pPr>
        <w:spacing w:line="276" w:lineRule="auto"/>
        <w:ind w:left="2835" w:hanging="2835"/>
        <w:jc w:val="both"/>
      </w:pPr>
      <w:r w:rsidRPr="001B7734">
        <w:rPr>
          <w:b/>
        </w:rPr>
        <w:t>Finanční zpravodaj č. 8/2010</w:t>
      </w:r>
      <w:r w:rsidRPr="001B7734">
        <w:rPr>
          <w:b/>
        </w:rPr>
        <w:tab/>
      </w:r>
      <w:r w:rsidR="00635800" w:rsidRPr="002F4F7E">
        <w:t>Změna Českých účetních standardů pro účetní jednotky, které účtují podle vyhlášky č. 503/2002 Sb., ve znění pozdějších předpisů</w:t>
      </w:r>
    </w:p>
    <w:p w:rsidR="00111366" w:rsidRDefault="00111366" w:rsidP="00BC3E04"/>
    <w:sectPr w:rsidR="00111366" w:rsidSect="007E01C6">
      <w:footerReference w:type="even" r:id="rId38"/>
      <w:footerReference w:type="default" r:id="rId39"/>
      <w:pgSz w:w="11906" w:h="16838" w:code="9"/>
      <w:pgMar w:top="1418" w:right="1134"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A6B4F" w:rsidRDefault="009A6B4F" w:rsidP="00436F6E">
      <w:pPr>
        <w:spacing w:after="0" w:line="240" w:lineRule="auto"/>
      </w:pPr>
      <w:r>
        <w:separator/>
      </w:r>
    </w:p>
  </w:endnote>
  <w:endnote w:type="continuationSeparator" w:id="0">
    <w:p w:rsidR="009A6B4F" w:rsidRDefault="009A6B4F" w:rsidP="00436F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CE">
    <w:panose1 w:val="02020603050405020304"/>
    <w:charset w:val="EE"/>
    <w:family w:val="roman"/>
    <w:pitch w:val="variable"/>
    <w:sig w:usb0="E0002AFF" w:usb1="C0007841" w:usb2="00000009" w:usb3="00000000" w:csb0="000001FF" w:csb1="00000000"/>
  </w:font>
  <w:font w:name="ArialMT2">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5C69" w:rsidRDefault="006D5C6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5</w:t>
    </w:r>
    <w:r>
      <w:rPr>
        <w:rStyle w:val="slostrnky"/>
      </w:rPr>
      <w:fldChar w:fldCharType="end"/>
    </w:r>
  </w:p>
  <w:p w:rsidR="006D5C69" w:rsidRDefault="006D5C69">
    <w:pPr>
      <w:pStyle w:val="Zpat"/>
      <w:ind w:right="360"/>
    </w:pPr>
  </w:p>
  <w:p w:rsidR="006D5C69" w:rsidRDefault="006D5C69"/>
  <w:p w:rsidR="006D5C69" w:rsidRDefault="006D5C69" w:rsidP="007E01C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5C69" w:rsidRPr="002A3716" w:rsidRDefault="006D5C69" w:rsidP="007E01C6">
    <w:pPr>
      <w:pStyle w:val="TEXT"/>
      <w:spacing w:before="0" w:line="240" w:lineRule="auto"/>
      <w:ind w:firstLine="0"/>
      <w:jc w:val="center"/>
      <w:rPr>
        <w:rStyle w:val="slostrnky"/>
        <w:rFonts w:ascii="Calibri" w:hAnsi="Calibri"/>
        <w:sz w:val="20"/>
        <w:szCs w:val="20"/>
      </w:rPr>
    </w:pPr>
    <w:r w:rsidRPr="002A3716">
      <w:rPr>
        <w:rStyle w:val="slostrnky"/>
        <w:rFonts w:ascii="Calibri" w:hAnsi="Calibri"/>
        <w:sz w:val="20"/>
        <w:szCs w:val="20"/>
      </w:rPr>
      <w:fldChar w:fldCharType="begin"/>
    </w:r>
    <w:r w:rsidRPr="002A3716">
      <w:rPr>
        <w:rStyle w:val="slostrnky"/>
        <w:rFonts w:ascii="Calibri" w:hAnsi="Calibri"/>
        <w:sz w:val="20"/>
        <w:szCs w:val="20"/>
      </w:rPr>
      <w:instrText xml:space="preserve">PAGE  </w:instrText>
    </w:r>
    <w:r w:rsidRPr="002A3716">
      <w:rPr>
        <w:rStyle w:val="slostrnky"/>
        <w:rFonts w:ascii="Calibri" w:hAnsi="Calibri"/>
        <w:sz w:val="20"/>
        <w:szCs w:val="20"/>
      </w:rPr>
      <w:fldChar w:fldCharType="separate"/>
    </w:r>
    <w:r w:rsidR="00337C87">
      <w:rPr>
        <w:rStyle w:val="slostrnky"/>
        <w:rFonts w:ascii="Calibri" w:hAnsi="Calibri"/>
        <w:noProof/>
        <w:sz w:val="20"/>
        <w:szCs w:val="20"/>
      </w:rPr>
      <w:t>3</w:t>
    </w:r>
    <w:r w:rsidRPr="002A3716">
      <w:rPr>
        <w:rStyle w:val="slostrnky"/>
        <w:rFonts w:ascii="Calibri" w:hAnsi="Calibri"/>
        <w:sz w:val="20"/>
        <w:szCs w:val="20"/>
      </w:rPr>
      <w:fldChar w:fldCharType="end"/>
    </w:r>
  </w:p>
  <w:p w:rsidR="006D5C69" w:rsidRDefault="006D5C69" w:rsidP="007E01C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A6B4F" w:rsidRDefault="009A6B4F" w:rsidP="00436F6E">
      <w:pPr>
        <w:spacing w:after="0" w:line="240" w:lineRule="auto"/>
      </w:pPr>
      <w:r>
        <w:separator/>
      </w:r>
    </w:p>
  </w:footnote>
  <w:footnote w:type="continuationSeparator" w:id="0">
    <w:p w:rsidR="009A6B4F" w:rsidRDefault="009A6B4F" w:rsidP="00436F6E">
      <w:pPr>
        <w:spacing w:after="0" w:line="240" w:lineRule="auto"/>
      </w:pPr>
      <w:r>
        <w:continuationSeparator/>
      </w:r>
    </w:p>
  </w:footnote>
  <w:footnote w:id="1">
    <w:p w:rsidR="006D5C69" w:rsidRPr="00761E83" w:rsidRDefault="006D5C69" w:rsidP="00761E83">
      <w:pPr>
        <w:pStyle w:val="Textpoznpodarou"/>
        <w:jc w:val="both"/>
        <w:rPr>
          <w:rFonts w:ascii="Calibri" w:hAnsi="Calibri"/>
        </w:rPr>
      </w:pPr>
      <w:r w:rsidRPr="00963C2D">
        <w:rPr>
          <w:rStyle w:val="Znakapoznpodarou"/>
          <w:rFonts w:ascii="Calibri" w:hAnsi="Calibri"/>
        </w:rPr>
        <w:footnoteRef/>
      </w:r>
      <w:r w:rsidRPr="006728D2">
        <w:rPr>
          <w:rFonts w:ascii="Calibri" w:hAnsi="Calibri"/>
          <w:vertAlign w:val="superscript"/>
        </w:rPr>
        <w:t>)</w:t>
      </w:r>
      <w:r>
        <w:rPr>
          <w:rFonts w:ascii="Calibri" w:hAnsi="Calibri"/>
          <w:vertAlign w:val="superscript"/>
        </w:rPr>
        <w:t xml:space="preserve"> </w:t>
      </w:r>
      <w:r w:rsidRPr="00761E83">
        <w:rPr>
          <w:rFonts w:ascii="Calibri" w:hAnsi="Calibri"/>
        </w:rPr>
        <w:t>Shodným zákonem</w:t>
      </w:r>
      <w:r>
        <w:rPr>
          <w:rFonts w:ascii="Calibri" w:hAnsi="Calibri"/>
        </w:rPr>
        <w:t xml:space="preserve"> byl již </w:t>
      </w:r>
      <w:r w:rsidRPr="00761E83">
        <w:rPr>
          <w:rFonts w:ascii="Calibri" w:hAnsi="Calibri"/>
        </w:rPr>
        <w:t xml:space="preserve">od 1. 6. 2020 významně zvýšen </w:t>
      </w:r>
      <w:r>
        <w:rPr>
          <w:rFonts w:ascii="Calibri" w:hAnsi="Calibri"/>
        </w:rPr>
        <w:t xml:space="preserve">tento </w:t>
      </w:r>
      <w:r w:rsidRPr="00761E83">
        <w:rPr>
          <w:rFonts w:ascii="Calibri" w:hAnsi="Calibri"/>
        </w:rPr>
        <w:t xml:space="preserve">vyměřovací základ </w:t>
      </w:r>
      <w:r w:rsidRPr="00F42639">
        <w:rPr>
          <w:rFonts w:ascii="Calibri" w:hAnsi="Calibri"/>
        </w:rPr>
        <w:t>z</w:t>
      </w:r>
      <w:r>
        <w:rPr>
          <w:rFonts w:ascii="Calibri" w:hAnsi="Calibri"/>
        </w:rPr>
        <w:t xml:space="preserve"> částky</w:t>
      </w:r>
      <w:r w:rsidRPr="00761E83">
        <w:rPr>
          <w:rFonts w:ascii="Calibri" w:hAnsi="Calibri"/>
        </w:rPr>
        <w:t xml:space="preserve"> 7 903 Kč n</w:t>
      </w:r>
      <w:r w:rsidRPr="00F42639">
        <w:rPr>
          <w:rFonts w:ascii="Calibri" w:hAnsi="Calibri"/>
        </w:rPr>
        <w:t>a 11 607 Kč za</w:t>
      </w:r>
      <w:r>
        <w:t> </w:t>
      </w:r>
      <w:r w:rsidRPr="00F42639">
        <w:rPr>
          <w:rFonts w:ascii="Calibri" w:hAnsi="Calibri"/>
        </w:rPr>
        <w:t>kalendářní měsíc</w:t>
      </w:r>
      <w:r>
        <w:rPr>
          <w:rFonts w:ascii="Calibri" w:hAnsi="Calibri"/>
        </w:rPr>
        <w:t xml:space="preserve">. </w:t>
      </w:r>
      <w:r w:rsidRPr="00761E83">
        <w:rPr>
          <w:rFonts w:ascii="Calibri" w:hAnsi="Calibri"/>
        </w:rPr>
        <w:t>To představovalo zvýšení měsíční platby za osobu o 500 Kč z částky 1 067 Kč na 1 567 Kč.</w:t>
      </w:r>
    </w:p>
  </w:footnote>
  <w:footnote w:id="2">
    <w:p w:rsidR="006D5C69" w:rsidRPr="0092198C" w:rsidRDefault="006D5C69" w:rsidP="0092198C">
      <w:pPr>
        <w:pStyle w:val="Textpoznpodarou"/>
        <w:spacing w:after="60"/>
        <w:jc w:val="both"/>
        <w:rPr>
          <w:rFonts w:ascii="Calibri" w:hAnsi="Calibri"/>
        </w:rPr>
      </w:pPr>
      <w:r w:rsidRPr="00963C2D">
        <w:rPr>
          <w:rStyle w:val="Znakapoznpodarou"/>
          <w:rFonts w:ascii="Calibri" w:hAnsi="Calibri"/>
        </w:rPr>
        <w:footnoteRef/>
      </w:r>
      <w:r w:rsidRPr="006728D2">
        <w:rPr>
          <w:rFonts w:ascii="Calibri" w:hAnsi="Calibri"/>
          <w:vertAlign w:val="superscript"/>
        </w:rPr>
        <w:t>)</w:t>
      </w:r>
      <w:r>
        <w:rPr>
          <w:rFonts w:ascii="Calibri" w:hAnsi="Calibri"/>
        </w:rPr>
        <w:t xml:space="preserve"> </w:t>
      </w:r>
      <w:r w:rsidRPr="0092198C">
        <w:rPr>
          <w:rFonts w:ascii="Calibri" w:hAnsi="Calibri"/>
        </w:rPr>
        <w:t xml:space="preserve">Ukazatel „výdajů na vlastní činnost“ představuje snahu zachytit co nejširší okruh výdajů, které se přímo netýkají úhrady zdravotních služeb. Oproti úžeji definovanému „maximálnímu limitu nákladů na vlastní činnosti“, kromě rozdílů „výdajů“ a „nákladů“, zachycuje také výdaje provozního charakteru hrazené ze ZFZP i všech ostatních fondů, kterých se zmíněný limit netýká. Zahrnuje též </w:t>
      </w:r>
      <w:r>
        <w:rPr>
          <w:rFonts w:ascii="Calibri" w:hAnsi="Calibri"/>
        </w:rPr>
        <w:t>jinou</w:t>
      </w:r>
      <w:r w:rsidRPr="0092198C">
        <w:rPr>
          <w:rFonts w:ascii="Calibri" w:hAnsi="Calibri"/>
        </w:rPr>
        <w:t xml:space="preserve"> činnost. Výdaje na vlastní činnost tak mohou zmíněný limit převyšovat. Naopak, z ukazatele jsou vyloučeny všechny financující operace, byť mohou být prováděny např. z</w:t>
      </w:r>
      <w:r>
        <w:rPr>
          <w:rFonts w:ascii="Calibri" w:hAnsi="Calibri"/>
        </w:rPr>
        <w:t> </w:t>
      </w:r>
      <w:r w:rsidRPr="0092198C">
        <w:rPr>
          <w:rFonts w:ascii="Calibri" w:hAnsi="Calibri"/>
        </w:rPr>
        <w:t>provozního fondu, kurzové ztráty, změny stavu hodnoty aktiv (nejedná se o cash-flow) a interní převody mezi fondy.</w:t>
      </w:r>
    </w:p>
  </w:footnote>
  <w:footnote w:id="3">
    <w:p w:rsidR="006D5C69" w:rsidRDefault="006D5C69" w:rsidP="0092198C">
      <w:pPr>
        <w:pStyle w:val="Textpoznpodarou"/>
        <w:spacing w:after="60"/>
        <w:jc w:val="both"/>
      </w:pPr>
      <w:r w:rsidRPr="00963C2D">
        <w:rPr>
          <w:rStyle w:val="Znakapoznpodarou"/>
          <w:rFonts w:ascii="Calibri" w:hAnsi="Calibri"/>
        </w:rPr>
        <w:footnoteRef/>
      </w:r>
      <w:r w:rsidRPr="006728D2">
        <w:rPr>
          <w:rFonts w:ascii="Calibri" w:hAnsi="Calibri"/>
          <w:vertAlign w:val="superscript"/>
        </w:rPr>
        <w:t>)</w:t>
      </w:r>
      <w:r w:rsidRPr="0092198C">
        <w:rPr>
          <w:rFonts w:ascii="Calibri" w:hAnsi="Calibri"/>
        </w:rPr>
        <w:t xml:space="preserve"> Ukazatel „výdajů na preventivní programy“ zpřesňuje údaje o „výdajích na preventivní programy“ z části B Fondu prevence zdravotní pojišťovny zohledněním vlivu zúčtování s pojištěnci</w:t>
      </w:r>
      <w:r w:rsidRPr="00FF4ED8">
        <w:rPr>
          <w:rFonts w:ascii="Calibri" w:hAnsi="Calibri"/>
        </w:rPr>
        <w:t>.</w:t>
      </w:r>
    </w:p>
  </w:footnote>
  <w:footnote w:id="4">
    <w:p w:rsidR="006D5C69" w:rsidRPr="004F27FA" w:rsidRDefault="006D5C69">
      <w:pPr>
        <w:pStyle w:val="Textpoznpodarou"/>
        <w:rPr>
          <w:rFonts w:ascii="Calibri" w:hAnsi="Calibri"/>
        </w:rPr>
      </w:pPr>
      <w:r w:rsidRPr="00756A5A">
        <w:rPr>
          <w:rStyle w:val="Znakapoznpodarou"/>
          <w:rFonts w:ascii="Calibri" w:hAnsi="Calibri"/>
        </w:rPr>
        <w:footnoteRef/>
      </w:r>
      <w:r w:rsidRPr="00F01A77">
        <w:rPr>
          <w:rFonts w:ascii="Calibri" w:hAnsi="Calibri"/>
          <w:vertAlign w:val="superscript"/>
        </w:rPr>
        <w:t>)</w:t>
      </w:r>
      <w:r w:rsidRPr="00756A5A">
        <w:rPr>
          <w:rFonts w:ascii="Calibri" w:hAnsi="Calibri"/>
        </w:rPr>
        <w:t xml:space="preserve"> Č</w:t>
      </w:r>
      <w:r w:rsidRPr="004F27FA">
        <w:rPr>
          <w:rFonts w:ascii="Calibri" w:hAnsi="Calibri"/>
        </w:rPr>
        <w:t>PZP plánuje co nejvíce</w:t>
      </w:r>
      <w:r>
        <w:rPr>
          <w:rFonts w:ascii="Calibri" w:hAnsi="Calibri"/>
        </w:rPr>
        <w:t xml:space="preserve"> svých závazků vůči poskytovatelům zdravotních služeb uhradit ještě v roce 2020.</w:t>
      </w:r>
      <w:r w:rsidRPr="004F27FA">
        <w:rPr>
          <w:rFonts w:ascii="Calibri" w:hAnsi="Calibri"/>
        </w:rPr>
        <w:t xml:space="preserve"> </w:t>
      </w:r>
    </w:p>
  </w:footnote>
  <w:footnote w:id="5">
    <w:p w:rsidR="006D5C69" w:rsidRPr="0092198C" w:rsidRDefault="006D5C69" w:rsidP="00436F6E">
      <w:pPr>
        <w:pStyle w:val="Textpoznpodarou"/>
        <w:rPr>
          <w:rFonts w:ascii="Calibri" w:hAnsi="Calibri"/>
        </w:rPr>
      </w:pPr>
      <w:r w:rsidRPr="00756A5A">
        <w:rPr>
          <w:rStyle w:val="Znakapoznpodarou"/>
          <w:rFonts w:ascii="Calibri" w:hAnsi="Calibri"/>
        </w:rPr>
        <w:footnoteRef/>
      </w:r>
      <w:r w:rsidRPr="006728D2">
        <w:rPr>
          <w:rFonts w:ascii="Calibri" w:hAnsi="Calibri"/>
          <w:vertAlign w:val="superscript"/>
        </w:rPr>
        <w:t>)</w:t>
      </w:r>
      <w:r>
        <w:rPr>
          <w:rFonts w:ascii="Calibri" w:hAnsi="Calibri"/>
        </w:rPr>
        <w:t xml:space="preserve"> </w:t>
      </w:r>
      <w:r w:rsidRPr="0092198C">
        <w:rPr>
          <w:rFonts w:ascii="Calibri" w:hAnsi="Calibri"/>
        </w:rPr>
        <w:t>V </w:t>
      </w:r>
      <w:r w:rsidRPr="0092198C">
        <w:rPr>
          <w:rFonts w:ascii="Calibri" w:hAnsi="Calibri"/>
          <w:i/>
        </w:rPr>
        <w:t>Tabulkové příloze Tabulka č. 1</w:t>
      </w:r>
      <w:r w:rsidRPr="0092198C">
        <w:rPr>
          <w:rFonts w:ascii="Calibri" w:hAnsi="Calibri"/>
        </w:rPr>
        <w:t xml:space="preserve"> nejsou tyto údaje uvedeny, neboť nejsou součástí „čisté výše“ pohledávek. </w:t>
      </w:r>
    </w:p>
  </w:footnote>
  <w:footnote w:id="6">
    <w:p w:rsidR="006D5C69" w:rsidRPr="00305036" w:rsidRDefault="006D5C69" w:rsidP="00305036">
      <w:pPr>
        <w:pStyle w:val="Textpoznpodarou"/>
        <w:spacing w:after="60"/>
        <w:rPr>
          <w:rFonts w:ascii="Calibri" w:hAnsi="Calibri"/>
        </w:rPr>
      </w:pPr>
      <w:r w:rsidRPr="00756A5A">
        <w:rPr>
          <w:rStyle w:val="Znakapoznpodarou"/>
          <w:rFonts w:ascii="Calibri" w:hAnsi="Calibri"/>
        </w:rPr>
        <w:footnoteRef/>
      </w:r>
      <w:r w:rsidRPr="006728D2">
        <w:rPr>
          <w:rFonts w:ascii="Calibri" w:hAnsi="Calibri"/>
          <w:vertAlign w:val="superscript"/>
        </w:rPr>
        <w:t>)</w:t>
      </w:r>
      <w:r w:rsidRPr="00305036">
        <w:rPr>
          <w:rFonts w:ascii="Calibri" w:hAnsi="Calibri"/>
        </w:rPr>
        <w:t xml:space="preserve"> Zpracováno na základě údajů ČSÚ a Makroekonomické predikce MF z</w:t>
      </w:r>
      <w:r>
        <w:rPr>
          <w:rFonts w:ascii="Calibri" w:hAnsi="Calibri"/>
        </w:rPr>
        <w:t xml:space="preserve">e září </w:t>
      </w:r>
      <w:r w:rsidRPr="00305036">
        <w:rPr>
          <w:rFonts w:ascii="Calibri" w:hAnsi="Calibri"/>
        </w:rPr>
        <w:t>20</w:t>
      </w:r>
      <w:r>
        <w:rPr>
          <w:rFonts w:ascii="Calibri" w:hAnsi="Calibri"/>
        </w:rPr>
        <w:t>20</w:t>
      </w:r>
      <w:r w:rsidRPr="00305036">
        <w:rPr>
          <w:rFonts w:ascii="Calibri" w:hAnsi="Calibri"/>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C309FE"/>
    <w:multiLevelType w:val="multilevel"/>
    <w:tmpl w:val="200E104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 w15:restartNumberingAfterBreak="0">
    <w:nsid w:val="06F3363C"/>
    <w:multiLevelType w:val="hybridMultilevel"/>
    <w:tmpl w:val="A214690A"/>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395080"/>
    <w:multiLevelType w:val="hybridMultilevel"/>
    <w:tmpl w:val="5164D126"/>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19D8202E"/>
    <w:multiLevelType w:val="hybridMultilevel"/>
    <w:tmpl w:val="620008AC"/>
    <w:lvl w:ilvl="0" w:tplc="76647378">
      <w:numFmt w:val="bullet"/>
      <w:lvlText w:val="-"/>
      <w:lvlJc w:val="left"/>
      <w:pPr>
        <w:ind w:left="720" w:hanging="360"/>
      </w:pPr>
      <w:rPr>
        <w:rFonts w:ascii="Arial" w:eastAsia="SimSu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DAD2BC6"/>
    <w:multiLevelType w:val="hybridMultilevel"/>
    <w:tmpl w:val="E8ACCC44"/>
    <w:lvl w:ilvl="0" w:tplc="2162F034">
      <w:start w:val="1"/>
      <w:numFmt w:val="bullet"/>
      <w:lvlText w:val="●"/>
      <w:lvlJc w:val="left"/>
      <w:pPr>
        <w:tabs>
          <w:tab w:val="num" w:pos="720"/>
        </w:tabs>
        <w:ind w:left="720" w:hanging="360"/>
      </w:pPr>
      <w:rPr>
        <w:rFonts w:hint="default"/>
        <w:sz w:val="16"/>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1C5F30"/>
    <w:multiLevelType w:val="hybridMultilevel"/>
    <w:tmpl w:val="E416A156"/>
    <w:lvl w:ilvl="0" w:tplc="C758F230">
      <w:start w:val="1"/>
      <w:numFmt w:val="bullet"/>
      <w:lvlText w:val=""/>
      <w:lvlJc w:val="left"/>
      <w:pPr>
        <w:ind w:left="1200" w:hanging="360"/>
      </w:pPr>
      <w:rPr>
        <w:rFonts w:ascii="Symbol" w:hAnsi="Symbol" w:hint="default"/>
      </w:rPr>
    </w:lvl>
    <w:lvl w:ilvl="1" w:tplc="04050003" w:tentative="1">
      <w:start w:val="1"/>
      <w:numFmt w:val="bullet"/>
      <w:lvlText w:val="o"/>
      <w:lvlJc w:val="left"/>
      <w:pPr>
        <w:ind w:left="1920" w:hanging="360"/>
      </w:pPr>
      <w:rPr>
        <w:rFonts w:ascii="Courier New" w:hAnsi="Courier New" w:cs="Courier New" w:hint="default"/>
      </w:rPr>
    </w:lvl>
    <w:lvl w:ilvl="2" w:tplc="04050005" w:tentative="1">
      <w:start w:val="1"/>
      <w:numFmt w:val="bullet"/>
      <w:lvlText w:val=""/>
      <w:lvlJc w:val="left"/>
      <w:pPr>
        <w:ind w:left="2640" w:hanging="360"/>
      </w:pPr>
      <w:rPr>
        <w:rFonts w:ascii="Wingdings" w:hAnsi="Wingdings" w:hint="default"/>
      </w:rPr>
    </w:lvl>
    <w:lvl w:ilvl="3" w:tplc="04050001" w:tentative="1">
      <w:start w:val="1"/>
      <w:numFmt w:val="bullet"/>
      <w:lvlText w:val=""/>
      <w:lvlJc w:val="left"/>
      <w:pPr>
        <w:ind w:left="3360" w:hanging="360"/>
      </w:pPr>
      <w:rPr>
        <w:rFonts w:ascii="Symbol" w:hAnsi="Symbol" w:hint="default"/>
      </w:rPr>
    </w:lvl>
    <w:lvl w:ilvl="4" w:tplc="04050003" w:tentative="1">
      <w:start w:val="1"/>
      <w:numFmt w:val="bullet"/>
      <w:lvlText w:val="o"/>
      <w:lvlJc w:val="left"/>
      <w:pPr>
        <w:ind w:left="4080" w:hanging="360"/>
      </w:pPr>
      <w:rPr>
        <w:rFonts w:ascii="Courier New" w:hAnsi="Courier New" w:cs="Courier New" w:hint="default"/>
      </w:rPr>
    </w:lvl>
    <w:lvl w:ilvl="5" w:tplc="04050005" w:tentative="1">
      <w:start w:val="1"/>
      <w:numFmt w:val="bullet"/>
      <w:lvlText w:val=""/>
      <w:lvlJc w:val="left"/>
      <w:pPr>
        <w:ind w:left="4800" w:hanging="360"/>
      </w:pPr>
      <w:rPr>
        <w:rFonts w:ascii="Wingdings" w:hAnsi="Wingdings" w:hint="default"/>
      </w:rPr>
    </w:lvl>
    <w:lvl w:ilvl="6" w:tplc="04050001" w:tentative="1">
      <w:start w:val="1"/>
      <w:numFmt w:val="bullet"/>
      <w:lvlText w:val=""/>
      <w:lvlJc w:val="left"/>
      <w:pPr>
        <w:ind w:left="5520" w:hanging="360"/>
      </w:pPr>
      <w:rPr>
        <w:rFonts w:ascii="Symbol" w:hAnsi="Symbol" w:hint="default"/>
      </w:rPr>
    </w:lvl>
    <w:lvl w:ilvl="7" w:tplc="04050003" w:tentative="1">
      <w:start w:val="1"/>
      <w:numFmt w:val="bullet"/>
      <w:lvlText w:val="o"/>
      <w:lvlJc w:val="left"/>
      <w:pPr>
        <w:ind w:left="6240" w:hanging="360"/>
      </w:pPr>
      <w:rPr>
        <w:rFonts w:ascii="Courier New" w:hAnsi="Courier New" w:cs="Courier New" w:hint="default"/>
      </w:rPr>
    </w:lvl>
    <w:lvl w:ilvl="8" w:tplc="04050005" w:tentative="1">
      <w:start w:val="1"/>
      <w:numFmt w:val="bullet"/>
      <w:lvlText w:val=""/>
      <w:lvlJc w:val="left"/>
      <w:pPr>
        <w:ind w:left="6960" w:hanging="360"/>
      </w:pPr>
      <w:rPr>
        <w:rFonts w:ascii="Wingdings" w:hAnsi="Wingdings" w:hint="default"/>
      </w:rPr>
    </w:lvl>
  </w:abstractNum>
  <w:abstractNum w:abstractNumId="6" w15:restartNumberingAfterBreak="0">
    <w:nsid w:val="2C71281D"/>
    <w:multiLevelType w:val="hybridMultilevel"/>
    <w:tmpl w:val="3744B2B8"/>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CB71534"/>
    <w:multiLevelType w:val="hybridMultilevel"/>
    <w:tmpl w:val="637AA804"/>
    <w:lvl w:ilvl="0" w:tplc="0405000B">
      <w:start w:val="1"/>
      <w:numFmt w:val="bullet"/>
      <w:lvlText w:val=""/>
      <w:lvlJc w:val="left"/>
      <w:pPr>
        <w:ind w:left="1077" w:hanging="360"/>
      </w:pPr>
      <w:rPr>
        <w:rFonts w:ascii="Wingdings" w:hAnsi="Wingdings"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8" w15:restartNumberingAfterBreak="0">
    <w:nsid w:val="2EAF2F00"/>
    <w:multiLevelType w:val="hybridMultilevel"/>
    <w:tmpl w:val="B8AAEFF6"/>
    <w:lvl w:ilvl="0" w:tplc="76647378">
      <w:numFmt w:val="bullet"/>
      <w:lvlText w:val="-"/>
      <w:lvlJc w:val="left"/>
      <w:pPr>
        <w:ind w:left="720" w:hanging="360"/>
      </w:pPr>
      <w:rPr>
        <w:rFonts w:ascii="Arial" w:eastAsia="SimSu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29F30D9"/>
    <w:multiLevelType w:val="hybridMultilevel"/>
    <w:tmpl w:val="80DCD4B8"/>
    <w:lvl w:ilvl="0" w:tplc="04050001">
      <w:start w:val="1"/>
      <w:numFmt w:val="bullet"/>
      <w:lvlText w:val=""/>
      <w:lvlJc w:val="left"/>
      <w:pPr>
        <w:ind w:left="1560" w:hanging="360"/>
      </w:pPr>
      <w:rPr>
        <w:rFonts w:ascii="Symbol" w:hAnsi="Symbol" w:hint="default"/>
      </w:rPr>
    </w:lvl>
    <w:lvl w:ilvl="1" w:tplc="04050003" w:tentative="1">
      <w:start w:val="1"/>
      <w:numFmt w:val="bullet"/>
      <w:lvlText w:val="o"/>
      <w:lvlJc w:val="left"/>
      <w:pPr>
        <w:ind w:left="2280" w:hanging="360"/>
      </w:pPr>
      <w:rPr>
        <w:rFonts w:ascii="Courier New" w:hAnsi="Courier New" w:cs="Courier New" w:hint="default"/>
      </w:rPr>
    </w:lvl>
    <w:lvl w:ilvl="2" w:tplc="04050005" w:tentative="1">
      <w:start w:val="1"/>
      <w:numFmt w:val="bullet"/>
      <w:lvlText w:val=""/>
      <w:lvlJc w:val="left"/>
      <w:pPr>
        <w:ind w:left="3000" w:hanging="360"/>
      </w:pPr>
      <w:rPr>
        <w:rFonts w:ascii="Wingdings" w:hAnsi="Wingdings" w:hint="default"/>
      </w:rPr>
    </w:lvl>
    <w:lvl w:ilvl="3" w:tplc="04050001" w:tentative="1">
      <w:start w:val="1"/>
      <w:numFmt w:val="bullet"/>
      <w:lvlText w:val=""/>
      <w:lvlJc w:val="left"/>
      <w:pPr>
        <w:ind w:left="3720" w:hanging="360"/>
      </w:pPr>
      <w:rPr>
        <w:rFonts w:ascii="Symbol" w:hAnsi="Symbol" w:hint="default"/>
      </w:rPr>
    </w:lvl>
    <w:lvl w:ilvl="4" w:tplc="04050003" w:tentative="1">
      <w:start w:val="1"/>
      <w:numFmt w:val="bullet"/>
      <w:lvlText w:val="o"/>
      <w:lvlJc w:val="left"/>
      <w:pPr>
        <w:ind w:left="4440" w:hanging="360"/>
      </w:pPr>
      <w:rPr>
        <w:rFonts w:ascii="Courier New" w:hAnsi="Courier New" w:cs="Courier New" w:hint="default"/>
      </w:rPr>
    </w:lvl>
    <w:lvl w:ilvl="5" w:tplc="04050005" w:tentative="1">
      <w:start w:val="1"/>
      <w:numFmt w:val="bullet"/>
      <w:lvlText w:val=""/>
      <w:lvlJc w:val="left"/>
      <w:pPr>
        <w:ind w:left="5160" w:hanging="360"/>
      </w:pPr>
      <w:rPr>
        <w:rFonts w:ascii="Wingdings" w:hAnsi="Wingdings" w:hint="default"/>
      </w:rPr>
    </w:lvl>
    <w:lvl w:ilvl="6" w:tplc="04050001" w:tentative="1">
      <w:start w:val="1"/>
      <w:numFmt w:val="bullet"/>
      <w:lvlText w:val=""/>
      <w:lvlJc w:val="left"/>
      <w:pPr>
        <w:ind w:left="5880" w:hanging="360"/>
      </w:pPr>
      <w:rPr>
        <w:rFonts w:ascii="Symbol" w:hAnsi="Symbol" w:hint="default"/>
      </w:rPr>
    </w:lvl>
    <w:lvl w:ilvl="7" w:tplc="04050003" w:tentative="1">
      <w:start w:val="1"/>
      <w:numFmt w:val="bullet"/>
      <w:lvlText w:val="o"/>
      <w:lvlJc w:val="left"/>
      <w:pPr>
        <w:ind w:left="6600" w:hanging="360"/>
      </w:pPr>
      <w:rPr>
        <w:rFonts w:ascii="Courier New" w:hAnsi="Courier New" w:cs="Courier New" w:hint="default"/>
      </w:rPr>
    </w:lvl>
    <w:lvl w:ilvl="8" w:tplc="04050005" w:tentative="1">
      <w:start w:val="1"/>
      <w:numFmt w:val="bullet"/>
      <w:lvlText w:val=""/>
      <w:lvlJc w:val="left"/>
      <w:pPr>
        <w:ind w:left="7320" w:hanging="360"/>
      </w:pPr>
      <w:rPr>
        <w:rFonts w:ascii="Wingdings" w:hAnsi="Wingdings" w:hint="default"/>
      </w:rPr>
    </w:lvl>
  </w:abstractNum>
  <w:abstractNum w:abstractNumId="10" w15:restartNumberingAfterBreak="0">
    <w:nsid w:val="3FBF3637"/>
    <w:multiLevelType w:val="hybridMultilevel"/>
    <w:tmpl w:val="3708B902"/>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78E577C"/>
    <w:multiLevelType w:val="hybridMultilevel"/>
    <w:tmpl w:val="FD7876E4"/>
    <w:lvl w:ilvl="0" w:tplc="76647378">
      <w:numFmt w:val="bullet"/>
      <w:lvlText w:val="-"/>
      <w:lvlJc w:val="left"/>
      <w:pPr>
        <w:tabs>
          <w:tab w:val="num" w:pos="720"/>
        </w:tabs>
        <w:ind w:left="720" w:hanging="360"/>
      </w:pPr>
      <w:rPr>
        <w:rFonts w:ascii="Arial" w:eastAsia="SimSun" w:hAnsi="Arial" w:cs="Aria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74D79A0"/>
    <w:multiLevelType w:val="hybridMultilevel"/>
    <w:tmpl w:val="9D94AFE8"/>
    <w:lvl w:ilvl="0" w:tplc="04050001">
      <w:start w:val="1"/>
      <w:numFmt w:val="bullet"/>
      <w:lvlText w:val=""/>
      <w:lvlJc w:val="left"/>
      <w:pPr>
        <w:ind w:left="1200" w:hanging="360"/>
      </w:pPr>
      <w:rPr>
        <w:rFonts w:ascii="Symbol" w:hAnsi="Symbol" w:hint="default"/>
      </w:rPr>
    </w:lvl>
    <w:lvl w:ilvl="1" w:tplc="04050003" w:tentative="1">
      <w:start w:val="1"/>
      <w:numFmt w:val="bullet"/>
      <w:lvlText w:val="o"/>
      <w:lvlJc w:val="left"/>
      <w:pPr>
        <w:ind w:left="1920" w:hanging="360"/>
      </w:pPr>
      <w:rPr>
        <w:rFonts w:ascii="Courier New" w:hAnsi="Courier New" w:cs="Courier New" w:hint="default"/>
      </w:rPr>
    </w:lvl>
    <w:lvl w:ilvl="2" w:tplc="04050005" w:tentative="1">
      <w:start w:val="1"/>
      <w:numFmt w:val="bullet"/>
      <w:lvlText w:val=""/>
      <w:lvlJc w:val="left"/>
      <w:pPr>
        <w:ind w:left="2640" w:hanging="360"/>
      </w:pPr>
      <w:rPr>
        <w:rFonts w:ascii="Wingdings" w:hAnsi="Wingdings" w:hint="default"/>
      </w:rPr>
    </w:lvl>
    <w:lvl w:ilvl="3" w:tplc="04050001" w:tentative="1">
      <w:start w:val="1"/>
      <w:numFmt w:val="bullet"/>
      <w:lvlText w:val=""/>
      <w:lvlJc w:val="left"/>
      <w:pPr>
        <w:ind w:left="3360" w:hanging="360"/>
      </w:pPr>
      <w:rPr>
        <w:rFonts w:ascii="Symbol" w:hAnsi="Symbol" w:hint="default"/>
      </w:rPr>
    </w:lvl>
    <w:lvl w:ilvl="4" w:tplc="04050003" w:tentative="1">
      <w:start w:val="1"/>
      <w:numFmt w:val="bullet"/>
      <w:lvlText w:val="o"/>
      <w:lvlJc w:val="left"/>
      <w:pPr>
        <w:ind w:left="4080" w:hanging="360"/>
      </w:pPr>
      <w:rPr>
        <w:rFonts w:ascii="Courier New" w:hAnsi="Courier New" w:cs="Courier New" w:hint="default"/>
      </w:rPr>
    </w:lvl>
    <w:lvl w:ilvl="5" w:tplc="04050005" w:tentative="1">
      <w:start w:val="1"/>
      <w:numFmt w:val="bullet"/>
      <w:lvlText w:val=""/>
      <w:lvlJc w:val="left"/>
      <w:pPr>
        <w:ind w:left="4800" w:hanging="360"/>
      </w:pPr>
      <w:rPr>
        <w:rFonts w:ascii="Wingdings" w:hAnsi="Wingdings" w:hint="default"/>
      </w:rPr>
    </w:lvl>
    <w:lvl w:ilvl="6" w:tplc="04050001" w:tentative="1">
      <w:start w:val="1"/>
      <w:numFmt w:val="bullet"/>
      <w:lvlText w:val=""/>
      <w:lvlJc w:val="left"/>
      <w:pPr>
        <w:ind w:left="5520" w:hanging="360"/>
      </w:pPr>
      <w:rPr>
        <w:rFonts w:ascii="Symbol" w:hAnsi="Symbol" w:hint="default"/>
      </w:rPr>
    </w:lvl>
    <w:lvl w:ilvl="7" w:tplc="04050003" w:tentative="1">
      <w:start w:val="1"/>
      <w:numFmt w:val="bullet"/>
      <w:lvlText w:val="o"/>
      <w:lvlJc w:val="left"/>
      <w:pPr>
        <w:ind w:left="6240" w:hanging="360"/>
      </w:pPr>
      <w:rPr>
        <w:rFonts w:ascii="Courier New" w:hAnsi="Courier New" w:cs="Courier New" w:hint="default"/>
      </w:rPr>
    </w:lvl>
    <w:lvl w:ilvl="8" w:tplc="04050005" w:tentative="1">
      <w:start w:val="1"/>
      <w:numFmt w:val="bullet"/>
      <w:lvlText w:val=""/>
      <w:lvlJc w:val="left"/>
      <w:pPr>
        <w:ind w:left="6960" w:hanging="360"/>
      </w:pPr>
      <w:rPr>
        <w:rFonts w:ascii="Wingdings" w:hAnsi="Wingdings" w:hint="default"/>
      </w:rPr>
    </w:lvl>
  </w:abstractNum>
  <w:abstractNum w:abstractNumId="13" w15:restartNumberingAfterBreak="0">
    <w:nsid w:val="58D05DDC"/>
    <w:multiLevelType w:val="hybridMultilevel"/>
    <w:tmpl w:val="FB906AF6"/>
    <w:lvl w:ilvl="0" w:tplc="C758F230">
      <w:start w:val="1"/>
      <w:numFmt w:val="bullet"/>
      <w:lvlText w:val=""/>
      <w:lvlJc w:val="left"/>
      <w:pPr>
        <w:ind w:left="1560" w:hanging="360"/>
      </w:pPr>
      <w:rPr>
        <w:rFonts w:ascii="Symbol" w:hAnsi="Symbol" w:hint="default"/>
      </w:rPr>
    </w:lvl>
    <w:lvl w:ilvl="1" w:tplc="04050003" w:tentative="1">
      <w:start w:val="1"/>
      <w:numFmt w:val="bullet"/>
      <w:lvlText w:val="o"/>
      <w:lvlJc w:val="left"/>
      <w:pPr>
        <w:ind w:left="2280" w:hanging="360"/>
      </w:pPr>
      <w:rPr>
        <w:rFonts w:ascii="Courier New" w:hAnsi="Courier New" w:cs="Courier New" w:hint="default"/>
      </w:rPr>
    </w:lvl>
    <w:lvl w:ilvl="2" w:tplc="04050005" w:tentative="1">
      <w:start w:val="1"/>
      <w:numFmt w:val="bullet"/>
      <w:lvlText w:val=""/>
      <w:lvlJc w:val="left"/>
      <w:pPr>
        <w:ind w:left="3000" w:hanging="360"/>
      </w:pPr>
      <w:rPr>
        <w:rFonts w:ascii="Wingdings" w:hAnsi="Wingdings" w:hint="default"/>
      </w:rPr>
    </w:lvl>
    <w:lvl w:ilvl="3" w:tplc="04050001" w:tentative="1">
      <w:start w:val="1"/>
      <w:numFmt w:val="bullet"/>
      <w:lvlText w:val=""/>
      <w:lvlJc w:val="left"/>
      <w:pPr>
        <w:ind w:left="3720" w:hanging="360"/>
      </w:pPr>
      <w:rPr>
        <w:rFonts w:ascii="Symbol" w:hAnsi="Symbol" w:hint="default"/>
      </w:rPr>
    </w:lvl>
    <w:lvl w:ilvl="4" w:tplc="04050003" w:tentative="1">
      <w:start w:val="1"/>
      <w:numFmt w:val="bullet"/>
      <w:lvlText w:val="o"/>
      <w:lvlJc w:val="left"/>
      <w:pPr>
        <w:ind w:left="4440" w:hanging="360"/>
      </w:pPr>
      <w:rPr>
        <w:rFonts w:ascii="Courier New" w:hAnsi="Courier New" w:cs="Courier New" w:hint="default"/>
      </w:rPr>
    </w:lvl>
    <w:lvl w:ilvl="5" w:tplc="04050005" w:tentative="1">
      <w:start w:val="1"/>
      <w:numFmt w:val="bullet"/>
      <w:lvlText w:val=""/>
      <w:lvlJc w:val="left"/>
      <w:pPr>
        <w:ind w:left="5160" w:hanging="360"/>
      </w:pPr>
      <w:rPr>
        <w:rFonts w:ascii="Wingdings" w:hAnsi="Wingdings" w:hint="default"/>
      </w:rPr>
    </w:lvl>
    <w:lvl w:ilvl="6" w:tplc="04050001" w:tentative="1">
      <w:start w:val="1"/>
      <w:numFmt w:val="bullet"/>
      <w:lvlText w:val=""/>
      <w:lvlJc w:val="left"/>
      <w:pPr>
        <w:ind w:left="5880" w:hanging="360"/>
      </w:pPr>
      <w:rPr>
        <w:rFonts w:ascii="Symbol" w:hAnsi="Symbol" w:hint="default"/>
      </w:rPr>
    </w:lvl>
    <w:lvl w:ilvl="7" w:tplc="04050003" w:tentative="1">
      <w:start w:val="1"/>
      <w:numFmt w:val="bullet"/>
      <w:lvlText w:val="o"/>
      <w:lvlJc w:val="left"/>
      <w:pPr>
        <w:ind w:left="6600" w:hanging="360"/>
      </w:pPr>
      <w:rPr>
        <w:rFonts w:ascii="Courier New" w:hAnsi="Courier New" w:cs="Courier New" w:hint="default"/>
      </w:rPr>
    </w:lvl>
    <w:lvl w:ilvl="8" w:tplc="04050005" w:tentative="1">
      <w:start w:val="1"/>
      <w:numFmt w:val="bullet"/>
      <w:lvlText w:val=""/>
      <w:lvlJc w:val="left"/>
      <w:pPr>
        <w:ind w:left="7320" w:hanging="360"/>
      </w:pPr>
      <w:rPr>
        <w:rFonts w:ascii="Wingdings" w:hAnsi="Wingdings" w:hint="default"/>
      </w:rPr>
    </w:lvl>
  </w:abstractNum>
  <w:abstractNum w:abstractNumId="14" w15:restartNumberingAfterBreak="0">
    <w:nsid w:val="611812E6"/>
    <w:multiLevelType w:val="hybridMultilevel"/>
    <w:tmpl w:val="7674E1C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4CD5FFF"/>
    <w:multiLevelType w:val="hybridMultilevel"/>
    <w:tmpl w:val="0C5EF88A"/>
    <w:lvl w:ilvl="0" w:tplc="0405000B">
      <w:start w:val="1"/>
      <w:numFmt w:val="bullet"/>
      <w:lvlText w:val=""/>
      <w:lvlJc w:val="left"/>
      <w:pPr>
        <w:tabs>
          <w:tab w:val="num" w:pos="1428"/>
        </w:tabs>
        <w:ind w:left="1428" w:hanging="360"/>
      </w:pPr>
      <w:rPr>
        <w:rFonts w:ascii="Wingdings" w:hAnsi="Wingdings" w:hint="default"/>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16" w15:restartNumberingAfterBreak="0">
    <w:nsid w:val="68DD4357"/>
    <w:multiLevelType w:val="hybridMultilevel"/>
    <w:tmpl w:val="2D824D84"/>
    <w:lvl w:ilvl="0" w:tplc="04050005">
      <w:start w:val="1"/>
      <w:numFmt w:val="bullet"/>
      <w:lvlText w:val=""/>
      <w:lvlJc w:val="left"/>
      <w:pPr>
        <w:tabs>
          <w:tab w:val="num" w:pos="502"/>
        </w:tabs>
        <w:ind w:left="502" w:hanging="360"/>
      </w:pPr>
      <w:rPr>
        <w:rFonts w:ascii="Wingdings" w:hAnsi="Wingdings" w:hint="default"/>
      </w:rPr>
    </w:lvl>
    <w:lvl w:ilvl="1" w:tplc="04050003" w:tentative="1">
      <w:start w:val="1"/>
      <w:numFmt w:val="bullet"/>
      <w:lvlText w:val="o"/>
      <w:lvlJc w:val="left"/>
      <w:pPr>
        <w:tabs>
          <w:tab w:val="num" w:pos="1222"/>
        </w:tabs>
        <w:ind w:left="1222" w:hanging="360"/>
      </w:pPr>
      <w:rPr>
        <w:rFonts w:ascii="Courier New" w:hAnsi="Courier New" w:cs="Courier New" w:hint="default"/>
      </w:rPr>
    </w:lvl>
    <w:lvl w:ilvl="2" w:tplc="04050005" w:tentative="1">
      <w:start w:val="1"/>
      <w:numFmt w:val="bullet"/>
      <w:lvlText w:val=""/>
      <w:lvlJc w:val="left"/>
      <w:pPr>
        <w:tabs>
          <w:tab w:val="num" w:pos="1942"/>
        </w:tabs>
        <w:ind w:left="1942" w:hanging="360"/>
      </w:pPr>
      <w:rPr>
        <w:rFonts w:ascii="Wingdings" w:hAnsi="Wingdings" w:hint="default"/>
      </w:rPr>
    </w:lvl>
    <w:lvl w:ilvl="3" w:tplc="04050001" w:tentative="1">
      <w:start w:val="1"/>
      <w:numFmt w:val="bullet"/>
      <w:lvlText w:val=""/>
      <w:lvlJc w:val="left"/>
      <w:pPr>
        <w:tabs>
          <w:tab w:val="num" w:pos="2662"/>
        </w:tabs>
        <w:ind w:left="2662" w:hanging="360"/>
      </w:pPr>
      <w:rPr>
        <w:rFonts w:ascii="Symbol" w:hAnsi="Symbol" w:hint="default"/>
      </w:rPr>
    </w:lvl>
    <w:lvl w:ilvl="4" w:tplc="04050003" w:tentative="1">
      <w:start w:val="1"/>
      <w:numFmt w:val="bullet"/>
      <w:lvlText w:val="o"/>
      <w:lvlJc w:val="left"/>
      <w:pPr>
        <w:tabs>
          <w:tab w:val="num" w:pos="3382"/>
        </w:tabs>
        <w:ind w:left="3382" w:hanging="360"/>
      </w:pPr>
      <w:rPr>
        <w:rFonts w:ascii="Courier New" w:hAnsi="Courier New" w:cs="Courier New" w:hint="default"/>
      </w:rPr>
    </w:lvl>
    <w:lvl w:ilvl="5" w:tplc="04050005" w:tentative="1">
      <w:start w:val="1"/>
      <w:numFmt w:val="bullet"/>
      <w:lvlText w:val=""/>
      <w:lvlJc w:val="left"/>
      <w:pPr>
        <w:tabs>
          <w:tab w:val="num" w:pos="4102"/>
        </w:tabs>
        <w:ind w:left="4102" w:hanging="360"/>
      </w:pPr>
      <w:rPr>
        <w:rFonts w:ascii="Wingdings" w:hAnsi="Wingdings" w:hint="default"/>
      </w:rPr>
    </w:lvl>
    <w:lvl w:ilvl="6" w:tplc="04050001" w:tentative="1">
      <w:start w:val="1"/>
      <w:numFmt w:val="bullet"/>
      <w:lvlText w:val=""/>
      <w:lvlJc w:val="left"/>
      <w:pPr>
        <w:tabs>
          <w:tab w:val="num" w:pos="4822"/>
        </w:tabs>
        <w:ind w:left="4822" w:hanging="360"/>
      </w:pPr>
      <w:rPr>
        <w:rFonts w:ascii="Symbol" w:hAnsi="Symbol" w:hint="default"/>
      </w:rPr>
    </w:lvl>
    <w:lvl w:ilvl="7" w:tplc="04050003" w:tentative="1">
      <w:start w:val="1"/>
      <w:numFmt w:val="bullet"/>
      <w:lvlText w:val="o"/>
      <w:lvlJc w:val="left"/>
      <w:pPr>
        <w:tabs>
          <w:tab w:val="num" w:pos="5542"/>
        </w:tabs>
        <w:ind w:left="5542" w:hanging="360"/>
      </w:pPr>
      <w:rPr>
        <w:rFonts w:ascii="Courier New" w:hAnsi="Courier New" w:cs="Courier New" w:hint="default"/>
      </w:rPr>
    </w:lvl>
    <w:lvl w:ilvl="8" w:tplc="04050005" w:tentative="1">
      <w:start w:val="1"/>
      <w:numFmt w:val="bullet"/>
      <w:lvlText w:val=""/>
      <w:lvlJc w:val="left"/>
      <w:pPr>
        <w:tabs>
          <w:tab w:val="num" w:pos="6262"/>
        </w:tabs>
        <w:ind w:left="6262" w:hanging="360"/>
      </w:pPr>
      <w:rPr>
        <w:rFonts w:ascii="Wingdings" w:hAnsi="Wingdings" w:hint="default"/>
      </w:rPr>
    </w:lvl>
  </w:abstractNum>
  <w:abstractNum w:abstractNumId="17" w15:restartNumberingAfterBreak="0">
    <w:nsid w:val="69FA57E2"/>
    <w:multiLevelType w:val="hybridMultilevel"/>
    <w:tmpl w:val="9C9481D8"/>
    <w:lvl w:ilvl="0" w:tplc="04050001">
      <w:start w:val="1"/>
      <w:numFmt w:val="bullet"/>
      <w:lvlText w:val=""/>
      <w:lvlJc w:val="left"/>
      <w:pPr>
        <w:ind w:left="1200" w:hanging="360"/>
      </w:pPr>
      <w:rPr>
        <w:rFonts w:ascii="Symbol" w:hAnsi="Symbol" w:hint="default"/>
      </w:rPr>
    </w:lvl>
    <w:lvl w:ilvl="1" w:tplc="04050003" w:tentative="1">
      <w:start w:val="1"/>
      <w:numFmt w:val="bullet"/>
      <w:lvlText w:val="o"/>
      <w:lvlJc w:val="left"/>
      <w:pPr>
        <w:ind w:left="1920" w:hanging="360"/>
      </w:pPr>
      <w:rPr>
        <w:rFonts w:ascii="Courier New" w:hAnsi="Courier New" w:cs="Courier New" w:hint="default"/>
      </w:rPr>
    </w:lvl>
    <w:lvl w:ilvl="2" w:tplc="04050005" w:tentative="1">
      <w:start w:val="1"/>
      <w:numFmt w:val="bullet"/>
      <w:lvlText w:val=""/>
      <w:lvlJc w:val="left"/>
      <w:pPr>
        <w:ind w:left="2640" w:hanging="360"/>
      </w:pPr>
      <w:rPr>
        <w:rFonts w:ascii="Wingdings" w:hAnsi="Wingdings" w:hint="default"/>
      </w:rPr>
    </w:lvl>
    <w:lvl w:ilvl="3" w:tplc="04050001" w:tentative="1">
      <w:start w:val="1"/>
      <w:numFmt w:val="bullet"/>
      <w:lvlText w:val=""/>
      <w:lvlJc w:val="left"/>
      <w:pPr>
        <w:ind w:left="3360" w:hanging="360"/>
      </w:pPr>
      <w:rPr>
        <w:rFonts w:ascii="Symbol" w:hAnsi="Symbol" w:hint="default"/>
      </w:rPr>
    </w:lvl>
    <w:lvl w:ilvl="4" w:tplc="04050003" w:tentative="1">
      <w:start w:val="1"/>
      <w:numFmt w:val="bullet"/>
      <w:lvlText w:val="o"/>
      <w:lvlJc w:val="left"/>
      <w:pPr>
        <w:ind w:left="4080" w:hanging="360"/>
      </w:pPr>
      <w:rPr>
        <w:rFonts w:ascii="Courier New" w:hAnsi="Courier New" w:cs="Courier New" w:hint="default"/>
      </w:rPr>
    </w:lvl>
    <w:lvl w:ilvl="5" w:tplc="04050005" w:tentative="1">
      <w:start w:val="1"/>
      <w:numFmt w:val="bullet"/>
      <w:lvlText w:val=""/>
      <w:lvlJc w:val="left"/>
      <w:pPr>
        <w:ind w:left="4800" w:hanging="360"/>
      </w:pPr>
      <w:rPr>
        <w:rFonts w:ascii="Wingdings" w:hAnsi="Wingdings" w:hint="default"/>
      </w:rPr>
    </w:lvl>
    <w:lvl w:ilvl="6" w:tplc="04050001" w:tentative="1">
      <w:start w:val="1"/>
      <w:numFmt w:val="bullet"/>
      <w:lvlText w:val=""/>
      <w:lvlJc w:val="left"/>
      <w:pPr>
        <w:ind w:left="5520" w:hanging="360"/>
      </w:pPr>
      <w:rPr>
        <w:rFonts w:ascii="Symbol" w:hAnsi="Symbol" w:hint="default"/>
      </w:rPr>
    </w:lvl>
    <w:lvl w:ilvl="7" w:tplc="04050003" w:tentative="1">
      <w:start w:val="1"/>
      <w:numFmt w:val="bullet"/>
      <w:lvlText w:val="o"/>
      <w:lvlJc w:val="left"/>
      <w:pPr>
        <w:ind w:left="6240" w:hanging="360"/>
      </w:pPr>
      <w:rPr>
        <w:rFonts w:ascii="Courier New" w:hAnsi="Courier New" w:cs="Courier New" w:hint="default"/>
      </w:rPr>
    </w:lvl>
    <w:lvl w:ilvl="8" w:tplc="04050005" w:tentative="1">
      <w:start w:val="1"/>
      <w:numFmt w:val="bullet"/>
      <w:lvlText w:val=""/>
      <w:lvlJc w:val="left"/>
      <w:pPr>
        <w:ind w:left="6960" w:hanging="360"/>
      </w:pPr>
      <w:rPr>
        <w:rFonts w:ascii="Wingdings" w:hAnsi="Wingdings" w:hint="default"/>
      </w:rPr>
    </w:lvl>
  </w:abstractNum>
  <w:abstractNum w:abstractNumId="18" w15:restartNumberingAfterBreak="0">
    <w:nsid w:val="6E700BDC"/>
    <w:multiLevelType w:val="hybridMultilevel"/>
    <w:tmpl w:val="6EA4244C"/>
    <w:lvl w:ilvl="0" w:tplc="C758F230">
      <w:start w:val="1"/>
      <w:numFmt w:val="bullet"/>
      <w:lvlText w:val=""/>
      <w:lvlJc w:val="left"/>
      <w:pPr>
        <w:ind w:left="1200" w:hanging="360"/>
      </w:pPr>
      <w:rPr>
        <w:rFonts w:ascii="Symbol" w:hAnsi="Symbol" w:hint="default"/>
      </w:rPr>
    </w:lvl>
    <w:lvl w:ilvl="1" w:tplc="04050003" w:tentative="1">
      <w:start w:val="1"/>
      <w:numFmt w:val="bullet"/>
      <w:lvlText w:val="o"/>
      <w:lvlJc w:val="left"/>
      <w:pPr>
        <w:ind w:left="1920" w:hanging="360"/>
      </w:pPr>
      <w:rPr>
        <w:rFonts w:ascii="Courier New" w:hAnsi="Courier New" w:cs="Courier New" w:hint="default"/>
      </w:rPr>
    </w:lvl>
    <w:lvl w:ilvl="2" w:tplc="04050005" w:tentative="1">
      <w:start w:val="1"/>
      <w:numFmt w:val="bullet"/>
      <w:lvlText w:val=""/>
      <w:lvlJc w:val="left"/>
      <w:pPr>
        <w:ind w:left="2640" w:hanging="360"/>
      </w:pPr>
      <w:rPr>
        <w:rFonts w:ascii="Wingdings" w:hAnsi="Wingdings" w:hint="default"/>
      </w:rPr>
    </w:lvl>
    <w:lvl w:ilvl="3" w:tplc="04050001" w:tentative="1">
      <w:start w:val="1"/>
      <w:numFmt w:val="bullet"/>
      <w:lvlText w:val=""/>
      <w:lvlJc w:val="left"/>
      <w:pPr>
        <w:ind w:left="3360" w:hanging="360"/>
      </w:pPr>
      <w:rPr>
        <w:rFonts w:ascii="Symbol" w:hAnsi="Symbol" w:hint="default"/>
      </w:rPr>
    </w:lvl>
    <w:lvl w:ilvl="4" w:tplc="04050003" w:tentative="1">
      <w:start w:val="1"/>
      <w:numFmt w:val="bullet"/>
      <w:lvlText w:val="o"/>
      <w:lvlJc w:val="left"/>
      <w:pPr>
        <w:ind w:left="4080" w:hanging="360"/>
      </w:pPr>
      <w:rPr>
        <w:rFonts w:ascii="Courier New" w:hAnsi="Courier New" w:cs="Courier New" w:hint="default"/>
      </w:rPr>
    </w:lvl>
    <w:lvl w:ilvl="5" w:tplc="04050005" w:tentative="1">
      <w:start w:val="1"/>
      <w:numFmt w:val="bullet"/>
      <w:lvlText w:val=""/>
      <w:lvlJc w:val="left"/>
      <w:pPr>
        <w:ind w:left="4800" w:hanging="360"/>
      </w:pPr>
      <w:rPr>
        <w:rFonts w:ascii="Wingdings" w:hAnsi="Wingdings" w:hint="default"/>
      </w:rPr>
    </w:lvl>
    <w:lvl w:ilvl="6" w:tplc="04050001" w:tentative="1">
      <w:start w:val="1"/>
      <w:numFmt w:val="bullet"/>
      <w:lvlText w:val=""/>
      <w:lvlJc w:val="left"/>
      <w:pPr>
        <w:ind w:left="5520" w:hanging="360"/>
      </w:pPr>
      <w:rPr>
        <w:rFonts w:ascii="Symbol" w:hAnsi="Symbol" w:hint="default"/>
      </w:rPr>
    </w:lvl>
    <w:lvl w:ilvl="7" w:tplc="04050003" w:tentative="1">
      <w:start w:val="1"/>
      <w:numFmt w:val="bullet"/>
      <w:lvlText w:val="o"/>
      <w:lvlJc w:val="left"/>
      <w:pPr>
        <w:ind w:left="6240" w:hanging="360"/>
      </w:pPr>
      <w:rPr>
        <w:rFonts w:ascii="Courier New" w:hAnsi="Courier New" w:cs="Courier New" w:hint="default"/>
      </w:rPr>
    </w:lvl>
    <w:lvl w:ilvl="8" w:tplc="04050005" w:tentative="1">
      <w:start w:val="1"/>
      <w:numFmt w:val="bullet"/>
      <w:lvlText w:val=""/>
      <w:lvlJc w:val="left"/>
      <w:pPr>
        <w:ind w:left="6960" w:hanging="360"/>
      </w:pPr>
      <w:rPr>
        <w:rFonts w:ascii="Wingdings" w:hAnsi="Wingdings" w:hint="default"/>
      </w:rPr>
    </w:lvl>
  </w:abstractNum>
  <w:abstractNum w:abstractNumId="19" w15:restartNumberingAfterBreak="0">
    <w:nsid w:val="757E36BC"/>
    <w:multiLevelType w:val="hybridMultilevel"/>
    <w:tmpl w:val="998AF13E"/>
    <w:lvl w:ilvl="0" w:tplc="76647378">
      <w:numFmt w:val="bullet"/>
      <w:lvlText w:val="-"/>
      <w:lvlJc w:val="left"/>
      <w:pPr>
        <w:ind w:left="720" w:hanging="360"/>
      </w:pPr>
      <w:rPr>
        <w:rFonts w:ascii="Arial" w:eastAsia="SimSu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CD60301"/>
    <w:multiLevelType w:val="hybridMultilevel"/>
    <w:tmpl w:val="22E86EF2"/>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20"/>
  </w:num>
  <w:num w:numId="3">
    <w:abstractNumId w:val="1"/>
  </w:num>
  <w:num w:numId="4">
    <w:abstractNumId w:val="16"/>
  </w:num>
  <w:num w:numId="5">
    <w:abstractNumId w:val="15"/>
  </w:num>
  <w:num w:numId="6">
    <w:abstractNumId w:val="6"/>
  </w:num>
  <w:num w:numId="7">
    <w:abstractNumId w:val="11"/>
  </w:num>
  <w:num w:numId="8">
    <w:abstractNumId w:val="19"/>
  </w:num>
  <w:num w:numId="9">
    <w:abstractNumId w:val="3"/>
  </w:num>
  <w:num w:numId="10">
    <w:abstractNumId w:val="8"/>
  </w:num>
  <w:num w:numId="11">
    <w:abstractNumId w:val="7"/>
  </w:num>
  <w:num w:numId="12">
    <w:abstractNumId w:val="4"/>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5"/>
  </w:num>
  <w:num w:numId="16">
    <w:abstractNumId w:val="18"/>
  </w:num>
  <w:num w:numId="17">
    <w:abstractNumId w:val="13"/>
  </w:num>
  <w:num w:numId="18">
    <w:abstractNumId w:val="17"/>
  </w:num>
  <w:num w:numId="19">
    <w:abstractNumId w:val="12"/>
  </w:num>
  <w:num w:numId="20">
    <w:abstractNumId w:val="9"/>
  </w:num>
  <w:num w:numId="21">
    <w:abstractNumId w:val="0"/>
  </w:num>
  <w:num w:numId="22">
    <w:abstractNumId w:val="10"/>
  </w:num>
  <w:num w:numId="23">
    <w:abstractNumId w:val="0"/>
  </w:num>
  <w:num w:numId="24">
    <w:abstractNumId w:val="0"/>
  </w:num>
  <w:num w:numId="25">
    <w:abstractNumId w:val="0"/>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36F6E"/>
    <w:rsid w:val="000029C8"/>
    <w:rsid w:val="000109D2"/>
    <w:rsid w:val="00010C99"/>
    <w:rsid w:val="00015A14"/>
    <w:rsid w:val="00023D5A"/>
    <w:rsid w:val="000251B6"/>
    <w:rsid w:val="000255E3"/>
    <w:rsid w:val="00040258"/>
    <w:rsid w:val="000454DE"/>
    <w:rsid w:val="00046FEC"/>
    <w:rsid w:val="00056710"/>
    <w:rsid w:val="00056CFF"/>
    <w:rsid w:val="00056DDA"/>
    <w:rsid w:val="00063783"/>
    <w:rsid w:val="00064FD0"/>
    <w:rsid w:val="00075334"/>
    <w:rsid w:val="00077522"/>
    <w:rsid w:val="00077E10"/>
    <w:rsid w:val="000803A2"/>
    <w:rsid w:val="0008269B"/>
    <w:rsid w:val="000842A3"/>
    <w:rsid w:val="00086BE5"/>
    <w:rsid w:val="00087BCF"/>
    <w:rsid w:val="000A00CE"/>
    <w:rsid w:val="000A522B"/>
    <w:rsid w:val="000A55D4"/>
    <w:rsid w:val="000A786E"/>
    <w:rsid w:val="000B1123"/>
    <w:rsid w:val="000B62CE"/>
    <w:rsid w:val="000B7177"/>
    <w:rsid w:val="000C0F85"/>
    <w:rsid w:val="000C3AC1"/>
    <w:rsid w:val="000D0489"/>
    <w:rsid w:val="000D3967"/>
    <w:rsid w:val="000E0699"/>
    <w:rsid w:val="000E543C"/>
    <w:rsid w:val="000E744B"/>
    <w:rsid w:val="000E79C4"/>
    <w:rsid w:val="000F4186"/>
    <w:rsid w:val="00111366"/>
    <w:rsid w:val="00111FA7"/>
    <w:rsid w:val="0011310E"/>
    <w:rsid w:val="00113BF1"/>
    <w:rsid w:val="00114048"/>
    <w:rsid w:val="0011766D"/>
    <w:rsid w:val="00117B7D"/>
    <w:rsid w:val="001226EF"/>
    <w:rsid w:val="00122D86"/>
    <w:rsid w:val="00123AEB"/>
    <w:rsid w:val="001253A0"/>
    <w:rsid w:val="001272A2"/>
    <w:rsid w:val="00130866"/>
    <w:rsid w:val="00132F97"/>
    <w:rsid w:val="00134C67"/>
    <w:rsid w:val="00135CEE"/>
    <w:rsid w:val="0014309D"/>
    <w:rsid w:val="00145527"/>
    <w:rsid w:val="001459BC"/>
    <w:rsid w:val="00146C88"/>
    <w:rsid w:val="00152140"/>
    <w:rsid w:val="001527A8"/>
    <w:rsid w:val="00160E0D"/>
    <w:rsid w:val="00164BFF"/>
    <w:rsid w:val="0016666F"/>
    <w:rsid w:val="00171A6D"/>
    <w:rsid w:val="00173121"/>
    <w:rsid w:val="00180E14"/>
    <w:rsid w:val="00182969"/>
    <w:rsid w:val="001860FB"/>
    <w:rsid w:val="001865E5"/>
    <w:rsid w:val="001873E3"/>
    <w:rsid w:val="0019350B"/>
    <w:rsid w:val="001957A0"/>
    <w:rsid w:val="001965F4"/>
    <w:rsid w:val="001975AE"/>
    <w:rsid w:val="001A0BF8"/>
    <w:rsid w:val="001A389D"/>
    <w:rsid w:val="001B1852"/>
    <w:rsid w:val="001B2768"/>
    <w:rsid w:val="001B2DFE"/>
    <w:rsid w:val="001B450D"/>
    <w:rsid w:val="001B7734"/>
    <w:rsid w:val="001C0B03"/>
    <w:rsid w:val="001C367D"/>
    <w:rsid w:val="001C4D96"/>
    <w:rsid w:val="001D0B2D"/>
    <w:rsid w:val="001F225F"/>
    <w:rsid w:val="001F26A8"/>
    <w:rsid w:val="001F47B2"/>
    <w:rsid w:val="001F58DD"/>
    <w:rsid w:val="00204317"/>
    <w:rsid w:val="002102AB"/>
    <w:rsid w:val="00211333"/>
    <w:rsid w:val="0021420F"/>
    <w:rsid w:val="00215570"/>
    <w:rsid w:val="00217938"/>
    <w:rsid w:val="0022061B"/>
    <w:rsid w:val="00221A11"/>
    <w:rsid w:val="00224FAA"/>
    <w:rsid w:val="00234D97"/>
    <w:rsid w:val="00236903"/>
    <w:rsid w:val="00242461"/>
    <w:rsid w:val="002468ED"/>
    <w:rsid w:val="002475F7"/>
    <w:rsid w:val="00247C26"/>
    <w:rsid w:val="00255A49"/>
    <w:rsid w:val="00263C78"/>
    <w:rsid w:val="00265D09"/>
    <w:rsid w:val="0026779D"/>
    <w:rsid w:val="00291EC9"/>
    <w:rsid w:val="00293B91"/>
    <w:rsid w:val="00293C28"/>
    <w:rsid w:val="002A3893"/>
    <w:rsid w:val="002A4078"/>
    <w:rsid w:val="002A5E87"/>
    <w:rsid w:val="002B50F6"/>
    <w:rsid w:val="002B7328"/>
    <w:rsid w:val="002C5F33"/>
    <w:rsid w:val="002E0652"/>
    <w:rsid w:val="002E0F51"/>
    <w:rsid w:val="002E6851"/>
    <w:rsid w:val="002E7B93"/>
    <w:rsid w:val="002F0D83"/>
    <w:rsid w:val="002F2AF0"/>
    <w:rsid w:val="00303987"/>
    <w:rsid w:val="0030419F"/>
    <w:rsid w:val="00305036"/>
    <w:rsid w:val="003110C4"/>
    <w:rsid w:val="00313EF2"/>
    <w:rsid w:val="003222CE"/>
    <w:rsid w:val="003222F2"/>
    <w:rsid w:val="00322D25"/>
    <w:rsid w:val="003268B0"/>
    <w:rsid w:val="0033686A"/>
    <w:rsid w:val="00336E27"/>
    <w:rsid w:val="0033722F"/>
    <w:rsid w:val="00337C87"/>
    <w:rsid w:val="003406F1"/>
    <w:rsid w:val="00342E02"/>
    <w:rsid w:val="00343F03"/>
    <w:rsid w:val="003440CE"/>
    <w:rsid w:val="003473DF"/>
    <w:rsid w:val="00351EB9"/>
    <w:rsid w:val="00355502"/>
    <w:rsid w:val="0036041E"/>
    <w:rsid w:val="00360ED9"/>
    <w:rsid w:val="00361921"/>
    <w:rsid w:val="0036400B"/>
    <w:rsid w:val="00372248"/>
    <w:rsid w:val="0038289F"/>
    <w:rsid w:val="003831E1"/>
    <w:rsid w:val="00385871"/>
    <w:rsid w:val="003858A4"/>
    <w:rsid w:val="0039626E"/>
    <w:rsid w:val="003A402D"/>
    <w:rsid w:val="003A43E0"/>
    <w:rsid w:val="003A6818"/>
    <w:rsid w:val="003A71E2"/>
    <w:rsid w:val="003B2891"/>
    <w:rsid w:val="003C479E"/>
    <w:rsid w:val="003C7EAD"/>
    <w:rsid w:val="003D0A2D"/>
    <w:rsid w:val="003D3163"/>
    <w:rsid w:val="003D379D"/>
    <w:rsid w:val="003D3A77"/>
    <w:rsid w:val="003D69AF"/>
    <w:rsid w:val="003E0E51"/>
    <w:rsid w:val="003E0EC8"/>
    <w:rsid w:val="003E1BAF"/>
    <w:rsid w:val="003E36CB"/>
    <w:rsid w:val="003F0214"/>
    <w:rsid w:val="003F2F07"/>
    <w:rsid w:val="003F5432"/>
    <w:rsid w:val="003F5ED5"/>
    <w:rsid w:val="00401FFE"/>
    <w:rsid w:val="00410D88"/>
    <w:rsid w:val="0041136F"/>
    <w:rsid w:val="00417304"/>
    <w:rsid w:val="00425324"/>
    <w:rsid w:val="00426E31"/>
    <w:rsid w:val="004273D7"/>
    <w:rsid w:val="0042752A"/>
    <w:rsid w:val="004323C2"/>
    <w:rsid w:val="00434E5E"/>
    <w:rsid w:val="00436F6E"/>
    <w:rsid w:val="0044190B"/>
    <w:rsid w:val="004436DD"/>
    <w:rsid w:val="004447DE"/>
    <w:rsid w:val="00446C03"/>
    <w:rsid w:val="00446C31"/>
    <w:rsid w:val="00447BD2"/>
    <w:rsid w:val="00451C2A"/>
    <w:rsid w:val="00453347"/>
    <w:rsid w:val="00454986"/>
    <w:rsid w:val="00456113"/>
    <w:rsid w:val="00463516"/>
    <w:rsid w:val="00466CEC"/>
    <w:rsid w:val="004751C4"/>
    <w:rsid w:val="004801AD"/>
    <w:rsid w:val="00480CE6"/>
    <w:rsid w:val="00481C40"/>
    <w:rsid w:val="004843AD"/>
    <w:rsid w:val="00485BEB"/>
    <w:rsid w:val="00491A88"/>
    <w:rsid w:val="00492D5E"/>
    <w:rsid w:val="00494864"/>
    <w:rsid w:val="00495AA1"/>
    <w:rsid w:val="004A4A22"/>
    <w:rsid w:val="004B34CC"/>
    <w:rsid w:val="004B3BD5"/>
    <w:rsid w:val="004C122F"/>
    <w:rsid w:val="004C2733"/>
    <w:rsid w:val="004C4CCC"/>
    <w:rsid w:val="004D2F53"/>
    <w:rsid w:val="004D6049"/>
    <w:rsid w:val="004E0786"/>
    <w:rsid w:val="004E0CFA"/>
    <w:rsid w:val="004E18C5"/>
    <w:rsid w:val="004F069A"/>
    <w:rsid w:val="004F0AC0"/>
    <w:rsid w:val="004F27FA"/>
    <w:rsid w:val="004F39F8"/>
    <w:rsid w:val="004F5602"/>
    <w:rsid w:val="004F6AC6"/>
    <w:rsid w:val="00500AE5"/>
    <w:rsid w:val="005034B0"/>
    <w:rsid w:val="005054FF"/>
    <w:rsid w:val="005072A5"/>
    <w:rsid w:val="00507C98"/>
    <w:rsid w:val="005102CE"/>
    <w:rsid w:val="005208DF"/>
    <w:rsid w:val="005216C4"/>
    <w:rsid w:val="00525175"/>
    <w:rsid w:val="00534567"/>
    <w:rsid w:val="0053662E"/>
    <w:rsid w:val="00544700"/>
    <w:rsid w:val="005457E9"/>
    <w:rsid w:val="0054639C"/>
    <w:rsid w:val="00551389"/>
    <w:rsid w:val="00551BD0"/>
    <w:rsid w:val="00554F45"/>
    <w:rsid w:val="005564BB"/>
    <w:rsid w:val="00564F66"/>
    <w:rsid w:val="005672BB"/>
    <w:rsid w:val="00577912"/>
    <w:rsid w:val="00584A57"/>
    <w:rsid w:val="00587E52"/>
    <w:rsid w:val="00587E58"/>
    <w:rsid w:val="00592696"/>
    <w:rsid w:val="00597801"/>
    <w:rsid w:val="005A08B8"/>
    <w:rsid w:val="005A162A"/>
    <w:rsid w:val="005A5038"/>
    <w:rsid w:val="005B4AF7"/>
    <w:rsid w:val="005D06ED"/>
    <w:rsid w:val="005D0989"/>
    <w:rsid w:val="005D233A"/>
    <w:rsid w:val="005D6158"/>
    <w:rsid w:val="005D7AB5"/>
    <w:rsid w:val="005E1AEA"/>
    <w:rsid w:val="005E3239"/>
    <w:rsid w:val="005E7492"/>
    <w:rsid w:val="005F53B5"/>
    <w:rsid w:val="005F55AE"/>
    <w:rsid w:val="006051ED"/>
    <w:rsid w:val="00607153"/>
    <w:rsid w:val="00612747"/>
    <w:rsid w:val="006220F7"/>
    <w:rsid w:val="00626AEB"/>
    <w:rsid w:val="00635800"/>
    <w:rsid w:val="00635A1E"/>
    <w:rsid w:val="0064233E"/>
    <w:rsid w:val="00643A6E"/>
    <w:rsid w:val="00645710"/>
    <w:rsid w:val="006458BB"/>
    <w:rsid w:val="00651676"/>
    <w:rsid w:val="006549EC"/>
    <w:rsid w:val="00655F10"/>
    <w:rsid w:val="0065613D"/>
    <w:rsid w:val="006603BB"/>
    <w:rsid w:val="006608A1"/>
    <w:rsid w:val="00665DCC"/>
    <w:rsid w:val="006670AC"/>
    <w:rsid w:val="006728D2"/>
    <w:rsid w:val="006763D5"/>
    <w:rsid w:val="00697F7B"/>
    <w:rsid w:val="006A01CD"/>
    <w:rsid w:val="006A1D4D"/>
    <w:rsid w:val="006A5473"/>
    <w:rsid w:val="006A5F65"/>
    <w:rsid w:val="006A6844"/>
    <w:rsid w:val="006B1BBF"/>
    <w:rsid w:val="006B3D5E"/>
    <w:rsid w:val="006B462E"/>
    <w:rsid w:val="006C08BA"/>
    <w:rsid w:val="006C1A27"/>
    <w:rsid w:val="006C5380"/>
    <w:rsid w:val="006D3816"/>
    <w:rsid w:val="006D447C"/>
    <w:rsid w:val="006D4B02"/>
    <w:rsid w:val="006D5C69"/>
    <w:rsid w:val="006D5C90"/>
    <w:rsid w:val="006E0531"/>
    <w:rsid w:val="006E73FE"/>
    <w:rsid w:val="006E7A11"/>
    <w:rsid w:val="006F2FF7"/>
    <w:rsid w:val="006F338E"/>
    <w:rsid w:val="00701EA8"/>
    <w:rsid w:val="007045EF"/>
    <w:rsid w:val="00706292"/>
    <w:rsid w:val="0070648E"/>
    <w:rsid w:val="00716E58"/>
    <w:rsid w:val="00730BCC"/>
    <w:rsid w:val="00731DF6"/>
    <w:rsid w:val="00732142"/>
    <w:rsid w:val="00735FAD"/>
    <w:rsid w:val="00736238"/>
    <w:rsid w:val="00746ADC"/>
    <w:rsid w:val="00747151"/>
    <w:rsid w:val="00753E61"/>
    <w:rsid w:val="00756A5A"/>
    <w:rsid w:val="0076006E"/>
    <w:rsid w:val="00761E83"/>
    <w:rsid w:val="007629DC"/>
    <w:rsid w:val="007642E1"/>
    <w:rsid w:val="00776067"/>
    <w:rsid w:val="00781AD3"/>
    <w:rsid w:val="00783034"/>
    <w:rsid w:val="00783CA7"/>
    <w:rsid w:val="00784CAC"/>
    <w:rsid w:val="00785489"/>
    <w:rsid w:val="00791E4F"/>
    <w:rsid w:val="0079254B"/>
    <w:rsid w:val="007969D1"/>
    <w:rsid w:val="00797B54"/>
    <w:rsid w:val="007A4CD7"/>
    <w:rsid w:val="007A53DD"/>
    <w:rsid w:val="007A75AE"/>
    <w:rsid w:val="007A7984"/>
    <w:rsid w:val="007B3CC4"/>
    <w:rsid w:val="007B4338"/>
    <w:rsid w:val="007B479E"/>
    <w:rsid w:val="007B68A4"/>
    <w:rsid w:val="007B7BB3"/>
    <w:rsid w:val="007C4DAC"/>
    <w:rsid w:val="007D6DBF"/>
    <w:rsid w:val="007E01C6"/>
    <w:rsid w:val="007E1F99"/>
    <w:rsid w:val="007E36A6"/>
    <w:rsid w:val="007E3AC3"/>
    <w:rsid w:val="007E4BED"/>
    <w:rsid w:val="007E6724"/>
    <w:rsid w:val="007F46FE"/>
    <w:rsid w:val="007F5247"/>
    <w:rsid w:val="007F7F55"/>
    <w:rsid w:val="00803091"/>
    <w:rsid w:val="008031A1"/>
    <w:rsid w:val="00804AFC"/>
    <w:rsid w:val="008146DE"/>
    <w:rsid w:val="00815C6B"/>
    <w:rsid w:val="0081671D"/>
    <w:rsid w:val="00822888"/>
    <w:rsid w:val="0083591B"/>
    <w:rsid w:val="0084451F"/>
    <w:rsid w:val="00844885"/>
    <w:rsid w:val="00845504"/>
    <w:rsid w:val="008506F4"/>
    <w:rsid w:val="00851CF6"/>
    <w:rsid w:val="008540B0"/>
    <w:rsid w:val="00861D1A"/>
    <w:rsid w:val="00863D19"/>
    <w:rsid w:val="00863E7E"/>
    <w:rsid w:val="0086649B"/>
    <w:rsid w:val="00866CAA"/>
    <w:rsid w:val="008724F5"/>
    <w:rsid w:val="00872C0D"/>
    <w:rsid w:val="0088308F"/>
    <w:rsid w:val="0088485B"/>
    <w:rsid w:val="00885D78"/>
    <w:rsid w:val="00886AAB"/>
    <w:rsid w:val="00887B9E"/>
    <w:rsid w:val="008B21FA"/>
    <w:rsid w:val="008B37A1"/>
    <w:rsid w:val="008B4099"/>
    <w:rsid w:val="008C2A8D"/>
    <w:rsid w:val="008C4076"/>
    <w:rsid w:val="008C6A0B"/>
    <w:rsid w:val="008C6C3C"/>
    <w:rsid w:val="008D016A"/>
    <w:rsid w:val="008D34EB"/>
    <w:rsid w:val="008E52AD"/>
    <w:rsid w:val="008E5E29"/>
    <w:rsid w:val="008E685C"/>
    <w:rsid w:val="008F13D3"/>
    <w:rsid w:val="008F1443"/>
    <w:rsid w:val="008F2D00"/>
    <w:rsid w:val="008F3483"/>
    <w:rsid w:val="008F5F00"/>
    <w:rsid w:val="0090049E"/>
    <w:rsid w:val="009033BD"/>
    <w:rsid w:val="00904B42"/>
    <w:rsid w:val="009058CE"/>
    <w:rsid w:val="00906B63"/>
    <w:rsid w:val="009140F4"/>
    <w:rsid w:val="00917A5F"/>
    <w:rsid w:val="0092198C"/>
    <w:rsid w:val="00924079"/>
    <w:rsid w:val="009245D1"/>
    <w:rsid w:val="00925037"/>
    <w:rsid w:val="00926688"/>
    <w:rsid w:val="009278EA"/>
    <w:rsid w:val="00930D1F"/>
    <w:rsid w:val="0093646B"/>
    <w:rsid w:val="00945B12"/>
    <w:rsid w:val="00946EC9"/>
    <w:rsid w:val="009505C2"/>
    <w:rsid w:val="00954042"/>
    <w:rsid w:val="00957DA2"/>
    <w:rsid w:val="009604F4"/>
    <w:rsid w:val="00962594"/>
    <w:rsid w:val="00963C2D"/>
    <w:rsid w:val="00965D64"/>
    <w:rsid w:val="00966044"/>
    <w:rsid w:val="00970D83"/>
    <w:rsid w:val="00975775"/>
    <w:rsid w:val="00976CB1"/>
    <w:rsid w:val="00980B7E"/>
    <w:rsid w:val="009921BC"/>
    <w:rsid w:val="009A3BE4"/>
    <w:rsid w:val="009A3F36"/>
    <w:rsid w:val="009A5A66"/>
    <w:rsid w:val="009A60E6"/>
    <w:rsid w:val="009A6B4F"/>
    <w:rsid w:val="009B5B9F"/>
    <w:rsid w:val="009B71EF"/>
    <w:rsid w:val="009C548F"/>
    <w:rsid w:val="009C59CB"/>
    <w:rsid w:val="009D1D85"/>
    <w:rsid w:val="009D2EAD"/>
    <w:rsid w:val="009D7DC1"/>
    <w:rsid w:val="009E30ED"/>
    <w:rsid w:val="009E482A"/>
    <w:rsid w:val="009E49DA"/>
    <w:rsid w:val="009E7A5B"/>
    <w:rsid w:val="009F156A"/>
    <w:rsid w:val="009F1D8D"/>
    <w:rsid w:val="009F547E"/>
    <w:rsid w:val="009F59BA"/>
    <w:rsid w:val="00A0475E"/>
    <w:rsid w:val="00A04BB8"/>
    <w:rsid w:val="00A06E82"/>
    <w:rsid w:val="00A070BD"/>
    <w:rsid w:val="00A124B0"/>
    <w:rsid w:val="00A12DDA"/>
    <w:rsid w:val="00A17B6E"/>
    <w:rsid w:val="00A20881"/>
    <w:rsid w:val="00A20A86"/>
    <w:rsid w:val="00A21525"/>
    <w:rsid w:val="00A21C1F"/>
    <w:rsid w:val="00A24608"/>
    <w:rsid w:val="00A260B4"/>
    <w:rsid w:val="00A27773"/>
    <w:rsid w:val="00A3085D"/>
    <w:rsid w:val="00A316CD"/>
    <w:rsid w:val="00A418A1"/>
    <w:rsid w:val="00A43E92"/>
    <w:rsid w:val="00A47D07"/>
    <w:rsid w:val="00A51179"/>
    <w:rsid w:val="00A513B9"/>
    <w:rsid w:val="00A6501B"/>
    <w:rsid w:val="00A65F2E"/>
    <w:rsid w:val="00A66208"/>
    <w:rsid w:val="00A75AFC"/>
    <w:rsid w:val="00A76110"/>
    <w:rsid w:val="00A77637"/>
    <w:rsid w:val="00A80843"/>
    <w:rsid w:val="00A866BB"/>
    <w:rsid w:val="00A91810"/>
    <w:rsid w:val="00A9322E"/>
    <w:rsid w:val="00A95F68"/>
    <w:rsid w:val="00AA41AC"/>
    <w:rsid w:val="00AB3116"/>
    <w:rsid w:val="00AC1C60"/>
    <w:rsid w:val="00AC25F3"/>
    <w:rsid w:val="00AC5EDB"/>
    <w:rsid w:val="00AD16E6"/>
    <w:rsid w:val="00AD3114"/>
    <w:rsid w:val="00AD410B"/>
    <w:rsid w:val="00AD630F"/>
    <w:rsid w:val="00AD6DE3"/>
    <w:rsid w:val="00AE1155"/>
    <w:rsid w:val="00AE57B7"/>
    <w:rsid w:val="00AE6179"/>
    <w:rsid w:val="00AF0778"/>
    <w:rsid w:val="00AF0F8D"/>
    <w:rsid w:val="00AF29D5"/>
    <w:rsid w:val="00AF5776"/>
    <w:rsid w:val="00B024BA"/>
    <w:rsid w:val="00B14E11"/>
    <w:rsid w:val="00B2790E"/>
    <w:rsid w:val="00B30F8B"/>
    <w:rsid w:val="00B33E0A"/>
    <w:rsid w:val="00B34351"/>
    <w:rsid w:val="00B36C92"/>
    <w:rsid w:val="00B379E9"/>
    <w:rsid w:val="00B37A9A"/>
    <w:rsid w:val="00B37AE0"/>
    <w:rsid w:val="00B4039D"/>
    <w:rsid w:val="00B42963"/>
    <w:rsid w:val="00B450A0"/>
    <w:rsid w:val="00B4549A"/>
    <w:rsid w:val="00B456F9"/>
    <w:rsid w:val="00B501F1"/>
    <w:rsid w:val="00B5038E"/>
    <w:rsid w:val="00B54071"/>
    <w:rsid w:val="00B6092A"/>
    <w:rsid w:val="00B664D1"/>
    <w:rsid w:val="00B75793"/>
    <w:rsid w:val="00B80228"/>
    <w:rsid w:val="00B802E4"/>
    <w:rsid w:val="00B80F6E"/>
    <w:rsid w:val="00B87E43"/>
    <w:rsid w:val="00B900F8"/>
    <w:rsid w:val="00B92585"/>
    <w:rsid w:val="00B96CE7"/>
    <w:rsid w:val="00B96D13"/>
    <w:rsid w:val="00BA4315"/>
    <w:rsid w:val="00BA4343"/>
    <w:rsid w:val="00BB6D50"/>
    <w:rsid w:val="00BB71C8"/>
    <w:rsid w:val="00BC3E04"/>
    <w:rsid w:val="00BC6A79"/>
    <w:rsid w:val="00BC7C80"/>
    <w:rsid w:val="00BD1D2E"/>
    <w:rsid w:val="00BD5E23"/>
    <w:rsid w:val="00BE2A5E"/>
    <w:rsid w:val="00BE536D"/>
    <w:rsid w:val="00BF1E42"/>
    <w:rsid w:val="00BF478F"/>
    <w:rsid w:val="00BF5979"/>
    <w:rsid w:val="00BF6250"/>
    <w:rsid w:val="00C038A7"/>
    <w:rsid w:val="00C067A2"/>
    <w:rsid w:val="00C23AD6"/>
    <w:rsid w:val="00C3261A"/>
    <w:rsid w:val="00C33CFA"/>
    <w:rsid w:val="00C33EDE"/>
    <w:rsid w:val="00C36F73"/>
    <w:rsid w:val="00C41237"/>
    <w:rsid w:val="00C41489"/>
    <w:rsid w:val="00C41CEB"/>
    <w:rsid w:val="00C524DD"/>
    <w:rsid w:val="00C60E9C"/>
    <w:rsid w:val="00C62C4B"/>
    <w:rsid w:val="00C663C8"/>
    <w:rsid w:val="00C67FF5"/>
    <w:rsid w:val="00C726B0"/>
    <w:rsid w:val="00C80BA8"/>
    <w:rsid w:val="00C811C4"/>
    <w:rsid w:val="00C81537"/>
    <w:rsid w:val="00C83258"/>
    <w:rsid w:val="00C93083"/>
    <w:rsid w:val="00C94C42"/>
    <w:rsid w:val="00C94D91"/>
    <w:rsid w:val="00C954C6"/>
    <w:rsid w:val="00C9583F"/>
    <w:rsid w:val="00C963EC"/>
    <w:rsid w:val="00C967AB"/>
    <w:rsid w:val="00CA0B07"/>
    <w:rsid w:val="00CA3F17"/>
    <w:rsid w:val="00CB009D"/>
    <w:rsid w:val="00CB096F"/>
    <w:rsid w:val="00CC0ED8"/>
    <w:rsid w:val="00CC38FA"/>
    <w:rsid w:val="00CC4DD1"/>
    <w:rsid w:val="00CC5979"/>
    <w:rsid w:val="00CD103A"/>
    <w:rsid w:val="00CD120E"/>
    <w:rsid w:val="00CD4C4C"/>
    <w:rsid w:val="00CE0CFA"/>
    <w:rsid w:val="00CF48E1"/>
    <w:rsid w:val="00D061E1"/>
    <w:rsid w:val="00D11140"/>
    <w:rsid w:val="00D11711"/>
    <w:rsid w:val="00D17C56"/>
    <w:rsid w:val="00D206C9"/>
    <w:rsid w:val="00D211F8"/>
    <w:rsid w:val="00D30F4B"/>
    <w:rsid w:val="00D33329"/>
    <w:rsid w:val="00D33DD4"/>
    <w:rsid w:val="00D3602F"/>
    <w:rsid w:val="00D40440"/>
    <w:rsid w:val="00D40D58"/>
    <w:rsid w:val="00D41C75"/>
    <w:rsid w:val="00D443E5"/>
    <w:rsid w:val="00D47254"/>
    <w:rsid w:val="00D5078B"/>
    <w:rsid w:val="00D57CD3"/>
    <w:rsid w:val="00D6542D"/>
    <w:rsid w:val="00D7149B"/>
    <w:rsid w:val="00D73444"/>
    <w:rsid w:val="00D75AD3"/>
    <w:rsid w:val="00D8042D"/>
    <w:rsid w:val="00D85079"/>
    <w:rsid w:val="00D86279"/>
    <w:rsid w:val="00D977BD"/>
    <w:rsid w:val="00DA5348"/>
    <w:rsid w:val="00DB6D8C"/>
    <w:rsid w:val="00DB6F80"/>
    <w:rsid w:val="00DC14CC"/>
    <w:rsid w:val="00DC2930"/>
    <w:rsid w:val="00DD0785"/>
    <w:rsid w:val="00DD7CA2"/>
    <w:rsid w:val="00DE15F5"/>
    <w:rsid w:val="00DE182F"/>
    <w:rsid w:val="00DF0433"/>
    <w:rsid w:val="00DF2588"/>
    <w:rsid w:val="00DF3158"/>
    <w:rsid w:val="00DF5584"/>
    <w:rsid w:val="00DF6750"/>
    <w:rsid w:val="00DF6882"/>
    <w:rsid w:val="00DF6CEA"/>
    <w:rsid w:val="00E04B44"/>
    <w:rsid w:val="00E1371E"/>
    <w:rsid w:val="00E16D99"/>
    <w:rsid w:val="00E176CD"/>
    <w:rsid w:val="00E23F22"/>
    <w:rsid w:val="00E243E1"/>
    <w:rsid w:val="00E26C2B"/>
    <w:rsid w:val="00E3058F"/>
    <w:rsid w:val="00E32C13"/>
    <w:rsid w:val="00E35236"/>
    <w:rsid w:val="00E3784F"/>
    <w:rsid w:val="00E40369"/>
    <w:rsid w:val="00E41F3A"/>
    <w:rsid w:val="00E450DF"/>
    <w:rsid w:val="00E453BE"/>
    <w:rsid w:val="00E46BA6"/>
    <w:rsid w:val="00E52646"/>
    <w:rsid w:val="00E61E34"/>
    <w:rsid w:val="00E64602"/>
    <w:rsid w:val="00E651CD"/>
    <w:rsid w:val="00E676D7"/>
    <w:rsid w:val="00E7008D"/>
    <w:rsid w:val="00E702C9"/>
    <w:rsid w:val="00E703C4"/>
    <w:rsid w:val="00E70F35"/>
    <w:rsid w:val="00E71978"/>
    <w:rsid w:val="00E75FAF"/>
    <w:rsid w:val="00E809F3"/>
    <w:rsid w:val="00E82BDF"/>
    <w:rsid w:val="00E85204"/>
    <w:rsid w:val="00E91BAF"/>
    <w:rsid w:val="00E92620"/>
    <w:rsid w:val="00EA0C68"/>
    <w:rsid w:val="00EA2E50"/>
    <w:rsid w:val="00EA390C"/>
    <w:rsid w:val="00EB0A9A"/>
    <w:rsid w:val="00EB6B7D"/>
    <w:rsid w:val="00EC1789"/>
    <w:rsid w:val="00EC5896"/>
    <w:rsid w:val="00EC60EE"/>
    <w:rsid w:val="00ED30D6"/>
    <w:rsid w:val="00ED351C"/>
    <w:rsid w:val="00EE22DA"/>
    <w:rsid w:val="00EE4691"/>
    <w:rsid w:val="00EF0570"/>
    <w:rsid w:val="00EF6718"/>
    <w:rsid w:val="00F0168A"/>
    <w:rsid w:val="00F01A77"/>
    <w:rsid w:val="00F03CB7"/>
    <w:rsid w:val="00F0556A"/>
    <w:rsid w:val="00F10A99"/>
    <w:rsid w:val="00F13C25"/>
    <w:rsid w:val="00F1454F"/>
    <w:rsid w:val="00F1536B"/>
    <w:rsid w:val="00F34489"/>
    <w:rsid w:val="00F361A0"/>
    <w:rsid w:val="00F37634"/>
    <w:rsid w:val="00F4158A"/>
    <w:rsid w:val="00F4243C"/>
    <w:rsid w:val="00F42639"/>
    <w:rsid w:val="00F44522"/>
    <w:rsid w:val="00F474E3"/>
    <w:rsid w:val="00F549E8"/>
    <w:rsid w:val="00F55D78"/>
    <w:rsid w:val="00F57263"/>
    <w:rsid w:val="00F605DF"/>
    <w:rsid w:val="00F631E6"/>
    <w:rsid w:val="00F663DD"/>
    <w:rsid w:val="00F67065"/>
    <w:rsid w:val="00F72C92"/>
    <w:rsid w:val="00F73935"/>
    <w:rsid w:val="00F87912"/>
    <w:rsid w:val="00F91617"/>
    <w:rsid w:val="00F9249C"/>
    <w:rsid w:val="00F9399E"/>
    <w:rsid w:val="00F943BC"/>
    <w:rsid w:val="00FA55D5"/>
    <w:rsid w:val="00FA72D2"/>
    <w:rsid w:val="00FB2EEA"/>
    <w:rsid w:val="00FC5C97"/>
    <w:rsid w:val="00FC6664"/>
    <w:rsid w:val="00FC7385"/>
    <w:rsid w:val="00FD52B2"/>
    <w:rsid w:val="00FE1136"/>
    <w:rsid w:val="00FE120A"/>
    <w:rsid w:val="00FE1F30"/>
    <w:rsid w:val="00FE418C"/>
    <w:rsid w:val="00FE7832"/>
    <w:rsid w:val="00FF3D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F6E"/>
    <w:pPr>
      <w:spacing w:after="180" w:line="274" w:lineRule="auto"/>
    </w:pPr>
    <w:rPr>
      <w:sz w:val="21"/>
    </w:rPr>
  </w:style>
  <w:style w:type="paragraph" w:styleId="Nadpis1">
    <w:name w:val="heading 1"/>
    <w:basedOn w:val="Normln"/>
    <w:next w:val="Normln"/>
    <w:link w:val="Nadpis1Char"/>
    <w:uiPriority w:val="9"/>
    <w:qFormat/>
    <w:rsid w:val="00436F6E"/>
    <w:pPr>
      <w:keepNext/>
      <w:keepLines/>
      <w:numPr>
        <w:numId w:val="21"/>
      </w:numPr>
      <w:spacing w:before="720" w:after="360" w:line="240" w:lineRule="auto"/>
      <w:outlineLvl w:val="0"/>
    </w:pPr>
    <w:rPr>
      <w:rFonts w:ascii="Calibri" w:eastAsiaTheme="majorEastAsia" w:hAnsi="Calibri" w:cstheme="majorBidi"/>
      <w:b/>
      <w:bCs/>
      <w:color w:val="4F81BD" w:themeColor="accent1"/>
      <w:spacing w:val="20"/>
      <w:sz w:val="32"/>
      <w:szCs w:val="28"/>
    </w:rPr>
  </w:style>
  <w:style w:type="paragraph" w:styleId="Nadpis2">
    <w:name w:val="heading 2"/>
    <w:basedOn w:val="Normln"/>
    <w:next w:val="Normln"/>
    <w:link w:val="Nadpis2Char"/>
    <w:uiPriority w:val="9"/>
    <w:unhideWhenUsed/>
    <w:qFormat/>
    <w:rsid w:val="00AC25F3"/>
    <w:pPr>
      <w:keepNext/>
      <w:keepLines/>
      <w:numPr>
        <w:ilvl w:val="1"/>
        <w:numId w:val="21"/>
      </w:numPr>
      <w:spacing w:before="360" w:after="240" w:line="240" w:lineRule="auto"/>
      <w:outlineLvl w:val="1"/>
    </w:pPr>
    <w:rPr>
      <w:rFonts w:ascii="Calibri" w:eastAsiaTheme="majorEastAsia" w:hAnsi="Calibri" w:cstheme="majorBidi"/>
      <w:b/>
      <w:bCs/>
      <w:color w:val="4F81BD" w:themeColor="accent1"/>
      <w:sz w:val="28"/>
      <w:szCs w:val="26"/>
    </w:rPr>
  </w:style>
  <w:style w:type="paragraph" w:styleId="Nadpis3">
    <w:name w:val="heading 3"/>
    <w:basedOn w:val="Normln"/>
    <w:next w:val="Normln"/>
    <w:link w:val="Nadpis3Char"/>
    <w:uiPriority w:val="9"/>
    <w:unhideWhenUsed/>
    <w:qFormat/>
    <w:rsid w:val="00463516"/>
    <w:pPr>
      <w:keepNext/>
      <w:keepLines/>
      <w:numPr>
        <w:ilvl w:val="2"/>
        <w:numId w:val="21"/>
      </w:numPr>
      <w:spacing w:before="20" w:after="0" w:line="240" w:lineRule="auto"/>
      <w:outlineLvl w:val="2"/>
    </w:pPr>
    <w:rPr>
      <w:rFonts w:ascii="Calibri" w:eastAsiaTheme="majorEastAsia" w:hAnsi="Calibri" w:cstheme="majorBidi"/>
      <w:b/>
      <w:bCs/>
      <w:color w:val="1F497D" w:themeColor="text2"/>
      <w:spacing w:val="14"/>
      <w:sz w:val="24"/>
    </w:rPr>
  </w:style>
  <w:style w:type="paragraph" w:styleId="Nadpis4">
    <w:name w:val="heading 4"/>
    <w:basedOn w:val="Normln"/>
    <w:next w:val="Normln"/>
    <w:link w:val="Nadpis4Char"/>
    <w:uiPriority w:val="9"/>
    <w:semiHidden/>
    <w:unhideWhenUsed/>
    <w:qFormat/>
    <w:rsid w:val="00436F6E"/>
    <w:pPr>
      <w:keepNext/>
      <w:keepLines/>
      <w:numPr>
        <w:ilvl w:val="3"/>
        <w:numId w:val="21"/>
      </w:numPr>
      <w:spacing w:before="200" w:after="0"/>
      <w:outlineLvl w:val="3"/>
    </w:pPr>
    <w:rPr>
      <w:rFonts w:eastAsiaTheme="majorEastAsia" w:cstheme="majorBidi"/>
      <w:b/>
      <w:bCs/>
      <w:i/>
      <w:iCs/>
      <w:color w:val="000000"/>
      <w:sz w:val="24"/>
    </w:rPr>
  </w:style>
  <w:style w:type="paragraph" w:styleId="Nadpis5">
    <w:name w:val="heading 5"/>
    <w:basedOn w:val="Normln"/>
    <w:next w:val="Normln"/>
    <w:link w:val="Nadpis5Char"/>
    <w:uiPriority w:val="9"/>
    <w:semiHidden/>
    <w:unhideWhenUsed/>
    <w:qFormat/>
    <w:rsid w:val="00436F6E"/>
    <w:pPr>
      <w:keepNext/>
      <w:keepLines/>
      <w:numPr>
        <w:ilvl w:val="4"/>
        <w:numId w:val="21"/>
      </w:numPr>
      <w:spacing w:before="200" w:after="0"/>
      <w:outlineLvl w:val="4"/>
    </w:pPr>
    <w:rPr>
      <w:rFonts w:asciiTheme="majorHAnsi" w:eastAsiaTheme="majorEastAsia" w:hAnsiTheme="majorHAnsi" w:cstheme="majorBidi"/>
      <w:color w:val="000000"/>
      <w:sz w:val="22"/>
    </w:rPr>
  </w:style>
  <w:style w:type="paragraph" w:styleId="Nadpis6">
    <w:name w:val="heading 6"/>
    <w:basedOn w:val="Normln"/>
    <w:next w:val="Normln"/>
    <w:link w:val="Nadpis6Char"/>
    <w:uiPriority w:val="9"/>
    <w:semiHidden/>
    <w:unhideWhenUsed/>
    <w:qFormat/>
    <w:rsid w:val="00436F6E"/>
    <w:pPr>
      <w:keepNext/>
      <w:keepLines/>
      <w:numPr>
        <w:ilvl w:val="5"/>
        <w:numId w:val="21"/>
      </w:numPr>
      <w:spacing w:before="200" w:after="0"/>
      <w:outlineLvl w:val="5"/>
    </w:pPr>
    <w:rPr>
      <w:rFonts w:asciiTheme="majorHAnsi" w:eastAsiaTheme="majorEastAsia" w:hAnsiTheme="majorHAnsi" w:cstheme="majorBidi"/>
      <w:iCs/>
      <w:color w:val="4F81BD" w:themeColor="accent1"/>
      <w:sz w:val="22"/>
    </w:rPr>
  </w:style>
  <w:style w:type="paragraph" w:styleId="Nadpis7">
    <w:name w:val="heading 7"/>
    <w:basedOn w:val="Normln"/>
    <w:next w:val="Normln"/>
    <w:link w:val="Nadpis7Char"/>
    <w:uiPriority w:val="9"/>
    <w:semiHidden/>
    <w:unhideWhenUsed/>
    <w:qFormat/>
    <w:rsid w:val="00436F6E"/>
    <w:pPr>
      <w:keepNext/>
      <w:keepLines/>
      <w:numPr>
        <w:ilvl w:val="6"/>
        <w:numId w:val="21"/>
      </w:numPr>
      <w:spacing w:before="200" w:after="0"/>
      <w:outlineLvl w:val="6"/>
    </w:pPr>
    <w:rPr>
      <w:rFonts w:asciiTheme="majorHAnsi" w:eastAsiaTheme="majorEastAsia" w:hAnsiTheme="majorHAnsi" w:cstheme="majorBidi"/>
      <w:i/>
      <w:iCs/>
      <w:color w:val="000000"/>
      <w:sz w:val="22"/>
    </w:rPr>
  </w:style>
  <w:style w:type="paragraph" w:styleId="Nadpis8">
    <w:name w:val="heading 8"/>
    <w:basedOn w:val="Normln"/>
    <w:next w:val="Normln"/>
    <w:link w:val="Nadpis8Char"/>
    <w:uiPriority w:val="9"/>
    <w:unhideWhenUsed/>
    <w:qFormat/>
    <w:rsid w:val="00436F6E"/>
    <w:pPr>
      <w:keepNext/>
      <w:keepLines/>
      <w:numPr>
        <w:ilvl w:val="7"/>
        <w:numId w:val="21"/>
      </w:numPr>
      <w:spacing w:before="200" w:after="0"/>
      <w:outlineLvl w:val="7"/>
    </w:pPr>
    <w:rPr>
      <w:rFonts w:asciiTheme="majorHAnsi" w:eastAsiaTheme="majorEastAsia" w:hAnsiTheme="majorHAnsi" w:cstheme="majorBidi"/>
      <w:color w:val="000000"/>
      <w:sz w:val="20"/>
      <w:szCs w:val="20"/>
    </w:rPr>
  </w:style>
  <w:style w:type="paragraph" w:styleId="Nadpis9">
    <w:name w:val="heading 9"/>
    <w:basedOn w:val="Normln"/>
    <w:next w:val="Normln"/>
    <w:link w:val="Nadpis9Char"/>
    <w:uiPriority w:val="9"/>
    <w:semiHidden/>
    <w:unhideWhenUsed/>
    <w:qFormat/>
    <w:rsid w:val="00436F6E"/>
    <w:pPr>
      <w:keepNext/>
      <w:keepLines/>
      <w:numPr>
        <w:ilvl w:val="8"/>
        <w:numId w:val="21"/>
      </w:numPr>
      <w:spacing w:before="200" w:after="0"/>
      <w:outlineLvl w:val="8"/>
    </w:pPr>
    <w:rPr>
      <w:rFonts w:asciiTheme="majorHAnsi" w:eastAsiaTheme="majorEastAsia" w:hAnsiTheme="majorHAnsi" w:cstheme="majorBidi"/>
      <w:i/>
      <w:iCs/>
      <w:color w:val="00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436F6E"/>
    <w:rPr>
      <w:rFonts w:ascii="Calibri" w:eastAsiaTheme="majorEastAsia" w:hAnsi="Calibri" w:cstheme="majorBidi"/>
      <w:b/>
      <w:bCs/>
      <w:color w:val="4F81BD" w:themeColor="accent1"/>
      <w:spacing w:val="20"/>
      <w:sz w:val="32"/>
      <w:szCs w:val="28"/>
    </w:rPr>
  </w:style>
  <w:style w:type="character" w:customStyle="1" w:styleId="Nadpis2Char">
    <w:name w:val="Nadpis 2 Char"/>
    <w:basedOn w:val="Standardnpsmoodstavce"/>
    <w:link w:val="Nadpis2"/>
    <w:uiPriority w:val="9"/>
    <w:rsid w:val="00AC25F3"/>
    <w:rPr>
      <w:rFonts w:ascii="Calibri" w:eastAsiaTheme="majorEastAsia" w:hAnsi="Calibri" w:cstheme="majorBidi"/>
      <w:b/>
      <w:bCs/>
      <w:color w:val="4F81BD" w:themeColor="accent1"/>
      <w:sz w:val="28"/>
      <w:szCs w:val="26"/>
    </w:rPr>
  </w:style>
  <w:style w:type="character" w:customStyle="1" w:styleId="Nadpis3Char">
    <w:name w:val="Nadpis 3 Char"/>
    <w:basedOn w:val="Standardnpsmoodstavce"/>
    <w:link w:val="Nadpis3"/>
    <w:uiPriority w:val="9"/>
    <w:rsid w:val="00463516"/>
    <w:rPr>
      <w:rFonts w:ascii="Calibri" w:eastAsiaTheme="majorEastAsia" w:hAnsi="Calibri" w:cstheme="majorBidi"/>
      <w:b/>
      <w:bCs/>
      <w:color w:val="1F497D" w:themeColor="text2"/>
      <w:spacing w:val="14"/>
      <w:sz w:val="24"/>
    </w:rPr>
  </w:style>
  <w:style w:type="character" w:customStyle="1" w:styleId="Nadpis4Char">
    <w:name w:val="Nadpis 4 Char"/>
    <w:basedOn w:val="Standardnpsmoodstavce"/>
    <w:link w:val="Nadpis4"/>
    <w:uiPriority w:val="9"/>
    <w:semiHidden/>
    <w:rsid w:val="00436F6E"/>
    <w:rPr>
      <w:rFonts w:eastAsiaTheme="majorEastAsia" w:cstheme="majorBidi"/>
      <w:b/>
      <w:bCs/>
      <w:i/>
      <w:iCs/>
      <w:color w:val="000000"/>
      <w:sz w:val="24"/>
    </w:rPr>
  </w:style>
  <w:style w:type="character" w:customStyle="1" w:styleId="Nadpis5Char">
    <w:name w:val="Nadpis 5 Char"/>
    <w:basedOn w:val="Standardnpsmoodstavce"/>
    <w:link w:val="Nadpis5"/>
    <w:uiPriority w:val="9"/>
    <w:semiHidden/>
    <w:rsid w:val="00436F6E"/>
    <w:rPr>
      <w:rFonts w:asciiTheme="majorHAnsi" w:eastAsiaTheme="majorEastAsia" w:hAnsiTheme="majorHAnsi" w:cstheme="majorBidi"/>
      <w:color w:val="000000"/>
    </w:rPr>
  </w:style>
  <w:style w:type="character" w:customStyle="1" w:styleId="Nadpis6Char">
    <w:name w:val="Nadpis 6 Char"/>
    <w:basedOn w:val="Standardnpsmoodstavce"/>
    <w:link w:val="Nadpis6"/>
    <w:uiPriority w:val="9"/>
    <w:semiHidden/>
    <w:rsid w:val="00436F6E"/>
    <w:rPr>
      <w:rFonts w:asciiTheme="majorHAnsi" w:eastAsiaTheme="majorEastAsia" w:hAnsiTheme="majorHAnsi" w:cstheme="majorBidi"/>
      <w:iCs/>
      <w:color w:val="4F81BD" w:themeColor="accent1"/>
    </w:rPr>
  </w:style>
  <w:style w:type="character" w:customStyle="1" w:styleId="Nadpis7Char">
    <w:name w:val="Nadpis 7 Char"/>
    <w:basedOn w:val="Standardnpsmoodstavce"/>
    <w:link w:val="Nadpis7"/>
    <w:uiPriority w:val="9"/>
    <w:semiHidden/>
    <w:rsid w:val="00436F6E"/>
    <w:rPr>
      <w:rFonts w:asciiTheme="majorHAnsi" w:eastAsiaTheme="majorEastAsia" w:hAnsiTheme="majorHAnsi" w:cstheme="majorBidi"/>
      <w:i/>
      <w:iCs/>
      <w:color w:val="000000"/>
    </w:rPr>
  </w:style>
  <w:style w:type="character" w:customStyle="1" w:styleId="Nadpis8Char">
    <w:name w:val="Nadpis 8 Char"/>
    <w:basedOn w:val="Standardnpsmoodstavce"/>
    <w:link w:val="Nadpis8"/>
    <w:uiPriority w:val="9"/>
    <w:rsid w:val="00436F6E"/>
    <w:rPr>
      <w:rFonts w:asciiTheme="majorHAnsi" w:eastAsiaTheme="majorEastAsia" w:hAnsiTheme="majorHAnsi" w:cstheme="majorBidi"/>
      <w:color w:val="000000"/>
      <w:sz w:val="20"/>
      <w:szCs w:val="20"/>
    </w:rPr>
  </w:style>
  <w:style w:type="character" w:customStyle="1" w:styleId="Nadpis9Char">
    <w:name w:val="Nadpis 9 Char"/>
    <w:basedOn w:val="Standardnpsmoodstavce"/>
    <w:link w:val="Nadpis9"/>
    <w:uiPriority w:val="9"/>
    <w:semiHidden/>
    <w:rsid w:val="00436F6E"/>
    <w:rPr>
      <w:rFonts w:asciiTheme="majorHAnsi" w:eastAsiaTheme="majorEastAsia" w:hAnsiTheme="majorHAnsi" w:cstheme="majorBidi"/>
      <w:i/>
      <w:iCs/>
      <w:color w:val="000000"/>
      <w:sz w:val="20"/>
      <w:szCs w:val="20"/>
    </w:rPr>
  </w:style>
  <w:style w:type="numbering" w:customStyle="1" w:styleId="Bezseznamu1">
    <w:name w:val="Bez seznamu1"/>
    <w:next w:val="Bezseznamu"/>
    <w:uiPriority w:val="99"/>
    <w:semiHidden/>
    <w:unhideWhenUsed/>
    <w:rsid w:val="00436F6E"/>
  </w:style>
  <w:style w:type="paragraph" w:styleId="Nzev">
    <w:name w:val="Title"/>
    <w:basedOn w:val="Normln"/>
    <w:next w:val="Normln"/>
    <w:link w:val="NzevChar"/>
    <w:uiPriority w:val="10"/>
    <w:qFormat/>
    <w:rsid w:val="00436F6E"/>
    <w:pPr>
      <w:spacing w:after="120" w:line="240" w:lineRule="auto"/>
      <w:contextualSpacing/>
    </w:pPr>
    <w:rPr>
      <w:rFonts w:asciiTheme="majorHAnsi" w:eastAsiaTheme="majorEastAsia" w:hAnsiTheme="majorHAnsi" w:cstheme="majorBidi"/>
      <w:color w:val="1F497D" w:themeColor="text2"/>
      <w:spacing w:val="30"/>
      <w:kern w:val="28"/>
      <w:sz w:val="96"/>
      <w:szCs w:val="52"/>
    </w:rPr>
  </w:style>
  <w:style w:type="character" w:customStyle="1" w:styleId="NzevChar">
    <w:name w:val="Název Char"/>
    <w:basedOn w:val="Standardnpsmoodstavce"/>
    <w:link w:val="Nzev"/>
    <w:uiPriority w:val="10"/>
    <w:rsid w:val="00436F6E"/>
    <w:rPr>
      <w:rFonts w:asciiTheme="majorHAnsi" w:eastAsiaTheme="majorEastAsia" w:hAnsiTheme="majorHAnsi" w:cstheme="majorBidi"/>
      <w:color w:val="1F497D" w:themeColor="text2"/>
      <w:spacing w:val="30"/>
      <w:kern w:val="28"/>
      <w:sz w:val="96"/>
      <w:szCs w:val="52"/>
    </w:rPr>
  </w:style>
  <w:style w:type="paragraph" w:styleId="Zkladntext">
    <w:name w:val="Body Text"/>
    <w:basedOn w:val="Normln"/>
    <w:link w:val="ZkladntextChar"/>
    <w:rsid w:val="00436F6E"/>
    <w:pPr>
      <w:overflowPunct w:val="0"/>
      <w:autoSpaceDE w:val="0"/>
      <w:autoSpaceDN w:val="0"/>
      <w:adjustRightInd w:val="0"/>
      <w:spacing w:after="0" w:line="240" w:lineRule="auto"/>
    </w:pPr>
    <w:rPr>
      <w:rFonts w:ascii="Times New Roman" w:eastAsia="Times New Roman" w:hAnsi="Times New Roman" w:cs="Times New Roman"/>
      <w:b/>
      <w:sz w:val="24"/>
      <w:szCs w:val="20"/>
      <w:lang w:eastAsia="cs-CZ"/>
    </w:rPr>
  </w:style>
  <w:style w:type="character" w:customStyle="1" w:styleId="ZkladntextChar">
    <w:name w:val="Základní text Char"/>
    <w:basedOn w:val="Standardnpsmoodstavce"/>
    <w:link w:val="Zkladntext"/>
    <w:rsid w:val="00436F6E"/>
    <w:rPr>
      <w:rFonts w:ascii="Times New Roman" w:eastAsia="Times New Roman" w:hAnsi="Times New Roman" w:cs="Times New Roman"/>
      <w:b/>
      <w:sz w:val="24"/>
      <w:szCs w:val="20"/>
      <w:lang w:eastAsia="cs-CZ"/>
    </w:rPr>
  </w:style>
  <w:style w:type="paragraph" w:styleId="Zpat">
    <w:name w:val="footer"/>
    <w:basedOn w:val="Normln"/>
    <w:link w:val="ZpatChar"/>
    <w:rsid w:val="00436F6E"/>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rsid w:val="00436F6E"/>
    <w:rPr>
      <w:rFonts w:ascii="Times New Roman" w:eastAsia="Times New Roman" w:hAnsi="Times New Roman" w:cs="Times New Roman"/>
      <w:sz w:val="24"/>
      <w:szCs w:val="24"/>
      <w:lang w:eastAsia="cs-CZ"/>
    </w:rPr>
  </w:style>
  <w:style w:type="character" w:styleId="slostrnky">
    <w:name w:val="page number"/>
    <w:basedOn w:val="Standardnpsmoodstavce"/>
    <w:rsid w:val="00436F6E"/>
  </w:style>
  <w:style w:type="paragraph" w:styleId="Textpoznpodarou">
    <w:name w:val="footnote text"/>
    <w:basedOn w:val="Normln"/>
    <w:link w:val="TextpoznpodarouChar"/>
    <w:semiHidden/>
    <w:rsid w:val="00436F6E"/>
    <w:pPr>
      <w:spacing w:after="0" w:line="240" w:lineRule="auto"/>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semiHidden/>
    <w:rsid w:val="00436F6E"/>
    <w:rPr>
      <w:rFonts w:ascii="Times New Roman" w:eastAsia="Times New Roman" w:hAnsi="Times New Roman" w:cs="Times New Roman"/>
      <w:sz w:val="20"/>
      <w:szCs w:val="20"/>
      <w:lang w:eastAsia="cs-CZ"/>
    </w:rPr>
  </w:style>
  <w:style w:type="character" w:styleId="Znakapoznpodarou">
    <w:name w:val="footnote reference"/>
    <w:semiHidden/>
    <w:rsid w:val="00436F6E"/>
    <w:rPr>
      <w:vertAlign w:val="superscript"/>
    </w:rPr>
  </w:style>
  <w:style w:type="paragraph" w:styleId="Textbubliny">
    <w:name w:val="Balloon Text"/>
    <w:basedOn w:val="Normln"/>
    <w:link w:val="TextbublinyChar"/>
    <w:uiPriority w:val="99"/>
    <w:semiHidden/>
    <w:unhideWhenUsed/>
    <w:rsid w:val="00436F6E"/>
    <w:pPr>
      <w:spacing w:after="0" w:line="240" w:lineRule="auto"/>
    </w:pPr>
    <w:rPr>
      <w:rFonts w:ascii="Tahoma" w:eastAsia="Times New Roman" w:hAnsi="Tahoma" w:cs="Tahoma"/>
      <w:sz w:val="16"/>
      <w:szCs w:val="16"/>
      <w:lang w:eastAsia="cs-CZ"/>
    </w:rPr>
  </w:style>
  <w:style w:type="character" w:customStyle="1" w:styleId="TextbublinyChar">
    <w:name w:val="Text bubliny Char"/>
    <w:basedOn w:val="Standardnpsmoodstavce"/>
    <w:link w:val="Textbubliny"/>
    <w:uiPriority w:val="99"/>
    <w:semiHidden/>
    <w:rsid w:val="00436F6E"/>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436F6E"/>
    <w:pPr>
      <w:spacing w:line="240" w:lineRule="auto"/>
      <w:ind w:left="720" w:hanging="288"/>
      <w:contextualSpacing/>
    </w:pPr>
    <w:rPr>
      <w:color w:val="1F497D" w:themeColor="text2"/>
    </w:rPr>
  </w:style>
  <w:style w:type="paragraph" w:styleId="Zhlav">
    <w:name w:val="header"/>
    <w:basedOn w:val="Normln"/>
    <w:link w:val="ZhlavChar"/>
    <w:uiPriority w:val="99"/>
    <w:unhideWhenUsed/>
    <w:rsid w:val="00436F6E"/>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hlavChar">
    <w:name w:val="Záhlaví Char"/>
    <w:basedOn w:val="Standardnpsmoodstavce"/>
    <w:link w:val="Zhlav"/>
    <w:uiPriority w:val="99"/>
    <w:rsid w:val="00436F6E"/>
    <w:rPr>
      <w:rFonts w:ascii="Times New Roman" w:eastAsia="Times New Roman" w:hAnsi="Times New Roman" w:cs="Times New Roman"/>
      <w:sz w:val="24"/>
      <w:szCs w:val="24"/>
      <w:lang w:eastAsia="cs-CZ"/>
    </w:rPr>
  </w:style>
  <w:style w:type="paragraph" w:customStyle="1" w:styleId="Zkladntext21">
    <w:name w:val="Základní text 21"/>
    <w:basedOn w:val="Normln"/>
    <w:rsid w:val="00436F6E"/>
    <w:pPr>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cs-CZ"/>
    </w:rPr>
  </w:style>
  <w:style w:type="character" w:styleId="Zdraznnjemn">
    <w:name w:val="Subtle Emphasis"/>
    <w:basedOn w:val="Standardnpsmoodstavce"/>
    <w:uiPriority w:val="19"/>
    <w:qFormat/>
    <w:rsid w:val="00436F6E"/>
    <w:rPr>
      <w:i/>
      <w:iCs/>
      <w:color w:val="000000"/>
    </w:rPr>
  </w:style>
  <w:style w:type="character" w:styleId="Odkaznakoment">
    <w:name w:val="annotation reference"/>
    <w:semiHidden/>
    <w:unhideWhenUsed/>
    <w:rsid w:val="00436F6E"/>
    <w:rPr>
      <w:sz w:val="16"/>
      <w:szCs w:val="16"/>
    </w:rPr>
  </w:style>
  <w:style w:type="paragraph" w:styleId="Textkomente">
    <w:name w:val="annotation text"/>
    <w:basedOn w:val="Normln"/>
    <w:link w:val="TextkomenteChar"/>
    <w:semiHidden/>
    <w:unhideWhenUsed/>
    <w:rsid w:val="00436F6E"/>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436F6E"/>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436F6E"/>
    <w:rPr>
      <w:b/>
      <w:bCs/>
    </w:rPr>
  </w:style>
  <w:style w:type="character" w:customStyle="1" w:styleId="PedmtkomenteChar">
    <w:name w:val="Předmět komentáře Char"/>
    <w:basedOn w:val="TextkomenteChar"/>
    <w:link w:val="Pedmtkomente"/>
    <w:uiPriority w:val="99"/>
    <w:semiHidden/>
    <w:rsid w:val="00436F6E"/>
    <w:rPr>
      <w:rFonts w:ascii="Times New Roman" w:eastAsia="Times New Roman" w:hAnsi="Times New Roman" w:cs="Times New Roman"/>
      <w:b/>
      <w:bCs/>
      <w:sz w:val="20"/>
      <w:szCs w:val="20"/>
      <w:lang w:eastAsia="cs-CZ"/>
    </w:rPr>
  </w:style>
  <w:style w:type="paragraph" w:styleId="Revize">
    <w:name w:val="Revision"/>
    <w:hidden/>
    <w:uiPriority w:val="99"/>
    <w:semiHidden/>
    <w:rsid w:val="00436F6E"/>
    <w:pPr>
      <w:spacing w:after="0" w:line="240" w:lineRule="auto"/>
    </w:pPr>
  </w:style>
  <w:style w:type="paragraph" w:customStyle="1" w:styleId="Default">
    <w:name w:val="Default"/>
    <w:rsid w:val="00436F6E"/>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customStyle="1" w:styleId="TEXT">
    <w:name w:val="TEXT"/>
    <w:basedOn w:val="TEXT1OD"/>
    <w:link w:val="TEXTChar"/>
    <w:rsid w:val="00436F6E"/>
    <w:pPr>
      <w:spacing w:before="60" w:after="60" w:line="288" w:lineRule="auto"/>
      <w:ind w:firstLine="425"/>
    </w:pPr>
    <w:rPr>
      <w:rFonts w:ascii="Times New Roman" w:hAnsi="Times New Roman" w:cs="Times New Roman"/>
      <w:sz w:val="22"/>
      <w:szCs w:val="22"/>
    </w:rPr>
  </w:style>
  <w:style w:type="paragraph" w:customStyle="1" w:styleId="TABOBR">
    <w:name w:val="TAB+OBR"/>
    <w:basedOn w:val="Normln"/>
    <w:link w:val="TABOBRChar"/>
    <w:rsid w:val="00436F6E"/>
    <w:pPr>
      <w:spacing w:before="240" w:after="0" w:line="240" w:lineRule="auto"/>
      <w:jc w:val="both"/>
    </w:pPr>
    <w:rPr>
      <w:rFonts w:cs="Arial"/>
      <w:b/>
      <w:lang w:eastAsia="cs-CZ"/>
    </w:rPr>
  </w:style>
  <w:style w:type="character" w:customStyle="1" w:styleId="TEXTChar">
    <w:name w:val="TEXT Char"/>
    <w:basedOn w:val="Standardnpsmoodstavce"/>
    <w:link w:val="TEXT"/>
    <w:rsid w:val="00436F6E"/>
    <w:rPr>
      <w:rFonts w:ascii="Times New Roman" w:hAnsi="Times New Roman" w:cs="Times New Roman"/>
      <w:lang w:eastAsia="cs-CZ"/>
    </w:rPr>
  </w:style>
  <w:style w:type="paragraph" w:customStyle="1" w:styleId="TEXT1OD">
    <w:name w:val="TEXT_1.OD"/>
    <w:basedOn w:val="Normln"/>
    <w:link w:val="TEXT1ODChar"/>
    <w:rsid w:val="00436F6E"/>
    <w:pPr>
      <w:spacing w:after="120" w:line="264" w:lineRule="auto"/>
      <w:jc w:val="both"/>
    </w:pPr>
    <w:rPr>
      <w:rFonts w:cs="Arial"/>
      <w:sz w:val="24"/>
      <w:szCs w:val="24"/>
      <w:lang w:eastAsia="cs-CZ"/>
    </w:rPr>
  </w:style>
  <w:style w:type="character" w:customStyle="1" w:styleId="TABOBRChar">
    <w:name w:val="TAB+OBR Char"/>
    <w:basedOn w:val="Standardnpsmoodstavce"/>
    <w:link w:val="TABOBR"/>
    <w:rsid w:val="00436F6E"/>
    <w:rPr>
      <w:rFonts w:cs="Arial"/>
      <w:b/>
      <w:sz w:val="21"/>
      <w:lang w:eastAsia="cs-CZ"/>
    </w:rPr>
  </w:style>
  <w:style w:type="character" w:customStyle="1" w:styleId="TEXT1ODChar">
    <w:name w:val="TEXT_1.OD Char"/>
    <w:basedOn w:val="Standardnpsmoodstavce"/>
    <w:link w:val="TEXT1OD"/>
    <w:rsid w:val="00436F6E"/>
    <w:rPr>
      <w:rFonts w:cs="Arial"/>
      <w:sz w:val="24"/>
      <w:szCs w:val="24"/>
      <w:lang w:eastAsia="cs-CZ"/>
    </w:rPr>
  </w:style>
  <w:style w:type="paragraph" w:customStyle="1" w:styleId="NADPIS">
    <w:name w:val="NADPIS"/>
    <w:basedOn w:val="Normln"/>
    <w:link w:val="NADPISChar"/>
    <w:rsid w:val="00436F6E"/>
    <w:pPr>
      <w:spacing w:before="360" w:after="60"/>
    </w:pPr>
    <w:rPr>
      <w:rFonts w:eastAsia="Times New Roman" w:cs="Arial"/>
      <w:b/>
      <w:sz w:val="28"/>
      <w:szCs w:val="28"/>
      <w:lang w:eastAsia="cs-CZ"/>
    </w:rPr>
  </w:style>
  <w:style w:type="character" w:customStyle="1" w:styleId="NADPISChar">
    <w:name w:val="NADPIS Char"/>
    <w:basedOn w:val="Standardnpsmoodstavce"/>
    <w:link w:val="NADPIS"/>
    <w:rsid w:val="00436F6E"/>
    <w:rPr>
      <w:rFonts w:eastAsia="Times New Roman" w:cs="Arial"/>
      <w:b/>
      <w:sz w:val="28"/>
      <w:szCs w:val="28"/>
      <w:lang w:eastAsia="cs-CZ"/>
    </w:rPr>
  </w:style>
  <w:style w:type="paragraph" w:customStyle="1" w:styleId="TABOBR0">
    <w:name w:val="TAB/OBR"/>
    <w:basedOn w:val="Normln"/>
    <w:link w:val="TABOBRChar0"/>
    <w:rsid w:val="00436F6E"/>
    <w:pPr>
      <w:spacing w:before="240" w:after="0" w:line="240" w:lineRule="auto"/>
      <w:jc w:val="both"/>
    </w:pPr>
    <w:rPr>
      <w:rFonts w:eastAsia="Times New Roman" w:cs="Arial"/>
      <w:b/>
      <w:sz w:val="24"/>
      <w:szCs w:val="24"/>
      <w:lang w:eastAsia="cs-CZ"/>
    </w:rPr>
  </w:style>
  <w:style w:type="character" w:customStyle="1" w:styleId="TABOBRChar0">
    <w:name w:val="TAB/OBR Char"/>
    <w:basedOn w:val="Standardnpsmoodstavce"/>
    <w:link w:val="TABOBR0"/>
    <w:rsid w:val="00436F6E"/>
    <w:rPr>
      <w:rFonts w:eastAsia="Times New Roman" w:cs="Arial"/>
      <w:b/>
      <w:sz w:val="24"/>
      <w:szCs w:val="24"/>
      <w:lang w:eastAsia="cs-CZ"/>
    </w:rPr>
  </w:style>
  <w:style w:type="character" w:customStyle="1" w:styleId="OdstavecseseznamemChar">
    <w:name w:val="Odstavec se seznamem Char"/>
    <w:basedOn w:val="Standardnpsmoodstavce"/>
    <w:link w:val="Odstavecseseznamem"/>
    <w:uiPriority w:val="34"/>
    <w:locked/>
    <w:rsid w:val="00436F6E"/>
    <w:rPr>
      <w:color w:val="1F497D" w:themeColor="text2"/>
      <w:sz w:val="21"/>
    </w:rPr>
  </w:style>
  <w:style w:type="paragraph" w:customStyle="1" w:styleId="OBR">
    <w:name w:val="OBR"/>
    <w:basedOn w:val="TEXT"/>
    <w:link w:val="OBRChar"/>
    <w:rsid w:val="00436F6E"/>
    <w:pPr>
      <w:spacing w:after="0" w:line="240" w:lineRule="auto"/>
      <w:ind w:firstLine="0"/>
    </w:pPr>
  </w:style>
  <w:style w:type="paragraph" w:customStyle="1" w:styleId="TEXTzaTAB">
    <w:name w:val="TEXT za TAB"/>
    <w:basedOn w:val="TEXT"/>
    <w:link w:val="TEXTzaTABChar"/>
    <w:rsid w:val="00436F6E"/>
    <w:pPr>
      <w:spacing w:before="240"/>
    </w:pPr>
    <w:rPr>
      <w:spacing w:val="-4"/>
    </w:rPr>
  </w:style>
  <w:style w:type="character" w:customStyle="1" w:styleId="OBRChar">
    <w:name w:val="OBR Char"/>
    <w:basedOn w:val="TEXTChar"/>
    <w:link w:val="OBR"/>
    <w:rsid w:val="00436F6E"/>
    <w:rPr>
      <w:rFonts w:ascii="Times New Roman" w:hAnsi="Times New Roman" w:cs="Times New Roman"/>
      <w:lang w:eastAsia="cs-CZ"/>
    </w:rPr>
  </w:style>
  <w:style w:type="character" w:customStyle="1" w:styleId="TEXTzaTABChar">
    <w:name w:val="TEXT za TAB Char"/>
    <w:basedOn w:val="TEXTChar"/>
    <w:link w:val="TEXTzaTAB"/>
    <w:rsid w:val="00436F6E"/>
    <w:rPr>
      <w:rFonts w:ascii="Times New Roman" w:hAnsi="Times New Roman" w:cs="Times New Roman"/>
      <w:spacing w:val="-4"/>
      <w:lang w:eastAsia="cs-CZ"/>
    </w:rPr>
  </w:style>
  <w:style w:type="paragraph" w:customStyle="1" w:styleId="StylStyl11bZarovnatdoblokuTimesNewRoman">
    <w:name w:val="Styl Styl 11 b. Zarovnat do bloku + Times New Roman"/>
    <w:basedOn w:val="Normln"/>
    <w:link w:val="StylStyl11bZarovnatdoblokuTimesNewRomanChar"/>
    <w:autoRedefine/>
    <w:rsid w:val="00436F6E"/>
    <w:pPr>
      <w:spacing w:before="40" w:after="40" w:line="240" w:lineRule="auto"/>
      <w:jc w:val="both"/>
    </w:pPr>
    <w:rPr>
      <w:rFonts w:ascii="Arial" w:eastAsia="Times New Roman" w:hAnsi="Arial" w:cs="Arial"/>
      <w:color w:val="0070C0"/>
    </w:rPr>
  </w:style>
  <w:style w:type="character" w:customStyle="1" w:styleId="StylStyl11bZarovnatdoblokuTimesNewRomanChar">
    <w:name w:val="Styl Styl 11 b. Zarovnat do bloku + Times New Roman Char"/>
    <w:link w:val="StylStyl11bZarovnatdoblokuTimesNewRoman"/>
    <w:locked/>
    <w:rsid w:val="00436F6E"/>
    <w:rPr>
      <w:rFonts w:ascii="Arial" w:eastAsia="Times New Roman" w:hAnsi="Arial" w:cs="Arial"/>
      <w:color w:val="0070C0"/>
      <w:sz w:val="21"/>
    </w:rPr>
  </w:style>
  <w:style w:type="character" w:customStyle="1" w:styleId="Styl9b">
    <w:name w:val="Styl 9 b."/>
    <w:rsid w:val="00436F6E"/>
    <w:rPr>
      <w:sz w:val="16"/>
    </w:rPr>
  </w:style>
  <w:style w:type="character" w:customStyle="1" w:styleId="Styl11b1">
    <w:name w:val="Styl 11 b.1"/>
    <w:rsid w:val="00436F6E"/>
    <w:rPr>
      <w:color w:val="auto"/>
      <w:sz w:val="22"/>
      <w:szCs w:val="22"/>
    </w:rPr>
  </w:style>
  <w:style w:type="paragraph" w:styleId="Titulek">
    <w:name w:val="caption"/>
    <w:basedOn w:val="Normln"/>
    <w:next w:val="Normln"/>
    <w:uiPriority w:val="35"/>
    <w:unhideWhenUsed/>
    <w:qFormat/>
    <w:rsid w:val="00436F6E"/>
    <w:pPr>
      <w:keepNext/>
      <w:spacing w:after="120" w:line="240" w:lineRule="auto"/>
    </w:pPr>
    <w:rPr>
      <w:rFonts w:ascii="Calibri" w:eastAsiaTheme="minorEastAsia" w:hAnsi="Calibri"/>
      <w:b/>
      <w:bCs/>
      <w:color w:val="1F497D" w:themeColor="text2"/>
      <w:spacing w:val="6"/>
      <w:szCs w:val="21"/>
      <w:lang w:bidi="hi-IN"/>
    </w:rPr>
  </w:style>
  <w:style w:type="paragraph" w:styleId="Podnadpis">
    <w:name w:val="Subtitle"/>
    <w:basedOn w:val="Normln"/>
    <w:next w:val="Normln"/>
    <w:link w:val="PodnadpisChar"/>
    <w:uiPriority w:val="11"/>
    <w:qFormat/>
    <w:rsid w:val="00436F6E"/>
    <w:pPr>
      <w:numPr>
        <w:ilvl w:val="1"/>
      </w:numPr>
    </w:pPr>
    <w:rPr>
      <w:rFonts w:eastAsiaTheme="majorEastAsia" w:cstheme="majorBidi"/>
      <w:iCs/>
      <w:color w:val="1F497D" w:themeColor="text2"/>
      <w:sz w:val="40"/>
      <w:szCs w:val="24"/>
      <w:lang w:bidi="hi-IN"/>
    </w:rPr>
  </w:style>
  <w:style w:type="character" w:customStyle="1" w:styleId="PodnadpisChar">
    <w:name w:val="Podnadpis Char"/>
    <w:basedOn w:val="Standardnpsmoodstavce"/>
    <w:link w:val="Podnadpis"/>
    <w:uiPriority w:val="11"/>
    <w:rsid w:val="00436F6E"/>
    <w:rPr>
      <w:rFonts w:eastAsiaTheme="majorEastAsia" w:cstheme="majorBidi"/>
      <w:iCs/>
      <w:color w:val="1F497D" w:themeColor="text2"/>
      <w:sz w:val="40"/>
      <w:szCs w:val="24"/>
      <w:lang w:bidi="hi-IN"/>
    </w:rPr>
  </w:style>
  <w:style w:type="character" w:styleId="Siln">
    <w:name w:val="Strong"/>
    <w:basedOn w:val="Standardnpsmoodstavce"/>
    <w:uiPriority w:val="22"/>
    <w:qFormat/>
    <w:rsid w:val="00436F6E"/>
    <w:rPr>
      <w:b w:val="0"/>
      <w:bCs/>
      <w:i/>
      <w:color w:val="1F497D" w:themeColor="text2"/>
    </w:rPr>
  </w:style>
  <w:style w:type="character" w:styleId="Zdraznn">
    <w:name w:val="Emphasis"/>
    <w:basedOn w:val="Standardnpsmoodstavce"/>
    <w:uiPriority w:val="20"/>
    <w:qFormat/>
    <w:rsid w:val="00436F6E"/>
    <w:rPr>
      <w:b/>
      <w:i/>
      <w:iCs/>
    </w:rPr>
  </w:style>
  <w:style w:type="paragraph" w:styleId="Bezmezer">
    <w:name w:val="No Spacing"/>
    <w:link w:val="BezmezerChar"/>
    <w:uiPriority w:val="1"/>
    <w:qFormat/>
    <w:rsid w:val="00436F6E"/>
    <w:pPr>
      <w:spacing w:after="0" w:line="240" w:lineRule="auto"/>
    </w:pPr>
  </w:style>
  <w:style w:type="character" w:customStyle="1" w:styleId="BezmezerChar">
    <w:name w:val="Bez mezer Char"/>
    <w:basedOn w:val="Standardnpsmoodstavce"/>
    <w:link w:val="Bezmezer"/>
    <w:uiPriority w:val="1"/>
    <w:rsid w:val="00436F6E"/>
  </w:style>
  <w:style w:type="paragraph" w:styleId="Citt">
    <w:name w:val="Quote"/>
    <w:basedOn w:val="Normln"/>
    <w:next w:val="Normln"/>
    <w:link w:val="CittChar"/>
    <w:uiPriority w:val="29"/>
    <w:qFormat/>
    <w:rsid w:val="00436F6E"/>
    <w:pPr>
      <w:spacing w:after="0" w:line="360" w:lineRule="auto"/>
      <w:jc w:val="center"/>
    </w:pPr>
    <w:rPr>
      <w:rFonts w:eastAsiaTheme="minorEastAsia"/>
      <w:b/>
      <w:i/>
      <w:iCs/>
      <w:color w:val="4F81BD" w:themeColor="accent1"/>
      <w:sz w:val="26"/>
      <w:lang w:bidi="hi-IN"/>
    </w:rPr>
  </w:style>
  <w:style w:type="character" w:customStyle="1" w:styleId="CittChar">
    <w:name w:val="Citát Char"/>
    <w:basedOn w:val="Standardnpsmoodstavce"/>
    <w:link w:val="Citt"/>
    <w:uiPriority w:val="29"/>
    <w:rsid w:val="00436F6E"/>
    <w:rPr>
      <w:rFonts w:eastAsiaTheme="minorEastAsia"/>
      <w:b/>
      <w:i/>
      <w:iCs/>
      <w:color w:val="4F81BD" w:themeColor="accent1"/>
      <w:sz w:val="26"/>
      <w:lang w:bidi="hi-IN"/>
    </w:rPr>
  </w:style>
  <w:style w:type="paragraph" w:styleId="Vrazncitt">
    <w:name w:val="Intense Quote"/>
    <w:basedOn w:val="Normln"/>
    <w:next w:val="Normln"/>
    <w:link w:val="VrazncittChar"/>
    <w:uiPriority w:val="30"/>
    <w:qFormat/>
    <w:rsid w:val="00436F6E"/>
    <w:pPr>
      <w:pBdr>
        <w:top w:val="single" w:sz="36" w:space="8" w:color="4F81BD" w:themeColor="accent1"/>
        <w:left w:val="single" w:sz="36" w:space="8" w:color="4F81BD" w:themeColor="accent1"/>
        <w:bottom w:val="single" w:sz="36" w:space="8" w:color="4F81BD" w:themeColor="accent1"/>
        <w:right w:val="single" w:sz="36" w:space="8" w:color="4F81BD" w:themeColor="accent1"/>
      </w:pBdr>
      <w:shd w:val="clear" w:color="auto" w:fill="4F81BD" w:themeFill="accent1"/>
      <w:spacing w:before="200" w:after="200" w:line="360" w:lineRule="auto"/>
      <w:ind w:left="259" w:right="259"/>
      <w:jc w:val="center"/>
    </w:pPr>
    <w:rPr>
      <w:rFonts w:asciiTheme="majorHAnsi" w:eastAsiaTheme="minorEastAsia" w:hAnsiTheme="majorHAnsi"/>
      <w:bCs/>
      <w:iCs/>
      <w:color w:val="FFFFFF" w:themeColor="background1"/>
      <w:sz w:val="28"/>
      <w:lang w:bidi="hi-IN"/>
    </w:rPr>
  </w:style>
  <w:style w:type="character" w:customStyle="1" w:styleId="VrazncittChar">
    <w:name w:val="Výrazný citát Char"/>
    <w:basedOn w:val="Standardnpsmoodstavce"/>
    <w:link w:val="Vrazncitt"/>
    <w:uiPriority w:val="30"/>
    <w:rsid w:val="00436F6E"/>
    <w:rPr>
      <w:rFonts w:asciiTheme="majorHAnsi" w:eastAsiaTheme="minorEastAsia" w:hAnsiTheme="majorHAnsi"/>
      <w:bCs/>
      <w:iCs/>
      <w:color w:val="FFFFFF" w:themeColor="background1"/>
      <w:sz w:val="28"/>
      <w:shd w:val="clear" w:color="auto" w:fill="4F81BD" w:themeFill="accent1"/>
      <w:lang w:bidi="hi-IN"/>
    </w:rPr>
  </w:style>
  <w:style w:type="character" w:styleId="Zdraznnintenzivn">
    <w:name w:val="Intense Emphasis"/>
    <w:basedOn w:val="Standardnpsmoodstavce"/>
    <w:uiPriority w:val="21"/>
    <w:qFormat/>
    <w:rsid w:val="00436F6E"/>
    <w:rPr>
      <w:b/>
      <w:bCs/>
      <w:i/>
      <w:iCs/>
      <w:color w:val="4F81BD" w:themeColor="accent1"/>
    </w:rPr>
  </w:style>
  <w:style w:type="character" w:styleId="Odkazjemn">
    <w:name w:val="Subtle Reference"/>
    <w:basedOn w:val="Standardnpsmoodstavce"/>
    <w:uiPriority w:val="31"/>
    <w:qFormat/>
    <w:rsid w:val="00436F6E"/>
    <w:rPr>
      <w:smallCaps/>
      <w:color w:val="000000"/>
      <w:u w:val="single"/>
    </w:rPr>
  </w:style>
  <w:style w:type="character" w:styleId="Odkazintenzivn">
    <w:name w:val="Intense Reference"/>
    <w:basedOn w:val="Standardnpsmoodstavce"/>
    <w:uiPriority w:val="32"/>
    <w:qFormat/>
    <w:rsid w:val="00436F6E"/>
    <w:rPr>
      <w:b w:val="0"/>
      <w:bCs/>
      <w:smallCaps/>
      <w:color w:val="4F81BD" w:themeColor="accent1"/>
      <w:spacing w:val="5"/>
      <w:u w:val="single"/>
    </w:rPr>
  </w:style>
  <w:style w:type="character" w:styleId="Nzevknihy">
    <w:name w:val="Book Title"/>
    <w:basedOn w:val="Standardnpsmoodstavce"/>
    <w:uiPriority w:val="33"/>
    <w:qFormat/>
    <w:rsid w:val="00436F6E"/>
    <w:rPr>
      <w:b/>
      <w:bCs/>
      <w:caps/>
      <w:smallCaps w:val="0"/>
      <w:color w:val="1F497D" w:themeColor="text2"/>
      <w:spacing w:val="10"/>
    </w:rPr>
  </w:style>
  <w:style w:type="paragraph" w:styleId="Nadpisobsahu">
    <w:name w:val="TOC Heading"/>
    <w:basedOn w:val="Nadpis1"/>
    <w:next w:val="Normln"/>
    <w:uiPriority w:val="39"/>
    <w:semiHidden/>
    <w:unhideWhenUsed/>
    <w:qFormat/>
    <w:rsid w:val="00436F6E"/>
    <w:pPr>
      <w:spacing w:before="480" w:line="264" w:lineRule="auto"/>
      <w:outlineLvl w:val="9"/>
    </w:pPr>
    <w:rPr>
      <w:b w:val="0"/>
    </w:rPr>
  </w:style>
  <w:style w:type="paragraph" w:styleId="Obsah1">
    <w:name w:val="toc 1"/>
    <w:basedOn w:val="Normln"/>
    <w:next w:val="Normln"/>
    <w:autoRedefine/>
    <w:uiPriority w:val="39"/>
    <w:unhideWhenUsed/>
    <w:rsid w:val="004A4A22"/>
    <w:pPr>
      <w:tabs>
        <w:tab w:val="left" w:pos="660"/>
        <w:tab w:val="right" w:leader="dot" w:pos="9628"/>
      </w:tabs>
      <w:spacing w:after="100"/>
    </w:pPr>
  </w:style>
  <w:style w:type="paragraph" w:styleId="Obsah2">
    <w:name w:val="toc 2"/>
    <w:basedOn w:val="Normln"/>
    <w:next w:val="Normln"/>
    <w:autoRedefine/>
    <w:uiPriority w:val="39"/>
    <w:unhideWhenUsed/>
    <w:rsid w:val="004A4A22"/>
    <w:pPr>
      <w:tabs>
        <w:tab w:val="left" w:pos="880"/>
        <w:tab w:val="right" w:leader="dot" w:pos="9628"/>
      </w:tabs>
      <w:spacing w:after="100"/>
      <w:ind w:left="210"/>
    </w:pPr>
  </w:style>
  <w:style w:type="character" w:styleId="Hypertextovodkaz">
    <w:name w:val="Hyperlink"/>
    <w:basedOn w:val="Standardnpsmoodstavce"/>
    <w:uiPriority w:val="99"/>
    <w:unhideWhenUsed/>
    <w:rsid w:val="00436F6E"/>
    <w:rPr>
      <w:color w:val="0000FF" w:themeColor="hyperlink"/>
      <w:u w:val="single"/>
    </w:rPr>
  </w:style>
  <w:style w:type="paragraph" w:styleId="Seznamobrzk">
    <w:name w:val="table of figures"/>
    <w:basedOn w:val="Normln"/>
    <w:next w:val="Normln"/>
    <w:uiPriority w:val="99"/>
    <w:unhideWhenUsed/>
    <w:rsid w:val="00436F6E"/>
    <w:pPr>
      <w:spacing w:after="0"/>
    </w:pPr>
  </w:style>
  <w:style w:type="paragraph" w:styleId="Textvysvtlivek">
    <w:name w:val="endnote text"/>
    <w:basedOn w:val="Normln"/>
    <w:link w:val="TextvysvtlivekChar"/>
    <w:uiPriority w:val="99"/>
    <w:semiHidden/>
    <w:unhideWhenUsed/>
    <w:rsid w:val="00436F6E"/>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436F6E"/>
    <w:rPr>
      <w:sz w:val="20"/>
      <w:szCs w:val="20"/>
    </w:rPr>
  </w:style>
  <w:style w:type="character" w:styleId="Odkaznavysvtlivky">
    <w:name w:val="endnote reference"/>
    <w:basedOn w:val="Standardnpsmoodstavce"/>
    <w:uiPriority w:val="99"/>
    <w:semiHidden/>
    <w:unhideWhenUsed/>
    <w:rsid w:val="00436F6E"/>
    <w:rPr>
      <w:vertAlign w:val="superscript"/>
    </w:rPr>
  </w:style>
  <w:style w:type="paragraph" w:customStyle="1" w:styleId="news2">
    <w:name w:val="news2"/>
    <w:basedOn w:val="Normln"/>
    <w:rsid w:val="00635800"/>
    <w:pPr>
      <w:spacing w:before="30" w:after="30" w:line="336" w:lineRule="auto"/>
      <w:ind w:left="225" w:right="225"/>
    </w:pPr>
    <w:rPr>
      <w:rFonts w:ascii="Times New Roman" w:eastAsia="Times New Roman" w:hAnsi="Times New Roman" w:cs="Times New Roman"/>
      <w:color w:val="000000"/>
      <w:sz w:val="31"/>
      <w:szCs w:val="31"/>
      <w:lang w:eastAsia="cs-CZ"/>
    </w:rPr>
  </w:style>
  <w:style w:type="paragraph" w:styleId="Obsah3">
    <w:name w:val="toc 3"/>
    <w:basedOn w:val="Normln"/>
    <w:next w:val="Normln"/>
    <w:autoRedefine/>
    <w:uiPriority w:val="39"/>
    <w:unhideWhenUsed/>
    <w:rsid w:val="003E1BAF"/>
    <w:pPr>
      <w:spacing w:after="100"/>
      <w:ind w:left="420"/>
    </w:pPr>
  </w:style>
  <w:style w:type="character" w:customStyle="1" w:styleId="h1a5">
    <w:name w:val="h1a5"/>
    <w:basedOn w:val="Standardnpsmoodstavce"/>
    <w:rsid w:val="00135CEE"/>
    <w:rPr>
      <w:rFonts w:ascii="Arial" w:hAnsi="Arial" w:cs="Arial" w:hint="default"/>
      <w:i/>
      <w:iCs/>
      <w:vanish w:val="0"/>
      <w:webHidden w:val="0"/>
      <w:sz w:val="26"/>
      <w:szCs w:val="26"/>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07111">
      <w:bodyDiv w:val="1"/>
      <w:marLeft w:val="0"/>
      <w:marRight w:val="0"/>
      <w:marTop w:val="0"/>
      <w:marBottom w:val="0"/>
      <w:divBdr>
        <w:top w:val="none" w:sz="0" w:space="0" w:color="auto"/>
        <w:left w:val="none" w:sz="0" w:space="0" w:color="auto"/>
        <w:bottom w:val="none" w:sz="0" w:space="0" w:color="auto"/>
        <w:right w:val="none" w:sz="0" w:space="0" w:color="auto"/>
      </w:divBdr>
    </w:div>
    <w:div w:id="160631630">
      <w:bodyDiv w:val="1"/>
      <w:marLeft w:val="0"/>
      <w:marRight w:val="0"/>
      <w:marTop w:val="0"/>
      <w:marBottom w:val="0"/>
      <w:divBdr>
        <w:top w:val="none" w:sz="0" w:space="0" w:color="auto"/>
        <w:left w:val="none" w:sz="0" w:space="0" w:color="auto"/>
        <w:bottom w:val="none" w:sz="0" w:space="0" w:color="auto"/>
        <w:right w:val="none" w:sz="0" w:space="0" w:color="auto"/>
      </w:divBdr>
    </w:div>
    <w:div w:id="174930273">
      <w:bodyDiv w:val="1"/>
      <w:marLeft w:val="0"/>
      <w:marRight w:val="0"/>
      <w:marTop w:val="0"/>
      <w:marBottom w:val="0"/>
      <w:divBdr>
        <w:top w:val="none" w:sz="0" w:space="0" w:color="auto"/>
        <w:left w:val="none" w:sz="0" w:space="0" w:color="auto"/>
        <w:bottom w:val="none" w:sz="0" w:space="0" w:color="auto"/>
        <w:right w:val="none" w:sz="0" w:space="0" w:color="auto"/>
      </w:divBdr>
    </w:div>
    <w:div w:id="219832507">
      <w:bodyDiv w:val="1"/>
      <w:marLeft w:val="0"/>
      <w:marRight w:val="0"/>
      <w:marTop w:val="0"/>
      <w:marBottom w:val="0"/>
      <w:divBdr>
        <w:top w:val="none" w:sz="0" w:space="0" w:color="auto"/>
        <w:left w:val="none" w:sz="0" w:space="0" w:color="auto"/>
        <w:bottom w:val="none" w:sz="0" w:space="0" w:color="auto"/>
        <w:right w:val="none" w:sz="0" w:space="0" w:color="auto"/>
      </w:divBdr>
    </w:div>
    <w:div w:id="361322712">
      <w:bodyDiv w:val="1"/>
      <w:marLeft w:val="0"/>
      <w:marRight w:val="0"/>
      <w:marTop w:val="0"/>
      <w:marBottom w:val="0"/>
      <w:divBdr>
        <w:top w:val="none" w:sz="0" w:space="0" w:color="auto"/>
        <w:left w:val="none" w:sz="0" w:space="0" w:color="auto"/>
        <w:bottom w:val="none" w:sz="0" w:space="0" w:color="auto"/>
        <w:right w:val="none" w:sz="0" w:space="0" w:color="auto"/>
      </w:divBdr>
    </w:div>
    <w:div w:id="629088846">
      <w:bodyDiv w:val="1"/>
      <w:marLeft w:val="0"/>
      <w:marRight w:val="0"/>
      <w:marTop w:val="0"/>
      <w:marBottom w:val="0"/>
      <w:divBdr>
        <w:top w:val="none" w:sz="0" w:space="0" w:color="auto"/>
        <w:left w:val="none" w:sz="0" w:space="0" w:color="auto"/>
        <w:bottom w:val="none" w:sz="0" w:space="0" w:color="auto"/>
        <w:right w:val="none" w:sz="0" w:space="0" w:color="auto"/>
      </w:divBdr>
    </w:div>
    <w:div w:id="713844943">
      <w:bodyDiv w:val="1"/>
      <w:marLeft w:val="0"/>
      <w:marRight w:val="0"/>
      <w:marTop w:val="0"/>
      <w:marBottom w:val="0"/>
      <w:divBdr>
        <w:top w:val="none" w:sz="0" w:space="0" w:color="auto"/>
        <w:left w:val="none" w:sz="0" w:space="0" w:color="auto"/>
        <w:bottom w:val="none" w:sz="0" w:space="0" w:color="auto"/>
        <w:right w:val="none" w:sz="0" w:space="0" w:color="auto"/>
      </w:divBdr>
    </w:div>
    <w:div w:id="755395093">
      <w:bodyDiv w:val="1"/>
      <w:marLeft w:val="0"/>
      <w:marRight w:val="0"/>
      <w:marTop w:val="0"/>
      <w:marBottom w:val="0"/>
      <w:divBdr>
        <w:top w:val="none" w:sz="0" w:space="0" w:color="auto"/>
        <w:left w:val="none" w:sz="0" w:space="0" w:color="auto"/>
        <w:bottom w:val="none" w:sz="0" w:space="0" w:color="auto"/>
        <w:right w:val="none" w:sz="0" w:space="0" w:color="auto"/>
      </w:divBdr>
    </w:div>
    <w:div w:id="1092631140">
      <w:bodyDiv w:val="1"/>
      <w:marLeft w:val="0"/>
      <w:marRight w:val="0"/>
      <w:marTop w:val="0"/>
      <w:marBottom w:val="0"/>
      <w:divBdr>
        <w:top w:val="none" w:sz="0" w:space="0" w:color="auto"/>
        <w:left w:val="none" w:sz="0" w:space="0" w:color="auto"/>
        <w:bottom w:val="none" w:sz="0" w:space="0" w:color="auto"/>
        <w:right w:val="none" w:sz="0" w:space="0" w:color="auto"/>
      </w:divBdr>
    </w:div>
    <w:div w:id="1164587098">
      <w:bodyDiv w:val="1"/>
      <w:marLeft w:val="0"/>
      <w:marRight w:val="0"/>
      <w:marTop w:val="0"/>
      <w:marBottom w:val="0"/>
      <w:divBdr>
        <w:top w:val="none" w:sz="0" w:space="0" w:color="auto"/>
        <w:left w:val="none" w:sz="0" w:space="0" w:color="auto"/>
        <w:bottom w:val="none" w:sz="0" w:space="0" w:color="auto"/>
        <w:right w:val="none" w:sz="0" w:space="0" w:color="auto"/>
      </w:divBdr>
    </w:div>
    <w:div w:id="1238903067">
      <w:bodyDiv w:val="1"/>
      <w:marLeft w:val="0"/>
      <w:marRight w:val="0"/>
      <w:marTop w:val="0"/>
      <w:marBottom w:val="0"/>
      <w:divBdr>
        <w:top w:val="none" w:sz="0" w:space="0" w:color="auto"/>
        <w:left w:val="none" w:sz="0" w:space="0" w:color="auto"/>
        <w:bottom w:val="none" w:sz="0" w:space="0" w:color="auto"/>
        <w:right w:val="none" w:sz="0" w:space="0" w:color="auto"/>
      </w:divBdr>
    </w:div>
    <w:div w:id="1254439135">
      <w:bodyDiv w:val="1"/>
      <w:marLeft w:val="0"/>
      <w:marRight w:val="0"/>
      <w:marTop w:val="0"/>
      <w:marBottom w:val="0"/>
      <w:divBdr>
        <w:top w:val="none" w:sz="0" w:space="0" w:color="auto"/>
        <w:left w:val="none" w:sz="0" w:space="0" w:color="auto"/>
        <w:bottom w:val="none" w:sz="0" w:space="0" w:color="auto"/>
        <w:right w:val="none" w:sz="0" w:space="0" w:color="auto"/>
      </w:divBdr>
    </w:div>
    <w:div w:id="1262303457">
      <w:bodyDiv w:val="1"/>
      <w:marLeft w:val="0"/>
      <w:marRight w:val="0"/>
      <w:marTop w:val="0"/>
      <w:marBottom w:val="0"/>
      <w:divBdr>
        <w:top w:val="none" w:sz="0" w:space="0" w:color="auto"/>
        <w:left w:val="none" w:sz="0" w:space="0" w:color="auto"/>
        <w:bottom w:val="none" w:sz="0" w:space="0" w:color="auto"/>
        <w:right w:val="none" w:sz="0" w:space="0" w:color="auto"/>
      </w:divBdr>
    </w:div>
    <w:div w:id="1348363497">
      <w:bodyDiv w:val="1"/>
      <w:marLeft w:val="0"/>
      <w:marRight w:val="0"/>
      <w:marTop w:val="0"/>
      <w:marBottom w:val="0"/>
      <w:divBdr>
        <w:top w:val="none" w:sz="0" w:space="0" w:color="auto"/>
        <w:left w:val="none" w:sz="0" w:space="0" w:color="auto"/>
        <w:bottom w:val="none" w:sz="0" w:space="0" w:color="auto"/>
        <w:right w:val="none" w:sz="0" w:space="0" w:color="auto"/>
      </w:divBdr>
    </w:div>
    <w:div w:id="1390610772">
      <w:bodyDiv w:val="1"/>
      <w:marLeft w:val="0"/>
      <w:marRight w:val="0"/>
      <w:marTop w:val="0"/>
      <w:marBottom w:val="0"/>
      <w:divBdr>
        <w:top w:val="none" w:sz="0" w:space="0" w:color="auto"/>
        <w:left w:val="none" w:sz="0" w:space="0" w:color="auto"/>
        <w:bottom w:val="none" w:sz="0" w:space="0" w:color="auto"/>
        <w:right w:val="none" w:sz="0" w:space="0" w:color="auto"/>
      </w:divBdr>
    </w:div>
    <w:div w:id="1494106791">
      <w:bodyDiv w:val="1"/>
      <w:marLeft w:val="0"/>
      <w:marRight w:val="0"/>
      <w:marTop w:val="0"/>
      <w:marBottom w:val="0"/>
      <w:divBdr>
        <w:top w:val="none" w:sz="0" w:space="0" w:color="auto"/>
        <w:left w:val="none" w:sz="0" w:space="0" w:color="auto"/>
        <w:bottom w:val="none" w:sz="0" w:space="0" w:color="auto"/>
        <w:right w:val="none" w:sz="0" w:space="0" w:color="auto"/>
      </w:divBdr>
    </w:div>
    <w:div w:id="1662197265">
      <w:bodyDiv w:val="1"/>
      <w:marLeft w:val="0"/>
      <w:marRight w:val="0"/>
      <w:marTop w:val="0"/>
      <w:marBottom w:val="0"/>
      <w:divBdr>
        <w:top w:val="none" w:sz="0" w:space="0" w:color="auto"/>
        <w:left w:val="none" w:sz="0" w:space="0" w:color="auto"/>
        <w:bottom w:val="none" w:sz="0" w:space="0" w:color="auto"/>
        <w:right w:val="none" w:sz="0" w:space="0" w:color="auto"/>
      </w:divBdr>
    </w:div>
    <w:div w:id="1838376518">
      <w:bodyDiv w:val="1"/>
      <w:marLeft w:val="0"/>
      <w:marRight w:val="0"/>
      <w:marTop w:val="0"/>
      <w:marBottom w:val="0"/>
      <w:divBdr>
        <w:top w:val="none" w:sz="0" w:space="0" w:color="auto"/>
        <w:left w:val="none" w:sz="0" w:space="0" w:color="auto"/>
        <w:bottom w:val="none" w:sz="0" w:space="0" w:color="auto"/>
        <w:right w:val="none" w:sz="0" w:space="0" w:color="auto"/>
      </w:divBdr>
    </w:div>
    <w:div w:id="1874657497">
      <w:bodyDiv w:val="1"/>
      <w:marLeft w:val="0"/>
      <w:marRight w:val="0"/>
      <w:marTop w:val="0"/>
      <w:marBottom w:val="0"/>
      <w:divBdr>
        <w:top w:val="none" w:sz="0" w:space="0" w:color="auto"/>
        <w:left w:val="none" w:sz="0" w:space="0" w:color="auto"/>
        <w:bottom w:val="none" w:sz="0" w:space="0" w:color="auto"/>
        <w:right w:val="none" w:sz="0" w:space="0" w:color="auto"/>
      </w:divBdr>
    </w:div>
    <w:div w:id="1936402808">
      <w:bodyDiv w:val="1"/>
      <w:marLeft w:val="0"/>
      <w:marRight w:val="0"/>
      <w:marTop w:val="0"/>
      <w:marBottom w:val="0"/>
      <w:divBdr>
        <w:top w:val="none" w:sz="0" w:space="0" w:color="auto"/>
        <w:left w:val="none" w:sz="0" w:space="0" w:color="auto"/>
        <w:bottom w:val="none" w:sz="0" w:space="0" w:color="auto"/>
        <w:right w:val="none" w:sz="0" w:space="0" w:color="auto"/>
      </w:divBdr>
    </w:div>
    <w:div w:id="1970162610">
      <w:bodyDiv w:val="1"/>
      <w:marLeft w:val="0"/>
      <w:marRight w:val="0"/>
      <w:marTop w:val="0"/>
      <w:marBottom w:val="0"/>
      <w:divBdr>
        <w:top w:val="none" w:sz="0" w:space="0" w:color="auto"/>
        <w:left w:val="none" w:sz="0" w:space="0" w:color="auto"/>
        <w:bottom w:val="none" w:sz="0" w:space="0" w:color="auto"/>
        <w:right w:val="none" w:sz="0" w:space="0" w:color="auto"/>
      </w:divBdr>
    </w:div>
    <w:div w:id="2035424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6.xml"/><Relationship Id="rId18" Type="http://schemas.openxmlformats.org/officeDocument/2006/relationships/chart" Target="charts/chart11.xml"/><Relationship Id="rId26" Type="http://schemas.openxmlformats.org/officeDocument/2006/relationships/chart" Target="charts/chart19.xml"/><Relationship Id="rId39" Type="http://schemas.openxmlformats.org/officeDocument/2006/relationships/footer" Target="footer2.xml"/><Relationship Id="rId21" Type="http://schemas.openxmlformats.org/officeDocument/2006/relationships/chart" Target="charts/chart14.xml"/><Relationship Id="rId34" Type="http://schemas.openxmlformats.org/officeDocument/2006/relationships/hyperlink" Target="aspi://module='ASPI'&amp;link='48/1997%20Sb.%2523'&amp;ucin-k-dni='30.12.9999'"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chart" Target="charts/chart13.xml"/><Relationship Id="rId29" Type="http://schemas.openxmlformats.org/officeDocument/2006/relationships/hyperlink" Target="aspi://module='ASPI'&amp;link='48/1997%20Sb.%2523'&amp;ucin-k-dni='30.12.9999'"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chart" Target="charts/chart17.xml"/><Relationship Id="rId32" Type="http://schemas.openxmlformats.org/officeDocument/2006/relationships/hyperlink" Target="aspi://module='ASPI'&amp;link='23/2017%20Sb.%2523'&amp;ucin-k-dni='30.12.9999'" TargetMode="External"/><Relationship Id="rId37" Type="http://schemas.openxmlformats.org/officeDocument/2006/relationships/hyperlink" Target="aspi://module='ASPI'&amp;link='23/2017%20Sb.%2523'&amp;ucin-k-dni='30.12.9999'"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chart" Target="charts/chart16.xml"/><Relationship Id="rId28" Type="http://schemas.openxmlformats.org/officeDocument/2006/relationships/hyperlink" Target="aspi://module='ASPI'&amp;link='551/1991%20Sb.%25237'&amp;ucin-k-dni='30.12.9999'" TargetMode="External"/><Relationship Id="rId36" Type="http://schemas.openxmlformats.org/officeDocument/2006/relationships/hyperlink" Target="aspi://module='ASPI'&amp;link='48/1997%20Sb.%2523'&amp;ucin-k-dni='30.12.9999'" TargetMode="External"/><Relationship Id="rId10" Type="http://schemas.openxmlformats.org/officeDocument/2006/relationships/chart" Target="charts/chart3.xml"/><Relationship Id="rId19" Type="http://schemas.openxmlformats.org/officeDocument/2006/relationships/chart" Target="charts/chart12.xml"/><Relationship Id="rId31" Type="http://schemas.openxmlformats.org/officeDocument/2006/relationships/hyperlink" Target="aspi://module='ASPI'&amp;link='48/1997%20Sb.%2523'&amp;ucin-k-dni='30.12.9999'" TargetMode="Externa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chart" Target="charts/chart15.xml"/><Relationship Id="rId27" Type="http://schemas.openxmlformats.org/officeDocument/2006/relationships/chart" Target="charts/chart20.xml"/><Relationship Id="rId30" Type="http://schemas.openxmlformats.org/officeDocument/2006/relationships/hyperlink" Target="aspi://module='ASPI'&amp;link='48/1997%20Sb.%2523'&amp;ucin-k-dni='30.12.9999'" TargetMode="External"/><Relationship Id="rId35" Type="http://schemas.openxmlformats.org/officeDocument/2006/relationships/hyperlink" Target="aspi://module='ASPI'&amp;link='48/1997%20Sb.%2523'&amp;ucin-k-dni='30.12.9999'" TargetMode="External"/><Relationship Id="rId8" Type="http://schemas.openxmlformats.org/officeDocument/2006/relationships/chart" Target="charts/chart1.xml"/><Relationship Id="rId3" Type="http://schemas.openxmlformats.org/officeDocument/2006/relationships/styles" Target="styles.xml"/><Relationship Id="rId12" Type="http://schemas.openxmlformats.org/officeDocument/2006/relationships/chart" Target="charts/chart5.xml"/><Relationship Id="rId17" Type="http://schemas.openxmlformats.org/officeDocument/2006/relationships/chart" Target="charts/chart10.xml"/><Relationship Id="rId25" Type="http://schemas.openxmlformats.org/officeDocument/2006/relationships/chart" Target="charts/chart18.xml"/><Relationship Id="rId33" Type="http://schemas.openxmlformats.org/officeDocument/2006/relationships/hyperlink" Target="aspi://module='ASPI'&amp;link='280/1992%20Sb.%252318'&amp;ucin-k-dni='30.12.9999'" TargetMode="External"/><Relationship Id="rId38"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15133\Documents\2020\ZPP%202021\Tabulkov&#225;%20&#269;&#225;st%20ZPP2021%20s%20grafy_aktualiz.xlsm"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E:\2020_11_25\2020\ZPP%202021\Stress_test_2020.xlsm"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E:\2020_11_25\2020\ZPP%202021\Stress_test_2020.xlsm"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E:\2020_11_25\2020\ZPP%202021\Stress_test_2020.xlsm"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E:\2020_11_25\2020\ZPP%202021\Stress_test_2020.xlsm"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E:\2020_11_25\2020\ZPP%202021\Stress_test_2020.xlsm"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E:\2020_11_25\2020\ZPP%202021\Stress_test_2020.xlsm"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file:///C:\Users\15133\Documents\2020\ZPP%202021\Tabulkov&#225;%20&#269;&#225;st%20ZPP2021%20s%20grafy_aktualiz.xlsm"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file:///\\mzsfps01.mzcr.cz\Odbory\dzp\szp\Szp1\ZPP-2021\podklady%20pro%20souhrnn&#233;%20hodnocen&#237;.xlsx"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file:///\\mzsfps01.mzcr.cz\Odbory\dzp\szp\Szp1\ZPP-2021\podklady%20pro%20souhrnn&#233;%20hodnocen&#237;.xlsx" TargetMode="External"/></Relationships>
</file>

<file path=word/charts/_rels/chart19.xml.rels><?xml version="1.0" encoding="UTF-8" standalone="yes"?>
<Relationships xmlns="http://schemas.openxmlformats.org/package/2006/relationships"><Relationship Id="rId1" Type="http://schemas.openxmlformats.org/officeDocument/2006/relationships/oleObject" Target="file:///\\mzsfps01.mzcr.cz\Odbory\dzp\szp\Szp1\ZPP-2021\podklady%20pro%20souhrnn&#233;%20hodnocen&#237;.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15133\Documents\2020\ZPP%202021\Tabulkov&#225;%20&#269;&#225;st%20ZPP2021%20s%20grafy_aktualiz.xlsm" TargetMode="External"/></Relationships>
</file>

<file path=word/charts/_rels/chart20.xml.rels><?xml version="1.0" encoding="UTF-8" standalone="yes"?>
<Relationships xmlns="http://schemas.openxmlformats.org/package/2006/relationships"><Relationship Id="rId1" Type="http://schemas.openxmlformats.org/officeDocument/2006/relationships/oleObject" Target="file:///\\mzsfps01.mzcr.cz\Odbory\dzp\szp\Szp1\ZPP-2021\podklady%20pro%20souhrnn&#233;%20hodnocen&#237;.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15133\Documents\2020\ZPP%202021\Tabulkov&#225;%20&#269;&#225;st%20ZPP2021%20s%20grafy_aktualiz.xlsm"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15133\Documents\2020\ZPP%202021\Tabulkov&#225;%20&#269;&#225;st%20ZPP2021%20s%20grafy_aktualiz.xlsm"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15133\Documents\2020\ZPP%202021\Tabulkov&#225;%20&#269;&#225;st%20ZPP2021%20s%20grafy_aktualiz.xlsm"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15133\Documents\2020\ZPP%202021\Tabulkov&#225;%20&#269;&#225;st%20ZPP2021%20s%20grafy_aktualiz.xlsm"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Users\15133\Documents\2020\ZPP%202021\Srovn&#225;n&#237;_SDV_2020.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Users\15133\Documents\2020\ZPP%202021\Srovn&#225;n&#237;_SDV_2020.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C:\Users\15133\Documents\2020\ZPP%202021\Srovn&#225;n&#237;_SDV_202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9910720426098"/>
          <c:y val="0.12271022860099852"/>
          <c:w val="0.85631860166221607"/>
          <c:h val="0.72640330399568054"/>
        </c:manualLayout>
      </c:layout>
      <c:lineChart>
        <c:grouping val="standard"/>
        <c:varyColors val="0"/>
        <c:ser>
          <c:idx val="0"/>
          <c:order val="0"/>
          <c:tx>
            <c:strRef>
              <c:f>Saldo!$B$6</c:f>
              <c:strCache>
                <c:ptCount val="1"/>
                <c:pt idx="0">
                  <c:v>Příjmy</c:v>
                </c:pt>
              </c:strCache>
            </c:strRef>
          </c:tx>
          <c:spPr>
            <a:ln>
              <a:solidFill>
                <a:schemeClr val="accent2"/>
              </a:solidFill>
            </a:ln>
          </c:spPr>
          <c:marker>
            <c:symbol val="circle"/>
            <c:size val="7"/>
            <c:spPr>
              <a:solidFill>
                <a:schemeClr val="bg1"/>
              </a:solidFill>
              <a:ln w="28575">
                <a:solidFill>
                  <a:schemeClr val="accent2"/>
                </a:solidFill>
              </a:ln>
            </c:spPr>
          </c:marker>
          <c:cat>
            <c:strRef>
              <c:f>Saldo!$A$7:$A$19</c:f>
              <c:strCache>
                <c:ptCount val="13"/>
                <c:pt idx="0">
                  <c:v>2009</c:v>
                </c:pt>
                <c:pt idx="1">
                  <c:v>2010</c:v>
                </c:pt>
                <c:pt idx="2">
                  <c:v>2011</c:v>
                </c:pt>
                <c:pt idx="3">
                  <c:v>2012</c:v>
                </c:pt>
                <c:pt idx="4">
                  <c:v>2013</c:v>
                </c:pt>
                <c:pt idx="5">
                  <c:v>2014</c:v>
                </c:pt>
                <c:pt idx="6">
                  <c:v>2015</c:v>
                </c:pt>
                <c:pt idx="7">
                  <c:v>2016</c:v>
                </c:pt>
                <c:pt idx="8">
                  <c:v>2017</c:v>
                </c:pt>
                <c:pt idx="9">
                  <c:v>2018</c:v>
                </c:pt>
                <c:pt idx="10">
                  <c:v>2019</c:v>
                </c:pt>
                <c:pt idx="11">
                  <c:v>2020 OČ SK</c:v>
                </c:pt>
                <c:pt idx="12">
                  <c:v>ZPP 2021</c:v>
                </c:pt>
              </c:strCache>
            </c:strRef>
          </c:cat>
          <c:val>
            <c:numRef>
              <c:f>Saldo!$B$7:$B$19</c:f>
              <c:numCache>
                <c:formatCode>0.0</c:formatCode>
                <c:ptCount val="13"/>
                <c:pt idx="0">
                  <c:v>212199</c:v>
                </c:pt>
                <c:pt idx="1">
                  <c:v>215615</c:v>
                </c:pt>
                <c:pt idx="2">
                  <c:v>220391</c:v>
                </c:pt>
                <c:pt idx="3">
                  <c:v>229733</c:v>
                </c:pt>
                <c:pt idx="4">
                  <c:v>228568</c:v>
                </c:pt>
                <c:pt idx="5">
                  <c:v>241258.36099999998</c:v>
                </c:pt>
                <c:pt idx="6">
                  <c:v>252585.63099999999</c:v>
                </c:pt>
                <c:pt idx="7">
                  <c:v>264851.92400000012</c:v>
                </c:pt>
                <c:pt idx="8">
                  <c:v>284833.48400000011</c:v>
                </c:pt>
                <c:pt idx="9">
                  <c:v>309773.353</c:v>
                </c:pt>
                <c:pt idx="10">
                  <c:v>331459.79499999998</c:v>
                </c:pt>
                <c:pt idx="11">
                  <c:v>354791.71600000001</c:v>
                </c:pt>
                <c:pt idx="12">
                  <c:v>385422.11599999986</c:v>
                </c:pt>
              </c:numCache>
            </c:numRef>
          </c:val>
          <c:smooth val="0"/>
          <c:extLst>
            <c:ext xmlns:c16="http://schemas.microsoft.com/office/drawing/2014/chart" uri="{C3380CC4-5D6E-409C-BE32-E72D297353CC}">
              <c16:uniqueId val="{00000000-7006-4F3F-A0FA-9D2435156C10}"/>
            </c:ext>
          </c:extLst>
        </c:ser>
        <c:ser>
          <c:idx val="1"/>
          <c:order val="1"/>
          <c:tx>
            <c:strRef>
              <c:f>Saldo!$C$6</c:f>
              <c:strCache>
                <c:ptCount val="1"/>
                <c:pt idx="0">
                  <c:v>Výdaje</c:v>
                </c:pt>
              </c:strCache>
            </c:strRef>
          </c:tx>
          <c:spPr>
            <a:ln>
              <a:solidFill>
                <a:schemeClr val="accent1"/>
              </a:solidFill>
            </a:ln>
          </c:spPr>
          <c:marker>
            <c:symbol val="circle"/>
            <c:size val="7"/>
            <c:spPr>
              <a:solidFill>
                <a:schemeClr val="bg1"/>
              </a:solidFill>
              <a:ln w="28575">
                <a:solidFill>
                  <a:schemeClr val="accent1"/>
                </a:solidFill>
              </a:ln>
            </c:spPr>
          </c:marker>
          <c:cat>
            <c:strRef>
              <c:f>Saldo!$A$7:$A$19</c:f>
              <c:strCache>
                <c:ptCount val="13"/>
                <c:pt idx="0">
                  <c:v>2009</c:v>
                </c:pt>
                <c:pt idx="1">
                  <c:v>2010</c:v>
                </c:pt>
                <c:pt idx="2">
                  <c:v>2011</c:v>
                </c:pt>
                <c:pt idx="3">
                  <c:v>2012</c:v>
                </c:pt>
                <c:pt idx="4">
                  <c:v>2013</c:v>
                </c:pt>
                <c:pt idx="5">
                  <c:v>2014</c:v>
                </c:pt>
                <c:pt idx="6">
                  <c:v>2015</c:v>
                </c:pt>
                <c:pt idx="7">
                  <c:v>2016</c:v>
                </c:pt>
                <c:pt idx="8">
                  <c:v>2017</c:v>
                </c:pt>
                <c:pt idx="9">
                  <c:v>2018</c:v>
                </c:pt>
                <c:pt idx="10">
                  <c:v>2019</c:v>
                </c:pt>
                <c:pt idx="11">
                  <c:v>2020 OČ SK</c:v>
                </c:pt>
                <c:pt idx="12">
                  <c:v>ZPP 2021</c:v>
                </c:pt>
              </c:strCache>
            </c:strRef>
          </c:cat>
          <c:val>
            <c:numRef>
              <c:f>Saldo!$C$7:$C$19</c:f>
              <c:numCache>
                <c:formatCode>0.0</c:formatCode>
                <c:ptCount val="13"/>
                <c:pt idx="0">
                  <c:v>218630</c:v>
                </c:pt>
                <c:pt idx="1">
                  <c:v>222500</c:v>
                </c:pt>
                <c:pt idx="2">
                  <c:v>225547</c:v>
                </c:pt>
                <c:pt idx="3">
                  <c:v>231270</c:v>
                </c:pt>
                <c:pt idx="4">
                  <c:v>229905</c:v>
                </c:pt>
                <c:pt idx="5">
                  <c:v>239012.467</c:v>
                </c:pt>
                <c:pt idx="6">
                  <c:v>252002.84299999999</c:v>
                </c:pt>
                <c:pt idx="7">
                  <c:v>258941.19699999999</c:v>
                </c:pt>
                <c:pt idx="8">
                  <c:v>275311.185</c:v>
                </c:pt>
                <c:pt idx="9">
                  <c:v>295295.77899999986</c:v>
                </c:pt>
                <c:pt idx="10">
                  <c:v>318007.94099999999</c:v>
                </c:pt>
                <c:pt idx="11">
                  <c:v>354967.6069999999</c:v>
                </c:pt>
                <c:pt idx="12">
                  <c:v>399129.89182999986</c:v>
                </c:pt>
              </c:numCache>
            </c:numRef>
          </c:val>
          <c:smooth val="0"/>
          <c:extLst>
            <c:ext xmlns:c16="http://schemas.microsoft.com/office/drawing/2014/chart" uri="{C3380CC4-5D6E-409C-BE32-E72D297353CC}">
              <c16:uniqueId val="{00000001-7006-4F3F-A0FA-9D2435156C10}"/>
            </c:ext>
          </c:extLst>
        </c:ser>
        <c:dLbls>
          <c:showLegendKey val="0"/>
          <c:showVal val="0"/>
          <c:showCatName val="0"/>
          <c:showSerName val="0"/>
          <c:showPercent val="0"/>
          <c:showBubbleSize val="0"/>
        </c:dLbls>
        <c:marker val="1"/>
        <c:smooth val="0"/>
        <c:axId val="91569152"/>
        <c:axId val="91583616"/>
      </c:lineChart>
      <c:catAx>
        <c:axId val="91569152"/>
        <c:scaling>
          <c:orientation val="minMax"/>
        </c:scaling>
        <c:delete val="0"/>
        <c:axPos val="b"/>
        <c:majorGridlines>
          <c:spPr>
            <a:ln>
              <a:solidFill>
                <a:schemeClr val="bg1">
                  <a:lumMod val="75000"/>
                </a:schemeClr>
              </a:solidFill>
            </a:ln>
          </c:spPr>
        </c:majorGridlines>
        <c:numFmt formatCode="General" sourceLinked="1"/>
        <c:majorTickMark val="none"/>
        <c:minorTickMark val="none"/>
        <c:tickLblPos val="nextTo"/>
        <c:crossAx val="91583616"/>
        <c:crosses val="autoZero"/>
        <c:auto val="1"/>
        <c:lblAlgn val="ctr"/>
        <c:lblOffset val="100"/>
        <c:noMultiLvlLbl val="0"/>
      </c:catAx>
      <c:valAx>
        <c:axId val="91583616"/>
        <c:scaling>
          <c:orientation val="minMax"/>
          <c:max val="400000"/>
          <c:min val="200000"/>
        </c:scaling>
        <c:delete val="0"/>
        <c:axPos val="l"/>
        <c:majorGridlines/>
        <c:minorGridlines>
          <c:spPr>
            <a:ln>
              <a:solidFill>
                <a:schemeClr val="bg1">
                  <a:lumMod val="75000"/>
                </a:schemeClr>
              </a:solidFill>
              <a:prstDash val="dash"/>
            </a:ln>
          </c:spPr>
        </c:minorGridlines>
        <c:title>
          <c:tx>
            <c:rich>
              <a:bodyPr/>
              <a:lstStyle/>
              <a:p>
                <a:pPr algn="ctr" rtl="0">
                  <a:defRPr/>
                </a:pPr>
                <a:r>
                  <a:rPr lang="cs-CZ"/>
                  <a:t>Příjmy a výdaje </a:t>
                </a:r>
              </a:p>
              <a:p>
                <a:pPr algn="ctr" rtl="0">
                  <a:defRPr/>
                </a:pPr>
                <a:r>
                  <a:rPr lang="cs-CZ" b="0"/>
                  <a:t>(v mld. Kč)</a:t>
                </a:r>
              </a:p>
            </c:rich>
          </c:tx>
          <c:layout>
            <c:manualLayout>
              <c:xMode val="edge"/>
              <c:yMode val="edge"/>
              <c:x val="2.0979427359123087E-3"/>
              <c:y val="0.34570035699471896"/>
            </c:manualLayout>
          </c:layout>
          <c:overlay val="0"/>
        </c:title>
        <c:numFmt formatCode="#,##0" sourceLinked="0"/>
        <c:majorTickMark val="none"/>
        <c:minorTickMark val="none"/>
        <c:tickLblPos val="nextTo"/>
        <c:crossAx val="91569152"/>
        <c:crosses val="autoZero"/>
        <c:crossBetween val="between"/>
        <c:majorUnit val="40000"/>
        <c:minorUnit val="20000"/>
        <c:dispUnits>
          <c:builtInUnit val="thousands"/>
        </c:dispUnits>
      </c:valAx>
      <c:spPr>
        <a:solidFill>
          <a:schemeClr val="bg1"/>
        </a:solidFill>
        <a:ln>
          <a:solidFill>
            <a:schemeClr val="tx1">
              <a:lumMod val="50000"/>
              <a:lumOff val="50000"/>
            </a:schemeClr>
          </a:solidFill>
        </a:ln>
      </c:spPr>
    </c:plotArea>
    <c:legend>
      <c:legendPos val="t"/>
      <c:layout>
        <c:manualLayout>
          <c:xMode val="edge"/>
          <c:yMode val="edge"/>
          <c:x val="0.11802933155746445"/>
          <c:y val="2.6235215578071663E-2"/>
          <c:w val="0.85391554554574967"/>
          <c:h val="7.9068188492793776E-2"/>
        </c:manualLayout>
      </c:layout>
      <c:overlay val="0"/>
    </c:legend>
    <c:plotVisOnly val="1"/>
    <c:dispBlanksAs val="gap"/>
    <c:showDLblsOverMax val="0"/>
  </c:chart>
  <c:spPr>
    <a:solidFill>
      <a:schemeClr val="bg1"/>
    </a:solidFill>
    <a:ln>
      <a:noFill/>
    </a:ln>
  </c:spPr>
  <c:txPr>
    <a:bodyPr/>
    <a:lstStyle/>
    <a:p>
      <a:pPr>
        <a:defRPr sz="1000"/>
      </a:pPr>
      <a:endParaRPr lang="cs-CZ"/>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637884168577522"/>
          <c:y val="9.4777777777777794E-2"/>
          <c:w val="0.84818723700889986"/>
          <c:h val="0.81267708333333355"/>
        </c:manualLayout>
      </c:layout>
      <c:lineChart>
        <c:grouping val="standard"/>
        <c:varyColors val="0"/>
        <c:ser>
          <c:idx val="0"/>
          <c:order val="0"/>
          <c:tx>
            <c:strRef>
              <c:f>Graf!$R$5</c:f>
              <c:strCache>
                <c:ptCount val="1"/>
                <c:pt idx="0">
                  <c:v>Podíl zůstatků na účtech ZP na výdajích v daném roce</c:v>
                </c:pt>
              </c:strCache>
            </c:strRef>
          </c:tx>
          <c:spPr>
            <a:ln>
              <a:solidFill>
                <a:schemeClr val="accent2"/>
              </a:solidFill>
            </a:ln>
          </c:spPr>
          <c:marker>
            <c:symbol val="circle"/>
            <c:size val="7"/>
            <c:spPr>
              <a:solidFill>
                <a:schemeClr val="bg1"/>
              </a:solidFill>
              <a:ln w="28575">
                <a:solidFill>
                  <a:schemeClr val="accent2"/>
                </a:solidFill>
              </a:ln>
            </c:spPr>
          </c:marker>
          <c:cat>
            <c:numRef>
              <c:f>Graf!$Q$6:$Q$23</c:f>
              <c:numCache>
                <c:formatCode>General</c:formatCode>
                <c:ptCount val="18"/>
                <c:pt idx="0">
                  <c:v>2004</c:v>
                </c:pt>
                <c:pt idx="1">
                  <c:v>2005</c:v>
                </c:pt>
                <c:pt idx="2">
                  <c:v>2006</c:v>
                </c:pt>
                <c:pt idx="3">
                  <c:v>2007</c:v>
                </c:pt>
                <c:pt idx="4">
                  <c:v>2008</c:v>
                </c:pt>
                <c:pt idx="5">
                  <c:v>2009</c:v>
                </c:pt>
                <c:pt idx="6">
                  <c:v>2010</c:v>
                </c:pt>
                <c:pt idx="7">
                  <c:v>2011</c:v>
                </c:pt>
                <c:pt idx="8">
                  <c:v>2012</c:v>
                </c:pt>
                <c:pt idx="9">
                  <c:v>2013</c:v>
                </c:pt>
                <c:pt idx="10">
                  <c:v>2014</c:v>
                </c:pt>
                <c:pt idx="11">
                  <c:v>2015</c:v>
                </c:pt>
                <c:pt idx="12">
                  <c:v>2016</c:v>
                </c:pt>
                <c:pt idx="13">
                  <c:v>2017</c:v>
                </c:pt>
                <c:pt idx="14">
                  <c:v>2018</c:v>
                </c:pt>
                <c:pt idx="15">
                  <c:v>2019</c:v>
                </c:pt>
                <c:pt idx="16">
                  <c:v>2020</c:v>
                </c:pt>
                <c:pt idx="17">
                  <c:v>2021</c:v>
                </c:pt>
              </c:numCache>
            </c:numRef>
          </c:cat>
          <c:val>
            <c:numRef>
              <c:f>Graf!$R$6:$R$23</c:f>
              <c:numCache>
                <c:formatCode>0%</c:formatCode>
                <c:ptCount val="18"/>
                <c:pt idx="0">
                  <c:v>4.2356837211675227E-2</c:v>
                </c:pt>
                <c:pt idx="1">
                  <c:v>4.1710908043724813E-2</c:v>
                </c:pt>
                <c:pt idx="2">
                  <c:v>5.4093566504269192E-2</c:v>
                </c:pt>
                <c:pt idx="3">
                  <c:v>0.14454030494046669</c:v>
                </c:pt>
                <c:pt idx="4">
                  <c:v>0.18752471683815905</c:v>
                </c:pt>
                <c:pt idx="5">
                  <c:v>0.14233630334354841</c:v>
                </c:pt>
                <c:pt idx="6">
                  <c:v>0.10937264269662925</c:v>
                </c:pt>
                <c:pt idx="7">
                  <c:v>6.5180951198641549E-2</c:v>
                </c:pt>
                <c:pt idx="8">
                  <c:v>5.6614109050028102E-2</c:v>
                </c:pt>
                <c:pt idx="9">
                  <c:v>5.8495248037232786E-2</c:v>
                </c:pt>
                <c:pt idx="10">
                  <c:v>6.3355088502559123E-2</c:v>
                </c:pt>
                <c:pt idx="11">
                  <c:v>6.0905689861602094E-2</c:v>
                </c:pt>
                <c:pt idx="12">
                  <c:v>8.0458973857296265E-2</c:v>
                </c:pt>
                <c:pt idx="13">
                  <c:v>0.11086243008979094</c:v>
                </c:pt>
                <c:pt idx="14">
                  <c:v>0.15260512998806453</c:v>
                </c:pt>
                <c:pt idx="15">
                  <c:v>0.18416732555744586</c:v>
                </c:pt>
                <c:pt idx="16">
                  <c:v>0.16462980916453027</c:v>
                </c:pt>
                <c:pt idx="17">
                  <c:v>0.11218290457952242</c:v>
                </c:pt>
              </c:numCache>
            </c:numRef>
          </c:val>
          <c:smooth val="0"/>
          <c:extLst>
            <c:ext xmlns:c16="http://schemas.microsoft.com/office/drawing/2014/chart" uri="{C3380CC4-5D6E-409C-BE32-E72D297353CC}">
              <c16:uniqueId val="{00000000-1F18-45B1-95F3-30AA566B51D1}"/>
            </c:ext>
          </c:extLst>
        </c:ser>
        <c:ser>
          <c:idx val="1"/>
          <c:order val="1"/>
          <c:tx>
            <c:strRef>
              <c:f>Graf!$S$5</c:f>
              <c:strCache>
                <c:ptCount val="1"/>
                <c:pt idx="0">
                  <c:v>Růst objemu reálných mezd</c:v>
                </c:pt>
              </c:strCache>
            </c:strRef>
          </c:tx>
          <c:spPr>
            <a:ln>
              <a:solidFill>
                <a:schemeClr val="tx2">
                  <a:lumMod val="60000"/>
                  <a:lumOff val="40000"/>
                </a:schemeClr>
              </a:solidFill>
            </a:ln>
          </c:spPr>
          <c:marker>
            <c:symbol val="circle"/>
            <c:size val="7"/>
            <c:spPr>
              <a:solidFill>
                <a:schemeClr val="bg1"/>
              </a:solidFill>
              <a:ln w="28575">
                <a:solidFill>
                  <a:schemeClr val="tx2">
                    <a:lumMod val="60000"/>
                    <a:lumOff val="40000"/>
                  </a:schemeClr>
                </a:solidFill>
              </a:ln>
            </c:spPr>
          </c:marker>
          <c:cat>
            <c:numRef>
              <c:f>Graf!$Q$6:$Q$23</c:f>
              <c:numCache>
                <c:formatCode>General</c:formatCode>
                <c:ptCount val="18"/>
                <c:pt idx="0">
                  <c:v>2004</c:v>
                </c:pt>
                <c:pt idx="1">
                  <c:v>2005</c:v>
                </c:pt>
                <c:pt idx="2">
                  <c:v>2006</c:v>
                </c:pt>
                <c:pt idx="3">
                  <c:v>2007</c:v>
                </c:pt>
                <c:pt idx="4">
                  <c:v>2008</c:v>
                </c:pt>
                <c:pt idx="5">
                  <c:v>2009</c:v>
                </c:pt>
                <c:pt idx="6">
                  <c:v>2010</c:v>
                </c:pt>
                <c:pt idx="7">
                  <c:v>2011</c:v>
                </c:pt>
                <c:pt idx="8">
                  <c:v>2012</c:v>
                </c:pt>
                <c:pt idx="9">
                  <c:v>2013</c:v>
                </c:pt>
                <c:pt idx="10">
                  <c:v>2014</c:v>
                </c:pt>
                <c:pt idx="11">
                  <c:v>2015</c:v>
                </c:pt>
                <c:pt idx="12">
                  <c:v>2016</c:v>
                </c:pt>
                <c:pt idx="13">
                  <c:v>2017</c:v>
                </c:pt>
                <c:pt idx="14">
                  <c:v>2018</c:v>
                </c:pt>
                <c:pt idx="15">
                  <c:v>2019</c:v>
                </c:pt>
                <c:pt idx="16">
                  <c:v>2020</c:v>
                </c:pt>
                <c:pt idx="17">
                  <c:v>2021</c:v>
                </c:pt>
              </c:numCache>
            </c:numRef>
          </c:cat>
          <c:val>
            <c:numRef>
              <c:f>Graf!$S$6:$S$23</c:f>
              <c:numCache>
                <c:formatCode>0%</c:formatCode>
                <c:ptCount val="18"/>
                <c:pt idx="0">
                  <c:v>5.7392996108949476E-2</c:v>
                </c:pt>
                <c:pt idx="1">
                  <c:v>5.2993130520117906E-2</c:v>
                </c:pt>
                <c:pt idx="2">
                  <c:v>4.4878048780487824E-2</c:v>
                </c:pt>
                <c:pt idx="3">
                  <c:v>5.3501945525291861E-2</c:v>
                </c:pt>
                <c:pt idx="4">
                  <c:v>1.1288805268109058E-2</c:v>
                </c:pt>
                <c:pt idx="5">
                  <c:v>-2.9702970297029743E-2</c:v>
                </c:pt>
                <c:pt idx="6">
                  <c:v>-8.8669950738915534E-3</c:v>
                </c:pt>
                <c:pt idx="7">
                  <c:v>1.9627085377822437E-3</c:v>
                </c:pt>
                <c:pt idx="8">
                  <c:v>-6.7763794772506322E-3</c:v>
                </c:pt>
                <c:pt idx="9">
                  <c:v>-8.875739644970574E-3</c:v>
                </c:pt>
                <c:pt idx="10">
                  <c:v>3.4860557768924286E-2</c:v>
                </c:pt>
                <c:pt idx="11">
                  <c:v>4.685942173479575E-2</c:v>
                </c:pt>
                <c:pt idx="12">
                  <c:v>4.9652432969215655E-2</c:v>
                </c:pt>
                <c:pt idx="13">
                  <c:v>6.5365853658536893E-2</c:v>
                </c:pt>
                <c:pt idx="14">
                  <c:v>7.3457394711067714E-2</c:v>
                </c:pt>
                <c:pt idx="15">
                  <c:v>3.6964980544747172E-2</c:v>
                </c:pt>
                <c:pt idx="16">
                  <c:v>-4.9418604651162899E-2</c:v>
                </c:pt>
                <c:pt idx="17">
                  <c:v>-1.0794896957801666E-2</c:v>
                </c:pt>
              </c:numCache>
            </c:numRef>
          </c:val>
          <c:smooth val="0"/>
          <c:extLst>
            <c:ext xmlns:c16="http://schemas.microsoft.com/office/drawing/2014/chart" uri="{C3380CC4-5D6E-409C-BE32-E72D297353CC}">
              <c16:uniqueId val="{00000001-1F18-45B1-95F3-30AA566B51D1}"/>
            </c:ext>
          </c:extLst>
        </c:ser>
        <c:dLbls>
          <c:showLegendKey val="0"/>
          <c:showVal val="0"/>
          <c:showCatName val="0"/>
          <c:showSerName val="0"/>
          <c:showPercent val="0"/>
          <c:showBubbleSize val="0"/>
        </c:dLbls>
        <c:marker val="1"/>
        <c:smooth val="0"/>
        <c:axId val="128478592"/>
        <c:axId val="128505344"/>
      </c:lineChart>
      <c:catAx>
        <c:axId val="128478592"/>
        <c:scaling>
          <c:orientation val="minMax"/>
        </c:scaling>
        <c:delete val="0"/>
        <c:axPos val="b"/>
        <c:majorGridlines>
          <c:spPr>
            <a:ln>
              <a:solidFill>
                <a:schemeClr val="bg1">
                  <a:lumMod val="75000"/>
                </a:schemeClr>
              </a:solidFill>
            </a:ln>
          </c:spPr>
        </c:majorGridlines>
        <c:numFmt formatCode="General" sourceLinked="1"/>
        <c:majorTickMark val="none"/>
        <c:minorTickMark val="none"/>
        <c:tickLblPos val="low"/>
        <c:crossAx val="128505344"/>
        <c:crosses val="autoZero"/>
        <c:auto val="1"/>
        <c:lblAlgn val="ctr"/>
        <c:lblOffset val="100"/>
        <c:noMultiLvlLbl val="0"/>
      </c:catAx>
      <c:valAx>
        <c:axId val="128505344"/>
        <c:scaling>
          <c:orientation val="minMax"/>
          <c:max val="0.2"/>
          <c:min val="-5.0000000000000024E-2"/>
        </c:scaling>
        <c:delete val="0"/>
        <c:axPos val="l"/>
        <c:majorGridlines/>
        <c:minorGridlines>
          <c:spPr>
            <a:ln>
              <a:solidFill>
                <a:schemeClr val="bg1">
                  <a:lumMod val="75000"/>
                </a:schemeClr>
              </a:solidFill>
              <a:prstDash val="dash"/>
            </a:ln>
          </c:spPr>
        </c:minorGridlines>
        <c:title>
          <c:tx>
            <c:rich>
              <a:bodyPr rot="-5400000" vert="horz"/>
              <a:lstStyle/>
              <a:p>
                <a:pPr algn="ctr" rtl="0">
                  <a:defRPr/>
                </a:pPr>
                <a:r>
                  <a:rPr lang="cs-CZ"/>
                  <a:t>Střednědobá udržitelnost hospodaření ZP </a:t>
                </a:r>
              </a:p>
            </c:rich>
          </c:tx>
          <c:layout>
            <c:manualLayout>
              <c:xMode val="edge"/>
              <c:yMode val="edge"/>
              <c:x val="1.4787167895390061E-2"/>
              <c:y val="0.18497657358047645"/>
            </c:manualLayout>
          </c:layout>
          <c:overlay val="0"/>
        </c:title>
        <c:numFmt formatCode="0%" sourceLinked="1"/>
        <c:majorTickMark val="none"/>
        <c:minorTickMark val="none"/>
        <c:tickLblPos val="nextTo"/>
        <c:crossAx val="128478592"/>
        <c:crosses val="autoZero"/>
        <c:crossBetween val="between"/>
        <c:majorUnit val="5.0000000000000024E-2"/>
      </c:valAx>
      <c:spPr>
        <a:solidFill>
          <a:schemeClr val="bg1"/>
        </a:solidFill>
        <a:ln>
          <a:solidFill>
            <a:schemeClr val="tx1">
              <a:lumMod val="50000"/>
              <a:lumOff val="50000"/>
            </a:schemeClr>
          </a:solidFill>
        </a:ln>
      </c:spPr>
    </c:plotArea>
    <c:legend>
      <c:legendPos val="t"/>
      <c:layout>
        <c:manualLayout>
          <c:xMode val="edge"/>
          <c:yMode val="edge"/>
          <c:x val="9.4097222222222276E-2"/>
          <c:y val="0"/>
          <c:w val="0.9059027777777775"/>
          <c:h val="8.2425347222222251E-2"/>
        </c:manualLayout>
      </c:layout>
      <c:overlay val="0"/>
    </c:legend>
    <c:plotVisOnly val="1"/>
    <c:dispBlanksAs val="gap"/>
    <c:showDLblsOverMax val="0"/>
  </c:chart>
  <c:spPr>
    <a:ln>
      <a:noFill/>
    </a:ln>
  </c:spPr>
  <c:txPr>
    <a:bodyPr/>
    <a:lstStyle/>
    <a:p>
      <a:pPr>
        <a:defRPr sz="1000"/>
      </a:pPr>
      <a:endParaRPr lang="cs-CZ"/>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637884168577522"/>
          <c:y val="9.4777777777777794E-2"/>
          <c:w val="0.84818723700889986"/>
          <c:h val="0.81267708333333355"/>
        </c:manualLayout>
      </c:layout>
      <c:lineChart>
        <c:grouping val="standard"/>
        <c:varyColors val="0"/>
        <c:ser>
          <c:idx val="0"/>
          <c:order val="0"/>
          <c:tx>
            <c:strRef>
              <c:f>Graf!$B$6</c:f>
              <c:strCache>
                <c:ptCount val="1"/>
                <c:pt idx="0">
                  <c:v>Změna celkových výdajů</c:v>
                </c:pt>
              </c:strCache>
            </c:strRef>
          </c:tx>
          <c:spPr>
            <a:ln>
              <a:solidFill>
                <a:srgbClr val="92D050"/>
              </a:solidFill>
            </a:ln>
          </c:spPr>
          <c:marker>
            <c:symbol val="circle"/>
            <c:size val="7"/>
            <c:spPr>
              <a:solidFill>
                <a:schemeClr val="bg1"/>
              </a:solidFill>
              <a:ln w="28575">
                <a:solidFill>
                  <a:srgbClr val="92D050"/>
                </a:solidFill>
              </a:ln>
            </c:spPr>
          </c:marker>
          <c:cat>
            <c:numRef>
              <c:f>Graf!$A$7:$A$26</c:f>
              <c:numCache>
                <c:formatCode>General</c:formatCode>
                <c:ptCount val="20"/>
                <c:pt idx="0">
                  <c:v>2002</c:v>
                </c:pt>
                <c:pt idx="1">
                  <c:v>2003</c:v>
                </c:pt>
                <c:pt idx="2">
                  <c:v>2004</c:v>
                </c:pt>
                <c:pt idx="3">
                  <c:v>2005</c:v>
                </c:pt>
                <c:pt idx="4">
                  <c:v>2006</c:v>
                </c:pt>
                <c:pt idx="5">
                  <c:v>2007</c:v>
                </c:pt>
                <c:pt idx="6">
                  <c:v>2008</c:v>
                </c:pt>
                <c:pt idx="7">
                  <c:v>2009</c:v>
                </c:pt>
                <c:pt idx="8">
                  <c:v>2010</c:v>
                </c:pt>
                <c:pt idx="9">
                  <c:v>2011</c:v>
                </c:pt>
                <c:pt idx="10">
                  <c:v>2012</c:v>
                </c:pt>
                <c:pt idx="11">
                  <c:v>2013</c:v>
                </c:pt>
                <c:pt idx="12">
                  <c:v>2014</c:v>
                </c:pt>
                <c:pt idx="13">
                  <c:v>2015</c:v>
                </c:pt>
                <c:pt idx="14">
                  <c:v>2016</c:v>
                </c:pt>
                <c:pt idx="15">
                  <c:v>2017</c:v>
                </c:pt>
                <c:pt idx="16">
                  <c:v>2018</c:v>
                </c:pt>
                <c:pt idx="17">
                  <c:v>2019</c:v>
                </c:pt>
                <c:pt idx="18">
                  <c:v>2020</c:v>
                </c:pt>
                <c:pt idx="19">
                  <c:v>2021</c:v>
                </c:pt>
              </c:numCache>
            </c:numRef>
          </c:cat>
          <c:val>
            <c:numRef>
              <c:f>Graf!$B$7:$B$26</c:f>
              <c:numCache>
                <c:formatCode>0%</c:formatCode>
                <c:ptCount val="20"/>
                <c:pt idx="0">
                  <c:v>48.430636896046764</c:v>
                </c:pt>
                <c:pt idx="1">
                  <c:v>74.545229730810931</c:v>
                </c:pt>
                <c:pt idx="2">
                  <c:v>61.427140304326734</c:v>
                </c:pt>
                <c:pt idx="3">
                  <c:v>74.012664927843005</c:v>
                </c:pt>
                <c:pt idx="4">
                  <c:v>68.841031487320237</c:v>
                </c:pt>
                <c:pt idx="5">
                  <c:v>31.103654776652562</c:v>
                </c:pt>
                <c:pt idx="6">
                  <c:v>80.717633748181669</c:v>
                </c:pt>
                <c:pt idx="7">
                  <c:v>89.923825476589258</c:v>
                </c:pt>
                <c:pt idx="8">
                  <c:v>17.70113891048797</c:v>
                </c:pt>
                <c:pt idx="9">
                  <c:v>13.69438202247197</c:v>
                </c:pt>
                <c:pt idx="10">
                  <c:v>25.37386886103566</c:v>
                </c:pt>
                <c:pt idx="11">
                  <c:v>-5.9021922428330598</c:v>
                </c:pt>
                <c:pt idx="12">
                  <c:v>39.614044931602223</c:v>
                </c:pt>
                <c:pt idx="13">
                  <c:v>54.350202577508199</c:v>
                </c:pt>
                <c:pt idx="14">
                  <c:v>27.532840175140461</c:v>
                </c:pt>
                <c:pt idx="15">
                  <c:v>63.218940012855562</c:v>
                </c:pt>
                <c:pt idx="16">
                  <c:v>72.586546020642075</c:v>
                </c:pt>
                <c:pt idx="17">
                  <c:v>76.915838009935285</c:v>
                </c:pt>
                <c:pt idx="18">
                  <c:v>116.22246250762663</c:v>
                </c:pt>
                <c:pt idx="19">
                  <c:v>124.41215468430052</c:v>
                </c:pt>
              </c:numCache>
            </c:numRef>
          </c:val>
          <c:smooth val="0"/>
          <c:extLst>
            <c:ext xmlns:c16="http://schemas.microsoft.com/office/drawing/2014/chart" uri="{C3380CC4-5D6E-409C-BE32-E72D297353CC}">
              <c16:uniqueId val="{00000000-72EE-46B5-B923-F464EF06553C}"/>
            </c:ext>
          </c:extLst>
        </c:ser>
        <c:ser>
          <c:idx val="2"/>
          <c:order val="1"/>
          <c:tx>
            <c:strRef>
              <c:f>Graf!$D$6</c:f>
              <c:strCache>
                <c:ptCount val="1"/>
                <c:pt idx="0">
                  <c:v>Změna celkových přjmů</c:v>
                </c:pt>
              </c:strCache>
            </c:strRef>
          </c:tx>
          <c:spPr>
            <a:ln>
              <a:solidFill>
                <a:srgbClr val="FFC000"/>
              </a:solidFill>
            </a:ln>
          </c:spPr>
          <c:marker>
            <c:symbol val="circle"/>
            <c:size val="7"/>
            <c:spPr>
              <a:solidFill>
                <a:schemeClr val="bg1"/>
              </a:solidFill>
              <a:ln w="28575">
                <a:solidFill>
                  <a:srgbClr val="FFC000"/>
                </a:solidFill>
              </a:ln>
            </c:spPr>
          </c:marker>
          <c:cat>
            <c:numRef>
              <c:f>Graf!$A$7:$A$26</c:f>
              <c:numCache>
                <c:formatCode>General</c:formatCode>
                <c:ptCount val="20"/>
                <c:pt idx="0">
                  <c:v>2002</c:v>
                </c:pt>
                <c:pt idx="1">
                  <c:v>2003</c:v>
                </c:pt>
                <c:pt idx="2">
                  <c:v>2004</c:v>
                </c:pt>
                <c:pt idx="3">
                  <c:v>2005</c:v>
                </c:pt>
                <c:pt idx="4">
                  <c:v>2006</c:v>
                </c:pt>
                <c:pt idx="5">
                  <c:v>2007</c:v>
                </c:pt>
                <c:pt idx="6">
                  <c:v>2008</c:v>
                </c:pt>
                <c:pt idx="7">
                  <c:v>2009</c:v>
                </c:pt>
                <c:pt idx="8">
                  <c:v>2010</c:v>
                </c:pt>
                <c:pt idx="9">
                  <c:v>2011</c:v>
                </c:pt>
                <c:pt idx="10">
                  <c:v>2012</c:v>
                </c:pt>
                <c:pt idx="11">
                  <c:v>2013</c:v>
                </c:pt>
                <c:pt idx="12">
                  <c:v>2014</c:v>
                </c:pt>
                <c:pt idx="13">
                  <c:v>2015</c:v>
                </c:pt>
                <c:pt idx="14">
                  <c:v>2016</c:v>
                </c:pt>
                <c:pt idx="15">
                  <c:v>2017</c:v>
                </c:pt>
                <c:pt idx="16">
                  <c:v>2018</c:v>
                </c:pt>
                <c:pt idx="17">
                  <c:v>2019</c:v>
                </c:pt>
                <c:pt idx="18">
                  <c:v>2020</c:v>
                </c:pt>
                <c:pt idx="19">
                  <c:v>2021</c:v>
                </c:pt>
              </c:numCache>
            </c:numRef>
          </c:cat>
          <c:val>
            <c:numRef>
              <c:f>Graf!$D$7:$D$26</c:f>
              <c:numCache>
                <c:formatCode>0%</c:formatCode>
                <c:ptCount val="20"/>
                <c:pt idx="0">
                  <c:v>28.12311406155699</c:v>
                </c:pt>
                <c:pt idx="1">
                  <c:v>84.908429208734532</c:v>
                </c:pt>
                <c:pt idx="2">
                  <c:v>62.173677803327486</c:v>
                </c:pt>
                <c:pt idx="3">
                  <c:v>75.312155769071694</c:v>
                </c:pt>
                <c:pt idx="4">
                  <c:v>82.614385277206978</c:v>
                </c:pt>
                <c:pt idx="5">
                  <c:v>109.25270602134195</c:v>
                </c:pt>
                <c:pt idx="6">
                  <c:v>42.16796181610195</c:v>
                </c:pt>
                <c:pt idx="7">
                  <c:v>3.96953065859207</c:v>
                </c:pt>
                <c:pt idx="8">
                  <c:v>16.098096598004652</c:v>
                </c:pt>
                <c:pt idx="9">
                  <c:v>22.150592491245959</c:v>
                </c:pt>
                <c:pt idx="10">
                  <c:v>42.388300792682173</c:v>
                </c:pt>
                <c:pt idx="11">
                  <c:v>-5.0711042819272505</c:v>
                </c:pt>
                <c:pt idx="12">
                  <c:v>55.521162192432968</c:v>
                </c:pt>
                <c:pt idx="13">
                  <c:v>46.950787334578472</c:v>
                </c:pt>
                <c:pt idx="14">
                  <c:v>48.562908948688786</c:v>
                </c:pt>
                <c:pt idx="15">
                  <c:v>75.444269757315055</c:v>
                </c:pt>
                <c:pt idx="16">
                  <c:v>87.559470360584584</c:v>
                </c:pt>
                <c:pt idx="17">
                  <c:v>70.007448316576188</c:v>
                </c:pt>
                <c:pt idx="18">
                  <c:v>70.391405992392023</c:v>
                </c:pt>
                <c:pt idx="19">
                  <c:v>86.333470085868669</c:v>
                </c:pt>
              </c:numCache>
            </c:numRef>
          </c:val>
          <c:smooth val="0"/>
          <c:extLst>
            <c:ext xmlns:c16="http://schemas.microsoft.com/office/drawing/2014/chart" uri="{C3380CC4-5D6E-409C-BE32-E72D297353CC}">
              <c16:uniqueId val="{00000002-72EE-46B5-B923-F464EF06553C}"/>
            </c:ext>
          </c:extLst>
        </c:ser>
        <c:dLbls>
          <c:showLegendKey val="0"/>
          <c:showVal val="0"/>
          <c:showCatName val="0"/>
          <c:showSerName val="0"/>
          <c:showPercent val="0"/>
          <c:showBubbleSize val="0"/>
        </c:dLbls>
        <c:marker val="1"/>
        <c:smooth val="0"/>
        <c:axId val="128732160"/>
        <c:axId val="128746624"/>
      </c:lineChart>
      <c:catAx>
        <c:axId val="128732160"/>
        <c:scaling>
          <c:orientation val="minMax"/>
        </c:scaling>
        <c:delete val="0"/>
        <c:axPos val="b"/>
        <c:majorGridlines>
          <c:spPr>
            <a:ln>
              <a:solidFill>
                <a:schemeClr val="bg1">
                  <a:lumMod val="75000"/>
                </a:schemeClr>
              </a:solidFill>
            </a:ln>
          </c:spPr>
        </c:majorGridlines>
        <c:numFmt formatCode="General" sourceLinked="1"/>
        <c:majorTickMark val="none"/>
        <c:minorTickMark val="none"/>
        <c:tickLblPos val="low"/>
        <c:crossAx val="128746624"/>
        <c:crosses val="autoZero"/>
        <c:auto val="1"/>
        <c:lblAlgn val="ctr"/>
        <c:lblOffset val="100"/>
        <c:noMultiLvlLbl val="0"/>
      </c:catAx>
      <c:valAx>
        <c:axId val="128746624"/>
        <c:scaling>
          <c:orientation val="minMax"/>
          <c:max val="150"/>
          <c:min val="-50"/>
        </c:scaling>
        <c:delete val="0"/>
        <c:axPos val="l"/>
        <c:majorGridlines/>
        <c:minorGridlines>
          <c:spPr>
            <a:ln>
              <a:solidFill>
                <a:schemeClr val="bg1">
                  <a:lumMod val="75000"/>
                </a:schemeClr>
              </a:solidFill>
              <a:prstDash val="dash"/>
            </a:ln>
          </c:spPr>
        </c:minorGridlines>
        <c:title>
          <c:tx>
            <c:rich>
              <a:bodyPr rot="-5400000" vert="horz"/>
              <a:lstStyle/>
              <a:p>
                <a:pPr algn="ctr" rtl="0">
                  <a:defRPr/>
                </a:pPr>
                <a:r>
                  <a:rPr lang="cs-CZ"/>
                  <a:t>Dynamika příjmů a výdajů </a:t>
                </a:r>
              </a:p>
              <a:p>
                <a:pPr algn="ctr" rtl="0">
                  <a:defRPr/>
                </a:pPr>
                <a:r>
                  <a:rPr lang="cs-CZ" b="0"/>
                  <a:t>(meziroční změny)</a:t>
                </a:r>
              </a:p>
            </c:rich>
          </c:tx>
          <c:layout>
            <c:manualLayout>
              <c:xMode val="edge"/>
              <c:yMode val="edge"/>
              <c:x val="1.4787159345399382E-2"/>
              <c:y val="0.21210622201636567"/>
            </c:manualLayout>
          </c:layout>
          <c:overlay val="0"/>
        </c:title>
        <c:numFmt formatCode="0%" sourceLinked="1"/>
        <c:majorTickMark val="none"/>
        <c:minorTickMark val="none"/>
        <c:tickLblPos val="nextTo"/>
        <c:crossAx val="128732160"/>
        <c:crosses val="autoZero"/>
        <c:crossBetween val="between"/>
        <c:majorUnit val="50"/>
        <c:minorUnit val="10"/>
        <c:dispUnits>
          <c:builtInUnit val="thousands"/>
        </c:dispUnits>
      </c:valAx>
      <c:spPr>
        <a:solidFill>
          <a:schemeClr val="bg1"/>
        </a:solidFill>
        <a:ln>
          <a:solidFill>
            <a:schemeClr val="tx1">
              <a:lumMod val="50000"/>
              <a:lumOff val="50000"/>
            </a:schemeClr>
          </a:solidFill>
        </a:ln>
      </c:spPr>
    </c:plotArea>
    <c:legend>
      <c:legendPos val="t"/>
      <c:layout>
        <c:manualLayout>
          <c:xMode val="edge"/>
          <c:yMode val="edge"/>
          <c:x val="9.4097222222222276E-2"/>
          <c:y val="0"/>
          <c:w val="0.9059027777777775"/>
          <c:h val="8.2425347222222251E-2"/>
        </c:manualLayout>
      </c:layout>
      <c:overlay val="0"/>
    </c:legend>
    <c:plotVisOnly val="1"/>
    <c:dispBlanksAs val="gap"/>
    <c:showDLblsOverMax val="0"/>
  </c:chart>
  <c:spPr>
    <a:ln>
      <a:noFill/>
    </a:ln>
  </c:spPr>
  <c:txPr>
    <a:bodyPr/>
    <a:lstStyle/>
    <a:p>
      <a:pPr>
        <a:defRPr sz="1000">
          <a:latin typeface="+mn-lt"/>
        </a:defRPr>
      </a:pPr>
      <a:endParaRPr lang="cs-CZ"/>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637884168577522"/>
          <c:y val="0.16144449590859972"/>
          <c:w val="0.84818723700889986"/>
          <c:h val="0.746010498687664"/>
        </c:manualLayout>
      </c:layout>
      <c:lineChart>
        <c:grouping val="standard"/>
        <c:varyColors val="0"/>
        <c:ser>
          <c:idx val="0"/>
          <c:order val="0"/>
          <c:tx>
            <c:v>Varianta 0 (ZPP 2019)</c:v>
          </c:tx>
          <c:spPr>
            <a:ln>
              <a:solidFill>
                <a:srgbClr val="FFC000"/>
              </a:solidFill>
            </a:ln>
          </c:spPr>
          <c:marker>
            <c:symbol val="circle"/>
            <c:size val="7"/>
            <c:spPr>
              <a:solidFill>
                <a:schemeClr val="bg1"/>
              </a:solidFill>
              <a:ln w="28575">
                <a:solidFill>
                  <a:srgbClr val="FFC000"/>
                </a:solidFill>
              </a:ln>
            </c:spPr>
          </c:marker>
          <c:cat>
            <c:numRef>
              <c:f>'ZPP 2021_SDV'!$D$37:$G$37</c:f>
              <c:numCache>
                <c:formatCode>General</c:formatCode>
                <c:ptCount val="4"/>
                <c:pt idx="0">
                  <c:v>2021</c:v>
                </c:pt>
                <c:pt idx="1">
                  <c:v>2022</c:v>
                </c:pt>
                <c:pt idx="2">
                  <c:v>2023</c:v>
                </c:pt>
                <c:pt idx="3">
                  <c:v>2024</c:v>
                </c:pt>
              </c:numCache>
            </c:numRef>
          </c:cat>
          <c:val>
            <c:numRef>
              <c:f>'ZPP 2019'!$D$49:$G$49</c:f>
              <c:numCache>
                <c:formatCode>0%</c:formatCode>
                <c:ptCount val="4"/>
                <c:pt idx="0">
                  <c:v>0.13488660493686305</c:v>
                </c:pt>
                <c:pt idx="1">
                  <c:v>0.14387996433529662</c:v>
                </c:pt>
                <c:pt idx="2">
                  <c:v>0.15059492772547078</c:v>
                </c:pt>
                <c:pt idx="3">
                  <c:v>0.15477692126703141</c:v>
                </c:pt>
              </c:numCache>
            </c:numRef>
          </c:val>
          <c:smooth val="0"/>
          <c:extLst>
            <c:ext xmlns:c16="http://schemas.microsoft.com/office/drawing/2014/chart" uri="{C3380CC4-5D6E-409C-BE32-E72D297353CC}">
              <c16:uniqueId val="{00000000-9CA6-4C0E-B384-8852F198D1B0}"/>
            </c:ext>
          </c:extLst>
        </c:ser>
        <c:ser>
          <c:idx val="4"/>
          <c:order val="1"/>
          <c:tx>
            <c:v>Varianta 0 (ZPP 2020)</c:v>
          </c:tx>
          <c:spPr>
            <a:ln>
              <a:solidFill>
                <a:srgbClr val="FFC000"/>
              </a:solidFill>
              <a:prstDash val="dash"/>
            </a:ln>
          </c:spPr>
          <c:marker>
            <c:symbol val="circle"/>
            <c:size val="7"/>
            <c:spPr>
              <a:solidFill>
                <a:schemeClr val="bg1"/>
              </a:solidFill>
              <a:ln w="28575">
                <a:solidFill>
                  <a:srgbClr val="FFC000"/>
                </a:solidFill>
              </a:ln>
            </c:spPr>
          </c:marker>
          <c:cat>
            <c:numRef>
              <c:f>'ZPP 2021_SDV'!$D$37:$G$37</c:f>
              <c:numCache>
                <c:formatCode>General</c:formatCode>
                <c:ptCount val="4"/>
                <c:pt idx="0">
                  <c:v>2021</c:v>
                </c:pt>
                <c:pt idx="1">
                  <c:v>2022</c:v>
                </c:pt>
                <c:pt idx="2">
                  <c:v>2023</c:v>
                </c:pt>
                <c:pt idx="3">
                  <c:v>2024</c:v>
                </c:pt>
              </c:numCache>
            </c:numRef>
          </c:cat>
          <c:val>
            <c:numRef>
              <c:f>'ZPP 2020'!$D$49:$G$49</c:f>
              <c:numCache>
                <c:formatCode>0%</c:formatCode>
                <c:ptCount val="4"/>
                <c:pt idx="0">
                  <c:v>0.13295979631913007</c:v>
                </c:pt>
                <c:pt idx="1">
                  <c:v>0.13016422693967511</c:v>
                </c:pt>
                <c:pt idx="2">
                  <c:v>0.12573231247591871</c:v>
                </c:pt>
                <c:pt idx="3">
                  <c:v>0.1222309355084796</c:v>
                </c:pt>
              </c:numCache>
            </c:numRef>
          </c:val>
          <c:smooth val="0"/>
          <c:extLst>
            <c:ext xmlns:c16="http://schemas.microsoft.com/office/drawing/2014/chart" uri="{C3380CC4-5D6E-409C-BE32-E72D297353CC}">
              <c16:uniqueId val="{00000000-8B90-40A1-BE76-D9CFB0ADB0BD}"/>
            </c:ext>
          </c:extLst>
        </c:ser>
        <c:ser>
          <c:idx val="1"/>
          <c:order val="2"/>
          <c:tx>
            <c:v>Varianta 0 (ZPP 2021)</c:v>
          </c:tx>
          <c:spPr>
            <a:ln>
              <a:solidFill>
                <a:srgbClr val="FFC000"/>
              </a:solidFill>
              <a:prstDash val="sysDot"/>
            </a:ln>
          </c:spPr>
          <c:marker>
            <c:symbol val="circle"/>
            <c:size val="7"/>
            <c:spPr>
              <a:solidFill>
                <a:schemeClr val="bg1"/>
              </a:solidFill>
              <a:ln w="28575">
                <a:solidFill>
                  <a:srgbClr val="FFC000"/>
                </a:solidFill>
              </a:ln>
            </c:spPr>
          </c:marker>
          <c:cat>
            <c:numRef>
              <c:f>'ZPP 2021_SDV'!$D$37:$G$37</c:f>
              <c:numCache>
                <c:formatCode>General</c:formatCode>
                <c:ptCount val="4"/>
                <c:pt idx="0">
                  <c:v>2021</c:v>
                </c:pt>
                <c:pt idx="1">
                  <c:v>2022</c:v>
                </c:pt>
                <c:pt idx="2">
                  <c:v>2023</c:v>
                </c:pt>
                <c:pt idx="3">
                  <c:v>2024</c:v>
                </c:pt>
              </c:numCache>
            </c:numRef>
          </c:cat>
          <c:val>
            <c:numRef>
              <c:f>'ZPP 2021_SDV'!$D$49:$G$49</c:f>
              <c:numCache>
                <c:formatCode>0%</c:formatCode>
                <c:ptCount val="4"/>
                <c:pt idx="0">
                  <c:v>0.11218290457952243</c:v>
                </c:pt>
                <c:pt idx="1">
                  <c:v>6.3019297073876074E-2</c:v>
                </c:pt>
                <c:pt idx="2">
                  <c:v>5.2687007403675323E-2</c:v>
                </c:pt>
                <c:pt idx="3">
                  <c:v>7.7805205564585977E-2</c:v>
                </c:pt>
              </c:numCache>
            </c:numRef>
          </c:val>
          <c:smooth val="0"/>
          <c:extLst>
            <c:ext xmlns:c16="http://schemas.microsoft.com/office/drawing/2014/chart" uri="{C3380CC4-5D6E-409C-BE32-E72D297353CC}">
              <c16:uniqueId val="{00000001-9CA6-4C0E-B384-8852F198D1B0}"/>
            </c:ext>
          </c:extLst>
        </c:ser>
        <c:ser>
          <c:idx val="2"/>
          <c:order val="3"/>
          <c:tx>
            <c:v>Varianta 1 (ZPP 2019)</c:v>
          </c:tx>
          <c:spPr>
            <a:ln>
              <a:solidFill>
                <a:schemeClr val="tx2">
                  <a:lumMod val="60000"/>
                  <a:lumOff val="40000"/>
                </a:schemeClr>
              </a:solidFill>
            </a:ln>
          </c:spPr>
          <c:marker>
            <c:symbol val="circle"/>
            <c:size val="7"/>
            <c:spPr>
              <a:solidFill>
                <a:schemeClr val="bg1"/>
              </a:solidFill>
              <a:ln w="28575">
                <a:solidFill>
                  <a:schemeClr val="tx2">
                    <a:lumMod val="60000"/>
                    <a:lumOff val="40000"/>
                  </a:schemeClr>
                </a:solidFill>
              </a:ln>
            </c:spPr>
          </c:marker>
          <c:cat>
            <c:numRef>
              <c:f>'ZPP 2021_SDV'!$D$37:$G$37</c:f>
              <c:numCache>
                <c:formatCode>General</c:formatCode>
                <c:ptCount val="4"/>
                <c:pt idx="0">
                  <c:v>2021</c:v>
                </c:pt>
                <c:pt idx="1">
                  <c:v>2022</c:v>
                </c:pt>
                <c:pt idx="2">
                  <c:v>2023</c:v>
                </c:pt>
                <c:pt idx="3">
                  <c:v>2024</c:v>
                </c:pt>
              </c:numCache>
            </c:numRef>
          </c:cat>
          <c:val>
            <c:numRef>
              <c:f>'ZPP 2019'!$D$63:$G$63</c:f>
              <c:numCache>
                <c:formatCode>0%</c:formatCode>
                <c:ptCount val="4"/>
                <c:pt idx="0">
                  <c:v>0.13488660493686305</c:v>
                </c:pt>
                <c:pt idx="1">
                  <c:v>0.11164790001272448</c:v>
                </c:pt>
                <c:pt idx="2">
                  <c:v>5.5552651737114829E-2</c:v>
                </c:pt>
                <c:pt idx="3">
                  <c:v>-1.871904370797306E-2</c:v>
                </c:pt>
              </c:numCache>
            </c:numRef>
          </c:val>
          <c:smooth val="0"/>
          <c:extLst>
            <c:ext xmlns:c16="http://schemas.microsoft.com/office/drawing/2014/chart" uri="{C3380CC4-5D6E-409C-BE32-E72D297353CC}">
              <c16:uniqueId val="{00000002-9CA6-4C0E-B384-8852F198D1B0}"/>
            </c:ext>
          </c:extLst>
        </c:ser>
        <c:ser>
          <c:idx val="5"/>
          <c:order val="4"/>
          <c:tx>
            <c:v>Varianta 1 (ZPP 2020)</c:v>
          </c:tx>
          <c:spPr>
            <a:ln>
              <a:solidFill>
                <a:schemeClr val="accent1"/>
              </a:solidFill>
              <a:prstDash val="dash"/>
            </a:ln>
          </c:spPr>
          <c:marker>
            <c:spPr>
              <a:solidFill>
                <a:schemeClr val="bg1"/>
              </a:solidFill>
              <a:ln w="28575">
                <a:solidFill>
                  <a:schemeClr val="accent1"/>
                </a:solidFill>
                <a:prstDash val="solid"/>
              </a:ln>
            </c:spPr>
          </c:marker>
          <c:cat>
            <c:numRef>
              <c:f>'ZPP 2021_SDV'!$D$37:$G$37</c:f>
              <c:numCache>
                <c:formatCode>General</c:formatCode>
                <c:ptCount val="4"/>
                <c:pt idx="0">
                  <c:v>2021</c:v>
                </c:pt>
                <c:pt idx="1">
                  <c:v>2022</c:v>
                </c:pt>
                <c:pt idx="2">
                  <c:v>2023</c:v>
                </c:pt>
                <c:pt idx="3">
                  <c:v>2024</c:v>
                </c:pt>
              </c:numCache>
            </c:numRef>
          </c:cat>
          <c:val>
            <c:numRef>
              <c:f>'ZPP 2020'!$D$63:$G$63</c:f>
              <c:numCache>
                <c:formatCode>0%</c:formatCode>
                <c:ptCount val="4"/>
                <c:pt idx="0">
                  <c:v>0.13295979631913007</c:v>
                </c:pt>
                <c:pt idx="1">
                  <c:v>9.4023726285941217E-2</c:v>
                </c:pt>
                <c:pt idx="2">
                  <c:v>2.4958382341273733E-2</c:v>
                </c:pt>
                <c:pt idx="3">
                  <c:v>-5.6951284668952648E-2</c:v>
                </c:pt>
              </c:numCache>
            </c:numRef>
          </c:val>
          <c:smooth val="0"/>
          <c:extLst>
            <c:ext xmlns:c16="http://schemas.microsoft.com/office/drawing/2014/chart" uri="{C3380CC4-5D6E-409C-BE32-E72D297353CC}">
              <c16:uniqueId val="{00000001-8B90-40A1-BE76-D9CFB0ADB0BD}"/>
            </c:ext>
          </c:extLst>
        </c:ser>
        <c:ser>
          <c:idx val="3"/>
          <c:order val="5"/>
          <c:tx>
            <c:v>Varianta 1 (ZPP 2021)</c:v>
          </c:tx>
          <c:spPr>
            <a:ln>
              <a:solidFill>
                <a:schemeClr val="tx2">
                  <a:lumMod val="60000"/>
                  <a:lumOff val="40000"/>
                </a:schemeClr>
              </a:solidFill>
              <a:prstDash val="sysDot"/>
            </a:ln>
          </c:spPr>
          <c:marker>
            <c:symbol val="circle"/>
            <c:size val="7"/>
            <c:spPr>
              <a:solidFill>
                <a:schemeClr val="bg1"/>
              </a:solidFill>
              <a:ln w="28575">
                <a:solidFill>
                  <a:schemeClr val="tx2">
                    <a:lumMod val="60000"/>
                    <a:lumOff val="40000"/>
                  </a:schemeClr>
                </a:solidFill>
              </a:ln>
            </c:spPr>
          </c:marker>
          <c:cat>
            <c:numRef>
              <c:f>'ZPP 2021_SDV'!$D$37:$G$37</c:f>
              <c:numCache>
                <c:formatCode>General</c:formatCode>
                <c:ptCount val="4"/>
                <c:pt idx="0">
                  <c:v>2021</c:v>
                </c:pt>
                <c:pt idx="1">
                  <c:v>2022</c:v>
                </c:pt>
                <c:pt idx="2">
                  <c:v>2023</c:v>
                </c:pt>
                <c:pt idx="3">
                  <c:v>2024</c:v>
                </c:pt>
              </c:numCache>
            </c:numRef>
          </c:cat>
          <c:val>
            <c:numRef>
              <c:f>'ZPP 2021_SDV'!$D$63:$G$63</c:f>
              <c:numCache>
                <c:formatCode>0%</c:formatCode>
                <c:ptCount val="4"/>
                <c:pt idx="0">
                  <c:v>0.11218290457952243</c:v>
                </c:pt>
                <c:pt idx="1">
                  <c:v>5.6981912560781188E-2</c:v>
                </c:pt>
                <c:pt idx="2">
                  <c:v>2.9131462327099497E-2</c:v>
                </c:pt>
                <c:pt idx="3">
                  <c:v>3.4339122672094852E-2</c:v>
                </c:pt>
              </c:numCache>
            </c:numRef>
          </c:val>
          <c:smooth val="0"/>
          <c:extLst>
            <c:ext xmlns:c16="http://schemas.microsoft.com/office/drawing/2014/chart" uri="{C3380CC4-5D6E-409C-BE32-E72D297353CC}">
              <c16:uniqueId val="{00000003-9CA6-4C0E-B384-8852F198D1B0}"/>
            </c:ext>
          </c:extLst>
        </c:ser>
        <c:dLbls>
          <c:showLegendKey val="0"/>
          <c:showVal val="0"/>
          <c:showCatName val="0"/>
          <c:showSerName val="0"/>
          <c:showPercent val="0"/>
          <c:showBubbleSize val="0"/>
        </c:dLbls>
        <c:marker val="1"/>
        <c:smooth val="0"/>
        <c:axId val="129240448"/>
        <c:axId val="129246720"/>
      </c:lineChart>
      <c:catAx>
        <c:axId val="129240448"/>
        <c:scaling>
          <c:orientation val="minMax"/>
        </c:scaling>
        <c:delete val="0"/>
        <c:axPos val="b"/>
        <c:majorGridlines>
          <c:spPr>
            <a:ln>
              <a:solidFill>
                <a:schemeClr val="bg1">
                  <a:lumMod val="75000"/>
                </a:schemeClr>
              </a:solidFill>
            </a:ln>
          </c:spPr>
        </c:majorGridlines>
        <c:numFmt formatCode="General" sourceLinked="1"/>
        <c:majorTickMark val="none"/>
        <c:minorTickMark val="none"/>
        <c:tickLblPos val="low"/>
        <c:crossAx val="129246720"/>
        <c:crosses val="autoZero"/>
        <c:auto val="1"/>
        <c:lblAlgn val="ctr"/>
        <c:lblOffset val="100"/>
        <c:noMultiLvlLbl val="0"/>
      </c:catAx>
      <c:valAx>
        <c:axId val="129246720"/>
        <c:scaling>
          <c:orientation val="minMax"/>
          <c:max val="0.2"/>
          <c:min val="-0.1"/>
        </c:scaling>
        <c:delete val="0"/>
        <c:axPos val="l"/>
        <c:majorGridlines/>
        <c:minorGridlines>
          <c:spPr>
            <a:ln>
              <a:solidFill>
                <a:schemeClr val="bg1">
                  <a:lumMod val="75000"/>
                </a:schemeClr>
              </a:solidFill>
              <a:prstDash val="dash"/>
            </a:ln>
          </c:spPr>
        </c:minorGridlines>
        <c:title>
          <c:tx>
            <c:rich>
              <a:bodyPr rot="-5400000" vert="horz"/>
              <a:lstStyle/>
              <a:p>
                <a:pPr algn="ctr" rtl="0">
                  <a:defRPr/>
                </a:pPr>
                <a:r>
                  <a:rPr lang="cs-CZ"/>
                  <a:t>Srovnání variant č. 0 a č. 1</a:t>
                </a:r>
              </a:p>
              <a:p>
                <a:pPr algn="ctr" rtl="0">
                  <a:defRPr/>
                </a:pPr>
                <a:r>
                  <a:rPr lang="cs-CZ" b="0"/>
                  <a:t>růst výdajů SDV</a:t>
                </a:r>
              </a:p>
            </c:rich>
          </c:tx>
          <c:layout>
            <c:manualLayout>
              <c:xMode val="edge"/>
              <c:yMode val="edge"/>
              <c:x val="1.4787159345399382E-2"/>
              <c:y val="0.21210622201636567"/>
            </c:manualLayout>
          </c:layout>
          <c:overlay val="0"/>
        </c:title>
        <c:numFmt formatCode="0%" sourceLinked="1"/>
        <c:majorTickMark val="none"/>
        <c:minorTickMark val="none"/>
        <c:tickLblPos val="nextTo"/>
        <c:crossAx val="129240448"/>
        <c:crosses val="autoZero"/>
        <c:crossBetween val="between"/>
        <c:majorUnit val="5.0000000000000024E-2"/>
        <c:minorUnit val="2.5000000000000012E-2"/>
      </c:valAx>
      <c:spPr>
        <a:solidFill>
          <a:schemeClr val="bg1"/>
        </a:solidFill>
        <a:ln>
          <a:solidFill>
            <a:schemeClr val="tx1">
              <a:lumMod val="50000"/>
              <a:lumOff val="50000"/>
            </a:schemeClr>
          </a:solidFill>
        </a:ln>
      </c:spPr>
    </c:plotArea>
    <c:legend>
      <c:legendPos val="t"/>
      <c:layout>
        <c:manualLayout>
          <c:xMode val="edge"/>
          <c:yMode val="edge"/>
          <c:x val="3.4222011229885226E-2"/>
          <c:y val="2.8514346723608697E-2"/>
          <c:w val="0.9453735164601309"/>
          <c:h val="0.11073161617509675"/>
        </c:manualLayout>
      </c:layout>
      <c:overlay val="0"/>
    </c:legend>
    <c:plotVisOnly val="1"/>
    <c:dispBlanksAs val="gap"/>
    <c:showDLblsOverMax val="0"/>
  </c:chart>
  <c:spPr>
    <a:ln>
      <a:noFill/>
    </a:ln>
  </c:spPr>
  <c:txPr>
    <a:bodyPr/>
    <a:lstStyle/>
    <a:p>
      <a:pPr>
        <a:defRPr sz="1000"/>
      </a:pPr>
      <a:endParaRPr lang="cs-CZ"/>
    </a:p>
  </c:tx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637884168577522"/>
          <c:y val="0.16144449590859972"/>
          <c:w val="0.84818723700889986"/>
          <c:h val="0.746010498687664"/>
        </c:manualLayout>
      </c:layout>
      <c:lineChart>
        <c:grouping val="standard"/>
        <c:varyColors val="0"/>
        <c:ser>
          <c:idx val="0"/>
          <c:order val="0"/>
          <c:tx>
            <c:v>Varianta 0 (ZPP 2019)</c:v>
          </c:tx>
          <c:spPr>
            <a:ln>
              <a:solidFill>
                <a:srgbClr val="FFC000"/>
              </a:solidFill>
            </a:ln>
          </c:spPr>
          <c:marker>
            <c:symbol val="circle"/>
            <c:size val="7"/>
            <c:spPr>
              <a:solidFill>
                <a:schemeClr val="bg1"/>
              </a:solidFill>
              <a:ln w="28575">
                <a:solidFill>
                  <a:srgbClr val="FFC000"/>
                </a:solidFill>
              </a:ln>
            </c:spPr>
          </c:marker>
          <c:cat>
            <c:numRef>
              <c:f>'ZPP 2021_SDV'!$D$37:$G$37</c:f>
              <c:numCache>
                <c:formatCode>General</c:formatCode>
                <c:ptCount val="4"/>
                <c:pt idx="0">
                  <c:v>2021</c:v>
                </c:pt>
                <c:pt idx="1">
                  <c:v>2022</c:v>
                </c:pt>
                <c:pt idx="2">
                  <c:v>2023</c:v>
                </c:pt>
                <c:pt idx="3">
                  <c:v>2024</c:v>
                </c:pt>
              </c:numCache>
            </c:numRef>
          </c:cat>
          <c:val>
            <c:numRef>
              <c:f>'ZPP 2019'!$D$49:$G$49</c:f>
              <c:numCache>
                <c:formatCode>0%</c:formatCode>
                <c:ptCount val="4"/>
                <c:pt idx="0">
                  <c:v>0.13488660493686305</c:v>
                </c:pt>
                <c:pt idx="1">
                  <c:v>0.14387996433529662</c:v>
                </c:pt>
                <c:pt idx="2">
                  <c:v>0.15059492772547078</c:v>
                </c:pt>
                <c:pt idx="3">
                  <c:v>0.15477692126703141</c:v>
                </c:pt>
              </c:numCache>
            </c:numRef>
          </c:val>
          <c:smooth val="0"/>
          <c:extLst>
            <c:ext xmlns:c16="http://schemas.microsoft.com/office/drawing/2014/chart" uri="{C3380CC4-5D6E-409C-BE32-E72D297353CC}">
              <c16:uniqueId val="{00000000-E277-4791-8A1E-CB6CBBC286B7}"/>
            </c:ext>
          </c:extLst>
        </c:ser>
        <c:ser>
          <c:idx val="4"/>
          <c:order val="1"/>
          <c:tx>
            <c:v>Varianta 0 (ZPP 2020)</c:v>
          </c:tx>
          <c:spPr>
            <a:ln>
              <a:solidFill>
                <a:srgbClr val="FFC000"/>
              </a:solidFill>
              <a:prstDash val="dash"/>
            </a:ln>
          </c:spPr>
          <c:marker>
            <c:symbol val="circle"/>
            <c:size val="7"/>
            <c:spPr>
              <a:solidFill>
                <a:schemeClr val="bg1"/>
              </a:solidFill>
              <a:ln w="28575">
                <a:solidFill>
                  <a:srgbClr val="FFC000"/>
                </a:solidFill>
              </a:ln>
            </c:spPr>
          </c:marker>
          <c:cat>
            <c:numRef>
              <c:f>'ZPP 2021_SDV'!$D$37:$G$37</c:f>
              <c:numCache>
                <c:formatCode>General</c:formatCode>
                <c:ptCount val="4"/>
                <c:pt idx="0">
                  <c:v>2021</c:v>
                </c:pt>
                <c:pt idx="1">
                  <c:v>2022</c:v>
                </c:pt>
                <c:pt idx="2">
                  <c:v>2023</c:v>
                </c:pt>
                <c:pt idx="3">
                  <c:v>2024</c:v>
                </c:pt>
              </c:numCache>
            </c:numRef>
          </c:cat>
          <c:val>
            <c:numRef>
              <c:f>'ZPP 2020'!$D$49:$G$49</c:f>
              <c:numCache>
                <c:formatCode>0%</c:formatCode>
                <c:ptCount val="4"/>
                <c:pt idx="0">
                  <c:v>0.13295979631913007</c:v>
                </c:pt>
                <c:pt idx="1">
                  <c:v>0.13016422693967511</c:v>
                </c:pt>
                <c:pt idx="2">
                  <c:v>0.12573231247591871</c:v>
                </c:pt>
                <c:pt idx="3">
                  <c:v>0.1222309355084796</c:v>
                </c:pt>
              </c:numCache>
            </c:numRef>
          </c:val>
          <c:smooth val="0"/>
          <c:extLst>
            <c:ext xmlns:c16="http://schemas.microsoft.com/office/drawing/2014/chart" uri="{C3380CC4-5D6E-409C-BE32-E72D297353CC}">
              <c16:uniqueId val="{00000000-54AB-474F-8D42-AB4958CBCEA0}"/>
            </c:ext>
          </c:extLst>
        </c:ser>
        <c:ser>
          <c:idx val="1"/>
          <c:order val="2"/>
          <c:tx>
            <c:v>Varianta 0 (ZPP 2021)</c:v>
          </c:tx>
          <c:spPr>
            <a:ln>
              <a:solidFill>
                <a:srgbClr val="FFC000"/>
              </a:solidFill>
              <a:prstDash val="sysDot"/>
            </a:ln>
          </c:spPr>
          <c:marker>
            <c:symbol val="circle"/>
            <c:size val="7"/>
            <c:spPr>
              <a:solidFill>
                <a:schemeClr val="bg1"/>
              </a:solidFill>
              <a:ln w="28575">
                <a:solidFill>
                  <a:srgbClr val="FFC000"/>
                </a:solidFill>
              </a:ln>
            </c:spPr>
          </c:marker>
          <c:cat>
            <c:numRef>
              <c:f>'ZPP 2021_SDV'!$D$37:$G$37</c:f>
              <c:numCache>
                <c:formatCode>General</c:formatCode>
                <c:ptCount val="4"/>
                <c:pt idx="0">
                  <c:v>2021</c:v>
                </c:pt>
                <c:pt idx="1">
                  <c:v>2022</c:v>
                </c:pt>
                <c:pt idx="2">
                  <c:v>2023</c:v>
                </c:pt>
                <c:pt idx="3">
                  <c:v>2024</c:v>
                </c:pt>
              </c:numCache>
            </c:numRef>
          </c:cat>
          <c:val>
            <c:numRef>
              <c:f>'ZPP 2021_SDV'!$D$49:$G$49</c:f>
              <c:numCache>
                <c:formatCode>0%</c:formatCode>
                <c:ptCount val="4"/>
                <c:pt idx="0">
                  <c:v>0.11218290457952243</c:v>
                </c:pt>
                <c:pt idx="1">
                  <c:v>6.3019297073876074E-2</c:v>
                </c:pt>
                <c:pt idx="2">
                  <c:v>5.2687007403675323E-2</c:v>
                </c:pt>
                <c:pt idx="3">
                  <c:v>7.7805205564585977E-2</c:v>
                </c:pt>
              </c:numCache>
            </c:numRef>
          </c:val>
          <c:smooth val="0"/>
          <c:extLst>
            <c:ext xmlns:c16="http://schemas.microsoft.com/office/drawing/2014/chart" uri="{C3380CC4-5D6E-409C-BE32-E72D297353CC}">
              <c16:uniqueId val="{00000001-E277-4791-8A1E-CB6CBBC286B7}"/>
            </c:ext>
          </c:extLst>
        </c:ser>
        <c:ser>
          <c:idx val="2"/>
          <c:order val="3"/>
          <c:tx>
            <c:v>Varianta 2 (ZPP 2019)</c:v>
          </c:tx>
          <c:spPr>
            <a:ln>
              <a:solidFill>
                <a:srgbClr val="92D050"/>
              </a:solidFill>
            </a:ln>
          </c:spPr>
          <c:marker>
            <c:symbol val="circle"/>
            <c:size val="7"/>
            <c:spPr>
              <a:solidFill>
                <a:schemeClr val="bg1"/>
              </a:solidFill>
              <a:ln w="28575">
                <a:solidFill>
                  <a:srgbClr val="92D050"/>
                </a:solidFill>
              </a:ln>
            </c:spPr>
          </c:marker>
          <c:cat>
            <c:numRef>
              <c:f>'ZPP 2021_SDV'!$D$37:$G$37</c:f>
              <c:numCache>
                <c:formatCode>General</c:formatCode>
                <c:ptCount val="4"/>
                <c:pt idx="0">
                  <c:v>2021</c:v>
                </c:pt>
                <c:pt idx="1">
                  <c:v>2022</c:v>
                </c:pt>
                <c:pt idx="2">
                  <c:v>2023</c:v>
                </c:pt>
                <c:pt idx="3">
                  <c:v>2024</c:v>
                </c:pt>
              </c:numCache>
            </c:numRef>
          </c:cat>
          <c:val>
            <c:numRef>
              <c:f>'ZPP 2019'!$D$77:$G$77</c:f>
              <c:numCache>
                <c:formatCode>0%</c:formatCode>
                <c:ptCount val="4"/>
                <c:pt idx="0">
                  <c:v>0.13488660493686305</c:v>
                </c:pt>
                <c:pt idx="1">
                  <c:v>0.12701971844260584</c:v>
                </c:pt>
                <c:pt idx="2">
                  <c:v>9.7081434497108501E-2</c:v>
                </c:pt>
                <c:pt idx="3">
                  <c:v>5.4464467326955146E-2</c:v>
                </c:pt>
              </c:numCache>
            </c:numRef>
          </c:val>
          <c:smooth val="0"/>
          <c:extLst>
            <c:ext xmlns:c16="http://schemas.microsoft.com/office/drawing/2014/chart" uri="{C3380CC4-5D6E-409C-BE32-E72D297353CC}">
              <c16:uniqueId val="{00000002-E277-4791-8A1E-CB6CBBC286B7}"/>
            </c:ext>
          </c:extLst>
        </c:ser>
        <c:ser>
          <c:idx val="5"/>
          <c:order val="4"/>
          <c:tx>
            <c:v>Varianta 2 (ZPP 2020)</c:v>
          </c:tx>
          <c:spPr>
            <a:ln>
              <a:solidFill>
                <a:srgbClr val="92D050"/>
              </a:solidFill>
              <a:prstDash val="dash"/>
            </a:ln>
          </c:spPr>
          <c:marker>
            <c:spPr>
              <a:solidFill>
                <a:schemeClr val="bg1"/>
              </a:solidFill>
              <a:ln w="28575">
                <a:solidFill>
                  <a:srgbClr val="92D050"/>
                </a:solidFill>
              </a:ln>
            </c:spPr>
          </c:marker>
          <c:cat>
            <c:numRef>
              <c:f>'ZPP 2021_SDV'!$D$37:$G$37</c:f>
              <c:numCache>
                <c:formatCode>General</c:formatCode>
                <c:ptCount val="4"/>
                <c:pt idx="0">
                  <c:v>2021</c:v>
                </c:pt>
                <c:pt idx="1">
                  <c:v>2022</c:v>
                </c:pt>
                <c:pt idx="2">
                  <c:v>2023</c:v>
                </c:pt>
                <c:pt idx="3">
                  <c:v>2024</c:v>
                </c:pt>
              </c:numCache>
            </c:numRef>
          </c:cat>
          <c:val>
            <c:numRef>
              <c:f>'ZPP 2020'!$D$77:$G$77</c:f>
              <c:numCache>
                <c:formatCode>0%</c:formatCode>
                <c:ptCount val="4"/>
                <c:pt idx="0">
                  <c:v>0.13295979631913007</c:v>
                </c:pt>
                <c:pt idx="1">
                  <c:v>0.10963942374806562</c:v>
                </c:pt>
                <c:pt idx="2">
                  <c:v>6.7252868874012314E-2</c:v>
                </c:pt>
                <c:pt idx="3">
                  <c:v>1.7846542397373891E-2</c:v>
                </c:pt>
              </c:numCache>
            </c:numRef>
          </c:val>
          <c:smooth val="0"/>
          <c:extLst>
            <c:ext xmlns:c16="http://schemas.microsoft.com/office/drawing/2014/chart" uri="{C3380CC4-5D6E-409C-BE32-E72D297353CC}">
              <c16:uniqueId val="{00000001-54AB-474F-8D42-AB4958CBCEA0}"/>
            </c:ext>
          </c:extLst>
        </c:ser>
        <c:ser>
          <c:idx val="3"/>
          <c:order val="5"/>
          <c:tx>
            <c:v>Varianta 2 (ZPP 2021)</c:v>
          </c:tx>
          <c:spPr>
            <a:ln>
              <a:solidFill>
                <a:srgbClr val="92D050"/>
              </a:solidFill>
              <a:prstDash val="sysDot"/>
            </a:ln>
          </c:spPr>
          <c:marker>
            <c:symbol val="circle"/>
            <c:size val="7"/>
            <c:spPr>
              <a:solidFill>
                <a:schemeClr val="bg1"/>
              </a:solidFill>
              <a:ln w="28575">
                <a:solidFill>
                  <a:srgbClr val="92D050"/>
                </a:solidFill>
              </a:ln>
            </c:spPr>
          </c:marker>
          <c:cat>
            <c:numRef>
              <c:f>'ZPP 2021_SDV'!$D$37:$G$37</c:f>
              <c:numCache>
                <c:formatCode>General</c:formatCode>
                <c:ptCount val="4"/>
                <c:pt idx="0">
                  <c:v>2021</c:v>
                </c:pt>
                <c:pt idx="1">
                  <c:v>2022</c:v>
                </c:pt>
                <c:pt idx="2">
                  <c:v>2023</c:v>
                </c:pt>
                <c:pt idx="3">
                  <c:v>2024</c:v>
                </c:pt>
              </c:numCache>
            </c:numRef>
          </c:cat>
          <c:val>
            <c:numRef>
              <c:f>'ZPP 2021_SDV'!$D$77:$G$77</c:f>
              <c:numCache>
                <c:formatCode>0%</c:formatCode>
                <c:ptCount val="4"/>
                <c:pt idx="0">
                  <c:v>0.11218290457952243</c:v>
                </c:pt>
                <c:pt idx="1">
                  <c:v>6.7738635811815717E-2</c:v>
                </c:pt>
                <c:pt idx="2">
                  <c:v>6.0712524082299053E-2</c:v>
                </c:pt>
                <c:pt idx="3">
                  <c:v>9.4192719551666179E-2</c:v>
                </c:pt>
              </c:numCache>
            </c:numRef>
          </c:val>
          <c:smooth val="0"/>
          <c:extLst>
            <c:ext xmlns:c16="http://schemas.microsoft.com/office/drawing/2014/chart" uri="{C3380CC4-5D6E-409C-BE32-E72D297353CC}">
              <c16:uniqueId val="{00000003-E277-4791-8A1E-CB6CBBC286B7}"/>
            </c:ext>
          </c:extLst>
        </c:ser>
        <c:dLbls>
          <c:showLegendKey val="0"/>
          <c:showVal val="0"/>
          <c:showCatName val="0"/>
          <c:showSerName val="0"/>
          <c:showPercent val="0"/>
          <c:showBubbleSize val="0"/>
        </c:dLbls>
        <c:marker val="1"/>
        <c:smooth val="0"/>
        <c:axId val="129301888"/>
        <c:axId val="130090496"/>
      </c:lineChart>
      <c:catAx>
        <c:axId val="129301888"/>
        <c:scaling>
          <c:orientation val="minMax"/>
        </c:scaling>
        <c:delete val="0"/>
        <c:axPos val="b"/>
        <c:majorGridlines>
          <c:spPr>
            <a:ln>
              <a:solidFill>
                <a:schemeClr val="bg1">
                  <a:lumMod val="75000"/>
                </a:schemeClr>
              </a:solidFill>
            </a:ln>
          </c:spPr>
        </c:majorGridlines>
        <c:numFmt formatCode="General" sourceLinked="1"/>
        <c:majorTickMark val="none"/>
        <c:minorTickMark val="none"/>
        <c:tickLblPos val="nextTo"/>
        <c:txPr>
          <a:bodyPr/>
          <a:lstStyle/>
          <a:p>
            <a:pPr>
              <a:defRPr sz="1050"/>
            </a:pPr>
            <a:endParaRPr lang="cs-CZ"/>
          </a:p>
        </c:txPr>
        <c:crossAx val="130090496"/>
        <c:crosses val="autoZero"/>
        <c:auto val="1"/>
        <c:lblAlgn val="ctr"/>
        <c:lblOffset val="100"/>
        <c:noMultiLvlLbl val="0"/>
      </c:catAx>
      <c:valAx>
        <c:axId val="130090496"/>
        <c:scaling>
          <c:orientation val="minMax"/>
          <c:max val="0.2"/>
          <c:min val="0"/>
        </c:scaling>
        <c:delete val="0"/>
        <c:axPos val="l"/>
        <c:majorGridlines/>
        <c:minorGridlines>
          <c:spPr>
            <a:ln>
              <a:solidFill>
                <a:schemeClr val="bg1">
                  <a:lumMod val="75000"/>
                </a:schemeClr>
              </a:solidFill>
              <a:prstDash val="dash"/>
            </a:ln>
          </c:spPr>
        </c:minorGridlines>
        <c:title>
          <c:tx>
            <c:rich>
              <a:bodyPr rot="-5400000" vert="horz"/>
              <a:lstStyle/>
              <a:p>
                <a:pPr marL="0" marR="0" lvl="0" indent="0" algn="ctr" defTabSz="914400" rtl="0" eaLnBrk="1" fontAlgn="auto" latinLnBrk="0" hangingPunct="1">
                  <a:lnSpc>
                    <a:spcPct val="100000"/>
                  </a:lnSpc>
                  <a:spcBef>
                    <a:spcPts val="0"/>
                  </a:spcBef>
                  <a:spcAft>
                    <a:spcPts val="0"/>
                  </a:spcAft>
                  <a:buClrTx/>
                  <a:buSzTx/>
                  <a:buFontTx/>
                  <a:buNone/>
                  <a:tabLst/>
                  <a:defRPr sz="1050" b="1" i="0" u="none" strike="noStrike" kern="1200" baseline="0">
                    <a:solidFill>
                      <a:sysClr val="windowText" lastClr="000000"/>
                    </a:solidFill>
                    <a:latin typeface="+mn-lt"/>
                    <a:ea typeface="+mn-ea"/>
                    <a:cs typeface="+mn-cs"/>
                  </a:defRPr>
                </a:pPr>
                <a:r>
                  <a:rPr lang="cs-CZ" sz="1050" b="1" i="0" u="none" strike="noStrike" baseline="0">
                    <a:effectLst/>
                  </a:rPr>
                  <a:t>Srovnání variant č. 0 a č. 2</a:t>
                </a:r>
              </a:p>
              <a:p>
                <a:pPr marL="0" marR="0" lvl="0" indent="0" algn="ctr" defTabSz="914400" rtl="0" eaLnBrk="1" fontAlgn="auto" latinLnBrk="0" hangingPunct="1">
                  <a:lnSpc>
                    <a:spcPct val="100000"/>
                  </a:lnSpc>
                  <a:spcBef>
                    <a:spcPts val="0"/>
                  </a:spcBef>
                  <a:spcAft>
                    <a:spcPts val="0"/>
                  </a:spcAft>
                  <a:buClrTx/>
                  <a:buSzTx/>
                  <a:buFontTx/>
                  <a:buNone/>
                  <a:tabLst/>
                  <a:defRPr sz="1050" b="1" i="0" u="none" strike="noStrike" kern="1200" baseline="0">
                    <a:solidFill>
                      <a:sysClr val="windowText" lastClr="000000"/>
                    </a:solidFill>
                    <a:latin typeface="+mn-lt"/>
                    <a:ea typeface="+mn-ea"/>
                    <a:cs typeface="+mn-cs"/>
                  </a:defRPr>
                </a:pPr>
                <a:r>
                  <a:rPr lang="cs-CZ" sz="1050" b="0" i="0" u="none" strike="noStrike" baseline="0">
                    <a:effectLst/>
                  </a:rPr>
                  <a:t>růst výdajů SDV</a:t>
                </a:r>
                <a:endParaRPr lang="cs-CZ" sz="1050" b="0">
                  <a:effectLst/>
                </a:endParaRPr>
              </a:p>
            </c:rich>
          </c:tx>
          <c:layout>
            <c:manualLayout>
              <c:xMode val="edge"/>
              <c:yMode val="edge"/>
              <c:x val="1.4787159345399382E-2"/>
              <c:y val="0.21210622201636567"/>
            </c:manualLayout>
          </c:layout>
          <c:overlay val="0"/>
        </c:title>
        <c:numFmt formatCode="0%" sourceLinked="1"/>
        <c:majorTickMark val="none"/>
        <c:minorTickMark val="none"/>
        <c:tickLblPos val="nextTo"/>
        <c:txPr>
          <a:bodyPr/>
          <a:lstStyle/>
          <a:p>
            <a:pPr>
              <a:defRPr sz="1050"/>
            </a:pPr>
            <a:endParaRPr lang="cs-CZ"/>
          </a:p>
        </c:txPr>
        <c:crossAx val="129301888"/>
        <c:crosses val="autoZero"/>
        <c:crossBetween val="between"/>
        <c:majorUnit val="5.0000000000000024E-2"/>
        <c:minorUnit val="2.5000000000000012E-2"/>
      </c:valAx>
      <c:spPr>
        <a:solidFill>
          <a:schemeClr val="bg1"/>
        </a:solidFill>
        <a:ln>
          <a:solidFill>
            <a:schemeClr val="tx1">
              <a:lumMod val="50000"/>
              <a:lumOff val="50000"/>
            </a:schemeClr>
          </a:solidFill>
        </a:ln>
      </c:spPr>
    </c:plotArea>
    <c:legend>
      <c:legendPos val="t"/>
      <c:layout>
        <c:manualLayout>
          <c:xMode val="edge"/>
          <c:yMode val="edge"/>
          <c:x val="9.4097212429920252E-2"/>
          <c:y val="3.5294117647058837E-2"/>
          <c:w val="0.85941394548911398"/>
          <c:h val="0.13171182652868896"/>
        </c:manualLayout>
      </c:layout>
      <c:overlay val="0"/>
      <c:txPr>
        <a:bodyPr/>
        <a:lstStyle/>
        <a:p>
          <a:pPr>
            <a:defRPr sz="1000"/>
          </a:pPr>
          <a:endParaRPr lang="cs-CZ"/>
        </a:p>
      </c:txPr>
    </c:legend>
    <c:plotVisOnly val="1"/>
    <c:dispBlanksAs val="gap"/>
    <c:showDLblsOverMax val="0"/>
  </c:chart>
  <c:spPr>
    <a:ln>
      <a:noFill/>
    </a:ln>
  </c:sp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637884168577522"/>
          <c:y val="0.16144449590859972"/>
          <c:w val="0.84818723700889986"/>
          <c:h val="0.746010498687664"/>
        </c:manualLayout>
      </c:layout>
      <c:lineChart>
        <c:grouping val="standard"/>
        <c:varyColors val="0"/>
        <c:ser>
          <c:idx val="0"/>
          <c:order val="0"/>
          <c:tx>
            <c:v>Varianta 0 (ZPP 2019)</c:v>
          </c:tx>
          <c:spPr>
            <a:ln>
              <a:solidFill>
                <a:srgbClr val="FFC000"/>
              </a:solidFill>
            </a:ln>
          </c:spPr>
          <c:marker>
            <c:symbol val="circle"/>
            <c:size val="7"/>
            <c:spPr>
              <a:solidFill>
                <a:schemeClr val="bg1"/>
              </a:solidFill>
              <a:ln w="28575">
                <a:solidFill>
                  <a:srgbClr val="FFC000"/>
                </a:solidFill>
              </a:ln>
            </c:spPr>
          </c:marker>
          <c:cat>
            <c:numRef>
              <c:f>'ZPP 2021uprav'!$D$65:$G$65</c:f>
              <c:numCache>
                <c:formatCode>General</c:formatCode>
                <c:ptCount val="4"/>
                <c:pt idx="0">
                  <c:v>2021</c:v>
                </c:pt>
                <c:pt idx="1">
                  <c:v>2022</c:v>
                </c:pt>
                <c:pt idx="2">
                  <c:v>2023</c:v>
                </c:pt>
                <c:pt idx="3">
                  <c:v>2024</c:v>
                </c:pt>
              </c:numCache>
            </c:numRef>
          </c:cat>
          <c:val>
            <c:numRef>
              <c:f>'ZPP 2019'!$D$49:$G$49</c:f>
              <c:numCache>
                <c:formatCode>0%</c:formatCode>
                <c:ptCount val="4"/>
                <c:pt idx="0">
                  <c:v>0.13488660493686305</c:v>
                </c:pt>
                <c:pt idx="1">
                  <c:v>0.14387996433529662</c:v>
                </c:pt>
                <c:pt idx="2">
                  <c:v>0.15059492772547078</c:v>
                </c:pt>
                <c:pt idx="3">
                  <c:v>0.15477692126703141</c:v>
                </c:pt>
              </c:numCache>
            </c:numRef>
          </c:val>
          <c:smooth val="0"/>
          <c:extLst>
            <c:ext xmlns:c16="http://schemas.microsoft.com/office/drawing/2014/chart" uri="{C3380CC4-5D6E-409C-BE32-E72D297353CC}">
              <c16:uniqueId val="{00000000-CA41-48E3-88BB-633E191AB213}"/>
            </c:ext>
          </c:extLst>
        </c:ser>
        <c:ser>
          <c:idx val="4"/>
          <c:order val="1"/>
          <c:tx>
            <c:v>Varianta 0 (ZPP 2020)</c:v>
          </c:tx>
          <c:spPr>
            <a:ln>
              <a:solidFill>
                <a:srgbClr val="FFC000"/>
              </a:solidFill>
              <a:prstDash val="dash"/>
            </a:ln>
          </c:spPr>
          <c:marker>
            <c:symbol val="circle"/>
            <c:size val="7"/>
            <c:spPr>
              <a:solidFill>
                <a:schemeClr val="bg1"/>
              </a:solidFill>
              <a:ln w="28575">
                <a:solidFill>
                  <a:srgbClr val="FFC000"/>
                </a:solidFill>
              </a:ln>
            </c:spPr>
          </c:marker>
          <c:val>
            <c:numRef>
              <c:f>'ZPP 2020 uprav'!$D$49:$G$49</c:f>
              <c:numCache>
                <c:formatCode>0%</c:formatCode>
                <c:ptCount val="4"/>
                <c:pt idx="0">
                  <c:v>0.13295979631913007</c:v>
                </c:pt>
                <c:pt idx="1">
                  <c:v>3.1273315123305945E-2</c:v>
                </c:pt>
                <c:pt idx="2">
                  <c:v>-0.12273664707719979</c:v>
                </c:pt>
                <c:pt idx="3">
                  <c:v>-0.31930659985925447</c:v>
                </c:pt>
              </c:numCache>
            </c:numRef>
          </c:val>
          <c:smooth val="0"/>
          <c:extLst>
            <c:ext xmlns:c16="http://schemas.microsoft.com/office/drawing/2014/chart" uri="{C3380CC4-5D6E-409C-BE32-E72D297353CC}">
              <c16:uniqueId val="{00000000-C449-418B-BCA6-A91D2CE6A671}"/>
            </c:ext>
          </c:extLst>
        </c:ser>
        <c:ser>
          <c:idx val="1"/>
          <c:order val="2"/>
          <c:tx>
            <c:v>Varianta 0 (ZPP 2021)</c:v>
          </c:tx>
          <c:spPr>
            <a:ln>
              <a:solidFill>
                <a:srgbClr val="FFC000"/>
              </a:solidFill>
              <a:prstDash val="sysDot"/>
            </a:ln>
          </c:spPr>
          <c:marker>
            <c:symbol val="circle"/>
            <c:size val="7"/>
            <c:spPr>
              <a:solidFill>
                <a:schemeClr val="bg1"/>
              </a:solidFill>
              <a:ln w="28575">
                <a:solidFill>
                  <a:srgbClr val="FFC000"/>
                </a:solidFill>
              </a:ln>
            </c:spPr>
          </c:marker>
          <c:cat>
            <c:numRef>
              <c:f>'ZPP 2021uprav'!$D$65:$G$65</c:f>
              <c:numCache>
                <c:formatCode>General</c:formatCode>
                <c:ptCount val="4"/>
                <c:pt idx="0">
                  <c:v>2021</c:v>
                </c:pt>
                <c:pt idx="1">
                  <c:v>2022</c:v>
                </c:pt>
                <c:pt idx="2">
                  <c:v>2023</c:v>
                </c:pt>
                <c:pt idx="3">
                  <c:v>2024</c:v>
                </c:pt>
              </c:numCache>
            </c:numRef>
          </c:cat>
          <c:val>
            <c:numRef>
              <c:f>'ZPP 2021uprav'!$D$49:$G$49</c:f>
              <c:numCache>
                <c:formatCode>0%</c:formatCode>
                <c:ptCount val="4"/>
                <c:pt idx="0">
                  <c:v>0.11938589598369549</c:v>
                </c:pt>
                <c:pt idx="1">
                  <c:v>-1.8442486822591021E-2</c:v>
                </c:pt>
                <c:pt idx="2">
                  <c:v>-0.22277871038203545</c:v>
                </c:pt>
                <c:pt idx="3">
                  <c:v>-0.47862795777058831</c:v>
                </c:pt>
              </c:numCache>
            </c:numRef>
          </c:val>
          <c:smooth val="0"/>
          <c:extLst>
            <c:ext xmlns:c16="http://schemas.microsoft.com/office/drawing/2014/chart" uri="{C3380CC4-5D6E-409C-BE32-E72D297353CC}">
              <c16:uniqueId val="{00000001-CA41-48E3-88BB-633E191AB213}"/>
            </c:ext>
          </c:extLst>
        </c:ser>
        <c:ser>
          <c:idx val="2"/>
          <c:order val="3"/>
          <c:tx>
            <c:v>Varianta 1 (ZPP 2019)</c:v>
          </c:tx>
          <c:spPr>
            <a:ln>
              <a:solidFill>
                <a:schemeClr val="tx2">
                  <a:lumMod val="60000"/>
                  <a:lumOff val="40000"/>
                </a:schemeClr>
              </a:solidFill>
            </a:ln>
          </c:spPr>
          <c:marker>
            <c:symbol val="circle"/>
            <c:size val="7"/>
            <c:spPr>
              <a:solidFill>
                <a:schemeClr val="bg1"/>
              </a:solidFill>
              <a:ln w="28575">
                <a:solidFill>
                  <a:schemeClr val="tx2">
                    <a:lumMod val="60000"/>
                    <a:lumOff val="40000"/>
                  </a:schemeClr>
                </a:solidFill>
              </a:ln>
            </c:spPr>
          </c:marker>
          <c:cat>
            <c:numRef>
              <c:f>'ZPP 2021uprav'!$D$65:$G$65</c:f>
              <c:numCache>
                <c:formatCode>General</c:formatCode>
                <c:ptCount val="4"/>
                <c:pt idx="0">
                  <c:v>2021</c:v>
                </c:pt>
                <c:pt idx="1">
                  <c:v>2022</c:v>
                </c:pt>
                <c:pt idx="2">
                  <c:v>2023</c:v>
                </c:pt>
                <c:pt idx="3">
                  <c:v>2024</c:v>
                </c:pt>
              </c:numCache>
            </c:numRef>
          </c:cat>
          <c:val>
            <c:numRef>
              <c:f>'ZPP 2019'!$D$63:$G$63</c:f>
              <c:numCache>
                <c:formatCode>0%</c:formatCode>
                <c:ptCount val="4"/>
                <c:pt idx="0">
                  <c:v>0.13488660493686305</c:v>
                </c:pt>
                <c:pt idx="1">
                  <c:v>0.11164790001272448</c:v>
                </c:pt>
                <c:pt idx="2">
                  <c:v>5.5552651737114829E-2</c:v>
                </c:pt>
                <c:pt idx="3">
                  <c:v>-1.871904370797306E-2</c:v>
                </c:pt>
              </c:numCache>
            </c:numRef>
          </c:val>
          <c:smooth val="0"/>
          <c:extLst>
            <c:ext xmlns:c16="http://schemas.microsoft.com/office/drawing/2014/chart" uri="{C3380CC4-5D6E-409C-BE32-E72D297353CC}">
              <c16:uniqueId val="{00000002-CA41-48E3-88BB-633E191AB213}"/>
            </c:ext>
          </c:extLst>
        </c:ser>
        <c:ser>
          <c:idx val="5"/>
          <c:order val="4"/>
          <c:tx>
            <c:v>Varianta 1 (ZPP 2020)</c:v>
          </c:tx>
          <c:spPr>
            <a:ln>
              <a:solidFill>
                <a:schemeClr val="accent1"/>
              </a:solidFill>
              <a:prstDash val="dash"/>
            </a:ln>
          </c:spPr>
          <c:marker>
            <c:spPr>
              <a:solidFill>
                <a:schemeClr val="bg1"/>
              </a:solidFill>
              <a:ln w="28575">
                <a:solidFill>
                  <a:schemeClr val="accent1"/>
                </a:solidFill>
                <a:prstDash val="solid"/>
              </a:ln>
            </c:spPr>
          </c:marker>
          <c:val>
            <c:numRef>
              <c:f>'ZPP 2020 uprav'!$D$63:$G$63</c:f>
              <c:numCache>
                <c:formatCode>0%</c:formatCode>
                <c:ptCount val="4"/>
                <c:pt idx="0">
                  <c:v>0.13295979631913007</c:v>
                </c:pt>
                <c:pt idx="1">
                  <c:v>-1.7053072096308403E-3</c:v>
                </c:pt>
                <c:pt idx="2">
                  <c:v>-0.20828797060208953</c:v>
                </c:pt>
                <c:pt idx="3">
                  <c:v>-0.46082624402974143</c:v>
                </c:pt>
              </c:numCache>
            </c:numRef>
          </c:val>
          <c:smooth val="0"/>
          <c:extLst>
            <c:ext xmlns:c16="http://schemas.microsoft.com/office/drawing/2014/chart" uri="{C3380CC4-5D6E-409C-BE32-E72D297353CC}">
              <c16:uniqueId val="{00000001-C449-418B-BCA6-A91D2CE6A671}"/>
            </c:ext>
          </c:extLst>
        </c:ser>
        <c:ser>
          <c:idx val="3"/>
          <c:order val="5"/>
          <c:tx>
            <c:v>Varianta 1 (ZPP 2021)</c:v>
          </c:tx>
          <c:spPr>
            <a:ln>
              <a:solidFill>
                <a:schemeClr val="tx2">
                  <a:lumMod val="60000"/>
                  <a:lumOff val="40000"/>
                </a:schemeClr>
              </a:solidFill>
              <a:prstDash val="sysDot"/>
            </a:ln>
          </c:spPr>
          <c:marker>
            <c:symbol val="circle"/>
            <c:size val="7"/>
            <c:spPr>
              <a:solidFill>
                <a:schemeClr val="bg1"/>
              </a:solidFill>
              <a:ln w="28575">
                <a:solidFill>
                  <a:schemeClr val="tx2">
                    <a:lumMod val="60000"/>
                    <a:lumOff val="40000"/>
                  </a:schemeClr>
                </a:solidFill>
              </a:ln>
            </c:spPr>
          </c:marker>
          <c:cat>
            <c:numRef>
              <c:f>'ZPP 2021uprav'!$D$65:$G$65</c:f>
              <c:numCache>
                <c:formatCode>General</c:formatCode>
                <c:ptCount val="4"/>
                <c:pt idx="0">
                  <c:v>2021</c:v>
                </c:pt>
                <c:pt idx="1">
                  <c:v>2022</c:v>
                </c:pt>
                <c:pt idx="2">
                  <c:v>2023</c:v>
                </c:pt>
                <c:pt idx="3">
                  <c:v>2024</c:v>
                </c:pt>
              </c:numCache>
            </c:numRef>
          </c:cat>
          <c:val>
            <c:numRef>
              <c:f>'ZPP 2021uprav'!$D$63:$G$63</c:f>
              <c:numCache>
                <c:formatCode>0%</c:formatCode>
                <c:ptCount val="4"/>
                <c:pt idx="0">
                  <c:v>0.11938589598369549</c:v>
                </c:pt>
                <c:pt idx="1">
                  <c:v>-2.3980828997037022E-2</c:v>
                </c:pt>
                <c:pt idx="2">
                  <c:v>-0.24168775412445589</c:v>
                </c:pt>
                <c:pt idx="3">
                  <c:v>-0.50916116129017586</c:v>
                </c:pt>
              </c:numCache>
            </c:numRef>
          </c:val>
          <c:smooth val="0"/>
          <c:extLst>
            <c:ext xmlns:c16="http://schemas.microsoft.com/office/drawing/2014/chart" uri="{C3380CC4-5D6E-409C-BE32-E72D297353CC}">
              <c16:uniqueId val="{00000003-CA41-48E3-88BB-633E191AB213}"/>
            </c:ext>
          </c:extLst>
        </c:ser>
        <c:dLbls>
          <c:showLegendKey val="0"/>
          <c:showVal val="0"/>
          <c:showCatName val="0"/>
          <c:showSerName val="0"/>
          <c:showPercent val="0"/>
          <c:showBubbleSize val="0"/>
        </c:dLbls>
        <c:marker val="1"/>
        <c:smooth val="0"/>
        <c:axId val="130141568"/>
        <c:axId val="130147840"/>
      </c:lineChart>
      <c:catAx>
        <c:axId val="130141568"/>
        <c:scaling>
          <c:orientation val="minMax"/>
        </c:scaling>
        <c:delete val="0"/>
        <c:axPos val="b"/>
        <c:majorGridlines>
          <c:spPr>
            <a:ln>
              <a:solidFill>
                <a:schemeClr val="bg1">
                  <a:lumMod val="75000"/>
                </a:schemeClr>
              </a:solidFill>
            </a:ln>
          </c:spPr>
        </c:majorGridlines>
        <c:numFmt formatCode="General" sourceLinked="1"/>
        <c:majorTickMark val="none"/>
        <c:minorTickMark val="none"/>
        <c:tickLblPos val="low"/>
        <c:crossAx val="130147840"/>
        <c:crosses val="autoZero"/>
        <c:auto val="1"/>
        <c:lblAlgn val="ctr"/>
        <c:lblOffset val="100"/>
        <c:noMultiLvlLbl val="0"/>
      </c:catAx>
      <c:valAx>
        <c:axId val="130147840"/>
        <c:scaling>
          <c:orientation val="minMax"/>
          <c:max val="0.2"/>
          <c:min val="-0.60000000000000031"/>
        </c:scaling>
        <c:delete val="0"/>
        <c:axPos val="l"/>
        <c:majorGridlines/>
        <c:minorGridlines>
          <c:spPr>
            <a:ln>
              <a:solidFill>
                <a:schemeClr val="bg1">
                  <a:lumMod val="75000"/>
                </a:schemeClr>
              </a:solidFill>
              <a:prstDash val="dash"/>
            </a:ln>
          </c:spPr>
        </c:minorGridlines>
        <c:title>
          <c:tx>
            <c:rich>
              <a:bodyPr rot="-5400000" vert="horz"/>
              <a:lstStyle/>
              <a:p>
                <a:pPr algn="ctr" rtl="0">
                  <a:defRPr/>
                </a:pPr>
                <a:r>
                  <a:rPr lang="cs-CZ"/>
                  <a:t>Srovnání variant č. 0 a č. 1</a:t>
                </a:r>
              </a:p>
              <a:p>
                <a:pPr algn="ctr" rtl="0">
                  <a:defRPr/>
                </a:pPr>
                <a:r>
                  <a:rPr lang="cs-CZ" b="0"/>
                  <a:t>růst výdajů 2020/2021</a:t>
                </a:r>
              </a:p>
            </c:rich>
          </c:tx>
          <c:layout>
            <c:manualLayout>
              <c:xMode val="edge"/>
              <c:yMode val="edge"/>
              <c:x val="1.4787159345399382E-2"/>
              <c:y val="0.21210622201636567"/>
            </c:manualLayout>
          </c:layout>
          <c:overlay val="0"/>
        </c:title>
        <c:numFmt formatCode="0%" sourceLinked="1"/>
        <c:majorTickMark val="none"/>
        <c:minorTickMark val="none"/>
        <c:tickLblPos val="nextTo"/>
        <c:crossAx val="130141568"/>
        <c:crosses val="autoZero"/>
        <c:crossBetween val="between"/>
        <c:majorUnit val="0.1"/>
        <c:minorUnit val="5.0000000000000024E-2"/>
      </c:valAx>
      <c:spPr>
        <a:solidFill>
          <a:schemeClr val="bg1"/>
        </a:solidFill>
        <a:ln>
          <a:solidFill>
            <a:schemeClr val="tx1">
              <a:lumMod val="50000"/>
              <a:lumOff val="50000"/>
            </a:schemeClr>
          </a:solidFill>
        </a:ln>
      </c:spPr>
    </c:plotArea>
    <c:legend>
      <c:legendPos val="t"/>
      <c:layout>
        <c:manualLayout>
          <c:xMode val="edge"/>
          <c:yMode val="edge"/>
          <c:x val="9.4097212429920252E-2"/>
          <c:y val="3.5294117647058837E-2"/>
          <c:w val="0.87770823929724662"/>
          <c:h val="0.1119465161194473"/>
        </c:manualLayout>
      </c:layout>
      <c:overlay val="0"/>
    </c:legend>
    <c:plotVisOnly val="1"/>
    <c:dispBlanksAs val="gap"/>
    <c:showDLblsOverMax val="0"/>
  </c:chart>
  <c:spPr>
    <a:ln>
      <a:noFill/>
    </a:ln>
  </c:spPr>
  <c:txPr>
    <a:bodyPr/>
    <a:lstStyle/>
    <a:p>
      <a:pPr>
        <a:defRPr sz="1000"/>
      </a:pPr>
      <a:endParaRPr lang="cs-CZ"/>
    </a:p>
  </c:tx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637884168577522"/>
          <c:y val="0.16144449590859972"/>
          <c:w val="0.84818723700889986"/>
          <c:h val="0.746010498687664"/>
        </c:manualLayout>
      </c:layout>
      <c:lineChart>
        <c:grouping val="standard"/>
        <c:varyColors val="0"/>
        <c:ser>
          <c:idx val="0"/>
          <c:order val="0"/>
          <c:tx>
            <c:v>Varianta 0 (ZPP 2019)</c:v>
          </c:tx>
          <c:spPr>
            <a:ln>
              <a:solidFill>
                <a:srgbClr val="FFC000"/>
              </a:solidFill>
            </a:ln>
          </c:spPr>
          <c:marker>
            <c:symbol val="circle"/>
            <c:size val="7"/>
            <c:spPr>
              <a:solidFill>
                <a:schemeClr val="bg1"/>
              </a:solidFill>
              <a:ln w="28575">
                <a:solidFill>
                  <a:srgbClr val="FFC000"/>
                </a:solidFill>
              </a:ln>
            </c:spPr>
          </c:marker>
          <c:cat>
            <c:numRef>
              <c:f>'ZPP 2021uprav'!$D$65:$G$65</c:f>
              <c:numCache>
                <c:formatCode>General</c:formatCode>
                <c:ptCount val="4"/>
                <c:pt idx="0">
                  <c:v>2021</c:v>
                </c:pt>
                <c:pt idx="1">
                  <c:v>2022</c:v>
                </c:pt>
                <c:pt idx="2">
                  <c:v>2023</c:v>
                </c:pt>
                <c:pt idx="3">
                  <c:v>2024</c:v>
                </c:pt>
              </c:numCache>
            </c:numRef>
          </c:cat>
          <c:val>
            <c:numRef>
              <c:f>'ZPP 2019'!$D$49:$G$49</c:f>
              <c:numCache>
                <c:formatCode>0%</c:formatCode>
                <c:ptCount val="4"/>
                <c:pt idx="0">
                  <c:v>0.13488660493686305</c:v>
                </c:pt>
                <c:pt idx="1">
                  <c:v>0.14387996433529662</c:v>
                </c:pt>
                <c:pt idx="2">
                  <c:v>0.15059492772547078</c:v>
                </c:pt>
                <c:pt idx="3">
                  <c:v>0.15477692126703141</c:v>
                </c:pt>
              </c:numCache>
            </c:numRef>
          </c:val>
          <c:smooth val="0"/>
          <c:extLst>
            <c:ext xmlns:c16="http://schemas.microsoft.com/office/drawing/2014/chart" uri="{C3380CC4-5D6E-409C-BE32-E72D297353CC}">
              <c16:uniqueId val="{00000000-2C84-4CAE-85A1-D86175D22720}"/>
            </c:ext>
          </c:extLst>
        </c:ser>
        <c:ser>
          <c:idx val="4"/>
          <c:order val="1"/>
          <c:tx>
            <c:v>Varianta 0 (ZPP 2020)</c:v>
          </c:tx>
          <c:spPr>
            <a:ln>
              <a:solidFill>
                <a:srgbClr val="FFC000"/>
              </a:solidFill>
              <a:prstDash val="dash"/>
            </a:ln>
          </c:spPr>
          <c:marker>
            <c:symbol val="circle"/>
            <c:size val="7"/>
            <c:spPr>
              <a:solidFill>
                <a:schemeClr val="bg1"/>
              </a:solidFill>
              <a:ln w="28575">
                <a:solidFill>
                  <a:srgbClr val="FFC000"/>
                </a:solidFill>
              </a:ln>
            </c:spPr>
          </c:marker>
          <c:val>
            <c:numRef>
              <c:f>'ZPP 2020 uprav'!$D$49:$G$49</c:f>
              <c:numCache>
                <c:formatCode>0%</c:formatCode>
                <c:ptCount val="4"/>
                <c:pt idx="0">
                  <c:v>0.13295979631913007</c:v>
                </c:pt>
                <c:pt idx="1">
                  <c:v>3.1273315123305945E-2</c:v>
                </c:pt>
                <c:pt idx="2">
                  <c:v>-0.12273664707719979</c:v>
                </c:pt>
                <c:pt idx="3">
                  <c:v>-0.31930659985925447</c:v>
                </c:pt>
              </c:numCache>
            </c:numRef>
          </c:val>
          <c:smooth val="0"/>
          <c:extLst>
            <c:ext xmlns:c16="http://schemas.microsoft.com/office/drawing/2014/chart" uri="{C3380CC4-5D6E-409C-BE32-E72D297353CC}">
              <c16:uniqueId val="{00000000-7F66-4C76-9C5E-89B72CC2A83B}"/>
            </c:ext>
          </c:extLst>
        </c:ser>
        <c:ser>
          <c:idx val="1"/>
          <c:order val="2"/>
          <c:tx>
            <c:v>Varianta 0 (ZPP 2021)</c:v>
          </c:tx>
          <c:spPr>
            <a:ln>
              <a:solidFill>
                <a:srgbClr val="FFC000"/>
              </a:solidFill>
              <a:prstDash val="sysDot"/>
            </a:ln>
          </c:spPr>
          <c:marker>
            <c:symbol val="circle"/>
            <c:size val="7"/>
            <c:spPr>
              <a:solidFill>
                <a:schemeClr val="bg1"/>
              </a:solidFill>
              <a:ln w="28575">
                <a:solidFill>
                  <a:srgbClr val="FFC000"/>
                </a:solidFill>
              </a:ln>
            </c:spPr>
          </c:marker>
          <c:cat>
            <c:numRef>
              <c:f>'ZPP 2021uprav'!$D$65:$G$65</c:f>
              <c:numCache>
                <c:formatCode>General</c:formatCode>
                <c:ptCount val="4"/>
                <c:pt idx="0">
                  <c:v>2021</c:v>
                </c:pt>
                <c:pt idx="1">
                  <c:v>2022</c:v>
                </c:pt>
                <c:pt idx="2">
                  <c:v>2023</c:v>
                </c:pt>
                <c:pt idx="3">
                  <c:v>2024</c:v>
                </c:pt>
              </c:numCache>
            </c:numRef>
          </c:cat>
          <c:val>
            <c:numRef>
              <c:f>'ZPP 2021uprav'!$D$49:$G$49</c:f>
              <c:numCache>
                <c:formatCode>0%</c:formatCode>
                <c:ptCount val="4"/>
                <c:pt idx="0">
                  <c:v>0.11938589598369549</c:v>
                </c:pt>
                <c:pt idx="1">
                  <c:v>-1.8442486822591021E-2</c:v>
                </c:pt>
                <c:pt idx="2">
                  <c:v>-0.22277871038203545</c:v>
                </c:pt>
                <c:pt idx="3">
                  <c:v>-0.47862795777058831</c:v>
                </c:pt>
              </c:numCache>
            </c:numRef>
          </c:val>
          <c:smooth val="0"/>
          <c:extLst>
            <c:ext xmlns:c16="http://schemas.microsoft.com/office/drawing/2014/chart" uri="{C3380CC4-5D6E-409C-BE32-E72D297353CC}">
              <c16:uniqueId val="{00000001-2C84-4CAE-85A1-D86175D22720}"/>
            </c:ext>
          </c:extLst>
        </c:ser>
        <c:ser>
          <c:idx val="2"/>
          <c:order val="3"/>
          <c:tx>
            <c:v>Varianta 2 (ZPP 2019)</c:v>
          </c:tx>
          <c:spPr>
            <a:ln>
              <a:solidFill>
                <a:srgbClr val="92D050"/>
              </a:solidFill>
            </a:ln>
          </c:spPr>
          <c:marker>
            <c:symbol val="circle"/>
            <c:size val="7"/>
            <c:spPr>
              <a:solidFill>
                <a:schemeClr val="bg1"/>
              </a:solidFill>
              <a:ln w="28575">
                <a:solidFill>
                  <a:srgbClr val="92D050"/>
                </a:solidFill>
              </a:ln>
            </c:spPr>
          </c:marker>
          <c:cat>
            <c:numRef>
              <c:f>'ZPP 2021uprav'!$D$65:$G$65</c:f>
              <c:numCache>
                <c:formatCode>General</c:formatCode>
                <c:ptCount val="4"/>
                <c:pt idx="0">
                  <c:v>2021</c:v>
                </c:pt>
                <c:pt idx="1">
                  <c:v>2022</c:v>
                </c:pt>
                <c:pt idx="2">
                  <c:v>2023</c:v>
                </c:pt>
                <c:pt idx="3">
                  <c:v>2024</c:v>
                </c:pt>
              </c:numCache>
            </c:numRef>
          </c:cat>
          <c:val>
            <c:numRef>
              <c:f>'ZPP 2019'!$D$77:$G$77</c:f>
              <c:numCache>
                <c:formatCode>0%</c:formatCode>
                <c:ptCount val="4"/>
                <c:pt idx="0">
                  <c:v>0.13488660493686305</c:v>
                </c:pt>
                <c:pt idx="1">
                  <c:v>0.12701971844260584</c:v>
                </c:pt>
                <c:pt idx="2">
                  <c:v>9.7081434497108501E-2</c:v>
                </c:pt>
                <c:pt idx="3">
                  <c:v>5.4464467326955146E-2</c:v>
                </c:pt>
              </c:numCache>
            </c:numRef>
          </c:val>
          <c:smooth val="0"/>
          <c:extLst>
            <c:ext xmlns:c16="http://schemas.microsoft.com/office/drawing/2014/chart" uri="{C3380CC4-5D6E-409C-BE32-E72D297353CC}">
              <c16:uniqueId val="{00000002-2C84-4CAE-85A1-D86175D22720}"/>
            </c:ext>
          </c:extLst>
        </c:ser>
        <c:ser>
          <c:idx val="5"/>
          <c:order val="4"/>
          <c:tx>
            <c:v>Varianta 2 (ZPP 2020)</c:v>
          </c:tx>
          <c:spPr>
            <a:ln>
              <a:solidFill>
                <a:srgbClr val="92D050"/>
              </a:solidFill>
              <a:prstDash val="dash"/>
            </a:ln>
          </c:spPr>
          <c:marker>
            <c:symbol val="circle"/>
            <c:size val="7"/>
            <c:spPr>
              <a:solidFill>
                <a:schemeClr val="bg1"/>
              </a:solidFill>
              <a:ln w="28575">
                <a:solidFill>
                  <a:srgbClr val="92D050"/>
                </a:solidFill>
              </a:ln>
            </c:spPr>
          </c:marker>
          <c:val>
            <c:numRef>
              <c:f>'ZPP 2020 uprav'!$D$77:$G$77</c:f>
              <c:numCache>
                <c:formatCode>0%</c:formatCode>
                <c:ptCount val="4"/>
                <c:pt idx="0">
                  <c:v>0.13295979631913007</c:v>
                </c:pt>
                <c:pt idx="1">
                  <c:v>1.2543988784690551E-2</c:v>
                </c:pt>
                <c:pt idx="2">
                  <c:v>-0.17238223775362596</c:v>
                </c:pt>
                <c:pt idx="3">
                  <c:v>-0.40174943400100516</c:v>
                </c:pt>
              </c:numCache>
            </c:numRef>
          </c:val>
          <c:smooth val="0"/>
          <c:extLst>
            <c:ext xmlns:c16="http://schemas.microsoft.com/office/drawing/2014/chart" uri="{C3380CC4-5D6E-409C-BE32-E72D297353CC}">
              <c16:uniqueId val="{00000001-7F66-4C76-9C5E-89B72CC2A83B}"/>
            </c:ext>
          </c:extLst>
        </c:ser>
        <c:ser>
          <c:idx val="3"/>
          <c:order val="5"/>
          <c:tx>
            <c:v>Varianta 2 (ZPP 2021)</c:v>
          </c:tx>
          <c:spPr>
            <a:ln>
              <a:solidFill>
                <a:srgbClr val="92D050"/>
              </a:solidFill>
              <a:prstDash val="sysDot"/>
            </a:ln>
          </c:spPr>
          <c:marker>
            <c:symbol val="circle"/>
            <c:size val="7"/>
            <c:spPr>
              <a:solidFill>
                <a:schemeClr val="bg1"/>
              </a:solidFill>
              <a:ln w="28575">
                <a:solidFill>
                  <a:srgbClr val="92D050"/>
                </a:solidFill>
              </a:ln>
            </c:spPr>
          </c:marker>
          <c:cat>
            <c:numRef>
              <c:f>'ZPP 2021uprav'!$D$65:$G$65</c:f>
              <c:numCache>
                <c:formatCode>General</c:formatCode>
                <c:ptCount val="4"/>
                <c:pt idx="0">
                  <c:v>2021</c:v>
                </c:pt>
                <c:pt idx="1">
                  <c:v>2022</c:v>
                </c:pt>
                <c:pt idx="2">
                  <c:v>2023</c:v>
                </c:pt>
                <c:pt idx="3">
                  <c:v>2024</c:v>
                </c:pt>
              </c:numCache>
            </c:numRef>
          </c:cat>
          <c:val>
            <c:numRef>
              <c:f>'ZPP 2021uprav'!$D$77:$G$77</c:f>
              <c:numCache>
                <c:formatCode>0%</c:formatCode>
                <c:ptCount val="4"/>
                <c:pt idx="0">
                  <c:v>0.11938589598369549</c:v>
                </c:pt>
                <c:pt idx="1">
                  <c:v>-1.4113242476610232E-2</c:v>
                </c:pt>
                <c:pt idx="2">
                  <c:v>-0.2163362848113988</c:v>
                </c:pt>
                <c:pt idx="3">
                  <c:v>-0.46711637755791541</c:v>
                </c:pt>
              </c:numCache>
            </c:numRef>
          </c:val>
          <c:smooth val="0"/>
          <c:extLst>
            <c:ext xmlns:c16="http://schemas.microsoft.com/office/drawing/2014/chart" uri="{C3380CC4-5D6E-409C-BE32-E72D297353CC}">
              <c16:uniqueId val="{00000003-2C84-4CAE-85A1-D86175D22720}"/>
            </c:ext>
          </c:extLst>
        </c:ser>
        <c:dLbls>
          <c:showLegendKey val="0"/>
          <c:showVal val="0"/>
          <c:showCatName val="0"/>
          <c:showSerName val="0"/>
          <c:showPercent val="0"/>
          <c:showBubbleSize val="0"/>
        </c:dLbls>
        <c:marker val="1"/>
        <c:smooth val="0"/>
        <c:axId val="130182528"/>
        <c:axId val="130201088"/>
      </c:lineChart>
      <c:catAx>
        <c:axId val="130182528"/>
        <c:scaling>
          <c:orientation val="minMax"/>
        </c:scaling>
        <c:delete val="0"/>
        <c:axPos val="b"/>
        <c:majorGridlines>
          <c:spPr>
            <a:ln>
              <a:solidFill>
                <a:schemeClr val="bg1">
                  <a:lumMod val="75000"/>
                </a:schemeClr>
              </a:solidFill>
            </a:ln>
          </c:spPr>
        </c:majorGridlines>
        <c:numFmt formatCode="General" sourceLinked="1"/>
        <c:majorTickMark val="none"/>
        <c:minorTickMark val="none"/>
        <c:tickLblPos val="low"/>
        <c:crossAx val="130201088"/>
        <c:crosses val="autoZero"/>
        <c:auto val="1"/>
        <c:lblAlgn val="ctr"/>
        <c:lblOffset val="100"/>
        <c:noMultiLvlLbl val="0"/>
      </c:catAx>
      <c:valAx>
        <c:axId val="130201088"/>
        <c:scaling>
          <c:orientation val="minMax"/>
          <c:max val="0.2"/>
          <c:min val="-0.5"/>
        </c:scaling>
        <c:delete val="0"/>
        <c:axPos val="l"/>
        <c:majorGridlines/>
        <c:minorGridlines>
          <c:spPr>
            <a:ln>
              <a:solidFill>
                <a:schemeClr val="bg1">
                  <a:lumMod val="75000"/>
                </a:schemeClr>
              </a:solidFill>
              <a:prstDash val="dash"/>
            </a:ln>
          </c:spPr>
        </c:minorGridlines>
        <c:title>
          <c:tx>
            <c:rich>
              <a:bodyPr rot="-5400000" vert="horz"/>
              <a:lstStyle/>
              <a:p>
                <a:pPr algn="ctr" rtl="0">
                  <a:defRPr/>
                </a:pPr>
                <a:r>
                  <a:rPr lang="cs-CZ"/>
                  <a:t>Srovnání variant č. 0 a č. 2</a:t>
                </a:r>
              </a:p>
              <a:p>
                <a:pPr algn="ctr" rtl="0">
                  <a:defRPr/>
                </a:pPr>
                <a:r>
                  <a:rPr lang="cs-CZ" b="0"/>
                  <a:t>růst výdajů 2020/2021</a:t>
                </a:r>
              </a:p>
            </c:rich>
          </c:tx>
          <c:layout>
            <c:manualLayout>
              <c:xMode val="edge"/>
              <c:yMode val="edge"/>
              <c:x val="1.4787159345399382E-2"/>
              <c:y val="0.21210622201636567"/>
            </c:manualLayout>
          </c:layout>
          <c:overlay val="0"/>
        </c:title>
        <c:numFmt formatCode="0%" sourceLinked="1"/>
        <c:majorTickMark val="none"/>
        <c:minorTickMark val="none"/>
        <c:tickLblPos val="nextTo"/>
        <c:crossAx val="130182528"/>
        <c:crosses val="autoZero"/>
        <c:crossBetween val="between"/>
        <c:majorUnit val="0.1"/>
        <c:minorUnit val="5.0000000000000024E-2"/>
      </c:valAx>
      <c:spPr>
        <a:solidFill>
          <a:schemeClr val="bg1"/>
        </a:solidFill>
        <a:ln>
          <a:solidFill>
            <a:schemeClr val="tx1">
              <a:lumMod val="50000"/>
              <a:lumOff val="50000"/>
            </a:schemeClr>
          </a:solidFill>
        </a:ln>
      </c:spPr>
    </c:plotArea>
    <c:legend>
      <c:legendPos val="t"/>
      <c:layout>
        <c:manualLayout>
          <c:xMode val="edge"/>
          <c:yMode val="edge"/>
          <c:x val="4.1967565462524156E-2"/>
          <c:y val="1.3598001129465333E-2"/>
          <c:w val="0.93084934239564698"/>
          <c:h val="0.13701332075985589"/>
        </c:manualLayout>
      </c:layout>
      <c:overlay val="0"/>
    </c:legend>
    <c:plotVisOnly val="1"/>
    <c:dispBlanksAs val="gap"/>
    <c:showDLblsOverMax val="0"/>
  </c:chart>
  <c:spPr>
    <a:ln>
      <a:noFill/>
    </a:ln>
  </c:spPr>
  <c:txPr>
    <a:bodyPr/>
    <a:lstStyle/>
    <a:p>
      <a:pPr>
        <a:defRPr sz="1000"/>
      </a:pPr>
      <a:endParaRPr lang="cs-CZ"/>
    </a:p>
  </c:txPr>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1"/>
          <c:order val="0"/>
          <c:tx>
            <c:strRef>
              <c:f>'P T10,11 G5'!$J$3</c:f>
              <c:strCache>
                <c:ptCount val="1"/>
                <c:pt idx="0">
                  <c:v>Oč. skut. 2020</c:v>
                </c:pt>
              </c:strCache>
            </c:strRef>
          </c:tx>
          <c:invertIfNegative val="0"/>
          <c:dLbls>
            <c:dLbl>
              <c:idx val="0"/>
              <c:layout>
                <c:manualLayout>
                  <c:x val="2.4182864683259691E-3"/>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81A0-47B0-ABC1-640DB6C6C4E8}"/>
                </c:ext>
              </c:extLst>
            </c:dLbl>
            <c:dLbl>
              <c:idx val="1"/>
              <c:layout>
                <c:manualLayout>
                  <c:x val="-4.4077134986225909E-3"/>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81A0-47B0-ABC1-640DB6C6C4E8}"/>
                </c:ext>
              </c:extLst>
            </c:dLbl>
            <c:dLbl>
              <c:idx val="2"/>
              <c:layout>
                <c:manualLayout>
                  <c:x val="-6.6115702479338859E-3"/>
                  <c:y val="-9.2242120993956331E-17"/>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81A0-47B0-ABC1-640DB6C6C4E8}"/>
                </c:ext>
              </c:extLst>
            </c:dLbl>
            <c:dLbl>
              <c:idx val="3"/>
              <c:layout>
                <c:manualLayout>
                  <c:x val="-6.6115702479338859E-3"/>
                  <c:y val="9.2242120993956331E-17"/>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81A0-47B0-ABC1-640DB6C6C4E8}"/>
                </c:ext>
              </c:extLst>
            </c:dLbl>
            <c:dLbl>
              <c:idx val="5"/>
              <c:layout>
                <c:manualLayout>
                  <c:x val="-1.5426997245179068E-2"/>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81A0-47B0-ABC1-640DB6C6C4E8}"/>
                </c:ext>
              </c:extLst>
            </c:dLbl>
            <c:dLbl>
              <c:idx val="6"/>
              <c:layout>
                <c:manualLayout>
                  <c:x val="-1.3223140495867777E-2"/>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81A0-47B0-ABC1-640DB6C6C4E8}"/>
                </c:ext>
              </c:extLst>
            </c:dLbl>
            <c:numFmt formatCode="#,##0" sourceLinked="0"/>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 G1'!$B$3:$H$3</c:f>
              <c:strCache>
                <c:ptCount val="7"/>
                <c:pt idx="0">
                  <c:v>VZP ČR</c:v>
                </c:pt>
                <c:pt idx="1">
                  <c:v>VoZP ČR</c:v>
                </c:pt>
                <c:pt idx="2">
                  <c:v>ČPZP</c:v>
                </c:pt>
                <c:pt idx="3">
                  <c:v>OZP</c:v>
                </c:pt>
                <c:pt idx="4">
                  <c:v>ZPŠ</c:v>
                </c:pt>
                <c:pt idx="5">
                  <c:v>ZPMV ČR</c:v>
                </c:pt>
                <c:pt idx="6">
                  <c:v>RBP</c:v>
                </c:pt>
              </c:strCache>
            </c:strRef>
          </c:cat>
          <c:val>
            <c:numRef>
              <c:f>'P T10,11 G5'!$K$3:$Q$3</c:f>
              <c:numCache>
                <c:formatCode>0</c:formatCode>
                <c:ptCount val="7"/>
                <c:pt idx="0">
                  <c:v>3660</c:v>
                </c:pt>
                <c:pt idx="1">
                  <c:v>394</c:v>
                </c:pt>
                <c:pt idx="2">
                  <c:v>658</c:v>
                </c:pt>
                <c:pt idx="3">
                  <c:v>409</c:v>
                </c:pt>
                <c:pt idx="4">
                  <c:v>82</c:v>
                </c:pt>
                <c:pt idx="5">
                  <c:v>722</c:v>
                </c:pt>
                <c:pt idx="6">
                  <c:v>240</c:v>
                </c:pt>
              </c:numCache>
            </c:numRef>
          </c:val>
          <c:extLst>
            <c:ext xmlns:c16="http://schemas.microsoft.com/office/drawing/2014/chart" uri="{C3380CC4-5D6E-409C-BE32-E72D297353CC}">
              <c16:uniqueId val="{00000001-E447-4AF9-9847-48BEA33B79D7}"/>
            </c:ext>
          </c:extLst>
        </c:ser>
        <c:ser>
          <c:idx val="2"/>
          <c:order val="1"/>
          <c:tx>
            <c:strRef>
              <c:f>'P T10,11 G5'!$J$4</c:f>
              <c:strCache>
                <c:ptCount val="1"/>
                <c:pt idx="0">
                  <c:v>ZPP 2021</c:v>
                </c:pt>
              </c:strCache>
            </c:strRef>
          </c:tx>
          <c:spPr>
            <a:solidFill>
              <a:schemeClr val="accent1"/>
            </a:solidFill>
          </c:spPr>
          <c:invertIfNegative val="0"/>
          <c:dLbls>
            <c:dLbl>
              <c:idx val="0"/>
              <c:layout>
                <c:manualLayout>
                  <c:x val="1.763085399449036E-2"/>
                  <c:y val="-1.50943396226415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81A0-47B0-ABC1-640DB6C6C4E8}"/>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 G1'!$B$3:$H$3</c:f>
              <c:strCache>
                <c:ptCount val="7"/>
                <c:pt idx="0">
                  <c:v>VZP ČR</c:v>
                </c:pt>
                <c:pt idx="1">
                  <c:v>VoZP ČR</c:v>
                </c:pt>
                <c:pt idx="2">
                  <c:v>ČPZP</c:v>
                </c:pt>
                <c:pt idx="3">
                  <c:v>OZP</c:v>
                </c:pt>
                <c:pt idx="4">
                  <c:v>ZPŠ</c:v>
                </c:pt>
                <c:pt idx="5">
                  <c:v>ZPMV ČR</c:v>
                </c:pt>
                <c:pt idx="6">
                  <c:v>RBP</c:v>
                </c:pt>
              </c:strCache>
            </c:strRef>
          </c:cat>
          <c:val>
            <c:numRef>
              <c:f>'P T10,11 G5'!$K$4:$Q$4</c:f>
              <c:numCache>
                <c:formatCode>0</c:formatCode>
                <c:ptCount val="7"/>
                <c:pt idx="0">
                  <c:v>3750</c:v>
                </c:pt>
                <c:pt idx="1">
                  <c:v>394</c:v>
                </c:pt>
                <c:pt idx="2">
                  <c:v>667</c:v>
                </c:pt>
                <c:pt idx="3">
                  <c:v>418</c:v>
                </c:pt>
                <c:pt idx="4">
                  <c:v>83</c:v>
                </c:pt>
                <c:pt idx="5">
                  <c:v>722</c:v>
                </c:pt>
                <c:pt idx="6">
                  <c:v>243</c:v>
                </c:pt>
              </c:numCache>
            </c:numRef>
          </c:val>
          <c:extLst>
            <c:ext xmlns:c16="http://schemas.microsoft.com/office/drawing/2014/chart" uri="{C3380CC4-5D6E-409C-BE32-E72D297353CC}">
              <c16:uniqueId val="{00000002-E447-4AF9-9847-48BEA33B79D7}"/>
            </c:ext>
          </c:extLst>
        </c:ser>
        <c:dLbls>
          <c:showLegendKey val="0"/>
          <c:showVal val="0"/>
          <c:showCatName val="0"/>
          <c:showSerName val="0"/>
          <c:showPercent val="0"/>
          <c:showBubbleSize val="0"/>
        </c:dLbls>
        <c:gapWidth val="150"/>
        <c:axId val="149695872"/>
        <c:axId val="149705856"/>
      </c:barChart>
      <c:catAx>
        <c:axId val="149695872"/>
        <c:scaling>
          <c:orientation val="minMax"/>
        </c:scaling>
        <c:delete val="0"/>
        <c:axPos val="b"/>
        <c:majorGridlines/>
        <c:numFmt formatCode="General" sourceLinked="0"/>
        <c:majorTickMark val="out"/>
        <c:minorTickMark val="none"/>
        <c:tickLblPos val="nextTo"/>
        <c:crossAx val="149705856"/>
        <c:crosses val="autoZero"/>
        <c:auto val="1"/>
        <c:lblAlgn val="ctr"/>
        <c:lblOffset val="100"/>
        <c:noMultiLvlLbl val="0"/>
      </c:catAx>
      <c:valAx>
        <c:axId val="149705856"/>
        <c:scaling>
          <c:orientation val="minMax"/>
          <c:max val="4000"/>
          <c:min val="0"/>
        </c:scaling>
        <c:delete val="0"/>
        <c:axPos val="l"/>
        <c:majorGridlines/>
        <c:minorGridlines>
          <c:spPr>
            <a:ln>
              <a:prstDash val="dash"/>
            </a:ln>
          </c:spPr>
        </c:minorGridlines>
        <c:title>
          <c:tx>
            <c:rich>
              <a:bodyPr rot="-5400000" vert="horz"/>
              <a:lstStyle/>
              <a:p>
                <a:pPr>
                  <a:defRPr/>
                </a:pPr>
                <a:r>
                  <a:rPr lang="cs-CZ"/>
                  <a:t>Počet zaměstnanců k 31. 12.</a:t>
                </a:r>
              </a:p>
            </c:rich>
          </c:tx>
          <c:overlay val="0"/>
        </c:title>
        <c:numFmt formatCode="#,##0" sourceLinked="0"/>
        <c:majorTickMark val="out"/>
        <c:minorTickMark val="none"/>
        <c:tickLblPos val="nextTo"/>
        <c:crossAx val="149695872"/>
        <c:crosses val="autoZero"/>
        <c:crossBetween val="between"/>
        <c:majorUnit val="500"/>
        <c:minorUnit val="250"/>
      </c:valAx>
    </c:plotArea>
    <c:legend>
      <c:legendPos val="r"/>
      <c:layout>
        <c:manualLayout>
          <c:xMode val="edge"/>
          <c:yMode val="edge"/>
          <c:x val="0.81064705108942581"/>
          <c:y val="4.7944417019062012E-2"/>
          <c:w val="0.16673006507824625"/>
          <c:h val="0.17199685258623976"/>
        </c:manualLayout>
      </c:layout>
      <c:overlay val="1"/>
    </c:legend>
    <c:plotVisOnly val="1"/>
    <c:dispBlanksAs val="gap"/>
    <c:showDLblsOverMax val="0"/>
  </c:chart>
  <c:spPr>
    <a:ln>
      <a:noFill/>
    </a:ln>
  </c:spPr>
  <c:txPr>
    <a:bodyPr/>
    <a:lstStyle/>
    <a:p>
      <a:pPr>
        <a:defRPr sz="1000"/>
      </a:pPr>
      <a:endParaRPr lang="cs-CZ"/>
    </a:p>
  </c:txPr>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1240625"/>
          <c:y val="5.4724652777777778E-2"/>
          <c:w val="0.8555302083333336"/>
          <c:h val="0.85273020833333368"/>
        </c:manualLayout>
      </c:layout>
      <c:lineChart>
        <c:grouping val="standard"/>
        <c:varyColors val="0"/>
        <c:ser>
          <c:idx val="3"/>
          <c:order val="0"/>
          <c:tx>
            <c:strRef>
              <c:f>'G2'!$B$9</c:f>
              <c:strCache>
                <c:ptCount val="1"/>
                <c:pt idx="0">
                  <c:v>Celkové náklady</c:v>
                </c:pt>
              </c:strCache>
            </c:strRef>
          </c:tx>
          <c:marker>
            <c:symbol val="circle"/>
            <c:size val="7"/>
            <c:spPr>
              <a:solidFill>
                <a:schemeClr val="bg1"/>
              </a:solidFill>
              <a:ln w="28575"/>
            </c:spPr>
          </c:marker>
          <c:cat>
            <c:numRef>
              <c:f>'G2'!$I$3:$O$3</c:f>
              <c:numCache>
                <c:formatCode>General</c:formatCode>
                <c:ptCount val="7"/>
                <c:pt idx="0">
                  <c:v>2015</c:v>
                </c:pt>
                <c:pt idx="1">
                  <c:v>2016</c:v>
                </c:pt>
                <c:pt idx="2">
                  <c:v>2017</c:v>
                </c:pt>
                <c:pt idx="3">
                  <c:v>2018</c:v>
                </c:pt>
                <c:pt idx="4">
                  <c:v>2019</c:v>
                </c:pt>
                <c:pt idx="5">
                  <c:v>2020</c:v>
                </c:pt>
                <c:pt idx="6">
                  <c:v>2021</c:v>
                </c:pt>
              </c:numCache>
            </c:numRef>
          </c:cat>
          <c:val>
            <c:numRef>
              <c:f>'G2'!$I$9:$O$9</c:f>
              <c:numCache>
                <c:formatCode>#,##0</c:formatCode>
                <c:ptCount val="7"/>
                <c:pt idx="0">
                  <c:v>241975</c:v>
                </c:pt>
                <c:pt idx="1">
                  <c:v>253424</c:v>
                </c:pt>
                <c:pt idx="2">
                  <c:v>267250</c:v>
                </c:pt>
                <c:pt idx="3">
                  <c:v>285302</c:v>
                </c:pt>
                <c:pt idx="4">
                  <c:v>310969</c:v>
                </c:pt>
                <c:pt idx="5">
                  <c:v>351925</c:v>
                </c:pt>
                <c:pt idx="6">
                  <c:v>383375</c:v>
                </c:pt>
              </c:numCache>
            </c:numRef>
          </c:val>
          <c:smooth val="0"/>
          <c:extLst>
            <c:ext xmlns:c16="http://schemas.microsoft.com/office/drawing/2014/chart" uri="{C3380CC4-5D6E-409C-BE32-E72D297353CC}">
              <c16:uniqueId val="{00000000-DA76-41AC-968B-C79131B20889}"/>
            </c:ext>
          </c:extLst>
        </c:ser>
        <c:dLbls>
          <c:showLegendKey val="0"/>
          <c:showVal val="0"/>
          <c:showCatName val="0"/>
          <c:showSerName val="0"/>
          <c:showPercent val="0"/>
          <c:showBubbleSize val="0"/>
        </c:dLbls>
        <c:marker val="1"/>
        <c:smooth val="0"/>
        <c:axId val="149742336"/>
        <c:axId val="149744256"/>
      </c:lineChart>
      <c:catAx>
        <c:axId val="149742336"/>
        <c:scaling>
          <c:orientation val="minMax"/>
        </c:scaling>
        <c:delete val="0"/>
        <c:axPos val="b"/>
        <c:majorGridlines>
          <c:spPr>
            <a:ln>
              <a:solidFill>
                <a:schemeClr val="bg1">
                  <a:lumMod val="75000"/>
                </a:schemeClr>
              </a:solidFill>
            </a:ln>
          </c:spPr>
        </c:majorGridlines>
        <c:numFmt formatCode="General" sourceLinked="1"/>
        <c:majorTickMark val="none"/>
        <c:minorTickMark val="none"/>
        <c:tickLblPos val="nextTo"/>
        <c:txPr>
          <a:bodyPr/>
          <a:lstStyle/>
          <a:p>
            <a:pPr>
              <a:defRPr sz="1050"/>
            </a:pPr>
            <a:endParaRPr lang="cs-CZ"/>
          </a:p>
        </c:txPr>
        <c:crossAx val="149744256"/>
        <c:crosses val="autoZero"/>
        <c:auto val="1"/>
        <c:lblAlgn val="ctr"/>
        <c:lblOffset val="100"/>
        <c:noMultiLvlLbl val="0"/>
      </c:catAx>
      <c:valAx>
        <c:axId val="149744256"/>
        <c:scaling>
          <c:orientation val="minMax"/>
          <c:max val="400000"/>
          <c:min val="240000"/>
        </c:scaling>
        <c:delete val="0"/>
        <c:axPos val="l"/>
        <c:majorGridlines/>
        <c:minorGridlines>
          <c:spPr>
            <a:ln>
              <a:solidFill>
                <a:schemeClr val="bg1">
                  <a:lumMod val="75000"/>
                </a:schemeClr>
              </a:solidFill>
              <a:prstDash val="dash"/>
            </a:ln>
          </c:spPr>
        </c:minorGridlines>
        <c:title>
          <c:tx>
            <c:rich>
              <a:bodyPr rot="-5400000" vert="horz"/>
              <a:lstStyle/>
              <a:p>
                <a:pPr>
                  <a:defRPr sz="1050"/>
                </a:pPr>
                <a:r>
                  <a:rPr lang="cs-CZ" sz="1050"/>
                  <a:t>Náklady na zdravotní služby</a:t>
                </a:r>
              </a:p>
              <a:p>
                <a:pPr>
                  <a:defRPr sz="1050"/>
                </a:pPr>
                <a:r>
                  <a:rPr lang="cs-CZ" sz="1050" b="0"/>
                  <a:t>(v mld. Kč)</a:t>
                </a:r>
              </a:p>
            </c:rich>
          </c:tx>
          <c:layout>
            <c:manualLayout>
              <c:xMode val="edge"/>
              <c:yMode val="edge"/>
              <c:x val="1.6395833333333343E-3"/>
              <c:y val="0.1916555555555555"/>
            </c:manualLayout>
          </c:layout>
          <c:overlay val="0"/>
        </c:title>
        <c:numFmt formatCode="#,##0" sourceLinked="1"/>
        <c:majorTickMark val="none"/>
        <c:minorTickMark val="none"/>
        <c:tickLblPos val="nextTo"/>
        <c:txPr>
          <a:bodyPr/>
          <a:lstStyle/>
          <a:p>
            <a:pPr>
              <a:defRPr sz="1050"/>
            </a:pPr>
            <a:endParaRPr lang="cs-CZ"/>
          </a:p>
        </c:txPr>
        <c:crossAx val="149742336"/>
        <c:crosses val="autoZero"/>
        <c:crossBetween val="between"/>
        <c:majorUnit val="20000"/>
        <c:minorUnit val="10000"/>
        <c:dispUnits>
          <c:builtInUnit val="thousands"/>
        </c:dispUnits>
      </c:valAx>
      <c:spPr>
        <a:ln>
          <a:solidFill>
            <a:schemeClr val="tx1">
              <a:lumMod val="50000"/>
              <a:lumOff val="50000"/>
            </a:schemeClr>
          </a:solidFill>
        </a:ln>
      </c:spPr>
    </c:plotArea>
    <c:plotVisOnly val="1"/>
    <c:dispBlanksAs val="gap"/>
    <c:showDLblsOverMax val="0"/>
  </c:chart>
  <c:spPr>
    <a:solidFill>
      <a:schemeClr val="bg1"/>
    </a:solidFill>
    <a:ln>
      <a:noFill/>
    </a:ln>
  </c:spPr>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903576388888888"/>
          <c:y val="9.4777777777777794E-2"/>
          <c:w val="0.8555302083333336"/>
          <c:h val="0.81267708333333355"/>
        </c:manualLayout>
      </c:layout>
      <c:lineChart>
        <c:grouping val="standard"/>
        <c:varyColors val="0"/>
        <c:ser>
          <c:idx val="0"/>
          <c:order val="0"/>
          <c:tx>
            <c:strRef>
              <c:f>'G2'!$B$6</c:f>
              <c:strCache>
                <c:ptCount val="1"/>
                <c:pt idx="0">
                  <c:v>Náklady na ambulantní péči</c:v>
                </c:pt>
              </c:strCache>
            </c:strRef>
          </c:tx>
          <c:spPr>
            <a:ln>
              <a:solidFill>
                <a:schemeClr val="accent2"/>
              </a:solidFill>
            </a:ln>
          </c:spPr>
          <c:marker>
            <c:symbol val="circle"/>
            <c:size val="7"/>
            <c:spPr>
              <a:solidFill>
                <a:schemeClr val="bg1"/>
              </a:solidFill>
              <a:ln w="28575">
                <a:solidFill>
                  <a:schemeClr val="accent2"/>
                </a:solidFill>
              </a:ln>
            </c:spPr>
          </c:marker>
          <c:cat>
            <c:numRef>
              <c:f>'G2'!$I$3:$O$3</c:f>
              <c:numCache>
                <c:formatCode>General</c:formatCode>
                <c:ptCount val="7"/>
                <c:pt idx="0">
                  <c:v>2015</c:v>
                </c:pt>
                <c:pt idx="1">
                  <c:v>2016</c:v>
                </c:pt>
                <c:pt idx="2">
                  <c:v>2017</c:v>
                </c:pt>
                <c:pt idx="3">
                  <c:v>2018</c:v>
                </c:pt>
                <c:pt idx="4">
                  <c:v>2019</c:v>
                </c:pt>
                <c:pt idx="5">
                  <c:v>2020</c:v>
                </c:pt>
                <c:pt idx="6">
                  <c:v>2021</c:v>
                </c:pt>
              </c:numCache>
            </c:numRef>
          </c:cat>
          <c:val>
            <c:numRef>
              <c:f>'G2'!$I$6:$O$6</c:f>
              <c:numCache>
                <c:formatCode>#,##0</c:formatCode>
                <c:ptCount val="7"/>
                <c:pt idx="0">
                  <c:v>64829</c:v>
                </c:pt>
                <c:pt idx="1">
                  <c:v>69248</c:v>
                </c:pt>
                <c:pt idx="2">
                  <c:v>72172</c:v>
                </c:pt>
                <c:pt idx="3">
                  <c:v>75094</c:v>
                </c:pt>
                <c:pt idx="4">
                  <c:v>83028</c:v>
                </c:pt>
                <c:pt idx="5">
                  <c:v>93411</c:v>
                </c:pt>
                <c:pt idx="6">
                  <c:v>99674</c:v>
                </c:pt>
              </c:numCache>
            </c:numRef>
          </c:val>
          <c:smooth val="0"/>
          <c:extLst>
            <c:ext xmlns:c16="http://schemas.microsoft.com/office/drawing/2014/chart" uri="{C3380CC4-5D6E-409C-BE32-E72D297353CC}">
              <c16:uniqueId val="{00000000-CB99-4C83-B468-1D9B30DAFF05}"/>
            </c:ext>
          </c:extLst>
        </c:ser>
        <c:ser>
          <c:idx val="1"/>
          <c:order val="1"/>
          <c:tx>
            <c:strRef>
              <c:f>'G2'!$B$7</c:f>
              <c:strCache>
                <c:ptCount val="1"/>
                <c:pt idx="0">
                  <c:v>Náklady na lůžkovou péči</c:v>
                </c:pt>
              </c:strCache>
            </c:strRef>
          </c:tx>
          <c:spPr>
            <a:ln>
              <a:solidFill>
                <a:schemeClr val="tx2">
                  <a:lumMod val="60000"/>
                  <a:lumOff val="40000"/>
                </a:schemeClr>
              </a:solidFill>
            </a:ln>
          </c:spPr>
          <c:marker>
            <c:symbol val="circle"/>
            <c:size val="7"/>
            <c:spPr>
              <a:solidFill>
                <a:schemeClr val="bg1"/>
              </a:solidFill>
              <a:ln w="28575">
                <a:solidFill>
                  <a:schemeClr val="tx2">
                    <a:lumMod val="60000"/>
                    <a:lumOff val="40000"/>
                  </a:schemeClr>
                </a:solidFill>
              </a:ln>
            </c:spPr>
          </c:marker>
          <c:cat>
            <c:numRef>
              <c:f>'G2'!$I$3:$O$3</c:f>
              <c:numCache>
                <c:formatCode>General</c:formatCode>
                <c:ptCount val="7"/>
                <c:pt idx="0">
                  <c:v>2015</c:v>
                </c:pt>
                <c:pt idx="1">
                  <c:v>2016</c:v>
                </c:pt>
                <c:pt idx="2">
                  <c:v>2017</c:v>
                </c:pt>
                <c:pt idx="3">
                  <c:v>2018</c:v>
                </c:pt>
                <c:pt idx="4">
                  <c:v>2019</c:v>
                </c:pt>
                <c:pt idx="5">
                  <c:v>2020</c:v>
                </c:pt>
                <c:pt idx="6">
                  <c:v>2021</c:v>
                </c:pt>
              </c:numCache>
            </c:numRef>
          </c:cat>
          <c:val>
            <c:numRef>
              <c:f>'G2'!$I$7:$O$7</c:f>
              <c:numCache>
                <c:formatCode>#,##0</c:formatCode>
                <c:ptCount val="7"/>
                <c:pt idx="0">
                  <c:v>127454</c:v>
                </c:pt>
                <c:pt idx="1">
                  <c:v>132958</c:v>
                </c:pt>
                <c:pt idx="2">
                  <c:v>142610</c:v>
                </c:pt>
                <c:pt idx="3">
                  <c:v>155361</c:v>
                </c:pt>
                <c:pt idx="4">
                  <c:v>170226</c:v>
                </c:pt>
                <c:pt idx="5">
                  <c:v>196982</c:v>
                </c:pt>
                <c:pt idx="6">
                  <c:v>217210</c:v>
                </c:pt>
              </c:numCache>
            </c:numRef>
          </c:val>
          <c:smooth val="0"/>
          <c:extLst>
            <c:ext xmlns:c16="http://schemas.microsoft.com/office/drawing/2014/chart" uri="{C3380CC4-5D6E-409C-BE32-E72D297353CC}">
              <c16:uniqueId val="{00000001-CB99-4C83-B468-1D9B30DAFF05}"/>
            </c:ext>
          </c:extLst>
        </c:ser>
        <c:ser>
          <c:idx val="2"/>
          <c:order val="2"/>
          <c:tx>
            <c:strRef>
              <c:f>'G2'!$B$8</c:f>
              <c:strCache>
                <c:ptCount val="1"/>
                <c:pt idx="0">
                  <c:v>Ostatní náklady</c:v>
                </c:pt>
              </c:strCache>
            </c:strRef>
          </c:tx>
          <c:spPr>
            <a:ln>
              <a:solidFill>
                <a:srgbClr val="FFC000"/>
              </a:solidFill>
            </a:ln>
          </c:spPr>
          <c:marker>
            <c:symbol val="circle"/>
            <c:size val="7"/>
            <c:spPr>
              <a:solidFill>
                <a:schemeClr val="bg1"/>
              </a:solidFill>
              <a:ln w="28575">
                <a:solidFill>
                  <a:srgbClr val="FFC000"/>
                </a:solidFill>
              </a:ln>
            </c:spPr>
          </c:marker>
          <c:cat>
            <c:numRef>
              <c:f>'G2'!$I$3:$O$3</c:f>
              <c:numCache>
                <c:formatCode>General</c:formatCode>
                <c:ptCount val="7"/>
                <c:pt idx="0">
                  <c:v>2015</c:v>
                </c:pt>
                <c:pt idx="1">
                  <c:v>2016</c:v>
                </c:pt>
                <c:pt idx="2">
                  <c:v>2017</c:v>
                </c:pt>
                <c:pt idx="3">
                  <c:v>2018</c:v>
                </c:pt>
                <c:pt idx="4">
                  <c:v>2019</c:v>
                </c:pt>
                <c:pt idx="5">
                  <c:v>2020</c:v>
                </c:pt>
                <c:pt idx="6">
                  <c:v>2021</c:v>
                </c:pt>
              </c:numCache>
            </c:numRef>
          </c:cat>
          <c:val>
            <c:numRef>
              <c:f>'G2'!$I$8:$O$8</c:f>
              <c:numCache>
                <c:formatCode>#,##0</c:formatCode>
                <c:ptCount val="7"/>
                <c:pt idx="0">
                  <c:v>49692</c:v>
                </c:pt>
                <c:pt idx="1">
                  <c:v>51218</c:v>
                </c:pt>
                <c:pt idx="2">
                  <c:v>52468</c:v>
                </c:pt>
                <c:pt idx="3">
                  <c:v>54847</c:v>
                </c:pt>
                <c:pt idx="4">
                  <c:v>57715</c:v>
                </c:pt>
                <c:pt idx="5">
                  <c:v>61532</c:v>
                </c:pt>
                <c:pt idx="6">
                  <c:v>66491</c:v>
                </c:pt>
              </c:numCache>
            </c:numRef>
          </c:val>
          <c:smooth val="0"/>
          <c:extLst>
            <c:ext xmlns:c16="http://schemas.microsoft.com/office/drawing/2014/chart" uri="{C3380CC4-5D6E-409C-BE32-E72D297353CC}">
              <c16:uniqueId val="{00000002-CB99-4C83-B468-1D9B30DAFF05}"/>
            </c:ext>
          </c:extLst>
        </c:ser>
        <c:dLbls>
          <c:showLegendKey val="0"/>
          <c:showVal val="0"/>
          <c:showCatName val="0"/>
          <c:showSerName val="0"/>
          <c:showPercent val="0"/>
          <c:showBubbleSize val="0"/>
        </c:dLbls>
        <c:marker val="1"/>
        <c:smooth val="0"/>
        <c:axId val="130262144"/>
        <c:axId val="130264064"/>
      </c:lineChart>
      <c:catAx>
        <c:axId val="130262144"/>
        <c:scaling>
          <c:orientation val="minMax"/>
        </c:scaling>
        <c:delete val="0"/>
        <c:axPos val="b"/>
        <c:majorGridlines>
          <c:spPr>
            <a:ln>
              <a:solidFill>
                <a:schemeClr val="bg1">
                  <a:lumMod val="75000"/>
                </a:schemeClr>
              </a:solidFill>
            </a:ln>
          </c:spPr>
        </c:majorGridlines>
        <c:numFmt formatCode="General" sourceLinked="1"/>
        <c:majorTickMark val="none"/>
        <c:minorTickMark val="none"/>
        <c:tickLblPos val="nextTo"/>
        <c:txPr>
          <a:bodyPr/>
          <a:lstStyle/>
          <a:p>
            <a:pPr>
              <a:defRPr sz="1050"/>
            </a:pPr>
            <a:endParaRPr lang="cs-CZ"/>
          </a:p>
        </c:txPr>
        <c:crossAx val="130264064"/>
        <c:crosses val="autoZero"/>
        <c:auto val="1"/>
        <c:lblAlgn val="ctr"/>
        <c:lblOffset val="100"/>
        <c:noMultiLvlLbl val="0"/>
      </c:catAx>
      <c:valAx>
        <c:axId val="130264064"/>
        <c:scaling>
          <c:orientation val="minMax"/>
          <c:max val="220000"/>
          <c:min val="40000"/>
        </c:scaling>
        <c:delete val="0"/>
        <c:axPos val="l"/>
        <c:majorGridlines/>
        <c:minorGridlines>
          <c:spPr>
            <a:ln>
              <a:solidFill>
                <a:schemeClr val="bg1">
                  <a:lumMod val="75000"/>
                </a:schemeClr>
              </a:solidFill>
              <a:prstDash val="dash"/>
            </a:ln>
          </c:spPr>
        </c:minorGridlines>
        <c:title>
          <c:tx>
            <c:rich>
              <a:bodyPr rot="-5400000" vert="horz"/>
              <a:lstStyle/>
              <a:p>
                <a:pPr>
                  <a:defRPr sz="1050"/>
                </a:pPr>
                <a:r>
                  <a:rPr lang="cs-CZ" sz="1050" b="1" i="0" baseline="0">
                    <a:effectLst/>
                  </a:rPr>
                  <a:t>Náklady na zdravotní služby</a:t>
                </a:r>
                <a:endParaRPr lang="cs-CZ" sz="1050">
                  <a:effectLst/>
                </a:endParaRPr>
              </a:p>
              <a:p>
                <a:pPr>
                  <a:defRPr sz="1050"/>
                </a:pPr>
                <a:r>
                  <a:rPr lang="cs-CZ" sz="1050" b="0" i="0" baseline="0">
                    <a:effectLst/>
                  </a:rPr>
                  <a:t>(v mld. Kč</a:t>
                </a:r>
                <a:r>
                  <a:rPr lang="cs-CZ" sz="1050" b="0" i="0" baseline="0">
                    <a:effectLst/>
                    <a:latin typeface="+mn-lt"/>
                  </a:rPr>
                  <a:t>)</a:t>
                </a:r>
                <a:endParaRPr lang="cs-CZ" sz="1050">
                  <a:latin typeface="+mn-lt"/>
                </a:endParaRPr>
              </a:p>
            </c:rich>
          </c:tx>
          <c:layout>
            <c:manualLayout>
              <c:xMode val="edge"/>
              <c:yMode val="edge"/>
              <c:x val="9.3229166666666753E-5"/>
              <c:y val="0.21994930555555567"/>
            </c:manualLayout>
          </c:layout>
          <c:overlay val="0"/>
        </c:title>
        <c:numFmt formatCode="#,##0" sourceLinked="1"/>
        <c:majorTickMark val="none"/>
        <c:minorTickMark val="none"/>
        <c:tickLblPos val="nextTo"/>
        <c:txPr>
          <a:bodyPr/>
          <a:lstStyle/>
          <a:p>
            <a:pPr>
              <a:defRPr sz="1050"/>
            </a:pPr>
            <a:endParaRPr lang="cs-CZ"/>
          </a:p>
        </c:txPr>
        <c:crossAx val="130262144"/>
        <c:crosses val="autoZero"/>
        <c:crossBetween val="between"/>
        <c:majorUnit val="20000"/>
        <c:minorUnit val="10000"/>
        <c:dispUnits>
          <c:builtInUnit val="thousands"/>
        </c:dispUnits>
      </c:valAx>
      <c:spPr>
        <a:solidFill>
          <a:schemeClr val="bg1"/>
        </a:solidFill>
        <a:ln>
          <a:solidFill>
            <a:schemeClr val="tx1">
              <a:lumMod val="50000"/>
              <a:lumOff val="50000"/>
            </a:schemeClr>
          </a:solidFill>
        </a:ln>
      </c:spPr>
    </c:plotArea>
    <c:legend>
      <c:legendPos val="t"/>
      <c:layout>
        <c:manualLayout>
          <c:xMode val="edge"/>
          <c:yMode val="edge"/>
          <c:x val="0.10512152777777779"/>
          <c:y val="0"/>
          <c:w val="0.8948784722222225"/>
          <c:h val="8.2425347222222251E-2"/>
        </c:manualLayout>
      </c:layout>
      <c:overlay val="0"/>
      <c:txPr>
        <a:bodyPr/>
        <a:lstStyle/>
        <a:p>
          <a:pPr>
            <a:defRPr sz="1000"/>
          </a:pPr>
          <a:endParaRPr lang="cs-CZ"/>
        </a:p>
      </c:txPr>
    </c:legend>
    <c:plotVisOnly val="1"/>
    <c:dispBlanksAs val="gap"/>
    <c:showDLblsOverMax val="0"/>
  </c:chart>
  <c:spPr>
    <a:ln>
      <a:noFill/>
    </a:ln>
  </c:spPr>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801145833333333"/>
          <c:y val="5.4724652777777778E-2"/>
          <c:w val="0.86875937500000022"/>
          <c:h val="0.85273020833333368"/>
        </c:manualLayout>
      </c:layout>
      <c:lineChart>
        <c:grouping val="standard"/>
        <c:varyColors val="0"/>
        <c:ser>
          <c:idx val="3"/>
          <c:order val="0"/>
          <c:tx>
            <c:strRef>
              <c:f>'G1'!$B$9</c:f>
              <c:strCache>
                <c:ptCount val="1"/>
                <c:pt idx="0">
                  <c:v>Celkové náklady</c:v>
                </c:pt>
              </c:strCache>
            </c:strRef>
          </c:tx>
          <c:marker>
            <c:symbol val="circle"/>
            <c:size val="7"/>
            <c:spPr>
              <a:solidFill>
                <a:schemeClr val="bg1"/>
              </a:solidFill>
              <a:ln w="28575"/>
            </c:spPr>
          </c:marker>
          <c:cat>
            <c:numRef>
              <c:f>'G1'!$H$3:$O$3</c:f>
              <c:numCache>
                <c:formatCode>General</c:formatCode>
                <c:ptCount val="8"/>
                <c:pt idx="0">
                  <c:v>2014</c:v>
                </c:pt>
                <c:pt idx="1">
                  <c:v>2015</c:v>
                </c:pt>
                <c:pt idx="2">
                  <c:v>2016</c:v>
                </c:pt>
                <c:pt idx="3">
                  <c:v>2017</c:v>
                </c:pt>
                <c:pt idx="4">
                  <c:v>2018</c:v>
                </c:pt>
                <c:pt idx="5">
                  <c:v>2019</c:v>
                </c:pt>
                <c:pt idx="6">
                  <c:v>2020</c:v>
                </c:pt>
                <c:pt idx="7">
                  <c:v>2021</c:v>
                </c:pt>
              </c:numCache>
            </c:numRef>
          </c:cat>
          <c:val>
            <c:numRef>
              <c:f>'G1'!$H$9:$O$9</c:f>
              <c:numCache>
                <c:formatCode>#,##0</c:formatCode>
                <c:ptCount val="8"/>
                <c:pt idx="0">
                  <c:v>22468</c:v>
                </c:pt>
                <c:pt idx="1">
                  <c:v>23217</c:v>
                </c:pt>
                <c:pt idx="2">
                  <c:v>24266</c:v>
                </c:pt>
                <c:pt idx="3">
                  <c:v>25539</c:v>
                </c:pt>
                <c:pt idx="4">
                  <c:v>27147</c:v>
                </c:pt>
                <c:pt idx="5">
                  <c:v>29499</c:v>
                </c:pt>
                <c:pt idx="6">
                  <c:v>33349</c:v>
                </c:pt>
                <c:pt idx="7">
                  <c:v>36351</c:v>
                </c:pt>
              </c:numCache>
            </c:numRef>
          </c:val>
          <c:smooth val="0"/>
          <c:extLst>
            <c:ext xmlns:c16="http://schemas.microsoft.com/office/drawing/2014/chart" uri="{C3380CC4-5D6E-409C-BE32-E72D297353CC}">
              <c16:uniqueId val="{00000000-2E70-487E-8D77-F359440350A2}"/>
            </c:ext>
          </c:extLst>
        </c:ser>
        <c:dLbls>
          <c:showLegendKey val="0"/>
          <c:showVal val="0"/>
          <c:showCatName val="0"/>
          <c:showSerName val="0"/>
          <c:showPercent val="0"/>
          <c:showBubbleSize val="0"/>
        </c:dLbls>
        <c:marker val="1"/>
        <c:smooth val="0"/>
        <c:axId val="130280832"/>
        <c:axId val="130295296"/>
      </c:lineChart>
      <c:catAx>
        <c:axId val="130280832"/>
        <c:scaling>
          <c:orientation val="minMax"/>
        </c:scaling>
        <c:delete val="0"/>
        <c:axPos val="b"/>
        <c:majorGridlines>
          <c:spPr>
            <a:ln>
              <a:solidFill>
                <a:schemeClr val="bg1">
                  <a:lumMod val="75000"/>
                </a:schemeClr>
              </a:solidFill>
            </a:ln>
          </c:spPr>
        </c:majorGridlines>
        <c:numFmt formatCode="General" sourceLinked="1"/>
        <c:majorTickMark val="none"/>
        <c:minorTickMark val="none"/>
        <c:tickLblPos val="nextTo"/>
        <c:txPr>
          <a:bodyPr/>
          <a:lstStyle/>
          <a:p>
            <a:pPr>
              <a:defRPr sz="1050"/>
            </a:pPr>
            <a:endParaRPr lang="cs-CZ"/>
          </a:p>
        </c:txPr>
        <c:crossAx val="130295296"/>
        <c:crosses val="autoZero"/>
        <c:auto val="1"/>
        <c:lblAlgn val="ctr"/>
        <c:lblOffset val="100"/>
        <c:noMultiLvlLbl val="0"/>
      </c:catAx>
      <c:valAx>
        <c:axId val="130295296"/>
        <c:scaling>
          <c:orientation val="minMax"/>
          <c:max val="38000"/>
          <c:min val="22000"/>
        </c:scaling>
        <c:delete val="0"/>
        <c:axPos val="l"/>
        <c:majorGridlines/>
        <c:minorGridlines>
          <c:spPr>
            <a:ln>
              <a:solidFill>
                <a:schemeClr val="bg1">
                  <a:lumMod val="75000"/>
                </a:schemeClr>
              </a:solidFill>
              <a:prstDash val="dash"/>
            </a:ln>
          </c:spPr>
        </c:minorGridlines>
        <c:title>
          <c:tx>
            <c:rich>
              <a:bodyPr rot="-5400000" vert="horz"/>
              <a:lstStyle/>
              <a:p>
                <a:pPr>
                  <a:defRPr sz="1050"/>
                </a:pPr>
                <a:r>
                  <a:rPr lang="cs-CZ" sz="1050"/>
                  <a:t>Náklady na zdravotní služby</a:t>
                </a:r>
              </a:p>
              <a:p>
                <a:pPr>
                  <a:defRPr sz="1050"/>
                </a:pPr>
                <a:r>
                  <a:rPr lang="cs-CZ" sz="1050" b="0"/>
                  <a:t>(v tis. Kč na pojištěnce)</a:t>
                </a:r>
              </a:p>
            </c:rich>
          </c:tx>
          <c:layout>
            <c:manualLayout>
              <c:xMode val="edge"/>
              <c:yMode val="edge"/>
              <c:x val="1.6395833333333343E-3"/>
              <c:y val="0.1916555555555555"/>
            </c:manualLayout>
          </c:layout>
          <c:overlay val="0"/>
        </c:title>
        <c:numFmt formatCode="#,##0" sourceLinked="1"/>
        <c:majorTickMark val="none"/>
        <c:minorTickMark val="none"/>
        <c:tickLblPos val="nextTo"/>
        <c:txPr>
          <a:bodyPr/>
          <a:lstStyle/>
          <a:p>
            <a:pPr>
              <a:defRPr sz="1050"/>
            </a:pPr>
            <a:endParaRPr lang="cs-CZ"/>
          </a:p>
        </c:txPr>
        <c:crossAx val="130280832"/>
        <c:crosses val="autoZero"/>
        <c:crossBetween val="between"/>
        <c:majorUnit val="2000"/>
        <c:minorUnit val="1000"/>
        <c:dispUnits>
          <c:builtInUnit val="thousands"/>
        </c:dispUnits>
      </c:valAx>
      <c:spPr>
        <a:ln>
          <a:solidFill>
            <a:schemeClr val="tx1">
              <a:lumMod val="50000"/>
              <a:lumOff val="50000"/>
            </a:schemeClr>
          </a:solidFill>
        </a:ln>
      </c:spPr>
    </c:plotArea>
    <c:plotVisOnly val="1"/>
    <c:dispBlanksAs val="gap"/>
    <c:showDLblsOverMax val="0"/>
  </c:chart>
  <c:spPr>
    <a:solidFill>
      <a:schemeClr val="bg1"/>
    </a:solidFill>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991072042609799"/>
          <c:y val="8.6609198669660867E-2"/>
          <c:w val="0.85631860166221607"/>
          <c:h val="0.81045652235708798"/>
        </c:manualLayout>
      </c:layout>
      <c:lineChart>
        <c:grouping val="standard"/>
        <c:varyColors val="0"/>
        <c:ser>
          <c:idx val="2"/>
          <c:order val="0"/>
          <c:tx>
            <c:strRef>
              <c:f>Saldo!$D$6</c:f>
              <c:strCache>
                <c:ptCount val="1"/>
                <c:pt idx="0">
                  <c:v>Saldo</c:v>
                </c:pt>
              </c:strCache>
            </c:strRef>
          </c:tx>
          <c:spPr>
            <a:ln>
              <a:solidFill>
                <a:srgbClr val="FFC000"/>
              </a:solidFill>
            </a:ln>
          </c:spPr>
          <c:marker>
            <c:symbol val="circle"/>
            <c:size val="7"/>
            <c:spPr>
              <a:solidFill>
                <a:schemeClr val="bg1"/>
              </a:solidFill>
              <a:ln w="28575">
                <a:solidFill>
                  <a:srgbClr val="FFC000"/>
                </a:solidFill>
              </a:ln>
            </c:spPr>
          </c:marker>
          <c:cat>
            <c:strRef>
              <c:f>Saldo!$A$7:$A$19</c:f>
              <c:strCache>
                <c:ptCount val="13"/>
                <c:pt idx="0">
                  <c:v>2009</c:v>
                </c:pt>
                <c:pt idx="1">
                  <c:v>2010</c:v>
                </c:pt>
                <c:pt idx="2">
                  <c:v>2011</c:v>
                </c:pt>
                <c:pt idx="3">
                  <c:v>2012</c:v>
                </c:pt>
                <c:pt idx="4">
                  <c:v>2013</c:v>
                </c:pt>
                <c:pt idx="5">
                  <c:v>2014</c:v>
                </c:pt>
                <c:pt idx="6">
                  <c:v>2015</c:v>
                </c:pt>
                <c:pt idx="7">
                  <c:v>2016</c:v>
                </c:pt>
                <c:pt idx="8">
                  <c:v>2017</c:v>
                </c:pt>
                <c:pt idx="9">
                  <c:v>2018</c:v>
                </c:pt>
                <c:pt idx="10">
                  <c:v>2019</c:v>
                </c:pt>
                <c:pt idx="11">
                  <c:v>2020 OČ SK</c:v>
                </c:pt>
                <c:pt idx="12">
                  <c:v>ZPP 2021</c:v>
                </c:pt>
              </c:strCache>
            </c:strRef>
          </c:cat>
          <c:val>
            <c:numRef>
              <c:f>Saldo!$D$7:$D$19</c:f>
              <c:numCache>
                <c:formatCode>0.0</c:formatCode>
                <c:ptCount val="13"/>
                <c:pt idx="0">
                  <c:v>-6430.9999999999854</c:v>
                </c:pt>
                <c:pt idx="1">
                  <c:v>-6884.9999999999927</c:v>
                </c:pt>
                <c:pt idx="2">
                  <c:v>-5156.0000000000055</c:v>
                </c:pt>
                <c:pt idx="3">
                  <c:v>-1537.0000000000059</c:v>
                </c:pt>
                <c:pt idx="4">
                  <c:v>-1336.9999999999891</c:v>
                </c:pt>
                <c:pt idx="5">
                  <c:v>2245.8939999999939</c:v>
                </c:pt>
                <c:pt idx="6">
                  <c:v>582.78800000002252</c:v>
                </c:pt>
                <c:pt idx="7">
                  <c:v>5910.727000000008</c:v>
                </c:pt>
                <c:pt idx="8">
                  <c:v>9522.2989999999718</c:v>
                </c:pt>
                <c:pt idx="9">
                  <c:v>14477.574000000004</c:v>
                </c:pt>
                <c:pt idx="10">
                  <c:v>13451.853999999963</c:v>
                </c:pt>
                <c:pt idx="11">
                  <c:v>-175.89100000003563</c:v>
                </c:pt>
                <c:pt idx="12">
                  <c:v>-13707.775829999999</c:v>
                </c:pt>
              </c:numCache>
            </c:numRef>
          </c:val>
          <c:smooth val="0"/>
          <c:extLst>
            <c:ext xmlns:c16="http://schemas.microsoft.com/office/drawing/2014/chart" uri="{C3380CC4-5D6E-409C-BE32-E72D297353CC}">
              <c16:uniqueId val="{00000000-39F3-40EA-8D43-920FC503E1CE}"/>
            </c:ext>
          </c:extLst>
        </c:ser>
        <c:dLbls>
          <c:showLegendKey val="0"/>
          <c:showVal val="0"/>
          <c:showCatName val="0"/>
          <c:showSerName val="0"/>
          <c:showPercent val="0"/>
          <c:showBubbleSize val="0"/>
        </c:dLbls>
        <c:marker val="1"/>
        <c:smooth val="0"/>
        <c:axId val="91593344"/>
        <c:axId val="128060800"/>
      </c:lineChart>
      <c:catAx>
        <c:axId val="91593344"/>
        <c:scaling>
          <c:orientation val="minMax"/>
        </c:scaling>
        <c:delete val="0"/>
        <c:axPos val="b"/>
        <c:majorGridlines>
          <c:spPr>
            <a:ln>
              <a:solidFill>
                <a:schemeClr val="bg1">
                  <a:lumMod val="75000"/>
                </a:schemeClr>
              </a:solidFill>
            </a:ln>
          </c:spPr>
        </c:majorGridlines>
        <c:numFmt formatCode="General" sourceLinked="1"/>
        <c:majorTickMark val="none"/>
        <c:minorTickMark val="none"/>
        <c:tickLblPos val="low"/>
        <c:crossAx val="128060800"/>
        <c:crosses val="autoZero"/>
        <c:auto val="1"/>
        <c:lblAlgn val="ctr"/>
        <c:lblOffset val="100"/>
        <c:noMultiLvlLbl val="0"/>
      </c:catAx>
      <c:valAx>
        <c:axId val="128060800"/>
        <c:scaling>
          <c:orientation val="minMax"/>
          <c:max val="20000"/>
          <c:min val="-20000"/>
        </c:scaling>
        <c:delete val="0"/>
        <c:axPos val="l"/>
        <c:majorGridlines/>
        <c:minorGridlines>
          <c:spPr>
            <a:ln>
              <a:solidFill>
                <a:schemeClr val="bg1">
                  <a:lumMod val="75000"/>
                </a:schemeClr>
              </a:solidFill>
              <a:prstDash val="dash"/>
            </a:ln>
          </c:spPr>
        </c:minorGridlines>
        <c:title>
          <c:tx>
            <c:rich>
              <a:bodyPr/>
              <a:lstStyle/>
              <a:p>
                <a:pPr algn="ctr" rtl="0">
                  <a:defRPr/>
                </a:pPr>
                <a:r>
                  <a:rPr lang="cs-CZ"/>
                  <a:t>Saldo  </a:t>
                </a:r>
              </a:p>
              <a:p>
                <a:pPr algn="ctr" rtl="0">
                  <a:defRPr/>
                </a:pPr>
                <a:r>
                  <a:rPr lang="cs-CZ" b="0"/>
                  <a:t>(v mld. Kč)</a:t>
                </a:r>
              </a:p>
            </c:rich>
          </c:tx>
          <c:layout>
            <c:manualLayout>
              <c:xMode val="edge"/>
              <c:yMode val="edge"/>
              <c:x val="2.0938919639296102E-3"/>
              <c:y val="0.32880484823469669"/>
            </c:manualLayout>
          </c:layout>
          <c:overlay val="0"/>
        </c:title>
        <c:numFmt formatCode="#,##0" sourceLinked="0"/>
        <c:majorTickMark val="none"/>
        <c:minorTickMark val="none"/>
        <c:tickLblPos val="nextTo"/>
        <c:crossAx val="91593344"/>
        <c:crosses val="autoZero"/>
        <c:crossBetween val="between"/>
        <c:majorUnit val="10000"/>
        <c:minorUnit val="5000"/>
        <c:dispUnits>
          <c:builtInUnit val="thousands"/>
        </c:dispUnits>
      </c:valAx>
      <c:spPr>
        <a:solidFill>
          <a:schemeClr val="bg1"/>
        </a:solidFill>
        <a:ln>
          <a:solidFill>
            <a:schemeClr val="tx1">
              <a:lumMod val="50000"/>
              <a:lumOff val="50000"/>
            </a:schemeClr>
          </a:solidFill>
        </a:ln>
      </c:spPr>
    </c:plotArea>
    <c:plotVisOnly val="1"/>
    <c:dispBlanksAs val="gap"/>
    <c:showDLblsOverMax val="0"/>
  </c:chart>
  <c:spPr>
    <a:solidFill>
      <a:schemeClr val="bg1"/>
    </a:solidFill>
    <a:ln>
      <a:noFill/>
    </a:ln>
  </c:spPr>
  <c:txPr>
    <a:bodyPr/>
    <a:lstStyle/>
    <a:p>
      <a:pPr>
        <a:defRPr sz="1000"/>
      </a:pPr>
      <a:endParaRPr lang="cs-CZ"/>
    </a:p>
  </c:txPr>
  <c:externalData r:id="rId1">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801145833333333"/>
          <c:y val="9.4777777777777794E-2"/>
          <c:w val="0.86655451388888916"/>
          <c:h val="0.81267708333333355"/>
        </c:manualLayout>
      </c:layout>
      <c:lineChart>
        <c:grouping val="standard"/>
        <c:varyColors val="0"/>
        <c:ser>
          <c:idx val="0"/>
          <c:order val="0"/>
          <c:tx>
            <c:strRef>
              <c:f>'G1'!$B$6</c:f>
              <c:strCache>
                <c:ptCount val="1"/>
                <c:pt idx="0">
                  <c:v>Náklady na ambulantní péči</c:v>
                </c:pt>
              </c:strCache>
            </c:strRef>
          </c:tx>
          <c:spPr>
            <a:ln>
              <a:solidFill>
                <a:schemeClr val="accent2"/>
              </a:solidFill>
            </a:ln>
          </c:spPr>
          <c:marker>
            <c:symbol val="circle"/>
            <c:size val="7"/>
            <c:spPr>
              <a:solidFill>
                <a:schemeClr val="bg1"/>
              </a:solidFill>
              <a:ln w="28575">
                <a:solidFill>
                  <a:schemeClr val="accent2"/>
                </a:solidFill>
              </a:ln>
            </c:spPr>
          </c:marker>
          <c:cat>
            <c:numRef>
              <c:f>'G1'!$H$3:$O$3</c:f>
              <c:numCache>
                <c:formatCode>General</c:formatCode>
                <c:ptCount val="8"/>
                <c:pt idx="0">
                  <c:v>2014</c:v>
                </c:pt>
                <c:pt idx="1">
                  <c:v>2015</c:v>
                </c:pt>
                <c:pt idx="2">
                  <c:v>2016</c:v>
                </c:pt>
                <c:pt idx="3">
                  <c:v>2017</c:v>
                </c:pt>
                <c:pt idx="4">
                  <c:v>2018</c:v>
                </c:pt>
                <c:pt idx="5">
                  <c:v>2019</c:v>
                </c:pt>
                <c:pt idx="6">
                  <c:v>2020</c:v>
                </c:pt>
                <c:pt idx="7">
                  <c:v>2021</c:v>
                </c:pt>
              </c:numCache>
            </c:numRef>
          </c:cat>
          <c:val>
            <c:numRef>
              <c:f>'G1'!$H$6:$O$6</c:f>
              <c:numCache>
                <c:formatCode>#,##0</c:formatCode>
                <c:ptCount val="8"/>
                <c:pt idx="0">
                  <c:v>6018</c:v>
                </c:pt>
                <c:pt idx="1">
                  <c:v>6220</c:v>
                </c:pt>
                <c:pt idx="2">
                  <c:v>6631</c:v>
                </c:pt>
                <c:pt idx="3">
                  <c:v>6893</c:v>
                </c:pt>
                <c:pt idx="4">
                  <c:v>7145</c:v>
                </c:pt>
                <c:pt idx="5">
                  <c:v>7876</c:v>
                </c:pt>
                <c:pt idx="6">
                  <c:v>8852</c:v>
                </c:pt>
                <c:pt idx="7">
                  <c:v>9451</c:v>
                </c:pt>
              </c:numCache>
            </c:numRef>
          </c:val>
          <c:smooth val="0"/>
          <c:extLst>
            <c:ext xmlns:c16="http://schemas.microsoft.com/office/drawing/2014/chart" uri="{C3380CC4-5D6E-409C-BE32-E72D297353CC}">
              <c16:uniqueId val="{00000000-DE8F-4107-BC7A-226B5FBCE97A}"/>
            </c:ext>
          </c:extLst>
        </c:ser>
        <c:ser>
          <c:idx val="1"/>
          <c:order val="1"/>
          <c:tx>
            <c:strRef>
              <c:f>'G1'!$B$7</c:f>
              <c:strCache>
                <c:ptCount val="1"/>
                <c:pt idx="0">
                  <c:v>Náklady na lůžkovou péči</c:v>
                </c:pt>
              </c:strCache>
            </c:strRef>
          </c:tx>
          <c:spPr>
            <a:ln>
              <a:solidFill>
                <a:schemeClr val="tx2">
                  <a:lumMod val="60000"/>
                  <a:lumOff val="40000"/>
                </a:schemeClr>
              </a:solidFill>
            </a:ln>
          </c:spPr>
          <c:marker>
            <c:symbol val="circle"/>
            <c:size val="7"/>
            <c:spPr>
              <a:solidFill>
                <a:schemeClr val="bg1"/>
              </a:solidFill>
              <a:ln w="28575">
                <a:solidFill>
                  <a:schemeClr val="tx2">
                    <a:lumMod val="60000"/>
                    <a:lumOff val="40000"/>
                  </a:schemeClr>
                </a:solidFill>
              </a:ln>
            </c:spPr>
          </c:marker>
          <c:cat>
            <c:numRef>
              <c:f>'G1'!$H$3:$O$3</c:f>
              <c:numCache>
                <c:formatCode>General</c:formatCode>
                <c:ptCount val="8"/>
                <c:pt idx="0">
                  <c:v>2014</c:v>
                </c:pt>
                <c:pt idx="1">
                  <c:v>2015</c:v>
                </c:pt>
                <c:pt idx="2">
                  <c:v>2016</c:v>
                </c:pt>
                <c:pt idx="3">
                  <c:v>2017</c:v>
                </c:pt>
                <c:pt idx="4">
                  <c:v>2018</c:v>
                </c:pt>
                <c:pt idx="5">
                  <c:v>2019</c:v>
                </c:pt>
                <c:pt idx="6">
                  <c:v>2020</c:v>
                </c:pt>
                <c:pt idx="7">
                  <c:v>2021</c:v>
                </c:pt>
              </c:numCache>
            </c:numRef>
          </c:cat>
          <c:val>
            <c:numRef>
              <c:f>'G1'!$H$7:$O$7</c:f>
              <c:numCache>
                <c:formatCode>#,##0</c:formatCode>
                <c:ptCount val="8"/>
                <c:pt idx="0">
                  <c:v>11768</c:v>
                </c:pt>
                <c:pt idx="1">
                  <c:v>12229</c:v>
                </c:pt>
                <c:pt idx="2">
                  <c:v>12731</c:v>
                </c:pt>
                <c:pt idx="3">
                  <c:v>13621</c:v>
                </c:pt>
                <c:pt idx="4">
                  <c:v>14783</c:v>
                </c:pt>
                <c:pt idx="5">
                  <c:v>16148</c:v>
                </c:pt>
                <c:pt idx="6">
                  <c:v>18666</c:v>
                </c:pt>
                <c:pt idx="7">
                  <c:v>20596</c:v>
                </c:pt>
              </c:numCache>
            </c:numRef>
          </c:val>
          <c:smooth val="0"/>
          <c:extLst>
            <c:ext xmlns:c16="http://schemas.microsoft.com/office/drawing/2014/chart" uri="{C3380CC4-5D6E-409C-BE32-E72D297353CC}">
              <c16:uniqueId val="{00000001-DE8F-4107-BC7A-226B5FBCE97A}"/>
            </c:ext>
          </c:extLst>
        </c:ser>
        <c:ser>
          <c:idx val="2"/>
          <c:order val="2"/>
          <c:tx>
            <c:strRef>
              <c:f>'G1'!$B$8</c:f>
              <c:strCache>
                <c:ptCount val="1"/>
                <c:pt idx="0">
                  <c:v>Ostatní náklady</c:v>
                </c:pt>
              </c:strCache>
            </c:strRef>
          </c:tx>
          <c:spPr>
            <a:ln>
              <a:solidFill>
                <a:srgbClr val="FFC000"/>
              </a:solidFill>
            </a:ln>
          </c:spPr>
          <c:marker>
            <c:symbol val="circle"/>
            <c:size val="7"/>
            <c:spPr>
              <a:solidFill>
                <a:schemeClr val="bg1"/>
              </a:solidFill>
              <a:ln w="28575">
                <a:solidFill>
                  <a:srgbClr val="FFC000"/>
                </a:solidFill>
              </a:ln>
            </c:spPr>
          </c:marker>
          <c:cat>
            <c:numRef>
              <c:f>'G1'!$H$3:$O$3</c:f>
              <c:numCache>
                <c:formatCode>General</c:formatCode>
                <c:ptCount val="8"/>
                <c:pt idx="0">
                  <c:v>2014</c:v>
                </c:pt>
                <c:pt idx="1">
                  <c:v>2015</c:v>
                </c:pt>
                <c:pt idx="2">
                  <c:v>2016</c:v>
                </c:pt>
                <c:pt idx="3">
                  <c:v>2017</c:v>
                </c:pt>
                <c:pt idx="4">
                  <c:v>2018</c:v>
                </c:pt>
                <c:pt idx="5">
                  <c:v>2019</c:v>
                </c:pt>
                <c:pt idx="6">
                  <c:v>2020</c:v>
                </c:pt>
                <c:pt idx="7">
                  <c:v>2021</c:v>
                </c:pt>
              </c:numCache>
            </c:numRef>
          </c:cat>
          <c:val>
            <c:numRef>
              <c:f>'G1'!$H$8:$O$8</c:f>
              <c:numCache>
                <c:formatCode>#,##0</c:formatCode>
                <c:ptCount val="8"/>
                <c:pt idx="0">
                  <c:v>4682</c:v>
                </c:pt>
                <c:pt idx="1">
                  <c:v>4768</c:v>
                </c:pt>
                <c:pt idx="2">
                  <c:v>4904</c:v>
                </c:pt>
                <c:pt idx="3">
                  <c:v>5025</c:v>
                </c:pt>
                <c:pt idx="4">
                  <c:v>5219</c:v>
                </c:pt>
                <c:pt idx="5">
                  <c:v>5475</c:v>
                </c:pt>
                <c:pt idx="6">
                  <c:v>5831</c:v>
                </c:pt>
                <c:pt idx="7">
                  <c:v>6304</c:v>
                </c:pt>
              </c:numCache>
            </c:numRef>
          </c:val>
          <c:smooth val="0"/>
          <c:extLst>
            <c:ext xmlns:c16="http://schemas.microsoft.com/office/drawing/2014/chart" uri="{C3380CC4-5D6E-409C-BE32-E72D297353CC}">
              <c16:uniqueId val="{00000002-DE8F-4107-BC7A-226B5FBCE97A}"/>
            </c:ext>
          </c:extLst>
        </c:ser>
        <c:dLbls>
          <c:showLegendKey val="0"/>
          <c:showVal val="0"/>
          <c:showCatName val="0"/>
          <c:showSerName val="0"/>
          <c:showPercent val="0"/>
          <c:showBubbleSize val="0"/>
        </c:dLbls>
        <c:marker val="1"/>
        <c:smooth val="0"/>
        <c:axId val="130338816"/>
        <c:axId val="130340736"/>
      </c:lineChart>
      <c:catAx>
        <c:axId val="130338816"/>
        <c:scaling>
          <c:orientation val="minMax"/>
        </c:scaling>
        <c:delete val="0"/>
        <c:axPos val="b"/>
        <c:majorGridlines>
          <c:spPr>
            <a:ln>
              <a:solidFill>
                <a:schemeClr val="bg1">
                  <a:lumMod val="75000"/>
                </a:schemeClr>
              </a:solidFill>
            </a:ln>
          </c:spPr>
        </c:majorGridlines>
        <c:numFmt formatCode="General" sourceLinked="1"/>
        <c:majorTickMark val="none"/>
        <c:minorTickMark val="none"/>
        <c:tickLblPos val="nextTo"/>
        <c:txPr>
          <a:bodyPr/>
          <a:lstStyle/>
          <a:p>
            <a:pPr>
              <a:defRPr sz="1050"/>
            </a:pPr>
            <a:endParaRPr lang="cs-CZ"/>
          </a:p>
        </c:txPr>
        <c:crossAx val="130340736"/>
        <c:crosses val="autoZero"/>
        <c:auto val="1"/>
        <c:lblAlgn val="ctr"/>
        <c:lblOffset val="100"/>
        <c:noMultiLvlLbl val="0"/>
      </c:catAx>
      <c:valAx>
        <c:axId val="130340736"/>
        <c:scaling>
          <c:orientation val="minMax"/>
          <c:max val="21000"/>
          <c:min val="3000"/>
        </c:scaling>
        <c:delete val="0"/>
        <c:axPos val="l"/>
        <c:majorGridlines/>
        <c:minorGridlines>
          <c:spPr>
            <a:ln>
              <a:solidFill>
                <a:schemeClr val="bg1">
                  <a:lumMod val="75000"/>
                </a:schemeClr>
              </a:solidFill>
              <a:prstDash val="dash"/>
            </a:ln>
          </c:spPr>
        </c:minorGridlines>
        <c:title>
          <c:tx>
            <c:rich>
              <a:bodyPr rot="-5400000" vert="horz"/>
              <a:lstStyle/>
              <a:p>
                <a:pPr>
                  <a:defRPr sz="1050"/>
                </a:pPr>
                <a:r>
                  <a:rPr lang="cs-CZ" sz="1050" b="1" i="0" baseline="0">
                    <a:effectLst/>
                  </a:rPr>
                  <a:t>Náklady na zdravotní služby</a:t>
                </a:r>
                <a:endParaRPr lang="cs-CZ" sz="1050">
                  <a:effectLst/>
                </a:endParaRPr>
              </a:p>
              <a:p>
                <a:pPr>
                  <a:defRPr sz="1050"/>
                </a:pPr>
                <a:r>
                  <a:rPr lang="cs-CZ" sz="1050" b="0" i="0" baseline="0">
                    <a:effectLst/>
                  </a:rPr>
                  <a:t>(v tis. Kč na </a:t>
                </a:r>
                <a:r>
                  <a:rPr lang="cs-CZ" sz="1050" b="0" i="0" baseline="0">
                    <a:effectLst/>
                    <a:latin typeface="+mn-lt"/>
                  </a:rPr>
                  <a:t>pojištěnce)</a:t>
                </a:r>
                <a:endParaRPr lang="cs-CZ" sz="1050">
                  <a:latin typeface="+mn-lt"/>
                </a:endParaRPr>
              </a:p>
            </c:rich>
          </c:tx>
          <c:layout>
            <c:manualLayout>
              <c:xMode val="edge"/>
              <c:yMode val="edge"/>
              <c:x val="9.3229166666666753E-5"/>
              <c:y val="0.21994930555555567"/>
            </c:manualLayout>
          </c:layout>
          <c:overlay val="0"/>
        </c:title>
        <c:numFmt formatCode="#,##0" sourceLinked="1"/>
        <c:majorTickMark val="none"/>
        <c:minorTickMark val="none"/>
        <c:tickLblPos val="nextTo"/>
        <c:txPr>
          <a:bodyPr/>
          <a:lstStyle/>
          <a:p>
            <a:pPr>
              <a:defRPr sz="1050"/>
            </a:pPr>
            <a:endParaRPr lang="cs-CZ"/>
          </a:p>
        </c:txPr>
        <c:crossAx val="130338816"/>
        <c:crosses val="autoZero"/>
        <c:crossBetween val="between"/>
        <c:majorUnit val="2000"/>
        <c:minorUnit val="1000"/>
        <c:dispUnits>
          <c:builtInUnit val="thousands"/>
        </c:dispUnits>
      </c:valAx>
      <c:spPr>
        <a:solidFill>
          <a:schemeClr val="bg1"/>
        </a:solidFill>
        <a:ln>
          <a:solidFill>
            <a:schemeClr val="tx1">
              <a:lumMod val="50000"/>
              <a:lumOff val="50000"/>
            </a:schemeClr>
          </a:solidFill>
        </a:ln>
      </c:spPr>
    </c:plotArea>
    <c:legend>
      <c:legendPos val="t"/>
      <c:layout>
        <c:manualLayout>
          <c:xMode val="edge"/>
          <c:yMode val="edge"/>
          <c:x val="9.4097222222222276E-2"/>
          <c:y val="0"/>
          <c:w val="0.9059027777777775"/>
          <c:h val="8.2425347222222251E-2"/>
        </c:manualLayout>
      </c:layout>
      <c:overlay val="0"/>
      <c:txPr>
        <a:bodyPr/>
        <a:lstStyle/>
        <a:p>
          <a:pPr>
            <a:defRPr sz="1000"/>
          </a:pPr>
          <a:endParaRPr lang="cs-CZ"/>
        </a:p>
      </c:txPr>
    </c:legend>
    <c:plotVisOnly val="1"/>
    <c:dispBlanksAs val="gap"/>
    <c:showDLblsOverMax val="0"/>
  </c:chart>
  <c:spPr>
    <a:ln>
      <a:noFill/>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1"/>
          <c:order val="0"/>
          <c:tx>
            <c:strRef>
              <c:f>'S- G1'!$A$5</c:f>
              <c:strCache>
                <c:ptCount val="1"/>
                <c:pt idx="0">
                  <c:v>Oč. skut. 2020</c:v>
                </c:pt>
              </c:strCache>
            </c:strRef>
          </c:tx>
          <c:invertIfNegative val="0"/>
          <c:cat>
            <c:strRef>
              <c:f>'S- G1'!$B$3:$H$3</c:f>
              <c:strCache>
                <c:ptCount val="7"/>
                <c:pt idx="0">
                  <c:v>VZP ČR</c:v>
                </c:pt>
                <c:pt idx="1">
                  <c:v>VoZP ČR</c:v>
                </c:pt>
                <c:pt idx="2">
                  <c:v>ČPZP</c:v>
                </c:pt>
                <c:pt idx="3">
                  <c:v>OZP</c:v>
                </c:pt>
                <c:pt idx="4">
                  <c:v>ZPŠ</c:v>
                </c:pt>
                <c:pt idx="5">
                  <c:v>ZPMV ČR</c:v>
                </c:pt>
                <c:pt idx="6">
                  <c:v>RBP</c:v>
                </c:pt>
              </c:strCache>
            </c:strRef>
          </c:cat>
          <c:val>
            <c:numRef>
              <c:f>'S- G1'!$B$5:$H$5</c:f>
              <c:numCache>
                <c:formatCode>#,##0.00</c:formatCode>
                <c:ptCount val="7"/>
                <c:pt idx="0">
                  <c:v>0.28897200000000012</c:v>
                </c:pt>
                <c:pt idx="1">
                  <c:v>-0.23839600000000005</c:v>
                </c:pt>
                <c:pt idx="2">
                  <c:v>-7.0976999999999998E-2</c:v>
                </c:pt>
                <c:pt idx="3">
                  <c:v>1.0453E-2</c:v>
                </c:pt>
                <c:pt idx="4">
                  <c:v>0.161803</c:v>
                </c:pt>
                <c:pt idx="5">
                  <c:v>-0.16293299999999999</c:v>
                </c:pt>
                <c:pt idx="6">
                  <c:v>-0.16481299999999999</c:v>
                </c:pt>
              </c:numCache>
            </c:numRef>
          </c:val>
          <c:extLst>
            <c:ext xmlns:c16="http://schemas.microsoft.com/office/drawing/2014/chart" uri="{C3380CC4-5D6E-409C-BE32-E72D297353CC}">
              <c16:uniqueId val="{00000003-E8CF-4D06-A85C-211F3881AEB7}"/>
            </c:ext>
          </c:extLst>
        </c:ser>
        <c:ser>
          <c:idx val="2"/>
          <c:order val="1"/>
          <c:tx>
            <c:strRef>
              <c:f>'S- G1'!$A$6</c:f>
              <c:strCache>
                <c:ptCount val="1"/>
                <c:pt idx="0">
                  <c:v>ZPP 2021</c:v>
                </c:pt>
              </c:strCache>
            </c:strRef>
          </c:tx>
          <c:invertIfNegative val="0"/>
          <c:cat>
            <c:strRef>
              <c:f>'S- G1'!$B$3:$H$3</c:f>
              <c:strCache>
                <c:ptCount val="7"/>
                <c:pt idx="0">
                  <c:v>VZP ČR</c:v>
                </c:pt>
                <c:pt idx="1">
                  <c:v>VoZP ČR</c:v>
                </c:pt>
                <c:pt idx="2">
                  <c:v>ČPZP</c:v>
                </c:pt>
                <c:pt idx="3">
                  <c:v>OZP</c:v>
                </c:pt>
                <c:pt idx="4">
                  <c:v>ZPŠ</c:v>
                </c:pt>
                <c:pt idx="5">
                  <c:v>ZPMV ČR</c:v>
                </c:pt>
                <c:pt idx="6">
                  <c:v>RBP</c:v>
                </c:pt>
              </c:strCache>
            </c:strRef>
          </c:cat>
          <c:val>
            <c:numRef>
              <c:f>'S- G1'!$B$6:$H$6</c:f>
              <c:numCache>
                <c:formatCode>#,##0.00</c:formatCode>
                <c:ptCount val="7"/>
                <c:pt idx="0">
                  <c:v>-10.364932000000003</c:v>
                </c:pt>
                <c:pt idx="1">
                  <c:v>-0.56116683000000189</c:v>
                </c:pt>
                <c:pt idx="2">
                  <c:v>0.37210800000000016</c:v>
                </c:pt>
                <c:pt idx="3">
                  <c:v>-0.64150799999999997</c:v>
                </c:pt>
                <c:pt idx="4">
                  <c:v>-0.43872900000000015</c:v>
                </c:pt>
                <c:pt idx="5">
                  <c:v>-1.8614929999999998</c:v>
                </c:pt>
                <c:pt idx="6">
                  <c:v>-0.21205499999999999</c:v>
                </c:pt>
              </c:numCache>
            </c:numRef>
          </c:val>
          <c:extLst>
            <c:ext xmlns:c16="http://schemas.microsoft.com/office/drawing/2014/chart" uri="{C3380CC4-5D6E-409C-BE32-E72D297353CC}">
              <c16:uniqueId val="{00000004-E8CF-4D06-A85C-211F3881AEB7}"/>
            </c:ext>
          </c:extLst>
        </c:ser>
        <c:dLbls>
          <c:showLegendKey val="0"/>
          <c:showVal val="0"/>
          <c:showCatName val="0"/>
          <c:showSerName val="0"/>
          <c:showPercent val="0"/>
          <c:showBubbleSize val="0"/>
        </c:dLbls>
        <c:gapWidth val="150"/>
        <c:axId val="128095360"/>
        <c:axId val="128096896"/>
      </c:barChart>
      <c:catAx>
        <c:axId val="128095360"/>
        <c:scaling>
          <c:orientation val="minMax"/>
        </c:scaling>
        <c:delete val="0"/>
        <c:axPos val="b"/>
        <c:majorGridlines/>
        <c:numFmt formatCode="General" sourceLinked="0"/>
        <c:majorTickMark val="out"/>
        <c:minorTickMark val="none"/>
        <c:tickLblPos val="low"/>
        <c:crossAx val="128096896"/>
        <c:crosses val="autoZero"/>
        <c:auto val="1"/>
        <c:lblAlgn val="ctr"/>
        <c:lblOffset val="100"/>
        <c:noMultiLvlLbl val="0"/>
      </c:catAx>
      <c:valAx>
        <c:axId val="128096896"/>
        <c:scaling>
          <c:orientation val="minMax"/>
          <c:max val="6"/>
          <c:min val="-12"/>
        </c:scaling>
        <c:delete val="0"/>
        <c:axPos val="l"/>
        <c:majorGridlines/>
        <c:minorGridlines>
          <c:spPr>
            <a:ln>
              <a:prstDash val="dash"/>
            </a:ln>
          </c:spPr>
        </c:minorGridlines>
        <c:title>
          <c:tx>
            <c:rich>
              <a:bodyPr rot="-5400000" vert="horz"/>
              <a:lstStyle/>
              <a:p>
                <a:pPr>
                  <a:defRPr/>
                </a:pPr>
                <a:r>
                  <a:rPr lang="cs-CZ"/>
                  <a:t>Saldo </a:t>
                </a:r>
              </a:p>
              <a:p>
                <a:pPr>
                  <a:defRPr/>
                </a:pPr>
                <a:r>
                  <a:rPr lang="cs-CZ" b="0"/>
                  <a:t>(v mld. Kč)</a:t>
                </a:r>
              </a:p>
            </c:rich>
          </c:tx>
          <c:overlay val="0"/>
        </c:title>
        <c:numFmt formatCode="#,##0" sourceLinked="0"/>
        <c:majorTickMark val="out"/>
        <c:minorTickMark val="none"/>
        <c:tickLblPos val="nextTo"/>
        <c:crossAx val="128095360"/>
        <c:crosses val="autoZero"/>
        <c:crossBetween val="between"/>
        <c:majorUnit val="3"/>
        <c:minorUnit val="1.5"/>
      </c:valAx>
    </c:plotArea>
    <c:legend>
      <c:legendPos val="r"/>
      <c:layout>
        <c:manualLayout>
          <c:xMode val="edge"/>
          <c:yMode val="edge"/>
          <c:x val="0.75725295683047622"/>
          <c:y val="6.4022215761085632E-2"/>
          <c:w val="0.20533063197354617"/>
          <c:h val="0.18700046776331183"/>
        </c:manualLayout>
      </c:layout>
      <c:overlay val="1"/>
      <c:txPr>
        <a:bodyPr/>
        <a:lstStyle/>
        <a:p>
          <a:pPr>
            <a:defRPr sz="1000"/>
          </a:pPr>
          <a:endParaRPr lang="cs-CZ"/>
        </a:p>
      </c:txPr>
    </c:legend>
    <c:plotVisOnly val="1"/>
    <c:dispBlanksAs val="gap"/>
    <c:showDLblsOverMax val="0"/>
  </c:chart>
  <c:spPr>
    <a:ln>
      <a:noFill/>
    </a:ln>
  </c:spPr>
  <c:txPr>
    <a:bodyPr/>
    <a:lstStyle/>
    <a:p>
      <a:pPr>
        <a:defRPr sz="1000"/>
      </a:pPr>
      <a:endParaRPr lang="cs-CZ"/>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1"/>
          <c:order val="0"/>
          <c:tx>
            <c:strRef>
              <c:f>'S- G1'!$A$5</c:f>
              <c:strCache>
                <c:ptCount val="1"/>
                <c:pt idx="0">
                  <c:v>Oč. skut. 2020</c:v>
                </c:pt>
              </c:strCache>
            </c:strRef>
          </c:tx>
          <c:spPr>
            <a:solidFill>
              <a:schemeClr val="accent1"/>
            </a:solidFill>
          </c:spPr>
          <c:invertIfNegative val="0"/>
          <c:dLbls>
            <c:dLbl>
              <c:idx val="0"/>
              <c:layout>
                <c:manualLayout>
                  <c:x val="9.0334236675700084E-3"/>
                  <c:y val="-7.905614082618216E-18"/>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E447-4AF9-9847-48BEA33B79D7}"/>
                </c:ext>
              </c:extLst>
            </c:dLbl>
            <c:numFmt formatCode="#,##0" sourceLinked="0"/>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 G1'!$B$3:$H$3</c:f>
              <c:strCache>
                <c:ptCount val="7"/>
                <c:pt idx="0">
                  <c:v>VZP ČR</c:v>
                </c:pt>
                <c:pt idx="1">
                  <c:v>VoZP ČR</c:v>
                </c:pt>
                <c:pt idx="2">
                  <c:v>ČPZP</c:v>
                </c:pt>
                <c:pt idx="3">
                  <c:v>OZP</c:v>
                </c:pt>
                <c:pt idx="4">
                  <c:v>ZPŠ</c:v>
                </c:pt>
                <c:pt idx="5">
                  <c:v>ZPMV ČR</c:v>
                </c:pt>
                <c:pt idx="6">
                  <c:v>RBP</c:v>
                </c:pt>
              </c:strCache>
            </c:strRef>
          </c:cat>
          <c:val>
            <c:numRef>
              <c:f>tab.č.1b!$B$8:$H$8</c:f>
              <c:numCache>
                <c:formatCode>#,##0</c:formatCode>
                <c:ptCount val="7"/>
                <c:pt idx="0">
                  <c:v>33.252303367229864</c:v>
                </c:pt>
                <c:pt idx="1">
                  <c:v>17.578063732805571</c:v>
                </c:pt>
                <c:pt idx="2">
                  <c:v>41.642335452204698</c:v>
                </c:pt>
                <c:pt idx="3">
                  <c:v>58.045257692674092</c:v>
                </c:pt>
                <c:pt idx="4">
                  <c:v>86.932197083150939</c:v>
                </c:pt>
                <c:pt idx="5">
                  <c:v>39.55684132841327</c:v>
                </c:pt>
                <c:pt idx="6">
                  <c:v>46.094148605577693</c:v>
                </c:pt>
              </c:numCache>
            </c:numRef>
          </c:val>
          <c:extLst>
            <c:ext xmlns:c16="http://schemas.microsoft.com/office/drawing/2014/chart" uri="{C3380CC4-5D6E-409C-BE32-E72D297353CC}">
              <c16:uniqueId val="{00000001-E447-4AF9-9847-48BEA33B79D7}"/>
            </c:ext>
          </c:extLst>
        </c:ser>
        <c:ser>
          <c:idx val="2"/>
          <c:order val="1"/>
          <c:tx>
            <c:strRef>
              <c:f>'S- G1'!$A$6</c:f>
              <c:strCache>
                <c:ptCount val="1"/>
                <c:pt idx="0">
                  <c:v>ZPP 2021</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 G1'!$B$3:$H$3</c:f>
              <c:strCache>
                <c:ptCount val="7"/>
                <c:pt idx="0">
                  <c:v>VZP ČR</c:v>
                </c:pt>
                <c:pt idx="1">
                  <c:v>VoZP ČR</c:v>
                </c:pt>
                <c:pt idx="2">
                  <c:v>ČPZP</c:v>
                </c:pt>
                <c:pt idx="3">
                  <c:v>OZP</c:v>
                </c:pt>
                <c:pt idx="4">
                  <c:v>ZPŠ</c:v>
                </c:pt>
                <c:pt idx="5">
                  <c:v>ZPMV ČR</c:v>
                </c:pt>
                <c:pt idx="6">
                  <c:v>RBP</c:v>
                </c:pt>
              </c:strCache>
            </c:strRef>
          </c:cat>
          <c:val>
            <c:numRef>
              <c:f>tab.č.1b!$B$23:$H$23</c:f>
              <c:numCache>
                <c:formatCode>#,##0</c:formatCode>
                <c:ptCount val="7"/>
                <c:pt idx="0">
                  <c:v>9.8323934020951711</c:v>
                </c:pt>
                <c:pt idx="1">
                  <c:v>6.6893417771966677</c:v>
                </c:pt>
                <c:pt idx="2">
                  <c:v>39.943548771363169</c:v>
                </c:pt>
                <c:pt idx="3">
                  <c:v>42.29415525982256</c:v>
                </c:pt>
                <c:pt idx="4">
                  <c:v>42.611109949435431</c:v>
                </c:pt>
                <c:pt idx="5">
                  <c:v>20.706203687030111</c:v>
                </c:pt>
                <c:pt idx="6">
                  <c:v>36.483501465201435</c:v>
                </c:pt>
              </c:numCache>
            </c:numRef>
          </c:val>
          <c:extLst>
            <c:ext xmlns:c16="http://schemas.microsoft.com/office/drawing/2014/chart" uri="{C3380CC4-5D6E-409C-BE32-E72D297353CC}">
              <c16:uniqueId val="{00000002-E447-4AF9-9847-48BEA33B79D7}"/>
            </c:ext>
          </c:extLst>
        </c:ser>
        <c:dLbls>
          <c:showLegendKey val="0"/>
          <c:showVal val="0"/>
          <c:showCatName val="0"/>
          <c:showSerName val="0"/>
          <c:showPercent val="0"/>
          <c:showBubbleSize val="0"/>
        </c:dLbls>
        <c:gapWidth val="150"/>
        <c:axId val="128116992"/>
        <c:axId val="128389120"/>
      </c:barChart>
      <c:catAx>
        <c:axId val="128116992"/>
        <c:scaling>
          <c:orientation val="minMax"/>
        </c:scaling>
        <c:delete val="0"/>
        <c:axPos val="b"/>
        <c:majorGridlines/>
        <c:numFmt formatCode="General" sourceLinked="0"/>
        <c:majorTickMark val="out"/>
        <c:minorTickMark val="none"/>
        <c:tickLblPos val="nextTo"/>
        <c:crossAx val="128389120"/>
        <c:crosses val="autoZero"/>
        <c:auto val="1"/>
        <c:lblAlgn val="ctr"/>
        <c:lblOffset val="100"/>
        <c:noMultiLvlLbl val="0"/>
      </c:catAx>
      <c:valAx>
        <c:axId val="128389120"/>
        <c:scaling>
          <c:orientation val="minMax"/>
          <c:min val="0"/>
        </c:scaling>
        <c:delete val="0"/>
        <c:axPos val="l"/>
        <c:majorGridlines/>
        <c:minorGridlines>
          <c:spPr>
            <a:ln>
              <a:prstDash val="dash"/>
            </a:ln>
          </c:spPr>
        </c:minorGridlines>
        <c:title>
          <c:tx>
            <c:rich>
              <a:bodyPr rot="-5400000" vert="horz"/>
              <a:lstStyle/>
              <a:p>
                <a:pPr>
                  <a:defRPr/>
                </a:pPr>
                <a:r>
                  <a:rPr lang="cs-CZ"/>
                  <a:t>Plánovaná finanční zásoba na BÚ ZFZP </a:t>
                </a:r>
              </a:p>
            </c:rich>
          </c:tx>
          <c:overlay val="0"/>
        </c:title>
        <c:numFmt formatCode="#,##0" sourceLinked="0"/>
        <c:majorTickMark val="out"/>
        <c:minorTickMark val="none"/>
        <c:tickLblPos val="nextTo"/>
        <c:crossAx val="128116992"/>
        <c:crosses val="autoZero"/>
        <c:crossBetween val="between"/>
        <c:majorUnit val="20"/>
        <c:minorUnit val="10"/>
      </c:valAx>
    </c:plotArea>
    <c:legend>
      <c:legendPos val="r"/>
      <c:layout>
        <c:manualLayout>
          <c:xMode val="edge"/>
          <c:yMode val="edge"/>
          <c:x val="0.74108013786038618"/>
          <c:y val="4.7944417019062012E-2"/>
          <c:w val="0.23614945871567608"/>
          <c:h val="0.15317043370059549"/>
        </c:manualLayout>
      </c:layout>
      <c:overlay val="1"/>
    </c:legend>
    <c:plotVisOnly val="1"/>
    <c:dispBlanksAs val="gap"/>
    <c:showDLblsOverMax val="0"/>
  </c:chart>
  <c:spPr>
    <a:ln>
      <a:noFill/>
    </a:ln>
  </c:spPr>
  <c:txPr>
    <a:bodyPr/>
    <a:lstStyle/>
    <a:p>
      <a:pPr>
        <a:defRPr sz="1000"/>
      </a:pPr>
      <a:endParaRPr lang="cs-CZ"/>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083677532015922"/>
          <c:y val="9.4777777777777794E-2"/>
          <c:w val="0.77232500394231873"/>
          <c:h val="0.68729641581687562"/>
        </c:manualLayout>
      </c:layout>
      <c:barChart>
        <c:barDir val="col"/>
        <c:grouping val="clustered"/>
        <c:varyColors val="0"/>
        <c:ser>
          <c:idx val="0"/>
          <c:order val="0"/>
          <c:tx>
            <c:strRef>
              <c:f>Graf!$R$5</c:f>
              <c:strCache>
                <c:ptCount val="1"/>
                <c:pt idx="0">
                  <c:v>Zůstatky</c:v>
                </c:pt>
              </c:strCache>
            </c:strRef>
          </c:tx>
          <c:invertIfNegative val="0"/>
          <c:dPt>
            <c:idx val="16"/>
            <c:invertIfNegative val="0"/>
            <c:bubble3D val="0"/>
            <c:spPr>
              <a:solidFill>
                <a:srgbClr val="92D050"/>
              </a:solidFill>
            </c:spPr>
            <c:extLst>
              <c:ext xmlns:c16="http://schemas.microsoft.com/office/drawing/2014/chart" uri="{C3380CC4-5D6E-409C-BE32-E72D297353CC}">
                <c16:uniqueId val="{00000001-8DAD-4E4C-88A0-28EA8B4F25E0}"/>
              </c:ext>
            </c:extLst>
          </c:dPt>
          <c:dPt>
            <c:idx val="17"/>
            <c:invertIfNegative val="0"/>
            <c:bubble3D val="0"/>
            <c:spPr>
              <a:solidFill>
                <a:srgbClr val="92D050"/>
              </a:solidFill>
            </c:spPr>
            <c:extLst>
              <c:ext xmlns:c16="http://schemas.microsoft.com/office/drawing/2014/chart" uri="{C3380CC4-5D6E-409C-BE32-E72D297353CC}">
                <c16:uniqueId val="{00000003-8DAD-4E4C-88A0-28EA8B4F25E0}"/>
              </c:ext>
            </c:extLst>
          </c:dPt>
          <c:cat>
            <c:strRef>
              <c:f>Graf!$Q$6:$Q$23</c:f>
              <c:strCache>
                <c:ptCount val="18"/>
                <c:pt idx="0">
                  <c:v>2004</c:v>
                </c:pt>
                <c:pt idx="1">
                  <c:v>2005</c:v>
                </c:pt>
                <c:pt idx="2">
                  <c:v>2006</c:v>
                </c:pt>
                <c:pt idx="3">
                  <c:v>2007</c:v>
                </c:pt>
                <c:pt idx="4">
                  <c:v>2008</c:v>
                </c:pt>
                <c:pt idx="5">
                  <c:v>2009</c:v>
                </c:pt>
                <c:pt idx="6">
                  <c:v>2010</c:v>
                </c:pt>
                <c:pt idx="7">
                  <c:v>2011</c:v>
                </c:pt>
                <c:pt idx="8">
                  <c:v>2012</c:v>
                </c:pt>
                <c:pt idx="9">
                  <c:v>2013</c:v>
                </c:pt>
                <c:pt idx="10">
                  <c:v>2014</c:v>
                </c:pt>
                <c:pt idx="11">
                  <c:v>2015</c:v>
                </c:pt>
                <c:pt idx="12">
                  <c:v>2016</c:v>
                </c:pt>
                <c:pt idx="13">
                  <c:v>2017</c:v>
                </c:pt>
                <c:pt idx="14">
                  <c:v>2018</c:v>
                </c:pt>
                <c:pt idx="15">
                  <c:v>2019</c:v>
                </c:pt>
                <c:pt idx="16">
                  <c:v>2020 OČ SK</c:v>
                </c:pt>
                <c:pt idx="17">
                  <c:v>2021 ZPP</c:v>
                </c:pt>
              </c:strCache>
            </c:strRef>
          </c:cat>
          <c:val>
            <c:numRef>
              <c:f>Graf!$R$6:$R$23</c:f>
              <c:numCache>
                <c:formatCode>General</c:formatCode>
                <c:ptCount val="18"/>
                <c:pt idx="0">
                  <c:v>6.6420179999999975</c:v>
                </c:pt>
                <c:pt idx="1">
                  <c:v>7.0248259999999974</c:v>
                </c:pt>
                <c:pt idx="2">
                  <c:v>9.7374370000000035</c:v>
                </c:pt>
                <c:pt idx="3">
                  <c:v>26.828125999999994</c:v>
                </c:pt>
                <c:pt idx="4">
                  <c:v>37.615958000000013</c:v>
                </c:pt>
                <c:pt idx="5">
                  <c:v>31.118986000000007</c:v>
                </c:pt>
                <c:pt idx="6">
                  <c:v>24.335412999999992</c:v>
                </c:pt>
                <c:pt idx="7">
                  <c:v>14.701367999999997</c:v>
                </c:pt>
                <c:pt idx="8">
                  <c:v>13.093145</c:v>
                </c:pt>
                <c:pt idx="9">
                  <c:v>13.44835</c:v>
                </c:pt>
                <c:pt idx="10">
                  <c:v>15.142656000000002</c:v>
                </c:pt>
                <c:pt idx="11">
                  <c:v>15.348407</c:v>
                </c:pt>
                <c:pt idx="12">
                  <c:v>20.834143000000001</c:v>
                </c:pt>
                <c:pt idx="13">
                  <c:v>30.521667000000001</c:v>
                </c:pt>
                <c:pt idx="14">
                  <c:v>45.063543000000003</c:v>
                </c:pt>
                <c:pt idx="15">
                  <c:v>58.566672000000011</c:v>
                </c:pt>
                <c:pt idx="16">
                  <c:v>58.438249399999989</c:v>
                </c:pt>
                <c:pt idx="17">
                  <c:v>44.775550570000007</c:v>
                </c:pt>
              </c:numCache>
            </c:numRef>
          </c:val>
          <c:extLst>
            <c:ext xmlns:c16="http://schemas.microsoft.com/office/drawing/2014/chart" uri="{C3380CC4-5D6E-409C-BE32-E72D297353CC}">
              <c16:uniqueId val="{00000004-8DAD-4E4C-88A0-28EA8B4F25E0}"/>
            </c:ext>
          </c:extLst>
        </c:ser>
        <c:dLbls>
          <c:showLegendKey val="0"/>
          <c:showVal val="0"/>
          <c:showCatName val="0"/>
          <c:showSerName val="0"/>
          <c:showPercent val="0"/>
          <c:showBubbleSize val="0"/>
        </c:dLbls>
        <c:gapWidth val="150"/>
        <c:axId val="128425984"/>
        <c:axId val="128427904"/>
      </c:barChart>
      <c:lineChart>
        <c:grouping val="standard"/>
        <c:varyColors val="0"/>
        <c:ser>
          <c:idx val="2"/>
          <c:order val="1"/>
          <c:tx>
            <c:strRef>
              <c:f>Graf!$S$5</c:f>
              <c:strCache>
                <c:ptCount val="1"/>
                <c:pt idx="0">
                  <c:v>Podíl zůstatků na účtech ZP na výdajích v daném roce</c:v>
                </c:pt>
              </c:strCache>
            </c:strRef>
          </c:tx>
          <c:spPr>
            <a:ln>
              <a:solidFill>
                <a:srgbClr val="FFC000"/>
              </a:solidFill>
            </a:ln>
          </c:spPr>
          <c:marker>
            <c:symbol val="circle"/>
            <c:size val="7"/>
            <c:spPr>
              <a:solidFill>
                <a:schemeClr val="bg1"/>
              </a:solidFill>
              <a:ln w="28575">
                <a:solidFill>
                  <a:srgbClr val="FFC000"/>
                </a:solidFill>
              </a:ln>
            </c:spPr>
          </c:marker>
          <c:cat>
            <c:strRef>
              <c:f>Graf!$Q$6:$Q$23</c:f>
              <c:strCache>
                <c:ptCount val="18"/>
                <c:pt idx="0">
                  <c:v>2004</c:v>
                </c:pt>
                <c:pt idx="1">
                  <c:v>2005</c:v>
                </c:pt>
                <c:pt idx="2">
                  <c:v>2006</c:v>
                </c:pt>
                <c:pt idx="3">
                  <c:v>2007</c:v>
                </c:pt>
                <c:pt idx="4">
                  <c:v>2008</c:v>
                </c:pt>
                <c:pt idx="5">
                  <c:v>2009</c:v>
                </c:pt>
                <c:pt idx="6">
                  <c:v>2010</c:v>
                </c:pt>
                <c:pt idx="7">
                  <c:v>2011</c:v>
                </c:pt>
                <c:pt idx="8">
                  <c:v>2012</c:v>
                </c:pt>
                <c:pt idx="9">
                  <c:v>2013</c:v>
                </c:pt>
                <c:pt idx="10">
                  <c:v>2014</c:v>
                </c:pt>
                <c:pt idx="11">
                  <c:v>2015</c:v>
                </c:pt>
                <c:pt idx="12">
                  <c:v>2016</c:v>
                </c:pt>
                <c:pt idx="13">
                  <c:v>2017</c:v>
                </c:pt>
                <c:pt idx="14">
                  <c:v>2018</c:v>
                </c:pt>
                <c:pt idx="15">
                  <c:v>2019</c:v>
                </c:pt>
                <c:pt idx="16">
                  <c:v>2020 OČ SK</c:v>
                </c:pt>
                <c:pt idx="17">
                  <c:v>2021 ZPP</c:v>
                </c:pt>
              </c:strCache>
            </c:strRef>
          </c:cat>
          <c:val>
            <c:numRef>
              <c:f>Graf!$S$6:$S$23</c:f>
              <c:numCache>
                <c:formatCode>0%</c:formatCode>
                <c:ptCount val="18"/>
                <c:pt idx="0">
                  <c:v>4.2356837211675227E-2</c:v>
                </c:pt>
                <c:pt idx="1">
                  <c:v>4.1710908043724813E-2</c:v>
                </c:pt>
                <c:pt idx="2">
                  <c:v>5.4093566504269192E-2</c:v>
                </c:pt>
                <c:pt idx="3">
                  <c:v>0.14454030494046669</c:v>
                </c:pt>
                <c:pt idx="4">
                  <c:v>0.18752471683815905</c:v>
                </c:pt>
                <c:pt idx="5">
                  <c:v>0.14233630334354841</c:v>
                </c:pt>
                <c:pt idx="6">
                  <c:v>0.10937264269662925</c:v>
                </c:pt>
                <c:pt idx="7">
                  <c:v>6.5180951198641549E-2</c:v>
                </c:pt>
                <c:pt idx="8">
                  <c:v>5.6614109050028102E-2</c:v>
                </c:pt>
                <c:pt idx="9">
                  <c:v>5.8495248037232786E-2</c:v>
                </c:pt>
                <c:pt idx="10">
                  <c:v>6.3355088502559123E-2</c:v>
                </c:pt>
                <c:pt idx="11">
                  <c:v>6.0905689861602094E-2</c:v>
                </c:pt>
                <c:pt idx="12">
                  <c:v>8.0458973857296265E-2</c:v>
                </c:pt>
                <c:pt idx="13">
                  <c:v>0.11086243008979094</c:v>
                </c:pt>
                <c:pt idx="14">
                  <c:v>0.15260512998806453</c:v>
                </c:pt>
                <c:pt idx="15">
                  <c:v>0.18416732555744586</c:v>
                </c:pt>
                <c:pt idx="16">
                  <c:v>0.16462980916453027</c:v>
                </c:pt>
                <c:pt idx="17">
                  <c:v>0.11218290457952242</c:v>
                </c:pt>
              </c:numCache>
            </c:numRef>
          </c:val>
          <c:smooth val="0"/>
          <c:extLst>
            <c:ext xmlns:c16="http://schemas.microsoft.com/office/drawing/2014/chart" uri="{C3380CC4-5D6E-409C-BE32-E72D297353CC}">
              <c16:uniqueId val="{00000002-22C7-4001-B222-125D5DBCD3D2}"/>
            </c:ext>
          </c:extLst>
        </c:ser>
        <c:dLbls>
          <c:showLegendKey val="0"/>
          <c:showVal val="0"/>
          <c:showCatName val="0"/>
          <c:showSerName val="0"/>
          <c:showPercent val="0"/>
          <c:showBubbleSize val="0"/>
        </c:dLbls>
        <c:marker val="1"/>
        <c:smooth val="0"/>
        <c:axId val="128436096"/>
        <c:axId val="128434176"/>
      </c:lineChart>
      <c:catAx>
        <c:axId val="128425984"/>
        <c:scaling>
          <c:orientation val="minMax"/>
        </c:scaling>
        <c:delete val="0"/>
        <c:axPos val="b"/>
        <c:majorGridlines>
          <c:spPr>
            <a:ln>
              <a:solidFill>
                <a:schemeClr val="bg1">
                  <a:lumMod val="75000"/>
                </a:schemeClr>
              </a:solidFill>
            </a:ln>
          </c:spPr>
        </c:majorGridlines>
        <c:numFmt formatCode="General" sourceLinked="1"/>
        <c:majorTickMark val="none"/>
        <c:minorTickMark val="none"/>
        <c:tickLblPos val="nextTo"/>
        <c:crossAx val="128427904"/>
        <c:crosses val="autoZero"/>
        <c:auto val="1"/>
        <c:lblAlgn val="ctr"/>
        <c:lblOffset val="100"/>
        <c:noMultiLvlLbl val="0"/>
      </c:catAx>
      <c:valAx>
        <c:axId val="128427904"/>
        <c:scaling>
          <c:orientation val="minMax"/>
          <c:max val="60"/>
          <c:min val="0"/>
        </c:scaling>
        <c:delete val="0"/>
        <c:axPos val="l"/>
        <c:majorGridlines/>
        <c:minorGridlines>
          <c:spPr>
            <a:ln>
              <a:solidFill>
                <a:schemeClr val="bg1">
                  <a:lumMod val="75000"/>
                </a:schemeClr>
              </a:solidFill>
              <a:prstDash val="dash"/>
            </a:ln>
          </c:spPr>
        </c:minorGridlines>
        <c:title>
          <c:tx>
            <c:rich>
              <a:bodyPr rot="-5400000" vert="horz"/>
              <a:lstStyle/>
              <a:p>
                <a:pPr algn="ctr" rtl="0">
                  <a:defRPr/>
                </a:pPr>
                <a:r>
                  <a:rPr lang="cs-CZ"/>
                  <a:t>Zůstatky</a:t>
                </a:r>
              </a:p>
              <a:p>
                <a:pPr algn="ctr" rtl="0">
                  <a:defRPr/>
                </a:pPr>
                <a:r>
                  <a:rPr lang="cs-CZ" b="0"/>
                  <a:t>(v mld. Kč)</a:t>
                </a:r>
              </a:p>
            </c:rich>
          </c:tx>
          <c:layout>
            <c:manualLayout>
              <c:xMode val="edge"/>
              <c:yMode val="edge"/>
              <c:x val="1.0923348498324268E-2"/>
              <c:y val="0.29651192477344845"/>
            </c:manualLayout>
          </c:layout>
          <c:overlay val="0"/>
        </c:title>
        <c:numFmt formatCode="#,##0" sourceLinked="0"/>
        <c:majorTickMark val="none"/>
        <c:minorTickMark val="none"/>
        <c:tickLblPos val="nextTo"/>
        <c:crossAx val="128425984"/>
        <c:crosses val="autoZero"/>
        <c:crossBetween val="between"/>
        <c:majorUnit val="10"/>
        <c:minorUnit val="5"/>
      </c:valAx>
      <c:valAx>
        <c:axId val="128434176"/>
        <c:scaling>
          <c:orientation val="minMax"/>
        </c:scaling>
        <c:delete val="0"/>
        <c:axPos val="r"/>
        <c:title>
          <c:tx>
            <c:rich>
              <a:bodyPr rot="-5400000" vert="horz"/>
              <a:lstStyle/>
              <a:p>
                <a:pPr>
                  <a:defRPr/>
                </a:pPr>
                <a:r>
                  <a:rPr lang="cs-CZ"/>
                  <a:t>Podíl zůstataků</a:t>
                </a:r>
                <a:r>
                  <a:rPr lang="cs-CZ" baseline="0"/>
                  <a:t> na výdajích </a:t>
                </a:r>
                <a:r>
                  <a:rPr lang="cs-CZ"/>
                  <a:t> </a:t>
                </a:r>
              </a:p>
              <a:p>
                <a:pPr>
                  <a:defRPr/>
                </a:pPr>
                <a:r>
                  <a:rPr lang="cs-CZ" b="0"/>
                  <a:t>(v daném roce)</a:t>
                </a:r>
              </a:p>
            </c:rich>
          </c:tx>
          <c:overlay val="0"/>
        </c:title>
        <c:numFmt formatCode="0%" sourceLinked="1"/>
        <c:majorTickMark val="out"/>
        <c:minorTickMark val="none"/>
        <c:tickLblPos val="nextTo"/>
        <c:crossAx val="128436096"/>
        <c:crosses val="max"/>
        <c:crossBetween val="between"/>
        <c:majorUnit val="4.0000000000000022E-2"/>
        <c:minorUnit val="2.0000000000000011E-2"/>
      </c:valAx>
      <c:catAx>
        <c:axId val="128436096"/>
        <c:scaling>
          <c:orientation val="minMax"/>
        </c:scaling>
        <c:delete val="1"/>
        <c:axPos val="b"/>
        <c:numFmt formatCode="General" sourceLinked="1"/>
        <c:majorTickMark val="out"/>
        <c:minorTickMark val="none"/>
        <c:tickLblPos val="none"/>
        <c:crossAx val="128434176"/>
        <c:crosses val="autoZero"/>
        <c:auto val="1"/>
        <c:lblAlgn val="ctr"/>
        <c:lblOffset val="100"/>
        <c:noMultiLvlLbl val="0"/>
      </c:catAx>
      <c:spPr>
        <a:solidFill>
          <a:schemeClr val="bg1"/>
        </a:solidFill>
        <a:ln>
          <a:solidFill>
            <a:schemeClr val="tx1">
              <a:lumMod val="50000"/>
              <a:lumOff val="50000"/>
            </a:schemeClr>
          </a:solidFill>
        </a:ln>
      </c:spPr>
    </c:plotArea>
    <c:plotVisOnly val="1"/>
    <c:dispBlanksAs val="gap"/>
    <c:showDLblsOverMax val="0"/>
  </c:chart>
  <c:spPr>
    <a:ln>
      <a:noFill/>
    </a:ln>
  </c:spPr>
  <c:txPr>
    <a:bodyPr/>
    <a:lstStyle/>
    <a:p>
      <a:pPr>
        <a:defRPr sz="1000"/>
      </a:pPr>
      <a:endParaRPr lang="cs-CZ"/>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percentStacked"/>
        <c:varyColors val="0"/>
        <c:ser>
          <c:idx val="0"/>
          <c:order val="0"/>
          <c:tx>
            <c:strRef>
              <c:f>'Z T9 G4'!$B$55</c:f>
              <c:strCache>
                <c:ptCount val="1"/>
                <c:pt idx="0">
                  <c:v>VZP ČR</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'Z T9 G4'!$A$59:$A$60</c:f>
              <c:numCache>
                <c:formatCode>General</c:formatCode>
                <c:ptCount val="2"/>
                <c:pt idx="0">
                  <c:v>2021</c:v>
                </c:pt>
                <c:pt idx="1">
                  <c:v>2020</c:v>
                </c:pt>
              </c:numCache>
            </c:numRef>
          </c:cat>
          <c:val>
            <c:numRef>
              <c:f>'Z T9 G4'!$B$59:$B$60</c:f>
              <c:numCache>
                <c:formatCode>0%</c:formatCode>
                <c:ptCount val="2"/>
                <c:pt idx="0">
                  <c:v>0.5267570158211009</c:v>
                </c:pt>
                <c:pt idx="1">
                  <c:v>0.58027202642384423</c:v>
                </c:pt>
              </c:numCache>
            </c:numRef>
          </c:val>
          <c:extLst>
            <c:ext xmlns:c16="http://schemas.microsoft.com/office/drawing/2014/chart" uri="{C3380CC4-5D6E-409C-BE32-E72D297353CC}">
              <c16:uniqueId val="{00000000-A184-475E-A7D2-28FE2C81E75F}"/>
            </c:ext>
          </c:extLst>
        </c:ser>
        <c:ser>
          <c:idx val="1"/>
          <c:order val="1"/>
          <c:tx>
            <c:strRef>
              <c:f>'Z T9 G4'!$C$55</c:f>
              <c:strCache>
                <c:ptCount val="1"/>
                <c:pt idx="0">
                  <c:v>VoZP ČR</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'Z T9 G4'!$A$59:$A$60</c:f>
              <c:numCache>
                <c:formatCode>General</c:formatCode>
                <c:ptCount val="2"/>
                <c:pt idx="0">
                  <c:v>2021</c:v>
                </c:pt>
                <c:pt idx="1">
                  <c:v>2020</c:v>
                </c:pt>
              </c:numCache>
            </c:numRef>
          </c:cat>
          <c:val>
            <c:numRef>
              <c:f>'Z T9 G4'!$C$59:$C$60</c:f>
              <c:numCache>
                <c:formatCode>0%</c:formatCode>
                <c:ptCount val="2"/>
                <c:pt idx="0">
                  <c:v>3.4109645790113156E-2</c:v>
                </c:pt>
                <c:pt idx="1">
                  <c:v>3.5714844668156678E-2</c:v>
                </c:pt>
              </c:numCache>
            </c:numRef>
          </c:val>
          <c:extLst>
            <c:ext xmlns:c16="http://schemas.microsoft.com/office/drawing/2014/chart" uri="{C3380CC4-5D6E-409C-BE32-E72D297353CC}">
              <c16:uniqueId val="{00000001-A184-475E-A7D2-28FE2C81E75F}"/>
            </c:ext>
          </c:extLst>
        </c:ser>
        <c:ser>
          <c:idx val="2"/>
          <c:order val="2"/>
          <c:tx>
            <c:strRef>
              <c:f>'Z T9 G4'!$D$55</c:f>
              <c:strCache>
                <c:ptCount val="1"/>
                <c:pt idx="0">
                  <c:v>ČPZP</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'Z T9 G4'!$A$59:$A$60</c:f>
              <c:numCache>
                <c:formatCode>General</c:formatCode>
                <c:ptCount val="2"/>
                <c:pt idx="0">
                  <c:v>2021</c:v>
                </c:pt>
                <c:pt idx="1">
                  <c:v>2020</c:v>
                </c:pt>
              </c:numCache>
            </c:numRef>
          </c:cat>
          <c:val>
            <c:numRef>
              <c:f>'Z T9 G4'!$D$59:$D$60</c:f>
              <c:numCache>
                <c:formatCode>0%</c:formatCode>
                <c:ptCount val="2"/>
                <c:pt idx="0">
                  <c:v>0.15068976068650947</c:v>
                </c:pt>
                <c:pt idx="1">
                  <c:v>0.10910053031123147</c:v>
                </c:pt>
              </c:numCache>
            </c:numRef>
          </c:val>
          <c:extLst>
            <c:ext xmlns:c16="http://schemas.microsoft.com/office/drawing/2014/chart" uri="{C3380CC4-5D6E-409C-BE32-E72D297353CC}">
              <c16:uniqueId val="{00000002-A184-475E-A7D2-28FE2C81E75F}"/>
            </c:ext>
          </c:extLst>
        </c:ser>
        <c:ser>
          <c:idx val="3"/>
          <c:order val="3"/>
          <c:tx>
            <c:strRef>
              <c:f>'Z T9 G4'!$E$55</c:f>
              <c:strCache>
                <c:ptCount val="1"/>
                <c:pt idx="0">
                  <c:v>OZP</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'Z T9 G4'!$A$59:$A$60</c:f>
              <c:numCache>
                <c:formatCode>General</c:formatCode>
                <c:ptCount val="2"/>
                <c:pt idx="0">
                  <c:v>2021</c:v>
                </c:pt>
                <c:pt idx="1">
                  <c:v>2020</c:v>
                </c:pt>
              </c:numCache>
            </c:numRef>
          </c:cat>
          <c:val>
            <c:numRef>
              <c:f>'Z T9 G4'!$E$59:$E$60</c:f>
              <c:numCache>
                <c:formatCode>0%</c:formatCode>
                <c:ptCount val="2"/>
                <c:pt idx="0">
                  <c:v>9.9270292456841644E-2</c:v>
                </c:pt>
                <c:pt idx="1">
                  <c:v>8.7039688084838487E-2</c:v>
                </c:pt>
              </c:numCache>
            </c:numRef>
          </c:val>
          <c:extLst>
            <c:ext xmlns:c16="http://schemas.microsoft.com/office/drawing/2014/chart" uri="{C3380CC4-5D6E-409C-BE32-E72D297353CC}">
              <c16:uniqueId val="{00000003-A184-475E-A7D2-28FE2C81E75F}"/>
            </c:ext>
          </c:extLst>
        </c:ser>
        <c:ser>
          <c:idx val="4"/>
          <c:order val="4"/>
          <c:tx>
            <c:strRef>
              <c:f>'Z T9 G4'!$F$55</c:f>
              <c:strCache>
                <c:ptCount val="1"/>
                <c:pt idx="0">
                  <c:v>ZPŠ</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'Z T9 G4'!$A$59:$A$60</c:f>
              <c:numCache>
                <c:formatCode>General</c:formatCode>
                <c:ptCount val="2"/>
                <c:pt idx="0">
                  <c:v>2021</c:v>
                </c:pt>
                <c:pt idx="1">
                  <c:v>2020</c:v>
                </c:pt>
              </c:numCache>
            </c:numRef>
          </c:cat>
          <c:val>
            <c:numRef>
              <c:f>'Z T9 G4'!$F$59:$F$60</c:f>
              <c:numCache>
                <c:formatCode>0%</c:formatCode>
                <c:ptCount val="2"/>
                <c:pt idx="0">
                  <c:v>2.0585363848491932E-2</c:v>
                </c:pt>
                <c:pt idx="1">
                  <c:v>2.3282302498267526E-2</c:v>
                </c:pt>
              </c:numCache>
            </c:numRef>
          </c:val>
          <c:extLst>
            <c:ext xmlns:c16="http://schemas.microsoft.com/office/drawing/2014/chart" uri="{C3380CC4-5D6E-409C-BE32-E72D297353CC}">
              <c16:uniqueId val="{00000004-A184-475E-A7D2-28FE2C81E75F}"/>
            </c:ext>
          </c:extLst>
        </c:ser>
        <c:ser>
          <c:idx val="5"/>
          <c:order val="5"/>
          <c:tx>
            <c:strRef>
              <c:f>'Z T9 G4'!$G$55</c:f>
              <c:strCache>
                <c:ptCount val="1"/>
                <c:pt idx="0">
                  <c:v>ZPMV ČR</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'Z T9 G4'!$A$59:$A$60</c:f>
              <c:numCache>
                <c:formatCode>General</c:formatCode>
                <c:ptCount val="2"/>
                <c:pt idx="0">
                  <c:v>2021</c:v>
                </c:pt>
                <c:pt idx="1">
                  <c:v>2020</c:v>
                </c:pt>
              </c:numCache>
            </c:numRef>
          </c:cat>
          <c:val>
            <c:numRef>
              <c:f>'Z T9 G4'!$G$59:$G$60</c:f>
              <c:numCache>
                <c:formatCode>0%</c:formatCode>
                <c:ptCount val="2"/>
                <c:pt idx="0">
                  <c:v>0.1266720549004296</c:v>
                </c:pt>
                <c:pt idx="1">
                  <c:v>0.12883448900849526</c:v>
                </c:pt>
              </c:numCache>
            </c:numRef>
          </c:val>
          <c:extLst>
            <c:ext xmlns:c16="http://schemas.microsoft.com/office/drawing/2014/chart" uri="{C3380CC4-5D6E-409C-BE32-E72D297353CC}">
              <c16:uniqueId val="{00000005-A184-475E-A7D2-28FE2C81E75F}"/>
            </c:ext>
          </c:extLst>
        </c:ser>
        <c:ser>
          <c:idx val="6"/>
          <c:order val="6"/>
          <c:tx>
            <c:strRef>
              <c:f>'Z T9 G4'!$H$55</c:f>
              <c:strCache>
                <c:ptCount val="1"/>
                <c:pt idx="0">
                  <c:v>RBP</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'Z T9 G4'!$A$59:$A$60</c:f>
              <c:numCache>
                <c:formatCode>General</c:formatCode>
                <c:ptCount val="2"/>
                <c:pt idx="0">
                  <c:v>2021</c:v>
                </c:pt>
                <c:pt idx="1">
                  <c:v>2020</c:v>
                </c:pt>
              </c:numCache>
            </c:numRef>
          </c:cat>
          <c:val>
            <c:numRef>
              <c:f>'Z T9 G4'!$H$59:$H$60</c:f>
              <c:numCache>
                <c:formatCode>0%</c:formatCode>
                <c:ptCount val="2"/>
                <c:pt idx="0">
                  <c:v>4.1915866496513306E-2</c:v>
                </c:pt>
                <c:pt idx="1">
                  <c:v>3.5756119005166516E-2</c:v>
                </c:pt>
              </c:numCache>
            </c:numRef>
          </c:val>
          <c:extLst>
            <c:ext xmlns:c16="http://schemas.microsoft.com/office/drawing/2014/chart" uri="{C3380CC4-5D6E-409C-BE32-E72D297353CC}">
              <c16:uniqueId val="{00000006-A184-475E-A7D2-28FE2C81E75F}"/>
            </c:ext>
          </c:extLst>
        </c:ser>
        <c:dLbls>
          <c:showLegendKey val="0"/>
          <c:showVal val="0"/>
          <c:showCatName val="0"/>
          <c:showSerName val="0"/>
          <c:showPercent val="0"/>
          <c:showBubbleSize val="0"/>
        </c:dLbls>
        <c:gapWidth val="150"/>
        <c:overlap val="100"/>
        <c:axId val="128633088"/>
        <c:axId val="128643072"/>
      </c:barChart>
      <c:catAx>
        <c:axId val="128633088"/>
        <c:scaling>
          <c:orientation val="minMax"/>
        </c:scaling>
        <c:delete val="0"/>
        <c:axPos val="l"/>
        <c:numFmt formatCode="General" sourceLinked="1"/>
        <c:majorTickMark val="out"/>
        <c:minorTickMark val="none"/>
        <c:tickLblPos val="nextTo"/>
        <c:crossAx val="128643072"/>
        <c:crosses val="autoZero"/>
        <c:auto val="1"/>
        <c:lblAlgn val="ctr"/>
        <c:lblOffset val="100"/>
        <c:noMultiLvlLbl val="0"/>
      </c:catAx>
      <c:valAx>
        <c:axId val="128643072"/>
        <c:scaling>
          <c:orientation val="minMax"/>
        </c:scaling>
        <c:delete val="0"/>
        <c:axPos val="b"/>
        <c:majorGridlines/>
        <c:numFmt formatCode="0%" sourceLinked="1"/>
        <c:majorTickMark val="out"/>
        <c:minorTickMark val="none"/>
        <c:tickLblPos val="nextTo"/>
        <c:crossAx val="128633088"/>
        <c:crosses val="autoZero"/>
        <c:crossBetween val="between"/>
      </c:valAx>
    </c:plotArea>
    <c:legend>
      <c:legendPos val="b"/>
      <c:overlay val="0"/>
    </c:legend>
    <c:plotVisOnly val="1"/>
    <c:dispBlanksAs val="gap"/>
    <c:showDLblsOverMax val="0"/>
  </c:chart>
  <c:spPr>
    <a:ln>
      <a:noFill/>
    </a:ln>
  </c:sp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991071837815243"/>
          <c:y val="8.162134373101354E-2"/>
          <c:w val="0.85631860166221607"/>
          <c:h val="0.81045652235708798"/>
        </c:manualLayout>
      </c:layout>
      <c:lineChart>
        <c:grouping val="standard"/>
        <c:varyColors val="0"/>
        <c:ser>
          <c:idx val="2"/>
          <c:order val="0"/>
          <c:tx>
            <c:strRef>
              <c:f>'2020'!$A$18</c:f>
              <c:strCache>
                <c:ptCount val="1"/>
                <c:pt idx="0">
                  <c:v>Saldo příjmů a výdajů celkem (bez vlivu JČ)</c:v>
                </c:pt>
              </c:strCache>
            </c:strRef>
          </c:tx>
          <c:spPr>
            <a:ln>
              <a:solidFill>
                <a:srgbClr val="FFC000"/>
              </a:solidFill>
            </a:ln>
          </c:spPr>
          <c:marker>
            <c:symbol val="circle"/>
            <c:size val="7"/>
            <c:spPr>
              <a:solidFill>
                <a:schemeClr val="bg1"/>
              </a:solidFill>
              <a:ln w="28575">
                <a:solidFill>
                  <a:srgbClr val="FFC000"/>
                </a:solidFill>
              </a:ln>
            </c:spPr>
          </c:marker>
          <c:cat>
            <c:numRef>
              <c:f>'2020'!$Q$13:$T$13</c:f>
              <c:numCache>
                <c:formatCode>General</c:formatCode>
                <c:ptCount val="4"/>
                <c:pt idx="0">
                  <c:v>2020</c:v>
                </c:pt>
                <c:pt idx="1">
                  <c:v>2021</c:v>
                </c:pt>
                <c:pt idx="2">
                  <c:v>2022</c:v>
                </c:pt>
                <c:pt idx="3">
                  <c:v>2023</c:v>
                </c:pt>
              </c:numCache>
            </c:numRef>
          </c:cat>
          <c:val>
            <c:numRef>
              <c:f>'2020'!$Q$18:$T$18</c:f>
              <c:numCache>
                <c:formatCode>#,##0</c:formatCode>
                <c:ptCount val="4"/>
                <c:pt idx="0">
                  <c:v>-193.03700000000208</c:v>
                </c:pt>
                <c:pt idx="1">
                  <c:v>-13723.81683</c:v>
                </c:pt>
                <c:pt idx="2">
                  <c:v>-18831.111321750497</c:v>
                </c:pt>
                <c:pt idx="3">
                  <c:v>-4601.9408561867995</c:v>
                </c:pt>
              </c:numCache>
            </c:numRef>
          </c:val>
          <c:smooth val="0"/>
          <c:extLst>
            <c:ext xmlns:c16="http://schemas.microsoft.com/office/drawing/2014/chart" uri="{C3380CC4-5D6E-409C-BE32-E72D297353CC}">
              <c16:uniqueId val="{00000000-AA30-4960-B344-C953F8C9E753}"/>
            </c:ext>
          </c:extLst>
        </c:ser>
        <c:dLbls>
          <c:showLegendKey val="0"/>
          <c:showVal val="0"/>
          <c:showCatName val="0"/>
          <c:showSerName val="0"/>
          <c:showPercent val="0"/>
          <c:showBubbleSize val="0"/>
        </c:dLbls>
        <c:marker val="1"/>
        <c:smooth val="0"/>
        <c:axId val="128785792"/>
        <c:axId val="128804352"/>
      </c:lineChart>
      <c:catAx>
        <c:axId val="128785792"/>
        <c:scaling>
          <c:orientation val="minMax"/>
        </c:scaling>
        <c:delete val="0"/>
        <c:axPos val="b"/>
        <c:majorGridlines>
          <c:spPr>
            <a:ln>
              <a:solidFill>
                <a:schemeClr val="bg1">
                  <a:lumMod val="75000"/>
                </a:schemeClr>
              </a:solidFill>
            </a:ln>
          </c:spPr>
        </c:majorGridlines>
        <c:numFmt formatCode="General" sourceLinked="1"/>
        <c:majorTickMark val="none"/>
        <c:minorTickMark val="none"/>
        <c:tickLblPos val="low"/>
        <c:crossAx val="128804352"/>
        <c:crosses val="autoZero"/>
        <c:auto val="1"/>
        <c:lblAlgn val="ctr"/>
        <c:lblOffset val="100"/>
        <c:noMultiLvlLbl val="0"/>
      </c:catAx>
      <c:valAx>
        <c:axId val="128804352"/>
        <c:scaling>
          <c:orientation val="minMax"/>
          <c:max val="5000"/>
          <c:min val="-20000"/>
        </c:scaling>
        <c:delete val="0"/>
        <c:axPos val="l"/>
        <c:majorGridlines/>
        <c:minorGridlines>
          <c:spPr>
            <a:ln>
              <a:solidFill>
                <a:schemeClr val="bg1">
                  <a:lumMod val="75000"/>
                </a:schemeClr>
              </a:solidFill>
              <a:prstDash val="dash"/>
            </a:ln>
          </c:spPr>
        </c:minorGridlines>
        <c:title>
          <c:tx>
            <c:rich>
              <a:bodyPr/>
              <a:lstStyle/>
              <a:p>
                <a:pPr algn="ctr" rtl="0">
                  <a:defRPr/>
                </a:pPr>
                <a:r>
                  <a:rPr lang="cs-CZ"/>
                  <a:t>Saldo příjmů a výdajů (bez JČ)  </a:t>
                </a:r>
              </a:p>
              <a:p>
                <a:pPr algn="ctr" rtl="0">
                  <a:defRPr/>
                </a:pPr>
                <a:r>
                  <a:rPr lang="cs-CZ" b="0"/>
                  <a:t>(v mld. Kč)</a:t>
                </a:r>
              </a:p>
            </c:rich>
          </c:tx>
          <c:layout>
            <c:manualLayout>
              <c:xMode val="edge"/>
              <c:yMode val="edge"/>
              <c:x val="8.5077568170571909E-5"/>
              <c:y val="0.10089654241808492"/>
            </c:manualLayout>
          </c:layout>
          <c:overlay val="0"/>
        </c:title>
        <c:numFmt formatCode="#,##0" sourceLinked="0"/>
        <c:majorTickMark val="none"/>
        <c:minorTickMark val="none"/>
        <c:tickLblPos val="nextTo"/>
        <c:crossAx val="128785792"/>
        <c:crosses val="autoZero"/>
        <c:crossBetween val="between"/>
        <c:majorUnit val="5000"/>
        <c:minorUnit val="2500"/>
        <c:dispUnits>
          <c:builtInUnit val="thousands"/>
        </c:dispUnits>
      </c:valAx>
      <c:spPr>
        <a:solidFill>
          <a:schemeClr val="bg1"/>
        </a:solidFill>
        <a:ln>
          <a:solidFill>
            <a:schemeClr val="tx1">
              <a:lumMod val="50000"/>
              <a:lumOff val="50000"/>
            </a:schemeClr>
          </a:solidFill>
        </a:ln>
      </c:spPr>
    </c:plotArea>
    <c:plotVisOnly val="1"/>
    <c:dispBlanksAs val="gap"/>
    <c:showDLblsOverMax val="0"/>
  </c:chart>
  <c:spPr>
    <a:solidFill>
      <a:schemeClr val="bg1"/>
    </a:solidFill>
    <a:ln>
      <a:noFill/>
    </a:ln>
  </c:spPr>
  <c:txPr>
    <a:bodyPr/>
    <a:lstStyle/>
    <a:p>
      <a:pPr>
        <a:defRPr sz="1000"/>
      </a:pPr>
      <a:endParaRPr lang="cs-CZ"/>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371953919211044"/>
          <c:y val="0.12271022860099852"/>
          <c:w val="0.84250454770960781"/>
          <c:h val="0.77435545549601981"/>
        </c:manualLayout>
      </c:layout>
      <c:lineChart>
        <c:grouping val="standard"/>
        <c:varyColors val="0"/>
        <c:ser>
          <c:idx val="0"/>
          <c:order val="0"/>
          <c:tx>
            <c:strRef>
              <c:f>'2020'!$A$14</c:f>
              <c:strCache>
                <c:ptCount val="1"/>
                <c:pt idx="0">
                  <c:v>Příjmy celkem (bez vlivu JČ)</c:v>
                </c:pt>
              </c:strCache>
            </c:strRef>
          </c:tx>
          <c:spPr>
            <a:ln>
              <a:solidFill>
                <a:schemeClr val="accent2"/>
              </a:solidFill>
            </a:ln>
          </c:spPr>
          <c:marker>
            <c:symbol val="circle"/>
            <c:size val="7"/>
            <c:spPr>
              <a:solidFill>
                <a:schemeClr val="bg1"/>
              </a:solidFill>
              <a:ln w="28575">
                <a:solidFill>
                  <a:schemeClr val="accent2"/>
                </a:solidFill>
              </a:ln>
            </c:spPr>
          </c:marker>
          <c:cat>
            <c:numRef>
              <c:f>'2020'!$Q$13:$T$13</c:f>
              <c:numCache>
                <c:formatCode>General</c:formatCode>
                <c:ptCount val="4"/>
                <c:pt idx="0">
                  <c:v>2020</c:v>
                </c:pt>
                <c:pt idx="1">
                  <c:v>2021</c:v>
                </c:pt>
                <c:pt idx="2">
                  <c:v>2022</c:v>
                </c:pt>
                <c:pt idx="3">
                  <c:v>2023</c:v>
                </c:pt>
              </c:numCache>
            </c:numRef>
          </c:cat>
          <c:val>
            <c:numRef>
              <c:f>'2020'!$Q$14:$T$14</c:f>
              <c:numCache>
                <c:formatCode>#,##0</c:formatCode>
                <c:ptCount val="4"/>
                <c:pt idx="0">
                  <c:v>354738.05799999984</c:v>
                </c:pt>
                <c:pt idx="1">
                  <c:v>385360.34500000003</c:v>
                </c:pt>
                <c:pt idx="2">
                  <c:v>392859.28277824947</c:v>
                </c:pt>
                <c:pt idx="3">
                  <c:v>400478.92146231333</c:v>
                </c:pt>
              </c:numCache>
            </c:numRef>
          </c:val>
          <c:smooth val="0"/>
          <c:extLst>
            <c:ext xmlns:c16="http://schemas.microsoft.com/office/drawing/2014/chart" uri="{C3380CC4-5D6E-409C-BE32-E72D297353CC}">
              <c16:uniqueId val="{00000000-3194-4980-BBD4-B41D3CAB88E0}"/>
            </c:ext>
          </c:extLst>
        </c:ser>
        <c:ser>
          <c:idx val="1"/>
          <c:order val="1"/>
          <c:tx>
            <c:strRef>
              <c:f>'2020'!$A$16</c:f>
              <c:strCache>
                <c:ptCount val="1"/>
                <c:pt idx="0">
                  <c:v>Výdaje celkem (bez vlivu JČ)</c:v>
                </c:pt>
              </c:strCache>
            </c:strRef>
          </c:tx>
          <c:spPr>
            <a:ln>
              <a:solidFill>
                <a:schemeClr val="accent1"/>
              </a:solidFill>
            </a:ln>
          </c:spPr>
          <c:marker>
            <c:symbol val="circle"/>
            <c:size val="7"/>
            <c:spPr>
              <a:solidFill>
                <a:schemeClr val="bg1"/>
              </a:solidFill>
              <a:ln w="28575">
                <a:solidFill>
                  <a:schemeClr val="accent1"/>
                </a:solidFill>
              </a:ln>
            </c:spPr>
          </c:marker>
          <c:cat>
            <c:numRef>
              <c:f>'2020'!$Q$13:$T$13</c:f>
              <c:numCache>
                <c:formatCode>General</c:formatCode>
                <c:ptCount val="4"/>
                <c:pt idx="0">
                  <c:v>2020</c:v>
                </c:pt>
                <c:pt idx="1">
                  <c:v>2021</c:v>
                </c:pt>
                <c:pt idx="2">
                  <c:v>2022</c:v>
                </c:pt>
                <c:pt idx="3">
                  <c:v>2023</c:v>
                </c:pt>
              </c:numCache>
            </c:numRef>
          </c:cat>
          <c:val>
            <c:numRef>
              <c:f>'2020'!$Q$16:$T$16</c:f>
              <c:numCache>
                <c:formatCode>#,##0</c:formatCode>
                <c:ptCount val="4"/>
                <c:pt idx="0">
                  <c:v>354931.09499999991</c:v>
                </c:pt>
                <c:pt idx="1">
                  <c:v>399084.16182999988</c:v>
                </c:pt>
                <c:pt idx="2">
                  <c:v>411690.39410000015</c:v>
                </c:pt>
                <c:pt idx="3">
                  <c:v>405080.8623185</c:v>
                </c:pt>
              </c:numCache>
            </c:numRef>
          </c:val>
          <c:smooth val="0"/>
          <c:extLst>
            <c:ext xmlns:c16="http://schemas.microsoft.com/office/drawing/2014/chart" uri="{C3380CC4-5D6E-409C-BE32-E72D297353CC}">
              <c16:uniqueId val="{00000001-3194-4980-BBD4-B41D3CAB88E0}"/>
            </c:ext>
          </c:extLst>
        </c:ser>
        <c:dLbls>
          <c:showLegendKey val="0"/>
          <c:showVal val="0"/>
          <c:showCatName val="0"/>
          <c:showSerName val="0"/>
          <c:showPercent val="0"/>
          <c:showBubbleSize val="0"/>
        </c:dLbls>
        <c:marker val="1"/>
        <c:smooth val="0"/>
        <c:axId val="128829696"/>
        <c:axId val="128831872"/>
      </c:lineChart>
      <c:catAx>
        <c:axId val="128829696"/>
        <c:scaling>
          <c:orientation val="minMax"/>
        </c:scaling>
        <c:delete val="0"/>
        <c:axPos val="b"/>
        <c:majorGridlines>
          <c:spPr>
            <a:ln>
              <a:solidFill>
                <a:schemeClr val="bg1">
                  <a:lumMod val="75000"/>
                </a:schemeClr>
              </a:solidFill>
            </a:ln>
          </c:spPr>
        </c:majorGridlines>
        <c:numFmt formatCode="General" sourceLinked="1"/>
        <c:majorTickMark val="none"/>
        <c:minorTickMark val="none"/>
        <c:tickLblPos val="nextTo"/>
        <c:crossAx val="128831872"/>
        <c:crosses val="autoZero"/>
        <c:auto val="1"/>
        <c:lblAlgn val="ctr"/>
        <c:lblOffset val="100"/>
        <c:noMultiLvlLbl val="0"/>
      </c:catAx>
      <c:valAx>
        <c:axId val="128831872"/>
        <c:scaling>
          <c:orientation val="minMax"/>
          <c:max val="420000"/>
          <c:min val="350000"/>
        </c:scaling>
        <c:delete val="0"/>
        <c:axPos val="l"/>
        <c:majorGridlines/>
        <c:minorGridlines>
          <c:spPr>
            <a:ln>
              <a:solidFill>
                <a:schemeClr val="bg1">
                  <a:lumMod val="75000"/>
                </a:schemeClr>
              </a:solidFill>
              <a:prstDash val="dash"/>
            </a:ln>
          </c:spPr>
        </c:minorGridlines>
        <c:title>
          <c:tx>
            <c:rich>
              <a:bodyPr/>
              <a:lstStyle/>
              <a:p>
                <a:pPr algn="ctr" rtl="0">
                  <a:defRPr/>
                </a:pPr>
                <a:r>
                  <a:rPr lang="cs-CZ"/>
                  <a:t>Příjmy, výdaje celkem (bez JČ) </a:t>
                </a:r>
              </a:p>
              <a:p>
                <a:pPr algn="ctr" rtl="0">
                  <a:defRPr/>
                </a:pPr>
                <a:r>
                  <a:rPr lang="cs-CZ" b="0"/>
                  <a:t>(v mld.  Kč)</a:t>
                </a:r>
              </a:p>
            </c:rich>
          </c:tx>
          <c:layout>
            <c:manualLayout>
              <c:xMode val="edge"/>
              <c:yMode val="edge"/>
              <c:x val="6.8959119946970021E-3"/>
              <c:y val="0.10915909956819916"/>
            </c:manualLayout>
          </c:layout>
          <c:overlay val="0"/>
        </c:title>
        <c:numFmt formatCode="#,##0" sourceLinked="0"/>
        <c:majorTickMark val="none"/>
        <c:minorTickMark val="none"/>
        <c:tickLblPos val="nextTo"/>
        <c:crossAx val="128829696"/>
        <c:crosses val="autoZero"/>
        <c:crossBetween val="between"/>
        <c:majorUnit val="35000"/>
        <c:minorUnit val="5000"/>
        <c:dispUnits>
          <c:builtInUnit val="thousands"/>
        </c:dispUnits>
      </c:valAx>
      <c:spPr>
        <a:solidFill>
          <a:schemeClr val="bg1"/>
        </a:solidFill>
        <a:ln>
          <a:solidFill>
            <a:schemeClr val="tx1">
              <a:lumMod val="50000"/>
              <a:lumOff val="50000"/>
            </a:schemeClr>
          </a:solidFill>
        </a:ln>
      </c:spPr>
    </c:plotArea>
    <c:legend>
      <c:legendPos val="t"/>
      <c:layout>
        <c:manualLayout>
          <c:xMode val="edge"/>
          <c:yMode val="edge"/>
          <c:x val="0.11802933155746444"/>
          <c:y val="2.6235215578071659E-2"/>
          <c:w val="0.85391554554574967"/>
          <c:h val="7.9068188492793776E-2"/>
        </c:manualLayout>
      </c:layout>
      <c:overlay val="0"/>
    </c:legend>
    <c:plotVisOnly val="1"/>
    <c:dispBlanksAs val="gap"/>
    <c:showDLblsOverMax val="0"/>
  </c:chart>
  <c:spPr>
    <a:solidFill>
      <a:schemeClr val="bg1"/>
    </a:solidFill>
    <a:ln>
      <a:noFill/>
    </a:ln>
  </c:spPr>
  <c:txPr>
    <a:bodyPr/>
    <a:lstStyle/>
    <a:p>
      <a:pPr>
        <a:defRPr sz="1000"/>
      </a:pPr>
      <a:endParaRPr lang="cs-CZ"/>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5078175867487348"/>
          <c:y val="8.162134373101354E-2"/>
          <c:w val="0.82546370065767216"/>
          <c:h val="0.81045652235708798"/>
        </c:manualLayout>
      </c:layout>
      <c:lineChart>
        <c:grouping val="standard"/>
        <c:varyColors val="0"/>
        <c:ser>
          <c:idx val="2"/>
          <c:order val="0"/>
          <c:tx>
            <c:strRef>
              <c:f>'2020'!$A$21</c:f>
              <c:strCache>
                <c:ptCount val="1"/>
                <c:pt idx="0">
                  <c:v>Zůstatky na účtech v % celk. výdajů</c:v>
                </c:pt>
              </c:strCache>
            </c:strRef>
          </c:tx>
          <c:spPr>
            <a:ln>
              <a:solidFill>
                <a:srgbClr val="92D050"/>
              </a:solidFill>
            </a:ln>
          </c:spPr>
          <c:marker>
            <c:symbol val="circle"/>
            <c:size val="7"/>
            <c:spPr>
              <a:solidFill>
                <a:schemeClr val="bg1"/>
              </a:solidFill>
              <a:ln w="28575">
                <a:solidFill>
                  <a:srgbClr val="92D050"/>
                </a:solidFill>
              </a:ln>
            </c:spPr>
          </c:marker>
          <c:cat>
            <c:numRef>
              <c:f>'2020'!$Q$13:$T$13</c:f>
              <c:numCache>
                <c:formatCode>General</c:formatCode>
                <c:ptCount val="4"/>
                <c:pt idx="0">
                  <c:v>2020</c:v>
                </c:pt>
                <c:pt idx="1">
                  <c:v>2021</c:v>
                </c:pt>
                <c:pt idx="2">
                  <c:v>2022</c:v>
                </c:pt>
                <c:pt idx="3">
                  <c:v>2023</c:v>
                </c:pt>
              </c:numCache>
            </c:numRef>
          </c:cat>
          <c:val>
            <c:numRef>
              <c:f>'2020'!$Q$21:$T$21</c:f>
              <c:numCache>
                <c:formatCode>0%</c:formatCode>
                <c:ptCount val="4"/>
                <c:pt idx="0">
                  <c:v>0.16464674474351138</c:v>
                </c:pt>
                <c:pt idx="1">
                  <c:v>0.11219575932224859</c:v>
                </c:pt>
                <c:pt idx="2">
                  <c:v>6.30224853921348E-2</c:v>
                </c:pt>
                <c:pt idx="3">
                  <c:v>5.2692233965079896E-2</c:v>
                </c:pt>
              </c:numCache>
            </c:numRef>
          </c:val>
          <c:smooth val="0"/>
          <c:extLst>
            <c:ext xmlns:c16="http://schemas.microsoft.com/office/drawing/2014/chart" uri="{C3380CC4-5D6E-409C-BE32-E72D297353CC}">
              <c16:uniqueId val="{00000000-AA30-4960-B344-C953F8C9E753}"/>
            </c:ext>
          </c:extLst>
        </c:ser>
        <c:dLbls>
          <c:showLegendKey val="0"/>
          <c:showVal val="0"/>
          <c:showCatName val="0"/>
          <c:showSerName val="0"/>
          <c:showPercent val="0"/>
          <c:showBubbleSize val="0"/>
        </c:dLbls>
        <c:marker val="1"/>
        <c:smooth val="0"/>
        <c:axId val="128463616"/>
        <c:axId val="128465536"/>
      </c:lineChart>
      <c:catAx>
        <c:axId val="128463616"/>
        <c:scaling>
          <c:orientation val="minMax"/>
        </c:scaling>
        <c:delete val="0"/>
        <c:axPos val="b"/>
        <c:majorGridlines>
          <c:spPr>
            <a:ln>
              <a:solidFill>
                <a:schemeClr val="bg1">
                  <a:lumMod val="75000"/>
                </a:schemeClr>
              </a:solidFill>
            </a:ln>
          </c:spPr>
        </c:majorGridlines>
        <c:numFmt formatCode="General" sourceLinked="1"/>
        <c:majorTickMark val="none"/>
        <c:minorTickMark val="none"/>
        <c:tickLblPos val="nextTo"/>
        <c:crossAx val="128465536"/>
        <c:crosses val="autoZero"/>
        <c:auto val="1"/>
        <c:lblAlgn val="ctr"/>
        <c:lblOffset val="100"/>
        <c:noMultiLvlLbl val="0"/>
      </c:catAx>
      <c:valAx>
        <c:axId val="128465536"/>
        <c:scaling>
          <c:orientation val="minMax"/>
          <c:max val="0.2"/>
          <c:min val="0"/>
        </c:scaling>
        <c:delete val="0"/>
        <c:axPos val="l"/>
        <c:majorGridlines/>
        <c:minorGridlines>
          <c:spPr>
            <a:ln>
              <a:solidFill>
                <a:schemeClr val="bg1">
                  <a:lumMod val="75000"/>
                </a:schemeClr>
              </a:solidFill>
              <a:prstDash val="dash"/>
            </a:ln>
          </c:spPr>
        </c:minorGridlines>
        <c:title>
          <c:tx>
            <c:rich>
              <a:bodyPr/>
              <a:lstStyle/>
              <a:p>
                <a:pPr algn="ctr" rtl="0">
                  <a:defRPr/>
                </a:pPr>
                <a:r>
                  <a:rPr lang="cs-CZ"/>
                  <a:t>Podíl zůstataků na výdajích  </a:t>
                </a:r>
              </a:p>
              <a:p>
                <a:pPr algn="ctr" rtl="0">
                  <a:defRPr/>
                </a:pPr>
                <a:r>
                  <a:rPr lang="cs-CZ" b="0"/>
                  <a:t>(v daném roce)</a:t>
                </a:r>
              </a:p>
            </c:rich>
          </c:tx>
          <c:layout>
            <c:manualLayout>
              <c:xMode val="edge"/>
              <c:yMode val="edge"/>
              <c:x val="1.1111600872268477E-2"/>
              <c:y val="0.15964487553975112"/>
            </c:manualLayout>
          </c:layout>
          <c:overlay val="0"/>
        </c:title>
        <c:numFmt formatCode="0%" sourceLinked="0"/>
        <c:majorTickMark val="none"/>
        <c:minorTickMark val="none"/>
        <c:tickLblPos val="nextTo"/>
        <c:crossAx val="128463616"/>
        <c:crosses val="autoZero"/>
        <c:crossBetween val="between"/>
        <c:majorUnit val="4.0000000000000022E-2"/>
        <c:minorUnit val="2.0000000000000011E-2"/>
      </c:valAx>
      <c:spPr>
        <a:solidFill>
          <a:schemeClr val="bg1"/>
        </a:solidFill>
        <a:ln>
          <a:solidFill>
            <a:schemeClr val="tx1">
              <a:lumMod val="50000"/>
              <a:lumOff val="50000"/>
            </a:schemeClr>
          </a:solidFill>
        </a:ln>
      </c:spPr>
    </c:plotArea>
    <c:plotVisOnly val="1"/>
    <c:dispBlanksAs val="gap"/>
    <c:showDLblsOverMax val="0"/>
  </c:chart>
  <c:spPr>
    <a:solidFill>
      <a:schemeClr val="bg1"/>
    </a:solidFill>
    <a:ln>
      <a:noFill/>
    </a:ln>
  </c:spPr>
  <c:txPr>
    <a:bodyPr/>
    <a:lstStyle/>
    <a:p>
      <a:pPr>
        <a:defRPr>
          <a:latin typeface="+mn-lt"/>
        </a:defRPr>
      </a:pPr>
      <a:endParaRPr lang="cs-CZ"/>
    </a:p>
  </c:txPr>
  <c:externalData r:id="rId1">
    <c:autoUpdate val="0"/>
  </c:externalData>
</c:chartSpace>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A2F2C9-2E6E-4999-8A4A-CB9E1114C0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46</Pages>
  <Words>13425</Words>
  <Characters>79208</Characters>
  <Application>Microsoft Office Word</Application>
  <DocSecurity>0</DocSecurity>
  <Lines>660</Lines>
  <Paragraphs>184</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92449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2021-02-12T11:05:00Z</dcterms:created>
  <dcterms:modified xsi:type="dcterms:W3CDTF">2021-03-08T14:26:00Z</dcterms:modified>
</cp:coreProperties>
</file>