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D95EB" w14:textId="77777777" w:rsidR="00366307" w:rsidRPr="00050572" w:rsidRDefault="00366307" w:rsidP="00050572">
      <w:pPr>
        <w:overflowPunct/>
        <w:autoSpaceDE/>
        <w:autoSpaceDN/>
        <w:adjustRightInd/>
        <w:spacing w:after="120"/>
        <w:jc w:val="center"/>
        <w:textAlignment w:val="auto"/>
        <w:rPr>
          <w:b/>
          <w:bCs/>
          <w:sz w:val="28"/>
          <w:szCs w:val="24"/>
          <w:u w:val="single"/>
        </w:rPr>
      </w:pPr>
      <w:r w:rsidRPr="00050572">
        <w:rPr>
          <w:b/>
          <w:bCs/>
          <w:sz w:val="28"/>
          <w:szCs w:val="24"/>
          <w:u w:val="single"/>
        </w:rPr>
        <w:t>Rozdílová tabulka návrhu předpisu ČR s</w:t>
      </w:r>
      <w:r w:rsidR="00D247E5" w:rsidRPr="00050572">
        <w:rPr>
          <w:b/>
          <w:bCs/>
          <w:sz w:val="28"/>
          <w:szCs w:val="24"/>
          <w:u w:val="single"/>
        </w:rPr>
        <w:t xml:space="preserve"> předpisy </w:t>
      </w:r>
      <w:r w:rsidR="00943B97" w:rsidRPr="00050572">
        <w:rPr>
          <w:b/>
          <w:bCs/>
          <w:sz w:val="28"/>
          <w:szCs w:val="24"/>
          <w:u w:val="single"/>
        </w:rPr>
        <w:t>EU</w:t>
      </w:r>
      <w:bookmarkStart w:id="0" w:name="_GoBack"/>
      <w:bookmarkEnd w:id="0"/>
    </w:p>
    <w:p w14:paraId="1E2778C3" w14:textId="6EA84880" w:rsidR="00B91EA1" w:rsidRDefault="00B91EA1" w:rsidP="00B91EA1">
      <w:pPr>
        <w:spacing w:after="120"/>
        <w:outlineLvl w:val="0"/>
        <w:rPr>
          <w:b/>
          <w:sz w:val="28"/>
        </w:rPr>
      </w:pPr>
      <w:r w:rsidRPr="009E22A7">
        <w:rPr>
          <w:b/>
          <w:sz w:val="28"/>
        </w:rPr>
        <w:t>1) Změ</w:t>
      </w:r>
      <w:bookmarkStart w:id="1" w:name="Příjmovka"/>
      <w:bookmarkEnd w:id="1"/>
      <w:r w:rsidRPr="009E22A7">
        <w:rPr>
          <w:b/>
          <w:sz w:val="28"/>
        </w:rPr>
        <w:t xml:space="preserve">na zákona č. </w:t>
      </w:r>
      <w:r w:rsidRPr="00F066BA">
        <w:rPr>
          <w:b/>
          <w:sz w:val="28"/>
        </w:rPr>
        <w:t>353/2003 Sb.</w:t>
      </w:r>
      <w:r w:rsidRPr="009E22A7">
        <w:rPr>
          <w:b/>
          <w:sz w:val="28"/>
        </w:rPr>
        <w:t xml:space="preserve">, o </w:t>
      </w:r>
      <w:r>
        <w:rPr>
          <w:b/>
          <w:sz w:val="28"/>
        </w:rPr>
        <w:t>spotřebních daních</w:t>
      </w:r>
      <w:r w:rsidRPr="009E22A7">
        <w:rPr>
          <w:b/>
          <w:sz w:val="28"/>
        </w:rPr>
        <w:t>, ve znění pozdějších předpisů:</w:t>
      </w:r>
    </w:p>
    <w:tbl>
      <w:tblPr>
        <w:tblW w:w="1417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9"/>
        <w:gridCol w:w="4735"/>
        <w:gridCol w:w="1359"/>
        <w:gridCol w:w="1207"/>
        <w:gridCol w:w="5655"/>
      </w:tblGrid>
      <w:tr w:rsidR="00B91EA1" w:rsidRPr="00C167B7" w14:paraId="193847F7" w14:textId="77777777" w:rsidTr="00D47B44">
        <w:tc>
          <w:tcPr>
            <w:tcW w:w="5954"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9E576E9" w14:textId="77777777" w:rsidR="00B91EA1" w:rsidRPr="00050572" w:rsidRDefault="00B91EA1" w:rsidP="00214FDF">
            <w:pPr>
              <w:pStyle w:val="Textbubliny"/>
              <w:overflowPunct/>
              <w:autoSpaceDE/>
              <w:autoSpaceDN/>
              <w:adjustRightInd/>
              <w:jc w:val="center"/>
              <w:textAlignment w:val="auto"/>
              <w:rPr>
                <w:rFonts w:ascii="Times New Roman" w:hAnsi="Times New Roman" w:cs="Times New Roman"/>
                <w:b/>
                <w:bCs/>
                <w:sz w:val="24"/>
                <w:szCs w:val="24"/>
              </w:rPr>
            </w:pPr>
            <w:r w:rsidRPr="009E22A7">
              <w:rPr>
                <w:rFonts w:ascii="Times New Roman" w:hAnsi="Times New Roman" w:cs="Times New Roman"/>
                <w:b/>
                <w:bCs/>
                <w:sz w:val="24"/>
                <w:szCs w:val="24"/>
              </w:rPr>
              <w:br w:type="page"/>
              <w:t>Návrh zákona</w:t>
            </w:r>
            <w:r>
              <w:rPr>
                <w:rFonts w:ascii="Times New Roman" w:hAnsi="Times New Roman" w:cs="Times New Roman"/>
                <w:b/>
                <w:bCs/>
                <w:sz w:val="24"/>
                <w:szCs w:val="24"/>
              </w:rPr>
              <w:t>,</w:t>
            </w:r>
            <w:r w:rsidRPr="00050572">
              <w:rPr>
                <w:rFonts w:ascii="Times New Roman" w:hAnsi="Times New Roman" w:cs="Times New Roman"/>
                <w:b/>
                <w:bCs/>
                <w:sz w:val="24"/>
                <w:szCs w:val="24"/>
              </w:rPr>
              <w:t xml:space="preserve"> </w:t>
            </w:r>
            <w:r w:rsidRPr="002C0569">
              <w:rPr>
                <w:rFonts w:ascii="Times New Roman" w:hAnsi="Times New Roman" w:cs="Times New Roman"/>
                <w:b/>
                <w:bCs/>
                <w:sz w:val="24"/>
                <w:szCs w:val="24"/>
              </w:rPr>
              <w:t>kterým s</w:t>
            </w:r>
            <w:r>
              <w:rPr>
                <w:rFonts w:ascii="Times New Roman" w:hAnsi="Times New Roman" w:cs="Times New Roman"/>
                <w:b/>
                <w:bCs/>
                <w:sz w:val="24"/>
                <w:szCs w:val="24"/>
              </w:rPr>
              <w:t>e mění zákon č. 353/2003 Sb., o </w:t>
            </w:r>
            <w:r w:rsidRPr="002C0569">
              <w:rPr>
                <w:rFonts w:ascii="Times New Roman" w:hAnsi="Times New Roman" w:cs="Times New Roman"/>
                <w:b/>
                <w:bCs/>
                <w:sz w:val="24"/>
                <w:szCs w:val="24"/>
              </w:rPr>
              <w:t xml:space="preserve">spotřebních daních, </w:t>
            </w:r>
            <w:r>
              <w:rPr>
                <w:rFonts w:ascii="Times New Roman" w:hAnsi="Times New Roman" w:cs="Times New Roman"/>
                <w:b/>
                <w:bCs/>
                <w:sz w:val="24"/>
                <w:szCs w:val="24"/>
              </w:rPr>
              <w:t>ve znění pozdějších předpisů, a </w:t>
            </w:r>
            <w:r w:rsidRPr="002C0569">
              <w:rPr>
                <w:rFonts w:ascii="Times New Roman" w:hAnsi="Times New Roman" w:cs="Times New Roman"/>
                <w:b/>
                <w:bCs/>
                <w:sz w:val="24"/>
                <w:szCs w:val="24"/>
              </w:rPr>
              <w:t>zákon č. 235/2004 Sb</w:t>
            </w:r>
            <w:r>
              <w:rPr>
                <w:rFonts w:ascii="Times New Roman" w:hAnsi="Times New Roman" w:cs="Times New Roman"/>
                <w:b/>
                <w:bCs/>
                <w:sz w:val="24"/>
                <w:szCs w:val="24"/>
              </w:rPr>
              <w:t>., o dani z přidané hodnoty, ve </w:t>
            </w:r>
            <w:r w:rsidRPr="002C0569">
              <w:rPr>
                <w:rFonts w:ascii="Times New Roman" w:hAnsi="Times New Roman" w:cs="Times New Roman"/>
                <w:b/>
                <w:bCs/>
                <w:sz w:val="24"/>
                <w:szCs w:val="24"/>
              </w:rPr>
              <w:t>znění pozdějších předpisů</w:t>
            </w:r>
          </w:p>
        </w:tc>
        <w:tc>
          <w:tcPr>
            <w:tcW w:w="8221"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30F9E49" w14:textId="77777777" w:rsidR="00B91EA1" w:rsidRPr="00C167B7" w:rsidRDefault="00B91EA1" w:rsidP="00214FDF">
            <w:pPr>
              <w:pStyle w:val="Textbubliny"/>
              <w:overflowPunct/>
              <w:autoSpaceDE/>
              <w:autoSpaceDN/>
              <w:adjustRightInd/>
              <w:jc w:val="center"/>
              <w:textAlignment w:val="auto"/>
              <w:rPr>
                <w:rFonts w:ascii="Times New Roman" w:hAnsi="Times New Roman" w:cs="Times New Roman"/>
                <w:b/>
                <w:bCs/>
                <w:sz w:val="20"/>
                <w:szCs w:val="20"/>
              </w:rPr>
            </w:pPr>
            <w:r w:rsidRPr="009E22A7">
              <w:rPr>
                <w:rFonts w:ascii="Times New Roman" w:hAnsi="Times New Roman" w:cs="Times New Roman"/>
                <w:b/>
                <w:bCs/>
                <w:sz w:val="24"/>
                <w:szCs w:val="24"/>
              </w:rPr>
              <w:t>Odpovídající předpis EU</w:t>
            </w:r>
          </w:p>
        </w:tc>
      </w:tr>
      <w:tr w:rsidR="00B91EA1" w:rsidRPr="00C167B7" w14:paraId="74C8BD44" w14:textId="77777777" w:rsidTr="00D47B44">
        <w:tc>
          <w:tcPr>
            <w:tcW w:w="5954"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F2D825C" w14:textId="77777777" w:rsidR="00B91EA1" w:rsidRPr="00C167B7" w:rsidRDefault="00B91EA1" w:rsidP="00214FDF">
            <w:pPr>
              <w:pStyle w:val="Textbubliny"/>
              <w:spacing w:before="60"/>
              <w:jc w:val="center"/>
              <w:rPr>
                <w:rFonts w:ascii="Times New Roman" w:hAnsi="Times New Roman" w:cs="Times New Roman"/>
                <w:b/>
                <w:bCs/>
                <w:sz w:val="20"/>
                <w:szCs w:val="20"/>
              </w:rPr>
            </w:pPr>
            <w:r w:rsidRPr="00C167B7">
              <w:rPr>
                <w:rFonts w:ascii="Times New Roman" w:hAnsi="Times New Roman" w:cs="Times New Roman"/>
                <w:b/>
                <w:bCs/>
                <w:sz w:val="20"/>
                <w:szCs w:val="20"/>
              </w:rPr>
              <w:br w:type="page"/>
              <w:t>Navrhovaný právní předpis</w:t>
            </w:r>
          </w:p>
        </w:tc>
        <w:tc>
          <w:tcPr>
            <w:tcW w:w="8221"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FEEBCAB" w14:textId="77777777" w:rsidR="00B91EA1" w:rsidRPr="00C167B7" w:rsidRDefault="00B91EA1" w:rsidP="00214FDF">
            <w:pPr>
              <w:pStyle w:val="Textbubliny"/>
              <w:spacing w:before="60"/>
              <w:jc w:val="center"/>
              <w:rPr>
                <w:rFonts w:ascii="Times New Roman" w:hAnsi="Times New Roman" w:cs="Times New Roman"/>
                <w:b/>
                <w:bCs/>
                <w:sz w:val="20"/>
                <w:szCs w:val="20"/>
              </w:rPr>
            </w:pPr>
            <w:r w:rsidRPr="00C167B7">
              <w:rPr>
                <w:rFonts w:ascii="Times New Roman" w:hAnsi="Times New Roman" w:cs="Times New Roman"/>
                <w:b/>
                <w:bCs/>
                <w:sz w:val="20"/>
                <w:szCs w:val="20"/>
              </w:rPr>
              <w:t>Odpovídající předpis EU</w:t>
            </w:r>
          </w:p>
        </w:tc>
      </w:tr>
      <w:tr w:rsidR="00D47B44" w:rsidRPr="00D24F79" w14:paraId="04D7A38A" w14:textId="77777777" w:rsidTr="00375479">
        <w:trPr>
          <w:trHeight w:val="1445"/>
        </w:trPr>
        <w:tc>
          <w:tcPr>
            <w:tcW w:w="1219" w:type="dxa"/>
            <w:tcBorders>
              <w:left w:val="single" w:sz="12" w:space="0" w:color="auto"/>
            </w:tcBorders>
            <w:shd w:val="clear" w:color="auto" w:fill="auto"/>
          </w:tcPr>
          <w:p w14:paraId="4CBC2A06" w14:textId="77777777" w:rsidR="00D47B44" w:rsidRPr="004C11B7" w:rsidRDefault="00D47B44" w:rsidP="00214FDF">
            <w:pPr>
              <w:spacing w:before="60"/>
            </w:pPr>
            <w:r w:rsidRPr="004C11B7">
              <w:t>Poznámka pod čarou č. 1</w:t>
            </w:r>
          </w:p>
        </w:tc>
        <w:tc>
          <w:tcPr>
            <w:tcW w:w="4735" w:type="dxa"/>
            <w:tcBorders>
              <w:right w:val="single" w:sz="12" w:space="0" w:color="auto"/>
            </w:tcBorders>
            <w:shd w:val="clear" w:color="auto" w:fill="auto"/>
          </w:tcPr>
          <w:p w14:paraId="69A506D0" w14:textId="77777777" w:rsidR="00D47B44" w:rsidRPr="004C11B7" w:rsidRDefault="00D47B44" w:rsidP="00214FDF">
            <w:pPr>
              <w:jc w:val="both"/>
            </w:pPr>
            <w:r w:rsidRPr="004C11B7">
              <w:t xml:space="preserve">Na konci poznámky pod čarou č. 1 se na samostatný řádek doplňuje věta </w:t>
            </w:r>
          </w:p>
          <w:p w14:paraId="7B034335" w14:textId="77777777" w:rsidR="00D47B44" w:rsidRPr="004C11B7" w:rsidRDefault="00D47B44" w:rsidP="00214FDF">
            <w:pPr>
              <w:jc w:val="both"/>
              <w:rPr>
                <w:b/>
              </w:rPr>
            </w:pPr>
            <w:r w:rsidRPr="004C11B7">
              <w:rPr>
                <w:b/>
              </w:rPr>
              <w:t>Směrnice Rady (EU) 2020/1151 ze dne 29. července 2020, kterou se mění směrnice 92/83/EHS o harmonizaci struktury spotřebních daní z alkoholu a alkoholických nápojů.</w:t>
            </w:r>
          </w:p>
        </w:tc>
        <w:tc>
          <w:tcPr>
            <w:tcW w:w="1359" w:type="dxa"/>
            <w:tcBorders>
              <w:left w:val="single" w:sz="12" w:space="0" w:color="auto"/>
              <w:bottom w:val="single" w:sz="4" w:space="0" w:color="auto"/>
            </w:tcBorders>
            <w:shd w:val="clear" w:color="auto" w:fill="auto"/>
          </w:tcPr>
          <w:p w14:paraId="47364CCD" w14:textId="77777777" w:rsidR="00D47B44" w:rsidRPr="004C11B7" w:rsidRDefault="00D47B44" w:rsidP="00214FDF">
            <w:pPr>
              <w:spacing w:before="60"/>
              <w:jc w:val="both"/>
            </w:pPr>
            <w:r w:rsidRPr="004C11B7">
              <w:t>32020L1151</w:t>
            </w:r>
          </w:p>
        </w:tc>
        <w:tc>
          <w:tcPr>
            <w:tcW w:w="1207" w:type="dxa"/>
            <w:tcBorders>
              <w:bottom w:val="single" w:sz="4" w:space="0" w:color="auto"/>
            </w:tcBorders>
            <w:shd w:val="clear" w:color="auto" w:fill="auto"/>
          </w:tcPr>
          <w:p w14:paraId="092D3AC1" w14:textId="77777777" w:rsidR="00D47B44" w:rsidRPr="004C11B7" w:rsidRDefault="00D47B44" w:rsidP="00214FDF">
            <w:pPr>
              <w:spacing w:before="60"/>
            </w:pPr>
            <w:r w:rsidRPr="004C11B7">
              <w:t>Čl. 2 odst. 1</w:t>
            </w:r>
          </w:p>
        </w:tc>
        <w:tc>
          <w:tcPr>
            <w:tcW w:w="5655" w:type="dxa"/>
            <w:tcBorders>
              <w:bottom w:val="single" w:sz="4" w:space="0" w:color="auto"/>
              <w:right w:val="single" w:sz="12" w:space="0" w:color="auto"/>
            </w:tcBorders>
            <w:shd w:val="clear" w:color="auto" w:fill="auto"/>
          </w:tcPr>
          <w:p w14:paraId="2733AF45" w14:textId="77777777" w:rsidR="00D47B44" w:rsidRPr="004C11B7" w:rsidRDefault="00D47B44" w:rsidP="00214FDF">
            <w:pPr>
              <w:overflowPunct/>
              <w:spacing w:before="60"/>
              <w:jc w:val="both"/>
              <w:textAlignment w:val="auto"/>
            </w:pPr>
            <w:r w:rsidRPr="004C11B7">
              <w:t>Tato opatření přijatá členskými státy musí obsahovat odkaz na tuto směrnici nebo musí být takový odkaz učiněn při jejich úředním vyhlášení. Způsob odkazu si stanoví členské státy.</w:t>
            </w:r>
          </w:p>
        </w:tc>
      </w:tr>
      <w:tr w:rsidR="00D47B44" w:rsidRPr="00D24F79" w14:paraId="1DECF0AC" w14:textId="77777777" w:rsidTr="00375479">
        <w:tc>
          <w:tcPr>
            <w:tcW w:w="1219" w:type="dxa"/>
            <w:tcBorders>
              <w:left w:val="single" w:sz="12" w:space="0" w:color="auto"/>
            </w:tcBorders>
            <w:shd w:val="clear" w:color="auto" w:fill="auto"/>
          </w:tcPr>
          <w:p w14:paraId="5FA9A4D2" w14:textId="77777777" w:rsidR="00D47B44" w:rsidRPr="004C11B7" w:rsidRDefault="00D47B44" w:rsidP="00214FDF">
            <w:pPr>
              <w:spacing w:before="60"/>
            </w:pPr>
            <w:r w:rsidRPr="004C11B7">
              <w:t>Poznámka pod čarou č. 1</w:t>
            </w:r>
          </w:p>
        </w:tc>
        <w:tc>
          <w:tcPr>
            <w:tcW w:w="4735" w:type="dxa"/>
            <w:tcBorders>
              <w:right w:val="single" w:sz="12" w:space="0" w:color="auto"/>
            </w:tcBorders>
            <w:shd w:val="clear" w:color="auto" w:fill="auto"/>
          </w:tcPr>
          <w:p w14:paraId="0A24F544" w14:textId="77777777" w:rsidR="00D47B44" w:rsidRPr="004C11B7" w:rsidRDefault="00D47B44" w:rsidP="00214FDF">
            <w:r w:rsidRPr="004C11B7">
              <w:t xml:space="preserve">Na konci poznámky pod čarou č. 1 se na samostatný řádek doplňuje věta </w:t>
            </w:r>
          </w:p>
          <w:p w14:paraId="46E1F789" w14:textId="77777777" w:rsidR="00D47B44" w:rsidRPr="004C11B7" w:rsidRDefault="00D47B44" w:rsidP="00214FDF">
            <w:pPr>
              <w:jc w:val="both"/>
            </w:pPr>
            <w:r w:rsidRPr="004C11B7">
              <w:rPr>
                <w:b/>
              </w:rPr>
              <w:t>Směrnice Rady (EU) 2019/2235 ze dne 16. prosince 2019, kterou se mění směrnice 2006/112/ES o společném systému daně z přidané hodnoty a směrnice 2008/118/ES o obecné úpravě spotřebních daní, pokud jde o obranné úsilí v rámci Unie</w:t>
            </w:r>
            <w:r w:rsidRPr="004C11B7">
              <w:t>.</w:t>
            </w:r>
          </w:p>
          <w:p w14:paraId="65E227B2" w14:textId="77777777" w:rsidR="00D47B44" w:rsidRPr="004C11B7" w:rsidRDefault="00D47B44" w:rsidP="00214FDF">
            <w:pPr>
              <w:jc w:val="both"/>
            </w:pPr>
          </w:p>
        </w:tc>
        <w:tc>
          <w:tcPr>
            <w:tcW w:w="1359" w:type="dxa"/>
            <w:tcBorders>
              <w:left w:val="single" w:sz="12" w:space="0" w:color="auto"/>
              <w:bottom w:val="single" w:sz="4" w:space="0" w:color="auto"/>
            </w:tcBorders>
            <w:shd w:val="clear" w:color="auto" w:fill="auto"/>
          </w:tcPr>
          <w:p w14:paraId="3019CB34" w14:textId="77777777" w:rsidR="00D47B44" w:rsidRPr="004C11B7" w:rsidRDefault="00D47B44" w:rsidP="00214FDF">
            <w:pPr>
              <w:spacing w:before="60"/>
              <w:jc w:val="both"/>
            </w:pPr>
            <w:r w:rsidRPr="004C11B7">
              <w:t>32019L2235</w:t>
            </w:r>
          </w:p>
        </w:tc>
        <w:tc>
          <w:tcPr>
            <w:tcW w:w="1207" w:type="dxa"/>
            <w:tcBorders>
              <w:bottom w:val="single" w:sz="4" w:space="0" w:color="auto"/>
            </w:tcBorders>
            <w:shd w:val="clear" w:color="auto" w:fill="auto"/>
          </w:tcPr>
          <w:p w14:paraId="6895672D" w14:textId="77777777" w:rsidR="00D47B44" w:rsidRPr="004C11B7" w:rsidRDefault="00D47B44" w:rsidP="00214FDF">
            <w:pPr>
              <w:spacing w:before="60"/>
            </w:pPr>
            <w:r w:rsidRPr="004C11B7">
              <w:t>Čl. 3</w:t>
            </w:r>
          </w:p>
        </w:tc>
        <w:tc>
          <w:tcPr>
            <w:tcW w:w="5655" w:type="dxa"/>
            <w:tcBorders>
              <w:bottom w:val="single" w:sz="4" w:space="0" w:color="auto"/>
              <w:right w:val="single" w:sz="12" w:space="0" w:color="auto"/>
            </w:tcBorders>
            <w:shd w:val="clear" w:color="auto" w:fill="auto"/>
          </w:tcPr>
          <w:p w14:paraId="46A408A8" w14:textId="77777777" w:rsidR="00D47B44" w:rsidRPr="004C11B7" w:rsidRDefault="00D47B44" w:rsidP="00214FDF">
            <w:pPr>
              <w:overflowPunct/>
              <w:spacing w:before="60"/>
              <w:jc w:val="both"/>
              <w:textAlignment w:val="auto"/>
            </w:pPr>
            <w:r w:rsidRPr="004C11B7">
              <w:t>Tyto předpisy přijaté členskými státy musí obsahovat odkaz na tuto směrnici nebo musí být takový odkaz učiněn při jejich úředním vyhlášení. Způsob odkazu si stanoví členské státy.</w:t>
            </w:r>
          </w:p>
        </w:tc>
      </w:tr>
      <w:tr w:rsidR="00D47B44" w:rsidRPr="00D24F79" w14:paraId="68C49F23" w14:textId="77777777" w:rsidTr="00375479">
        <w:tc>
          <w:tcPr>
            <w:tcW w:w="1219" w:type="dxa"/>
            <w:tcBorders>
              <w:left w:val="single" w:sz="12" w:space="0" w:color="auto"/>
            </w:tcBorders>
            <w:shd w:val="clear" w:color="auto" w:fill="auto"/>
          </w:tcPr>
          <w:p w14:paraId="67138AF8" w14:textId="77777777" w:rsidR="00D47B44" w:rsidRPr="004C11B7" w:rsidRDefault="00D47B44" w:rsidP="00214FDF">
            <w:pPr>
              <w:spacing w:before="60"/>
            </w:pPr>
            <w:r w:rsidRPr="004C11B7">
              <w:t xml:space="preserve">§3a odst. 1 písm. a) </w:t>
            </w:r>
          </w:p>
        </w:tc>
        <w:tc>
          <w:tcPr>
            <w:tcW w:w="4735" w:type="dxa"/>
            <w:tcBorders>
              <w:right w:val="single" w:sz="12" w:space="0" w:color="auto"/>
            </w:tcBorders>
            <w:shd w:val="clear" w:color="auto" w:fill="auto"/>
          </w:tcPr>
          <w:p w14:paraId="73C74999" w14:textId="4E3651B8" w:rsidR="00D47B44" w:rsidRPr="004C11B7" w:rsidRDefault="00D47B44" w:rsidP="00214FDF">
            <w:pPr>
              <w:jc w:val="both"/>
            </w:pPr>
            <w:r w:rsidRPr="004C11B7">
              <w:t>(1) Kódem nomenklatury se</w:t>
            </w:r>
            <w:r w:rsidR="002A532F">
              <w:t xml:space="preserve"> </w:t>
            </w:r>
            <w:r w:rsidRPr="004C11B7">
              <w:t xml:space="preserve">pro účely </w:t>
            </w:r>
          </w:p>
          <w:p w14:paraId="3F5F55F0" w14:textId="102EE22F" w:rsidR="00D47B44" w:rsidRPr="004C11B7" w:rsidRDefault="00D47B44" w:rsidP="00FA1DCF">
            <w:pPr>
              <w:jc w:val="both"/>
            </w:pPr>
            <w:r w:rsidRPr="004C11B7">
              <w:t>a) daně z lihu, daně z piva a daně z vína a meziproduktů rozumí číselné označení vybraných výrobků uvedené v nařízení Rady o celní a statistické nomenklatuře a o společném celním sazebníku</w:t>
            </w:r>
            <w:r w:rsidR="00FA1DCF">
              <w:rPr>
                <w:vertAlign w:val="superscript"/>
              </w:rPr>
              <w:t>8)</w:t>
            </w:r>
            <w:r w:rsidRPr="004C11B7">
              <w:t xml:space="preserve">), ve znění platném k 1. lednu </w:t>
            </w:r>
            <w:r w:rsidRPr="004C11B7">
              <w:rPr>
                <w:strike/>
              </w:rPr>
              <w:t>2002</w:t>
            </w:r>
            <w:r w:rsidRPr="004C11B7">
              <w:t xml:space="preserve"> </w:t>
            </w:r>
            <w:r w:rsidRPr="004C11B7">
              <w:rPr>
                <w:b/>
              </w:rPr>
              <w:t>2019</w:t>
            </w:r>
            <w:r w:rsidRPr="004C11B7">
              <w:t>,</w:t>
            </w:r>
          </w:p>
        </w:tc>
        <w:tc>
          <w:tcPr>
            <w:tcW w:w="1359" w:type="dxa"/>
            <w:tcBorders>
              <w:left w:val="single" w:sz="12" w:space="0" w:color="auto"/>
              <w:bottom w:val="single" w:sz="4" w:space="0" w:color="auto"/>
            </w:tcBorders>
            <w:shd w:val="clear" w:color="auto" w:fill="auto"/>
          </w:tcPr>
          <w:p w14:paraId="4770ACA2" w14:textId="77777777" w:rsidR="00D47B44" w:rsidRPr="004C11B7" w:rsidRDefault="00D47B44" w:rsidP="00214FDF">
            <w:pPr>
              <w:spacing w:before="60"/>
              <w:jc w:val="both"/>
            </w:pPr>
            <w:r w:rsidRPr="004C11B7">
              <w:t>32020L1151</w:t>
            </w:r>
          </w:p>
        </w:tc>
        <w:tc>
          <w:tcPr>
            <w:tcW w:w="1207" w:type="dxa"/>
            <w:tcBorders>
              <w:bottom w:val="single" w:sz="4" w:space="0" w:color="auto"/>
            </w:tcBorders>
            <w:shd w:val="clear" w:color="auto" w:fill="auto"/>
          </w:tcPr>
          <w:p w14:paraId="489B9187" w14:textId="77777777" w:rsidR="00D47B44" w:rsidRPr="004C11B7" w:rsidRDefault="00D47B44" w:rsidP="00214FDF">
            <w:pPr>
              <w:spacing w:before="60"/>
            </w:pPr>
            <w:r w:rsidRPr="004C11B7">
              <w:t xml:space="preserve">Čl. 26 </w:t>
            </w:r>
          </w:p>
        </w:tc>
        <w:tc>
          <w:tcPr>
            <w:tcW w:w="5655" w:type="dxa"/>
            <w:tcBorders>
              <w:bottom w:val="single" w:sz="4" w:space="0" w:color="auto"/>
              <w:right w:val="single" w:sz="12" w:space="0" w:color="auto"/>
            </w:tcBorders>
            <w:shd w:val="clear" w:color="auto" w:fill="auto"/>
          </w:tcPr>
          <w:p w14:paraId="132AB73F" w14:textId="77777777" w:rsidR="00D47B44" w:rsidRPr="004C11B7" w:rsidRDefault="00D47B44" w:rsidP="00214FDF">
            <w:pPr>
              <w:pStyle w:val="Default"/>
              <w:jc w:val="both"/>
              <w:rPr>
                <w:sz w:val="20"/>
                <w:szCs w:val="20"/>
              </w:rPr>
            </w:pPr>
            <w:r w:rsidRPr="004C11B7">
              <w:rPr>
                <w:color w:val="auto"/>
                <w:sz w:val="20"/>
                <w:szCs w:val="20"/>
              </w:rPr>
              <w:t xml:space="preserve">Odkazy na kódy KN obsažené v této směrnici odkazují na kódy kombinované nomenklatury uvedené v prováděcím nařízení Komise (EU) 2018/1602*, kterým se mění příloha I nařízení Rady (EHS) č. 2658/87*. </w:t>
            </w:r>
          </w:p>
        </w:tc>
      </w:tr>
      <w:tr w:rsidR="00D47B44" w:rsidRPr="00D24F79" w14:paraId="1CDA3CD2" w14:textId="77777777" w:rsidTr="00375479">
        <w:tc>
          <w:tcPr>
            <w:tcW w:w="1219" w:type="dxa"/>
            <w:vMerge w:val="restart"/>
            <w:tcBorders>
              <w:left w:val="single" w:sz="12" w:space="0" w:color="auto"/>
            </w:tcBorders>
            <w:shd w:val="clear" w:color="auto" w:fill="auto"/>
          </w:tcPr>
          <w:p w14:paraId="5A19E4D8" w14:textId="77777777" w:rsidR="00D47B44" w:rsidRPr="004C11B7" w:rsidRDefault="00D47B44" w:rsidP="00214FDF">
            <w:pPr>
              <w:spacing w:before="60"/>
            </w:pPr>
            <w:r w:rsidRPr="004C11B7">
              <w:t>§ 11 odst. 1 písm. c)</w:t>
            </w:r>
          </w:p>
        </w:tc>
        <w:tc>
          <w:tcPr>
            <w:tcW w:w="4735" w:type="dxa"/>
            <w:vMerge w:val="restart"/>
            <w:tcBorders>
              <w:right w:val="single" w:sz="12" w:space="0" w:color="auto"/>
            </w:tcBorders>
            <w:shd w:val="clear" w:color="auto" w:fill="auto"/>
          </w:tcPr>
          <w:p w14:paraId="2E6D1839" w14:textId="77777777" w:rsidR="00D47B44" w:rsidRPr="004C11B7" w:rsidRDefault="00D47B44" w:rsidP="00214FDF">
            <w:pPr>
              <w:jc w:val="both"/>
            </w:pPr>
            <w:r w:rsidRPr="004C11B7">
              <w:t xml:space="preserve">(1) Od daně jsou osvobozeny vybrané výrobky </w:t>
            </w:r>
          </w:p>
          <w:p w14:paraId="158E3E57" w14:textId="6BE46C24" w:rsidR="00D47B44" w:rsidRDefault="00D47B44" w:rsidP="00B85AFE">
            <w:pPr>
              <w:jc w:val="both"/>
              <w:rPr>
                <w:b/>
              </w:rPr>
            </w:pPr>
            <w:r w:rsidRPr="004C11B7">
              <w:rPr>
                <w:b/>
              </w:rPr>
              <w:t>c)</w:t>
            </w:r>
            <w:r w:rsidR="00375479">
              <w:rPr>
                <w:b/>
              </w:rPr>
              <w:t xml:space="preserve"> </w:t>
            </w:r>
            <w:r w:rsidRPr="004C11B7">
              <w:rPr>
                <w:b/>
              </w:rPr>
              <w:t xml:space="preserve">dopravené z území jiného členského státu na daňové území České republiky pro ozbrojené síly jiného členského státu, které se podílejí na obranném úsilí vynakládaném na provádění činnosti Evropské unie v rámci společné bezpečnostní a obranné politiky, pro použití těmito ozbrojenými silami nebo civilními zaměstnanci je doprovázejícími anebo k zásobování jejich jídelen; tyto výrobky mohou být </w:t>
            </w:r>
            <w:r w:rsidRPr="004C11B7">
              <w:rPr>
                <w:b/>
              </w:rPr>
              <w:lastRenderedPageBreak/>
              <w:t>dopravovány z jiného členského státu pouze s doklady podle § 27 nebo 27c a s</w:t>
            </w:r>
            <w:r w:rsidR="00B85AFE">
              <w:rPr>
                <w:b/>
              </w:rPr>
              <w:t xml:space="preserve"> potvrzeným </w:t>
            </w:r>
            <w:r w:rsidRPr="004C11B7">
              <w:rPr>
                <w:b/>
              </w:rPr>
              <w:t xml:space="preserve">osvědčením o osvobození od spotřební daně podle </w:t>
            </w:r>
            <w:r w:rsidR="00B85AFE">
              <w:rPr>
                <w:b/>
              </w:rPr>
              <w:t>prováděcího nařízení Rady upravujícího</w:t>
            </w:r>
            <w:r w:rsidRPr="004C11B7">
              <w:rPr>
                <w:b/>
              </w:rPr>
              <w:t xml:space="preserve"> prováděcí opatření ke směrnici o společném systému daně z přidané hodnoty</w:t>
            </w:r>
            <w:r w:rsidRPr="004C11B7">
              <w:rPr>
                <w:b/>
                <w:vertAlign w:val="superscript"/>
              </w:rPr>
              <w:t>17a)</w:t>
            </w:r>
            <w:r w:rsidR="00B85AFE">
              <w:rPr>
                <w:b/>
                <w:vertAlign w:val="superscript"/>
              </w:rPr>
              <w:t xml:space="preserve"> </w:t>
            </w:r>
            <w:r w:rsidRPr="004C11B7">
              <w:rPr>
                <w:b/>
              </w:rPr>
              <w:t xml:space="preserve">(dále jen „osvědčení o osvobození od spotřební daně“), </w:t>
            </w:r>
            <w:r w:rsidR="00B85AFE">
              <w:rPr>
                <w:b/>
              </w:rPr>
              <w:t>přičemž toto osvědčení</w:t>
            </w:r>
            <w:r w:rsidR="00B85AFE" w:rsidRPr="004C11B7">
              <w:rPr>
                <w:b/>
              </w:rPr>
              <w:t xml:space="preserve"> </w:t>
            </w:r>
            <w:r w:rsidRPr="004C11B7">
              <w:rPr>
                <w:b/>
              </w:rPr>
              <w:t>potvrzuje Ministerstvo obrany.</w:t>
            </w:r>
          </w:p>
          <w:p w14:paraId="0CFA402A" w14:textId="77777777" w:rsidR="00E120A0" w:rsidRDefault="00E120A0" w:rsidP="00B85AFE">
            <w:pPr>
              <w:jc w:val="both"/>
              <w:rPr>
                <w:b/>
              </w:rPr>
            </w:pPr>
          </w:p>
          <w:p w14:paraId="777C3357" w14:textId="77777777" w:rsidR="00E120A0" w:rsidRPr="004C11B7" w:rsidRDefault="00E120A0" w:rsidP="00E120A0">
            <w:r w:rsidRPr="004C11B7">
              <w:t>Poznámka pod čarou č. 17a zní:</w:t>
            </w:r>
          </w:p>
          <w:p w14:paraId="2A470FCF" w14:textId="72CA97A0" w:rsidR="00E120A0" w:rsidRPr="004C11B7" w:rsidRDefault="00E120A0" w:rsidP="00E120A0">
            <w:pPr>
              <w:jc w:val="both"/>
              <w:rPr>
                <w:b/>
              </w:rPr>
            </w:pPr>
            <w:r w:rsidRPr="00375479">
              <w:rPr>
                <w:b/>
                <w:vertAlign w:val="superscript"/>
              </w:rPr>
              <w:t>17a)</w:t>
            </w:r>
            <w:r w:rsidRPr="004C11B7">
              <w:rPr>
                <w:b/>
              </w:rPr>
              <w:t xml:space="preserve"> Prováděcí nařízení Rady (EU) č. 282/2011 ze dne 15. března 2011, kterým se stanoví prováděcí opatření ke směrnici 2006/112/ES o společném systému daně z přidané hodnoty, v platném znění.</w:t>
            </w:r>
          </w:p>
        </w:tc>
        <w:tc>
          <w:tcPr>
            <w:tcW w:w="1359" w:type="dxa"/>
            <w:tcBorders>
              <w:left w:val="single" w:sz="12" w:space="0" w:color="auto"/>
              <w:bottom w:val="single" w:sz="4" w:space="0" w:color="auto"/>
            </w:tcBorders>
            <w:shd w:val="clear" w:color="auto" w:fill="auto"/>
          </w:tcPr>
          <w:p w14:paraId="03364E85" w14:textId="77777777" w:rsidR="00D47B44" w:rsidRPr="004C11B7" w:rsidRDefault="00D47B44" w:rsidP="00214FDF">
            <w:pPr>
              <w:spacing w:before="60"/>
              <w:jc w:val="both"/>
            </w:pPr>
            <w:r w:rsidRPr="004C11B7">
              <w:lastRenderedPageBreak/>
              <w:t>32019L2235</w:t>
            </w:r>
          </w:p>
        </w:tc>
        <w:tc>
          <w:tcPr>
            <w:tcW w:w="1207" w:type="dxa"/>
            <w:tcBorders>
              <w:bottom w:val="single" w:sz="4" w:space="0" w:color="auto"/>
            </w:tcBorders>
            <w:shd w:val="clear" w:color="auto" w:fill="auto"/>
          </w:tcPr>
          <w:p w14:paraId="556F0162" w14:textId="77777777" w:rsidR="00D47B44" w:rsidRPr="004C11B7" w:rsidRDefault="00D47B44" w:rsidP="00214FDF">
            <w:pPr>
              <w:spacing w:before="60"/>
            </w:pPr>
            <w:r w:rsidRPr="004C11B7">
              <w:t>Čl. 2</w:t>
            </w:r>
          </w:p>
        </w:tc>
        <w:tc>
          <w:tcPr>
            <w:tcW w:w="5655" w:type="dxa"/>
            <w:tcBorders>
              <w:bottom w:val="single" w:sz="4" w:space="0" w:color="auto"/>
              <w:right w:val="single" w:sz="12" w:space="0" w:color="auto"/>
            </w:tcBorders>
            <w:shd w:val="clear" w:color="auto" w:fill="auto"/>
          </w:tcPr>
          <w:p w14:paraId="1E94E7DE" w14:textId="77777777" w:rsidR="00D47B44" w:rsidRPr="004C11B7" w:rsidRDefault="00D47B44" w:rsidP="00214FDF">
            <w:pPr>
              <w:jc w:val="both"/>
            </w:pPr>
            <w:r w:rsidRPr="004C11B7">
              <w:t xml:space="preserve">V čl. 12 odst. 1 směrnice 2008/118/ES se vkládá nové písmeno, které zní: </w:t>
            </w:r>
          </w:p>
          <w:p w14:paraId="51900345" w14:textId="77777777" w:rsidR="00D47B44" w:rsidRPr="004C11B7" w:rsidRDefault="00D47B44" w:rsidP="00214FDF">
            <w:pPr>
              <w:overflowPunct/>
              <w:spacing w:before="60"/>
              <w:jc w:val="both"/>
              <w:textAlignment w:val="auto"/>
            </w:pPr>
            <w:r w:rsidRPr="004C11B7">
              <w:t>„ba) ozbrojenými silami jiných členských států než členského státu, ve kterém vznikla daňová povinnost ke spotřební dani, k použití těmito ozbrojenými silami nebo civilními zaměstnanci, kteří je doprovázejí, nebo k zásobení jejich jídelen, pokud se tyto síly podílejí na obranném úsilí vynakládaném na provádění činnosti Unie v rámci společné bezpečností a obranné politiky;“.</w:t>
            </w:r>
          </w:p>
        </w:tc>
      </w:tr>
      <w:tr w:rsidR="00D47B44" w:rsidRPr="006119EA" w14:paraId="51998A30" w14:textId="77777777" w:rsidTr="00375479">
        <w:tc>
          <w:tcPr>
            <w:tcW w:w="1219" w:type="dxa"/>
            <w:vMerge/>
            <w:tcBorders>
              <w:left w:val="single" w:sz="12" w:space="0" w:color="auto"/>
            </w:tcBorders>
            <w:shd w:val="clear" w:color="auto" w:fill="auto"/>
          </w:tcPr>
          <w:p w14:paraId="7B5BF417" w14:textId="77777777" w:rsidR="00D47B44" w:rsidRPr="004C11B7" w:rsidRDefault="00D47B44" w:rsidP="00214FDF">
            <w:pPr>
              <w:spacing w:before="60"/>
              <w:rPr>
                <w:b/>
              </w:rPr>
            </w:pPr>
          </w:p>
        </w:tc>
        <w:tc>
          <w:tcPr>
            <w:tcW w:w="4735" w:type="dxa"/>
            <w:vMerge/>
            <w:tcBorders>
              <w:right w:val="single" w:sz="12" w:space="0" w:color="auto"/>
            </w:tcBorders>
            <w:shd w:val="clear" w:color="auto" w:fill="auto"/>
          </w:tcPr>
          <w:p w14:paraId="11B01237" w14:textId="77777777" w:rsidR="00D47B44" w:rsidRPr="004C11B7" w:rsidRDefault="00D47B44" w:rsidP="00214FDF">
            <w:pPr>
              <w:jc w:val="both"/>
              <w:rPr>
                <w:b/>
              </w:rPr>
            </w:pPr>
          </w:p>
        </w:tc>
        <w:tc>
          <w:tcPr>
            <w:tcW w:w="1359" w:type="dxa"/>
            <w:tcBorders>
              <w:left w:val="single" w:sz="12" w:space="0" w:color="auto"/>
            </w:tcBorders>
            <w:shd w:val="clear" w:color="auto" w:fill="auto"/>
          </w:tcPr>
          <w:p w14:paraId="2AB78533" w14:textId="77777777" w:rsidR="00D47B44" w:rsidRPr="004C11B7" w:rsidRDefault="00D47B44" w:rsidP="00214FDF">
            <w:pPr>
              <w:spacing w:before="60"/>
              <w:jc w:val="both"/>
              <w:rPr>
                <w:bCs/>
                <w:iCs/>
              </w:rPr>
            </w:pPr>
            <w:r w:rsidRPr="004C11B7">
              <w:rPr>
                <w:bCs/>
                <w:iCs/>
              </w:rPr>
              <w:t>32008L0118</w:t>
            </w:r>
          </w:p>
          <w:p w14:paraId="5D7DB85D" w14:textId="77777777" w:rsidR="00D47B44" w:rsidRPr="004C11B7" w:rsidRDefault="00D47B44" w:rsidP="00214FDF">
            <w:pPr>
              <w:spacing w:before="60"/>
              <w:jc w:val="both"/>
              <w:rPr>
                <w:bCs/>
                <w:iCs/>
              </w:rPr>
            </w:pPr>
          </w:p>
        </w:tc>
        <w:tc>
          <w:tcPr>
            <w:tcW w:w="1207" w:type="dxa"/>
            <w:tcBorders>
              <w:bottom w:val="single" w:sz="4" w:space="0" w:color="auto"/>
            </w:tcBorders>
            <w:shd w:val="clear" w:color="auto" w:fill="auto"/>
          </w:tcPr>
          <w:p w14:paraId="3B16A286" w14:textId="77777777" w:rsidR="00D47B44" w:rsidRPr="004C11B7" w:rsidRDefault="00D47B44" w:rsidP="00214FDF">
            <w:pPr>
              <w:spacing w:before="60"/>
            </w:pPr>
            <w:r w:rsidRPr="004C11B7">
              <w:lastRenderedPageBreak/>
              <w:t xml:space="preserve">Čl. 13 odst. </w:t>
            </w:r>
            <w:r w:rsidRPr="004C11B7">
              <w:lastRenderedPageBreak/>
              <w:t>1</w:t>
            </w:r>
          </w:p>
        </w:tc>
        <w:tc>
          <w:tcPr>
            <w:tcW w:w="5655" w:type="dxa"/>
            <w:tcBorders>
              <w:bottom w:val="single" w:sz="4" w:space="0" w:color="auto"/>
              <w:right w:val="single" w:sz="12" w:space="0" w:color="auto"/>
            </w:tcBorders>
            <w:shd w:val="clear" w:color="auto" w:fill="auto"/>
          </w:tcPr>
          <w:p w14:paraId="6E65C73E" w14:textId="77777777" w:rsidR="00D47B44" w:rsidRPr="004C11B7" w:rsidRDefault="00D47B44" w:rsidP="00214FDF">
            <w:pPr>
              <w:overflowPunct/>
              <w:spacing w:before="60"/>
              <w:jc w:val="both"/>
              <w:textAlignment w:val="auto"/>
            </w:pPr>
            <w:r w:rsidRPr="004C11B7">
              <w:lastRenderedPageBreak/>
              <w:t xml:space="preserve">1. Aniž je dotčen čl. 21 odst. 1, musí být zboží podléhající spotřební </w:t>
            </w:r>
            <w:r w:rsidRPr="004C11B7">
              <w:lastRenderedPageBreak/>
              <w:t>dani, které je přepravováno v režimu s podmíněným osvobozením od daně příjemci podle čl. 12 odst. 1, provázeno osvědčením o osvobození od daně.;</w:t>
            </w:r>
          </w:p>
        </w:tc>
      </w:tr>
      <w:tr w:rsidR="00D47B44" w:rsidRPr="00D24F79" w14:paraId="2D0C3246" w14:textId="77777777" w:rsidTr="00375479">
        <w:tc>
          <w:tcPr>
            <w:tcW w:w="1219" w:type="dxa"/>
            <w:vMerge/>
            <w:tcBorders>
              <w:left w:val="single" w:sz="12" w:space="0" w:color="auto"/>
            </w:tcBorders>
            <w:shd w:val="clear" w:color="auto" w:fill="auto"/>
          </w:tcPr>
          <w:p w14:paraId="0A57263D"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4C629A9F" w14:textId="77777777" w:rsidR="00D47B44" w:rsidRPr="004C11B7" w:rsidRDefault="00D47B44" w:rsidP="00214FDF">
            <w:pPr>
              <w:jc w:val="both"/>
            </w:pPr>
          </w:p>
        </w:tc>
        <w:tc>
          <w:tcPr>
            <w:tcW w:w="1359" w:type="dxa"/>
            <w:tcBorders>
              <w:left w:val="single" w:sz="12" w:space="0" w:color="auto"/>
              <w:bottom w:val="single" w:sz="4" w:space="0" w:color="auto"/>
            </w:tcBorders>
            <w:shd w:val="clear" w:color="auto" w:fill="auto"/>
          </w:tcPr>
          <w:p w14:paraId="7DD2A2E5" w14:textId="77777777" w:rsidR="00D47B44" w:rsidRPr="004C11B7" w:rsidRDefault="00D47B44" w:rsidP="00214FDF">
            <w:pPr>
              <w:spacing w:before="60"/>
              <w:jc w:val="both"/>
            </w:pPr>
            <w:r w:rsidRPr="004C11B7">
              <w:rPr>
                <w:bCs/>
                <w:iCs/>
              </w:rPr>
              <w:t>32011R0282</w:t>
            </w:r>
          </w:p>
        </w:tc>
        <w:tc>
          <w:tcPr>
            <w:tcW w:w="1207" w:type="dxa"/>
            <w:tcBorders>
              <w:bottom w:val="single" w:sz="4" w:space="0" w:color="auto"/>
            </w:tcBorders>
            <w:shd w:val="clear" w:color="auto" w:fill="auto"/>
          </w:tcPr>
          <w:p w14:paraId="14C022EE" w14:textId="77777777" w:rsidR="00D47B44" w:rsidRPr="004C11B7" w:rsidRDefault="00D47B44" w:rsidP="00214FDF">
            <w:pPr>
              <w:spacing w:before="60"/>
            </w:pPr>
            <w:r w:rsidRPr="004C11B7">
              <w:t>Příloha II</w:t>
            </w:r>
          </w:p>
        </w:tc>
        <w:tc>
          <w:tcPr>
            <w:tcW w:w="5655" w:type="dxa"/>
            <w:tcBorders>
              <w:bottom w:val="single" w:sz="4" w:space="0" w:color="auto"/>
              <w:right w:val="single" w:sz="12" w:space="0" w:color="auto"/>
            </w:tcBorders>
            <w:shd w:val="clear" w:color="auto" w:fill="auto"/>
          </w:tcPr>
          <w:p w14:paraId="2A08C221" w14:textId="77777777" w:rsidR="00D47B44" w:rsidRPr="004C11B7" w:rsidRDefault="00D47B44" w:rsidP="00214FDF">
            <w:pPr>
              <w:overflowPunct/>
              <w:spacing w:before="60"/>
              <w:jc w:val="both"/>
              <w:textAlignment w:val="auto"/>
            </w:pPr>
            <w:r w:rsidRPr="004C11B7">
              <w:rPr>
                <w:i/>
              </w:rPr>
              <w:t>Formulář osvědčení</w:t>
            </w:r>
          </w:p>
        </w:tc>
      </w:tr>
      <w:tr w:rsidR="00D47B44" w:rsidRPr="00D24F79" w14:paraId="1846F201" w14:textId="77777777" w:rsidTr="00375479">
        <w:tc>
          <w:tcPr>
            <w:tcW w:w="1219" w:type="dxa"/>
            <w:vMerge w:val="restart"/>
            <w:tcBorders>
              <w:left w:val="single" w:sz="12" w:space="0" w:color="auto"/>
            </w:tcBorders>
            <w:shd w:val="clear" w:color="auto" w:fill="auto"/>
          </w:tcPr>
          <w:p w14:paraId="47F16971" w14:textId="77777777" w:rsidR="00D47B44" w:rsidRPr="004C11B7" w:rsidRDefault="00D47B44" w:rsidP="00214FDF">
            <w:pPr>
              <w:spacing w:before="60"/>
            </w:pPr>
            <w:r w:rsidRPr="004C11B7">
              <w:t>§ 15a odst. 1</w:t>
            </w:r>
          </w:p>
        </w:tc>
        <w:tc>
          <w:tcPr>
            <w:tcW w:w="4735" w:type="dxa"/>
            <w:vMerge w:val="restart"/>
            <w:tcBorders>
              <w:right w:val="single" w:sz="12" w:space="0" w:color="auto"/>
            </w:tcBorders>
            <w:shd w:val="clear" w:color="auto" w:fill="auto"/>
          </w:tcPr>
          <w:p w14:paraId="1366EEDE" w14:textId="77777777" w:rsidR="00D47B44" w:rsidRPr="004C11B7" w:rsidRDefault="00D47B44" w:rsidP="00214FDF">
            <w:pPr>
              <w:jc w:val="both"/>
            </w:pPr>
            <w:r w:rsidRPr="004C11B7">
              <w:t xml:space="preserve">Vracení daně ozbrojeným silám cizích států </w:t>
            </w:r>
          </w:p>
          <w:p w14:paraId="6EE673D1" w14:textId="5562FD58" w:rsidR="00D47B44" w:rsidRPr="004C11B7" w:rsidRDefault="004C11B7" w:rsidP="00214FDF">
            <w:pPr>
              <w:jc w:val="both"/>
              <w:rPr>
                <w:b/>
              </w:rPr>
            </w:pPr>
            <w:r>
              <w:rPr>
                <w:b/>
              </w:rPr>
              <w:t>(</w:t>
            </w:r>
            <w:r w:rsidR="00D47B44" w:rsidRPr="004C11B7">
              <w:rPr>
                <w:b/>
              </w:rPr>
              <w:t>1) Nárok na vrácení daně vznikne ozbrojeným silám vysílajícího státu</w:t>
            </w:r>
            <w:r w:rsidR="00D47B44" w:rsidRPr="004C11B7">
              <w:rPr>
                <w:b/>
                <w:vertAlign w:val="superscript"/>
              </w:rPr>
              <w:t>24a)</w:t>
            </w:r>
            <w:r w:rsidR="00D47B44" w:rsidRPr="004C11B7">
              <w:rPr>
                <w:b/>
              </w:rPr>
              <w:t>, které nakoupí zdaněné vybrané výrobky pro použití těmito ozbrojenými silami nebo civilními zaměstnanci je doprovázejícími anebo k zásobování jejich jídelen, pokud jde o ozbrojené síly</w:t>
            </w:r>
          </w:p>
          <w:p w14:paraId="19F60979" w14:textId="77777777" w:rsidR="00D47B44" w:rsidRPr="004C11B7" w:rsidRDefault="00D47B44" w:rsidP="00214FDF">
            <w:pPr>
              <w:jc w:val="both"/>
              <w:rPr>
                <w:b/>
              </w:rPr>
            </w:pPr>
            <w:r w:rsidRPr="004C11B7">
              <w:rPr>
                <w:b/>
              </w:rPr>
              <w:t>a) jiného členského státu, které se podílejí na obranném úsilí vynakládaném na provádění činnosti Evropské unie v rámci společné bezpečnostní a obranné politiky, nebo</w:t>
            </w:r>
          </w:p>
          <w:p w14:paraId="0ED613D8" w14:textId="35157FF0" w:rsidR="00D47B44" w:rsidRPr="004C11B7" w:rsidRDefault="00D47B44" w:rsidP="000506E1">
            <w:pPr>
              <w:jc w:val="both"/>
            </w:pPr>
            <w:r w:rsidRPr="004C11B7">
              <w:rPr>
                <w:b/>
              </w:rPr>
              <w:t xml:space="preserve">b) státu, který je členem Organizace Severoatlantické smlouvy, nebo státu zúčastněného v Partnerství pro mír; </w:t>
            </w:r>
            <w:r w:rsidR="000506E1">
              <w:rPr>
                <w:b/>
              </w:rPr>
              <w:t>tento nárok nevznikne ozbrojeným silám</w:t>
            </w:r>
            <w:r w:rsidRPr="004C11B7">
              <w:rPr>
                <w:b/>
              </w:rPr>
              <w:t xml:space="preserve"> České republiky</w:t>
            </w:r>
          </w:p>
        </w:tc>
        <w:tc>
          <w:tcPr>
            <w:tcW w:w="1359" w:type="dxa"/>
            <w:tcBorders>
              <w:left w:val="single" w:sz="12" w:space="0" w:color="auto"/>
              <w:bottom w:val="single" w:sz="4" w:space="0" w:color="auto"/>
            </w:tcBorders>
            <w:shd w:val="clear" w:color="auto" w:fill="auto"/>
          </w:tcPr>
          <w:p w14:paraId="45C3F160" w14:textId="77777777" w:rsidR="00D47B44" w:rsidRPr="004C11B7" w:rsidRDefault="00D47B44" w:rsidP="00214FDF">
            <w:pPr>
              <w:spacing w:before="60"/>
              <w:jc w:val="both"/>
            </w:pPr>
            <w:r w:rsidRPr="004C11B7">
              <w:t>32019L2235</w:t>
            </w:r>
          </w:p>
        </w:tc>
        <w:tc>
          <w:tcPr>
            <w:tcW w:w="1207" w:type="dxa"/>
            <w:tcBorders>
              <w:bottom w:val="single" w:sz="4" w:space="0" w:color="auto"/>
            </w:tcBorders>
            <w:shd w:val="clear" w:color="auto" w:fill="auto"/>
          </w:tcPr>
          <w:p w14:paraId="090FDAA7" w14:textId="77777777" w:rsidR="00D47B44" w:rsidRPr="004C11B7" w:rsidRDefault="00D47B44" w:rsidP="00214FDF">
            <w:pPr>
              <w:spacing w:before="60"/>
            </w:pPr>
            <w:r w:rsidRPr="004C11B7">
              <w:t>Čl. 2</w:t>
            </w:r>
          </w:p>
        </w:tc>
        <w:tc>
          <w:tcPr>
            <w:tcW w:w="5655" w:type="dxa"/>
            <w:tcBorders>
              <w:bottom w:val="single" w:sz="4" w:space="0" w:color="auto"/>
              <w:right w:val="single" w:sz="12" w:space="0" w:color="auto"/>
            </w:tcBorders>
            <w:shd w:val="clear" w:color="auto" w:fill="auto"/>
          </w:tcPr>
          <w:p w14:paraId="4043E5ED" w14:textId="77777777" w:rsidR="00D47B44" w:rsidRPr="004C11B7" w:rsidRDefault="00D47B44" w:rsidP="00214FDF">
            <w:pPr>
              <w:jc w:val="both"/>
            </w:pPr>
            <w:r w:rsidRPr="004C11B7">
              <w:t xml:space="preserve">V čl. 12 odst. 1 směrnice 2008/118/ES se vkládá nové písmeno, které zní: </w:t>
            </w:r>
          </w:p>
          <w:p w14:paraId="07D883DA" w14:textId="77777777" w:rsidR="00D47B44" w:rsidRPr="004C11B7" w:rsidRDefault="00D47B44" w:rsidP="00214FDF">
            <w:pPr>
              <w:overflowPunct/>
              <w:spacing w:before="60"/>
              <w:jc w:val="both"/>
              <w:textAlignment w:val="auto"/>
            </w:pPr>
            <w:r w:rsidRPr="004C11B7">
              <w:t>„ba) ozbrojenými silami jiných členských států než členského státu, ve kterém vznikla daňová povinnost ke spotřební dani, k použití těmito ozbrojenými silami nebo civilními zaměstnanci, kteří je doprovázejí, nebo k zásobení jejich jídelen, pokud se tyto síly podílejí na obranném úsilí vynakládaném na provádění činnosti Unie v rámci společné bezpečností a obranné politiky;“.</w:t>
            </w:r>
          </w:p>
        </w:tc>
      </w:tr>
      <w:tr w:rsidR="00D47B44" w:rsidRPr="00F728A1" w14:paraId="24F86981" w14:textId="77777777" w:rsidTr="00375479">
        <w:tc>
          <w:tcPr>
            <w:tcW w:w="1219" w:type="dxa"/>
            <w:vMerge/>
            <w:tcBorders>
              <w:left w:val="single" w:sz="12" w:space="0" w:color="auto"/>
            </w:tcBorders>
            <w:shd w:val="clear" w:color="auto" w:fill="auto"/>
          </w:tcPr>
          <w:p w14:paraId="74BEBF7E"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54C52847" w14:textId="77777777" w:rsidR="00D47B44" w:rsidRPr="004C11B7" w:rsidRDefault="00D47B44" w:rsidP="00214FDF">
            <w:pPr>
              <w:jc w:val="both"/>
            </w:pPr>
          </w:p>
        </w:tc>
        <w:tc>
          <w:tcPr>
            <w:tcW w:w="1359" w:type="dxa"/>
            <w:tcBorders>
              <w:left w:val="single" w:sz="12" w:space="0" w:color="auto"/>
              <w:bottom w:val="single" w:sz="4" w:space="0" w:color="auto"/>
            </w:tcBorders>
            <w:shd w:val="clear" w:color="auto" w:fill="auto"/>
          </w:tcPr>
          <w:p w14:paraId="2AA70E07" w14:textId="77777777" w:rsidR="00D47B44" w:rsidRPr="004C11B7" w:rsidRDefault="00D47B44" w:rsidP="00214FDF">
            <w:pPr>
              <w:spacing w:before="60"/>
              <w:jc w:val="both"/>
              <w:rPr>
                <w:bCs/>
                <w:iCs/>
              </w:rPr>
            </w:pPr>
            <w:r w:rsidRPr="004C11B7">
              <w:rPr>
                <w:bCs/>
                <w:iCs/>
              </w:rPr>
              <w:t>32008L0118</w:t>
            </w:r>
          </w:p>
          <w:p w14:paraId="65D1DB09" w14:textId="77777777" w:rsidR="00D47B44" w:rsidRPr="004C11B7" w:rsidRDefault="00D47B44" w:rsidP="00214FDF">
            <w:pPr>
              <w:spacing w:before="60"/>
              <w:jc w:val="both"/>
            </w:pPr>
          </w:p>
        </w:tc>
        <w:tc>
          <w:tcPr>
            <w:tcW w:w="1207" w:type="dxa"/>
            <w:tcBorders>
              <w:bottom w:val="single" w:sz="4" w:space="0" w:color="auto"/>
            </w:tcBorders>
            <w:shd w:val="clear" w:color="auto" w:fill="auto"/>
          </w:tcPr>
          <w:p w14:paraId="3ECCE6D3" w14:textId="77777777" w:rsidR="00D47B44" w:rsidRPr="004C11B7" w:rsidRDefault="00D47B44" w:rsidP="00214FDF">
            <w:pPr>
              <w:spacing w:before="60"/>
            </w:pPr>
            <w:r w:rsidRPr="004C11B7">
              <w:t>Čl. 12 odst. 2</w:t>
            </w:r>
          </w:p>
        </w:tc>
        <w:tc>
          <w:tcPr>
            <w:tcW w:w="5655" w:type="dxa"/>
            <w:tcBorders>
              <w:bottom w:val="single" w:sz="4" w:space="0" w:color="auto"/>
              <w:right w:val="single" w:sz="12" w:space="0" w:color="auto"/>
            </w:tcBorders>
            <w:shd w:val="clear" w:color="auto" w:fill="auto"/>
          </w:tcPr>
          <w:p w14:paraId="55BFFE79" w14:textId="77777777" w:rsidR="00D47B44" w:rsidRPr="004C11B7" w:rsidRDefault="00D47B44" w:rsidP="00214FDF">
            <w:pPr>
              <w:jc w:val="both"/>
            </w:pPr>
            <w:r w:rsidRPr="004C11B7">
              <w:t xml:space="preserve">Osvobození od daně </w:t>
            </w:r>
          </w:p>
          <w:p w14:paraId="41924F49" w14:textId="77777777" w:rsidR="00D47B44" w:rsidRPr="004C11B7" w:rsidRDefault="00D47B44" w:rsidP="00214FDF">
            <w:pPr>
              <w:jc w:val="both"/>
            </w:pPr>
            <w:r w:rsidRPr="004C11B7">
              <w:t>2. Uplatnění těchto osvobození od daně může hostitelský stát podmínit nebo omezit. Členské státy mohou osvobození přiznat formou vrácení spotřební daně.</w:t>
            </w:r>
          </w:p>
        </w:tc>
      </w:tr>
      <w:tr w:rsidR="00D47B44" w:rsidRPr="00D24F79" w14:paraId="4B142988" w14:textId="77777777" w:rsidTr="00375479">
        <w:tc>
          <w:tcPr>
            <w:tcW w:w="1219" w:type="dxa"/>
            <w:vMerge w:val="restart"/>
            <w:tcBorders>
              <w:left w:val="single" w:sz="12" w:space="0" w:color="auto"/>
            </w:tcBorders>
            <w:shd w:val="clear" w:color="auto" w:fill="auto"/>
          </w:tcPr>
          <w:p w14:paraId="68F4465D" w14:textId="77777777" w:rsidR="00D47B44" w:rsidRPr="004C11B7" w:rsidRDefault="00D47B44" w:rsidP="00214FDF">
            <w:pPr>
              <w:spacing w:before="60"/>
            </w:pPr>
            <w:r w:rsidRPr="004C11B7">
              <w:t>§ 15a odst. 4</w:t>
            </w:r>
          </w:p>
        </w:tc>
        <w:tc>
          <w:tcPr>
            <w:tcW w:w="4735" w:type="dxa"/>
            <w:vMerge w:val="restart"/>
            <w:tcBorders>
              <w:right w:val="single" w:sz="12" w:space="0" w:color="auto"/>
            </w:tcBorders>
            <w:shd w:val="clear" w:color="auto" w:fill="auto"/>
          </w:tcPr>
          <w:p w14:paraId="7E3C4914" w14:textId="77777777" w:rsidR="00D47B44" w:rsidRPr="004C11B7" w:rsidRDefault="00D47B44" w:rsidP="00214FDF">
            <w:pPr>
              <w:jc w:val="both"/>
            </w:pPr>
            <w:r w:rsidRPr="004C11B7">
              <w:t>(4) Do limitu pro vrácení daně stanoveného v odstavcích 2 a 3 se započítává i výše daně připadající na vybrané výrobky osvobozené od daně podle § 11 odst. 1 písm. a)</w:t>
            </w:r>
            <w:r w:rsidRPr="004C11B7">
              <w:rPr>
                <w:b/>
                <w:color w:val="E36C0A" w:themeColor="accent6" w:themeShade="BF"/>
              </w:rPr>
              <w:t xml:space="preserve">, </w:t>
            </w:r>
            <w:r w:rsidRPr="004C11B7">
              <w:rPr>
                <w:b/>
              </w:rPr>
              <w:t>c)</w:t>
            </w:r>
            <w:r w:rsidRPr="004C11B7">
              <w:t xml:space="preserve"> nebo d) dopravené z jiného členského státu nebo dovezené ozbrojeným silám vysílajícího státu nebo civilním zaměstnancům doprovázejícím tyto ozbrojené síly ve stejném zdaňovacím období, kterého se uplatňovaný nárok týká.</w:t>
            </w:r>
          </w:p>
        </w:tc>
        <w:tc>
          <w:tcPr>
            <w:tcW w:w="1359" w:type="dxa"/>
            <w:tcBorders>
              <w:left w:val="single" w:sz="12" w:space="0" w:color="auto"/>
              <w:bottom w:val="single" w:sz="4" w:space="0" w:color="auto"/>
            </w:tcBorders>
            <w:shd w:val="clear" w:color="auto" w:fill="auto"/>
          </w:tcPr>
          <w:p w14:paraId="69CC88A9" w14:textId="77777777" w:rsidR="00D47B44" w:rsidRPr="004C11B7" w:rsidRDefault="00D47B44" w:rsidP="00214FDF">
            <w:pPr>
              <w:spacing w:before="60"/>
              <w:jc w:val="both"/>
            </w:pPr>
            <w:r w:rsidRPr="004C11B7">
              <w:t>32019L2235</w:t>
            </w:r>
          </w:p>
        </w:tc>
        <w:tc>
          <w:tcPr>
            <w:tcW w:w="1207" w:type="dxa"/>
            <w:tcBorders>
              <w:bottom w:val="single" w:sz="4" w:space="0" w:color="auto"/>
            </w:tcBorders>
            <w:shd w:val="clear" w:color="auto" w:fill="auto"/>
          </w:tcPr>
          <w:p w14:paraId="66A3BA19" w14:textId="77777777" w:rsidR="00D47B44" w:rsidRPr="004C11B7" w:rsidRDefault="00D47B44" w:rsidP="00214FDF">
            <w:pPr>
              <w:spacing w:before="60"/>
            </w:pPr>
            <w:r w:rsidRPr="004C11B7">
              <w:t>Čl. 2</w:t>
            </w:r>
          </w:p>
        </w:tc>
        <w:tc>
          <w:tcPr>
            <w:tcW w:w="5655" w:type="dxa"/>
            <w:tcBorders>
              <w:bottom w:val="single" w:sz="4" w:space="0" w:color="auto"/>
              <w:right w:val="single" w:sz="12" w:space="0" w:color="auto"/>
            </w:tcBorders>
            <w:shd w:val="clear" w:color="auto" w:fill="auto"/>
          </w:tcPr>
          <w:p w14:paraId="322730D7" w14:textId="77777777" w:rsidR="00D47B44" w:rsidRPr="004C11B7" w:rsidRDefault="00D47B44" w:rsidP="00214FDF">
            <w:pPr>
              <w:jc w:val="both"/>
            </w:pPr>
            <w:r w:rsidRPr="004C11B7">
              <w:t xml:space="preserve">V čl. 12 odst. 1 směrnice 2008/118/ES se vkládá nové písmeno, které zní: </w:t>
            </w:r>
          </w:p>
          <w:p w14:paraId="24898731" w14:textId="77777777" w:rsidR="00D47B44" w:rsidRPr="004C11B7" w:rsidRDefault="00D47B44" w:rsidP="00214FDF">
            <w:pPr>
              <w:overflowPunct/>
              <w:spacing w:before="60"/>
              <w:jc w:val="both"/>
              <w:textAlignment w:val="auto"/>
            </w:pPr>
            <w:r w:rsidRPr="004C11B7">
              <w:t>„ba) ozbrojenými silami jiných členských států než členského státu, ve kterém vznikla daňová povinnost ke spotřební dani, k použití těmito ozbrojenými silami nebo civilními zaměstnanci, kteří je doprovázejí, nebo k zásobení jejich jídelen, pokud se tyto síly podílejí na obranném úsilí vynakládaném na provádění činnosti Unie v rámci společné bezpečností a obranné politiky;“.</w:t>
            </w:r>
          </w:p>
        </w:tc>
      </w:tr>
      <w:tr w:rsidR="00D47B44" w:rsidRPr="00D24F79" w14:paraId="657020DC" w14:textId="77777777" w:rsidTr="00375479">
        <w:tc>
          <w:tcPr>
            <w:tcW w:w="1219" w:type="dxa"/>
            <w:vMerge/>
            <w:tcBorders>
              <w:left w:val="single" w:sz="12" w:space="0" w:color="auto"/>
            </w:tcBorders>
            <w:shd w:val="clear" w:color="auto" w:fill="auto"/>
          </w:tcPr>
          <w:p w14:paraId="5F8A323A"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53B5C385" w14:textId="77777777" w:rsidR="00D47B44" w:rsidRPr="004C11B7" w:rsidRDefault="00D47B44" w:rsidP="00214FDF">
            <w:pPr>
              <w:jc w:val="both"/>
            </w:pPr>
          </w:p>
        </w:tc>
        <w:tc>
          <w:tcPr>
            <w:tcW w:w="1359" w:type="dxa"/>
            <w:tcBorders>
              <w:left w:val="single" w:sz="12" w:space="0" w:color="auto"/>
              <w:bottom w:val="single" w:sz="4" w:space="0" w:color="auto"/>
            </w:tcBorders>
            <w:shd w:val="clear" w:color="auto" w:fill="auto"/>
          </w:tcPr>
          <w:p w14:paraId="7F1AA718" w14:textId="77777777" w:rsidR="00D47B44" w:rsidRPr="004C11B7" w:rsidRDefault="00D47B44" w:rsidP="00214FDF">
            <w:pPr>
              <w:spacing w:before="60"/>
              <w:jc w:val="both"/>
              <w:rPr>
                <w:bCs/>
                <w:iCs/>
              </w:rPr>
            </w:pPr>
            <w:r w:rsidRPr="004C11B7">
              <w:rPr>
                <w:bCs/>
                <w:iCs/>
              </w:rPr>
              <w:t>32008L0118</w:t>
            </w:r>
          </w:p>
          <w:p w14:paraId="3C89457F" w14:textId="77777777" w:rsidR="00D47B44" w:rsidRPr="004C11B7" w:rsidRDefault="00D47B44" w:rsidP="00214FDF">
            <w:pPr>
              <w:spacing w:before="60"/>
              <w:jc w:val="both"/>
            </w:pPr>
          </w:p>
        </w:tc>
        <w:tc>
          <w:tcPr>
            <w:tcW w:w="1207" w:type="dxa"/>
            <w:tcBorders>
              <w:bottom w:val="single" w:sz="4" w:space="0" w:color="auto"/>
            </w:tcBorders>
            <w:shd w:val="clear" w:color="auto" w:fill="auto"/>
          </w:tcPr>
          <w:p w14:paraId="793BE3B0" w14:textId="77777777" w:rsidR="00D47B44" w:rsidRPr="004C11B7" w:rsidRDefault="00D47B44" w:rsidP="00214FDF">
            <w:pPr>
              <w:spacing w:before="60"/>
            </w:pPr>
            <w:r w:rsidRPr="004C11B7">
              <w:t>Čl. 12 odst. 2</w:t>
            </w:r>
          </w:p>
        </w:tc>
        <w:tc>
          <w:tcPr>
            <w:tcW w:w="5655" w:type="dxa"/>
            <w:tcBorders>
              <w:bottom w:val="single" w:sz="4" w:space="0" w:color="auto"/>
              <w:right w:val="single" w:sz="12" w:space="0" w:color="auto"/>
            </w:tcBorders>
            <w:shd w:val="clear" w:color="auto" w:fill="auto"/>
          </w:tcPr>
          <w:p w14:paraId="099ACCE1" w14:textId="77777777" w:rsidR="00D47B44" w:rsidRPr="004C11B7" w:rsidRDefault="00D47B44" w:rsidP="00214FDF">
            <w:pPr>
              <w:jc w:val="both"/>
            </w:pPr>
            <w:r w:rsidRPr="004C11B7">
              <w:t xml:space="preserve">Osvobození od daně </w:t>
            </w:r>
          </w:p>
          <w:p w14:paraId="12B2839F" w14:textId="77777777" w:rsidR="00D47B44" w:rsidRPr="004C11B7" w:rsidRDefault="00D47B44" w:rsidP="00214FDF">
            <w:pPr>
              <w:overflowPunct/>
              <w:spacing w:before="60"/>
              <w:jc w:val="both"/>
              <w:textAlignment w:val="auto"/>
            </w:pPr>
            <w:r w:rsidRPr="004C11B7">
              <w:t>2. Uplatnění těchto osvobození od daně může hostitelský stát podmínit nebo omezit. Členské státy mohou osvobození přiznat formou vrácení spotřební daně.</w:t>
            </w:r>
          </w:p>
        </w:tc>
      </w:tr>
      <w:tr w:rsidR="00D47B44" w:rsidRPr="00D24F79" w14:paraId="5C4B9B0D" w14:textId="77777777" w:rsidTr="00375479">
        <w:tc>
          <w:tcPr>
            <w:tcW w:w="1219" w:type="dxa"/>
            <w:vMerge w:val="restart"/>
            <w:tcBorders>
              <w:left w:val="single" w:sz="12" w:space="0" w:color="auto"/>
            </w:tcBorders>
            <w:shd w:val="clear" w:color="auto" w:fill="auto"/>
          </w:tcPr>
          <w:p w14:paraId="19A9774F" w14:textId="77777777" w:rsidR="00D47B44" w:rsidRPr="004C11B7" w:rsidRDefault="00D47B44" w:rsidP="00214FDF">
            <w:pPr>
              <w:spacing w:before="60"/>
            </w:pPr>
            <w:r w:rsidRPr="004C11B7">
              <w:t>§ 25 odst. 1 písm. a) bod 3</w:t>
            </w:r>
          </w:p>
        </w:tc>
        <w:tc>
          <w:tcPr>
            <w:tcW w:w="4735" w:type="dxa"/>
            <w:vMerge w:val="restart"/>
            <w:tcBorders>
              <w:right w:val="single" w:sz="12" w:space="0" w:color="auto"/>
            </w:tcBorders>
            <w:shd w:val="clear" w:color="auto" w:fill="auto"/>
          </w:tcPr>
          <w:p w14:paraId="1552CDF2" w14:textId="77777777" w:rsidR="00D47B44" w:rsidRPr="004C11B7" w:rsidRDefault="00D47B44" w:rsidP="00214FDF">
            <w:pPr>
              <w:jc w:val="both"/>
            </w:pPr>
            <w:r w:rsidRPr="004C11B7">
              <w:t xml:space="preserve">(1) Vybrané výrobky lze v režimu podmíněného osvobození od daně dopravovat mezi členskými státy, pokud vybrané výrobky jsou dopravovány z daňového skladu umístěného </w:t>
            </w:r>
          </w:p>
          <w:p w14:paraId="24B371E4" w14:textId="77777777" w:rsidR="00D47B44" w:rsidRPr="004C11B7" w:rsidRDefault="00D47B44" w:rsidP="00214FDF">
            <w:pPr>
              <w:jc w:val="both"/>
            </w:pPr>
            <w:r w:rsidRPr="004C11B7">
              <w:t xml:space="preserve">a) v jiném členském státě nebo od oprávněného odesílatele z jiného členského státu </w:t>
            </w:r>
          </w:p>
          <w:p w14:paraId="1324FB6B" w14:textId="77777777" w:rsidR="00D47B44" w:rsidRPr="004C11B7" w:rsidRDefault="00D47B44" w:rsidP="00214FDF">
            <w:pPr>
              <w:jc w:val="both"/>
            </w:pPr>
            <w:r w:rsidRPr="004C11B7">
              <w:t xml:space="preserve">1. provozovateli daňového skladu nebo oprávněnému příjemci, jimž bylo vydáno povolení na daňovém území České republiky, </w:t>
            </w:r>
          </w:p>
          <w:p w14:paraId="0CCDE535" w14:textId="77777777" w:rsidR="00D47B44" w:rsidRPr="004C11B7" w:rsidRDefault="00D47B44" w:rsidP="00214FDF">
            <w:pPr>
              <w:jc w:val="both"/>
            </w:pPr>
            <w:r w:rsidRPr="004C11B7">
              <w:t xml:space="preserve">2. do místa vývozu vybraných výrobků na daňovém území České republiky, nebo </w:t>
            </w:r>
          </w:p>
          <w:p w14:paraId="51DED19C" w14:textId="77777777" w:rsidR="00D47B44" w:rsidRPr="004C11B7" w:rsidRDefault="00D47B44" w:rsidP="00214FDF">
            <w:pPr>
              <w:jc w:val="both"/>
            </w:pPr>
            <w:r w:rsidRPr="004C11B7">
              <w:t>3. příjemci podle § 11 odst. 1 písm. </w:t>
            </w:r>
            <w:r w:rsidRPr="004C11B7">
              <w:rPr>
                <w:b/>
              </w:rPr>
              <w:t>c)</w:t>
            </w:r>
            <w:r w:rsidRPr="004C11B7">
              <w:t>, d) nebo e),</w:t>
            </w:r>
          </w:p>
        </w:tc>
        <w:tc>
          <w:tcPr>
            <w:tcW w:w="1359" w:type="dxa"/>
            <w:tcBorders>
              <w:left w:val="single" w:sz="12" w:space="0" w:color="auto"/>
              <w:bottom w:val="single" w:sz="4" w:space="0" w:color="auto"/>
            </w:tcBorders>
            <w:shd w:val="clear" w:color="auto" w:fill="auto"/>
          </w:tcPr>
          <w:p w14:paraId="6C1C1FB7" w14:textId="77777777" w:rsidR="00D47B44" w:rsidRPr="004C11B7" w:rsidRDefault="00D47B44" w:rsidP="00214FDF">
            <w:pPr>
              <w:spacing w:before="60"/>
              <w:jc w:val="both"/>
            </w:pPr>
            <w:r w:rsidRPr="004C11B7">
              <w:t>32019L2235</w:t>
            </w:r>
          </w:p>
        </w:tc>
        <w:tc>
          <w:tcPr>
            <w:tcW w:w="1207" w:type="dxa"/>
            <w:tcBorders>
              <w:bottom w:val="single" w:sz="4" w:space="0" w:color="auto"/>
            </w:tcBorders>
            <w:shd w:val="clear" w:color="auto" w:fill="auto"/>
          </w:tcPr>
          <w:p w14:paraId="0DF9ABB7" w14:textId="77777777" w:rsidR="00D47B44" w:rsidRPr="004C11B7" w:rsidRDefault="00D47B44" w:rsidP="00214FDF">
            <w:pPr>
              <w:spacing w:before="60"/>
            </w:pPr>
            <w:r w:rsidRPr="004C11B7">
              <w:t>Čl. 2</w:t>
            </w:r>
          </w:p>
        </w:tc>
        <w:tc>
          <w:tcPr>
            <w:tcW w:w="5655" w:type="dxa"/>
            <w:tcBorders>
              <w:bottom w:val="single" w:sz="4" w:space="0" w:color="auto"/>
              <w:right w:val="single" w:sz="12" w:space="0" w:color="auto"/>
            </w:tcBorders>
            <w:shd w:val="clear" w:color="auto" w:fill="auto"/>
          </w:tcPr>
          <w:p w14:paraId="3E3D4540" w14:textId="77777777" w:rsidR="00D47B44" w:rsidRPr="004C11B7" w:rsidRDefault="00D47B44" w:rsidP="00214FDF">
            <w:pPr>
              <w:jc w:val="both"/>
            </w:pPr>
            <w:r w:rsidRPr="004C11B7">
              <w:t xml:space="preserve">V čl. 12 odst. 1 směrnice 2008/118/ES se vkládá nové písmeno, které zní: </w:t>
            </w:r>
          </w:p>
          <w:p w14:paraId="4F9683D0" w14:textId="77777777" w:rsidR="00D47B44" w:rsidRPr="004C11B7" w:rsidRDefault="00D47B44" w:rsidP="00214FDF">
            <w:pPr>
              <w:overflowPunct/>
              <w:spacing w:before="60"/>
              <w:jc w:val="both"/>
              <w:textAlignment w:val="auto"/>
            </w:pPr>
            <w:r w:rsidRPr="004C11B7">
              <w:t>„ba) ozbrojenými silami jiných členských států než členského státu, ve kterém vznikla daňová povinnost ke spotřební dani, k použití těmito ozbrojenými silami nebo civilními zaměstnanci, kteří je doprovázejí, nebo k zásobení jejich jídelen, pokud se tyto síly podílejí na obranném úsilí vynakládaném na provádění činnosti Unie v rámci společné bezpečností a obranné politiky;“.</w:t>
            </w:r>
          </w:p>
        </w:tc>
      </w:tr>
      <w:tr w:rsidR="00D47B44" w:rsidRPr="00D24F79" w14:paraId="7DF4EC3C" w14:textId="77777777" w:rsidTr="00375479">
        <w:tc>
          <w:tcPr>
            <w:tcW w:w="1219" w:type="dxa"/>
            <w:vMerge/>
            <w:tcBorders>
              <w:left w:val="single" w:sz="12" w:space="0" w:color="auto"/>
            </w:tcBorders>
            <w:shd w:val="clear" w:color="auto" w:fill="auto"/>
          </w:tcPr>
          <w:p w14:paraId="5B882F6B"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128FF2B7" w14:textId="77777777" w:rsidR="00D47B44" w:rsidRPr="004C11B7" w:rsidRDefault="00D47B44" w:rsidP="00214FDF">
            <w:pPr>
              <w:jc w:val="both"/>
            </w:pPr>
          </w:p>
        </w:tc>
        <w:tc>
          <w:tcPr>
            <w:tcW w:w="1359" w:type="dxa"/>
            <w:tcBorders>
              <w:left w:val="single" w:sz="12" w:space="0" w:color="auto"/>
              <w:bottom w:val="single" w:sz="4" w:space="0" w:color="auto"/>
            </w:tcBorders>
            <w:shd w:val="clear" w:color="auto" w:fill="auto"/>
          </w:tcPr>
          <w:p w14:paraId="375F1DF7" w14:textId="77777777" w:rsidR="00D47B44" w:rsidRPr="004C11B7" w:rsidRDefault="00D47B44" w:rsidP="00214FDF">
            <w:pPr>
              <w:spacing w:before="60"/>
              <w:jc w:val="both"/>
              <w:rPr>
                <w:bCs/>
                <w:iCs/>
              </w:rPr>
            </w:pPr>
            <w:r w:rsidRPr="004C11B7">
              <w:rPr>
                <w:bCs/>
                <w:iCs/>
              </w:rPr>
              <w:t>32008L0118</w:t>
            </w:r>
          </w:p>
          <w:p w14:paraId="570D4B25" w14:textId="77777777" w:rsidR="00D47B44" w:rsidRPr="004C11B7" w:rsidRDefault="00D47B44" w:rsidP="00214FDF">
            <w:pPr>
              <w:spacing w:before="60"/>
              <w:jc w:val="both"/>
            </w:pPr>
          </w:p>
        </w:tc>
        <w:tc>
          <w:tcPr>
            <w:tcW w:w="1207" w:type="dxa"/>
            <w:tcBorders>
              <w:bottom w:val="single" w:sz="4" w:space="0" w:color="auto"/>
            </w:tcBorders>
            <w:shd w:val="clear" w:color="auto" w:fill="auto"/>
          </w:tcPr>
          <w:p w14:paraId="3408B00C" w14:textId="10FADC7E" w:rsidR="00D47B44" w:rsidRPr="004C11B7" w:rsidRDefault="00D47B44" w:rsidP="00214FDF">
            <w:pPr>
              <w:spacing w:before="60"/>
            </w:pPr>
            <w:r w:rsidRPr="004C11B7">
              <w:t>Čl. 17 odst. 1 písm. a) bod</w:t>
            </w:r>
            <w:r w:rsidR="00375479">
              <w:t xml:space="preserve"> </w:t>
            </w:r>
            <w:r w:rsidRPr="004C11B7">
              <w:t xml:space="preserve"> iv)</w:t>
            </w:r>
          </w:p>
        </w:tc>
        <w:tc>
          <w:tcPr>
            <w:tcW w:w="5655" w:type="dxa"/>
            <w:tcBorders>
              <w:bottom w:val="single" w:sz="4" w:space="0" w:color="auto"/>
              <w:right w:val="single" w:sz="12" w:space="0" w:color="auto"/>
            </w:tcBorders>
            <w:shd w:val="clear" w:color="auto" w:fill="auto"/>
          </w:tcPr>
          <w:p w14:paraId="4C567B86" w14:textId="77777777" w:rsidR="00D47B44" w:rsidRPr="004C11B7" w:rsidRDefault="00D47B44" w:rsidP="00214FDF">
            <w:r w:rsidRPr="004C11B7">
              <w:t xml:space="preserve">1. Zboží podléhající spotřební dani může být přepravováno v režimu s podmíněným osvobozením od daně na území Společenství, včetně přepravy zboží přes třetí zemi nebo třetí území, </w:t>
            </w:r>
          </w:p>
          <w:p w14:paraId="2CCDA23E" w14:textId="77777777" w:rsidR="00D47B44" w:rsidRPr="004C11B7" w:rsidRDefault="00D47B44" w:rsidP="00214FDF">
            <w:r w:rsidRPr="004C11B7">
              <w:t xml:space="preserve">a) z daňového skladu </w:t>
            </w:r>
          </w:p>
          <w:p w14:paraId="67D5E0D7" w14:textId="77777777" w:rsidR="00D47B44" w:rsidRPr="004C11B7" w:rsidRDefault="00D47B44" w:rsidP="00214FDF">
            <w:pPr>
              <w:ind w:left="199"/>
            </w:pPr>
            <w:r w:rsidRPr="004C11B7">
              <w:t xml:space="preserve">i) do jiného daňového skladu, </w:t>
            </w:r>
          </w:p>
          <w:p w14:paraId="131F7A6A" w14:textId="77777777" w:rsidR="00D47B44" w:rsidRPr="004C11B7" w:rsidRDefault="00D47B44" w:rsidP="00214FDF">
            <w:pPr>
              <w:ind w:left="199"/>
            </w:pPr>
            <w:r w:rsidRPr="004C11B7">
              <w:t>ii) registrovanému příjemci,</w:t>
            </w:r>
          </w:p>
          <w:p w14:paraId="39A7F3F9" w14:textId="77777777" w:rsidR="00D47B44" w:rsidRPr="004C11B7" w:rsidRDefault="00D47B44" w:rsidP="00214FDF">
            <w:pPr>
              <w:ind w:left="199"/>
            </w:pPr>
            <w:r w:rsidRPr="004C11B7">
              <w:t>iii) do místa, kde zboží podléhající spotřební dani opouští území Společenství, jak je uvedeno v čl. 25 odst. 1,</w:t>
            </w:r>
          </w:p>
          <w:p w14:paraId="7B476B86" w14:textId="77777777" w:rsidR="00D47B44" w:rsidRPr="004C11B7" w:rsidRDefault="00D47B44" w:rsidP="00214FDF">
            <w:pPr>
              <w:ind w:left="199"/>
            </w:pPr>
            <w:r w:rsidRPr="004C11B7">
              <w:t>iv) příjemci podle čl. 12 odst. 1, je-li zboží odesláno z jiného členského státu;</w:t>
            </w:r>
          </w:p>
        </w:tc>
      </w:tr>
      <w:tr w:rsidR="00D47B44" w:rsidRPr="00D24F79" w14:paraId="3E7CAC03" w14:textId="77777777" w:rsidTr="00375479">
        <w:tc>
          <w:tcPr>
            <w:tcW w:w="1219" w:type="dxa"/>
            <w:vMerge w:val="restart"/>
            <w:tcBorders>
              <w:left w:val="single" w:sz="12" w:space="0" w:color="auto"/>
            </w:tcBorders>
            <w:shd w:val="clear" w:color="auto" w:fill="auto"/>
          </w:tcPr>
          <w:p w14:paraId="36E25687" w14:textId="77777777" w:rsidR="00D47B44" w:rsidRPr="004C11B7" w:rsidRDefault="00D47B44" w:rsidP="00214FDF">
            <w:pPr>
              <w:spacing w:before="60"/>
            </w:pPr>
            <w:r w:rsidRPr="004C11B7">
              <w:t>§ 27 odst. 7</w:t>
            </w:r>
          </w:p>
        </w:tc>
        <w:tc>
          <w:tcPr>
            <w:tcW w:w="4735" w:type="dxa"/>
            <w:vMerge w:val="restart"/>
            <w:tcBorders>
              <w:right w:val="single" w:sz="12" w:space="0" w:color="auto"/>
            </w:tcBorders>
            <w:shd w:val="clear" w:color="auto" w:fill="auto"/>
          </w:tcPr>
          <w:p w14:paraId="241E3A3C" w14:textId="77777777" w:rsidR="00D47B44" w:rsidRPr="004C11B7" w:rsidRDefault="00D47B44" w:rsidP="00214FDF">
            <w:pPr>
              <w:jc w:val="both"/>
            </w:pPr>
            <w:r w:rsidRPr="004C11B7">
              <w:t>(7) Provozovatel odesílajícího daňového skladu, který poskytl zajištění daně, nebo oprávněný odesílatel, který poskytl zajištění daně, může v průběhu dopravy vybraných výrobků v režimu podmíněného osvobození od daně změnit příjemce nebo místo ukončení dopravy, pokud se nejedná o dopravu osobám uvedeným v § 11 odst. 1 písm. </w:t>
            </w:r>
            <w:r w:rsidRPr="004C11B7">
              <w:rPr>
                <w:b/>
              </w:rPr>
              <w:t>c)</w:t>
            </w:r>
            <w:r w:rsidRPr="004C11B7">
              <w:t xml:space="preserve"> </w:t>
            </w:r>
            <w:r w:rsidRPr="00B325B0">
              <w:rPr>
                <w:b/>
              </w:rPr>
              <w:t>nebo</w:t>
            </w:r>
            <w:r w:rsidRPr="004C11B7">
              <w:t xml:space="preserve"> e). Změna se provede postupem uvedeným v nařízení Komise, kterým se provádí směrnice Rady o obecné úpravě spotřebních </w:t>
            </w:r>
            <w:r w:rsidRPr="00375479">
              <w:t>daní</w:t>
            </w:r>
            <w:r w:rsidRPr="00375479">
              <w:rPr>
                <w:vertAlign w:val="superscript"/>
              </w:rPr>
              <w:t>28</w:t>
            </w:r>
            <w:r w:rsidRPr="00375479">
              <w:t>).</w:t>
            </w:r>
          </w:p>
        </w:tc>
        <w:tc>
          <w:tcPr>
            <w:tcW w:w="1359" w:type="dxa"/>
            <w:tcBorders>
              <w:left w:val="single" w:sz="12" w:space="0" w:color="auto"/>
              <w:bottom w:val="single" w:sz="4" w:space="0" w:color="auto"/>
            </w:tcBorders>
            <w:shd w:val="clear" w:color="auto" w:fill="auto"/>
          </w:tcPr>
          <w:p w14:paraId="36ACC453" w14:textId="77777777" w:rsidR="00D47B44" w:rsidRPr="004C11B7" w:rsidRDefault="00D47B44" w:rsidP="00214FDF">
            <w:pPr>
              <w:spacing w:before="60"/>
              <w:jc w:val="both"/>
            </w:pPr>
            <w:r w:rsidRPr="004C11B7">
              <w:t>32019L2235</w:t>
            </w:r>
          </w:p>
        </w:tc>
        <w:tc>
          <w:tcPr>
            <w:tcW w:w="1207" w:type="dxa"/>
            <w:tcBorders>
              <w:bottom w:val="single" w:sz="4" w:space="0" w:color="auto"/>
            </w:tcBorders>
            <w:shd w:val="clear" w:color="auto" w:fill="auto"/>
          </w:tcPr>
          <w:p w14:paraId="1CF4644B" w14:textId="77777777" w:rsidR="00D47B44" w:rsidRPr="004C11B7" w:rsidRDefault="00D47B44" w:rsidP="00214FDF">
            <w:pPr>
              <w:spacing w:before="60"/>
            </w:pPr>
            <w:r w:rsidRPr="004C11B7">
              <w:t>Čl. 2</w:t>
            </w:r>
          </w:p>
        </w:tc>
        <w:tc>
          <w:tcPr>
            <w:tcW w:w="5655" w:type="dxa"/>
            <w:tcBorders>
              <w:bottom w:val="single" w:sz="4" w:space="0" w:color="auto"/>
              <w:right w:val="single" w:sz="12" w:space="0" w:color="auto"/>
            </w:tcBorders>
            <w:shd w:val="clear" w:color="auto" w:fill="auto"/>
          </w:tcPr>
          <w:p w14:paraId="66B8574D" w14:textId="77777777" w:rsidR="00D47B44" w:rsidRPr="004C11B7" w:rsidRDefault="00D47B44" w:rsidP="00214FDF">
            <w:pPr>
              <w:jc w:val="both"/>
            </w:pPr>
            <w:r w:rsidRPr="004C11B7">
              <w:t xml:space="preserve">V čl. 12 odst. 1 směrnice 2008/118/ES se vkládá nové písmeno, které zní: </w:t>
            </w:r>
          </w:p>
          <w:p w14:paraId="48FA1ECE" w14:textId="77777777" w:rsidR="00D47B44" w:rsidRPr="004C11B7" w:rsidRDefault="00D47B44" w:rsidP="00214FDF">
            <w:pPr>
              <w:overflowPunct/>
              <w:spacing w:before="60"/>
              <w:jc w:val="both"/>
              <w:textAlignment w:val="auto"/>
            </w:pPr>
            <w:r w:rsidRPr="004C11B7">
              <w:t>„ba) ozbrojenými silami jiných členských států než členského státu, ve kterém vznikla daňová povinnost ke spotřební dani, k použití těmito ozbrojenými silami nebo civilními zaměstnanci, kteří je doprovázejí, nebo k zásobení jejich jídelen, pokud se tyto síly podílejí na obranném úsilí vynakládaném na provádění činnosti Unie v rámci společné bezpečností a obranné politiky;“.</w:t>
            </w:r>
          </w:p>
        </w:tc>
      </w:tr>
      <w:tr w:rsidR="00D47B44" w:rsidRPr="00FF4EF6" w14:paraId="2B86D0E9" w14:textId="77777777" w:rsidTr="00375479">
        <w:tc>
          <w:tcPr>
            <w:tcW w:w="1219" w:type="dxa"/>
            <w:vMerge/>
            <w:tcBorders>
              <w:left w:val="single" w:sz="12" w:space="0" w:color="auto"/>
            </w:tcBorders>
            <w:shd w:val="clear" w:color="auto" w:fill="auto"/>
          </w:tcPr>
          <w:p w14:paraId="4FDFCD80"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57DB7C3E" w14:textId="77777777" w:rsidR="00D47B44" w:rsidRPr="004C11B7" w:rsidRDefault="00D47B44" w:rsidP="00214FDF">
            <w:pPr>
              <w:jc w:val="both"/>
            </w:pPr>
          </w:p>
        </w:tc>
        <w:tc>
          <w:tcPr>
            <w:tcW w:w="1359" w:type="dxa"/>
            <w:tcBorders>
              <w:left w:val="single" w:sz="12" w:space="0" w:color="auto"/>
              <w:bottom w:val="single" w:sz="4" w:space="0" w:color="auto"/>
            </w:tcBorders>
            <w:shd w:val="clear" w:color="auto" w:fill="auto"/>
          </w:tcPr>
          <w:p w14:paraId="1A3A4113" w14:textId="77777777" w:rsidR="00D47B44" w:rsidRPr="004C11B7" w:rsidRDefault="00D47B44" w:rsidP="00214FDF">
            <w:pPr>
              <w:spacing w:before="60"/>
              <w:jc w:val="both"/>
              <w:rPr>
                <w:bCs/>
                <w:iCs/>
              </w:rPr>
            </w:pPr>
            <w:r w:rsidRPr="004C11B7">
              <w:rPr>
                <w:bCs/>
                <w:iCs/>
              </w:rPr>
              <w:t>32008L0118</w:t>
            </w:r>
          </w:p>
          <w:p w14:paraId="47DF349E" w14:textId="77777777" w:rsidR="00D47B44" w:rsidRPr="004C11B7" w:rsidRDefault="00D47B44" w:rsidP="00214FDF">
            <w:pPr>
              <w:spacing w:before="60"/>
              <w:jc w:val="both"/>
            </w:pPr>
          </w:p>
        </w:tc>
        <w:tc>
          <w:tcPr>
            <w:tcW w:w="1207" w:type="dxa"/>
            <w:tcBorders>
              <w:bottom w:val="single" w:sz="4" w:space="0" w:color="auto"/>
            </w:tcBorders>
            <w:shd w:val="clear" w:color="auto" w:fill="auto"/>
          </w:tcPr>
          <w:p w14:paraId="58F26C83" w14:textId="77777777" w:rsidR="00D47B44" w:rsidRPr="004C11B7" w:rsidRDefault="00D47B44" w:rsidP="00214FDF">
            <w:pPr>
              <w:spacing w:before="60"/>
            </w:pPr>
            <w:r w:rsidRPr="004C11B7">
              <w:t>Čl. 21 odst. 8</w:t>
            </w:r>
          </w:p>
        </w:tc>
        <w:tc>
          <w:tcPr>
            <w:tcW w:w="5655" w:type="dxa"/>
            <w:tcBorders>
              <w:bottom w:val="single" w:sz="4" w:space="0" w:color="auto"/>
              <w:right w:val="single" w:sz="12" w:space="0" w:color="auto"/>
            </w:tcBorders>
            <w:shd w:val="clear" w:color="auto" w:fill="auto"/>
          </w:tcPr>
          <w:p w14:paraId="6739B2A2" w14:textId="77777777" w:rsidR="00D47B44" w:rsidRPr="004C11B7" w:rsidRDefault="00D47B44" w:rsidP="00214FDF">
            <w:pPr>
              <w:overflowPunct/>
              <w:spacing w:before="60"/>
              <w:jc w:val="both"/>
              <w:textAlignment w:val="auto"/>
            </w:pPr>
            <w:r w:rsidRPr="004C11B7">
              <w:t>8. Během přepravy v režimu s podmíněným osvobozením od daně může odesílatel prostřednictvím elektronického systému změnit místo určení a uvést nové místo určení, kterým musí být jedno z míst určení uvedených v čl. 17 odst. 1 písm. a) bodě i), ii) nebo iii) nebo případně odst. 2.</w:t>
            </w:r>
          </w:p>
        </w:tc>
      </w:tr>
      <w:tr w:rsidR="00D47B44" w:rsidRPr="00D24F79" w14:paraId="7DB337A2" w14:textId="77777777" w:rsidTr="00375479">
        <w:tc>
          <w:tcPr>
            <w:tcW w:w="1219" w:type="dxa"/>
            <w:vMerge w:val="restart"/>
            <w:tcBorders>
              <w:left w:val="single" w:sz="12" w:space="0" w:color="auto"/>
            </w:tcBorders>
            <w:shd w:val="clear" w:color="auto" w:fill="auto"/>
          </w:tcPr>
          <w:p w14:paraId="6E094F3C" w14:textId="77777777" w:rsidR="00D47B44" w:rsidRPr="004C11B7" w:rsidRDefault="00D47B44" w:rsidP="00214FDF">
            <w:pPr>
              <w:spacing w:before="60"/>
            </w:pPr>
            <w:r w:rsidRPr="004C11B7">
              <w:t>§ 27a odst. 2</w:t>
            </w:r>
          </w:p>
        </w:tc>
        <w:tc>
          <w:tcPr>
            <w:tcW w:w="4735" w:type="dxa"/>
            <w:vMerge w:val="restart"/>
            <w:tcBorders>
              <w:right w:val="single" w:sz="12" w:space="0" w:color="auto"/>
            </w:tcBorders>
            <w:shd w:val="clear" w:color="auto" w:fill="auto"/>
          </w:tcPr>
          <w:p w14:paraId="7631B3C5" w14:textId="083A04CE" w:rsidR="00D47B44" w:rsidRPr="004C11B7" w:rsidRDefault="00D47B44" w:rsidP="000506E1">
            <w:pPr>
              <w:jc w:val="both"/>
            </w:pPr>
            <w:r w:rsidRPr="004C11B7">
              <w:t>(</w:t>
            </w:r>
            <w:r w:rsidRPr="00375479">
              <w:t xml:space="preserve">2) Po přijetí vybraných výrobků osobami uvedenými v § 11 odst. 1 písm. </w:t>
            </w:r>
            <w:r w:rsidRPr="00375479">
              <w:rPr>
                <w:b/>
              </w:rPr>
              <w:t>c)</w:t>
            </w:r>
            <w:r w:rsidRPr="00375479">
              <w:t xml:space="preserve"> </w:t>
            </w:r>
            <w:r w:rsidRPr="00B325B0">
              <w:rPr>
                <w:b/>
              </w:rPr>
              <w:t>nebo</w:t>
            </w:r>
            <w:r w:rsidRPr="00375479">
              <w:t xml:space="preserve">  e) předloží tito příjemci nejdéle do 5 pracovních dní po ukončení dopravy podle § 25 odst. 1 písm. a) bodu 3 oznámení o přijetí vybraných výrobků v režimu podmíněného osvobození od daně </w:t>
            </w:r>
            <w:r w:rsidRPr="00375479">
              <w:rPr>
                <w:strike/>
              </w:rPr>
              <w:t xml:space="preserve">pomocí elektronického systému </w:t>
            </w:r>
            <w:r w:rsidRPr="00375479">
              <w:t xml:space="preserve">a osvědčení o osvobození od spotřební daně správci daně místně příslušnému podle sídla nebo místa pobytu. Nemá-li příjemce sídlo nebo místo pobytu na daňovém území České republiky, předloží toto oznámení správci daně vykonávajícímu působnost na území hlavního města Prahy. Ztráty a znehodnocení, ke kterým došlo v průběhu dopravy, s výjimkou nepředvídatelných ztrát nebo znehodnocení, příjemce uvede v oznámení o přijetí vybraných výrobků v režimu podmíněného osvobození od daně. </w:t>
            </w:r>
            <w:r w:rsidRPr="00632142">
              <w:t>Náležitosti oznámení o přijetí vybraných výrobků v režimu podmíněného osvobození od daně stanoví nařízení Komise, kterým se provádí směrnice Rady o obecné úpravě spotřebních daní</w:t>
            </w:r>
            <w:r w:rsidRPr="00632142">
              <w:rPr>
                <w:vertAlign w:val="superscript"/>
              </w:rPr>
              <w:t>28</w:t>
            </w:r>
            <w:r w:rsidRPr="00632142">
              <w:t>).</w:t>
            </w:r>
            <w:r w:rsidR="002518B5">
              <w:t xml:space="preserve"> </w:t>
            </w:r>
            <w:r w:rsidR="002518B5" w:rsidRPr="00632142">
              <w:rPr>
                <w:strike/>
              </w:rPr>
              <w:t>Náležitosti osvědčení o osvobození od spotřební daně stanoví nařízení Komise o osvědčení o osvobození od spotřební daně</w:t>
            </w:r>
            <w:r w:rsidR="002518B5" w:rsidRPr="00632142">
              <w:rPr>
                <w:strike/>
                <w:vertAlign w:val="superscript"/>
              </w:rPr>
              <w:t>17a)</w:t>
            </w:r>
            <w:r w:rsidR="002518B5" w:rsidRPr="00632142">
              <w:rPr>
                <w:strike/>
              </w:rPr>
              <w:t>.</w:t>
            </w:r>
          </w:p>
        </w:tc>
        <w:tc>
          <w:tcPr>
            <w:tcW w:w="1359" w:type="dxa"/>
            <w:tcBorders>
              <w:left w:val="single" w:sz="12" w:space="0" w:color="auto"/>
              <w:bottom w:val="single" w:sz="4" w:space="0" w:color="auto"/>
            </w:tcBorders>
            <w:shd w:val="clear" w:color="auto" w:fill="auto"/>
          </w:tcPr>
          <w:p w14:paraId="6BCA79E2" w14:textId="77777777" w:rsidR="00D47B44" w:rsidRPr="004C11B7" w:rsidRDefault="00D47B44" w:rsidP="00214FDF">
            <w:pPr>
              <w:spacing w:before="60"/>
              <w:jc w:val="center"/>
              <w:rPr>
                <w:highlight w:val="yellow"/>
              </w:rPr>
            </w:pPr>
            <w:r w:rsidRPr="004C11B7">
              <w:t>32019L2235</w:t>
            </w:r>
          </w:p>
        </w:tc>
        <w:tc>
          <w:tcPr>
            <w:tcW w:w="1207" w:type="dxa"/>
            <w:tcBorders>
              <w:bottom w:val="single" w:sz="4" w:space="0" w:color="auto"/>
            </w:tcBorders>
            <w:shd w:val="clear" w:color="auto" w:fill="auto"/>
          </w:tcPr>
          <w:p w14:paraId="51B2D3E7" w14:textId="77777777" w:rsidR="00D47B44" w:rsidRPr="004C11B7" w:rsidRDefault="00D47B44" w:rsidP="00214FDF">
            <w:pPr>
              <w:spacing w:before="60"/>
            </w:pPr>
            <w:r w:rsidRPr="004C11B7">
              <w:t>Čl. 2</w:t>
            </w:r>
          </w:p>
        </w:tc>
        <w:tc>
          <w:tcPr>
            <w:tcW w:w="5655" w:type="dxa"/>
            <w:tcBorders>
              <w:bottom w:val="single" w:sz="4" w:space="0" w:color="auto"/>
              <w:right w:val="single" w:sz="12" w:space="0" w:color="auto"/>
            </w:tcBorders>
            <w:shd w:val="clear" w:color="auto" w:fill="auto"/>
          </w:tcPr>
          <w:p w14:paraId="5478280C" w14:textId="77777777" w:rsidR="00D47B44" w:rsidRPr="004C11B7" w:rsidRDefault="00D47B44" w:rsidP="00214FDF">
            <w:pPr>
              <w:jc w:val="both"/>
            </w:pPr>
            <w:r w:rsidRPr="004C11B7">
              <w:t xml:space="preserve">V čl. 12 odst. 1 směrnice 2008/118/ES se vkládá nové písmeno, které zní: </w:t>
            </w:r>
          </w:p>
          <w:p w14:paraId="20A53A1D" w14:textId="77777777" w:rsidR="00D47B44" w:rsidRPr="004C11B7" w:rsidRDefault="00D47B44" w:rsidP="00214FDF">
            <w:pPr>
              <w:overflowPunct/>
              <w:spacing w:before="60" w:after="60"/>
              <w:jc w:val="both"/>
              <w:textAlignment w:val="auto"/>
            </w:pPr>
            <w:r w:rsidRPr="004C11B7">
              <w:t>„ba) ozbrojenými silami jiných členských států než členského státu, ve kterém vznikla daňová povinnost ke spotřební dani, k použití těmito ozbrojenými silami nebo civilními zaměstnanci, kteří je doprovázejí, nebo k zásobení jejich jídelen, pokud se tyto síly podílejí na obranném úsilí vynakládaném na provádění činnosti Unie v rámci společné bezpečností a obranné politiky;“.</w:t>
            </w:r>
          </w:p>
        </w:tc>
      </w:tr>
      <w:tr w:rsidR="00CE7BBA" w:rsidRPr="00D24F79" w14:paraId="130565DA" w14:textId="77777777" w:rsidTr="00375479">
        <w:tc>
          <w:tcPr>
            <w:tcW w:w="1219" w:type="dxa"/>
            <w:vMerge/>
            <w:tcBorders>
              <w:left w:val="single" w:sz="12" w:space="0" w:color="auto"/>
            </w:tcBorders>
            <w:shd w:val="clear" w:color="auto" w:fill="auto"/>
          </w:tcPr>
          <w:p w14:paraId="03E70FE6" w14:textId="77777777" w:rsidR="00CE7BBA" w:rsidRPr="004C11B7" w:rsidRDefault="00CE7BBA" w:rsidP="00214FDF">
            <w:pPr>
              <w:spacing w:before="60"/>
            </w:pPr>
          </w:p>
        </w:tc>
        <w:tc>
          <w:tcPr>
            <w:tcW w:w="4735" w:type="dxa"/>
            <w:vMerge/>
            <w:tcBorders>
              <w:right w:val="single" w:sz="12" w:space="0" w:color="auto"/>
            </w:tcBorders>
            <w:shd w:val="clear" w:color="auto" w:fill="auto"/>
          </w:tcPr>
          <w:p w14:paraId="52598E85" w14:textId="77777777" w:rsidR="00CE7BBA" w:rsidRPr="004C11B7" w:rsidRDefault="00CE7BBA" w:rsidP="00214FDF">
            <w:pPr>
              <w:jc w:val="both"/>
            </w:pPr>
          </w:p>
        </w:tc>
        <w:tc>
          <w:tcPr>
            <w:tcW w:w="1359" w:type="dxa"/>
            <w:tcBorders>
              <w:left w:val="single" w:sz="12" w:space="0" w:color="auto"/>
              <w:bottom w:val="single" w:sz="4" w:space="0" w:color="auto"/>
            </w:tcBorders>
            <w:shd w:val="clear" w:color="auto" w:fill="auto"/>
          </w:tcPr>
          <w:p w14:paraId="5D61C8FA" w14:textId="77777777" w:rsidR="00CE7BBA" w:rsidRPr="0059601B" w:rsidRDefault="00CE7BBA" w:rsidP="00CE7BBA">
            <w:pPr>
              <w:spacing w:before="60"/>
              <w:jc w:val="both"/>
              <w:rPr>
                <w:bCs/>
                <w:iCs/>
              </w:rPr>
            </w:pPr>
            <w:r w:rsidRPr="0059601B">
              <w:rPr>
                <w:bCs/>
                <w:iCs/>
              </w:rPr>
              <w:t>32008L0118</w:t>
            </w:r>
          </w:p>
          <w:p w14:paraId="50BD6559" w14:textId="77777777" w:rsidR="00CE7BBA" w:rsidRPr="004C11B7" w:rsidRDefault="00CE7BBA" w:rsidP="00214FDF">
            <w:pPr>
              <w:spacing w:before="60"/>
              <w:jc w:val="center"/>
            </w:pPr>
          </w:p>
        </w:tc>
        <w:tc>
          <w:tcPr>
            <w:tcW w:w="1207" w:type="dxa"/>
            <w:tcBorders>
              <w:bottom w:val="single" w:sz="4" w:space="0" w:color="auto"/>
            </w:tcBorders>
            <w:shd w:val="clear" w:color="auto" w:fill="auto"/>
          </w:tcPr>
          <w:p w14:paraId="0CE5E9CB" w14:textId="0B681762" w:rsidR="00CE7BBA" w:rsidRPr="004C11B7" w:rsidRDefault="00CE7BBA" w:rsidP="00214FDF">
            <w:pPr>
              <w:spacing w:before="60"/>
            </w:pPr>
            <w:r>
              <w:t>Čl. 24 odst. 1</w:t>
            </w:r>
          </w:p>
        </w:tc>
        <w:tc>
          <w:tcPr>
            <w:tcW w:w="5655" w:type="dxa"/>
            <w:tcBorders>
              <w:bottom w:val="single" w:sz="4" w:space="0" w:color="auto"/>
              <w:right w:val="single" w:sz="12" w:space="0" w:color="auto"/>
            </w:tcBorders>
            <w:shd w:val="clear" w:color="auto" w:fill="auto"/>
          </w:tcPr>
          <w:p w14:paraId="6B46B7C8" w14:textId="7CE825BC" w:rsidR="00CE7BBA" w:rsidRPr="003F0470" w:rsidRDefault="00CE7BBA" w:rsidP="00214FDF">
            <w:pPr>
              <w:jc w:val="both"/>
            </w:pPr>
            <w:r w:rsidRPr="003F0470">
              <w:t>1. Po přijetí zboží podléhajícího spotřební dani na kterémkoli z míst určení uvedených v čl. 17 odst. 1 písm. a) bodech i), ii) a iv) a odst. 2 předloží příjemce příslušným orgánům neprodleně, avšak nejdéle do pěti pracovních dní po ukončení přepravy, s výjimkou případů příslušným orgánům uspokojivě zdůvodněných, oznámení o jeho přijetí (dále jen „oznámení o přijetí zboží“) pomocí elektronického systému.</w:t>
            </w:r>
          </w:p>
        </w:tc>
      </w:tr>
      <w:tr w:rsidR="00D47B44" w:rsidRPr="00706D74" w14:paraId="36C80CA7" w14:textId="77777777" w:rsidTr="00375479">
        <w:tc>
          <w:tcPr>
            <w:tcW w:w="1219" w:type="dxa"/>
            <w:vMerge/>
            <w:tcBorders>
              <w:left w:val="single" w:sz="12" w:space="0" w:color="auto"/>
            </w:tcBorders>
            <w:shd w:val="clear" w:color="auto" w:fill="auto"/>
          </w:tcPr>
          <w:p w14:paraId="5F6A3E88"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09EDCAD7" w14:textId="77777777" w:rsidR="00D47B44" w:rsidRPr="004C11B7" w:rsidRDefault="00D47B44" w:rsidP="00214FDF">
            <w:pPr>
              <w:widowControl w:val="0"/>
              <w:spacing w:after="60"/>
              <w:ind w:left="568" w:hanging="284"/>
              <w:jc w:val="both"/>
              <w:rPr>
                <w:b/>
              </w:rPr>
            </w:pPr>
          </w:p>
        </w:tc>
        <w:tc>
          <w:tcPr>
            <w:tcW w:w="1359" w:type="dxa"/>
            <w:tcBorders>
              <w:left w:val="single" w:sz="12" w:space="0" w:color="auto"/>
              <w:bottom w:val="single" w:sz="4" w:space="0" w:color="auto"/>
            </w:tcBorders>
            <w:shd w:val="clear" w:color="auto" w:fill="auto"/>
          </w:tcPr>
          <w:p w14:paraId="028B4F02" w14:textId="77777777" w:rsidR="00D47B44" w:rsidRPr="00375479" w:rsidRDefault="00D47B44" w:rsidP="00214FDF">
            <w:pPr>
              <w:spacing w:before="60"/>
              <w:jc w:val="both"/>
              <w:rPr>
                <w:bCs/>
                <w:iCs/>
              </w:rPr>
            </w:pPr>
            <w:r w:rsidRPr="00375479">
              <w:rPr>
                <w:bCs/>
                <w:iCs/>
              </w:rPr>
              <w:t>32008L0118</w:t>
            </w:r>
          </w:p>
          <w:p w14:paraId="3562BC58" w14:textId="77777777" w:rsidR="00D47B44" w:rsidRPr="00375479" w:rsidRDefault="00D47B44" w:rsidP="00214FDF">
            <w:pPr>
              <w:spacing w:before="60"/>
              <w:jc w:val="both"/>
            </w:pPr>
          </w:p>
        </w:tc>
        <w:tc>
          <w:tcPr>
            <w:tcW w:w="1207" w:type="dxa"/>
            <w:tcBorders>
              <w:bottom w:val="single" w:sz="4" w:space="0" w:color="auto"/>
            </w:tcBorders>
            <w:shd w:val="clear" w:color="auto" w:fill="auto"/>
          </w:tcPr>
          <w:p w14:paraId="27E053CA" w14:textId="017C157E" w:rsidR="00D47B44" w:rsidRPr="00375479" w:rsidRDefault="00D47B44" w:rsidP="00D26F27">
            <w:pPr>
              <w:spacing w:before="60"/>
            </w:pPr>
            <w:r w:rsidRPr="00375479">
              <w:t>Čl. 2</w:t>
            </w:r>
            <w:r w:rsidR="00D26F27">
              <w:t>4</w:t>
            </w:r>
            <w:r w:rsidRPr="00375479">
              <w:t xml:space="preserve"> odst. </w:t>
            </w:r>
            <w:r w:rsidR="00D26F27">
              <w:t>2</w:t>
            </w:r>
            <w:r w:rsidR="00EE3DFE" w:rsidRPr="00375479">
              <w:t xml:space="preserve"> </w:t>
            </w:r>
          </w:p>
        </w:tc>
        <w:tc>
          <w:tcPr>
            <w:tcW w:w="5655" w:type="dxa"/>
            <w:tcBorders>
              <w:bottom w:val="single" w:sz="4" w:space="0" w:color="auto"/>
              <w:right w:val="single" w:sz="12" w:space="0" w:color="auto"/>
            </w:tcBorders>
            <w:shd w:val="clear" w:color="auto" w:fill="auto"/>
          </w:tcPr>
          <w:p w14:paraId="63FB325D" w14:textId="35FC2AEF" w:rsidR="00D26F27" w:rsidRPr="003F0470" w:rsidRDefault="003F0470" w:rsidP="003F0470">
            <w:pPr>
              <w:overflowPunct/>
              <w:spacing w:before="60" w:after="60"/>
              <w:jc w:val="both"/>
              <w:textAlignment w:val="auto"/>
            </w:pPr>
            <w:r>
              <w:t xml:space="preserve">2. </w:t>
            </w:r>
            <w:r w:rsidR="00D26F27" w:rsidRPr="003F0470">
              <w:t>Příslušné orgány členského státu určení stanoví způsoby předkládání oznámení o přijetí zboží příjemci uvedenými v čl. 12 odst. 1.</w:t>
            </w:r>
          </w:p>
        </w:tc>
      </w:tr>
      <w:tr w:rsidR="00D47B44" w:rsidRPr="00D24F79" w14:paraId="732DCC85" w14:textId="77777777" w:rsidTr="00375479">
        <w:tc>
          <w:tcPr>
            <w:tcW w:w="1219" w:type="dxa"/>
            <w:vMerge w:val="restart"/>
            <w:tcBorders>
              <w:left w:val="single" w:sz="12" w:space="0" w:color="auto"/>
            </w:tcBorders>
            <w:shd w:val="clear" w:color="auto" w:fill="auto"/>
          </w:tcPr>
          <w:p w14:paraId="339A279A" w14:textId="77777777" w:rsidR="00D47B44" w:rsidRPr="004C11B7" w:rsidRDefault="00D47B44" w:rsidP="00214FDF">
            <w:pPr>
              <w:spacing w:before="60"/>
            </w:pPr>
            <w:r w:rsidRPr="004C11B7">
              <w:t>§ 28 odst. 1</w:t>
            </w:r>
          </w:p>
        </w:tc>
        <w:tc>
          <w:tcPr>
            <w:tcW w:w="4735" w:type="dxa"/>
            <w:vMerge w:val="restart"/>
            <w:tcBorders>
              <w:right w:val="single" w:sz="12" w:space="0" w:color="auto"/>
            </w:tcBorders>
            <w:shd w:val="clear" w:color="auto" w:fill="auto"/>
          </w:tcPr>
          <w:p w14:paraId="3BEE1CFB" w14:textId="77777777" w:rsidR="00D47B44" w:rsidRPr="004C11B7" w:rsidRDefault="00D47B44" w:rsidP="00214FDF">
            <w:pPr>
              <w:jc w:val="both"/>
            </w:pPr>
            <w:r w:rsidRPr="004C11B7">
              <w:t>(1) K porušení režimu podmíněného osvobození od daně během dopravy dojde, s výjimkou případů uvedených v odstavci 2, jestliže u dopravovaných vybraných výrobků není ve stanovené lhůtě ukončena jejich doprava do daňového skladu, oprávněnému příjemci, na místo přímého dodání, na místo vývozu, osobě uvedené v § 11 odst. 1 písm. </w:t>
            </w:r>
            <w:r w:rsidRPr="004C11B7">
              <w:rPr>
                <w:b/>
              </w:rPr>
              <w:t>c)</w:t>
            </w:r>
            <w:r w:rsidRPr="004C11B7">
              <w:t>, d) nebo e) nebo příjemci podle směrnice Rady o obecné úpravě spotřebních daní</w:t>
            </w:r>
            <w:r w:rsidRPr="004C11B7">
              <w:rPr>
                <w:vertAlign w:val="superscript"/>
              </w:rPr>
              <w:t>6a)</w:t>
            </w:r>
            <w:r w:rsidRPr="004C11B7">
              <w:t xml:space="preserve"> v jiném členském státě. </w:t>
            </w:r>
          </w:p>
          <w:p w14:paraId="38DAA173" w14:textId="77777777" w:rsidR="00D47B44" w:rsidRPr="004C11B7" w:rsidRDefault="00D47B44" w:rsidP="00214FDF">
            <w:pPr>
              <w:widowControl w:val="0"/>
              <w:spacing w:after="60"/>
              <w:ind w:left="568" w:hanging="284"/>
              <w:jc w:val="both"/>
              <w:rPr>
                <w:b/>
              </w:rPr>
            </w:pPr>
          </w:p>
        </w:tc>
        <w:tc>
          <w:tcPr>
            <w:tcW w:w="1359" w:type="dxa"/>
            <w:tcBorders>
              <w:left w:val="single" w:sz="12" w:space="0" w:color="auto"/>
              <w:bottom w:val="single" w:sz="4" w:space="0" w:color="auto"/>
            </w:tcBorders>
            <w:shd w:val="clear" w:color="auto" w:fill="auto"/>
          </w:tcPr>
          <w:p w14:paraId="36709191" w14:textId="77777777" w:rsidR="00D47B44" w:rsidRPr="004C11B7" w:rsidRDefault="00D47B44" w:rsidP="00214FDF">
            <w:pPr>
              <w:spacing w:before="60"/>
              <w:jc w:val="both"/>
              <w:rPr>
                <w:highlight w:val="yellow"/>
              </w:rPr>
            </w:pPr>
            <w:r w:rsidRPr="004C11B7">
              <w:t>32019L2235</w:t>
            </w:r>
          </w:p>
        </w:tc>
        <w:tc>
          <w:tcPr>
            <w:tcW w:w="1207" w:type="dxa"/>
            <w:tcBorders>
              <w:bottom w:val="single" w:sz="4" w:space="0" w:color="auto"/>
            </w:tcBorders>
            <w:shd w:val="clear" w:color="auto" w:fill="auto"/>
          </w:tcPr>
          <w:p w14:paraId="178D4AE2" w14:textId="77777777" w:rsidR="00D47B44" w:rsidRPr="004C11B7" w:rsidRDefault="00D47B44" w:rsidP="00214FDF">
            <w:pPr>
              <w:spacing w:before="60"/>
            </w:pPr>
            <w:r w:rsidRPr="004C11B7">
              <w:t>Čl. 2</w:t>
            </w:r>
          </w:p>
        </w:tc>
        <w:tc>
          <w:tcPr>
            <w:tcW w:w="5655" w:type="dxa"/>
            <w:tcBorders>
              <w:bottom w:val="single" w:sz="4" w:space="0" w:color="auto"/>
              <w:right w:val="single" w:sz="12" w:space="0" w:color="auto"/>
            </w:tcBorders>
            <w:shd w:val="clear" w:color="auto" w:fill="auto"/>
          </w:tcPr>
          <w:p w14:paraId="227E8676" w14:textId="77777777" w:rsidR="00D47B44" w:rsidRPr="004C11B7" w:rsidRDefault="00D47B44" w:rsidP="00214FDF">
            <w:pPr>
              <w:jc w:val="both"/>
            </w:pPr>
            <w:r w:rsidRPr="004C11B7">
              <w:t xml:space="preserve">V čl. 12 odst. 1 směrnice 2008/118/ES se vkládá nové písmeno, které zní: </w:t>
            </w:r>
          </w:p>
          <w:p w14:paraId="6AF925D8" w14:textId="77777777" w:rsidR="00D47B44" w:rsidRPr="004C11B7" w:rsidRDefault="00D47B44" w:rsidP="00214FDF">
            <w:pPr>
              <w:overflowPunct/>
              <w:spacing w:before="60" w:after="60"/>
              <w:jc w:val="both"/>
              <w:textAlignment w:val="auto"/>
            </w:pPr>
            <w:r w:rsidRPr="004C11B7">
              <w:t>„ba) ozbrojenými silami jiných členských států než členského státu, ve kterém vznikla daňová povinnost ke spotřební dani, k použití těmito ozbrojenými silami nebo civilními zaměstnanci, kteří je doprovázejí, nebo k zásobení jejich jídelen, pokud se tyto síly podílejí na obranném úsilí vynakládaném na provádění činnosti Unie v rámci společné bezpečností a obranné politiky;“.</w:t>
            </w:r>
          </w:p>
        </w:tc>
      </w:tr>
      <w:tr w:rsidR="00D47B44" w:rsidRPr="00A6328D" w14:paraId="32F758B3" w14:textId="77777777" w:rsidTr="00375479">
        <w:tc>
          <w:tcPr>
            <w:tcW w:w="1219" w:type="dxa"/>
            <w:vMerge/>
            <w:tcBorders>
              <w:left w:val="single" w:sz="12" w:space="0" w:color="auto"/>
            </w:tcBorders>
            <w:shd w:val="clear" w:color="auto" w:fill="auto"/>
          </w:tcPr>
          <w:p w14:paraId="3F0C10AA"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4CE81775" w14:textId="77777777" w:rsidR="00D47B44" w:rsidRPr="004C11B7" w:rsidRDefault="00D47B44" w:rsidP="00214FDF">
            <w:pPr>
              <w:widowControl w:val="0"/>
              <w:spacing w:after="60"/>
              <w:ind w:left="568" w:hanging="284"/>
              <w:jc w:val="both"/>
              <w:rPr>
                <w:b/>
              </w:rPr>
            </w:pPr>
          </w:p>
        </w:tc>
        <w:tc>
          <w:tcPr>
            <w:tcW w:w="1359" w:type="dxa"/>
            <w:tcBorders>
              <w:left w:val="single" w:sz="12" w:space="0" w:color="auto"/>
              <w:bottom w:val="single" w:sz="4" w:space="0" w:color="auto"/>
            </w:tcBorders>
            <w:shd w:val="clear" w:color="auto" w:fill="auto"/>
          </w:tcPr>
          <w:p w14:paraId="7ED8CB33" w14:textId="77777777" w:rsidR="00D47B44" w:rsidRPr="004C11B7" w:rsidRDefault="00D47B44" w:rsidP="00214FDF">
            <w:pPr>
              <w:spacing w:before="60"/>
              <w:jc w:val="both"/>
              <w:rPr>
                <w:bCs/>
                <w:iCs/>
              </w:rPr>
            </w:pPr>
            <w:r w:rsidRPr="004C11B7">
              <w:rPr>
                <w:bCs/>
                <w:iCs/>
              </w:rPr>
              <w:t>32008L0118</w:t>
            </w:r>
          </w:p>
          <w:p w14:paraId="5DF872B7" w14:textId="77777777" w:rsidR="00D47B44" w:rsidRPr="004C11B7" w:rsidRDefault="00D47B44" w:rsidP="00214FDF">
            <w:pPr>
              <w:spacing w:before="60"/>
              <w:jc w:val="both"/>
              <w:rPr>
                <w:highlight w:val="yellow"/>
              </w:rPr>
            </w:pPr>
          </w:p>
        </w:tc>
        <w:tc>
          <w:tcPr>
            <w:tcW w:w="1207" w:type="dxa"/>
            <w:tcBorders>
              <w:bottom w:val="single" w:sz="4" w:space="0" w:color="auto"/>
            </w:tcBorders>
            <w:shd w:val="clear" w:color="auto" w:fill="auto"/>
          </w:tcPr>
          <w:p w14:paraId="1F55B4D1" w14:textId="77777777" w:rsidR="00D47B44" w:rsidRPr="004C11B7" w:rsidRDefault="00D47B44" w:rsidP="00214FDF">
            <w:pPr>
              <w:spacing w:before="60"/>
            </w:pPr>
            <w:r w:rsidRPr="004C11B7">
              <w:t>Čl. 10 odst. 6</w:t>
            </w:r>
          </w:p>
        </w:tc>
        <w:tc>
          <w:tcPr>
            <w:tcW w:w="5655" w:type="dxa"/>
            <w:tcBorders>
              <w:bottom w:val="single" w:sz="4" w:space="0" w:color="auto"/>
              <w:right w:val="single" w:sz="12" w:space="0" w:color="auto"/>
            </w:tcBorders>
            <w:shd w:val="clear" w:color="auto" w:fill="auto"/>
          </w:tcPr>
          <w:p w14:paraId="360683B4" w14:textId="77777777" w:rsidR="00D47B44" w:rsidRPr="004C11B7" w:rsidRDefault="00D47B44" w:rsidP="00214FDF">
            <w:pPr>
              <w:overflowPunct/>
              <w:spacing w:before="60" w:after="60"/>
              <w:jc w:val="both"/>
              <w:textAlignment w:val="auto"/>
            </w:pPr>
            <w:r w:rsidRPr="004C11B7">
              <w:t>6. Pro účely tohoto článku se „nesrovnalostí“ rozumí situace, která nastala během přepravy zboží podléhajícího spotřební dani v režimu s podmíněným osvobozením od daně, jiná než podle čl. 7 odst. 4, kvůli níž nebyla přeprava nebo část přepravy zboží podléhajícího spotřební dani ukončena v souladu s čl. 20 odst. 2.</w:t>
            </w:r>
          </w:p>
        </w:tc>
      </w:tr>
      <w:tr w:rsidR="00D47B44" w:rsidRPr="00D24F79" w14:paraId="2332F6AB" w14:textId="77777777" w:rsidTr="00375479">
        <w:tc>
          <w:tcPr>
            <w:tcW w:w="1219" w:type="dxa"/>
            <w:vMerge w:val="restart"/>
            <w:tcBorders>
              <w:left w:val="single" w:sz="12" w:space="0" w:color="auto"/>
            </w:tcBorders>
            <w:shd w:val="clear" w:color="auto" w:fill="auto"/>
          </w:tcPr>
          <w:p w14:paraId="5612895E" w14:textId="77777777" w:rsidR="00D47B44" w:rsidRPr="00375479" w:rsidRDefault="00D47B44" w:rsidP="00214FDF">
            <w:pPr>
              <w:spacing w:before="60"/>
              <w:rPr>
                <w:highlight w:val="yellow"/>
              </w:rPr>
            </w:pPr>
            <w:r w:rsidRPr="002F5CB2">
              <w:t>§ 67 odst. 3 a 4</w:t>
            </w:r>
          </w:p>
        </w:tc>
        <w:tc>
          <w:tcPr>
            <w:tcW w:w="4735" w:type="dxa"/>
            <w:vMerge w:val="restart"/>
            <w:tcBorders>
              <w:right w:val="single" w:sz="12" w:space="0" w:color="auto"/>
            </w:tcBorders>
            <w:shd w:val="clear" w:color="auto" w:fill="auto"/>
          </w:tcPr>
          <w:p w14:paraId="65255D25" w14:textId="34D70B8F" w:rsidR="00195673" w:rsidRPr="002E3F50" w:rsidRDefault="00195673" w:rsidP="00195673">
            <w:pPr>
              <w:jc w:val="both"/>
              <w:rPr>
                <w:b/>
              </w:rPr>
            </w:pPr>
            <w:r w:rsidRPr="002E3F50">
              <w:rPr>
                <w:b/>
              </w:rPr>
              <w:t xml:space="preserve">(3) Na líh se hledí jako na nedenaturovaný také, pokud </w:t>
            </w:r>
          </w:p>
          <w:p w14:paraId="65734116" w14:textId="01BC7971" w:rsidR="00195673" w:rsidRPr="002E3F50" w:rsidRDefault="00195673" w:rsidP="00195673">
            <w:pPr>
              <w:jc w:val="both"/>
              <w:rPr>
                <w:b/>
              </w:rPr>
            </w:pPr>
            <w:r w:rsidRPr="002E3F50">
              <w:rPr>
                <w:b/>
              </w:rPr>
              <w:t>a) obsahuje jiný denaturační prostředek než denaturační prostředek pro zvláštní denaturaci, kterým by měl být tento líh zvláštně denaturován podle zákona upravujícího líh, menší množství denaturačního prostředku, než je stanoveno v zákoně upravujícím líh, nebo je zvláštně denaturovaný líh použit pro jiný účel než účel stanovený v zákoně upravujícím líh,</w:t>
            </w:r>
          </w:p>
          <w:p w14:paraId="1194D15F" w14:textId="7F428607" w:rsidR="00195673" w:rsidRPr="002E3F50" w:rsidRDefault="00195673" w:rsidP="00195673">
            <w:pPr>
              <w:jc w:val="both"/>
              <w:rPr>
                <w:b/>
              </w:rPr>
            </w:pPr>
            <w:r w:rsidRPr="002E3F50">
              <w:rPr>
                <w:b/>
              </w:rPr>
              <w:t xml:space="preserve">b) obsahuje jiný denaturační prostředek než denaturační prostředek pro obecnou denaturaci, kterým by měl být tento líh denaturován podle nařízení Komise </w:t>
            </w:r>
            <w:r w:rsidR="00B04858">
              <w:rPr>
                <w:b/>
              </w:rPr>
              <w:t>upravující</w:t>
            </w:r>
            <w:r w:rsidR="001A0FFD">
              <w:rPr>
                <w:b/>
              </w:rPr>
              <w:t>ho</w:t>
            </w:r>
            <w:r w:rsidR="00B04858">
              <w:rPr>
                <w:b/>
              </w:rPr>
              <w:t xml:space="preserve"> vzájemné</w:t>
            </w:r>
            <w:r w:rsidRPr="002E3F50">
              <w:rPr>
                <w:b/>
              </w:rPr>
              <w:t xml:space="preserve"> uznávání postupů úplné denaturace lihu pro účely osvobození od spotřební daně</w:t>
            </w:r>
            <w:r w:rsidR="00B04858">
              <w:rPr>
                <w:b/>
                <w:vertAlign w:val="superscript"/>
              </w:rPr>
              <w:t>69</w:t>
            </w:r>
            <w:r w:rsidR="00434145" w:rsidRPr="002E3F50">
              <w:rPr>
                <w:b/>
                <w:vertAlign w:val="superscript"/>
              </w:rPr>
              <w:t>)</w:t>
            </w:r>
            <w:r w:rsidRPr="002E3F50">
              <w:rPr>
                <w:b/>
              </w:rPr>
              <w:t xml:space="preserve">, nebo menší množství denaturačního prostředku, než je stanoveno v tomto nařízení, </w:t>
            </w:r>
          </w:p>
          <w:p w14:paraId="1530DDF7" w14:textId="246F18A2" w:rsidR="00195673" w:rsidRPr="002E3F50" w:rsidRDefault="00195673" w:rsidP="00195673">
            <w:pPr>
              <w:jc w:val="both"/>
              <w:rPr>
                <w:b/>
              </w:rPr>
            </w:pPr>
            <w:r w:rsidRPr="002E3F50">
              <w:rPr>
                <w:b/>
              </w:rPr>
              <w:t>c) došlo k daňovému zneužití výrobku obsahujícího líh zvláštně denaturovaný, který je denaturován v souladu s právními předpisy jiného členského státu, nebo</w:t>
            </w:r>
          </w:p>
          <w:p w14:paraId="0EC005E7" w14:textId="096589FE" w:rsidR="00195673" w:rsidRPr="002E3F50" w:rsidRDefault="00195673" w:rsidP="00195673">
            <w:pPr>
              <w:jc w:val="both"/>
              <w:rPr>
                <w:b/>
              </w:rPr>
            </w:pPr>
            <w:r w:rsidRPr="002E3F50">
              <w:rPr>
                <w:b/>
              </w:rPr>
              <w:t xml:space="preserve">d) došlo k daňovému zneužití lihu obecně denaturovaného, který je denaturován v souladu s nařízením Komise </w:t>
            </w:r>
            <w:r w:rsidR="00B04858">
              <w:rPr>
                <w:b/>
              </w:rPr>
              <w:t>upravující</w:t>
            </w:r>
            <w:r w:rsidR="001A0FFD">
              <w:rPr>
                <w:b/>
              </w:rPr>
              <w:t>m</w:t>
            </w:r>
            <w:r w:rsidR="00B04858">
              <w:rPr>
                <w:b/>
              </w:rPr>
              <w:t xml:space="preserve"> vzájemné</w:t>
            </w:r>
            <w:r w:rsidRPr="002E3F50">
              <w:rPr>
                <w:b/>
              </w:rPr>
              <w:t xml:space="preserve"> uznávání postupů úplné denaturace lihu pro účely osvobození od spotřební daně</w:t>
            </w:r>
            <w:r w:rsidR="00B04858">
              <w:rPr>
                <w:b/>
                <w:vertAlign w:val="superscript"/>
              </w:rPr>
              <w:t>69</w:t>
            </w:r>
            <w:r w:rsidRPr="002E3F50">
              <w:rPr>
                <w:b/>
                <w:vertAlign w:val="superscript"/>
              </w:rPr>
              <w:t>)</w:t>
            </w:r>
            <w:r w:rsidRPr="002E3F50">
              <w:rPr>
                <w:b/>
              </w:rPr>
              <w:t>.</w:t>
            </w:r>
          </w:p>
          <w:p w14:paraId="5919CB25" w14:textId="77777777" w:rsidR="00195673" w:rsidRPr="002E3F50" w:rsidRDefault="00195673" w:rsidP="00195673">
            <w:pPr>
              <w:jc w:val="both"/>
              <w:rPr>
                <w:b/>
              </w:rPr>
            </w:pPr>
          </w:p>
          <w:p w14:paraId="1A6C460B" w14:textId="61EB9553" w:rsidR="00195673" w:rsidRPr="002E3F50" w:rsidRDefault="00195673" w:rsidP="00195673">
            <w:pPr>
              <w:jc w:val="both"/>
              <w:rPr>
                <w:b/>
              </w:rPr>
            </w:pPr>
            <w:r w:rsidRPr="002E3F50">
              <w:rPr>
                <w:b/>
              </w:rPr>
              <w:t xml:space="preserve">(4) V případě odstavce 3 písm. c) nebo d) Ministerstvo financí </w:t>
            </w:r>
            <w:r w:rsidR="00B04858">
              <w:rPr>
                <w:b/>
              </w:rPr>
              <w:t> po vyjádření Ministerstva</w:t>
            </w:r>
            <w:r w:rsidRPr="002E3F50">
              <w:rPr>
                <w:b/>
              </w:rPr>
              <w:t xml:space="preserve"> zemědělství rozhodne, že líh není osvobozen od daně, a dále postupuje podle směrnice </w:t>
            </w:r>
            <w:r w:rsidR="00B04858">
              <w:rPr>
                <w:b/>
              </w:rPr>
              <w:t>Rady upravující</w:t>
            </w:r>
            <w:r w:rsidR="00B04858" w:rsidRPr="002E3F50">
              <w:rPr>
                <w:b/>
              </w:rPr>
              <w:t xml:space="preserve"> </w:t>
            </w:r>
            <w:r w:rsidRPr="002E3F50">
              <w:rPr>
                <w:b/>
              </w:rPr>
              <w:t>harmonizaci struktury spotřebních daní z alkoholu a alkoholických nápojů</w:t>
            </w:r>
            <w:r w:rsidRPr="002E3F50">
              <w:rPr>
                <w:b/>
                <w:vertAlign w:val="superscript"/>
              </w:rPr>
              <w:t>47a)</w:t>
            </w:r>
            <w:r w:rsidRPr="002E3F50">
              <w:rPr>
                <w:b/>
              </w:rPr>
              <w:t xml:space="preserve">. Rozhodnutí Komise podle směrnice </w:t>
            </w:r>
            <w:r w:rsidR="00B04858">
              <w:rPr>
                <w:b/>
              </w:rPr>
              <w:t>Rady upravující</w:t>
            </w:r>
            <w:r w:rsidR="00B04858" w:rsidRPr="002E3F50">
              <w:rPr>
                <w:b/>
              </w:rPr>
              <w:t xml:space="preserve"> </w:t>
            </w:r>
            <w:r w:rsidRPr="002E3F50">
              <w:rPr>
                <w:b/>
              </w:rPr>
              <w:t>harmonizaci struktury spotřebních daní z alkoholu a alkoholických nápojů</w:t>
            </w:r>
            <w:r w:rsidRPr="002E3F50">
              <w:rPr>
                <w:b/>
                <w:vertAlign w:val="superscript"/>
              </w:rPr>
              <w:t>47a)</w:t>
            </w:r>
            <w:r w:rsidRPr="002E3F50">
              <w:rPr>
                <w:b/>
              </w:rPr>
              <w:t xml:space="preserve">, </w:t>
            </w:r>
            <w:r w:rsidR="00B04858">
              <w:rPr>
                <w:b/>
              </w:rPr>
              <w:t>podle</w:t>
            </w:r>
            <w:r w:rsidRPr="002E3F50">
              <w:rPr>
                <w:b/>
              </w:rPr>
              <w:t xml:space="preserve"> kterého nemělo </w:t>
            </w:r>
            <w:r w:rsidR="00B04858">
              <w:rPr>
                <w:b/>
              </w:rPr>
              <w:t> Ministerstvo financí rozhodnout</w:t>
            </w:r>
            <w:r w:rsidRPr="002E3F50">
              <w:rPr>
                <w:b/>
              </w:rPr>
              <w:t>, že líh není osvobozen</w:t>
            </w:r>
            <w:r w:rsidR="00B04858">
              <w:rPr>
                <w:b/>
              </w:rPr>
              <w:t xml:space="preserve"> od daně</w:t>
            </w:r>
            <w:r w:rsidRPr="002E3F50">
              <w:rPr>
                <w:b/>
              </w:rPr>
              <w:t xml:space="preserve">, se použije ode dne </w:t>
            </w:r>
            <w:r w:rsidR="00B04858">
              <w:rPr>
                <w:b/>
              </w:rPr>
              <w:t>jeho platnosti</w:t>
            </w:r>
            <w:r w:rsidRPr="002E3F50">
              <w:rPr>
                <w:b/>
              </w:rPr>
              <w:t>.</w:t>
            </w:r>
          </w:p>
          <w:p w14:paraId="46C7E3F2" w14:textId="77777777" w:rsidR="00195673" w:rsidRPr="002E3F50" w:rsidRDefault="00195673" w:rsidP="00195673">
            <w:pPr>
              <w:jc w:val="both"/>
              <w:rPr>
                <w:b/>
              </w:rPr>
            </w:pPr>
          </w:p>
          <w:p w14:paraId="7D91204F" w14:textId="2F1199DC" w:rsidR="00B47899" w:rsidRPr="002E3F50" w:rsidRDefault="00B47899" w:rsidP="00195673">
            <w:pPr>
              <w:jc w:val="both"/>
            </w:pPr>
            <w:r w:rsidRPr="002E3F50">
              <w:t xml:space="preserve">Poznámka pod čarou č. </w:t>
            </w:r>
            <w:r w:rsidR="00B04858">
              <w:t>69</w:t>
            </w:r>
            <w:r w:rsidRPr="002E3F50">
              <w:t xml:space="preserve"> zní:</w:t>
            </w:r>
          </w:p>
          <w:p w14:paraId="5172C581" w14:textId="514857C6" w:rsidR="00B47899" w:rsidRPr="002E3F50" w:rsidRDefault="00B04858" w:rsidP="00195673">
            <w:pPr>
              <w:jc w:val="both"/>
              <w:rPr>
                <w:b/>
              </w:rPr>
            </w:pPr>
            <w:r>
              <w:rPr>
                <w:b/>
                <w:vertAlign w:val="superscript"/>
              </w:rPr>
              <w:t>69</w:t>
            </w:r>
            <w:r w:rsidR="00195673" w:rsidRPr="002E3F50">
              <w:rPr>
                <w:b/>
                <w:vertAlign w:val="superscript"/>
              </w:rPr>
              <w:t>)</w:t>
            </w:r>
            <w:r w:rsidR="00B47899" w:rsidRPr="002E3F50">
              <w:rPr>
                <w:b/>
              </w:rPr>
              <w:t xml:space="preserve"> Nařízení Komise (ES) č. 3199/93 ze dne 22. listopadu 1993 o vzájemném uznávání postupů úplné denaturace lihu pro účely osvobození od spotřební daně, v platném znění.</w:t>
            </w:r>
          </w:p>
        </w:tc>
        <w:tc>
          <w:tcPr>
            <w:tcW w:w="1359" w:type="dxa"/>
            <w:vMerge w:val="restart"/>
            <w:tcBorders>
              <w:left w:val="single" w:sz="12" w:space="0" w:color="auto"/>
            </w:tcBorders>
            <w:shd w:val="clear" w:color="auto" w:fill="auto"/>
          </w:tcPr>
          <w:p w14:paraId="3B0FCACB" w14:textId="77777777" w:rsidR="00D47B44" w:rsidRPr="004C11B7" w:rsidRDefault="00D47B44" w:rsidP="00214FDF">
            <w:pPr>
              <w:spacing w:before="60"/>
              <w:jc w:val="both"/>
              <w:rPr>
                <w:highlight w:val="yellow"/>
              </w:rPr>
            </w:pPr>
            <w:r w:rsidRPr="004C11B7">
              <w:t>32020L1151</w:t>
            </w:r>
          </w:p>
        </w:tc>
        <w:tc>
          <w:tcPr>
            <w:tcW w:w="1207" w:type="dxa"/>
            <w:tcBorders>
              <w:bottom w:val="single" w:sz="4" w:space="0" w:color="auto"/>
            </w:tcBorders>
            <w:shd w:val="clear" w:color="auto" w:fill="auto"/>
          </w:tcPr>
          <w:p w14:paraId="67E39AEC" w14:textId="6AF7AFBF" w:rsidR="00D47B44" w:rsidRPr="004C11B7" w:rsidRDefault="00D47B44" w:rsidP="00214FDF">
            <w:r w:rsidRPr="004C11B7">
              <w:t>Čl. 1 odst. 15 písm. a) bod</w:t>
            </w:r>
            <w:r w:rsidR="003F0470">
              <w:t xml:space="preserve"> </w:t>
            </w:r>
            <w:r w:rsidRPr="004C11B7">
              <w:t xml:space="preserve">i) </w:t>
            </w:r>
          </w:p>
          <w:p w14:paraId="21BB2D06" w14:textId="77777777" w:rsidR="00D47B44" w:rsidRPr="004C11B7" w:rsidRDefault="00D47B44" w:rsidP="00214FDF">
            <w:pPr>
              <w:spacing w:before="60"/>
            </w:pPr>
            <w:r w:rsidRPr="004C11B7">
              <w:t>(čl. 27 odst. 1 písm. b) směrnice 92/83/EHS)</w:t>
            </w:r>
          </w:p>
        </w:tc>
        <w:tc>
          <w:tcPr>
            <w:tcW w:w="5655" w:type="dxa"/>
            <w:tcBorders>
              <w:bottom w:val="single" w:sz="4" w:space="0" w:color="auto"/>
              <w:right w:val="single" w:sz="12" w:space="0" w:color="auto"/>
            </w:tcBorders>
            <w:shd w:val="clear" w:color="auto" w:fill="auto"/>
          </w:tcPr>
          <w:p w14:paraId="24BAF821" w14:textId="77777777" w:rsidR="00D47B44" w:rsidRPr="004C11B7" w:rsidRDefault="00D47B44" w:rsidP="00214FDF">
            <w:pPr>
              <w:jc w:val="both"/>
            </w:pPr>
            <w:r w:rsidRPr="004C11B7">
              <w:t>1. Členské státy osvobodí výrobky, na které se vztahuje tato směrnice, od harmonizované spotřební daně za podmínek, které samy stanoví za účelem zajištění správného a jednoznačného uplatňování těchto úlev a předcházení daňovým únikům, vyhýbání se daňovým povinnostem nebo zneužití daňového režimu,</w:t>
            </w:r>
          </w:p>
          <w:p w14:paraId="33CDBF43" w14:textId="77777777" w:rsidR="00D47B44" w:rsidRPr="004C11B7" w:rsidRDefault="00D47B44" w:rsidP="00214FDF">
            <w:pPr>
              <w:pStyle w:val="Default"/>
              <w:pageBreakBefore/>
              <w:jc w:val="both"/>
              <w:rPr>
                <w:color w:val="auto"/>
                <w:sz w:val="20"/>
                <w:szCs w:val="20"/>
              </w:rPr>
            </w:pPr>
            <w:r w:rsidRPr="004C11B7">
              <w:rPr>
                <w:color w:val="auto"/>
                <w:sz w:val="20"/>
                <w:szCs w:val="20"/>
              </w:rPr>
              <w:t xml:space="preserve">b) jsou-li tyto výrobky používány v rámci procesu výroby jakéhokoli výrobku, který není určen pro lidskou spotřebu, pokud byl daný líh denaturován v souladu s požadavky jakéhokoli členského státu pro stanovený účel. </w:t>
            </w:r>
          </w:p>
          <w:p w14:paraId="772F4CCC" w14:textId="77777777" w:rsidR="00D47B44" w:rsidRPr="004C11B7" w:rsidRDefault="00D47B44" w:rsidP="00214FDF">
            <w:pPr>
              <w:pStyle w:val="Default"/>
              <w:jc w:val="both"/>
              <w:rPr>
                <w:color w:val="auto"/>
                <w:sz w:val="20"/>
                <w:szCs w:val="20"/>
              </w:rPr>
            </w:pPr>
            <w:r w:rsidRPr="004C11B7">
              <w:rPr>
                <w:color w:val="auto"/>
                <w:sz w:val="20"/>
                <w:szCs w:val="20"/>
              </w:rPr>
              <w:t xml:space="preserve">Osvobození od daně se uplatní, když takovýto denaturovaný líh: </w:t>
            </w:r>
          </w:p>
          <w:p w14:paraId="6CA217AE" w14:textId="77777777" w:rsidR="00D47B44" w:rsidRPr="004C11B7" w:rsidRDefault="00D47B44" w:rsidP="00214FDF">
            <w:pPr>
              <w:pStyle w:val="Default"/>
              <w:jc w:val="both"/>
              <w:rPr>
                <w:color w:val="auto"/>
                <w:sz w:val="20"/>
                <w:szCs w:val="20"/>
              </w:rPr>
            </w:pPr>
            <w:r w:rsidRPr="004C11B7">
              <w:rPr>
                <w:color w:val="auto"/>
                <w:sz w:val="20"/>
                <w:szCs w:val="20"/>
              </w:rPr>
              <w:t xml:space="preserve">– byl začleněn do výrobku, který není určen k lidské spotřebě, </w:t>
            </w:r>
          </w:p>
          <w:p w14:paraId="21736BDE" w14:textId="77777777" w:rsidR="00D47B44" w:rsidRPr="004C11B7" w:rsidRDefault="00D47B44" w:rsidP="00214FDF">
            <w:pPr>
              <w:pStyle w:val="Default"/>
              <w:jc w:val="both"/>
              <w:rPr>
                <w:color w:val="auto"/>
                <w:sz w:val="20"/>
                <w:szCs w:val="20"/>
              </w:rPr>
            </w:pPr>
            <w:r w:rsidRPr="004C11B7">
              <w:rPr>
                <w:color w:val="auto"/>
                <w:sz w:val="20"/>
                <w:szCs w:val="20"/>
              </w:rPr>
              <w:t xml:space="preserve">nebo </w:t>
            </w:r>
          </w:p>
          <w:p w14:paraId="63FDEEA6" w14:textId="77777777" w:rsidR="00D47B44" w:rsidRPr="004C11B7" w:rsidRDefault="00D47B44" w:rsidP="00214FDF">
            <w:pPr>
              <w:pStyle w:val="Default"/>
              <w:jc w:val="both"/>
              <w:rPr>
                <w:color w:val="auto"/>
                <w:sz w:val="20"/>
                <w:szCs w:val="20"/>
              </w:rPr>
            </w:pPr>
            <w:r w:rsidRPr="004C11B7">
              <w:rPr>
                <w:color w:val="auto"/>
                <w:sz w:val="20"/>
                <w:szCs w:val="20"/>
              </w:rPr>
              <w:t xml:space="preserve">– se používá k údržbě a čištění výrobního zařízení používaného pro tento konkrétní výrobní proces. </w:t>
            </w:r>
          </w:p>
          <w:p w14:paraId="1FB94FB1" w14:textId="77777777" w:rsidR="00D47B44" w:rsidRPr="004C11B7" w:rsidRDefault="00D47B44" w:rsidP="00214FDF">
            <w:pPr>
              <w:overflowPunct/>
              <w:spacing w:before="60" w:after="60"/>
              <w:jc w:val="both"/>
              <w:textAlignment w:val="auto"/>
            </w:pPr>
            <w:r w:rsidRPr="004C11B7">
              <w:t>Členské státy použijí kapitolu IV směrnice 2008/118/ES na přepravu denaturovaného lihu, který ještě nebyl začleněn do výrobku, který není určen k lidské spotřebě;</w:t>
            </w:r>
          </w:p>
        </w:tc>
      </w:tr>
      <w:tr w:rsidR="00D47B44" w:rsidRPr="00C85107" w14:paraId="72D342E5" w14:textId="77777777" w:rsidTr="00375479">
        <w:tc>
          <w:tcPr>
            <w:tcW w:w="1219" w:type="dxa"/>
            <w:vMerge/>
            <w:tcBorders>
              <w:left w:val="single" w:sz="12" w:space="0" w:color="auto"/>
            </w:tcBorders>
            <w:shd w:val="clear" w:color="auto" w:fill="auto"/>
          </w:tcPr>
          <w:p w14:paraId="752DCEE4"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7966F9AF" w14:textId="77777777" w:rsidR="00D47B44" w:rsidRPr="002E3F50" w:rsidRDefault="00D47B44" w:rsidP="00214FDF">
            <w:pPr>
              <w:jc w:val="both"/>
              <w:rPr>
                <w:b/>
              </w:rPr>
            </w:pPr>
          </w:p>
        </w:tc>
        <w:tc>
          <w:tcPr>
            <w:tcW w:w="1359" w:type="dxa"/>
            <w:vMerge/>
            <w:tcBorders>
              <w:left w:val="single" w:sz="12" w:space="0" w:color="auto"/>
            </w:tcBorders>
            <w:shd w:val="clear" w:color="auto" w:fill="auto"/>
          </w:tcPr>
          <w:p w14:paraId="7E85AE53" w14:textId="77777777" w:rsidR="00D47B44" w:rsidRPr="004C11B7" w:rsidRDefault="00D47B44" w:rsidP="00214FDF">
            <w:pPr>
              <w:spacing w:before="60"/>
              <w:jc w:val="both"/>
            </w:pPr>
          </w:p>
        </w:tc>
        <w:tc>
          <w:tcPr>
            <w:tcW w:w="1207" w:type="dxa"/>
            <w:tcBorders>
              <w:bottom w:val="single" w:sz="4" w:space="0" w:color="auto"/>
            </w:tcBorders>
            <w:shd w:val="clear" w:color="auto" w:fill="auto"/>
          </w:tcPr>
          <w:p w14:paraId="697D9AD0" w14:textId="2CA5C0E4" w:rsidR="00D47B44" w:rsidRPr="004C11B7" w:rsidRDefault="00D47B44" w:rsidP="00214FDF">
            <w:r w:rsidRPr="004C11B7">
              <w:t>Čl</w:t>
            </w:r>
            <w:r w:rsidR="008661D8">
              <w:t>. 1</w:t>
            </w:r>
            <w:r w:rsidRPr="004C11B7">
              <w:t xml:space="preserve"> odst. 15 písm. a) bod i) </w:t>
            </w:r>
          </w:p>
          <w:p w14:paraId="12A916BA" w14:textId="77777777" w:rsidR="00D47B44" w:rsidRPr="004C11B7" w:rsidRDefault="00D47B44" w:rsidP="00214FDF">
            <w:r w:rsidRPr="004C11B7">
              <w:t>(čl. 27 odst. 1 písm. a) směrnice 92/83/EHS)</w:t>
            </w:r>
          </w:p>
        </w:tc>
        <w:tc>
          <w:tcPr>
            <w:tcW w:w="5655" w:type="dxa"/>
            <w:tcBorders>
              <w:bottom w:val="single" w:sz="4" w:space="0" w:color="auto"/>
              <w:right w:val="single" w:sz="12" w:space="0" w:color="auto"/>
            </w:tcBorders>
            <w:shd w:val="clear" w:color="auto" w:fill="auto"/>
          </w:tcPr>
          <w:p w14:paraId="7BD98607" w14:textId="77777777" w:rsidR="00D47B44" w:rsidRPr="004C11B7" w:rsidRDefault="00D47B44" w:rsidP="00214FDF">
            <w:pPr>
              <w:jc w:val="both"/>
            </w:pPr>
            <w:r w:rsidRPr="004C11B7">
              <w:t>1. Členské státy osvobodí výrobky, na které se vztahuje tato směrnice, od harmonizované spotřební daně za podmínek, které samy stanoví za účelem zajištění správného a jednoznačného uplatňování těchto úlev a předcházení daňovým únikům, vyhýbání se daňovým povinnostem nebo zneužití daňového režimu,</w:t>
            </w:r>
          </w:p>
          <w:p w14:paraId="62F7BE0A" w14:textId="77777777" w:rsidR="00D47B44" w:rsidRPr="004C11B7" w:rsidRDefault="00D47B44" w:rsidP="00214FDF">
            <w:pPr>
              <w:pStyle w:val="Default"/>
              <w:jc w:val="both"/>
              <w:rPr>
                <w:sz w:val="20"/>
                <w:szCs w:val="20"/>
              </w:rPr>
            </w:pPr>
            <w:r w:rsidRPr="004C11B7">
              <w:rPr>
                <w:sz w:val="20"/>
                <w:szCs w:val="20"/>
              </w:rPr>
              <w:t xml:space="preserve">a) jsou-li tyto výrobky distribuovány ve formě lihu, který byl plně denaturován v souladu s požadavky členského státu, kde byl propuštěn ke spotřebě, pokud tyto požadavky byly řádně písemně oznámeny a povoleny v souladu s odstavci 3 a 4 tohoto článku. </w:t>
            </w:r>
          </w:p>
          <w:p w14:paraId="55427D71" w14:textId="77777777" w:rsidR="00D47B44" w:rsidRPr="004C11B7" w:rsidRDefault="00D47B44" w:rsidP="00214FDF">
            <w:pPr>
              <w:overflowPunct/>
              <w:spacing w:before="60" w:after="60"/>
              <w:jc w:val="both"/>
              <w:textAlignment w:val="auto"/>
            </w:pPr>
            <w:r w:rsidRPr="004C11B7">
              <w:t>Členské státy použijí kapitolu V směrnice 2008/118/ES;</w:t>
            </w:r>
          </w:p>
        </w:tc>
      </w:tr>
      <w:tr w:rsidR="00D47B44" w:rsidRPr="0024091C" w14:paraId="3EF5398F" w14:textId="77777777" w:rsidTr="00375479">
        <w:tc>
          <w:tcPr>
            <w:tcW w:w="1219" w:type="dxa"/>
            <w:vMerge/>
            <w:tcBorders>
              <w:left w:val="single" w:sz="12" w:space="0" w:color="auto"/>
            </w:tcBorders>
            <w:shd w:val="clear" w:color="auto" w:fill="auto"/>
          </w:tcPr>
          <w:p w14:paraId="2DBA4C25"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5F07F225" w14:textId="77777777" w:rsidR="00D47B44" w:rsidRPr="002E3F50" w:rsidRDefault="00D47B44" w:rsidP="00214FDF">
            <w:pPr>
              <w:jc w:val="both"/>
              <w:rPr>
                <w:b/>
              </w:rPr>
            </w:pPr>
          </w:p>
        </w:tc>
        <w:tc>
          <w:tcPr>
            <w:tcW w:w="1359" w:type="dxa"/>
            <w:vMerge/>
            <w:tcBorders>
              <w:left w:val="single" w:sz="12" w:space="0" w:color="auto"/>
              <w:bottom w:val="single" w:sz="4" w:space="0" w:color="auto"/>
            </w:tcBorders>
            <w:shd w:val="clear" w:color="auto" w:fill="auto"/>
          </w:tcPr>
          <w:p w14:paraId="4EE152F4" w14:textId="77777777" w:rsidR="00D47B44" w:rsidRPr="004C11B7" w:rsidRDefault="00D47B44" w:rsidP="00214FDF">
            <w:pPr>
              <w:spacing w:before="60"/>
              <w:jc w:val="both"/>
            </w:pPr>
          </w:p>
        </w:tc>
        <w:tc>
          <w:tcPr>
            <w:tcW w:w="1207" w:type="dxa"/>
            <w:tcBorders>
              <w:bottom w:val="single" w:sz="4" w:space="0" w:color="auto"/>
            </w:tcBorders>
            <w:shd w:val="clear" w:color="auto" w:fill="auto"/>
          </w:tcPr>
          <w:p w14:paraId="3538287E" w14:textId="77777777" w:rsidR="00D47B44" w:rsidRPr="004C11B7" w:rsidRDefault="00D47B44" w:rsidP="00214FDF">
            <w:r w:rsidRPr="004C11B7">
              <w:t xml:space="preserve">Čl. 1 odst. 15 písm. c)  </w:t>
            </w:r>
          </w:p>
          <w:p w14:paraId="4676390C" w14:textId="77777777" w:rsidR="00D47B44" w:rsidRPr="004C11B7" w:rsidRDefault="00D47B44" w:rsidP="00214FDF">
            <w:r w:rsidRPr="004C11B7">
              <w:t>(čl. 27 odst. 5 směrnice 92/83/EHS)</w:t>
            </w:r>
          </w:p>
        </w:tc>
        <w:tc>
          <w:tcPr>
            <w:tcW w:w="5655" w:type="dxa"/>
            <w:tcBorders>
              <w:bottom w:val="single" w:sz="4" w:space="0" w:color="auto"/>
              <w:right w:val="single" w:sz="12" w:space="0" w:color="auto"/>
            </w:tcBorders>
            <w:shd w:val="clear" w:color="auto" w:fill="auto"/>
          </w:tcPr>
          <w:p w14:paraId="407761F1" w14:textId="77777777" w:rsidR="00D47B44" w:rsidRPr="004C11B7" w:rsidRDefault="00D47B44" w:rsidP="00214FDF">
            <w:pPr>
              <w:overflowPunct/>
              <w:spacing w:before="60" w:after="60"/>
              <w:jc w:val="both"/>
              <w:textAlignment w:val="auto"/>
            </w:pPr>
            <w:r w:rsidRPr="004C11B7">
              <w:t>5. Zjistí-li členský stát, že osvobození určitého výrobku od daně podle odst. 1 písm. a) nebo b) tohoto článku vede k daňovému úniku, vyhýbání se daňovým povinnostem nebo k zneužití daňového režimu, může odmítnout osvobození udělit nebo už udělené osvobození zrušit. Členský stát toto odmítnutí nebo zrušení neprodleně písemně oznámí Komisi spolu se všemi relevantními informacemi o daňovém úniku, vyhýbání se daňovým povinnostem nebo zneužití daňového režimu. Pokud se Komise domnívá, že nemá veškeré nezbytné informace, kontaktuje do jednoho měsíce od obdržení těchto informací dotčený členský stát a upřesní, které další informace požaduje. Poté, co má Komise veškeré informace, které považuje za nezbytné, předá dané oznámení do jednoho měsíce ostatním členským státům. Konečné rozhodnutí se přijme přezkumným postupem podle čl. 28a odst. 2 nejpozději čtyři měsíce po předání oznámení ostatním členským státům. Členské státy nejsou povinny přiznat tomuto rozhodnutí zpětnou působnost.</w:t>
            </w:r>
          </w:p>
        </w:tc>
      </w:tr>
      <w:tr w:rsidR="00D47B44" w:rsidRPr="00D24F79" w14:paraId="45C8BCD8" w14:textId="77777777" w:rsidTr="00375479">
        <w:tc>
          <w:tcPr>
            <w:tcW w:w="1219" w:type="dxa"/>
            <w:tcBorders>
              <w:left w:val="single" w:sz="12" w:space="0" w:color="auto"/>
            </w:tcBorders>
            <w:shd w:val="clear" w:color="auto" w:fill="auto"/>
          </w:tcPr>
          <w:p w14:paraId="60AE0913" w14:textId="77777777" w:rsidR="00D47B44" w:rsidRPr="004C11B7" w:rsidRDefault="00D47B44" w:rsidP="00214FDF">
            <w:pPr>
              <w:spacing w:before="60"/>
            </w:pPr>
            <w:r w:rsidRPr="004C11B7">
              <w:t>§ 71 odst. 1 písm. d)</w:t>
            </w:r>
          </w:p>
        </w:tc>
        <w:tc>
          <w:tcPr>
            <w:tcW w:w="4735" w:type="dxa"/>
            <w:tcBorders>
              <w:right w:val="single" w:sz="12" w:space="0" w:color="auto"/>
            </w:tcBorders>
            <w:shd w:val="clear" w:color="auto" w:fill="auto"/>
          </w:tcPr>
          <w:p w14:paraId="71299168" w14:textId="77777777" w:rsidR="00D47B44" w:rsidRPr="002E3F50" w:rsidRDefault="002F5CB2" w:rsidP="00524C4B">
            <w:pPr>
              <w:jc w:val="both"/>
            </w:pPr>
            <w:r w:rsidRPr="002E3F50">
              <w:t>(1) Od daně je také osvobozen líh</w:t>
            </w:r>
          </w:p>
          <w:p w14:paraId="24252043" w14:textId="3FF9ECDB" w:rsidR="002F5CB2" w:rsidRPr="002E3F50" w:rsidRDefault="002F5CB2" w:rsidP="00524C4B">
            <w:pPr>
              <w:jc w:val="both"/>
              <w:rPr>
                <w:b/>
              </w:rPr>
            </w:pPr>
            <w:r w:rsidRPr="002E3F50">
              <w:t>d)</w:t>
            </w:r>
            <w:r w:rsidR="00524C4B" w:rsidRPr="002E3F50">
              <w:t xml:space="preserve"> p</w:t>
            </w:r>
            <w:r w:rsidRPr="002E3F50">
              <w:t xml:space="preserve">ro výrobu a přípravu léčiv </w:t>
            </w:r>
            <w:r w:rsidRPr="002E3F50">
              <w:rPr>
                <w:b/>
              </w:rPr>
              <w:t xml:space="preserve">podle zákona o léčivech nebo </w:t>
            </w:r>
            <w:r w:rsidR="00B04858" w:rsidRPr="00B04858">
              <w:rPr>
                <w:b/>
              </w:rPr>
              <w:t>nařízení Evropského parlamentu a Rady upravujícího veterinární léčivé přípravky</w:t>
            </w:r>
            <w:r w:rsidR="00B04858" w:rsidRPr="00B04858" w:rsidDel="00B04858">
              <w:rPr>
                <w:b/>
              </w:rPr>
              <w:t xml:space="preserve"> </w:t>
            </w:r>
            <w:r w:rsidR="00B04858">
              <w:rPr>
                <w:b/>
                <w:vertAlign w:val="superscript"/>
              </w:rPr>
              <w:t>70</w:t>
            </w:r>
            <w:r w:rsidR="00195673" w:rsidRPr="002E3F50">
              <w:rPr>
                <w:b/>
                <w:vertAlign w:val="superscript"/>
              </w:rPr>
              <w:t>)</w:t>
            </w:r>
            <w:r w:rsidRPr="002E3F50">
              <w:rPr>
                <w:b/>
              </w:rPr>
              <w:t>,</w:t>
            </w:r>
          </w:p>
          <w:p w14:paraId="35234CF6" w14:textId="77777777" w:rsidR="002F5CB2" w:rsidRPr="002E3F50" w:rsidRDefault="002F5CB2" w:rsidP="00214FDF">
            <w:pPr>
              <w:jc w:val="both"/>
            </w:pPr>
          </w:p>
          <w:p w14:paraId="4E3D7AFA" w14:textId="72006718" w:rsidR="009A7D1B" w:rsidRPr="002E3F50" w:rsidRDefault="009A7D1B" w:rsidP="009A7D1B">
            <w:r w:rsidRPr="002E3F50">
              <w:t xml:space="preserve">Poznámka pod čarou č. </w:t>
            </w:r>
            <w:r w:rsidR="00B04858">
              <w:t>70</w:t>
            </w:r>
            <w:r w:rsidRPr="002E3F50">
              <w:t xml:space="preserve"> zní:</w:t>
            </w:r>
          </w:p>
          <w:p w14:paraId="264C4678" w14:textId="1480063F" w:rsidR="009A7D1B" w:rsidRPr="002E3F50" w:rsidRDefault="00B04858" w:rsidP="009A7D1B">
            <w:pPr>
              <w:spacing w:before="120"/>
              <w:jc w:val="both"/>
              <w:rPr>
                <w:b/>
              </w:rPr>
            </w:pPr>
            <w:r>
              <w:rPr>
                <w:b/>
                <w:vertAlign w:val="superscript"/>
              </w:rPr>
              <w:t>70</w:t>
            </w:r>
            <w:r w:rsidR="009A7D1B" w:rsidRPr="002E3F50">
              <w:rPr>
                <w:b/>
                <w:vertAlign w:val="superscript"/>
              </w:rPr>
              <w:t xml:space="preserve">) </w:t>
            </w:r>
            <w:r w:rsidR="009A7D1B" w:rsidRPr="002E3F50">
              <w:rPr>
                <w:b/>
              </w:rPr>
              <w:t>Nařízení Evropského parlamentu a Rady (EU) 2019/6 ze dne 11. prosince 2018 o veterinárních léčivých přípravcích a o zrušení směrnice 2001/82/ES</w:t>
            </w:r>
            <w:r w:rsidR="000C7D67">
              <w:rPr>
                <w:b/>
              </w:rPr>
              <w:t>, v platném znění</w:t>
            </w:r>
            <w:r w:rsidR="009A7D1B" w:rsidRPr="002E3F50">
              <w:rPr>
                <w:b/>
              </w:rPr>
              <w:t>.</w:t>
            </w:r>
          </w:p>
          <w:p w14:paraId="63E2FF8B" w14:textId="68827E06" w:rsidR="009A7D1B" w:rsidRPr="002E3F50" w:rsidRDefault="009A7D1B" w:rsidP="00214FDF">
            <w:pPr>
              <w:jc w:val="both"/>
            </w:pPr>
          </w:p>
        </w:tc>
        <w:tc>
          <w:tcPr>
            <w:tcW w:w="1359" w:type="dxa"/>
            <w:tcBorders>
              <w:left w:val="single" w:sz="12" w:space="0" w:color="auto"/>
              <w:bottom w:val="single" w:sz="4" w:space="0" w:color="auto"/>
            </w:tcBorders>
            <w:shd w:val="clear" w:color="auto" w:fill="auto"/>
          </w:tcPr>
          <w:p w14:paraId="16725CCD" w14:textId="77777777" w:rsidR="00D47B44" w:rsidRPr="004C11B7" w:rsidRDefault="00D47B44" w:rsidP="00214FDF">
            <w:pPr>
              <w:spacing w:before="60"/>
              <w:jc w:val="both"/>
              <w:rPr>
                <w:highlight w:val="yellow"/>
              </w:rPr>
            </w:pPr>
            <w:r w:rsidRPr="004C11B7">
              <w:t>32020L1151</w:t>
            </w:r>
          </w:p>
        </w:tc>
        <w:tc>
          <w:tcPr>
            <w:tcW w:w="1207" w:type="dxa"/>
            <w:tcBorders>
              <w:bottom w:val="single" w:sz="4" w:space="0" w:color="auto"/>
            </w:tcBorders>
            <w:shd w:val="clear" w:color="auto" w:fill="auto"/>
          </w:tcPr>
          <w:p w14:paraId="3C5EEE21" w14:textId="77777777" w:rsidR="00D47B44" w:rsidRPr="004C11B7" w:rsidRDefault="00D47B44" w:rsidP="00214FDF">
            <w:r w:rsidRPr="004C11B7">
              <w:t xml:space="preserve">Čl. 1 odst. 15 písm. a) bod ii) </w:t>
            </w:r>
          </w:p>
          <w:p w14:paraId="20E230AC" w14:textId="77777777" w:rsidR="00D47B44" w:rsidRPr="004C11B7" w:rsidRDefault="00D47B44" w:rsidP="00214FDF">
            <w:pPr>
              <w:spacing w:before="60"/>
            </w:pPr>
            <w:r w:rsidRPr="004C11B7">
              <w:t>(čl. 27 odst. 1 písm. d) směrnice 92/83/EHS)</w:t>
            </w:r>
          </w:p>
        </w:tc>
        <w:tc>
          <w:tcPr>
            <w:tcW w:w="5655" w:type="dxa"/>
            <w:tcBorders>
              <w:bottom w:val="single" w:sz="4" w:space="0" w:color="auto"/>
              <w:right w:val="single" w:sz="12" w:space="0" w:color="auto"/>
            </w:tcBorders>
            <w:shd w:val="clear" w:color="auto" w:fill="auto"/>
          </w:tcPr>
          <w:p w14:paraId="2071F14E" w14:textId="77777777" w:rsidR="00D47B44" w:rsidRPr="004C11B7" w:rsidRDefault="00D47B44" w:rsidP="00214FDF">
            <w:pPr>
              <w:jc w:val="both"/>
            </w:pPr>
            <w:r w:rsidRPr="004C11B7">
              <w:t>1. Členské státy osvobodí výrobky, na které se vztahuje tato směrnice, od harmonizované spotřební daně za podmínek, které samy stanoví za účelem zajištění správného a jednoznačného uplatňování těchto úlev a předcházení daňovým únikům, vyhýbání se daňovým povinnostem nebo zneužití daňového režimu,</w:t>
            </w:r>
          </w:p>
          <w:p w14:paraId="4E43075D" w14:textId="77777777" w:rsidR="00D47B44" w:rsidRPr="004C11B7" w:rsidRDefault="00D47B44" w:rsidP="00214FDF">
            <w:pPr>
              <w:pStyle w:val="Default"/>
              <w:jc w:val="both"/>
              <w:rPr>
                <w:color w:val="auto"/>
                <w:sz w:val="20"/>
                <w:szCs w:val="20"/>
              </w:rPr>
            </w:pPr>
            <w:r w:rsidRPr="004C11B7">
              <w:rPr>
                <w:color w:val="auto"/>
                <w:sz w:val="20"/>
                <w:szCs w:val="20"/>
              </w:rPr>
              <w:t xml:space="preserve"> „d) jsou-li tyto výrobky používány k výrobě léčivých přípravků uvedených ve směrnicích Evropského parlamentu a Rady 2001/82/ES* a 2001/83/ES**. </w:t>
            </w:r>
          </w:p>
          <w:p w14:paraId="7C7E664E" w14:textId="77777777" w:rsidR="00D47B44" w:rsidRPr="004C11B7" w:rsidRDefault="00D47B44" w:rsidP="00214FDF">
            <w:pPr>
              <w:pStyle w:val="Default"/>
              <w:jc w:val="both"/>
              <w:rPr>
                <w:i/>
                <w:color w:val="auto"/>
                <w:sz w:val="20"/>
                <w:szCs w:val="20"/>
              </w:rPr>
            </w:pPr>
            <w:r w:rsidRPr="004C11B7">
              <w:rPr>
                <w:b/>
                <w:bCs/>
                <w:i/>
                <w:color w:val="auto"/>
                <w:sz w:val="20"/>
                <w:szCs w:val="20"/>
              </w:rPr>
              <w:t xml:space="preserve">* </w:t>
            </w:r>
            <w:r w:rsidRPr="004C11B7">
              <w:rPr>
                <w:i/>
                <w:color w:val="auto"/>
                <w:sz w:val="20"/>
                <w:szCs w:val="20"/>
              </w:rPr>
              <w:t xml:space="preserve">Směrnice Evropského parlamentu a Rady 2001/82/ES ze dne 6. listopadu 2001 o kodexu Společenství týkajícím se veterinárních léčivých přípravků (Úř. věst. L 311, 28. 11. 2001, s. 1). </w:t>
            </w:r>
          </w:p>
          <w:p w14:paraId="1827B147" w14:textId="77777777" w:rsidR="00D47B44" w:rsidRPr="004C11B7" w:rsidRDefault="00D47B44" w:rsidP="00214FDF">
            <w:pPr>
              <w:overflowPunct/>
              <w:spacing w:before="60" w:after="60"/>
              <w:jc w:val="both"/>
              <w:textAlignment w:val="auto"/>
            </w:pPr>
            <w:r w:rsidRPr="004C11B7">
              <w:rPr>
                <w:b/>
                <w:bCs/>
                <w:i/>
              </w:rPr>
              <w:t xml:space="preserve">** </w:t>
            </w:r>
            <w:r w:rsidRPr="004C11B7">
              <w:rPr>
                <w:i/>
              </w:rPr>
              <w:t>Směrnice Evropského parlamentu a Rady 2001/83/ES ze dne 6. listopadu 2001 o kodexu Společenství týkajícím se humánních léčivých přípravků (Úř. věst. L 311, 28. 11. 2001, s. 67).“;</w:t>
            </w:r>
          </w:p>
        </w:tc>
      </w:tr>
      <w:tr w:rsidR="00D47B44" w:rsidRPr="003B3FF6" w14:paraId="08E51641" w14:textId="77777777" w:rsidTr="00375479">
        <w:tc>
          <w:tcPr>
            <w:tcW w:w="1219" w:type="dxa"/>
            <w:vMerge w:val="restart"/>
            <w:tcBorders>
              <w:left w:val="single" w:sz="12" w:space="0" w:color="auto"/>
            </w:tcBorders>
            <w:shd w:val="clear" w:color="auto" w:fill="auto"/>
          </w:tcPr>
          <w:p w14:paraId="4855EBFA" w14:textId="77777777" w:rsidR="00D47B44" w:rsidRPr="004C11B7" w:rsidRDefault="00D47B44" w:rsidP="00214FDF">
            <w:pPr>
              <w:spacing w:before="60"/>
            </w:pPr>
            <w:r w:rsidRPr="004C11B7">
              <w:t xml:space="preserve">§ 71a  </w:t>
            </w:r>
          </w:p>
        </w:tc>
        <w:tc>
          <w:tcPr>
            <w:tcW w:w="4735" w:type="dxa"/>
            <w:vMerge w:val="restart"/>
            <w:tcBorders>
              <w:right w:val="single" w:sz="12" w:space="0" w:color="auto"/>
            </w:tcBorders>
            <w:shd w:val="clear" w:color="auto" w:fill="auto"/>
          </w:tcPr>
          <w:p w14:paraId="234AA7CB" w14:textId="77777777" w:rsidR="00D47B44" w:rsidRPr="004C11B7" w:rsidRDefault="00D47B44" w:rsidP="00214FDF">
            <w:pPr>
              <w:jc w:val="center"/>
              <w:rPr>
                <w:b/>
              </w:rPr>
            </w:pPr>
            <w:r w:rsidRPr="004C11B7">
              <w:rPr>
                <w:b/>
              </w:rPr>
              <w:t>71a</w:t>
            </w:r>
          </w:p>
          <w:p w14:paraId="0213E5A6" w14:textId="77777777" w:rsidR="00D47B44" w:rsidRPr="004C11B7" w:rsidRDefault="00D47B44" w:rsidP="00C57179">
            <w:pPr>
              <w:jc w:val="center"/>
              <w:rPr>
                <w:b/>
              </w:rPr>
            </w:pPr>
            <w:r w:rsidRPr="004C11B7">
              <w:rPr>
                <w:b/>
              </w:rPr>
              <w:t>Doprava denaturovaného lihu mezi členskými státy</w:t>
            </w:r>
          </w:p>
          <w:p w14:paraId="505DCF0C" w14:textId="77777777" w:rsidR="00D47B44" w:rsidRPr="004C11B7" w:rsidRDefault="00D47B44" w:rsidP="00214FDF">
            <w:pPr>
              <w:jc w:val="both"/>
              <w:rPr>
                <w:b/>
              </w:rPr>
            </w:pPr>
            <w:r w:rsidRPr="004C11B7">
              <w:rPr>
                <w:b/>
              </w:rPr>
              <w:t xml:space="preserve">(1) Obecně denaturovaný líh lze ve volném daňovém oběhu mezi členskými státy dopravovat pro účely podnikání pouze se zjednodušeným průvodním dokladem.  </w:t>
            </w:r>
          </w:p>
          <w:p w14:paraId="39DCCC9D" w14:textId="77777777" w:rsidR="00D47B44" w:rsidRPr="004C11B7" w:rsidRDefault="00D47B44" w:rsidP="00214FDF">
            <w:pPr>
              <w:jc w:val="both"/>
            </w:pPr>
            <w:r w:rsidRPr="004C11B7">
              <w:rPr>
                <w:b/>
              </w:rPr>
              <w:t>(2) Na dopravu zvláštně denaturovaného lihu mezi členskými státy se použijí ustanovení upravující dopravu vybraných výrobků v režimu podmíněného osvobození od daně mezi členskými státy.</w:t>
            </w:r>
          </w:p>
        </w:tc>
        <w:tc>
          <w:tcPr>
            <w:tcW w:w="1359" w:type="dxa"/>
            <w:vMerge w:val="restart"/>
            <w:tcBorders>
              <w:left w:val="single" w:sz="12" w:space="0" w:color="auto"/>
            </w:tcBorders>
            <w:shd w:val="clear" w:color="auto" w:fill="auto"/>
          </w:tcPr>
          <w:p w14:paraId="66A277ED" w14:textId="77777777" w:rsidR="00D47B44" w:rsidRPr="004C11B7" w:rsidRDefault="00D47B44" w:rsidP="00214FDF">
            <w:pPr>
              <w:spacing w:before="60"/>
              <w:jc w:val="both"/>
            </w:pPr>
            <w:r w:rsidRPr="004C11B7">
              <w:t>32020L1151</w:t>
            </w:r>
          </w:p>
        </w:tc>
        <w:tc>
          <w:tcPr>
            <w:tcW w:w="1207" w:type="dxa"/>
            <w:tcBorders>
              <w:bottom w:val="single" w:sz="4" w:space="0" w:color="auto"/>
            </w:tcBorders>
            <w:shd w:val="clear" w:color="auto" w:fill="auto"/>
          </w:tcPr>
          <w:p w14:paraId="01DFB796" w14:textId="0DC75C5E" w:rsidR="00D47B44" w:rsidRPr="004C11B7" w:rsidRDefault="00D47B44" w:rsidP="00214FDF">
            <w:r w:rsidRPr="004C11B7">
              <w:t>Čl</w:t>
            </w:r>
            <w:r w:rsidR="008661D8">
              <w:t xml:space="preserve">. </w:t>
            </w:r>
            <w:r w:rsidRPr="004C11B7">
              <w:t>1 odst. 15 písm. a) bod</w:t>
            </w:r>
            <w:r w:rsidR="008661D8">
              <w:t xml:space="preserve"> </w:t>
            </w:r>
            <w:r w:rsidRPr="004C11B7">
              <w:t xml:space="preserve">i) </w:t>
            </w:r>
          </w:p>
          <w:p w14:paraId="7E92ABF6" w14:textId="77777777" w:rsidR="00D47B44" w:rsidRPr="004C11B7" w:rsidRDefault="00D47B44" w:rsidP="00214FDF">
            <w:r w:rsidRPr="004C11B7">
              <w:t>(čl. 27 odst. 1 písm. a) závětí směrnice 92/83/EHS)</w:t>
            </w:r>
          </w:p>
        </w:tc>
        <w:tc>
          <w:tcPr>
            <w:tcW w:w="5655" w:type="dxa"/>
            <w:tcBorders>
              <w:bottom w:val="single" w:sz="4" w:space="0" w:color="auto"/>
              <w:right w:val="single" w:sz="12" w:space="0" w:color="auto"/>
            </w:tcBorders>
            <w:shd w:val="clear" w:color="auto" w:fill="auto"/>
          </w:tcPr>
          <w:p w14:paraId="5BDBFE98" w14:textId="77777777" w:rsidR="00D47B44" w:rsidRPr="004C11B7" w:rsidRDefault="00D47B44" w:rsidP="00214FDF">
            <w:pPr>
              <w:jc w:val="both"/>
            </w:pPr>
            <w:r w:rsidRPr="004C11B7">
              <w:t>1. Členské státy osvobodí výrobky, na které se vztahuje tato směrnice, od harmonizované spotřební daně za podmínek, které samy stanoví za účelem zajištění správného a jednoznačného uplatňování těchto úlev a předcházení daňovým únikům, vyhýbání se daňovým povinnostem nebo zneužití daňového režimu,</w:t>
            </w:r>
          </w:p>
          <w:p w14:paraId="21C2F24D" w14:textId="77777777" w:rsidR="00D47B44" w:rsidRPr="004C11B7" w:rsidRDefault="00D47B44" w:rsidP="00214FDF">
            <w:pPr>
              <w:pStyle w:val="Default"/>
              <w:jc w:val="both"/>
              <w:rPr>
                <w:sz w:val="20"/>
                <w:szCs w:val="20"/>
              </w:rPr>
            </w:pPr>
            <w:r w:rsidRPr="004C11B7">
              <w:rPr>
                <w:sz w:val="20"/>
                <w:szCs w:val="20"/>
              </w:rPr>
              <w:t xml:space="preserve">a) jsou-li tyto výrobky distribuovány ve formě lihu, který byl plně denaturován v souladu s požadavky členského státu, kde byl propuštěn ke spotřebě, pokud tyto požadavky byly řádně písemně oznámeny a povoleny v souladu s odstavci 3 a 4 tohoto článku. </w:t>
            </w:r>
          </w:p>
          <w:p w14:paraId="4ED628B9" w14:textId="77777777" w:rsidR="00D47B44" w:rsidRPr="004C11B7" w:rsidRDefault="00D47B44" w:rsidP="00214FDF">
            <w:pPr>
              <w:jc w:val="both"/>
            </w:pPr>
            <w:r w:rsidRPr="004C11B7">
              <w:t>Členské státy použijí kapitolu V směrnice 2008/118/ES;</w:t>
            </w:r>
          </w:p>
        </w:tc>
      </w:tr>
      <w:tr w:rsidR="00D47B44" w:rsidRPr="003B3FF6" w14:paraId="2DA95F82" w14:textId="77777777" w:rsidTr="00375479">
        <w:tc>
          <w:tcPr>
            <w:tcW w:w="1219" w:type="dxa"/>
            <w:vMerge/>
            <w:tcBorders>
              <w:left w:val="single" w:sz="12" w:space="0" w:color="auto"/>
            </w:tcBorders>
            <w:shd w:val="clear" w:color="auto" w:fill="auto"/>
          </w:tcPr>
          <w:p w14:paraId="5793754F"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4F082C4B" w14:textId="77777777" w:rsidR="00D47B44" w:rsidRPr="004C11B7" w:rsidRDefault="00D47B44" w:rsidP="00214FDF">
            <w:pPr>
              <w:jc w:val="both"/>
            </w:pPr>
          </w:p>
        </w:tc>
        <w:tc>
          <w:tcPr>
            <w:tcW w:w="1359" w:type="dxa"/>
            <w:vMerge/>
            <w:tcBorders>
              <w:left w:val="single" w:sz="12" w:space="0" w:color="auto"/>
              <w:bottom w:val="single" w:sz="4" w:space="0" w:color="auto"/>
            </w:tcBorders>
            <w:shd w:val="clear" w:color="auto" w:fill="auto"/>
          </w:tcPr>
          <w:p w14:paraId="079815DC" w14:textId="77777777" w:rsidR="00D47B44" w:rsidRPr="004C11B7" w:rsidRDefault="00D47B44" w:rsidP="00214FDF">
            <w:pPr>
              <w:spacing w:before="60"/>
              <w:jc w:val="both"/>
            </w:pPr>
          </w:p>
        </w:tc>
        <w:tc>
          <w:tcPr>
            <w:tcW w:w="1207" w:type="dxa"/>
            <w:tcBorders>
              <w:bottom w:val="single" w:sz="4" w:space="0" w:color="auto"/>
            </w:tcBorders>
            <w:shd w:val="clear" w:color="auto" w:fill="auto"/>
          </w:tcPr>
          <w:p w14:paraId="708B5FE0" w14:textId="3B1E203B" w:rsidR="00D47B44" w:rsidRPr="004C11B7" w:rsidRDefault="00D47B44" w:rsidP="00214FDF">
            <w:r w:rsidRPr="004C11B7">
              <w:t>Čl. 1 odst. 15 písm. a) bod</w:t>
            </w:r>
            <w:r w:rsidR="008661D8">
              <w:t xml:space="preserve"> </w:t>
            </w:r>
            <w:r w:rsidRPr="004C11B7">
              <w:t xml:space="preserve">i) </w:t>
            </w:r>
          </w:p>
          <w:p w14:paraId="2DEA151A" w14:textId="77777777" w:rsidR="00D47B44" w:rsidRPr="004C11B7" w:rsidRDefault="00D47B44" w:rsidP="00214FDF">
            <w:r w:rsidRPr="004C11B7">
              <w:t>(čl. 27 odst. 1 písm. b) závětí směrnice 92/83/EHS)</w:t>
            </w:r>
          </w:p>
        </w:tc>
        <w:tc>
          <w:tcPr>
            <w:tcW w:w="5655" w:type="dxa"/>
            <w:tcBorders>
              <w:bottom w:val="single" w:sz="4" w:space="0" w:color="auto"/>
              <w:right w:val="single" w:sz="12" w:space="0" w:color="auto"/>
            </w:tcBorders>
            <w:shd w:val="clear" w:color="auto" w:fill="auto"/>
          </w:tcPr>
          <w:p w14:paraId="083862B0" w14:textId="77777777" w:rsidR="00D47B44" w:rsidRPr="004C11B7" w:rsidRDefault="00D47B44" w:rsidP="00214FDF">
            <w:pPr>
              <w:jc w:val="both"/>
            </w:pPr>
            <w:r w:rsidRPr="004C11B7">
              <w:t>1. Členské státy osvobodí výrobky, na které se vztahuje tato směrnice, od harmonizované spotřební daně za podmínek, které samy stanoví za účelem zajištění správného a jednoznačného uplatňování těchto úlev a předcházení daňovým únikům, vyhýbání se daňovým povinnostem nebo zneužití daňového režimu,</w:t>
            </w:r>
          </w:p>
          <w:p w14:paraId="762E9E0D" w14:textId="77777777" w:rsidR="00D47B44" w:rsidRPr="004C11B7" w:rsidRDefault="00D47B44" w:rsidP="00214FDF">
            <w:pPr>
              <w:pStyle w:val="Default"/>
              <w:pageBreakBefore/>
              <w:jc w:val="both"/>
              <w:rPr>
                <w:color w:val="auto"/>
                <w:sz w:val="20"/>
                <w:szCs w:val="20"/>
              </w:rPr>
            </w:pPr>
            <w:r w:rsidRPr="004C11B7">
              <w:rPr>
                <w:color w:val="auto"/>
                <w:sz w:val="20"/>
                <w:szCs w:val="20"/>
              </w:rPr>
              <w:t xml:space="preserve">b) jsou-li tyto výrobky používány v rámci procesu výroby jakéhokoli výrobku, který není určen pro lidskou spotřebu, pokud byl daný líh denaturován v souladu s požadavky jakéhokoli členského státu pro stanovený účel. </w:t>
            </w:r>
          </w:p>
          <w:p w14:paraId="757247B0" w14:textId="77777777" w:rsidR="00D47B44" w:rsidRPr="004C11B7" w:rsidRDefault="00D47B44" w:rsidP="00214FDF">
            <w:pPr>
              <w:pStyle w:val="Default"/>
              <w:jc w:val="both"/>
              <w:rPr>
                <w:color w:val="auto"/>
                <w:sz w:val="20"/>
                <w:szCs w:val="20"/>
              </w:rPr>
            </w:pPr>
            <w:r w:rsidRPr="004C11B7">
              <w:rPr>
                <w:color w:val="auto"/>
                <w:sz w:val="20"/>
                <w:szCs w:val="20"/>
              </w:rPr>
              <w:t xml:space="preserve">Osvobození od daně se uplatní, když takovýto denaturovaný líh: </w:t>
            </w:r>
          </w:p>
          <w:p w14:paraId="3C352B97" w14:textId="77777777" w:rsidR="00D47B44" w:rsidRPr="004C11B7" w:rsidRDefault="00D47B44" w:rsidP="00214FDF">
            <w:pPr>
              <w:pStyle w:val="Default"/>
              <w:jc w:val="both"/>
              <w:rPr>
                <w:color w:val="auto"/>
                <w:sz w:val="20"/>
                <w:szCs w:val="20"/>
              </w:rPr>
            </w:pPr>
            <w:r w:rsidRPr="004C11B7">
              <w:rPr>
                <w:color w:val="auto"/>
                <w:sz w:val="20"/>
                <w:szCs w:val="20"/>
              </w:rPr>
              <w:t xml:space="preserve">– byl začleněn do výrobku, který není určen k lidské spotřebě, </w:t>
            </w:r>
          </w:p>
          <w:p w14:paraId="5ED6150C" w14:textId="77777777" w:rsidR="00D47B44" w:rsidRPr="004C11B7" w:rsidRDefault="00D47B44" w:rsidP="00214FDF">
            <w:pPr>
              <w:pStyle w:val="Default"/>
              <w:jc w:val="both"/>
              <w:rPr>
                <w:color w:val="auto"/>
                <w:sz w:val="20"/>
                <w:szCs w:val="20"/>
              </w:rPr>
            </w:pPr>
            <w:r w:rsidRPr="004C11B7">
              <w:rPr>
                <w:color w:val="auto"/>
                <w:sz w:val="20"/>
                <w:szCs w:val="20"/>
              </w:rPr>
              <w:t xml:space="preserve">nebo </w:t>
            </w:r>
          </w:p>
          <w:p w14:paraId="55F25B5A" w14:textId="77777777" w:rsidR="00D47B44" w:rsidRPr="004C11B7" w:rsidRDefault="00D47B44" w:rsidP="00214FDF">
            <w:pPr>
              <w:pStyle w:val="Default"/>
              <w:jc w:val="both"/>
              <w:rPr>
                <w:color w:val="auto"/>
                <w:sz w:val="20"/>
                <w:szCs w:val="20"/>
              </w:rPr>
            </w:pPr>
            <w:r w:rsidRPr="004C11B7">
              <w:rPr>
                <w:color w:val="auto"/>
                <w:sz w:val="20"/>
                <w:szCs w:val="20"/>
              </w:rPr>
              <w:t xml:space="preserve">– se používá k údržbě a čištění výrobního zařízení používaného pro tento konkrétní výrobní proces. </w:t>
            </w:r>
          </w:p>
          <w:p w14:paraId="4DA77E69" w14:textId="77777777" w:rsidR="00D47B44" w:rsidRPr="004C11B7" w:rsidRDefault="00D47B44" w:rsidP="00214FDF">
            <w:pPr>
              <w:jc w:val="both"/>
            </w:pPr>
            <w:r w:rsidRPr="004C11B7">
              <w:t>Členské státy použijí kapitolu IV směrnice 2008/118/ES na přepravu denaturovaného lihu, který ještě nebyl začleněn do výrobku, který není určen k lidské spotřebě;</w:t>
            </w:r>
          </w:p>
        </w:tc>
      </w:tr>
      <w:tr w:rsidR="00300ECA" w:rsidRPr="003B3FF6" w14:paraId="15764F45" w14:textId="77777777" w:rsidTr="00375479">
        <w:tc>
          <w:tcPr>
            <w:tcW w:w="1219" w:type="dxa"/>
            <w:tcBorders>
              <w:left w:val="single" w:sz="12" w:space="0" w:color="auto"/>
            </w:tcBorders>
            <w:shd w:val="clear" w:color="auto" w:fill="auto"/>
          </w:tcPr>
          <w:p w14:paraId="5F09911A" w14:textId="3FE2D446" w:rsidR="00300ECA" w:rsidRPr="00623405" w:rsidRDefault="00300ECA" w:rsidP="00214FDF">
            <w:pPr>
              <w:spacing w:before="60"/>
              <w:rPr>
                <w:highlight w:val="yellow"/>
              </w:rPr>
            </w:pPr>
            <w:r w:rsidRPr="00300ECA">
              <w:t>§ 81 odst. 3</w:t>
            </w:r>
          </w:p>
        </w:tc>
        <w:tc>
          <w:tcPr>
            <w:tcW w:w="4735" w:type="dxa"/>
            <w:tcBorders>
              <w:right w:val="single" w:sz="12" w:space="0" w:color="auto"/>
            </w:tcBorders>
            <w:shd w:val="clear" w:color="auto" w:fill="auto"/>
          </w:tcPr>
          <w:p w14:paraId="0D107E1F" w14:textId="1FC0EE69" w:rsidR="00300ECA" w:rsidRPr="00300ECA" w:rsidRDefault="00300ECA" w:rsidP="00214FDF">
            <w:pPr>
              <w:jc w:val="both"/>
            </w:pPr>
            <w:r w:rsidRPr="00300ECA">
              <w:t xml:space="preserve">(3) Prováděcí právní předpis stanoví velký Ballingův vzorec a metody určení extraktu původní mladiny. </w:t>
            </w:r>
            <w:r w:rsidRPr="00556345">
              <w:rPr>
                <w:b/>
              </w:rPr>
              <w:t>Pro účely metody určení extraktu původní mladiny se neberou v potaz složky piva přidané po skončení kvašení.</w:t>
            </w:r>
          </w:p>
        </w:tc>
        <w:tc>
          <w:tcPr>
            <w:tcW w:w="1359" w:type="dxa"/>
            <w:tcBorders>
              <w:left w:val="single" w:sz="12" w:space="0" w:color="auto"/>
              <w:bottom w:val="single" w:sz="4" w:space="0" w:color="auto"/>
            </w:tcBorders>
            <w:shd w:val="clear" w:color="auto" w:fill="auto"/>
          </w:tcPr>
          <w:p w14:paraId="4CC31F69" w14:textId="16C8603D" w:rsidR="00300ECA" w:rsidRPr="004C11B7" w:rsidRDefault="00556345" w:rsidP="00214FDF">
            <w:pPr>
              <w:spacing w:before="60"/>
              <w:jc w:val="both"/>
            </w:pPr>
            <w:r w:rsidRPr="004C11B7">
              <w:t>32020L1151</w:t>
            </w:r>
          </w:p>
        </w:tc>
        <w:tc>
          <w:tcPr>
            <w:tcW w:w="1207" w:type="dxa"/>
            <w:tcBorders>
              <w:bottom w:val="single" w:sz="4" w:space="0" w:color="auto"/>
            </w:tcBorders>
            <w:shd w:val="clear" w:color="auto" w:fill="auto"/>
          </w:tcPr>
          <w:p w14:paraId="5E2C1192" w14:textId="5D3527EF" w:rsidR="00556345" w:rsidRPr="002A532F" w:rsidRDefault="00556345" w:rsidP="00556345">
            <w:r w:rsidRPr="002A532F">
              <w:t>Čl</w:t>
            </w:r>
            <w:r w:rsidR="008661D8" w:rsidRPr="002A532F">
              <w:t xml:space="preserve">. </w:t>
            </w:r>
            <w:r w:rsidRPr="002A532F">
              <w:t xml:space="preserve">1 odst. 1 </w:t>
            </w:r>
          </w:p>
          <w:p w14:paraId="7498E92A" w14:textId="687B07C3" w:rsidR="00300ECA" w:rsidRPr="004C11B7" w:rsidRDefault="00556345" w:rsidP="001D1BE1">
            <w:r w:rsidRPr="002A532F">
              <w:t>(čl. 3 odst. 1</w:t>
            </w:r>
            <w:r w:rsidR="001D1BE1" w:rsidRPr="002A532F">
              <w:t xml:space="preserve"> třetí pododstavec</w:t>
            </w:r>
            <w:r w:rsidRPr="002A532F">
              <w:t xml:space="preserve"> směrnice 92/83/EHS)</w:t>
            </w:r>
          </w:p>
        </w:tc>
        <w:tc>
          <w:tcPr>
            <w:tcW w:w="5655" w:type="dxa"/>
            <w:tcBorders>
              <w:bottom w:val="single" w:sz="4" w:space="0" w:color="auto"/>
              <w:right w:val="single" w:sz="12" w:space="0" w:color="auto"/>
            </w:tcBorders>
            <w:shd w:val="clear" w:color="auto" w:fill="auto"/>
          </w:tcPr>
          <w:p w14:paraId="2935F149" w14:textId="48E2CFB4" w:rsidR="00300ECA" w:rsidRPr="004C11B7" w:rsidRDefault="00556345" w:rsidP="00556345">
            <w:pPr>
              <w:pStyle w:val="Default"/>
              <w:jc w:val="both"/>
              <w:rPr>
                <w:color w:val="auto"/>
                <w:sz w:val="20"/>
                <w:szCs w:val="20"/>
              </w:rPr>
            </w:pPr>
            <w:r w:rsidRPr="00152B97">
              <w:rPr>
                <w:sz w:val="20"/>
                <w:szCs w:val="20"/>
              </w:rPr>
              <w:t xml:space="preserve">Odchylně od druhého pododstavce mohou členské státy, které ke dni </w:t>
            </w:r>
            <w:r>
              <w:rPr>
                <w:sz w:val="20"/>
                <w:szCs w:val="20"/>
              </w:rPr>
              <w:t xml:space="preserve">29. července 2020 </w:t>
            </w:r>
            <w:r w:rsidRPr="00152B97">
              <w:rPr>
                <w:sz w:val="20"/>
                <w:szCs w:val="20"/>
              </w:rPr>
              <w:t>neberou pro účely měření stupňů Plato v potaz složky piva, jež byly přidány po kvašení, v této praxi pokračovat do 31. prosince 2030.</w:t>
            </w:r>
          </w:p>
        </w:tc>
      </w:tr>
      <w:tr w:rsidR="00D47B44" w:rsidRPr="003B3FF6" w14:paraId="15DF7610" w14:textId="77777777" w:rsidTr="00375479">
        <w:tc>
          <w:tcPr>
            <w:tcW w:w="1219" w:type="dxa"/>
            <w:tcBorders>
              <w:left w:val="single" w:sz="12" w:space="0" w:color="auto"/>
            </w:tcBorders>
            <w:shd w:val="clear" w:color="auto" w:fill="auto"/>
          </w:tcPr>
          <w:p w14:paraId="66D5F6A2" w14:textId="77777777" w:rsidR="00D47B44" w:rsidRDefault="00D47B44" w:rsidP="00214FDF">
            <w:pPr>
              <w:spacing w:before="60"/>
            </w:pPr>
            <w:r w:rsidRPr="00300ECA">
              <w:t>§ 81 odst. 3</w:t>
            </w:r>
          </w:p>
          <w:p w14:paraId="63CB7C07" w14:textId="3F98B8EF" w:rsidR="008661D8" w:rsidRPr="004C11B7" w:rsidRDefault="008661D8" w:rsidP="008661D8">
            <w:pPr>
              <w:spacing w:before="60"/>
            </w:pPr>
            <w:r>
              <w:t>(účinnost k 1. 1. 2031)</w:t>
            </w:r>
          </w:p>
        </w:tc>
        <w:tc>
          <w:tcPr>
            <w:tcW w:w="4735" w:type="dxa"/>
            <w:tcBorders>
              <w:right w:val="single" w:sz="12" w:space="0" w:color="auto"/>
            </w:tcBorders>
            <w:shd w:val="clear" w:color="auto" w:fill="auto"/>
          </w:tcPr>
          <w:p w14:paraId="1061F3BC" w14:textId="77777777" w:rsidR="00D47B44" w:rsidRPr="004C11B7" w:rsidRDefault="00D47B44" w:rsidP="00214FDF">
            <w:pPr>
              <w:jc w:val="both"/>
            </w:pPr>
            <w:r w:rsidRPr="004C11B7">
              <w:t xml:space="preserve">(3) Prováděcí právní předpis stanoví velký Ballingův vzorec a metody určení extraktu původní mladiny. </w:t>
            </w:r>
            <w:r w:rsidRPr="004C11B7">
              <w:rPr>
                <w:b/>
              </w:rPr>
              <w:t>Pro účely metody určení extraktu původní mladiny se berou v potaz všechny složky piva, včetně složek přidaných po skončení kvašení.</w:t>
            </w:r>
          </w:p>
        </w:tc>
        <w:tc>
          <w:tcPr>
            <w:tcW w:w="1359" w:type="dxa"/>
            <w:tcBorders>
              <w:left w:val="single" w:sz="12" w:space="0" w:color="auto"/>
              <w:bottom w:val="single" w:sz="4" w:space="0" w:color="auto"/>
            </w:tcBorders>
            <w:shd w:val="clear" w:color="auto" w:fill="auto"/>
          </w:tcPr>
          <w:p w14:paraId="18D028F3" w14:textId="77777777" w:rsidR="00D47B44" w:rsidRPr="004C11B7" w:rsidRDefault="00D47B44" w:rsidP="00214FDF">
            <w:pPr>
              <w:spacing w:before="60"/>
              <w:jc w:val="both"/>
            </w:pPr>
            <w:r w:rsidRPr="004C11B7">
              <w:t>32020L1151</w:t>
            </w:r>
          </w:p>
        </w:tc>
        <w:tc>
          <w:tcPr>
            <w:tcW w:w="1207" w:type="dxa"/>
            <w:tcBorders>
              <w:bottom w:val="single" w:sz="4" w:space="0" w:color="auto"/>
            </w:tcBorders>
            <w:shd w:val="clear" w:color="auto" w:fill="auto"/>
          </w:tcPr>
          <w:p w14:paraId="04BFA7DB" w14:textId="77777777" w:rsidR="00D47B44" w:rsidRPr="00C57179" w:rsidRDefault="00D47B44" w:rsidP="00214FDF">
            <w:r w:rsidRPr="00C57179">
              <w:t>Čl. 1 odst. 1</w:t>
            </w:r>
          </w:p>
          <w:p w14:paraId="47972B2A" w14:textId="54CD5313" w:rsidR="00D47B44" w:rsidRPr="00C57179" w:rsidRDefault="00D47B44" w:rsidP="001D1BE1">
            <w:r w:rsidRPr="00C57179">
              <w:t xml:space="preserve">(čl. 3 odst. 1 </w:t>
            </w:r>
            <w:r w:rsidR="001D1BE1" w:rsidRPr="00C57179">
              <w:t xml:space="preserve">druhý pododstavec </w:t>
            </w:r>
            <w:r w:rsidRPr="00C57179">
              <w:t>směrnice 92/83/EHS)</w:t>
            </w:r>
          </w:p>
        </w:tc>
        <w:tc>
          <w:tcPr>
            <w:tcW w:w="5655" w:type="dxa"/>
            <w:tcBorders>
              <w:bottom w:val="single" w:sz="4" w:space="0" w:color="auto"/>
              <w:right w:val="single" w:sz="12" w:space="0" w:color="auto"/>
            </w:tcBorders>
            <w:shd w:val="clear" w:color="auto" w:fill="auto"/>
          </w:tcPr>
          <w:p w14:paraId="0D5FC35A" w14:textId="77777777" w:rsidR="00D47B44" w:rsidRPr="004C11B7" w:rsidRDefault="00D47B44" w:rsidP="00214FDF">
            <w:pPr>
              <w:pStyle w:val="Default"/>
              <w:jc w:val="both"/>
              <w:rPr>
                <w:color w:val="auto"/>
                <w:sz w:val="20"/>
                <w:szCs w:val="20"/>
              </w:rPr>
            </w:pPr>
            <w:r w:rsidRPr="004C11B7">
              <w:rPr>
                <w:color w:val="auto"/>
                <w:sz w:val="20"/>
                <w:szCs w:val="20"/>
              </w:rPr>
              <w:t xml:space="preserve">Směrnice 92/83/EHS se mění takto: </w:t>
            </w:r>
          </w:p>
          <w:p w14:paraId="2DD6060C" w14:textId="77777777" w:rsidR="00D47B44" w:rsidRPr="004C11B7" w:rsidRDefault="00D47B44" w:rsidP="00214FDF">
            <w:pPr>
              <w:pStyle w:val="Default"/>
              <w:jc w:val="both"/>
              <w:rPr>
                <w:color w:val="auto"/>
                <w:sz w:val="20"/>
                <w:szCs w:val="20"/>
              </w:rPr>
            </w:pPr>
            <w:r w:rsidRPr="004C11B7">
              <w:rPr>
                <w:color w:val="auto"/>
                <w:sz w:val="20"/>
                <w:szCs w:val="20"/>
              </w:rPr>
              <w:t xml:space="preserve">1) V čl. 3 odst. 1 se doplňují nové pododstavce, které znějí: </w:t>
            </w:r>
          </w:p>
          <w:p w14:paraId="06B2D69A" w14:textId="77777777" w:rsidR="00D47B44" w:rsidRPr="004C11B7" w:rsidRDefault="00D47B44" w:rsidP="00214FDF">
            <w:pPr>
              <w:jc w:val="both"/>
            </w:pPr>
            <w:r w:rsidRPr="004C11B7">
              <w:t>„Pro účely měření stupňů Plato se berou v potaz všechny složky piva, včetně složek přidaných po skončení kvašení.</w:t>
            </w:r>
          </w:p>
        </w:tc>
      </w:tr>
      <w:tr w:rsidR="00D47B44" w:rsidRPr="00566554" w14:paraId="3C8CF021" w14:textId="77777777" w:rsidTr="00375479">
        <w:tc>
          <w:tcPr>
            <w:tcW w:w="1219" w:type="dxa"/>
            <w:vMerge w:val="restart"/>
            <w:tcBorders>
              <w:left w:val="single" w:sz="12" w:space="0" w:color="auto"/>
            </w:tcBorders>
            <w:shd w:val="clear" w:color="auto" w:fill="auto"/>
          </w:tcPr>
          <w:p w14:paraId="38C10C6B" w14:textId="77777777" w:rsidR="00D47B44" w:rsidRPr="008661D8" w:rsidRDefault="00D47B44" w:rsidP="00214FDF">
            <w:pPr>
              <w:spacing w:before="60"/>
              <w:rPr>
                <w:highlight w:val="yellow"/>
              </w:rPr>
            </w:pPr>
            <w:r w:rsidRPr="00A83B59">
              <w:t>§ 85 odst. 5</w:t>
            </w:r>
          </w:p>
        </w:tc>
        <w:tc>
          <w:tcPr>
            <w:tcW w:w="4735" w:type="dxa"/>
            <w:vMerge w:val="restart"/>
            <w:tcBorders>
              <w:right w:val="single" w:sz="12" w:space="0" w:color="auto"/>
            </w:tcBorders>
            <w:shd w:val="clear" w:color="auto" w:fill="auto"/>
          </w:tcPr>
          <w:p w14:paraId="61063F15" w14:textId="54DD6F86" w:rsidR="00D47B44" w:rsidRPr="004C11B7" w:rsidRDefault="00235252" w:rsidP="00B04858">
            <w:pPr>
              <w:jc w:val="both"/>
            </w:pPr>
            <w:r>
              <w:rPr>
                <w:b/>
              </w:rPr>
              <w:t>(</w:t>
            </w:r>
            <w:r w:rsidRPr="00235252">
              <w:rPr>
                <w:b/>
              </w:rPr>
              <w:t>5)</w:t>
            </w:r>
            <w:r>
              <w:rPr>
                <w:b/>
              </w:rPr>
              <w:t xml:space="preserve"> </w:t>
            </w:r>
            <w:r w:rsidRPr="00235252">
              <w:rPr>
                <w:b/>
              </w:rPr>
              <w:t>Snížená sazba daně z piva pro malé nezávislé pivovary se použije také na pivo, které je dopraveno z jiného členského státu na daňové území České republiky, pokud je vyrobeno osobou, které bylo příslušným orgánem jiného členského státu vydáno osvědčení podle právních předpisů tohoto jiného členského státu obdobné osvědčení podle § 132</w:t>
            </w:r>
            <w:r w:rsidR="00B04858">
              <w:rPr>
                <w:b/>
              </w:rPr>
              <w:t xml:space="preserve"> odst. 1</w:t>
            </w:r>
            <w:r w:rsidRPr="00235252">
              <w:rPr>
                <w:b/>
              </w:rPr>
              <w:t xml:space="preserve"> nebo která vydala osvědčení podle nařízení Komise upravujícího požadavky týkající se vystavení správního dokladu pro dopravu zboží v případě vlastní certifikace</w:t>
            </w:r>
            <w:r w:rsidR="00301961">
              <w:rPr>
                <w:b/>
              </w:rPr>
              <w:t xml:space="preserve">; </w:t>
            </w:r>
            <w:r w:rsidR="00301961" w:rsidRPr="00301961">
              <w:rPr>
                <w:b/>
              </w:rPr>
              <w:t xml:space="preserve">toto osvědčení je </w:t>
            </w:r>
            <w:r w:rsidR="00B04858">
              <w:rPr>
                <w:b/>
              </w:rPr>
              <w:t>přílohou</w:t>
            </w:r>
            <w:r w:rsidR="00B04858" w:rsidRPr="00301961">
              <w:rPr>
                <w:b/>
              </w:rPr>
              <w:t xml:space="preserve"> </w:t>
            </w:r>
            <w:r w:rsidR="00301961" w:rsidRPr="00301961">
              <w:rPr>
                <w:b/>
              </w:rPr>
              <w:t>daňového přiznání</w:t>
            </w:r>
            <w:r w:rsidR="000A4FE3" w:rsidRPr="000A4FE3">
              <w:rPr>
                <w:b/>
              </w:rPr>
              <w:t xml:space="preserve">, </w:t>
            </w:r>
            <w:r w:rsidR="000A4FE3">
              <w:rPr>
                <w:b/>
              </w:rPr>
              <w:t xml:space="preserve">pokud je v něm </w:t>
            </w:r>
            <w:r w:rsidR="000A4FE3" w:rsidRPr="000A4FE3">
              <w:rPr>
                <w:b/>
              </w:rPr>
              <w:t xml:space="preserve">na pivo </w:t>
            </w:r>
            <w:r w:rsidR="000A4FE3">
              <w:rPr>
                <w:b/>
              </w:rPr>
              <w:t>uplatněna</w:t>
            </w:r>
            <w:r w:rsidR="000A4FE3" w:rsidRPr="000A4FE3">
              <w:rPr>
                <w:b/>
              </w:rPr>
              <w:t xml:space="preserve"> snížená sazba daně z piva</w:t>
            </w:r>
            <w:r w:rsidRPr="000F3C30">
              <w:rPr>
                <w:u w:val="single"/>
              </w:rPr>
              <w:t>.</w:t>
            </w:r>
          </w:p>
        </w:tc>
        <w:tc>
          <w:tcPr>
            <w:tcW w:w="1359" w:type="dxa"/>
            <w:tcBorders>
              <w:left w:val="single" w:sz="12" w:space="0" w:color="auto"/>
              <w:bottom w:val="single" w:sz="4" w:space="0" w:color="auto"/>
            </w:tcBorders>
            <w:shd w:val="clear" w:color="auto" w:fill="auto"/>
          </w:tcPr>
          <w:p w14:paraId="47AEFD24" w14:textId="5DEA79B3" w:rsidR="00D47B44" w:rsidRPr="004C11B7" w:rsidRDefault="00D47B44" w:rsidP="00DF29A7">
            <w:pPr>
              <w:spacing w:before="60"/>
              <w:jc w:val="both"/>
            </w:pPr>
            <w:r w:rsidRPr="004C11B7">
              <w:t>3199</w:t>
            </w:r>
            <w:r w:rsidR="00DF29A7">
              <w:t>2</w:t>
            </w:r>
            <w:r w:rsidRPr="004C11B7">
              <w:t>L0083</w:t>
            </w:r>
          </w:p>
        </w:tc>
        <w:tc>
          <w:tcPr>
            <w:tcW w:w="1207" w:type="dxa"/>
            <w:tcBorders>
              <w:bottom w:val="single" w:sz="4" w:space="0" w:color="auto"/>
            </w:tcBorders>
            <w:shd w:val="clear" w:color="auto" w:fill="auto"/>
          </w:tcPr>
          <w:p w14:paraId="1F32393A" w14:textId="77777777" w:rsidR="00D47B44" w:rsidRPr="00C57179" w:rsidRDefault="00D47B44" w:rsidP="00214FDF">
            <w:r w:rsidRPr="00C57179">
              <w:t>Čl. 4 odst. 3</w:t>
            </w:r>
          </w:p>
        </w:tc>
        <w:tc>
          <w:tcPr>
            <w:tcW w:w="5655" w:type="dxa"/>
            <w:tcBorders>
              <w:bottom w:val="single" w:sz="4" w:space="0" w:color="auto"/>
              <w:right w:val="single" w:sz="12" w:space="0" w:color="auto"/>
            </w:tcBorders>
            <w:shd w:val="clear" w:color="auto" w:fill="auto"/>
          </w:tcPr>
          <w:p w14:paraId="64CA362B" w14:textId="77777777" w:rsidR="00D47B44" w:rsidRPr="004C11B7" w:rsidRDefault="00D47B44" w:rsidP="00214FDF">
            <w:pPr>
              <w:pStyle w:val="Default"/>
              <w:jc w:val="both"/>
              <w:rPr>
                <w:color w:val="auto"/>
                <w:sz w:val="20"/>
                <w:szCs w:val="20"/>
              </w:rPr>
            </w:pPr>
            <w:r w:rsidRPr="004C11B7">
              <w:rPr>
                <w:sz w:val="20"/>
                <w:szCs w:val="20"/>
              </w:rPr>
              <w:t>3. Členské státy zabezpečí, aby případné nižší sazby, které zavedou, platily stejně i pro pivo dovezené na jejich území z malých nezávislých pivovarů nacházejících se v jiných členských státech. Zejména musí zajistit, aby na žádnou jednotlivou dodávku z jiného členského státu nebyla uvalena vyšší daň než na odpovídající vnitrostátní dodávku.</w:t>
            </w:r>
          </w:p>
        </w:tc>
      </w:tr>
      <w:tr w:rsidR="00D47B44" w:rsidRPr="00152B97" w14:paraId="2FCA8284" w14:textId="77777777" w:rsidTr="00375479">
        <w:tc>
          <w:tcPr>
            <w:tcW w:w="1219" w:type="dxa"/>
            <w:vMerge/>
            <w:tcBorders>
              <w:left w:val="single" w:sz="12" w:space="0" w:color="auto"/>
            </w:tcBorders>
            <w:shd w:val="clear" w:color="auto" w:fill="auto"/>
          </w:tcPr>
          <w:p w14:paraId="05E4FA08"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3C58C8CB" w14:textId="77777777" w:rsidR="00D47B44" w:rsidRPr="004C11B7" w:rsidRDefault="00D47B44" w:rsidP="00214FDF">
            <w:pPr>
              <w:jc w:val="both"/>
            </w:pPr>
          </w:p>
        </w:tc>
        <w:tc>
          <w:tcPr>
            <w:tcW w:w="1359" w:type="dxa"/>
            <w:tcBorders>
              <w:left w:val="single" w:sz="12" w:space="0" w:color="auto"/>
              <w:bottom w:val="single" w:sz="4" w:space="0" w:color="auto"/>
            </w:tcBorders>
            <w:shd w:val="clear" w:color="auto" w:fill="auto"/>
          </w:tcPr>
          <w:p w14:paraId="351BDCF4" w14:textId="77777777" w:rsidR="00D47B44" w:rsidRPr="004C11B7" w:rsidRDefault="00D47B44" w:rsidP="00214FDF">
            <w:pPr>
              <w:spacing w:before="60"/>
              <w:jc w:val="both"/>
            </w:pPr>
            <w:r w:rsidRPr="004C11B7">
              <w:t>32020L1151</w:t>
            </w:r>
          </w:p>
        </w:tc>
        <w:tc>
          <w:tcPr>
            <w:tcW w:w="1207" w:type="dxa"/>
            <w:tcBorders>
              <w:bottom w:val="single" w:sz="4" w:space="0" w:color="auto"/>
            </w:tcBorders>
            <w:shd w:val="clear" w:color="auto" w:fill="auto"/>
          </w:tcPr>
          <w:p w14:paraId="08F841E1" w14:textId="77777777" w:rsidR="00D47B44" w:rsidRPr="004C11B7" w:rsidRDefault="00D47B44" w:rsidP="00214FDF">
            <w:r w:rsidRPr="004C11B7">
              <w:t>Čl. 1 odst. 13 (nový čl. 23a odst. 3 směrnice 92/83/EHS)</w:t>
            </w:r>
          </w:p>
        </w:tc>
        <w:tc>
          <w:tcPr>
            <w:tcW w:w="5655" w:type="dxa"/>
            <w:tcBorders>
              <w:bottom w:val="single" w:sz="4" w:space="0" w:color="auto"/>
              <w:right w:val="single" w:sz="12" w:space="0" w:color="auto"/>
            </w:tcBorders>
            <w:shd w:val="clear" w:color="auto" w:fill="auto"/>
          </w:tcPr>
          <w:p w14:paraId="370401EC" w14:textId="77777777" w:rsidR="00D47B44" w:rsidRPr="004C11B7" w:rsidRDefault="00D47B44" w:rsidP="00214FDF">
            <w:pPr>
              <w:pStyle w:val="Default"/>
              <w:jc w:val="both"/>
              <w:rPr>
                <w:color w:val="auto"/>
                <w:sz w:val="20"/>
                <w:szCs w:val="20"/>
              </w:rPr>
            </w:pPr>
            <w:r w:rsidRPr="004C11B7">
              <w:rPr>
                <w:color w:val="auto"/>
                <w:sz w:val="20"/>
                <w:szCs w:val="20"/>
              </w:rPr>
              <w:t xml:space="preserve">3. Členské státy za podmínek, jež přijmou pro účely zajištění správného a jednoznačného uplatňování tohoto článku a zamezení veškerých daňových úniků, vyhýbání se daňovým povinnostem nebo zneužití daňového režimu, uznají osvědčení pro výrobce uvedené v čl. 4 odst. 1, čl. 9a odst. 1, čl. 13a odst. 1, čl. 18a odst. 1 a čl. 22 odst. 1 vydané jiným členským státem, s výjimkou řádně odůvodněných okolností. </w:t>
            </w:r>
          </w:p>
        </w:tc>
      </w:tr>
      <w:tr w:rsidR="00D47B44" w:rsidRPr="00713386" w14:paraId="49949FF8" w14:textId="77777777" w:rsidTr="00375479">
        <w:tc>
          <w:tcPr>
            <w:tcW w:w="1219" w:type="dxa"/>
            <w:vMerge w:val="restart"/>
            <w:tcBorders>
              <w:left w:val="single" w:sz="12" w:space="0" w:color="auto"/>
            </w:tcBorders>
            <w:shd w:val="clear" w:color="auto" w:fill="auto"/>
          </w:tcPr>
          <w:p w14:paraId="433BA0E7" w14:textId="77777777" w:rsidR="00D47B44" w:rsidRPr="004C11B7" w:rsidRDefault="00D47B44" w:rsidP="00214FDF">
            <w:pPr>
              <w:spacing w:before="60"/>
            </w:pPr>
            <w:r w:rsidRPr="004C11B7">
              <w:t>§ 93 odst. 2 písm. a) a b)</w:t>
            </w:r>
          </w:p>
        </w:tc>
        <w:tc>
          <w:tcPr>
            <w:tcW w:w="4735" w:type="dxa"/>
            <w:vMerge w:val="restart"/>
            <w:tcBorders>
              <w:right w:val="single" w:sz="12" w:space="0" w:color="auto"/>
            </w:tcBorders>
            <w:shd w:val="clear" w:color="auto" w:fill="auto"/>
          </w:tcPr>
          <w:p w14:paraId="61988E04" w14:textId="77777777" w:rsidR="00D47B44" w:rsidRPr="004C11B7" w:rsidRDefault="00D47B44" w:rsidP="00214FDF">
            <w:pPr>
              <w:jc w:val="both"/>
            </w:pPr>
            <w:r w:rsidRPr="004C11B7">
              <w:t xml:space="preserve">2) Šumivým vínem se pro účely tohoto zákona rozumí všechny výrobky, které jsou plněny do lahví s hřibovitou zátkou pro šumivé víno, která je upevněná zvláštním úchytným zařízením, nebo které při uzavřeném obsahu při 20 °C mají přetlak 3 bary a více, který lze odvodit z přítomnosti rozpuštěného oxidu uhličitého, a které jsou uvedené pod následujícími kódy nomenklatury: </w:t>
            </w:r>
          </w:p>
          <w:p w14:paraId="348D0FF6" w14:textId="4E0C3947" w:rsidR="00D47B44" w:rsidRPr="004C11B7" w:rsidRDefault="00D47B44" w:rsidP="00214FDF">
            <w:pPr>
              <w:jc w:val="both"/>
            </w:pPr>
            <w:r w:rsidRPr="004C11B7">
              <w:t xml:space="preserve">a) 2204 10, </w:t>
            </w:r>
            <w:r w:rsidRPr="004C11B7">
              <w:rPr>
                <w:strike/>
              </w:rPr>
              <w:t>2204 21 10</w:t>
            </w:r>
            <w:r w:rsidRPr="004C11B7">
              <w:t xml:space="preserve"> </w:t>
            </w:r>
            <w:r w:rsidRPr="004C11B7">
              <w:rPr>
                <w:b/>
              </w:rPr>
              <w:t>2204 21 06, 2204 21 07, 2204 21 08</w:t>
            </w:r>
            <w:r w:rsidRPr="004C11B7">
              <w:t xml:space="preserve">, </w:t>
            </w:r>
            <w:r w:rsidRPr="004C11B7">
              <w:rPr>
                <w:b/>
              </w:rPr>
              <w:t>2204 21 09</w:t>
            </w:r>
            <w:r w:rsidRPr="004C11B7">
              <w:t xml:space="preserve">, 2204 29 10 a 2205, jejichž skutečný obsah </w:t>
            </w:r>
            <w:r w:rsidR="001A0FFD" w:rsidRPr="00B325B0">
              <w:rPr>
                <w:strike/>
              </w:rPr>
              <w:t>alkoholu</w:t>
            </w:r>
            <w:r w:rsidR="001A0FFD" w:rsidRPr="00B325B0">
              <w:rPr>
                <w:strike/>
                <w:vertAlign w:val="superscript"/>
              </w:rPr>
              <w:t>60)</w:t>
            </w:r>
            <w:r w:rsidR="001A0FFD">
              <w:t xml:space="preserve"> </w:t>
            </w:r>
            <w:r w:rsidR="00B04858" w:rsidRPr="00B04858">
              <w:t>alkoholu podle nařízení Evropského parlamentu a Rady upravujícího společnou organizaci trhů se zemědělskými produkty</w:t>
            </w:r>
            <w:r w:rsidR="00B04858" w:rsidRPr="00B325B0">
              <w:rPr>
                <w:vertAlign w:val="superscript"/>
              </w:rPr>
              <w:t>60)</w:t>
            </w:r>
            <w:r w:rsidR="00B04858" w:rsidRPr="00B04858">
              <w:t xml:space="preserve"> (dále jen „skutečný obsah alkoholu“)</w:t>
            </w:r>
            <w:r w:rsidRPr="004C11B7">
              <w:t xml:space="preserve"> přesahuje 1,2 % objemových, ale nepřesahuje 15 % objemových, je-li alkohol, který je obsažený v hotovém výrobku, plně kvasného původu bez přídavku lihu, </w:t>
            </w:r>
          </w:p>
          <w:p w14:paraId="22AA2869" w14:textId="77777777" w:rsidR="00D47B44" w:rsidRPr="004C11B7" w:rsidRDefault="00D47B44" w:rsidP="00214FDF">
            <w:pPr>
              <w:jc w:val="both"/>
            </w:pPr>
            <w:r w:rsidRPr="004C11B7">
              <w:t xml:space="preserve">b) 2206 00 31, 2206 00 39 a pod kódy nomenklatury 2204 10, </w:t>
            </w:r>
            <w:r w:rsidRPr="004C11B7">
              <w:rPr>
                <w:strike/>
              </w:rPr>
              <w:t>2204 21 10</w:t>
            </w:r>
            <w:r w:rsidRPr="004C11B7">
              <w:t xml:space="preserve"> </w:t>
            </w:r>
            <w:r w:rsidRPr="004C11B7">
              <w:rPr>
                <w:b/>
              </w:rPr>
              <w:t>2204 21 06, 2204 21 07, 2204 21 08, 2204 21 09</w:t>
            </w:r>
            <w:r w:rsidRPr="004C11B7">
              <w:t>, 2204 29 10, 2205, pokud nejsou zahrnuty pod písmenem a), jejichž skutečný obsah alkoholu přesahuje 1,2 % objemových, ale nepřesahuje 13 % objemových, nebo</w:t>
            </w:r>
          </w:p>
        </w:tc>
        <w:tc>
          <w:tcPr>
            <w:tcW w:w="1359" w:type="dxa"/>
            <w:tcBorders>
              <w:left w:val="single" w:sz="12" w:space="0" w:color="auto"/>
            </w:tcBorders>
            <w:shd w:val="clear" w:color="auto" w:fill="auto"/>
          </w:tcPr>
          <w:p w14:paraId="74DD0807" w14:textId="77777777" w:rsidR="00D47B44" w:rsidRPr="004C11B7" w:rsidRDefault="00D47B44" w:rsidP="00214FDF">
            <w:pPr>
              <w:spacing w:before="60"/>
              <w:jc w:val="both"/>
            </w:pPr>
            <w:r w:rsidRPr="004C11B7">
              <w:t>32020L1151</w:t>
            </w:r>
          </w:p>
        </w:tc>
        <w:tc>
          <w:tcPr>
            <w:tcW w:w="1207" w:type="dxa"/>
            <w:shd w:val="clear" w:color="auto" w:fill="auto"/>
          </w:tcPr>
          <w:p w14:paraId="5E89E41C" w14:textId="77777777" w:rsidR="00D47B44" w:rsidRPr="004C11B7" w:rsidRDefault="00D47B44" w:rsidP="00214FDF">
            <w:r w:rsidRPr="004C11B7">
              <w:t>Čl. 1 odst. 3</w:t>
            </w:r>
          </w:p>
          <w:p w14:paraId="6B00F1D7" w14:textId="77777777" w:rsidR="00D47B44" w:rsidRPr="004C11B7" w:rsidRDefault="00D47B44" w:rsidP="00214FDF">
            <w:r w:rsidRPr="004C11B7">
              <w:t>(čl. 8 bod 2 směrnice 92/83/EHS)</w:t>
            </w:r>
          </w:p>
          <w:p w14:paraId="1E4AC5FC" w14:textId="77777777" w:rsidR="00D47B44" w:rsidRPr="004C11B7" w:rsidRDefault="00D47B44" w:rsidP="00214FDF"/>
        </w:tc>
        <w:tc>
          <w:tcPr>
            <w:tcW w:w="5655" w:type="dxa"/>
            <w:tcBorders>
              <w:right w:val="single" w:sz="12" w:space="0" w:color="auto"/>
            </w:tcBorders>
            <w:shd w:val="clear" w:color="auto" w:fill="auto"/>
          </w:tcPr>
          <w:p w14:paraId="359A1835" w14:textId="77777777" w:rsidR="00D47B44" w:rsidRPr="004C11B7" w:rsidRDefault="00D47B44" w:rsidP="00214FDF">
            <w:pPr>
              <w:pStyle w:val="Default"/>
              <w:jc w:val="both"/>
              <w:rPr>
                <w:color w:val="auto"/>
                <w:sz w:val="20"/>
                <w:szCs w:val="20"/>
              </w:rPr>
            </w:pPr>
            <w:r w:rsidRPr="004C11B7">
              <w:rPr>
                <w:color w:val="auto"/>
                <w:sz w:val="20"/>
                <w:szCs w:val="20"/>
              </w:rPr>
              <w:t xml:space="preserve">3) V čl. 8 bodě 2 se návětí nahrazuje tímto: </w:t>
            </w:r>
          </w:p>
          <w:p w14:paraId="739F83EA" w14:textId="77777777" w:rsidR="00D47B44" w:rsidRPr="004C11B7" w:rsidRDefault="00D47B44" w:rsidP="00214FDF">
            <w:pPr>
              <w:jc w:val="both"/>
            </w:pPr>
            <w:r w:rsidRPr="004C11B7">
              <w:t>„2. „šumivým vínem“ rozumějí všechny výrobky kódů KN 2204 10, 2204 21 06, 2204 21 07, 2204 21 08, 2204 21 09, 2204 29 10 a 2205,“</w:t>
            </w:r>
          </w:p>
        </w:tc>
      </w:tr>
      <w:tr w:rsidR="00D47B44" w:rsidRPr="0024091C" w14:paraId="7854706A" w14:textId="77777777" w:rsidTr="00375479">
        <w:tc>
          <w:tcPr>
            <w:tcW w:w="1219" w:type="dxa"/>
            <w:vMerge/>
            <w:tcBorders>
              <w:left w:val="single" w:sz="12" w:space="0" w:color="auto"/>
            </w:tcBorders>
            <w:shd w:val="clear" w:color="auto" w:fill="auto"/>
          </w:tcPr>
          <w:p w14:paraId="65C9BF96" w14:textId="77777777" w:rsidR="00D47B44" w:rsidRPr="004C11B7" w:rsidRDefault="00D47B44" w:rsidP="00214FDF">
            <w:pPr>
              <w:spacing w:before="60"/>
            </w:pPr>
          </w:p>
        </w:tc>
        <w:tc>
          <w:tcPr>
            <w:tcW w:w="4735" w:type="dxa"/>
            <w:vMerge/>
            <w:tcBorders>
              <w:right w:val="single" w:sz="12" w:space="0" w:color="auto"/>
            </w:tcBorders>
            <w:shd w:val="clear" w:color="auto" w:fill="auto"/>
          </w:tcPr>
          <w:p w14:paraId="07C7DD2C" w14:textId="77777777" w:rsidR="00D47B44" w:rsidRPr="004C11B7" w:rsidRDefault="00D47B44" w:rsidP="00214FDF">
            <w:pPr>
              <w:jc w:val="both"/>
            </w:pPr>
          </w:p>
        </w:tc>
        <w:tc>
          <w:tcPr>
            <w:tcW w:w="1359" w:type="dxa"/>
            <w:tcBorders>
              <w:left w:val="single" w:sz="12" w:space="0" w:color="auto"/>
            </w:tcBorders>
            <w:shd w:val="clear" w:color="auto" w:fill="auto"/>
          </w:tcPr>
          <w:p w14:paraId="197CA83E" w14:textId="52BE94AA" w:rsidR="00D47B44" w:rsidRPr="004C11B7" w:rsidRDefault="002A532F" w:rsidP="00214FDF">
            <w:pPr>
              <w:spacing w:before="60"/>
              <w:jc w:val="both"/>
            </w:pPr>
            <w:r w:rsidRPr="004C11B7">
              <w:t>32020L1151</w:t>
            </w:r>
          </w:p>
        </w:tc>
        <w:tc>
          <w:tcPr>
            <w:tcW w:w="1207" w:type="dxa"/>
            <w:shd w:val="clear" w:color="auto" w:fill="auto"/>
          </w:tcPr>
          <w:p w14:paraId="5E4F2265" w14:textId="77777777" w:rsidR="00D47B44" w:rsidRPr="004C11B7" w:rsidRDefault="00D47B44" w:rsidP="00214FDF">
            <w:r w:rsidRPr="004C11B7">
              <w:t>Čl. 1 odst. 5</w:t>
            </w:r>
          </w:p>
          <w:p w14:paraId="1CE76EA9" w14:textId="77777777" w:rsidR="00D47B44" w:rsidRPr="004C11B7" w:rsidRDefault="00D47B44" w:rsidP="00214FDF">
            <w:r w:rsidRPr="004C11B7">
              <w:t>(čl. 12 odst. 2 směrnice 92/83/EHS)</w:t>
            </w:r>
          </w:p>
        </w:tc>
        <w:tc>
          <w:tcPr>
            <w:tcW w:w="5655" w:type="dxa"/>
            <w:tcBorders>
              <w:right w:val="single" w:sz="12" w:space="0" w:color="auto"/>
            </w:tcBorders>
            <w:shd w:val="clear" w:color="auto" w:fill="auto"/>
          </w:tcPr>
          <w:p w14:paraId="758D076F" w14:textId="77777777" w:rsidR="00D47B44" w:rsidRPr="004C11B7" w:rsidRDefault="00D47B44" w:rsidP="00214FDF">
            <w:pPr>
              <w:pStyle w:val="Default"/>
              <w:jc w:val="both"/>
              <w:rPr>
                <w:color w:val="auto"/>
                <w:sz w:val="20"/>
                <w:szCs w:val="20"/>
              </w:rPr>
            </w:pPr>
            <w:r w:rsidRPr="004C11B7">
              <w:rPr>
                <w:color w:val="auto"/>
                <w:sz w:val="20"/>
                <w:szCs w:val="20"/>
              </w:rPr>
              <w:t xml:space="preserve">5) V čl. 12 bodě 2 se návětí nahrazuje tímto: </w:t>
            </w:r>
          </w:p>
          <w:p w14:paraId="3E631673" w14:textId="77777777" w:rsidR="00D47B44" w:rsidRPr="004C11B7" w:rsidRDefault="00D47B44" w:rsidP="00214FDF">
            <w:pPr>
              <w:pStyle w:val="Default"/>
              <w:jc w:val="both"/>
              <w:rPr>
                <w:color w:val="auto"/>
                <w:sz w:val="20"/>
                <w:szCs w:val="20"/>
              </w:rPr>
            </w:pPr>
            <w:r w:rsidRPr="004C11B7">
              <w:rPr>
                <w:color w:val="auto"/>
                <w:sz w:val="20"/>
                <w:szCs w:val="20"/>
              </w:rPr>
              <w:t xml:space="preserve">„2. „ostatními šumivými kvašenými nápoji“ rozumějí všechny výrobky kódů KN 2206 00 31 a 2206 00 39, jakož i výrobky kódů KN 2204 10, 2204 21 06, 2204 21 07, 2204 21 08, 2204 21 09, 2204 29 10 a 2205, které nejsou zmíněny výše v článku 8 a“. </w:t>
            </w:r>
          </w:p>
          <w:p w14:paraId="7A610D9E" w14:textId="77777777" w:rsidR="00D47B44" w:rsidRPr="004C11B7" w:rsidRDefault="00D47B44" w:rsidP="00214FDF">
            <w:pPr>
              <w:pStyle w:val="Default"/>
              <w:jc w:val="both"/>
              <w:rPr>
                <w:color w:val="auto"/>
                <w:sz w:val="20"/>
                <w:szCs w:val="20"/>
              </w:rPr>
            </w:pPr>
          </w:p>
        </w:tc>
      </w:tr>
      <w:tr w:rsidR="00D47B44" w:rsidRPr="0024091C" w14:paraId="17AA5AB7" w14:textId="77777777" w:rsidTr="00375479">
        <w:tc>
          <w:tcPr>
            <w:tcW w:w="1219" w:type="dxa"/>
            <w:vMerge w:val="restart"/>
            <w:tcBorders>
              <w:left w:val="single" w:sz="12" w:space="0" w:color="auto"/>
            </w:tcBorders>
            <w:shd w:val="clear" w:color="auto" w:fill="auto"/>
          </w:tcPr>
          <w:p w14:paraId="5A6982D3" w14:textId="7CEE07D1" w:rsidR="00E34620" w:rsidRPr="00632142" w:rsidRDefault="00E34620" w:rsidP="002A532F">
            <w:pPr>
              <w:spacing w:before="60"/>
            </w:pPr>
            <w:r w:rsidRPr="00632142">
              <w:t>§ 132</w:t>
            </w:r>
          </w:p>
        </w:tc>
        <w:tc>
          <w:tcPr>
            <w:tcW w:w="4735" w:type="dxa"/>
            <w:vMerge w:val="restart"/>
            <w:tcBorders>
              <w:right w:val="single" w:sz="12" w:space="0" w:color="auto"/>
            </w:tcBorders>
            <w:shd w:val="clear" w:color="auto" w:fill="auto"/>
          </w:tcPr>
          <w:p w14:paraId="380D00C0" w14:textId="05ED4EB1" w:rsidR="00E34620" w:rsidRPr="00632142" w:rsidRDefault="00195673" w:rsidP="00A83B59">
            <w:pPr>
              <w:jc w:val="center"/>
              <w:rPr>
                <w:b/>
              </w:rPr>
            </w:pPr>
            <w:r w:rsidRPr="00632142">
              <w:rPr>
                <w:b/>
              </w:rPr>
              <w:t>Vydání o</w:t>
            </w:r>
            <w:r w:rsidR="00E34620" w:rsidRPr="00632142">
              <w:rPr>
                <w:b/>
              </w:rPr>
              <w:t>svědčení pro účely uplatnění snížené sazby daně v jiném členském státě</w:t>
            </w:r>
          </w:p>
          <w:p w14:paraId="07172C11" w14:textId="45FE2B37" w:rsidR="0027611E" w:rsidRPr="0027611E" w:rsidRDefault="0027611E" w:rsidP="0027611E">
            <w:pPr>
              <w:jc w:val="both"/>
              <w:rPr>
                <w:b/>
              </w:rPr>
            </w:pPr>
            <w:r w:rsidRPr="0027611E">
              <w:rPr>
                <w:b/>
              </w:rPr>
              <w:t xml:space="preserve">(1) Správce daně na žádost osoby, která na daňovém území České republiky vyrábí líh, pivo, víno, ostatní kvašené nápoje nebo meziprodukty, </w:t>
            </w:r>
            <w:r w:rsidR="004916D8" w:rsidRPr="004916D8">
              <w:rPr>
                <w:b/>
              </w:rPr>
              <w:t>(dále jen „výrobce daného druhu vybraných výrobků“)</w:t>
            </w:r>
            <w:r w:rsidR="004916D8">
              <w:rPr>
                <w:b/>
              </w:rPr>
              <w:t xml:space="preserve"> </w:t>
            </w:r>
            <w:r w:rsidRPr="0027611E">
              <w:rPr>
                <w:b/>
              </w:rPr>
              <w:t xml:space="preserve">vydá pro účely uplatnění snížené sazby daně v jiném členském státě osvědčení potvrzující výrobu daného druhu vybraných výrobků </w:t>
            </w:r>
            <w:r w:rsidR="004916D8">
              <w:rPr>
                <w:b/>
              </w:rPr>
              <w:t xml:space="preserve">touto osobou </w:t>
            </w:r>
            <w:r w:rsidRPr="0027611E">
              <w:rPr>
                <w:b/>
              </w:rPr>
              <w:t>za bezprostředně předcházející kalendářní rok a splnění podmínek nezávislosti.</w:t>
            </w:r>
          </w:p>
          <w:p w14:paraId="1F024818" w14:textId="77777777" w:rsidR="0027611E" w:rsidRPr="0027611E" w:rsidRDefault="0027611E" w:rsidP="0027611E">
            <w:pPr>
              <w:jc w:val="both"/>
              <w:rPr>
                <w:b/>
              </w:rPr>
            </w:pPr>
            <w:r w:rsidRPr="0027611E">
              <w:rPr>
                <w:b/>
              </w:rPr>
              <w:t>(2) Žádost podle odstavce 1 se podává samostatně pro každý druh vybraných výrobků.</w:t>
            </w:r>
          </w:p>
          <w:p w14:paraId="359471DF" w14:textId="77777777" w:rsidR="0027611E" w:rsidRPr="0027611E" w:rsidRDefault="0027611E" w:rsidP="0027611E">
            <w:pPr>
              <w:jc w:val="both"/>
              <w:rPr>
                <w:b/>
              </w:rPr>
            </w:pPr>
            <w:r w:rsidRPr="0027611E">
              <w:rPr>
                <w:b/>
              </w:rPr>
              <w:t xml:space="preserve">(3) Osvědčení podle odstavce 1 se vydává na kalendářní rok. </w:t>
            </w:r>
          </w:p>
          <w:p w14:paraId="1AE157D9" w14:textId="42CCAF54" w:rsidR="0027611E" w:rsidRPr="0027611E" w:rsidRDefault="0027611E" w:rsidP="0027611E">
            <w:pPr>
              <w:jc w:val="both"/>
              <w:rPr>
                <w:b/>
              </w:rPr>
            </w:pPr>
            <w:r w:rsidRPr="0027611E">
              <w:rPr>
                <w:b/>
              </w:rPr>
              <w:t xml:space="preserve">(4) Vzor osvědčení podle odstavce 1 stanoví nařízení Komise </w:t>
            </w:r>
            <w:r w:rsidR="004916D8">
              <w:rPr>
                <w:b/>
              </w:rPr>
              <w:t>upravující</w:t>
            </w:r>
            <w:r w:rsidR="004916D8" w:rsidRPr="0027611E">
              <w:rPr>
                <w:b/>
              </w:rPr>
              <w:t xml:space="preserve"> </w:t>
            </w:r>
            <w:r w:rsidRPr="0027611E">
              <w:rPr>
                <w:b/>
              </w:rPr>
              <w:t>formulář pro osvědčení malého nezávislého výrobce.</w:t>
            </w:r>
          </w:p>
          <w:p w14:paraId="2A995015" w14:textId="77777777" w:rsidR="004916D8" w:rsidRDefault="0027611E" w:rsidP="004916D8">
            <w:pPr>
              <w:widowControl w:val="0"/>
              <w:pBdr>
                <w:top w:val="dotted" w:sz="12" w:space="1" w:color="C00000"/>
                <w:left w:val="dotted" w:sz="12" w:space="4" w:color="C00000"/>
                <w:bottom w:val="dotted" w:sz="12" w:space="1" w:color="C00000"/>
                <w:right w:val="dotted" w:sz="12" w:space="4" w:color="C00000"/>
              </w:pBdr>
              <w:ind w:left="284" w:hanging="284"/>
              <w:jc w:val="both"/>
              <w:rPr>
                <w:b/>
              </w:rPr>
            </w:pPr>
            <w:r w:rsidRPr="0027611E">
              <w:rPr>
                <w:b/>
              </w:rPr>
              <w:t xml:space="preserve">(5) Správce daně žádost podle odstavce 1 zamítne, pokud </w:t>
            </w:r>
          </w:p>
          <w:p w14:paraId="5F18E05F" w14:textId="46043606" w:rsidR="004916D8" w:rsidRPr="00B325B0" w:rsidRDefault="004916D8" w:rsidP="004916D8">
            <w:pPr>
              <w:widowControl w:val="0"/>
              <w:pBdr>
                <w:top w:val="dotted" w:sz="12" w:space="1" w:color="C00000"/>
                <w:left w:val="dotted" w:sz="12" w:space="4" w:color="C00000"/>
                <w:bottom w:val="dotted" w:sz="12" w:space="1" w:color="C00000"/>
                <w:right w:val="dotted" w:sz="12" w:space="4" w:color="C00000"/>
              </w:pBdr>
              <w:ind w:left="284" w:hanging="284"/>
              <w:jc w:val="both"/>
              <w:rPr>
                <w:b/>
                <w:szCs w:val="24"/>
              </w:rPr>
            </w:pPr>
            <w:r w:rsidRPr="00B325B0">
              <w:rPr>
                <w:b/>
                <w:szCs w:val="24"/>
              </w:rPr>
              <w:t>a)</w:t>
            </w:r>
            <w:r w:rsidRPr="00B325B0">
              <w:rPr>
                <w:b/>
                <w:szCs w:val="24"/>
              </w:rPr>
              <w:tab/>
              <w:t>výrobce daného druhu vybraných výrobků</w:t>
            </w:r>
          </w:p>
          <w:p w14:paraId="586476CD" w14:textId="77777777" w:rsidR="004916D8" w:rsidRPr="00B325B0" w:rsidRDefault="004916D8" w:rsidP="004916D8">
            <w:pPr>
              <w:widowControl w:val="0"/>
              <w:pBdr>
                <w:top w:val="dotted" w:sz="12" w:space="1" w:color="C00000"/>
                <w:left w:val="dotted" w:sz="12" w:space="4" w:color="C00000"/>
                <w:bottom w:val="dotted" w:sz="12" w:space="1" w:color="C00000"/>
                <w:right w:val="dotted" w:sz="12" w:space="4" w:color="C00000"/>
              </w:pBdr>
              <w:tabs>
                <w:tab w:val="left" w:pos="284"/>
              </w:tabs>
              <w:ind w:left="510" w:hanging="510"/>
              <w:jc w:val="both"/>
              <w:rPr>
                <w:b/>
                <w:szCs w:val="24"/>
              </w:rPr>
            </w:pPr>
            <w:r w:rsidRPr="00B325B0">
              <w:rPr>
                <w:b/>
                <w:szCs w:val="24"/>
              </w:rPr>
              <w:tab/>
              <w:t>1. nesplňuje podmínky nezávislosti, nebo</w:t>
            </w:r>
          </w:p>
          <w:p w14:paraId="212E6B98" w14:textId="77777777" w:rsidR="004916D8" w:rsidRPr="00B325B0" w:rsidRDefault="004916D8" w:rsidP="004916D8">
            <w:pPr>
              <w:widowControl w:val="0"/>
              <w:pBdr>
                <w:top w:val="dotted" w:sz="12" w:space="1" w:color="C00000"/>
                <w:left w:val="dotted" w:sz="12" w:space="4" w:color="C00000"/>
                <w:bottom w:val="dotted" w:sz="12" w:space="1" w:color="C00000"/>
                <w:right w:val="dotted" w:sz="12" w:space="4" w:color="C00000"/>
              </w:pBdr>
              <w:tabs>
                <w:tab w:val="left" w:pos="284"/>
              </w:tabs>
              <w:ind w:left="510" w:hanging="510"/>
              <w:jc w:val="both"/>
              <w:rPr>
                <w:b/>
                <w:szCs w:val="24"/>
              </w:rPr>
            </w:pPr>
            <w:r w:rsidRPr="00B325B0">
              <w:rPr>
                <w:b/>
                <w:szCs w:val="24"/>
              </w:rPr>
              <w:tab/>
              <w:t>2. vyrábí daný druh vybraných výrobků v licenci, nebo</w:t>
            </w:r>
          </w:p>
          <w:p w14:paraId="0CE266E3" w14:textId="77777777" w:rsidR="004916D8" w:rsidRPr="00B325B0" w:rsidRDefault="004916D8" w:rsidP="004916D8">
            <w:pPr>
              <w:widowControl w:val="0"/>
              <w:pBdr>
                <w:top w:val="dotted" w:sz="12" w:space="1" w:color="C00000"/>
                <w:left w:val="dotted" w:sz="12" w:space="4" w:color="C00000"/>
                <w:bottom w:val="dotted" w:sz="12" w:space="1" w:color="C00000"/>
                <w:right w:val="dotted" w:sz="12" w:space="4" w:color="C00000"/>
              </w:pBdr>
              <w:ind w:left="284" w:hanging="284"/>
              <w:jc w:val="both"/>
              <w:rPr>
                <w:b/>
                <w:szCs w:val="24"/>
              </w:rPr>
            </w:pPr>
            <w:r w:rsidRPr="00B325B0">
              <w:rPr>
                <w:b/>
                <w:szCs w:val="24"/>
              </w:rPr>
              <w:t>b)</w:t>
            </w:r>
            <w:r w:rsidRPr="00B325B0">
              <w:rPr>
                <w:b/>
                <w:szCs w:val="24"/>
              </w:rPr>
              <w:tab/>
              <w:t>výroba daného druhu vybraných výrobků, pro který výrobce daného druhu vybraných výrobků žádá o vydání osvědčení, za bezprostředně předcházející kalendářní rok překročí v případě</w:t>
            </w:r>
          </w:p>
          <w:p w14:paraId="6491BC93" w14:textId="77777777" w:rsidR="004916D8" w:rsidRPr="00B325B0" w:rsidRDefault="004916D8" w:rsidP="004916D8">
            <w:pPr>
              <w:widowControl w:val="0"/>
              <w:pBdr>
                <w:top w:val="dotted" w:sz="12" w:space="1" w:color="C00000"/>
                <w:left w:val="dotted" w:sz="12" w:space="4" w:color="C00000"/>
                <w:bottom w:val="dotted" w:sz="12" w:space="1" w:color="C00000"/>
                <w:right w:val="dotted" w:sz="12" w:space="4" w:color="C00000"/>
              </w:pBdr>
              <w:tabs>
                <w:tab w:val="left" w:pos="284"/>
              </w:tabs>
              <w:ind w:left="510" w:hanging="510"/>
              <w:jc w:val="both"/>
              <w:rPr>
                <w:b/>
                <w:szCs w:val="24"/>
              </w:rPr>
            </w:pPr>
            <w:r w:rsidRPr="00B325B0">
              <w:rPr>
                <w:b/>
                <w:szCs w:val="24"/>
              </w:rPr>
              <w:tab/>
              <w:t>1.</w:t>
            </w:r>
            <w:r w:rsidRPr="00B325B0">
              <w:rPr>
                <w:b/>
                <w:szCs w:val="24"/>
              </w:rPr>
              <w:tab/>
              <w:t>lihu 10 hl etanolu,</w:t>
            </w:r>
          </w:p>
          <w:p w14:paraId="45FC3063" w14:textId="77777777" w:rsidR="004916D8" w:rsidRPr="00B325B0" w:rsidRDefault="004916D8" w:rsidP="004916D8">
            <w:pPr>
              <w:widowControl w:val="0"/>
              <w:pBdr>
                <w:top w:val="dotted" w:sz="12" w:space="1" w:color="C00000"/>
                <w:left w:val="dotted" w:sz="12" w:space="4" w:color="C00000"/>
                <w:bottom w:val="dotted" w:sz="12" w:space="1" w:color="C00000"/>
                <w:right w:val="dotted" w:sz="12" w:space="4" w:color="C00000"/>
              </w:pBdr>
              <w:tabs>
                <w:tab w:val="left" w:pos="284"/>
              </w:tabs>
              <w:ind w:left="510" w:hanging="510"/>
              <w:jc w:val="both"/>
              <w:rPr>
                <w:b/>
                <w:szCs w:val="24"/>
              </w:rPr>
            </w:pPr>
            <w:r w:rsidRPr="00B325B0">
              <w:rPr>
                <w:b/>
                <w:szCs w:val="24"/>
              </w:rPr>
              <w:tab/>
              <w:t>2.</w:t>
            </w:r>
            <w:r w:rsidRPr="00B325B0">
              <w:rPr>
                <w:b/>
                <w:szCs w:val="24"/>
              </w:rPr>
              <w:tab/>
              <w:t>piva 200 000 hl,</w:t>
            </w:r>
          </w:p>
          <w:p w14:paraId="76D92FC3" w14:textId="77777777" w:rsidR="004916D8" w:rsidRPr="00B325B0" w:rsidRDefault="004916D8" w:rsidP="004916D8">
            <w:pPr>
              <w:widowControl w:val="0"/>
              <w:pBdr>
                <w:top w:val="dotted" w:sz="12" w:space="1" w:color="C00000"/>
                <w:left w:val="dotted" w:sz="12" w:space="4" w:color="C00000"/>
                <w:bottom w:val="dotted" w:sz="12" w:space="1" w:color="C00000"/>
                <w:right w:val="dotted" w:sz="12" w:space="4" w:color="C00000"/>
              </w:pBdr>
              <w:tabs>
                <w:tab w:val="left" w:pos="284"/>
              </w:tabs>
              <w:ind w:left="510" w:hanging="510"/>
              <w:jc w:val="both"/>
              <w:rPr>
                <w:b/>
                <w:szCs w:val="24"/>
              </w:rPr>
            </w:pPr>
            <w:r w:rsidRPr="00B325B0">
              <w:rPr>
                <w:b/>
                <w:szCs w:val="24"/>
              </w:rPr>
              <w:tab/>
              <w:t>3.</w:t>
            </w:r>
            <w:r w:rsidRPr="00B325B0">
              <w:rPr>
                <w:b/>
                <w:szCs w:val="24"/>
              </w:rPr>
              <w:tab/>
              <w:t>vína 1 000 hl,</w:t>
            </w:r>
          </w:p>
          <w:p w14:paraId="050A37F7" w14:textId="77777777" w:rsidR="004916D8" w:rsidRPr="00B325B0" w:rsidRDefault="004916D8" w:rsidP="004916D8">
            <w:pPr>
              <w:widowControl w:val="0"/>
              <w:pBdr>
                <w:top w:val="dotted" w:sz="12" w:space="1" w:color="C00000"/>
                <w:left w:val="dotted" w:sz="12" w:space="4" w:color="C00000"/>
                <w:bottom w:val="dotted" w:sz="12" w:space="1" w:color="C00000"/>
                <w:right w:val="dotted" w:sz="12" w:space="4" w:color="C00000"/>
              </w:pBdr>
              <w:tabs>
                <w:tab w:val="left" w:pos="284"/>
              </w:tabs>
              <w:ind w:left="510" w:hanging="510"/>
              <w:jc w:val="both"/>
              <w:rPr>
                <w:b/>
                <w:szCs w:val="24"/>
              </w:rPr>
            </w:pPr>
            <w:r w:rsidRPr="00B325B0">
              <w:rPr>
                <w:b/>
                <w:szCs w:val="24"/>
              </w:rPr>
              <w:tab/>
              <w:t>4.</w:t>
            </w:r>
            <w:r w:rsidRPr="00B325B0">
              <w:rPr>
                <w:b/>
                <w:szCs w:val="24"/>
              </w:rPr>
              <w:tab/>
              <w:t>ostatních kvašených nápojů 15 000 hl,</w:t>
            </w:r>
          </w:p>
          <w:p w14:paraId="7EDCCC25" w14:textId="77777777" w:rsidR="004916D8" w:rsidRDefault="004916D8" w:rsidP="00B325B0">
            <w:pPr>
              <w:widowControl w:val="0"/>
              <w:tabs>
                <w:tab w:val="left" w:pos="284"/>
              </w:tabs>
              <w:ind w:left="510" w:hanging="510"/>
              <w:jc w:val="both"/>
              <w:rPr>
                <w:b/>
              </w:rPr>
            </w:pPr>
            <w:r w:rsidRPr="00B325B0">
              <w:rPr>
                <w:b/>
                <w:szCs w:val="24"/>
              </w:rPr>
              <w:tab/>
              <w:t>5.</w:t>
            </w:r>
            <w:r w:rsidRPr="00B325B0">
              <w:rPr>
                <w:b/>
                <w:szCs w:val="24"/>
              </w:rPr>
              <w:tab/>
              <w:t>meziproduktů 250 hl.</w:t>
            </w:r>
            <w:r w:rsidRPr="0027611E" w:rsidDel="004916D8">
              <w:rPr>
                <w:b/>
              </w:rPr>
              <w:t xml:space="preserve"> </w:t>
            </w:r>
          </w:p>
          <w:p w14:paraId="33C2BD0C" w14:textId="23C32AB7" w:rsidR="00D47B44" w:rsidRPr="00632142" w:rsidRDefault="0027611E" w:rsidP="004916D8">
            <w:pPr>
              <w:jc w:val="both"/>
            </w:pPr>
            <w:r w:rsidRPr="0027611E">
              <w:rPr>
                <w:b/>
              </w:rPr>
              <w:t xml:space="preserve">(6) Správce daně rozhodne o žádosti podle odstavce 1 </w:t>
            </w:r>
            <w:r w:rsidR="004916D8">
              <w:rPr>
                <w:b/>
              </w:rPr>
              <w:t>nejpozději do</w:t>
            </w:r>
            <w:r w:rsidRPr="0027611E">
              <w:rPr>
                <w:b/>
              </w:rPr>
              <w:t xml:space="preserve"> 30 dnů ode dne podání této žádosti; běh této lhůty však započne nejdříve 1. ledna kalendářního roku, na který se osvědčení vydává.  Ve zvlášť složitých případech může tuto lhůtu prodloužit nejblíže nadřízený správce daně. O tomto prodloužení lhůty správce daně žadatele vhodným způsobem vyrozumí.</w:t>
            </w:r>
          </w:p>
        </w:tc>
        <w:tc>
          <w:tcPr>
            <w:tcW w:w="1359" w:type="dxa"/>
            <w:vMerge w:val="restart"/>
            <w:tcBorders>
              <w:left w:val="single" w:sz="12" w:space="0" w:color="auto"/>
            </w:tcBorders>
            <w:shd w:val="clear" w:color="auto" w:fill="auto"/>
          </w:tcPr>
          <w:p w14:paraId="50DB477B" w14:textId="745A2EAC" w:rsidR="00D47B44" w:rsidRPr="004C11B7" w:rsidRDefault="002A532F" w:rsidP="00214FDF">
            <w:pPr>
              <w:spacing w:before="60"/>
              <w:jc w:val="both"/>
            </w:pPr>
            <w:r w:rsidRPr="004C11B7">
              <w:t>32020L1151</w:t>
            </w:r>
          </w:p>
        </w:tc>
        <w:tc>
          <w:tcPr>
            <w:tcW w:w="1207" w:type="dxa"/>
            <w:tcBorders>
              <w:bottom w:val="single" w:sz="4" w:space="0" w:color="auto"/>
            </w:tcBorders>
            <w:shd w:val="clear" w:color="auto" w:fill="auto"/>
          </w:tcPr>
          <w:p w14:paraId="07521686" w14:textId="194F1BBB" w:rsidR="00D47B44" w:rsidRPr="004C11B7" w:rsidRDefault="002A532F" w:rsidP="00214FDF">
            <w:r w:rsidRPr="004C11B7">
              <w:t>Čl. 1 odst. 13 (nový čl. 23a odst. 1 směrnice 92/83/EHS)</w:t>
            </w:r>
          </w:p>
        </w:tc>
        <w:tc>
          <w:tcPr>
            <w:tcW w:w="5655" w:type="dxa"/>
            <w:tcBorders>
              <w:bottom w:val="single" w:sz="4" w:space="0" w:color="auto"/>
              <w:right w:val="single" w:sz="12" w:space="0" w:color="auto"/>
            </w:tcBorders>
            <w:shd w:val="clear" w:color="auto" w:fill="auto"/>
          </w:tcPr>
          <w:p w14:paraId="7336C82D" w14:textId="65162793" w:rsidR="00D47B44" w:rsidRPr="004C11B7" w:rsidRDefault="002A532F" w:rsidP="00214FDF">
            <w:pPr>
              <w:pStyle w:val="Default"/>
              <w:jc w:val="both"/>
              <w:rPr>
                <w:color w:val="auto"/>
                <w:sz w:val="20"/>
                <w:szCs w:val="20"/>
              </w:rPr>
            </w:pPr>
            <w:r w:rsidRPr="004C11B7">
              <w:rPr>
                <w:sz w:val="20"/>
                <w:szCs w:val="20"/>
              </w:rPr>
              <w:t xml:space="preserve">1. Za podmínek, jež přijmou pro zajištění jednoznačného uplatňování článků </w:t>
            </w:r>
            <w:r w:rsidRPr="006B7CAB">
              <w:rPr>
                <w:b/>
                <w:sz w:val="20"/>
                <w:szCs w:val="20"/>
              </w:rPr>
              <w:t>4, 9a, 13a a 18a a čl. 22 odst. 1, 2 a 3</w:t>
            </w:r>
            <w:r w:rsidRPr="004C11B7">
              <w:rPr>
                <w:sz w:val="20"/>
                <w:szCs w:val="20"/>
              </w:rPr>
              <w:t xml:space="preserve"> této směrnice, členské státy na vyžádání vydají malým nezávislým výrobcům usazeným na jejich území roční osvědčení potvrzující v relevantních případech jejich celkovou roční výrobu uvedenou v uvedených ustanoveních a jejich soulad s relevantními kritérii stanovenými v čl. 4 odst. 2, čl. 9a odst. 2, čl. 13a odst. 4, čl. 18a odst. 3 a čl. 22 odst. 2 této směrnice. Správní doklad pro dopravu zboží podle kapitoly IV nebo V směrnice 2008/118/ES se odkazuje na toto osvědčení uvedené v tomto odstavci.</w:t>
            </w:r>
          </w:p>
        </w:tc>
      </w:tr>
      <w:tr w:rsidR="00D47B44" w:rsidRPr="0024091C" w14:paraId="353D123C" w14:textId="77777777" w:rsidTr="006B7CAB">
        <w:tc>
          <w:tcPr>
            <w:tcW w:w="1219" w:type="dxa"/>
            <w:vMerge/>
            <w:tcBorders>
              <w:left w:val="single" w:sz="12" w:space="0" w:color="auto"/>
              <w:bottom w:val="single" w:sz="4" w:space="0" w:color="auto"/>
            </w:tcBorders>
            <w:shd w:val="clear" w:color="auto" w:fill="auto"/>
          </w:tcPr>
          <w:p w14:paraId="7D66D566" w14:textId="77777777" w:rsidR="00D47B44" w:rsidRPr="004C11B7" w:rsidRDefault="00D47B44" w:rsidP="00214FDF">
            <w:pPr>
              <w:spacing w:before="60"/>
            </w:pPr>
          </w:p>
        </w:tc>
        <w:tc>
          <w:tcPr>
            <w:tcW w:w="4735" w:type="dxa"/>
            <w:vMerge/>
            <w:tcBorders>
              <w:bottom w:val="single" w:sz="4" w:space="0" w:color="auto"/>
              <w:right w:val="single" w:sz="12" w:space="0" w:color="auto"/>
            </w:tcBorders>
            <w:shd w:val="clear" w:color="auto" w:fill="auto"/>
          </w:tcPr>
          <w:p w14:paraId="6D15AFB9" w14:textId="77777777" w:rsidR="00D47B44" w:rsidRPr="004C11B7" w:rsidRDefault="00D47B44" w:rsidP="00214FDF">
            <w:pPr>
              <w:jc w:val="both"/>
            </w:pPr>
          </w:p>
        </w:tc>
        <w:tc>
          <w:tcPr>
            <w:tcW w:w="1359" w:type="dxa"/>
            <w:vMerge/>
            <w:tcBorders>
              <w:left w:val="single" w:sz="12" w:space="0" w:color="auto"/>
              <w:bottom w:val="single" w:sz="4" w:space="0" w:color="auto"/>
            </w:tcBorders>
            <w:shd w:val="clear" w:color="auto" w:fill="auto"/>
          </w:tcPr>
          <w:p w14:paraId="74034E34" w14:textId="77777777" w:rsidR="00D47B44" w:rsidRPr="004C11B7" w:rsidRDefault="00D47B44" w:rsidP="00214FDF">
            <w:pPr>
              <w:spacing w:before="60"/>
              <w:jc w:val="both"/>
            </w:pPr>
          </w:p>
        </w:tc>
        <w:tc>
          <w:tcPr>
            <w:tcW w:w="1207" w:type="dxa"/>
            <w:tcBorders>
              <w:bottom w:val="single" w:sz="4" w:space="0" w:color="auto"/>
            </w:tcBorders>
            <w:shd w:val="clear" w:color="auto" w:fill="auto"/>
          </w:tcPr>
          <w:p w14:paraId="3DDC26CA" w14:textId="4CD4BD12" w:rsidR="00D47B44" w:rsidRPr="004C11B7" w:rsidRDefault="00D47B44" w:rsidP="00214FDF"/>
        </w:tc>
        <w:tc>
          <w:tcPr>
            <w:tcW w:w="5655" w:type="dxa"/>
            <w:tcBorders>
              <w:bottom w:val="single" w:sz="4" w:space="0" w:color="auto"/>
              <w:right w:val="single" w:sz="12" w:space="0" w:color="auto"/>
            </w:tcBorders>
            <w:shd w:val="clear" w:color="auto" w:fill="auto"/>
          </w:tcPr>
          <w:p w14:paraId="65C0EC7B" w14:textId="2EDA92CC" w:rsidR="00D47B44" w:rsidRPr="004C11B7" w:rsidRDefault="00D47B44" w:rsidP="00214FDF">
            <w:pPr>
              <w:pStyle w:val="Default"/>
              <w:jc w:val="both"/>
              <w:rPr>
                <w:sz w:val="20"/>
                <w:szCs w:val="20"/>
              </w:rPr>
            </w:pPr>
          </w:p>
        </w:tc>
      </w:tr>
      <w:tr w:rsidR="007C5BEF" w:rsidRPr="0024091C" w14:paraId="619B419C" w14:textId="77777777" w:rsidTr="006B7CAB">
        <w:tc>
          <w:tcPr>
            <w:tcW w:w="1219" w:type="dxa"/>
            <w:vMerge w:val="restart"/>
            <w:tcBorders>
              <w:top w:val="single" w:sz="4" w:space="0" w:color="auto"/>
              <w:left w:val="single" w:sz="12" w:space="0" w:color="auto"/>
              <w:bottom w:val="single" w:sz="4" w:space="0" w:color="auto"/>
            </w:tcBorders>
            <w:shd w:val="clear" w:color="auto" w:fill="auto"/>
          </w:tcPr>
          <w:p w14:paraId="02F162B0" w14:textId="7BF08908" w:rsidR="007C5BEF" w:rsidRPr="004C11B7" w:rsidRDefault="009E3270" w:rsidP="00195673">
            <w:pPr>
              <w:spacing w:before="60"/>
            </w:pPr>
            <w:r>
              <w:t xml:space="preserve">§ 133 </w:t>
            </w:r>
          </w:p>
        </w:tc>
        <w:tc>
          <w:tcPr>
            <w:tcW w:w="4735" w:type="dxa"/>
            <w:vMerge w:val="restart"/>
            <w:tcBorders>
              <w:top w:val="single" w:sz="4" w:space="0" w:color="auto"/>
              <w:bottom w:val="single" w:sz="4" w:space="0" w:color="auto"/>
              <w:right w:val="single" w:sz="12" w:space="0" w:color="auto"/>
            </w:tcBorders>
            <w:shd w:val="clear" w:color="auto" w:fill="auto"/>
          </w:tcPr>
          <w:p w14:paraId="044F974E" w14:textId="77777777" w:rsidR="007C5BEF" w:rsidRPr="00632142" w:rsidRDefault="007C5BEF" w:rsidP="00E34620">
            <w:pPr>
              <w:jc w:val="center"/>
              <w:rPr>
                <w:b/>
              </w:rPr>
            </w:pPr>
            <w:r w:rsidRPr="00632142">
              <w:rPr>
                <w:b/>
              </w:rPr>
              <w:t>Podmínky nezávislosti pro vydání osvědčení pro účely uplatnění snížené sazby daně v jiném členském státě</w:t>
            </w:r>
          </w:p>
          <w:p w14:paraId="7C6C4BD9" w14:textId="6EC4D85A" w:rsidR="007C5BEF" w:rsidRPr="00632142" w:rsidRDefault="007C5BEF" w:rsidP="00E34620">
            <w:pPr>
              <w:jc w:val="both"/>
              <w:rPr>
                <w:b/>
              </w:rPr>
            </w:pPr>
            <w:r w:rsidRPr="00632142">
              <w:rPr>
                <w:b/>
              </w:rPr>
              <w:t xml:space="preserve">(1) </w:t>
            </w:r>
            <w:r w:rsidR="004916D8" w:rsidRPr="004916D8">
              <w:rPr>
                <w:b/>
              </w:rPr>
              <w:t xml:space="preserve">Výrobce daného druhu vybraných výrobků </w:t>
            </w:r>
            <w:r w:rsidRPr="00632142">
              <w:rPr>
                <w:b/>
              </w:rPr>
              <w:t xml:space="preserve">splňuje podmínky nezávislosti, pokud </w:t>
            </w:r>
          </w:p>
          <w:p w14:paraId="61A6B83A" w14:textId="10ACF1FB" w:rsidR="007C5BEF" w:rsidRPr="00632142" w:rsidRDefault="007C5BEF" w:rsidP="00E34620">
            <w:pPr>
              <w:jc w:val="both"/>
              <w:rPr>
                <w:b/>
              </w:rPr>
            </w:pPr>
            <w:r w:rsidRPr="00632142">
              <w:rPr>
                <w:b/>
              </w:rPr>
              <w:t xml:space="preserve">a) není právně ani hospodářsky závislý na jiném </w:t>
            </w:r>
            <w:r w:rsidR="004D5E94">
              <w:rPr>
                <w:b/>
              </w:rPr>
              <w:t>výrobci</w:t>
            </w:r>
            <w:r w:rsidRPr="00632142">
              <w:rPr>
                <w:b/>
              </w:rPr>
              <w:t xml:space="preserve"> daného druhu vybraných výrobků a</w:t>
            </w:r>
          </w:p>
          <w:p w14:paraId="53F67557" w14:textId="074E81BA" w:rsidR="007C5BEF" w:rsidRPr="00632142" w:rsidRDefault="007C5BEF" w:rsidP="00E34620">
            <w:pPr>
              <w:jc w:val="both"/>
              <w:rPr>
                <w:b/>
              </w:rPr>
            </w:pPr>
            <w:r w:rsidRPr="00632142">
              <w:rPr>
                <w:b/>
              </w:rPr>
              <w:t xml:space="preserve">b) </w:t>
            </w:r>
            <w:r w:rsidR="004D5E94">
              <w:rPr>
                <w:b/>
              </w:rPr>
              <w:t xml:space="preserve">jím provozovaný daňový sklad </w:t>
            </w:r>
            <w:r w:rsidR="00C24EE8" w:rsidRPr="00C24EE8">
              <w:rPr>
                <w:b/>
              </w:rPr>
              <w:t xml:space="preserve">pro výrobu daného druhu vybraných výrobků </w:t>
            </w:r>
            <w:r w:rsidRPr="00632142">
              <w:rPr>
                <w:b/>
              </w:rPr>
              <w:t xml:space="preserve">není svými nadzemními ani podzemními provozními </w:t>
            </w:r>
            <w:r w:rsidR="00AB08DD">
              <w:rPr>
                <w:b/>
              </w:rPr>
              <w:t>ani</w:t>
            </w:r>
            <w:r w:rsidR="00AB08DD" w:rsidRPr="00632142">
              <w:rPr>
                <w:b/>
              </w:rPr>
              <w:t> </w:t>
            </w:r>
            <w:r w:rsidRPr="00632142">
              <w:rPr>
                <w:b/>
              </w:rPr>
              <w:t xml:space="preserve">skladovacími prostorami technologicky </w:t>
            </w:r>
            <w:r w:rsidR="00C24EE8">
              <w:rPr>
                <w:b/>
              </w:rPr>
              <w:t>nebo</w:t>
            </w:r>
            <w:r w:rsidR="00C24EE8" w:rsidRPr="00632142">
              <w:rPr>
                <w:b/>
              </w:rPr>
              <w:t xml:space="preserve"> </w:t>
            </w:r>
            <w:r w:rsidRPr="00632142">
              <w:rPr>
                <w:b/>
              </w:rPr>
              <w:t xml:space="preserve">jinak propojen s prostorami jiného daňového skladu </w:t>
            </w:r>
            <w:r w:rsidR="00C24EE8">
              <w:rPr>
                <w:b/>
              </w:rPr>
              <w:t xml:space="preserve">pro výrobu </w:t>
            </w:r>
            <w:r w:rsidRPr="00632142">
              <w:rPr>
                <w:b/>
              </w:rPr>
              <w:t>daného druhu vybraných výrobků</w:t>
            </w:r>
            <w:r w:rsidR="004D5E94">
              <w:rPr>
                <w:b/>
              </w:rPr>
              <w:t>; to neplatí pro výrobce lihu</w:t>
            </w:r>
            <w:r w:rsidRPr="00632142">
              <w:rPr>
                <w:b/>
              </w:rPr>
              <w:t>.</w:t>
            </w:r>
          </w:p>
          <w:p w14:paraId="31007681" w14:textId="69D37C2F" w:rsidR="007C5BEF" w:rsidRPr="00632142" w:rsidRDefault="007C5BEF" w:rsidP="00E34620">
            <w:pPr>
              <w:jc w:val="both"/>
              <w:rPr>
                <w:b/>
              </w:rPr>
            </w:pPr>
            <w:r w:rsidRPr="00632142">
              <w:rPr>
                <w:b/>
              </w:rPr>
              <w:t xml:space="preserve">(2) </w:t>
            </w:r>
            <w:r w:rsidR="004D5E94" w:rsidRPr="004D5E94">
              <w:rPr>
                <w:b/>
              </w:rPr>
              <w:t xml:space="preserve">Výrobce daného druhu vybraných výrobků </w:t>
            </w:r>
            <w:r w:rsidRPr="00632142">
              <w:rPr>
                <w:b/>
              </w:rPr>
              <w:t>je právně nebo hospodářsky závislý</w:t>
            </w:r>
            <w:r w:rsidR="004D5E94">
              <w:rPr>
                <w:b/>
              </w:rPr>
              <w:t xml:space="preserve"> na jiném výrobci daného druhu vybraných výrobků</w:t>
            </w:r>
            <w:r w:rsidRPr="00632142">
              <w:rPr>
                <w:b/>
              </w:rPr>
              <w:t>, pokud</w:t>
            </w:r>
          </w:p>
          <w:p w14:paraId="79CEFBEA" w14:textId="7152C624" w:rsidR="007C5BEF" w:rsidRPr="00632142" w:rsidRDefault="007C5BEF" w:rsidP="00E34620">
            <w:pPr>
              <w:jc w:val="both"/>
              <w:rPr>
                <w:b/>
              </w:rPr>
            </w:pPr>
            <w:r w:rsidRPr="00632142">
              <w:rPr>
                <w:b/>
              </w:rPr>
              <w:t xml:space="preserve">a) </w:t>
            </w:r>
            <w:r w:rsidR="004D5E94">
              <w:rPr>
                <w:b/>
              </w:rPr>
              <w:t>vlastní</w:t>
            </w:r>
            <w:r w:rsidRPr="00632142">
              <w:rPr>
                <w:b/>
              </w:rPr>
              <w:t xml:space="preserve"> více než 50% podíl na čistém majetku nebo </w:t>
            </w:r>
            <w:r w:rsidR="004D5E94">
              <w:rPr>
                <w:b/>
              </w:rPr>
              <w:t>disponuje</w:t>
            </w:r>
            <w:r w:rsidR="004D5E94" w:rsidRPr="00632142">
              <w:rPr>
                <w:b/>
              </w:rPr>
              <w:t xml:space="preserve"> </w:t>
            </w:r>
            <w:r w:rsidRPr="00632142">
              <w:rPr>
                <w:b/>
              </w:rPr>
              <w:t>více než 50 % hlasovacích práv</w:t>
            </w:r>
            <w:r w:rsidR="004D5E94">
              <w:rPr>
                <w:b/>
              </w:rPr>
              <w:t xml:space="preserve"> </w:t>
            </w:r>
            <w:r w:rsidR="004D5E94" w:rsidRPr="004D5E94">
              <w:rPr>
                <w:b/>
              </w:rPr>
              <w:t>jiného výrobce daného druhu vybraných výrobků</w:t>
            </w:r>
            <w:r w:rsidRPr="00632142">
              <w:rPr>
                <w:b/>
              </w:rPr>
              <w:t>,</w:t>
            </w:r>
          </w:p>
          <w:p w14:paraId="14A34409" w14:textId="792CA2B7" w:rsidR="007C5BEF" w:rsidRPr="00632142" w:rsidRDefault="007C5BEF" w:rsidP="00E34620">
            <w:pPr>
              <w:jc w:val="both"/>
              <w:rPr>
                <w:b/>
              </w:rPr>
            </w:pPr>
            <w:r w:rsidRPr="00632142">
              <w:rPr>
                <w:b/>
              </w:rPr>
              <w:t xml:space="preserve">b) </w:t>
            </w:r>
            <w:r w:rsidR="004D5E94" w:rsidRPr="004D5E94">
              <w:rPr>
                <w:b/>
              </w:rPr>
              <w:t xml:space="preserve">jím provozovanému daňovému skladu pro výrobu daného druhu vybraných výrobků </w:t>
            </w:r>
            <w:r w:rsidRPr="00632142">
              <w:rPr>
                <w:b/>
              </w:rPr>
              <w:t>chybí některý hlavní výrobní provozní soubor, nebo</w:t>
            </w:r>
          </w:p>
          <w:p w14:paraId="22201BC7" w14:textId="6C307404" w:rsidR="007C5BEF" w:rsidRDefault="007C5BEF" w:rsidP="003B1B41">
            <w:pPr>
              <w:jc w:val="both"/>
              <w:rPr>
                <w:b/>
                <w:vertAlign w:val="superscript"/>
              </w:rPr>
            </w:pPr>
            <w:r w:rsidRPr="00632142">
              <w:rPr>
                <w:b/>
              </w:rPr>
              <w:t xml:space="preserve">c) byla uzavřena jakákoliv dohoda, z níž lze dovodit přímou nebo nepřímou hospodářskou nebo právní závislost </w:t>
            </w:r>
            <w:r w:rsidR="004D5E94" w:rsidRPr="004D5E94">
              <w:rPr>
                <w:b/>
              </w:rPr>
              <w:t>tohoto výrobce na jiném výrobci daného druhu vybraných výrobků</w:t>
            </w:r>
            <w:r w:rsidRPr="00632142">
              <w:rPr>
                <w:b/>
              </w:rPr>
              <w:t xml:space="preserve">. </w:t>
            </w:r>
            <w:r w:rsidRPr="00632142">
              <w:rPr>
                <w:b/>
                <w:vertAlign w:val="superscript"/>
              </w:rPr>
              <w:t>58)</w:t>
            </w:r>
          </w:p>
          <w:p w14:paraId="71166AA1" w14:textId="33067B32" w:rsidR="00F46CBB" w:rsidRPr="00632142" w:rsidRDefault="00F46CBB" w:rsidP="003B1B41">
            <w:pPr>
              <w:jc w:val="both"/>
              <w:rPr>
                <w:b/>
              </w:rPr>
            </w:pPr>
            <w:r w:rsidRPr="00F46CBB">
              <w:rPr>
                <w:b/>
              </w:rPr>
              <w:t xml:space="preserve">(3) </w:t>
            </w:r>
            <w:r w:rsidR="004D5E94" w:rsidRPr="004D5E94">
              <w:rPr>
                <w:b/>
              </w:rPr>
              <w:t>Splňuje-li více výrobně nezávislých, avšak vzájemně právně nebo hospodářsky závislých výrobců daného druhu vybraných výrobků společně podmínku výroby daného druhu vybraných výrobků podle § 132 odst. 5 písm. b), hledí se pro účely vydání osvědčení podle § 132 odst. 1 na každého takového výrobce s výjimkou výrobce lihu jako na výrobce splňujícího podmínky nezávislosti. Pro účely určení výroby takového výrobce se za výrobu daného druhu vybraných výrobků považuje souhrnná výroba daného druhu vybraných výrobků všech těchto výrobců.</w:t>
            </w:r>
          </w:p>
        </w:tc>
        <w:tc>
          <w:tcPr>
            <w:tcW w:w="1359" w:type="dxa"/>
            <w:vMerge w:val="restart"/>
            <w:tcBorders>
              <w:top w:val="single" w:sz="4" w:space="0" w:color="auto"/>
              <w:left w:val="single" w:sz="12" w:space="0" w:color="auto"/>
              <w:bottom w:val="single" w:sz="4" w:space="0" w:color="auto"/>
            </w:tcBorders>
            <w:shd w:val="clear" w:color="auto" w:fill="auto"/>
          </w:tcPr>
          <w:p w14:paraId="0405A76A" w14:textId="243BC489" w:rsidR="007C5BEF" w:rsidRPr="004C11B7" w:rsidRDefault="007C5BEF" w:rsidP="00214FDF">
            <w:pPr>
              <w:spacing w:before="60"/>
              <w:jc w:val="both"/>
            </w:pPr>
            <w:r w:rsidRPr="004C11B7">
              <w:t>32020L1151</w:t>
            </w:r>
          </w:p>
        </w:tc>
        <w:tc>
          <w:tcPr>
            <w:tcW w:w="1207" w:type="dxa"/>
            <w:tcBorders>
              <w:top w:val="single" w:sz="4" w:space="0" w:color="auto"/>
              <w:bottom w:val="single" w:sz="4" w:space="0" w:color="auto"/>
            </w:tcBorders>
            <w:shd w:val="clear" w:color="auto" w:fill="auto"/>
          </w:tcPr>
          <w:p w14:paraId="67F449F9" w14:textId="23EF9007" w:rsidR="007C5BEF" w:rsidRPr="004C11B7" w:rsidRDefault="007C5BEF" w:rsidP="00214FDF">
            <w:r w:rsidRPr="004C11B7">
              <w:t>Čl. 1 odst. 13 (nový čl. 23a odst. 1 směrnice 92/83/EHS)</w:t>
            </w:r>
          </w:p>
        </w:tc>
        <w:tc>
          <w:tcPr>
            <w:tcW w:w="5655" w:type="dxa"/>
            <w:tcBorders>
              <w:top w:val="single" w:sz="4" w:space="0" w:color="auto"/>
              <w:bottom w:val="single" w:sz="4" w:space="0" w:color="auto"/>
              <w:right w:val="single" w:sz="12" w:space="0" w:color="auto"/>
            </w:tcBorders>
            <w:shd w:val="clear" w:color="auto" w:fill="auto"/>
          </w:tcPr>
          <w:p w14:paraId="21C6C5B4" w14:textId="38752CFB" w:rsidR="007C5BEF" w:rsidRPr="004C11B7" w:rsidRDefault="007C5BEF" w:rsidP="00717CE6">
            <w:pPr>
              <w:pStyle w:val="Default"/>
              <w:jc w:val="both"/>
              <w:rPr>
                <w:color w:val="auto"/>
                <w:sz w:val="20"/>
                <w:szCs w:val="20"/>
              </w:rPr>
            </w:pPr>
            <w:r w:rsidRPr="004C11B7">
              <w:rPr>
                <w:sz w:val="20"/>
                <w:szCs w:val="20"/>
              </w:rPr>
              <w:t xml:space="preserve">1. Za podmínek, jež přijmou pro zajištění jednoznačného uplatňování článků 4, 9a, 13a a 18a a čl. 22 odst. 1, 2 a 3 této směrnice, členské státy na vyžádání vydají malým nezávislým výrobcům usazeným na jejich území roční osvědčení potvrzující v relevantních případech jejich celkovou roční výrobu uvedenou v uvedených ustanoveních a jejich soulad s relevantními kritérii stanovenými v </w:t>
            </w:r>
            <w:r w:rsidRPr="006B7CAB">
              <w:rPr>
                <w:b/>
                <w:sz w:val="20"/>
                <w:szCs w:val="20"/>
              </w:rPr>
              <w:t>čl. 4 odst. 2, čl. 9a odst. 2, čl. 13a odst. 4, čl. 18a odst. 3 a čl. 22 odst. 2</w:t>
            </w:r>
            <w:r w:rsidRPr="004C11B7">
              <w:rPr>
                <w:sz w:val="20"/>
                <w:szCs w:val="20"/>
              </w:rPr>
              <w:t xml:space="preserve"> této směrnice. Správní doklad pro dopravu zboží podle kapitoly IV nebo V směrnice 2008/118/ES se odkazuje </w:t>
            </w:r>
            <w:r w:rsidRPr="009E3270">
              <w:rPr>
                <w:sz w:val="20"/>
                <w:szCs w:val="20"/>
              </w:rPr>
              <w:t>na toto osvědčení uvedené v tomto odstavci.</w:t>
            </w:r>
          </w:p>
        </w:tc>
      </w:tr>
      <w:tr w:rsidR="007C5BEF" w:rsidRPr="0024091C" w14:paraId="336D9B21" w14:textId="77777777" w:rsidTr="006B7CAB">
        <w:tc>
          <w:tcPr>
            <w:tcW w:w="1219" w:type="dxa"/>
            <w:vMerge/>
            <w:tcBorders>
              <w:top w:val="single" w:sz="4" w:space="0" w:color="auto"/>
              <w:left w:val="single" w:sz="12" w:space="0" w:color="auto"/>
            </w:tcBorders>
            <w:shd w:val="clear" w:color="auto" w:fill="auto"/>
          </w:tcPr>
          <w:p w14:paraId="1C30F8DB" w14:textId="77777777" w:rsidR="007C5BEF" w:rsidRPr="004C11B7" w:rsidRDefault="007C5BEF" w:rsidP="00214FDF">
            <w:pPr>
              <w:spacing w:before="60"/>
            </w:pPr>
          </w:p>
        </w:tc>
        <w:tc>
          <w:tcPr>
            <w:tcW w:w="4735" w:type="dxa"/>
            <w:vMerge/>
            <w:tcBorders>
              <w:top w:val="single" w:sz="4" w:space="0" w:color="auto"/>
              <w:right w:val="single" w:sz="12" w:space="0" w:color="auto"/>
            </w:tcBorders>
            <w:shd w:val="clear" w:color="auto" w:fill="auto"/>
          </w:tcPr>
          <w:p w14:paraId="1DC7B4B7" w14:textId="77777777" w:rsidR="007C5BEF" w:rsidRPr="00195673" w:rsidRDefault="007C5BEF" w:rsidP="00214FDF">
            <w:pPr>
              <w:jc w:val="both"/>
              <w:rPr>
                <w:b/>
                <w:highlight w:val="yellow"/>
              </w:rPr>
            </w:pPr>
          </w:p>
        </w:tc>
        <w:tc>
          <w:tcPr>
            <w:tcW w:w="1359" w:type="dxa"/>
            <w:vMerge/>
            <w:tcBorders>
              <w:top w:val="single" w:sz="4" w:space="0" w:color="auto"/>
              <w:left w:val="single" w:sz="12" w:space="0" w:color="auto"/>
            </w:tcBorders>
            <w:shd w:val="clear" w:color="auto" w:fill="auto"/>
          </w:tcPr>
          <w:p w14:paraId="116C8B14" w14:textId="77777777" w:rsidR="007C5BEF" w:rsidRPr="004C11B7" w:rsidRDefault="007C5BEF" w:rsidP="00214FDF">
            <w:pPr>
              <w:spacing w:before="60"/>
              <w:jc w:val="both"/>
            </w:pPr>
          </w:p>
        </w:tc>
        <w:tc>
          <w:tcPr>
            <w:tcW w:w="1207" w:type="dxa"/>
            <w:tcBorders>
              <w:top w:val="single" w:sz="4" w:space="0" w:color="auto"/>
            </w:tcBorders>
            <w:shd w:val="clear" w:color="auto" w:fill="auto"/>
          </w:tcPr>
          <w:p w14:paraId="0C203365" w14:textId="7F7E09CA" w:rsidR="007C5BEF" w:rsidRPr="004C11B7" w:rsidRDefault="007C5BEF" w:rsidP="00214FDF"/>
        </w:tc>
        <w:tc>
          <w:tcPr>
            <w:tcW w:w="5655" w:type="dxa"/>
            <w:tcBorders>
              <w:top w:val="single" w:sz="4" w:space="0" w:color="auto"/>
              <w:right w:val="single" w:sz="12" w:space="0" w:color="auto"/>
            </w:tcBorders>
            <w:shd w:val="clear" w:color="auto" w:fill="auto"/>
          </w:tcPr>
          <w:p w14:paraId="01A50997" w14:textId="7D7EACC6" w:rsidR="007C5BEF" w:rsidRPr="004C11B7" w:rsidRDefault="007C5BEF" w:rsidP="00214FDF">
            <w:pPr>
              <w:pStyle w:val="Default"/>
              <w:jc w:val="both"/>
              <w:rPr>
                <w:color w:val="auto"/>
                <w:sz w:val="20"/>
                <w:szCs w:val="20"/>
              </w:rPr>
            </w:pPr>
          </w:p>
        </w:tc>
      </w:tr>
      <w:tr w:rsidR="007C5BEF" w:rsidRPr="0024091C" w14:paraId="38DAB6E6" w14:textId="77777777" w:rsidTr="0066131F">
        <w:trPr>
          <w:trHeight w:val="993"/>
        </w:trPr>
        <w:tc>
          <w:tcPr>
            <w:tcW w:w="1219" w:type="dxa"/>
            <w:tcBorders>
              <w:left w:val="single" w:sz="12" w:space="0" w:color="auto"/>
              <w:bottom w:val="nil"/>
            </w:tcBorders>
            <w:shd w:val="clear" w:color="auto" w:fill="auto"/>
          </w:tcPr>
          <w:p w14:paraId="2B323A88" w14:textId="52CD0128" w:rsidR="007C5BEF" w:rsidRPr="004C11B7" w:rsidRDefault="007C5BEF" w:rsidP="00214FDF">
            <w:pPr>
              <w:spacing w:before="60"/>
            </w:pPr>
            <w:r>
              <w:t>§ 134 odst. 1</w:t>
            </w:r>
          </w:p>
        </w:tc>
        <w:tc>
          <w:tcPr>
            <w:tcW w:w="4735" w:type="dxa"/>
            <w:tcBorders>
              <w:bottom w:val="nil"/>
              <w:right w:val="single" w:sz="12" w:space="0" w:color="auto"/>
            </w:tcBorders>
            <w:shd w:val="clear" w:color="auto" w:fill="auto"/>
          </w:tcPr>
          <w:p w14:paraId="7C7C8A93" w14:textId="77777777" w:rsidR="0027611E" w:rsidRPr="0027611E" w:rsidRDefault="0027611E" w:rsidP="0027611E">
            <w:pPr>
              <w:jc w:val="both"/>
              <w:rPr>
                <w:b/>
              </w:rPr>
            </w:pPr>
            <w:r w:rsidRPr="0027611E">
              <w:rPr>
                <w:b/>
              </w:rPr>
              <w:t xml:space="preserve">(1) Pro účely potvrzení výroby podle § 132 odst. 1 se vínem rozumí </w:t>
            </w:r>
          </w:p>
          <w:p w14:paraId="50DD123A" w14:textId="1AB106EE" w:rsidR="0027611E" w:rsidRPr="0027611E" w:rsidRDefault="0027611E" w:rsidP="0027611E">
            <w:pPr>
              <w:jc w:val="both"/>
              <w:rPr>
                <w:b/>
              </w:rPr>
            </w:pPr>
            <w:r>
              <w:rPr>
                <w:b/>
              </w:rPr>
              <w:t xml:space="preserve">a) </w:t>
            </w:r>
            <w:r w:rsidRPr="0027611E">
              <w:rPr>
                <w:b/>
              </w:rPr>
              <w:t xml:space="preserve">výrobky uvedené pod kódy nomenklatury 2204 a 2205, s výjimkou vína podle písmene b), </w:t>
            </w:r>
            <w:r w:rsidR="004D5E94" w:rsidRPr="004D5E94">
              <w:rPr>
                <w:b/>
              </w:rPr>
              <w:t>jejichž skutečný obsah alkoholu přesahuje</w:t>
            </w:r>
          </w:p>
          <w:p w14:paraId="4C111968" w14:textId="4D775FC5" w:rsidR="0027611E" w:rsidRPr="0027611E" w:rsidRDefault="0027611E" w:rsidP="0027611E">
            <w:pPr>
              <w:jc w:val="both"/>
              <w:rPr>
                <w:b/>
              </w:rPr>
            </w:pPr>
            <w:r w:rsidRPr="0027611E">
              <w:rPr>
                <w:b/>
              </w:rPr>
              <w:t>1.</w:t>
            </w:r>
            <w:r>
              <w:rPr>
                <w:b/>
              </w:rPr>
              <w:t xml:space="preserve"> </w:t>
            </w:r>
            <w:r w:rsidRPr="0027611E">
              <w:rPr>
                <w:b/>
              </w:rPr>
              <w:t xml:space="preserve">1,2 % objemových, ale nepřesahuje 15 % objemových, je-li alkohol, který je obsažený v hotovém výrobku, plně kvasného původu bez přídavku lihu, </w:t>
            </w:r>
          </w:p>
          <w:p w14:paraId="4708788F" w14:textId="77A1D66A" w:rsidR="0027611E" w:rsidRPr="0027611E" w:rsidRDefault="0027611E" w:rsidP="0027611E">
            <w:pPr>
              <w:jc w:val="both"/>
              <w:rPr>
                <w:b/>
              </w:rPr>
            </w:pPr>
            <w:r>
              <w:rPr>
                <w:b/>
              </w:rPr>
              <w:t xml:space="preserve">2. </w:t>
            </w:r>
            <w:r w:rsidRPr="0027611E">
              <w:rPr>
                <w:b/>
              </w:rPr>
              <w:t>15 % objemových, ale nepřesahuje 18 % objemových, pokud byly vyrobeny bez jakéhokoli obohacování a je-li alkohol, který je obsažený v hotovém výrobku, plně kvasného původu bez přídavku lihu,</w:t>
            </w:r>
            <w:r w:rsidR="00C24EE8">
              <w:rPr>
                <w:b/>
              </w:rPr>
              <w:t xml:space="preserve"> nebo</w:t>
            </w:r>
          </w:p>
          <w:p w14:paraId="40FC35A5" w14:textId="4FABEA2C" w:rsidR="007C5BEF" w:rsidRPr="00195673" w:rsidRDefault="0027611E" w:rsidP="00DE29FA">
            <w:pPr>
              <w:jc w:val="both"/>
              <w:rPr>
                <w:b/>
                <w:highlight w:val="yellow"/>
              </w:rPr>
            </w:pPr>
            <w:r>
              <w:rPr>
                <w:b/>
              </w:rPr>
              <w:t xml:space="preserve">b) </w:t>
            </w:r>
            <w:r w:rsidRPr="0027611E">
              <w:rPr>
                <w:b/>
              </w:rPr>
              <w:t>výrobky uvedené pod kódy nomenklatury 2204 10, 2204 21 06, 2204 21 07, 2204 21 08, 2204 21 09, 2204 29 10 a 2205, které jsou plněny do lahví s hřibovitou zátkou pro šumivé víno, která je upevněná zvláštním úchytným zařízením, nebo které při uzavřeném obsahu při 20 °C mají přetlak 3 bary a více, který lze odvodit z přítomnosti rozpuštěného oxidu uhličitého, a jejichž skutečný obsah alkoholu přesahuje 1,2 % objemových, ale nepřesahuje 15 % objemových, je-li alkohol, který je obsažený v hotovém výrobku, plně kvasného původu bez přídavku lihu.</w:t>
            </w:r>
          </w:p>
        </w:tc>
        <w:tc>
          <w:tcPr>
            <w:tcW w:w="1359" w:type="dxa"/>
            <w:tcBorders>
              <w:left w:val="single" w:sz="12" w:space="0" w:color="auto"/>
              <w:bottom w:val="nil"/>
            </w:tcBorders>
            <w:shd w:val="clear" w:color="auto" w:fill="auto"/>
          </w:tcPr>
          <w:p w14:paraId="26A2C44C" w14:textId="5862C051" w:rsidR="007C5BEF" w:rsidRPr="004C11B7" w:rsidRDefault="007C5BEF" w:rsidP="00717CE6">
            <w:pPr>
              <w:spacing w:before="60"/>
              <w:jc w:val="both"/>
            </w:pPr>
            <w:r w:rsidRPr="004C11B7">
              <w:t>3199</w:t>
            </w:r>
            <w:r>
              <w:t>2</w:t>
            </w:r>
            <w:r w:rsidRPr="004C11B7">
              <w:t>L0083</w:t>
            </w:r>
          </w:p>
        </w:tc>
        <w:tc>
          <w:tcPr>
            <w:tcW w:w="1207" w:type="dxa"/>
            <w:shd w:val="clear" w:color="auto" w:fill="auto"/>
          </w:tcPr>
          <w:p w14:paraId="4D516AC7" w14:textId="5F78D371" w:rsidR="007C5BEF" w:rsidRPr="007908DE" w:rsidRDefault="007C5BEF" w:rsidP="00214FDF">
            <w:r w:rsidRPr="007908DE">
              <w:t>Čl. 8 odst. 1</w:t>
            </w:r>
          </w:p>
        </w:tc>
        <w:tc>
          <w:tcPr>
            <w:tcW w:w="5655" w:type="dxa"/>
            <w:tcBorders>
              <w:right w:val="single" w:sz="12" w:space="0" w:color="auto"/>
            </w:tcBorders>
            <w:shd w:val="clear" w:color="auto" w:fill="auto"/>
          </w:tcPr>
          <w:p w14:paraId="39548518" w14:textId="77777777" w:rsidR="007C5BEF" w:rsidRPr="007908DE" w:rsidRDefault="007C5BEF" w:rsidP="002518B5">
            <w:pPr>
              <w:jc w:val="both"/>
            </w:pPr>
            <w:r w:rsidRPr="007908DE">
              <w:t>Pro účely této směrnice se</w:t>
            </w:r>
          </w:p>
          <w:p w14:paraId="7A82CAE6" w14:textId="77777777" w:rsidR="007C5BEF" w:rsidRPr="007908DE" w:rsidRDefault="007C5BEF" w:rsidP="002518B5">
            <w:pPr>
              <w:jc w:val="both"/>
            </w:pPr>
            <w:r w:rsidRPr="007908DE">
              <w:t>1. "tichým vínem" rozumějí všechny výrobky kódů KN 2204 a 2205, s výjimkou šumivého vína, jak je vymezeno v odstavci 2 tohoto článku,</w:t>
            </w:r>
          </w:p>
          <w:p w14:paraId="06AEC9F3" w14:textId="77777777" w:rsidR="007C5BEF" w:rsidRPr="007908DE" w:rsidRDefault="007C5BEF" w:rsidP="002518B5">
            <w:pPr>
              <w:jc w:val="both"/>
            </w:pPr>
            <w:r w:rsidRPr="007908DE">
              <w:t>- jejichž skutečný obsah alkoholu přesahuje 1,2 % objemových, ale nepřesahuje 15 % objemových, je-li alkohol obsažený v hotovém výrobku plně kvasného původu,</w:t>
            </w:r>
          </w:p>
          <w:p w14:paraId="477A45F6" w14:textId="7A86346F" w:rsidR="007C5BEF" w:rsidRPr="007908DE" w:rsidRDefault="007C5BEF" w:rsidP="002518B5">
            <w:pPr>
              <w:jc w:val="both"/>
            </w:pPr>
            <w:r w:rsidRPr="007908DE">
              <w:t>- jejichž skutečný obsah alkoholu přesahuje 15 % objemových, ale nepřesahuje 18 % objemových, pokud byly vyrobeny bez jakéhokoli obohacování a je-li alkohol obsažený v hotovém výrobku plně kvasného původu;</w:t>
            </w:r>
          </w:p>
        </w:tc>
      </w:tr>
      <w:tr w:rsidR="007C5BEF" w:rsidRPr="0024091C" w14:paraId="151BA9CB" w14:textId="77777777" w:rsidTr="00DF3674">
        <w:tc>
          <w:tcPr>
            <w:tcW w:w="1219" w:type="dxa"/>
            <w:tcBorders>
              <w:top w:val="nil"/>
              <w:left w:val="single" w:sz="12" w:space="0" w:color="auto"/>
              <w:bottom w:val="nil"/>
            </w:tcBorders>
            <w:shd w:val="clear" w:color="auto" w:fill="auto"/>
          </w:tcPr>
          <w:p w14:paraId="09425AA7" w14:textId="77777777" w:rsidR="007C5BEF" w:rsidRPr="004C11B7" w:rsidRDefault="007C5BEF" w:rsidP="00214FDF">
            <w:pPr>
              <w:spacing w:before="60"/>
            </w:pPr>
          </w:p>
        </w:tc>
        <w:tc>
          <w:tcPr>
            <w:tcW w:w="4735" w:type="dxa"/>
            <w:tcBorders>
              <w:top w:val="nil"/>
              <w:bottom w:val="nil"/>
              <w:right w:val="single" w:sz="12" w:space="0" w:color="auto"/>
            </w:tcBorders>
            <w:shd w:val="clear" w:color="auto" w:fill="auto"/>
          </w:tcPr>
          <w:p w14:paraId="519C7B94" w14:textId="77777777" w:rsidR="007C5BEF" w:rsidRPr="00195673" w:rsidRDefault="007C5BEF" w:rsidP="00A83B59">
            <w:pPr>
              <w:jc w:val="both"/>
              <w:rPr>
                <w:b/>
                <w:highlight w:val="yellow"/>
              </w:rPr>
            </w:pPr>
          </w:p>
        </w:tc>
        <w:tc>
          <w:tcPr>
            <w:tcW w:w="1359" w:type="dxa"/>
            <w:tcBorders>
              <w:top w:val="nil"/>
              <w:left w:val="single" w:sz="12" w:space="0" w:color="auto"/>
              <w:bottom w:val="single" w:sz="4" w:space="0" w:color="auto"/>
            </w:tcBorders>
            <w:shd w:val="clear" w:color="auto" w:fill="auto"/>
          </w:tcPr>
          <w:p w14:paraId="7B3DBE78" w14:textId="77777777" w:rsidR="007C5BEF" w:rsidRPr="004C11B7" w:rsidRDefault="007C5BEF" w:rsidP="00717CE6">
            <w:pPr>
              <w:spacing w:before="60"/>
              <w:jc w:val="both"/>
            </w:pPr>
          </w:p>
        </w:tc>
        <w:tc>
          <w:tcPr>
            <w:tcW w:w="1207" w:type="dxa"/>
            <w:tcBorders>
              <w:bottom w:val="single" w:sz="4" w:space="0" w:color="auto"/>
            </w:tcBorders>
            <w:shd w:val="clear" w:color="auto" w:fill="auto"/>
          </w:tcPr>
          <w:p w14:paraId="0AC0FC68" w14:textId="09967945" w:rsidR="007C5BEF" w:rsidRPr="007908DE" w:rsidRDefault="007C5BEF" w:rsidP="00214FDF">
            <w:r w:rsidRPr="007908DE">
              <w:t>Čl. 8 odst. 2</w:t>
            </w:r>
          </w:p>
        </w:tc>
        <w:tc>
          <w:tcPr>
            <w:tcW w:w="5655" w:type="dxa"/>
            <w:tcBorders>
              <w:bottom w:val="single" w:sz="4" w:space="0" w:color="auto"/>
              <w:right w:val="single" w:sz="12" w:space="0" w:color="auto"/>
            </w:tcBorders>
            <w:shd w:val="clear" w:color="auto" w:fill="auto"/>
          </w:tcPr>
          <w:p w14:paraId="186A9EF5" w14:textId="77777777" w:rsidR="007C5BEF" w:rsidRPr="00D933E4" w:rsidRDefault="007C5BEF" w:rsidP="00D933E4">
            <w:pPr>
              <w:jc w:val="both"/>
            </w:pPr>
            <w:r w:rsidRPr="00D933E4">
              <w:t>2. "šumivým vínem" rozumějí všechny výrobky kódů KN 220410, 22042110, 22042910 a 2205 a</w:t>
            </w:r>
          </w:p>
          <w:p w14:paraId="4D60CBFC" w14:textId="77777777" w:rsidR="007C5BEF" w:rsidRPr="00D933E4" w:rsidRDefault="007C5BEF" w:rsidP="00D933E4">
            <w:pPr>
              <w:jc w:val="both"/>
            </w:pPr>
            <w:r w:rsidRPr="00D933E4">
              <w:t>- které jsou plněny do lahví s "hřibovitou zátkou", jež je upevněna sponou nebo vázáním, nebo které mají díky obsahu oxidu uhličitého v roztoku přetlak tři bary nebo větší,</w:t>
            </w:r>
          </w:p>
          <w:p w14:paraId="289FCA2B" w14:textId="157E581E" w:rsidR="007C5BEF" w:rsidRPr="007908DE" w:rsidRDefault="007C5BEF" w:rsidP="00D933E4">
            <w:pPr>
              <w:jc w:val="both"/>
            </w:pPr>
            <w:r w:rsidRPr="00D933E4">
              <w:t>- jejichž skutečný obsah alkoholu přesahuje 1,2 % objemových, ale nepřesahuje 15 % objemových, je-li alkohol obsažený v hotovém výrobku plně kvasného původu.</w:t>
            </w:r>
          </w:p>
        </w:tc>
      </w:tr>
      <w:tr w:rsidR="007C5BEF" w:rsidRPr="0024091C" w14:paraId="0A0ADD2A" w14:textId="77777777" w:rsidTr="00DF3674">
        <w:tc>
          <w:tcPr>
            <w:tcW w:w="1219" w:type="dxa"/>
            <w:tcBorders>
              <w:top w:val="nil"/>
              <w:left w:val="single" w:sz="12" w:space="0" w:color="auto"/>
            </w:tcBorders>
            <w:shd w:val="clear" w:color="auto" w:fill="auto"/>
          </w:tcPr>
          <w:p w14:paraId="14B3D012" w14:textId="77777777" w:rsidR="007C5BEF" w:rsidRPr="004C11B7" w:rsidRDefault="007C5BEF" w:rsidP="00214FDF">
            <w:pPr>
              <w:spacing w:before="60"/>
            </w:pPr>
          </w:p>
        </w:tc>
        <w:tc>
          <w:tcPr>
            <w:tcW w:w="4735" w:type="dxa"/>
            <w:tcBorders>
              <w:top w:val="nil"/>
              <w:bottom w:val="single" w:sz="4" w:space="0" w:color="auto"/>
              <w:right w:val="single" w:sz="12" w:space="0" w:color="auto"/>
            </w:tcBorders>
            <w:shd w:val="clear" w:color="auto" w:fill="auto"/>
          </w:tcPr>
          <w:p w14:paraId="5141FE68" w14:textId="77777777" w:rsidR="007C5BEF" w:rsidRPr="00195673" w:rsidRDefault="007C5BEF" w:rsidP="00A83B59">
            <w:pPr>
              <w:jc w:val="both"/>
              <w:rPr>
                <w:b/>
                <w:highlight w:val="yellow"/>
              </w:rPr>
            </w:pPr>
          </w:p>
        </w:tc>
        <w:tc>
          <w:tcPr>
            <w:tcW w:w="1359" w:type="dxa"/>
            <w:tcBorders>
              <w:top w:val="single" w:sz="4" w:space="0" w:color="auto"/>
              <w:left w:val="single" w:sz="12" w:space="0" w:color="auto"/>
            </w:tcBorders>
            <w:shd w:val="clear" w:color="auto" w:fill="auto"/>
          </w:tcPr>
          <w:p w14:paraId="6BC9BAA3" w14:textId="0529C511" w:rsidR="007C5BEF" w:rsidRPr="004C11B7" w:rsidRDefault="007C5BEF" w:rsidP="00717CE6">
            <w:pPr>
              <w:spacing w:before="60"/>
              <w:jc w:val="both"/>
            </w:pPr>
            <w:r w:rsidRPr="004C11B7">
              <w:t>32020L1151</w:t>
            </w:r>
          </w:p>
        </w:tc>
        <w:tc>
          <w:tcPr>
            <w:tcW w:w="1207" w:type="dxa"/>
            <w:tcBorders>
              <w:top w:val="single" w:sz="4" w:space="0" w:color="auto"/>
            </w:tcBorders>
            <w:shd w:val="clear" w:color="auto" w:fill="auto"/>
          </w:tcPr>
          <w:p w14:paraId="136FE3CB" w14:textId="77777777" w:rsidR="007C5BEF" w:rsidRPr="0066131F" w:rsidRDefault="007C5BEF" w:rsidP="002518B5">
            <w:r w:rsidRPr="0066131F">
              <w:t>Článek 1 odst. 3</w:t>
            </w:r>
          </w:p>
          <w:p w14:paraId="4682A2F6" w14:textId="545A7BE0" w:rsidR="007C5BEF" w:rsidRPr="0066131F" w:rsidRDefault="007C5BEF" w:rsidP="002518B5">
            <w:r w:rsidRPr="0066131F">
              <w:t>(čl. 8 bod 2</w:t>
            </w:r>
            <w:r>
              <w:t xml:space="preserve"> směrnice </w:t>
            </w:r>
            <w:r w:rsidRPr="004C11B7">
              <w:t>92/83/EHS</w:t>
            </w:r>
            <w:r w:rsidRPr="0066131F">
              <w:t>)</w:t>
            </w:r>
          </w:p>
          <w:p w14:paraId="3509FDC5" w14:textId="77777777" w:rsidR="007C5BEF" w:rsidRPr="007908DE" w:rsidRDefault="007C5BEF" w:rsidP="00214FDF"/>
        </w:tc>
        <w:tc>
          <w:tcPr>
            <w:tcW w:w="5655" w:type="dxa"/>
            <w:tcBorders>
              <w:top w:val="single" w:sz="4" w:space="0" w:color="auto"/>
              <w:right w:val="single" w:sz="12" w:space="0" w:color="auto"/>
            </w:tcBorders>
            <w:shd w:val="clear" w:color="auto" w:fill="auto"/>
          </w:tcPr>
          <w:p w14:paraId="1CB28465" w14:textId="77777777" w:rsidR="007C5BEF" w:rsidRPr="0024091C" w:rsidRDefault="007C5BEF" w:rsidP="002518B5">
            <w:pPr>
              <w:pStyle w:val="Default"/>
              <w:jc w:val="both"/>
              <w:rPr>
                <w:color w:val="auto"/>
                <w:sz w:val="20"/>
                <w:szCs w:val="20"/>
              </w:rPr>
            </w:pPr>
            <w:r w:rsidRPr="0024091C">
              <w:rPr>
                <w:color w:val="auto"/>
                <w:sz w:val="20"/>
                <w:szCs w:val="20"/>
              </w:rPr>
              <w:t xml:space="preserve">3) </w:t>
            </w:r>
            <w:r w:rsidRPr="0024091C">
              <w:rPr>
                <w:rFonts w:ascii="TimesNewRomanPSMT" w:hAnsi="TimesNewRomanPSMT" w:cs="TimesNewRomanPSMT"/>
                <w:color w:val="auto"/>
                <w:sz w:val="20"/>
                <w:szCs w:val="20"/>
              </w:rPr>
              <w:t xml:space="preserve">V čl. 8 bodě </w:t>
            </w:r>
            <w:r w:rsidRPr="0024091C">
              <w:rPr>
                <w:color w:val="auto"/>
                <w:sz w:val="20"/>
                <w:szCs w:val="20"/>
              </w:rPr>
              <w:t xml:space="preserve">2 se </w:t>
            </w:r>
            <w:r w:rsidRPr="0024091C">
              <w:rPr>
                <w:rFonts w:ascii="TimesNewRomanPSMT" w:hAnsi="TimesNewRomanPSMT" w:cs="TimesNewRomanPSMT"/>
                <w:color w:val="auto"/>
                <w:sz w:val="20"/>
                <w:szCs w:val="20"/>
              </w:rPr>
              <w:t xml:space="preserve">návětí nahrazuje tímto: </w:t>
            </w:r>
          </w:p>
          <w:p w14:paraId="5B594076" w14:textId="078DE60B" w:rsidR="007C5BEF" w:rsidRPr="007908DE" w:rsidRDefault="007C5BEF" w:rsidP="002518B5">
            <w:pPr>
              <w:jc w:val="both"/>
            </w:pPr>
            <w:r w:rsidRPr="0024091C">
              <w:rPr>
                <w:rFonts w:ascii="TimesNewRomanPSMT" w:hAnsi="TimesNewRomanPSMT" w:cs="TimesNewRomanPSMT"/>
              </w:rPr>
              <w:t>„</w:t>
            </w:r>
            <w:r w:rsidRPr="0024091C">
              <w:t xml:space="preserve">2. </w:t>
            </w:r>
            <w:r w:rsidRPr="0024091C">
              <w:rPr>
                <w:rFonts w:ascii="TimesNewRomanPSMT" w:hAnsi="TimesNewRomanPSMT" w:cs="TimesNewRomanPSMT"/>
              </w:rPr>
              <w:t xml:space="preserve">„šumivým vínem“ rozumějí všechny výrobky kódů KN 2204 10, </w:t>
            </w:r>
            <w:r w:rsidRPr="0024091C">
              <w:t>2204 21 06, 2204 21 07, 2204 21 08, 2204 21 09, 2204 29 10 a 2205</w:t>
            </w:r>
            <w:r w:rsidRPr="0024091C">
              <w:rPr>
                <w:rFonts w:ascii="TimesNewRomanPSMT" w:hAnsi="TimesNewRomanPSMT" w:cs="TimesNewRomanPSMT"/>
              </w:rPr>
              <w:t>,“</w:t>
            </w:r>
          </w:p>
        </w:tc>
      </w:tr>
      <w:tr w:rsidR="007C5BEF" w:rsidRPr="0024091C" w14:paraId="0A19D9AA" w14:textId="77777777" w:rsidTr="00EC0C22">
        <w:tc>
          <w:tcPr>
            <w:tcW w:w="1219" w:type="dxa"/>
            <w:tcBorders>
              <w:left w:val="single" w:sz="12" w:space="0" w:color="auto"/>
              <w:bottom w:val="nil"/>
            </w:tcBorders>
            <w:shd w:val="clear" w:color="auto" w:fill="auto"/>
          </w:tcPr>
          <w:p w14:paraId="3DDC8A54" w14:textId="00457874" w:rsidR="007C5BEF" w:rsidRPr="004C11B7" w:rsidRDefault="007C5BEF" w:rsidP="00214FDF">
            <w:pPr>
              <w:spacing w:before="60"/>
            </w:pPr>
            <w:r>
              <w:t>§ 134 odst. 2</w:t>
            </w:r>
          </w:p>
        </w:tc>
        <w:tc>
          <w:tcPr>
            <w:tcW w:w="4735" w:type="dxa"/>
            <w:tcBorders>
              <w:top w:val="single" w:sz="4" w:space="0" w:color="auto"/>
              <w:bottom w:val="nil"/>
              <w:right w:val="single" w:sz="12" w:space="0" w:color="auto"/>
            </w:tcBorders>
            <w:shd w:val="clear" w:color="auto" w:fill="auto"/>
          </w:tcPr>
          <w:p w14:paraId="2B12FD50" w14:textId="114386EF" w:rsidR="0027611E" w:rsidRPr="0027611E" w:rsidRDefault="0027611E" w:rsidP="0027611E">
            <w:pPr>
              <w:jc w:val="both"/>
              <w:rPr>
                <w:b/>
              </w:rPr>
            </w:pPr>
            <w:r w:rsidRPr="0027611E">
              <w:rPr>
                <w:b/>
              </w:rPr>
              <w:t xml:space="preserve">(2) Pro účely potvrzení výroby podle § 132 odst. 1 se ostatním kvašeným nápojem rozumí kvašené nápoje získané zkvašením ovoce, bobulovin, zeleniny, medového roztoku </w:t>
            </w:r>
            <w:r w:rsidR="00C24EE8">
              <w:rPr>
                <w:b/>
              </w:rPr>
              <w:t>nebo</w:t>
            </w:r>
            <w:r w:rsidR="00C24EE8" w:rsidRPr="0027611E">
              <w:rPr>
                <w:b/>
              </w:rPr>
              <w:t xml:space="preserve"> </w:t>
            </w:r>
            <w:r w:rsidRPr="0027611E">
              <w:rPr>
                <w:b/>
              </w:rPr>
              <w:t>zkvašením čerstvé nebo koncentrované šťávy získané z těchto surovin, které jsou uvedeny pod kódy nomenklatury</w:t>
            </w:r>
          </w:p>
          <w:p w14:paraId="128CB44A" w14:textId="669C3658" w:rsidR="0027611E" w:rsidRPr="0027611E" w:rsidRDefault="0027611E" w:rsidP="0027611E">
            <w:pPr>
              <w:jc w:val="both"/>
              <w:rPr>
                <w:b/>
              </w:rPr>
            </w:pPr>
            <w:r>
              <w:rPr>
                <w:b/>
              </w:rPr>
              <w:t xml:space="preserve">a) </w:t>
            </w:r>
            <w:r w:rsidRPr="0027611E">
              <w:rPr>
                <w:b/>
              </w:rPr>
              <w:t xml:space="preserve">2204 a 2205, nejsou-li uvedeny v odstavci 1, a 2206, s výjimkou piva a ostatních kvašených nápojů uvedených </w:t>
            </w:r>
            <w:r w:rsidR="00C24EE8">
              <w:rPr>
                <w:b/>
              </w:rPr>
              <w:t>v písmeni</w:t>
            </w:r>
            <w:r w:rsidRPr="0027611E">
              <w:rPr>
                <w:b/>
              </w:rPr>
              <w:t xml:space="preserve"> b), jejichž skutečný obsah alkoholu přesahuje 1,2 % objemových, ale nepřesahuje 15 % objemových, je-li alkohol obsažený v hotovém výrobku plně kvasného původu bez přídavku lihu s výjimkou přídavku lihu použitého k ředění nebo rozpouštění látek určených k aromatizaci v nezbytně nutné dávce, pokud se tím obsah alkoholu nezvýší více než o 1,2 % objemových, nebo</w:t>
            </w:r>
          </w:p>
          <w:p w14:paraId="50B39042" w14:textId="11DDBEAA" w:rsidR="007C5BEF" w:rsidRPr="00195673" w:rsidRDefault="0027611E" w:rsidP="00FA3C4D">
            <w:pPr>
              <w:jc w:val="both"/>
              <w:rPr>
                <w:b/>
                <w:highlight w:val="yellow"/>
              </w:rPr>
            </w:pPr>
            <w:r>
              <w:rPr>
                <w:b/>
              </w:rPr>
              <w:t xml:space="preserve">b) </w:t>
            </w:r>
            <w:r w:rsidRPr="0027611E">
              <w:rPr>
                <w:b/>
              </w:rPr>
              <w:t xml:space="preserve">2206 00 31, 2206 00 39, 2204 10, 2204 21 06, 2204 21 07, 2204 21 08, 2204 21 09, 2204 29 10 a 2205, </w:t>
            </w:r>
            <w:r w:rsidR="00DE29FA" w:rsidRPr="004D5E94">
              <w:rPr>
                <w:b/>
              </w:rPr>
              <w:t>nejsou-li uvedeny v odstavci 1,</w:t>
            </w:r>
            <w:r w:rsidR="00DE29FA">
              <w:rPr>
                <w:b/>
              </w:rPr>
              <w:t xml:space="preserve"> </w:t>
            </w:r>
            <w:r w:rsidRPr="0027611E">
              <w:rPr>
                <w:b/>
              </w:rPr>
              <w:t>které jsou plněny do lahví s hřibovitou zátkou, která je upevněná zvláštním úchytným zařízením, nebo které při uzavřeném obsahu při 20 °C mají přetlak 3 bary a více, který lze odvodit z přítomnosti rozpuštěného oxidu uhličitého, a jejichž skutečný obsah alkoholu přesahuje 1,2 % objemových, ale nepřesahuje 15 % objemových, je-li alkohol, který je obsažený v hotovém výrobku, plně kvasného původu bez přídavku lihu s výjimkou přídavku lihu použitého k ředění nebo rozpouštění látek určených k aromatizaci v nezbytně nutné dávce, pokud se tím obsah alkoholu nezvýší více než o 1,2 % objemových.</w:t>
            </w:r>
          </w:p>
        </w:tc>
        <w:tc>
          <w:tcPr>
            <w:tcW w:w="1359" w:type="dxa"/>
            <w:tcBorders>
              <w:left w:val="single" w:sz="12" w:space="0" w:color="auto"/>
            </w:tcBorders>
            <w:shd w:val="clear" w:color="auto" w:fill="auto"/>
          </w:tcPr>
          <w:p w14:paraId="13B2025B" w14:textId="40D9261C" w:rsidR="007C5BEF" w:rsidRPr="004C11B7" w:rsidRDefault="007C5BEF" w:rsidP="00717CE6">
            <w:pPr>
              <w:spacing w:before="60"/>
              <w:jc w:val="both"/>
            </w:pPr>
            <w:r w:rsidRPr="004C11B7">
              <w:t>32020L1151</w:t>
            </w:r>
          </w:p>
        </w:tc>
        <w:tc>
          <w:tcPr>
            <w:tcW w:w="1207" w:type="dxa"/>
            <w:shd w:val="clear" w:color="auto" w:fill="auto"/>
          </w:tcPr>
          <w:p w14:paraId="18503B6A" w14:textId="77777777" w:rsidR="007C5BEF" w:rsidRPr="00C646B4" w:rsidRDefault="007C5BEF" w:rsidP="002518B5">
            <w:r w:rsidRPr="00C646B4">
              <w:t>Článek 1 odst. 7</w:t>
            </w:r>
          </w:p>
          <w:p w14:paraId="59040B5A" w14:textId="483F8B0A" w:rsidR="007C5BEF" w:rsidRPr="00C646B4" w:rsidRDefault="007C5BEF" w:rsidP="002518B5">
            <w:r w:rsidRPr="00C646B4">
              <w:t>(nový čl. 13a odst. 2</w:t>
            </w:r>
            <w:r>
              <w:t xml:space="preserve"> směrnice </w:t>
            </w:r>
            <w:r w:rsidRPr="004C11B7">
              <w:t>92/83/EHS</w:t>
            </w:r>
            <w:r w:rsidRPr="00C646B4">
              <w:t>)</w:t>
            </w:r>
          </w:p>
          <w:p w14:paraId="2F111063" w14:textId="77777777" w:rsidR="007C5BEF" w:rsidRPr="00C646B4" w:rsidRDefault="007C5BEF" w:rsidP="00214FDF"/>
        </w:tc>
        <w:tc>
          <w:tcPr>
            <w:tcW w:w="5655" w:type="dxa"/>
            <w:tcBorders>
              <w:right w:val="single" w:sz="12" w:space="0" w:color="auto"/>
            </w:tcBorders>
            <w:shd w:val="clear" w:color="auto" w:fill="auto"/>
          </w:tcPr>
          <w:p w14:paraId="3CAE69B3" w14:textId="0B345E3B" w:rsidR="007C5BEF" w:rsidRPr="007908DE" w:rsidRDefault="007C5BEF" w:rsidP="00214FDF">
            <w:pPr>
              <w:pStyle w:val="Default"/>
              <w:jc w:val="both"/>
              <w:rPr>
                <w:color w:val="auto"/>
                <w:sz w:val="20"/>
                <w:szCs w:val="20"/>
              </w:rPr>
            </w:pPr>
            <w:r w:rsidRPr="0024091C">
              <w:rPr>
                <w:sz w:val="20"/>
                <w:szCs w:val="20"/>
              </w:rPr>
              <w:t xml:space="preserve">2. </w:t>
            </w:r>
            <w:r w:rsidRPr="0024091C">
              <w:rPr>
                <w:rFonts w:ascii="TimesNewRomanPSMT" w:hAnsi="TimesNewRomanPSMT" w:cs="TimesNewRomanPSMT"/>
                <w:sz w:val="20"/>
                <w:szCs w:val="20"/>
              </w:rPr>
              <w:t xml:space="preserve">Pro účely tohoto článku musí být ostatní kvašené nápoje získané zkvašením ovoce, bobulovin, zeleniny, medového roztoku či zkvašením čerstvé nebo koncentrované šťávy získané z výše uvedených produktů. Členské státy nepovolí, aby byl pro účely </w:t>
            </w:r>
            <w:r w:rsidRPr="0024091C">
              <w:rPr>
                <w:sz w:val="20"/>
                <w:szCs w:val="20"/>
              </w:rPr>
              <w:t>výroby ostatní</w:t>
            </w:r>
            <w:r w:rsidRPr="0024091C">
              <w:rPr>
                <w:rFonts w:ascii="TimesNewRomanPSMT" w:hAnsi="TimesNewRomanPSMT" w:cs="TimesNewRomanPSMT"/>
                <w:sz w:val="20"/>
                <w:szCs w:val="20"/>
              </w:rPr>
              <w:t xml:space="preserve">ch kvašených nápojů přidán jakýkoli jiný alkohol či alkoholický nápoj. Pro účely tohoto článku se za přidání alkoholu pro účely výroby ostatních kvašených nápojů nepovažuje přidání alkoholu použitého k ředění nebo rozpouštění aromat </w:t>
            </w:r>
            <w:r w:rsidRPr="0024091C">
              <w:rPr>
                <w:sz w:val="20"/>
                <w:szCs w:val="20"/>
              </w:rPr>
              <w:t xml:space="preserve">v </w:t>
            </w:r>
            <w:r w:rsidRPr="0024091C">
              <w:rPr>
                <w:rFonts w:ascii="TimesNewRomanPSMT" w:hAnsi="TimesNewRomanPSMT" w:cs="TimesNewRomanPSMT"/>
                <w:sz w:val="20"/>
                <w:szCs w:val="20"/>
              </w:rPr>
              <w:t xml:space="preserve">nezbytně nutné </w:t>
            </w:r>
            <w:r w:rsidRPr="0024091C">
              <w:rPr>
                <w:sz w:val="20"/>
                <w:szCs w:val="20"/>
              </w:rPr>
              <w:t xml:space="preserve">dávce, pokud tím </w:t>
            </w:r>
            <w:r w:rsidRPr="0024091C">
              <w:rPr>
                <w:rFonts w:ascii="TimesNewRomanPSMT" w:hAnsi="TimesNewRomanPSMT" w:cs="TimesNewRomanPSMT"/>
                <w:sz w:val="20"/>
                <w:szCs w:val="20"/>
              </w:rPr>
              <w:t xml:space="preserve">obsah alkoholu nestoupne více než o 1,2 % objemových. Přidání </w:t>
            </w:r>
            <w:r w:rsidRPr="0024091C">
              <w:rPr>
                <w:sz w:val="20"/>
                <w:szCs w:val="20"/>
              </w:rPr>
              <w:t>takových aromat nesmí výrazn</w:t>
            </w:r>
            <w:r w:rsidRPr="0024091C">
              <w:rPr>
                <w:rFonts w:ascii="TimesNewRomanPSMT" w:hAnsi="TimesNewRomanPSMT" w:cs="TimesNewRomanPSMT"/>
                <w:sz w:val="20"/>
                <w:szCs w:val="20"/>
              </w:rPr>
              <w:t>ě změn</w:t>
            </w:r>
            <w:r w:rsidRPr="0024091C">
              <w:rPr>
                <w:sz w:val="20"/>
                <w:szCs w:val="20"/>
              </w:rPr>
              <w:t xml:space="preserve">it </w:t>
            </w:r>
            <w:r w:rsidRPr="0024091C">
              <w:rPr>
                <w:rFonts w:ascii="TimesNewRomanPSMT" w:hAnsi="TimesNewRomanPSMT" w:cs="TimesNewRomanPSMT"/>
                <w:sz w:val="20"/>
                <w:szCs w:val="20"/>
              </w:rPr>
              <w:t xml:space="preserve">charakter původního </w:t>
            </w:r>
            <w:r w:rsidRPr="0024091C">
              <w:rPr>
                <w:sz w:val="20"/>
                <w:szCs w:val="20"/>
              </w:rPr>
              <w:t>výrobku.</w:t>
            </w:r>
          </w:p>
        </w:tc>
      </w:tr>
      <w:tr w:rsidR="007C5BEF" w:rsidRPr="0024091C" w14:paraId="4F81276A" w14:textId="77777777" w:rsidTr="00EC0C22">
        <w:tc>
          <w:tcPr>
            <w:tcW w:w="1219" w:type="dxa"/>
            <w:tcBorders>
              <w:top w:val="nil"/>
              <w:left w:val="single" w:sz="12" w:space="0" w:color="auto"/>
              <w:bottom w:val="nil"/>
            </w:tcBorders>
            <w:shd w:val="clear" w:color="auto" w:fill="auto"/>
          </w:tcPr>
          <w:p w14:paraId="1F8A21C6" w14:textId="77777777" w:rsidR="007C5BEF" w:rsidRPr="004C11B7" w:rsidRDefault="007C5BEF" w:rsidP="00214FDF">
            <w:pPr>
              <w:spacing w:before="60"/>
            </w:pPr>
          </w:p>
        </w:tc>
        <w:tc>
          <w:tcPr>
            <w:tcW w:w="4735" w:type="dxa"/>
            <w:tcBorders>
              <w:top w:val="nil"/>
              <w:bottom w:val="nil"/>
              <w:right w:val="single" w:sz="12" w:space="0" w:color="auto"/>
            </w:tcBorders>
            <w:shd w:val="clear" w:color="auto" w:fill="auto"/>
          </w:tcPr>
          <w:p w14:paraId="113E7AD4" w14:textId="77777777" w:rsidR="007C5BEF" w:rsidRPr="00195673" w:rsidRDefault="007C5BEF" w:rsidP="00C646B4">
            <w:pPr>
              <w:jc w:val="both"/>
              <w:rPr>
                <w:b/>
                <w:highlight w:val="yellow"/>
              </w:rPr>
            </w:pPr>
          </w:p>
        </w:tc>
        <w:tc>
          <w:tcPr>
            <w:tcW w:w="1359" w:type="dxa"/>
            <w:tcBorders>
              <w:left w:val="single" w:sz="12" w:space="0" w:color="auto"/>
              <w:bottom w:val="nil"/>
            </w:tcBorders>
            <w:shd w:val="clear" w:color="auto" w:fill="auto"/>
          </w:tcPr>
          <w:p w14:paraId="24FADEF3" w14:textId="16AAE6EE" w:rsidR="007C5BEF" w:rsidRPr="004C11B7" w:rsidRDefault="007C5BEF" w:rsidP="00717CE6">
            <w:pPr>
              <w:spacing w:before="60"/>
              <w:jc w:val="both"/>
            </w:pPr>
            <w:r w:rsidRPr="004C11B7">
              <w:t>3199</w:t>
            </w:r>
            <w:r>
              <w:t>2</w:t>
            </w:r>
            <w:r w:rsidRPr="004C11B7">
              <w:t>L0083</w:t>
            </w:r>
          </w:p>
        </w:tc>
        <w:tc>
          <w:tcPr>
            <w:tcW w:w="1207" w:type="dxa"/>
            <w:shd w:val="clear" w:color="auto" w:fill="auto"/>
          </w:tcPr>
          <w:p w14:paraId="4747D224" w14:textId="27BBE4E6" w:rsidR="007C5BEF" w:rsidRPr="00EC0C22" w:rsidRDefault="007C5BEF" w:rsidP="002518B5">
            <w:r w:rsidRPr="00EC0C22">
              <w:t>Čl. 12 odst. 1</w:t>
            </w:r>
          </w:p>
        </w:tc>
        <w:tc>
          <w:tcPr>
            <w:tcW w:w="5655" w:type="dxa"/>
            <w:tcBorders>
              <w:right w:val="single" w:sz="12" w:space="0" w:color="auto"/>
            </w:tcBorders>
            <w:shd w:val="clear" w:color="auto" w:fill="auto"/>
          </w:tcPr>
          <w:p w14:paraId="6E492132" w14:textId="6B9F85B3" w:rsidR="007C5BEF" w:rsidRPr="00EC0C22" w:rsidRDefault="007C5BEF" w:rsidP="002518B5">
            <w:pPr>
              <w:jc w:val="both"/>
            </w:pPr>
            <w:r w:rsidRPr="00EC0C22">
              <w:t>Pro účely této směrnice</w:t>
            </w:r>
            <w:r>
              <w:t xml:space="preserve"> </w:t>
            </w:r>
            <w:r w:rsidRPr="00EC0C22">
              <w:t>a aniž je dotčen článek 17 se:</w:t>
            </w:r>
          </w:p>
          <w:p w14:paraId="068B6C9C" w14:textId="77777777" w:rsidR="007C5BEF" w:rsidRPr="00EC0C22" w:rsidRDefault="007C5BEF" w:rsidP="002518B5">
            <w:pPr>
              <w:jc w:val="both"/>
            </w:pPr>
            <w:r w:rsidRPr="00EC0C22">
              <w:t>1. "ostatními nešumivými kvašenými nápoji" rozumějí všechny výrobky kódů KN 2204 a 2205, které nejsou zmíněny výše v článku 8, a dále výrobky kódu KN 2206, s výjimkou ostatních šumivých kvašených nápojů, jak jsou vymezeny v bodu 2 tohoto článku, a každého výrobku, na nějž se vztahuje článek 2 a</w:t>
            </w:r>
          </w:p>
          <w:p w14:paraId="2DD25073" w14:textId="77777777" w:rsidR="007C5BEF" w:rsidRPr="00EC0C22" w:rsidRDefault="007C5BEF" w:rsidP="002518B5">
            <w:pPr>
              <w:jc w:val="both"/>
            </w:pPr>
            <w:r w:rsidRPr="00EC0C22">
              <w:t>- jejichž skutečný obsah alkoholu přesahuje 1,2 % objemových, ale nepřesahuje 10 % objemových,</w:t>
            </w:r>
          </w:p>
          <w:p w14:paraId="29557BF5" w14:textId="786512F5" w:rsidR="007C5BEF" w:rsidRPr="00EC0C22" w:rsidRDefault="007C5BEF" w:rsidP="00214FDF">
            <w:pPr>
              <w:pStyle w:val="Default"/>
              <w:jc w:val="both"/>
              <w:rPr>
                <w:sz w:val="20"/>
                <w:szCs w:val="20"/>
              </w:rPr>
            </w:pPr>
            <w:r w:rsidRPr="00EC0C22">
              <w:rPr>
                <w:sz w:val="20"/>
                <w:szCs w:val="20"/>
              </w:rPr>
              <w:t>- jejichž skutečný obsah alkoholu přesahuje 10 % objemových, ale nepřesahuje 15 % objemových, je-li alkohol obsažený ve výrobku plně kvasného původu;</w:t>
            </w:r>
          </w:p>
        </w:tc>
      </w:tr>
      <w:tr w:rsidR="007C5BEF" w:rsidRPr="0024091C" w14:paraId="2CAFC56F" w14:textId="77777777" w:rsidTr="00D933E4">
        <w:tc>
          <w:tcPr>
            <w:tcW w:w="1219" w:type="dxa"/>
            <w:tcBorders>
              <w:top w:val="nil"/>
              <w:left w:val="single" w:sz="12" w:space="0" w:color="auto"/>
              <w:bottom w:val="nil"/>
            </w:tcBorders>
            <w:shd w:val="clear" w:color="auto" w:fill="auto"/>
          </w:tcPr>
          <w:p w14:paraId="0D51B4A7" w14:textId="77777777" w:rsidR="007C5BEF" w:rsidRPr="004C11B7" w:rsidRDefault="007C5BEF" w:rsidP="00214FDF">
            <w:pPr>
              <w:spacing w:before="60"/>
            </w:pPr>
          </w:p>
        </w:tc>
        <w:tc>
          <w:tcPr>
            <w:tcW w:w="4735" w:type="dxa"/>
            <w:tcBorders>
              <w:top w:val="nil"/>
              <w:bottom w:val="nil"/>
              <w:right w:val="single" w:sz="12" w:space="0" w:color="auto"/>
            </w:tcBorders>
            <w:shd w:val="clear" w:color="auto" w:fill="auto"/>
          </w:tcPr>
          <w:p w14:paraId="128C178E" w14:textId="77777777" w:rsidR="007C5BEF" w:rsidRPr="00195673" w:rsidRDefault="007C5BEF" w:rsidP="00C646B4">
            <w:pPr>
              <w:jc w:val="both"/>
              <w:rPr>
                <w:b/>
                <w:highlight w:val="yellow"/>
              </w:rPr>
            </w:pPr>
          </w:p>
        </w:tc>
        <w:tc>
          <w:tcPr>
            <w:tcW w:w="1359" w:type="dxa"/>
            <w:tcBorders>
              <w:top w:val="nil"/>
              <w:left w:val="single" w:sz="12" w:space="0" w:color="auto"/>
            </w:tcBorders>
            <w:shd w:val="clear" w:color="auto" w:fill="auto"/>
          </w:tcPr>
          <w:p w14:paraId="23704E7F" w14:textId="77777777" w:rsidR="007C5BEF" w:rsidRPr="004C11B7" w:rsidRDefault="007C5BEF" w:rsidP="00717CE6">
            <w:pPr>
              <w:spacing w:before="60"/>
              <w:jc w:val="both"/>
            </w:pPr>
          </w:p>
        </w:tc>
        <w:tc>
          <w:tcPr>
            <w:tcW w:w="1207" w:type="dxa"/>
            <w:shd w:val="clear" w:color="auto" w:fill="auto"/>
          </w:tcPr>
          <w:p w14:paraId="2680228C" w14:textId="716EBE2A" w:rsidR="007C5BEF" w:rsidRPr="00D933E4" w:rsidRDefault="007C5BEF" w:rsidP="002518B5">
            <w:r w:rsidRPr="00D933E4">
              <w:t>Čl. 12 odst. 2</w:t>
            </w:r>
          </w:p>
        </w:tc>
        <w:tc>
          <w:tcPr>
            <w:tcW w:w="5655" w:type="dxa"/>
            <w:tcBorders>
              <w:right w:val="single" w:sz="12" w:space="0" w:color="auto"/>
            </w:tcBorders>
            <w:shd w:val="clear" w:color="auto" w:fill="auto"/>
          </w:tcPr>
          <w:p w14:paraId="40823716" w14:textId="77777777" w:rsidR="007C5BEF" w:rsidRPr="00D933E4" w:rsidRDefault="007C5BEF" w:rsidP="002518B5">
            <w:pPr>
              <w:jc w:val="both"/>
            </w:pPr>
            <w:r w:rsidRPr="00D933E4">
              <w:t>2. "ostatními šumivými kvašenými nápoji" rozumějí všechny výrobky kódu KN 22060091, a rovněž výrobky kódů KN 220410, 22042110, 22042910 a 2205, které nejsou zmíněny výše v článku 8 a</w:t>
            </w:r>
          </w:p>
          <w:p w14:paraId="5E881B23" w14:textId="77777777" w:rsidR="007C5BEF" w:rsidRPr="00D933E4" w:rsidRDefault="007C5BEF" w:rsidP="002518B5">
            <w:pPr>
              <w:jc w:val="both"/>
            </w:pPr>
            <w:r w:rsidRPr="00D933E4">
              <w:t>- které jsou plněny do lahví s "hřibovitou zátkou", jež je upevněna sponou nebo vázáním, nebo které mají díky obsahu oxidu uhličitého v roztoku přetlak tři bary nebo větší,</w:t>
            </w:r>
          </w:p>
          <w:p w14:paraId="2685E6E2" w14:textId="77777777" w:rsidR="007C5BEF" w:rsidRPr="00D933E4" w:rsidRDefault="007C5BEF" w:rsidP="002518B5">
            <w:pPr>
              <w:jc w:val="both"/>
            </w:pPr>
            <w:r w:rsidRPr="00D933E4">
              <w:t>- jejichž skutečný obsah alkoholu přesahuje 1,2 % objemových, ale nepřesahuje 13 % objemových,</w:t>
            </w:r>
          </w:p>
          <w:p w14:paraId="1CBA287B" w14:textId="79F7256B" w:rsidR="007C5BEF" w:rsidRPr="00D933E4" w:rsidRDefault="007C5BEF" w:rsidP="002518B5">
            <w:pPr>
              <w:jc w:val="both"/>
            </w:pPr>
            <w:r w:rsidRPr="00D933E4">
              <w:t>- jejichž skutečný obsah alkoholu přesahuje 13 % objemových, ale nepřesahuje 15 % objemových, je-li alkohol obsažený ve výrobku plně kvasného původu.</w:t>
            </w:r>
          </w:p>
        </w:tc>
      </w:tr>
      <w:tr w:rsidR="007C5BEF" w:rsidRPr="0024091C" w14:paraId="0E3A8846" w14:textId="77777777" w:rsidTr="00EC0C22">
        <w:tc>
          <w:tcPr>
            <w:tcW w:w="1219" w:type="dxa"/>
            <w:tcBorders>
              <w:top w:val="nil"/>
              <w:left w:val="single" w:sz="12" w:space="0" w:color="auto"/>
            </w:tcBorders>
            <w:shd w:val="clear" w:color="auto" w:fill="auto"/>
          </w:tcPr>
          <w:p w14:paraId="77DC84BB" w14:textId="77777777" w:rsidR="007C5BEF" w:rsidRPr="004C11B7" w:rsidRDefault="007C5BEF" w:rsidP="00214FDF">
            <w:pPr>
              <w:spacing w:before="60"/>
            </w:pPr>
          </w:p>
        </w:tc>
        <w:tc>
          <w:tcPr>
            <w:tcW w:w="4735" w:type="dxa"/>
            <w:tcBorders>
              <w:top w:val="nil"/>
              <w:right w:val="single" w:sz="12" w:space="0" w:color="auto"/>
            </w:tcBorders>
            <w:shd w:val="clear" w:color="auto" w:fill="auto"/>
          </w:tcPr>
          <w:p w14:paraId="61DCED19" w14:textId="77777777" w:rsidR="007C5BEF" w:rsidRPr="00E34620" w:rsidRDefault="007C5BEF" w:rsidP="00C646B4">
            <w:pPr>
              <w:jc w:val="both"/>
              <w:rPr>
                <w:b/>
              </w:rPr>
            </w:pPr>
          </w:p>
        </w:tc>
        <w:tc>
          <w:tcPr>
            <w:tcW w:w="1359" w:type="dxa"/>
            <w:tcBorders>
              <w:top w:val="nil"/>
              <w:left w:val="single" w:sz="12" w:space="0" w:color="auto"/>
            </w:tcBorders>
            <w:shd w:val="clear" w:color="auto" w:fill="auto"/>
          </w:tcPr>
          <w:p w14:paraId="7380B8F6" w14:textId="3E1E8DB2" w:rsidR="007C5BEF" w:rsidRPr="004C11B7" w:rsidRDefault="007C5BEF" w:rsidP="00717CE6">
            <w:pPr>
              <w:spacing w:before="60"/>
              <w:jc w:val="both"/>
            </w:pPr>
            <w:r w:rsidRPr="004C11B7">
              <w:t>32020L1151</w:t>
            </w:r>
          </w:p>
        </w:tc>
        <w:tc>
          <w:tcPr>
            <w:tcW w:w="1207" w:type="dxa"/>
            <w:shd w:val="clear" w:color="auto" w:fill="auto"/>
          </w:tcPr>
          <w:p w14:paraId="27423850" w14:textId="77777777" w:rsidR="007C5BEF" w:rsidRPr="007646A2" w:rsidRDefault="007C5BEF" w:rsidP="002518B5">
            <w:r w:rsidRPr="007646A2">
              <w:t>Článek 1 odst. 5</w:t>
            </w:r>
          </w:p>
          <w:p w14:paraId="2C44B040" w14:textId="414BD8F8" w:rsidR="007C5BEF" w:rsidRPr="007646A2" w:rsidRDefault="007C5BEF" w:rsidP="007646A2">
            <w:pPr>
              <w:rPr>
                <w:b/>
              </w:rPr>
            </w:pPr>
            <w:r w:rsidRPr="007646A2">
              <w:t>(čl. 12 odst. 2</w:t>
            </w:r>
            <w:r>
              <w:t xml:space="preserve"> směrnice 92/83/EHS</w:t>
            </w:r>
            <w:r w:rsidRPr="007646A2">
              <w:t>)</w:t>
            </w:r>
          </w:p>
        </w:tc>
        <w:tc>
          <w:tcPr>
            <w:tcW w:w="5655" w:type="dxa"/>
            <w:tcBorders>
              <w:right w:val="single" w:sz="12" w:space="0" w:color="auto"/>
            </w:tcBorders>
            <w:shd w:val="clear" w:color="auto" w:fill="auto"/>
          </w:tcPr>
          <w:p w14:paraId="20385223" w14:textId="77777777" w:rsidR="007C5BEF" w:rsidRPr="007646A2" w:rsidRDefault="007C5BEF" w:rsidP="002518B5">
            <w:pPr>
              <w:pStyle w:val="Default"/>
              <w:jc w:val="both"/>
              <w:rPr>
                <w:color w:val="auto"/>
                <w:sz w:val="20"/>
                <w:szCs w:val="20"/>
              </w:rPr>
            </w:pPr>
            <w:r w:rsidRPr="007646A2">
              <w:rPr>
                <w:rFonts w:ascii="TimesNewRomanPSMT" w:hAnsi="TimesNewRomanPSMT" w:cs="TimesNewRomanPSMT"/>
                <w:color w:val="auto"/>
                <w:sz w:val="20"/>
                <w:szCs w:val="20"/>
              </w:rPr>
              <w:t xml:space="preserve">5) V čl. 12 bodě </w:t>
            </w:r>
            <w:r w:rsidRPr="007646A2">
              <w:rPr>
                <w:color w:val="auto"/>
                <w:sz w:val="20"/>
                <w:szCs w:val="20"/>
              </w:rPr>
              <w:t xml:space="preserve">2 se </w:t>
            </w:r>
            <w:r w:rsidRPr="007646A2">
              <w:rPr>
                <w:rFonts w:ascii="TimesNewRomanPSMT" w:hAnsi="TimesNewRomanPSMT" w:cs="TimesNewRomanPSMT"/>
                <w:color w:val="auto"/>
                <w:sz w:val="20"/>
                <w:szCs w:val="20"/>
              </w:rPr>
              <w:t xml:space="preserve">návětí nahrazuje tímto: </w:t>
            </w:r>
          </w:p>
          <w:p w14:paraId="622A5CE4" w14:textId="3566AAF0" w:rsidR="007C5BEF" w:rsidRPr="007646A2" w:rsidRDefault="007C5BEF" w:rsidP="007646A2">
            <w:pPr>
              <w:pStyle w:val="Default"/>
              <w:jc w:val="both"/>
              <w:rPr>
                <w:sz w:val="20"/>
                <w:szCs w:val="20"/>
              </w:rPr>
            </w:pPr>
            <w:r w:rsidRPr="007646A2">
              <w:rPr>
                <w:rFonts w:ascii="TimesNewRomanPSMT" w:hAnsi="TimesNewRomanPSMT" w:cs="TimesNewRomanPSMT"/>
                <w:color w:val="auto"/>
                <w:sz w:val="20"/>
                <w:szCs w:val="20"/>
              </w:rPr>
              <w:t xml:space="preserve">„2. „ostatními šumivými kvašenými nápoji“ rozumějí všechny výrobky kódů KN </w:t>
            </w:r>
            <w:r w:rsidRPr="007646A2">
              <w:rPr>
                <w:color w:val="auto"/>
                <w:sz w:val="20"/>
                <w:szCs w:val="20"/>
              </w:rPr>
              <w:t>2206 00 31 a 2206 00 39</w:t>
            </w:r>
            <w:r w:rsidRPr="007646A2">
              <w:rPr>
                <w:rFonts w:ascii="TimesNewRomanPSMT" w:hAnsi="TimesNewRomanPSMT" w:cs="TimesNewRomanPSMT"/>
                <w:color w:val="auto"/>
                <w:sz w:val="20"/>
                <w:szCs w:val="20"/>
              </w:rPr>
              <w:t xml:space="preserve">, jakož i výrobky kódů KN 2204 </w:t>
            </w:r>
            <w:r w:rsidRPr="007646A2">
              <w:rPr>
                <w:color w:val="auto"/>
                <w:sz w:val="20"/>
                <w:szCs w:val="20"/>
              </w:rPr>
              <w:t xml:space="preserve">10, 2204 21 06, 2204 21 07, 2204 21 08, 2204 21 09, 2204 29 10 a </w:t>
            </w:r>
            <w:r w:rsidRPr="007646A2">
              <w:rPr>
                <w:rFonts w:ascii="TimesNewRomanPSMT" w:hAnsi="TimesNewRomanPSMT" w:cs="TimesNewRomanPSMT"/>
                <w:color w:val="auto"/>
                <w:sz w:val="20"/>
                <w:szCs w:val="20"/>
              </w:rPr>
              <w:t xml:space="preserve">2205, které nejsou zmíněny výše </w:t>
            </w:r>
            <w:r w:rsidRPr="007646A2">
              <w:rPr>
                <w:color w:val="auto"/>
                <w:sz w:val="20"/>
                <w:szCs w:val="20"/>
              </w:rPr>
              <w:t xml:space="preserve">v </w:t>
            </w:r>
            <w:r w:rsidRPr="007646A2">
              <w:rPr>
                <w:rFonts w:ascii="TimesNewRomanPSMT" w:hAnsi="TimesNewRomanPSMT" w:cs="TimesNewRomanPSMT"/>
                <w:color w:val="auto"/>
                <w:sz w:val="20"/>
                <w:szCs w:val="20"/>
              </w:rPr>
              <w:t xml:space="preserve">článku </w:t>
            </w:r>
            <w:r w:rsidRPr="007646A2">
              <w:rPr>
                <w:color w:val="auto"/>
                <w:sz w:val="20"/>
                <w:szCs w:val="20"/>
              </w:rPr>
              <w:t>8 a</w:t>
            </w:r>
            <w:r w:rsidRPr="007646A2">
              <w:rPr>
                <w:rFonts w:ascii="TimesNewRomanPSMT" w:hAnsi="TimesNewRomanPSMT" w:cs="TimesNewRomanPSMT"/>
                <w:color w:val="auto"/>
                <w:sz w:val="20"/>
                <w:szCs w:val="20"/>
              </w:rPr>
              <w:t xml:space="preserve">“. </w:t>
            </w:r>
          </w:p>
        </w:tc>
      </w:tr>
      <w:tr w:rsidR="007C5BEF" w:rsidRPr="0024091C" w14:paraId="0E454B1E" w14:textId="77777777" w:rsidTr="007908DE">
        <w:tc>
          <w:tcPr>
            <w:tcW w:w="1219" w:type="dxa"/>
            <w:tcBorders>
              <w:left w:val="single" w:sz="12" w:space="0" w:color="auto"/>
            </w:tcBorders>
            <w:shd w:val="clear" w:color="auto" w:fill="auto"/>
          </w:tcPr>
          <w:p w14:paraId="0EE52074" w14:textId="16E53B85" w:rsidR="007C5BEF" w:rsidRPr="004C11B7" w:rsidRDefault="007C5BEF" w:rsidP="00214FDF">
            <w:pPr>
              <w:spacing w:before="60"/>
            </w:pPr>
            <w:r>
              <w:t xml:space="preserve">§ 134 odst. 3 </w:t>
            </w:r>
          </w:p>
        </w:tc>
        <w:tc>
          <w:tcPr>
            <w:tcW w:w="4735" w:type="dxa"/>
            <w:tcBorders>
              <w:top w:val="single" w:sz="4" w:space="0" w:color="auto"/>
              <w:right w:val="single" w:sz="12" w:space="0" w:color="auto"/>
            </w:tcBorders>
            <w:shd w:val="clear" w:color="auto" w:fill="auto"/>
          </w:tcPr>
          <w:p w14:paraId="3DEEDE2F" w14:textId="02E83A6E" w:rsidR="007C5BEF" w:rsidRPr="004C11B7" w:rsidRDefault="007C5BEF" w:rsidP="00C24EE8">
            <w:pPr>
              <w:jc w:val="both"/>
              <w:rPr>
                <w:b/>
              </w:rPr>
            </w:pPr>
            <w:r w:rsidRPr="00E34620">
              <w:rPr>
                <w:b/>
              </w:rPr>
              <w:t>(3) Pro účely potvrzení výroby podle § 132 odst. 1 se meziproduktem rozumí výrobky se skutečným obsahem alkoholu přesahujícím 1,2 % objemových, ale nepřesahujícím 22 % objemových, které jsou uvedeny pod kódy nomenklatury 2204, 2205 a 2206 a které nejsou pivem, vínem podle odstavce 1 nebo ostatním kvašeným nápojem podle odstavce 2.</w:t>
            </w:r>
          </w:p>
        </w:tc>
        <w:tc>
          <w:tcPr>
            <w:tcW w:w="1359" w:type="dxa"/>
            <w:tcBorders>
              <w:left w:val="single" w:sz="12" w:space="0" w:color="auto"/>
            </w:tcBorders>
            <w:shd w:val="clear" w:color="auto" w:fill="auto"/>
          </w:tcPr>
          <w:p w14:paraId="0FCE9422" w14:textId="33A0EE09" w:rsidR="007C5BEF" w:rsidRPr="004C11B7" w:rsidRDefault="007C5BEF" w:rsidP="00717CE6">
            <w:pPr>
              <w:spacing w:before="60"/>
              <w:jc w:val="both"/>
            </w:pPr>
            <w:r w:rsidRPr="004C11B7">
              <w:t>3199</w:t>
            </w:r>
            <w:r>
              <w:t>2</w:t>
            </w:r>
            <w:r w:rsidRPr="004C11B7">
              <w:t>L0083</w:t>
            </w:r>
          </w:p>
        </w:tc>
        <w:tc>
          <w:tcPr>
            <w:tcW w:w="1207" w:type="dxa"/>
            <w:shd w:val="clear" w:color="auto" w:fill="auto"/>
          </w:tcPr>
          <w:p w14:paraId="031594C7" w14:textId="0FB1747B" w:rsidR="007C5BEF" w:rsidRPr="007646A2" w:rsidRDefault="007C5BEF" w:rsidP="00214FDF">
            <w:r w:rsidRPr="007646A2">
              <w:t>Čl. 17 odst. 1</w:t>
            </w:r>
          </w:p>
        </w:tc>
        <w:tc>
          <w:tcPr>
            <w:tcW w:w="5655" w:type="dxa"/>
            <w:tcBorders>
              <w:right w:val="single" w:sz="12" w:space="0" w:color="auto"/>
            </w:tcBorders>
            <w:shd w:val="clear" w:color="auto" w:fill="auto"/>
          </w:tcPr>
          <w:p w14:paraId="3FD8A24A" w14:textId="77777777" w:rsidR="007C5BEF" w:rsidRDefault="007C5BEF" w:rsidP="00214FDF">
            <w:pPr>
              <w:pStyle w:val="Default"/>
              <w:jc w:val="both"/>
              <w:rPr>
                <w:sz w:val="20"/>
                <w:szCs w:val="20"/>
              </w:rPr>
            </w:pPr>
            <w:r w:rsidRPr="007646A2">
              <w:rPr>
                <w:sz w:val="20"/>
                <w:szCs w:val="20"/>
              </w:rPr>
              <w:t>1. Pro účely této směrnice se "meziprodukty" rozumějí všechny výrobky se skutečným obsahem alkoholu přesahujícím 1,2 % objemových, ale nepřesahujícím 22 % objemových, které spadají pod kódy KN 2204, 2205 a 2206 a na něž se nevztahují články 2, 8 a 12.</w:t>
            </w:r>
          </w:p>
          <w:p w14:paraId="74D6D49C" w14:textId="77777777" w:rsidR="007C5BEF" w:rsidRDefault="007C5BEF" w:rsidP="00214FDF">
            <w:pPr>
              <w:pStyle w:val="Default"/>
              <w:jc w:val="both"/>
              <w:rPr>
                <w:sz w:val="20"/>
                <w:szCs w:val="20"/>
              </w:rPr>
            </w:pPr>
          </w:p>
          <w:p w14:paraId="70A75BCE" w14:textId="77777777" w:rsidR="007C5BEF" w:rsidRDefault="007C5BEF" w:rsidP="00214FDF">
            <w:pPr>
              <w:pStyle w:val="Default"/>
              <w:jc w:val="both"/>
              <w:rPr>
                <w:sz w:val="20"/>
                <w:szCs w:val="20"/>
              </w:rPr>
            </w:pPr>
          </w:p>
          <w:p w14:paraId="5F79E6D8" w14:textId="77777777" w:rsidR="007C5BEF" w:rsidRDefault="007C5BEF" w:rsidP="00214FDF">
            <w:pPr>
              <w:pStyle w:val="Default"/>
              <w:jc w:val="both"/>
              <w:rPr>
                <w:sz w:val="20"/>
                <w:szCs w:val="20"/>
              </w:rPr>
            </w:pPr>
          </w:p>
          <w:p w14:paraId="6DF94126" w14:textId="25CE4B1B" w:rsidR="007C5BEF" w:rsidRPr="007646A2" w:rsidRDefault="007C5BEF" w:rsidP="00214FDF">
            <w:pPr>
              <w:pStyle w:val="Default"/>
              <w:jc w:val="both"/>
              <w:rPr>
                <w:color w:val="auto"/>
                <w:sz w:val="20"/>
                <w:szCs w:val="20"/>
              </w:rPr>
            </w:pPr>
          </w:p>
        </w:tc>
      </w:tr>
    </w:tbl>
    <w:p w14:paraId="271B6D13" w14:textId="77777777" w:rsidR="004C11B7" w:rsidRDefault="004C11B7">
      <w:pPr>
        <w:overflowPunct/>
        <w:autoSpaceDE/>
        <w:autoSpaceDN/>
        <w:adjustRightInd/>
        <w:textAlignment w:val="auto"/>
        <w:rPr>
          <w:b/>
          <w:sz w:val="28"/>
        </w:rPr>
      </w:pPr>
      <w:r>
        <w:rPr>
          <w:b/>
          <w:sz w:val="28"/>
        </w:rPr>
        <w:br w:type="page"/>
      </w:r>
    </w:p>
    <w:tbl>
      <w:tblPr>
        <w:tblW w:w="1424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3"/>
        <w:gridCol w:w="1982"/>
        <w:gridCol w:w="11580"/>
      </w:tblGrid>
      <w:tr w:rsidR="00214FDF" w:rsidRPr="00C167B7" w14:paraId="11E2C720" w14:textId="77777777" w:rsidTr="00214FDF">
        <w:trPr>
          <w:cantSplit/>
        </w:trPr>
        <w:tc>
          <w:tcPr>
            <w:tcW w:w="683" w:type="dxa"/>
            <w:shd w:val="clear" w:color="auto" w:fill="D9D9D9" w:themeFill="background1" w:themeFillShade="D9"/>
          </w:tcPr>
          <w:p w14:paraId="7B7C9090" w14:textId="77777777" w:rsidR="00214FDF" w:rsidRPr="00C167B7" w:rsidRDefault="00214FDF" w:rsidP="00214FDF">
            <w:pPr>
              <w:spacing w:before="120"/>
              <w:ind w:right="43"/>
              <w:jc w:val="center"/>
              <w:rPr>
                <w:b/>
                <w:bCs/>
              </w:rPr>
            </w:pPr>
            <w:r w:rsidRPr="00C167B7">
              <w:rPr>
                <w:b/>
                <w:bCs/>
              </w:rPr>
              <w:t>Poř.č.</w:t>
            </w:r>
          </w:p>
        </w:tc>
        <w:tc>
          <w:tcPr>
            <w:tcW w:w="1982" w:type="dxa"/>
            <w:shd w:val="clear" w:color="auto" w:fill="D9D9D9" w:themeFill="background1" w:themeFillShade="D9"/>
          </w:tcPr>
          <w:p w14:paraId="74C2DBBF" w14:textId="77777777" w:rsidR="00214FDF" w:rsidRPr="00C167B7" w:rsidRDefault="00214FDF" w:rsidP="00214FDF">
            <w:pPr>
              <w:spacing w:before="120"/>
              <w:jc w:val="center"/>
              <w:rPr>
                <w:b/>
                <w:bCs/>
              </w:rPr>
            </w:pPr>
            <w:r w:rsidRPr="00C167B7">
              <w:rPr>
                <w:b/>
                <w:bCs/>
              </w:rPr>
              <w:t>Číslo předpisu EU (kód CELEX)</w:t>
            </w:r>
          </w:p>
        </w:tc>
        <w:tc>
          <w:tcPr>
            <w:tcW w:w="11580" w:type="dxa"/>
            <w:shd w:val="clear" w:color="auto" w:fill="D9D9D9" w:themeFill="background1" w:themeFillShade="D9"/>
          </w:tcPr>
          <w:p w14:paraId="72751CE7" w14:textId="77777777" w:rsidR="00214FDF" w:rsidRPr="00C167B7" w:rsidRDefault="00214FDF" w:rsidP="00214FDF">
            <w:pPr>
              <w:spacing w:before="120"/>
              <w:jc w:val="center"/>
              <w:rPr>
                <w:b/>
                <w:bCs/>
              </w:rPr>
            </w:pPr>
            <w:r w:rsidRPr="00C167B7">
              <w:rPr>
                <w:b/>
                <w:bCs/>
              </w:rPr>
              <w:t>Název předpisu EU</w:t>
            </w:r>
          </w:p>
        </w:tc>
      </w:tr>
      <w:tr w:rsidR="004C11B7" w:rsidRPr="00C167B7" w14:paraId="2F587487" w14:textId="77777777" w:rsidTr="00D26F27">
        <w:trPr>
          <w:cantSplit/>
        </w:trPr>
        <w:tc>
          <w:tcPr>
            <w:tcW w:w="683" w:type="dxa"/>
          </w:tcPr>
          <w:p w14:paraId="43FDDE2E" w14:textId="77777777" w:rsidR="004C11B7" w:rsidRPr="00C167B7" w:rsidRDefault="004C11B7" w:rsidP="004C11B7">
            <w:pPr>
              <w:pStyle w:val="Odstavecseseznamem"/>
              <w:numPr>
                <w:ilvl w:val="0"/>
                <w:numId w:val="6"/>
              </w:numPr>
              <w:spacing w:before="60" w:after="60"/>
              <w:ind w:left="0" w:right="43" w:firstLine="0"/>
              <w:contextualSpacing w:val="0"/>
              <w:jc w:val="center"/>
            </w:pPr>
          </w:p>
        </w:tc>
        <w:tc>
          <w:tcPr>
            <w:tcW w:w="1982" w:type="dxa"/>
            <w:vAlign w:val="center"/>
          </w:tcPr>
          <w:p w14:paraId="7D417674" w14:textId="31FB2F98" w:rsidR="004C11B7" w:rsidRPr="00C167B7" w:rsidRDefault="004C11B7" w:rsidP="00A663E6">
            <w:pPr>
              <w:spacing w:before="60" w:after="60"/>
              <w:jc w:val="both"/>
            </w:pPr>
            <w:r>
              <w:rPr>
                <w:bCs/>
                <w:iCs/>
              </w:rPr>
              <w:t>3199</w:t>
            </w:r>
            <w:r w:rsidR="00A663E6">
              <w:rPr>
                <w:bCs/>
                <w:iCs/>
              </w:rPr>
              <w:t>2</w:t>
            </w:r>
            <w:r>
              <w:rPr>
                <w:bCs/>
                <w:iCs/>
              </w:rPr>
              <w:t>L0083</w:t>
            </w:r>
          </w:p>
        </w:tc>
        <w:tc>
          <w:tcPr>
            <w:tcW w:w="11580" w:type="dxa"/>
          </w:tcPr>
          <w:p w14:paraId="536A47FC" w14:textId="520FA453" w:rsidR="004C11B7" w:rsidRPr="00C167B7" w:rsidRDefault="004C11B7" w:rsidP="004C11B7">
            <w:pPr>
              <w:spacing w:before="60" w:after="60"/>
              <w:jc w:val="both"/>
            </w:pPr>
            <w:r w:rsidRPr="00323DAD">
              <w:t>Směrnice Rady 92/83/EHS ze dne 19. října 1992 o harmonizaci struktury spotřebních daní z alkoholu a alkoholických nápojů</w:t>
            </w:r>
            <w:r w:rsidR="000B37D0">
              <w:t>.</w:t>
            </w:r>
          </w:p>
        </w:tc>
      </w:tr>
      <w:tr w:rsidR="004C11B7" w:rsidRPr="00C167B7" w14:paraId="112C862C" w14:textId="77777777" w:rsidTr="00214FDF">
        <w:trPr>
          <w:cantSplit/>
        </w:trPr>
        <w:tc>
          <w:tcPr>
            <w:tcW w:w="683" w:type="dxa"/>
            <w:vAlign w:val="center"/>
          </w:tcPr>
          <w:p w14:paraId="6F7B1AAF" w14:textId="77777777" w:rsidR="004C11B7" w:rsidRPr="00C167B7" w:rsidRDefault="004C11B7" w:rsidP="004C11B7">
            <w:pPr>
              <w:pStyle w:val="Odstavecseseznamem"/>
              <w:numPr>
                <w:ilvl w:val="0"/>
                <w:numId w:val="6"/>
              </w:numPr>
              <w:spacing w:before="60" w:after="60"/>
              <w:ind w:left="0" w:right="43" w:firstLine="0"/>
              <w:contextualSpacing w:val="0"/>
            </w:pPr>
          </w:p>
        </w:tc>
        <w:tc>
          <w:tcPr>
            <w:tcW w:w="1982" w:type="dxa"/>
            <w:vAlign w:val="center"/>
          </w:tcPr>
          <w:p w14:paraId="60BB9BE4" w14:textId="35EF3103" w:rsidR="004C11B7" w:rsidRPr="00C167B7" w:rsidRDefault="004C11B7" w:rsidP="004C11B7">
            <w:pPr>
              <w:spacing w:before="60" w:after="60"/>
            </w:pPr>
            <w:r w:rsidRPr="00EB19DC">
              <w:t>32008L0118</w:t>
            </w:r>
          </w:p>
        </w:tc>
        <w:tc>
          <w:tcPr>
            <w:tcW w:w="11580" w:type="dxa"/>
          </w:tcPr>
          <w:p w14:paraId="18585E76" w14:textId="66053BF1" w:rsidR="004C11B7" w:rsidRPr="00C167B7" w:rsidRDefault="004C11B7" w:rsidP="004C11B7">
            <w:pPr>
              <w:spacing w:before="60" w:after="60"/>
              <w:jc w:val="both"/>
            </w:pPr>
            <w:r w:rsidRPr="00337D0B">
              <w:t>S</w:t>
            </w:r>
            <w:r>
              <w:t xml:space="preserve">měrnice Rady </w:t>
            </w:r>
            <w:r w:rsidRPr="00337D0B">
              <w:t>2008/118/ES</w:t>
            </w:r>
            <w:r>
              <w:t xml:space="preserve">  z</w:t>
            </w:r>
            <w:r w:rsidRPr="00337D0B">
              <w:t>e dne 16. prosince 2008</w:t>
            </w:r>
            <w:r>
              <w:t xml:space="preserve"> </w:t>
            </w:r>
            <w:r w:rsidRPr="00337D0B">
              <w:t>o obecné úpravě spotřebních daní a o zrušení směrnice 92/12/EHS</w:t>
            </w:r>
            <w:r w:rsidR="000B37D0">
              <w:t>.</w:t>
            </w:r>
          </w:p>
        </w:tc>
      </w:tr>
      <w:tr w:rsidR="004C11B7" w:rsidRPr="00C167B7" w14:paraId="0107D6F3" w14:textId="77777777" w:rsidTr="00214FDF">
        <w:trPr>
          <w:cantSplit/>
        </w:trPr>
        <w:tc>
          <w:tcPr>
            <w:tcW w:w="683" w:type="dxa"/>
            <w:vAlign w:val="center"/>
          </w:tcPr>
          <w:p w14:paraId="27D73DBF" w14:textId="77777777" w:rsidR="004C11B7" w:rsidRPr="00C167B7" w:rsidRDefault="004C11B7" w:rsidP="004C11B7">
            <w:pPr>
              <w:pStyle w:val="Odstavecseseznamem"/>
              <w:numPr>
                <w:ilvl w:val="0"/>
                <w:numId w:val="6"/>
              </w:numPr>
              <w:spacing w:before="60" w:after="60"/>
              <w:ind w:left="0" w:right="43" w:firstLine="0"/>
              <w:contextualSpacing w:val="0"/>
            </w:pPr>
          </w:p>
        </w:tc>
        <w:tc>
          <w:tcPr>
            <w:tcW w:w="1982" w:type="dxa"/>
            <w:vAlign w:val="center"/>
          </w:tcPr>
          <w:p w14:paraId="07688515" w14:textId="25E5210F" w:rsidR="004C11B7" w:rsidRPr="00060BE5" w:rsidRDefault="004C11B7" w:rsidP="004C11B7">
            <w:pPr>
              <w:spacing w:before="60" w:after="60"/>
            </w:pPr>
            <w:r w:rsidRPr="00654F1C">
              <w:rPr>
                <w:bCs/>
                <w:iCs/>
              </w:rPr>
              <w:t>32011R0282</w:t>
            </w:r>
          </w:p>
        </w:tc>
        <w:tc>
          <w:tcPr>
            <w:tcW w:w="11580" w:type="dxa"/>
          </w:tcPr>
          <w:p w14:paraId="4FC62F0D" w14:textId="67F8EE15" w:rsidR="004C11B7" w:rsidRPr="00C167B7" w:rsidRDefault="004C11B7" w:rsidP="00A663E6">
            <w:pPr>
              <w:spacing w:before="60" w:after="60"/>
              <w:jc w:val="both"/>
            </w:pPr>
            <w:r w:rsidRPr="002014D2">
              <w:t>Prováděcí nařízení Rady (EU) č. 282/2011 ze dne 15. března 2011, kterým se stanoví prováděcí opatření ke směrnici 2006/112/ES o společném systému daně z přidané hodnoty</w:t>
            </w:r>
            <w:r w:rsidR="000B37D0">
              <w:t>.</w:t>
            </w:r>
          </w:p>
        </w:tc>
      </w:tr>
      <w:tr w:rsidR="004C11B7" w:rsidRPr="00C167B7" w14:paraId="1AF6251C" w14:textId="77777777" w:rsidTr="00214FDF">
        <w:trPr>
          <w:cantSplit/>
        </w:trPr>
        <w:tc>
          <w:tcPr>
            <w:tcW w:w="683" w:type="dxa"/>
            <w:vAlign w:val="center"/>
          </w:tcPr>
          <w:p w14:paraId="6AE8E1B4" w14:textId="77777777" w:rsidR="004C11B7" w:rsidRPr="00C167B7" w:rsidRDefault="004C11B7" w:rsidP="004C11B7">
            <w:pPr>
              <w:pStyle w:val="Odstavecseseznamem"/>
              <w:numPr>
                <w:ilvl w:val="0"/>
                <w:numId w:val="6"/>
              </w:numPr>
              <w:spacing w:before="60" w:after="60"/>
              <w:ind w:left="0" w:right="43" w:firstLine="0"/>
              <w:contextualSpacing w:val="0"/>
            </w:pPr>
          </w:p>
        </w:tc>
        <w:tc>
          <w:tcPr>
            <w:tcW w:w="1982" w:type="dxa"/>
            <w:vAlign w:val="center"/>
          </w:tcPr>
          <w:p w14:paraId="03279661" w14:textId="31FBFB31" w:rsidR="004C11B7" w:rsidRPr="00060BE5" w:rsidRDefault="004C11B7" w:rsidP="004C11B7">
            <w:pPr>
              <w:spacing w:before="60" w:after="60"/>
            </w:pPr>
            <w:r w:rsidRPr="00D24F79">
              <w:t>32019L2235</w:t>
            </w:r>
          </w:p>
        </w:tc>
        <w:tc>
          <w:tcPr>
            <w:tcW w:w="11580" w:type="dxa"/>
          </w:tcPr>
          <w:p w14:paraId="20C0AE94" w14:textId="2AE0557A" w:rsidR="004C11B7" w:rsidRPr="00C167B7" w:rsidRDefault="004C11B7" w:rsidP="004C11B7">
            <w:pPr>
              <w:spacing w:before="60" w:after="60"/>
              <w:jc w:val="both"/>
            </w:pPr>
            <w:r w:rsidRPr="00D24F79">
              <w:t>Směrnice Rady (EU) 2019/2235 ze dne 16. prosince 2019, kterou se mění směrnice 2006/112/ES, o společném systému daně z přidané hodnoty a směrnice 2008/118/ES o obecné úpravě spotřebních daní, pokud jde o obranné úsilí v rámci evropské unie.</w:t>
            </w:r>
          </w:p>
        </w:tc>
      </w:tr>
      <w:tr w:rsidR="004C11B7" w:rsidRPr="00C167B7" w14:paraId="1FFA6197" w14:textId="77777777" w:rsidTr="00D26F27">
        <w:trPr>
          <w:cantSplit/>
        </w:trPr>
        <w:tc>
          <w:tcPr>
            <w:tcW w:w="683" w:type="dxa"/>
            <w:vAlign w:val="center"/>
          </w:tcPr>
          <w:p w14:paraId="31271BEB" w14:textId="77777777" w:rsidR="004C11B7" w:rsidRPr="00C167B7" w:rsidRDefault="004C11B7" w:rsidP="004C11B7">
            <w:pPr>
              <w:pStyle w:val="Odstavecseseznamem"/>
              <w:numPr>
                <w:ilvl w:val="0"/>
                <w:numId w:val="6"/>
              </w:numPr>
              <w:spacing w:before="60" w:after="60"/>
              <w:ind w:left="0" w:right="43" w:firstLine="0"/>
              <w:contextualSpacing w:val="0"/>
            </w:pPr>
          </w:p>
        </w:tc>
        <w:tc>
          <w:tcPr>
            <w:tcW w:w="1982" w:type="dxa"/>
          </w:tcPr>
          <w:p w14:paraId="4466C337" w14:textId="7B3BF884" w:rsidR="004C11B7" w:rsidRPr="00060BE5" w:rsidRDefault="004C11B7" w:rsidP="004C11B7">
            <w:pPr>
              <w:spacing w:before="60" w:after="60"/>
            </w:pPr>
            <w:r w:rsidRPr="00D24F79">
              <w:t>32020L1151</w:t>
            </w:r>
          </w:p>
        </w:tc>
        <w:tc>
          <w:tcPr>
            <w:tcW w:w="11580" w:type="dxa"/>
          </w:tcPr>
          <w:p w14:paraId="355BDB57" w14:textId="46B9DFEE" w:rsidR="004C11B7" w:rsidRPr="00C167B7" w:rsidRDefault="004C11B7" w:rsidP="004C11B7">
            <w:pPr>
              <w:spacing w:before="60" w:after="60"/>
              <w:jc w:val="both"/>
            </w:pPr>
            <w:r w:rsidRPr="00D24F79">
              <w:t xml:space="preserve">Směrnice Rady (EU) 2020/1151 ze dne 29. července 2020, kterou se mění směrnice 92/83/EHS o harmonizaci struktury spotřebních daní z alkoholu a alkoholických nápojů. </w:t>
            </w:r>
          </w:p>
        </w:tc>
      </w:tr>
    </w:tbl>
    <w:p w14:paraId="5346F9C7" w14:textId="77777777" w:rsidR="00214FDF" w:rsidRDefault="00214FDF" w:rsidP="00F066BA">
      <w:pPr>
        <w:spacing w:after="120"/>
        <w:outlineLvl w:val="0"/>
        <w:rPr>
          <w:b/>
          <w:sz w:val="28"/>
        </w:rPr>
      </w:pPr>
    </w:p>
    <w:p w14:paraId="7D0A4F1D" w14:textId="14EBA6D9" w:rsidR="00F066BA" w:rsidRPr="009E22A7" w:rsidRDefault="00B91EA1" w:rsidP="00F066BA">
      <w:pPr>
        <w:spacing w:after="120"/>
        <w:outlineLvl w:val="0"/>
        <w:rPr>
          <w:b/>
          <w:sz w:val="28"/>
        </w:rPr>
      </w:pPr>
      <w:r>
        <w:rPr>
          <w:b/>
          <w:sz w:val="28"/>
        </w:rPr>
        <w:t>2</w:t>
      </w:r>
      <w:r w:rsidRPr="009E22A7">
        <w:rPr>
          <w:b/>
          <w:sz w:val="28"/>
        </w:rPr>
        <w:t xml:space="preserve">) Změna zákona č. </w:t>
      </w:r>
      <w:r w:rsidRPr="00050572">
        <w:rPr>
          <w:b/>
          <w:sz w:val="28"/>
        </w:rPr>
        <w:t>235/2004</w:t>
      </w:r>
      <w:r w:rsidRPr="00F066BA">
        <w:rPr>
          <w:b/>
          <w:sz w:val="28"/>
        </w:rPr>
        <w:t xml:space="preserve"> Sb.</w:t>
      </w:r>
      <w:r>
        <w:rPr>
          <w:b/>
          <w:sz w:val="28"/>
        </w:rPr>
        <w:t>, o</w:t>
      </w:r>
      <w:r w:rsidRPr="00050572">
        <w:rPr>
          <w:b/>
          <w:sz w:val="28"/>
        </w:rPr>
        <w:t xml:space="preserve"> dani z přidané hodnoty</w:t>
      </w:r>
      <w:r w:rsidRPr="009E22A7">
        <w:rPr>
          <w:b/>
          <w:sz w:val="28"/>
        </w:rPr>
        <w:t>, ve znění pozdějších předpisů:</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23"/>
        <w:gridCol w:w="4837"/>
        <w:gridCol w:w="1323"/>
        <w:gridCol w:w="1207"/>
        <w:gridCol w:w="5585"/>
      </w:tblGrid>
      <w:tr w:rsidR="002C0569" w:rsidRPr="00C167B7" w14:paraId="67B3147B" w14:textId="77777777" w:rsidTr="00050572">
        <w:tc>
          <w:tcPr>
            <w:tcW w:w="6060"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A89C684" w14:textId="24C91E2D" w:rsidR="002C0569" w:rsidRPr="00050572" w:rsidRDefault="002C0569" w:rsidP="00050572">
            <w:pPr>
              <w:pStyle w:val="Textbubliny"/>
              <w:overflowPunct/>
              <w:autoSpaceDE/>
              <w:autoSpaceDN/>
              <w:adjustRightInd/>
              <w:jc w:val="center"/>
              <w:textAlignment w:val="auto"/>
              <w:rPr>
                <w:rFonts w:ascii="Times New Roman" w:hAnsi="Times New Roman" w:cs="Times New Roman"/>
                <w:b/>
                <w:bCs/>
                <w:sz w:val="24"/>
                <w:szCs w:val="24"/>
              </w:rPr>
            </w:pPr>
            <w:r w:rsidRPr="009E22A7">
              <w:rPr>
                <w:rFonts w:ascii="Times New Roman" w:hAnsi="Times New Roman" w:cs="Times New Roman"/>
                <w:b/>
                <w:bCs/>
                <w:sz w:val="24"/>
                <w:szCs w:val="24"/>
              </w:rPr>
              <w:br w:type="page"/>
              <w:t>Návrh zákona</w:t>
            </w:r>
            <w:r>
              <w:rPr>
                <w:rFonts w:ascii="Times New Roman" w:hAnsi="Times New Roman" w:cs="Times New Roman"/>
                <w:b/>
                <w:bCs/>
                <w:sz w:val="24"/>
                <w:szCs w:val="24"/>
              </w:rPr>
              <w:t>,</w:t>
            </w:r>
            <w:r w:rsidRPr="00050572">
              <w:rPr>
                <w:rFonts w:ascii="Times New Roman" w:hAnsi="Times New Roman" w:cs="Times New Roman"/>
                <w:b/>
                <w:bCs/>
                <w:sz w:val="24"/>
                <w:szCs w:val="24"/>
              </w:rPr>
              <w:t xml:space="preserve"> </w:t>
            </w:r>
            <w:r w:rsidRPr="002C0569">
              <w:rPr>
                <w:rFonts w:ascii="Times New Roman" w:hAnsi="Times New Roman" w:cs="Times New Roman"/>
                <w:b/>
                <w:bCs/>
                <w:sz w:val="24"/>
                <w:szCs w:val="24"/>
              </w:rPr>
              <w:t>kterým s</w:t>
            </w:r>
            <w:r>
              <w:rPr>
                <w:rFonts w:ascii="Times New Roman" w:hAnsi="Times New Roman" w:cs="Times New Roman"/>
                <w:b/>
                <w:bCs/>
                <w:sz w:val="24"/>
                <w:szCs w:val="24"/>
              </w:rPr>
              <w:t>e mění zákon č. 353/2003 Sb., o </w:t>
            </w:r>
            <w:r w:rsidRPr="002C0569">
              <w:rPr>
                <w:rFonts w:ascii="Times New Roman" w:hAnsi="Times New Roman" w:cs="Times New Roman"/>
                <w:b/>
                <w:bCs/>
                <w:sz w:val="24"/>
                <w:szCs w:val="24"/>
              </w:rPr>
              <w:t xml:space="preserve">spotřebních daních, </w:t>
            </w:r>
            <w:r>
              <w:rPr>
                <w:rFonts w:ascii="Times New Roman" w:hAnsi="Times New Roman" w:cs="Times New Roman"/>
                <w:b/>
                <w:bCs/>
                <w:sz w:val="24"/>
                <w:szCs w:val="24"/>
              </w:rPr>
              <w:t>ve znění pozdějších předpisů, a </w:t>
            </w:r>
            <w:r w:rsidRPr="002C0569">
              <w:rPr>
                <w:rFonts w:ascii="Times New Roman" w:hAnsi="Times New Roman" w:cs="Times New Roman"/>
                <w:b/>
                <w:bCs/>
                <w:sz w:val="24"/>
                <w:szCs w:val="24"/>
              </w:rPr>
              <w:t>zákon č. 235/2004 Sb</w:t>
            </w:r>
            <w:r>
              <w:rPr>
                <w:rFonts w:ascii="Times New Roman" w:hAnsi="Times New Roman" w:cs="Times New Roman"/>
                <w:b/>
                <w:bCs/>
                <w:sz w:val="24"/>
                <w:szCs w:val="24"/>
              </w:rPr>
              <w:t>., o dani z přidané hodnoty, ve </w:t>
            </w:r>
            <w:r w:rsidRPr="002C0569">
              <w:rPr>
                <w:rFonts w:ascii="Times New Roman" w:hAnsi="Times New Roman" w:cs="Times New Roman"/>
                <w:b/>
                <w:bCs/>
                <w:sz w:val="24"/>
                <w:szCs w:val="24"/>
              </w:rPr>
              <w:t>znění pozdějších předpisů</w:t>
            </w:r>
          </w:p>
        </w:tc>
        <w:tc>
          <w:tcPr>
            <w:tcW w:w="8115"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2919FFA" w14:textId="3548BDA1" w:rsidR="002C0569" w:rsidRPr="00C167B7" w:rsidRDefault="002C0569" w:rsidP="00050572">
            <w:pPr>
              <w:pStyle w:val="Textbubliny"/>
              <w:overflowPunct/>
              <w:autoSpaceDE/>
              <w:autoSpaceDN/>
              <w:adjustRightInd/>
              <w:jc w:val="center"/>
              <w:textAlignment w:val="auto"/>
              <w:rPr>
                <w:rFonts w:ascii="Times New Roman" w:hAnsi="Times New Roman" w:cs="Times New Roman"/>
                <w:b/>
                <w:bCs/>
                <w:sz w:val="20"/>
                <w:szCs w:val="20"/>
              </w:rPr>
            </w:pPr>
            <w:r w:rsidRPr="009E22A7">
              <w:rPr>
                <w:rFonts w:ascii="Times New Roman" w:hAnsi="Times New Roman" w:cs="Times New Roman"/>
                <w:b/>
                <w:bCs/>
                <w:sz w:val="24"/>
                <w:szCs w:val="24"/>
              </w:rPr>
              <w:t>Odpovídající předpis EU</w:t>
            </w:r>
          </w:p>
        </w:tc>
      </w:tr>
      <w:tr w:rsidR="00C167B7" w:rsidRPr="00C167B7" w14:paraId="6AA64623" w14:textId="77777777" w:rsidTr="00E9728F">
        <w:tc>
          <w:tcPr>
            <w:tcW w:w="6060"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953D0D9" w14:textId="77777777" w:rsidR="00506795" w:rsidRPr="00C167B7" w:rsidRDefault="00506795" w:rsidP="00FF56A1">
            <w:pPr>
              <w:pStyle w:val="Textbubliny"/>
              <w:spacing w:before="60"/>
              <w:jc w:val="center"/>
              <w:rPr>
                <w:rFonts w:ascii="Times New Roman" w:hAnsi="Times New Roman" w:cs="Times New Roman"/>
                <w:b/>
                <w:bCs/>
                <w:sz w:val="20"/>
                <w:szCs w:val="20"/>
              </w:rPr>
            </w:pPr>
            <w:r w:rsidRPr="00C167B7">
              <w:rPr>
                <w:rFonts w:ascii="Times New Roman" w:hAnsi="Times New Roman" w:cs="Times New Roman"/>
                <w:b/>
                <w:bCs/>
                <w:sz w:val="20"/>
                <w:szCs w:val="20"/>
              </w:rPr>
              <w:br w:type="page"/>
              <w:t>Navrhovaný právní předpis</w:t>
            </w:r>
          </w:p>
        </w:tc>
        <w:tc>
          <w:tcPr>
            <w:tcW w:w="8115"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F7FF350" w14:textId="77777777" w:rsidR="00506795" w:rsidRPr="00C167B7" w:rsidRDefault="00506795" w:rsidP="00FF56A1">
            <w:pPr>
              <w:pStyle w:val="Textbubliny"/>
              <w:spacing w:before="60"/>
              <w:jc w:val="center"/>
              <w:rPr>
                <w:rFonts w:ascii="Times New Roman" w:hAnsi="Times New Roman" w:cs="Times New Roman"/>
                <w:b/>
                <w:bCs/>
                <w:sz w:val="20"/>
                <w:szCs w:val="20"/>
              </w:rPr>
            </w:pPr>
            <w:r w:rsidRPr="00C167B7">
              <w:rPr>
                <w:rFonts w:ascii="Times New Roman" w:hAnsi="Times New Roman" w:cs="Times New Roman"/>
                <w:b/>
                <w:bCs/>
                <w:sz w:val="20"/>
                <w:szCs w:val="20"/>
              </w:rPr>
              <w:t>Odpovídající předpis EU</w:t>
            </w:r>
          </w:p>
        </w:tc>
      </w:tr>
      <w:tr w:rsidR="00C167B7" w:rsidRPr="00C167B7" w14:paraId="59E1B6BF" w14:textId="77777777" w:rsidTr="00E9728F">
        <w:tc>
          <w:tcPr>
            <w:tcW w:w="1223" w:type="dxa"/>
            <w:tcBorders>
              <w:top w:val="single" w:sz="12" w:space="0" w:color="auto"/>
              <w:left w:val="single" w:sz="12" w:space="0" w:color="auto"/>
            </w:tcBorders>
            <w:vAlign w:val="center"/>
          </w:tcPr>
          <w:p w14:paraId="33122CA4" w14:textId="77777777" w:rsidR="00506795" w:rsidRPr="00C167B7" w:rsidRDefault="00506795" w:rsidP="00FF56A1">
            <w:pPr>
              <w:spacing w:before="60"/>
              <w:jc w:val="center"/>
              <w:rPr>
                <w:b/>
                <w:bCs/>
              </w:rPr>
            </w:pPr>
            <w:r w:rsidRPr="00C167B7">
              <w:rPr>
                <w:b/>
                <w:bCs/>
              </w:rPr>
              <w:t>Ustanovení</w:t>
            </w:r>
          </w:p>
          <w:p w14:paraId="07DD9325" w14:textId="481519D5" w:rsidR="004725B3" w:rsidRPr="00C167B7" w:rsidRDefault="004725B3" w:rsidP="00FF56A1">
            <w:pPr>
              <w:spacing w:before="60"/>
              <w:jc w:val="center"/>
              <w:rPr>
                <w:b/>
                <w:bCs/>
              </w:rPr>
            </w:pPr>
            <w:r w:rsidRPr="00C167B7">
              <w:rPr>
                <w:b/>
                <w:bCs/>
              </w:rPr>
              <w:t>ČÁST PRVNÍ</w:t>
            </w:r>
          </w:p>
        </w:tc>
        <w:tc>
          <w:tcPr>
            <w:tcW w:w="4837" w:type="dxa"/>
            <w:tcBorders>
              <w:top w:val="single" w:sz="12" w:space="0" w:color="auto"/>
              <w:right w:val="single" w:sz="12" w:space="0" w:color="auto"/>
            </w:tcBorders>
            <w:vAlign w:val="center"/>
          </w:tcPr>
          <w:p w14:paraId="5A62B188" w14:textId="77777777" w:rsidR="00506795" w:rsidRPr="00C167B7" w:rsidRDefault="00506795" w:rsidP="00FF56A1">
            <w:pPr>
              <w:pStyle w:val="Pedmtkomente"/>
              <w:spacing w:before="60"/>
              <w:jc w:val="center"/>
            </w:pPr>
            <w:r w:rsidRPr="00C167B7">
              <w:t>Obsah</w:t>
            </w:r>
          </w:p>
        </w:tc>
        <w:tc>
          <w:tcPr>
            <w:tcW w:w="1323" w:type="dxa"/>
            <w:tcBorders>
              <w:top w:val="single" w:sz="12" w:space="0" w:color="auto"/>
              <w:left w:val="single" w:sz="12" w:space="0" w:color="auto"/>
            </w:tcBorders>
            <w:vAlign w:val="center"/>
          </w:tcPr>
          <w:p w14:paraId="17418600" w14:textId="77777777" w:rsidR="00506795" w:rsidRPr="00C167B7" w:rsidRDefault="00506795" w:rsidP="00FF56A1">
            <w:pPr>
              <w:spacing w:before="60"/>
              <w:jc w:val="center"/>
              <w:rPr>
                <w:b/>
                <w:bCs/>
              </w:rPr>
            </w:pPr>
            <w:r w:rsidRPr="00C167B7">
              <w:rPr>
                <w:b/>
                <w:bCs/>
              </w:rPr>
              <w:t>CELEX č.</w:t>
            </w:r>
          </w:p>
        </w:tc>
        <w:tc>
          <w:tcPr>
            <w:tcW w:w="1207" w:type="dxa"/>
            <w:tcBorders>
              <w:top w:val="single" w:sz="12" w:space="0" w:color="auto"/>
            </w:tcBorders>
            <w:vAlign w:val="center"/>
          </w:tcPr>
          <w:p w14:paraId="47BE6E70" w14:textId="77777777" w:rsidR="00506795" w:rsidRPr="00C167B7" w:rsidRDefault="00506795" w:rsidP="00FF56A1">
            <w:pPr>
              <w:spacing w:before="60"/>
            </w:pPr>
            <w:r w:rsidRPr="00C167B7">
              <w:rPr>
                <w:b/>
                <w:bCs/>
              </w:rPr>
              <w:t>Ustanovení</w:t>
            </w:r>
          </w:p>
        </w:tc>
        <w:tc>
          <w:tcPr>
            <w:tcW w:w="5585" w:type="dxa"/>
            <w:tcBorders>
              <w:top w:val="single" w:sz="12" w:space="0" w:color="auto"/>
              <w:right w:val="single" w:sz="12" w:space="0" w:color="auto"/>
            </w:tcBorders>
            <w:vAlign w:val="center"/>
          </w:tcPr>
          <w:p w14:paraId="6F9FA09E" w14:textId="77777777" w:rsidR="00506795" w:rsidRPr="00C167B7" w:rsidRDefault="00506795" w:rsidP="00FF56A1">
            <w:pPr>
              <w:spacing w:before="60"/>
              <w:jc w:val="center"/>
            </w:pPr>
            <w:r w:rsidRPr="00C167B7">
              <w:rPr>
                <w:b/>
                <w:bCs/>
              </w:rPr>
              <w:t>Obsah</w:t>
            </w:r>
          </w:p>
        </w:tc>
      </w:tr>
      <w:tr w:rsidR="002A57E7" w:rsidRPr="00C167B7" w14:paraId="08CD6C25" w14:textId="77777777" w:rsidTr="00E9728F">
        <w:tc>
          <w:tcPr>
            <w:tcW w:w="1223" w:type="dxa"/>
            <w:tcBorders>
              <w:left w:val="single" w:sz="12" w:space="0" w:color="auto"/>
            </w:tcBorders>
            <w:shd w:val="clear" w:color="auto" w:fill="auto"/>
          </w:tcPr>
          <w:p w14:paraId="145169D6" w14:textId="759D4ABC" w:rsidR="002A57E7" w:rsidRDefault="002A57E7" w:rsidP="00FF56A1">
            <w:pPr>
              <w:spacing w:before="60"/>
            </w:pPr>
            <w:r>
              <w:t>Poznámka pod čarou</w:t>
            </w:r>
            <w:r w:rsidR="005039A9">
              <w:t xml:space="preserve"> č. </w:t>
            </w:r>
            <w:r w:rsidR="00F76A28">
              <w:t>1</w:t>
            </w:r>
          </w:p>
        </w:tc>
        <w:tc>
          <w:tcPr>
            <w:tcW w:w="4837" w:type="dxa"/>
            <w:tcBorders>
              <w:right w:val="single" w:sz="12" w:space="0" w:color="auto"/>
            </w:tcBorders>
            <w:shd w:val="clear" w:color="auto" w:fill="auto"/>
          </w:tcPr>
          <w:p w14:paraId="30C6C54F" w14:textId="77777777" w:rsidR="00F76A28" w:rsidRPr="00F76A28" w:rsidRDefault="00F76A28" w:rsidP="00C958E2">
            <w:pPr>
              <w:pStyle w:val="Bezmezer"/>
              <w:spacing w:before="60" w:after="120"/>
              <w:jc w:val="both"/>
              <w:rPr>
                <w:rFonts w:ascii="Times New Roman" w:eastAsia="Times New Roman" w:hAnsi="Times New Roman"/>
                <w:sz w:val="20"/>
                <w:szCs w:val="20"/>
              </w:rPr>
            </w:pPr>
            <w:r w:rsidRPr="00F76A28">
              <w:rPr>
                <w:rFonts w:ascii="Times New Roman" w:eastAsia="Times New Roman" w:hAnsi="Times New Roman"/>
                <w:sz w:val="20"/>
                <w:szCs w:val="20"/>
              </w:rPr>
              <w:t xml:space="preserve">Na konci poznámky pod čarou č. 1 se na samostatný řádek doplňuje věta </w:t>
            </w:r>
          </w:p>
          <w:p w14:paraId="1255EF3E" w14:textId="7B17E71A" w:rsidR="002A57E7" w:rsidRPr="00F76A28" w:rsidRDefault="00F76A28" w:rsidP="00FF56A1">
            <w:pPr>
              <w:pStyle w:val="Bezmezer"/>
              <w:spacing w:before="120" w:after="120"/>
              <w:jc w:val="both"/>
              <w:rPr>
                <w:rFonts w:ascii="Times New Roman" w:eastAsia="Times New Roman" w:hAnsi="Times New Roman"/>
                <w:b/>
                <w:sz w:val="20"/>
                <w:szCs w:val="20"/>
              </w:rPr>
            </w:pPr>
            <w:r w:rsidRPr="00F76A28">
              <w:rPr>
                <w:rFonts w:ascii="Times New Roman" w:eastAsia="Times New Roman" w:hAnsi="Times New Roman"/>
                <w:b/>
                <w:sz w:val="20"/>
                <w:szCs w:val="20"/>
              </w:rPr>
              <w:t>Směrnice Rady (EU) 2019/2235 ze dne 16. prosince 2019, kterou se mění směrnice 2006/112/ES, o společném systému daně z přidané hodnoty a směrnice 2008/118ES o obecné úpravě spotřebních daní, pokud jde o obranné úsilí v rámci Unie.</w:t>
            </w:r>
          </w:p>
        </w:tc>
        <w:tc>
          <w:tcPr>
            <w:tcW w:w="1323" w:type="dxa"/>
            <w:tcBorders>
              <w:left w:val="single" w:sz="12" w:space="0" w:color="auto"/>
              <w:bottom w:val="single" w:sz="4" w:space="0" w:color="auto"/>
            </w:tcBorders>
            <w:shd w:val="clear" w:color="auto" w:fill="auto"/>
          </w:tcPr>
          <w:p w14:paraId="05C7CF5B" w14:textId="15A8C943" w:rsidR="002A57E7" w:rsidRPr="00E46E3A" w:rsidRDefault="001D796B" w:rsidP="00FF56A1">
            <w:pPr>
              <w:spacing w:before="60"/>
              <w:jc w:val="both"/>
            </w:pPr>
            <w:r w:rsidRPr="00E46E3A">
              <w:t>32019L2235</w:t>
            </w:r>
          </w:p>
        </w:tc>
        <w:tc>
          <w:tcPr>
            <w:tcW w:w="1207" w:type="dxa"/>
            <w:tcBorders>
              <w:bottom w:val="single" w:sz="4" w:space="0" w:color="auto"/>
            </w:tcBorders>
            <w:shd w:val="clear" w:color="auto" w:fill="auto"/>
          </w:tcPr>
          <w:p w14:paraId="5D6A8184" w14:textId="10359EC9" w:rsidR="002A57E7" w:rsidRPr="00C167B7" w:rsidRDefault="00FF56A1" w:rsidP="00FF56A1">
            <w:pPr>
              <w:spacing w:before="60"/>
            </w:pPr>
            <w:r>
              <w:t>Čl. 3 odst. </w:t>
            </w:r>
            <w:r w:rsidR="001D796B">
              <w:t>1, třetí pododstavec</w:t>
            </w:r>
          </w:p>
        </w:tc>
        <w:tc>
          <w:tcPr>
            <w:tcW w:w="5585" w:type="dxa"/>
            <w:tcBorders>
              <w:bottom w:val="single" w:sz="4" w:space="0" w:color="auto"/>
              <w:right w:val="single" w:sz="12" w:space="0" w:color="auto"/>
            </w:tcBorders>
            <w:shd w:val="clear" w:color="auto" w:fill="auto"/>
          </w:tcPr>
          <w:p w14:paraId="59F78C47" w14:textId="18117ECE" w:rsidR="002A57E7" w:rsidRDefault="001D796B" w:rsidP="00FF56A1">
            <w:pPr>
              <w:overflowPunct/>
              <w:spacing w:before="60"/>
              <w:jc w:val="both"/>
              <w:textAlignment w:val="auto"/>
            </w:pPr>
            <w:r w:rsidRPr="00C167B7">
              <w:t>Tyto předpisy přijaté členskými státy musí obsahovat odkaz na tuto směrnici nebo musí být takový odkaz učiněn při jejich úředním vyhlášení. Způsob odkazu si stanoví členské státy.</w:t>
            </w:r>
          </w:p>
        </w:tc>
      </w:tr>
      <w:tr w:rsidR="00102EEE" w:rsidRPr="00C167B7" w14:paraId="1D26E2FB" w14:textId="77777777" w:rsidTr="00E9728F">
        <w:tc>
          <w:tcPr>
            <w:tcW w:w="1223" w:type="dxa"/>
            <w:vMerge w:val="restart"/>
            <w:tcBorders>
              <w:left w:val="single" w:sz="12" w:space="0" w:color="auto"/>
            </w:tcBorders>
            <w:shd w:val="clear" w:color="auto" w:fill="auto"/>
          </w:tcPr>
          <w:p w14:paraId="18C8FDAD" w14:textId="6B6D61FC" w:rsidR="00102EEE" w:rsidRPr="00C167B7" w:rsidRDefault="00102EEE" w:rsidP="00FF56A1">
            <w:pPr>
              <w:spacing w:before="60"/>
            </w:pPr>
            <w:r>
              <w:t>§ 16 odst. 3 písm. c)</w:t>
            </w:r>
          </w:p>
        </w:tc>
        <w:tc>
          <w:tcPr>
            <w:tcW w:w="4837" w:type="dxa"/>
            <w:vMerge w:val="restart"/>
            <w:tcBorders>
              <w:right w:val="single" w:sz="12" w:space="0" w:color="auto"/>
            </w:tcBorders>
            <w:shd w:val="clear" w:color="auto" w:fill="auto"/>
          </w:tcPr>
          <w:p w14:paraId="3CBC40EB" w14:textId="2D8DB1E6" w:rsidR="00102EEE" w:rsidRDefault="00102EEE" w:rsidP="00C958E2">
            <w:pPr>
              <w:pStyle w:val="Bezmezer"/>
              <w:spacing w:before="60" w:after="120"/>
              <w:jc w:val="both"/>
              <w:rPr>
                <w:rFonts w:ascii="Times New Roman" w:eastAsia="Times New Roman" w:hAnsi="Times New Roman"/>
                <w:sz w:val="20"/>
                <w:szCs w:val="20"/>
              </w:rPr>
            </w:pPr>
            <w:r w:rsidRPr="00102EEE">
              <w:rPr>
                <w:rFonts w:ascii="Times New Roman" w:eastAsia="Times New Roman" w:hAnsi="Times New Roman"/>
                <w:sz w:val="20"/>
                <w:szCs w:val="20"/>
              </w:rPr>
              <w:t>(3) Za pořízení zboží z jiného členského státu za úplatu se pro účely tohoto zákona považuje</w:t>
            </w:r>
          </w:p>
          <w:p w14:paraId="7C4D5021" w14:textId="1EF929D5" w:rsidR="00102EEE" w:rsidRPr="00FE190F" w:rsidRDefault="00102EEE" w:rsidP="00FF56A1">
            <w:pPr>
              <w:pStyle w:val="Bezmezer"/>
              <w:ind w:left="284" w:hanging="284"/>
              <w:jc w:val="both"/>
              <w:rPr>
                <w:rFonts w:ascii="Times New Roman" w:eastAsia="Times New Roman" w:hAnsi="Times New Roman"/>
                <w:b/>
                <w:sz w:val="20"/>
                <w:szCs w:val="20"/>
              </w:rPr>
            </w:pPr>
            <w:r w:rsidRPr="00FE190F">
              <w:rPr>
                <w:rFonts w:ascii="Times New Roman" w:eastAsia="Times New Roman" w:hAnsi="Times New Roman"/>
                <w:b/>
                <w:sz w:val="20"/>
                <w:szCs w:val="20"/>
              </w:rPr>
              <w:t>c)</w:t>
            </w:r>
            <w:r w:rsidRPr="00FE190F">
              <w:rPr>
                <w:rFonts w:ascii="Times New Roman" w:eastAsia="Times New Roman" w:hAnsi="Times New Roman"/>
                <w:b/>
                <w:sz w:val="20"/>
                <w:szCs w:val="20"/>
              </w:rPr>
              <w:tab/>
            </w:r>
            <w:r w:rsidR="00F54DC3" w:rsidRPr="00F54DC3">
              <w:rPr>
                <w:rFonts w:ascii="Times New Roman" w:eastAsia="Times New Roman" w:hAnsi="Times New Roman"/>
                <w:b/>
                <w:sz w:val="20"/>
                <w:szCs w:val="20"/>
              </w:rPr>
              <w:t>přidělení zboží z jiného členského státu do tuzemska ozbrojeným silám České republiky, které se podílejí na obranném úsilí vynakládaném na provádění činnosti Evropské unie v rámci společné bezpečnostní a obranné politiky nebo které se podílejí na společném obranném úsilí v rámci Organizace Severoatlantické smlouvy, pokud</w:t>
            </w:r>
          </w:p>
          <w:p w14:paraId="7FD97C37" w14:textId="57C69024" w:rsidR="00102EEE" w:rsidRDefault="00102EEE" w:rsidP="00FF56A1">
            <w:pPr>
              <w:widowControl w:val="0"/>
              <w:ind w:left="567" w:hanging="283"/>
              <w:jc w:val="both"/>
              <w:rPr>
                <w:b/>
              </w:rPr>
            </w:pPr>
            <w:r w:rsidRPr="00FE190F">
              <w:rPr>
                <w:b/>
              </w:rPr>
              <w:t>1.</w:t>
            </w:r>
            <w:r w:rsidRPr="00FE190F">
              <w:rPr>
                <w:b/>
              </w:rPr>
              <w:tab/>
            </w:r>
            <w:r w:rsidR="00F54DC3" w:rsidRPr="00F54DC3">
              <w:rPr>
                <w:b/>
              </w:rPr>
              <w:t>toto zboží bylo přiděleno pro použití těmito ozbrojenými silami nebo civilními zaměstnanci, kteří je doprovázejí, a</w:t>
            </w:r>
          </w:p>
          <w:p w14:paraId="54053272" w14:textId="6136B2A5" w:rsidR="00102EEE" w:rsidRPr="00C167B7" w:rsidRDefault="00102EEE" w:rsidP="004F0FB6">
            <w:pPr>
              <w:widowControl w:val="0"/>
              <w:spacing w:after="60"/>
              <w:ind w:left="568" w:hanging="284"/>
              <w:jc w:val="both"/>
              <w:rPr>
                <w:b/>
              </w:rPr>
            </w:pPr>
            <w:r w:rsidRPr="00FE190F">
              <w:rPr>
                <w:b/>
              </w:rPr>
              <w:t>2.</w:t>
            </w:r>
            <w:r w:rsidRPr="00FE190F">
              <w:rPr>
                <w:b/>
              </w:rPr>
              <w:tab/>
            </w:r>
            <w:r w:rsidR="00F54DC3" w:rsidRPr="00F54DC3">
              <w:rPr>
                <w:b/>
              </w:rPr>
              <w:t>dodání tohoto zboží v jiném členském státě těmto ozbrojeným silám ani dovoz tohoto zboží do jiného členského státu těmito ozbrojenými silami nepodléhaly zdanění v tomto jiném členském státě.</w:t>
            </w:r>
          </w:p>
        </w:tc>
        <w:tc>
          <w:tcPr>
            <w:tcW w:w="1323" w:type="dxa"/>
            <w:tcBorders>
              <w:left w:val="single" w:sz="12" w:space="0" w:color="auto"/>
              <w:bottom w:val="single" w:sz="4" w:space="0" w:color="auto"/>
            </w:tcBorders>
            <w:shd w:val="clear" w:color="auto" w:fill="auto"/>
          </w:tcPr>
          <w:p w14:paraId="666D2BD5" w14:textId="40C7B93A" w:rsidR="00102EEE" w:rsidRPr="007A4FA5" w:rsidRDefault="00E46E3A" w:rsidP="00FF56A1">
            <w:pPr>
              <w:spacing w:before="60"/>
              <w:jc w:val="both"/>
              <w:rPr>
                <w:highlight w:val="yellow"/>
              </w:rPr>
            </w:pPr>
            <w:r w:rsidRPr="00E46E3A">
              <w:t>32019L2235</w:t>
            </w:r>
          </w:p>
        </w:tc>
        <w:tc>
          <w:tcPr>
            <w:tcW w:w="1207" w:type="dxa"/>
            <w:tcBorders>
              <w:bottom w:val="single" w:sz="4" w:space="0" w:color="auto"/>
            </w:tcBorders>
            <w:shd w:val="clear" w:color="auto" w:fill="auto"/>
          </w:tcPr>
          <w:p w14:paraId="5E1FB4EE" w14:textId="6B1852FE" w:rsidR="00176ED9" w:rsidRPr="00C167B7" w:rsidRDefault="00176ED9" w:rsidP="00176ED9">
            <w:pPr>
              <w:spacing w:before="60"/>
            </w:pPr>
            <w:r w:rsidRPr="00C167B7">
              <w:t>Čl. </w:t>
            </w:r>
            <w:r>
              <w:t>1</w:t>
            </w:r>
            <w:r w:rsidRPr="00C167B7">
              <w:t xml:space="preserve"> odst. 1</w:t>
            </w:r>
          </w:p>
          <w:p w14:paraId="05378437" w14:textId="5FAC1FD7" w:rsidR="00102EEE" w:rsidRPr="00C167B7" w:rsidRDefault="00176ED9" w:rsidP="00176ED9">
            <w:pPr>
              <w:spacing w:before="60"/>
            </w:pPr>
            <w:r>
              <w:t>(čl. </w:t>
            </w:r>
            <w:r w:rsidR="00102EEE" w:rsidRPr="00C167B7">
              <w:t>2</w:t>
            </w:r>
            <w:r w:rsidR="007A4FA5">
              <w:t>2 první pododstavec</w:t>
            </w:r>
            <w:r>
              <w:t>)</w:t>
            </w:r>
          </w:p>
        </w:tc>
        <w:tc>
          <w:tcPr>
            <w:tcW w:w="5585" w:type="dxa"/>
            <w:tcBorders>
              <w:bottom w:val="single" w:sz="4" w:space="0" w:color="auto"/>
              <w:right w:val="single" w:sz="12" w:space="0" w:color="auto"/>
            </w:tcBorders>
            <w:shd w:val="clear" w:color="auto" w:fill="auto"/>
          </w:tcPr>
          <w:p w14:paraId="5D71F820" w14:textId="77777777" w:rsidR="00F55E87" w:rsidRDefault="00F55E87" w:rsidP="00FF56A1">
            <w:pPr>
              <w:overflowPunct/>
              <w:spacing w:before="60" w:after="60"/>
              <w:jc w:val="both"/>
              <w:textAlignment w:val="auto"/>
            </w:pPr>
            <w:r w:rsidRPr="00F55E87">
              <w:t xml:space="preserve">V článku 22 se před první pododstavec vkládá nový pododstavec, který zní: </w:t>
            </w:r>
          </w:p>
          <w:p w14:paraId="70FFB746" w14:textId="216C93E2" w:rsidR="00102EEE" w:rsidRPr="00C167B7" w:rsidRDefault="00F55E87" w:rsidP="00FF56A1">
            <w:pPr>
              <w:overflowPunct/>
              <w:spacing w:before="60" w:after="60"/>
              <w:jc w:val="both"/>
              <w:textAlignment w:val="auto"/>
            </w:pPr>
            <w:r>
              <w:t>„</w:t>
            </w:r>
            <w:r w:rsidR="00F60092">
              <w:t>Za pořízení zboží uvnitř Společenství za úplatu se považuje použití zboží, které nebylo koupeno podle obecných pravidel zdanění na domácím trhu některého členského státu, ozbrojenými silami členského státu, který se podílí na obranném úsilí vynakládaném na provádění činnosti Unie v rámci společné bezpečnostní a obranné politiky, pro jejich potřeby nebo pro potřeby civilních zaměstnanců, kteří je doprovázejí, pokud na dovoz tohoto zboží nelze vztáhnout osvobození od daně p</w:t>
            </w:r>
            <w:r w:rsidR="007205BD">
              <w:t>odle čl. 143 odst. 1 písm. ga).</w:t>
            </w:r>
            <w:r>
              <w:t>“</w:t>
            </w:r>
          </w:p>
        </w:tc>
      </w:tr>
      <w:tr w:rsidR="00102EEE" w:rsidRPr="00C167B7" w14:paraId="682A1D0A" w14:textId="77777777" w:rsidTr="00E9728F">
        <w:tc>
          <w:tcPr>
            <w:tcW w:w="1223" w:type="dxa"/>
            <w:vMerge/>
            <w:tcBorders>
              <w:left w:val="single" w:sz="12" w:space="0" w:color="auto"/>
              <w:bottom w:val="single" w:sz="4" w:space="0" w:color="auto"/>
            </w:tcBorders>
            <w:shd w:val="clear" w:color="auto" w:fill="auto"/>
          </w:tcPr>
          <w:p w14:paraId="47E7F5E6" w14:textId="77777777" w:rsidR="00102EEE" w:rsidRPr="00C167B7" w:rsidRDefault="00102EEE" w:rsidP="00FF56A1">
            <w:pPr>
              <w:spacing w:before="60"/>
              <w:jc w:val="both"/>
            </w:pPr>
          </w:p>
        </w:tc>
        <w:tc>
          <w:tcPr>
            <w:tcW w:w="4837" w:type="dxa"/>
            <w:vMerge/>
            <w:tcBorders>
              <w:bottom w:val="single" w:sz="4" w:space="0" w:color="auto"/>
              <w:right w:val="single" w:sz="12" w:space="0" w:color="auto"/>
            </w:tcBorders>
            <w:shd w:val="clear" w:color="auto" w:fill="auto"/>
          </w:tcPr>
          <w:p w14:paraId="28D15EC2" w14:textId="77777777" w:rsidR="00102EEE" w:rsidRPr="00C167B7" w:rsidRDefault="00102EEE" w:rsidP="00FF56A1">
            <w:pPr>
              <w:spacing w:before="60"/>
              <w:jc w:val="both"/>
            </w:pPr>
          </w:p>
        </w:tc>
        <w:tc>
          <w:tcPr>
            <w:tcW w:w="1323" w:type="dxa"/>
            <w:tcBorders>
              <w:left w:val="single" w:sz="12" w:space="0" w:color="auto"/>
              <w:bottom w:val="single" w:sz="4" w:space="0" w:color="auto"/>
            </w:tcBorders>
            <w:shd w:val="clear" w:color="auto" w:fill="auto"/>
          </w:tcPr>
          <w:p w14:paraId="032D0907" w14:textId="666852EC" w:rsidR="00102EEE" w:rsidRPr="007A4FA5" w:rsidRDefault="00176ED9" w:rsidP="00FF56A1">
            <w:pPr>
              <w:spacing w:before="60"/>
              <w:jc w:val="both"/>
              <w:rPr>
                <w:highlight w:val="yellow"/>
              </w:rPr>
            </w:pPr>
            <w:r w:rsidRPr="00176ED9">
              <w:t>32006L0112</w:t>
            </w:r>
          </w:p>
        </w:tc>
        <w:tc>
          <w:tcPr>
            <w:tcW w:w="1207" w:type="dxa"/>
            <w:tcBorders>
              <w:bottom w:val="single" w:sz="4" w:space="0" w:color="auto"/>
            </w:tcBorders>
            <w:shd w:val="clear" w:color="auto" w:fill="auto"/>
          </w:tcPr>
          <w:p w14:paraId="3CAB7C48" w14:textId="3499328C" w:rsidR="00102EEE" w:rsidRPr="00C167B7" w:rsidRDefault="00102EEE" w:rsidP="00FF56A1">
            <w:pPr>
              <w:spacing w:before="60"/>
            </w:pPr>
            <w:r w:rsidRPr="00C167B7">
              <w:t>Čl. 2</w:t>
            </w:r>
            <w:r w:rsidR="007A4FA5">
              <w:t>2</w:t>
            </w:r>
          </w:p>
          <w:p w14:paraId="71C00F22" w14:textId="0BCB9105" w:rsidR="00102EEE" w:rsidRPr="00C167B7" w:rsidRDefault="000A1BBE" w:rsidP="00FF56A1">
            <w:pPr>
              <w:spacing w:before="60"/>
            </w:pPr>
            <w:r>
              <w:t>druhý podo</w:t>
            </w:r>
            <w:r w:rsidR="007A4FA5">
              <w:t>dstavec</w:t>
            </w:r>
          </w:p>
        </w:tc>
        <w:tc>
          <w:tcPr>
            <w:tcW w:w="5585" w:type="dxa"/>
            <w:tcBorders>
              <w:bottom w:val="single" w:sz="4" w:space="0" w:color="auto"/>
              <w:right w:val="single" w:sz="12" w:space="0" w:color="auto"/>
            </w:tcBorders>
            <w:shd w:val="clear" w:color="auto" w:fill="auto"/>
          </w:tcPr>
          <w:p w14:paraId="70117107" w14:textId="09C4AAAA" w:rsidR="00102EEE" w:rsidRPr="00C167B7" w:rsidRDefault="00F60092" w:rsidP="00FF56A1">
            <w:pPr>
              <w:overflowPunct/>
              <w:spacing w:before="60" w:after="60"/>
              <w:jc w:val="both"/>
              <w:textAlignment w:val="auto"/>
            </w:pPr>
            <w:r>
              <w:t>Za pořízení zboží uvnitř Společenství za úplatu se považuje použití zboží, které nebylo koupeno podle obecných pravidel zdanění na domácím trhu některého členského státu, ozbrojenými silami státu, který je stranou Severoatlantické smlouvy, pro jejich potřeby nebo pro potřeby civilních zaměstnanců, kteří je doprovázejí, pokud na dovoz tohoto zboží nelze vztáhnout osvobození od daně podle čl. 143 odst. 1 písm. h).</w:t>
            </w:r>
          </w:p>
        </w:tc>
      </w:tr>
      <w:tr w:rsidR="006A7185" w:rsidRPr="00C167B7" w14:paraId="0D8B66AD" w14:textId="77777777" w:rsidTr="00E9728F">
        <w:tc>
          <w:tcPr>
            <w:tcW w:w="1223" w:type="dxa"/>
            <w:vMerge w:val="restart"/>
            <w:tcBorders>
              <w:left w:val="single" w:sz="12" w:space="0" w:color="auto"/>
            </w:tcBorders>
            <w:shd w:val="clear" w:color="auto" w:fill="auto"/>
          </w:tcPr>
          <w:p w14:paraId="6C66D293" w14:textId="10CE85DC" w:rsidR="006A7185" w:rsidRPr="00C167B7" w:rsidRDefault="003A40EE" w:rsidP="00FF56A1">
            <w:pPr>
              <w:spacing w:before="60"/>
              <w:jc w:val="both"/>
            </w:pPr>
            <w:r>
              <w:t>§ 68 odst. 10 písm. a) a b)</w:t>
            </w:r>
          </w:p>
        </w:tc>
        <w:tc>
          <w:tcPr>
            <w:tcW w:w="4837" w:type="dxa"/>
            <w:vMerge w:val="restart"/>
            <w:tcBorders>
              <w:right w:val="single" w:sz="12" w:space="0" w:color="auto"/>
            </w:tcBorders>
            <w:shd w:val="clear" w:color="auto" w:fill="auto"/>
          </w:tcPr>
          <w:p w14:paraId="76CFEC53" w14:textId="483AACAD" w:rsidR="0025041B" w:rsidRDefault="0025041B" w:rsidP="00FF56A1">
            <w:pPr>
              <w:spacing w:before="60"/>
              <w:jc w:val="both"/>
            </w:pPr>
            <w:r>
              <w:t>(10) Od daně s nárokem na odpočet daně je osvobozeno dodání zboží nebo poskytnutí služby</w:t>
            </w:r>
          </w:p>
          <w:p w14:paraId="15B9F029" w14:textId="77777777" w:rsidR="0025041B" w:rsidRPr="009D3172" w:rsidRDefault="0025041B" w:rsidP="00FF56A1">
            <w:pPr>
              <w:pStyle w:val="Bezmezer"/>
              <w:ind w:left="284" w:hanging="284"/>
              <w:jc w:val="both"/>
              <w:rPr>
                <w:rFonts w:ascii="Times New Roman" w:eastAsia="Times New Roman" w:hAnsi="Times New Roman"/>
                <w:b/>
                <w:sz w:val="20"/>
                <w:szCs w:val="20"/>
              </w:rPr>
            </w:pPr>
            <w:r w:rsidRPr="009D3172">
              <w:rPr>
                <w:rFonts w:ascii="Times New Roman" w:eastAsia="Times New Roman" w:hAnsi="Times New Roman"/>
                <w:b/>
                <w:sz w:val="20"/>
                <w:szCs w:val="20"/>
              </w:rPr>
              <w:t>a)</w:t>
            </w:r>
            <w:r w:rsidRPr="009D3172">
              <w:rPr>
                <w:rFonts w:ascii="Times New Roman" w:eastAsia="Times New Roman" w:hAnsi="Times New Roman"/>
                <w:b/>
                <w:sz w:val="20"/>
                <w:szCs w:val="20"/>
              </w:rPr>
              <w:tab/>
              <w:t>uskutečněné v tuzemsku určené pro použití ozbrojenými silami nebo civilními zaměstnanci, kteří je doprovázejí, anebo k zásobení jejich jídelen, pokud jde o ozbrojené síly</w:t>
            </w:r>
          </w:p>
          <w:p w14:paraId="193F0BE5" w14:textId="1142AFC2" w:rsidR="0025041B" w:rsidRPr="009D3172" w:rsidRDefault="0025041B" w:rsidP="00FF56A1">
            <w:pPr>
              <w:widowControl w:val="0"/>
              <w:ind w:left="567" w:hanging="283"/>
              <w:jc w:val="both"/>
              <w:rPr>
                <w:b/>
              </w:rPr>
            </w:pPr>
            <w:r w:rsidRPr="009D3172">
              <w:rPr>
                <w:b/>
              </w:rPr>
              <w:t>1.</w:t>
            </w:r>
            <w:r w:rsidRPr="009D3172">
              <w:rPr>
                <w:b/>
              </w:rPr>
              <w:tab/>
              <w:t>jiného členského státu, které se podílejí na obranném úsilí vynakládaném na provádění činnosti Evropské unie v rámci společné bezpečnostní a obranné politiky, nebo</w:t>
            </w:r>
          </w:p>
          <w:p w14:paraId="22B8101B" w14:textId="22164A0E" w:rsidR="0025041B" w:rsidRDefault="0025041B" w:rsidP="00FF56A1">
            <w:pPr>
              <w:widowControl w:val="0"/>
              <w:ind w:left="567" w:hanging="283"/>
              <w:jc w:val="both"/>
              <w:rPr>
                <w:b/>
              </w:rPr>
            </w:pPr>
            <w:r w:rsidRPr="009D3172">
              <w:rPr>
                <w:b/>
              </w:rPr>
              <w:t>2.</w:t>
            </w:r>
            <w:r w:rsidRPr="009D3172">
              <w:rPr>
                <w:b/>
              </w:rPr>
              <w:tab/>
              <w:t xml:space="preserve">státu, který je členem </w:t>
            </w:r>
            <w:r w:rsidR="00AB08DD">
              <w:rPr>
                <w:b/>
              </w:rPr>
              <w:t xml:space="preserve">Organizace </w:t>
            </w:r>
            <w:r w:rsidRPr="009D3172">
              <w:rPr>
                <w:b/>
              </w:rPr>
              <w:t xml:space="preserve">Severoatlantické smlouvy, nebo státu zúčastněného v Partnerství pro mír, které se podílejí na společném obranném úsilí; </w:t>
            </w:r>
            <w:r w:rsidR="00C24EE8" w:rsidRPr="00C24EE8">
              <w:rPr>
                <w:b/>
              </w:rPr>
              <w:t>osvobozeno není dodání zboží nebo poskytnutí služby určené pro použití ozbrojenými silami České republiky nebo jejich civilními zaměstnanci anebo k zásobení jejich jídelen</w:t>
            </w:r>
            <w:r w:rsidRPr="009D3172">
              <w:rPr>
                <w:b/>
              </w:rPr>
              <w:t>,</w:t>
            </w:r>
          </w:p>
          <w:p w14:paraId="084256FD" w14:textId="6D85485E" w:rsidR="0025041B" w:rsidRPr="009D3172" w:rsidRDefault="0025041B" w:rsidP="00FF56A1">
            <w:pPr>
              <w:pStyle w:val="Bezmezer"/>
              <w:ind w:left="284" w:hanging="284"/>
              <w:jc w:val="both"/>
              <w:rPr>
                <w:rFonts w:ascii="Times New Roman" w:eastAsia="Times New Roman" w:hAnsi="Times New Roman"/>
                <w:b/>
                <w:sz w:val="20"/>
                <w:szCs w:val="20"/>
              </w:rPr>
            </w:pPr>
            <w:r w:rsidRPr="009D3172">
              <w:rPr>
                <w:rFonts w:ascii="Times New Roman" w:eastAsia="Times New Roman" w:hAnsi="Times New Roman"/>
                <w:b/>
                <w:sz w:val="20"/>
                <w:szCs w:val="20"/>
              </w:rPr>
              <w:t>b)</w:t>
            </w:r>
            <w:r w:rsidRPr="009D3172">
              <w:rPr>
                <w:rFonts w:ascii="Times New Roman" w:eastAsia="Times New Roman" w:hAnsi="Times New Roman"/>
                <w:b/>
                <w:sz w:val="20"/>
                <w:szCs w:val="20"/>
              </w:rPr>
              <w:tab/>
              <w:t>do jiného členského státu pro použití ozbrojenými silami nebo civilními zaměstnanci, kteří je doprovázejí, anebo k zásobení jejich jídelen, poku</w:t>
            </w:r>
            <w:r w:rsidR="009D3172">
              <w:rPr>
                <w:rFonts w:ascii="Times New Roman" w:eastAsia="Times New Roman" w:hAnsi="Times New Roman"/>
                <w:b/>
                <w:sz w:val="20"/>
                <w:szCs w:val="20"/>
              </w:rPr>
              <w:t xml:space="preserve">d nejde o ozbrojené síly státu </w:t>
            </w:r>
            <w:r w:rsidRPr="009D3172">
              <w:rPr>
                <w:rFonts w:ascii="Times New Roman" w:eastAsia="Times New Roman" w:hAnsi="Times New Roman"/>
                <w:b/>
                <w:sz w:val="20"/>
                <w:szCs w:val="20"/>
              </w:rPr>
              <w:t>určení a jde o ozbrojené síly</w:t>
            </w:r>
          </w:p>
          <w:p w14:paraId="740FE799" w14:textId="77777777" w:rsidR="0025041B" w:rsidRPr="009D3172" w:rsidRDefault="0025041B" w:rsidP="00FF56A1">
            <w:pPr>
              <w:widowControl w:val="0"/>
              <w:ind w:left="567" w:hanging="283"/>
              <w:jc w:val="both"/>
              <w:rPr>
                <w:b/>
              </w:rPr>
            </w:pPr>
            <w:r w:rsidRPr="009D3172">
              <w:rPr>
                <w:b/>
              </w:rPr>
              <w:t>1.</w:t>
            </w:r>
            <w:r w:rsidRPr="009D3172">
              <w:rPr>
                <w:b/>
              </w:rPr>
              <w:tab/>
              <w:t>členského státu, které se podílejí na obranném úsilí vynakládaném na provádění činnosti Evropské unie v rámci společné bezpečnostní a obranné politiky, nebo</w:t>
            </w:r>
          </w:p>
          <w:p w14:paraId="3FA93E33" w14:textId="7FD6E964" w:rsidR="006A7185" w:rsidRPr="00C167B7" w:rsidRDefault="0025041B" w:rsidP="00FF56A1">
            <w:pPr>
              <w:widowControl w:val="0"/>
              <w:ind w:left="567" w:hanging="283"/>
              <w:jc w:val="both"/>
            </w:pPr>
            <w:r w:rsidRPr="009D3172">
              <w:rPr>
                <w:b/>
              </w:rPr>
              <w:t>2.</w:t>
            </w:r>
            <w:r w:rsidRPr="009D3172">
              <w:rPr>
                <w:b/>
              </w:rPr>
              <w:tab/>
              <w:t xml:space="preserve">státu, který je členem </w:t>
            </w:r>
            <w:r w:rsidR="00AB08DD">
              <w:rPr>
                <w:b/>
              </w:rPr>
              <w:t xml:space="preserve">Organizace </w:t>
            </w:r>
            <w:r w:rsidRPr="009D3172">
              <w:rPr>
                <w:b/>
              </w:rPr>
              <w:t>Severoatlantické smlouvy, nebo státu zúčastněného v Partnerství pro mír, které se podílejí na společném obranném úsilí.</w:t>
            </w:r>
          </w:p>
        </w:tc>
        <w:tc>
          <w:tcPr>
            <w:tcW w:w="1323" w:type="dxa"/>
            <w:tcBorders>
              <w:left w:val="single" w:sz="12" w:space="0" w:color="auto"/>
              <w:bottom w:val="single" w:sz="4" w:space="0" w:color="auto"/>
            </w:tcBorders>
            <w:shd w:val="clear" w:color="auto" w:fill="auto"/>
          </w:tcPr>
          <w:p w14:paraId="5AC3FA79" w14:textId="31C0A547" w:rsidR="006A7185" w:rsidRPr="00E46E3A" w:rsidRDefault="006A7185" w:rsidP="003A40EE">
            <w:pPr>
              <w:keepNext/>
              <w:spacing w:before="60"/>
              <w:jc w:val="both"/>
            </w:pPr>
            <w:r w:rsidRPr="00AA4F1D">
              <w:t>32019L2235</w:t>
            </w:r>
          </w:p>
        </w:tc>
        <w:tc>
          <w:tcPr>
            <w:tcW w:w="1207" w:type="dxa"/>
            <w:tcBorders>
              <w:bottom w:val="single" w:sz="4" w:space="0" w:color="auto"/>
            </w:tcBorders>
            <w:shd w:val="clear" w:color="auto" w:fill="auto"/>
          </w:tcPr>
          <w:p w14:paraId="25FB3E05" w14:textId="769EB3DD" w:rsidR="003A40EE" w:rsidRDefault="003A40EE" w:rsidP="003A40EE">
            <w:pPr>
              <w:keepNext/>
              <w:spacing w:before="60"/>
            </w:pPr>
            <w:r w:rsidRPr="00C167B7">
              <w:t>Čl. </w:t>
            </w:r>
            <w:r>
              <w:t>1</w:t>
            </w:r>
            <w:r w:rsidRPr="00C167B7">
              <w:t xml:space="preserve"> odst. </w:t>
            </w:r>
            <w:r>
              <w:t>3</w:t>
            </w:r>
          </w:p>
          <w:p w14:paraId="2B6CECE5" w14:textId="017F97D6" w:rsidR="006A7185" w:rsidRPr="00C167B7" w:rsidRDefault="003A40EE" w:rsidP="00F55E87">
            <w:pPr>
              <w:keepNext/>
              <w:spacing w:before="60"/>
            </w:pPr>
            <w:r>
              <w:t>(čl. 151 odst. </w:t>
            </w:r>
            <w:r w:rsidR="006A7185">
              <w:t>1</w:t>
            </w:r>
            <w:r w:rsidR="00F55E87">
              <w:t xml:space="preserve"> písm. </w:t>
            </w:r>
            <w:r w:rsidR="006A7185">
              <w:t>ba)</w:t>
            </w:r>
            <w:r>
              <w:t xml:space="preserve"> a bb))</w:t>
            </w:r>
          </w:p>
        </w:tc>
        <w:tc>
          <w:tcPr>
            <w:tcW w:w="5585" w:type="dxa"/>
            <w:tcBorders>
              <w:bottom w:val="single" w:sz="4" w:space="0" w:color="auto"/>
              <w:right w:val="single" w:sz="12" w:space="0" w:color="auto"/>
            </w:tcBorders>
            <w:shd w:val="clear" w:color="auto" w:fill="auto"/>
          </w:tcPr>
          <w:p w14:paraId="7B97079D" w14:textId="77777777" w:rsidR="003A40EE" w:rsidRDefault="003A40EE" w:rsidP="003A40EE">
            <w:pPr>
              <w:keepNext/>
              <w:overflowPunct/>
              <w:spacing w:before="60" w:after="60"/>
              <w:jc w:val="both"/>
              <w:textAlignment w:val="auto"/>
            </w:pPr>
            <w:r w:rsidRPr="003A40EE">
              <w:t>V čl. 151 odst. 1 se vkládají nová písmena, která znějí:</w:t>
            </w:r>
          </w:p>
          <w:p w14:paraId="1028940F" w14:textId="13737B18" w:rsidR="006A7185" w:rsidRDefault="00F55E87" w:rsidP="003A40EE">
            <w:pPr>
              <w:keepNext/>
              <w:overflowPunct/>
              <w:spacing w:before="60" w:after="60"/>
              <w:jc w:val="both"/>
              <w:textAlignment w:val="auto"/>
            </w:pPr>
            <w:r>
              <w:t>„</w:t>
            </w:r>
            <w:r w:rsidR="003B406F">
              <w:t>ba) dodání zboží nebo poskytnutí služby na území členského státu určené buď pro ozbrojené síly jiných členských států pro použití těmito ozbrojenými silami nebo civilními zaměstnanci, kteří je doprovázejí, nebo k zásobení jejich jídelen, pokud se tyto síly podílejí na obranném úsilí vynakládaném na provádění činnosti Unie v rámci společné bezpečnostní a obranné politiky;</w:t>
            </w:r>
          </w:p>
          <w:p w14:paraId="0CC8C71D" w14:textId="02B7A8C6" w:rsidR="003A40EE" w:rsidRDefault="003A40EE" w:rsidP="003A40EE">
            <w:pPr>
              <w:keepNext/>
              <w:overflowPunct/>
              <w:spacing w:before="60" w:after="60"/>
              <w:jc w:val="both"/>
              <w:textAlignment w:val="auto"/>
            </w:pPr>
            <w:r>
              <w:t>bb) dodání zboží nebo poskytnutí služby do jiného členského státu určené pro ozbrojené síly kteréhokoli členského státu, který není sám státem určení, pro použití těmito ozbrojenými silami nebo civilními zaměstnanci, kteří je doprovázejí, nebo k zásobení jejich jídelen, pokud se tyto síly podílejí na obranném úsilí vynakládaném na provádění činnosti Unie v rámci společné bezpečnostní a obranné politiky;</w:t>
            </w:r>
            <w:r w:rsidR="00F55E87">
              <w:t>“</w:t>
            </w:r>
          </w:p>
        </w:tc>
      </w:tr>
      <w:tr w:rsidR="003A40EE" w:rsidRPr="00C167B7" w14:paraId="49A0EED3" w14:textId="77777777" w:rsidTr="00E9728F">
        <w:tc>
          <w:tcPr>
            <w:tcW w:w="1223" w:type="dxa"/>
            <w:vMerge/>
            <w:tcBorders>
              <w:left w:val="single" w:sz="12" w:space="0" w:color="auto"/>
            </w:tcBorders>
            <w:shd w:val="clear" w:color="auto" w:fill="auto"/>
          </w:tcPr>
          <w:p w14:paraId="37EEA4BC" w14:textId="77777777" w:rsidR="003A40EE" w:rsidRPr="00C167B7" w:rsidRDefault="003A40EE" w:rsidP="00FF56A1">
            <w:pPr>
              <w:spacing w:before="60"/>
              <w:jc w:val="both"/>
            </w:pPr>
          </w:p>
        </w:tc>
        <w:tc>
          <w:tcPr>
            <w:tcW w:w="4837" w:type="dxa"/>
            <w:vMerge/>
            <w:tcBorders>
              <w:right w:val="single" w:sz="12" w:space="0" w:color="auto"/>
            </w:tcBorders>
            <w:shd w:val="clear" w:color="auto" w:fill="auto"/>
          </w:tcPr>
          <w:p w14:paraId="59328860" w14:textId="77777777" w:rsidR="003A40EE" w:rsidRPr="00C167B7" w:rsidRDefault="003A40EE" w:rsidP="00FF56A1">
            <w:pPr>
              <w:spacing w:before="60"/>
              <w:jc w:val="both"/>
            </w:pPr>
          </w:p>
        </w:tc>
        <w:tc>
          <w:tcPr>
            <w:tcW w:w="1323" w:type="dxa"/>
            <w:tcBorders>
              <w:left w:val="single" w:sz="12" w:space="0" w:color="auto"/>
              <w:bottom w:val="single" w:sz="4" w:space="0" w:color="auto"/>
            </w:tcBorders>
            <w:shd w:val="clear" w:color="auto" w:fill="auto"/>
          </w:tcPr>
          <w:p w14:paraId="02A6C10A" w14:textId="4FD64829" w:rsidR="003A40EE" w:rsidRPr="00E46E3A" w:rsidRDefault="003A40EE" w:rsidP="00FF56A1">
            <w:pPr>
              <w:spacing w:before="60"/>
              <w:jc w:val="both"/>
            </w:pPr>
            <w:r w:rsidRPr="00176ED9">
              <w:t>32006L0112</w:t>
            </w:r>
          </w:p>
        </w:tc>
        <w:tc>
          <w:tcPr>
            <w:tcW w:w="1207" w:type="dxa"/>
            <w:tcBorders>
              <w:bottom w:val="single" w:sz="4" w:space="0" w:color="auto"/>
            </w:tcBorders>
            <w:shd w:val="clear" w:color="auto" w:fill="auto"/>
          </w:tcPr>
          <w:p w14:paraId="52486144" w14:textId="3D7AE749" w:rsidR="003A40EE" w:rsidRPr="00C167B7" w:rsidRDefault="003A40EE" w:rsidP="00F55E87">
            <w:pPr>
              <w:spacing w:before="60"/>
            </w:pPr>
            <w:r>
              <w:t xml:space="preserve">čl. 151 odst. 1 </w:t>
            </w:r>
            <w:r w:rsidR="00F55E87">
              <w:t>1. </w:t>
            </w:r>
            <w:r w:rsidR="00F55E87" w:rsidRPr="00F55E87">
              <w:t>pododst.</w:t>
            </w:r>
            <w:r w:rsidR="00F55E87">
              <w:t xml:space="preserve"> </w:t>
            </w:r>
            <w:r>
              <w:t>písm. c) a d)</w:t>
            </w:r>
          </w:p>
        </w:tc>
        <w:tc>
          <w:tcPr>
            <w:tcW w:w="5585" w:type="dxa"/>
            <w:tcBorders>
              <w:bottom w:val="single" w:sz="4" w:space="0" w:color="auto"/>
              <w:right w:val="single" w:sz="12" w:space="0" w:color="auto"/>
            </w:tcBorders>
            <w:shd w:val="clear" w:color="auto" w:fill="auto"/>
          </w:tcPr>
          <w:p w14:paraId="283B318D" w14:textId="07AC7FFF" w:rsidR="003A40EE" w:rsidRDefault="003A40EE" w:rsidP="00FF56A1">
            <w:pPr>
              <w:overflowPunct/>
              <w:spacing w:before="60"/>
              <w:jc w:val="both"/>
              <w:textAlignment w:val="auto"/>
            </w:pPr>
            <w:r>
              <w:t>1. Členské státy osvobodí od daně tato plnění:</w:t>
            </w:r>
          </w:p>
          <w:p w14:paraId="027A384E" w14:textId="77777777" w:rsidR="003A40EE" w:rsidRDefault="003A40EE" w:rsidP="00FF56A1">
            <w:pPr>
              <w:overflowPunct/>
              <w:spacing w:before="60" w:after="60"/>
              <w:jc w:val="both"/>
              <w:textAlignment w:val="auto"/>
            </w:pPr>
            <w:r>
              <w:t>c) dodání zboží a poskytnutí služby na území členských států, které jsou stranami Severoatlantické smlouvy, pro použití ozbrojenými silami ostatních států, které jsou stranami uvedené smlouvy, nebo civilními zaměstnanci je doprovázejícími anebo k zásobení jejich jídelen, pokud se tyto síly podílejí na společném obranném úsilí;</w:t>
            </w:r>
          </w:p>
          <w:p w14:paraId="3DC8563B" w14:textId="37E799DD" w:rsidR="003A40EE" w:rsidRDefault="003A40EE" w:rsidP="00FF56A1">
            <w:pPr>
              <w:overflowPunct/>
              <w:spacing w:before="60" w:after="60"/>
              <w:jc w:val="both"/>
              <w:textAlignment w:val="auto"/>
            </w:pPr>
            <w:r>
              <w:t>d) dodání zboží a poskytnutí služby směřující do jiného členského státu pro ozbrojené síly kteréhokoli členského státu, jenž je stranou Severoatlantické smlouvy a není sám státem určení, pro použití těmito ozbrojenými silami nebo civilními zaměstnanci je doprovázejícími anebo k zásobení jejich jídelen, pokud se tyto síly podílejí na společném obranném úsilí;</w:t>
            </w:r>
          </w:p>
        </w:tc>
      </w:tr>
      <w:tr w:rsidR="003A40EE" w:rsidRPr="00C167B7" w14:paraId="2FA16C31" w14:textId="77777777" w:rsidTr="00E9728F">
        <w:tc>
          <w:tcPr>
            <w:tcW w:w="1223" w:type="dxa"/>
            <w:vMerge w:val="restart"/>
            <w:tcBorders>
              <w:left w:val="single" w:sz="12" w:space="0" w:color="auto"/>
            </w:tcBorders>
            <w:shd w:val="clear" w:color="auto" w:fill="auto"/>
          </w:tcPr>
          <w:p w14:paraId="0889E97A" w14:textId="36A7CCF2" w:rsidR="003A40EE" w:rsidRPr="00C167B7" w:rsidRDefault="003A40EE" w:rsidP="00F55E87">
            <w:pPr>
              <w:spacing w:before="60"/>
              <w:jc w:val="both"/>
            </w:pPr>
            <w:r>
              <w:t>§ 71 odst. 4 písm. d)</w:t>
            </w:r>
          </w:p>
        </w:tc>
        <w:tc>
          <w:tcPr>
            <w:tcW w:w="4837" w:type="dxa"/>
            <w:vMerge w:val="restart"/>
            <w:tcBorders>
              <w:right w:val="single" w:sz="12" w:space="0" w:color="auto"/>
            </w:tcBorders>
            <w:shd w:val="clear" w:color="auto" w:fill="auto"/>
          </w:tcPr>
          <w:p w14:paraId="4213DEA3" w14:textId="7DCBED77" w:rsidR="003A40EE" w:rsidRDefault="003A40EE" w:rsidP="003A40EE">
            <w:pPr>
              <w:spacing w:before="60"/>
              <w:jc w:val="both"/>
            </w:pPr>
            <w:r w:rsidRPr="00670485">
              <w:t>(4) Od daně je dále osvobozen dovoz zboží</w:t>
            </w:r>
          </w:p>
          <w:p w14:paraId="3165DA3A" w14:textId="77777777" w:rsidR="003A40EE" w:rsidRPr="0076703A" w:rsidRDefault="003A40EE" w:rsidP="003A40EE">
            <w:pPr>
              <w:pStyle w:val="Bezmezer"/>
              <w:ind w:left="284" w:hanging="284"/>
              <w:jc w:val="both"/>
              <w:rPr>
                <w:rFonts w:ascii="Times New Roman" w:eastAsia="Times New Roman" w:hAnsi="Times New Roman"/>
                <w:b/>
                <w:sz w:val="20"/>
                <w:szCs w:val="20"/>
              </w:rPr>
            </w:pPr>
            <w:r w:rsidRPr="0076703A">
              <w:rPr>
                <w:rFonts w:ascii="Times New Roman" w:eastAsia="Times New Roman" w:hAnsi="Times New Roman"/>
                <w:b/>
                <w:sz w:val="20"/>
                <w:szCs w:val="20"/>
              </w:rPr>
              <w:t>d)</w:t>
            </w:r>
            <w:r w:rsidRPr="0076703A">
              <w:rPr>
                <w:rFonts w:ascii="Times New Roman" w:eastAsia="Times New Roman" w:hAnsi="Times New Roman"/>
                <w:b/>
                <w:sz w:val="20"/>
                <w:szCs w:val="20"/>
              </w:rPr>
              <w:tab/>
              <w:t>ozbrojenými silami pro jejich použití nebo použití civilními zaměstnanci, kteří je doprovázejí, anebo k zásobení jejich jídelen, pokud jde o ozbrojené síly</w:t>
            </w:r>
          </w:p>
          <w:p w14:paraId="2B71A1A3" w14:textId="77777777" w:rsidR="003A40EE" w:rsidRPr="0076703A" w:rsidRDefault="003A40EE" w:rsidP="003A40EE">
            <w:pPr>
              <w:widowControl w:val="0"/>
              <w:ind w:left="567" w:hanging="283"/>
              <w:jc w:val="both"/>
              <w:rPr>
                <w:b/>
              </w:rPr>
            </w:pPr>
            <w:r w:rsidRPr="0076703A">
              <w:rPr>
                <w:b/>
              </w:rPr>
              <w:t>1.</w:t>
            </w:r>
            <w:r w:rsidRPr="0076703A">
              <w:rPr>
                <w:b/>
              </w:rPr>
              <w:tab/>
              <w:t>jiného členského státu, které se podílejí na obranném úsilí vynakládaném na provádění činnosti Evropské unie v rámci společné bezpečnostní a obranné politiky, nebo</w:t>
            </w:r>
          </w:p>
          <w:p w14:paraId="2DCEB03C" w14:textId="4C23C87D" w:rsidR="003A40EE" w:rsidRPr="00C167B7" w:rsidRDefault="003A40EE" w:rsidP="003A40EE">
            <w:pPr>
              <w:widowControl w:val="0"/>
              <w:ind w:left="567" w:hanging="283"/>
              <w:jc w:val="both"/>
              <w:rPr>
                <w:b/>
              </w:rPr>
            </w:pPr>
            <w:r w:rsidRPr="0076703A">
              <w:rPr>
                <w:b/>
              </w:rPr>
              <w:t>2.</w:t>
            </w:r>
            <w:r w:rsidRPr="0076703A">
              <w:rPr>
                <w:b/>
              </w:rPr>
              <w:tab/>
              <w:t>státu, který je členem</w:t>
            </w:r>
            <w:r w:rsidR="00AB08DD">
              <w:rPr>
                <w:b/>
              </w:rPr>
              <w:t xml:space="preserve"> Organizace</w:t>
            </w:r>
            <w:r w:rsidRPr="0076703A">
              <w:rPr>
                <w:b/>
              </w:rPr>
              <w:t xml:space="preserve"> Severoatlantické smlouvy, nebo státu zúčastněného v Partnerství pro mír, které se podílejí na společném obranném úsilí; </w:t>
            </w:r>
            <w:r w:rsidR="00C24EE8" w:rsidRPr="00C24EE8">
              <w:rPr>
                <w:b/>
              </w:rPr>
              <w:t>osvobozen není dovoz zboží ozbrojenými silami</w:t>
            </w:r>
            <w:r w:rsidR="00C24EE8" w:rsidRPr="00C24EE8" w:rsidDel="00C24EE8">
              <w:rPr>
                <w:b/>
              </w:rPr>
              <w:t xml:space="preserve"> </w:t>
            </w:r>
            <w:r w:rsidRPr="0076703A">
              <w:rPr>
                <w:b/>
              </w:rPr>
              <w:t>České republiky.</w:t>
            </w:r>
          </w:p>
        </w:tc>
        <w:tc>
          <w:tcPr>
            <w:tcW w:w="1323" w:type="dxa"/>
            <w:tcBorders>
              <w:top w:val="single" w:sz="4" w:space="0" w:color="auto"/>
              <w:left w:val="single" w:sz="12" w:space="0" w:color="auto"/>
            </w:tcBorders>
            <w:shd w:val="clear" w:color="auto" w:fill="auto"/>
          </w:tcPr>
          <w:p w14:paraId="6D4BA923" w14:textId="514BA27A" w:rsidR="003A40EE" w:rsidRPr="00C167B7" w:rsidRDefault="003A40EE" w:rsidP="003A40EE">
            <w:pPr>
              <w:spacing w:before="60"/>
              <w:jc w:val="both"/>
            </w:pPr>
            <w:r w:rsidRPr="00060BE5">
              <w:t>32019L2235</w:t>
            </w:r>
          </w:p>
        </w:tc>
        <w:tc>
          <w:tcPr>
            <w:tcW w:w="1207" w:type="dxa"/>
            <w:tcBorders>
              <w:top w:val="single" w:sz="4" w:space="0" w:color="auto"/>
            </w:tcBorders>
            <w:shd w:val="clear" w:color="auto" w:fill="auto"/>
          </w:tcPr>
          <w:p w14:paraId="7BBF3EA5" w14:textId="77777777" w:rsidR="00F55E87" w:rsidRDefault="00F55E87" w:rsidP="00F55E87">
            <w:pPr>
              <w:spacing w:before="60"/>
            </w:pPr>
            <w:r w:rsidRPr="00C167B7">
              <w:t>Čl. </w:t>
            </w:r>
            <w:r>
              <w:t>1</w:t>
            </w:r>
            <w:r w:rsidRPr="00C167B7">
              <w:t xml:space="preserve"> odst. </w:t>
            </w:r>
            <w:r>
              <w:t>3</w:t>
            </w:r>
          </w:p>
          <w:p w14:paraId="6862496D" w14:textId="18D543BE" w:rsidR="003A40EE" w:rsidRPr="00C167B7" w:rsidRDefault="00F55E87" w:rsidP="00F55E87">
            <w:pPr>
              <w:spacing w:before="60"/>
            </w:pPr>
            <w:r>
              <w:t>(čl. 143 odst. </w:t>
            </w:r>
            <w:r w:rsidR="003A40EE">
              <w:t>1</w:t>
            </w:r>
            <w:r>
              <w:t xml:space="preserve"> písm. </w:t>
            </w:r>
            <w:r w:rsidR="003A40EE">
              <w:t>ga)</w:t>
            </w:r>
            <w:r>
              <w:t>)</w:t>
            </w:r>
          </w:p>
        </w:tc>
        <w:tc>
          <w:tcPr>
            <w:tcW w:w="5585" w:type="dxa"/>
            <w:tcBorders>
              <w:top w:val="single" w:sz="4" w:space="0" w:color="auto"/>
              <w:right w:val="single" w:sz="12" w:space="0" w:color="auto"/>
            </w:tcBorders>
            <w:shd w:val="clear" w:color="auto" w:fill="auto"/>
          </w:tcPr>
          <w:p w14:paraId="1C5F3CFB" w14:textId="7A2E74B8" w:rsidR="003A40EE" w:rsidRDefault="00F55E87" w:rsidP="003A40EE">
            <w:pPr>
              <w:overflowPunct/>
              <w:spacing w:before="60"/>
              <w:jc w:val="both"/>
              <w:textAlignment w:val="auto"/>
            </w:pPr>
            <w:r w:rsidRPr="00F55E87">
              <w:t>V čl. 143 odst. 1 se vkládá nové písmeno, které zní:</w:t>
            </w:r>
          </w:p>
          <w:p w14:paraId="4AF4E27B" w14:textId="741FED2C" w:rsidR="003A40EE" w:rsidRPr="00C167B7" w:rsidRDefault="00F55E87" w:rsidP="003A40EE">
            <w:pPr>
              <w:overflowPunct/>
              <w:spacing w:before="60" w:after="60"/>
              <w:jc w:val="both"/>
              <w:textAlignment w:val="auto"/>
            </w:pPr>
            <w:r>
              <w:t>„</w:t>
            </w:r>
            <w:r w:rsidR="003A40EE">
              <w:t>ga) dovoz zboží na území členských států ozbrojenými silami jiných členských států pro použití těmito ozbrojenými silami nebo civilními zaměstnanci, kteří je doprovázejí, nebo k zásobení jejich jídelen, pokud se tyto síly podílejí na obranném úsilí vynakládaném na provádění činnosti Unie v rámci společné bezpečnostní a obranné politiky;</w:t>
            </w:r>
            <w:r>
              <w:t>“</w:t>
            </w:r>
          </w:p>
        </w:tc>
      </w:tr>
      <w:tr w:rsidR="003A40EE" w:rsidRPr="00C167B7" w14:paraId="1B7D9F6D" w14:textId="77777777" w:rsidTr="00E9728F">
        <w:tc>
          <w:tcPr>
            <w:tcW w:w="1223" w:type="dxa"/>
            <w:vMerge/>
            <w:tcBorders>
              <w:left w:val="single" w:sz="12" w:space="0" w:color="auto"/>
              <w:bottom w:val="single" w:sz="12" w:space="0" w:color="auto"/>
            </w:tcBorders>
            <w:shd w:val="clear" w:color="auto" w:fill="auto"/>
          </w:tcPr>
          <w:p w14:paraId="5EC04FAB" w14:textId="77777777" w:rsidR="003A40EE" w:rsidRPr="00C167B7" w:rsidRDefault="003A40EE" w:rsidP="003A40EE">
            <w:pPr>
              <w:spacing w:before="60"/>
              <w:jc w:val="both"/>
            </w:pPr>
          </w:p>
        </w:tc>
        <w:tc>
          <w:tcPr>
            <w:tcW w:w="4837" w:type="dxa"/>
            <w:vMerge/>
            <w:tcBorders>
              <w:bottom w:val="single" w:sz="12" w:space="0" w:color="auto"/>
              <w:right w:val="single" w:sz="12" w:space="0" w:color="auto"/>
            </w:tcBorders>
            <w:shd w:val="clear" w:color="auto" w:fill="auto"/>
          </w:tcPr>
          <w:p w14:paraId="12BD31FC" w14:textId="77777777" w:rsidR="003A40EE" w:rsidRPr="00C167B7" w:rsidRDefault="003A40EE" w:rsidP="003A40EE">
            <w:pPr>
              <w:spacing w:before="60"/>
              <w:jc w:val="both"/>
            </w:pPr>
          </w:p>
        </w:tc>
        <w:tc>
          <w:tcPr>
            <w:tcW w:w="1323" w:type="dxa"/>
            <w:tcBorders>
              <w:top w:val="single" w:sz="4" w:space="0" w:color="auto"/>
              <w:left w:val="single" w:sz="12" w:space="0" w:color="auto"/>
              <w:bottom w:val="single" w:sz="12" w:space="0" w:color="auto"/>
            </w:tcBorders>
            <w:shd w:val="clear" w:color="auto" w:fill="auto"/>
          </w:tcPr>
          <w:p w14:paraId="7F33425F" w14:textId="35168D18" w:rsidR="003A40EE" w:rsidRPr="00C167B7" w:rsidRDefault="00F55E87" w:rsidP="003A40EE">
            <w:pPr>
              <w:spacing w:before="60"/>
              <w:jc w:val="both"/>
            </w:pPr>
            <w:r w:rsidRPr="00176ED9">
              <w:t>32006L0112</w:t>
            </w:r>
          </w:p>
        </w:tc>
        <w:tc>
          <w:tcPr>
            <w:tcW w:w="1207" w:type="dxa"/>
            <w:tcBorders>
              <w:top w:val="single" w:sz="4" w:space="0" w:color="auto"/>
              <w:bottom w:val="single" w:sz="12" w:space="0" w:color="auto"/>
            </w:tcBorders>
            <w:shd w:val="clear" w:color="auto" w:fill="auto"/>
          </w:tcPr>
          <w:p w14:paraId="72BA49FD" w14:textId="37B2207E" w:rsidR="003A40EE" w:rsidRPr="00C167B7" w:rsidRDefault="00F55E87" w:rsidP="003A40EE">
            <w:pPr>
              <w:spacing w:before="60"/>
            </w:pPr>
            <w:r>
              <w:t>Čl. 143 odst. 1 písm. </w:t>
            </w:r>
            <w:r w:rsidR="003A40EE">
              <w:t>h)</w:t>
            </w:r>
          </w:p>
        </w:tc>
        <w:tc>
          <w:tcPr>
            <w:tcW w:w="5585" w:type="dxa"/>
            <w:tcBorders>
              <w:top w:val="single" w:sz="4" w:space="0" w:color="auto"/>
              <w:bottom w:val="single" w:sz="12" w:space="0" w:color="auto"/>
              <w:right w:val="single" w:sz="12" w:space="0" w:color="auto"/>
            </w:tcBorders>
            <w:shd w:val="clear" w:color="auto" w:fill="auto"/>
          </w:tcPr>
          <w:p w14:paraId="30A0BB83" w14:textId="66D7F6A2" w:rsidR="003A40EE" w:rsidRDefault="003A40EE" w:rsidP="003A40EE">
            <w:pPr>
              <w:overflowPunct/>
              <w:spacing w:before="60"/>
              <w:jc w:val="both"/>
              <w:textAlignment w:val="auto"/>
            </w:pPr>
            <w:r>
              <w:t>1. Členské státy osvobodí od daně tato plnění:</w:t>
            </w:r>
          </w:p>
          <w:p w14:paraId="6FB55B54" w14:textId="21465800" w:rsidR="003A40EE" w:rsidRPr="00C167B7" w:rsidRDefault="003A40EE" w:rsidP="003A40EE">
            <w:pPr>
              <w:overflowPunct/>
              <w:spacing w:before="60" w:after="60"/>
              <w:jc w:val="both"/>
              <w:textAlignment w:val="auto"/>
            </w:pPr>
            <w:r>
              <w:t>h) dovoz zboží na území členských států, které jsou stranami Severoatlantické smlouvy, ozbrojenými silami jiných států, které jsou stranami uvedené smlouvy, pro použití těmito ozbrojenými silami nebo civilními zaměstnanci je doprovázejícími anebo k zásobení jejich jídelen, pokud se tyto síly podílejí na společném obranném úsilí;</w:t>
            </w:r>
          </w:p>
        </w:tc>
      </w:tr>
    </w:tbl>
    <w:p w14:paraId="54C9CC8D" w14:textId="77777777" w:rsidR="00061049" w:rsidRPr="00C167B7" w:rsidRDefault="00061049" w:rsidP="00FF56A1">
      <w:pPr>
        <w:jc w:val="both"/>
      </w:pPr>
    </w:p>
    <w:p w14:paraId="782223C5" w14:textId="522284E8" w:rsidR="00A93F5C" w:rsidRPr="00C167B7" w:rsidRDefault="00A93F5C" w:rsidP="00FF56A1">
      <w:pPr>
        <w:overflowPunct/>
        <w:autoSpaceDE/>
        <w:autoSpaceDN/>
        <w:adjustRightInd/>
        <w:textAlignment w:val="auto"/>
      </w:pPr>
    </w:p>
    <w:tbl>
      <w:tblPr>
        <w:tblW w:w="1424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3"/>
        <w:gridCol w:w="1982"/>
        <w:gridCol w:w="11580"/>
      </w:tblGrid>
      <w:tr w:rsidR="00C167B7" w:rsidRPr="00C167B7" w14:paraId="50040116" w14:textId="77777777" w:rsidTr="009E4EFF">
        <w:trPr>
          <w:cantSplit/>
        </w:trPr>
        <w:tc>
          <w:tcPr>
            <w:tcW w:w="683" w:type="dxa"/>
            <w:shd w:val="clear" w:color="auto" w:fill="D9D9D9" w:themeFill="background1" w:themeFillShade="D9"/>
          </w:tcPr>
          <w:p w14:paraId="3321EBAB" w14:textId="16F40881" w:rsidR="00D41B34" w:rsidRPr="00C167B7" w:rsidRDefault="00D65647" w:rsidP="00FF56A1">
            <w:pPr>
              <w:spacing w:before="120"/>
              <w:ind w:right="43"/>
              <w:jc w:val="center"/>
              <w:rPr>
                <w:b/>
                <w:bCs/>
              </w:rPr>
            </w:pPr>
            <w:r w:rsidRPr="00C167B7">
              <w:rPr>
                <w:b/>
                <w:bCs/>
              </w:rPr>
              <w:t>Poř.č.</w:t>
            </w:r>
          </w:p>
        </w:tc>
        <w:tc>
          <w:tcPr>
            <w:tcW w:w="1982" w:type="dxa"/>
            <w:shd w:val="clear" w:color="auto" w:fill="D9D9D9" w:themeFill="background1" w:themeFillShade="D9"/>
          </w:tcPr>
          <w:p w14:paraId="50C33D98" w14:textId="0A7B3160" w:rsidR="00D41B34" w:rsidRPr="00C167B7" w:rsidRDefault="00D41B34" w:rsidP="00FF56A1">
            <w:pPr>
              <w:spacing w:before="120"/>
              <w:jc w:val="center"/>
              <w:rPr>
                <w:b/>
                <w:bCs/>
              </w:rPr>
            </w:pPr>
            <w:r w:rsidRPr="00C167B7">
              <w:rPr>
                <w:b/>
                <w:bCs/>
              </w:rPr>
              <w:t>Číslo předpisu EU (kód CELEX)</w:t>
            </w:r>
          </w:p>
        </w:tc>
        <w:tc>
          <w:tcPr>
            <w:tcW w:w="11580" w:type="dxa"/>
            <w:shd w:val="clear" w:color="auto" w:fill="D9D9D9" w:themeFill="background1" w:themeFillShade="D9"/>
          </w:tcPr>
          <w:p w14:paraId="6D1EC1F7" w14:textId="77777777" w:rsidR="00D41B34" w:rsidRPr="00C167B7" w:rsidRDefault="00D41B34" w:rsidP="00FF56A1">
            <w:pPr>
              <w:spacing w:before="120"/>
              <w:jc w:val="center"/>
              <w:rPr>
                <w:b/>
                <w:bCs/>
              </w:rPr>
            </w:pPr>
            <w:r w:rsidRPr="00C167B7">
              <w:rPr>
                <w:b/>
                <w:bCs/>
              </w:rPr>
              <w:t>Název předpisu EU</w:t>
            </w:r>
          </w:p>
        </w:tc>
      </w:tr>
      <w:tr w:rsidR="00C167B7" w:rsidRPr="00C167B7" w14:paraId="5BD545DF" w14:textId="77777777" w:rsidTr="009E4EFF">
        <w:trPr>
          <w:cantSplit/>
        </w:trPr>
        <w:tc>
          <w:tcPr>
            <w:tcW w:w="683" w:type="dxa"/>
          </w:tcPr>
          <w:p w14:paraId="32F76A67" w14:textId="59A780D7" w:rsidR="00D41B34" w:rsidRPr="00C167B7" w:rsidRDefault="00C21851" w:rsidP="00B325B0">
            <w:pPr>
              <w:pStyle w:val="Odstavecseseznamem"/>
              <w:spacing w:before="60" w:after="60"/>
              <w:ind w:left="0" w:right="43"/>
              <w:contextualSpacing w:val="0"/>
            </w:pPr>
            <w:r>
              <w:t>1.</w:t>
            </w:r>
          </w:p>
        </w:tc>
        <w:tc>
          <w:tcPr>
            <w:tcW w:w="1982" w:type="dxa"/>
          </w:tcPr>
          <w:p w14:paraId="44AA999C" w14:textId="375AD703" w:rsidR="00D41B34" w:rsidRPr="00C167B7" w:rsidRDefault="00D41B34" w:rsidP="00176ED9">
            <w:pPr>
              <w:spacing w:before="60" w:after="60"/>
              <w:jc w:val="both"/>
            </w:pPr>
            <w:r w:rsidRPr="00C167B7">
              <w:t>32006L0112</w:t>
            </w:r>
          </w:p>
        </w:tc>
        <w:tc>
          <w:tcPr>
            <w:tcW w:w="11580" w:type="dxa"/>
          </w:tcPr>
          <w:p w14:paraId="5FD3CFBC" w14:textId="50BFFF54" w:rsidR="00D41B34" w:rsidRPr="00C167B7" w:rsidRDefault="00D41B34" w:rsidP="00176ED9">
            <w:pPr>
              <w:spacing w:before="60" w:after="60"/>
              <w:jc w:val="both"/>
            </w:pPr>
            <w:r w:rsidRPr="00C167B7">
              <w:t>Směrnice Rady 2006/112/ES ze dne 28. listopadu 2006 o společném systému daně z přidané hodnoty</w:t>
            </w:r>
            <w:r w:rsidR="00632142">
              <w:t>.</w:t>
            </w:r>
          </w:p>
        </w:tc>
      </w:tr>
      <w:tr w:rsidR="00C167B7" w:rsidRPr="00C167B7" w14:paraId="3108A6EC" w14:textId="77777777" w:rsidTr="009E4EFF">
        <w:trPr>
          <w:cantSplit/>
        </w:trPr>
        <w:tc>
          <w:tcPr>
            <w:tcW w:w="683" w:type="dxa"/>
            <w:vAlign w:val="center"/>
          </w:tcPr>
          <w:p w14:paraId="69758321" w14:textId="2019AD2E" w:rsidR="00D41B34" w:rsidRPr="00C167B7" w:rsidRDefault="00C21851" w:rsidP="00B325B0">
            <w:pPr>
              <w:pStyle w:val="Odstavecseseznamem"/>
              <w:spacing w:before="60" w:after="60"/>
              <w:ind w:left="0" w:right="43"/>
              <w:contextualSpacing w:val="0"/>
            </w:pPr>
            <w:r>
              <w:t>2.</w:t>
            </w:r>
          </w:p>
        </w:tc>
        <w:tc>
          <w:tcPr>
            <w:tcW w:w="1982" w:type="dxa"/>
            <w:vAlign w:val="center"/>
          </w:tcPr>
          <w:p w14:paraId="48140E00" w14:textId="4495E020" w:rsidR="00D41B34" w:rsidRPr="00C167B7" w:rsidRDefault="005479EA" w:rsidP="00176ED9">
            <w:pPr>
              <w:spacing w:before="60" w:after="60"/>
            </w:pPr>
            <w:r w:rsidRPr="00060BE5">
              <w:t>32019L2235</w:t>
            </w:r>
          </w:p>
        </w:tc>
        <w:tc>
          <w:tcPr>
            <w:tcW w:w="11580" w:type="dxa"/>
          </w:tcPr>
          <w:p w14:paraId="4469FC81" w14:textId="7F56EB82" w:rsidR="00D41B34" w:rsidRPr="00C167B7" w:rsidRDefault="00D41B34" w:rsidP="00176ED9">
            <w:pPr>
              <w:spacing w:before="60" w:after="60"/>
              <w:jc w:val="both"/>
            </w:pPr>
            <w:r w:rsidRPr="00C167B7">
              <w:t xml:space="preserve">Směrnice Rady </w:t>
            </w:r>
            <w:r w:rsidR="005479EA">
              <w:t xml:space="preserve">(EU) 2019/2235 </w:t>
            </w:r>
            <w:r w:rsidRPr="00C167B7">
              <w:t xml:space="preserve">ze dne </w:t>
            </w:r>
            <w:r w:rsidR="005479EA">
              <w:t>16</w:t>
            </w:r>
            <w:r w:rsidRPr="00C167B7">
              <w:t xml:space="preserve">. </w:t>
            </w:r>
            <w:r w:rsidR="005479EA">
              <w:t>prosince</w:t>
            </w:r>
            <w:r w:rsidRPr="00C167B7">
              <w:t xml:space="preserve"> </w:t>
            </w:r>
            <w:r w:rsidR="005479EA">
              <w:t>2019</w:t>
            </w:r>
            <w:r w:rsidRPr="00C167B7">
              <w:t xml:space="preserve">, kterou se mění směrnice 2006/112/ES, </w:t>
            </w:r>
            <w:r w:rsidR="005479EA">
              <w:t>o společném systému daně z přidané hodnoty a směrnice 2008/118/ES o obecné úpravě spotřebních daní, pokud jde o obranné úsilí v rámci evropské unie.</w:t>
            </w:r>
          </w:p>
        </w:tc>
      </w:tr>
    </w:tbl>
    <w:p w14:paraId="35CCDC30" w14:textId="397A5202" w:rsidR="00050572" w:rsidRDefault="00050572" w:rsidP="00050572">
      <w:pPr>
        <w:spacing w:after="120"/>
        <w:outlineLvl w:val="0"/>
        <w:rPr>
          <w:b/>
          <w:sz w:val="28"/>
        </w:rPr>
      </w:pPr>
    </w:p>
    <w:p w14:paraId="0C111764" w14:textId="0E4EE0F1" w:rsidR="00946938" w:rsidRPr="00C167B7" w:rsidRDefault="00946938" w:rsidP="009D711D">
      <w:pPr>
        <w:overflowPunct/>
        <w:autoSpaceDE/>
        <w:autoSpaceDN/>
        <w:adjustRightInd/>
        <w:textAlignment w:val="auto"/>
      </w:pPr>
    </w:p>
    <w:sectPr w:rsidR="00946938" w:rsidRPr="00C167B7" w:rsidSect="006B7CAB">
      <w:headerReference w:type="default" r:id="rId8"/>
      <w:footerReference w:type="even" r:id="rId9"/>
      <w:footerReference w:type="default" r:id="rId10"/>
      <w:headerReference w:type="first" r:id="rId11"/>
      <w:pgSz w:w="16838" w:h="11906" w:orient="landscape" w:code="9"/>
      <w:pgMar w:top="1304" w:right="1418" w:bottom="1304"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0285C" w14:textId="77777777" w:rsidR="00E0263B" w:rsidRDefault="00E0263B">
      <w:r>
        <w:separator/>
      </w:r>
    </w:p>
  </w:endnote>
  <w:endnote w:type="continuationSeparator" w:id="0">
    <w:p w14:paraId="66C557C7" w14:textId="77777777" w:rsidR="00E0263B" w:rsidRDefault="00E02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_New_Roman+20">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8263E" w14:textId="77777777" w:rsidR="00B04858" w:rsidRDefault="00B0485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880192C" w14:textId="77777777" w:rsidR="00B04858" w:rsidRDefault="00B0485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654286"/>
      <w:docPartObj>
        <w:docPartGallery w:val="Page Numbers (Bottom of Page)"/>
        <w:docPartUnique/>
      </w:docPartObj>
    </w:sdtPr>
    <w:sdtEndPr/>
    <w:sdtContent>
      <w:p w14:paraId="1F18A421" w14:textId="0E0E309B" w:rsidR="00B04858" w:rsidRDefault="00B04858" w:rsidP="00A970B4">
        <w:pPr>
          <w:pStyle w:val="Zpat"/>
          <w:framePr w:wrap="around" w:vAnchor="text" w:hAnchor="margin" w:xAlign="center" w:y="1"/>
          <w:jc w:val="right"/>
        </w:pPr>
        <w:r>
          <w:fldChar w:fldCharType="begin"/>
        </w:r>
        <w:r>
          <w:instrText>PAGE   \* MERGEFORMAT</w:instrText>
        </w:r>
        <w:r>
          <w:fldChar w:fldCharType="separate"/>
        </w:r>
        <w:r w:rsidR="00AD06DE">
          <w:rPr>
            <w:noProof/>
          </w:rPr>
          <w:t>15</w:t>
        </w:r>
        <w:r>
          <w:fldChar w:fldCharType="end"/>
        </w:r>
      </w:p>
    </w:sdtContent>
  </w:sdt>
  <w:p w14:paraId="0F5D5258" w14:textId="77777777" w:rsidR="00B04858" w:rsidRDefault="00B04858" w:rsidP="001B4C5C">
    <w:pPr>
      <w:pStyle w:val="Zpat"/>
      <w:framePr w:wrap="around" w:vAnchor="text" w:hAnchor="margin" w:xAlign="center" w:y="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87EA6" w14:textId="77777777" w:rsidR="00E0263B" w:rsidRDefault="00E0263B">
      <w:r>
        <w:separator/>
      </w:r>
    </w:p>
  </w:footnote>
  <w:footnote w:type="continuationSeparator" w:id="0">
    <w:p w14:paraId="096A44BF" w14:textId="77777777" w:rsidR="00E0263B" w:rsidRDefault="00E026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B59E0" w14:textId="6C38BFFE" w:rsidR="00B04858" w:rsidRPr="00FF02B7" w:rsidRDefault="00B04858" w:rsidP="00FF02B7">
    <w:pPr>
      <w:pStyle w:val="Zhlav"/>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0F9C7" w14:textId="1FB4EF60" w:rsidR="00B04858" w:rsidRPr="003D6C7D" w:rsidRDefault="00B04858" w:rsidP="003D6C7D">
    <w:pPr>
      <w:pStyle w:val="Zhlav"/>
      <w:jc w:val="right"/>
      <w:rPr>
        <w:b/>
        <w:sz w:val="24"/>
        <w:szCs w:val="24"/>
      </w:rPr>
    </w:pPr>
  </w:p>
  <w:p w14:paraId="45D62E91" w14:textId="554D744C" w:rsidR="00B04858" w:rsidRPr="00123C41" w:rsidRDefault="00B04858" w:rsidP="00123C41">
    <w:pPr>
      <w:pStyle w:val="Zhlav"/>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31FB3929"/>
    <w:multiLevelType w:val="hybridMultilevel"/>
    <w:tmpl w:val="14E60D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D3E3D96"/>
    <w:multiLevelType w:val="hybridMultilevel"/>
    <w:tmpl w:val="EE84E3DC"/>
    <w:lvl w:ilvl="0" w:tplc="8A041B66">
      <w:start w:val="3"/>
      <w:numFmt w:val="bullet"/>
      <w:lvlText w:val="—"/>
      <w:lvlJc w:val="left"/>
      <w:pPr>
        <w:ind w:left="1080" w:hanging="360"/>
      </w:pPr>
      <w:rPr>
        <w:rFonts w:ascii="Times_New_Roman+20" w:eastAsia="Calibri" w:hAnsi="Times_New_Roman+20" w:cs="Times_New_Roman+20" w:hint="default"/>
        <w:sz w:val="17"/>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68AD13A8"/>
    <w:multiLevelType w:val="hybridMultilevel"/>
    <w:tmpl w:val="6B2E5FDC"/>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780C358F"/>
    <w:multiLevelType w:val="hybridMultilevel"/>
    <w:tmpl w:val="AAE0DC90"/>
    <w:lvl w:ilvl="0" w:tplc="8A041B66">
      <w:start w:val="3"/>
      <w:numFmt w:val="bullet"/>
      <w:lvlText w:val="—"/>
      <w:lvlJc w:val="left"/>
      <w:pPr>
        <w:ind w:left="786" w:hanging="360"/>
      </w:pPr>
      <w:rPr>
        <w:rFonts w:ascii="Times_New_Roman+20" w:eastAsia="Calibri" w:hAnsi="Times_New_Roman+20" w:cs="Times_New_Roman+20" w:hint="default"/>
        <w:sz w:val="17"/>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82449C8"/>
    <w:multiLevelType w:val="hybridMultilevel"/>
    <w:tmpl w:val="7D64FD6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7D55022B"/>
    <w:multiLevelType w:val="hybridMultilevel"/>
    <w:tmpl w:val="AA7262B8"/>
    <w:lvl w:ilvl="0" w:tplc="2AE4F162">
      <w:start w:val="1"/>
      <w:numFmt w:val="decimal"/>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9F9"/>
    <w:rsid w:val="00003C12"/>
    <w:rsid w:val="00010471"/>
    <w:rsid w:val="000108A3"/>
    <w:rsid w:val="000117BD"/>
    <w:rsid w:val="00014068"/>
    <w:rsid w:val="00014751"/>
    <w:rsid w:val="00017A0B"/>
    <w:rsid w:val="00021482"/>
    <w:rsid w:val="00022F89"/>
    <w:rsid w:val="000233E7"/>
    <w:rsid w:val="00023D90"/>
    <w:rsid w:val="00024F30"/>
    <w:rsid w:val="00032A30"/>
    <w:rsid w:val="00033141"/>
    <w:rsid w:val="00042419"/>
    <w:rsid w:val="00050572"/>
    <w:rsid w:val="000506E1"/>
    <w:rsid w:val="00055420"/>
    <w:rsid w:val="0006044A"/>
    <w:rsid w:val="00061049"/>
    <w:rsid w:val="00064A40"/>
    <w:rsid w:val="000733F6"/>
    <w:rsid w:val="000842C5"/>
    <w:rsid w:val="00091F14"/>
    <w:rsid w:val="00092BC6"/>
    <w:rsid w:val="00093374"/>
    <w:rsid w:val="00094382"/>
    <w:rsid w:val="000A0BF8"/>
    <w:rsid w:val="000A1BBE"/>
    <w:rsid w:val="000A3B5F"/>
    <w:rsid w:val="000A4FE3"/>
    <w:rsid w:val="000A7014"/>
    <w:rsid w:val="000B0EB7"/>
    <w:rsid w:val="000B0EC6"/>
    <w:rsid w:val="000B3629"/>
    <w:rsid w:val="000B37D0"/>
    <w:rsid w:val="000C06E7"/>
    <w:rsid w:val="000C0B09"/>
    <w:rsid w:val="000C47DF"/>
    <w:rsid w:val="000C7746"/>
    <w:rsid w:val="000C7D67"/>
    <w:rsid w:val="000D0DD1"/>
    <w:rsid w:val="000D1EFD"/>
    <w:rsid w:val="000D3DED"/>
    <w:rsid w:val="000D509F"/>
    <w:rsid w:val="000F7921"/>
    <w:rsid w:val="0010122F"/>
    <w:rsid w:val="00102EEE"/>
    <w:rsid w:val="0010474B"/>
    <w:rsid w:val="0010516F"/>
    <w:rsid w:val="001053A2"/>
    <w:rsid w:val="0010597F"/>
    <w:rsid w:val="001070CB"/>
    <w:rsid w:val="00107B9C"/>
    <w:rsid w:val="00107F49"/>
    <w:rsid w:val="001101D6"/>
    <w:rsid w:val="001104C1"/>
    <w:rsid w:val="00116C25"/>
    <w:rsid w:val="00123085"/>
    <w:rsid w:val="00123C41"/>
    <w:rsid w:val="00146ED8"/>
    <w:rsid w:val="001471F2"/>
    <w:rsid w:val="0015418F"/>
    <w:rsid w:val="00163B07"/>
    <w:rsid w:val="001700C8"/>
    <w:rsid w:val="001708BA"/>
    <w:rsid w:val="00171052"/>
    <w:rsid w:val="00172DA9"/>
    <w:rsid w:val="00173F3C"/>
    <w:rsid w:val="00176ED9"/>
    <w:rsid w:val="00186815"/>
    <w:rsid w:val="001903A0"/>
    <w:rsid w:val="00193D09"/>
    <w:rsid w:val="001952F2"/>
    <w:rsid w:val="00195673"/>
    <w:rsid w:val="001A0FFD"/>
    <w:rsid w:val="001A1A58"/>
    <w:rsid w:val="001A5268"/>
    <w:rsid w:val="001B29EE"/>
    <w:rsid w:val="001B4C5C"/>
    <w:rsid w:val="001B613D"/>
    <w:rsid w:val="001C5235"/>
    <w:rsid w:val="001C5C00"/>
    <w:rsid w:val="001D1BE1"/>
    <w:rsid w:val="001D6352"/>
    <w:rsid w:val="001D653A"/>
    <w:rsid w:val="001D796B"/>
    <w:rsid w:val="001E217E"/>
    <w:rsid w:val="001E26DA"/>
    <w:rsid w:val="001E2DEA"/>
    <w:rsid w:val="001F314B"/>
    <w:rsid w:val="001F72DC"/>
    <w:rsid w:val="002008E6"/>
    <w:rsid w:val="00200E61"/>
    <w:rsid w:val="0020434C"/>
    <w:rsid w:val="002068E1"/>
    <w:rsid w:val="00210F0C"/>
    <w:rsid w:val="00212047"/>
    <w:rsid w:val="002137E7"/>
    <w:rsid w:val="00214FDF"/>
    <w:rsid w:val="002209BA"/>
    <w:rsid w:val="002248DA"/>
    <w:rsid w:val="00232ECC"/>
    <w:rsid w:val="00234E3D"/>
    <w:rsid w:val="00235252"/>
    <w:rsid w:val="002362F0"/>
    <w:rsid w:val="00246CC1"/>
    <w:rsid w:val="0025041B"/>
    <w:rsid w:val="002518B5"/>
    <w:rsid w:val="00252342"/>
    <w:rsid w:val="0025607A"/>
    <w:rsid w:val="002614F0"/>
    <w:rsid w:val="00261771"/>
    <w:rsid w:val="002643C1"/>
    <w:rsid w:val="00272CD6"/>
    <w:rsid w:val="00273B92"/>
    <w:rsid w:val="00273EF1"/>
    <w:rsid w:val="00274AC2"/>
    <w:rsid w:val="0027611E"/>
    <w:rsid w:val="00276C56"/>
    <w:rsid w:val="002779C2"/>
    <w:rsid w:val="002821B1"/>
    <w:rsid w:val="00284288"/>
    <w:rsid w:val="00286E9A"/>
    <w:rsid w:val="00287EB4"/>
    <w:rsid w:val="002A1940"/>
    <w:rsid w:val="002A532F"/>
    <w:rsid w:val="002A57E7"/>
    <w:rsid w:val="002A6AF5"/>
    <w:rsid w:val="002B712D"/>
    <w:rsid w:val="002C0569"/>
    <w:rsid w:val="002C2725"/>
    <w:rsid w:val="002C79D8"/>
    <w:rsid w:val="002E0371"/>
    <w:rsid w:val="002E0ACD"/>
    <w:rsid w:val="002E2F86"/>
    <w:rsid w:val="002E3F50"/>
    <w:rsid w:val="002E5600"/>
    <w:rsid w:val="002E5F83"/>
    <w:rsid w:val="002F3F1B"/>
    <w:rsid w:val="002F5CB2"/>
    <w:rsid w:val="002F6A3C"/>
    <w:rsid w:val="002F6FE0"/>
    <w:rsid w:val="00300ECA"/>
    <w:rsid w:val="00301945"/>
    <w:rsid w:val="00301961"/>
    <w:rsid w:val="00303809"/>
    <w:rsid w:val="00304265"/>
    <w:rsid w:val="00304549"/>
    <w:rsid w:val="003065DE"/>
    <w:rsid w:val="00307151"/>
    <w:rsid w:val="003117C7"/>
    <w:rsid w:val="003169D9"/>
    <w:rsid w:val="003344CD"/>
    <w:rsid w:val="0033665D"/>
    <w:rsid w:val="00340A68"/>
    <w:rsid w:val="0034371E"/>
    <w:rsid w:val="00344E2F"/>
    <w:rsid w:val="003453DF"/>
    <w:rsid w:val="003571EB"/>
    <w:rsid w:val="003621A9"/>
    <w:rsid w:val="003637B2"/>
    <w:rsid w:val="00365587"/>
    <w:rsid w:val="00366307"/>
    <w:rsid w:val="0036710D"/>
    <w:rsid w:val="00375479"/>
    <w:rsid w:val="00377078"/>
    <w:rsid w:val="003826C1"/>
    <w:rsid w:val="00384FB9"/>
    <w:rsid w:val="00386BB2"/>
    <w:rsid w:val="003914AD"/>
    <w:rsid w:val="003A30EB"/>
    <w:rsid w:val="003A40EE"/>
    <w:rsid w:val="003A4886"/>
    <w:rsid w:val="003B0256"/>
    <w:rsid w:val="003B1B41"/>
    <w:rsid w:val="003B2520"/>
    <w:rsid w:val="003B406F"/>
    <w:rsid w:val="003B7E85"/>
    <w:rsid w:val="003C0480"/>
    <w:rsid w:val="003C6DF2"/>
    <w:rsid w:val="003D170C"/>
    <w:rsid w:val="003D2F34"/>
    <w:rsid w:val="003D6A35"/>
    <w:rsid w:val="003D6C7D"/>
    <w:rsid w:val="003F0470"/>
    <w:rsid w:val="003F4AE5"/>
    <w:rsid w:val="003F6371"/>
    <w:rsid w:val="003F6FDA"/>
    <w:rsid w:val="00403B79"/>
    <w:rsid w:val="00411490"/>
    <w:rsid w:val="004165DC"/>
    <w:rsid w:val="00416AF6"/>
    <w:rsid w:val="00416D9B"/>
    <w:rsid w:val="00417C6B"/>
    <w:rsid w:val="0042178D"/>
    <w:rsid w:val="004277DD"/>
    <w:rsid w:val="00430338"/>
    <w:rsid w:val="00430720"/>
    <w:rsid w:val="00434145"/>
    <w:rsid w:val="00435FDE"/>
    <w:rsid w:val="00436192"/>
    <w:rsid w:val="004372EE"/>
    <w:rsid w:val="004379CA"/>
    <w:rsid w:val="00442442"/>
    <w:rsid w:val="00443993"/>
    <w:rsid w:val="00443D4A"/>
    <w:rsid w:val="0044592B"/>
    <w:rsid w:val="00445DFE"/>
    <w:rsid w:val="0044642D"/>
    <w:rsid w:val="00446F24"/>
    <w:rsid w:val="00454672"/>
    <w:rsid w:val="00457484"/>
    <w:rsid w:val="004675B7"/>
    <w:rsid w:val="004725B3"/>
    <w:rsid w:val="004734A0"/>
    <w:rsid w:val="0047477B"/>
    <w:rsid w:val="00477A56"/>
    <w:rsid w:val="0048241A"/>
    <w:rsid w:val="0049157D"/>
    <w:rsid w:val="004916D8"/>
    <w:rsid w:val="004928B6"/>
    <w:rsid w:val="004941AB"/>
    <w:rsid w:val="0049762D"/>
    <w:rsid w:val="004A0F86"/>
    <w:rsid w:val="004A29B8"/>
    <w:rsid w:val="004A39F9"/>
    <w:rsid w:val="004C11B7"/>
    <w:rsid w:val="004C2C06"/>
    <w:rsid w:val="004C6E86"/>
    <w:rsid w:val="004D169A"/>
    <w:rsid w:val="004D5B4B"/>
    <w:rsid w:val="004D5E94"/>
    <w:rsid w:val="004D68E3"/>
    <w:rsid w:val="004D75A5"/>
    <w:rsid w:val="004E042F"/>
    <w:rsid w:val="004E20D4"/>
    <w:rsid w:val="004E347C"/>
    <w:rsid w:val="004E4AA9"/>
    <w:rsid w:val="004E769E"/>
    <w:rsid w:val="004F0FB6"/>
    <w:rsid w:val="004F19C1"/>
    <w:rsid w:val="004F4927"/>
    <w:rsid w:val="004F5C68"/>
    <w:rsid w:val="00502E0F"/>
    <w:rsid w:val="005039A9"/>
    <w:rsid w:val="00505E57"/>
    <w:rsid w:val="00506795"/>
    <w:rsid w:val="00512C76"/>
    <w:rsid w:val="00515B1D"/>
    <w:rsid w:val="00516C70"/>
    <w:rsid w:val="005231D8"/>
    <w:rsid w:val="00524C4B"/>
    <w:rsid w:val="00532BA9"/>
    <w:rsid w:val="00536BDE"/>
    <w:rsid w:val="00537834"/>
    <w:rsid w:val="00542546"/>
    <w:rsid w:val="00543E6E"/>
    <w:rsid w:val="005459EE"/>
    <w:rsid w:val="005479EA"/>
    <w:rsid w:val="00554D72"/>
    <w:rsid w:val="00556345"/>
    <w:rsid w:val="00563A2B"/>
    <w:rsid w:val="00565369"/>
    <w:rsid w:val="00572A54"/>
    <w:rsid w:val="0057307B"/>
    <w:rsid w:val="00574DE7"/>
    <w:rsid w:val="00577CAB"/>
    <w:rsid w:val="00581553"/>
    <w:rsid w:val="00582968"/>
    <w:rsid w:val="00584F19"/>
    <w:rsid w:val="00590FA0"/>
    <w:rsid w:val="00594612"/>
    <w:rsid w:val="00596445"/>
    <w:rsid w:val="005A4874"/>
    <w:rsid w:val="005A716F"/>
    <w:rsid w:val="005B263F"/>
    <w:rsid w:val="005C21BD"/>
    <w:rsid w:val="005C2324"/>
    <w:rsid w:val="005C5F90"/>
    <w:rsid w:val="005D1776"/>
    <w:rsid w:val="005D35D0"/>
    <w:rsid w:val="005D4317"/>
    <w:rsid w:val="005D4C57"/>
    <w:rsid w:val="005D6E3C"/>
    <w:rsid w:val="005E3D30"/>
    <w:rsid w:val="005E5F5D"/>
    <w:rsid w:val="005F3B5C"/>
    <w:rsid w:val="005F3F57"/>
    <w:rsid w:val="005F76AF"/>
    <w:rsid w:val="00600413"/>
    <w:rsid w:val="00603A3A"/>
    <w:rsid w:val="00603CA2"/>
    <w:rsid w:val="006049E3"/>
    <w:rsid w:val="00604C63"/>
    <w:rsid w:val="00605818"/>
    <w:rsid w:val="006144C1"/>
    <w:rsid w:val="00614B40"/>
    <w:rsid w:val="00621325"/>
    <w:rsid w:val="00623405"/>
    <w:rsid w:val="00623D4F"/>
    <w:rsid w:val="006251DC"/>
    <w:rsid w:val="006271A2"/>
    <w:rsid w:val="006273A5"/>
    <w:rsid w:val="00632142"/>
    <w:rsid w:val="00632A39"/>
    <w:rsid w:val="00640301"/>
    <w:rsid w:val="00644E90"/>
    <w:rsid w:val="006479C1"/>
    <w:rsid w:val="00655322"/>
    <w:rsid w:val="0066131F"/>
    <w:rsid w:val="00661F50"/>
    <w:rsid w:val="00670485"/>
    <w:rsid w:val="00673C56"/>
    <w:rsid w:val="00674CD2"/>
    <w:rsid w:val="006758DF"/>
    <w:rsid w:val="00682D82"/>
    <w:rsid w:val="00683215"/>
    <w:rsid w:val="006A0CD0"/>
    <w:rsid w:val="006A34CD"/>
    <w:rsid w:val="006A7185"/>
    <w:rsid w:val="006B5066"/>
    <w:rsid w:val="006B7CAB"/>
    <w:rsid w:val="006C2B2B"/>
    <w:rsid w:val="006C2C86"/>
    <w:rsid w:val="006C6536"/>
    <w:rsid w:val="006D19A6"/>
    <w:rsid w:val="006D392C"/>
    <w:rsid w:val="006D554A"/>
    <w:rsid w:val="006D5F3C"/>
    <w:rsid w:val="006D65EC"/>
    <w:rsid w:val="006D7289"/>
    <w:rsid w:val="006E191D"/>
    <w:rsid w:val="006E1F58"/>
    <w:rsid w:val="006F093C"/>
    <w:rsid w:val="006F1E3F"/>
    <w:rsid w:val="006F2316"/>
    <w:rsid w:val="006F74E9"/>
    <w:rsid w:val="00711AC7"/>
    <w:rsid w:val="007158E5"/>
    <w:rsid w:val="00717B11"/>
    <w:rsid w:val="00717CE6"/>
    <w:rsid w:val="007205BD"/>
    <w:rsid w:val="00722E60"/>
    <w:rsid w:val="00722F8E"/>
    <w:rsid w:val="007404CB"/>
    <w:rsid w:val="00740A00"/>
    <w:rsid w:val="00743D14"/>
    <w:rsid w:val="007509CB"/>
    <w:rsid w:val="00757658"/>
    <w:rsid w:val="007646A2"/>
    <w:rsid w:val="00764DB9"/>
    <w:rsid w:val="00765C3F"/>
    <w:rsid w:val="00766D3A"/>
    <w:rsid w:val="0076703A"/>
    <w:rsid w:val="007677CB"/>
    <w:rsid w:val="00772223"/>
    <w:rsid w:val="0077302A"/>
    <w:rsid w:val="007771D4"/>
    <w:rsid w:val="007772A9"/>
    <w:rsid w:val="007814D5"/>
    <w:rsid w:val="00784308"/>
    <w:rsid w:val="00787018"/>
    <w:rsid w:val="007908DE"/>
    <w:rsid w:val="00793BD0"/>
    <w:rsid w:val="0079647E"/>
    <w:rsid w:val="007A0A6D"/>
    <w:rsid w:val="007A0A7A"/>
    <w:rsid w:val="007A4FA5"/>
    <w:rsid w:val="007B1659"/>
    <w:rsid w:val="007B3ADC"/>
    <w:rsid w:val="007C34E5"/>
    <w:rsid w:val="007C439F"/>
    <w:rsid w:val="007C5BEF"/>
    <w:rsid w:val="007D1BC4"/>
    <w:rsid w:val="007D1CB3"/>
    <w:rsid w:val="007D64AF"/>
    <w:rsid w:val="007E13EF"/>
    <w:rsid w:val="007E3D6D"/>
    <w:rsid w:val="007E4B6B"/>
    <w:rsid w:val="007F0E6F"/>
    <w:rsid w:val="007F6E25"/>
    <w:rsid w:val="0080178D"/>
    <w:rsid w:val="00805C2D"/>
    <w:rsid w:val="00807D6D"/>
    <w:rsid w:val="00810AB9"/>
    <w:rsid w:val="0081506C"/>
    <w:rsid w:val="00815458"/>
    <w:rsid w:val="008215E5"/>
    <w:rsid w:val="008337D6"/>
    <w:rsid w:val="00835336"/>
    <w:rsid w:val="008371D7"/>
    <w:rsid w:val="00841248"/>
    <w:rsid w:val="008517EB"/>
    <w:rsid w:val="00862695"/>
    <w:rsid w:val="008661D8"/>
    <w:rsid w:val="00872BC9"/>
    <w:rsid w:val="008759B5"/>
    <w:rsid w:val="00875CF7"/>
    <w:rsid w:val="00876D30"/>
    <w:rsid w:val="00881EE1"/>
    <w:rsid w:val="0088488C"/>
    <w:rsid w:val="00892889"/>
    <w:rsid w:val="008A12A6"/>
    <w:rsid w:val="008A166F"/>
    <w:rsid w:val="008A271A"/>
    <w:rsid w:val="008B54A2"/>
    <w:rsid w:val="008C0273"/>
    <w:rsid w:val="008C49F3"/>
    <w:rsid w:val="008D044B"/>
    <w:rsid w:val="008D195D"/>
    <w:rsid w:val="008D7C41"/>
    <w:rsid w:val="008E0D53"/>
    <w:rsid w:val="008E442F"/>
    <w:rsid w:val="008E4E5A"/>
    <w:rsid w:val="008F236A"/>
    <w:rsid w:val="008F6E50"/>
    <w:rsid w:val="009006F5"/>
    <w:rsid w:val="0090125C"/>
    <w:rsid w:val="00904D54"/>
    <w:rsid w:val="0091050E"/>
    <w:rsid w:val="0091561D"/>
    <w:rsid w:val="009166E5"/>
    <w:rsid w:val="00916F13"/>
    <w:rsid w:val="00922C77"/>
    <w:rsid w:val="009263A8"/>
    <w:rsid w:val="00927218"/>
    <w:rsid w:val="00930CA7"/>
    <w:rsid w:val="009314E0"/>
    <w:rsid w:val="00932E87"/>
    <w:rsid w:val="00933A2D"/>
    <w:rsid w:val="00934127"/>
    <w:rsid w:val="00934C4A"/>
    <w:rsid w:val="00934E1E"/>
    <w:rsid w:val="00936193"/>
    <w:rsid w:val="00936622"/>
    <w:rsid w:val="00936992"/>
    <w:rsid w:val="009371E3"/>
    <w:rsid w:val="00943B97"/>
    <w:rsid w:val="00945C21"/>
    <w:rsid w:val="00946938"/>
    <w:rsid w:val="00954AA4"/>
    <w:rsid w:val="00956057"/>
    <w:rsid w:val="00956362"/>
    <w:rsid w:val="009651B6"/>
    <w:rsid w:val="0096550B"/>
    <w:rsid w:val="009655E0"/>
    <w:rsid w:val="0096582D"/>
    <w:rsid w:val="00975A8A"/>
    <w:rsid w:val="00977CDF"/>
    <w:rsid w:val="00986F7F"/>
    <w:rsid w:val="00990101"/>
    <w:rsid w:val="009925DA"/>
    <w:rsid w:val="00997E9C"/>
    <w:rsid w:val="009A2E2B"/>
    <w:rsid w:val="009A5ED0"/>
    <w:rsid w:val="009A7D1B"/>
    <w:rsid w:val="009B03B4"/>
    <w:rsid w:val="009B2A75"/>
    <w:rsid w:val="009B4EC1"/>
    <w:rsid w:val="009C1764"/>
    <w:rsid w:val="009C3BC6"/>
    <w:rsid w:val="009D114C"/>
    <w:rsid w:val="009D3172"/>
    <w:rsid w:val="009D711D"/>
    <w:rsid w:val="009D7F51"/>
    <w:rsid w:val="009E172B"/>
    <w:rsid w:val="009E3270"/>
    <w:rsid w:val="009E34C8"/>
    <w:rsid w:val="009E3FB6"/>
    <w:rsid w:val="009E4EFF"/>
    <w:rsid w:val="009E6BD6"/>
    <w:rsid w:val="009E6E09"/>
    <w:rsid w:val="009E707C"/>
    <w:rsid w:val="009F0255"/>
    <w:rsid w:val="009F2F75"/>
    <w:rsid w:val="009F32F7"/>
    <w:rsid w:val="00A008E2"/>
    <w:rsid w:val="00A05197"/>
    <w:rsid w:val="00A1445E"/>
    <w:rsid w:val="00A14694"/>
    <w:rsid w:val="00A239BB"/>
    <w:rsid w:val="00A2512D"/>
    <w:rsid w:val="00A33A4F"/>
    <w:rsid w:val="00A3540C"/>
    <w:rsid w:val="00A3694F"/>
    <w:rsid w:val="00A4037C"/>
    <w:rsid w:val="00A4133A"/>
    <w:rsid w:val="00A44356"/>
    <w:rsid w:val="00A51357"/>
    <w:rsid w:val="00A539AF"/>
    <w:rsid w:val="00A5526B"/>
    <w:rsid w:val="00A562B7"/>
    <w:rsid w:val="00A569D5"/>
    <w:rsid w:val="00A571BA"/>
    <w:rsid w:val="00A6154C"/>
    <w:rsid w:val="00A642B0"/>
    <w:rsid w:val="00A663E6"/>
    <w:rsid w:val="00A66618"/>
    <w:rsid w:val="00A67C2F"/>
    <w:rsid w:val="00A742E6"/>
    <w:rsid w:val="00A752F3"/>
    <w:rsid w:val="00A75D60"/>
    <w:rsid w:val="00A774F1"/>
    <w:rsid w:val="00A83B59"/>
    <w:rsid w:val="00A85B66"/>
    <w:rsid w:val="00A910FF"/>
    <w:rsid w:val="00A93F5C"/>
    <w:rsid w:val="00A970B4"/>
    <w:rsid w:val="00A976A3"/>
    <w:rsid w:val="00AA1396"/>
    <w:rsid w:val="00AA150D"/>
    <w:rsid w:val="00AA657E"/>
    <w:rsid w:val="00AA77A6"/>
    <w:rsid w:val="00AA77D8"/>
    <w:rsid w:val="00AB08DD"/>
    <w:rsid w:val="00AB1538"/>
    <w:rsid w:val="00AB3800"/>
    <w:rsid w:val="00AB748B"/>
    <w:rsid w:val="00AC474B"/>
    <w:rsid w:val="00AC561A"/>
    <w:rsid w:val="00AD0368"/>
    <w:rsid w:val="00AD06DE"/>
    <w:rsid w:val="00AD1B15"/>
    <w:rsid w:val="00AD4AC7"/>
    <w:rsid w:val="00AD6338"/>
    <w:rsid w:val="00AE2948"/>
    <w:rsid w:val="00AF1FDC"/>
    <w:rsid w:val="00B04858"/>
    <w:rsid w:val="00B06016"/>
    <w:rsid w:val="00B15E97"/>
    <w:rsid w:val="00B325B0"/>
    <w:rsid w:val="00B32EE6"/>
    <w:rsid w:val="00B34BC2"/>
    <w:rsid w:val="00B373A9"/>
    <w:rsid w:val="00B43354"/>
    <w:rsid w:val="00B46120"/>
    <w:rsid w:val="00B4716A"/>
    <w:rsid w:val="00B47377"/>
    <w:rsid w:val="00B47899"/>
    <w:rsid w:val="00B518FF"/>
    <w:rsid w:val="00B51919"/>
    <w:rsid w:val="00B52E12"/>
    <w:rsid w:val="00B569AD"/>
    <w:rsid w:val="00B66007"/>
    <w:rsid w:val="00B709CE"/>
    <w:rsid w:val="00B77284"/>
    <w:rsid w:val="00B85AFE"/>
    <w:rsid w:val="00B9160C"/>
    <w:rsid w:val="00B91EA1"/>
    <w:rsid w:val="00BA1011"/>
    <w:rsid w:val="00BA5DDA"/>
    <w:rsid w:val="00BB15EA"/>
    <w:rsid w:val="00BB578E"/>
    <w:rsid w:val="00BC6F1A"/>
    <w:rsid w:val="00BD26D5"/>
    <w:rsid w:val="00BD28B6"/>
    <w:rsid w:val="00BD3B7C"/>
    <w:rsid w:val="00BD3BB7"/>
    <w:rsid w:val="00BE1D01"/>
    <w:rsid w:val="00BE2B5E"/>
    <w:rsid w:val="00BE3133"/>
    <w:rsid w:val="00BE362B"/>
    <w:rsid w:val="00BE3B30"/>
    <w:rsid w:val="00BE41AC"/>
    <w:rsid w:val="00BE729E"/>
    <w:rsid w:val="00BE7D19"/>
    <w:rsid w:val="00BF0E19"/>
    <w:rsid w:val="00BF2C01"/>
    <w:rsid w:val="00BF3134"/>
    <w:rsid w:val="00BF6C68"/>
    <w:rsid w:val="00BF6D10"/>
    <w:rsid w:val="00C01F76"/>
    <w:rsid w:val="00C02412"/>
    <w:rsid w:val="00C05EA8"/>
    <w:rsid w:val="00C167B7"/>
    <w:rsid w:val="00C174D3"/>
    <w:rsid w:val="00C21344"/>
    <w:rsid w:val="00C21851"/>
    <w:rsid w:val="00C24EE8"/>
    <w:rsid w:val="00C275F8"/>
    <w:rsid w:val="00C31029"/>
    <w:rsid w:val="00C32474"/>
    <w:rsid w:val="00C32DAE"/>
    <w:rsid w:val="00C35F1C"/>
    <w:rsid w:val="00C407E1"/>
    <w:rsid w:val="00C40B15"/>
    <w:rsid w:val="00C41F24"/>
    <w:rsid w:val="00C42E26"/>
    <w:rsid w:val="00C43B30"/>
    <w:rsid w:val="00C44291"/>
    <w:rsid w:val="00C444EF"/>
    <w:rsid w:val="00C50455"/>
    <w:rsid w:val="00C54578"/>
    <w:rsid w:val="00C5568C"/>
    <w:rsid w:val="00C57179"/>
    <w:rsid w:val="00C57F0C"/>
    <w:rsid w:val="00C631B0"/>
    <w:rsid w:val="00C646B4"/>
    <w:rsid w:val="00C66159"/>
    <w:rsid w:val="00C66684"/>
    <w:rsid w:val="00C67CCC"/>
    <w:rsid w:val="00C73832"/>
    <w:rsid w:val="00C74797"/>
    <w:rsid w:val="00C75CCF"/>
    <w:rsid w:val="00C904C7"/>
    <w:rsid w:val="00C90D4C"/>
    <w:rsid w:val="00C90DA8"/>
    <w:rsid w:val="00C90E48"/>
    <w:rsid w:val="00C9236F"/>
    <w:rsid w:val="00C958E2"/>
    <w:rsid w:val="00C95F7B"/>
    <w:rsid w:val="00CA256E"/>
    <w:rsid w:val="00CA3A73"/>
    <w:rsid w:val="00CA662B"/>
    <w:rsid w:val="00CB4013"/>
    <w:rsid w:val="00CC0643"/>
    <w:rsid w:val="00CD1D47"/>
    <w:rsid w:val="00CD5A0C"/>
    <w:rsid w:val="00CE1224"/>
    <w:rsid w:val="00CE3C62"/>
    <w:rsid w:val="00CE7BBA"/>
    <w:rsid w:val="00CF419B"/>
    <w:rsid w:val="00D01486"/>
    <w:rsid w:val="00D02BD8"/>
    <w:rsid w:val="00D03DAF"/>
    <w:rsid w:val="00D04CD4"/>
    <w:rsid w:val="00D07754"/>
    <w:rsid w:val="00D1247D"/>
    <w:rsid w:val="00D141C3"/>
    <w:rsid w:val="00D22087"/>
    <w:rsid w:val="00D247E5"/>
    <w:rsid w:val="00D269BB"/>
    <w:rsid w:val="00D26F27"/>
    <w:rsid w:val="00D27DCE"/>
    <w:rsid w:val="00D27EEB"/>
    <w:rsid w:val="00D346C9"/>
    <w:rsid w:val="00D36C0A"/>
    <w:rsid w:val="00D36CEC"/>
    <w:rsid w:val="00D41B34"/>
    <w:rsid w:val="00D453F9"/>
    <w:rsid w:val="00D47224"/>
    <w:rsid w:val="00D47B44"/>
    <w:rsid w:val="00D51F88"/>
    <w:rsid w:val="00D53EA6"/>
    <w:rsid w:val="00D55322"/>
    <w:rsid w:val="00D60F4B"/>
    <w:rsid w:val="00D61E7B"/>
    <w:rsid w:val="00D62389"/>
    <w:rsid w:val="00D62BE6"/>
    <w:rsid w:val="00D64CBB"/>
    <w:rsid w:val="00D65647"/>
    <w:rsid w:val="00D67216"/>
    <w:rsid w:val="00D739DC"/>
    <w:rsid w:val="00D74530"/>
    <w:rsid w:val="00D75CFB"/>
    <w:rsid w:val="00D763F0"/>
    <w:rsid w:val="00D779EB"/>
    <w:rsid w:val="00D80930"/>
    <w:rsid w:val="00D80D4A"/>
    <w:rsid w:val="00D84A8B"/>
    <w:rsid w:val="00D85345"/>
    <w:rsid w:val="00D869B4"/>
    <w:rsid w:val="00D871BB"/>
    <w:rsid w:val="00D87F37"/>
    <w:rsid w:val="00D933E4"/>
    <w:rsid w:val="00DA3635"/>
    <w:rsid w:val="00DA3C83"/>
    <w:rsid w:val="00DA41DF"/>
    <w:rsid w:val="00DB2612"/>
    <w:rsid w:val="00DB7087"/>
    <w:rsid w:val="00DC1C02"/>
    <w:rsid w:val="00DC44A5"/>
    <w:rsid w:val="00DC4F54"/>
    <w:rsid w:val="00DC5FBE"/>
    <w:rsid w:val="00DC6D21"/>
    <w:rsid w:val="00DC7130"/>
    <w:rsid w:val="00DD18AF"/>
    <w:rsid w:val="00DD510B"/>
    <w:rsid w:val="00DD55AF"/>
    <w:rsid w:val="00DD65C8"/>
    <w:rsid w:val="00DD6EB7"/>
    <w:rsid w:val="00DD701B"/>
    <w:rsid w:val="00DD7026"/>
    <w:rsid w:val="00DE29FA"/>
    <w:rsid w:val="00DE3FA2"/>
    <w:rsid w:val="00DF29A7"/>
    <w:rsid w:val="00DF2F9B"/>
    <w:rsid w:val="00DF3547"/>
    <w:rsid w:val="00DF3674"/>
    <w:rsid w:val="00E024A6"/>
    <w:rsid w:val="00E0260A"/>
    <w:rsid w:val="00E0263B"/>
    <w:rsid w:val="00E0476D"/>
    <w:rsid w:val="00E05F34"/>
    <w:rsid w:val="00E074A5"/>
    <w:rsid w:val="00E10036"/>
    <w:rsid w:val="00E120A0"/>
    <w:rsid w:val="00E15F18"/>
    <w:rsid w:val="00E176A8"/>
    <w:rsid w:val="00E20CBC"/>
    <w:rsid w:val="00E23C42"/>
    <w:rsid w:val="00E243F6"/>
    <w:rsid w:val="00E259BF"/>
    <w:rsid w:val="00E3020F"/>
    <w:rsid w:val="00E32E6B"/>
    <w:rsid w:val="00E34620"/>
    <w:rsid w:val="00E36FF2"/>
    <w:rsid w:val="00E377B2"/>
    <w:rsid w:val="00E37977"/>
    <w:rsid w:val="00E42565"/>
    <w:rsid w:val="00E43EE7"/>
    <w:rsid w:val="00E44461"/>
    <w:rsid w:val="00E46E3A"/>
    <w:rsid w:val="00E54A9F"/>
    <w:rsid w:val="00E55203"/>
    <w:rsid w:val="00E774BB"/>
    <w:rsid w:val="00E77B11"/>
    <w:rsid w:val="00E81C6B"/>
    <w:rsid w:val="00E848CC"/>
    <w:rsid w:val="00E84A1B"/>
    <w:rsid w:val="00E850E3"/>
    <w:rsid w:val="00E90BE4"/>
    <w:rsid w:val="00E93457"/>
    <w:rsid w:val="00E93536"/>
    <w:rsid w:val="00E94E73"/>
    <w:rsid w:val="00E9728F"/>
    <w:rsid w:val="00EA175E"/>
    <w:rsid w:val="00EA3F47"/>
    <w:rsid w:val="00EA4DDF"/>
    <w:rsid w:val="00EB2BD4"/>
    <w:rsid w:val="00EB3204"/>
    <w:rsid w:val="00EB747F"/>
    <w:rsid w:val="00EC0C22"/>
    <w:rsid w:val="00EC18C1"/>
    <w:rsid w:val="00EC2F14"/>
    <w:rsid w:val="00EC3920"/>
    <w:rsid w:val="00ED0008"/>
    <w:rsid w:val="00ED1CA8"/>
    <w:rsid w:val="00ED1E5C"/>
    <w:rsid w:val="00ED2C58"/>
    <w:rsid w:val="00ED4AFC"/>
    <w:rsid w:val="00ED4CA8"/>
    <w:rsid w:val="00EE1F06"/>
    <w:rsid w:val="00EE3DFE"/>
    <w:rsid w:val="00EE45EC"/>
    <w:rsid w:val="00EF0B6D"/>
    <w:rsid w:val="00EF4FC6"/>
    <w:rsid w:val="00EF5E55"/>
    <w:rsid w:val="00F039D5"/>
    <w:rsid w:val="00F05C8D"/>
    <w:rsid w:val="00F066BA"/>
    <w:rsid w:val="00F07CE0"/>
    <w:rsid w:val="00F10C96"/>
    <w:rsid w:val="00F151E9"/>
    <w:rsid w:val="00F16438"/>
    <w:rsid w:val="00F235AD"/>
    <w:rsid w:val="00F261CF"/>
    <w:rsid w:val="00F3004E"/>
    <w:rsid w:val="00F30DFF"/>
    <w:rsid w:val="00F32006"/>
    <w:rsid w:val="00F37FF9"/>
    <w:rsid w:val="00F41F97"/>
    <w:rsid w:val="00F42969"/>
    <w:rsid w:val="00F46223"/>
    <w:rsid w:val="00F4626C"/>
    <w:rsid w:val="00F46CBB"/>
    <w:rsid w:val="00F53A67"/>
    <w:rsid w:val="00F53C39"/>
    <w:rsid w:val="00F54DC3"/>
    <w:rsid w:val="00F55E87"/>
    <w:rsid w:val="00F60092"/>
    <w:rsid w:val="00F612F5"/>
    <w:rsid w:val="00F62B85"/>
    <w:rsid w:val="00F6389D"/>
    <w:rsid w:val="00F71EA2"/>
    <w:rsid w:val="00F742E8"/>
    <w:rsid w:val="00F76634"/>
    <w:rsid w:val="00F76A28"/>
    <w:rsid w:val="00F85886"/>
    <w:rsid w:val="00F87D87"/>
    <w:rsid w:val="00F91B12"/>
    <w:rsid w:val="00F93D7E"/>
    <w:rsid w:val="00F94471"/>
    <w:rsid w:val="00F9780E"/>
    <w:rsid w:val="00FA1DCF"/>
    <w:rsid w:val="00FA3C4D"/>
    <w:rsid w:val="00FA4D4E"/>
    <w:rsid w:val="00FB5A19"/>
    <w:rsid w:val="00FB6468"/>
    <w:rsid w:val="00FC0CE5"/>
    <w:rsid w:val="00FC1B82"/>
    <w:rsid w:val="00FC27DE"/>
    <w:rsid w:val="00FC6DBC"/>
    <w:rsid w:val="00FD540C"/>
    <w:rsid w:val="00FD55A7"/>
    <w:rsid w:val="00FD5A39"/>
    <w:rsid w:val="00FD673C"/>
    <w:rsid w:val="00FE190F"/>
    <w:rsid w:val="00FE2049"/>
    <w:rsid w:val="00FE43CA"/>
    <w:rsid w:val="00FE75EA"/>
    <w:rsid w:val="00FF02B7"/>
    <w:rsid w:val="00FF56A1"/>
    <w:rsid w:val="00FF7D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927A1F"/>
  <w15:docId w15:val="{B166DEE4-14C9-43A7-B472-4F284FEB9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2EEE"/>
    <w:pPr>
      <w:overflowPunct w:val="0"/>
      <w:autoSpaceDE w:val="0"/>
      <w:autoSpaceDN w:val="0"/>
      <w:adjustRightInd w:val="0"/>
      <w:textAlignment w:val="baseline"/>
    </w:pPr>
  </w:style>
  <w:style w:type="paragraph" w:styleId="Nadpis1">
    <w:name w:val="heading 1"/>
    <w:basedOn w:val="Normln"/>
    <w:next w:val="Normln"/>
    <w:qFormat/>
    <w:pPr>
      <w:keepNext/>
      <w:jc w:val="center"/>
      <w:outlineLvl w:val="0"/>
    </w:pPr>
    <w:rPr>
      <w:rFonts w:ascii="Arial" w:hAnsi="Arial" w:cs="Arial"/>
      <w:sz w:val="24"/>
      <w:szCs w:val="24"/>
    </w:rPr>
  </w:style>
  <w:style w:type="paragraph" w:styleId="Nadpis2">
    <w:name w:val="heading 2"/>
    <w:basedOn w:val="Normln"/>
    <w:next w:val="Normln"/>
    <w:link w:val="Nadpis2Char"/>
    <w:uiPriority w:val="9"/>
    <w:semiHidden/>
    <w:unhideWhenUsed/>
    <w:qFormat/>
    <w:rsid w:val="00D04CD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pPr>
      <w:tabs>
        <w:tab w:val="center" w:pos="4536"/>
        <w:tab w:val="right" w:pos="9072"/>
      </w:tabs>
    </w:pPr>
  </w:style>
  <w:style w:type="character" w:styleId="slostrnky">
    <w:name w:val="page number"/>
    <w:basedOn w:val="Standardnpsmoodstavce"/>
    <w:semiHidden/>
  </w:style>
  <w:style w:type="paragraph" w:styleId="Nzev">
    <w:name w:val="Title"/>
    <w:basedOn w:val="Normln"/>
    <w:qFormat/>
    <w:pPr>
      <w:jc w:val="center"/>
    </w:pPr>
    <w:rPr>
      <w:sz w:val="28"/>
      <w:szCs w:val="24"/>
      <w:u w:val="single"/>
    </w:rPr>
  </w:style>
  <w:style w:type="paragraph" w:styleId="Zkladntextodsazen3">
    <w:name w:val="Body Text Indent 3"/>
    <w:basedOn w:val="Normln"/>
    <w:semiHidden/>
    <w:pPr>
      <w:widowControl w:val="0"/>
      <w:overflowPunct/>
      <w:ind w:left="567"/>
      <w:jc w:val="both"/>
      <w:textAlignment w:val="auto"/>
    </w:pPr>
  </w:style>
  <w:style w:type="paragraph" w:styleId="Zkladntext">
    <w:name w:val="Body Text"/>
    <w:basedOn w:val="Normln"/>
    <w:semiHidden/>
    <w:pPr>
      <w:widowControl w:val="0"/>
      <w:overflowPunct/>
      <w:jc w:val="both"/>
      <w:textAlignment w:val="auto"/>
    </w:pPr>
    <w:rPr>
      <w:sz w:val="24"/>
      <w:szCs w:val="16"/>
    </w:rPr>
  </w:style>
  <w:style w:type="paragraph" w:styleId="Zkladntextodsazen">
    <w:name w:val="Body Text Indent"/>
    <w:basedOn w:val="Normln"/>
    <w:semiHidden/>
    <w:pPr>
      <w:widowControl w:val="0"/>
      <w:overflowPunct/>
      <w:ind w:firstLine="720"/>
      <w:jc w:val="both"/>
      <w:textAlignment w:val="auto"/>
    </w:pPr>
    <w:rPr>
      <w:b/>
      <w:bCs/>
      <w:color w:val="FF0000"/>
      <w:sz w:val="24"/>
      <w:szCs w:val="16"/>
      <w:u w:val="single"/>
    </w:rPr>
  </w:style>
  <w:style w:type="paragraph" w:customStyle="1" w:styleId="CELEX">
    <w:name w:val="CELEX"/>
    <w:basedOn w:val="Normln"/>
    <w:next w:val="Normln"/>
    <w:pPr>
      <w:overflowPunct/>
      <w:autoSpaceDE/>
      <w:autoSpaceDN/>
      <w:adjustRightInd/>
      <w:spacing w:before="60"/>
      <w:jc w:val="both"/>
      <w:textAlignment w:val="auto"/>
    </w:pPr>
    <w:rPr>
      <w:i/>
    </w:rPr>
  </w:style>
  <w:style w:type="paragraph" w:styleId="Normlnweb">
    <w:name w:val="Normal (Web)"/>
    <w:basedOn w:val="Normln"/>
    <w:semiHidden/>
    <w:pPr>
      <w:overflowPunct/>
      <w:autoSpaceDE/>
      <w:autoSpaceDN/>
      <w:adjustRightInd/>
      <w:spacing w:before="150" w:after="150"/>
      <w:ind w:left="675" w:right="525"/>
      <w:textAlignment w:val="auto"/>
    </w:pPr>
    <w:rPr>
      <w:rFonts w:ascii="Arial Unicode MS" w:eastAsia="Arial Unicode MS" w:hAnsi="Arial Unicode MS" w:cs="Arial Unicode MS"/>
      <w:sz w:val="19"/>
      <w:szCs w:val="19"/>
    </w:rPr>
  </w:style>
  <w:style w:type="paragraph" w:styleId="Zkladntext2">
    <w:name w:val="Body Text 2"/>
    <w:basedOn w:val="Normln"/>
    <w:semiHidden/>
    <w:pPr>
      <w:jc w:val="both"/>
    </w:pPr>
    <w:rPr>
      <w:szCs w:val="18"/>
    </w:rPr>
  </w:style>
  <w:style w:type="paragraph" w:styleId="Prosttext">
    <w:name w:val="Plain Text"/>
    <w:basedOn w:val="Normln"/>
    <w:semiHidden/>
    <w:pPr>
      <w:overflowPunct/>
      <w:autoSpaceDE/>
      <w:autoSpaceDN/>
      <w:adjustRightInd/>
      <w:textAlignment w:val="auto"/>
    </w:pPr>
    <w:rPr>
      <w:rFonts w:ascii="Courier New" w:hAnsi="Courier New" w:cs="Courier New"/>
    </w:rPr>
  </w:style>
  <w:style w:type="paragraph" w:styleId="Textbubliny">
    <w:name w:val="Balloon Text"/>
    <w:basedOn w:val="Normln"/>
    <w:link w:val="TextbublinyChar"/>
    <w:semiHidden/>
    <w:unhideWhenUsed/>
    <w:rsid w:val="003B2520"/>
    <w:rPr>
      <w:rFonts w:ascii="Segoe UI" w:hAnsi="Segoe UI" w:cs="Segoe UI"/>
      <w:sz w:val="18"/>
      <w:szCs w:val="18"/>
    </w:rPr>
  </w:style>
  <w:style w:type="character" w:customStyle="1" w:styleId="TextbublinyChar">
    <w:name w:val="Text bubliny Char"/>
    <w:basedOn w:val="Standardnpsmoodstavce"/>
    <w:link w:val="Textbubliny"/>
    <w:semiHidden/>
    <w:rsid w:val="003B2520"/>
    <w:rPr>
      <w:rFonts w:ascii="Segoe UI" w:hAnsi="Segoe UI" w:cs="Segoe UI"/>
      <w:sz w:val="18"/>
      <w:szCs w:val="18"/>
    </w:rPr>
  </w:style>
  <w:style w:type="paragraph" w:styleId="Textkomente">
    <w:name w:val="annotation text"/>
    <w:basedOn w:val="Normln"/>
    <w:link w:val="TextkomenteChar"/>
    <w:uiPriority w:val="99"/>
    <w:unhideWhenUsed/>
    <w:rsid w:val="00273EF1"/>
  </w:style>
  <w:style w:type="character" w:customStyle="1" w:styleId="TextkomenteChar">
    <w:name w:val="Text komentáře Char"/>
    <w:basedOn w:val="Standardnpsmoodstavce"/>
    <w:link w:val="Textkomente"/>
    <w:uiPriority w:val="99"/>
    <w:rsid w:val="00273EF1"/>
  </w:style>
  <w:style w:type="paragraph" w:styleId="Pedmtkomente">
    <w:name w:val="annotation subject"/>
    <w:basedOn w:val="Textkomente"/>
    <w:next w:val="Textkomente"/>
    <w:link w:val="PedmtkomenteChar"/>
    <w:semiHidden/>
    <w:rsid w:val="00273EF1"/>
    <w:pPr>
      <w:overflowPunct/>
      <w:autoSpaceDE/>
      <w:autoSpaceDN/>
      <w:adjustRightInd/>
      <w:textAlignment w:val="auto"/>
    </w:pPr>
    <w:rPr>
      <w:b/>
      <w:bCs/>
    </w:rPr>
  </w:style>
  <w:style w:type="character" w:customStyle="1" w:styleId="PedmtkomenteChar">
    <w:name w:val="Předmět komentáře Char"/>
    <w:basedOn w:val="TextkomenteChar"/>
    <w:link w:val="Pedmtkomente"/>
    <w:semiHidden/>
    <w:rsid w:val="00273EF1"/>
    <w:rPr>
      <w:b/>
      <w:bCs/>
    </w:rPr>
  </w:style>
  <w:style w:type="character" w:customStyle="1" w:styleId="ZpatChar">
    <w:name w:val="Zápatí Char"/>
    <w:basedOn w:val="Standardnpsmoodstavce"/>
    <w:link w:val="Zpat"/>
    <w:uiPriority w:val="99"/>
    <w:rsid w:val="00A970B4"/>
  </w:style>
  <w:style w:type="character" w:styleId="Odkaznakoment">
    <w:name w:val="annotation reference"/>
    <w:uiPriority w:val="99"/>
    <w:semiHidden/>
    <w:unhideWhenUsed/>
    <w:rsid w:val="005D1776"/>
    <w:rPr>
      <w:rFonts w:cs="Times New Roman"/>
      <w:sz w:val="16"/>
      <w:szCs w:val="16"/>
    </w:rPr>
  </w:style>
  <w:style w:type="paragraph" w:styleId="Odstavecseseznamem">
    <w:name w:val="List Paragraph"/>
    <w:basedOn w:val="Normln"/>
    <w:uiPriority w:val="34"/>
    <w:qFormat/>
    <w:rsid w:val="00D41B34"/>
    <w:pPr>
      <w:ind w:left="720"/>
      <w:contextualSpacing/>
    </w:pPr>
  </w:style>
  <w:style w:type="table" w:styleId="Mkatabulky">
    <w:name w:val="Table Grid"/>
    <w:basedOn w:val="Normlntabulka"/>
    <w:uiPriority w:val="59"/>
    <w:rsid w:val="00D03DA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9"/>
    <w:rsid w:val="00D04CD4"/>
    <w:rPr>
      <w:rFonts w:asciiTheme="majorHAnsi" w:eastAsiaTheme="majorEastAsia" w:hAnsiTheme="majorHAnsi" w:cstheme="majorBidi"/>
      <w:b/>
      <w:bCs/>
      <w:color w:val="4F81BD" w:themeColor="accent1"/>
      <w:sz w:val="26"/>
      <w:szCs w:val="26"/>
    </w:rPr>
  </w:style>
  <w:style w:type="paragraph" w:customStyle="1" w:styleId="Nadpislnku">
    <w:name w:val="Nadpis článku"/>
    <w:basedOn w:val="Normln"/>
    <w:next w:val="Normln"/>
    <w:rsid w:val="004725B3"/>
    <w:pPr>
      <w:keepNext/>
      <w:keepLines/>
      <w:overflowPunct/>
      <w:autoSpaceDE/>
      <w:autoSpaceDN/>
      <w:adjustRightInd/>
      <w:spacing w:before="240"/>
      <w:jc w:val="center"/>
      <w:textAlignment w:val="auto"/>
      <w:outlineLvl w:val="5"/>
    </w:pPr>
    <w:rPr>
      <w:b/>
      <w:sz w:val="24"/>
    </w:rPr>
  </w:style>
  <w:style w:type="paragraph" w:styleId="Bezmezer">
    <w:name w:val="No Spacing"/>
    <w:uiPriority w:val="1"/>
    <w:qFormat/>
    <w:rsid w:val="00340A68"/>
    <w:rPr>
      <w:rFonts w:asciiTheme="minorHAnsi" w:eastAsiaTheme="minorEastAsia" w:hAnsiTheme="minorHAnsi"/>
      <w:sz w:val="22"/>
      <w:szCs w:val="22"/>
    </w:rPr>
  </w:style>
  <w:style w:type="character" w:customStyle="1" w:styleId="ZhlavChar">
    <w:name w:val="Záhlaví Char"/>
    <w:basedOn w:val="Standardnpsmoodstavce"/>
    <w:link w:val="Zhlav"/>
    <w:uiPriority w:val="99"/>
    <w:rsid w:val="003D6C7D"/>
  </w:style>
  <w:style w:type="paragraph" w:customStyle="1" w:styleId="Default">
    <w:name w:val="Default"/>
    <w:rsid w:val="00D47B44"/>
    <w:pPr>
      <w:autoSpaceDE w:val="0"/>
      <w:autoSpaceDN w:val="0"/>
      <w:adjustRightInd w:val="0"/>
    </w:pPr>
    <w:rPr>
      <w:color w:val="000000"/>
      <w:sz w:val="24"/>
      <w:szCs w:val="24"/>
    </w:rPr>
  </w:style>
  <w:style w:type="paragraph" w:customStyle="1" w:styleId="Textpechodka">
    <w:name w:val="Text přechodka"/>
    <w:basedOn w:val="Normln"/>
    <w:qFormat/>
    <w:rsid w:val="00B47899"/>
    <w:pPr>
      <w:numPr>
        <w:ilvl w:val="2"/>
        <w:numId w:val="7"/>
      </w:numPr>
      <w:overflowPunct/>
      <w:autoSpaceDE/>
      <w:autoSpaceDN/>
      <w:adjustRightInd/>
      <w:jc w:val="both"/>
      <w:textAlignment w:val="auto"/>
    </w:pPr>
    <w:rPr>
      <w:sz w:val="24"/>
    </w:rPr>
  </w:style>
  <w:style w:type="paragraph" w:customStyle="1" w:styleId="Textpechodkapsmene">
    <w:name w:val="Text přechodka písmene"/>
    <w:basedOn w:val="Normln"/>
    <w:qFormat/>
    <w:rsid w:val="00B47899"/>
    <w:pPr>
      <w:numPr>
        <w:ilvl w:val="3"/>
        <w:numId w:val="7"/>
      </w:numPr>
      <w:overflowPunct/>
      <w:autoSpaceDE/>
      <w:autoSpaceDN/>
      <w:adjustRightInd/>
      <w:jc w:val="both"/>
      <w:textAlignment w:val="auto"/>
    </w:pPr>
    <w:rPr>
      <w:sz w:val="24"/>
    </w:rPr>
  </w:style>
  <w:style w:type="paragraph" w:customStyle="1" w:styleId="Textpsmene">
    <w:name w:val="Text písmene"/>
    <w:basedOn w:val="Normln"/>
    <w:link w:val="TextpsmeneChar1"/>
    <w:rsid w:val="00E34620"/>
    <w:pPr>
      <w:overflowPunct/>
      <w:autoSpaceDE/>
      <w:autoSpaceDN/>
      <w:adjustRightInd/>
      <w:jc w:val="both"/>
      <w:textAlignment w:val="auto"/>
      <w:outlineLvl w:val="7"/>
    </w:pPr>
    <w:rPr>
      <w:sz w:val="24"/>
    </w:rPr>
  </w:style>
  <w:style w:type="paragraph" w:customStyle="1" w:styleId="Textodstavce">
    <w:name w:val="Text odstavce"/>
    <w:basedOn w:val="Normln"/>
    <w:link w:val="TextodstavceChar"/>
    <w:rsid w:val="00E34620"/>
    <w:pPr>
      <w:tabs>
        <w:tab w:val="left" w:pos="851"/>
      </w:tabs>
      <w:overflowPunct/>
      <w:autoSpaceDE/>
      <w:autoSpaceDN/>
      <w:adjustRightInd/>
      <w:spacing w:before="120" w:after="120"/>
      <w:jc w:val="both"/>
      <w:textAlignment w:val="auto"/>
      <w:outlineLvl w:val="6"/>
    </w:pPr>
    <w:rPr>
      <w:sz w:val="24"/>
    </w:rPr>
  </w:style>
  <w:style w:type="character" w:customStyle="1" w:styleId="TextodstavceChar">
    <w:name w:val="Text odstavce Char"/>
    <w:link w:val="Textodstavce"/>
    <w:locked/>
    <w:rsid w:val="00E34620"/>
    <w:rPr>
      <w:sz w:val="24"/>
    </w:rPr>
  </w:style>
  <w:style w:type="character" w:customStyle="1" w:styleId="TextpsmeneChar1">
    <w:name w:val="Text písmene Char1"/>
    <w:link w:val="Textpsmene"/>
    <w:locked/>
    <w:rsid w:val="00E3462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0761">
      <w:bodyDiv w:val="1"/>
      <w:marLeft w:val="0"/>
      <w:marRight w:val="0"/>
      <w:marTop w:val="0"/>
      <w:marBottom w:val="0"/>
      <w:divBdr>
        <w:top w:val="none" w:sz="0" w:space="0" w:color="auto"/>
        <w:left w:val="none" w:sz="0" w:space="0" w:color="auto"/>
        <w:bottom w:val="none" w:sz="0" w:space="0" w:color="auto"/>
        <w:right w:val="none" w:sz="0" w:space="0" w:color="auto"/>
      </w:divBdr>
    </w:div>
    <w:div w:id="43914435">
      <w:bodyDiv w:val="1"/>
      <w:marLeft w:val="0"/>
      <w:marRight w:val="0"/>
      <w:marTop w:val="0"/>
      <w:marBottom w:val="0"/>
      <w:divBdr>
        <w:top w:val="none" w:sz="0" w:space="0" w:color="auto"/>
        <w:left w:val="none" w:sz="0" w:space="0" w:color="auto"/>
        <w:bottom w:val="none" w:sz="0" w:space="0" w:color="auto"/>
        <w:right w:val="none" w:sz="0" w:space="0" w:color="auto"/>
      </w:divBdr>
    </w:div>
    <w:div w:id="235088385">
      <w:bodyDiv w:val="1"/>
      <w:marLeft w:val="0"/>
      <w:marRight w:val="0"/>
      <w:marTop w:val="0"/>
      <w:marBottom w:val="0"/>
      <w:divBdr>
        <w:top w:val="none" w:sz="0" w:space="0" w:color="auto"/>
        <w:left w:val="none" w:sz="0" w:space="0" w:color="auto"/>
        <w:bottom w:val="none" w:sz="0" w:space="0" w:color="auto"/>
        <w:right w:val="none" w:sz="0" w:space="0" w:color="auto"/>
      </w:divBdr>
    </w:div>
    <w:div w:id="245265413">
      <w:bodyDiv w:val="1"/>
      <w:marLeft w:val="0"/>
      <w:marRight w:val="0"/>
      <w:marTop w:val="0"/>
      <w:marBottom w:val="0"/>
      <w:divBdr>
        <w:top w:val="none" w:sz="0" w:space="0" w:color="auto"/>
        <w:left w:val="none" w:sz="0" w:space="0" w:color="auto"/>
        <w:bottom w:val="none" w:sz="0" w:space="0" w:color="auto"/>
        <w:right w:val="none" w:sz="0" w:space="0" w:color="auto"/>
      </w:divBdr>
    </w:div>
    <w:div w:id="262302459">
      <w:bodyDiv w:val="1"/>
      <w:marLeft w:val="0"/>
      <w:marRight w:val="0"/>
      <w:marTop w:val="0"/>
      <w:marBottom w:val="0"/>
      <w:divBdr>
        <w:top w:val="none" w:sz="0" w:space="0" w:color="auto"/>
        <w:left w:val="none" w:sz="0" w:space="0" w:color="auto"/>
        <w:bottom w:val="none" w:sz="0" w:space="0" w:color="auto"/>
        <w:right w:val="none" w:sz="0" w:space="0" w:color="auto"/>
      </w:divBdr>
    </w:div>
    <w:div w:id="709383543">
      <w:bodyDiv w:val="1"/>
      <w:marLeft w:val="0"/>
      <w:marRight w:val="0"/>
      <w:marTop w:val="0"/>
      <w:marBottom w:val="0"/>
      <w:divBdr>
        <w:top w:val="none" w:sz="0" w:space="0" w:color="auto"/>
        <w:left w:val="none" w:sz="0" w:space="0" w:color="auto"/>
        <w:bottom w:val="none" w:sz="0" w:space="0" w:color="auto"/>
        <w:right w:val="none" w:sz="0" w:space="0" w:color="auto"/>
      </w:divBdr>
    </w:div>
    <w:div w:id="787166035">
      <w:bodyDiv w:val="1"/>
      <w:marLeft w:val="0"/>
      <w:marRight w:val="0"/>
      <w:marTop w:val="0"/>
      <w:marBottom w:val="0"/>
      <w:divBdr>
        <w:top w:val="none" w:sz="0" w:space="0" w:color="auto"/>
        <w:left w:val="none" w:sz="0" w:space="0" w:color="auto"/>
        <w:bottom w:val="none" w:sz="0" w:space="0" w:color="auto"/>
        <w:right w:val="none" w:sz="0" w:space="0" w:color="auto"/>
      </w:divBdr>
    </w:div>
    <w:div w:id="910585091">
      <w:bodyDiv w:val="1"/>
      <w:marLeft w:val="0"/>
      <w:marRight w:val="0"/>
      <w:marTop w:val="0"/>
      <w:marBottom w:val="0"/>
      <w:divBdr>
        <w:top w:val="none" w:sz="0" w:space="0" w:color="auto"/>
        <w:left w:val="none" w:sz="0" w:space="0" w:color="auto"/>
        <w:bottom w:val="none" w:sz="0" w:space="0" w:color="auto"/>
        <w:right w:val="none" w:sz="0" w:space="0" w:color="auto"/>
      </w:divBdr>
    </w:div>
    <w:div w:id="1044403029">
      <w:bodyDiv w:val="1"/>
      <w:marLeft w:val="400"/>
      <w:marRight w:val="400"/>
      <w:marTop w:val="400"/>
      <w:marBottom w:val="0"/>
      <w:divBdr>
        <w:top w:val="none" w:sz="0" w:space="0" w:color="auto"/>
        <w:left w:val="none" w:sz="0" w:space="0" w:color="auto"/>
        <w:bottom w:val="none" w:sz="0" w:space="0" w:color="auto"/>
        <w:right w:val="none" w:sz="0" w:space="0" w:color="auto"/>
      </w:divBdr>
    </w:div>
    <w:div w:id="1507936212">
      <w:bodyDiv w:val="1"/>
      <w:marLeft w:val="0"/>
      <w:marRight w:val="0"/>
      <w:marTop w:val="0"/>
      <w:marBottom w:val="0"/>
      <w:divBdr>
        <w:top w:val="none" w:sz="0" w:space="0" w:color="auto"/>
        <w:left w:val="none" w:sz="0" w:space="0" w:color="auto"/>
        <w:bottom w:val="none" w:sz="0" w:space="0" w:color="auto"/>
        <w:right w:val="none" w:sz="0" w:space="0" w:color="auto"/>
      </w:divBdr>
    </w:div>
    <w:div w:id="1512261964">
      <w:bodyDiv w:val="1"/>
      <w:marLeft w:val="0"/>
      <w:marRight w:val="0"/>
      <w:marTop w:val="0"/>
      <w:marBottom w:val="0"/>
      <w:divBdr>
        <w:top w:val="none" w:sz="0" w:space="0" w:color="auto"/>
        <w:left w:val="none" w:sz="0" w:space="0" w:color="auto"/>
        <w:bottom w:val="none" w:sz="0" w:space="0" w:color="auto"/>
        <w:right w:val="none" w:sz="0" w:space="0" w:color="auto"/>
      </w:divBdr>
    </w:div>
    <w:div w:id="1617954508">
      <w:bodyDiv w:val="1"/>
      <w:marLeft w:val="0"/>
      <w:marRight w:val="0"/>
      <w:marTop w:val="0"/>
      <w:marBottom w:val="0"/>
      <w:divBdr>
        <w:top w:val="none" w:sz="0" w:space="0" w:color="auto"/>
        <w:left w:val="none" w:sz="0" w:space="0" w:color="auto"/>
        <w:bottom w:val="none" w:sz="0" w:space="0" w:color="auto"/>
        <w:right w:val="none" w:sz="0" w:space="0" w:color="auto"/>
      </w:divBdr>
    </w:div>
    <w:div w:id="1740859198">
      <w:bodyDiv w:val="1"/>
      <w:marLeft w:val="0"/>
      <w:marRight w:val="0"/>
      <w:marTop w:val="0"/>
      <w:marBottom w:val="0"/>
      <w:divBdr>
        <w:top w:val="none" w:sz="0" w:space="0" w:color="auto"/>
        <w:left w:val="none" w:sz="0" w:space="0" w:color="auto"/>
        <w:bottom w:val="none" w:sz="0" w:space="0" w:color="auto"/>
        <w:right w:val="none" w:sz="0" w:space="0" w:color="auto"/>
      </w:divBdr>
    </w:div>
    <w:div w:id="1912813803">
      <w:bodyDiv w:val="1"/>
      <w:marLeft w:val="0"/>
      <w:marRight w:val="0"/>
      <w:marTop w:val="0"/>
      <w:marBottom w:val="0"/>
      <w:divBdr>
        <w:top w:val="none" w:sz="0" w:space="0" w:color="auto"/>
        <w:left w:val="none" w:sz="0" w:space="0" w:color="auto"/>
        <w:bottom w:val="none" w:sz="0" w:space="0" w:color="auto"/>
        <w:right w:val="none" w:sz="0" w:space="0" w:color="auto"/>
      </w:divBdr>
    </w:div>
    <w:div w:id="1968853776">
      <w:bodyDiv w:val="1"/>
      <w:marLeft w:val="400"/>
      <w:marRight w:val="400"/>
      <w:marTop w:val="40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80D61-0BAC-4CD1-ACDB-F7627AC67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6479</Words>
  <Characters>38231</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Rozdílová tabulka návrhu předpisu ČR s legislativou ES</vt:lpstr>
    </vt:vector>
  </TitlesOfParts>
  <Company>MPO</Company>
  <LinksUpToDate>false</LinksUpToDate>
  <CharactersWithSpaces>44621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Rozdílová tabulka návrhu předpisu ČR s legislativou ES</dc:title>
  <dc:creator>Hrůšová Růžena Ing.</dc:creator>
  <cp:lastModifiedBy>Hlista Jakub Mgr.</cp:lastModifiedBy>
  <cp:revision>5</cp:revision>
  <cp:lastPrinted>2021-01-28T07:57:00Z</cp:lastPrinted>
  <dcterms:created xsi:type="dcterms:W3CDTF">2021-03-23T20:46:00Z</dcterms:created>
  <dcterms:modified xsi:type="dcterms:W3CDTF">2021-03-24T10:38:00Z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