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156</w:t>
      </w:r>
      <w:r w:rsidR="009F34E2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8820F9">
        <w:t>,</w:t>
      </w:r>
      <w:r w:rsidR="008027C3">
        <w:t xml:space="preserve"> </w:t>
      </w:r>
      <w:r w:rsidR="009F34E2" w:rsidRPr="009F34E2">
        <w:t xml:space="preserve">kterým se mění zákon č. 235/2004 Sb., o dani z přidané hodnoty, ve znění pozdějších předpisů, a zákon č. 242/2016 Sb., celní zákon, ve znění pozdějších předpisů /sněmovní tisk 867/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1E0E" w:rsidRPr="00401E0E" w:rsidRDefault="00401E0E" w:rsidP="00401E0E"/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9F34E2">
        <w:rPr>
          <w:rStyle w:val="proloenChar"/>
          <w:b w:val="0"/>
        </w:rPr>
        <w:t xml:space="preserve">rozpočtovému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CE5A72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E5A72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1E0E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E5A72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CF8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2021-03-11T15:16:00Z</cp:lastPrinted>
  <dcterms:created xsi:type="dcterms:W3CDTF">2021-03-09T16:51:00Z</dcterms:created>
  <dcterms:modified xsi:type="dcterms:W3CDTF">2021-03-11T15:16:00Z</dcterms:modified>
</cp:coreProperties>
</file>