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276" w:lineRule="auto"/>
        <w:jc w:val="center"/>
        <w:rPr>
          <w:rFonts w:ascii="EB Garamond" w:cs="EB Garamond" w:eastAsia="EB Garamond" w:hAnsi="EB Garamond"/>
          <w:b w:val="1"/>
          <w:sz w:val="28"/>
          <w:szCs w:val="28"/>
        </w:rPr>
      </w:pPr>
      <w:r w:rsidDel="00000000" w:rsidR="00000000" w:rsidRPr="00000000">
        <w:rPr>
          <w:rFonts w:ascii="EB Garamond" w:cs="EB Garamond" w:eastAsia="EB Garamond" w:hAnsi="EB Garamond"/>
          <w:b w:val="1"/>
          <w:sz w:val="28"/>
          <w:szCs w:val="28"/>
          <w:rtl w:val="0"/>
        </w:rPr>
        <w:t xml:space="preserve">PARLAMENT ČESKÉ REPUBLIKY</w:t>
      </w:r>
    </w:p>
    <w:p w:rsidR="00000000" w:rsidDel="00000000" w:rsidP="00000000" w:rsidRDefault="00000000" w:rsidRPr="00000000" w14:paraId="00000002">
      <w:pPr>
        <w:spacing w:after="0" w:before="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Poslanecká sněmovna</w:t>
      </w:r>
    </w:p>
    <w:p w:rsidR="00000000" w:rsidDel="00000000" w:rsidP="00000000" w:rsidRDefault="00000000" w:rsidRPr="00000000" w14:paraId="00000003">
      <w:pPr>
        <w:spacing w:after="0" w:before="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2021</w:t>
      </w:r>
    </w:p>
    <w:p w:rsidR="00000000" w:rsidDel="00000000" w:rsidP="00000000" w:rsidRDefault="00000000" w:rsidRPr="00000000" w14:paraId="00000004">
      <w:pPr>
        <w:spacing w:after="0" w:before="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VIII. volební období</w:t>
      </w:r>
    </w:p>
    <w:p w:rsidR="00000000" w:rsidDel="00000000" w:rsidP="00000000" w:rsidRDefault="00000000" w:rsidRPr="00000000" w14:paraId="00000005">
      <w:pPr>
        <w:spacing w:after="0" w:before="0" w:line="276" w:lineRule="auto"/>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________________________________________________________________</w:t>
      </w:r>
    </w:p>
    <w:p w:rsidR="00000000" w:rsidDel="00000000" w:rsidP="00000000" w:rsidRDefault="00000000" w:rsidRPr="00000000" w14:paraId="00000006">
      <w:pPr>
        <w:spacing w:after="0" w:before="0" w:line="276" w:lineRule="auto"/>
        <w:rPr>
          <w:rFonts w:ascii="EB Garamond" w:cs="EB Garamond" w:eastAsia="EB Garamond" w:hAnsi="EB Garamond"/>
          <w:b w:val="1"/>
          <w:sz w:val="28"/>
          <w:szCs w:val="28"/>
        </w:rPr>
      </w:pPr>
      <w:r w:rsidDel="00000000" w:rsidR="00000000" w:rsidRPr="00000000">
        <w:rPr>
          <w:rFonts w:ascii="EB Garamond" w:cs="EB Garamond" w:eastAsia="EB Garamond" w:hAnsi="EB Garamond"/>
          <w:b w:val="1"/>
          <w:sz w:val="28"/>
          <w:szCs w:val="28"/>
          <w:rtl w:val="0"/>
        </w:rPr>
        <w:t xml:space="preserve"> </w:t>
      </w:r>
    </w:p>
    <w:p w:rsidR="00000000" w:rsidDel="00000000" w:rsidP="00000000" w:rsidRDefault="00000000" w:rsidRPr="00000000" w14:paraId="00000007">
      <w:pPr>
        <w:spacing w:after="0" w:before="0" w:line="276"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Pozměňovací návrh</w:t>
      </w:r>
    </w:p>
    <w:p w:rsidR="00000000" w:rsidDel="00000000" w:rsidP="00000000" w:rsidRDefault="00000000" w:rsidRPr="00000000" w14:paraId="00000008">
      <w:pPr>
        <w:spacing w:after="0" w:before="0" w:line="276" w:lineRule="auto"/>
        <w:jc w:val="center"/>
        <w:rPr>
          <w:rFonts w:ascii="EB Garamond" w:cs="EB Garamond" w:eastAsia="EB Garamond" w:hAnsi="EB Garamond"/>
          <w:b w:val="1"/>
          <w:sz w:val="32"/>
          <w:szCs w:val="32"/>
        </w:rPr>
      </w:pPr>
      <w:r w:rsidDel="00000000" w:rsidR="00000000" w:rsidRPr="00000000">
        <w:rPr>
          <w:rtl w:val="0"/>
        </w:rPr>
      </w:r>
    </w:p>
    <w:p w:rsidR="00000000" w:rsidDel="00000000" w:rsidP="00000000" w:rsidRDefault="00000000" w:rsidRPr="00000000" w14:paraId="00000009">
      <w:pPr>
        <w:spacing w:after="0" w:before="0" w:line="276" w:lineRule="auto"/>
        <w:jc w:val="center"/>
        <w:rPr>
          <w:rFonts w:ascii="EB Garamond" w:cs="EB Garamond" w:eastAsia="EB Garamond" w:hAnsi="EB Garamond"/>
          <w:b w:val="1"/>
          <w:sz w:val="32"/>
          <w:szCs w:val="32"/>
        </w:rPr>
      </w:pPr>
      <w:r w:rsidDel="00000000" w:rsidR="00000000" w:rsidRPr="00000000">
        <w:rPr>
          <w:rtl w:val="0"/>
        </w:rPr>
      </w:r>
    </w:p>
    <w:p w:rsidR="00000000" w:rsidDel="00000000" w:rsidP="00000000" w:rsidRDefault="00000000" w:rsidRPr="00000000" w14:paraId="0000000A">
      <w:pPr>
        <w:spacing w:after="0" w:before="0"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poslankyně</w:t>
      </w:r>
    </w:p>
    <w:p w:rsidR="00000000" w:rsidDel="00000000" w:rsidP="00000000" w:rsidRDefault="00000000" w:rsidRPr="00000000" w14:paraId="0000000B">
      <w:pPr>
        <w:spacing w:after="0" w:before="0" w:line="276"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i w:val="1"/>
          <w:sz w:val="32"/>
          <w:szCs w:val="32"/>
          <w:rtl w:val="0"/>
        </w:rPr>
        <w:t xml:space="preserve">Dany Balcarové</w:t>
      </w:r>
      <w:r w:rsidDel="00000000" w:rsidR="00000000" w:rsidRPr="00000000">
        <w:rPr>
          <w:rtl w:val="0"/>
        </w:rPr>
      </w:r>
    </w:p>
    <w:p w:rsidR="00000000" w:rsidDel="00000000" w:rsidP="00000000" w:rsidRDefault="00000000" w:rsidRPr="00000000" w14:paraId="0000000C">
      <w:pPr>
        <w:spacing w:after="0" w:before="0"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k vládnímu návrhu zákona, kterým se mění některé zákony v souvislosti s implementací předpisů Evropské unie v oblasti invazních nepůvodních druhů</w:t>
      </w:r>
    </w:p>
    <w:p w:rsidR="00000000" w:rsidDel="00000000" w:rsidP="00000000" w:rsidRDefault="00000000" w:rsidRPr="00000000" w14:paraId="0000000D">
      <w:pPr>
        <w:spacing w:after="0" w:before="0" w:lineRule="auto"/>
        <w:jc w:val="center"/>
        <w:rPr>
          <w:rFonts w:ascii="EB Garamond" w:cs="EB Garamond" w:eastAsia="EB Garamond" w:hAnsi="EB Garamond"/>
          <w:sz w:val="28"/>
          <w:szCs w:val="28"/>
        </w:rPr>
      </w:pPr>
      <w:r w:rsidDel="00000000" w:rsidR="00000000" w:rsidRPr="00000000">
        <w:rPr>
          <w:rtl w:val="0"/>
        </w:rPr>
      </w:r>
    </w:p>
    <w:p w:rsidR="00000000" w:rsidDel="00000000" w:rsidP="00000000" w:rsidRDefault="00000000" w:rsidRPr="00000000" w14:paraId="0000000E">
      <w:pPr>
        <w:spacing w:after="0" w:before="0"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(sněmovní tisk č. 731)</w:t>
      </w:r>
    </w:p>
    <w:p w:rsidR="00000000" w:rsidDel="00000000" w:rsidP="00000000" w:rsidRDefault="00000000" w:rsidRPr="00000000" w14:paraId="0000000F">
      <w:pPr>
        <w:spacing w:after="0" w:before="0"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 </w:t>
      </w:r>
    </w:p>
    <w:p w:rsidR="00000000" w:rsidDel="00000000" w:rsidP="00000000" w:rsidRDefault="00000000" w:rsidRPr="00000000" w14:paraId="00000010">
      <w:pPr>
        <w:spacing w:after="0" w:before="0"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 </w:t>
      </w:r>
    </w:p>
    <w:p w:rsidR="00000000" w:rsidDel="00000000" w:rsidP="00000000" w:rsidRDefault="00000000" w:rsidRPr="00000000" w14:paraId="00000011">
      <w:pPr>
        <w:spacing w:after="0" w:before="0"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 </w:t>
      </w:r>
    </w:p>
    <w:p w:rsidR="00000000" w:rsidDel="00000000" w:rsidP="00000000" w:rsidRDefault="00000000" w:rsidRPr="00000000" w14:paraId="00000012">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3">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4">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5">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6">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7">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8">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9">
      <w:pPr>
        <w:spacing w:after="0" w:before="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A">
      <w:pPr>
        <w:spacing w:after="0" w:before="0" w:lineRule="auto"/>
        <w:jc w:val="both"/>
        <w:rPr>
          <w:rFonts w:ascii="EB Garamond" w:cs="EB Garamond" w:eastAsia="EB Garamond" w:hAnsi="EB Garamond"/>
          <w:sz w:val="26"/>
          <w:szCs w:val="26"/>
        </w:rPr>
      </w:pPr>
      <w:r w:rsidDel="00000000" w:rsidR="00000000" w:rsidRPr="00000000">
        <w:rPr>
          <w:rFonts w:ascii="EB Garamond" w:cs="EB Garamond" w:eastAsia="EB Garamond" w:hAnsi="EB Garamond"/>
          <w:sz w:val="26"/>
          <w:szCs w:val="26"/>
          <w:rtl w:val="0"/>
        </w:rPr>
        <w:t xml:space="preserve">Vládní návrh zákona, kterým se mění některé zákony v souvislosti s implementací předpisů Evropské unie v oblasti invazních nepůvodních druhů, se mění takto:</w:t>
      </w:r>
    </w:p>
    <w:p w:rsidR="00000000" w:rsidDel="00000000" w:rsidP="00000000" w:rsidRDefault="00000000" w:rsidRPr="00000000" w14:paraId="0000001B">
      <w:pPr>
        <w:spacing w:after="0" w:before="0" w:lineRule="auto"/>
        <w:jc w:val="both"/>
        <w:rPr>
          <w:rFonts w:ascii="EB Garamond" w:cs="EB Garamond" w:eastAsia="EB Garamond" w:hAnsi="EB Garamond"/>
          <w:sz w:val="26"/>
          <w:szCs w:val="26"/>
        </w:rPr>
      </w:pPr>
      <w:r w:rsidDel="00000000" w:rsidR="00000000" w:rsidRPr="00000000">
        <w:rPr>
          <w:rtl w:val="0"/>
        </w:rPr>
      </w:r>
    </w:p>
    <w:p w:rsidR="00000000" w:rsidDel="00000000" w:rsidP="00000000" w:rsidRDefault="00000000" w:rsidRPr="00000000" w14:paraId="0000001C">
      <w:pPr>
        <w:spacing w:after="0" w:before="0" w:lineRule="auto"/>
        <w:ind w:left="720" w:firstLine="0"/>
        <w:jc w:val="both"/>
        <w:rPr>
          <w:rFonts w:ascii="EB Garamond" w:cs="EB Garamond" w:eastAsia="EB Garamond" w:hAnsi="EB Garamond"/>
          <w:sz w:val="26"/>
          <w:szCs w:val="26"/>
        </w:rPr>
      </w:pPr>
      <w:r w:rsidDel="00000000" w:rsidR="00000000" w:rsidRPr="00000000">
        <w:rPr>
          <w:rtl w:val="0"/>
        </w:rPr>
      </w:r>
    </w:p>
    <w:p w:rsidR="00000000" w:rsidDel="00000000" w:rsidP="00000000" w:rsidRDefault="00000000" w:rsidRPr="00000000" w14:paraId="0000001D">
      <w:pPr>
        <w:spacing w:after="0" w:before="0" w:lineRule="auto"/>
        <w:ind w:left="0" w:firstLine="0"/>
        <w:jc w:val="both"/>
        <w:rPr>
          <w:rFonts w:ascii="EB Garamond" w:cs="EB Garamond" w:eastAsia="EB Garamond" w:hAnsi="EB Garamond"/>
          <w:sz w:val="26"/>
          <w:szCs w:val="26"/>
        </w:rPr>
      </w:pPr>
      <w:r w:rsidDel="00000000" w:rsidR="00000000" w:rsidRPr="00000000">
        <w:rPr>
          <w:rFonts w:ascii="EB Garamond" w:cs="EB Garamond" w:eastAsia="EB Garamond" w:hAnsi="EB Garamond"/>
          <w:sz w:val="26"/>
          <w:szCs w:val="26"/>
          <w:rtl w:val="0"/>
        </w:rPr>
        <w:t xml:space="preserve">V části první čl. I se za bod 15 vkládají nové body </w:t>
      </w:r>
      <w:r w:rsidDel="00000000" w:rsidR="00000000" w:rsidRPr="00000000">
        <w:rPr>
          <w:rFonts w:ascii="EB Garamond" w:cs="EB Garamond" w:eastAsia="EB Garamond" w:hAnsi="EB Garamond"/>
          <w:sz w:val="26"/>
          <w:szCs w:val="26"/>
          <w:rtl w:val="0"/>
        </w:rPr>
        <w:t xml:space="preserve">16 a 17, které znějí:</w:t>
      </w:r>
      <w:r w:rsidDel="00000000" w:rsidR="00000000" w:rsidRPr="00000000">
        <w:rPr>
          <w:rtl w:val="0"/>
        </w:rPr>
      </w:r>
    </w:p>
    <w:p w:rsidR="00000000" w:rsidDel="00000000" w:rsidP="00000000" w:rsidRDefault="00000000" w:rsidRPr="00000000" w14:paraId="0000001E">
      <w:pPr>
        <w:spacing w:after="0" w:before="0" w:lineRule="auto"/>
        <w:ind w:left="0" w:firstLine="0"/>
        <w:jc w:val="both"/>
        <w:rPr>
          <w:rFonts w:ascii="EB Garamond" w:cs="EB Garamond" w:eastAsia="EB Garamond" w:hAnsi="EB Garamond"/>
          <w:sz w:val="26"/>
          <w:szCs w:val="26"/>
        </w:rPr>
      </w:pPr>
      <w:r w:rsidDel="00000000" w:rsidR="00000000" w:rsidRPr="00000000">
        <w:rPr>
          <w:rtl w:val="0"/>
        </w:rPr>
      </w:r>
    </w:p>
    <w:p w:rsidR="00000000" w:rsidDel="00000000" w:rsidP="00000000" w:rsidRDefault="00000000" w:rsidRPr="00000000" w14:paraId="0000001F">
      <w:pPr>
        <w:spacing w:after="0" w:before="0" w:lineRule="auto"/>
        <w:ind w:left="0" w:firstLine="0"/>
        <w:jc w:val="both"/>
        <w:rPr>
          <w:rFonts w:ascii="EB Garamond" w:cs="EB Garamond" w:eastAsia="EB Garamond" w:hAnsi="EB Garamond"/>
          <w:sz w:val="26"/>
          <w:szCs w:val="26"/>
        </w:rPr>
      </w:pPr>
      <w:r w:rsidDel="00000000" w:rsidR="00000000" w:rsidRPr="00000000">
        <w:rPr>
          <w:rFonts w:ascii="EB Garamond" w:cs="EB Garamond" w:eastAsia="EB Garamond" w:hAnsi="EB Garamond"/>
          <w:sz w:val="26"/>
          <w:szCs w:val="26"/>
          <w:rtl w:val="0"/>
        </w:rPr>
        <w:t xml:space="preserve">„16. V § 9 odst. 1 se slova „může ve svém rozhodnutí o povolení kácení dřevin uložit“ nahrazují slovy „v rozhodnutí o povolení kácení dřevin uloží“.</w:t>
      </w:r>
    </w:p>
    <w:p w:rsidR="00000000" w:rsidDel="00000000" w:rsidP="00000000" w:rsidRDefault="00000000" w:rsidRPr="00000000" w14:paraId="00000020">
      <w:pPr>
        <w:spacing w:after="0" w:before="0" w:lineRule="auto"/>
        <w:ind w:left="0" w:firstLine="0"/>
        <w:jc w:val="both"/>
        <w:rPr>
          <w:rFonts w:ascii="EB Garamond" w:cs="EB Garamond" w:eastAsia="EB Garamond" w:hAnsi="EB Garamond"/>
          <w:sz w:val="26"/>
          <w:szCs w:val="26"/>
        </w:rPr>
      </w:pPr>
      <w:r w:rsidDel="00000000" w:rsidR="00000000" w:rsidRPr="00000000">
        <w:rPr>
          <w:rtl w:val="0"/>
        </w:rPr>
      </w:r>
    </w:p>
    <w:p w:rsidR="00000000" w:rsidDel="00000000" w:rsidP="00000000" w:rsidRDefault="00000000" w:rsidRPr="00000000" w14:paraId="00000021">
      <w:pPr>
        <w:spacing w:after="0" w:before="0" w:lineRule="auto"/>
        <w:ind w:left="0" w:firstLine="0"/>
        <w:jc w:val="both"/>
        <w:rPr>
          <w:rFonts w:ascii="EB Garamond" w:cs="EB Garamond" w:eastAsia="EB Garamond" w:hAnsi="EB Garamond"/>
          <w:sz w:val="26"/>
          <w:szCs w:val="26"/>
        </w:rPr>
      </w:pPr>
      <w:r w:rsidDel="00000000" w:rsidR="00000000" w:rsidRPr="00000000">
        <w:rPr>
          <w:rFonts w:ascii="EB Garamond" w:cs="EB Garamond" w:eastAsia="EB Garamond" w:hAnsi="EB Garamond"/>
          <w:sz w:val="26"/>
          <w:szCs w:val="26"/>
          <w:rtl w:val="0"/>
        </w:rPr>
        <w:t xml:space="preserve">17.  V § 9 odstavec 3 zní:</w:t>
      </w:r>
    </w:p>
    <w:p w:rsidR="00000000" w:rsidDel="00000000" w:rsidP="00000000" w:rsidRDefault="00000000" w:rsidRPr="00000000" w14:paraId="00000022">
      <w:pPr>
        <w:spacing w:after="0" w:before="0" w:lineRule="auto"/>
        <w:ind w:left="0" w:firstLine="0"/>
        <w:jc w:val="both"/>
        <w:rPr>
          <w:rFonts w:ascii="EB Garamond" w:cs="EB Garamond" w:eastAsia="EB Garamond" w:hAnsi="EB Garamond"/>
          <w:sz w:val="26"/>
          <w:szCs w:val="26"/>
        </w:rPr>
      </w:pPr>
      <w:r w:rsidDel="00000000" w:rsidR="00000000" w:rsidRPr="00000000">
        <w:rPr>
          <w:rFonts w:ascii="EB Garamond" w:cs="EB Garamond" w:eastAsia="EB Garamond" w:hAnsi="EB Garamond"/>
          <w:sz w:val="26"/>
          <w:szCs w:val="26"/>
          <w:rtl w:val="0"/>
        </w:rPr>
        <w:t xml:space="preserve">„(3) Pokud orgán ochrany přírody neuloží provedení náhradní výsadby podle odstavce 1, je ten, kdo kácí dřeviny z důvodů výstavby a s povolením orgánu ochrany přírody povinen zaplatit odvod do rozpočtu obce, která jej použije na zlepšení životního prostředí. Z důvodu převažujícího veřejného zájmu nebo jiných důvodů zvláštního zřetele hodných může orgán ochrany přírody zaplacení odvodu prominout. Ten, kdo kácel dřeviny protiprávně, je povinen zaplatit odvod do Státního fondu životního prostředí České republiky.</w:t>
      </w:r>
      <w:r w:rsidDel="00000000" w:rsidR="00000000" w:rsidRPr="00000000">
        <w:rPr>
          <w:rFonts w:ascii="EB Garamond" w:cs="EB Garamond" w:eastAsia="EB Garamond" w:hAnsi="EB Garamond"/>
          <w:sz w:val="26"/>
          <w:szCs w:val="26"/>
          <w:vertAlign w:val="superscript"/>
          <w:rtl w:val="0"/>
        </w:rPr>
        <w:t xml:space="preserve">7)</w:t>
      </w:r>
      <w:r w:rsidDel="00000000" w:rsidR="00000000" w:rsidRPr="00000000">
        <w:rPr>
          <w:rFonts w:ascii="EB Garamond" w:cs="EB Garamond" w:eastAsia="EB Garamond" w:hAnsi="EB Garamond"/>
          <w:sz w:val="26"/>
          <w:szCs w:val="26"/>
          <w:rtl w:val="0"/>
        </w:rPr>
        <w:t xml:space="preserve"> Způsob stanovení výše odvodů stanoví Ministerstvo životního prostředí vyhláškou.“.“. </w:t>
      </w:r>
    </w:p>
    <w:p w:rsidR="00000000" w:rsidDel="00000000" w:rsidP="00000000" w:rsidRDefault="00000000" w:rsidRPr="00000000" w14:paraId="00000023">
      <w:pPr>
        <w:spacing w:after="0" w:before="0" w:lineRule="auto"/>
        <w:rPr>
          <w:rFonts w:ascii="EB Garamond" w:cs="EB Garamond" w:eastAsia="EB Garamond" w:hAnsi="EB Garamond"/>
          <w:sz w:val="26"/>
          <w:szCs w:val="26"/>
        </w:rPr>
      </w:pPr>
      <w:r w:rsidDel="00000000" w:rsidR="00000000" w:rsidRPr="00000000">
        <w:rPr>
          <w:rtl w:val="0"/>
        </w:rPr>
      </w:r>
    </w:p>
    <w:p w:rsidR="00000000" w:rsidDel="00000000" w:rsidP="00000000" w:rsidRDefault="00000000" w:rsidRPr="00000000" w14:paraId="00000024">
      <w:pPr>
        <w:spacing w:after="0" w:before="0" w:lineRule="auto"/>
        <w:rPr>
          <w:rFonts w:ascii="EB Garamond" w:cs="EB Garamond" w:eastAsia="EB Garamond" w:hAnsi="EB Garamond"/>
          <w:sz w:val="26"/>
          <w:szCs w:val="26"/>
        </w:rPr>
      </w:pPr>
      <w:r w:rsidDel="00000000" w:rsidR="00000000" w:rsidRPr="00000000">
        <w:rPr>
          <w:rFonts w:ascii="EB Garamond" w:cs="EB Garamond" w:eastAsia="EB Garamond" w:hAnsi="EB Garamond"/>
          <w:sz w:val="26"/>
          <w:szCs w:val="26"/>
          <w:rtl w:val="0"/>
        </w:rPr>
        <w:t xml:space="preserve">Následující body se přečíslují.</w:t>
      </w:r>
      <w:r w:rsidDel="00000000" w:rsidR="00000000" w:rsidRPr="00000000">
        <w:br w:type="page"/>
      </w:r>
      <w:r w:rsidDel="00000000" w:rsidR="00000000" w:rsidRPr="00000000">
        <w:rPr>
          <w:rtl w:val="0"/>
        </w:rPr>
      </w:r>
    </w:p>
    <w:p w:rsidR="00000000" w:rsidDel="00000000" w:rsidP="00000000" w:rsidRDefault="00000000" w:rsidRPr="00000000" w14:paraId="00000025">
      <w:pPr>
        <w:spacing w:after="0" w:before="0" w:lineRule="auto"/>
        <w:rPr>
          <w:b w:val="1"/>
        </w:rPr>
      </w:pPr>
      <w:r w:rsidDel="00000000" w:rsidR="00000000" w:rsidRPr="00000000">
        <w:rPr>
          <w:b w:val="1"/>
          <w:rtl w:val="0"/>
        </w:rPr>
        <w:t xml:space="preserve">Odůvodnění:</w:t>
      </w:r>
    </w:p>
    <w:p w:rsidR="00000000" w:rsidDel="00000000" w:rsidP="00000000" w:rsidRDefault="00000000" w:rsidRPr="00000000" w14:paraId="00000026">
      <w:pPr>
        <w:spacing w:after="0" w:before="0" w:lineRule="auto"/>
        <w:rPr/>
      </w:pPr>
      <w:r w:rsidDel="00000000" w:rsidR="00000000" w:rsidRPr="00000000">
        <w:rPr>
          <w:rtl w:val="0"/>
        </w:rPr>
      </w:r>
    </w:p>
    <w:p w:rsidR="00000000" w:rsidDel="00000000" w:rsidP="00000000" w:rsidRDefault="00000000" w:rsidRPr="00000000" w14:paraId="00000027">
      <w:pPr>
        <w:spacing w:after="0" w:before="0" w:lineRule="auto"/>
        <w:jc w:val="both"/>
        <w:rPr/>
      </w:pPr>
      <w:r w:rsidDel="00000000" w:rsidR="00000000" w:rsidRPr="00000000">
        <w:rPr>
          <w:rtl w:val="0"/>
        </w:rPr>
        <w:t xml:space="preserve">Stromy ochlazují své okolí, zvlhčují vzduch, poskytují stín, filtrují prach, umožňují zasakování vody, zlepšují kvalitu půdy a ukládají CO</w:t>
      </w:r>
      <w:r w:rsidDel="00000000" w:rsidR="00000000" w:rsidRPr="00000000">
        <w:rPr>
          <w:vertAlign w:val="subscript"/>
          <w:rtl w:val="0"/>
        </w:rPr>
        <w:t xml:space="preserve">2</w:t>
      </w:r>
      <w:r w:rsidDel="00000000" w:rsidR="00000000" w:rsidRPr="00000000">
        <w:rPr>
          <w:rtl w:val="0"/>
        </w:rPr>
        <w:t xml:space="preserve"> do dřevní hmoty. Z tohoto důvodu města v ČR vynakládají desítky milionů ročně na výsadbu nových dřevin, například Praha se zavázala do roku 2022 vysadit 1 000 000 nových stromů. Ve stejné chvíli je ale řada stromů kácena, aniž by za ně byla ukládána náhradní výsadba. Tím jsou náklady z osob, které poškozují životní prostředí (např. investoři při stavbě nemovitostí), přenášeny na celou společnost.</w:t>
      </w:r>
    </w:p>
    <w:p w:rsidR="00000000" w:rsidDel="00000000" w:rsidP="00000000" w:rsidRDefault="00000000" w:rsidRPr="00000000" w14:paraId="00000028">
      <w:pPr>
        <w:spacing w:after="0" w:before="0" w:lineRule="auto"/>
        <w:rPr/>
      </w:pPr>
      <w:r w:rsidDel="00000000" w:rsidR="00000000" w:rsidRPr="00000000">
        <w:rPr>
          <w:rtl w:val="0"/>
        </w:rPr>
      </w:r>
    </w:p>
    <w:p w:rsidR="00000000" w:rsidDel="00000000" w:rsidP="00000000" w:rsidRDefault="00000000" w:rsidRPr="00000000" w14:paraId="00000029">
      <w:pPr>
        <w:spacing w:after="0" w:before="0" w:lineRule="auto"/>
        <w:jc w:val="both"/>
        <w:rPr/>
      </w:pPr>
      <w:r w:rsidDel="00000000" w:rsidR="00000000" w:rsidRPr="00000000">
        <w:rPr>
          <w:rtl w:val="0"/>
        </w:rPr>
        <w:t xml:space="preserve">Dle </w:t>
      </w:r>
      <w:hyperlink r:id="rId6">
        <w:r w:rsidDel="00000000" w:rsidR="00000000" w:rsidRPr="00000000">
          <w:rPr>
            <w:color w:val="1155cc"/>
            <w:u w:val="single"/>
            <w:rtl w:val="0"/>
          </w:rPr>
          <w:t xml:space="preserve">studie</w:t>
        </w:r>
      </w:hyperlink>
      <w:r w:rsidDel="00000000" w:rsidR="00000000" w:rsidRPr="00000000">
        <w:rPr>
          <w:rtl w:val="0"/>
        </w:rPr>
        <w:t xml:space="preserve"> </w:t>
      </w:r>
      <w:r w:rsidDel="00000000" w:rsidR="00000000" w:rsidRPr="00000000">
        <w:rPr>
          <w:rtl w:val="0"/>
        </w:rPr>
        <w:t xml:space="preserve">spolku Arnika také dlouhodobě mizí stromořadí z krajiny. Konkrétně podél silnic je vysazeno méně stromů, než kolik je pokáceno (v Karlovarském a Libereckém kraji dokonce 10x méně). Pokud vezmeme v úvahu, že jen malá část dřevin se dožije vyššího věku - například vlivem sucha, solení silnic, nemocí, vandalů apod. - dochází z důvodu neukládání náhradní výsadby k dlouhodobě neudržitelnému úbytku dřevin.</w:t>
      </w:r>
    </w:p>
    <w:p w:rsidR="00000000" w:rsidDel="00000000" w:rsidP="00000000" w:rsidRDefault="00000000" w:rsidRPr="00000000" w14:paraId="0000002A">
      <w:pPr>
        <w:spacing w:after="0" w:before="0" w:lineRule="auto"/>
        <w:jc w:val="both"/>
        <w:rPr/>
      </w:pPr>
      <w:r w:rsidDel="00000000" w:rsidR="00000000" w:rsidRPr="00000000">
        <w:rPr>
          <w:rtl w:val="0"/>
        </w:rPr>
      </w:r>
    </w:p>
    <w:p w:rsidR="00000000" w:rsidDel="00000000" w:rsidP="00000000" w:rsidRDefault="00000000" w:rsidRPr="00000000" w14:paraId="0000002B">
      <w:pPr>
        <w:spacing w:after="0" w:before="0" w:lineRule="auto"/>
        <w:jc w:val="both"/>
        <w:rPr/>
      </w:pPr>
      <w:r w:rsidDel="00000000" w:rsidR="00000000" w:rsidRPr="00000000">
        <w:rPr>
          <w:rtl w:val="0"/>
        </w:rPr>
        <w:t xml:space="preserve">Metodika Ministerstva životního prostředí již nyní říká, že správní orgán náhradní výsadbu uložit musí. Znění zákona je ovšem v tomto směru matoucí a vzhledem k tomu, že o kácení rozhodují jednotlivé obce, není metodika MŽP v praxi respektována. První bod pozměňovacího návrhu tudíž usiluje o odstranění výkladových rozporů tím, že zákon jasně stanoví povinnost uložit náhradní výsadbu.</w:t>
      </w:r>
      <w:r w:rsidDel="00000000" w:rsidR="00000000" w:rsidRPr="00000000">
        <w:rPr>
          <w:rtl w:val="0"/>
        </w:rPr>
      </w:r>
    </w:p>
    <w:p w:rsidR="00000000" w:rsidDel="00000000" w:rsidP="00000000" w:rsidRDefault="00000000" w:rsidRPr="00000000" w14:paraId="0000002C">
      <w:pPr>
        <w:spacing w:after="0" w:before="0" w:lineRule="auto"/>
        <w:rPr/>
      </w:pPr>
      <w:r w:rsidDel="00000000" w:rsidR="00000000" w:rsidRPr="00000000">
        <w:rPr>
          <w:rtl w:val="0"/>
        </w:rPr>
      </w:r>
    </w:p>
    <w:p w:rsidR="00000000" w:rsidDel="00000000" w:rsidP="00000000" w:rsidRDefault="00000000" w:rsidRPr="00000000" w14:paraId="0000002D">
      <w:pPr>
        <w:spacing w:after="0" w:before="0" w:lineRule="auto"/>
        <w:jc w:val="both"/>
        <w:rPr/>
      </w:pPr>
      <w:r w:rsidDel="00000000" w:rsidR="00000000" w:rsidRPr="00000000">
        <w:rPr>
          <w:rtl w:val="0"/>
        </w:rPr>
        <w:t xml:space="preserve">V některých případech nicméně není možné uložit náhradní výsadbu, například když dochází k zástavbě prostoru. Zákonodárce počítal s tím, že v takovém případě bude za pokácené dřeviny zaplacen odvod, který následně bude využit k výsadbě dřevin na jiném místě. Podmínky tohoto odvodu měly být stanoveny zvláštním zákonem, který však dodnes nebyl přijat, a obce tak přichází řádově o desítky až stovky milionů korun ročně. Z tohoto důvodu je v druhém bodu navrhováno, aby parametry odvodu mohlo stanovit Ministerstvo životního prostředí vyhláškou, což lze učinit obratem. Metodika k oceňování dřevin je volně dotupná na </w:t>
      </w:r>
      <w:hyperlink r:id="rId7">
        <w:r w:rsidDel="00000000" w:rsidR="00000000" w:rsidRPr="00000000">
          <w:rPr>
            <w:color w:val="1155cc"/>
            <w:u w:val="single"/>
            <w:rtl w:val="0"/>
          </w:rPr>
          <w:t xml:space="preserve">https://ocenovanidrevin.nature.cz/</w:t>
        </w:r>
      </w:hyperlink>
      <w:r w:rsidDel="00000000" w:rsidR="00000000" w:rsidRPr="00000000">
        <w:rPr>
          <w:rtl w:val="0"/>
        </w:rPr>
        <w:t xml:space="preserve">.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arnika.org/kaceni-podle-kraju" TargetMode="External"/><Relationship Id="rId7" Type="http://schemas.openxmlformats.org/officeDocument/2006/relationships/hyperlink" Target="https://ocenovanidrevin.nature.cz/"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