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before="0" w:line="276" w:lineRule="auto"/>
        <w:jc w:val="center"/>
        <w:rPr>
          <w:rFonts w:ascii="EB Garamond" w:cs="EB Garamond" w:eastAsia="EB Garamond" w:hAnsi="EB Garamond"/>
          <w:b w:val="1"/>
          <w:sz w:val="28"/>
          <w:szCs w:val="28"/>
        </w:rPr>
      </w:pPr>
      <w:r w:rsidDel="00000000" w:rsidR="00000000" w:rsidRPr="00000000">
        <w:rPr>
          <w:rFonts w:ascii="EB Garamond" w:cs="EB Garamond" w:eastAsia="EB Garamond" w:hAnsi="EB Garamond"/>
          <w:b w:val="1"/>
          <w:sz w:val="28"/>
          <w:szCs w:val="28"/>
          <w:rtl w:val="0"/>
        </w:rPr>
        <w:t xml:space="preserve">PARLAMENT ČESKÉ REPUBLIKY</w:t>
      </w:r>
    </w:p>
    <w:p w:rsidR="00000000" w:rsidDel="00000000" w:rsidP="00000000" w:rsidRDefault="00000000" w:rsidRPr="00000000" w14:paraId="00000002">
      <w:pPr>
        <w:spacing w:after="0" w:before="0" w:line="276" w:lineRule="auto"/>
        <w:jc w:val="center"/>
        <w:rPr>
          <w:rFonts w:ascii="EB Garamond" w:cs="EB Garamond" w:eastAsia="EB Garamond" w:hAnsi="EB Garamond"/>
          <w:sz w:val="28"/>
          <w:szCs w:val="28"/>
        </w:rPr>
      </w:pPr>
      <w:r w:rsidDel="00000000" w:rsidR="00000000" w:rsidRPr="00000000">
        <w:rPr>
          <w:rFonts w:ascii="EB Garamond" w:cs="EB Garamond" w:eastAsia="EB Garamond" w:hAnsi="EB Garamond"/>
          <w:sz w:val="28"/>
          <w:szCs w:val="28"/>
          <w:rtl w:val="0"/>
        </w:rPr>
        <w:t xml:space="preserve">Poslanecká sněmovna</w:t>
      </w:r>
    </w:p>
    <w:p w:rsidR="00000000" w:rsidDel="00000000" w:rsidP="00000000" w:rsidRDefault="00000000" w:rsidRPr="00000000" w14:paraId="00000003">
      <w:pPr>
        <w:spacing w:after="0" w:before="0" w:line="276" w:lineRule="auto"/>
        <w:jc w:val="center"/>
        <w:rPr>
          <w:rFonts w:ascii="EB Garamond" w:cs="EB Garamond" w:eastAsia="EB Garamond" w:hAnsi="EB Garamond"/>
          <w:sz w:val="28"/>
          <w:szCs w:val="28"/>
        </w:rPr>
      </w:pPr>
      <w:r w:rsidDel="00000000" w:rsidR="00000000" w:rsidRPr="00000000">
        <w:rPr>
          <w:rFonts w:ascii="EB Garamond" w:cs="EB Garamond" w:eastAsia="EB Garamond" w:hAnsi="EB Garamond"/>
          <w:sz w:val="28"/>
          <w:szCs w:val="28"/>
          <w:rtl w:val="0"/>
        </w:rPr>
        <w:t xml:space="preserve">2021</w:t>
      </w:r>
    </w:p>
    <w:p w:rsidR="00000000" w:rsidDel="00000000" w:rsidP="00000000" w:rsidRDefault="00000000" w:rsidRPr="00000000" w14:paraId="00000004">
      <w:pPr>
        <w:spacing w:after="0" w:before="0" w:line="276" w:lineRule="auto"/>
        <w:jc w:val="center"/>
        <w:rPr>
          <w:rFonts w:ascii="EB Garamond" w:cs="EB Garamond" w:eastAsia="EB Garamond" w:hAnsi="EB Garamond"/>
          <w:sz w:val="28"/>
          <w:szCs w:val="28"/>
        </w:rPr>
      </w:pPr>
      <w:r w:rsidDel="00000000" w:rsidR="00000000" w:rsidRPr="00000000">
        <w:rPr>
          <w:rFonts w:ascii="EB Garamond" w:cs="EB Garamond" w:eastAsia="EB Garamond" w:hAnsi="EB Garamond"/>
          <w:sz w:val="28"/>
          <w:szCs w:val="28"/>
          <w:rtl w:val="0"/>
        </w:rPr>
        <w:t xml:space="preserve">VIII. volební období</w:t>
      </w:r>
    </w:p>
    <w:p w:rsidR="00000000" w:rsidDel="00000000" w:rsidP="00000000" w:rsidRDefault="00000000" w:rsidRPr="00000000" w14:paraId="00000005">
      <w:pPr>
        <w:spacing w:after="0" w:before="0" w:line="276" w:lineRule="auto"/>
        <w:rPr>
          <w:rFonts w:ascii="EB Garamond" w:cs="EB Garamond" w:eastAsia="EB Garamond" w:hAnsi="EB Garamond"/>
          <w:sz w:val="28"/>
          <w:szCs w:val="28"/>
        </w:rPr>
      </w:pPr>
      <w:r w:rsidDel="00000000" w:rsidR="00000000" w:rsidRPr="00000000">
        <w:rPr>
          <w:rFonts w:ascii="EB Garamond" w:cs="EB Garamond" w:eastAsia="EB Garamond" w:hAnsi="EB Garamond"/>
          <w:sz w:val="28"/>
          <w:szCs w:val="28"/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 w14:paraId="00000006">
      <w:pPr>
        <w:spacing w:after="0" w:before="0" w:line="276" w:lineRule="auto"/>
        <w:rPr>
          <w:rFonts w:ascii="EB Garamond" w:cs="EB Garamond" w:eastAsia="EB Garamond" w:hAnsi="EB Garamond"/>
          <w:b w:val="1"/>
          <w:sz w:val="28"/>
          <w:szCs w:val="28"/>
        </w:rPr>
      </w:pPr>
      <w:r w:rsidDel="00000000" w:rsidR="00000000" w:rsidRPr="00000000">
        <w:rPr>
          <w:rFonts w:ascii="EB Garamond" w:cs="EB Garamond" w:eastAsia="EB Garamond" w:hAnsi="EB Garamond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7">
      <w:pPr>
        <w:spacing w:after="0" w:before="0" w:line="276" w:lineRule="auto"/>
        <w:jc w:val="center"/>
        <w:rPr>
          <w:rFonts w:ascii="EB Garamond" w:cs="EB Garamond" w:eastAsia="EB Garamond" w:hAnsi="EB Garamond"/>
          <w:b w:val="1"/>
          <w:sz w:val="32"/>
          <w:szCs w:val="32"/>
        </w:rPr>
      </w:pPr>
      <w:r w:rsidDel="00000000" w:rsidR="00000000" w:rsidRPr="00000000">
        <w:rPr>
          <w:rFonts w:ascii="EB Garamond" w:cs="EB Garamond" w:eastAsia="EB Garamond" w:hAnsi="EB Garamond"/>
          <w:b w:val="1"/>
          <w:sz w:val="32"/>
          <w:szCs w:val="32"/>
          <w:rtl w:val="0"/>
        </w:rPr>
        <w:t xml:space="preserve">Pozměňovací návrh</w:t>
      </w:r>
    </w:p>
    <w:p w:rsidR="00000000" w:rsidDel="00000000" w:rsidP="00000000" w:rsidRDefault="00000000" w:rsidRPr="00000000" w14:paraId="00000008">
      <w:pPr>
        <w:spacing w:after="0" w:before="0" w:line="276" w:lineRule="auto"/>
        <w:jc w:val="center"/>
        <w:rPr>
          <w:rFonts w:ascii="EB Garamond" w:cs="EB Garamond" w:eastAsia="EB Garamond" w:hAnsi="EB Garamond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before="0" w:line="276" w:lineRule="auto"/>
        <w:jc w:val="center"/>
        <w:rPr>
          <w:rFonts w:ascii="EB Garamond" w:cs="EB Garamond" w:eastAsia="EB Garamond" w:hAnsi="EB Garamond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before="0" w:line="276" w:lineRule="auto"/>
        <w:jc w:val="center"/>
        <w:rPr>
          <w:rFonts w:ascii="EB Garamond" w:cs="EB Garamond" w:eastAsia="EB Garamond" w:hAnsi="EB Garamond"/>
          <w:sz w:val="32"/>
          <w:szCs w:val="32"/>
        </w:rPr>
      </w:pPr>
      <w:r w:rsidDel="00000000" w:rsidR="00000000" w:rsidRPr="00000000">
        <w:rPr>
          <w:rFonts w:ascii="EB Garamond" w:cs="EB Garamond" w:eastAsia="EB Garamond" w:hAnsi="EB Garamond"/>
          <w:sz w:val="32"/>
          <w:szCs w:val="32"/>
          <w:rtl w:val="0"/>
        </w:rPr>
        <w:t xml:space="preserve">poslankyně</w:t>
      </w:r>
    </w:p>
    <w:p w:rsidR="00000000" w:rsidDel="00000000" w:rsidP="00000000" w:rsidRDefault="00000000" w:rsidRPr="00000000" w14:paraId="0000000B">
      <w:pPr>
        <w:spacing w:after="0" w:before="0" w:line="276" w:lineRule="auto"/>
        <w:jc w:val="center"/>
        <w:rPr>
          <w:rFonts w:ascii="EB Garamond" w:cs="EB Garamond" w:eastAsia="EB Garamond" w:hAnsi="EB Garamond"/>
          <w:b w:val="1"/>
          <w:sz w:val="32"/>
          <w:szCs w:val="32"/>
        </w:rPr>
      </w:pPr>
      <w:r w:rsidDel="00000000" w:rsidR="00000000" w:rsidRPr="00000000">
        <w:rPr>
          <w:rFonts w:ascii="EB Garamond" w:cs="EB Garamond" w:eastAsia="EB Garamond" w:hAnsi="EB Garamond"/>
          <w:i w:val="1"/>
          <w:sz w:val="32"/>
          <w:szCs w:val="32"/>
          <w:rtl w:val="0"/>
        </w:rPr>
        <w:t xml:space="preserve">Dany Balcarové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before="0" w:lineRule="auto"/>
        <w:jc w:val="center"/>
        <w:rPr>
          <w:rFonts w:ascii="EB Garamond" w:cs="EB Garamond" w:eastAsia="EB Garamond" w:hAnsi="EB Garamond"/>
          <w:sz w:val="28"/>
          <w:szCs w:val="28"/>
        </w:rPr>
      </w:pPr>
      <w:r w:rsidDel="00000000" w:rsidR="00000000" w:rsidRPr="00000000">
        <w:rPr>
          <w:rFonts w:ascii="EB Garamond" w:cs="EB Garamond" w:eastAsia="EB Garamond" w:hAnsi="EB Garamond"/>
          <w:sz w:val="28"/>
          <w:szCs w:val="28"/>
          <w:rtl w:val="0"/>
        </w:rPr>
        <w:t xml:space="preserve">k vládnímu návrhu zákona, kterým se mění některé zákony v souvislosti s implementací předpisů Evropské unie v oblasti invazních nepůvodních druhů</w:t>
      </w:r>
    </w:p>
    <w:p w:rsidR="00000000" w:rsidDel="00000000" w:rsidP="00000000" w:rsidRDefault="00000000" w:rsidRPr="00000000" w14:paraId="0000000D">
      <w:pPr>
        <w:spacing w:after="0" w:before="0" w:lineRule="auto"/>
        <w:jc w:val="center"/>
        <w:rPr>
          <w:rFonts w:ascii="EB Garamond" w:cs="EB Garamond" w:eastAsia="EB Garamond" w:hAnsi="EB Garamond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before="0" w:lineRule="auto"/>
        <w:jc w:val="center"/>
        <w:rPr>
          <w:rFonts w:ascii="EB Garamond" w:cs="EB Garamond" w:eastAsia="EB Garamond" w:hAnsi="EB Garamond"/>
          <w:b w:val="1"/>
          <w:sz w:val="32"/>
          <w:szCs w:val="32"/>
        </w:rPr>
      </w:pPr>
      <w:r w:rsidDel="00000000" w:rsidR="00000000" w:rsidRPr="00000000">
        <w:rPr>
          <w:rFonts w:ascii="EB Garamond" w:cs="EB Garamond" w:eastAsia="EB Garamond" w:hAnsi="EB Garamond"/>
          <w:b w:val="1"/>
          <w:sz w:val="32"/>
          <w:szCs w:val="32"/>
          <w:rtl w:val="0"/>
        </w:rPr>
        <w:t xml:space="preserve">(sněmovní tisk č. 731)</w:t>
      </w:r>
    </w:p>
    <w:p w:rsidR="00000000" w:rsidDel="00000000" w:rsidP="00000000" w:rsidRDefault="00000000" w:rsidRPr="00000000" w14:paraId="0000000F">
      <w:pPr>
        <w:spacing w:after="0" w:before="0" w:lineRule="auto"/>
        <w:jc w:val="center"/>
        <w:rPr>
          <w:rFonts w:ascii="EB Garamond" w:cs="EB Garamond" w:eastAsia="EB Garamond" w:hAnsi="EB Garamond"/>
          <w:b w:val="1"/>
          <w:sz w:val="32"/>
          <w:szCs w:val="32"/>
        </w:rPr>
      </w:pPr>
      <w:r w:rsidDel="00000000" w:rsidR="00000000" w:rsidRPr="00000000">
        <w:rPr>
          <w:rFonts w:ascii="EB Garamond" w:cs="EB Garamond" w:eastAsia="EB Garamond" w:hAnsi="EB Garamond"/>
          <w:b w:val="1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10">
      <w:pPr>
        <w:spacing w:after="0" w:before="0" w:lineRule="auto"/>
        <w:jc w:val="center"/>
        <w:rPr>
          <w:rFonts w:ascii="EB Garamond" w:cs="EB Garamond" w:eastAsia="EB Garamond" w:hAnsi="EB Garamond"/>
          <w:b w:val="1"/>
          <w:sz w:val="32"/>
          <w:szCs w:val="32"/>
        </w:rPr>
      </w:pPr>
      <w:r w:rsidDel="00000000" w:rsidR="00000000" w:rsidRPr="00000000">
        <w:rPr>
          <w:rFonts w:ascii="EB Garamond" w:cs="EB Garamond" w:eastAsia="EB Garamond" w:hAnsi="EB Garamond"/>
          <w:b w:val="1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11">
      <w:pPr>
        <w:spacing w:after="0" w:before="0" w:lineRule="auto"/>
        <w:jc w:val="center"/>
        <w:rPr>
          <w:rFonts w:ascii="EB Garamond" w:cs="EB Garamond" w:eastAsia="EB Garamond" w:hAnsi="EB Garamond"/>
          <w:b w:val="1"/>
          <w:sz w:val="32"/>
          <w:szCs w:val="32"/>
        </w:rPr>
      </w:pPr>
      <w:r w:rsidDel="00000000" w:rsidR="00000000" w:rsidRPr="00000000">
        <w:rPr>
          <w:rFonts w:ascii="EB Garamond" w:cs="EB Garamond" w:eastAsia="EB Garamond" w:hAnsi="EB Garamond"/>
          <w:b w:val="1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12">
      <w:pPr>
        <w:spacing w:after="0" w:before="0" w:lineRule="auto"/>
        <w:jc w:val="center"/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</w:t>
      </w:r>
    </w:p>
    <w:p w:rsidR="00000000" w:rsidDel="00000000" w:rsidP="00000000" w:rsidRDefault="00000000" w:rsidRPr="00000000" w14:paraId="00000013">
      <w:pPr>
        <w:spacing w:after="0" w:before="0" w:lineRule="auto"/>
        <w:jc w:val="center"/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</w:t>
      </w:r>
    </w:p>
    <w:p w:rsidR="00000000" w:rsidDel="00000000" w:rsidP="00000000" w:rsidRDefault="00000000" w:rsidRPr="00000000" w14:paraId="00000014">
      <w:pPr>
        <w:spacing w:after="0" w:before="0" w:lineRule="auto"/>
        <w:jc w:val="center"/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</w:t>
      </w:r>
    </w:p>
    <w:p w:rsidR="00000000" w:rsidDel="00000000" w:rsidP="00000000" w:rsidRDefault="00000000" w:rsidRPr="00000000" w14:paraId="00000015">
      <w:pPr>
        <w:spacing w:after="0" w:before="0" w:lineRule="auto"/>
        <w:jc w:val="center"/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</w:t>
      </w:r>
    </w:p>
    <w:p w:rsidR="00000000" w:rsidDel="00000000" w:rsidP="00000000" w:rsidRDefault="00000000" w:rsidRPr="00000000" w14:paraId="00000016">
      <w:pPr>
        <w:spacing w:after="0" w:before="0" w:lineRule="auto"/>
        <w:jc w:val="center"/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</w:t>
      </w:r>
    </w:p>
    <w:p w:rsidR="00000000" w:rsidDel="00000000" w:rsidP="00000000" w:rsidRDefault="00000000" w:rsidRPr="00000000" w14:paraId="00000017">
      <w:pPr>
        <w:spacing w:after="0" w:before="0" w:lineRule="auto"/>
        <w:jc w:val="center"/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</w:t>
      </w:r>
    </w:p>
    <w:p w:rsidR="00000000" w:rsidDel="00000000" w:rsidP="00000000" w:rsidRDefault="00000000" w:rsidRPr="00000000" w14:paraId="00000018">
      <w:pPr>
        <w:spacing w:after="0" w:before="0" w:lineRule="auto"/>
        <w:jc w:val="center"/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</w:t>
      </w:r>
    </w:p>
    <w:p w:rsidR="00000000" w:rsidDel="00000000" w:rsidP="00000000" w:rsidRDefault="00000000" w:rsidRPr="00000000" w14:paraId="00000019">
      <w:pPr>
        <w:spacing w:after="0" w:before="0" w:lineRule="auto"/>
        <w:jc w:val="center"/>
        <w:rPr>
          <w:rFonts w:ascii="EB Garamond" w:cs="EB Garamond" w:eastAsia="EB Garamond" w:hAnsi="EB Garamond"/>
        </w:rPr>
      </w:pPr>
      <w:r w:rsidDel="00000000" w:rsidR="00000000" w:rsidRPr="00000000">
        <w:rPr>
          <w:rFonts w:ascii="EB Garamond" w:cs="EB Garamond" w:eastAsia="EB Garamond" w:hAnsi="EB Garamond"/>
          <w:rtl w:val="0"/>
        </w:rPr>
        <w:t xml:space="preserve"> 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before="0" w:lineRule="auto"/>
        <w:jc w:val="both"/>
        <w:rPr>
          <w:rFonts w:ascii="EB Garamond" w:cs="EB Garamond" w:eastAsia="EB Garamond" w:hAnsi="EB Garamond"/>
          <w:sz w:val="26"/>
          <w:szCs w:val="26"/>
        </w:rPr>
      </w:pPr>
      <w:r w:rsidDel="00000000" w:rsidR="00000000" w:rsidRPr="00000000">
        <w:rPr>
          <w:rFonts w:ascii="EB Garamond" w:cs="EB Garamond" w:eastAsia="EB Garamond" w:hAnsi="EB Garamond"/>
          <w:sz w:val="26"/>
          <w:szCs w:val="26"/>
          <w:rtl w:val="0"/>
        </w:rPr>
        <w:t xml:space="preserve">Vládní návrh zákona, kterým se mění některé zákony v souvislosti s implementací předpisů Evropské unie v oblasti invazních nepůvodních druhů, se mění takto:</w:t>
      </w:r>
    </w:p>
    <w:p w:rsidR="00000000" w:rsidDel="00000000" w:rsidP="00000000" w:rsidRDefault="00000000" w:rsidRPr="00000000" w14:paraId="0000001B">
      <w:pPr>
        <w:spacing w:after="0" w:before="0" w:lineRule="auto"/>
        <w:jc w:val="both"/>
        <w:rPr>
          <w:rFonts w:ascii="EB Garamond" w:cs="EB Garamond" w:eastAsia="EB Garamond" w:hAnsi="EB Garamond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before="0" w:lineRule="auto"/>
        <w:ind w:left="720" w:firstLine="0"/>
        <w:jc w:val="both"/>
        <w:rPr>
          <w:rFonts w:ascii="EB Garamond" w:cs="EB Garamond" w:eastAsia="EB Garamond" w:hAnsi="EB Garamond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before="0" w:lineRule="auto"/>
        <w:ind w:left="0" w:firstLine="0"/>
        <w:jc w:val="both"/>
        <w:rPr>
          <w:rFonts w:ascii="EB Garamond" w:cs="EB Garamond" w:eastAsia="EB Garamond" w:hAnsi="EB Garamond"/>
          <w:sz w:val="26"/>
          <w:szCs w:val="26"/>
        </w:rPr>
      </w:pPr>
      <w:r w:rsidDel="00000000" w:rsidR="00000000" w:rsidRPr="00000000">
        <w:rPr>
          <w:rFonts w:ascii="EB Garamond" w:cs="EB Garamond" w:eastAsia="EB Garamond" w:hAnsi="EB Garamond"/>
          <w:sz w:val="26"/>
          <w:szCs w:val="26"/>
          <w:rtl w:val="0"/>
        </w:rPr>
        <w:t xml:space="preserve">V části první čl. I se novelizační bod 67 zrušuje.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Odůvodnění:</w:t>
      </w:r>
    </w:p>
    <w:p w:rsidR="00000000" w:rsidDel="00000000" w:rsidP="00000000" w:rsidRDefault="00000000" w:rsidRPr="00000000" w14:paraId="0000001F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before="0" w:lineRule="auto"/>
        <w:jc w:val="both"/>
        <w:rPr>
          <w:b w:val="1"/>
        </w:rPr>
      </w:pPr>
      <w:r w:rsidDel="00000000" w:rsidR="00000000" w:rsidRPr="00000000">
        <w:rPr>
          <w:rtl w:val="0"/>
        </w:rPr>
        <w:t xml:space="preserve">Novelizační bod, jehož vypuštění navrhuji, stanovuje, že </w:t>
      </w:r>
      <w:r w:rsidDel="00000000" w:rsidR="00000000" w:rsidRPr="00000000">
        <w:rPr>
          <w:rtl w:val="0"/>
        </w:rPr>
        <w:t xml:space="preserve">ochrana podle </w:t>
      </w:r>
      <w:r w:rsidDel="00000000" w:rsidR="00000000" w:rsidRPr="00000000">
        <w:rPr>
          <w:rtl w:val="0"/>
        </w:rPr>
        <w:t xml:space="preserve">§ 5a odst. 1 </w:t>
      </w:r>
      <w:r w:rsidDel="00000000" w:rsidR="00000000" w:rsidRPr="00000000">
        <w:rPr>
          <w:rtl w:val="0"/>
        </w:rPr>
        <w:t xml:space="preserve">(odchyt ptáků, úmyslné poškozování vajec, ničení hnízd)</w:t>
      </w:r>
      <w:r w:rsidDel="00000000" w:rsidR="00000000" w:rsidRPr="00000000">
        <w:rPr>
          <w:rtl w:val="0"/>
        </w:rPr>
        <w:t xml:space="preserve">, § 7 a 8 (</w:t>
      </w:r>
      <w:r w:rsidDel="00000000" w:rsidR="00000000" w:rsidRPr="00000000">
        <w:rPr>
          <w:b w:val="1"/>
          <w:rtl w:val="0"/>
        </w:rPr>
        <w:t xml:space="preserve">kácení dřevin</w:t>
      </w:r>
      <w:r w:rsidDel="00000000" w:rsidR="00000000" w:rsidRPr="00000000">
        <w:rPr>
          <w:rtl w:val="0"/>
        </w:rPr>
        <w:t xml:space="preserve">)</w:t>
      </w:r>
      <w:r w:rsidDel="00000000" w:rsidR="00000000" w:rsidRPr="00000000">
        <w:rPr>
          <w:rtl w:val="0"/>
        </w:rPr>
        <w:t xml:space="preserve">, § 10 odst. 2 a 3 (</w:t>
      </w:r>
      <w:r w:rsidDel="00000000" w:rsidR="00000000" w:rsidRPr="00000000">
        <w:rPr>
          <w:rtl w:val="0"/>
        </w:rPr>
        <w:t xml:space="preserve">ničení a poškozování jeskyní)</w:t>
      </w:r>
      <w:r w:rsidDel="00000000" w:rsidR="00000000" w:rsidRPr="00000000">
        <w:rPr>
          <w:rtl w:val="0"/>
        </w:rPr>
        <w:t xml:space="preserve">, § 16 až 16d, § 26 (</w:t>
      </w:r>
      <w:r w:rsidDel="00000000" w:rsidR="00000000" w:rsidRPr="00000000">
        <w:rPr>
          <w:rtl w:val="0"/>
        </w:rPr>
        <w:t xml:space="preserve">záměrné rozšiřování geograficky nepůvodních druhů)</w:t>
      </w:r>
      <w:r w:rsidDel="00000000" w:rsidR="00000000" w:rsidRPr="00000000">
        <w:rPr>
          <w:rtl w:val="0"/>
        </w:rPr>
        <w:t xml:space="preserve">, 29 a 34 (</w:t>
      </w:r>
      <w:r w:rsidDel="00000000" w:rsidR="00000000" w:rsidRPr="00000000">
        <w:rPr>
          <w:rtl w:val="0"/>
        </w:rPr>
        <w:t xml:space="preserve">změna vodního režimu pozemků)</w:t>
      </w:r>
      <w:r w:rsidDel="00000000" w:rsidR="00000000" w:rsidRPr="00000000">
        <w:rPr>
          <w:rtl w:val="0"/>
        </w:rPr>
        <w:t xml:space="preserve">, § 35 odst. 2, § 36 odst. 2, § 37 odst. 1 až 3 (</w:t>
      </w:r>
      <w:r w:rsidDel="00000000" w:rsidR="00000000" w:rsidRPr="00000000">
        <w:rPr>
          <w:rtl w:val="0"/>
        </w:rPr>
        <w:t xml:space="preserve">provádění staveb)</w:t>
      </w:r>
      <w:r w:rsidDel="00000000" w:rsidR="00000000" w:rsidRPr="00000000">
        <w:rPr>
          <w:rtl w:val="0"/>
        </w:rPr>
        <w:t xml:space="preserve">, § 44 odst. 3, § 46 odst. 2 (</w:t>
      </w:r>
      <w:r w:rsidDel="00000000" w:rsidR="00000000" w:rsidRPr="00000000">
        <w:rPr>
          <w:rtl w:val="0"/>
        </w:rPr>
        <w:t xml:space="preserve">ničení památných stromů)</w:t>
      </w:r>
      <w:r w:rsidDel="00000000" w:rsidR="00000000" w:rsidRPr="00000000">
        <w:rPr>
          <w:rtl w:val="0"/>
        </w:rPr>
        <w:t xml:space="preserve">, § 49 odst. 1 (</w:t>
      </w:r>
      <w:r w:rsidDel="00000000" w:rsidR="00000000" w:rsidRPr="00000000">
        <w:rPr>
          <w:rtl w:val="0"/>
        </w:rPr>
        <w:t xml:space="preserve">ničení zvláště chráněných rostlin) </w:t>
      </w:r>
      <w:r w:rsidDel="00000000" w:rsidR="00000000" w:rsidRPr="00000000">
        <w:rPr>
          <w:rtl w:val="0"/>
        </w:rPr>
        <w:t xml:space="preserve">a § 50 odst. 1 a 2</w:t>
      </w:r>
      <w:r w:rsidDel="00000000" w:rsidR="00000000" w:rsidRPr="00000000">
        <w:rPr>
          <w:rtl w:val="0"/>
        </w:rPr>
        <w:t xml:space="preserve"> (</w:t>
      </w:r>
      <w:r w:rsidDel="00000000" w:rsidR="00000000" w:rsidRPr="00000000">
        <w:rPr>
          <w:b w:val="1"/>
          <w:rtl w:val="0"/>
        </w:rPr>
        <w:t xml:space="preserve">usmrcování zvláště chráněných druhů živočichů</w:t>
      </w:r>
      <w:r w:rsidDel="00000000" w:rsidR="00000000" w:rsidRPr="00000000">
        <w:rPr>
          <w:rtl w:val="0"/>
        </w:rPr>
        <w:t xml:space="preserve">) </w:t>
      </w:r>
      <w:r w:rsidDel="00000000" w:rsidR="00000000" w:rsidRPr="00000000">
        <w:rPr>
          <w:b w:val="1"/>
          <w:rtl w:val="0"/>
        </w:rPr>
        <w:t xml:space="preserve">se nevztahuje na činnosti prováděné pracovníky orgánů ochrany přírody v zájmu ochrany přírody. </w:t>
      </w:r>
    </w:p>
    <w:p w:rsidR="00000000" w:rsidDel="00000000" w:rsidP="00000000" w:rsidRDefault="00000000" w:rsidRPr="00000000" w14:paraId="00000021">
      <w:pPr>
        <w:spacing w:after="0" w:before="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Tato změna je přílepkem nijak nesouvisejícím s invazní novelou</w:t>
      </w:r>
      <w:r w:rsidDel="00000000" w:rsidR="00000000" w:rsidRPr="00000000">
        <w:rPr>
          <w:rtl w:val="0"/>
        </w:rPr>
        <w:t xml:space="preserve">. Pokus o skrytí takto významné a kontroverzní změny jako bodu 67. implementačního předpisu odporuje čl. 39 odst. 4 legislativních pravidel vlády a je krajně nevhodný.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before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before="0" w:lineRule="auto"/>
        <w:jc w:val="both"/>
        <w:rPr/>
      </w:pPr>
      <w:r w:rsidDel="00000000" w:rsidR="00000000" w:rsidRPr="00000000">
        <w:rPr>
          <w:rtl w:val="0"/>
        </w:rPr>
        <w:t xml:space="preserve">Takto široké výjimky jsou naprosto bezprecedentní a představují nejen závažnou změnu v koncepci české ochrany přírody, ale také omezení veřejnosti v přístupu k informacím a účasti v řízeních. Dosavadní ochrana byla založena na dialogu s veřejností, která mohla využívat svých práv dle zákona o svobodném přístupu k informacím nebo zákona o ochraně přírody a krajiny k tomu, aby se včas dozvěděla informace o zamýšlených zásazích a mohla se zapojit do rozhodovacího procesu. V případě schválení předkládané změny se však ani o nejzávažnějších zásazích nedozví nikdo kromě zaměstnanců orgánů ochrany přírody.</w:t>
      </w:r>
    </w:p>
    <w:p w:rsidR="00000000" w:rsidDel="00000000" w:rsidP="00000000" w:rsidRDefault="00000000" w:rsidRPr="00000000" w14:paraId="00000024">
      <w:pPr>
        <w:spacing w:after="0" w:before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before="0" w:lineRule="auto"/>
        <w:jc w:val="both"/>
        <w:rPr/>
      </w:pPr>
      <w:r w:rsidDel="00000000" w:rsidR="00000000" w:rsidRPr="00000000">
        <w:rPr>
          <w:rtl w:val="0"/>
        </w:rPr>
        <w:t xml:space="preserve">Dosavadní zkušenosti přitom ukazují, že tento přístup může být fatální. Jen díky zásahu veřejnosti a medializaci došlo k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blokádě kácení na Šumavě</w:t>
        </w:r>
      </w:hyperlink>
      <w:r w:rsidDel="00000000" w:rsidR="00000000" w:rsidRPr="00000000">
        <w:rPr>
          <w:rtl w:val="0"/>
        </w:rPr>
        <w:t xml:space="preserve">, přičemž s odstupem času se ukázalo, že postup orgánů ochrany přírody nebyl správný, a v dnešní době naopak orgány ochrany přírody postupují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zcela opačně</w:t>
        </w:r>
      </w:hyperlink>
      <w:r w:rsidDel="00000000" w:rsidR="00000000" w:rsidRPr="00000000">
        <w:rPr>
          <w:rtl w:val="0"/>
        </w:rPr>
        <w:t xml:space="preserve">. Pokud by platila navrhovaná změna, veřejnost by se o kácení nedozvěděla.</w:t>
      </w:r>
    </w:p>
    <w:p w:rsidR="00000000" w:rsidDel="00000000" w:rsidP="00000000" w:rsidRDefault="00000000" w:rsidRPr="00000000" w14:paraId="00000026">
      <w:pPr>
        <w:spacing w:after="0" w:before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before="0" w:lineRule="auto"/>
        <w:jc w:val="both"/>
        <w:rPr/>
      </w:pPr>
      <w:r w:rsidDel="00000000" w:rsidR="00000000" w:rsidRPr="00000000">
        <w:rPr>
          <w:rtl w:val="0"/>
        </w:rPr>
        <w:t xml:space="preserve">Překládaná změna přitom nemá žádný pozitivní efekt. Udělování výjimek pro orgány ochrany přírody je byrokraticky velmi jednoduché, u většiny zákazů (např. vjíždění vozidel do národních parků, pohyb mimo cesty) jsou výjimky vydávány plošně s platností na několik let. Pouze u kontroverzních záměrů se vedou jednotlivá řízení, a stává se, že po zapojení veřejnosti orgán ochrany přírody sám záměr přehodnotí. Po změně zákona ovšem žádná řízení vedena nebudou.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EB 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irozhlas.cz/zpravy-domov/blokada-na-sumave-pokracuje-na-miste-je-asi-40-aktivistu_201107261509_kbrezovska" TargetMode="External"/><Relationship Id="rId7" Type="http://schemas.openxmlformats.org/officeDocument/2006/relationships/hyperlink" Target="https://www.idnes.cz/usti/zpravy/kurovec-ceske-svycarsko-nova-strategie-vnitrni-smrk-les-kalamita.A190503_150133_usti-zpravy_pakr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BGaramond-regular.ttf"/><Relationship Id="rId2" Type="http://schemas.openxmlformats.org/officeDocument/2006/relationships/font" Target="fonts/EBGaramond-bold.ttf"/><Relationship Id="rId3" Type="http://schemas.openxmlformats.org/officeDocument/2006/relationships/font" Target="fonts/EBGaramond-italic.ttf"/><Relationship Id="rId4" Type="http://schemas.openxmlformats.org/officeDocument/2006/relationships/font" Target="fonts/EBGaramond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