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72" w:rsidRDefault="00B85A72" w:rsidP="00B85A72">
      <w:pPr>
        <w:pStyle w:val="ZKON"/>
      </w:pPr>
      <w:r>
        <w:t>ZÁKON</w:t>
      </w:r>
    </w:p>
    <w:p w:rsidR="00A51DEA" w:rsidRPr="00721299" w:rsidRDefault="00B85A72" w:rsidP="00B85A72">
      <w:pPr>
        <w:pStyle w:val="nadpiszkona"/>
        <w:rPr>
          <w:b w:val="0"/>
          <w:szCs w:val="24"/>
        </w:rPr>
      </w:pPr>
      <w:r w:rsidRPr="00721299">
        <w:rPr>
          <w:b w:val="0"/>
        </w:rPr>
        <w:t xml:space="preserve">ze dne </w:t>
      </w:r>
      <w:r w:rsidR="00A51DEA" w:rsidRPr="00721299">
        <w:rPr>
          <w:b w:val="0"/>
          <w:szCs w:val="24"/>
        </w:rPr>
        <w:t>…………. 202</w:t>
      </w:r>
      <w:r w:rsidR="00721299" w:rsidRPr="00721299">
        <w:rPr>
          <w:b w:val="0"/>
          <w:szCs w:val="24"/>
        </w:rPr>
        <w:t>1</w:t>
      </w:r>
    </w:p>
    <w:p w:rsidR="00A51DEA" w:rsidRPr="00151E8F" w:rsidRDefault="00A51DEA" w:rsidP="00B85A72">
      <w:pPr>
        <w:pStyle w:val="nadpiszkona"/>
      </w:pPr>
      <w:r w:rsidRPr="00151E8F">
        <w:t>o provádění zvláštních režimů v oblasti zahraničního obchodu</w:t>
      </w:r>
    </w:p>
    <w:p w:rsidR="00A51DEA" w:rsidRDefault="00B85A72" w:rsidP="00B85A72">
      <w:pPr>
        <w:pStyle w:val="Parlament"/>
      </w:pPr>
      <w:r>
        <w:t>Parlament se usnesl na tomto zákoně České republiky:</w:t>
      </w:r>
    </w:p>
    <w:p w:rsidR="00A51DEA" w:rsidRPr="00151E8F" w:rsidRDefault="00B85A72" w:rsidP="00B85A72">
      <w:pPr>
        <w:pStyle w:val="Paragraf"/>
        <w:rPr>
          <w:caps/>
          <w:szCs w:val="24"/>
        </w:rPr>
      </w:pPr>
      <w:r>
        <w:t xml:space="preserve">§ </w:t>
      </w:r>
      <w:r w:rsidR="00A51DEA" w:rsidRPr="00151E8F">
        <w:rPr>
          <w:caps/>
          <w:szCs w:val="24"/>
        </w:rPr>
        <w:t>1</w:t>
      </w:r>
    </w:p>
    <w:p w:rsidR="00A51DEA" w:rsidRPr="00151E8F" w:rsidRDefault="00A51DEA" w:rsidP="00B85A72">
      <w:pPr>
        <w:pStyle w:val="Nadpisparagrafu"/>
      </w:pPr>
      <w:r w:rsidRPr="00151E8F">
        <w:t>Předmět úpravy</w:t>
      </w:r>
    </w:p>
    <w:p w:rsidR="00A51DEA" w:rsidRPr="00151E8F" w:rsidRDefault="00A51DEA" w:rsidP="00B85A72">
      <w:pPr>
        <w:pStyle w:val="Textlnku"/>
      </w:pPr>
      <w:r w:rsidRPr="00151E8F">
        <w:t>Tento zákon upravuje v návaznosti na přímo použitelné předpisy Evropské unie</w:t>
      </w:r>
      <w:r w:rsidRPr="00151E8F">
        <w:rPr>
          <w:rStyle w:val="Znakapoznpodarou"/>
          <w:szCs w:val="24"/>
        </w:rPr>
        <w:footnoteReference w:customMarkFollows="1" w:id="1"/>
        <w:t>1)</w:t>
      </w:r>
      <w:r w:rsidRPr="00151E8F">
        <w:t xml:space="preserve"> působnost a pravomoci orgánů k provádění zvláštních režimů v oblasti zahraničního obchodu. </w:t>
      </w:r>
    </w:p>
    <w:p w:rsidR="00A51DEA" w:rsidRPr="00151E8F" w:rsidRDefault="00B85A72" w:rsidP="00B85A72">
      <w:pPr>
        <w:pStyle w:val="Paragraf"/>
        <w:rPr>
          <w:caps/>
          <w:szCs w:val="24"/>
        </w:rPr>
      </w:pPr>
      <w:r>
        <w:t xml:space="preserve">§ </w:t>
      </w:r>
      <w:r w:rsidR="00A51DEA" w:rsidRPr="00151E8F">
        <w:rPr>
          <w:caps/>
          <w:szCs w:val="24"/>
        </w:rPr>
        <w:t>2</w:t>
      </w:r>
    </w:p>
    <w:p w:rsidR="00A51DEA" w:rsidRPr="00151E8F" w:rsidRDefault="00A51DEA" w:rsidP="00B85A72">
      <w:pPr>
        <w:pStyle w:val="Nadpisparagrafu"/>
      </w:pPr>
      <w:r w:rsidRPr="00151E8F">
        <w:t>Zvláštní režimy v oblasti zahraničního obchodu</w:t>
      </w:r>
    </w:p>
    <w:p w:rsidR="00A51DEA" w:rsidRDefault="00A51DEA" w:rsidP="00B85A72">
      <w:pPr>
        <w:pStyle w:val="Textlnku"/>
      </w:pPr>
      <w:r w:rsidRPr="0076423E">
        <w:t>Zvláštními režimy v oblasti zahraničního obchodu se pro účely tohoto zákona rozumí systémy kontroly obchodu podle nařízení Rady (ES) č. 2271/96 a nařízení Evropského parlamentu a Rady (EU) 2017/821.</w:t>
      </w:r>
    </w:p>
    <w:p w:rsidR="00A51DEA" w:rsidRPr="001A5F78" w:rsidRDefault="00B85A72" w:rsidP="00B85A72">
      <w:pPr>
        <w:pStyle w:val="Paragraf"/>
        <w:rPr>
          <w:szCs w:val="24"/>
        </w:rPr>
      </w:pPr>
      <w:r>
        <w:t xml:space="preserve">§ </w:t>
      </w:r>
      <w:r w:rsidR="00A51DEA" w:rsidRPr="001A5F78">
        <w:rPr>
          <w:szCs w:val="24"/>
        </w:rPr>
        <w:t>3</w:t>
      </w:r>
    </w:p>
    <w:p w:rsidR="00A51DEA" w:rsidRPr="001A5F78" w:rsidRDefault="00A51DEA" w:rsidP="00B85A72">
      <w:pPr>
        <w:pStyle w:val="Nadpisparagrafu"/>
      </w:pPr>
      <w:r w:rsidRPr="001A5F78">
        <w:t>Působnost ministerstva</w:t>
      </w:r>
    </w:p>
    <w:p w:rsidR="00A51DEA" w:rsidRPr="0076423E" w:rsidRDefault="00A51DEA" w:rsidP="00B85A72">
      <w:pPr>
        <w:pStyle w:val="Textlnku"/>
      </w:pPr>
      <w:r w:rsidRPr="0076423E">
        <w:t>Ministerstvo</w:t>
      </w:r>
      <w:r w:rsidRPr="0076423E">
        <w:rPr>
          <w:color w:val="FF0000"/>
        </w:rPr>
        <w:t xml:space="preserve"> </w:t>
      </w:r>
      <w:r w:rsidRPr="0076423E">
        <w:t>průmyslu a obchodu (dále jen „ministerstvo“)</w:t>
      </w:r>
    </w:p>
    <w:p w:rsidR="00A51DEA" w:rsidRPr="0076423E" w:rsidRDefault="00A51DEA" w:rsidP="00B85A72">
      <w:pPr>
        <w:pStyle w:val="Textpsmene"/>
      </w:pPr>
      <w:r w:rsidRPr="0076423E">
        <w:t>je příslušným orgánem k uplatňování nařízení Rady (ES) č. 2271/96,</w:t>
      </w:r>
    </w:p>
    <w:p w:rsidR="00A51DEA" w:rsidRPr="0076423E" w:rsidRDefault="00A51DEA" w:rsidP="00B85A72">
      <w:pPr>
        <w:pStyle w:val="Textpsmene"/>
      </w:pPr>
      <w:r w:rsidRPr="0076423E">
        <w:t>je příslušným orgánem k uplatňování nařízení Evropského parlamentu a Rady (EU) 2017/821,</w:t>
      </w:r>
    </w:p>
    <w:p w:rsidR="00A51DEA" w:rsidRPr="0076423E" w:rsidRDefault="00A51DEA" w:rsidP="00B85A72">
      <w:pPr>
        <w:pStyle w:val="Textpsmene"/>
      </w:pPr>
      <w:r w:rsidRPr="0076423E">
        <w:t>je orgánem odpovědným za zajištění jednotného a účinného provádění nařízení Evropského parlamentu a Rady (EU) 2017/821 podle čl. 10 odst. 3 tohoto nařízení,</w:t>
      </w:r>
    </w:p>
    <w:p w:rsidR="00A51DEA" w:rsidRPr="0076423E" w:rsidRDefault="00A51DEA" w:rsidP="00B85A72">
      <w:pPr>
        <w:pStyle w:val="Textpsmene"/>
      </w:pPr>
      <w:r w:rsidRPr="0076423E">
        <w:t>provádí následné kontroly podle čl. 3 odst. 2 a čl. 11 nařízení Evropského parlamentu a Rady (EU) 2017/821 (dále jen „kontroly“),</w:t>
      </w:r>
    </w:p>
    <w:p w:rsidR="00A51DEA" w:rsidRPr="0076423E" w:rsidRDefault="00A51DEA" w:rsidP="00B85A72">
      <w:pPr>
        <w:pStyle w:val="Textpsmene"/>
      </w:pPr>
      <w:r w:rsidRPr="0076423E">
        <w:t>ukládá opatření k nápravě podle § 5,</w:t>
      </w:r>
    </w:p>
    <w:p w:rsidR="00A51DEA" w:rsidRPr="00151E8F" w:rsidRDefault="00A51DEA" w:rsidP="00B85A72">
      <w:pPr>
        <w:pStyle w:val="Textpsmene"/>
      </w:pPr>
      <w:r w:rsidRPr="003737A0">
        <w:t xml:space="preserve">spravuje veřejný seznam </w:t>
      </w:r>
      <w:r w:rsidRPr="00151E8F">
        <w:t>kontrol dostupný na internetových stránkách ministerstva,</w:t>
      </w:r>
    </w:p>
    <w:p w:rsidR="00A51DEA" w:rsidRPr="0076423E" w:rsidRDefault="00A51DEA" w:rsidP="00B85A72">
      <w:pPr>
        <w:pStyle w:val="Textpsmene"/>
      </w:pPr>
      <w:r w:rsidRPr="0076423E">
        <w:t>informuje Evropskou komisi a příslušné orgány členských států o nedostatcích zjištěných kontrolami podle čl. 13 nařízení Evropského parlamentu a Rady (EU) 2017/821,</w:t>
      </w:r>
    </w:p>
    <w:p w:rsidR="00A51DEA" w:rsidRPr="0076423E" w:rsidRDefault="00A51DEA" w:rsidP="00B85A72">
      <w:pPr>
        <w:pStyle w:val="Textpsmene"/>
      </w:pPr>
      <w:r w:rsidRPr="0076423E">
        <w:t>předkládá Evropské komisi zprávu o provádění nařízení Evropského parlamentu a Rady (EU) 2017/821 podle čl. 17 odst. 1 nařízení Evropského parlamentu a Rady (EU) 2017/821.</w:t>
      </w:r>
    </w:p>
    <w:p w:rsidR="00A51DEA" w:rsidRPr="00151E8F" w:rsidRDefault="00B85A72" w:rsidP="00B85A72">
      <w:pPr>
        <w:pStyle w:val="Paragraf"/>
        <w:rPr>
          <w:szCs w:val="24"/>
        </w:rPr>
      </w:pPr>
      <w:r>
        <w:lastRenderedPageBreak/>
        <w:t xml:space="preserve">§ </w:t>
      </w:r>
      <w:r w:rsidR="00A51DEA" w:rsidRPr="00151E8F">
        <w:rPr>
          <w:szCs w:val="24"/>
        </w:rPr>
        <w:t>4</w:t>
      </w:r>
    </w:p>
    <w:p w:rsidR="00A51DEA" w:rsidRPr="00306275" w:rsidRDefault="00A51DEA" w:rsidP="00B85A72">
      <w:pPr>
        <w:pStyle w:val="Nadpisparagrafu"/>
      </w:pPr>
      <w:r w:rsidRPr="00306275">
        <w:t>Generální ředitelství cel</w:t>
      </w:r>
    </w:p>
    <w:p w:rsidR="00A51DEA" w:rsidRPr="00B85A72" w:rsidRDefault="00A51DEA" w:rsidP="00B85A72">
      <w:pPr>
        <w:pStyle w:val="Textodstavce"/>
        <w:numPr>
          <w:ilvl w:val="6"/>
          <w:numId w:val="27"/>
        </w:numPr>
      </w:pPr>
      <w:r w:rsidRPr="00B85A72">
        <w:t xml:space="preserve">Generální ředitelství cel poskytuje ministerstvu na jeho žádost do 30 dnů ode dne jejího obdržení v souvislosti s plněním úkolů uvedených v § 3 písm. b) až h) následující informace: </w:t>
      </w:r>
    </w:p>
    <w:p w:rsidR="00A51DEA" w:rsidRPr="0076423E" w:rsidRDefault="00A51DEA" w:rsidP="00B85A72">
      <w:pPr>
        <w:pStyle w:val="Textpsmene"/>
      </w:pPr>
      <w:r w:rsidRPr="0076423E">
        <w:t xml:space="preserve">identifikační údaje unijního </w:t>
      </w:r>
      <w:r w:rsidRPr="000D5CA1">
        <w:t>dovozce</w:t>
      </w:r>
      <w:r w:rsidRPr="000D5CA1">
        <w:rPr>
          <w:rStyle w:val="Znakapoznpodarou"/>
          <w:szCs w:val="24"/>
        </w:rPr>
        <w:footnoteReference w:customMarkFollows="1" w:id="2"/>
        <w:t>2)</w:t>
      </w:r>
      <w:r w:rsidRPr="0076423E">
        <w:t xml:space="preserve"> (dále jen „dovozce“) a odesílatele nerostných surovin nebo kovů uvedených v příloze I nařízení Evropského parlamentu a Rady (EU) </w:t>
      </w:r>
      <w:bookmarkStart w:id="0" w:name="_GoBack"/>
      <w:bookmarkEnd w:id="0"/>
      <w:r w:rsidRPr="0076423E">
        <w:t>2017/821 (dále jen „nerostná surovina nebo kov“), a to</w:t>
      </w:r>
    </w:p>
    <w:p w:rsidR="00A51DEA" w:rsidRPr="0076423E" w:rsidRDefault="00A51DEA" w:rsidP="00B85A72">
      <w:pPr>
        <w:pStyle w:val="Textbodu"/>
      </w:pPr>
      <w:r w:rsidRPr="0076423E">
        <w:t>jméno, případně jména, a příjmení, místo pobytu, případně místo podnikání, obchodní firmu nebo název a adresu sídla,</w:t>
      </w:r>
    </w:p>
    <w:p w:rsidR="00A51DEA" w:rsidRPr="0076423E" w:rsidRDefault="00A51DEA" w:rsidP="00B85A72">
      <w:pPr>
        <w:pStyle w:val="Textbodu"/>
      </w:pPr>
      <w:r w:rsidRPr="0076423E">
        <w:t>identifikační číslo, bylo-li přiděleno,</w:t>
      </w:r>
    </w:p>
    <w:p w:rsidR="00A51DEA" w:rsidRPr="0076423E" w:rsidRDefault="00A51DEA" w:rsidP="00B85A72">
      <w:pPr>
        <w:pStyle w:val="Textpsmene"/>
      </w:pPr>
      <w:r w:rsidRPr="0076423E">
        <w:t>popis nerostné suroviny nebo kovu, obchodní název a druh podle jeho zařazení v kombinované nomenklatuře, případně dělení na TARIC kódy,</w:t>
      </w:r>
    </w:p>
    <w:p w:rsidR="00A51DEA" w:rsidRPr="0076423E" w:rsidRDefault="00A51DEA" w:rsidP="00B85A72">
      <w:pPr>
        <w:pStyle w:val="Textpsmene"/>
      </w:pPr>
      <w:r w:rsidRPr="0076423E">
        <w:t>množství dovezené nerostné suroviny nebo kovu vyjádřené v kilogramech,</w:t>
      </w:r>
    </w:p>
    <w:p w:rsidR="00A51DEA" w:rsidRPr="0076423E" w:rsidRDefault="00A51DEA" w:rsidP="00B85A72">
      <w:pPr>
        <w:pStyle w:val="Textpsmene"/>
      </w:pPr>
      <w:r w:rsidRPr="0076423E">
        <w:t>hodnotu dovezené nerostné suroviny nebo kovu a</w:t>
      </w:r>
    </w:p>
    <w:p w:rsidR="00A51DEA" w:rsidRPr="0076423E" w:rsidRDefault="00A51DEA" w:rsidP="00B85A72">
      <w:pPr>
        <w:pStyle w:val="Textpsmene"/>
      </w:pPr>
      <w:r w:rsidRPr="0076423E">
        <w:t xml:space="preserve">zemi odeslání a zemi původu nerostné suroviny nebo kovu.  </w:t>
      </w:r>
    </w:p>
    <w:p w:rsidR="00A51DEA" w:rsidRDefault="00A51DEA" w:rsidP="00B85A72">
      <w:pPr>
        <w:pStyle w:val="Textodstavce"/>
      </w:pPr>
      <w:r w:rsidRPr="00151E8F">
        <w:t>Poskytnutí informací podle odstavce 1 není porušením mlčenlivosti podle daňového řádu.</w:t>
      </w:r>
    </w:p>
    <w:p w:rsidR="00A51DEA" w:rsidRPr="00151E8F" w:rsidRDefault="00B85A72" w:rsidP="00B85A72">
      <w:pPr>
        <w:pStyle w:val="Paragraf"/>
        <w:rPr>
          <w:caps/>
          <w:szCs w:val="24"/>
        </w:rPr>
      </w:pPr>
      <w:r>
        <w:t>§</w:t>
      </w:r>
      <w:r w:rsidR="00A51DEA" w:rsidRPr="00151E8F">
        <w:rPr>
          <w:caps/>
          <w:szCs w:val="24"/>
        </w:rPr>
        <w:t xml:space="preserve"> 5</w:t>
      </w:r>
    </w:p>
    <w:p w:rsidR="00A51DEA" w:rsidRPr="00306275" w:rsidRDefault="00A51DEA" w:rsidP="00B85A72">
      <w:pPr>
        <w:pStyle w:val="Nadpisparagrafu"/>
      </w:pPr>
      <w:r w:rsidRPr="00306275">
        <w:t>Opatření k nápravě</w:t>
      </w:r>
    </w:p>
    <w:p w:rsidR="00A51DEA" w:rsidRPr="0076423E" w:rsidRDefault="00A51DEA" w:rsidP="00B85A72">
      <w:pPr>
        <w:pStyle w:val="Textodstavce"/>
        <w:numPr>
          <w:ilvl w:val="6"/>
          <w:numId w:val="28"/>
        </w:numPr>
      </w:pPr>
      <w:r w:rsidRPr="0076423E">
        <w:t>Zjistí-li ministerstvo na základě provedené kontroly nedostatky v provádění povinností dovozce stanovených nařízením Evropského parlamentu a Rady (EU) 2017/821, uloží mu za účelem nápravy zjištěných nedostatků opatření k nápravě, která spočívají zejména v</w:t>
      </w:r>
    </w:p>
    <w:p w:rsidR="00A51DEA" w:rsidRPr="0076423E" w:rsidRDefault="00A51DEA" w:rsidP="00B85A72">
      <w:pPr>
        <w:pStyle w:val="Textpsmene"/>
      </w:pPr>
      <w:r w:rsidRPr="0076423E">
        <w:t xml:space="preserve">poskytnutí dodatečných úplných interních záznamů, materiálů nebo dokumentů,  </w:t>
      </w:r>
    </w:p>
    <w:p w:rsidR="00A51DEA" w:rsidRPr="0076423E" w:rsidRDefault="00A51DEA" w:rsidP="00B85A72">
      <w:pPr>
        <w:pStyle w:val="Textpsmene"/>
      </w:pPr>
      <w:r w:rsidRPr="0076423E">
        <w:t>dodání, doplnění nebo aktualizaci zprávy o auditu splňující požadavky čl. 6 nařízení Evropského parlamentu a Rady (EU) 2017/821,</w:t>
      </w:r>
    </w:p>
    <w:p w:rsidR="00A51DEA" w:rsidRPr="0076423E" w:rsidRDefault="00A51DEA" w:rsidP="00B85A72">
      <w:pPr>
        <w:pStyle w:val="Textpsmene"/>
      </w:pPr>
      <w:r w:rsidRPr="0076423E">
        <w:t>aktualizaci údajů o celoročním dovozu příslušných nerostných surovin nebo kovů, nebo</w:t>
      </w:r>
    </w:p>
    <w:p w:rsidR="00A51DEA" w:rsidRPr="0076423E" w:rsidRDefault="00A51DEA" w:rsidP="00B85A72">
      <w:pPr>
        <w:pStyle w:val="Textpsmene"/>
      </w:pPr>
      <w:r w:rsidRPr="0076423E">
        <w:t>uvedení vnitřních systémů řízení do souladu s povinnostmi dovozce podle čl. 4 až 6 nařízení Evropského parlamentu a Rady (EU) 2017/821.</w:t>
      </w:r>
    </w:p>
    <w:p w:rsidR="00A51DEA" w:rsidRPr="0076423E" w:rsidRDefault="00A51DEA" w:rsidP="00B85A72">
      <w:pPr>
        <w:pStyle w:val="Textodstavce"/>
      </w:pPr>
      <w:r w:rsidRPr="0076423E">
        <w:t xml:space="preserve">Dovozce předloží ministerstvu do 30 dnů ode dne doručení výzvy k provedení opatření k nápravě časově konkrétní a s ohledem na povahu tohoto opatření k nápravě přiměřený plán jejich provádění. </w:t>
      </w:r>
    </w:p>
    <w:p w:rsidR="00A51DEA" w:rsidRPr="00151E8F" w:rsidRDefault="00A51DEA" w:rsidP="00B85A72">
      <w:pPr>
        <w:pStyle w:val="Textodstavce"/>
        <w:rPr>
          <w:u w:val="single"/>
        </w:rPr>
      </w:pPr>
      <w:r w:rsidRPr="00151E8F">
        <w:t xml:space="preserve">Ministerstvo po ukončení kontroly zveřejní ve veřejném seznamu kontrol dostupném na internetových stránkách ministerstva po dobu 3 let název a identifikační číslo právnické osoby nebo jméno, případně jména, a příjmení, případně obchodní firmu a identifikační číslo podnikající fyzické osoby a výsledek kontroly. Výsledkem kontroly se rozumí údaj „dovozce splnil povinnosti stanovené nařízením Evropského parlamentu a Rady (EU) 2017/821“ nebo „dovozce nesplnil povinnosti stanovené nařízením Evropského parlamentu a Rady (EU) 2017/821“. </w:t>
      </w:r>
      <w:r w:rsidRPr="00151E8F">
        <w:rPr>
          <w:u w:val="single"/>
        </w:rPr>
        <w:t xml:space="preserve"> </w:t>
      </w:r>
    </w:p>
    <w:p w:rsidR="00A51DEA" w:rsidRPr="00151E8F" w:rsidRDefault="00A51DEA" w:rsidP="00B85A72">
      <w:pPr>
        <w:pStyle w:val="Textodstavce"/>
        <w:rPr>
          <w:u w:val="single"/>
        </w:rPr>
      </w:pPr>
      <w:r w:rsidRPr="00151E8F">
        <w:t>Ministerstvo</w:t>
      </w:r>
      <w:r w:rsidRPr="00306275">
        <w:t xml:space="preserve"> </w:t>
      </w:r>
      <w:r w:rsidRPr="00151E8F">
        <w:t>uchovává záznamy o kontrolách po dobu 5 let od ukončení kontroly</w:t>
      </w:r>
      <w:r>
        <w:t>.</w:t>
      </w:r>
    </w:p>
    <w:p w:rsidR="00A51DEA" w:rsidRPr="00306275" w:rsidRDefault="00A51DEA" w:rsidP="00B85A72">
      <w:pPr>
        <w:pStyle w:val="Nadpisparagrafu"/>
      </w:pPr>
      <w:r w:rsidRPr="00306275">
        <w:lastRenderedPageBreak/>
        <w:t>Přestupky</w:t>
      </w:r>
    </w:p>
    <w:p w:rsidR="00A51DEA" w:rsidRPr="001A5F78" w:rsidRDefault="00B85A72" w:rsidP="00B85A72">
      <w:pPr>
        <w:pStyle w:val="Paragraf"/>
        <w:rPr>
          <w:szCs w:val="24"/>
        </w:rPr>
      </w:pPr>
      <w:r>
        <w:t xml:space="preserve">§ </w:t>
      </w:r>
      <w:r w:rsidR="00A51DEA" w:rsidRPr="001A5F78">
        <w:rPr>
          <w:szCs w:val="24"/>
        </w:rPr>
        <w:t>6</w:t>
      </w:r>
    </w:p>
    <w:p w:rsidR="00A51DEA" w:rsidRPr="00B85A72" w:rsidRDefault="00A51DEA" w:rsidP="00B85A72">
      <w:pPr>
        <w:pStyle w:val="Textodstavce"/>
        <w:numPr>
          <w:ilvl w:val="6"/>
          <w:numId w:val="29"/>
        </w:numPr>
      </w:pPr>
      <w:r w:rsidRPr="00B85A72">
        <w:t>Fyzická, právnická nebo podnikající fyzická osoba uvedená v čl. 11 nařízení Rady</w:t>
      </w:r>
      <w:r w:rsidRPr="00B85A72" w:rsidDel="001C1F7A">
        <w:t xml:space="preserve"> </w:t>
      </w:r>
      <w:r w:rsidRPr="00B85A72">
        <w:t>(ES) č. 2271/96, která provádí operace v mezinárodním obchodu nebo pohybu kapitálu a související obchodní činnosti mezi Evropskou unií a třetími zeměmi, se dopustí přestupku tím, že</w:t>
      </w:r>
    </w:p>
    <w:p w:rsidR="00A51DEA" w:rsidRPr="0076423E" w:rsidRDefault="00A51DEA" w:rsidP="00B85A72">
      <w:pPr>
        <w:pStyle w:val="Textpsmene"/>
      </w:pPr>
      <w:r w:rsidRPr="0076423E">
        <w:t>neuvědomí Evropskou komisi nebo ministerstvo o skutečnostech uvedených v čl. 2 nařízení Rady (ES) č. 2271/96 nebo neposkytne Evropské komisi nebo ministerstvu všechny související informace, nebo</w:t>
      </w:r>
    </w:p>
    <w:p w:rsidR="00A51DEA" w:rsidRPr="0076423E" w:rsidRDefault="00A51DEA" w:rsidP="00B85A72">
      <w:pPr>
        <w:pStyle w:val="Textpsmene"/>
      </w:pPr>
      <w:r w:rsidRPr="0076423E">
        <w:t>poruší povinnost uvedenou v čl. 5 nařízení Rady (ES) č. 2271/96.</w:t>
      </w:r>
    </w:p>
    <w:p w:rsidR="00A51DEA" w:rsidRPr="0076423E" w:rsidRDefault="00A51DEA" w:rsidP="00B85A72">
      <w:pPr>
        <w:pStyle w:val="Textodstavce"/>
      </w:pPr>
      <w:r w:rsidRPr="0076423E">
        <w:t xml:space="preserve">Za přestupek podle odstavce 1 lze uložit pokutu </w:t>
      </w:r>
      <w:proofErr w:type="gramStart"/>
      <w:r w:rsidRPr="0076423E">
        <w:t>do</w:t>
      </w:r>
      <w:proofErr w:type="gramEnd"/>
      <w:r w:rsidRPr="0076423E">
        <w:t xml:space="preserve"> </w:t>
      </w:r>
    </w:p>
    <w:p w:rsidR="00A51DEA" w:rsidRPr="00271846" w:rsidRDefault="00A51DEA" w:rsidP="00B85A72">
      <w:pPr>
        <w:pStyle w:val="Textpsmene"/>
      </w:pPr>
      <w:r w:rsidRPr="00271846">
        <w:t>150 000 Kč, jde-li o přestupek podle odstavce 1 písm. a),</w:t>
      </w:r>
    </w:p>
    <w:p w:rsidR="00A51DEA" w:rsidRPr="00271846" w:rsidRDefault="00A51DEA" w:rsidP="00B85A72">
      <w:pPr>
        <w:pStyle w:val="Textpsmene"/>
      </w:pPr>
      <w:r w:rsidRPr="00271846">
        <w:t>450 000 Kč, jde-li o přestupek podle odstavce 1 písm. b).</w:t>
      </w:r>
    </w:p>
    <w:p w:rsidR="00A51DEA" w:rsidRDefault="00B85A72" w:rsidP="00B85A72">
      <w:pPr>
        <w:pStyle w:val="Paragraf"/>
        <w:rPr>
          <w:szCs w:val="24"/>
        </w:rPr>
      </w:pPr>
      <w:r>
        <w:t xml:space="preserve">§ </w:t>
      </w:r>
      <w:r w:rsidR="00A51DEA">
        <w:rPr>
          <w:szCs w:val="24"/>
        </w:rPr>
        <w:t>7</w:t>
      </w:r>
    </w:p>
    <w:p w:rsidR="00A51DEA" w:rsidRDefault="00A51DEA" w:rsidP="00B85A72">
      <w:pPr>
        <w:pStyle w:val="Textlnku"/>
      </w:pPr>
      <w:r>
        <w:t>Přestupky podle tohoto zákona projednává ministerstvo.</w:t>
      </w:r>
    </w:p>
    <w:p w:rsidR="00A51DEA" w:rsidRPr="00151E8F" w:rsidRDefault="00B85A72" w:rsidP="00B85A72">
      <w:pPr>
        <w:pStyle w:val="Paragraf"/>
        <w:rPr>
          <w:caps/>
          <w:szCs w:val="24"/>
        </w:rPr>
      </w:pPr>
      <w:r>
        <w:t>§</w:t>
      </w:r>
      <w:r w:rsidR="00A51DEA" w:rsidRPr="00151E8F">
        <w:rPr>
          <w:caps/>
          <w:szCs w:val="24"/>
        </w:rPr>
        <w:t xml:space="preserve"> 8</w:t>
      </w:r>
    </w:p>
    <w:p w:rsidR="00A51DEA" w:rsidRPr="00306275" w:rsidRDefault="00A51DEA" w:rsidP="00B85A72">
      <w:pPr>
        <w:pStyle w:val="Nadpisparagrafu"/>
      </w:pPr>
      <w:r w:rsidRPr="00306275">
        <w:t>Účinnost</w:t>
      </w:r>
    </w:p>
    <w:p w:rsidR="00A51DEA" w:rsidRDefault="00A51DEA" w:rsidP="00B85A72">
      <w:pPr>
        <w:pStyle w:val="Textlnku"/>
      </w:pPr>
      <w:r w:rsidRPr="0076423E">
        <w:t>Tento zákon nabývá účinnosti patnáctým dnem po jeho vyhlášení</w:t>
      </w:r>
      <w:r w:rsidR="009905D1">
        <w:t>.</w:t>
      </w:r>
      <w:r w:rsidRPr="0076423E">
        <w:t xml:space="preserve"> </w:t>
      </w:r>
    </w:p>
    <w:sectPr w:rsidR="00A51DEA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DEA" w:rsidRDefault="00A51DEA">
      <w:r>
        <w:separator/>
      </w:r>
    </w:p>
  </w:endnote>
  <w:endnote w:type="continuationSeparator" w:id="0">
    <w:p w:rsidR="00A51DEA" w:rsidRDefault="00A5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DEA" w:rsidRDefault="00A51DEA">
      <w:r>
        <w:separator/>
      </w:r>
    </w:p>
  </w:footnote>
  <w:footnote w:type="continuationSeparator" w:id="0">
    <w:p w:rsidR="00A51DEA" w:rsidRDefault="00A51DEA">
      <w:r>
        <w:continuationSeparator/>
      </w:r>
    </w:p>
  </w:footnote>
  <w:footnote w:id="1">
    <w:p w:rsidR="00A51DEA" w:rsidRPr="004C6B21" w:rsidRDefault="00A51DEA" w:rsidP="002A7287">
      <w:pPr>
        <w:pStyle w:val="Textpoznpodarou"/>
        <w:tabs>
          <w:tab w:val="clear" w:pos="425"/>
          <w:tab w:val="left" w:pos="142"/>
        </w:tabs>
        <w:ind w:left="142" w:hanging="142"/>
      </w:pPr>
      <w:r w:rsidRPr="00B8706D">
        <w:rPr>
          <w:rStyle w:val="Znakapoznpodarou"/>
        </w:rPr>
        <w:t>1)</w:t>
      </w:r>
      <w:r w:rsidRPr="00B8706D">
        <w:t xml:space="preserve"> </w:t>
      </w:r>
      <w:r w:rsidRPr="000E25E8">
        <w:t>Nařízení Evropského parlamentu a Rady (EU)</w:t>
      </w:r>
      <w:r>
        <w:t xml:space="preserve"> </w:t>
      </w:r>
      <w:r w:rsidRPr="000E25E8">
        <w:t>2017/821</w:t>
      </w:r>
      <w:r>
        <w:t xml:space="preserve"> ze dne 17. května 2017</w:t>
      </w:r>
      <w:r w:rsidRPr="000E25E8">
        <w:t xml:space="preserve">, kterým se stanoví povinnosti náležité péče v dodavatelském řetězci pro unijní dovozce cínu, tantalu a wolframu, jejich rud </w:t>
      </w:r>
      <w:r w:rsidRPr="004C6B21">
        <w:t>a zlata pocházejících z oblastí postižených konfliktem a vysoce rizikových oblastí.</w:t>
      </w:r>
    </w:p>
    <w:p w:rsidR="00A51DEA" w:rsidRPr="004C6B21" w:rsidRDefault="00A51DEA" w:rsidP="002A7287">
      <w:pPr>
        <w:pStyle w:val="Textpoznpodarou"/>
        <w:tabs>
          <w:tab w:val="clear" w:pos="425"/>
          <w:tab w:val="left" w:pos="142"/>
        </w:tabs>
        <w:ind w:left="142" w:firstLine="0"/>
      </w:pPr>
      <w:r w:rsidRPr="004C6B21">
        <w:t xml:space="preserve">Nařízení Rady (ES) č. 2271/96 </w:t>
      </w:r>
      <w:r w:rsidRPr="002530C2">
        <w:t xml:space="preserve">ze dne 22. listopadu 1996 </w:t>
      </w:r>
      <w:r w:rsidRPr="004C6B21">
        <w:t>o ochraně proti účinkům právních předpisů přijatých určitou třetí zemí uplatňovaných mimo její území, jakož i proti účinkům opatření na nich založených nebo z nich vyplývajících</w:t>
      </w:r>
      <w:r>
        <w:t>, v platném znění</w:t>
      </w:r>
      <w:r w:rsidRPr="004C6B21">
        <w:t>.</w:t>
      </w:r>
    </w:p>
    <w:p w:rsidR="00A51DEA" w:rsidRPr="00B8706D" w:rsidRDefault="00A51DEA" w:rsidP="00A51DEA">
      <w:pPr>
        <w:pStyle w:val="Textpoznpodarou"/>
      </w:pPr>
    </w:p>
  </w:footnote>
  <w:footnote w:id="2">
    <w:p w:rsidR="00A51DEA" w:rsidRPr="00B8706D" w:rsidRDefault="00A51DEA" w:rsidP="00A51DEA">
      <w:pPr>
        <w:pStyle w:val="Textpoznpodarou"/>
      </w:pPr>
      <w:r>
        <w:rPr>
          <w:rStyle w:val="Znakapoznpodarou"/>
        </w:rPr>
        <w:t>2)</w:t>
      </w:r>
      <w:r>
        <w:t xml:space="preserve"> </w:t>
      </w:r>
      <w:r w:rsidRPr="002732DE">
        <w:t>Čl</w:t>
      </w:r>
      <w:r>
        <w:t>.</w:t>
      </w:r>
      <w:r w:rsidRPr="002732DE">
        <w:t xml:space="preserve"> 2 písm. l) nařízení </w:t>
      </w:r>
      <w:r w:rsidRPr="000E25E8">
        <w:t>Evropského parlamentu a Rady (EU) 2017/821.</w:t>
      </w:r>
    </w:p>
    <w:p w:rsidR="00A51DEA" w:rsidRDefault="00A51DEA" w:rsidP="00A51DE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CD5" w:rsidRDefault="00A51DE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84CD5" w:rsidRDefault="00B84C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CD5" w:rsidRDefault="00A51DE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6EC6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B84CD5" w:rsidRDefault="00B84C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294755B5"/>
    <w:multiLevelType w:val="hybridMultilevel"/>
    <w:tmpl w:val="A720180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5437B7"/>
    <w:multiLevelType w:val="hybridMultilevel"/>
    <w:tmpl w:val="2878C6F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4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85B582A"/>
    <w:multiLevelType w:val="hybridMultilevel"/>
    <w:tmpl w:val="021E748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1" w15:restartNumberingAfterBreak="0">
    <w:nsid w:val="6C374CC0"/>
    <w:multiLevelType w:val="hybridMultilevel"/>
    <w:tmpl w:val="49F8195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3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0"/>
  </w:num>
  <w:num w:numId="5">
    <w:abstractNumId w:val="20"/>
  </w:num>
  <w:num w:numId="6">
    <w:abstractNumId w:val="21"/>
  </w:num>
  <w:num w:numId="7">
    <w:abstractNumId w:val="7"/>
  </w:num>
  <w:num w:numId="8">
    <w:abstractNumId w:val="6"/>
  </w:num>
  <w:num w:numId="9">
    <w:abstractNumId w:val="16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23"/>
  </w:num>
  <w:num w:numId="15">
    <w:abstractNumId w:val="12"/>
  </w:num>
  <w:num w:numId="16">
    <w:abstractNumId w:val="19"/>
  </w:num>
  <w:num w:numId="17">
    <w:abstractNumId w:val="11"/>
  </w:num>
  <w:num w:numId="18">
    <w:abstractNumId w:val="18"/>
  </w:num>
  <w:num w:numId="19">
    <w:abstractNumId w:val="4"/>
  </w:num>
  <w:num w:numId="20">
    <w:abstractNumId w:val="14"/>
  </w:num>
  <w:num w:numId="21">
    <w:abstractNumId w:val="22"/>
  </w:num>
  <w:num w:numId="22">
    <w:abstractNumId w:val="15"/>
  </w:num>
  <w:num w:numId="23">
    <w:abstractNumId w:val="13"/>
  </w:num>
  <w:num w:numId="24">
    <w:abstractNumId w:val="15"/>
    <w:lvlOverride w:ilvl="0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51DEA"/>
    <w:rsid w:val="000D5CA1"/>
    <w:rsid w:val="002A7287"/>
    <w:rsid w:val="00556EC6"/>
    <w:rsid w:val="00721299"/>
    <w:rsid w:val="009905D1"/>
    <w:rsid w:val="00A51DEA"/>
    <w:rsid w:val="00B84CD5"/>
    <w:rsid w:val="00B8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A48BB-8552-4F1D-83DA-B338036C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5CA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0D5CA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0D5CA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D5CA1"/>
  </w:style>
  <w:style w:type="paragraph" w:styleId="Zhlav">
    <w:name w:val="header"/>
    <w:basedOn w:val="Normln"/>
    <w:semiHidden/>
    <w:rsid w:val="000D5CA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D5CA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D5CA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D5CA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D5CA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D5CA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D5CA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D5CA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D5CA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D5CA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D5CA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D5CA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D5CA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D5CA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D5CA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D5CA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D5CA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D5CA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D5CA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D5CA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D5CA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D5CA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D5CA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D5CA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D5CA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0D5CA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0D5CA1"/>
    <w:rPr>
      <w:vertAlign w:val="superscript"/>
    </w:rPr>
  </w:style>
  <w:style w:type="paragraph" w:styleId="Odstavecseseznamem">
    <w:name w:val="List Paragraph"/>
    <w:basedOn w:val="Normln"/>
    <w:uiPriority w:val="99"/>
    <w:unhideWhenUsed/>
    <w:qFormat/>
    <w:rsid w:val="00A51DEA"/>
    <w:pPr>
      <w:ind w:left="720"/>
      <w:contextualSpacing/>
    </w:pPr>
  </w:style>
  <w:style w:type="paragraph" w:customStyle="1" w:styleId="Textodstavce">
    <w:name w:val="Text odstavce"/>
    <w:basedOn w:val="Normln"/>
    <w:rsid w:val="000D5CA1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D5CA1"/>
    <w:pPr>
      <w:ind w:left="567" w:hanging="567"/>
    </w:pPr>
  </w:style>
  <w:style w:type="character" w:styleId="slostrnky">
    <w:name w:val="page number"/>
    <w:basedOn w:val="Standardnpsmoodstavce"/>
    <w:semiHidden/>
    <w:rsid w:val="000D5CA1"/>
  </w:style>
  <w:style w:type="paragraph" w:styleId="Zpat">
    <w:name w:val="footer"/>
    <w:basedOn w:val="Normln"/>
    <w:semiHidden/>
    <w:rsid w:val="000D5CA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0D5CA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0D5CA1"/>
    <w:rPr>
      <w:vertAlign w:val="superscript"/>
    </w:rPr>
  </w:style>
  <w:style w:type="paragraph" w:styleId="Titulek">
    <w:name w:val="caption"/>
    <w:basedOn w:val="Normln"/>
    <w:next w:val="Normln"/>
    <w:qFormat/>
    <w:rsid w:val="000D5CA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D5CA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D5CA1"/>
    <w:pPr>
      <w:keepNext/>
      <w:keepLines/>
      <w:spacing w:before="720"/>
      <w:jc w:val="center"/>
    </w:pPr>
  </w:style>
  <w:style w:type="paragraph" w:customStyle="1" w:styleId="odstavec">
    <w:name w:val="odstavec"/>
    <w:basedOn w:val="Normln"/>
    <w:link w:val="odstavecChar"/>
    <w:rsid w:val="00A51DEA"/>
    <w:pPr>
      <w:spacing w:after="120"/>
      <w:ind w:firstLine="709"/>
    </w:pPr>
    <w:rPr>
      <w:szCs w:val="24"/>
    </w:rPr>
  </w:style>
  <w:style w:type="paragraph" w:customStyle="1" w:styleId="VARIANTA">
    <w:name w:val="VARIANTA"/>
    <w:basedOn w:val="Normln"/>
    <w:next w:val="Normln"/>
    <w:rsid w:val="000D5CA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D5CA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D5CA1"/>
    <w:rPr>
      <w:b/>
    </w:rPr>
  </w:style>
  <w:style w:type="paragraph" w:customStyle="1" w:styleId="Nadpislnku">
    <w:name w:val="Nadpis článku"/>
    <w:basedOn w:val="lnek"/>
    <w:next w:val="Textodstavce"/>
    <w:rsid w:val="000D5CA1"/>
    <w:rPr>
      <w:b/>
    </w:rPr>
  </w:style>
  <w:style w:type="character" w:customStyle="1" w:styleId="odstavecChar">
    <w:name w:val="odstavec Char"/>
    <w:link w:val="odstavec"/>
    <w:rsid w:val="00A51DEA"/>
    <w:rPr>
      <w:sz w:val="24"/>
      <w:szCs w:val="24"/>
    </w:rPr>
  </w:style>
  <w:style w:type="character" w:customStyle="1" w:styleId="TextpoznpodarouChar">
    <w:name w:val="Text pozn. pod čarou Char"/>
    <w:link w:val="Textpoznpodarou"/>
    <w:semiHidden/>
    <w:rsid w:val="00A5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28</TotalTime>
  <Pages>3</Pages>
  <Words>738</Words>
  <Characters>4174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5</cp:revision>
  <cp:lastPrinted>2021-01-29T13:03:00Z</cp:lastPrinted>
  <dcterms:created xsi:type="dcterms:W3CDTF">2021-01-27T08:57:00Z</dcterms:created>
  <dcterms:modified xsi:type="dcterms:W3CDTF">2021-01-29T13:03:00Z</dcterms:modified>
  <cp:category/>
</cp:coreProperties>
</file>