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636C45" w:rsidRDefault="000C6893">
      <w:pPr>
        <w:pStyle w:val="Nadpis"/>
        <w:spacing w:before="0" w:after="0"/>
        <w:jc w:val="center"/>
        <w:rPr>
          <w:b/>
          <w:bCs/>
          <w:sz w:val="22"/>
        </w:rPr>
      </w:pPr>
      <w:r>
        <w:rPr>
          <w:b/>
          <w:bCs/>
          <w:sz w:val="24"/>
        </w:rPr>
        <w:t xml:space="preserve">k </w:t>
      </w:r>
      <w:r w:rsidR="00636C45">
        <w:rPr>
          <w:b/>
          <w:bCs/>
          <w:sz w:val="24"/>
        </w:rPr>
        <w:t>v</w:t>
      </w:r>
      <w:r w:rsidR="00636C45" w:rsidRPr="00636C45">
        <w:rPr>
          <w:b/>
          <w:sz w:val="24"/>
          <w:shd w:val="clear" w:color="auto" w:fill="FFFFFF"/>
        </w:rPr>
        <w:t>ládní</w:t>
      </w:r>
      <w:r w:rsidR="00636C45">
        <w:rPr>
          <w:b/>
          <w:sz w:val="24"/>
          <w:shd w:val="clear" w:color="auto" w:fill="FFFFFF"/>
        </w:rPr>
        <w:t>mu</w:t>
      </w:r>
      <w:r w:rsidR="00636C45" w:rsidRPr="00636C45">
        <w:rPr>
          <w:b/>
          <w:sz w:val="24"/>
          <w:shd w:val="clear" w:color="auto" w:fill="FFFFFF"/>
        </w:rPr>
        <w:t xml:space="preserve"> návrh</w:t>
      </w:r>
      <w:r w:rsidR="00636C45">
        <w:rPr>
          <w:b/>
          <w:sz w:val="24"/>
          <w:shd w:val="clear" w:color="auto" w:fill="FFFFFF"/>
        </w:rPr>
        <w:t>u</w:t>
      </w:r>
      <w:r w:rsidR="00636C45" w:rsidRPr="00636C45">
        <w:rPr>
          <w:b/>
          <w:sz w:val="24"/>
          <w:shd w:val="clear" w:color="auto" w:fill="FFFFFF"/>
        </w:rPr>
        <w:t xml:space="preserve"> zákona, kterým se mění zákon č. 89/2012 Sb., občanský zákoník, </w:t>
      </w:r>
      <w:r w:rsidR="00636C45">
        <w:rPr>
          <w:b/>
          <w:sz w:val="24"/>
          <w:shd w:val="clear" w:color="auto" w:fill="FFFFFF"/>
        </w:rPr>
        <w:br/>
      </w:r>
      <w:r w:rsidR="00636C45" w:rsidRPr="00636C45">
        <w:rPr>
          <w:b/>
          <w:sz w:val="24"/>
          <w:shd w:val="clear" w:color="auto" w:fill="FFFFFF"/>
        </w:rPr>
        <w:t xml:space="preserve">ve znění pozdějších předpisů, a zákon č. 99/1963 Sb., občanský soudní řád, </w:t>
      </w:r>
      <w:r w:rsidR="00636C45">
        <w:rPr>
          <w:b/>
          <w:sz w:val="24"/>
          <w:shd w:val="clear" w:color="auto" w:fill="FFFFFF"/>
        </w:rPr>
        <w:br/>
      </w:r>
      <w:r w:rsidR="00636C45" w:rsidRPr="00636C45">
        <w:rPr>
          <w:b/>
          <w:sz w:val="24"/>
          <w:shd w:val="clear" w:color="auto" w:fill="FFFFFF"/>
        </w:rPr>
        <w:t>ve znění pozdějších předpisů</w:t>
      </w:r>
    </w:p>
    <w:p w:rsidR="000C6893" w:rsidRDefault="000C6893" w:rsidP="00636C45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636C45">
        <w:rPr>
          <w:b/>
          <w:bCs/>
          <w:sz w:val="24"/>
        </w:rPr>
        <w:t>984)</w:t>
      </w: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</w:t>
      </w:r>
      <w:r w:rsidR="00636C45">
        <w:t xml:space="preserve">ústavně právního výboru </w:t>
      </w:r>
      <w:r>
        <w:t>č.</w:t>
      </w:r>
      <w:r w:rsidR="00636C45">
        <w:t> 247</w:t>
      </w:r>
      <w:r>
        <w:t xml:space="preserve"> z</w:t>
      </w:r>
      <w:r w:rsidR="00636C45">
        <w:t>e 77</w:t>
      </w:r>
      <w:r>
        <w:t xml:space="preserve">. schůze konané dne </w:t>
      </w:r>
      <w:r w:rsidR="00636C45">
        <w:t>6. ledna 2021</w:t>
      </w:r>
      <w:r>
        <w:t xml:space="preserve"> (tisk </w:t>
      </w:r>
      <w:r w:rsidR="00636C45">
        <w:t>984</w:t>
      </w:r>
      <w:r>
        <w:t>/</w:t>
      </w:r>
      <w:r w:rsidR="00EA50C9">
        <w:t>1</w:t>
      </w:r>
      <w:r>
        <w:t>)</w:t>
      </w:r>
    </w:p>
    <w:p w:rsidR="000C6893" w:rsidRDefault="000C6893"/>
    <w:p w:rsidR="00636C45" w:rsidRDefault="009C3468" w:rsidP="00636C45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 w:rsidRPr="009C3468">
        <w:rPr>
          <w:b/>
        </w:rPr>
        <w:t>A</w:t>
      </w:r>
      <w:r w:rsidR="00636C45" w:rsidRPr="009C3468">
        <w:rPr>
          <w:b/>
        </w:rPr>
        <w:t>1.</w:t>
      </w:r>
      <w:r w:rsidR="00636C45">
        <w:t xml:space="preserve"> </w:t>
      </w:r>
      <w:r w:rsidR="00636C45">
        <w:tab/>
      </w:r>
      <w:r w:rsidR="00636C45">
        <w:rPr>
          <w:u w:val="single"/>
        </w:rPr>
        <w:t>v části první, čl. II bodě 1</w:t>
      </w:r>
    </w:p>
    <w:p w:rsidR="00636C45" w:rsidRDefault="00636C45" w:rsidP="00636C45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ab/>
        <w:t>slova „nabyla plné svéprávnosti“ se nahrazují slovy „dovršila dvacátý první rok věku“,</w:t>
      </w:r>
    </w:p>
    <w:p w:rsidR="00636C45" w:rsidRDefault="00636C45" w:rsidP="00636C45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636C45" w:rsidRDefault="009C3468" w:rsidP="00636C45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 w:rsidRPr="009C3468">
        <w:rPr>
          <w:b/>
        </w:rPr>
        <w:t>A</w:t>
      </w:r>
      <w:r w:rsidR="00636C45" w:rsidRPr="009C3468">
        <w:rPr>
          <w:b/>
        </w:rPr>
        <w:t>2.</w:t>
      </w:r>
      <w:r w:rsidR="00636C45">
        <w:tab/>
      </w:r>
      <w:r w:rsidR="00636C45">
        <w:rPr>
          <w:u w:val="single"/>
        </w:rPr>
        <w:t>v části první, čl. II bodě 3</w:t>
      </w:r>
    </w:p>
    <w:p w:rsidR="00636C45" w:rsidRDefault="00636C45" w:rsidP="00636C45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ab/>
        <w:t xml:space="preserve">slova „nabyla plné svéprávnosti“ se nahrazují slovy „dovršila dvacátý první rok věku“, </w:t>
      </w:r>
    </w:p>
    <w:p w:rsidR="00636C45" w:rsidRDefault="00636C45" w:rsidP="00636C45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636C45" w:rsidRDefault="009C3468" w:rsidP="00636C45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u w:val="single"/>
        </w:rPr>
      </w:pPr>
      <w:r w:rsidRPr="009C3468">
        <w:rPr>
          <w:b/>
        </w:rPr>
        <w:t>A</w:t>
      </w:r>
      <w:r w:rsidR="00636C45" w:rsidRPr="009C3468">
        <w:rPr>
          <w:b/>
        </w:rPr>
        <w:t>3.</w:t>
      </w:r>
      <w:r w:rsidR="00636C45">
        <w:t xml:space="preserve">  </w:t>
      </w:r>
      <w:r w:rsidR="00636C45">
        <w:rPr>
          <w:u w:val="single"/>
        </w:rPr>
        <w:t xml:space="preserve"> v části druhé, čl. III se za bod 5 vkládá nový novelizační bod, který zní:</w:t>
      </w:r>
    </w:p>
    <w:p w:rsidR="00636C45" w:rsidRDefault="00636C45" w:rsidP="00636C45">
      <w:pPr>
        <w:rPr>
          <w:rFonts w:eastAsia="Times New Roman"/>
          <w:color w:val="000000"/>
          <w:lang w:eastAsia="cs-CZ"/>
        </w:rPr>
      </w:pPr>
      <w:r>
        <w:tab/>
        <w:t xml:space="preserve">„X. </w:t>
      </w:r>
      <w:r>
        <w:rPr>
          <w:rFonts w:eastAsia="Times New Roman"/>
          <w:color w:val="000000"/>
          <w:lang w:eastAsia="cs-CZ"/>
        </w:rPr>
        <w:t>§ 176 zní:</w:t>
      </w:r>
    </w:p>
    <w:p w:rsidR="00636C45" w:rsidRDefault="00636C45" w:rsidP="00636C45">
      <w:pPr>
        <w:ind w:firstLine="708"/>
        <w:jc w:val="center"/>
        <w:rPr>
          <w:bCs/>
          <w:color w:val="000000"/>
        </w:rPr>
      </w:pPr>
    </w:p>
    <w:p w:rsidR="00636C45" w:rsidRDefault="00636C45" w:rsidP="00636C45">
      <w:pPr>
        <w:ind w:firstLine="708"/>
        <w:jc w:val="center"/>
        <w:rPr>
          <w:rFonts w:eastAsia="Times New Roman"/>
          <w:color w:val="000000"/>
          <w:lang w:eastAsia="cs-CZ"/>
        </w:rPr>
      </w:pPr>
      <w:r>
        <w:rPr>
          <w:bCs/>
          <w:color w:val="000000"/>
        </w:rPr>
        <w:t>„</w:t>
      </w:r>
      <w:r>
        <w:rPr>
          <w:rFonts w:eastAsia="Times New Roman"/>
          <w:color w:val="000000"/>
          <w:lang w:eastAsia="cs-CZ"/>
        </w:rPr>
        <w:t>§ 176</w:t>
      </w:r>
    </w:p>
    <w:p w:rsidR="00636C45" w:rsidRDefault="00636C45" w:rsidP="00636C45">
      <w:pPr>
        <w:ind w:left="709" w:firstLine="425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 xml:space="preserve">Ustanovení § 177 až 180 se použijí, je-li z žaloby zřejmé, že se žalobce domáhá ochrany rušené držby. Žalobce žalobu označí jako žalobu z rušené držby. Ustanovení </w:t>
      </w:r>
      <w:r>
        <w:rPr>
          <w:rFonts w:eastAsia="Times New Roman"/>
          <w:bCs/>
          <w:color w:val="000000"/>
          <w:lang w:eastAsia="cs-CZ"/>
        </w:rPr>
        <w:br/>
        <w:t>§ 41 odst. 2 tím není dotčeno.“.“,</w:t>
      </w:r>
    </w:p>
    <w:p w:rsidR="00636C45" w:rsidRDefault="00636C45" w:rsidP="00636C45">
      <w:pPr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636C45" w:rsidRDefault="00636C45" w:rsidP="00636C45">
      <w:pPr>
        <w:ind w:left="708" w:firstLine="425"/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>Následující body se přeznačí.</w:t>
      </w:r>
    </w:p>
    <w:p w:rsidR="00636C45" w:rsidRDefault="00636C45" w:rsidP="00636C45">
      <w:pPr>
        <w:ind w:left="708" w:firstLine="425"/>
        <w:jc w:val="both"/>
        <w:rPr>
          <w:rFonts w:eastAsia="Times New Roman"/>
          <w:bCs/>
          <w:color w:val="000000"/>
          <w:lang w:eastAsia="cs-CZ"/>
        </w:rPr>
      </w:pPr>
    </w:p>
    <w:p w:rsidR="00636C45" w:rsidRDefault="009C3468" w:rsidP="00443D84">
      <w:pPr>
        <w:tabs>
          <w:tab w:val="left" w:pos="426"/>
        </w:tabs>
        <w:ind w:left="426"/>
        <w:jc w:val="both"/>
        <w:rPr>
          <w:rFonts w:eastAsia="Times New Roman"/>
          <w:bCs/>
          <w:color w:val="000000"/>
          <w:u w:val="single"/>
          <w:lang w:eastAsia="cs-CZ"/>
        </w:rPr>
      </w:pPr>
      <w:r w:rsidRPr="009C3468">
        <w:rPr>
          <w:rFonts w:eastAsia="Times New Roman"/>
          <w:b/>
          <w:bCs/>
          <w:color w:val="000000"/>
          <w:lang w:eastAsia="cs-CZ"/>
        </w:rPr>
        <w:t>A</w:t>
      </w:r>
      <w:r w:rsidR="00636C45" w:rsidRPr="009C3468">
        <w:rPr>
          <w:rFonts w:eastAsia="Times New Roman"/>
          <w:b/>
          <w:bCs/>
          <w:color w:val="000000"/>
          <w:lang w:eastAsia="cs-CZ"/>
        </w:rPr>
        <w:t>4.</w:t>
      </w:r>
      <w:r w:rsidR="00636C45">
        <w:rPr>
          <w:rFonts w:eastAsia="Times New Roman"/>
          <w:bCs/>
          <w:color w:val="000000"/>
          <w:lang w:eastAsia="cs-CZ"/>
        </w:rPr>
        <w:t xml:space="preserve"> </w:t>
      </w:r>
      <w:r w:rsidR="00636C45">
        <w:rPr>
          <w:rFonts w:eastAsia="Times New Roman"/>
          <w:bCs/>
          <w:color w:val="000000"/>
          <w:lang w:eastAsia="cs-CZ"/>
        </w:rPr>
        <w:tab/>
      </w:r>
      <w:r w:rsidR="00636C45">
        <w:rPr>
          <w:rFonts w:eastAsia="Times New Roman"/>
          <w:bCs/>
          <w:color w:val="000000"/>
          <w:u w:val="single"/>
          <w:lang w:eastAsia="cs-CZ"/>
        </w:rPr>
        <w:t>v části druhé, čl. IV bodě 2</w:t>
      </w:r>
    </w:p>
    <w:p w:rsidR="00636C45" w:rsidRDefault="00636C45" w:rsidP="00636C45">
      <w:pPr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ab/>
        <w:t xml:space="preserve">slova „nabyla plné svéprávnosti“ se nahrazují slovy „dovršila dvacátý první rok věku“, </w:t>
      </w:r>
    </w:p>
    <w:p w:rsidR="00636C45" w:rsidRDefault="00636C45" w:rsidP="00636C45">
      <w:pPr>
        <w:jc w:val="both"/>
        <w:rPr>
          <w:rFonts w:eastAsia="Times New Roman"/>
          <w:bCs/>
          <w:color w:val="000000"/>
          <w:lang w:eastAsia="cs-CZ"/>
        </w:rPr>
      </w:pPr>
    </w:p>
    <w:p w:rsidR="00636C45" w:rsidRDefault="00636C45" w:rsidP="00636C45">
      <w:pPr>
        <w:ind w:firstLine="284"/>
        <w:jc w:val="both"/>
        <w:rPr>
          <w:rFonts w:eastAsia="Times New Roman"/>
          <w:bCs/>
          <w:color w:val="000000"/>
          <w:lang w:eastAsia="cs-CZ"/>
        </w:rPr>
      </w:pPr>
    </w:p>
    <w:p w:rsidR="00636C45" w:rsidRDefault="009C3468" w:rsidP="00443D84">
      <w:pPr>
        <w:ind w:firstLine="426"/>
        <w:jc w:val="both"/>
        <w:rPr>
          <w:rFonts w:eastAsia="Times New Roman"/>
          <w:bCs/>
          <w:color w:val="000000"/>
          <w:u w:val="single"/>
          <w:lang w:eastAsia="cs-CZ"/>
        </w:rPr>
      </w:pPr>
      <w:r w:rsidRPr="009C3468">
        <w:rPr>
          <w:rFonts w:eastAsia="Times New Roman"/>
          <w:b/>
          <w:bCs/>
          <w:color w:val="000000"/>
          <w:lang w:eastAsia="cs-CZ"/>
        </w:rPr>
        <w:t>A</w:t>
      </w:r>
      <w:r w:rsidR="00636C45" w:rsidRPr="009C3468">
        <w:rPr>
          <w:rFonts w:eastAsia="Times New Roman"/>
          <w:b/>
          <w:bCs/>
          <w:color w:val="000000"/>
          <w:lang w:eastAsia="cs-CZ"/>
        </w:rPr>
        <w:t>5</w:t>
      </w:r>
      <w:r w:rsidR="00636C45">
        <w:rPr>
          <w:rFonts w:eastAsia="Times New Roman"/>
          <w:bCs/>
          <w:color w:val="000000"/>
          <w:lang w:eastAsia="cs-CZ"/>
        </w:rPr>
        <w:t xml:space="preserve">. </w:t>
      </w:r>
      <w:r w:rsidR="00636C45">
        <w:rPr>
          <w:rFonts w:eastAsia="Times New Roman"/>
          <w:bCs/>
          <w:color w:val="000000"/>
          <w:lang w:eastAsia="cs-CZ"/>
        </w:rPr>
        <w:tab/>
      </w:r>
      <w:r w:rsidR="00636C45">
        <w:rPr>
          <w:rFonts w:eastAsia="Times New Roman"/>
          <w:bCs/>
          <w:color w:val="000000"/>
          <w:u w:val="single"/>
          <w:lang w:eastAsia="cs-CZ"/>
        </w:rPr>
        <w:t>v části třetí, čl. V</w:t>
      </w:r>
    </w:p>
    <w:p w:rsidR="00636C45" w:rsidRDefault="00636C45" w:rsidP="00636C45">
      <w:pPr>
        <w:jc w:val="both"/>
        <w:rPr>
          <w:rFonts w:eastAsia="Times New Roman"/>
          <w:bCs/>
          <w:color w:val="000000"/>
          <w:lang w:eastAsia="cs-CZ"/>
        </w:rPr>
      </w:pPr>
      <w:r>
        <w:rPr>
          <w:rFonts w:eastAsia="Times New Roman"/>
          <w:bCs/>
          <w:color w:val="000000"/>
          <w:lang w:eastAsia="cs-CZ"/>
        </w:rPr>
        <w:tab/>
        <w:t xml:space="preserve">slova „1. ledna 2021“ se nahrazují slovy „1. července 2021“, </w:t>
      </w:r>
    </w:p>
    <w:p w:rsidR="00636C45" w:rsidRDefault="00636C45" w:rsidP="00636C45">
      <w:pPr>
        <w:jc w:val="both"/>
        <w:rPr>
          <w:rFonts w:eastAsia="Times New Roman"/>
          <w:bCs/>
          <w:color w:val="000000"/>
          <w:lang w:eastAsia="cs-CZ"/>
        </w:rPr>
      </w:pP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303D88">
        <w:rPr>
          <w:b/>
        </w:rPr>
        <w:t>10. února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E951C6">
        <w:t xml:space="preserve"> Marek Výbor</w:t>
      </w:r>
      <w:r w:rsidR="00EA50C9">
        <w:t>n</w:t>
      </w:r>
      <w:r w:rsidR="00E951C6">
        <w:t>ý</w:t>
      </w:r>
    </w:p>
    <w:p w:rsidR="000C6893" w:rsidRPr="00E951C6" w:rsidRDefault="00E951C6">
      <w:pPr>
        <w:rPr>
          <w:i/>
        </w:rPr>
      </w:pPr>
      <w:r w:rsidRPr="00E951C6">
        <w:rPr>
          <w:i/>
        </w:rPr>
        <w:t>SD 7330</w:t>
      </w:r>
    </w:p>
    <w:p w:rsidR="00443D84" w:rsidRPr="00866B6C" w:rsidRDefault="00443D84" w:rsidP="00443D84">
      <w:pPr>
        <w:rPr>
          <w:rFonts w:eastAsia="Calibri"/>
          <w:bCs/>
        </w:rPr>
      </w:pPr>
      <w:r w:rsidRPr="00866B6C">
        <w:t>V části první v čl. II (Přechodná ustanovení) se za bod 4. vkládá nový bod 5., který zní:</w:t>
      </w:r>
    </w:p>
    <w:p w:rsidR="00443D84" w:rsidRPr="00866B6C" w:rsidRDefault="00443D84" w:rsidP="00443D84"/>
    <w:p w:rsidR="00443D84" w:rsidRPr="00866B6C" w:rsidRDefault="00443D84" w:rsidP="00443D84">
      <w:pPr>
        <w:jc w:val="both"/>
      </w:pPr>
      <w:r w:rsidRPr="00866B6C">
        <w:t>„5. Prominutí, upuštění od vymáhání nebo jiný úkon věřitele směřující k zániku nebo snížení dobytnosti dluhu vzniklého přede dnem nabytí účinnosti tohoto zákona osobě, která v době vzniku tohoto dluhu nenabyla plné svéprávnosti, se nepovažuje za porušení povinností spojených se správou majetku.“.</w:t>
      </w:r>
    </w:p>
    <w:p w:rsidR="000C6893" w:rsidRDefault="000C6893"/>
    <w:p w:rsidR="000C6893" w:rsidRDefault="00E951C6" w:rsidP="00E951C6">
      <w:pPr>
        <w:pStyle w:val="PNposlanec"/>
      </w:pPr>
      <w:r>
        <w:t>Poslankyně Kateřina Valachová</w:t>
      </w:r>
    </w:p>
    <w:p w:rsidR="000C6893" w:rsidRPr="00E951C6" w:rsidRDefault="00E951C6">
      <w:pPr>
        <w:rPr>
          <w:i/>
        </w:rPr>
      </w:pPr>
      <w:r w:rsidRPr="00E951C6">
        <w:rPr>
          <w:i/>
        </w:rPr>
        <w:t>SD 7404</w:t>
      </w:r>
    </w:p>
    <w:p w:rsidR="00443D84" w:rsidRPr="00643DDE" w:rsidRDefault="00443D84" w:rsidP="00313F41">
      <w:pPr>
        <w:widowControl/>
        <w:suppressAutoHyphens w:val="0"/>
        <w:jc w:val="both"/>
      </w:pPr>
      <w:r w:rsidRPr="00643DDE">
        <w:t>I.</w:t>
      </w:r>
      <w:r>
        <w:t xml:space="preserve"> </w:t>
      </w:r>
      <w:r w:rsidRPr="00643DDE">
        <w:t xml:space="preserve">Na konci názvu zákona se doplňují </w:t>
      </w:r>
      <w:proofErr w:type="gramStart"/>
      <w:r w:rsidRPr="00643DDE">
        <w:t>slova „</w:t>
      </w:r>
      <w:r w:rsidR="00313F41">
        <w:t xml:space="preserve"> </w:t>
      </w:r>
      <w:r w:rsidRPr="00313F41">
        <w:rPr>
          <w:b/>
        </w:rPr>
        <w:t>,</w:t>
      </w:r>
      <w:r w:rsidRPr="00643DDE">
        <w:t xml:space="preserve"> </w:t>
      </w:r>
      <w:r w:rsidRPr="00313F41">
        <w:rPr>
          <w:b/>
        </w:rPr>
        <w:t>a zákon</w:t>
      </w:r>
      <w:proofErr w:type="gramEnd"/>
      <w:r w:rsidRPr="00313F41">
        <w:rPr>
          <w:b/>
        </w:rPr>
        <w:t xml:space="preserve"> č. 292/2013 Sb., o zvláštních řízeních soudních, ve znění pozdějších předpisů</w:t>
      </w:r>
      <w:r w:rsidRPr="00643DDE">
        <w:t>“.</w:t>
      </w:r>
    </w:p>
    <w:p w:rsidR="00443D84" w:rsidRPr="00643DDE" w:rsidRDefault="00443D84" w:rsidP="00443D84"/>
    <w:p w:rsidR="00443D84" w:rsidRDefault="00443D84" w:rsidP="00443D84">
      <w:pPr>
        <w:widowControl/>
        <w:suppressAutoHyphens w:val="0"/>
      </w:pPr>
    </w:p>
    <w:p w:rsidR="00443D84" w:rsidRPr="00F339CE" w:rsidRDefault="00443D84" w:rsidP="00313F41">
      <w:pPr>
        <w:widowControl/>
        <w:suppressAutoHyphens w:val="0"/>
        <w:jc w:val="both"/>
        <w:rPr>
          <w:b/>
        </w:rPr>
      </w:pPr>
      <w:r>
        <w:t xml:space="preserve">II. </w:t>
      </w:r>
      <w:r w:rsidRPr="00F339CE">
        <w:t>Za</w:t>
      </w:r>
      <w:r w:rsidRPr="00F339CE">
        <w:rPr>
          <w:b/>
        </w:rPr>
        <w:t> </w:t>
      </w:r>
      <w:r w:rsidRPr="00F339CE">
        <w:t>ČÁST DRUHOU,</w:t>
      </w:r>
      <w:r w:rsidRPr="00F339CE">
        <w:rPr>
          <w:b/>
        </w:rPr>
        <w:t xml:space="preserve"> </w:t>
      </w:r>
      <w:r w:rsidRPr="00F339CE">
        <w:t xml:space="preserve">Změna občanského soudního řádu, se vkládá nová </w:t>
      </w:r>
      <w:r>
        <w:t>ČÁST TŘETÍ</w:t>
      </w:r>
      <w:r w:rsidRPr="00F339CE">
        <w:t xml:space="preserve">, která </w:t>
      </w:r>
      <w:r>
        <w:t xml:space="preserve">včetně nadpisu </w:t>
      </w:r>
      <w:r w:rsidRPr="00F339CE">
        <w:t>zní:</w:t>
      </w:r>
      <w:r w:rsidRPr="00F339CE">
        <w:rPr>
          <w:b/>
        </w:rPr>
        <w:t xml:space="preserve"> </w:t>
      </w:r>
    </w:p>
    <w:p w:rsidR="00443D84" w:rsidRPr="00F339CE" w:rsidRDefault="00443D84" w:rsidP="00443D84">
      <w:pPr>
        <w:widowControl/>
        <w:suppressAutoHyphens w:val="0"/>
      </w:pPr>
    </w:p>
    <w:p w:rsidR="00443D84" w:rsidRPr="00F339CE" w:rsidRDefault="00443D84" w:rsidP="00443D84">
      <w:pPr>
        <w:widowControl/>
        <w:suppressAutoHyphens w:val="0"/>
        <w:jc w:val="center"/>
      </w:pPr>
      <w:r w:rsidRPr="00F339CE">
        <w:t>„ČÁST TŘETÍ</w:t>
      </w:r>
    </w:p>
    <w:p w:rsidR="00443D84" w:rsidRPr="00313F41" w:rsidRDefault="00443D84" w:rsidP="00443D84">
      <w:pPr>
        <w:pStyle w:val="Nadpis2"/>
        <w:jc w:val="center"/>
        <w:rPr>
          <w:rFonts w:cs="Times New Roman"/>
          <w:sz w:val="24"/>
          <w:szCs w:val="24"/>
        </w:rPr>
      </w:pPr>
      <w:r w:rsidRPr="00313F41">
        <w:rPr>
          <w:rFonts w:cs="Times New Roman"/>
          <w:sz w:val="24"/>
          <w:szCs w:val="24"/>
        </w:rPr>
        <w:t>Změna zákona o zvláštních řízeních soudních</w:t>
      </w:r>
    </w:p>
    <w:p w:rsidR="00443D84" w:rsidRDefault="00443D84" w:rsidP="00443D84">
      <w:pPr>
        <w:jc w:val="center"/>
      </w:pPr>
      <w:r w:rsidRPr="00F339CE">
        <w:t xml:space="preserve">Čl. </w:t>
      </w:r>
      <w:r>
        <w:t>V</w:t>
      </w:r>
    </w:p>
    <w:p w:rsidR="00443D84" w:rsidRDefault="00443D84" w:rsidP="00443D84"/>
    <w:p w:rsidR="00443D84" w:rsidRPr="00F339CE" w:rsidRDefault="00443D84" w:rsidP="00313F41">
      <w:pPr>
        <w:ind w:firstLine="709"/>
        <w:jc w:val="both"/>
      </w:pPr>
      <w:r w:rsidRPr="00A276A1">
        <w:t>Zákon č. 292/2013 Sb., o zvláštních řízeních soudních, ve znění zákona č. 87/2015 Sb., zákona č. 161/2016 Sb., zákona č. 189/2016 Sb., zákona č. 298/2016 Sb., nálezu Ústavního soudu, vyhlášeného pod č. 334/2016 Sb., zákona č. 460/20</w:t>
      </w:r>
      <w:r>
        <w:t>16 Sb., zákona č. 296/2017 Sb.,</w:t>
      </w:r>
      <w:r w:rsidRPr="00A276A1">
        <w:t xml:space="preserve"> zákona č.</w:t>
      </w:r>
      <w:r w:rsidR="00313F41">
        <w:t> </w:t>
      </w:r>
      <w:r w:rsidRPr="00A276A1">
        <w:t>303/2017 Sb.</w:t>
      </w:r>
      <w:r w:rsidR="00EA50C9">
        <w:t>,</w:t>
      </w:r>
      <w:r w:rsidRPr="00A276A1">
        <w:t xml:space="preserve"> </w:t>
      </w:r>
      <w:r>
        <w:t xml:space="preserve">zákona č. </w:t>
      </w:r>
      <w:r w:rsidRPr="00A276A1">
        <w:t>343/2020 Sb.</w:t>
      </w:r>
      <w:r>
        <w:t>,</w:t>
      </w:r>
      <w:r w:rsidRPr="00A276A1">
        <w:t xml:space="preserve"> </w:t>
      </w:r>
      <w:r w:rsidR="00EA50C9">
        <w:t xml:space="preserve">zákona č. 527/2020 Sb. a zákona č. 588/2020 Sb., </w:t>
      </w:r>
      <w:r w:rsidRPr="00A276A1">
        <w:t>se mění takto</w:t>
      </w:r>
      <w:r>
        <w:t>:</w:t>
      </w:r>
    </w:p>
    <w:p w:rsidR="00443D84" w:rsidRPr="00F339CE" w:rsidRDefault="00443D84" w:rsidP="00443D84">
      <w:pPr>
        <w:jc w:val="center"/>
      </w:pPr>
    </w:p>
    <w:p w:rsidR="00443D84" w:rsidRPr="00EC1420" w:rsidRDefault="00443D84" w:rsidP="00443D84">
      <w:pPr>
        <w:widowControl/>
        <w:suppressAutoHyphens w:val="0"/>
      </w:pPr>
      <w:r w:rsidRPr="00EC1420">
        <w:t>1.</w:t>
      </w:r>
      <w:r>
        <w:t xml:space="preserve"> </w:t>
      </w:r>
      <w:r w:rsidRPr="00EC1420">
        <w:t>Za § 22 se vkládá nový § 22a, který včetně nadpisu zní:</w:t>
      </w:r>
    </w:p>
    <w:p w:rsidR="00443D84" w:rsidRDefault="00443D84" w:rsidP="00443D84"/>
    <w:p w:rsidR="00443D84" w:rsidRDefault="00443D84" w:rsidP="00443D84">
      <w:pPr>
        <w:jc w:val="center"/>
      </w:pPr>
      <w:r w:rsidRPr="00EC1420">
        <w:t>„§ 22a</w:t>
      </w:r>
    </w:p>
    <w:p w:rsidR="00443D84" w:rsidRPr="00EC1420" w:rsidRDefault="00443D84" w:rsidP="00443D84">
      <w:pPr>
        <w:jc w:val="center"/>
        <w:rPr>
          <w:b/>
        </w:rPr>
      </w:pPr>
      <w:r w:rsidRPr="00EC1420">
        <w:rPr>
          <w:b/>
        </w:rPr>
        <w:t>Opis z evidence Rejstříku trestů</w:t>
      </w:r>
    </w:p>
    <w:p w:rsidR="00443D84" w:rsidRPr="00EC1420" w:rsidRDefault="00443D84" w:rsidP="00443D84">
      <w:pPr>
        <w:widowControl/>
        <w:suppressAutoHyphens w:val="0"/>
      </w:pPr>
    </w:p>
    <w:p w:rsidR="00443D84" w:rsidRDefault="00443D84" w:rsidP="00313F41">
      <w:pPr>
        <w:widowControl/>
        <w:suppressAutoHyphens w:val="0"/>
        <w:ind w:firstLine="709"/>
        <w:jc w:val="both"/>
      </w:pPr>
      <w:r>
        <w:t>Pro potřeby řízení</w:t>
      </w:r>
      <w:r w:rsidRPr="00EC1420">
        <w:t xml:space="preserve"> ve věcech opatrovnictví člověka, ve věcech osvojení a ve věcech péče soudu o nezletilé se soudu na jeho žádost vydá opis z evidence Rejstříku trestů.</w:t>
      </w:r>
      <w:r>
        <w:t xml:space="preserve"> </w:t>
      </w:r>
      <w:r w:rsidRPr="00BA2A8D">
        <w:t>Žádost o vydání opisu z evidence Rejstříku trestů a opis z evidence Rejstříku trestů se předávají v elektronické podobě, a to způsobem umožňujícím dálkový přístup.</w:t>
      </w:r>
      <w:r w:rsidRPr="00EC1420">
        <w:t>“</w:t>
      </w:r>
      <w:r>
        <w:t>.“.</w:t>
      </w:r>
    </w:p>
    <w:p w:rsidR="00443D84" w:rsidRDefault="00443D84" w:rsidP="00443D84">
      <w:pPr>
        <w:widowControl/>
        <w:suppressAutoHyphens w:val="0"/>
      </w:pPr>
    </w:p>
    <w:p w:rsidR="00443D84" w:rsidRPr="00F339CE" w:rsidRDefault="00443D84" w:rsidP="00313F41">
      <w:pPr>
        <w:widowControl/>
        <w:suppressAutoHyphens w:val="0"/>
        <w:jc w:val="both"/>
      </w:pPr>
      <w:r w:rsidRPr="00F339CE">
        <w:t xml:space="preserve">Dosavadní </w:t>
      </w:r>
      <w:r>
        <w:t>ČÁST TŘETÍ se označuje jako ČÁST ČTVRTÁ a dosavadní čl. V se označuje jako čl. VI.</w:t>
      </w:r>
    </w:p>
    <w:p w:rsidR="000C6893" w:rsidRDefault="000C6893"/>
    <w:p w:rsidR="000C6893" w:rsidRDefault="000C6893"/>
    <w:p w:rsidR="000C6893" w:rsidRDefault="000C6893"/>
    <w:p w:rsidR="000C6893" w:rsidRDefault="00E951C6" w:rsidP="00E951C6">
      <w:pPr>
        <w:pStyle w:val="PNposlanec"/>
      </w:pPr>
      <w:r>
        <w:t xml:space="preserve">Poslanec Dominik </w:t>
      </w:r>
      <w:proofErr w:type="spellStart"/>
      <w:r>
        <w:t>Feri</w:t>
      </w:r>
      <w:proofErr w:type="spellEnd"/>
    </w:p>
    <w:p w:rsidR="000C6893" w:rsidRPr="00E951C6" w:rsidRDefault="00E951C6">
      <w:pPr>
        <w:rPr>
          <w:i/>
        </w:rPr>
      </w:pPr>
      <w:r w:rsidRPr="00E951C6">
        <w:rPr>
          <w:i/>
        </w:rPr>
        <w:t>SD 6831</w:t>
      </w:r>
    </w:p>
    <w:p w:rsidR="00443D84" w:rsidRDefault="00EA50C9" w:rsidP="00EA50C9">
      <w:pPr>
        <w:pStyle w:val="Odstavecseseznamem"/>
        <w:spacing w:line="36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D1. </w:t>
      </w:r>
      <w:r w:rsidR="00443D84">
        <w:rPr>
          <w:rFonts w:ascii="Times New Roman" w:hAnsi="Times New Roman"/>
          <w:b/>
        </w:rPr>
        <w:t>V ČÁSTI PRVNÍ čl. I se vkládají nové novelizační body:</w:t>
      </w:r>
    </w:p>
    <w:p w:rsidR="00443D84" w:rsidRDefault="00443D84" w:rsidP="00443D84">
      <w:pPr>
        <w:spacing w:line="360" w:lineRule="auto"/>
        <w:rPr>
          <w:color w:val="000000"/>
        </w:rPr>
      </w:pPr>
      <w:r>
        <w:rPr>
          <w:color w:val="000000"/>
        </w:rPr>
        <w:t xml:space="preserve">1. </w:t>
      </w:r>
      <w:r>
        <w:rPr>
          <w:rFonts w:eastAsia="Times New Roman"/>
          <w:color w:val="000000"/>
          <w:lang w:eastAsia="cs-CZ"/>
        </w:rPr>
        <w:t xml:space="preserve">§ </w:t>
      </w:r>
      <w:r w:rsidRPr="0092534E">
        <w:rPr>
          <w:rFonts w:eastAsia="Times New Roman"/>
          <w:color w:val="000000"/>
          <w:lang w:eastAsia="cs-CZ"/>
        </w:rPr>
        <w:t>1584</w:t>
      </w:r>
      <w:r>
        <w:rPr>
          <w:rFonts w:eastAsia="Times New Roman"/>
          <w:color w:val="000000"/>
          <w:lang w:eastAsia="cs-CZ"/>
        </w:rPr>
        <w:t xml:space="preserve"> zní:</w:t>
      </w:r>
    </w:p>
    <w:p w:rsidR="00443D84" w:rsidRDefault="00443D84" w:rsidP="00443D84">
      <w:pPr>
        <w:spacing w:line="360" w:lineRule="auto"/>
        <w:jc w:val="center"/>
        <w:rPr>
          <w:rFonts w:eastAsia="Times New Roman"/>
          <w:color w:val="000000"/>
          <w:lang w:eastAsia="cs-CZ"/>
        </w:rPr>
      </w:pPr>
      <w:r w:rsidRPr="00EC0906">
        <w:rPr>
          <w:bCs/>
          <w:color w:val="000000"/>
        </w:rPr>
        <w:t>„</w:t>
      </w:r>
      <w:r w:rsidRPr="00EC0906">
        <w:rPr>
          <w:rFonts w:eastAsia="Times New Roman"/>
          <w:color w:val="000000"/>
          <w:lang w:eastAsia="cs-CZ"/>
        </w:rPr>
        <w:t xml:space="preserve">§ </w:t>
      </w:r>
      <w:r w:rsidRPr="0092534E">
        <w:rPr>
          <w:rFonts w:eastAsia="Times New Roman"/>
          <w:color w:val="000000"/>
          <w:lang w:eastAsia="cs-CZ"/>
        </w:rPr>
        <w:t>1584</w:t>
      </w:r>
    </w:p>
    <w:p w:rsidR="00443D84" w:rsidRPr="009C7960" w:rsidRDefault="00443D84" w:rsidP="00313F41">
      <w:pPr>
        <w:ind w:firstLine="709"/>
        <w:jc w:val="both"/>
        <w:rPr>
          <w:rFonts w:eastAsia="Times New Roman"/>
          <w:color w:val="000000"/>
          <w:lang w:eastAsia="cs-CZ"/>
        </w:rPr>
      </w:pPr>
      <w:r w:rsidRPr="0092534E">
        <w:rPr>
          <w:rFonts w:eastAsia="Times New Roman"/>
          <w:bCs/>
          <w:color w:val="000000"/>
          <w:lang w:eastAsia="cs-CZ"/>
        </w:rPr>
        <w:t xml:space="preserve">Dědickou smlouvu </w:t>
      </w:r>
      <w:r w:rsidRPr="009C7960">
        <w:rPr>
          <w:rFonts w:eastAsia="Times New Roman"/>
          <w:color w:val="000000"/>
          <w:lang w:eastAsia="cs-CZ"/>
        </w:rPr>
        <w:t>může fyzická osoba uzavřít a závazek z ní změnit jen osobním jednáním. Za právnickou osobu může smlouvu uzavřít a závazek z ní změnit jen statutární orgán.“</w:t>
      </w:r>
      <w:r w:rsidR="00313F41">
        <w:rPr>
          <w:rFonts w:eastAsia="Times New Roman"/>
          <w:color w:val="000000"/>
          <w:lang w:eastAsia="cs-CZ"/>
        </w:rPr>
        <w:t>.</w:t>
      </w:r>
    </w:p>
    <w:p w:rsidR="00443D84" w:rsidRDefault="00443D84" w:rsidP="00443D84">
      <w:pPr>
        <w:spacing w:line="360" w:lineRule="auto"/>
        <w:jc w:val="center"/>
        <w:rPr>
          <w:rFonts w:eastAsia="Times New Roman"/>
          <w:bCs/>
          <w:color w:val="000000"/>
          <w:lang w:eastAsia="cs-CZ"/>
        </w:rPr>
      </w:pPr>
    </w:p>
    <w:p w:rsidR="00443D84" w:rsidRDefault="00443D84" w:rsidP="00443D84">
      <w:pPr>
        <w:spacing w:line="360" w:lineRule="auto"/>
        <w:rPr>
          <w:rFonts w:eastAsia="Times New Roman"/>
          <w:color w:val="000000"/>
          <w:lang w:eastAsia="cs-CZ"/>
        </w:rPr>
      </w:pPr>
      <w:r>
        <w:rPr>
          <w:color w:val="000000"/>
        </w:rPr>
        <w:t xml:space="preserve">2. </w:t>
      </w:r>
      <w:r>
        <w:rPr>
          <w:rFonts w:eastAsia="Times New Roman"/>
          <w:color w:val="000000"/>
          <w:lang w:eastAsia="cs-CZ"/>
        </w:rPr>
        <w:t xml:space="preserve">§ </w:t>
      </w:r>
      <w:r w:rsidRPr="0092534E">
        <w:rPr>
          <w:rFonts w:eastAsia="Times New Roman"/>
          <w:color w:val="000000"/>
          <w:lang w:eastAsia="cs-CZ"/>
        </w:rPr>
        <w:t>1585</w:t>
      </w:r>
      <w:r>
        <w:rPr>
          <w:rFonts w:eastAsia="Times New Roman"/>
          <w:color w:val="000000"/>
          <w:lang w:eastAsia="cs-CZ"/>
        </w:rPr>
        <w:t xml:space="preserve"> se zrušuje.</w:t>
      </w:r>
    </w:p>
    <w:p w:rsidR="00443D84" w:rsidRDefault="00443D84" w:rsidP="00443D84">
      <w:pPr>
        <w:spacing w:line="360" w:lineRule="auto"/>
        <w:rPr>
          <w:rFonts w:eastAsia="Times New Roman"/>
          <w:color w:val="000000"/>
          <w:lang w:eastAsia="cs-CZ"/>
        </w:rPr>
      </w:pPr>
    </w:p>
    <w:p w:rsidR="00313F41" w:rsidRDefault="00313F41">
      <w:pPr>
        <w:widowControl/>
        <w:suppressAutoHyphens w:val="0"/>
        <w:rPr>
          <w:color w:val="000000"/>
        </w:rPr>
      </w:pPr>
      <w:r>
        <w:rPr>
          <w:color w:val="000000"/>
        </w:rPr>
        <w:br w:type="page"/>
      </w:r>
    </w:p>
    <w:p w:rsidR="00443D84" w:rsidRDefault="00443D84" w:rsidP="00443D84">
      <w:pPr>
        <w:spacing w:line="360" w:lineRule="auto"/>
        <w:rPr>
          <w:rFonts w:eastAsia="Times New Roman"/>
          <w:color w:val="000000"/>
          <w:lang w:eastAsia="cs-CZ"/>
        </w:rPr>
      </w:pPr>
      <w:r>
        <w:rPr>
          <w:color w:val="000000"/>
        </w:rPr>
        <w:lastRenderedPageBreak/>
        <w:t xml:space="preserve">3. </w:t>
      </w:r>
      <w:r>
        <w:rPr>
          <w:rFonts w:eastAsia="Times New Roman"/>
          <w:color w:val="000000"/>
          <w:lang w:eastAsia="cs-CZ"/>
        </w:rPr>
        <w:t xml:space="preserve">§ </w:t>
      </w:r>
      <w:r w:rsidRPr="0092534E">
        <w:rPr>
          <w:rFonts w:eastAsia="Times New Roman"/>
          <w:color w:val="000000"/>
          <w:lang w:eastAsia="cs-CZ"/>
        </w:rPr>
        <w:t>15</w:t>
      </w:r>
      <w:r>
        <w:rPr>
          <w:rFonts w:eastAsia="Times New Roman"/>
          <w:color w:val="000000"/>
          <w:lang w:eastAsia="cs-CZ"/>
        </w:rPr>
        <w:t>91 zní:</w:t>
      </w:r>
    </w:p>
    <w:p w:rsidR="00443D84" w:rsidRPr="0092534E" w:rsidRDefault="00443D84" w:rsidP="00443D84">
      <w:pPr>
        <w:spacing w:line="360" w:lineRule="auto"/>
        <w:jc w:val="center"/>
        <w:rPr>
          <w:rFonts w:eastAsia="Times New Roman"/>
          <w:color w:val="000000"/>
          <w:lang w:eastAsia="cs-CZ"/>
        </w:rPr>
      </w:pPr>
      <w:r w:rsidRPr="00EC0906">
        <w:rPr>
          <w:bCs/>
          <w:color w:val="000000"/>
        </w:rPr>
        <w:t>„</w:t>
      </w:r>
      <w:r w:rsidRPr="00EC0906">
        <w:rPr>
          <w:rFonts w:eastAsia="Times New Roman"/>
          <w:color w:val="000000"/>
          <w:lang w:eastAsia="cs-CZ"/>
        </w:rPr>
        <w:t xml:space="preserve">§ </w:t>
      </w:r>
      <w:r w:rsidRPr="0092534E">
        <w:rPr>
          <w:rFonts w:eastAsia="Times New Roman"/>
          <w:color w:val="000000"/>
          <w:lang w:eastAsia="cs-CZ"/>
        </w:rPr>
        <w:t>15</w:t>
      </w:r>
      <w:r>
        <w:rPr>
          <w:rFonts w:eastAsia="Times New Roman"/>
          <w:color w:val="000000"/>
          <w:lang w:eastAsia="cs-CZ"/>
        </w:rPr>
        <w:t>91</w:t>
      </w:r>
    </w:p>
    <w:p w:rsidR="00443D84" w:rsidRPr="00C4747B" w:rsidRDefault="00443D84" w:rsidP="00313F41">
      <w:pPr>
        <w:pStyle w:val="-wm-msonorma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747B">
        <w:rPr>
          <w:color w:val="000000"/>
        </w:rPr>
        <w:t>Dědická smlouva neplatná pro nedostatek formy nebo neplatná pro nesplnění</w:t>
      </w:r>
      <w:r w:rsidRPr="00C4747B">
        <w:rPr>
          <w:b/>
          <w:bCs/>
          <w:color w:val="000000"/>
        </w:rPr>
        <w:t xml:space="preserve"> </w:t>
      </w:r>
      <w:r w:rsidRPr="00014AC7">
        <w:rPr>
          <w:color w:val="000000"/>
        </w:rPr>
        <w:t>podmínky</w:t>
      </w:r>
      <w:r w:rsidRPr="00C4747B">
        <w:rPr>
          <w:color w:val="000000"/>
        </w:rPr>
        <w:t> v</w:t>
      </w:r>
      <w:r w:rsidR="00313F41">
        <w:rPr>
          <w:color w:val="000000"/>
        </w:rPr>
        <w:t> </w:t>
      </w:r>
      <w:r w:rsidRPr="00C4747B">
        <w:rPr>
          <w:color w:val="000000"/>
        </w:rPr>
        <w:t>§</w:t>
      </w:r>
      <w:r w:rsidR="00313F41">
        <w:rPr>
          <w:color w:val="000000"/>
        </w:rPr>
        <w:t> </w:t>
      </w:r>
      <w:r w:rsidRPr="00C4747B">
        <w:rPr>
          <w:color w:val="000000"/>
        </w:rPr>
        <w:t>1584 nebo proto, že nevyhovuje ustanovením o smlouvách podle části čtvrté tohoto zákona, může mít přesto platnost závěti, má-li jinak všechny náležitosti závěti.</w:t>
      </w:r>
      <w:r>
        <w:rPr>
          <w:bCs/>
          <w:color w:val="000000"/>
        </w:rPr>
        <w:t>“</w:t>
      </w:r>
      <w:r w:rsidR="00313F41">
        <w:rPr>
          <w:bCs/>
          <w:color w:val="000000"/>
        </w:rPr>
        <w:t>.</w:t>
      </w:r>
    </w:p>
    <w:p w:rsidR="00E951C6" w:rsidRDefault="00E951C6"/>
    <w:p w:rsidR="00E951C6" w:rsidRDefault="00E951C6"/>
    <w:p w:rsidR="00E951C6" w:rsidRPr="00E951C6" w:rsidRDefault="00E951C6">
      <w:pPr>
        <w:rPr>
          <w:i/>
        </w:rPr>
      </w:pPr>
      <w:r w:rsidRPr="00E951C6">
        <w:rPr>
          <w:i/>
        </w:rPr>
        <w:t>SD 6832</w:t>
      </w:r>
    </w:p>
    <w:p w:rsidR="00443D84" w:rsidRPr="00B85422" w:rsidRDefault="00EA50C9" w:rsidP="00EA50C9">
      <w:pPr>
        <w:pStyle w:val="Odstavecseseznamem"/>
        <w:spacing w:line="36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D2. </w:t>
      </w:r>
      <w:r w:rsidR="00443D84">
        <w:rPr>
          <w:rFonts w:ascii="Times New Roman" w:hAnsi="Times New Roman"/>
          <w:b/>
        </w:rPr>
        <w:t>V ČÁSTI DRUHÉ čl. III se vkládá nový novelizační bod:</w:t>
      </w:r>
    </w:p>
    <w:p w:rsidR="00443D84" w:rsidRDefault="00443D84" w:rsidP="00443D84">
      <w:pPr>
        <w:spacing w:line="360" w:lineRule="auto"/>
        <w:rPr>
          <w:color w:val="000000"/>
        </w:rPr>
      </w:pPr>
      <w:r>
        <w:rPr>
          <w:color w:val="000000"/>
        </w:rPr>
        <w:t xml:space="preserve">1. </w:t>
      </w:r>
      <w:r w:rsidR="007A0EFF">
        <w:rPr>
          <w:color w:val="000000"/>
        </w:rPr>
        <w:t>V</w:t>
      </w:r>
      <w:r w:rsidRPr="00EC0906">
        <w:rPr>
          <w:color w:val="000000"/>
        </w:rPr>
        <w:t xml:space="preserve"> </w:t>
      </w:r>
      <w:r>
        <w:rPr>
          <w:rFonts w:eastAsia="Times New Roman"/>
          <w:color w:val="000000"/>
          <w:lang w:eastAsia="cs-CZ"/>
        </w:rPr>
        <w:t>§ 177 odst</w:t>
      </w:r>
      <w:r w:rsidR="007A0EFF">
        <w:rPr>
          <w:rFonts w:eastAsia="Times New Roman"/>
          <w:color w:val="000000"/>
          <w:lang w:eastAsia="cs-CZ"/>
        </w:rPr>
        <w:t>avec</w:t>
      </w:r>
      <w:r>
        <w:rPr>
          <w:rFonts w:eastAsia="Times New Roman"/>
          <w:color w:val="000000"/>
          <w:lang w:eastAsia="cs-CZ"/>
        </w:rPr>
        <w:t xml:space="preserve"> 1 zní:</w:t>
      </w:r>
    </w:p>
    <w:p w:rsidR="00443D84" w:rsidRPr="00EC0906" w:rsidRDefault="00443D84" w:rsidP="00C83E29">
      <w:pPr>
        <w:ind w:firstLine="709"/>
        <w:jc w:val="both"/>
        <w:rPr>
          <w:rFonts w:eastAsia="Times New Roman"/>
          <w:bCs/>
          <w:color w:val="000000"/>
          <w:lang w:eastAsia="cs-CZ"/>
        </w:rPr>
      </w:pPr>
      <w:r>
        <w:rPr>
          <w:bCs/>
          <w:color w:val="000000"/>
        </w:rPr>
        <w:t>„</w:t>
      </w:r>
      <w:r>
        <w:rPr>
          <w:rFonts w:eastAsia="Times New Roman"/>
          <w:bCs/>
          <w:color w:val="000000"/>
          <w:lang w:eastAsia="cs-CZ"/>
        </w:rPr>
        <w:t xml:space="preserve">(1) </w:t>
      </w:r>
      <w:r w:rsidRPr="00BB6E56">
        <w:rPr>
          <w:rFonts w:eastAsia="Times New Roman"/>
          <w:bCs/>
          <w:color w:val="000000"/>
          <w:lang w:eastAsia="cs-CZ"/>
        </w:rPr>
        <w:t>Domáhá-li se žalobce ochrany rušené držby, soud o žalobě rozhodne do 15 dnů od</w:t>
      </w:r>
      <w:r w:rsidR="00C83E29">
        <w:rPr>
          <w:rFonts w:eastAsia="Times New Roman"/>
          <w:bCs/>
          <w:color w:val="000000"/>
          <w:lang w:eastAsia="cs-CZ"/>
        </w:rPr>
        <w:t> </w:t>
      </w:r>
      <w:r w:rsidRPr="00BB6E56">
        <w:rPr>
          <w:rFonts w:eastAsia="Times New Roman"/>
          <w:bCs/>
          <w:color w:val="000000"/>
          <w:lang w:eastAsia="cs-CZ"/>
        </w:rPr>
        <w:t>zahájení řízení. Žalobce musí prokázat rušení držby. Jednání není třeba nařizovat</w:t>
      </w:r>
      <w:r>
        <w:rPr>
          <w:rFonts w:eastAsia="Times New Roman"/>
          <w:bCs/>
          <w:color w:val="000000"/>
          <w:lang w:eastAsia="cs-CZ"/>
        </w:rPr>
        <w:t>.“</w:t>
      </w:r>
      <w:r w:rsidR="00C83E29">
        <w:rPr>
          <w:rFonts w:eastAsia="Times New Roman"/>
          <w:bCs/>
          <w:color w:val="000000"/>
          <w:lang w:eastAsia="cs-CZ"/>
        </w:rPr>
        <w:t>.</w:t>
      </w:r>
    </w:p>
    <w:p w:rsidR="00E951C6" w:rsidRDefault="00E951C6"/>
    <w:p w:rsidR="00E951C6" w:rsidRPr="00E951C6" w:rsidRDefault="00E951C6">
      <w:pPr>
        <w:rPr>
          <w:i/>
        </w:rPr>
      </w:pPr>
      <w:r w:rsidRPr="00E951C6">
        <w:rPr>
          <w:i/>
        </w:rPr>
        <w:t>SD 6834</w:t>
      </w:r>
    </w:p>
    <w:p w:rsidR="00443D84" w:rsidRPr="00B85422" w:rsidRDefault="00EA50C9" w:rsidP="00EA50C9">
      <w:pPr>
        <w:pStyle w:val="Odstavecseseznamem"/>
        <w:spacing w:line="36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D3. </w:t>
      </w:r>
      <w:r w:rsidR="00443D84">
        <w:rPr>
          <w:rFonts w:ascii="Times New Roman" w:hAnsi="Times New Roman"/>
          <w:b/>
        </w:rPr>
        <w:t>V ČÁSTI DRUHÉ čl. III se vkládá nový novelizační bod:</w:t>
      </w:r>
    </w:p>
    <w:p w:rsidR="00443D84" w:rsidRDefault="00443D84" w:rsidP="00C83E29">
      <w:pPr>
        <w:rPr>
          <w:color w:val="000000"/>
        </w:rPr>
      </w:pPr>
      <w:r>
        <w:rPr>
          <w:color w:val="000000"/>
        </w:rPr>
        <w:t xml:space="preserve">1. V § 178 se dosavadní text označuje jako odstavec 1 a </w:t>
      </w:r>
      <w:r w:rsidR="007A0EFF">
        <w:rPr>
          <w:color w:val="000000"/>
        </w:rPr>
        <w:t>doplňuje</w:t>
      </w:r>
      <w:r>
        <w:rPr>
          <w:color w:val="000000"/>
        </w:rPr>
        <w:t xml:space="preserve"> se odstavec 2, který zní:</w:t>
      </w:r>
    </w:p>
    <w:p w:rsidR="00C83E29" w:rsidRDefault="00C83E29" w:rsidP="00C83E29">
      <w:pPr>
        <w:rPr>
          <w:color w:val="000000"/>
        </w:rPr>
      </w:pPr>
    </w:p>
    <w:p w:rsidR="00443D84" w:rsidRDefault="00443D84" w:rsidP="00313F41">
      <w:pPr>
        <w:spacing w:line="360" w:lineRule="auto"/>
        <w:ind w:firstLine="709"/>
        <w:jc w:val="both"/>
        <w:rPr>
          <w:rFonts w:eastAsia="Times New Roman"/>
          <w:bCs/>
          <w:color w:val="000000"/>
          <w:lang w:eastAsia="cs-CZ"/>
        </w:rPr>
      </w:pPr>
      <w:r>
        <w:rPr>
          <w:bCs/>
          <w:color w:val="000000"/>
        </w:rPr>
        <w:t>„</w:t>
      </w:r>
      <w:r>
        <w:rPr>
          <w:rFonts w:eastAsia="Times New Roman"/>
          <w:bCs/>
          <w:color w:val="000000"/>
          <w:lang w:eastAsia="cs-CZ"/>
        </w:rPr>
        <w:t>(2) Vyloučeny jsou námitky o právu k držbě a o její povaze.“</w:t>
      </w:r>
      <w:r w:rsidR="00313F41">
        <w:rPr>
          <w:rFonts w:eastAsia="Times New Roman"/>
          <w:bCs/>
          <w:color w:val="000000"/>
          <w:lang w:eastAsia="cs-CZ"/>
        </w:rPr>
        <w:t>.</w:t>
      </w:r>
    </w:p>
    <w:p w:rsidR="000C6893" w:rsidRDefault="000C6893"/>
    <w:p w:rsidR="000C6893" w:rsidRDefault="000C6893"/>
    <w:p w:rsidR="00313F41" w:rsidRDefault="00313F41"/>
    <w:p w:rsidR="00313F41" w:rsidRDefault="00313F41"/>
    <w:p w:rsidR="00313F41" w:rsidRDefault="00313F41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313F41">
        <w:t xml:space="preserve"> </w:t>
      </w:r>
      <w:r w:rsidR="007A0EFF">
        <w:t>11</w:t>
      </w:r>
      <w:r w:rsidR="00313F41">
        <w:t>. února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313F41" w:rsidRDefault="00313F41">
      <w:pPr>
        <w:jc w:val="center"/>
      </w:pPr>
    </w:p>
    <w:p w:rsidR="00313F41" w:rsidRDefault="00313F41">
      <w:pPr>
        <w:jc w:val="center"/>
      </w:pPr>
    </w:p>
    <w:p w:rsidR="00313F41" w:rsidRDefault="00313F41">
      <w:pPr>
        <w:jc w:val="center"/>
      </w:pPr>
    </w:p>
    <w:p w:rsidR="00313F41" w:rsidRDefault="00313F41">
      <w:pPr>
        <w:jc w:val="center"/>
      </w:pPr>
    </w:p>
    <w:p w:rsidR="000C6893" w:rsidRDefault="000C6893">
      <w:pPr>
        <w:jc w:val="center"/>
      </w:pPr>
    </w:p>
    <w:p w:rsidR="000C6893" w:rsidRDefault="00636C45">
      <w:pPr>
        <w:jc w:val="center"/>
      </w:pPr>
      <w:r>
        <w:t>Mgr. Kateřina  Valachová, Ph.D.</w:t>
      </w:r>
      <w:r w:rsidR="008A4EEF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</w:t>
      </w:r>
      <w:r w:rsidR="00636C45">
        <w:t>ka</w:t>
      </w:r>
      <w:r>
        <w:t xml:space="preserve"> garančního </w:t>
      </w:r>
      <w:r w:rsidR="00636C45">
        <w:t xml:space="preserve">ústavně právního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C45" w:rsidRDefault="00636C45" w:rsidP="00087102">
      <w:r>
        <w:separator/>
      </w:r>
    </w:p>
  </w:endnote>
  <w:endnote w:type="continuationSeparator" w:id="0">
    <w:p w:rsidR="00636C45" w:rsidRDefault="00636C45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C45" w:rsidRDefault="00636C45" w:rsidP="00087102">
      <w:r>
        <w:separator/>
      </w:r>
    </w:p>
  </w:footnote>
  <w:footnote w:type="continuationSeparator" w:id="0">
    <w:p w:rsidR="00636C45" w:rsidRDefault="00636C45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A4EEF">
      <w:rPr>
        <w:noProof/>
      </w:rPr>
      <w:t>3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79E64383"/>
    <w:multiLevelType w:val="hybridMultilevel"/>
    <w:tmpl w:val="29DE8DFC"/>
    <w:lvl w:ilvl="0" w:tplc="0405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4320" w:hanging="360"/>
      </w:pPr>
    </w:lvl>
    <w:lvl w:ilvl="2" w:tplc="80CA61A4">
      <w:start w:val="1"/>
      <w:numFmt w:val="lowerLetter"/>
      <w:lvlText w:val="%3)"/>
      <w:lvlJc w:val="left"/>
      <w:pPr>
        <w:ind w:left="5565" w:hanging="70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45"/>
    <w:rsid w:val="00087102"/>
    <w:rsid w:val="000C6893"/>
    <w:rsid w:val="002F12E4"/>
    <w:rsid w:val="00303D88"/>
    <w:rsid w:val="00313F41"/>
    <w:rsid w:val="00443D84"/>
    <w:rsid w:val="00511F8C"/>
    <w:rsid w:val="00636C45"/>
    <w:rsid w:val="006706ED"/>
    <w:rsid w:val="007A0EFF"/>
    <w:rsid w:val="008A4EEF"/>
    <w:rsid w:val="009C3468"/>
    <w:rsid w:val="00B57A5F"/>
    <w:rsid w:val="00C83E29"/>
    <w:rsid w:val="00E951C6"/>
    <w:rsid w:val="00EA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077742"/>
  <w15:chartTrackingRefBased/>
  <w15:docId w15:val="{A14F9B05-1775-4B6B-91A3-191F6973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PS-slovanseznamChar">
    <w:name w:val="PS-číslovaný seznam Char"/>
    <w:link w:val="PS-slovanseznam"/>
    <w:locked/>
    <w:rsid w:val="00636C45"/>
    <w:rPr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636C45"/>
    <w:pPr>
      <w:widowControl/>
      <w:numPr>
        <w:numId w:val="3"/>
      </w:numPr>
      <w:tabs>
        <w:tab w:val="left" w:pos="0"/>
      </w:tabs>
      <w:suppressAutoHyphens w:val="0"/>
      <w:spacing w:after="400" w:line="256" w:lineRule="auto"/>
      <w:ind w:left="357" w:hanging="357"/>
      <w:jc w:val="both"/>
    </w:pPr>
    <w:rPr>
      <w:rFonts w:eastAsia="Times New Roman" w:cs="Times New Roman"/>
      <w:kern w:val="0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443D84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paragraph" w:customStyle="1" w:styleId="-wm-msonormal">
    <w:name w:val="-wm-msonormal"/>
    <w:basedOn w:val="Normln"/>
    <w:rsid w:val="00443D8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7A5F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A5F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183</TotalTime>
  <Pages>3</Pages>
  <Words>601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6</cp:revision>
  <cp:lastPrinted>2021-02-11T08:21:00Z</cp:lastPrinted>
  <dcterms:created xsi:type="dcterms:W3CDTF">2021-02-10T14:25:00Z</dcterms:created>
  <dcterms:modified xsi:type="dcterms:W3CDTF">2021-02-11T10:39:00Z</dcterms:modified>
</cp:coreProperties>
</file>