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BCC" w:rsidRDefault="00D92BCC" w:rsidP="00E86695">
      <w:pPr>
        <w:jc w:val="center"/>
        <w:rPr>
          <w:rFonts w:ascii="Arial" w:hAnsi="Arial" w:cs="Arial"/>
          <w:b/>
          <w:u w:val="single"/>
        </w:rPr>
      </w:pPr>
      <w:r w:rsidRPr="00F7690D">
        <w:rPr>
          <w:rFonts w:ascii="Arial" w:hAnsi="Arial" w:cs="Arial"/>
          <w:b/>
          <w:u w:val="single"/>
        </w:rPr>
        <w:t>Rozdílová tabulka</w:t>
      </w:r>
      <w:r w:rsidR="00624F78" w:rsidRPr="00F7690D">
        <w:rPr>
          <w:rFonts w:ascii="Arial" w:hAnsi="Arial" w:cs="Arial"/>
          <w:b/>
          <w:u w:val="single"/>
        </w:rPr>
        <w:t xml:space="preserve"> návrhu právního předpisu ČR s předpisy EU</w:t>
      </w:r>
    </w:p>
    <w:tbl>
      <w:tblPr>
        <w:tblStyle w:val="Mkatabulky"/>
        <w:tblW w:w="0" w:type="auto"/>
        <w:tblLook w:val="04A0" w:firstRow="1" w:lastRow="0" w:firstColumn="1" w:lastColumn="0" w:noHBand="0" w:noVBand="1"/>
      </w:tblPr>
      <w:tblGrid>
        <w:gridCol w:w="1550"/>
        <w:gridCol w:w="4871"/>
        <w:gridCol w:w="1599"/>
        <w:gridCol w:w="1464"/>
        <w:gridCol w:w="4510"/>
      </w:tblGrid>
      <w:tr w:rsidR="00D9089F" w:rsidRPr="009A189A" w:rsidTr="00D9089F">
        <w:tc>
          <w:tcPr>
            <w:tcW w:w="6421" w:type="dxa"/>
            <w:gridSpan w:val="2"/>
          </w:tcPr>
          <w:p w:rsidR="00D9089F" w:rsidRPr="009A189A" w:rsidRDefault="00D9089F" w:rsidP="00E86695">
            <w:pPr>
              <w:jc w:val="center"/>
              <w:rPr>
                <w:rFonts w:ascii="Arial" w:hAnsi="Arial" w:cs="Arial"/>
                <w:b/>
              </w:rPr>
            </w:pPr>
            <w:r w:rsidRPr="009A189A">
              <w:rPr>
                <w:rFonts w:ascii="Arial" w:hAnsi="Arial" w:cs="Arial"/>
                <w:b/>
              </w:rPr>
              <w:t>Navrhovaný právní předpis (resp. jiný právní předpis)</w:t>
            </w:r>
          </w:p>
          <w:p w:rsidR="00D9089F" w:rsidRPr="009A189A" w:rsidRDefault="00D9089F" w:rsidP="00E86695">
            <w:pPr>
              <w:jc w:val="center"/>
              <w:rPr>
                <w:rFonts w:ascii="Arial" w:hAnsi="Arial" w:cs="Arial"/>
                <w:b/>
              </w:rPr>
            </w:pPr>
          </w:p>
        </w:tc>
        <w:tc>
          <w:tcPr>
            <w:tcW w:w="7573" w:type="dxa"/>
            <w:gridSpan w:val="3"/>
          </w:tcPr>
          <w:p w:rsidR="00D9089F" w:rsidRPr="00D46C0A" w:rsidRDefault="00D9089F" w:rsidP="00E86695">
            <w:pPr>
              <w:jc w:val="center"/>
              <w:rPr>
                <w:rFonts w:ascii="Arial" w:eastAsia="Times New Roman" w:hAnsi="Arial" w:cs="Arial"/>
                <w:b/>
              </w:rPr>
            </w:pPr>
            <w:r w:rsidRPr="00D46C0A">
              <w:rPr>
                <w:rFonts w:ascii="Arial" w:eastAsia="Times New Roman" w:hAnsi="Arial" w:cs="Arial"/>
                <w:b/>
              </w:rPr>
              <w:t>Odpovídající předpis EU</w:t>
            </w:r>
          </w:p>
        </w:tc>
      </w:tr>
      <w:tr w:rsidR="00D92BCC" w:rsidRPr="00F7690D" w:rsidTr="00485CFE">
        <w:tc>
          <w:tcPr>
            <w:tcW w:w="6421" w:type="dxa"/>
            <w:gridSpan w:val="2"/>
          </w:tcPr>
          <w:p w:rsidR="00D92BCC" w:rsidRPr="00F7690D" w:rsidRDefault="00F7690D" w:rsidP="00E86695">
            <w:pPr>
              <w:spacing w:before="120"/>
              <w:jc w:val="both"/>
              <w:rPr>
                <w:rFonts w:ascii="Arial" w:hAnsi="Arial" w:cs="Arial"/>
              </w:rPr>
            </w:pPr>
            <w:r>
              <w:rPr>
                <w:rFonts w:ascii="Arial" w:hAnsi="Arial" w:cs="Arial"/>
              </w:rPr>
              <w:t>Návrh zákona</w:t>
            </w:r>
            <w:r w:rsidR="009D2D48" w:rsidRPr="00F7690D">
              <w:rPr>
                <w:rFonts w:ascii="Arial" w:hAnsi="Arial" w:cs="Arial"/>
              </w:rPr>
              <w:t>, kterým se mění zákon č. 326/2004 Sb., o rostlinolékařské péči a o změně některých souvisejících zákonů, ve znění pozdějších předpisů</w:t>
            </w:r>
          </w:p>
        </w:tc>
        <w:tc>
          <w:tcPr>
            <w:tcW w:w="7573" w:type="dxa"/>
            <w:gridSpan w:val="3"/>
          </w:tcPr>
          <w:p w:rsidR="00D24A11" w:rsidRPr="00D46C0A" w:rsidRDefault="00F06DCB" w:rsidP="00E86695">
            <w:pPr>
              <w:spacing w:before="120" w:after="120"/>
              <w:jc w:val="both"/>
              <w:rPr>
                <w:rFonts w:ascii="Arial" w:hAnsi="Arial" w:cs="Arial"/>
              </w:rPr>
            </w:pPr>
            <w:r w:rsidRPr="00D46C0A">
              <w:rPr>
                <w:rFonts w:ascii="Arial" w:hAnsi="Arial" w:cs="Arial"/>
              </w:rPr>
              <w:t>Nařízení Evropského parlamentu a Rady (EU</w:t>
            </w:r>
            <w:r w:rsidRPr="000777B6">
              <w:rPr>
                <w:rFonts w:ascii="Arial" w:hAnsi="Arial" w:cs="Arial"/>
              </w:rPr>
              <w:t>)</w:t>
            </w:r>
            <w:r w:rsidRPr="00D46C0A">
              <w:rPr>
                <w:rFonts w:ascii="Arial" w:hAnsi="Arial" w:cs="Arial"/>
                <w:b/>
              </w:rPr>
              <w:t xml:space="preserve"> </w:t>
            </w:r>
            <w:r w:rsidRPr="00D46C0A">
              <w:rPr>
                <w:rFonts w:ascii="Arial" w:hAnsi="Arial" w:cs="Arial"/>
              </w:rPr>
              <w:t>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w:t>
            </w:r>
            <w:r w:rsidR="00BA0182">
              <w:rPr>
                <w:rFonts w:ascii="Arial" w:hAnsi="Arial" w:cs="Arial"/>
              </w:rPr>
              <w:t>, v platném znění</w:t>
            </w:r>
          </w:p>
          <w:p w:rsidR="000777B6" w:rsidRDefault="000777B6" w:rsidP="00E86695">
            <w:pPr>
              <w:spacing w:before="120" w:after="120"/>
              <w:jc w:val="both"/>
              <w:rPr>
                <w:rFonts w:ascii="Arial" w:hAnsi="Arial" w:cs="Arial"/>
              </w:rPr>
            </w:pPr>
            <w:r w:rsidRPr="000777B6">
              <w:rPr>
                <w:rFonts w:ascii="Arial" w:hAnsi="Arial" w:cs="Arial"/>
              </w:rPr>
              <w:t>Nařízení Evropského parlamentu a Rady (ES) č. 1107/2009 ze dne 21. října 2009 o uvádění přípravků na ochranu rostlin na trh a o zrušení směrnic Rady 79/117/EHS a 91/414/EHS</w:t>
            </w:r>
            <w:r w:rsidR="00BA0182">
              <w:rPr>
                <w:rFonts w:ascii="Arial" w:hAnsi="Arial" w:cs="Arial"/>
              </w:rPr>
              <w:t>, v platném znění</w:t>
            </w:r>
          </w:p>
          <w:p w:rsidR="001B4537" w:rsidRDefault="001B4537" w:rsidP="00E86695">
            <w:pPr>
              <w:spacing w:before="120" w:after="120"/>
              <w:jc w:val="both"/>
              <w:rPr>
                <w:rFonts w:ascii="Arial" w:hAnsi="Arial" w:cs="Arial"/>
              </w:rPr>
            </w:pPr>
            <w:r w:rsidRPr="001B4537">
              <w:rPr>
                <w:rFonts w:ascii="Arial" w:hAnsi="Arial" w:cs="Arial"/>
              </w:rPr>
              <w:t>Směrnice Evropského parlamentu a Rady 2009/128/ES ze dne 21. října, kterou se stanoví rámec pro činnost Společenství za účelem dosažení udržitelného používání pesticidů</w:t>
            </w:r>
            <w:r>
              <w:rPr>
                <w:rFonts w:ascii="Arial" w:hAnsi="Arial" w:cs="Arial"/>
              </w:rPr>
              <w:t>, v platném znění</w:t>
            </w:r>
          </w:p>
          <w:p w:rsidR="00FA0C60" w:rsidRDefault="001B4537" w:rsidP="00E86695">
            <w:pPr>
              <w:spacing w:before="120" w:after="120"/>
              <w:jc w:val="both"/>
              <w:rPr>
                <w:rFonts w:ascii="Arial" w:hAnsi="Arial" w:cs="Arial"/>
              </w:rPr>
            </w:pPr>
            <w:r w:rsidRPr="001B4537">
              <w:rPr>
                <w:rFonts w:ascii="Arial" w:hAnsi="Arial" w:cs="Arial"/>
              </w:rPr>
              <w:t>Nařízení Evropského parlamentu a Rady (EU) 2019/1020 ze dne 20. června 2019 o dozoru nad trhem a souladu výrobků s předpisy, kterým se mění směrnice 2004/42/ES a nařízení (ES) č. 765/2008 a (EU) 305/2011</w:t>
            </w:r>
          </w:p>
          <w:p w:rsidR="001B4537" w:rsidRDefault="001B4537" w:rsidP="00E86695">
            <w:pPr>
              <w:spacing w:before="120" w:after="120"/>
              <w:jc w:val="both"/>
              <w:rPr>
                <w:rFonts w:ascii="Arial" w:hAnsi="Arial" w:cs="Arial"/>
              </w:rPr>
            </w:pPr>
            <w:r w:rsidRPr="001B4537">
              <w:rPr>
                <w:rFonts w:ascii="Arial" w:hAnsi="Arial" w:cs="Arial"/>
              </w:rPr>
              <w:t>Nařízení Evropského parlamentu a Rady (EU) 2019/515 ze dne 19. března 2019 o vzájemném uznávání zboží uvedeného v souladu s právními předpisy na trh v jiném členském státě a o zrušení nařízení (ES) č. 764/2008</w:t>
            </w:r>
          </w:p>
          <w:p w:rsidR="002D5535" w:rsidRPr="00D46C0A" w:rsidRDefault="002D5535" w:rsidP="00E86695">
            <w:pPr>
              <w:spacing w:before="120" w:after="120"/>
              <w:jc w:val="both"/>
              <w:rPr>
                <w:rFonts w:ascii="Arial" w:hAnsi="Arial" w:cs="Arial"/>
              </w:rPr>
            </w:pPr>
            <w:r w:rsidRPr="002D5535">
              <w:rPr>
                <w:rFonts w:ascii="Arial" w:hAnsi="Arial" w:cs="Arial"/>
              </w:rPr>
              <w:t xml:space="preserve">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w:t>
            </w:r>
            <w:r w:rsidRPr="002D5535">
              <w:rPr>
                <w:rFonts w:ascii="Arial" w:hAnsi="Arial" w:cs="Arial"/>
              </w:rPr>
              <w:lastRenderedPageBreak/>
              <w:t>882/2004, směrnic Rady 89/608/EHS, 89/662/EHS, 90/425/EHS, 91/496/EHS, 96/23/ES, 96/93/ES a 97/78/ES a rozhodnutí Rady 92/438/EHS (nařízení o úředních kontrolách)</w:t>
            </w:r>
            <w:bookmarkStart w:id="0" w:name="_GoBack"/>
            <w:bookmarkEnd w:id="0"/>
          </w:p>
        </w:tc>
      </w:tr>
      <w:tr w:rsidR="00D92BCC" w:rsidRPr="00F7690D" w:rsidTr="00485CFE">
        <w:trPr>
          <w:trHeight w:val="757"/>
        </w:trPr>
        <w:tc>
          <w:tcPr>
            <w:tcW w:w="1550" w:type="dxa"/>
            <w:tcBorders>
              <w:bottom w:val="single" w:sz="4" w:space="0" w:color="auto"/>
            </w:tcBorders>
          </w:tcPr>
          <w:p w:rsidR="00D92BCC" w:rsidRPr="00D9089F" w:rsidRDefault="00D92BCC" w:rsidP="00E86695">
            <w:pPr>
              <w:jc w:val="center"/>
              <w:rPr>
                <w:rFonts w:ascii="Arial" w:hAnsi="Arial" w:cs="Arial"/>
                <w:b/>
              </w:rPr>
            </w:pPr>
          </w:p>
          <w:p w:rsidR="00D92BCC" w:rsidRPr="00D9089F" w:rsidRDefault="00D24A11" w:rsidP="00E86695">
            <w:pPr>
              <w:jc w:val="center"/>
              <w:rPr>
                <w:rFonts w:ascii="Arial" w:hAnsi="Arial" w:cs="Arial"/>
                <w:b/>
              </w:rPr>
            </w:pPr>
            <w:r w:rsidRPr="00D9089F">
              <w:rPr>
                <w:rFonts w:ascii="Arial" w:hAnsi="Arial" w:cs="Arial"/>
                <w:b/>
              </w:rPr>
              <w:t>Ustanovení</w:t>
            </w:r>
          </w:p>
          <w:p w:rsidR="00D92BCC" w:rsidRPr="00D9089F" w:rsidRDefault="00D92BCC" w:rsidP="00E86695">
            <w:pPr>
              <w:jc w:val="center"/>
              <w:rPr>
                <w:rFonts w:ascii="Arial" w:hAnsi="Arial" w:cs="Arial"/>
                <w:b/>
              </w:rPr>
            </w:pPr>
          </w:p>
        </w:tc>
        <w:tc>
          <w:tcPr>
            <w:tcW w:w="4871" w:type="dxa"/>
            <w:tcBorders>
              <w:bottom w:val="single" w:sz="4" w:space="0" w:color="auto"/>
            </w:tcBorders>
          </w:tcPr>
          <w:p w:rsidR="00D92BCC" w:rsidRPr="00D9089F" w:rsidRDefault="00D92BCC" w:rsidP="00E86695">
            <w:pPr>
              <w:jc w:val="center"/>
              <w:rPr>
                <w:rFonts w:ascii="Arial" w:hAnsi="Arial" w:cs="Arial"/>
                <w:b/>
              </w:rPr>
            </w:pPr>
          </w:p>
          <w:p w:rsidR="00D24A11" w:rsidRPr="00D9089F" w:rsidRDefault="00D24A11" w:rsidP="00E86695">
            <w:pPr>
              <w:jc w:val="center"/>
              <w:rPr>
                <w:rFonts w:ascii="Arial" w:hAnsi="Arial" w:cs="Arial"/>
                <w:b/>
              </w:rPr>
            </w:pPr>
            <w:r w:rsidRPr="00D9089F">
              <w:rPr>
                <w:rFonts w:ascii="Arial" w:hAnsi="Arial" w:cs="Arial"/>
                <w:b/>
              </w:rPr>
              <w:t>Obsah</w:t>
            </w:r>
          </w:p>
        </w:tc>
        <w:tc>
          <w:tcPr>
            <w:tcW w:w="1599" w:type="dxa"/>
            <w:tcBorders>
              <w:bottom w:val="single" w:sz="4" w:space="0" w:color="auto"/>
            </w:tcBorders>
          </w:tcPr>
          <w:p w:rsidR="00D92BCC" w:rsidRPr="00D46C0A" w:rsidRDefault="00D92BCC" w:rsidP="00E86695">
            <w:pPr>
              <w:jc w:val="center"/>
              <w:rPr>
                <w:rFonts w:ascii="Arial" w:hAnsi="Arial" w:cs="Arial"/>
                <w:b/>
              </w:rPr>
            </w:pPr>
          </w:p>
          <w:p w:rsidR="00D24A11" w:rsidRPr="00D46C0A" w:rsidRDefault="00D24A11" w:rsidP="00E86695">
            <w:pPr>
              <w:jc w:val="center"/>
              <w:rPr>
                <w:rFonts w:ascii="Arial" w:hAnsi="Arial" w:cs="Arial"/>
                <w:b/>
              </w:rPr>
            </w:pPr>
            <w:proofErr w:type="spellStart"/>
            <w:r w:rsidRPr="00D46C0A">
              <w:rPr>
                <w:rFonts w:ascii="Arial" w:hAnsi="Arial" w:cs="Arial"/>
                <w:b/>
              </w:rPr>
              <w:t>Celex</w:t>
            </w:r>
            <w:proofErr w:type="spellEnd"/>
            <w:r w:rsidRPr="00D46C0A">
              <w:rPr>
                <w:rFonts w:ascii="Arial" w:hAnsi="Arial" w:cs="Arial"/>
                <w:b/>
              </w:rPr>
              <w:t xml:space="preserve"> č.</w:t>
            </w:r>
          </w:p>
        </w:tc>
        <w:tc>
          <w:tcPr>
            <w:tcW w:w="1464" w:type="dxa"/>
            <w:tcBorders>
              <w:bottom w:val="single" w:sz="4" w:space="0" w:color="auto"/>
            </w:tcBorders>
          </w:tcPr>
          <w:p w:rsidR="00D92BCC" w:rsidRPr="00D46C0A" w:rsidRDefault="00D92BCC" w:rsidP="00E86695">
            <w:pPr>
              <w:jc w:val="center"/>
              <w:rPr>
                <w:rFonts w:ascii="Arial" w:hAnsi="Arial" w:cs="Arial"/>
                <w:b/>
              </w:rPr>
            </w:pPr>
          </w:p>
          <w:p w:rsidR="00D24A11" w:rsidRPr="00D46C0A" w:rsidRDefault="00D24A11" w:rsidP="00E86695">
            <w:pPr>
              <w:jc w:val="center"/>
              <w:rPr>
                <w:rFonts w:ascii="Arial" w:hAnsi="Arial" w:cs="Arial"/>
                <w:b/>
              </w:rPr>
            </w:pPr>
            <w:r w:rsidRPr="00D46C0A">
              <w:rPr>
                <w:rFonts w:ascii="Arial" w:hAnsi="Arial" w:cs="Arial"/>
                <w:b/>
              </w:rPr>
              <w:t>Ustanovení</w:t>
            </w:r>
          </w:p>
        </w:tc>
        <w:tc>
          <w:tcPr>
            <w:tcW w:w="4510" w:type="dxa"/>
            <w:tcBorders>
              <w:bottom w:val="single" w:sz="4" w:space="0" w:color="auto"/>
            </w:tcBorders>
          </w:tcPr>
          <w:p w:rsidR="00D92BCC" w:rsidRPr="00D46C0A" w:rsidRDefault="00D92BCC" w:rsidP="00E86695">
            <w:pPr>
              <w:jc w:val="center"/>
              <w:rPr>
                <w:rFonts w:ascii="Arial" w:hAnsi="Arial" w:cs="Arial"/>
                <w:b/>
              </w:rPr>
            </w:pPr>
          </w:p>
          <w:p w:rsidR="00D24A11" w:rsidRPr="00D46C0A" w:rsidRDefault="00D24A11" w:rsidP="00E86695">
            <w:pPr>
              <w:jc w:val="center"/>
              <w:rPr>
                <w:rFonts w:ascii="Arial" w:hAnsi="Arial" w:cs="Arial"/>
                <w:b/>
              </w:rPr>
            </w:pPr>
            <w:r w:rsidRPr="00D46C0A">
              <w:rPr>
                <w:rFonts w:ascii="Arial" w:hAnsi="Arial" w:cs="Arial"/>
                <w:b/>
              </w:rPr>
              <w:t>Obsah</w:t>
            </w:r>
          </w:p>
        </w:tc>
      </w:tr>
      <w:tr w:rsidR="00D92BCC" w:rsidRPr="00F7690D" w:rsidTr="00C45176">
        <w:trPr>
          <w:trHeight w:val="1559"/>
        </w:trPr>
        <w:tc>
          <w:tcPr>
            <w:tcW w:w="1550" w:type="dxa"/>
            <w:tcBorders>
              <w:bottom w:val="single" w:sz="4" w:space="0" w:color="auto"/>
            </w:tcBorders>
          </w:tcPr>
          <w:p w:rsidR="00F06DCB" w:rsidRPr="00F7690D" w:rsidRDefault="00236B55" w:rsidP="00E86695">
            <w:pPr>
              <w:jc w:val="both"/>
              <w:rPr>
                <w:rFonts w:ascii="Arial" w:hAnsi="Arial" w:cs="Arial"/>
              </w:rPr>
            </w:pPr>
            <w:r w:rsidRPr="00F7690D">
              <w:rPr>
                <w:rFonts w:ascii="Arial" w:hAnsi="Arial" w:cs="Arial"/>
              </w:rPr>
              <w:t xml:space="preserve">Čl. I bod </w:t>
            </w:r>
            <w:r w:rsidR="006B70BE">
              <w:rPr>
                <w:rFonts w:ascii="Arial" w:hAnsi="Arial" w:cs="Arial"/>
              </w:rPr>
              <w:t>5</w:t>
            </w:r>
          </w:p>
          <w:p w:rsidR="00236B55" w:rsidRPr="00F7690D" w:rsidRDefault="00854035" w:rsidP="00E86695">
            <w:pPr>
              <w:jc w:val="both"/>
              <w:rPr>
                <w:rFonts w:ascii="Arial" w:hAnsi="Arial" w:cs="Arial"/>
              </w:rPr>
            </w:pPr>
            <w:r w:rsidRPr="00F7690D">
              <w:rPr>
                <w:rFonts w:ascii="Arial" w:hAnsi="Arial" w:cs="Arial"/>
              </w:rPr>
              <w:t>§ 1</w:t>
            </w:r>
            <w:r w:rsidR="001B4537">
              <w:rPr>
                <w:rFonts w:ascii="Arial" w:hAnsi="Arial" w:cs="Arial"/>
              </w:rPr>
              <w:t>4</w:t>
            </w:r>
            <w:r w:rsidRPr="00F7690D">
              <w:rPr>
                <w:rFonts w:ascii="Arial" w:hAnsi="Arial" w:cs="Arial"/>
              </w:rPr>
              <w:t xml:space="preserve"> odst. </w:t>
            </w:r>
            <w:r w:rsidR="001B4537">
              <w:rPr>
                <w:rFonts w:ascii="Arial" w:hAnsi="Arial" w:cs="Arial"/>
              </w:rPr>
              <w:t>5</w:t>
            </w:r>
          </w:p>
          <w:p w:rsidR="00854035" w:rsidRPr="00F7690D" w:rsidRDefault="00854035" w:rsidP="00E86695">
            <w:pPr>
              <w:jc w:val="both"/>
              <w:rPr>
                <w:rFonts w:ascii="Arial" w:hAnsi="Arial" w:cs="Arial"/>
              </w:rPr>
            </w:pPr>
          </w:p>
        </w:tc>
        <w:tc>
          <w:tcPr>
            <w:tcW w:w="4871" w:type="dxa"/>
            <w:tcBorders>
              <w:bottom w:val="single" w:sz="4" w:space="0" w:color="auto"/>
            </w:tcBorders>
          </w:tcPr>
          <w:p w:rsidR="001B4537" w:rsidRPr="001B4537" w:rsidRDefault="001B4537" w:rsidP="00E86695">
            <w:pPr>
              <w:ind w:firstLine="34"/>
              <w:jc w:val="both"/>
              <w:rPr>
                <w:rFonts w:ascii="Arial" w:hAnsi="Arial" w:cs="Arial"/>
              </w:rPr>
            </w:pPr>
            <w:r w:rsidRPr="001B4537">
              <w:rPr>
                <w:rFonts w:ascii="Arial" w:hAnsi="Arial" w:cs="Arial"/>
              </w:rPr>
              <w:t>V § 14 se doplňuje odstavec 5, který zní:</w:t>
            </w:r>
          </w:p>
          <w:p w:rsidR="001B4537" w:rsidRPr="001B4537" w:rsidRDefault="001B4537" w:rsidP="00E86695">
            <w:pPr>
              <w:ind w:firstLine="34"/>
              <w:jc w:val="both"/>
              <w:rPr>
                <w:rFonts w:ascii="Arial" w:hAnsi="Arial" w:cs="Arial"/>
              </w:rPr>
            </w:pPr>
          </w:p>
          <w:p w:rsidR="00214C4A" w:rsidRPr="001A17C0" w:rsidRDefault="001B4537" w:rsidP="00E86695">
            <w:pPr>
              <w:ind w:firstLine="34"/>
              <w:jc w:val="both"/>
              <w:rPr>
                <w:rFonts w:ascii="Arial" w:hAnsi="Arial" w:cs="Arial"/>
              </w:rPr>
            </w:pPr>
            <w:r w:rsidRPr="001B4537">
              <w:rPr>
                <w:rFonts w:ascii="Arial" w:hAnsi="Arial" w:cs="Arial"/>
              </w:rPr>
              <w:t>„(5) Informace týkající se rostlinolékařského pasu, které má oprávněný provozovatel zaznamenat podle čl. 69 odst. 3 písm. c) nařízení (EU) 2016/2031, stanoví prováděcí právní předpis.“.</w:t>
            </w:r>
          </w:p>
          <w:p w:rsidR="00854035" w:rsidRPr="00214C4A" w:rsidRDefault="00854035" w:rsidP="00E86695">
            <w:pPr>
              <w:ind w:firstLine="34"/>
              <w:jc w:val="both"/>
              <w:rPr>
                <w:rFonts w:ascii="Arial" w:hAnsi="Arial" w:cs="Arial"/>
                <w:u w:val="single"/>
              </w:rPr>
            </w:pPr>
          </w:p>
        </w:tc>
        <w:tc>
          <w:tcPr>
            <w:tcW w:w="1599" w:type="dxa"/>
            <w:tcBorders>
              <w:bottom w:val="single" w:sz="4" w:space="0" w:color="auto"/>
            </w:tcBorders>
          </w:tcPr>
          <w:p w:rsidR="00113422" w:rsidRDefault="00113422" w:rsidP="00E86695">
            <w:pPr>
              <w:jc w:val="both"/>
              <w:rPr>
                <w:rFonts w:ascii="Arial" w:hAnsi="Arial" w:cs="Arial"/>
              </w:rPr>
            </w:pPr>
            <w:r w:rsidRPr="0012027B">
              <w:rPr>
                <w:rFonts w:ascii="Arial" w:hAnsi="Arial" w:cs="Arial"/>
              </w:rPr>
              <w:t>32016R2031</w:t>
            </w:r>
          </w:p>
          <w:p w:rsidR="00432835" w:rsidRPr="00D46C0A" w:rsidRDefault="00432835" w:rsidP="00E86695">
            <w:pPr>
              <w:jc w:val="both"/>
              <w:rPr>
                <w:rFonts w:ascii="Arial" w:hAnsi="Arial" w:cs="Arial"/>
              </w:rPr>
            </w:pPr>
          </w:p>
        </w:tc>
        <w:tc>
          <w:tcPr>
            <w:tcW w:w="1464" w:type="dxa"/>
            <w:tcBorders>
              <w:bottom w:val="single" w:sz="4" w:space="0" w:color="auto"/>
            </w:tcBorders>
          </w:tcPr>
          <w:p w:rsidR="003324D4" w:rsidRDefault="003324D4" w:rsidP="00E86695">
            <w:pPr>
              <w:jc w:val="both"/>
              <w:rPr>
                <w:rFonts w:ascii="Arial" w:hAnsi="Arial" w:cs="Arial"/>
              </w:rPr>
            </w:pPr>
            <w:r>
              <w:rPr>
                <w:rFonts w:ascii="Arial" w:hAnsi="Arial" w:cs="Arial"/>
              </w:rPr>
              <w:t xml:space="preserve">Článek </w:t>
            </w:r>
            <w:r w:rsidR="001B4537">
              <w:rPr>
                <w:rFonts w:ascii="Arial" w:hAnsi="Arial" w:cs="Arial"/>
              </w:rPr>
              <w:t>69</w:t>
            </w:r>
            <w:r>
              <w:rPr>
                <w:rFonts w:ascii="Arial" w:hAnsi="Arial" w:cs="Arial"/>
              </w:rPr>
              <w:t xml:space="preserve"> odst. </w:t>
            </w:r>
            <w:r w:rsidR="001B4537">
              <w:rPr>
                <w:rFonts w:ascii="Arial" w:hAnsi="Arial" w:cs="Arial"/>
              </w:rPr>
              <w:t>3</w:t>
            </w:r>
            <w:r>
              <w:rPr>
                <w:rFonts w:ascii="Arial" w:hAnsi="Arial" w:cs="Arial"/>
              </w:rPr>
              <w:t xml:space="preserve"> </w:t>
            </w:r>
            <w:r w:rsidR="001B4537">
              <w:rPr>
                <w:rFonts w:ascii="Arial" w:hAnsi="Arial" w:cs="Arial"/>
              </w:rPr>
              <w:t>písm. c)</w:t>
            </w:r>
          </w:p>
          <w:p w:rsidR="003324D4" w:rsidRDefault="003324D4" w:rsidP="00E86695">
            <w:pPr>
              <w:jc w:val="both"/>
              <w:rPr>
                <w:rFonts w:ascii="Arial" w:hAnsi="Arial" w:cs="Arial"/>
              </w:rPr>
            </w:pPr>
          </w:p>
          <w:p w:rsidR="003324D4" w:rsidRDefault="003324D4" w:rsidP="00E86695">
            <w:pPr>
              <w:jc w:val="both"/>
              <w:rPr>
                <w:rFonts w:ascii="Arial" w:hAnsi="Arial" w:cs="Arial"/>
              </w:rPr>
            </w:pPr>
          </w:p>
          <w:p w:rsidR="00B57BAA" w:rsidRPr="00D46C0A" w:rsidRDefault="00B57BAA" w:rsidP="00E86695">
            <w:pPr>
              <w:jc w:val="both"/>
              <w:rPr>
                <w:rFonts w:ascii="Arial" w:hAnsi="Arial" w:cs="Arial"/>
              </w:rPr>
            </w:pPr>
          </w:p>
        </w:tc>
        <w:tc>
          <w:tcPr>
            <w:tcW w:w="4510" w:type="dxa"/>
            <w:tcBorders>
              <w:bottom w:val="single" w:sz="4" w:space="0" w:color="auto"/>
            </w:tcBorders>
          </w:tcPr>
          <w:p w:rsidR="00214C4A" w:rsidRDefault="001B4537" w:rsidP="00E86695">
            <w:pPr>
              <w:pStyle w:val="Bezmezer"/>
              <w:jc w:val="both"/>
              <w:rPr>
                <w:rFonts w:ascii="Arial" w:hAnsi="Arial" w:cs="Arial"/>
              </w:rPr>
            </w:pPr>
            <w:r w:rsidRPr="001B4537">
              <w:rPr>
                <w:rFonts w:ascii="Arial" w:hAnsi="Arial" w:cs="Arial"/>
              </w:rPr>
              <w:t xml:space="preserve">3.   Pokud oprávněný provozovatel vydá rostlinolékařský pas podle čl. 84 odst. 1 a pokud příslušný orgán vydá rostlinolékařský pas podle čl. 84 odst. 2 pro registrovaného provozovatele, uvedený provozovatel v zájmu zajištění </w:t>
            </w:r>
            <w:proofErr w:type="spellStart"/>
            <w:r w:rsidRPr="001B4537">
              <w:rPr>
                <w:rFonts w:ascii="Arial" w:hAnsi="Arial" w:cs="Arial"/>
              </w:rPr>
              <w:t>vysledovatelnosti</w:t>
            </w:r>
            <w:proofErr w:type="spellEnd"/>
            <w:r w:rsidRPr="001B4537">
              <w:rPr>
                <w:rFonts w:ascii="Arial" w:hAnsi="Arial" w:cs="Arial"/>
              </w:rPr>
              <w:t xml:space="preserve"> podle odstavců 1 a 2 tohoto článku zajistí, aby o uvedeném rostlinolékařském pasu zaznamenal tyto informace:</w:t>
            </w:r>
          </w:p>
          <w:p w:rsidR="001B4537" w:rsidRDefault="001B4537" w:rsidP="00E86695">
            <w:pPr>
              <w:pStyle w:val="Bezmezer"/>
              <w:jc w:val="both"/>
              <w:rPr>
                <w:rFonts w:ascii="Arial" w:hAnsi="Arial" w:cs="Arial"/>
              </w:rPr>
            </w:pPr>
            <w:r>
              <w:rPr>
                <w:rFonts w:ascii="Arial" w:hAnsi="Arial" w:cs="Arial"/>
              </w:rPr>
              <w:t>…</w:t>
            </w:r>
          </w:p>
          <w:p w:rsidR="001B4537" w:rsidRDefault="001B4537" w:rsidP="00E86695">
            <w:pPr>
              <w:pStyle w:val="Bezmezer"/>
              <w:jc w:val="both"/>
              <w:rPr>
                <w:rFonts w:ascii="Arial" w:hAnsi="Arial" w:cs="Arial"/>
              </w:rPr>
            </w:pPr>
            <w:r>
              <w:rPr>
                <w:rFonts w:ascii="Arial" w:hAnsi="Arial" w:cs="Arial"/>
              </w:rPr>
              <w:t>c)</w:t>
            </w:r>
            <w:r>
              <w:t xml:space="preserve"> </w:t>
            </w:r>
            <w:r w:rsidRPr="001B4537">
              <w:rPr>
                <w:rFonts w:ascii="Arial" w:hAnsi="Arial" w:cs="Arial"/>
              </w:rPr>
              <w:t>relevantní informace týkající se rostlinolékařského pasu.</w:t>
            </w:r>
          </w:p>
          <w:p w:rsidR="00D43528" w:rsidRPr="001B4537" w:rsidRDefault="00D43528" w:rsidP="00E86695">
            <w:pPr>
              <w:pStyle w:val="Bezmezer"/>
              <w:jc w:val="both"/>
              <w:rPr>
                <w:rFonts w:ascii="Arial" w:hAnsi="Arial" w:cs="Arial"/>
              </w:rPr>
            </w:pPr>
          </w:p>
        </w:tc>
      </w:tr>
      <w:tr w:rsidR="00FB36B6" w:rsidRPr="00F7690D" w:rsidTr="00485CFE">
        <w:tc>
          <w:tcPr>
            <w:tcW w:w="1550" w:type="dxa"/>
            <w:tcBorders>
              <w:bottom w:val="nil"/>
            </w:tcBorders>
          </w:tcPr>
          <w:p w:rsidR="00FB36B6" w:rsidRDefault="00FB36B6" w:rsidP="00E86695">
            <w:pPr>
              <w:jc w:val="both"/>
              <w:rPr>
                <w:rFonts w:ascii="Arial" w:hAnsi="Arial" w:cs="Arial"/>
              </w:rPr>
            </w:pPr>
            <w:r w:rsidRPr="00672692">
              <w:rPr>
                <w:rFonts w:ascii="Arial" w:hAnsi="Arial" w:cs="Arial"/>
              </w:rPr>
              <w:t>Čl. I</w:t>
            </w:r>
            <w:r w:rsidR="00E86695">
              <w:rPr>
                <w:rFonts w:ascii="Arial" w:hAnsi="Arial" w:cs="Arial"/>
              </w:rPr>
              <w:t xml:space="preserve"> </w:t>
            </w:r>
            <w:r>
              <w:rPr>
                <w:rFonts w:ascii="Arial" w:hAnsi="Arial" w:cs="Arial"/>
              </w:rPr>
              <w:t xml:space="preserve">bod </w:t>
            </w:r>
            <w:r w:rsidR="006B70BE">
              <w:rPr>
                <w:rFonts w:ascii="Arial" w:hAnsi="Arial" w:cs="Arial"/>
              </w:rPr>
              <w:t>9</w:t>
            </w:r>
          </w:p>
          <w:p w:rsidR="00FB36B6" w:rsidRPr="0012027B" w:rsidRDefault="00FB36B6" w:rsidP="00E86695">
            <w:pPr>
              <w:jc w:val="both"/>
              <w:rPr>
                <w:rFonts w:ascii="Arial" w:hAnsi="Arial" w:cs="Arial"/>
              </w:rPr>
            </w:pPr>
            <w:r>
              <w:rPr>
                <w:rFonts w:ascii="Arial" w:hAnsi="Arial" w:cs="Arial"/>
              </w:rPr>
              <w:t xml:space="preserve">§ </w:t>
            </w:r>
            <w:r w:rsidR="00E86695">
              <w:rPr>
                <w:rFonts w:ascii="Arial" w:hAnsi="Arial" w:cs="Arial"/>
              </w:rPr>
              <w:t>35</w:t>
            </w:r>
            <w:r>
              <w:rPr>
                <w:rFonts w:ascii="Arial" w:hAnsi="Arial" w:cs="Arial"/>
              </w:rPr>
              <w:t xml:space="preserve"> odst. </w:t>
            </w:r>
            <w:r w:rsidR="00E86695">
              <w:rPr>
                <w:rFonts w:ascii="Arial" w:hAnsi="Arial" w:cs="Arial"/>
              </w:rPr>
              <w:t>1</w:t>
            </w:r>
            <w:r>
              <w:rPr>
                <w:rFonts w:ascii="Arial" w:hAnsi="Arial" w:cs="Arial"/>
              </w:rPr>
              <w:t xml:space="preserve"> písm. </w:t>
            </w:r>
            <w:r w:rsidR="00E86695">
              <w:rPr>
                <w:rFonts w:ascii="Arial" w:hAnsi="Arial" w:cs="Arial"/>
              </w:rPr>
              <w:t>f</w:t>
            </w:r>
            <w:r>
              <w:rPr>
                <w:rFonts w:ascii="Arial" w:hAnsi="Arial" w:cs="Arial"/>
              </w:rPr>
              <w:t xml:space="preserve">) a </w:t>
            </w:r>
            <w:r w:rsidR="00E86695">
              <w:rPr>
                <w:rFonts w:ascii="Arial" w:hAnsi="Arial" w:cs="Arial"/>
              </w:rPr>
              <w:t>g</w:t>
            </w:r>
            <w:r>
              <w:rPr>
                <w:rFonts w:ascii="Arial" w:hAnsi="Arial" w:cs="Arial"/>
              </w:rPr>
              <w:t>)</w:t>
            </w:r>
          </w:p>
        </w:tc>
        <w:tc>
          <w:tcPr>
            <w:tcW w:w="4871" w:type="dxa"/>
          </w:tcPr>
          <w:p w:rsidR="00E86695" w:rsidRPr="00E86695" w:rsidRDefault="00E86695" w:rsidP="00E86695">
            <w:pPr>
              <w:ind w:firstLine="34"/>
              <w:jc w:val="both"/>
              <w:rPr>
                <w:rFonts w:ascii="Arial" w:eastAsia="Times New Roman" w:hAnsi="Arial" w:cs="Arial"/>
              </w:rPr>
            </w:pPr>
            <w:r w:rsidRPr="00E86695">
              <w:rPr>
                <w:rFonts w:ascii="Arial" w:eastAsia="Times New Roman" w:hAnsi="Arial" w:cs="Arial"/>
              </w:rPr>
              <w:t>V § 35 se na konci odstavce 1 tečka nahrazuje čárkou a doplňují se písmena f) a g), která znějí:</w:t>
            </w:r>
          </w:p>
          <w:p w:rsidR="00E86695" w:rsidRPr="00E86695" w:rsidRDefault="00E86695" w:rsidP="00E86695">
            <w:pPr>
              <w:ind w:firstLine="34"/>
              <w:jc w:val="both"/>
              <w:rPr>
                <w:rFonts w:ascii="Arial" w:eastAsia="Times New Roman" w:hAnsi="Arial" w:cs="Arial"/>
              </w:rPr>
            </w:pPr>
          </w:p>
          <w:p w:rsidR="0015750C" w:rsidRPr="0015750C" w:rsidRDefault="00E86695" w:rsidP="0015750C">
            <w:pPr>
              <w:ind w:firstLine="34"/>
              <w:jc w:val="both"/>
              <w:rPr>
                <w:rFonts w:ascii="Arial" w:eastAsia="Times New Roman" w:hAnsi="Arial" w:cs="Arial"/>
              </w:rPr>
            </w:pPr>
            <w:r w:rsidRPr="00E86695">
              <w:rPr>
                <w:rFonts w:ascii="Arial" w:eastAsia="Times New Roman" w:hAnsi="Arial" w:cs="Arial"/>
              </w:rPr>
              <w:t>„</w:t>
            </w:r>
            <w:r w:rsidR="0015750C" w:rsidRPr="0015750C">
              <w:rPr>
                <w:rFonts w:ascii="Arial" w:eastAsia="Times New Roman" w:hAnsi="Arial" w:cs="Arial"/>
              </w:rPr>
              <w:t>f) rozhodnutí o povolení přípravku je platné, ale schválení účinné látky pozbylo platnosti a není vedeno řízení o obnovení schválení účinné látky nebo obnovení povolení přípravku, nebo</w:t>
            </w:r>
          </w:p>
          <w:p w:rsidR="0015750C" w:rsidRPr="0015750C" w:rsidRDefault="0015750C" w:rsidP="0015750C">
            <w:pPr>
              <w:ind w:firstLine="34"/>
              <w:jc w:val="both"/>
              <w:rPr>
                <w:rFonts w:ascii="Arial" w:eastAsia="Times New Roman" w:hAnsi="Arial" w:cs="Arial"/>
              </w:rPr>
            </w:pPr>
          </w:p>
          <w:p w:rsidR="00FB36B6" w:rsidRPr="00946E52" w:rsidRDefault="0015750C" w:rsidP="0015750C">
            <w:pPr>
              <w:ind w:firstLine="34"/>
              <w:jc w:val="both"/>
              <w:rPr>
                <w:rFonts w:ascii="Arial" w:eastAsia="Times New Roman" w:hAnsi="Arial" w:cs="Arial"/>
              </w:rPr>
            </w:pPr>
            <w:r w:rsidRPr="0015750C">
              <w:rPr>
                <w:rFonts w:ascii="Arial" w:eastAsia="Times New Roman" w:hAnsi="Arial" w:cs="Arial"/>
              </w:rPr>
              <w:t>g) platnost schválení účinné látky přípravku byla obnovena, ale žádost o související obnovu povolení přípravku nebo související dokumentace nebyla podána v termínu stanoveném přímo použitelným předpisem Evropské unie o uvádění přípravků na ochranu rostlin na trh67).“.</w:t>
            </w:r>
          </w:p>
        </w:tc>
        <w:tc>
          <w:tcPr>
            <w:tcW w:w="1599" w:type="dxa"/>
          </w:tcPr>
          <w:p w:rsidR="00FB36B6" w:rsidRPr="0012027B" w:rsidRDefault="00E86695" w:rsidP="00E86695">
            <w:pPr>
              <w:jc w:val="both"/>
              <w:rPr>
                <w:rFonts w:ascii="Arial" w:hAnsi="Arial" w:cs="Arial"/>
              </w:rPr>
            </w:pPr>
            <w:r w:rsidRPr="00E86695">
              <w:rPr>
                <w:rFonts w:ascii="Arial" w:hAnsi="Arial" w:cs="Arial"/>
              </w:rPr>
              <w:t>32009R1107</w:t>
            </w:r>
          </w:p>
        </w:tc>
        <w:tc>
          <w:tcPr>
            <w:tcW w:w="1464" w:type="dxa"/>
          </w:tcPr>
          <w:p w:rsidR="00FB36B6" w:rsidRDefault="00FB36B6" w:rsidP="00E86695">
            <w:pPr>
              <w:jc w:val="both"/>
              <w:rPr>
                <w:rFonts w:ascii="Arial" w:hAnsi="Arial" w:cs="Arial"/>
              </w:rPr>
            </w:pPr>
            <w:r>
              <w:rPr>
                <w:rFonts w:ascii="Arial" w:hAnsi="Arial" w:cs="Arial"/>
              </w:rPr>
              <w:t xml:space="preserve">Článek </w:t>
            </w:r>
            <w:r w:rsidR="00E86695">
              <w:rPr>
                <w:rFonts w:ascii="Arial" w:hAnsi="Arial" w:cs="Arial"/>
              </w:rPr>
              <w:t>44</w:t>
            </w: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p>
          <w:p w:rsidR="00E86695" w:rsidRDefault="00E86695" w:rsidP="00E86695">
            <w:pPr>
              <w:jc w:val="both"/>
              <w:rPr>
                <w:rFonts w:ascii="Arial" w:hAnsi="Arial" w:cs="Arial"/>
              </w:rPr>
            </w:pPr>
            <w:r>
              <w:rPr>
                <w:rFonts w:ascii="Arial" w:hAnsi="Arial" w:cs="Arial"/>
              </w:rPr>
              <w:t>Článek 46</w:t>
            </w:r>
          </w:p>
        </w:tc>
        <w:tc>
          <w:tcPr>
            <w:tcW w:w="4510" w:type="dxa"/>
          </w:tcPr>
          <w:p w:rsidR="00E86695" w:rsidRPr="00E86695" w:rsidRDefault="00E86695" w:rsidP="00E86695">
            <w:pPr>
              <w:pStyle w:val="Bezmezer"/>
              <w:rPr>
                <w:rFonts w:ascii="Arial" w:eastAsia="Times New Roman" w:hAnsi="Arial" w:cs="Arial"/>
                <w:b/>
                <w:bCs/>
              </w:rPr>
            </w:pPr>
            <w:r w:rsidRPr="00E86695">
              <w:rPr>
                <w:rFonts w:ascii="Arial" w:eastAsia="Times New Roman" w:hAnsi="Arial" w:cs="Arial"/>
                <w:b/>
                <w:bCs/>
              </w:rPr>
              <w:lastRenderedPageBreak/>
              <w:t>Odejmutí nebo změna povolení</w:t>
            </w:r>
          </w:p>
          <w:p w:rsidR="00E86695" w:rsidRPr="00E86695" w:rsidRDefault="00E86695" w:rsidP="00E86695">
            <w:pPr>
              <w:shd w:val="clear" w:color="auto" w:fill="FFFFFF"/>
              <w:spacing w:before="120"/>
              <w:jc w:val="both"/>
              <w:rPr>
                <w:rFonts w:ascii="Arial" w:eastAsia="Times New Roman" w:hAnsi="Arial" w:cs="Arial"/>
                <w:color w:val="000000"/>
              </w:rPr>
            </w:pPr>
            <w:r w:rsidRPr="00E86695">
              <w:rPr>
                <w:rFonts w:ascii="Arial" w:eastAsia="Times New Roman" w:hAnsi="Arial" w:cs="Arial"/>
                <w:color w:val="000000"/>
              </w:rPr>
              <w:t>1.  Členské státy mohou povolení kdykoli přezkoumat, pokud se objevují známky toho, že přestaly být plněny požadavky uvedené v článku 29.</w:t>
            </w:r>
          </w:p>
          <w:p w:rsidR="00E86695" w:rsidRPr="00E86695" w:rsidRDefault="00E86695" w:rsidP="00E86695">
            <w:pPr>
              <w:shd w:val="clear" w:color="auto" w:fill="FFFFFF"/>
              <w:spacing w:before="120"/>
              <w:jc w:val="both"/>
              <w:rPr>
                <w:rFonts w:ascii="Arial" w:eastAsia="Times New Roman" w:hAnsi="Arial" w:cs="Arial"/>
                <w:color w:val="000000"/>
              </w:rPr>
            </w:pPr>
            <w:r w:rsidRPr="00E86695">
              <w:rPr>
                <w:rFonts w:ascii="Arial" w:eastAsia="Times New Roman" w:hAnsi="Arial" w:cs="Arial"/>
                <w:color w:val="000000"/>
              </w:rPr>
              <w:t xml:space="preserve">Členský stát přezkoumá povolení, pokud dojde k závěru, že by mohlo být ohroženo dosažení cílů stanovených v čl. 4 odst. 1 písm. a) bodě </w:t>
            </w:r>
            <w:proofErr w:type="spellStart"/>
            <w:r w:rsidRPr="00E86695">
              <w:rPr>
                <w:rFonts w:ascii="Arial" w:eastAsia="Times New Roman" w:hAnsi="Arial" w:cs="Arial"/>
                <w:color w:val="000000"/>
              </w:rPr>
              <w:t>iv</w:t>
            </w:r>
            <w:proofErr w:type="spellEnd"/>
            <w:r w:rsidRPr="00E86695">
              <w:rPr>
                <w:rFonts w:ascii="Arial" w:eastAsia="Times New Roman" w:hAnsi="Arial" w:cs="Arial"/>
                <w:color w:val="000000"/>
              </w:rPr>
              <w:t>) a písm. b) bodě i) a čl. 7 odst. 2 a 3 směrnice 2000/60/ES.</w:t>
            </w:r>
          </w:p>
          <w:p w:rsidR="00E86695" w:rsidRPr="00E86695" w:rsidRDefault="00E86695" w:rsidP="00E86695">
            <w:pPr>
              <w:shd w:val="clear" w:color="auto" w:fill="FFFFFF"/>
              <w:spacing w:before="120"/>
              <w:jc w:val="both"/>
              <w:rPr>
                <w:rFonts w:ascii="Arial" w:eastAsia="Times New Roman" w:hAnsi="Arial" w:cs="Arial"/>
                <w:color w:val="000000"/>
              </w:rPr>
            </w:pPr>
            <w:r w:rsidRPr="00E86695">
              <w:rPr>
                <w:rFonts w:ascii="Arial" w:eastAsia="Times New Roman" w:hAnsi="Arial" w:cs="Arial"/>
                <w:color w:val="000000"/>
              </w:rPr>
              <w:t>2.  Pokud členský stát hodlá odejmout či změnit povolení, informuje o tom držitele povolení a umožní mu, aby podal připomínky nebo další informace.</w:t>
            </w:r>
          </w:p>
          <w:p w:rsidR="00E86695" w:rsidRPr="00E86695" w:rsidRDefault="00E86695" w:rsidP="00E86695">
            <w:pPr>
              <w:shd w:val="clear" w:color="auto" w:fill="FFFFFF"/>
              <w:spacing w:before="120"/>
              <w:jc w:val="both"/>
              <w:rPr>
                <w:rFonts w:ascii="Arial" w:eastAsia="Times New Roman" w:hAnsi="Arial" w:cs="Arial"/>
                <w:color w:val="000000"/>
              </w:rPr>
            </w:pPr>
            <w:r w:rsidRPr="00E86695">
              <w:rPr>
                <w:rFonts w:ascii="Arial" w:eastAsia="Times New Roman" w:hAnsi="Arial" w:cs="Arial"/>
                <w:color w:val="000000"/>
              </w:rPr>
              <w:lastRenderedPageBreak/>
              <w:t>3.  Členský stát odejme či případně změní povolení, pokud:</w:t>
            </w:r>
          </w:p>
          <w:p w:rsidR="00E86695" w:rsidRPr="00E86695" w:rsidRDefault="00E86695" w:rsidP="00E86695">
            <w:pPr>
              <w:shd w:val="clear" w:color="auto" w:fill="FFFFFF"/>
              <w:jc w:val="both"/>
              <w:rPr>
                <w:rFonts w:ascii="Arial" w:eastAsia="Times New Roman" w:hAnsi="Arial" w:cs="Arial"/>
                <w:color w:val="000000"/>
              </w:rPr>
            </w:pPr>
            <w:r w:rsidRPr="00E86695">
              <w:rPr>
                <w:rFonts w:ascii="Arial" w:eastAsia="Times New Roman" w:hAnsi="Arial" w:cs="Arial"/>
                <w:color w:val="000000"/>
              </w:rPr>
              <w:t>a) přestaly být plněny požadavky uvedené v článku 29;</w:t>
            </w:r>
          </w:p>
          <w:p w:rsidR="00E86695" w:rsidRPr="00E86695" w:rsidRDefault="00E86695" w:rsidP="00E86695">
            <w:pPr>
              <w:shd w:val="clear" w:color="auto" w:fill="FFFFFF"/>
              <w:jc w:val="both"/>
              <w:rPr>
                <w:rFonts w:ascii="Arial" w:eastAsia="Times New Roman" w:hAnsi="Arial" w:cs="Arial"/>
                <w:color w:val="000000"/>
              </w:rPr>
            </w:pPr>
            <w:r w:rsidRPr="00E86695">
              <w:rPr>
                <w:rFonts w:ascii="Arial" w:eastAsia="Times New Roman" w:hAnsi="Arial" w:cs="Arial"/>
                <w:color w:val="000000"/>
              </w:rPr>
              <w:t>b) byly předloženy nepravdivé nebo zavádějící údaje týkající se skutečností, na jejichž základě bylo povolení uděleno;</w:t>
            </w:r>
          </w:p>
          <w:p w:rsidR="00E86695" w:rsidRPr="00E86695" w:rsidRDefault="00E86695" w:rsidP="00E86695">
            <w:pPr>
              <w:shd w:val="clear" w:color="auto" w:fill="FFFFFF"/>
              <w:jc w:val="both"/>
              <w:rPr>
                <w:rFonts w:ascii="Arial" w:eastAsia="Times New Roman" w:hAnsi="Arial" w:cs="Arial"/>
                <w:color w:val="000000"/>
              </w:rPr>
            </w:pPr>
            <w:r w:rsidRPr="00E86695">
              <w:rPr>
                <w:rFonts w:ascii="Arial" w:eastAsia="Times New Roman" w:hAnsi="Arial" w:cs="Arial"/>
                <w:color w:val="000000"/>
              </w:rPr>
              <w:t>c) nebyla splněna některá z podmínek uvedených v povolení;</w:t>
            </w:r>
          </w:p>
          <w:p w:rsidR="00E86695" w:rsidRPr="00E86695" w:rsidRDefault="00E86695" w:rsidP="00E86695">
            <w:pPr>
              <w:shd w:val="clear" w:color="auto" w:fill="FFFFFF"/>
              <w:jc w:val="both"/>
              <w:rPr>
                <w:rFonts w:ascii="Arial" w:eastAsia="Times New Roman" w:hAnsi="Arial" w:cs="Arial"/>
                <w:color w:val="000000"/>
              </w:rPr>
            </w:pPr>
            <w:r w:rsidRPr="00E86695">
              <w:rPr>
                <w:rFonts w:ascii="Arial" w:eastAsia="Times New Roman" w:hAnsi="Arial" w:cs="Arial"/>
                <w:color w:val="000000"/>
              </w:rPr>
              <w:t>d) na základě vývoje vědeckotechnických poznatků lze způsob použití a používaná množství upravit; nebo</w:t>
            </w:r>
          </w:p>
          <w:p w:rsidR="00E86695" w:rsidRPr="00E86695" w:rsidRDefault="00E86695" w:rsidP="00E86695">
            <w:pPr>
              <w:shd w:val="clear" w:color="auto" w:fill="FFFFFF"/>
              <w:jc w:val="both"/>
              <w:rPr>
                <w:rFonts w:ascii="Arial" w:eastAsia="Times New Roman" w:hAnsi="Arial" w:cs="Arial"/>
                <w:color w:val="000000"/>
              </w:rPr>
            </w:pPr>
            <w:r w:rsidRPr="00E86695">
              <w:rPr>
                <w:rFonts w:ascii="Arial" w:eastAsia="Times New Roman" w:hAnsi="Arial" w:cs="Arial"/>
                <w:color w:val="000000"/>
              </w:rPr>
              <w:t>e) držitel povolení neplní povinnosti vyplývající z tohoto nařízení.</w:t>
            </w:r>
          </w:p>
          <w:p w:rsidR="00E86695" w:rsidRPr="00E86695" w:rsidRDefault="00E86695" w:rsidP="00E86695">
            <w:pPr>
              <w:shd w:val="clear" w:color="auto" w:fill="FFFFFF"/>
              <w:spacing w:before="120"/>
              <w:jc w:val="both"/>
              <w:rPr>
                <w:rFonts w:ascii="Arial" w:eastAsia="Times New Roman" w:hAnsi="Arial" w:cs="Arial"/>
                <w:color w:val="000000"/>
              </w:rPr>
            </w:pPr>
            <w:r w:rsidRPr="00E86695">
              <w:rPr>
                <w:rFonts w:ascii="Arial" w:eastAsia="Times New Roman" w:hAnsi="Arial" w:cs="Arial"/>
                <w:color w:val="000000"/>
              </w:rPr>
              <w:t>4.  Pokud členský stát odejme nebo změní povolení v souladu s odstavcem 3, neprodleně o tom informuje držitele povolení, ostatní členské státy, Komisi a úřad. Ostatní členské státy, jež patří do téže zóny, na základě toho povolení odejmou nebo změní, přičemž zohlední vnitrostátní podmínky a opatření ke snižování rizik s výjimkou případů, kdy se použil čl. 36 odst. 3 druhý, třetí a čtvrtý pododstavec. Případně se použije článek 46.</w:t>
            </w:r>
          </w:p>
          <w:p w:rsidR="00FB36B6" w:rsidRDefault="00FB36B6" w:rsidP="00E86695">
            <w:pPr>
              <w:pStyle w:val="Textbodu"/>
              <w:numPr>
                <w:ilvl w:val="0"/>
                <w:numId w:val="0"/>
              </w:numPr>
              <w:rPr>
                <w:rFonts w:ascii="Arial" w:eastAsiaTheme="minorEastAsia" w:hAnsi="Arial" w:cs="Arial"/>
                <w:iCs/>
                <w:sz w:val="22"/>
                <w:szCs w:val="22"/>
              </w:rPr>
            </w:pPr>
          </w:p>
          <w:p w:rsidR="00E86695" w:rsidRPr="00E86695" w:rsidRDefault="00E86695" w:rsidP="00E86695">
            <w:pPr>
              <w:pStyle w:val="Bezmezer"/>
              <w:rPr>
                <w:rFonts w:ascii="Arial" w:hAnsi="Arial" w:cs="Arial"/>
                <w:b/>
                <w:bCs/>
              </w:rPr>
            </w:pPr>
            <w:r w:rsidRPr="00E86695">
              <w:rPr>
                <w:rFonts w:ascii="Arial" w:hAnsi="Arial" w:cs="Arial"/>
                <w:b/>
                <w:bCs/>
              </w:rPr>
              <w:t>Odkladná lhůta</w:t>
            </w:r>
          </w:p>
          <w:p w:rsidR="00E86695" w:rsidRPr="00E86695" w:rsidRDefault="00E86695" w:rsidP="00E86695">
            <w:pPr>
              <w:pStyle w:val="norm"/>
              <w:shd w:val="clear" w:color="auto" w:fill="FFFFFF"/>
              <w:spacing w:before="120" w:beforeAutospacing="0" w:after="0" w:afterAutospacing="0"/>
              <w:jc w:val="both"/>
              <w:rPr>
                <w:rFonts w:ascii="Arial" w:hAnsi="Arial" w:cs="Arial"/>
                <w:color w:val="000000"/>
                <w:sz w:val="22"/>
                <w:szCs w:val="22"/>
              </w:rPr>
            </w:pPr>
            <w:r w:rsidRPr="00E86695">
              <w:rPr>
                <w:rFonts w:ascii="Arial" w:hAnsi="Arial" w:cs="Arial"/>
                <w:color w:val="000000"/>
                <w:sz w:val="22"/>
                <w:szCs w:val="22"/>
              </w:rPr>
              <w:t>Pokud členský stát odejme či změní povolení nebo je neobnoví, může udělit odkladnou lhůtu pro účely odstranění, skladování, uvádění na trh či využití stávajících zásob.</w:t>
            </w:r>
          </w:p>
          <w:p w:rsidR="00E86695" w:rsidRPr="00E86695" w:rsidRDefault="00E86695" w:rsidP="00E86695">
            <w:pPr>
              <w:pStyle w:val="norm"/>
              <w:shd w:val="clear" w:color="auto" w:fill="FFFFFF"/>
              <w:spacing w:before="120" w:beforeAutospacing="0" w:after="0" w:afterAutospacing="0"/>
              <w:jc w:val="both"/>
              <w:rPr>
                <w:rFonts w:ascii="Arial" w:hAnsi="Arial" w:cs="Arial"/>
                <w:color w:val="000000"/>
                <w:sz w:val="22"/>
                <w:szCs w:val="22"/>
              </w:rPr>
            </w:pPr>
            <w:r w:rsidRPr="00E86695">
              <w:rPr>
                <w:rFonts w:ascii="Arial" w:hAnsi="Arial" w:cs="Arial"/>
                <w:color w:val="000000"/>
                <w:sz w:val="22"/>
                <w:szCs w:val="22"/>
              </w:rPr>
              <w:lastRenderedPageBreak/>
              <w:t>Pokud se důvody pro odejmutí, změnu či neobnovení povolení netýkají ochrany zdraví lidí a zvířat nebo životního prostředí, je odkladná lhůta omezena a nepřesahuje šest měsíců pro prodej a distribuci, a navíc nejvýše jeden rok pro odstranění, skladování a využití, stávajících zásob dotyčného přípravku na ochranu rostlin.</w:t>
            </w:r>
          </w:p>
          <w:p w:rsidR="00E86695" w:rsidRPr="00E86695" w:rsidRDefault="00E86695" w:rsidP="00E86695">
            <w:pPr>
              <w:pStyle w:val="Textbodu"/>
              <w:numPr>
                <w:ilvl w:val="0"/>
                <w:numId w:val="0"/>
              </w:numPr>
              <w:rPr>
                <w:rFonts w:ascii="Arial" w:eastAsiaTheme="minorEastAsia" w:hAnsi="Arial" w:cs="Arial"/>
                <w:iCs/>
                <w:sz w:val="22"/>
                <w:szCs w:val="22"/>
              </w:rPr>
            </w:pPr>
          </w:p>
        </w:tc>
      </w:tr>
      <w:tr w:rsidR="0063013E" w:rsidRPr="00F7690D" w:rsidTr="00485CFE">
        <w:tc>
          <w:tcPr>
            <w:tcW w:w="1550" w:type="dxa"/>
            <w:tcBorders>
              <w:bottom w:val="nil"/>
            </w:tcBorders>
          </w:tcPr>
          <w:p w:rsidR="0063013E" w:rsidRPr="0063013E" w:rsidRDefault="0063013E" w:rsidP="006B70BE">
            <w:pPr>
              <w:jc w:val="both"/>
              <w:rPr>
                <w:rFonts w:ascii="Arial" w:hAnsi="Arial" w:cs="Arial"/>
                <w:lang w:val="en-GB"/>
              </w:rPr>
            </w:pPr>
            <w:r>
              <w:rPr>
                <w:rFonts w:ascii="Arial" w:hAnsi="Arial" w:cs="Arial"/>
              </w:rPr>
              <w:lastRenderedPageBreak/>
              <w:t xml:space="preserve">Čl. I bod </w:t>
            </w:r>
            <w:r w:rsidR="006B70BE">
              <w:rPr>
                <w:rFonts w:ascii="Arial" w:hAnsi="Arial" w:cs="Arial"/>
              </w:rPr>
              <w:t>1</w:t>
            </w:r>
            <w:r>
              <w:rPr>
                <w:rFonts w:ascii="Arial" w:hAnsi="Arial" w:cs="Arial"/>
              </w:rPr>
              <w:t>1 § 38b odst. 1 písm. b) až d)</w:t>
            </w:r>
          </w:p>
        </w:tc>
        <w:tc>
          <w:tcPr>
            <w:tcW w:w="4871" w:type="dxa"/>
          </w:tcPr>
          <w:p w:rsidR="0063013E" w:rsidRDefault="0063013E" w:rsidP="0063013E">
            <w:pPr>
              <w:ind w:firstLine="34"/>
              <w:jc w:val="both"/>
              <w:rPr>
                <w:rFonts w:ascii="Arial" w:eastAsia="Times New Roman" w:hAnsi="Arial" w:cs="Arial"/>
              </w:rPr>
            </w:pPr>
            <w:r w:rsidRPr="0063013E">
              <w:rPr>
                <w:rFonts w:ascii="Arial" w:eastAsia="Times New Roman" w:hAnsi="Arial" w:cs="Arial"/>
              </w:rPr>
              <w:t>V § 38b odstavce 1 až 3 znějí:</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 xml:space="preserve">„(1) Pokud je přípravek pro dané použití povolen podle přímo použitelného předpisu Evropské unie o uvádění přípravků na ochranu rostlin na trh v členském státě, který patří do stejné zóny pro povolení přípravků jako Česká republika, Ústav takový přípravek po provedení odborného posouzení povolí pro dané použití pro vlastní potřebu formou vzájemného uznávání nebo vzájemného uznávání rozšířeného povolení na menšinová použití, a to v případě, že ošetření přípravky je potřebné a </w:t>
            </w:r>
          </w:p>
          <w:p w:rsidR="002A0DEA" w:rsidRPr="002A0DEA" w:rsidRDefault="002A0DEA" w:rsidP="002A0DEA">
            <w:pPr>
              <w:ind w:firstLine="34"/>
              <w:jc w:val="both"/>
              <w:rPr>
                <w:rFonts w:ascii="Arial" w:eastAsia="Times New Roman" w:hAnsi="Arial" w:cs="Arial"/>
              </w:rPr>
            </w:pP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a) pro dané použití není povolen žádný přípravek,</w:t>
            </w:r>
          </w:p>
          <w:p w:rsidR="002A0DEA" w:rsidRPr="002A0DEA" w:rsidRDefault="002A0DEA" w:rsidP="002A0DEA">
            <w:pPr>
              <w:ind w:firstLine="34"/>
              <w:jc w:val="both"/>
              <w:rPr>
                <w:rFonts w:ascii="Arial" w:eastAsia="Times New Roman" w:hAnsi="Arial" w:cs="Arial"/>
              </w:rPr>
            </w:pP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b) povolené přípravky nejsou v důsledku výskytu rezistence škodlivého organismu dostatečně účinné, nebo</w:t>
            </w:r>
          </w:p>
          <w:p w:rsidR="002A0DEA" w:rsidRPr="002A0DEA" w:rsidRDefault="002A0DEA" w:rsidP="002A0DEA">
            <w:pPr>
              <w:ind w:firstLine="34"/>
              <w:jc w:val="both"/>
              <w:rPr>
                <w:rFonts w:ascii="Arial" w:eastAsia="Times New Roman" w:hAnsi="Arial" w:cs="Arial"/>
              </w:rPr>
            </w:pPr>
          </w:p>
          <w:p w:rsidR="0063013E" w:rsidRDefault="002A0DEA" w:rsidP="002A0DEA">
            <w:pPr>
              <w:jc w:val="both"/>
              <w:rPr>
                <w:rFonts w:ascii="Arial" w:eastAsia="Times New Roman" w:hAnsi="Arial" w:cs="Arial"/>
              </w:rPr>
            </w:pPr>
            <w:r w:rsidRPr="002A0DEA">
              <w:rPr>
                <w:rFonts w:ascii="Arial" w:eastAsia="Times New Roman" w:hAnsi="Arial" w:cs="Arial"/>
              </w:rPr>
              <w:t>c) povolené přípravky nelze použít s ohledem na omezení stanovené jejich povolením nebo jiným právním předpisem</w:t>
            </w:r>
            <w:r w:rsidRPr="002A0DEA">
              <w:rPr>
                <w:rFonts w:ascii="Arial" w:eastAsia="Times New Roman" w:hAnsi="Arial" w:cs="Arial"/>
                <w:vertAlign w:val="superscript"/>
              </w:rPr>
              <w:t>104)</w:t>
            </w:r>
            <w:r w:rsidRPr="002A0DEA">
              <w:rPr>
                <w:rFonts w:ascii="Arial" w:eastAsia="Times New Roman" w:hAnsi="Arial" w:cs="Arial"/>
              </w:rPr>
              <w:t xml:space="preserve">. </w:t>
            </w:r>
          </w:p>
          <w:p w:rsidR="002A0DEA" w:rsidRDefault="002A0DEA" w:rsidP="002A0DEA">
            <w:pPr>
              <w:jc w:val="both"/>
              <w:rPr>
                <w:rFonts w:ascii="Arial" w:eastAsia="Times New Roman" w:hAnsi="Arial" w:cs="Arial"/>
              </w:rPr>
            </w:pPr>
          </w:p>
          <w:p w:rsidR="002A0DEA" w:rsidRPr="002A0DEA" w:rsidRDefault="002A0DEA" w:rsidP="002A0DEA">
            <w:pPr>
              <w:jc w:val="both"/>
              <w:rPr>
                <w:rFonts w:ascii="Arial" w:eastAsia="Times New Roman" w:hAnsi="Arial" w:cs="Arial"/>
              </w:rPr>
            </w:pPr>
          </w:p>
          <w:p w:rsidR="002A0DEA" w:rsidRPr="002A0DEA" w:rsidRDefault="002A0DEA" w:rsidP="002A0DEA">
            <w:pPr>
              <w:jc w:val="both"/>
              <w:rPr>
                <w:rFonts w:ascii="Arial" w:eastAsia="Times New Roman" w:hAnsi="Arial" w:cs="Arial"/>
              </w:rPr>
            </w:pPr>
            <w:r w:rsidRPr="002A0DEA">
              <w:rPr>
                <w:rFonts w:ascii="Arial" w:eastAsia="Times New Roman" w:hAnsi="Arial" w:cs="Arial"/>
              </w:rPr>
              <w:t>__________________</w:t>
            </w:r>
          </w:p>
          <w:p w:rsidR="002A0DEA" w:rsidRPr="00E86695" w:rsidRDefault="002A0DEA" w:rsidP="002A0DEA">
            <w:pPr>
              <w:jc w:val="both"/>
              <w:rPr>
                <w:rFonts w:ascii="Arial" w:eastAsia="Times New Roman" w:hAnsi="Arial" w:cs="Arial"/>
              </w:rPr>
            </w:pPr>
            <w:r w:rsidRPr="002A0DEA">
              <w:rPr>
                <w:rFonts w:ascii="Arial" w:eastAsia="Times New Roman" w:hAnsi="Arial" w:cs="Arial"/>
              </w:rPr>
              <w:lastRenderedPageBreak/>
              <w:t>104) Například zákon č. 254/2001 Sb., ve znění pozdějších předpisů, zákon č. 114/1992 Sb., ve znění pozdějších předpisů, nařízení Komise (ES) č. 889/2008 ze dne 5. září 2008, kterým se stanoví prováděcí pravidla k nařízení Rady (ES) č. 834/2007 o ekologické produkci a označování ekologických produktů, pokud jde o ekologickou produkci, označování a kontrolu, v platném znění.</w:t>
            </w:r>
          </w:p>
        </w:tc>
        <w:tc>
          <w:tcPr>
            <w:tcW w:w="1599" w:type="dxa"/>
          </w:tcPr>
          <w:p w:rsidR="0063013E" w:rsidRPr="00E86695" w:rsidRDefault="0063013E" w:rsidP="00E86695">
            <w:pPr>
              <w:jc w:val="both"/>
              <w:rPr>
                <w:rFonts w:ascii="Arial" w:hAnsi="Arial" w:cs="Arial"/>
              </w:rPr>
            </w:pPr>
            <w:r w:rsidRPr="0063013E">
              <w:rPr>
                <w:rFonts w:ascii="Arial" w:hAnsi="Arial" w:cs="Arial"/>
              </w:rPr>
              <w:lastRenderedPageBreak/>
              <w:t>32009L0128</w:t>
            </w:r>
          </w:p>
        </w:tc>
        <w:tc>
          <w:tcPr>
            <w:tcW w:w="1464" w:type="dxa"/>
          </w:tcPr>
          <w:p w:rsidR="0063013E" w:rsidRDefault="0063013E" w:rsidP="00E86695">
            <w:pPr>
              <w:jc w:val="both"/>
              <w:rPr>
                <w:rFonts w:ascii="Arial" w:hAnsi="Arial" w:cs="Arial"/>
              </w:rPr>
            </w:pPr>
            <w:r>
              <w:rPr>
                <w:rFonts w:ascii="Arial" w:hAnsi="Arial" w:cs="Arial"/>
              </w:rPr>
              <w:t>Článek 14 odst. 1</w:t>
            </w:r>
          </w:p>
        </w:tc>
        <w:tc>
          <w:tcPr>
            <w:tcW w:w="4510" w:type="dxa"/>
          </w:tcPr>
          <w:p w:rsidR="0063013E" w:rsidRPr="00141F05" w:rsidRDefault="0063013E" w:rsidP="00E86695">
            <w:pPr>
              <w:pStyle w:val="Bezmezer"/>
              <w:rPr>
                <w:rFonts w:ascii="Arial" w:eastAsia="Times New Roman" w:hAnsi="Arial" w:cs="Arial"/>
              </w:rPr>
            </w:pPr>
            <w:r w:rsidRPr="00141F05">
              <w:rPr>
                <w:rFonts w:ascii="Arial" w:eastAsia="Times New Roman" w:hAnsi="Arial" w:cs="Arial"/>
              </w:rPr>
              <w:t>Členské státy přijmou všechna nezbytná opatření na podporu ochrany před škodlivými organismy s nízkými vstupy pesticidů, přičemž dle možnosti upřednostní nechemické metody, aby profesionální uživatelé pesticidů přešli na postupy a přípravky, které jsou k dispozici pro daný problém spojený se stejným škodlivým organismem, avšak představují nejnižší riziko pro lidské zdraví a životní prostředí. Ochrana rostlin s nízkými vstupy pesticidů zahrnuje integrovanou ochranu rostlin, jakož i ekologické zemědělství podle nařízení Rady (ES) č. 834/2007 ze dne 28. června 2007 o ekologické produkci a označování ekologických produktů.</w:t>
            </w:r>
          </w:p>
        </w:tc>
      </w:tr>
      <w:tr w:rsidR="00FB36B6" w:rsidRPr="00F7690D" w:rsidTr="00485CFE">
        <w:tc>
          <w:tcPr>
            <w:tcW w:w="1550" w:type="dxa"/>
            <w:tcBorders>
              <w:bottom w:val="nil"/>
            </w:tcBorders>
          </w:tcPr>
          <w:p w:rsidR="00FB36B6" w:rsidRDefault="00FB36B6" w:rsidP="00E86695">
            <w:pPr>
              <w:jc w:val="both"/>
              <w:rPr>
                <w:rFonts w:ascii="Arial" w:hAnsi="Arial" w:cs="Arial"/>
              </w:rPr>
            </w:pPr>
            <w:r w:rsidRPr="00CA0C9F">
              <w:rPr>
                <w:rFonts w:ascii="Arial" w:hAnsi="Arial" w:cs="Arial"/>
              </w:rPr>
              <w:t>Čl. I</w:t>
            </w:r>
            <w:r w:rsidR="00E86695">
              <w:rPr>
                <w:rFonts w:ascii="Arial" w:hAnsi="Arial" w:cs="Arial"/>
              </w:rPr>
              <w:t xml:space="preserve"> </w:t>
            </w:r>
            <w:r>
              <w:rPr>
                <w:rFonts w:ascii="Arial" w:hAnsi="Arial" w:cs="Arial"/>
              </w:rPr>
              <w:t xml:space="preserve">bod </w:t>
            </w:r>
            <w:r w:rsidR="00141F05">
              <w:rPr>
                <w:rFonts w:ascii="Arial" w:hAnsi="Arial" w:cs="Arial"/>
              </w:rPr>
              <w:t>2</w:t>
            </w:r>
            <w:r w:rsidR="006B70BE">
              <w:rPr>
                <w:rFonts w:ascii="Arial" w:hAnsi="Arial" w:cs="Arial"/>
              </w:rPr>
              <w:t>4</w:t>
            </w:r>
          </w:p>
          <w:p w:rsidR="00FB36B6" w:rsidRPr="00672692" w:rsidRDefault="00FB36B6" w:rsidP="00E86695">
            <w:pPr>
              <w:jc w:val="both"/>
              <w:rPr>
                <w:rFonts w:ascii="Arial" w:hAnsi="Arial" w:cs="Arial"/>
              </w:rPr>
            </w:pPr>
            <w:r>
              <w:rPr>
                <w:rFonts w:ascii="Arial" w:hAnsi="Arial" w:cs="Arial"/>
              </w:rPr>
              <w:t xml:space="preserve">§ </w:t>
            </w:r>
            <w:r w:rsidR="00E86695">
              <w:rPr>
                <w:rFonts w:ascii="Arial" w:hAnsi="Arial" w:cs="Arial"/>
              </w:rPr>
              <w:t>5</w:t>
            </w:r>
            <w:r>
              <w:rPr>
                <w:rFonts w:ascii="Arial" w:hAnsi="Arial" w:cs="Arial"/>
              </w:rPr>
              <w:t>2 odst.</w:t>
            </w:r>
            <w:r w:rsidR="00E86695">
              <w:rPr>
                <w:rFonts w:ascii="Arial" w:hAnsi="Arial" w:cs="Arial"/>
              </w:rPr>
              <w:t xml:space="preserve"> 1</w:t>
            </w:r>
          </w:p>
        </w:tc>
        <w:tc>
          <w:tcPr>
            <w:tcW w:w="4871" w:type="dxa"/>
          </w:tcPr>
          <w:p w:rsidR="00FB36B6" w:rsidRPr="00946E52" w:rsidRDefault="00E86695" w:rsidP="00E86695">
            <w:pPr>
              <w:ind w:firstLine="34"/>
              <w:jc w:val="both"/>
              <w:rPr>
                <w:rFonts w:ascii="Arial" w:eastAsia="Times New Roman" w:hAnsi="Arial" w:cs="Arial"/>
              </w:rPr>
            </w:pPr>
            <w:r w:rsidRPr="00E86695">
              <w:rPr>
                <w:rFonts w:ascii="Arial" w:eastAsia="Times New Roman" w:hAnsi="Arial" w:cs="Arial"/>
              </w:rPr>
              <w:t xml:space="preserve">V § 52 se na konci odstavce 1 doplňuje věta „Za leteckou aplikaci přípravku se pro účely tohoto zákona nepovažuje aplikace přípravku ve formě granulí nebo kapslí bezpilotním </w:t>
            </w:r>
            <w:r w:rsidR="00141F05">
              <w:rPr>
                <w:rFonts w:ascii="Arial" w:eastAsia="Times New Roman" w:hAnsi="Arial" w:cs="Arial"/>
              </w:rPr>
              <w:t xml:space="preserve">letadlem </w:t>
            </w:r>
            <w:r w:rsidRPr="00E86695">
              <w:rPr>
                <w:rFonts w:ascii="Arial" w:eastAsia="Times New Roman" w:hAnsi="Arial" w:cs="Arial"/>
              </w:rPr>
              <w:t xml:space="preserve">z výšky </w:t>
            </w:r>
            <w:r w:rsidR="00141F05">
              <w:rPr>
                <w:rFonts w:ascii="Arial" w:eastAsia="Times New Roman" w:hAnsi="Arial" w:cs="Arial"/>
              </w:rPr>
              <w:t>nepřekračující</w:t>
            </w:r>
            <w:r w:rsidRPr="00E86695">
              <w:rPr>
                <w:rFonts w:ascii="Arial" w:eastAsia="Times New Roman" w:hAnsi="Arial" w:cs="Arial"/>
              </w:rPr>
              <w:t xml:space="preserve"> 5 metrů nad pozemkem.“.</w:t>
            </w:r>
          </w:p>
        </w:tc>
        <w:tc>
          <w:tcPr>
            <w:tcW w:w="1599" w:type="dxa"/>
          </w:tcPr>
          <w:p w:rsidR="00E86695" w:rsidRPr="00845EF3" w:rsidRDefault="00E86695" w:rsidP="00E86695">
            <w:pPr>
              <w:jc w:val="both"/>
              <w:rPr>
                <w:rFonts w:ascii="Arial" w:hAnsi="Arial" w:cs="Arial"/>
              </w:rPr>
            </w:pPr>
            <w:r w:rsidRPr="00E86695">
              <w:rPr>
                <w:rFonts w:ascii="Arial" w:hAnsi="Arial" w:cs="Arial"/>
              </w:rPr>
              <w:t>32009L0128</w:t>
            </w:r>
          </w:p>
          <w:p w:rsidR="00FB36B6" w:rsidRPr="00845EF3" w:rsidRDefault="00FB36B6" w:rsidP="00E86695">
            <w:pPr>
              <w:jc w:val="both"/>
              <w:rPr>
                <w:rFonts w:ascii="Arial" w:hAnsi="Arial" w:cs="Arial"/>
              </w:rPr>
            </w:pPr>
          </w:p>
        </w:tc>
        <w:tc>
          <w:tcPr>
            <w:tcW w:w="1464" w:type="dxa"/>
          </w:tcPr>
          <w:p w:rsidR="00FB36B6" w:rsidRDefault="00FF57ED" w:rsidP="00E86695">
            <w:pPr>
              <w:jc w:val="both"/>
              <w:rPr>
                <w:rFonts w:ascii="Arial" w:hAnsi="Arial" w:cs="Arial"/>
              </w:rPr>
            </w:pPr>
            <w:r>
              <w:rPr>
                <w:rFonts w:ascii="Arial" w:hAnsi="Arial" w:cs="Arial"/>
              </w:rPr>
              <w:t>Článek 9</w:t>
            </w:r>
          </w:p>
        </w:tc>
        <w:tc>
          <w:tcPr>
            <w:tcW w:w="4510" w:type="dxa"/>
          </w:tcPr>
          <w:p w:rsidR="00FF57ED" w:rsidRPr="00FF57ED" w:rsidRDefault="00FF57ED" w:rsidP="00141F05">
            <w:pPr>
              <w:pStyle w:val="Textbodu"/>
              <w:numPr>
                <w:ilvl w:val="0"/>
                <w:numId w:val="0"/>
              </w:numPr>
              <w:rPr>
                <w:rFonts w:ascii="Arial" w:eastAsiaTheme="minorEastAsia" w:hAnsi="Arial" w:cs="Arial"/>
                <w:b/>
                <w:bCs/>
                <w:iCs/>
                <w:sz w:val="22"/>
                <w:szCs w:val="22"/>
              </w:rPr>
            </w:pPr>
            <w:r w:rsidRPr="00FF57ED">
              <w:rPr>
                <w:rFonts w:ascii="Arial" w:eastAsiaTheme="minorEastAsia" w:hAnsi="Arial" w:cs="Arial"/>
                <w:b/>
                <w:bCs/>
                <w:iCs/>
                <w:sz w:val="22"/>
                <w:szCs w:val="22"/>
              </w:rPr>
              <w:t>Letecký postřik</w:t>
            </w:r>
          </w:p>
          <w:p w:rsidR="00FF57ED" w:rsidRPr="00FF57ED" w:rsidRDefault="00FF57ED" w:rsidP="00141F05">
            <w:pPr>
              <w:pStyle w:val="Textbodu"/>
              <w:numPr>
                <w:ilvl w:val="0"/>
                <w:numId w:val="0"/>
              </w:numPr>
              <w:rPr>
                <w:rFonts w:ascii="Arial" w:eastAsiaTheme="minorEastAsia" w:hAnsi="Arial" w:cs="Arial"/>
                <w:iCs/>
                <w:sz w:val="12"/>
                <w:szCs w:val="12"/>
              </w:rPr>
            </w:pPr>
          </w:p>
          <w:p w:rsidR="00FF57ED" w:rsidRPr="00FF57ED" w:rsidRDefault="00FF57ED" w:rsidP="00141F05">
            <w:pPr>
              <w:pStyle w:val="Bezmezer"/>
              <w:jc w:val="both"/>
              <w:rPr>
                <w:rFonts w:ascii="Arial" w:hAnsi="Arial" w:cs="Arial"/>
              </w:rPr>
            </w:pPr>
            <w:r>
              <w:rPr>
                <w:rFonts w:ascii="Arial" w:hAnsi="Arial" w:cs="Arial"/>
              </w:rPr>
              <w:t xml:space="preserve">1. </w:t>
            </w:r>
            <w:r w:rsidRPr="00FF57ED">
              <w:rPr>
                <w:rFonts w:ascii="Arial" w:hAnsi="Arial" w:cs="Arial"/>
              </w:rPr>
              <w:t>Členské státy zajistí zákaz leteckého postřiku.</w:t>
            </w:r>
          </w:p>
          <w:p w:rsidR="00FF57ED" w:rsidRPr="00FF57ED" w:rsidRDefault="00FF57ED" w:rsidP="00141F05">
            <w:pPr>
              <w:pStyle w:val="Bezmezer"/>
              <w:jc w:val="both"/>
              <w:rPr>
                <w:rFonts w:ascii="Arial" w:hAnsi="Arial" w:cs="Arial"/>
                <w:sz w:val="8"/>
                <w:szCs w:val="8"/>
              </w:rPr>
            </w:pPr>
          </w:p>
          <w:p w:rsidR="00FF57ED" w:rsidRPr="00FF57ED" w:rsidRDefault="00FF57ED" w:rsidP="00141F05">
            <w:pPr>
              <w:pStyle w:val="Bezmezer"/>
              <w:jc w:val="both"/>
              <w:rPr>
                <w:rFonts w:ascii="Arial" w:hAnsi="Arial" w:cs="Arial"/>
              </w:rPr>
            </w:pPr>
            <w:r w:rsidRPr="00FF57ED">
              <w:rPr>
                <w:rFonts w:ascii="Arial" w:hAnsi="Arial" w:cs="Arial"/>
              </w:rPr>
              <w:t>2.  Odchylně od odstavce 1 může být letecký postřik povolen pouze ve zvláštních případech za předpokladu, že jsou splněny tyto podmínky:</w:t>
            </w:r>
          </w:p>
          <w:p w:rsidR="00FF57ED" w:rsidRPr="00FF57ED" w:rsidRDefault="00FF57ED" w:rsidP="00141F05">
            <w:pPr>
              <w:pStyle w:val="Bezmezer"/>
              <w:jc w:val="both"/>
              <w:rPr>
                <w:rFonts w:ascii="Arial" w:hAnsi="Arial" w:cs="Arial"/>
              </w:rPr>
            </w:pPr>
            <w:r w:rsidRPr="00FF57ED">
              <w:rPr>
                <w:rFonts w:ascii="Arial" w:hAnsi="Arial" w:cs="Arial"/>
              </w:rPr>
              <w:t>a) nesmějí existovat žádné jiné přijatelné alternativy nebo musí být zřejmé výhody ve srovnání s pozemní aplikací pesticidů, pokud jde o snížení dopadu na lidské zdraví a životní prostředí;</w:t>
            </w:r>
          </w:p>
          <w:p w:rsidR="00FF57ED" w:rsidRPr="00FF57ED" w:rsidRDefault="00FF57ED" w:rsidP="00141F05">
            <w:pPr>
              <w:pStyle w:val="Bezmezer"/>
              <w:jc w:val="both"/>
              <w:rPr>
                <w:rFonts w:ascii="Arial" w:hAnsi="Arial" w:cs="Arial"/>
              </w:rPr>
            </w:pPr>
            <w:r w:rsidRPr="00FF57ED">
              <w:rPr>
                <w:rFonts w:ascii="Arial" w:hAnsi="Arial" w:cs="Arial"/>
              </w:rPr>
              <w:t>b) použité pesticidy musí být členským státem výslovně schváleny pro letecký postřik v návaznosti na konkrétní posouzení zaměřené na rizika plynoucí z leteckého postřiku;</w:t>
            </w:r>
          </w:p>
          <w:p w:rsidR="00FF57ED" w:rsidRPr="00FF57ED" w:rsidRDefault="00FF57ED" w:rsidP="00141F05">
            <w:pPr>
              <w:pStyle w:val="Bezmezer"/>
              <w:jc w:val="both"/>
              <w:rPr>
                <w:rFonts w:ascii="Arial" w:hAnsi="Arial" w:cs="Arial"/>
              </w:rPr>
            </w:pPr>
            <w:r w:rsidRPr="00FF57ED">
              <w:rPr>
                <w:rFonts w:ascii="Arial" w:hAnsi="Arial" w:cs="Arial"/>
              </w:rPr>
              <w:t>c) osoba provádějící letecký postřik musí být držitelem osvědčení podle čl. 5 odst. 2. Členské státy mohou během přechodného období, kdy ještě nebudou k dispozici systémy osvědčování, přijmout jiný doklad o dostatečných znalostech;</w:t>
            </w:r>
          </w:p>
          <w:p w:rsidR="00FF57ED" w:rsidRPr="00FF57ED" w:rsidRDefault="00FF57ED" w:rsidP="00141F05">
            <w:pPr>
              <w:pStyle w:val="Bezmezer"/>
              <w:jc w:val="both"/>
              <w:rPr>
                <w:rFonts w:ascii="Arial" w:hAnsi="Arial" w:cs="Arial"/>
              </w:rPr>
            </w:pPr>
            <w:r w:rsidRPr="00FF57ED">
              <w:rPr>
                <w:rFonts w:ascii="Arial" w:hAnsi="Arial" w:cs="Arial"/>
              </w:rPr>
              <w:t xml:space="preserve">d) podnik zodpovědný za poskytnutí zařízení pro letecký postřik musí být držitelem </w:t>
            </w:r>
            <w:r w:rsidRPr="00FF57ED">
              <w:rPr>
                <w:rFonts w:ascii="Arial" w:hAnsi="Arial" w:cs="Arial"/>
              </w:rPr>
              <w:lastRenderedPageBreak/>
              <w:t>osvědčení od příslušného orgánu pro schvalování zařízení a letadel pro leteckou aplikaci pesticidů;</w:t>
            </w:r>
          </w:p>
          <w:p w:rsidR="00FF57ED" w:rsidRPr="00FF57ED" w:rsidRDefault="00FF57ED" w:rsidP="00141F05">
            <w:pPr>
              <w:pStyle w:val="Bezmezer"/>
              <w:jc w:val="both"/>
              <w:rPr>
                <w:rFonts w:ascii="Arial" w:hAnsi="Arial" w:cs="Arial"/>
              </w:rPr>
            </w:pPr>
            <w:r w:rsidRPr="00FF57ED">
              <w:rPr>
                <w:rFonts w:ascii="Arial" w:hAnsi="Arial" w:cs="Arial"/>
              </w:rPr>
              <w:t>e) je-li oblast, která má být ošetřena, v těsné blízkosti oblastí přístupných veřejnosti, musí povolení obsahovat konkrétní opatření pro řízení rizik, která mají zajistit, že nedojde k žádným negativním účinkům na zdraví náhodně se vyskytujících osob. Oblast, která má být ošetřena, nesmí být v těsné blízkosti trvale obydlených oblastí;</w:t>
            </w:r>
          </w:p>
          <w:p w:rsidR="00FF57ED" w:rsidRDefault="00FF57ED" w:rsidP="00141F05">
            <w:pPr>
              <w:pStyle w:val="Bezmezer"/>
              <w:jc w:val="both"/>
              <w:rPr>
                <w:rFonts w:ascii="Arial" w:hAnsi="Arial" w:cs="Arial"/>
              </w:rPr>
            </w:pPr>
            <w:r w:rsidRPr="00FF57ED">
              <w:rPr>
                <w:rFonts w:ascii="Arial" w:hAnsi="Arial" w:cs="Arial"/>
              </w:rPr>
              <w:t>f) od roku 2013 musí být letadlo vybaveno příslušenstvím, které představuje nejlepší dostupnou technologii pro omezení úletu postřikové kapaliny.</w:t>
            </w:r>
          </w:p>
          <w:p w:rsidR="00FF57ED" w:rsidRPr="00FF57ED" w:rsidRDefault="00FF57ED" w:rsidP="00141F05">
            <w:pPr>
              <w:pStyle w:val="Bezmezer"/>
              <w:jc w:val="both"/>
              <w:rPr>
                <w:rFonts w:ascii="Arial" w:hAnsi="Arial" w:cs="Arial"/>
                <w:sz w:val="8"/>
                <w:szCs w:val="8"/>
              </w:rPr>
            </w:pPr>
          </w:p>
          <w:p w:rsidR="00FF57ED" w:rsidRPr="00FF57ED" w:rsidRDefault="00FF57ED" w:rsidP="00141F05">
            <w:pPr>
              <w:pStyle w:val="Bezmezer"/>
              <w:jc w:val="both"/>
              <w:rPr>
                <w:rFonts w:ascii="Arial" w:hAnsi="Arial" w:cs="Arial"/>
              </w:rPr>
            </w:pPr>
            <w:r w:rsidRPr="00FF57ED">
              <w:rPr>
                <w:rFonts w:ascii="Arial" w:hAnsi="Arial" w:cs="Arial"/>
              </w:rPr>
              <w:t>3.  Členské státy určí příslušné orgány, které stanovují konkrétní podmínky, za kterých lze provádět letecký postřik, přezkoumávají žádosti podle odstavce 4 a zveřejňují informace o plodinách, oblastech, okolnostech a zvláštních požadavcích na aplikaci, včetně povětrnostních podmínek, za nichž lze letecký postřik povolit.</w:t>
            </w:r>
          </w:p>
          <w:p w:rsidR="00FF57ED" w:rsidRPr="00FF57ED" w:rsidRDefault="00FF57ED" w:rsidP="00141F05">
            <w:pPr>
              <w:pStyle w:val="Bezmezer"/>
              <w:jc w:val="both"/>
              <w:rPr>
                <w:rFonts w:ascii="Arial" w:hAnsi="Arial" w:cs="Arial"/>
              </w:rPr>
            </w:pPr>
            <w:r w:rsidRPr="00FF57ED">
              <w:rPr>
                <w:rFonts w:ascii="Arial" w:hAnsi="Arial" w:cs="Arial"/>
              </w:rPr>
              <w:t>V povolení příslušné orgány stanoví opatření nezbytná k včasnému varování místních obyvatel i náhodně se vyskytujících osob a k ochraně životního prostředí v blízkosti ošetřované oblasti.</w:t>
            </w:r>
          </w:p>
          <w:p w:rsidR="00FF57ED" w:rsidRPr="00FF57ED" w:rsidRDefault="00FF57ED" w:rsidP="00141F05">
            <w:pPr>
              <w:pStyle w:val="Bezmezer"/>
              <w:jc w:val="both"/>
              <w:rPr>
                <w:rFonts w:ascii="Arial" w:hAnsi="Arial" w:cs="Arial"/>
                <w:sz w:val="8"/>
                <w:szCs w:val="8"/>
              </w:rPr>
            </w:pPr>
          </w:p>
          <w:p w:rsidR="00D43528" w:rsidRPr="00FF57ED" w:rsidRDefault="00D43528" w:rsidP="002D5535">
            <w:pPr>
              <w:pStyle w:val="Bezmezer"/>
              <w:jc w:val="both"/>
            </w:pPr>
          </w:p>
        </w:tc>
      </w:tr>
      <w:tr w:rsidR="00FB36B6" w:rsidRPr="00F7690D" w:rsidTr="00485CFE">
        <w:tc>
          <w:tcPr>
            <w:tcW w:w="1550" w:type="dxa"/>
          </w:tcPr>
          <w:p w:rsidR="00FB36B6" w:rsidRPr="00F7690D" w:rsidRDefault="00FB36B6" w:rsidP="00E86695">
            <w:pPr>
              <w:jc w:val="both"/>
              <w:rPr>
                <w:rFonts w:ascii="Arial" w:hAnsi="Arial" w:cs="Arial"/>
              </w:rPr>
            </w:pPr>
            <w:r w:rsidRPr="00F7690D">
              <w:rPr>
                <w:rFonts w:ascii="Arial" w:hAnsi="Arial" w:cs="Arial"/>
              </w:rPr>
              <w:lastRenderedPageBreak/>
              <w:t>Čl. I</w:t>
            </w:r>
            <w:r w:rsidR="00934952">
              <w:rPr>
                <w:rFonts w:ascii="Arial" w:hAnsi="Arial" w:cs="Arial"/>
              </w:rPr>
              <w:t xml:space="preserve"> </w:t>
            </w:r>
            <w:r>
              <w:rPr>
                <w:rFonts w:ascii="Arial" w:hAnsi="Arial" w:cs="Arial"/>
              </w:rPr>
              <w:t>b</w:t>
            </w:r>
            <w:r w:rsidRPr="00F7690D">
              <w:rPr>
                <w:rFonts w:ascii="Arial" w:hAnsi="Arial" w:cs="Arial"/>
              </w:rPr>
              <w:t xml:space="preserve">od </w:t>
            </w:r>
            <w:r w:rsidR="00141F05">
              <w:rPr>
                <w:rFonts w:ascii="Arial" w:hAnsi="Arial" w:cs="Arial"/>
              </w:rPr>
              <w:t>2</w:t>
            </w:r>
            <w:r w:rsidR="006B70BE">
              <w:rPr>
                <w:rFonts w:ascii="Arial" w:hAnsi="Arial" w:cs="Arial"/>
              </w:rPr>
              <w:t>6</w:t>
            </w:r>
          </w:p>
          <w:p w:rsidR="00FB36B6" w:rsidRPr="00F7690D" w:rsidRDefault="00FB36B6" w:rsidP="00E86695">
            <w:pPr>
              <w:jc w:val="both"/>
              <w:rPr>
                <w:rFonts w:ascii="Arial" w:hAnsi="Arial" w:cs="Arial"/>
              </w:rPr>
            </w:pPr>
            <w:r w:rsidRPr="00F7690D">
              <w:rPr>
                <w:rFonts w:ascii="Arial" w:hAnsi="Arial" w:cs="Arial"/>
              </w:rPr>
              <w:t xml:space="preserve">§ </w:t>
            </w:r>
            <w:r w:rsidR="00934952">
              <w:rPr>
                <w:rFonts w:ascii="Arial" w:hAnsi="Arial" w:cs="Arial"/>
              </w:rPr>
              <w:t>54</w:t>
            </w:r>
            <w:r w:rsidRPr="00F7690D">
              <w:rPr>
                <w:rFonts w:ascii="Arial" w:hAnsi="Arial" w:cs="Arial"/>
              </w:rPr>
              <w:t xml:space="preserve"> odst. </w:t>
            </w:r>
            <w:r w:rsidR="00934952">
              <w:rPr>
                <w:rFonts w:ascii="Arial" w:hAnsi="Arial" w:cs="Arial"/>
              </w:rPr>
              <w:t>3</w:t>
            </w:r>
          </w:p>
        </w:tc>
        <w:tc>
          <w:tcPr>
            <w:tcW w:w="4871" w:type="dxa"/>
          </w:tcPr>
          <w:p w:rsidR="00934952" w:rsidRPr="00934952" w:rsidRDefault="002A0DEA" w:rsidP="00934952">
            <w:pPr>
              <w:ind w:firstLine="34"/>
              <w:jc w:val="both"/>
              <w:rPr>
                <w:rFonts w:ascii="Arial" w:eastAsia="Times New Roman" w:hAnsi="Arial" w:cs="Arial"/>
              </w:rPr>
            </w:pPr>
            <w:r>
              <w:rPr>
                <w:rFonts w:ascii="Arial" w:eastAsia="Times New Roman" w:hAnsi="Arial" w:cs="Arial"/>
              </w:rPr>
              <w:t>V § 54 se doplňují</w:t>
            </w:r>
            <w:r w:rsidR="00934952" w:rsidRPr="00934952">
              <w:rPr>
                <w:rFonts w:ascii="Arial" w:eastAsia="Times New Roman" w:hAnsi="Arial" w:cs="Arial"/>
              </w:rPr>
              <w:t xml:space="preserve"> odstavc</w:t>
            </w:r>
            <w:r>
              <w:rPr>
                <w:rFonts w:ascii="Arial" w:eastAsia="Times New Roman" w:hAnsi="Arial" w:cs="Arial"/>
              </w:rPr>
              <w:t>e</w:t>
            </w:r>
            <w:r w:rsidR="00934952" w:rsidRPr="00934952">
              <w:rPr>
                <w:rFonts w:ascii="Arial" w:eastAsia="Times New Roman" w:hAnsi="Arial" w:cs="Arial"/>
              </w:rPr>
              <w:t xml:space="preserve"> 3</w:t>
            </w:r>
            <w:r>
              <w:rPr>
                <w:rFonts w:ascii="Arial" w:eastAsia="Times New Roman" w:hAnsi="Arial" w:cs="Arial"/>
              </w:rPr>
              <w:t xml:space="preserve"> a 4</w:t>
            </w:r>
            <w:r w:rsidR="00934952" w:rsidRPr="00934952">
              <w:rPr>
                <w:rFonts w:ascii="Arial" w:eastAsia="Times New Roman" w:hAnsi="Arial" w:cs="Arial"/>
              </w:rPr>
              <w:t>, kter</w:t>
            </w:r>
            <w:r>
              <w:rPr>
                <w:rFonts w:ascii="Arial" w:eastAsia="Times New Roman" w:hAnsi="Arial" w:cs="Arial"/>
              </w:rPr>
              <w:t>é znějí</w:t>
            </w:r>
            <w:r w:rsidR="00934952" w:rsidRPr="00934952">
              <w:rPr>
                <w:rFonts w:ascii="Arial" w:eastAsia="Times New Roman" w:hAnsi="Arial" w:cs="Arial"/>
              </w:rPr>
              <w:t>:</w:t>
            </w:r>
          </w:p>
          <w:p w:rsidR="00934952" w:rsidRPr="00934952" w:rsidRDefault="00934952" w:rsidP="00934952">
            <w:pPr>
              <w:ind w:firstLine="34"/>
              <w:jc w:val="both"/>
              <w:rPr>
                <w:rFonts w:ascii="Arial" w:eastAsia="Times New Roman" w:hAnsi="Arial" w:cs="Arial"/>
              </w:rPr>
            </w:pP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 xml:space="preserve">„(3) Distributor pomocného prostředku, který hodlá uvést na trh pomocný prostředek podle nařízení Evropského parlamentu a Rady (EU) </w:t>
            </w:r>
            <w:r w:rsidRPr="002A0DEA">
              <w:rPr>
                <w:rFonts w:ascii="Arial" w:eastAsia="Times New Roman" w:hAnsi="Arial" w:cs="Arial"/>
              </w:rPr>
              <w:lastRenderedPageBreak/>
              <w:t xml:space="preserve">2019/515 ze dne 19. března 2019 o vzájemném uznávání zboží uvedeného v souladu s právními předpisy na trh v jiném členském státě a o zrušení nařízení (ES) č. 764/2008 (dále jen „nařízení (EU) 2019/515“) je povinen před jeho prvním uvedením na trh v České republice zaslat Ústavu oznámení o uvedení tohoto vzájemně uznaného pomocného prostředku na trh. </w:t>
            </w:r>
          </w:p>
          <w:p w:rsidR="002A0DEA" w:rsidRPr="002A0DEA" w:rsidRDefault="002A0DEA" w:rsidP="002A0DEA">
            <w:pPr>
              <w:ind w:firstLine="34"/>
              <w:jc w:val="both"/>
              <w:rPr>
                <w:rFonts w:ascii="Arial" w:eastAsia="Times New Roman" w:hAnsi="Arial" w:cs="Arial"/>
              </w:rPr>
            </w:pP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(4) Oznámení podle odstavce 3</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a)</w:t>
            </w:r>
            <w:r w:rsidRPr="002A0DEA">
              <w:rPr>
                <w:rFonts w:ascii="Arial" w:eastAsia="Times New Roman" w:hAnsi="Arial" w:cs="Arial"/>
              </w:rPr>
              <w:tab/>
              <w:t>má formu prohlášení pro vzájemné uznávání podle nařízení (EU) 2019/515, nebo</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b)</w:t>
            </w:r>
            <w:r w:rsidRPr="002A0DEA">
              <w:rPr>
                <w:rFonts w:ascii="Arial" w:eastAsia="Times New Roman" w:hAnsi="Arial" w:cs="Arial"/>
              </w:rPr>
              <w:tab/>
              <w:t xml:space="preserve">obsahuje alespoň </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1.</w:t>
            </w:r>
            <w:r w:rsidRPr="002A0DEA">
              <w:rPr>
                <w:rFonts w:ascii="Arial" w:eastAsia="Times New Roman" w:hAnsi="Arial" w:cs="Arial"/>
              </w:rPr>
              <w:tab/>
              <w:t>obchodní název vzájemně uznaného pomocného prostředku,</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2.</w:t>
            </w:r>
            <w:r w:rsidRPr="002A0DEA">
              <w:rPr>
                <w:rFonts w:ascii="Arial" w:eastAsia="Times New Roman" w:hAnsi="Arial" w:cs="Arial"/>
              </w:rPr>
              <w:tab/>
              <w:t>obchodní název výrobce nebo distributora vzájemně uznaného pomocného prostředku,</w:t>
            </w:r>
          </w:p>
          <w:p w:rsidR="002A0DEA" w:rsidRPr="002A0DEA" w:rsidRDefault="002A0DEA" w:rsidP="002A0DEA">
            <w:pPr>
              <w:ind w:firstLine="34"/>
              <w:jc w:val="both"/>
              <w:rPr>
                <w:rFonts w:ascii="Arial" w:eastAsia="Times New Roman" w:hAnsi="Arial" w:cs="Arial"/>
              </w:rPr>
            </w:pPr>
            <w:r w:rsidRPr="002A0DEA">
              <w:rPr>
                <w:rFonts w:ascii="Arial" w:eastAsia="Times New Roman" w:hAnsi="Arial" w:cs="Arial"/>
              </w:rPr>
              <w:t>3.</w:t>
            </w:r>
            <w:r w:rsidRPr="002A0DEA">
              <w:rPr>
                <w:rFonts w:ascii="Arial" w:eastAsia="Times New Roman" w:hAnsi="Arial" w:cs="Arial"/>
              </w:rPr>
              <w:tab/>
              <w:t>stručný popis a určení vzájemně uznaného pomocného prostředku a</w:t>
            </w:r>
          </w:p>
          <w:p w:rsidR="00FB36B6" w:rsidRPr="00F7690D" w:rsidRDefault="002A0DEA" w:rsidP="002A0DEA">
            <w:pPr>
              <w:ind w:firstLine="34"/>
              <w:jc w:val="both"/>
              <w:rPr>
                <w:rFonts w:ascii="Arial" w:eastAsia="Times New Roman" w:hAnsi="Arial" w:cs="Arial"/>
              </w:rPr>
            </w:pPr>
            <w:r w:rsidRPr="002A0DEA">
              <w:rPr>
                <w:rFonts w:ascii="Arial" w:eastAsia="Times New Roman" w:hAnsi="Arial" w:cs="Arial"/>
              </w:rPr>
              <w:t>4.</w:t>
            </w:r>
            <w:r w:rsidRPr="002A0DEA">
              <w:rPr>
                <w:rFonts w:ascii="Arial" w:eastAsia="Times New Roman" w:hAnsi="Arial" w:cs="Arial"/>
              </w:rPr>
              <w:tab/>
              <w:t>členský stát, v němž je vzájemně uznaný pomocný prostředek uveden na trh v souladu s právními předpisy.</w:t>
            </w:r>
            <w:r w:rsidR="00934952" w:rsidRPr="00934952">
              <w:rPr>
                <w:rFonts w:ascii="Arial" w:eastAsia="Times New Roman" w:hAnsi="Arial" w:cs="Arial"/>
              </w:rPr>
              <w:t>“.</w:t>
            </w:r>
          </w:p>
        </w:tc>
        <w:tc>
          <w:tcPr>
            <w:tcW w:w="1599" w:type="dxa"/>
          </w:tcPr>
          <w:p w:rsidR="00FB36B6" w:rsidRPr="00F7690D" w:rsidRDefault="00934952" w:rsidP="00E86695">
            <w:pPr>
              <w:jc w:val="both"/>
              <w:rPr>
                <w:rFonts w:ascii="Arial" w:hAnsi="Arial" w:cs="Arial"/>
              </w:rPr>
            </w:pPr>
            <w:r w:rsidRPr="00934952">
              <w:rPr>
                <w:rFonts w:ascii="Arial" w:hAnsi="Arial" w:cs="Arial"/>
              </w:rPr>
              <w:lastRenderedPageBreak/>
              <w:t>32019R0515</w:t>
            </w:r>
          </w:p>
        </w:tc>
        <w:tc>
          <w:tcPr>
            <w:tcW w:w="1464" w:type="dxa"/>
          </w:tcPr>
          <w:p w:rsidR="00FB36B6" w:rsidRPr="00F7690D" w:rsidRDefault="00934952" w:rsidP="00E86695">
            <w:pPr>
              <w:jc w:val="both"/>
              <w:rPr>
                <w:rFonts w:ascii="Arial" w:hAnsi="Arial" w:cs="Arial"/>
              </w:rPr>
            </w:pPr>
            <w:r>
              <w:rPr>
                <w:rFonts w:ascii="Arial" w:hAnsi="Arial" w:cs="Arial"/>
              </w:rPr>
              <w:t>Článek 5</w:t>
            </w:r>
          </w:p>
        </w:tc>
        <w:tc>
          <w:tcPr>
            <w:tcW w:w="4510" w:type="dxa"/>
          </w:tcPr>
          <w:p w:rsidR="00934952" w:rsidRPr="00934952" w:rsidRDefault="00934952" w:rsidP="00141F05">
            <w:pPr>
              <w:pStyle w:val="Bezmezer"/>
              <w:jc w:val="both"/>
              <w:rPr>
                <w:rFonts w:ascii="Arial" w:hAnsi="Arial" w:cs="Arial"/>
                <w:b/>
                <w:bCs/>
              </w:rPr>
            </w:pPr>
            <w:r w:rsidRPr="00934952">
              <w:rPr>
                <w:rFonts w:ascii="Arial" w:hAnsi="Arial" w:cs="Arial"/>
                <w:b/>
                <w:bCs/>
              </w:rPr>
              <w:t>Posuzování zboží</w:t>
            </w:r>
          </w:p>
          <w:p w:rsidR="00934952" w:rsidRPr="00934952" w:rsidRDefault="00934952" w:rsidP="00141F05">
            <w:pPr>
              <w:pStyle w:val="Bezmezer"/>
              <w:jc w:val="both"/>
              <w:rPr>
                <w:rFonts w:ascii="Arial" w:hAnsi="Arial" w:cs="Arial"/>
              </w:rPr>
            </w:pPr>
            <w:r w:rsidRPr="00934952">
              <w:rPr>
                <w:rFonts w:ascii="Arial" w:hAnsi="Arial" w:cs="Arial"/>
              </w:rPr>
              <w:t xml:space="preserve">1.   Pokud má příslušný orgán členského státu určení v úmyslu posoudit zboží podléhající tomuto nařízení, aby zjistil, zda je dané zboží, nebo zboží daného druhu, </w:t>
            </w:r>
            <w:r w:rsidRPr="00934952">
              <w:rPr>
                <w:rFonts w:ascii="Arial" w:hAnsi="Arial" w:cs="Arial"/>
              </w:rPr>
              <w:lastRenderedPageBreak/>
              <w:t>uvedeno v souladu s právními předpisy na trh v jiném členském státě, a pokud ano, zda jsou legitimní veřejné zájmy, na něž se vztahuje platné vnitrostátní technické pravidlo členského státu určení, náležitě chráněny s ohledem na vlastnosti daného zboží, neprodleně kontaktuje dotčený hospodářský subjekt.</w:t>
            </w:r>
          </w:p>
          <w:p w:rsidR="00934952" w:rsidRPr="00934952" w:rsidRDefault="00934952" w:rsidP="00141F05">
            <w:pPr>
              <w:pStyle w:val="Bezmezer"/>
              <w:jc w:val="both"/>
              <w:rPr>
                <w:rFonts w:ascii="Arial" w:hAnsi="Arial" w:cs="Arial"/>
              </w:rPr>
            </w:pPr>
            <w:r w:rsidRPr="00934952">
              <w:rPr>
                <w:rFonts w:ascii="Arial" w:hAnsi="Arial" w:cs="Arial"/>
              </w:rPr>
              <w:t>2.   V případě, že příslušný orgán členského státu určení kontaktuje dotčený hospodářský subjekt, informuje ho o posouzení, přičemž uvede zboží, které tomuto posouzení podléhá, a platné vnitrostátní technické pravidlo nebo postup předchozího schvalování. Příslušný orgán členského státu určení rovněž hospodářský subjekt informuje o možnosti předložit prohlášení pro vzájemné uznávání pro účely tohoto posouzení v souladu s článkem 4.</w:t>
            </w:r>
          </w:p>
          <w:p w:rsidR="00934952" w:rsidRPr="00934952" w:rsidRDefault="00934952" w:rsidP="00141F05">
            <w:pPr>
              <w:pStyle w:val="Bezmezer"/>
              <w:jc w:val="both"/>
              <w:rPr>
                <w:rFonts w:ascii="Arial" w:hAnsi="Arial" w:cs="Arial"/>
              </w:rPr>
            </w:pPr>
            <w:r w:rsidRPr="00934952">
              <w:rPr>
                <w:rFonts w:ascii="Arial" w:hAnsi="Arial" w:cs="Arial"/>
              </w:rPr>
              <w:t>3.   Hospodářský subjekt může dodávat zboží na trh v členském státě určení během doby, kdy příslušný orgán provádí posuzování podle odstavce 1 tohoto článku, a může v tom pokračovat, pokud neobdrží správní rozhodnutí o omezení nebo odepření přístupu dotčeného zboží na trh. Tento odstavec se nepoužije, pokud je posouzení prováděno v rámci postupu předchozího schvalování nebo pokud příslušný orgán dočasně pozastaví dodávání posuzovaného zboží na trh v souladu s článkem 6.</w:t>
            </w:r>
          </w:p>
          <w:p w:rsidR="00934952" w:rsidRPr="00934952" w:rsidRDefault="00934952" w:rsidP="00141F05">
            <w:pPr>
              <w:pStyle w:val="Bezmezer"/>
              <w:jc w:val="both"/>
              <w:rPr>
                <w:rFonts w:ascii="Arial" w:hAnsi="Arial" w:cs="Arial"/>
              </w:rPr>
            </w:pPr>
            <w:r w:rsidRPr="00934952">
              <w:rPr>
                <w:rFonts w:ascii="Arial" w:hAnsi="Arial" w:cs="Arial"/>
              </w:rPr>
              <w:t xml:space="preserve">4.   Pokud je prohlášení pro vzájemné uznávání předloženo příslušnému orgánu členského státu určení v souladu s článkem </w:t>
            </w:r>
            <w:r w:rsidRPr="00934952">
              <w:rPr>
                <w:rFonts w:ascii="Arial" w:hAnsi="Arial" w:cs="Arial"/>
              </w:rPr>
              <w:lastRenderedPageBreak/>
              <w:t>4, pak pro účely posouzení podle odstavce 1 tohoto článku příslušný orgán:</w:t>
            </w:r>
          </w:p>
          <w:p w:rsidR="00934952" w:rsidRPr="00934952" w:rsidRDefault="00934952" w:rsidP="00141F05">
            <w:pPr>
              <w:pStyle w:val="Bezmezer"/>
              <w:jc w:val="both"/>
              <w:rPr>
                <w:rFonts w:ascii="Arial" w:hAnsi="Arial" w:cs="Arial"/>
              </w:rPr>
            </w:pPr>
            <w:r w:rsidRPr="00934952">
              <w:rPr>
                <w:rFonts w:ascii="Arial" w:hAnsi="Arial" w:cs="Arial"/>
              </w:rPr>
              <w:t>a)</w:t>
            </w:r>
            <w:r w:rsidRPr="00934952">
              <w:rPr>
                <w:rFonts w:ascii="Arial" w:hAnsi="Arial" w:cs="Arial"/>
              </w:rPr>
              <w:tab/>
              <w:t>uzná prohlášení, společně s podpůrnými důkazy nezbytnými k ověření informací v něm obsažených předloženými na jeho žádost, jako dostatečný důkaz k prokázání toho, že zboží je uvedeno v souladu s právními předpisy na trh v jiném členském státě, a</w:t>
            </w:r>
          </w:p>
          <w:p w:rsidR="00934952" w:rsidRPr="00934952" w:rsidRDefault="00934952" w:rsidP="00141F05">
            <w:pPr>
              <w:pStyle w:val="Bezmezer"/>
              <w:jc w:val="both"/>
              <w:rPr>
                <w:rFonts w:ascii="Arial" w:hAnsi="Arial" w:cs="Arial"/>
              </w:rPr>
            </w:pPr>
            <w:r w:rsidRPr="00934952">
              <w:rPr>
                <w:rFonts w:ascii="Arial" w:hAnsi="Arial" w:cs="Arial"/>
              </w:rPr>
              <w:t>b)</w:t>
            </w:r>
            <w:r w:rsidRPr="00934952">
              <w:rPr>
                <w:rFonts w:ascii="Arial" w:hAnsi="Arial" w:cs="Arial"/>
              </w:rPr>
              <w:tab/>
              <w:t>nepožaduje žádné další informace nebo dokumenty od žádného hospodářského subjektu k prokázání, že zboží je uvedeno v souladu s právními předpisy na trh v jiném členském státě.</w:t>
            </w:r>
          </w:p>
          <w:p w:rsidR="00934952" w:rsidRPr="00934952" w:rsidRDefault="00934952" w:rsidP="00141F05">
            <w:pPr>
              <w:pStyle w:val="Bezmezer"/>
              <w:jc w:val="both"/>
              <w:rPr>
                <w:rFonts w:ascii="Arial" w:hAnsi="Arial" w:cs="Arial"/>
              </w:rPr>
            </w:pPr>
            <w:r w:rsidRPr="00934952">
              <w:rPr>
                <w:rFonts w:ascii="Arial" w:hAnsi="Arial" w:cs="Arial"/>
              </w:rPr>
              <w:t>5.   Pokud není prohlášení pro vzájemné uznávání předloženo příslušnému orgánu členského státu určení v souladu s článkem 4, může příslušný orgán pro účely posouzení podle odstavce 1 tohoto článku požádat dotčené hospodářské subjekty o poskytnutí dokumentace a informací, jež jsou pro uvedené posouzení nezbytné a jež se týkají:</w:t>
            </w:r>
          </w:p>
          <w:p w:rsidR="00934952" w:rsidRPr="00934952" w:rsidRDefault="00934952" w:rsidP="00141F05">
            <w:pPr>
              <w:pStyle w:val="Bezmezer"/>
              <w:jc w:val="both"/>
              <w:rPr>
                <w:rFonts w:ascii="Arial" w:hAnsi="Arial" w:cs="Arial"/>
              </w:rPr>
            </w:pPr>
            <w:r w:rsidRPr="00934952">
              <w:rPr>
                <w:rFonts w:ascii="Arial" w:hAnsi="Arial" w:cs="Arial"/>
              </w:rPr>
              <w:t>a)</w:t>
            </w:r>
            <w:r w:rsidRPr="00934952">
              <w:rPr>
                <w:rFonts w:ascii="Arial" w:hAnsi="Arial" w:cs="Arial"/>
              </w:rPr>
              <w:tab/>
              <w:t>vlastností daného zboží nebo druhu zboží a</w:t>
            </w:r>
          </w:p>
          <w:p w:rsidR="00934952" w:rsidRPr="00934952" w:rsidRDefault="00934952" w:rsidP="00141F05">
            <w:pPr>
              <w:pStyle w:val="Bezmezer"/>
              <w:jc w:val="both"/>
              <w:rPr>
                <w:rFonts w:ascii="Arial" w:hAnsi="Arial" w:cs="Arial"/>
              </w:rPr>
            </w:pPr>
            <w:r w:rsidRPr="00934952">
              <w:rPr>
                <w:rFonts w:ascii="Arial" w:hAnsi="Arial" w:cs="Arial"/>
              </w:rPr>
              <w:t>b)</w:t>
            </w:r>
            <w:r w:rsidRPr="00934952">
              <w:rPr>
                <w:rFonts w:ascii="Arial" w:hAnsi="Arial" w:cs="Arial"/>
              </w:rPr>
              <w:tab/>
              <w:t>uvedení zboží v souladu s právními předpisy na trh v jiném členském státě.</w:t>
            </w:r>
          </w:p>
          <w:p w:rsidR="00934952" w:rsidRPr="00934952" w:rsidRDefault="00934952" w:rsidP="00141F05">
            <w:pPr>
              <w:pStyle w:val="Bezmezer"/>
              <w:jc w:val="both"/>
              <w:rPr>
                <w:rFonts w:ascii="Arial" w:hAnsi="Arial" w:cs="Arial"/>
              </w:rPr>
            </w:pPr>
            <w:r w:rsidRPr="00934952">
              <w:rPr>
                <w:rFonts w:ascii="Arial" w:hAnsi="Arial" w:cs="Arial"/>
              </w:rPr>
              <w:t>6.   Dotčenému hospodářskému subjektu je po obdržení žádosti příslušného orgánu členského státu určení poskytnuto nejméně patnáct pracovních dnů pro předložení dokumentů a informací uvedených v odst. 4 písm. a) nebo v odstavci 5 nebo pro předložení jakýchkoli případných námitek či připomínek.</w:t>
            </w:r>
          </w:p>
          <w:p w:rsidR="00934952" w:rsidRPr="00934952" w:rsidRDefault="00934952" w:rsidP="00141F05">
            <w:pPr>
              <w:pStyle w:val="Bezmezer"/>
              <w:jc w:val="both"/>
              <w:rPr>
                <w:rFonts w:ascii="Arial" w:hAnsi="Arial" w:cs="Arial"/>
              </w:rPr>
            </w:pPr>
            <w:r w:rsidRPr="00934952">
              <w:rPr>
                <w:rFonts w:ascii="Arial" w:hAnsi="Arial" w:cs="Arial"/>
              </w:rPr>
              <w:lastRenderedPageBreak/>
              <w:t>7.   Příslušný orgán členského státu určení může pro účely posouzení uvedeného v odstavci 1 tohoto článku v souladu s čl. 10 odst. 3 kontaktovat příslušné orgány nebo kontaktní místa pro výrobky členského státu, na jehož trh hospodářský subjekt podle svého tvrzení uvedl v souladu s právními předpisy své zboží, jestliže potřebuje ověřit jakékoli informace, jež hospodářský subjekt poskytl.</w:t>
            </w:r>
          </w:p>
          <w:p w:rsidR="00934952" w:rsidRPr="00934952" w:rsidRDefault="00934952" w:rsidP="00141F05">
            <w:pPr>
              <w:pStyle w:val="Bezmezer"/>
              <w:jc w:val="both"/>
              <w:rPr>
                <w:rFonts w:ascii="Arial" w:hAnsi="Arial" w:cs="Arial"/>
              </w:rPr>
            </w:pPr>
          </w:p>
          <w:p w:rsidR="00FB36B6" w:rsidRDefault="00934952" w:rsidP="00141F05">
            <w:pPr>
              <w:pStyle w:val="Bezmezer"/>
              <w:jc w:val="both"/>
              <w:rPr>
                <w:rFonts w:ascii="Arial" w:hAnsi="Arial" w:cs="Arial"/>
              </w:rPr>
            </w:pPr>
            <w:r w:rsidRPr="00934952">
              <w:rPr>
                <w:rFonts w:ascii="Arial" w:hAnsi="Arial" w:cs="Arial"/>
              </w:rPr>
              <w:t>13.   Správní rozhodnutí uvedené v odstavci 9 nesmí nabýt účinnosti dříve, než je oznámeno dotčenému hospodářskému subjektu podle uvedeného odstavce.</w:t>
            </w:r>
          </w:p>
          <w:p w:rsidR="00D43528" w:rsidRPr="00F7690D" w:rsidRDefault="00D43528" w:rsidP="00934952">
            <w:pPr>
              <w:pStyle w:val="Bezmezer"/>
              <w:rPr>
                <w:rFonts w:ascii="Arial" w:hAnsi="Arial" w:cs="Arial"/>
              </w:rPr>
            </w:pPr>
          </w:p>
        </w:tc>
      </w:tr>
      <w:tr w:rsidR="00DA6821" w:rsidRPr="00F7690D" w:rsidTr="00485CFE">
        <w:tc>
          <w:tcPr>
            <w:tcW w:w="1550" w:type="dxa"/>
          </w:tcPr>
          <w:p w:rsidR="00DA6821" w:rsidRPr="00DA6821" w:rsidRDefault="00DA6821" w:rsidP="00E86695">
            <w:pPr>
              <w:jc w:val="both"/>
              <w:rPr>
                <w:rFonts w:ascii="Arial" w:hAnsi="Arial" w:cs="Arial"/>
              </w:rPr>
            </w:pPr>
            <w:r w:rsidRPr="00DA6821">
              <w:rPr>
                <w:rFonts w:ascii="Arial" w:hAnsi="Arial" w:cs="Arial"/>
              </w:rPr>
              <w:lastRenderedPageBreak/>
              <w:t>Čl. I</w:t>
            </w:r>
            <w:r w:rsidR="00934952">
              <w:rPr>
                <w:rFonts w:ascii="Arial" w:hAnsi="Arial" w:cs="Arial"/>
              </w:rPr>
              <w:t xml:space="preserve"> </w:t>
            </w:r>
            <w:r w:rsidRPr="00DA6821">
              <w:rPr>
                <w:rFonts w:ascii="Arial" w:hAnsi="Arial" w:cs="Arial"/>
              </w:rPr>
              <w:t xml:space="preserve">bod </w:t>
            </w:r>
            <w:r w:rsidR="006B70BE">
              <w:rPr>
                <w:rFonts w:ascii="Arial" w:hAnsi="Arial" w:cs="Arial"/>
              </w:rPr>
              <w:t>29</w:t>
            </w:r>
          </w:p>
          <w:p w:rsidR="00DA6821" w:rsidRPr="00F7690D" w:rsidRDefault="00934952" w:rsidP="00E86695">
            <w:pPr>
              <w:jc w:val="both"/>
              <w:rPr>
                <w:rFonts w:ascii="Arial" w:hAnsi="Arial" w:cs="Arial"/>
              </w:rPr>
            </w:pPr>
            <w:r>
              <w:rPr>
                <w:rFonts w:ascii="Arial" w:hAnsi="Arial" w:cs="Arial"/>
              </w:rPr>
              <w:t>§ 60 odst. 5 až 7</w:t>
            </w:r>
          </w:p>
        </w:tc>
        <w:tc>
          <w:tcPr>
            <w:tcW w:w="4871" w:type="dxa"/>
          </w:tcPr>
          <w:p w:rsidR="00934952" w:rsidRPr="00934952" w:rsidRDefault="00934952" w:rsidP="00934952">
            <w:pPr>
              <w:ind w:firstLine="34"/>
              <w:jc w:val="both"/>
              <w:rPr>
                <w:rFonts w:ascii="Arial" w:hAnsi="Arial" w:cs="Arial"/>
              </w:rPr>
            </w:pPr>
            <w:r w:rsidRPr="00934952">
              <w:rPr>
                <w:rFonts w:ascii="Arial" w:hAnsi="Arial" w:cs="Arial"/>
              </w:rPr>
              <w:t>V § 60 se doplňují odstavce 5 až 7, které znějí:</w:t>
            </w:r>
          </w:p>
          <w:p w:rsidR="00934952" w:rsidRPr="00934952" w:rsidRDefault="00934952" w:rsidP="00934952">
            <w:pPr>
              <w:ind w:firstLine="34"/>
              <w:jc w:val="both"/>
              <w:rPr>
                <w:rFonts w:ascii="Arial" w:hAnsi="Arial" w:cs="Arial"/>
              </w:rPr>
            </w:pPr>
          </w:p>
          <w:p w:rsidR="002A0DEA" w:rsidRPr="002A0DEA" w:rsidRDefault="00934952" w:rsidP="002A0DEA">
            <w:pPr>
              <w:ind w:firstLine="34"/>
              <w:jc w:val="both"/>
              <w:rPr>
                <w:rFonts w:ascii="Arial" w:hAnsi="Arial" w:cs="Arial"/>
              </w:rPr>
            </w:pPr>
            <w:r w:rsidRPr="00934952">
              <w:rPr>
                <w:rFonts w:ascii="Arial" w:hAnsi="Arial" w:cs="Arial"/>
              </w:rPr>
              <w:t>„</w:t>
            </w:r>
            <w:r w:rsidR="002A0DEA" w:rsidRPr="002A0DEA">
              <w:rPr>
                <w:rFonts w:ascii="Arial" w:hAnsi="Arial" w:cs="Arial"/>
              </w:rPr>
              <w:t>(5) Profesionální uživatelé jsou povinni vést záznamy o používání přípravků88) nebo pomocných prostředků při podnikání ve zvláštní knize s průběžně očíslovanými stránkami nebo v elektronické podobě za současného zabezpečení jejich uchování. Záznamy v elektronické podobě musí být vedeny ve strojově čitelném formátu. Za rovnocenné se považuje vedení záznamů v evidenci hnojiv vedené pro účely zákona o hnojivech nebo, jde-li o použití feromonů nebo repelentů proti okusu zvěří, v evidenci vedené pro účely lesního hospodářství. Obsah a rozsah záznamů o používání přípravků nebo pomocných prostředků stanoví prováděcí právní předpis.</w:t>
            </w:r>
          </w:p>
          <w:p w:rsidR="002A0DEA" w:rsidRPr="002A0DEA" w:rsidRDefault="002A0DEA" w:rsidP="002A0DEA">
            <w:pPr>
              <w:ind w:firstLine="34"/>
              <w:jc w:val="both"/>
              <w:rPr>
                <w:rFonts w:ascii="Arial" w:hAnsi="Arial" w:cs="Arial"/>
              </w:rPr>
            </w:pPr>
          </w:p>
          <w:p w:rsidR="002A0DEA" w:rsidRPr="002A0DEA" w:rsidRDefault="002A0DEA" w:rsidP="002A0DEA">
            <w:pPr>
              <w:ind w:firstLine="34"/>
              <w:jc w:val="both"/>
              <w:rPr>
                <w:rFonts w:ascii="Arial" w:hAnsi="Arial" w:cs="Arial"/>
              </w:rPr>
            </w:pPr>
            <w:r w:rsidRPr="002A0DEA">
              <w:rPr>
                <w:rFonts w:ascii="Arial" w:hAnsi="Arial" w:cs="Arial"/>
              </w:rPr>
              <w:lastRenderedPageBreak/>
              <w:t xml:space="preserve">(6) Záznamy o používání přípravků nebo pomocných prostředků se provádějí bezodkladně, nejpozději následující pracovní den po aplikaci přípravku nebo pomocného prostředku, s výjimkou záznamu o ověření účinnosti opatření, který se provede podle účinku použitého přípravku nebo pomocného prostředku. Pokud je aplikace přípravku nebo pomocného prostředku prováděna profesionálním uživatelem na pozemcích, které nevlastní ani jiným způsobem neužívá, povinnost vést záznamy má také uživatel tohoto pozemku. </w:t>
            </w:r>
          </w:p>
          <w:p w:rsidR="002A0DEA" w:rsidRPr="002A0DEA" w:rsidRDefault="002A0DEA" w:rsidP="002A0DEA">
            <w:pPr>
              <w:ind w:firstLine="34"/>
              <w:jc w:val="both"/>
              <w:rPr>
                <w:rFonts w:ascii="Arial" w:hAnsi="Arial" w:cs="Arial"/>
              </w:rPr>
            </w:pPr>
          </w:p>
          <w:p w:rsidR="00D43528" w:rsidRPr="00DA6821" w:rsidRDefault="002A0DEA" w:rsidP="002A0DEA">
            <w:pPr>
              <w:ind w:firstLine="34"/>
              <w:jc w:val="both"/>
              <w:rPr>
                <w:rFonts w:ascii="Arial" w:eastAsia="Times New Roman" w:hAnsi="Arial" w:cs="Arial"/>
              </w:rPr>
            </w:pPr>
            <w:r w:rsidRPr="002A0DEA">
              <w:rPr>
                <w:rFonts w:ascii="Arial" w:hAnsi="Arial" w:cs="Arial"/>
              </w:rPr>
              <w:t>(7) Zemědělští podnikatelé hospodařící na výměře větší než 200 ha podle evidence využití půdy podle uživatelských vztahů podle zákona o zemědělství jsou povinni záznamy o používání přípravků nebo pomocných prostředků, pokud nejsou vedeny v elektronické podobě, převést do elektronické podoby umožňující jejich následné elektronické zpracování a předávat je Ústavu v elektronické podobě do konce měsíce následujícího po aplikaci způsobem a ve formátu stanoveném prováděcím právním předpisem.</w:t>
            </w:r>
          </w:p>
        </w:tc>
        <w:tc>
          <w:tcPr>
            <w:tcW w:w="1599" w:type="dxa"/>
          </w:tcPr>
          <w:p w:rsidR="00DA6821" w:rsidRPr="00F7690D" w:rsidRDefault="00934952" w:rsidP="00E86695">
            <w:pPr>
              <w:jc w:val="both"/>
              <w:rPr>
                <w:rFonts w:ascii="Arial" w:hAnsi="Arial" w:cs="Arial"/>
              </w:rPr>
            </w:pPr>
            <w:r w:rsidRPr="00934952">
              <w:rPr>
                <w:rFonts w:ascii="Arial" w:hAnsi="Arial" w:cs="Arial"/>
              </w:rPr>
              <w:lastRenderedPageBreak/>
              <w:t>32009R1107</w:t>
            </w:r>
          </w:p>
        </w:tc>
        <w:tc>
          <w:tcPr>
            <w:tcW w:w="1464" w:type="dxa"/>
          </w:tcPr>
          <w:p w:rsidR="00DA6821" w:rsidRDefault="00DA6821" w:rsidP="00E86695">
            <w:pPr>
              <w:jc w:val="both"/>
              <w:rPr>
                <w:rFonts w:ascii="Arial" w:hAnsi="Arial" w:cs="Arial"/>
              </w:rPr>
            </w:pPr>
            <w:r>
              <w:rPr>
                <w:rFonts w:ascii="Arial" w:hAnsi="Arial" w:cs="Arial"/>
              </w:rPr>
              <w:t xml:space="preserve">Článek </w:t>
            </w:r>
            <w:r w:rsidR="00934952">
              <w:rPr>
                <w:rFonts w:ascii="Arial" w:hAnsi="Arial" w:cs="Arial"/>
              </w:rPr>
              <w:t>67 odst. 1</w:t>
            </w:r>
          </w:p>
        </w:tc>
        <w:tc>
          <w:tcPr>
            <w:tcW w:w="4510" w:type="dxa"/>
          </w:tcPr>
          <w:p w:rsidR="00934952" w:rsidRPr="00934952" w:rsidRDefault="00934952" w:rsidP="00141F05">
            <w:pPr>
              <w:pStyle w:val="Bezmezer"/>
              <w:jc w:val="both"/>
              <w:rPr>
                <w:rFonts w:ascii="Arial" w:hAnsi="Arial" w:cs="Arial"/>
                <w:b/>
                <w:bCs/>
              </w:rPr>
            </w:pPr>
            <w:r w:rsidRPr="00934952">
              <w:rPr>
                <w:rFonts w:ascii="Arial" w:hAnsi="Arial" w:cs="Arial"/>
                <w:b/>
                <w:bCs/>
              </w:rPr>
              <w:t>Vedení záznamů</w:t>
            </w:r>
          </w:p>
          <w:p w:rsidR="00934952" w:rsidRPr="00934952" w:rsidRDefault="00934952" w:rsidP="00141F05">
            <w:pPr>
              <w:pStyle w:val="Bezmezer"/>
              <w:jc w:val="both"/>
              <w:rPr>
                <w:rFonts w:ascii="Arial" w:hAnsi="Arial" w:cs="Arial"/>
              </w:rPr>
            </w:pPr>
            <w:r w:rsidRPr="00934952">
              <w:rPr>
                <w:rFonts w:ascii="Arial" w:hAnsi="Arial" w:cs="Arial"/>
              </w:rPr>
              <w:t>1.  Výrobci, dodavatelé, distributoři, dovozci a vývozci přípravků na ochranu rostlin vedou záznamy o přípravcích na ochranu rostlin, které vyrábějí, dovážejí, vyvážejí, skladují či uvádějí na trh, nejméně po dobu pěti let. Profesionální uživatelé přípravků na ochranu rostlin vedou alespoň tři roky záznamy o jimi používaných přípravcích, v nichž uvedou název přípravku na ochranu rostlin, dobu a aplikační dávku a oblast a plodinu, pro něž byl tento přípravek použit.</w:t>
            </w:r>
          </w:p>
          <w:p w:rsidR="00934952" w:rsidRPr="00934952" w:rsidRDefault="00934952" w:rsidP="00141F05">
            <w:pPr>
              <w:pStyle w:val="Bezmezer"/>
              <w:jc w:val="both"/>
              <w:rPr>
                <w:rFonts w:ascii="Arial" w:hAnsi="Arial" w:cs="Arial"/>
                <w:sz w:val="8"/>
                <w:szCs w:val="8"/>
              </w:rPr>
            </w:pPr>
          </w:p>
          <w:p w:rsidR="00934952" w:rsidRPr="00934952" w:rsidRDefault="00934952" w:rsidP="00141F05">
            <w:pPr>
              <w:pStyle w:val="Bezmezer"/>
              <w:jc w:val="both"/>
              <w:rPr>
                <w:rFonts w:ascii="Arial" w:hAnsi="Arial" w:cs="Arial"/>
              </w:rPr>
            </w:pPr>
            <w:r w:rsidRPr="00934952">
              <w:rPr>
                <w:rFonts w:ascii="Arial" w:hAnsi="Arial" w:cs="Arial"/>
              </w:rPr>
              <w:t>Všechny příslušné informace obsažené v těchto záznamech zpřístupní na požádání příslušnému orgánu. Třetí osoby, jako jsou výrobci a distributoři pitné vody, drobní obchodníci či místní obyvatelé, mohou požádat o přístup k těmto informacím podáním žádosti u příslušného orgánu.</w:t>
            </w:r>
          </w:p>
          <w:p w:rsidR="00934952" w:rsidRPr="00934952" w:rsidRDefault="00934952" w:rsidP="00141F05">
            <w:pPr>
              <w:pStyle w:val="Bezmezer"/>
              <w:jc w:val="both"/>
              <w:rPr>
                <w:rFonts w:ascii="Arial" w:hAnsi="Arial" w:cs="Arial"/>
                <w:sz w:val="8"/>
                <w:szCs w:val="8"/>
              </w:rPr>
            </w:pPr>
          </w:p>
          <w:p w:rsidR="00934952" w:rsidRPr="00934952" w:rsidRDefault="00934952" w:rsidP="00141F05">
            <w:pPr>
              <w:pStyle w:val="Bezmezer"/>
              <w:jc w:val="both"/>
              <w:rPr>
                <w:rFonts w:ascii="Arial" w:hAnsi="Arial" w:cs="Arial"/>
              </w:rPr>
            </w:pPr>
            <w:r w:rsidRPr="00934952">
              <w:rPr>
                <w:rFonts w:ascii="Arial" w:hAnsi="Arial" w:cs="Arial"/>
              </w:rPr>
              <w:lastRenderedPageBreak/>
              <w:t>Příslušné orgány tyto informace zpřístupní v souladu s platným vnitrostátním právem nebo právem Společenství.</w:t>
            </w:r>
          </w:p>
          <w:p w:rsidR="00934952" w:rsidRPr="00934952" w:rsidRDefault="00934952" w:rsidP="00141F05">
            <w:pPr>
              <w:pStyle w:val="Bezmezer"/>
              <w:jc w:val="both"/>
              <w:rPr>
                <w:rFonts w:ascii="Arial" w:hAnsi="Arial" w:cs="Arial"/>
                <w:sz w:val="8"/>
                <w:szCs w:val="8"/>
              </w:rPr>
            </w:pPr>
          </w:p>
          <w:p w:rsidR="00934952" w:rsidRPr="00934952" w:rsidRDefault="00934952" w:rsidP="00141F05">
            <w:pPr>
              <w:pStyle w:val="Bezmezer"/>
              <w:jc w:val="both"/>
              <w:rPr>
                <w:rFonts w:ascii="Arial" w:hAnsi="Arial" w:cs="Arial"/>
              </w:rPr>
            </w:pPr>
            <w:r w:rsidRPr="00934952">
              <w:rPr>
                <w:rFonts w:ascii="Arial" w:hAnsi="Arial" w:cs="Arial"/>
              </w:rPr>
              <w:t>Do 14. prosince 2012 Komise předloží Evropskému parlamentu a Radě zprávu o nákladech a přínosech sledovatelnosti informací o aplikaci přípravků na ochranu rostlin na zemědělské produkty od uživatelů k maloobchodníkům, ke které v případě nutnosti připojí vhodné legislativní návrhy.</w:t>
            </w:r>
          </w:p>
          <w:p w:rsidR="00DA6821" w:rsidRPr="00934952" w:rsidRDefault="00DA6821" w:rsidP="00934952">
            <w:pPr>
              <w:pStyle w:val="Bezmezer"/>
              <w:rPr>
                <w:rFonts w:ascii="Arial" w:hAnsi="Arial" w:cs="Arial"/>
              </w:rPr>
            </w:pPr>
          </w:p>
        </w:tc>
      </w:tr>
      <w:tr w:rsidR="00FB36B6" w:rsidRPr="00F7690D" w:rsidTr="00485CFE">
        <w:tc>
          <w:tcPr>
            <w:tcW w:w="1550" w:type="dxa"/>
          </w:tcPr>
          <w:p w:rsidR="00FB36B6" w:rsidRPr="00FD4BEB" w:rsidRDefault="00FB36B6" w:rsidP="00E86695">
            <w:pPr>
              <w:jc w:val="both"/>
              <w:rPr>
                <w:rFonts w:ascii="Arial" w:hAnsi="Arial" w:cs="Arial"/>
              </w:rPr>
            </w:pPr>
            <w:r w:rsidRPr="00FD4BEB">
              <w:rPr>
                <w:rFonts w:ascii="Arial" w:hAnsi="Arial" w:cs="Arial"/>
              </w:rPr>
              <w:t>Čl. I</w:t>
            </w:r>
            <w:r w:rsidR="00B34AD6">
              <w:rPr>
                <w:rFonts w:ascii="Arial" w:hAnsi="Arial" w:cs="Arial"/>
              </w:rPr>
              <w:t xml:space="preserve"> </w:t>
            </w:r>
            <w:r>
              <w:rPr>
                <w:rFonts w:ascii="Arial" w:hAnsi="Arial" w:cs="Arial"/>
              </w:rPr>
              <w:t>b</w:t>
            </w:r>
            <w:r w:rsidRPr="00FD4BEB">
              <w:rPr>
                <w:rFonts w:ascii="Arial" w:hAnsi="Arial" w:cs="Arial"/>
              </w:rPr>
              <w:t xml:space="preserve">od </w:t>
            </w:r>
            <w:r w:rsidR="00141F05">
              <w:rPr>
                <w:rFonts w:ascii="Arial" w:hAnsi="Arial" w:cs="Arial"/>
              </w:rPr>
              <w:t>39</w:t>
            </w:r>
          </w:p>
          <w:p w:rsidR="00FB36B6" w:rsidRPr="00F7690D" w:rsidRDefault="00FB36B6" w:rsidP="00E86695">
            <w:pPr>
              <w:jc w:val="both"/>
              <w:rPr>
                <w:rFonts w:ascii="Arial" w:hAnsi="Arial" w:cs="Arial"/>
              </w:rPr>
            </w:pPr>
            <w:r w:rsidRPr="00FD4BEB">
              <w:rPr>
                <w:rFonts w:ascii="Arial" w:hAnsi="Arial" w:cs="Arial"/>
              </w:rPr>
              <w:t>§ 7</w:t>
            </w:r>
            <w:r w:rsidR="00B34AD6">
              <w:rPr>
                <w:rFonts w:ascii="Arial" w:hAnsi="Arial" w:cs="Arial"/>
              </w:rPr>
              <w:t>6</w:t>
            </w:r>
            <w:r w:rsidRPr="00FD4BEB">
              <w:rPr>
                <w:rFonts w:ascii="Arial" w:hAnsi="Arial" w:cs="Arial"/>
              </w:rPr>
              <w:t>a</w:t>
            </w:r>
          </w:p>
        </w:tc>
        <w:tc>
          <w:tcPr>
            <w:tcW w:w="4871" w:type="dxa"/>
          </w:tcPr>
          <w:p w:rsidR="00FB36B6" w:rsidRPr="00FD4BEB" w:rsidRDefault="00B34AD6" w:rsidP="006B70BE">
            <w:pPr>
              <w:ind w:firstLine="34"/>
              <w:jc w:val="both"/>
              <w:rPr>
                <w:rFonts w:ascii="Arial" w:eastAsia="Times New Roman" w:hAnsi="Arial" w:cs="Arial"/>
              </w:rPr>
            </w:pPr>
            <w:r w:rsidRPr="00B34AD6">
              <w:rPr>
                <w:rFonts w:ascii="Arial" w:eastAsia="Times New Roman" w:hAnsi="Arial" w:cs="Arial"/>
              </w:rPr>
              <w:t>§ 76a se včetně poznámek pod čarou č. 53</w:t>
            </w:r>
            <w:r w:rsidR="006B70BE">
              <w:rPr>
                <w:rFonts w:ascii="Arial" w:eastAsia="Times New Roman" w:hAnsi="Arial" w:cs="Arial"/>
              </w:rPr>
              <w:t xml:space="preserve"> až</w:t>
            </w:r>
            <w:r w:rsidRPr="00B34AD6">
              <w:rPr>
                <w:rFonts w:ascii="Arial" w:eastAsia="Times New Roman" w:hAnsi="Arial" w:cs="Arial"/>
              </w:rPr>
              <w:t xml:space="preserve"> 53c zrušuje.</w:t>
            </w:r>
          </w:p>
        </w:tc>
        <w:tc>
          <w:tcPr>
            <w:tcW w:w="1599" w:type="dxa"/>
          </w:tcPr>
          <w:p w:rsidR="00FB36B6" w:rsidRPr="00C57228" w:rsidRDefault="00B34AD6" w:rsidP="00E86695">
            <w:pPr>
              <w:jc w:val="both"/>
              <w:rPr>
                <w:rFonts w:ascii="Arial" w:hAnsi="Arial" w:cs="Arial"/>
              </w:rPr>
            </w:pPr>
            <w:r w:rsidRPr="00B34AD6">
              <w:rPr>
                <w:rFonts w:ascii="Arial" w:hAnsi="Arial" w:cs="Arial"/>
              </w:rPr>
              <w:t>32019R1020</w:t>
            </w:r>
          </w:p>
        </w:tc>
        <w:tc>
          <w:tcPr>
            <w:tcW w:w="1464" w:type="dxa"/>
          </w:tcPr>
          <w:p w:rsidR="00FB36B6" w:rsidRDefault="00FB36B6" w:rsidP="00E86695">
            <w:pPr>
              <w:jc w:val="both"/>
              <w:rPr>
                <w:rFonts w:ascii="Arial" w:hAnsi="Arial" w:cs="Arial"/>
              </w:rPr>
            </w:pPr>
            <w:r w:rsidRPr="00C57228">
              <w:rPr>
                <w:rFonts w:ascii="Arial" w:hAnsi="Arial" w:cs="Arial"/>
              </w:rPr>
              <w:t xml:space="preserve">Článek </w:t>
            </w:r>
            <w:r w:rsidR="00B34AD6">
              <w:rPr>
                <w:rFonts w:ascii="Arial" w:hAnsi="Arial" w:cs="Arial"/>
              </w:rPr>
              <w:t>39</w:t>
            </w:r>
            <w:r w:rsidRPr="00C57228">
              <w:rPr>
                <w:rFonts w:ascii="Arial" w:hAnsi="Arial" w:cs="Arial"/>
              </w:rPr>
              <w:t xml:space="preserve"> odst. 1 </w:t>
            </w:r>
            <w:r w:rsidR="00391185">
              <w:rPr>
                <w:rFonts w:ascii="Arial" w:hAnsi="Arial" w:cs="Arial"/>
              </w:rPr>
              <w:t>bod 4</w:t>
            </w:r>
          </w:p>
        </w:tc>
        <w:tc>
          <w:tcPr>
            <w:tcW w:w="4510" w:type="dxa"/>
          </w:tcPr>
          <w:p w:rsidR="00391185" w:rsidRPr="00391185" w:rsidRDefault="00391185" w:rsidP="00391185">
            <w:pPr>
              <w:pStyle w:val="Bezmezer"/>
              <w:rPr>
                <w:rFonts w:ascii="Arial" w:hAnsi="Arial" w:cs="Arial"/>
                <w:b/>
                <w:bCs/>
              </w:rPr>
            </w:pPr>
            <w:r w:rsidRPr="00391185">
              <w:rPr>
                <w:rFonts w:ascii="Arial" w:hAnsi="Arial" w:cs="Arial"/>
                <w:b/>
                <w:bCs/>
              </w:rPr>
              <w:t>Změny nařízení (ES) č. 765/2008</w:t>
            </w:r>
          </w:p>
          <w:p w:rsidR="00FB36B6" w:rsidRDefault="00391185" w:rsidP="00391185">
            <w:pPr>
              <w:pStyle w:val="Bezmezer"/>
              <w:rPr>
                <w:rFonts w:ascii="Arial" w:hAnsi="Arial" w:cs="Arial"/>
              </w:rPr>
            </w:pPr>
            <w:r w:rsidRPr="00391185">
              <w:rPr>
                <w:rFonts w:ascii="Arial" w:hAnsi="Arial" w:cs="Arial"/>
              </w:rPr>
              <w:t>1.   Nařízení (ES) č. 765/2008 se mění takto:</w:t>
            </w:r>
          </w:p>
          <w:p w:rsidR="00391185" w:rsidRDefault="00391185" w:rsidP="00391185">
            <w:pPr>
              <w:pStyle w:val="Bezmezer"/>
              <w:rPr>
                <w:bCs/>
              </w:rPr>
            </w:pPr>
            <w:r>
              <w:rPr>
                <w:bCs/>
              </w:rPr>
              <w:t>…</w:t>
            </w:r>
          </w:p>
          <w:p w:rsidR="00391185" w:rsidRDefault="00391185" w:rsidP="00391185">
            <w:pPr>
              <w:pStyle w:val="Bezmezer"/>
              <w:rPr>
                <w:rFonts w:ascii="Arial" w:hAnsi="Arial" w:cs="Arial"/>
                <w:bCs/>
              </w:rPr>
            </w:pPr>
            <w:r w:rsidRPr="00391185">
              <w:rPr>
                <w:rFonts w:ascii="Arial" w:hAnsi="Arial" w:cs="Arial"/>
                <w:bCs/>
              </w:rPr>
              <w:t>4)</w:t>
            </w:r>
            <w:r>
              <w:rPr>
                <w:rFonts w:ascii="Arial" w:hAnsi="Arial" w:cs="Arial"/>
                <w:bCs/>
              </w:rPr>
              <w:t xml:space="preserve"> </w:t>
            </w:r>
            <w:r w:rsidRPr="00391185">
              <w:rPr>
                <w:rFonts w:ascii="Arial" w:hAnsi="Arial" w:cs="Arial"/>
                <w:bCs/>
              </w:rPr>
              <w:t>kapitola III, obsahující články 15 až 29, se zrušuje;</w:t>
            </w:r>
          </w:p>
          <w:p w:rsidR="00D43528" w:rsidRPr="00391185" w:rsidRDefault="00D43528" w:rsidP="00391185">
            <w:pPr>
              <w:pStyle w:val="Bezmezer"/>
              <w:rPr>
                <w:rFonts w:ascii="Arial" w:hAnsi="Arial" w:cs="Arial"/>
                <w:bCs/>
              </w:rPr>
            </w:pPr>
          </w:p>
        </w:tc>
      </w:tr>
      <w:tr w:rsidR="00391185" w:rsidRPr="00F7690D" w:rsidTr="00485CFE">
        <w:tc>
          <w:tcPr>
            <w:tcW w:w="1550" w:type="dxa"/>
          </w:tcPr>
          <w:p w:rsidR="00391185" w:rsidRPr="00FD4BEB" w:rsidRDefault="00391185" w:rsidP="006B70BE">
            <w:pPr>
              <w:jc w:val="both"/>
              <w:rPr>
                <w:rFonts w:ascii="Arial" w:hAnsi="Arial" w:cs="Arial"/>
              </w:rPr>
            </w:pPr>
            <w:r w:rsidRPr="00FD4BEB">
              <w:rPr>
                <w:rFonts w:ascii="Arial" w:hAnsi="Arial" w:cs="Arial"/>
              </w:rPr>
              <w:t>Čl. I</w:t>
            </w:r>
            <w:r>
              <w:rPr>
                <w:rFonts w:ascii="Arial" w:hAnsi="Arial" w:cs="Arial"/>
              </w:rPr>
              <w:t xml:space="preserve"> b</w:t>
            </w:r>
            <w:r w:rsidRPr="00FD4BEB">
              <w:rPr>
                <w:rFonts w:ascii="Arial" w:hAnsi="Arial" w:cs="Arial"/>
              </w:rPr>
              <w:t xml:space="preserve">od </w:t>
            </w:r>
            <w:r>
              <w:rPr>
                <w:rFonts w:ascii="Arial" w:hAnsi="Arial" w:cs="Arial"/>
              </w:rPr>
              <w:t>4</w:t>
            </w:r>
            <w:r w:rsidR="006B70BE">
              <w:rPr>
                <w:rFonts w:ascii="Arial" w:hAnsi="Arial" w:cs="Arial"/>
              </w:rPr>
              <w:t>6 a 49</w:t>
            </w:r>
            <w:r w:rsidR="00D43528">
              <w:rPr>
                <w:rFonts w:ascii="Arial" w:hAnsi="Arial" w:cs="Arial"/>
              </w:rPr>
              <w:t xml:space="preserve"> </w:t>
            </w:r>
            <w:r w:rsidRPr="00FD4BEB">
              <w:rPr>
                <w:rFonts w:ascii="Arial" w:hAnsi="Arial" w:cs="Arial"/>
              </w:rPr>
              <w:t xml:space="preserve">§ </w:t>
            </w:r>
            <w:r>
              <w:rPr>
                <w:rFonts w:ascii="Arial" w:hAnsi="Arial" w:cs="Arial"/>
              </w:rPr>
              <w:t xml:space="preserve">86 </w:t>
            </w:r>
          </w:p>
        </w:tc>
        <w:tc>
          <w:tcPr>
            <w:tcW w:w="4871" w:type="dxa"/>
          </w:tcPr>
          <w:p w:rsidR="00D43528" w:rsidRDefault="00D43528" w:rsidP="00391185">
            <w:pPr>
              <w:ind w:firstLine="34"/>
              <w:jc w:val="both"/>
              <w:rPr>
                <w:rFonts w:ascii="Arial" w:eastAsia="Times New Roman" w:hAnsi="Arial" w:cs="Arial"/>
              </w:rPr>
            </w:pPr>
            <w:r>
              <w:rPr>
                <w:rFonts w:ascii="Arial" w:eastAsia="Times New Roman" w:hAnsi="Arial" w:cs="Arial"/>
              </w:rPr>
              <w:t>4</w:t>
            </w:r>
            <w:r w:rsidR="006B70BE">
              <w:rPr>
                <w:rFonts w:ascii="Arial" w:eastAsia="Times New Roman" w:hAnsi="Arial" w:cs="Arial"/>
              </w:rPr>
              <w:t xml:space="preserve">6. </w:t>
            </w:r>
            <w:r w:rsidR="006B70BE" w:rsidRPr="006B70BE">
              <w:rPr>
                <w:rFonts w:ascii="Arial" w:eastAsia="Times New Roman" w:hAnsi="Arial" w:cs="Arial"/>
              </w:rPr>
              <w:t xml:space="preserve">V § 86 odst. 1 se slova „do konce kalendářního roku, v němž proškolená osoba </w:t>
            </w:r>
            <w:r w:rsidR="006B70BE" w:rsidRPr="006B70BE">
              <w:rPr>
                <w:rFonts w:ascii="Arial" w:eastAsia="Times New Roman" w:hAnsi="Arial" w:cs="Arial"/>
              </w:rPr>
              <w:lastRenderedPageBreak/>
              <w:t>kurz absolvovala“ nahrazují slovy „po dobu 1 roku“ a věta osmá se nahrazuje větou „K poskytování znalostí v rámci tohoto kurzu je oprávněn držitel osvědčení druhého nebo třetího stupně.“.</w:t>
            </w:r>
          </w:p>
          <w:p w:rsidR="006B70BE" w:rsidRDefault="006B70BE" w:rsidP="00391185">
            <w:pPr>
              <w:ind w:firstLine="34"/>
              <w:jc w:val="both"/>
              <w:rPr>
                <w:rFonts w:ascii="Arial" w:eastAsia="Times New Roman" w:hAnsi="Arial" w:cs="Arial"/>
              </w:rPr>
            </w:pPr>
          </w:p>
          <w:p w:rsidR="00D43528" w:rsidRPr="00D43528" w:rsidRDefault="006B70BE" w:rsidP="00D43528">
            <w:pPr>
              <w:ind w:firstLine="34"/>
              <w:jc w:val="both"/>
              <w:rPr>
                <w:rFonts w:ascii="Arial" w:eastAsia="Times New Roman" w:hAnsi="Arial" w:cs="Arial"/>
              </w:rPr>
            </w:pPr>
            <w:r>
              <w:rPr>
                <w:rFonts w:ascii="Arial" w:eastAsia="Times New Roman" w:hAnsi="Arial" w:cs="Arial"/>
              </w:rPr>
              <w:t>49</w:t>
            </w:r>
            <w:r w:rsidR="00D43528">
              <w:rPr>
                <w:rFonts w:ascii="Arial" w:eastAsia="Times New Roman" w:hAnsi="Arial" w:cs="Arial"/>
              </w:rPr>
              <w:t xml:space="preserve">. </w:t>
            </w:r>
            <w:r w:rsidR="00D43528" w:rsidRPr="00D43528">
              <w:rPr>
                <w:rFonts w:ascii="Arial" w:eastAsia="Times New Roman" w:hAnsi="Arial" w:cs="Arial"/>
              </w:rPr>
              <w:t>V § 86 odstavec 4 zní:</w:t>
            </w:r>
          </w:p>
          <w:p w:rsidR="00D43528" w:rsidRPr="00D43528" w:rsidRDefault="00D43528" w:rsidP="00D43528">
            <w:pPr>
              <w:ind w:firstLine="34"/>
              <w:jc w:val="both"/>
              <w:rPr>
                <w:rFonts w:ascii="Arial" w:eastAsia="Times New Roman" w:hAnsi="Arial" w:cs="Arial"/>
                <w:sz w:val="8"/>
                <w:szCs w:val="8"/>
              </w:rPr>
            </w:pPr>
          </w:p>
          <w:p w:rsidR="00D43528" w:rsidRDefault="00D43528" w:rsidP="00D43528">
            <w:pPr>
              <w:ind w:firstLine="34"/>
              <w:jc w:val="both"/>
              <w:rPr>
                <w:rFonts w:ascii="Arial" w:eastAsia="Times New Roman" w:hAnsi="Arial" w:cs="Arial"/>
              </w:rPr>
            </w:pPr>
            <w:r w:rsidRPr="00D43528">
              <w:rPr>
                <w:rFonts w:ascii="Arial" w:eastAsia="Times New Roman" w:hAnsi="Arial" w:cs="Arial"/>
              </w:rPr>
              <w:t>„(4) Vzdělávací zařízení prodlouží platnost osvědčení druhého stupně a Ústav prodlouží platnost osvědčení třetího stupně o dalších 5 let od uplynutí data platnosti dosavadního osvědčení na základě žádosti držitele osvědčení podané před uplynutím doby jeho platnosti, pokud žadatel v posledních 12 měsících platnosti původního osvědčení splnil podmínky prodloužení platnosti osvědčení podle odstavce 2 nebo 3. Žádost o prodloužení platnosti osvědčení druhého stupně se podává vzdělávacímu zařízení. Žádost o prodloužení platnosti osvědčení třetího stupně se podává Ústavu přímo nebo prostřednictvím vzdělávacího zařízení, u kterého žadatel absolvoval doplňující školení; toto vzdělávací zařízení v takovém případě neprodleně postoupí žádost Ústavu spolu s dokladem o absolvování</w:t>
            </w:r>
            <w:r w:rsidR="006B70BE">
              <w:rPr>
                <w:rFonts w:ascii="Arial" w:eastAsia="Times New Roman" w:hAnsi="Arial" w:cs="Arial"/>
              </w:rPr>
              <w:t xml:space="preserve"> doplňujícího</w:t>
            </w:r>
            <w:r w:rsidRPr="00D43528">
              <w:rPr>
                <w:rFonts w:ascii="Arial" w:eastAsia="Times New Roman" w:hAnsi="Arial" w:cs="Arial"/>
              </w:rPr>
              <w:t xml:space="preserve"> školení.“.</w:t>
            </w:r>
          </w:p>
          <w:p w:rsidR="00D43528" w:rsidRPr="00D43528" w:rsidRDefault="00D43528" w:rsidP="00D43528">
            <w:pPr>
              <w:ind w:firstLine="34"/>
              <w:jc w:val="both"/>
              <w:rPr>
                <w:rFonts w:ascii="Arial" w:eastAsia="Times New Roman" w:hAnsi="Arial" w:cs="Arial"/>
                <w:b/>
                <w:bCs/>
              </w:rPr>
            </w:pPr>
          </w:p>
        </w:tc>
        <w:tc>
          <w:tcPr>
            <w:tcW w:w="1599" w:type="dxa"/>
          </w:tcPr>
          <w:p w:rsidR="00391185" w:rsidRPr="00845EF3" w:rsidRDefault="00391185" w:rsidP="00391185">
            <w:pPr>
              <w:jc w:val="both"/>
              <w:rPr>
                <w:rFonts w:ascii="Arial" w:hAnsi="Arial" w:cs="Arial"/>
              </w:rPr>
            </w:pPr>
            <w:r w:rsidRPr="00E86695">
              <w:rPr>
                <w:rFonts w:ascii="Arial" w:hAnsi="Arial" w:cs="Arial"/>
              </w:rPr>
              <w:lastRenderedPageBreak/>
              <w:t>32009L0128</w:t>
            </w:r>
          </w:p>
          <w:p w:rsidR="00391185" w:rsidRPr="00B34AD6" w:rsidRDefault="00391185" w:rsidP="00E86695">
            <w:pPr>
              <w:jc w:val="both"/>
              <w:rPr>
                <w:rFonts w:ascii="Arial" w:hAnsi="Arial" w:cs="Arial"/>
              </w:rPr>
            </w:pPr>
          </w:p>
        </w:tc>
        <w:tc>
          <w:tcPr>
            <w:tcW w:w="1464" w:type="dxa"/>
          </w:tcPr>
          <w:p w:rsidR="00391185" w:rsidRPr="00C57228" w:rsidRDefault="00391185" w:rsidP="00E86695">
            <w:pPr>
              <w:jc w:val="both"/>
              <w:rPr>
                <w:rFonts w:ascii="Arial" w:hAnsi="Arial" w:cs="Arial"/>
              </w:rPr>
            </w:pPr>
            <w:r>
              <w:rPr>
                <w:rFonts w:ascii="Arial" w:hAnsi="Arial" w:cs="Arial"/>
              </w:rPr>
              <w:t>Článek 5 odst. 1 a 2</w:t>
            </w:r>
          </w:p>
        </w:tc>
        <w:tc>
          <w:tcPr>
            <w:tcW w:w="4510" w:type="dxa"/>
          </w:tcPr>
          <w:p w:rsidR="00391185" w:rsidRPr="00391185" w:rsidRDefault="00391185" w:rsidP="00141F05">
            <w:pPr>
              <w:pStyle w:val="Bezmezer"/>
              <w:jc w:val="both"/>
              <w:rPr>
                <w:rFonts w:ascii="Arial" w:hAnsi="Arial" w:cs="Arial"/>
                <w:b/>
                <w:bCs/>
              </w:rPr>
            </w:pPr>
            <w:r w:rsidRPr="00391185">
              <w:rPr>
                <w:rFonts w:ascii="Arial" w:hAnsi="Arial" w:cs="Arial"/>
                <w:b/>
                <w:bCs/>
              </w:rPr>
              <w:t>Odborná příprava</w:t>
            </w:r>
          </w:p>
          <w:p w:rsidR="00391185" w:rsidRPr="00391185" w:rsidRDefault="00391185" w:rsidP="00141F05">
            <w:pPr>
              <w:pStyle w:val="Bezmezer"/>
              <w:jc w:val="both"/>
              <w:rPr>
                <w:rFonts w:ascii="Arial" w:hAnsi="Arial" w:cs="Arial"/>
                <w:sz w:val="8"/>
                <w:szCs w:val="8"/>
              </w:rPr>
            </w:pPr>
          </w:p>
          <w:p w:rsidR="00391185" w:rsidRPr="00391185" w:rsidRDefault="00391185" w:rsidP="00141F05">
            <w:pPr>
              <w:pStyle w:val="Bezmezer"/>
              <w:jc w:val="both"/>
              <w:rPr>
                <w:rFonts w:ascii="Arial" w:hAnsi="Arial" w:cs="Arial"/>
              </w:rPr>
            </w:pPr>
            <w:r w:rsidRPr="00391185">
              <w:rPr>
                <w:rFonts w:ascii="Arial" w:hAnsi="Arial" w:cs="Arial"/>
              </w:rPr>
              <w:lastRenderedPageBreak/>
              <w:t>1.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rsidR="00391185" w:rsidRPr="00D25345" w:rsidRDefault="00391185" w:rsidP="00141F05">
            <w:pPr>
              <w:pStyle w:val="Bezmezer"/>
              <w:jc w:val="both"/>
              <w:rPr>
                <w:rFonts w:ascii="Arial" w:hAnsi="Arial" w:cs="Arial"/>
                <w:sz w:val="8"/>
                <w:szCs w:val="8"/>
              </w:rPr>
            </w:pPr>
          </w:p>
          <w:p w:rsidR="00391185" w:rsidRPr="00391185" w:rsidRDefault="00391185" w:rsidP="00141F05">
            <w:pPr>
              <w:pStyle w:val="Bezmezer"/>
              <w:jc w:val="both"/>
              <w:rPr>
                <w:rFonts w:ascii="Arial" w:hAnsi="Arial" w:cs="Arial"/>
              </w:rPr>
            </w:pPr>
            <w:r w:rsidRPr="00391185">
              <w:rPr>
                <w:rFonts w:ascii="Arial" w:hAnsi="Arial" w:cs="Arial"/>
              </w:rPr>
              <w:t>Odborná příprava je uspořádána tak, aby bylo zajištěno, že tito uživatelé, distributoři a poradci získají dostatečné znalosti o tématech uvedených v příloze I, a to s přihlédnutím k jejich rozdílným úlohám a povinnostem.</w:t>
            </w:r>
          </w:p>
          <w:p w:rsidR="00391185" w:rsidRPr="00D25345" w:rsidRDefault="00391185" w:rsidP="00141F05">
            <w:pPr>
              <w:pStyle w:val="Bezmezer"/>
              <w:jc w:val="both"/>
              <w:rPr>
                <w:rFonts w:ascii="Arial" w:hAnsi="Arial" w:cs="Arial"/>
                <w:sz w:val="8"/>
                <w:szCs w:val="8"/>
              </w:rPr>
            </w:pPr>
          </w:p>
          <w:p w:rsidR="00391185" w:rsidRPr="00391185" w:rsidRDefault="00391185" w:rsidP="00141F05">
            <w:pPr>
              <w:pStyle w:val="Bezmezer"/>
              <w:jc w:val="both"/>
              <w:rPr>
                <w:rFonts w:ascii="Arial" w:hAnsi="Arial" w:cs="Arial"/>
              </w:rPr>
            </w:pPr>
            <w:r w:rsidRPr="00391185">
              <w:rPr>
                <w:rFonts w:ascii="Arial" w:hAnsi="Arial" w:cs="Arial"/>
              </w:rPr>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 způsobem.</w:t>
            </w:r>
          </w:p>
          <w:p w:rsidR="00391185" w:rsidRPr="00D25345" w:rsidRDefault="00391185" w:rsidP="00141F05">
            <w:pPr>
              <w:pStyle w:val="Bezmezer"/>
              <w:jc w:val="both"/>
              <w:rPr>
                <w:rFonts w:ascii="Arial" w:hAnsi="Arial" w:cs="Arial"/>
                <w:sz w:val="8"/>
                <w:szCs w:val="8"/>
              </w:rPr>
            </w:pPr>
          </w:p>
          <w:p w:rsidR="00391185" w:rsidRPr="00391185" w:rsidRDefault="00391185" w:rsidP="00141F05">
            <w:pPr>
              <w:pStyle w:val="Bezmezer"/>
              <w:jc w:val="both"/>
              <w:rPr>
                <w:rFonts w:ascii="Arial" w:hAnsi="Arial" w:cs="Arial"/>
                <w:b/>
                <w:bCs/>
              </w:rPr>
            </w:pPr>
            <w:r w:rsidRPr="00391185">
              <w:rPr>
                <w:rFonts w:ascii="Arial" w:hAnsi="Arial" w:cs="Arial"/>
              </w:rPr>
              <w:t>Systémy osvědčování zahrnují podmínky a postupy týkající se udělení, obnovy a zrušení osvědčení.</w:t>
            </w:r>
          </w:p>
        </w:tc>
      </w:tr>
      <w:tr w:rsidR="00D43528" w:rsidRPr="00F7690D" w:rsidTr="00485CFE">
        <w:tc>
          <w:tcPr>
            <w:tcW w:w="1550" w:type="dxa"/>
          </w:tcPr>
          <w:p w:rsidR="00D43528" w:rsidRPr="00FD4BEB" w:rsidRDefault="00D43528" w:rsidP="006B70BE">
            <w:pPr>
              <w:jc w:val="both"/>
              <w:rPr>
                <w:rFonts w:ascii="Arial" w:hAnsi="Arial" w:cs="Arial"/>
              </w:rPr>
            </w:pPr>
            <w:r w:rsidRPr="00FD4BEB">
              <w:rPr>
                <w:rFonts w:ascii="Arial" w:hAnsi="Arial" w:cs="Arial"/>
              </w:rPr>
              <w:t>Čl. I</w:t>
            </w:r>
            <w:r>
              <w:rPr>
                <w:rFonts w:ascii="Arial" w:hAnsi="Arial" w:cs="Arial"/>
              </w:rPr>
              <w:t xml:space="preserve"> b</w:t>
            </w:r>
            <w:r w:rsidRPr="00FD4BEB">
              <w:rPr>
                <w:rFonts w:ascii="Arial" w:hAnsi="Arial" w:cs="Arial"/>
              </w:rPr>
              <w:t xml:space="preserve">od </w:t>
            </w:r>
            <w:r>
              <w:rPr>
                <w:rFonts w:ascii="Arial" w:hAnsi="Arial" w:cs="Arial"/>
              </w:rPr>
              <w:t>5</w:t>
            </w:r>
            <w:r w:rsidR="006B70BE">
              <w:rPr>
                <w:rFonts w:ascii="Arial" w:hAnsi="Arial" w:cs="Arial"/>
              </w:rPr>
              <w:t>4</w:t>
            </w:r>
            <w:r>
              <w:rPr>
                <w:rFonts w:ascii="Arial" w:hAnsi="Arial" w:cs="Arial"/>
              </w:rPr>
              <w:t xml:space="preserve"> </w:t>
            </w:r>
            <w:r w:rsidRPr="00FD4BEB">
              <w:rPr>
                <w:rFonts w:ascii="Arial" w:hAnsi="Arial" w:cs="Arial"/>
              </w:rPr>
              <w:t xml:space="preserve">§ </w:t>
            </w:r>
            <w:r>
              <w:rPr>
                <w:rFonts w:ascii="Arial" w:hAnsi="Arial" w:cs="Arial"/>
              </w:rPr>
              <w:t xml:space="preserve">86b odst. 1 </w:t>
            </w:r>
          </w:p>
        </w:tc>
        <w:tc>
          <w:tcPr>
            <w:tcW w:w="4871" w:type="dxa"/>
          </w:tcPr>
          <w:p w:rsidR="00D43528" w:rsidRPr="00D43528" w:rsidRDefault="00D43528" w:rsidP="00D43528">
            <w:pPr>
              <w:ind w:firstLine="34"/>
              <w:jc w:val="both"/>
              <w:rPr>
                <w:rFonts w:ascii="Arial" w:eastAsia="Times New Roman" w:hAnsi="Arial" w:cs="Arial"/>
              </w:rPr>
            </w:pPr>
            <w:r>
              <w:rPr>
                <w:rFonts w:ascii="Arial" w:eastAsia="Times New Roman" w:hAnsi="Arial" w:cs="Arial"/>
              </w:rPr>
              <w:t xml:space="preserve">55. </w:t>
            </w:r>
            <w:r w:rsidRPr="00D43528">
              <w:rPr>
                <w:rFonts w:ascii="Arial" w:eastAsia="Times New Roman" w:hAnsi="Arial" w:cs="Arial"/>
              </w:rPr>
              <w:t>V § 86b odstavec 1 zní:</w:t>
            </w:r>
          </w:p>
          <w:p w:rsidR="00D43528" w:rsidRPr="00D43528" w:rsidRDefault="00D43528" w:rsidP="00D43528">
            <w:pPr>
              <w:ind w:firstLine="34"/>
              <w:jc w:val="both"/>
              <w:rPr>
                <w:rFonts w:ascii="Arial" w:eastAsia="Times New Roman" w:hAnsi="Arial" w:cs="Arial"/>
                <w:sz w:val="8"/>
                <w:szCs w:val="8"/>
              </w:rPr>
            </w:pPr>
          </w:p>
          <w:p w:rsidR="00D43528" w:rsidRDefault="00D43528" w:rsidP="00D43528">
            <w:pPr>
              <w:ind w:firstLine="34"/>
              <w:jc w:val="both"/>
              <w:rPr>
                <w:rFonts w:ascii="Arial" w:eastAsia="Times New Roman" w:hAnsi="Arial" w:cs="Arial"/>
              </w:rPr>
            </w:pPr>
            <w:r w:rsidRPr="00D43528">
              <w:rPr>
                <w:rFonts w:ascii="Arial" w:eastAsia="Times New Roman" w:hAnsi="Arial" w:cs="Arial"/>
              </w:rPr>
              <w:t>„(1) Vzdělávací zařízení zajišťuj</w:t>
            </w:r>
            <w:r w:rsidR="006B70BE">
              <w:rPr>
                <w:rFonts w:ascii="Arial" w:eastAsia="Times New Roman" w:hAnsi="Arial" w:cs="Arial"/>
              </w:rPr>
              <w:t>e</w:t>
            </w:r>
            <w:r w:rsidRPr="00D43528">
              <w:rPr>
                <w:rFonts w:ascii="Arial" w:eastAsia="Times New Roman" w:hAnsi="Arial" w:cs="Arial"/>
              </w:rPr>
              <w:t xml:space="preserve"> po dohodě s Ústavem a místně příslušnými orgány ochrany veřejného zdraví</w:t>
            </w:r>
            <w:r w:rsidRPr="00B758F8">
              <w:rPr>
                <w:rFonts w:ascii="Arial" w:eastAsia="Times New Roman" w:hAnsi="Arial" w:cs="Arial"/>
                <w:vertAlign w:val="superscript"/>
              </w:rPr>
              <w:t>23a)</w:t>
            </w:r>
            <w:r w:rsidRPr="00D43528">
              <w:rPr>
                <w:rFonts w:ascii="Arial" w:eastAsia="Times New Roman" w:hAnsi="Arial" w:cs="Arial"/>
              </w:rPr>
              <w:t xml:space="preserve"> konání zkoušek stanovených pro získání osvě</w:t>
            </w:r>
            <w:r w:rsidR="006B70BE">
              <w:rPr>
                <w:rFonts w:ascii="Arial" w:eastAsia="Times New Roman" w:hAnsi="Arial" w:cs="Arial"/>
              </w:rPr>
              <w:t>dčení druhého stupně a vyhlašuje</w:t>
            </w:r>
            <w:r w:rsidRPr="00D43528">
              <w:rPr>
                <w:rFonts w:ascii="Arial" w:eastAsia="Times New Roman" w:hAnsi="Arial" w:cs="Arial"/>
              </w:rPr>
              <w:t xml:space="preserve"> termíny pro jejich konání, a to nejméně 6 měsíců přede dnem jejich konání. Ústav zajišťuje po dohodě s místně příslušnými </w:t>
            </w:r>
            <w:r w:rsidRPr="00D43528">
              <w:rPr>
                <w:rFonts w:ascii="Arial" w:eastAsia="Times New Roman" w:hAnsi="Arial" w:cs="Arial"/>
              </w:rPr>
              <w:lastRenderedPageBreak/>
              <w:t>orgány ochrany veřejného zdraví</w:t>
            </w:r>
            <w:r w:rsidRPr="00B758F8">
              <w:rPr>
                <w:rFonts w:ascii="Arial" w:eastAsia="Times New Roman" w:hAnsi="Arial" w:cs="Arial"/>
                <w:vertAlign w:val="superscript"/>
              </w:rPr>
              <w:t xml:space="preserve">23a) </w:t>
            </w:r>
            <w:r w:rsidRPr="00D43528">
              <w:rPr>
                <w:rFonts w:ascii="Arial" w:eastAsia="Times New Roman" w:hAnsi="Arial" w:cs="Arial"/>
              </w:rPr>
              <w:t>konání zkoušek stanovených pro získání osvědčení třetího stupně a vyhlašuje termíny pro jejich konání, a to nejméně 6 měsíců přede dnem jejich konání.“.</w:t>
            </w:r>
          </w:p>
          <w:p w:rsidR="00B758F8" w:rsidRDefault="00B758F8" w:rsidP="00D43528">
            <w:pPr>
              <w:ind w:firstLine="34"/>
              <w:jc w:val="both"/>
              <w:rPr>
                <w:rFonts w:ascii="Arial" w:eastAsia="Times New Roman" w:hAnsi="Arial" w:cs="Arial"/>
              </w:rPr>
            </w:pPr>
          </w:p>
          <w:p w:rsidR="00B758F8" w:rsidRPr="00B34AD6" w:rsidRDefault="00B758F8" w:rsidP="00B758F8">
            <w:pPr>
              <w:ind w:firstLine="34"/>
              <w:jc w:val="both"/>
              <w:rPr>
                <w:rFonts w:ascii="Arial" w:eastAsia="Times New Roman" w:hAnsi="Arial" w:cs="Arial"/>
              </w:rPr>
            </w:pPr>
          </w:p>
        </w:tc>
        <w:tc>
          <w:tcPr>
            <w:tcW w:w="1599" w:type="dxa"/>
          </w:tcPr>
          <w:p w:rsidR="00D43528" w:rsidRDefault="00D43528" w:rsidP="00D43528">
            <w:pPr>
              <w:jc w:val="both"/>
              <w:rPr>
                <w:rFonts w:ascii="Arial" w:hAnsi="Arial" w:cs="Arial"/>
              </w:rPr>
            </w:pPr>
            <w:r w:rsidRPr="00E86695">
              <w:rPr>
                <w:rFonts w:ascii="Arial" w:hAnsi="Arial" w:cs="Arial"/>
              </w:rPr>
              <w:lastRenderedPageBreak/>
              <w:t>32009L0128</w:t>
            </w: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43528" w:rsidRPr="00B34AD6" w:rsidRDefault="00D43528" w:rsidP="00D131A9">
            <w:pPr>
              <w:jc w:val="both"/>
              <w:rPr>
                <w:rFonts w:ascii="Arial" w:hAnsi="Arial" w:cs="Arial"/>
              </w:rPr>
            </w:pPr>
          </w:p>
        </w:tc>
        <w:tc>
          <w:tcPr>
            <w:tcW w:w="1464" w:type="dxa"/>
          </w:tcPr>
          <w:p w:rsidR="00D43528" w:rsidRDefault="00D43528" w:rsidP="00D43528">
            <w:pPr>
              <w:jc w:val="both"/>
              <w:rPr>
                <w:rFonts w:ascii="Arial" w:hAnsi="Arial" w:cs="Arial"/>
              </w:rPr>
            </w:pPr>
            <w:r>
              <w:rPr>
                <w:rFonts w:ascii="Arial" w:hAnsi="Arial" w:cs="Arial"/>
              </w:rPr>
              <w:lastRenderedPageBreak/>
              <w:t>Článek 5 odst. 1 a 2</w:t>
            </w: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Default="00D131A9" w:rsidP="00D43528">
            <w:pPr>
              <w:jc w:val="both"/>
              <w:rPr>
                <w:rFonts w:ascii="Arial" w:hAnsi="Arial" w:cs="Arial"/>
              </w:rPr>
            </w:pPr>
          </w:p>
          <w:p w:rsidR="00D131A9" w:rsidRPr="00C57228" w:rsidRDefault="00D131A9" w:rsidP="00D131A9">
            <w:pPr>
              <w:jc w:val="both"/>
              <w:rPr>
                <w:rFonts w:ascii="Arial" w:hAnsi="Arial" w:cs="Arial"/>
              </w:rPr>
            </w:pPr>
          </w:p>
        </w:tc>
        <w:tc>
          <w:tcPr>
            <w:tcW w:w="4510" w:type="dxa"/>
          </w:tcPr>
          <w:p w:rsidR="00D43528" w:rsidRPr="00391185" w:rsidRDefault="00D43528" w:rsidP="00141F05">
            <w:pPr>
              <w:pStyle w:val="Bezmezer"/>
              <w:jc w:val="both"/>
              <w:rPr>
                <w:rFonts w:ascii="Arial" w:hAnsi="Arial" w:cs="Arial"/>
                <w:b/>
                <w:bCs/>
              </w:rPr>
            </w:pPr>
            <w:r w:rsidRPr="00391185">
              <w:rPr>
                <w:rFonts w:ascii="Arial" w:hAnsi="Arial" w:cs="Arial"/>
                <w:b/>
                <w:bCs/>
              </w:rPr>
              <w:lastRenderedPageBreak/>
              <w:t>Odborná příprava</w:t>
            </w:r>
          </w:p>
          <w:p w:rsidR="00D43528" w:rsidRPr="00391185" w:rsidRDefault="00D43528" w:rsidP="00141F05">
            <w:pPr>
              <w:pStyle w:val="Bezmezer"/>
              <w:jc w:val="both"/>
              <w:rPr>
                <w:rFonts w:ascii="Arial" w:hAnsi="Arial" w:cs="Arial"/>
                <w:sz w:val="8"/>
                <w:szCs w:val="8"/>
              </w:rPr>
            </w:pPr>
          </w:p>
          <w:p w:rsidR="00D43528" w:rsidRPr="00391185" w:rsidRDefault="00D43528" w:rsidP="00141F05">
            <w:pPr>
              <w:pStyle w:val="Bezmezer"/>
              <w:jc w:val="both"/>
              <w:rPr>
                <w:rFonts w:ascii="Arial" w:hAnsi="Arial" w:cs="Arial"/>
              </w:rPr>
            </w:pPr>
            <w:r w:rsidRPr="00391185">
              <w:rPr>
                <w:rFonts w:ascii="Arial" w:hAnsi="Arial" w:cs="Arial"/>
              </w:rPr>
              <w:t>1.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rsidR="00D43528" w:rsidRPr="00D25345" w:rsidRDefault="00D43528" w:rsidP="00141F05">
            <w:pPr>
              <w:pStyle w:val="Bezmezer"/>
              <w:jc w:val="both"/>
              <w:rPr>
                <w:rFonts w:ascii="Arial" w:hAnsi="Arial" w:cs="Arial"/>
                <w:sz w:val="8"/>
                <w:szCs w:val="8"/>
              </w:rPr>
            </w:pPr>
          </w:p>
          <w:p w:rsidR="00D43528" w:rsidRPr="00391185" w:rsidRDefault="00D43528" w:rsidP="00141F05">
            <w:pPr>
              <w:pStyle w:val="Bezmezer"/>
              <w:jc w:val="both"/>
              <w:rPr>
                <w:rFonts w:ascii="Arial" w:hAnsi="Arial" w:cs="Arial"/>
              </w:rPr>
            </w:pPr>
            <w:r w:rsidRPr="00391185">
              <w:rPr>
                <w:rFonts w:ascii="Arial" w:hAnsi="Arial" w:cs="Arial"/>
              </w:rPr>
              <w:t>Odborná příprava je uspořádána tak, aby bylo zajištěno, že tito uživatelé, distributoři a poradci získají dostatečné znalosti o tématech uvedených v příloze I, a to s přihlédnutím k jejich rozdílným úlohám a povinnostem.</w:t>
            </w:r>
          </w:p>
          <w:p w:rsidR="00D43528" w:rsidRPr="00D25345" w:rsidRDefault="00D43528" w:rsidP="00141F05">
            <w:pPr>
              <w:pStyle w:val="Bezmezer"/>
              <w:jc w:val="both"/>
              <w:rPr>
                <w:rFonts w:ascii="Arial" w:hAnsi="Arial" w:cs="Arial"/>
                <w:sz w:val="8"/>
                <w:szCs w:val="8"/>
              </w:rPr>
            </w:pPr>
          </w:p>
          <w:p w:rsidR="00D43528" w:rsidRPr="00391185" w:rsidRDefault="00D43528" w:rsidP="00141F05">
            <w:pPr>
              <w:pStyle w:val="Bezmezer"/>
              <w:jc w:val="both"/>
              <w:rPr>
                <w:rFonts w:ascii="Arial" w:hAnsi="Arial" w:cs="Arial"/>
              </w:rPr>
            </w:pPr>
            <w:r w:rsidRPr="00391185">
              <w:rPr>
                <w:rFonts w:ascii="Arial" w:hAnsi="Arial" w:cs="Arial"/>
              </w:rPr>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 způsobem.</w:t>
            </w:r>
          </w:p>
          <w:p w:rsidR="00D43528" w:rsidRPr="00D25345" w:rsidRDefault="00D43528" w:rsidP="00141F05">
            <w:pPr>
              <w:pStyle w:val="Bezmezer"/>
              <w:jc w:val="both"/>
              <w:rPr>
                <w:rFonts w:ascii="Arial" w:hAnsi="Arial" w:cs="Arial"/>
                <w:sz w:val="8"/>
                <w:szCs w:val="8"/>
              </w:rPr>
            </w:pPr>
          </w:p>
          <w:p w:rsidR="00D131A9" w:rsidRDefault="00D43528" w:rsidP="00141F05">
            <w:pPr>
              <w:pStyle w:val="Bezmezer"/>
              <w:jc w:val="both"/>
              <w:rPr>
                <w:rFonts w:ascii="Arial" w:hAnsi="Arial" w:cs="Arial"/>
              </w:rPr>
            </w:pPr>
            <w:r w:rsidRPr="00391185">
              <w:rPr>
                <w:rFonts w:ascii="Arial" w:hAnsi="Arial" w:cs="Arial"/>
              </w:rPr>
              <w:t>Systémy osvědčování zahrnují podmínky a postupy týkající se udělení, obnovy a zrušení osvědčení.</w:t>
            </w:r>
          </w:p>
          <w:p w:rsidR="00B758F8" w:rsidRPr="00391185" w:rsidRDefault="00B758F8" w:rsidP="00D131A9">
            <w:pPr>
              <w:pStyle w:val="Bezmezer"/>
              <w:rPr>
                <w:rFonts w:ascii="Arial" w:hAnsi="Arial" w:cs="Arial"/>
                <w:b/>
                <w:bCs/>
              </w:rPr>
            </w:pPr>
          </w:p>
        </w:tc>
      </w:tr>
      <w:tr w:rsidR="00D131A9" w:rsidRPr="00F7690D" w:rsidTr="00485CFE">
        <w:tc>
          <w:tcPr>
            <w:tcW w:w="1550" w:type="dxa"/>
          </w:tcPr>
          <w:p w:rsidR="00D131A9" w:rsidRPr="00FD4BEB" w:rsidRDefault="00D131A9" w:rsidP="006B70BE">
            <w:pPr>
              <w:jc w:val="both"/>
              <w:rPr>
                <w:rFonts w:ascii="Arial" w:hAnsi="Arial" w:cs="Arial"/>
              </w:rPr>
            </w:pPr>
            <w:r w:rsidRPr="00FD4BEB">
              <w:rPr>
                <w:rFonts w:ascii="Arial" w:hAnsi="Arial" w:cs="Arial"/>
              </w:rPr>
              <w:t>Čl. I</w:t>
            </w:r>
            <w:r>
              <w:rPr>
                <w:rFonts w:ascii="Arial" w:hAnsi="Arial" w:cs="Arial"/>
              </w:rPr>
              <w:t xml:space="preserve"> b</w:t>
            </w:r>
            <w:r w:rsidRPr="00FD4BEB">
              <w:rPr>
                <w:rFonts w:ascii="Arial" w:hAnsi="Arial" w:cs="Arial"/>
              </w:rPr>
              <w:t>od</w:t>
            </w:r>
            <w:r>
              <w:rPr>
                <w:rFonts w:ascii="Arial" w:hAnsi="Arial" w:cs="Arial"/>
              </w:rPr>
              <w:t xml:space="preserve"> 5</w:t>
            </w:r>
            <w:r w:rsidR="006B70BE">
              <w:rPr>
                <w:rFonts w:ascii="Arial" w:hAnsi="Arial" w:cs="Arial"/>
              </w:rPr>
              <w:t>6</w:t>
            </w:r>
            <w:r>
              <w:rPr>
                <w:rFonts w:ascii="Arial" w:hAnsi="Arial" w:cs="Arial"/>
              </w:rPr>
              <w:t xml:space="preserve"> </w:t>
            </w:r>
            <w:r w:rsidRPr="00FD4BEB">
              <w:rPr>
                <w:rFonts w:ascii="Arial" w:hAnsi="Arial" w:cs="Arial"/>
              </w:rPr>
              <w:t>§</w:t>
            </w:r>
            <w:r>
              <w:rPr>
                <w:rFonts w:ascii="Arial" w:hAnsi="Arial" w:cs="Arial"/>
              </w:rPr>
              <w:t> 86b odst. 2</w:t>
            </w:r>
          </w:p>
        </w:tc>
        <w:tc>
          <w:tcPr>
            <w:tcW w:w="4871" w:type="dxa"/>
          </w:tcPr>
          <w:p w:rsidR="00D131A9" w:rsidRPr="00B758F8" w:rsidRDefault="00D131A9" w:rsidP="00141F05">
            <w:pPr>
              <w:ind w:firstLine="34"/>
              <w:jc w:val="both"/>
              <w:rPr>
                <w:rFonts w:ascii="Arial" w:eastAsia="Times New Roman" w:hAnsi="Arial" w:cs="Arial"/>
              </w:rPr>
            </w:pPr>
            <w:r>
              <w:rPr>
                <w:rFonts w:ascii="Arial" w:eastAsia="Times New Roman" w:hAnsi="Arial" w:cs="Arial"/>
              </w:rPr>
              <w:t xml:space="preserve">56. </w:t>
            </w:r>
            <w:r w:rsidRPr="00B758F8">
              <w:rPr>
                <w:rFonts w:ascii="Arial" w:eastAsia="Times New Roman" w:hAnsi="Arial" w:cs="Arial"/>
              </w:rPr>
              <w:t>V § 86b se doplňuje odstavec 4, který zní:</w:t>
            </w:r>
          </w:p>
          <w:p w:rsidR="00D131A9" w:rsidRPr="00B758F8" w:rsidRDefault="00D131A9" w:rsidP="00141F05">
            <w:pPr>
              <w:ind w:firstLine="34"/>
              <w:jc w:val="both"/>
              <w:rPr>
                <w:rFonts w:ascii="Arial" w:eastAsia="Times New Roman" w:hAnsi="Arial" w:cs="Arial"/>
                <w:sz w:val="8"/>
                <w:szCs w:val="8"/>
              </w:rPr>
            </w:pPr>
          </w:p>
          <w:p w:rsidR="00D131A9" w:rsidRDefault="00D131A9" w:rsidP="00141F05">
            <w:pPr>
              <w:ind w:firstLine="34"/>
              <w:jc w:val="both"/>
              <w:rPr>
                <w:rFonts w:ascii="Arial" w:eastAsia="Times New Roman" w:hAnsi="Arial" w:cs="Arial"/>
              </w:rPr>
            </w:pPr>
            <w:r w:rsidRPr="00B758F8">
              <w:rPr>
                <w:rFonts w:ascii="Arial" w:eastAsia="Times New Roman" w:hAnsi="Arial" w:cs="Arial"/>
              </w:rPr>
              <w:t>„(4) Ústav vede evidenci o osvědčeních o odborné způsobilosti pro nakládání s přípravky.“.</w:t>
            </w:r>
          </w:p>
        </w:tc>
        <w:tc>
          <w:tcPr>
            <w:tcW w:w="1599" w:type="dxa"/>
          </w:tcPr>
          <w:p w:rsidR="00D131A9" w:rsidRDefault="00D131A9" w:rsidP="00D131A9">
            <w:pPr>
              <w:jc w:val="both"/>
              <w:rPr>
                <w:rFonts w:ascii="Arial" w:hAnsi="Arial" w:cs="Arial"/>
              </w:rPr>
            </w:pPr>
            <w:r w:rsidRPr="00E86695">
              <w:rPr>
                <w:rFonts w:ascii="Arial" w:hAnsi="Arial" w:cs="Arial"/>
              </w:rPr>
              <w:t>32009L0128</w:t>
            </w: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Pr="00845EF3" w:rsidRDefault="002D5535" w:rsidP="00D131A9">
            <w:pPr>
              <w:jc w:val="both"/>
              <w:rPr>
                <w:rFonts w:ascii="Arial" w:hAnsi="Arial" w:cs="Arial"/>
              </w:rPr>
            </w:pPr>
            <w:bookmarkStart w:id="1" w:name="_Hlk55222761"/>
            <w:r>
              <w:rPr>
                <w:rFonts w:ascii="Arial" w:hAnsi="Arial" w:cs="Arial"/>
              </w:rPr>
              <w:t>3</w:t>
            </w:r>
            <w:r w:rsidR="00D131A9" w:rsidRPr="00D131A9">
              <w:rPr>
                <w:rFonts w:ascii="Arial" w:hAnsi="Arial" w:cs="Arial"/>
              </w:rPr>
              <w:t>2017R0625</w:t>
            </w:r>
          </w:p>
          <w:bookmarkEnd w:id="1"/>
          <w:p w:rsidR="00D131A9" w:rsidRPr="00E86695" w:rsidRDefault="00D131A9" w:rsidP="00D43528">
            <w:pPr>
              <w:jc w:val="both"/>
              <w:rPr>
                <w:rFonts w:ascii="Arial" w:hAnsi="Arial" w:cs="Arial"/>
              </w:rPr>
            </w:pPr>
          </w:p>
        </w:tc>
        <w:tc>
          <w:tcPr>
            <w:tcW w:w="1464" w:type="dxa"/>
          </w:tcPr>
          <w:p w:rsidR="00D131A9" w:rsidRDefault="00D131A9" w:rsidP="00D131A9">
            <w:pPr>
              <w:jc w:val="both"/>
              <w:rPr>
                <w:rFonts w:ascii="Arial" w:hAnsi="Arial" w:cs="Arial"/>
              </w:rPr>
            </w:pPr>
            <w:r>
              <w:rPr>
                <w:rFonts w:ascii="Arial" w:hAnsi="Arial" w:cs="Arial"/>
              </w:rPr>
              <w:lastRenderedPageBreak/>
              <w:t>Článek 5 odst. 1 a 2</w:t>
            </w: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p>
          <w:p w:rsidR="00D131A9" w:rsidRDefault="00D131A9" w:rsidP="00D131A9">
            <w:pPr>
              <w:jc w:val="both"/>
              <w:rPr>
                <w:rFonts w:ascii="Arial" w:hAnsi="Arial" w:cs="Arial"/>
              </w:rPr>
            </w:pPr>
            <w:r>
              <w:rPr>
                <w:rFonts w:ascii="Arial" w:hAnsi="Arial" w:cs="Arial"/>
              </w:rPr>
              <w:t>Článek 10 odst. 2</w:t>
            </w:r>
          </w:p>
        </w:tc>
        <w:tc>
          <w:tcPr>
            <w:tcW w:w="4510" w:type="dxa"/>
          </w:tcPr>
          <w:p w:rsidR="00D131A9" w:rsidRPr="00391185" w:rsidRDefault="00D131A9" w:rsidP="00141F05">
            <w:pPr>
              <w:pStyle w:val="Bezmezer"/>
              <w:jc w:val="both"/>
              <w:rPr>
                <w:rFonts w:ascii="Arial" w:hAnsi="Arial" w:cs="Arial"/>
                <w:b/>
                <w:bCs/>
              </w:rPr>
            </w:pPr>
            <w:r w:rsidRPr="00391185">
              <w:rPr>
                <w:rFonts w:ascii="Arial" w:hAnsi="Arial" w:cs="Arial"/>
                <w:b/>
                <w:bCs/>
              </w:rPr>
              <w:lastRenderedPageBreak/>
              <w:t>Odborná příprava</w:t>
            </w:r>
          </w:p>
          <w:p w:rsidR="00D131A9" w:rsidRPr="00391185" w:rsidRDefault="00D131A9" w:rsidP="00141F05">
            <w:pPr>
              <w:pStyle w:val="Bezmezer"/>
              <w:jc w:val="both"/>
              <w:rPr>
                <w:rFonts w:ascii="Arial" w:hAnsi="Arial" w:cs="Arial"/>
                <w:sz w:val="8"/>
                <w:szCs w:val="8"/>
              </w:rPr>
            </w:pPr>
          </w:p>
          <w:p w:rsidR="00D131A9" w:rsidRPr="00391185" w:rsidRDefault="00D131A9" w:rsidP="00141F05">
            <w:pPr>
              <w:pStyle w:val="Bezmezer"/>
              <w:jc w:val="both"/>
              <w:rPr>
                <w:rFonts w:ascii="Arial" w:hAnsi="Arial" w:cs="Arial"/>
              </w:rPr>
            </w:pPr>
            <w:r w:rsidRPr="00391185">
              <w:rPr>
                <w:rFonts w:ascii="Arial" w:hAnsi="Arial" w:cs="Arial"/>
              </w:rPr>
              <w:t>1.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rsidR="00D131A9" w:rsidRPr="00D25345" w:rsidRDefault="00D131A9" w:rsidP="00141F05">
            <w:pPr>
              <w:pStyle w:val="Bezmezer"/>
              <w:jc w:val="both"/>
              <w:rPr>
                <w:rFonts w:ascii="Arial" w:hAnsi="Arial" w:cs="Arial"/>
                <w:sz w:val="8"/>
                <w:szCs w:val="8"/>
              </w:rPr>
            </w:pPr>
          </w:p>
          <w:p w:rsidR="00D131A9" w:rsidRPr="00391185" w:rsidRDefault="00D131A9" w:rsidP="00141F05">
            <w:pPr>
              <w:pStyle w:val="Bezmezer"/>
              <w:jc w:val="both"/>
              <w:rPr>
                <w:rFonts w:ascii="Arial" w:hAnsi="Arial" w:cs="Arial"/>
              </w:rPr>
            </w:pPr>
            <w:r w:rsidRPr="00391185">
              <w:rPr>
                <w:rFonts w:ascii="Arial" w:hAnsi="Arial" w:cs="Arial"/>
              </w:rPr>
              <w:t>Odborná příprava je uspořádána tak, aby bylo zajištěno, že tito uživatelé, distributoři a poradci získají dostatečné znalosti o tématech uvedených v příloze I, a to s přihlédnutím k jejich rozdílným úlohám a povinnostem.</w:t>
            </w:r>
          </w:p>
          <w:p w:rsidR="00D131A9" w:rsidRPr="00D25345" w:rsidRDefault="00D131A9" w:rsidP="00141F05">
            <w:pPr>
              <w:pStyle w:val="Bezmezer"/>
              <w:jc w:val="both"/>
              <w:rPr>
                <w:rFonts w:ascii="Arial" w:hAnsi="Arial" w:cs="Arial"/>
                <w:sz w:val="8"/>
                <w:szCs w:val="8"/>
              </w:rPr>
            </w:pPr>
          </w:p>
          <w:p w:rsidR="00D131A9" w:rsidRPr="00391185" w:rsidRDefault="00D131A9" w:rsidP="00141F05">
            <w:pPr>
              <w:pStyle w:val="Bezmezer"/>
              <w:jc w:val="both"/>
              <w:rPr>
                <w:rFonts w:ascii="Arial" w:hAnsi="Arial" w:cs="Arial"/>
              </w:rPr>
            </w:pPr>
            <w:r w:rsidRPr="00391185">
              <w:rPr>
                <w:rFonts w:ascii="Arial" w:hAnsi="Arial" w:cs="Arial"/>
              </w:rPr>
              <w:lastRenderedPageBreak/>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 způsobem.</w:t>
            </w:r>
          </w:p>
          <w:p w:rsidR="00D131A9" w:rsidRPr="00D25345" w:rsidRDefault="00D131A9" w:rsidP="00141F05">
            <w:pPr>
              <w:pStyle w:val="Bezmezer"/>
              <w:jc w:val="both"/>
              <w:rPr>
                <w:rFonts w:ascii="Arial" w:hAnsi="Arial" w:cs="Arial"/>
                <w:sz w:val="8"/>
                <w:szCs w:val="8"/>
              </w:rPr>
            </w:pPr>
          </w:p>
          <w:p w:rsidR="00D131A9" w:rsidRDefault="00D131A9" w:rsidP="00141F05">
            <w:pPr>
              <w:pStyle w:val="Bezmezer"/>
              <w:jc w:val="both"/>
              <w:rPr>
                <w:rFonts w:ascii="Arial" w:hAnsi="Arial" w:cs="Arial"/>
              </w:rPr>
            </w:pPr>
            <w:r w:rsidRPr="00391185">
              <w:rPr>
                <w:rFonts w:ascii="Arial" w:hAnsi="Arial" w:cs="Arial"/>
              </w:rPr>
              <w:t>Systémy osvědčování zahrnují podmínky a postupy týkající se udělení, obnovy a zrušení osvědčení.</w:t>
            </w:r>
          </w:p>
          <w:p w:rsidR="00D131A9" w:rsidRDefault="00D131A9" w:rsidP="00141F05">
            <w:pPr>
              <w:pStyle w:val="Bezmezer"/>
              <w:jc w:val="both"/>
              <w:rPr>
                <w:rFonts w:ascii="Arial" w:hAnsi="Arial" w:cs="Arial"/>
              </w:rPr>
            </w:pPr>
          </w:p>
          <w:p w:rsidR="00D131A9" w:rsidRDefault="00D131A9" w:rsidP="00141F05">
            <w:pPr>
              <w:pStyle w:val="Bezmezer"/>
              <w:jc w:val="both"/>
              <w:rPr>
                <w:rFonts w:ascii="Arial" w:hAnsi="Arial" w:cs="Arial"/>
              </w:rPr>
            </w:pPr>
          </w:p>
          <w:p w:rsidR="00D131A9" w:rsidRDefault="00D131A9" w:rsidP="00141F05">
            <w:pPr>
              <w:pStyle w:val="Bezmezer"/>
              <w:jc w:val="both"/>
              <w:rPr>
                <w:rFonts w:ascii="Arial" w:hAnsi="Arial" w:cs="Arial"/>
              </w:rPr>
            </w:pPr>
            <w:r w:rsidRPr="00D131A9">
              <w:rPr>
                <w:rFonts w:ascii="Arial" w:hAnsi="Arial" w:cs="Arial"/>
              </w:rPr>
              <w:t>Aniž jsou dotčena pravidla týkající se stávajících seznamů nebo registrů zřízených na základě pravidel uvedených v čl. 1 odst. 2, příslušné orgány vypracují a aktualizují seznam provozovatelů. Pokud takový seznam nebo registr již existují pro jiné účely, mohou být použity i pro účely tohoto nařízení.</w:t>
            </w:r>
          </w:p>
          <w:p w:rsidR="00D131A9" w:rsidRPr="00391185" w:rsidRDefault="00D131A9" w:rsidP="00D43528">
            <w:pPr>
              <w:pStyle w:val="Bezmezer"/>
              <w:rPr>
                <w:rFonts w:ascii="Arial" w:hAnsi="Arial" w:cs="Arial"/>
                <w:b/>
                <w:bCs/>
              </w:rPr>
            </w:pPr>
          </w:p>
        </w:tc>
      </w:tr>
    </w:tbl>
    <w:p w:rsidR="002077D1" w:rsidRPr="00F7690D" w:rsidRDefault="002077D1" w:rsidP="00E86695">
      <w:pPr>
        <w:jc w:val="both"/>
        <w:rPr>
          <w:rFonts w:ascii="Arial" w:hAnsi="Arial" w:cs="Arial"/>
        </w:rPr>
      </w:pPr>
    </w:p>
    <w:tbl>
      <w:tblPr>
        <w:tblStyle w:val="Mkatabulky"/>
        <w:tblW w:w="0" w:type="auto"/>
        <w:tblLook w:val="04A0" w:firstRow="1" w:lastRow="0" w:firstColumn="1" w:lastColumn="0" w:noHBand="0" w:noVBand="1"/>
      </w:tblPr>
      <w:tblGrid>
        <w:gridCol w:w="6996"/>
        <w:gridCol w:w="6998"/>
      </w:tblGrid>
      <w:tr w:rsidR="002077D1" w:rsidRPr="00F7690D" w:rsidTr="002077D1">
        <w:tc>
          <w:tcPr>
            <w:tcW w:w="7072" w:type="dxa"/>
          </w:tcPr>
          <w:p w:rsidR="002077D1" w:rsidRPr="00F7690D" w:rsidRDefault="002077D1" w:rsidP="00E86695">
            <w:pPr>
              <w:jc w:val="both"/>
              <w:rPr>
                <w:rFonts w:ascii="Arial" w:hAnsi="Arial" w:cs="Arial"/>
              </w:rPr>
            </w:pPr>
            <w:r w:rsidRPr="00F7690D">
              <w:rPr>
                <w:rFonts w:ascii="Arial" w:hAnsi="Arial" w:cs="Arial"/>
              </w:rPr>
              <w:t xml:space="preserve">Číslo předpisu EU (kód </w:t>
            </w:r>
            <w:proofErr w:type="spellStart"/>
            <w:r w:rsidRPr="00F7690D">
              <w:rPr>
                <w:rFonts w:ascii="Arial" w:hAnsi="Arial" w:cs="Arial"/>
              </w:rPr>
              <w:t>celex</w:t>
            </w:r>
            <w:proofErr w:type="spellEnd"/>
            <w:r w:rsidRPr="00F7690D">
              <w:rPr>
                <w:rFonts w:ascii="Arial" w:hAnsi="Arial" w:cs="Arial"/>
              </w:rPr>
              <w:t>)</w:t>
            </w:r>
          </w:p>
          <w:p w:rsidR="002077D1" w:rsidRPr="00F7690D" w:rsidRDefault="002077D1" w:rsidP="00E86695">
            <w:pPr>
              <w:jc w:val="both"/>
              <w:rPr>
                <w:rFonts w:ascii="Arial" w:hAnsi="Arial" w:cs="Arial"/>
              </w:rPr>
            </w:pPr>
          </w:p>
        </w:tc>
        <w:tc>
          <w:tcPr>
            <w:tcW w:w="7072" w:type="dxa"/>
          </w:tcPr>
          <w:p w:rsidR="002077D1" w:rsidRPr="00F7690D" w:rsidRDefault="002077D1" w:rsidP="00E86695">
            <w:pPr>
              <w:jc w:val="both"/>
              <w:rPr>
                <w:rFonts w:ascii="Arial" w:hAnsi="Arial" w:cs="Arial"/>
              </w:rPr>
            </w:pPr>
            <w:r w:rsidRPr="00F7690D">
              <w:rPr>
                <w:rFonts w:ascii="Arial" w:hAnsi="Arial" w:cs="Arial"/>
              </w:rPr>
              <w:t>Název předpisu EU</w:t>
            </w:r>
          </w:p>
        </w:tc>
      </w:tr>
      <w:tr w:rsidR="002077D1" w:rsidRPr="00F7690D" w:rsidTr="002077D1">
        <w:tc>
          <w:tcPr>
            <w:tcW w:w="7072" w:type="dxa"/>
          </w:tcPr>
          <w:p w:rsidR="002077D1" w:rsidRPr="00F7690D" w:rsidRDefault="00F06DCB" w:rsidP="00E86695">
            <w:pPr>
              <w:spacing w:before="120" w:after="120"/>
              <w:jc w:val="both"/>
              <w:rPr>
                <w:rFonts w:ascii="Arial" w:hAnsi="Arial" w:cs="Arial"/>
              </w:rPr>
            </w:pPr>
            <w:r w:rsidRPr="00F7690D">
              <w:rPr>
                <w:rFonts w:ascii="Arial" w:hAnsi="Arial" w:cs="Arial"/>
              </w:rPr>
              <w:t>32016R2031</w:t>
            </w:r>
          </w:p>
        </w:tc>
        <w:tc>
          <w:tcPr>
            <w:tcW w:w="7072" w:type="dxa"/>
          </w:tcPr>
          <w:p w:rsidR="002077D1" w:rsidRPr="00F7690D" w:rsidRDefault="00F06DCB" w:rsidP="00E86695">
            <w:pPr>
              <w:spacing w:before="120" w:after="120"/>
              <w:jc w:val="both"/>
              <w:rPr>
                <w:rFonts w:ascii="Arial" w:hAnsi="Arial" w:cs="Arial"/>
              </w:rPr>
            </w:pPr>
            <w:r w:rsidRPr="00F7690D">
              <w:rPr>
                <w:rFonts w:ascii="Arial" w:hAnsi="Arial" w:cs="Arial"/>
              </w:rPr>
              <w:t>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w:t>
            </w:r>
            <w:r w:rsidR="00FA0C60">
              <w:rPr>
                <w:rFonts w:ascii="Arial" w:hAnsi="Arial" w:cs="Arial"/>
              </w:rPr>
              <w:t>, v platném znění</w:t>
            </w:r>
          </w:p>
        </w:tc>
      </w:tr>
      <w:tr w:rsidR="00C57228" w:rsidRPr="00F7690D" w:rsidTr="002077D1">
        <w:tc>
          <w:tcPr>
            <w:tcW w:w="7072" w:type="dxa"/>
          </w:tcPr>
          <w:p w:rsidR="00C57228" w:rsidRDefault="00C57228" w:rsidP="00E86695">
            <w:pPr>
              <w:spacing w:before="120" w:after="120"/>
              <w:jc w:val="both"/>
              <w:rPr>
                <w:rFonts w:ascii="Arial" w:hAnsi="Arial" w:cs="Arial"/>
              </w:rPr>
            </w:pPr>
            <w:r w:rsidRPr="00C57228">
              <w:rPr>
                <w:rFonts w:ascii="Arial" w:hAnsi="Arial" w:cs="Arial"/>
              </w:rPr>
              <w:lastRenderedPageBreak/>
              <w:t>32009R1107</w:t>
            </w:r>
          </w:p>
        </w:tc>
        <w:tc>
          <w:tcPr>
            <w:tcW w:w="7072" w:type="dxa"/>
          </w:tcPr>
          <w:p w:rsidR="00C57228" w:rsidRPr="00F7690D" w:rsidRDefault="00C57228" w:rsidP="00E86695">
            <w:pPr>
              <w:spacing w:before="120" w:after="120"/>
              <w:jc w:val="both"/>
              <w:rPr>
                <w:rFonts w:ascii="Arial" w:hAnsi="Arial" w:cs="Arial"/>
              </w:rPr>
            </w:pPr>
            <w:r w:rsidRPr="00C57228">
              <w:rPr>
                <w:rFonts w:ascii="Arial" w:hAnsi="Arial" w:cs="Arial"/>
              </w:rPr>
              <w:t>Nařízení Evropského parlamentu a Rady (ES) č. 1107/2009 ze dne 21. října 2009 o uvádění přípravků na ochranu rostlin na trh a o zrušení směrnic Rady 79/117/EHS a 91/414/EHS</w:t>
            </w:r>
            <w:r w:rsidR="00FA0C60">
              <w:rPr>
                <w:rFonts w:ascii="Arial" w:hAnsi="Arial" w:cs="Arial"/>
              </w:rPr>
              <w:t>, v platném znění</w:t>
            </w:r>
          </w:p>
        </w:tc>
      </w:tr>
      <w:tr w:rsidR="00184D1B" w:rsidRPr="00F7690D" w:rsidTr="002077D1">
        <w:tc>
          <w:tcPr>
            <w:tcW w:w="7072" w:type="dxa"/>
          </w:tcPr>
          <w:p w:rsidR="00391185" w:rsidRPr="00845EF3" w:rsidRDefault="00391185" w:rsidP="00391185">
            <w:pPr>
              <w:jc w:val="both"/>
              <w:rPr>
                <w:rFonts w:ascii="Arial" w:hAnsi="Arial" w:cs="Arial"/>
              </w:rPr>
            </w:pPr>
            <w:r w:rsidRPr="00E86695">
              <w:rPr>
                <w:rFonts w:ascii="Arial" w:hAnsi="Arial" w:cs="Arial"/>
              </w:rPr>
              <w:t>32009L0128</w:t>
            </w:r>
          </w:p>
          <w:p w:rsidR="00184D1B" w:rsidRDefault="00184D1B" w:rsidP="00E86695">
            <w:pPr>
              <w:spacing w:before="120" w:after="120"/>
              <w:jc w:val="both"/>
              <w:rPr>
                <w:rFonts w:ascii="Arial" w:hAnsi="Arial" w:cs="Arial"/>
              </w:rPr>
            </w:pPr>
          </w:p>
        </w:tc>
        <w:tc>
          <w:tcPr>
            <w:tcW w:w="7072" w:type="dxa"/>
          </w:tcPr>
          <w:p w:rsidR="00184D1B" w:rsidRPr="00F7690D" w:rsidRDefault="00391185" w:rsidP="00E86695">
            <w:pPr>
              <w:spacing w:before="120" w:after="120"/>
              <w:jc w:val="both"/>
              <w:rPr>
                <w:rFonts w:ascii="Arial" w:hAnsi="Arial" w:cs="Arial"/>
              </w:rPr>
            </w:pPr>
            <w:r w:rsidRPr="00391185">
              <w:rPr>
                <w:rFonts w:ascii="Arial" w:hAnsi="Arial" w:cs="Arial"/>
              </w:rPr>
              <w:t>Směrnice Evropského parlamentu a Rady 2009/128/ES ze dne 21. října, kterou se stanoví rámec pro činnost Společenství za účelem dosažení udržitelného používání pesticidů, v platném znění</w:t>
            </w:r>
          </w:p>
        </w:tc>
      </w:tr>
      <w:tr w:rsidR="00FA0C60" w:rsidRPr="00F7690D" w:rsidTr="002077D1">
        <w:tc>
          <w:tcPr>
            <w:tcW w:w="7072" w:type="dxa"/>
          </w:tcPr>
          <w:p w:rsidR="00FA0C60" w:rsidRDefault="00FA0C60" w:rsidP="00E86695">
            <w:pPr>
              <w:spacing w:before="120" w:after="120"/>
              <w:jc w:val="both"/>
              <w:rPr>
                <w:rFonts w:ascii="Arial" w:hAnsi="Arial" w:cs="Arial"/>
              </w:rPr>
            </w:pPr>
            <w:r w:rsidRPr="00FA0C60">
              <w:rPr>
                <w:rFonts w:ascii="Arial" w:hAnsi="Arial" w:cs="Arial"/>
              </w:rPr>
              <w:t>3201</w:t>
            </w:r>
            <w:r w:rsidR="00391185">
              <w:rPr>
                <w:rFonts w:ascii="Arial" w:hAnsi="Arial" w:cs="Arial"/>
              </w:rPr>
              <w:t>9</w:t>
            </w:r>
            <w:r w:rsidRPr="00FA0C60">
              <w:rPr>
                <w:rFonts w:ascii="Arial" w:hAnsi="Arial" w:cs="Arial"/>
              </w:rPr>
              <w:t>R</w:t>
            </w:r>
            <w:r w:rsidR="00391185">
              <w:rPr>
                <w:rFonts w:ascii="Arial" w:hAnsi="Arial" w:cs="Arial"/>
              </w:rPr>
              <w:t>1020</w:t>
            </w:r>
          </w:p>
        </w:tc>
        <w:tc>
          <w:tcPr>
            <w:tcW w:w="7072" w:type="dxa"/>
          </w:tcPr>
          <w:p w:rsidR="00FA0C60" w:rsidRPr="00184D1B" w:rsidRDefault="00391185" w:rsidP="00E86695">
            <w:pPr>
              <w:spacing w:before="120" w:after="120"/>
              <w:jc w:val="both"/>
              <w:rPr>
                <w:rFonts w:ascii="Arial" w:hAnsi="Arial" w:cs="Arial"/>
              </w:rPr>
            </w:pPr>
            <w:r w:rsidRPr="00391185">
              <w:rPr>
                <w:rFonts w:ascii="Arial" w:hAnsi="Arial" w:cs="Arial"/>
              </w:rPr>
              <w:t>Nařízení Evropského parlamentu a Rady (EU) 2019/1020 ze dne 20. června 2019 o dozoru nad trhem a souladu výrobků s předpisy, kterým se mění směrnice 2004/42/ES a nařízení (ES) č. 765/2008 a (EU) 305/2011</w:t>
            </w:r>
          </w:p>
        </w:tc>
      </w:tr>
      <w:tr w:rsidR="00FA0C60" w:rsidRPr="00F7690D" w:rsidTr="002077D1">
        <w:tc>
          <w:tcPr>
            <w:tcW w:w="7072" w:type="dxa"/>
          </w:tcPr>
          <w:p w:rsidR="00FA0C60" w:rsidRDefault="00FA0C60" w:rsidP="00E86695">
            <w:pPr>
              <w:spacing w:before="120" w:after="120"/>
              <w:jc w:val="both"/>
              <w:rPr>
                <w:rFonts w:ascii="Arial" w:hAnsi="Arial" w:cs="Arial"/>
              </w:rPr>
            </w:pPr>
            <w:r w:rsidRPr="00FA0C60">
              <w:rPr>
                <w:rFonts w:ascii="Arial" w:hAnsi="Arial" w:cs="Arial"/>
              </w:rPr>
              <w:t>3201</w:t>
            </w:r>
            <w:r w:rsidR="00391185">
              <w:rPr>
                <w:rFonts w:ascii="Arial" w:hAnsi="Arial" w:cs="Arial"/>
              </w:rPr>
              <w:t>9</w:t>
            </w:r>
            <w:r w:rsidRPr="00FA0C60">
              <w:rPr>
                <w:rFonts w:ascii="Arial" w:hAnsi="Arial" w:cs="Arial"/>
              </w:rPr>
              <w:t>R</w:t>
            </w:r>
            <w:r w:rsidR="00391185">
              <w:rPr>
                <w:rFonts w:ascii="Arial" w:hAnsi="Arial" w:cs="Arial"/>
              </w:rPr>
              <w:t>0515</w:t>
            </w:r>
          </w:p>
        </w:tc>
        <w:tc>
          <w:tcPr>
            <w:tcW w:w="7072" w:type="dxa"/>
          </w:tcPr>
          <w:p w:rsidR="00FA0C60" w:rsidRPr="00184D1B" w:rsidRDefault="00391185" w:rsidP="00E86695">
            <w:pPr>
              <w:spacing w:before="120" w:after="120"/>
              <w:jc w:val="both"/>
              <w:rPr>
                <w:rFonts w:ascii="Arial" w:hAnsi="Arial" w:cs="Arial"/>
              </w:rPr>
            </w:pPr>
            <w:r w:rsidRPr="001B4537">
              <w:rPr>
                <w:rFonts w:ascii="Arial" w:hAnsi="Arial" w:cs="Arial"/>
              </w:rPr>
              <w:t>Nařízení Evropského parlamentu a Rady (EU) 2019/515 ze dne 19. března 2019 o vzájemném uznávání zboží uvedeného v souladu s právními předpisy na trh v jiném členském státě a o zrušení nařízení (ES) č. 764/2008</w:t>
            </w:r>
          </w:p>
        </w:tc>
      </w:tr>
      <w:tr w:rsidR="002D5535" w:rsidRPr="00F7690D" w:rsidTr="002077D1">
        <w:tc>
          <w:tcPr>
            <w:tcW w:w="7072" w:type="dxa"/>
          </w:tcPr>
          <w:p w:rsidR="002D5535" w:rsidRPr="00845EF3" w:rsidRDefault="002D5535" w:rsidP="002D5535">
            <w:pPr>
              <w:jc w:val="both"/>
              <w:rPr>
                <w:rFonts w:ascii="Arial" w:hAnsi="Arial" w:cs="Arial"/>
              </w:rPr>
            </w:pPr>
            <w:r>
              <w:rPr>
                <w:rFonts w:ascii="Arial" w:hAnsi="Arial" w:cs="Arial"/>
              </w:rPr>
              <w:t>3</w:t>
            </w:r>
            <w:r w:rsidRPr="00D131A9">
              <w:rPr>
                <w:rFonts w:ascii="Arial" w:hAnsi="Arial" w:cs="Arial"/>
              </w:rPr>
              <w:t>2017R0625</w:t>
            </w:r>
          </w:p>
          <w:p w:rsidR="002D5535" w:rsidRPr="00FA0C60" w:rsidRDefault="002D5535" w:rsidP="00E86695">
            <w:pPr>
              <w:spacing w:before="120" w:after="120"/>
              <w:jc w:val="both"/>
              <w:rPr>
                <w:rFonts w:ascii="Arial" w:hAnsi="Arial" w:cs="Arial"/>
              </w:rPr>
            </w:pPr>
          </w:p>
        </w:tc>
        <w:tc>
          <w:tcPr>
            <w:tcW w:w="7072" w:type="dxa"/>
          </w:tcPr>
          <w:p w:rsidR="002D5535" w:rsidRPr="001B4537" w:rsidRDefault="002D5535" w:rsidP="00E86695">
            <w:pPr>
              <w:spacing w:before="120" w:after="120"/>
              <w:jc w:val="both"/>
              <w:rPr>
                <w:rFonts w:ascii="Arial" w:hAnsi="Arial" w:cs="Arial"/>
              </w:rPr>
            </w:pPr>
            <w:r w:rsidRPr="002D5535">
              <w:rPr>
                <w:rFonts w:ascii="Arial" w:hAnsi="Arial" w:cs="Arial"/>
              </w:rPr>
              <w:t>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tc>
      </w:tr>
    </w:tbl>
    <w:p w:rsidR="002077D1" w:rsidRPr="00F7690D" w:rsidRDefault="002077D1" w:rsidP="00E86695">
      <w:pPr>
        <w:tabs>
          <w:tab w:val="left" w:pos="5985"/>
        </w:tabs>
        <w:jc w:val="both"/>
        <w:rPr>
          <w:rFonts w:ascii="Arial" w:hAnsi="Arial" w:cs="Arial"/>
        </w:rPr>
      </w:pPr>
    </w:p>
    <w:sectPr w:rsidR="002077D1" w:rsidRPr="00F7690D" w:rsidSect="00D92BC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06F" w:rsidRDefault="002A106F" w:rsidP="001821C0">
      <w:pPr>
        <w:spacing w:after="0" w:line="240" w:lineRule="auto"/>
      </w:pPr>
      <w:r>
        <w:separator/>
      </w:r>
    </w:p>
  </w:endnote>
  <w:endnote w:type="continuationSeparator" w:id="0">
    <w:p w:rsidR="002A106F" w:rsidRDefault="002A106F" w:rsidP="00182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5"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3E" w:rsidRDefault="006301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1782"/>
      <w:docPartObj>
        <w:docPartGallery w:val="Page Numbers (Bottom of Page)"/>
        <w:docPartUnique/>
      </w:docPartObj>
    </w:sdtPr>
    <w:sdtEndPr>
      <w:rPr>
        <w:rFonts w:ascii="Arial" w:hAnsi="Arial" w:cs="Arial"/>
      </w:rPr>
    </w:sdtEndPr>
    <w:sdtContent>
      <w:p w:rsidR="001B4537" w:rsidRPr="00E2493E" w:rsidRDefault="001B4537">
        <w:pPr>
          <w:pStyle w:val="Zpat"/>
          <w:jc w:val="center"/>
          <w:rPr>
            <w:rFonts w:ascii="Arial" w:hAnsi="Arial" w:cs="Arial"/>
          </w:rPr>
        </w:pPr>
        <w:r w:rsidRPr="00E2493E">
          <w:rPr>
            <w:rFonts w:ascii="Arial" w:hAnsi="Arial" w:cs="Arial"/>
          </w:rPr>
          <w:fldChar w:fldCharType="begin"/>
        </w:r>
        <w:r w:rsidRPr="00E2493E">
          <w:rPr>
            <w:rFonts w:ascii="Arial" w:hAnsi="Arial" w:cs="Arial"/>
          </w:rPr>
          <w:instrText xml:space="preserve"> PAGE   \* MERGEFORMAT </w:instrText>
        </w:r>
        <w:r w:rsidRPr="00E2493E">
          <w:rPr>
            <w:rFonts w:ascii="Arial" w:hAnsi="Arial" w:cs="Arial"/>
          </w:rPr>
          <w:fldChar w:fldCharType="separate"/>
        </w:r>
        <w:r w:rsidR="002D5535">
          <w:rPr>
            <w:rFonts w:ascii="Arial" w:hAnsi="Arial" w:cs="Arial"/>
            <w:noProof/>
          </w:rPr>
          <w:t>2</w:t>
        </w:r>
        <w:r w:rsidRPr="00E2493E">
          <w:rPr>
            <w:rFonts w:ascii="Arial" w:hAnsi="Arial" w:cs="Arial"/>
            <w:noProof/>
          </w:rPr>
          <w:fldChar w:fldCharType="end"/>
        </w:r>
      </w:p>
    </w:sdtContent>
  </w:sdt>
  <w:p w:rsidR="001B4537" w:rsidRDefault="001B453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3E" w:rsidRDefault="006301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06F" w:rsidRDefault="002A106F" w:rsidP="001821C0">
      <w:pPr>
        <w:spacing w:after="0" w:line="240" w:lineRule="auto"/>
      </w:pPr>
      <w:r>
        <w:separator/>
      </w:r>
    </w:p>
  </w:footnote>
  <w:footnote w:type="continuationSeparator" w:id="0">
    <w:p w:rsidR="002A106F" w:rsidRDefault="002A106F" w:rsidP="00182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3E" w:rsidRDefault="006301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3E" w:rsidRDefault="0063013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13E" w:rsidRDefault="006301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597043"/>
    <w:multiLevelType w:val="hybridMultilevel"/>
    <w:tmpl w:val="0B1EB4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48B4FD"/>
    <w:multiLevelType w:val="hybridMultilevel"/>
    <w:tmpl w:val="A8B946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2C2296E"/>
    <w:multiLevelType w:val="hybridMultilevel"/>
    <w:tmpl w:val="12CE6F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46CE896"/>
    <w:multiLevelType w:val="hybridMultilevel"/>
    <w:tmpl w:val="8522CE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02359C4"/>
    <w:multiLevelType w:val="hybridMultilevel"/>
    <w:tmpl w:val="8BF5E9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48F7034"/>
    <w:multiLevelType w:val="hybridMultilevel"/>
    <w:tmpl w:val="6D1910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9C0070F"/>
    <w:multiLevelType w:val="hybridMultilevel"/>
    <w:tmpl w:val="9F66E55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AC55806"/>
    <w:multiLevelType w:val="hybridMultilevel"/>
    <w:tmpl w:val="EA03DB7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AEE27D9"/>
    <w:multiLevelType w:val="hybridMultilevel"/>
    <w:tmpl w:val="3CD032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EE7167B"/>
    <w:multiLevelType w:val="hybridMultilevel"/>
    <w:tmpl w:val="4646EB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5546D84"/>
    <w:multiLevelType w:val="hybridMultilevel"/>
    <w:tmpl w:val="DACA0B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B91E51"/>
    <w:multiLevelType w:val="hybridMultilevel"/>
    <w:tmpl w:val="AD1A5A9E"/>
    <w:lvl w:ilvl="0" w:tplc="87E6FCE0">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2" w15:restartNumberingAfterBreak="0">
    <w:nsid w:val="17EA2084"/>
    <w:multiLevelType w:val="hybridMultilevel"/>
    <w:tmpl w:val="2BE09B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4" w15:restartNumberingAfterBreak="0">
    <w:nsid w:val="1D720E2A"/>
    <w:multiLevelType w:val="hybridMultilevel"/>
    <w:tmpl w:val="37FE0E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1F67789"/>
    <w:multiLevelType w:val="hybridMultilevel"/>
    <w:tmpl w:val="8FAC2E58"/>
    <w:lvl w:ilvl="0" w:tplc="6102043C">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22C708D"/>
    <w:multiLevelType w:val="hybridMultilevel"/>
    <w:tmpl w:val="47F022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B09C0F"/>
    <w:multiLevelType w:val="hybridMultilevel"/>
    <w:tmpl w:val="F3F178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6F80AF6"/>
    <w:multiLevelType w:val="hybridMultilevel"/>
    <w:tmpl w:val="837831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3F36E2"/>
    <w:multiLevelType w:val="hybridMultilevel"/>
    <w:tmpl w:val="043A9A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E8D3DEF"/>
    <w:multiLevelType w:val="hybridMultilevel"/>
    <w:tmpl w:val="BDE23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95204AA"/>
    <w:multiLevelType w:val="hybridMultilevel"/>
    <w:tmpl w:val="DFE04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5F246A"/>
    <w:multiLevelType w:val="hybridMultilevel"/>
    <w:tmpl w:val="C30409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0BF24C"/>
    <w:multiLevelType w:val="hybridMultilevel"/>
    <w:tmpl w:val="3C454E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AAF1A1F"/>
    <w:multiLevelType w:val="multilevel"/>
    <w:tmpl w:val="B24A5E50"/>
    <w:lvl w:ilvl="0">
      <w:start w:val="1"/>
      <w:numFmt w:val="decimal"/>
      <w:pStyle w:val="Textodstavce"/>
      <w:isLgl/>
      <w:lvlText w:val="(%1)"/>
      <w:lvlJc w:val="left"/>
      <w:pPr>
        <w:tabs>
          <w:tab w:val="num" w:pos="782"/>
        </w:tabs>
        <w:ind w:firstLine="425"/>
      </w:pPr>
      <w:rPr>
        <w:rFonts w:ascii="Times New Roman" w:hAnsi="Times New Roman" w:cs="Times New Roman" w:hint="default"/>
        <w:b/>
      </w:rPr>
    </w:lvl>
    <w:lvl w:ilvl="1">
      <w:start w:val="1"/>
      <w:numFmt w:val="lowerLetter"/>
      <w:pStyle w:val="Textpsmene"/>
      <w:lvlText w:val="%2)"/>
      <w:lvlJc w:val="left"/>
      <w:pPr>
        <w:tabs>
          <w:tab w:val="num" w:pos="425"/>
        </w:tabs>
        <w:ind w:left="425" w:hanging="425"/>
      </w:pPr>
      <w:rPr>
        <w:rFonts w:ascii="Times New Roman" w:hAnsi="Times New Roman" w:cs="Times New Roman" w:hint="default"/>
        <w:b w:val="0"/>
      </w:rPr>
    </w:lvl>
    <w:lvl w:ilvl="2">
      <w:start w:val="1"/>
      <w:numFmt w:val="decimal"/>
      <w:pStyle w:val="Textbodu"/>
      <w:isLgl/>
      <w:lvlText w:val="%3."/>
      <w:lvlJc w:val="left"/>
      <w:pPr>
        <w:tabs>
          <w:tab w:val="num" w:pos="850"/>
        </w:tabs>
        <w:ind w:left="850" w:hanging="425"/>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b/>
        <w:strike w:val="0"/>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52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600"/>
        </w:tabs>
        <w:ind w:left="3240" w:hanging="360"/>
      </w:pPr>
      <w:rPr>
        <w:rFonts w:ascii="Times New Roman" w:hAnsi="Times New Roman" w:cs="Times New Roman" w:hint="default"/>
      </w:rPr>
    </w:lvl>
  </w:abstractNum>
  <w:abstractNum w:abstractNumId="25" w15:restartNumberingAfterBreak="0">
    <w:nsid w:val="77369790"/>
    <w:multiLevelType w:val="hybridMultilevel"/>
    <w:tmpl w:val="89E0EB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7FA7669"/>
    <w:multiLevelType w:val="hybridMultilevel"/>
    <w:tmpl w:val="A98E4B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lvlOverride w:ilvl="0">
      <w:startOverride w:val="1"/>
    </w:lvlOverride>
  </w:num>
  <w:num w:numId="2">
    <w:abstractNumId w:val="24"/>
  </w:num>
  <w:num w:numId="3">
    <w:abstractNumId w:val="1"/>
  </w:num>
  <w:num w:numId="4">
    <w:abstractNumId w:val="5"/>
  </w:num>
  <w:num w:numId="5">
    <w:abstractNumId w:val="1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0"/>
  </w:num>
  <w:num w:numId="9">
    <w:abstractNumId w:val="8"/>
  </w:num>
  <w:num w:numId="10">
    <w:abstractNumId w:val="3"/>
  </w:num>
  <w:num w:numId="11">
    <w:abstractNumId w:val="17"/>
  </w:num>
  <w:num w:numId="12">
    <w:abstractNumId w:val="0"/>
  </w:num>
  <w:num w:numId="13">
    <w:abstractNumId w:val="4"/>
  </w:num>
  <w:num w:numId="14">
    <w:abstractNumId w:val="20"/>
  </w:num>
  <w:num w:numId="15">
    <w:abstractNumId w:val="19"/>
  </w:num>
  <w:num w:numId="16">
    <w:abstractNumId w:val="14"/>
  </w:num>
  <w:num w:numId="17">
    <w:abstractNumId w:val="26"/>
  </w:num>
  <w:num w:numId="18">
    <w:abstractNumId w:val="18"/>
  </w:num>
  <w:num w:numId="19">
    <w:abstractNumId w:val="16"/>
  </w:num>
  <w:num w:numId="20">
    <w:abstractNumId w:val="12"/>
  </w:num>
  <w:num w:numId="21">
    <w:abstractNumId w:val="22"/>
  </w:num>
  <w:num w:numId="22">
    <w:abstractNumId w:val="25"/>
  </w:num>
  <w:num w:numId="23">
    <w:abstractNumId w:val="2"/>
  </w:num>
  <w:num w:numId="24">
    <w:abstractNumId w:val="9"/>
  </w:num>
  <w:num w:numId="25">
    <w:abstractNumId w:val="6"/>
  </w:num>
  <w:num w:numId="26">
    <w:abstractNumId w:val="23"/>
  </w:num>
  <w:num w:numId="27">
    <w:abstractNumId w:val="7"/>
  </w:num>
  <w:num w:numId="28">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CC"/>
    <w:rsid w:val="00001720"/>
    <w:rsid w:val="000027C0"/>
    <w:rsid w:val="000056F0"/>
    <w:rsid w:val="00006ABD"/>
    <w:rsid w:val="00006D76"/>
    <w:rsid w:val="00006E5C"/>
    <w:rsid w:val="00006FFA"/>
    <w:rsid w:val="0001187B"/>
    <w:rsid w:val="000263A8"/>
    <w:rsid w:val="000324C7"/>
    <w:rsid w:val="00037FA4"/>
    <w:rsid w:val="00044A6D"/>
    <w:rsid w:val="000521E4"/>
    <w:rsid w:val="000700BD"/>
    <w:rsid w:val="00075604"/>
    <w:rsid w:val="00076CB3"/>
    <w:rsid w:val="000777B6"/>
    <w:rsid w:val="00093EB1"/>
    <w:rsid w:val="00095D63"/>
    <w:rsid w:val="00096537"/>
    <w:rsid w:val="000A122F"/>
    <w:rsid w:val="000A2BE3"/>
    <w:rsid w:val="000A36BC"/>
    <w:rsid w:val="000A4F6A"/>
    <w:rsid w:val="000A550F"/>
    <w:rsid w:val="000B0D88"/>
    <w:rsid w:val="000B1F68"/>
    <w:rsid w:val="000D5164"/>
    <w:rsid w:val="000D7744"/>
    <w:rsid w:val="000E1A54"/>
    <w:rsid w:val="000E1F5C"/>
    <w:rsid w:val="000E5976"/>
    <w:rsid w:val="000E6601"/>
    <w:rsid w:val="000F1408"/>
    <w:rsid w:val="00113422"/>
    <w:rsid w:val="0012027B"/>
    <w:rsid w:val="001277A7"/>
    <w:rsid w:val="00133915"/>
    <w:rsid w:val="00141F05"/>
    <w:rsid w:val="00156FB9"/>
    <w:rsid w:val="0015750C"/>
    <w:rsid w:val="001603B8"/>
    <w:rsid w:val="00162E66"/>
    <w:rsid w:val="001644B6"/>
    <w:rsid w:val="00170548"/>
    <w:rsid w:val="001821C0"/>
    <w:rsid w:val="00184D1B"/>
    <w:rsid w:val="001913A1"/>
    <w:rsid w:val="00194421"/>
    <w:rsid w:val="00196289"/>
    <w:rsid w:val="001A17C0"/>
    <w:rsid w:val="001A2741"/>
    <w:rsid w:val="001A2AFF"/>
    <w:rsid w:val="001B0AA2"/>
    <w:rsid w:val="001B4537"/>
    <w:rsid w:val="001C035A"/>
    <w:rsid w:val="001C3F3A"/>
    <w:rsid w:val="001D3A75"/>
    <w:rsid w:val="001E4D90"/>
    <w:rsid w:val="001F5E41"/>
    <w:rsid w:val="002077D1"/>
    <w:rsid w:val="002122A5"/>
    <w:rsid w:val="0021397E"/>
    <w:rsid w:val="0021401A"/>
    <w:rsid w:val="00214C4A"/>
    <w:rsid w:val="002166D1"/>
    <w:rsid w:val="00222406"/>
    <w:rsid w:val="002353F3"/>
    <w:rsid w:val="002354B0"/>
    <w:rsid w:val="00236B55"/>
    <w:rsid w:val="00242DB0"/>
    <w:rsid w:val="00244A33"/>
    <w:rsid w:val="00251503"/>
    <w:rsid w:val="00252D46"/>
    <w:rsid w:val="00255187"/>
    <w:rsid w:val="00256303"/>
    <w:rsid w:val="00260903"/>
    <w:rsid w:val="002645FA"/>
    <w:rsid w:val="002844CD"/>
    <w:rsid w:val="0028776B"/>
    <w:rsid w:val="002926B1"/>
    <w:rsid w:val="00293CF8"/>
    <w:rsid w:val="00297A60"/>
    <w:rsid w:val="002A0DEA"/>
    <w:rsid w:val="002A106F"/>
    <w:rsid w:val="002B3DA2"/>
    <w:rsid w:val="002B61FE"/>
    <w:rsid w:val="002C4A79"/>
    <w:rsid w:val="002D5535"/>
    <w:rsid w:val="002E6CF9"/>
    <w:rsid w:val="002E73A3"/>
    <w:rsid w:val="002F24C8"/>
    <w:rsid w:val="002F6355"/>
    <w:rsid w:val="0030702F"/>
    <w:rsid w:val="00313C07"/>
    <w:rsid w:val="003324D4"/>
    <w:rsid w:val="00335A05"/>
    <w:rsid w:val="0034362A"/>
    <w:rsid w:val="00361999"/>
    <w:rsid w:val="00362390"/>
    <w:rsid w:val="0036505B"/>
    <w:rsid w:val="0037375C"/>
    <w:rsid w:val="00380FD0"/>
    <w:rsid w:val="00386E09"/>
    <w:rsid w:val="00391185"/>
    <w:rsid w:val="003979B4"/>
    <w:rsid w:val="003A0F92"/>
    <w:rsid w:val="003A2CE5"/>
    <w:rsid w:val="003A56A6"/>
    <w:rsid w:val="003B5035"/>
    <w:rsid w:val="003B701C"/>
    <w:rsid w:val="003C3194"/>
    <w:rsid w:val="003D65E6"/>
    <w:rsid w:val="003E7990"/>
    <w:rsid w:val="003F0A78"/>
    <w:rsid w:val="003F0E5A"/>
    <w:rsid w:val="003F33A3"/>
    <w:rsid w:val="003F60DE"/>
    <w:rsid w:val="003F686D"/>
    <w:rsid w:val="0041278E"/>
    <w:rsid w:val="00421733"/>
    <w:rsid w:val="00422183"/>
    <w:rsid w:val="00422AAD"/>
    <w:rsid w:val="00427821"/>
    <w:rsid w:val="00432140"/>
    <w:rsid w:val="004323E9"/>
    <w:rsid w:val="00432835"/>
    <w:rsid w:val="0043420A"/>
    <w:rsid w:val="00434C7E"/>
    <w:rsid w:val="004457A1"/>
    <w:rsid w:val="00452EEC"/>
    <w:rsid w:val="004655E6"/>
    <w:rsid w:val="004728E0"/>
    <w:rsid w:val="00475BCF"/>
    <w:rsid w:val="00476FBA"/>
    <w:rsid w:val="0047759E"/>
    <w:rsid w:val="00485CFE"/>
    <w:rsid w:val="004B20D0"/>
    <w:rsid w:val="004B3E01"/>
    <w:rsid w:val="004B481B"/>
    <w:rsid w:val="004C15AA"/>
    <w:rsid w:val="004E4E55"/>
    <w:rsid w:val="004F511C"/>
    <w:rsid w:val="004F70B1"/>
    <w:rsid w:val="00505007"/>
    <w:rsid w:val="00523FEF"/>
    <w:rsid w:val="005272FB"/>
    <w:rsid w:val="00534929"/>
    <w:rsid w:val="00536865"/>
    <w:rsid w:val="00537953"/>
    <w:rsid w:val="00553117"/>
    <w:rsid w:val="00566BA2"/>
    <w:rsid w:val="00567B1B"/>
    <w:rsid w:val="00572862"/>
    <w:rsid w:val="00583CAB"/>
    <w:rsid w:val="00584018"/>
    <w:rsid w:val="005854B1"/>
    <w:rsid w:val="00590855"/>
    <w:rsid w:val="005B50E9"/>
    <w:rsid w:val="005D096F"/>
    <w:rsid w:val="005D2C0E"/>
    <w:rsid w:val="005F59ED"/>
    <w:rsid w:val="005F629A"/>
    <w:rsid w:val="005F78B2"/>
    <w:rsid w:val="00601FD1"/>
    <w:rsid w:val="00607DFF"/>
    <w:rsid w:val="00617CFC"/>
    <w:rsid w:val="00624F78"/>
    <w:rsid w:val="006260FD"/>
    <w:rsid w:val="00627EB5"/>
    <w:rsid w:val="0063013E"/>
    <w:rsid w:val="00641941"/>
    <w:rsid w:val="0064784F"/>
    <w:rsid w:val="00666716"/>
    <w:rsid w:val="00667E9C"/>
    <w:rsid w:val="00672692"/>
    <w:rsid w:val="00672BD1"/>
    <w:rsid w:val="0067407F"/>
    <w:rsid w:val="00674B1F"/>
    <w:rsid w:val="00684578"/>
    <w:rsid w:val="006964C8"/>
    <w:rsid w:val="006B55B5"/>
    <w:rsid w:val="006B70BE"/>
    <w:rsid w:val="006D33E3"/>
    <w:rsid w:val="006D455E"/>
    <w:rsid w:val="006E58B9"/>
    <w:rsid w:val="006E7D6F"/>
    <w:rsid w:val="006F0ACA"/>
    <w:rsid w:val="006F3B28"/>
    <w:rsid w:val="00700879"/>
    <w:rsid w:val="00703CDA"/>
    <w:rsid w:val="007115CD"/>
    <w:rsid w:val="00714749"/>
    <w:rsid w:val="0072345A"/>
    <w:rsid w:val="007256AD"/>
    <w:rsid w:val="00735730"/>
    <w:rsid w:val="00735F9B"/>
    <w:rsid w:val="00736B16"/>
    <w:rsid w:val="00737CBB"/>
    <w:rsid w:val="00750DD4"/>
    <w:rsid w:val="0075326D"/>
    <w:rsid w:val="00766A12"/>
    <w:rsid w:val="00772C63"/>
    <w:rsid w:val="00773A58"/>
    <w:rsid w:val="0077463D"/>
    <w:rsid w:val="00782308"/>
    <w:rsid w:val="007873E6"/>
    <w:rsid w:val="007A47D0"/>
    <w:rsid w:val="007B068C"/>
    <w:rsid w:val="007B2A5B"/>
    <w:rsid w:val="007B79E0"/>
    <w:rsid w:val="007C776B"/>
    <w:rsid w:val="007D090D"/>
    <w:rsid w:val="007D3E10"/>
    <w:rsid w:val="007E07C3"/>
    <w:rsid w:val="007E1B3D"/>
    <w:rsid w:val="007E2DEF"/>
    <w:rsid w:val="007F4047"/>
    <w:rsid w:val="00800DB4"/>
    <w:rsid w:val="00802232"/>
    <w:rsid w:val="0080462E"/>
    <w:rsid w:val="00807B47"/>
    <w:rsid w:val="008126F3"/>
    <w:rsid w:val="0081418D"/>
    <w:rsid w:val="00834B72"/>
    <w:rsid w:val="00836395"/>
    <w:rsid w:val="00840186"/>
    <w:rsid w:val="00842F3E"/>
    <w:rsid w:val="00843E36"/>
    <w:rsid w:val="008459E0"/>
    <w:rsid w:val="00845EF3"/>
    <w:rsid w:val="00846C24"/>
    <w:rsid w:val="00854035"/>
    <w:rsid w:val="00862425"/>
    <w:rsid w:val="00871382"/>
    <w:rsid w:val="0087598F"/>
    <w:rsid w:val="0087711F"/>
    <w:rsid w:val="00877A78"/>
    <w:rsid w:val="0088014D"/>
    <w:rsid w:val="00893774"/>
    <w:rsid w:val="0089461D"/>
    <w:rsid w:val="008954B2"/>
    <w:rsid w:val="008A3B89"/>
    <w:rsid w:val="008A4A66"/>
    <w:rsid w:val="008B32BC"/>
    <w:rsid w:val="008B6D08"/>
    <w:rsid w:val="008C04E3"/>
    <w:rsid w:val="008C0C26"/>
    <w:rsid w:val="008C1291"/>
    <w:rsid w:val="008C3EC0"/>
    <w:rsid w:val="008C4D47"/>
    <w:rsid w:val="008C7898"/>
    <w:rsid w:val="008D7BEA"/>
    <w:rsid w:val="008E7B8E"/>
    <w:rsid w:val="008F6F93"/>
    <w:rsid w:val="008F72C6"/>
    <w:rsid w:val="00916AC6"/>
    <w:rsid w:val="00916CF1"/>
    <w:rsid w:val="00924087"/>
    <w:rsid w:val="00927D3A"/>
    <w:rsid w:val="009344BE"/>
    <w:rsid w:val="00934952"/>
    <w:rsid w:val="00941151"/>
    <w:rsid w:val="0094148B"/>
    <w:rsid w:val="00946E52"/>
    <w:rsid w:val="00947126"/>
    <w:rsid w:val="00957942"/>
    <w:rsid w:val="009600C3"/>
    <w:rsid w:val="00961C3B"/>
    <w:rsid w:val="00965CAD"/>
    <w:rsid w:val="00966048"/>
    <w:rsid w:val="009753D4"/>
    <w:rsid w:val="00975D15"/>
    <w:rsid w:val="00993177"/>
    <w:rsid w:val="00994FB9"/>
    <w:rsid w:val="00995876"/>
    <w:rsid w:val="009A1486"/>
    <w:rsid w:val="009A52E4"/>
    <w:rsid w:val="009B3186"/>
    <w:rsid w:val="009B4D56"/>
    <w:rsid w:val="009B62CB"/>
    <w:rsid w:val="009C74A3"/>
    <w:rsid w:val="009D2D48"/>
    <w:rsid w:val="009E30AA"/>
    <w:rsid w:val="009F0098"/>
    <w:rsid w:val="009F383A"/>
    <w:rsid w:val="00A00C2D"/>
    <w:rsid w:val="00A10939"/>
    <w:rsid w:val="00A10CA2"/>
    <w:rsid w:val="00A2243C"/>
    <w:rsid w:val="00A25934"/>
    <w:rsid w:val="00A34257"/>
    <w:rsid w:val="00A42BDA"/>
    <w:rsid w:val="00A4399E"/>
    <w:rsid w:val="00A46089"/>
    <w:rsid w:val="00A55DC5"/>
    <w:rsid w:val="00A70DF1"/>
    <w:rsid w:val="00A80B0B"/>
    <w:rsid w:val="00A862C5"/>
    <w:rsid w:val="00A86A61"/>
    <w:rsid w:val="00A87123"/>
    <w:rsid w:val="00A90FC5"/>
    <w:rsid w:val="00A948D3"/>
    <w:rsid w:val="00A9565D"/>
    <w:rsid w:val="00A9606B"/>
    <w:rsid w:val="00AA319E"/>
    <w:rsid w:val="00AB79EF"/>
    <w:rsid w:val="00AC2558"/>
    <w:rsid w:val="00AC6989"/>
    <w:rsid w:val="00AC7FE0"/>
    <w:rsid w:val="00AD05DE"/>
    <w:rsid w:val="00AD3C9B"/>
    <w:rsid w:val="00AD436A"/>
    <w:rsid w:val="00AE3297"/>
    <w:rsid w:val="00AF31D9"/>
    <w:rsid w:val="00AF5262"/>
    <w:rsid w:val="00B0604C"/>
    <w:rsid w:val="00B072C7"/>
    <w:rsid w:val="00B11F82"/>
    <w:rsid w:val="00B17CFD"/>
    <w:rsid w:val="00B22439"/>
    <w:rsid w:val="00B24C13"/>
    <w:rsid w:val="00B2729D"/>
    <w:rsid w:val="00B2774D"/>
    <w:rsid w:val="00B34AD6"/>
    <w:rsid w:val="00B353A4"/>
    <w:rsid w:val="00B37526"/>
    <w:rsid w:val="00B43A67"/>
    <w:rsid w:val="00B52787"/>
    <w:rsid w:val="00B54553"/>
    <w:rsid w:val="00B57BAA"/>
    <w:rsid w:val="00B622E7"/>
    <w:rsid w:val="00B63B9F"/>
    <w:rsid w:val="00B63BB6"/>
    <w:rsid w:val="00B65DF6"/>
    <w:rsid w:val="00B74670"/>
    <w:rsid w:val="00B758F8"/>
    <w:rsid w:val="00B84E25"/>
    <w:rsid w:val="00B86494"/>
    <w:rsid w:val="00B97E9D"/>
    <w:rsid w:val="00BA0182"/>
    <w:rsid w:val="00BA0FFE"/>
    <w:rsid w:val="00BA24C1"/>
    <w:rsid w:val="00BB2AC0"/>
    <w:rsid w:val="00BB2B7D"/>
    <w:rsid w:val="00BC0A28"/>
    <w:rsid w:val="00BC0F92"/>
    <w:rsid w:val="00BC1D08"/>
    <w:rsid w:val="00BC6CBB"/>
    <w:rsid w:val="00BD3F1D"/>
    <w:rsid w:val="00BE00AA"/>
    <w:rsid w:val="00BE52FB"/>
    <w:rsid w:val="00BE681D"/>
    <w:rsid w:val="00BE7FED"/>
    <w:rsid w:val="00BF1C3F"/>
    <w:rsid w:val="00BF3C8A"/>
    <w:rsid w:val="00C2281B"/>
    <w:rsid w:val="00C31AE8"/>
    <w:rsid w:val="00C32794"/>
    <w:rsid w:val="00C431D4"/>
    <w:rsid w:val="00C45176"/>
    <w:rsid w:val="00C46865"/>
    <w:rsid w:val="00C52212"/>
    <w:rsid w:val="00C57228"/>
    <w:rsid w:val="00C624CC"/>
    <w:rsid w:val="00C63855"/>
    <w:rsid w:val="00C64B9C"/>
    <w:rsid w:val="00C70C21"/>
    <w:rsid w:val="00C71D6D"/>
    <w:rsid w:val="00C765A6"/>
    <w:rsid w:val="00C80DEF"/>
    <w:rsid w:val="00C81C81"/>
    <w:rsid w:val="00C825E4"/>
    <w:rsid w:val="00C84042"/>
    <w:rsid w:val="00C8443F"/>
    <w:rsid w:val="00C90D41"/>
    <w:rsid w:val="00C94C57"/>
    <w:rsid w:val="00C96090"/>
    <w:rsid w:val="00C97E55"/>
    <w:rsid w:val="00CA0C9F"/>
    <w:rsid w:val="00CA4219"/>
    <w:rsid w:val="00CA5AA9"/>
    <w:rsid w:val="00CB732F"/>
    <w:rsid w:val="00CC42C2"/>
    <w:rsid w:val="00CD395C"/>
    <w:rsid w:val="00CE32A8"/>
    <w:rsid w:val="00CF3CCE"/>
    <w:rsid w:val="00D02D4E"/>
    <w:rsid w:val="00D05945"/>
    <w:rsid w:val="00D06DE1"/>
    <w:rsid w:val="00D111D6"/>
    <w:rsid w:val="00D11C21"/>
    <w:rsid w:val="00D131A9"/>
    <w:rsid w:val="00D156E3"/>
    <w:rsid w:val="00D1617A"/>
    <w:rsid w:val="00D17876"/>
    <w:rsid w:val="00D21188"/>
    <w:rsid w:val="00D24A11"/>
    <w:rsid w:val="00D25345"/>
    <w:rsid w:val="00D31ACC"/>
    <w:rsid w:val="00D36FA5"/>
    <w:rsid w:val="00D40AA2"/>
    <w:rsid w:val="00D43528"/>
    <w:rsid w:val="00D46C0A"/>
    <w:rsid w:val="00D53D35"/>
    <w:rsid w:val="00D610D4"/>
    <w:rsid w:val="00D61946"/>
    <w:rsid w:val="00D723E7"/>
    <w:rsid w:val="00D7419B"/>
    <w:rsid w:val="00D8438D"/>
    <w:rsid w:val="00D87357"/>
    <w:rsid w:val="00D87769"/>
    <w:rsid w:val="00D9053F"/>
    <w:rsid w:val="00D9089F"/>
    <w:rsid w:val="00D92BCC"/>
    <w:rsid w:val="00D96C7D"/>
    <w:rsid w:val="00DA0C25"/>
    <w:rsid w:val="00DA0F08"/>
    <w:rsid w:val="00DA5463"/>
    <w:rsid w:val="00DA6821"/>
    <w:rsid w:val="00DA7E9E"/>
    <w:rsid w:val="00DB03CC"/>
    <w:rsid w:val="00DB7903"/>
    <w:rsid w:val="00DD1990"/>
    <w:rsid w:val="00DD3072"/>
    <w:rsid w:val="00DD797E"/>
    <w:rsid w:val="00DE1518"/>
    <w:rsid w:val="00DE2993"/>
    <w:rsid w:val="00DF7A61"/>
    <w:rsid w:val="00E019DA"/>
    <w:rsid w:val="00E20C55"/>
    <w:rsid w:val="00E2493E"/>
    <w:rsid w:val="00E315D4"/>
    <w:rsid w:val="00E3477F"/>
    <w:rsid w:val="00E36833"/>
    <w:rsid w:val="00E42FB7"/>
    <w:rsid w:val="00E44BCA"/>
    <w:rsid w:val="00E47458"/>
    <w:rsid w:val="00E5302C"/>
    <w:rsid w:val="00E54F77"/>
    <w:rsid w:val="00E56443"/>
    <w:rsid w:val="00E66AE0"/>
    <w:rsid w:val="00E70CBE"/>
    <w:rsid w:val="00E74445"/>
    <w:rsid w:val="00E7777D"/>
    <w:rsid w:val="00E849EC"/>
    <w:rsid w:val="00E86695"/>
    <w:rsid w:val="00E969BD"/>
    <w:rsid w:val="00EB319C"/>
    <w:rsid w:val="00EB4C46"/>
    <w:rsid w:val="00EC0C03"/>
    <w:rsid w:val="00EC14D8"/>
    <w:rsid w:val="00EC190B"/>
    <w:rsid w:val="00EC1D3B"/>
    <w:rsid w:val="00EC2DBA"/>
    <w:rsid w:val="00EC6A74"/>
    <w:rsid w:val="00EC79D3"/>
    <w:rsid w:val="00EC7C68"/>
    <w:rsid w:val="00EC7CE6"/>
    <w:rsid w:val="00ED14E7"/>
    <w:rsid w:val="00ED27D0"/>
    <w:rsid w:val="00ED2829"/>
    <w:rsid w:val="00ED3ED9"/>
    <w:rsid w:val="00EE7A8B"/>
    <w:rsid w:val="00EF2703"/>
    <w:rsid w:val="00EF31FE"/>
    <w:rsid w:val="00F03C8A"/>
    <w:rsid w:val="00F06679"/>
    <w:rsid w:val="00F06DCB"/>
    <w:rsid w:val="00F075EF"/>
    <w:rsid w:val="00F30AF3"/>
    <w:rsid w:val="00F37017"/>
    <w:rsid w:val="00F37754"/>
    <w:rsid w:val="00F43115"/>
    <w:rsid w:val="00F654AD"/>
    <w:rsid w:val="00F74FED"/>
    <w:rsid w:val="00F7690D"/>
    <w:rsid w:val="00F8528F"/>
    <w:rsid w:val="00F92C07"/>
    <w:rsid w:val="00F958E1"/>
    <w:rsid w:val="00FA0C60"/>
    <w:rsid w:val="00FA16A4"/>
    <w:rsid w:val="00FA7D21"/>
    <w:rsid w:val="00FB36B6"/>
    <w:rsid w:val="00FB3DA4"/>
    <w:rsid w:val="00FB5462"/>
    <w:rsid w:val="00FB6220"/>
    <w:rsid w:val="00FC44AD"/>
    <w:rsid w:val="00FD4A15"/>
    <w:rsid w:val="00FD4BEB"/>
    <w:rsid w:val="00FE0522"/>
    <w:rsid w:val="00FE3079"/>
    <w:rsid w:val="00FE3FC8"/>
    <w:rsid w:val="00FF0FD2"/>
    <w:rsid w:val="00FF57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0CBB8"/>
  <w15:docId w15:val="{B356DBC3-5530-4E67-8F70-510A403BA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6CB3"/>
  </w:style>
  <w:style w:type="paragraph" w:styleId="Nadpis1">
    <w:name w:val="heading 1"/>
    <w:basedOn w:val="Normln"/>
    <w:link w:val="Nadpis1Char"/>
    <w:uiPriority w:val="9"/>
    <w:qFormat/>
    <w:rsid w:val="00EB4C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92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821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21C0"/>
  </w:style>
  <w:style w:type="paragraph" w:styleId="Zpat">
    <w:name w:val="footer"/>
    <w:basedOn w:val="Normln"/>
    <w:link w:val="ZpatChar"/>
    <w:uiPriority w:val="99"/>
    <w:unhideWhenUsed/>
    <w:rsid w:val="001821C0"/>
    <w:pPr>
      <w:tabs>
        <w:tab w:val="center" w:pos="4536"/>
        <w:tab w:val="right" w:pos="9072"/>
      </w:tabs>
      <w:spacing w:after="0" w:line="240" w:lineRule="auto"/>
    </w:pPr>
  </w:style>
  <w:style w:type="character" w:customStyle="1" w:styleId="ZpatChar">
    <w:name w:val="Zápatí Char"/>
    <w:basedOn w:val="Standardnpsmoodstavce"/>
    <w:link w:val="Zpat"/>
    <w:uiPriority w:val="99"/>
    <w:rsid w:val="001821C0"/>
  </w:style>
  <w:style w:type="paragraph" w:customStyle="1" w:styleId="Novelizanbod">
    <w:name w:val="Novelizační bod"/>
    <w:basedOn w:val="Normln"/>
    <w:next w:val="Normln"/>
    <w:rsid w:val="00236B55"/>
    <w:pPr>
      <w:keepNext/>
      <w:keepLines/>
      <w:numPr>
        <w:numId w:val="1"/>
      </w:numPr>
      <w:tabs>
        <w:tab w:val="left" w:pos="851"/>
      </w:tabs>
      <w:spacing w:before="480" w:after="120" w:line="240" w:lineRule="auto"/>
      <w:jc w:val="both"/>
    </w:pPr>
    <w:rPr>
      <w:rFonts w:ascii="Times New Roman" w:eastAsia="Times New Roman" w:hAnsi="Times New Roman" w:cs="Times New Roman"/>
      <w:sz w:val="24"/>
      <w:szCs w:val="20"/>
    </w:rPr>
  </w:style>
  <w:style w:type="paragraph" w:customStyle="1" w:styleId="Textodstavce">
    <w:name w:val="Text odstavce"/>
    <w:basedOn w:val="Normln"/>
    <w:uiPriority w:val="99"/>
    <w:rsid w:val="00236B55"/>
    <w:pPr>
      <w:numPr>
        <w:numId w:val="2"/>
      </w:numPr>
      <w:tabs>
        <w:tab w:val="left" w:pos="851"/>
      </w:tabs>
      <w:spacing w:before="120" w:after="120" w:line="240" w:lineRule="auto"/>
      <w:jc w:val="both"/>
      <w:outlineLvl w:val="6"/>
    </w:pPr>
    <w:rPr>
      <w:rFonts w:ascii="Times New Roman" w:eastAsia="Times New Roman" w:hAnsi="Times New Roman" w:cs="Times New Roman"/>
      <w:sz w:val="24"/>
      <w:szCs w:val="24"/>
    </w:rPr>
  </w:style>
  <w:style w:type="paragraph" w:customStyle="1" w:styleId="Textbodu">
    <w:name w:val="Text bodu"/>
    <w:basedOn w:val="Normln"/>
    <w:uiPriority w:val="99"/>
    <w:rsid w:val="00236B55"/>
    <w:pPr>
      <w:numPr>
        <w:ilvl w:val="2"/>
        <w:numId w:val="2"/>
      </w:numPr>
      <w:spacing w:after="0" w:line="240" w:lineRule="auto"/>
      <w:jc w:val="both"/>
      <w:outlineLvl w:val="8"/>
    </w:pPr>
    <w:rPr>
      <w:rFonts w:ascii="Times New Roman" w:eastAsia="Times New Roman" w:hAnsi="Times New Roman" w:cs="Times New Roman"/>
      <w:sz w:val="24"/>
      <w:szCs w:val="24"/>
    </w:rPr>
  </w:style>
  <w:style w:type="paragraph" w:customStyle="1" w:styleId="Textpsmene">
    <w:name w:val="Text písmene"/>
    <w:basedOn w:val="Normln"/>
    <w:uiPriority w:val="99"/>
    <w:rsid w:val="00236B55"/>
    <w:pPr>
      <w:numPr>
        <w:ilvl w:val="1"/>
        <w:numId w:val="2"/>
      </w:numPr>
      <w:spacing w:after="0" w:line="240" w:lineRule="auto"/>
      <w:jc w:val="both"/>
      <w:outlineLvl w:val="7"/>
    </w:pPr>
    <w:rPr>
      <w:rFonts w:ascii="Times New Roman" w:eastAsia="Times New Roman" w:hAnsi="Times New Roman" w:cs="Times New Roman"/>
      <w:sz w:val="24"/>
      <w:szCs w:val="24"/>
    </w:rPr>
  </w:style>
  <w:style w:type="paragraph" w:styleId="Odstavecseseznamem">
    <w:name w:val="List Paragraph"/>
    <w:basedOn w:val="Normln"/>
    <w:uiPriority w:val="34"/>
    <w:qFormat/>
    <w:rsid w:val="00236B55"/>
    <w:pPr>
      <w:ind w:left="720"/>
      <w:contextualSpacing/>
    </w:pPr>
  </w:style>
  <w:style w:type="character" w:styleId="Odkaznakoment">
    <w:name w:val="annotation reference"/>
    <w:basedOn w:val="Standardnpsmoodstavce"/>
    <w:uiPriority w:val="99"/>
    <w:semiHidden/>
    <w:unhideWhenUsed/>
    <w:rsid w:val="00B57BAA"/>
    <w:rPr>
      <w:sz w:val="16"/>
      <w:szCs w:val="16"/>
    </w:rPr>
  </w:style>
  <w:style w:type="paragraph" w:styleId="Textkomente">
    <w:name w:val="annotation text"/>
    <w:basedOn w:val="Normln"/>
    <w:link w:val="TextkomenteChar"/>
    <w:uiPriority w:val="99"/>
    <w:unhideWhenUsed/>
    <w:rsid w:val="00B57BAA"/>
    <w:pPr>
      <w:spacing w:line="240" w:lineRule="auto"/>
    </w:pPr>
    <w:rPr>
      <w:sz w:val="20"/>
      <w:szCs w:val="20"/>
    </w:rPr>
  </w:style>
  <w:style w:type="character" w:customStyle="1" w:styleId="TextkomenteChar">
    <w:name w:val="Text komentáře Char"/>
    <w:basedOn w:val="Standardnpsmoodstavce"/>
    <w:link w:val="Textkomente"/>
    <w:uiPriority w:val="99"/>
    <w:rsid w:val="00B57BAA"/>
    <w:rPr>
      <w:sz w:val="20"/>
      <w:szCs w:val="20"/>
    </w:rPr>
  </w:style>
  <w:style w:type="paragraph" w:styleId="Pedmtkomente">
    <w:name w:val="annotation subject"/>
    <w:basedOn w:val="Textkomente"/>
    <w:next w:val="Textkomente"/>
    <w:link w:val="PedmtkomenteChar"/>
    <w:uiPriority w:val="99"/>
    <w:semiHidden/>
    <w:unhideWhenUsed/>
    <w:rsid w:val="00B57BAA"/>
    <w:rPr>
      <w:b/>
      <w:bCs/>
    </w:rPr>
  </w:style>
  <w:style w:type="character" w:customStyle="1" w:styleId="PedmtkomenteChar">
    <w:name w:val="Předmět komentáře Char"/>
    <w:basedOn w:val="TextkomenteChar"/>
    <w:link w:val="Pedmtkomente"/>
    <w:uiPriority w:val="99"/>
    <w:semiHidden/>
    <w:rsid w:val="00B57BAA"/>
    <w:rPr>
      <w:b/>
      <w:bCs/>
      <w:sz w:val="20"/>
      <w:szCs w:val="20"/>
    </w:rPr>
  </w:style>
  <w:style w:type="paragraph" w:styleId="Textbubliny">
    <w:name w:val="Balloon Text"/>
    <w:basedOn w:val="Normln"/>
    <w:link w:val="TextbublinyChar"/>
    <w:uiPriority w:val="99"/>
    <w:semiHidden/>
    <w:unhideWhenUsed/>
    <w:rsid w:val="00B57BA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7BAA"/>
    <w:rPr>
      <w:rFonts w:ascii="Tahoma" w:hAnsi="Tahoma" w:cs="Tahoma"/>
      <w:sz w:val="16"/>
      <w:szCs w:val="16"/>
    </w:rPr>
  </w:style>
  <w:style w:type="paragraph" w:customStyle="1" w:styleId="CM4">
    <w:name w:val="CM4"/>
    <w:basedOn w:val="Normln"/>
    <w:next w:val="Normln"/>
    <w:uiPriority w:val="99"/>
    <w:rsid w:val="008459E0"/>
    <w:pPr>
      <w:autoSpaceDE w:val="0"/>
      <w:autoSpaceDN w:val="0"/>
      <w:adjustRightInd w:val="0"/>
      <w:spacing w:after="0" w:line="240" w:lineRule="auto"/>
    </w:pPr>
    <w:rPr>
      <w:rFonts w:ascii="EUAlbertina" w:hAnsi="EUAlbertina"/>
      <w:sz w:val="24"/>
      <w:szCs w:val="24"/>
    </w:rPr>
  </w:style>
  <w:style w:type="paragraph" w:customStyle="1" w:styleId="CM1">
    <w:name w:val="CM1"/>
    <w:basedOn w:val="Normln"/>
    <w:next w:val="Normln"/>
    <w:uiPriority w:val="99"/>
    <w:rsid w:val="00D06DE1"/>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D06DE1"/>
    <w:pPr>
      <w:autoSpaceDE w:val="0"/>
      <w:autoSpaceDN w:val="0"/>
      <w:adjustRightInd w:val="0"/>
      <w:spacing w:after="0" w:line="240" w:lineRule="auto"/>
    </w:pPr>
    <w:rPr>
      <w:rFonts w:ascii="EUAlbertina" w:hAnsi="EUAlbertina"/>
      <w:sz w:val="24"/>
      <w:szCs w:val="24"/>
    </w:rPr>
  </w:style>
  <w:style w:type="paragraph" w:customStyle="1" w:styleId="Default">
    <w:name w:val="Default"/>
    <w:rsid w:val="00C765A6"/>
    <w:pPr>
      <w:autoSpaceDE w:val="0"/>
      <w:autoSpaceDN w:val="0"/>
      <w:adjustRightInd w:val="0"/>
      <w:spacing w:after="0" w:line="240" w:lineRule="auto"/>
    </w:pPr>
    <w:rPr>
      <w:rFonts w:ascii="EUAlbertina" w:hAnsi="EUAlbertina" w:cs="EUAlbertina"/>
      <w:color w:val="000000"/>
      <w:sz w:val="24"/>
      <w:szCs w:val="24"/>
    </w:rPr>
  </w:style>
  <w:style w:type="paragraph" w:customStyle="1" w:styleId="Normln1">
    <w:name w:val="Normální1"/>
    <w:basedOn w:val="Normln"/>
    <w:rsid w:val="006964C8"/>
    <w:pPr>
      <w:spacing w:before="100" w:beforeAutospacing="1" w:after="100" w:afterAutospacing="1" w:line="240" w:lineRule="auto"/>
    </w:pPr>
    <w:rPr>
      <w:rFonts w:ascii="Times New Roman" w:eastAsia="Times New Roman" w:hAnsi="Times New Roman" w:cs="Times New Roman"/>
      <w:sz w:val="24"/>
      <w:szCs w:val="24"/>
    </w:rPr>
  </w:style>
  <w:style w:type="paragraph" w:styleId="Bezmezer">
    <w:name w:val="No Spacing"/>
    <w:uiPriority w:val="1"/>
    <w:qFormat/>
    <w:rsid w:val="006964C8"/>
    <w:pPr>
      <w:spacing w:after="0" w:line="240" w:lineRule="auto"/>
    </w:pPr>
  </w:style>
  <w:style w:type="paragraph" w:customStyle="1" w:styleId="sti-art">
    <w:name w:val="sti-art"/>
    <w:basedOn w:val="Normln"/>
    <w:rsid w:val="00BE00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ln2">
    <w:name w:val="Normální2"/>
    <w:basedOn w:val="Normln"/>
    <w:rsid w:val="00BE00AA"/>
    <w:pPr>
      <w:spacing w:before="100" w:beforeAutospacing="1" w:after="100" w:afterAutospacing="1" w:line="240" w:lineRule="auto"/>
    </w:pPr>
    <w:rPr>
      <w:rFonts w:ascii="Times New Roman" w:eastAsia="Times New Roman" w:hAnsi="Times New Roman" w:cs="Times New Roman"/>
      <w:sz w:val="24"/>
      <w:szCs w:val="24"/>
    </w:rPr>
  </w:style>
  <w:style w:type="character" w:styleId="Hypertextovodkaz">
    <w:name w:val="Hyperlink"/>
    <w:basedOn w:val="Standardnpsmoodstavce"/>
    <w:uiPriority w:val="99"/>
    <w:semiHidden/>
    <w:unhideWhenUsed/>
    <w:rsid w:val="00BE00AA"/>
    <w:rPr>
      <w:color w:val="0000FF"/>
      <w:u w:val="single"/>
    </w:rPr>
  </w:style>
  <w:style w:type="character" w:customStyle="1" w:styleId="super">
    <w:name w:val="super"/>
    <w:basedOn w:val="Standardnpsmoodstavce"/>
    <w:rsid w:val="00BE00AA"/>
  </w:style>
  <w:style w:type="character" w:customStyle="1" w:styleId="Nadpis1Char">
    <w:name w:val="Nadpis 1 Char"/>
    <w:basedOn w:val="Standardnpsmoodstavce"/>
    <w:link w:val="Nadpis1"/>
    <w:uiPriority w:val="9"/>
    <w:rsid w:val="00EB4C46"/>
    <w:rPr>
      <w:rFonts w:ascii="Times New Roman" w:eastAsia="Times New Roman" w:hAnsi="Times New Roman" w:cs="Times New Roman"/>
      <w:b/>
      <w:bCs/>
      <w:kern w:val="36"/>
      <w:sz w:val="48"/>
      <w:szCs w:val="48"/>
    </w:rPr>
  </w:style>
  <w:style w:type="paragraph" w:customStyle="1" w:styleId="Normln3">
    <w:name w:val="Normální3"/>
    <w:basedOn w:val="Normln"/>
    <w:rsid w:val="00D610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ln"/>
    <w:rsid w:val="00D610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ln4">
    <w:name w:val="Normální4"/>
    <w:basedOn w:val="Normln"/>
    <w:rsid w:val="003623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tle-article-norm">
    <w:name w:val="stitle-article-norm"/>
    <w:basedOn w:val="Normln"/>
    <w:rsid w:val="00E86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ln"/>
    <w:rsid w:val="00E86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ln5">
    <w:name w:val="Normální5"/>
    <w:basedOn w:val="Normln"/>
    <w:rsid w:val="009349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43">
      <w:bodyDiv w:val="1"/>
      <w:marLeft w:val="0"/>
      <w:marRight w:val="0"/>
      <w:marTop w:val="0"/>
      <w:marBottom w:val="0"/>
      <w:divBdr>
        <w:top w:val="none" w:sz="0" w:space="0" w:color="auto"/>
        <w:left w:val="none" w:sz="0" w:space="0" w:color="auto"/>
        <w:bottom w:val="none" w:sz="0" w:space="0" w:color="auto"/>
        <w:right w:val="none" w:sz="0" w:space="0" w:color="auto"/>
      </w:divBdr>
    </w:div>
    <w:div w:id="158008729">
      <w:bodyDiv w:val="1"/>
      <w:marLeft w:val="0"/>
      <w:marRight w:val="0"/>
      <w:marTop w:val="0"/>
      <w:marBottom w:val="0"/>
      <w:divBdr>
        <w:top w:val="none" w:sz="0" w:space="0" w:color="auto"/>
        <w:left w:val="none" w:sz="0" w:space="0" w:color="auto"/>
        <w:bottom w:val="none" w:sz="0" w:space="0" w:color="auto"/>
        <w:right w:val="none" w:sz="0" w:space="0" w:color="auto"/>
      </w:divBdr>
    </w:div>
    <w:div w:id="174613685">
      <w:bodyDiv w:val="1"/>
      <w:marLeft w:val="0"/>
      <w:marRight w:val="0"/>
      <w:marTop w:val="0"/>
      <w:marBottom w:val="0"/>
      <w:divBdr>
        <w:top w:val="none" w:sz="0" w:space="0" w:color="auto"/>
        <w:left w:val="none" w:sz="0" w:space="0" w:color="auto"/>
        <w:bottom w:val="none" w:sz="0" w:space="0" w:color="auto"/>
        <w:right w:val="none" w:sz="0" w:space="0" w:color="auto"/>
      </w:divBdr>
      <w:divsChild>
        <w:div w:id="1182158110">
          <w:marLeft w:val="480"/>
          <w:marRight w:val="0"/>
          <w:marTop w:val="0"/>
          <w:marBottom w:val="0"/>
          <w:divBdr>
            <w:top w:val="none" w:sz="0" w:space="0" w:color="auto"/>
            <w:left w:val="none" w:sz="0" w:space="0" w:color="auto"/>
            <w:bottom w:val="none" w:sz="0" w:space="0" w:color="auto"/>
            <w:right w:val="none" w:sz="0" w:space="0" w:color="auto"/>
          </w:divBdr>
        </w:div>
        <w:div w:id="488257213">
          <w:marLeft w:val="480"/>
          <w:marRight w:val="0"/>
          <w:marTop w:val="0"/>
          <w:marBottom w:val="0"/>
          <w:divBdr>
            <w:top w:val="none" w:sz="0" w:space="0" w:color="auto"/>
            <w:left w:val="none" w:sz="0" w:space="0" w:color="auto"/>
            <w:bottom w:val="none" w:sz="0" w:space="0" w:color="auto"/>
            <w:right w:val="none" w:sz="0" w:space="0" w:color="auto"/>
          </w:divBdr>
        </w:div>
        <w:div w:id="415631972">
          <w:marLeft w:val="480"/>
          <w:marRight w:val="0"/>
          <w:marTop w:val="0"/>
          <w:marBottom w:val="0"/>
          <w:divBdr>
            <w:top w:val="none" w:sz="0" w:space="0" w:color="auto"/>
            <w:left w:val="none" w:sz="0" w:space="0" w:color="auto"/>
            <w:bottom w:val="none" w:sz="0" w:space="0" w:color="auto"/>
            <w:right w:val="none" w:sz="0" w:space="0" w:color="auto"/>
          </w:divBdr>
        </w:div>
        <w:div w:id="799302878">
          <w:marLeft w:val="480"/>
          <w:marRight w:val="0"/>
          <w:marTop w:val="0"/>
          <w:marBottom w:val="0"/>
          <w:divBdr>
            <w:top w:val="none" w:sz="0" w:space="0" w:color="auto"/>
            <w:left w:val="none" w:sz="0" w:space="0" w:color="auto"/>
            <w:bottom w:val="none" w:sz="0" w:space="0" w:color="auto"/>
            <w:right w:val="none" w:sz="0" w:space="0" w:color="auto"/>
          </w:divBdr>
        </w:div>
        <w:div w:id="905183766">
          <w:marLeft w:val="480"/>
          <w:marRight w:val="0"/>
          <w:marTop w:val="0"/>
          <w:marBottom w:val="0"/>
          <w:divBdr>
            <w:top w:val="none" w:sz="0" w:space="0" w:color="auto"/>
            <w:left w:val="none" w:sz="0" w:space="0" w:color="auto"/>
            <w:bottom w:val="none" w:sz="0" w:space="0" w:color="auto"/>
            <w:right w:val="none" w:sz="0" w:space="0" w:color="auto"/>
          </w:divBdr>
        </w:div>
        <w:div w:id="313685858">
          <w:marLeft w:val="480"/>
          <w:marRight w:val="0"/>
          <w:marTop w:val="0"/>
          <w:marBottom w:val="0"/>
          <w:divBdr>
            <w:top w:val="none" w:sz="0" w:space="0" w:color="auto"/>
            <w:left w:val="none" w:sz="0" w:space="0" w:color="auto"/>
            <w:bottom w:val="none" w:sz="0" w:space="0" w:color="auto"/>
            <w:right w:val="none" w:sz="0" w:space="0" w:color="auto"/>
          </w:divBdr>
        </w:div>
      </w:divsChild>
    </w:div>
    <w:div w:id="198128241">
      <w:bodyDiv w:val="1"/>
      <w:marLeft w:val="0"/>
      <w:marRight w:val="0"/>
      <w:marTop w:val="0"/>
      <w:marBottom w:val="0"/>
      <w:divBdr>
        <w:top w:val="none" w:sz="0" w:space="0" w:color="auto"/>
        <w:left w:val="none" w:sz="0" w:space="0" w:color="auto"/>
        <w:bottom w:val="none" w:sz="0" w:space="0" w:color="auto"/>
        <w:right w:val="none" w:sz="0" w:space="0" w:color="auto"/>
      </w:divBdr>
    </w:div>
    <w:div w:id="203298091">
      <w:bodyDiv w:val="1"/>
      <w:marLeft w:val="0"/>
      <w:marRight w:val="0"/>
      <w:marTop w:val="0"/>
      <w:marBottom w:val="0"/>
      <w:divBdr>
        <w:top w:val="none" w:sz="0" w:space="0" w:color="auto"/>
        <w:left w:val="none" w:sz="0" w:space="0" w:color="auto"/>
        <w:bottom w:val="none" w:sz="0" w:space="0" w:color="auto"/>
        <w:right w:val="none" w:sz="0" w:space="0" w:color="auto"/>
      </w:divBdr>
    </w:div>
    <w:div w:id="205220687">
      <w:bodyDiv w:val="1"/>
      <w:marLeft w:val="0"/>
      <w:marRight w:val="0"/>
      <w:marTop w:val="0"/>
      <w:marBottom w:val="0"/>
      <w:divBdr>
        <w:top w:val="none" w:sz="0" w:space="0" w:color="auto"/>
        <w:left w:val="none" w:sz="0" w:space="0" w:color="auto"/>
        <w:bottom w:val="none" w:sz="0" w:space="0" w:color="auto"/>
        <w:right w:val="none" w:sz="0" w:space="0" w:color="auto"/>
      </w:divBdr>
    </w:div>
    <w:div w:id="246113206">
      <w:bodyDiv w:val="1"/>
      <w:marLeft w:val="0"/>
      <w:marRight w:val="0"/>
      <w:marTop w:val="0"/>
      <w:marBottom w:val="0"/>
      <w:divBdr>
        <w:top w:val="none" w:sz="0" w:space="0" w:color="auto"/>
        <w:left w:val="none" w:sz="0" w:space="0" w:color="auto"/>
        <w:bottom w:val="none" w:sz="0" w:space="0" w:color="auto"/>
        <w:right w:val="none" w:sz="0" w:space="0" w:color="auto"/>
      </w:divBdr>
    </w:div>
    <w:div w:id="251164448">
      <w:bodyDiv w:val="1"/>
      <w:marLeft w:val="0"/>
      <w:marRight w:val="0"/>
      <w:marTop w:val="0"/>
      <w:marBottom w:val="0"/>
      <w:divBdr>
        <w:top w:val="none" w:sz="0" w:space="0" w:color="auto"/>
        <w:left w:val="none" w:sz="0" w:space="0" w:color="auto"/>
        <w:bottom w:val="none" w:sz="0" w:space="0" w:color="auto"/>
        <w:right w:val="none" w:sz="0" w:space="0" w:color="auto"/>
      </w:divBdr>
    </w:div>
    <w:div w:id="356737104">
      <w:bodyDiv w:val="1"/>
      <w:marLeft w:val="0"/>
      <w:marRight w:val="0"/>
      <w:marTop w:val="0"/>
      <w:marBottom w:val="0"/>
      <w:divBdr>
        <w:top w:val="none" w:sz="0" w:space="0" w:color="auto"/>
        <w:left w:val="none" w:sz="0" w:space="0" w:color="auto"/>
        <w:bottom w:val="none" w:sz="0" w:space="0" w:color="auto"/>
        <w:right w:val="none" w:sz="0" w:space="0" w:color="auto"/>
      </w:divBdr>
    </w:div>
    <w:div w:id="383255668">
      <w:bodyDiv w:val="1"/>
      <w:marLeft w:val="0"/>
      <w:marRight w:val="0"/>
      <w:marTop w:val="0"/>
      <w:marBottom w:val="0"/>
      <w:divBdr>
        <w:top w:val="none" w:sz="0" w:space="0" w:color="auto"/>
        <w:left w:val="none" w:sz="0" w:space="0" w:color="auto"/>
        <w:bottom w:val="none" w:sz="0" w:space="0" w:color="auto"/>
        <w:right w:val="none" w:sz="0" w:space="0" w:color="auto"/>
      </w:divBdr>
    </w:div>
    <w:div w:id="401880039">
      <w:bodyDiv w:val="1"/>
      <w:marLeft w:val="0"/>
      <w:marRight w:val="0"/>
      <w:marTop w:val="0"/>
      <w:marBottom w:val="0"/>
      <w:divBdr>
        <w:top w:val="none" w:sz="0" w:space="0" w:color="auto"/>
        <w:left w:val="none" w:sz="0" w:space="0" w:color="auto"/>
        <w:bottom w:val="none" w:sz="0" w:space="0" w:color="auto"/>
        <w:right w:val="none" w:sz="0" w:space="0" w:color="auto"/>
      </w:divBdr>
    </w:div>
    <w:div w:id="412698759">
      <w:bodyDiv w:val="1"/>
      <w:marLeft w:val="0"/>
      <w:marRight w:val="0"/>
      <w:marTop w:val="0"/>
      <w:marBottom w:val="0"/>
      <w:divBdr>
        <w:top w:val="none" w:sz="0" w:space="0" w:color="auto"/>
        <w:left w:val="none" w:sz="0" w:space="0" w:color="auto"/>
        <w:bottom w:val="none" w:sz="0" w:space="0" w:color="auto"/>
        <w:right w:val="none" w:sz="0" w:space="0" w:color="auto"/>
      </w:divBdr>
    </w:div>
    <w:div w:id="503015827">
      <w:bodyDiv w:val="1"/>
      <w:marLeft w:val="0"/>
      <w:marRight w:val="0"/>
      <w:marTop w:val="0"/>
      <w:marBottom w:val="0"/>
      <w:divBdr>
        <w:top w:val="none" w:sz="0" w:space="0" w:color="auto"/>
        <w:left w:val="none" w:sz="0" w:space="0" w:color="auto"/>
        <w:bottom w:val="none" w:sz="0" w:space="0" w:color="auto"/>
        <w:right w:val="none" w:sz="0" w:space="0" w:color="auto"/>
      </w:divBdr>
      <w:divsChild>
        <w:div w:id="635338472">
          <w:marLeft w:val="0"/>
          <w:marRight w:val="0"/>
          <w:marTop w:val="0"/>
          <w:marBottom w:val="0"/>
          <w:divBdr>
            <w:top w:val="none" w:sz="0" w:space="0" w:color="auto"/>
            <w:left w:val="none" w:sz="0" w:space="0" w:color="auto"/>
            <w:bottom w:val="none" w:sz="0" w:space="0" w:color="auto"/>
            <w:right w:val="none" w:sz="0" w:space="0" w:color="auto"/>
          </w:divBdr>
          <w:divsChild>
            <w:div w:id="942227726">
              <w:marLeft w:val="0"/>
              <w:marRight w:val="0"/>
              <w:marTop w:val="120"/>
              <w:marBottom w:val="0"/>
              <w:divBdr>
                <w:top w:val="none" w:sz="0" w:space="0" w:color="auto"/>
                <w:left w:val="none" w:sz="0" w:space="0" w:color="auto"/>
                <w:bottom w:val="none" w:sz="0" w:space="0" w:color="auto"/>
                <w:right w:val="none" w:sz="0" w:space="0" w:color="auto"/>
              </w:divBdr>
            </w:div>
            <w:div w:id="1522549986">
              <w:marLeft w:val="0"/>
              <w:marRight w:val="0"/>
              <w:marTop w:val="0"/>
              <w:marBottom w:val="0"/>
              <w:divBdr>
                <w:top w:val="none" w:sz="0" w:space="0" w:color="auto"/>
                <w:left w:val="none" w:sz="0" w:space="0" w:color="auto"/>
                <w:bottom w:val="none" w:sz="0" w:space="0" w:color="auto"/>
                <w:right w:val="none" w:sz="0" w:space="0" w:color="auto"/>
              </w:divBdr>
            </w:div>
          </w:divsChild>
        </w:div>
        <w:div w:id="445466429">
          <w:marLeft w:val="0"/>
          <w:marRight w:val="0"/>
          <w:marTop w:val="0"/>
          <w:marBottom w:val="0"/>
          <w:divBdr>
            <w:top w:val="none" w:sz="0" w:space="0" w:color="auto"/>
            <w:left w:val="none" w:sz="0" w:space="0" w:color="auto"/>
            <w:bottom w:val="none" w:sz="0" w:space="0" w:color="auto"/>
            <w:right w:val="none" w:sz="0" w:space="0" w:color="auto"/>
          </w:divBdr>
          <w:divsChild>
            <w:div w:id="877399661">
              <w:marLeft w:val="0"/>
              <w:marRight w:val="0"/>
              <w:marTop w:val="120"/>
              <w:marBottom w:val="0"/>
              <w:divBdr>
                <w:top w:val="none" w:sz="0" w:space="0" w:color="auto"/>
                <w:left w:val="none" w:sz="0" w:space="0" w:color="auto"/>
                <w:bottom w:val="none" w:sz="0" w:space="0" w:color="auto"/>
                <w:right w:val="none" w:sz="0" w:space="0" w:color="auto"/>
              </w:divBdr>
            </w:div>
            <w:div w:id="99565686">
              <w:marLeft w:val="0"/>
              <w:marRight w:val="0"/>
              <w:marTop w:val="0"/>
              <w:marBottom w:val="0"/>
              <w:divBdr>
                <w:top w:val="none" w:sz="0" w:space="0" w:color="auto"/>
                <w:left w:val="none" w:sz="0" w:space="0" w:color="auto"/>
                <w:bottom w:val="none" w:sz="0" w:space="0" w:color="auto"/>
                <w:right w:val="none" w:sz="0" w:space="0" w:color="auto"/>
              </w:divBdr>
            </w:div>
          </w:divsChild>
        </w:div>
        <w:div w:id="1584752988">
          <w:marLeft w:val="0"/>
          <w:marRight w:val="0"/>
          <w:marTop w:val="0"/>
          <w:marBottom w:val="0"/>
          <w:divBdr>
            <w:top w:val="none" w:sz="0" w:space="0" w:color="auto"/>
            <w:left w:val="none" w:sz="0" w:space="0" w:color="auto"/>
            <w:bottom w:val="none" w:sz="0" w:space="0" w:color="auto"/>
            <w:right w:val="none" w:sz="0" w:space="0" w:color="auto"/>
          </w:divBdr>
          <w:divsChild>
            <w:div w:id="220602005">
              <w:marLeft w:val="0"/>
              <w:marRight w:val="0"/>
              <w:marTop w:val="120"/>
              <w:marBottom w:val="0"/>
              <w:divBdr>
                <w:top w:val="none" w:sz="0" w:space="0" w:color="auto"/>
                <w:left w:val="none" w:sz="0" w:space="0" w:color="auto"/>
                <w:bottom w:val="none" w:sz="0" w:space="0" w:color="auto"/>
                <w:right w:val="none" w:sz="0" w:space="0" w:color="auto"/>
              </w:divBdr>
            </w:div>
            <w:div w:id="1542865213">
              <w:marLeft w:val="0"/>
              <w:marRight w:val="0"/>
              <w:marTop w:val="0"/>
              <w:marBottom w:val="0"/>
              <w:divBdr>
                <w:top w:val="none" w:sz="0" w:space="0" w:color="auto"/>
                <w:left w:val="none" w:sz="0" w:space="0" w:color="auto"/>
                <w:bottom w:val="none" w:sz="0" w:space="0" w:color="auto"/>
                <w:right w:val="none" w:sz="0" w:space="0" w:color="auto"/>
              </w:divBdr>
            </w:div>
          </w:divsChild>
        </w:div>
        <w:div w:id="987855467">
          <w:marLeft w:val="0"/>
          <w:marRight w:val="0"/>
          <w:marTop w:val="0"/>
          <w:marBottom w:val="0"/>
          <w:divBdr>
            <w:top w:val="none" w:sz="0" w:space="0" w:color="auto"/>
            <w:left w:val="none" w:sz="0" w:space="0" w:color="auto"/>
            <w:bottom w:val="none" w:sz="0" w:space="0" w:color="auto"/>
            <w:right w:val="none" w:sz="0" w:space="0" w:color="auto"/>
          </w:divBdr>
          <w:divsChild>
            <w:div w:id="68617055">
              <w:marLeft w:val="0"/>
              <w:marRight w:val="0"/>
              <w:marTop w:val="120"/>
              <w:marBottom w:val="0"/>
              <w:divBdr>
                <w:top w:val="none" w:sz="0" w:space="0" w:color="auto"/>
                <w:left w:val="none" w:sz="0" w:space="0" w:color="auto"/>
                <w:bottom w:val="none" w:sz="0" w:space="0" w:color="auto"/>
                <w:right w:val="none" w:sz="0" w:space="0" w:color="auto"/>
              </w:divBdr>
            </w:div>
            <w:div w:id="1739673430">
              <w:marLeft w:val="0"/>
              <w:marRight w:val="0"/>
              <w:marTop w:val="0"/>
              <w:marBottom w:val="0"/>
              <w:divBdr>
                <w:top w:val="none" w:sz="0" w:space="0" w:color="auto"/>
                <w:left w:val="none" w:sz="0" w:space="0" w:color="auto"/>
                <w:bottom w:val="none" w:sz="0" w:space="0" w:color="auto"/>
                <w:right w:val="none" w:sz="0" w:space="0" w:color="auto"/>
              </w:divBdr>
            </w:div>
          </w:divsChild>
        </w:div>
        <w:div w:id="712266462">
          <w:marLeft w:val="0"/>
          <w:marRight w:val="0"/>
          <w:marTop w:val="0"/>
          <w:marBottom w:val="0"/>
          <w:divBdr>
            <w:top w:val="none" w:sz="0" w:space="0" w:color="auto"/>
            <w:left w:val="none" w:sz="0" w:space="0" w:color="auto"/>
            <w:bottom w:val="none" w:sz="0" w:space="0" w:color="auto"/>
            <w:right w:val="none" w:sz="0" w:space="0" w:color="auto"/>
          </w:divBdr>
          <w:divsChild>
            <w:div w:id="102653178">
              <w:marLeft w:val="0"/>
              <w:marRight w:val="0"/>
              <w:marTop w:val="120"/>
              <w:marBottom w:val="0"/>
              <w:divBdr>
                <w:top w:val="none" w:sz="0" w:space="0" w:color="auto"/>
                <w:left w:val="none" w:sz="0" w:space="0" w:color="auto"/>
                <w:bottom w:val="none" w:sz="0" w:space="0" w:color="auto"/>
                <w:right w:val="none" w:sz="0" w:space="0" w:color="auto"/>
              </w:divBdr>
            </w:div>
            <w:div w:id="199317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09460">
      <w:bodyDiv w:val="1"/>
      <w:marLeft w:val="0"/>
      <w:marRight w:val="0"/>
      <w:marTop w:val="0"/>
      <w:marBottom w:val="0"/>
      <w:divBdr>
        <w:top w:val="none" w:sz="0" w:space="0" w:color="auto"/>
        <w:left w:val="none" w:sz="0" w:space="0" w:color="auto"/>
        <w:bottom w:val="none" w:sz="0" w:space="0" w:color="auto"/>
        <w:right w:val="none" w:sz="0" w:space="0" w:color="auto"/>
      </w:divBdr>
    </w:div>
    <w:div w:id="571618315">
      <w:bodyDiv w:val="1"/>
      <w:marLeft w:val="0"/>
      <w:marRight w:val="0"/>
      <w:marTop w:val="0"/>
      <w:marBottom w:val="0"/>
      <w:divBdr>
        <w:top w:val="none" w:sz="0" w:space="0" w:color="auto"/>
        <w:left w:val="none" w:sz="0" w:space="0" w:color="auto"/>
        <w:bottom w:val="none" w:sz="0" w:space="0" w:color="auto"/>
        <w:right w:val="none" w:sz="0" w:space="0" w:color="auto"/>
      </w:divBdr>
    </w:div>
    <w:div w:id="582186559">
      <w:bodyDiv w:val="1"/>
      <w:marLeft w:val="0"/>
      <w:marRight w:val="0"/>
      <w:marTop w:val="0"/>
      <w:marBottom w:val="0"/>
      <w:divBdr>
        <w:top w:val="none" w:sz="0" w:space="0" w:color="auto"/>
        <w:left w:val="none" w:sz="0" w:space="0" w:color="auto"/>
        <w:bottom w:val="none" w:sz="0" w:space="0" w:color="auto"/>
        <w:right w:val="none" w:sz="0" w:space="0" w:color="auto"/>
      </w:divBdr>
    </w:div>
    <w:div w:id="591743402">
      <w:bodyDiv w:val="1"/>
      <w:marLeft w:val="0"/>
      <w:marRight w:val="0"/>
      <w:marTop w:val="0"/>
      <w:marBottom w:val="0"/>
      <w:divBdr>
        <w:top w:val="none" w:sz="0" w:space="0" w:color="auto"/>
        <w:left w:val="none" w:sz="0" w:space="0" w:color="auto"/>
        <w:bottom w:val="none" w:sz="0" w:space="0" w:color="auto"/>
        <w:right w:val="none" w:sz="0" w:space="0" w:color="auto"/>
      </w:divBdr>
    </w:div>
    <w:div w:id="619537465">
      <w:bodyDiv w:val="1"/>
      <w:marLeft w:val="0"/>
      <w:marRight w:val="0"/>
      <w:marTop w:val="0"/>
      <w:marBottom w:val="0"/>
      <w:divBdr>
        <w:top w:val="none" w:sz="0" w:space="0" w:color="auto"/>
        <w:left w:val="none" w:sz="0" w:space="0" w:color="auto"/>
        <w:bottom w:val="none" w:sz="0" w:space="0" w:color="auto"/>
        <w:right w:val="none" w:sz="0" w:space="0" w:color="auto"/>
      </w:divBdr>
    </w:div>
    <w:div w:id="621425331">
      <w:bodyDiv w:val="1"/>
      <w:marLeft w:val="0"/>
      <w:marRight w:val="0"/>
      <w:marTop w:val="0"/>
      <w:marBottom w:val="0"/>
      <w:divBdr>
        <w:top w:val="none" w:sz="0" w:space="0" w:color="auto"/>
        <w:left w:val="none" w:sz="0" w:space="0" w:color="auto"/>
        <w:bottom w:val="none" w:sz="0" w:space="0" w:color="auto"/>
        <w:right w:val="none" w:sz="0" w:space="0" w:color="auto"/>
      </w:divBdr>
    </w:div>
    <w:div w:id="626080944">
      <w:bodyDiv w:val="1"/>
      <w:marLeft w:val="0"/>
      <w:marRight w:val="0"/>
      <w:marTop w:val="0"/>
      <w:marBottom w:val="0"/>
      <w:divBdr>
        <w:top w:val="none" w:sz="0" w:space="0" w:color="auto"/>
        <w:left w:val="none" w:sz="0" w:space="0" w:color="auto"/>
        <w:bottom w:val="none" w:sz="0" w:space="0" w:color="auto"/>
        <w:right w:val="none" w:sz="0" w:space="0" w:color="auto"/>
      </w:divBdr>
    </w:div>
    <w:div w:id="772436833">
      <w:bodyDiv w:val="1"/>
      <w:marLeft w:val="0"/>
      <w:marRight w:val="0"/>
      <w:marTop w:val="0"/>
      <w:marBottom w:val="0"/>
      <w:divBdr>
        <w:top w:val="none" w:sz="0" w:space="0" w:color="auto"/>
        <w:left w:val="none" w:sz="0" w:space="0" w:color="auto"/>
        <w:bottom w:val="none" w:sz="0" w:space="0" w:color="auto"/>
        <w:right w:val="none" w:sz="0" w:space="0" w:color="auto"/>
      </w:divBdr>
    </w:div>
    <w:div w:id="863060393">
      <w:bodyDiv w:val="1"/>
      <w:marLeft w:val="0"/>
      <w:marRight w:val="0"/>
      <w:marTop w:val="0"/>
      <w:marBottom w:val="0"/>
      <w:divBdr>
        <w:top w:val="none" w:sz="0" w:space="0" w:color="auto"/>
        <w:left w:val="none" w:sz="0" w:space="0" w:color="auto"/>
        <w:bottom w:val="none" w:sz="0" w:space="0" w:color="auto"/>
        <w:right w:val="none" w:sz="0" w:space="0" w:color="auto"/>
      </w:divBdr>
    </w:div>
    <w:div w:id="876969694">
      <w:bodyDiv w:val="1"/>
      <w:marLeft w:val="0"/>
      <w:marRight w:val="0"/>
      <w:marTop w:val="0"/>
      <w:marBottom w:val="0"/>
      <w:divBdr>
        <w:top w:val="none" w:sz="0" w:space="0" w:color="auto"/>
        <w:left w:val="none" w:sz="0" w:space="0" w:color="auto"/>
        <w:bottom w:val="none" w:sz="0" w:space="0" w:color="auto"/>
        <w:right w:val="none" w:sz="0" w:space="0" w:color="auto"/>
      </w:divBdr>
    </w:div>
    <w:div w:id="883369355">
      <w:bodyDiv w:val="1"/>
      <w:marLeft w:val="0"/>
      <w:marRight w:val="0"/>
      <w:marTop w:val="0"/>
      <w:marBottom w:val="0"/>
      <w:divBdr>
        <w:top w:val="none" w:sz="0" w:space="0" w:color="auto"/>
        <w:left w:val="none" w:sz="0" w:space="0" w:color="auto"/>
        <w:bottom w:val="none" w:sz="0" w:space="0" w:color="auto"/>
        <w:right w:val="none" w:sz="0" w:space="0" w:color="auto"/>
      </w:divBdr>
    </w:div>
    <w:div w:id="926109016">
      <w:bodyDiv w:val="1"/>
      <w:marLeft w:val="0"/>
      <w:marRight w:val="0"/>
      <w:marTop w:val="0"/>
      <w:marBottom w:val="0"/>
      <w:divBdr>
        <w:top w:val="none" w:sz="0" w:space="0" w:color="auto"/>
        <w:left w:val="none" w:sz="0" w:space="0" w:color="auto"/>
        <w:bottom w:val="none" w:sz="0" w:space="0" w:color="auto"/>
        <w:right w:val="none" w:sz="0" w:space="0" w:color="auto"/>
      </w:divBdr>
    </w:div>
    <w:div w:id="1016538733">
      <w:bodyDiv w:val="1"/>
      <w:marLeft w:val="0"/>
      <w:marRight w:val="0"/>
      <w:marTop w:val="0"/>
      <w:marBottom w:val="0"/>
      <w:divBdr>
        <w:top w:val="none" w:sz="0" w:space="0" w:color="auto"/>
        <w:left w:val="none" w:sz="0" w:space="0" w:color="auto"/>
        <w:bottom w:val="none" w:sz="0" w:space="0" w:color="auto"/>
        <w:right w:val="none" w:sz="0" w:space="0" w:color="auto"/>
      </w:divBdr>
    </w:div>
    <w:div w:id="1035157165">
      <w:bodyDiv w:val="1"/>
      <w:marLeft w:val="0"/>
      <w:marRight w:val="0"/>
      <w:marTop w:val="0"/>
      <w:marBottom w:val="0"/>
      <w:divBdr>
        <w:top w:val="none" w:sz="0" w:space="0" w:color="auto"/>
        <w:left w:val="none" w:sz="0" w:space="0" w:color="auto"/>
        <w:bottom w:val="none" w:sz="0" w:space="0" w:color="auto"/>
        <w:right w:val="none" w:sz="0" w:space="0" w:color="auto"/>
      </w:divBdr>
    </w:div>
    <w:div w:id="1092967754">
      <w:bodyDiv w:val="1"/>
      <w:marLeft w:val="0"/>
      <w:marRight w:val="0"/>
      <w:marTop w:val="0"/>
      <w:marBottom w:val="0"/>
      <w:divBdr>
        <w:top w:val="none" w:sz="0" w:space="0" w:color="auto"/>
        <w:left w:val="none" w:sz="0" w:space="0" w:color="auto"/>
        <w:bottom w:val="none" w:sz="0" w:space="0" w:color="auto"/>
        <w:right w:val="none" w:sz="0" w:space="0" w:color="auto"/>
      </w:divBdr>
      <w:divsChild>
        <w:div w:id="1169557795">
          <w:marLeft w:val="0"/>
          <w:marRight w:val="0"/>
          <w:marTop w:val="0"/>
          <w:marBottom w:val="0"/>
          <w:divBdr>
            <w:top w:val="none" w:sz="0" w:space="0" w:color="auto"/>
            <w:left w:val="none" w:sz="0" w:space="0" w:color="auto"/>
            <w:bottom w:val="none" w:sz="0" w:space="0" w:color="auto"/>
            <w:right w:val="none" w:sz="0" w:space="0" w:color="auto"/>
          </w:divBdr>
        </w:div>
        <w:div w:id="6712770">
          <w:marLeft w:val="0"/>
          <w:marRight w:val="0"/>
          <w:marTop w:val="0"/>
          <w:marBottom w:val="0"/>
          <w:divBdr>
            <w:top w:val="none" w:sz="0" w:space="0" w:color="auto"/>
            <w:left w:val="none" w:sz="0" w:space="0" w:color="auto"/>
            <w:bottom w:val="none" w:sz="0" w:space="0" w:color="auto"/>
            <w:right w:val="none" w:sz="0" w:space="0" w:color="auto"/>
          </w:divBdr>
        </w:div>
        <w:div w:id="1386680930">
          <w:marLeft w:val="0"/>
          <w:marRight w:val="0"/>
          <w:marTop w:val="0"/>
          <w:marBottom w:val="0"/>
          <w:divBdr>
            <w:top w:val="none" w:sz="0" w:space="0" w:color="auto"/>
            <w:left w:val="none" w:sz="0" w:space="0" w:color="auto"/>
            <w:bottom w:val="none" w:sz="0" w:space="0" w:color="auto"/>
            <w:right w:val="none" w:sz="0" w:space="0" w:color="auto"/>
          </w:divBdr>
        </w:div>
        <w:div w:id="1413895376">
          <w:marLeft w:val="0"/>
          <w:marRight w:val="0"/>
          <w:marTop w:val="0"/>
          <w:marBottom w:val="0"/>
          <w:divBdr>
            <w:top w:val="none" w:sz="0" w:space="0" w:color="auto"/>
            <w:left w:val="none" w:sz="0" w:space="0" w:color="auto"/>
            <w:bottom w:val="none" w:sz="0" w:space="0" w:color="auto"/>
            <w:right w:val="none" w:sz="0" w:space="0" w:color="auto"/>
          </w:divBdr>
        </w:div>
        <w:div w:id="443037457">
          <w:marLeft w:val="0"/>
          <w:marRight w:val="0"/>
          <w:marTop w:val="0"/>
          <w:marBottom w:val="0"/>
          <w:divBdr>
            <w:top w:val="none" w:sz="0" w:space="0" w:color="auto"/>
            <w:left w:val="none" w:sz="0" w:space="0" w:color="auto"/>
            <w:bottom w:val="none" w:sz="0" w:space="0" w:color="auto"/>
            <w:right w:val="none" w:sz="0" w:space="0" w:color="auto"/>
          </w:divBdr>
        </w:div>
        <w:div w:id="607540423">
          <w:marLeft w:val="0"/>
          <w:marRight w:val="0"/>
          <w:marTop w:val="0"/>
          <w:marBottom w:val="0"/>
          <w:divBdr>
            <w:top w:val="none" w:sz="0" w:space="0" w:color="auto"/>
            <w:left w:val="none" w:sz="0" w:space="0" w:color="auto"/>
            <w:bottom w:val="none" w:sz="0" w:space="0" w:color="auto"/>
            <w:right w:val="none" w:sz="0" w:space="0" w:color="auto"/>
          </w:divBdr>
        </w:div>
        <w:div w:id="2092963137">
          <w:marLeft w:val="0"/>
          <w:marRight w:val="0"/>
          <w:marTop w:val="0"/>
          <w:marBottom w:val="0"/>
          <w:divBdr>
            <w:top w:val="none" w:sz="0" w:space="0" w:color="auto"/>
            <w:left w:val="none" w:sz="0" w:space="0" w:color="auto"/>
            <w:bottom w:val="none" w:sz="0" w:space="0" w:color="auto"/>
            <w:right w:val="none" w:sz="0" w:space="0" w:color="auto"/>
          </w:divBdr>
        </w:div>
        <w:div w:id="1887644334">
          <w:marLeft w:val="0"/>
          <w:marRight w:val="0"/>
          <w:marTop w:val="0"/>
          <w:marBottom w:val="0"/>
          <w:divBdr>
            <w:top w:val="none" w:sz="0" w:space="0" w:color="auto"/>
            <w:left w:val="none" w:sz="0" w:space="0" w:color="auto"/>
            <w:bottom w:val="none" w:sz="0" w:space="0" w:color="auto"/>
            <w:right w:val="none" w:sz="0" w:space="0" w:color="auto"/>
          </w:divBdr>
        </w:div>
        <w:div w:id="2094862016">
          <w:marLeft w:val="0"/>
          <w:marRight w:val="0"/>
          <w:marTop w:val="0"/>
          <w:marBottom w:val="0"/>
          <w:divBdr>
            <w:top w:val="none" w:sz="0" w:space="0" w:color="auto"/>
            <w:left w:val="none" w:sz="0" w:space="0" w:color="auto"/>
            <w:bottom w:val="none" w:sz="0" w:space="0" w:color="auto"/>
            <w:right w:val="none" w:sz="0" w:space="0" w:color="auto"/>
          </w:divBdr>
        </w:div>
        <w:div w:id="1509830024">
          <w:marLeft w:val="0"/>
          <w:marRight w:val="0"/>
          <w:marTop w:val="0"/>
          <w:marBottom w:val="0"/>
          <w:divBdr>
            <w:top w:val="none" w:sz="0" w:space="0" w:color="auto"/>
            <w:left w:val="none" w:sz="0" w:space="0" w:color="auto"/>
            <w:bottom w:val="none" w:sz="0" w:space="0" w:color="auto"/>
            <w:right w:val="none" w:sz="0" w:space="0" w:color="auto"/>
          </w:divBdr>
        </w:div>
        <w:div w:id="982805796">
          <w:marLeft w:val="0"/>
          <w:marRight w:val="0"/>
          <w:marTop w:val="0"/>
          <w:marBottom w:val="0"/>
          <w:divBdr>
            <w:top w:val="none" w:sz="0" w:space="0" w:color="auto"/>
            <w:left w:val="none" w:sz="0" w:space="0" w:color="auto"/>
            <w:bottom w:val="none" w:sz="0" w:space="0" w:color="auto"/>
            <w:right w:val="none" w:sz="0" w:space="0" w:color="auto"/>
          </w:divBdr>
        </w:div>
        <w:div w:id="805390099">
          <w:marLeft w:val="0"/>
          <w:marRight w:val="0"/>
          <w:marTop w:val="0"/>
          <w:marBottom w:val="0"/>
          <w:divBdr>
            <w:top w:val="none" w:sz="0" w:space="0" w:color="auto"/>
            <w:left w:val="none" w:sz="0" w:space="0" w:color="auto"/>
            <w:bottom w:val="none" w:sz="0" w:space="0" w:color="auto"/>
            <w:right w:val="none" w:sz="0" w:space="0" w:color="auto"/>
          </w:divBdr>
        </w:div>
        <w:div w:id="1030454866">
          <w:marLeft w:val="0"/>
          <w:marRight w:val="0"/>
          <w:marTop w:val="0"/>
          <w:marBottom w:val="0"/>
          <w:divBdr>
            <w:top w:val="none" w:sz="0" w:space="0" w:color="auto"/>
            <w:left w:val="none" w:sz="0" w:space="0" w:color="auto"/>
            <w:bottom w:val="none" w:sz="0" w:space="0" w:color="auto"/>
            <w:right w:val="none" w:sz="0" w:space="0" w:color="auto"/>
          </w:divBdr>
        </w:div>
      </w:divsChild>
    </w:div>
    <w:div w:id="1102914503">
      <w:bodyDiv w:val="1"/>
      <w:marLeft w:val="0"/>
      <w:marRight w:val="0"/>
      <w:marTop w:val="0"/>
      <w:marBottom w:val="0"/>
      <w:divBdr>
        <w:top w:val="none" w:sz="0" w:space="0" w:color="auto"/>
        <w:left w:val="none" w:sz="0" w:space="0" w:color="auto"/>
        <w:bottom w:val="none" w:sz="0" w:space="0" w:color="auto"/>
        <w:right w:val="none" w:sz="0" w:space="0" w:color="auto"/>
      </w:divBdr>
    </w:div>
    <w:div w:id="1119572979">
      <w:bodyDiv w:val="1"/>
      <w:marLeft w:val="0"/>
      <w:marRight w:val="0"/>
      <w:marTop w:val="0"/>
      <w:marBottom w:val="0"/>
      <w:divBdr>
        <w:top w:val="none" w:sz="0" w:space="0" w:color="auto"/>
        <w:left w:val="none" w:sz="0" w:space="0" w:color="auto"/>
        <w:bottom w:val="none" w:sz="0" w:space="0" w:color="auto"/>
        <w:right w:val="none" w:sz="0" w:space="0" w:color="auto"/>
      </w:divBdr>
    </w:div>
    <w:div w:id="1120682717">
      <w:bodyDiv w:val="1"/>
      <w:marLeft w:val="0"/>
      <w:marRight w:val="0"/>
      <w:marTop w:val="0"/>
      <w:marBottom w:val="0"/>
      <w:divBdr>
        <w:top w:val="none" w:sz="0" w:space="0" w:color="auto"/>
        <w:left w:val="none" w:sz="0" w:space="0" w:color="auto"/>
        <w:bottom w:val="none" w:sz="0" w:space="0" w:color="auto"/>
        <w:right w:val="none" w:sz="0" w:space="0" w:color="auto"/>
      </w:divBdr>
    </w:div>
    <w:div w:id="1211572435">
      <w:bodyDiv w:val="1"/>
      <w:marLeft w:val="0"/>
      <w:marRight w:val="0"/>
      <w:marTop w:val="0"/>
      <w:marBottom w:val="0"/>
      <w:divBdr>
        <w:top w:val="none" w:sz="0" w:space="0" w:color="auto"/>
        <w:left w:val="none" w:sz="0" w:space="0" w:color="auto"/>
        <w:bottom w:val="none" w:sz="0" w:space="0" w:color="auto"/>
        <w:right w:val="none" w:sz="0" w:space="0" w:color="auto"/>
      </w:divBdr>
    </w:div>
    <w:div w:id="1245147975">
      <w:bodyDiv w:val="1"/>
      <w:marLeft w:val="0"/>
      <w:marRight w:val="0"/>
      <w:marTop w:val="0"/>
      <w:marBottom w:val="0"/>
      <w:divBdr>
        <w:top w:val="none" w:sz="0" w:space="0" w:color="auto"/>
        <w:left w:val="none" w:sz="0" w:space="0" w:color="auto"/>
        <w:bottom w:val="none" w:sz="0" w:space="0" w:color="auto"/>
        <w:right w:val="none" w:sz="0" w:space="0" w:color="auto"/>
      </w:divBdr>
    </w:div>
    <w:div w:id="1281646602">
      <w:bodyDiv w:val="1"/>
      <w:marLeft w:val="0"/>
      <w:marRight w:val="0"/>
      <w:marTop w:val="0"/>
      <w:marBottom w:val="0"/>
      <w:divBdr>
        <w:top w:val="none" w:sz="0" w:space="0" w:color="auto"/>
        <w:left w:val="none" w:sz="0" w:space="0" w:color="auto"/>
        <w:bottom w:val="none" w:sz="0" w:space="0" w:color="auto"/>
        <w:right w:val="none" w:sz="0" w:space="0" w:color="auto"/>
      </w:divBdr>
    </w:div>
    <w:div w:id="1299148997">
      <w:bodyDiv w:val="1"/>
      <w:marLeft w:val="0"/>
      <w:marRight w:val="0"/>
      <w:marTop w:val="0"/>
      <w:marBottom w:val="0"/>
      <w:divBdr>
        <w:top w:val="none" w:sz="0" w:space="0" w:color="auto"/>
        <w:left w:val="none" w:sz="0" w:space="0" w:color="auto"/>
        <w:bottom w:val="none" w:sz="0" w:space="0" w:color="auto"/>
        <w:right w:val="none" w:sz="0" w:space="0" w:color="auto"/>
      </w:divBdr>
    </w:div>
    <w:div w:id="1358194805">
      <w:bodyDiv w:val="1"/>
      <w:marLeft w:val="0"/>
      <w:marRight w:val="0"/>
      <w:marTop w:val="0"/>
      <w:marBottom w:val="0"/>
      <w:divBdr>
        <w:top w:val="none" w:sz="0" w:space="0" w:color="auto"/>
        <w:left w:val="none" w:sz="0" w:space="0" w:color="auto"/>
        <w:bottom w:val="none" w:sz="0" w:space="0" w:color="auto"/>
        <w:right w:val="none" w:sz="0" w:space="0" w:color="auto"/>
      </w:divBdr>
    </w:div>
    <w:div w:id="1363507943">
      <w:bodyDiv w:val="1"/>
      <w:marLeft w:val="0"/>
      <w:marRight w:val="0"/>
      <w:marTop w:val="0"/>
      <w:marBottom w:val="0"/>
      <w:divBdr>
        <w:top w:val="none" w:sz="0" w:space="0" w:color="auto"/>
        <w:left w:val="none" w:sz="0" w:space="0" w:color="auto"/>
        <w:bottom w:val="none" w:sz="0" w:space="0" w:color="auto"/>
        <w:right w:val="none" w:sz="0" w:space="0" w:color="auto"/>
      </w:divBdr>
    </w:div>
    <w:div w:id="1432162475">
      <w:bodyDiv w:val="1"/>
      <w:marLeft w:val="0"/>
      <w:marRight w:val="0"/>
      <w:marTop w:val="0"/>
      <w:marBottom w:val="0"/>
      <w:divBdr>
        <w:top w:val="none" w:sz="0" w:space="0" w:color="auto"/>
        <w:left w:val="none" w:sz="0" w:space="0" w:color="auto"/>
        <w:bottom w:val="none" w:sz="0" w:space="0" w:color="auto"/>
        <w:right w:val="none" w:sz="0" w:space="0" w:color="auto"/>
      </w:divBdr>
    </w:div>
    <w:div w:id="1466965410">
      <w:bodyDiv w:val="1"/>
      <w:marLeft w:val="0"/>
      <w:marRight w:val="0"/>
      <w:marTop w:val="0"/>
      <w:marBottom w:val="0"/>
      <w:divBdr>
        <w:top w:val="none" w:sz="0" w:space="0" w:color="auto"/>
        <w:left w:val="none" w:sz="0" w:space="0" w:color="auto"/>
        <w:bottom w:val="none" w:sz="0" w:space="0" w:color="auto"/>
        <w:right w:val="none" w:sz="0" w:space="0" w:color="auto"/>
      </w:divBdr>
    </w:div>
    <w:div w:id="1475754698">
      <w:bodyDiv w:val="1"/>
      <w:marLeft w:val="0"/>
      <w:marRight w:val="0"/>
      <w:marTop w:val="0"/>
      <w:marBottom w:val="0"/>
      <w:divBdr>
        <w:top w:val="none" w:sz="0" w:space="0" w:color="auto"/>
        <w:left w:val="none" w:sz="0" w:space="0" w:color="auto"/>
        <w:bottom w:val="none" w:sz="0" w:space="0" w:color="auto"/>
        <w:right w:val="none" w:sz="0" w:space="0" w:color="auto"/>
      </w:divBdr>
    </w:div>
    <w:div w:id="1520973453">
      <w:bodyDiv w:val="1"/>
      <w:marLeft w:val="0"/>
      <w:marRight w:val="0"/>
      <w:marTop w:val="0"/>
      <w:marBottom w:val="0"/>
      <w:divBdr>
        <w:top w:val="none" w:sz="0" w:space="0" w:color="auto"/>
        <w:left w:val="none" w:sz="0" w:space="0" w:color="auto"/>
        <w:bottom w:val="none" w:sz="0" w:space="0" w:color="auto"/>
        <w:right w:val="none" w:sz="0" w:space="0" w:color="auto"/>
      </w:divBdr>
    </w:div>
    <w:div w:id="1598634475">
      <w:bodyDiv w:val="1"/>
      <w:marLeft w:val="0"/>
      <w:marRight w:val="0"/>
      <w:marTop w:val="0"/>
      <w:marBottom w:val="0"/>
      <w:divBdr>
        <w:top w:val="none" w:sz="0" w:space="0" w:color="auto"/>
        <w:left w:val="none" w:sz="0" w:space="0" w:color="auto"/>
        <w:bottom w:val="none" w:sz="0" w:space="0" w:color="auto"/>
        <w:right w:val="none" w:sz="0" w:space="0" w:color="auto"/>
      </w:divBdr>
    </w:div>
    <w:div w:id="1600794780">
      <w:bodyDiv w:val="1"/>
      <w:marLeft w:val="0"/>
      <w:marRight w:val="0"/>
      <w:marTop w:val="0"/>
      <w:marBottom w:val="0"/>
      <w:divBdr>
        <w:top w:val="none" w:sz="0" w:space="0" w:color="auto"/>
        <w:left w:val="none" w:sz="0" w:space="0" w:color="auto"/>
        <w:bottom w:val="none" w:sz="0" w:space="0" w:color="auto"/>
        <w:right w:val="none" w:sz="0" w:space="0" w:color="auto"/>
      </w:divBdr>
    </w:div>
    <w:div w:id="1626547201">
      <w:bodyDiv w:val="1"/>
      <w:marLeft w:val="0"/>
      <w:marRight w:val="0"/>
      <w:marTop w:val="0"/>
      <w:marBottom w:val="0"/>
      <w:divBdr>
        <w:top w:val="none" w:sz="0" w:space="0" w:color="auto"/>
        <w:left w:val="none" w:sz="0" w:space="0" w:color="auto"/>
        <w:bottom w:val="none" w:sz="0" w:space="0" w:color="auto"/>
        <w:right w:val="none" w:sz="0" w:space="0" w:color="auto"/>
      </w:divBdr>
    </w:div>
    <w:div w:id="1694569449">
      <w:bodyDiv w:val="1"/>
      <w:marLeft w:val="0"/>
      <w:marRight w:val="0"/>
      <w:marTop w:val="0"/>
      <w:marBottom w:val="0"/>
      <w:divBdr>
        <w:top w:val="none" w:sz="0" w:space="0" w:color="auto"/>
        <w:left w:val="none" w:sz="0" w:space="0" w:color="auto"/>
        <w:bottom w:val="none" w:sz="0" w:space="0" w:color="auto"/>
        <w:right w:val="none" w:sz="0" w:space="0" w:color="auto"/>
      </w:divBdr>
    </w:div>
    <w:div w:id="1697077201">
      <w:bodyDiv w:val="1"/>
      <w:marLeft w:val="0"/>
      <w:marRight w:val="0"/>
      <w:marTop w:val="0"/>
      <w:marBottom w:val="0"/>
      <w:divBdr>
        <w:top w:val="none" w:sz="0" w:space="0" w:color="auto"/>
        <w:left w:val="none" w:sz="0" w:space="0" w:color="auto"/>
        <w:bottom w:val="none" w:sz="0" w:space="0" w:color="auto"/>
        <w:right w:val="none" w:sz="0" w:space="0" w:color="auto"/>
      </w:divBdr>
    </w:div>
    <w:div w:id="1698310910">
      <w:bodyDiv w:val="1"/>
      <w:marLeft w:val="0"/>
      <w:marRight w:val="0"/>
      <w:marTop w:val="0"/>
      <w:marBottom w:val="0"/>
      <w:divBdr>
        <w:top w:val="none" w:sz="0" w:space="0" w:color="auto"/>
        <w:left w:val="none" w:sz="0" w:space="0" w:color="auto"/>
        <w:bottom w:val="none" w:sz="0" w:space="0" w:color="auto"/>
        <w:right w:val="none" w:sz="0" w:space="0" w:color="auto"/>
      </w:divBdr>
      <w:divsChild>
        <w:div w:id="28799446">
          <w:marLeft w:val="0"/>
          <w:marRight w:val="0"/>
          <w:marTop w:val="0"/>
          <w:marBottom w:val="0"/>
          <w:divBdr>
            <w:top w:val="none" w:sz="0" w:space="0" w:color="auto"/>
            <w:left w:val="none" w:sz="0" w:space="0" w:color="auto"/>
            <w:bottom w:val="none" w:sz="0" w:space="0" w:color="auto"/>
            <w:right w:val="none" w:sz="0" w:space="0" w:color="auto"/>
          </w:divBdr>
          <w:divsChild>
            <w:div w:id="17515021">
              <w:marLeft w:val="0"/>
              <w:marRight w:val="0"/>
              <w:marTop w:val="120"/>
              <w:marBottom w:val="0"/>
              <w:divBdr>
                <w:top w:val="none" w:sz="0" w:space="0" w:color="auto"/>
                <w:left w:val="none" w:sz="0" w:space="0" w:color="auto"/>
                <w:bottom w:val="none" w:sz="0" w:space="0" w:color="auto"/>
                <w:right w:val="none" w:sz="0" w:space="0" w:color="auto"/>
              </w:divBdr>
            </w:div>
            <w:div w:id="281503468">
              <w:marLeft w:val="0"/>
              <w:marRight w:val="0"/>
              <w:marTop w:val="0"/>
              <w:marBottom w:val="0"/>
              <w:divBdr>
                <w:top w:val="none" w:sz="0" w:space="0" w:color="auto"/>
                <w:left w:val="none" w:sz="0" w:space="0" w:color="auto"/>
                <w:bottom w:val="none" w:sz="0" w:space="0" w:color="auto"/>
                <w:right w:val="none" w:sz="0" w:space="0" w:color="auto"/>
              </w:divBdr>
            </w:div>
          </w:divsChild>
        </w:div>
        <w:div w:id="1841652329">
          <w:marLeft w:val="0"/>
          <w:marRight w:val="0"/>
          <w:marTop w:val="0"/>
          <w:marBottom w:val="0"/>
          <w:divBdr>
            <w:top w:val="none" w:sz="0" w:space="0" w:color="auto"/>
            <w:left w:val="none" w:sz="0" w:space="0" w:color="auto"/>
            <w:bottom w:val="none" w:sz="0" w:space="0" w:color="auto"/>
            <w:right w:val="none" w:sz="0" w:space="0" w:color="auto"/>
          </w:divBdr>
          <w:divsChild>
            <w:div w:id="957488059">
              <w:marLeft w:val="0"/>
              <w:marRight w:val="0"/>
              <w:marTop w:val="120"/>
              <w:marBottom w:val="0"/>
              <w:divBdr>
                <w:top w:val="none" w:sz="0" w:space="0" w:color="auto"/>
                <w:left w:val="none" w:sz="0" w:space="0" w:color="auto"/>
                <w:bottom w:val="none" w:sz="0" w:space="0" w:color="auto"/>
                <w:right w:val="none" w:sz="0" w:space="0" w:color="auto"/>
              </w:divBdr>
            </w:div>
            <w:div w:id="1399983314">
              <w:marLeft w:val="0"/>
              <w:marRight w:val="0"/>
              <w:marTop w:val="0"/>
              <w:marBottom w:val="0"/>
              <w:divBdr>
                <w:top w:val="none" w:sz="0" w:space="0" w:color="auto"/>
                <w:left w:val="none" w:sz="0" w:space="0" w:color="auto"/>
                <w:bottom w:val="none" w:sz="0" w:space="0" w:color="auto"/>
                <w:right w:val="none" w:sz="0" w:space="0" w:color="auto"/>
              </w:divBdr>
            </w:div>
          </w:divsChild>
        </w:div>
        <w:div w:id="759183982">
          <w:marLeft w:val="0"/>
          <w:marRight w:val="0"/>
          <w:marTop w:val="0"/>
          <w:marBottom w:val="0"/>
          <w:divBdr>
            <w:top w:val="none" w:sz="0" w:space="0" w:color="auto"/>
            <w:left w:val="none" w:sz="0" w:space="0" w:color="auto"/>
            <w:bottom w:val="none" w:sz="0" w:space="0" w:color="auto"/>
            <w:right w:val="none" w:sz="0" w:space="0" w:color="auto"/>
          </w:divBdr>
          <w:divsChild>
            <w:div w:id="1900748891">
              <w:marLeft w:val="0"/>
              <w:marRight w:val="0"/>
              <w:marTop w:val="120"/>
              <w:marBottom w:val="0"/>
              <w:divBdr>
                <w:top w:val="none" w:sz="0" w:space="0" w:color="auto"/>
                <w:left w:val="none" w:sz="0" w:space="0" w:color="auto"/>
                <w:bottom w:val="none" w:sz="0" w:space="0" w:color="auto"/>
                <w:right w:val="none" w:sz="0" w:space="0" w:color="auto"/>
              </w:divBdr>
            </w:div>
            <w:div w:id="1453939816">
              <w:marLeft w:val="0"/>
              <w:marRight w:val="0"/>
              <w:marTop w:val="0"/>
              <w:marBottom w:val="0"/>
              <w:divBdr>
                <w:top w:val="none" w:sz="0" w:space="0" w:color="auto"/>
                <w:left w:val="none" w:sz="0" w:space="0" w:color="auto"/>
                <w:bottom w:val="none" w:sz="0" w:space="0" w:color="auto"/>
                <w:right w:val="none" w:sz="0" w:space="0" w:color="auto"/>
              </w:divBdr>
            </w:div>
          </w:divsChild>
        </w:div>
        <w:div w:id="379937298">
          <w:marLeft w:val="0"/>
          <w:marRight w:val="0"/>
          <w:marTop w:val="0"/>
          <w:marBottom w:val="0"/>
          <w:divBdr>
            <w:top w:val="none" w:sz="0" w:space="0" w:color="auto"/>
            <w:left w:val="none" w:sz="0" w:space="0" w:color="auto"/>
            <w:bottom w:val="none" w:sz="0" w:space="0" w:color="auto"/>
            <w:right w:val="none" w:sz="0" w:space="0" w:color="auto"/>
          </w:divBdr>
          <w:divsChild>
            <w:div w:id="935284726">
              <w:marLeft w:val="0"/>
              <w:marRight w:val="0"/>
              <w:marTop w:val="120"/>
              <w:marBottom w:val="0"/>
              <w:divBdr>
                <w:top w:val="none" w:sz="0" w:space="0" w:color="auto"/>
                <w:left w:val="none" w:sz="0" w:space="0" w:color="auto"/>
                <w:bottom w:val="none" w:sz="0" w:space="0" w:color="auto"/>
                <w:right w:val="none" w:sz="0" w:space="0" w:color="auto"/>
              </w:divBdr>
            </w:div>
            <w:div w:id="706027770">
              <w:marLeft w:val="0"/>
              <w:marRight w:val="0"/>
              <w:marTop w:val="0"/>
              <w:marBottom w:val="0"/>
              <w:divBdr>
                <w:top w:val="none" w:sz="0" w:space="0" w:color="auto"/>
                <w:left w:val="none" w:sz="0" w:space="0" w:color="auto"/>
                <w:bottom w:val="none" w:sz="0" w:space="0" w:color="auto"/>
                <w:right w:val="none" w:sz="0" w:space="0" w:color="auto"/>
              </w:divBdr>
            </w:div>
          </w:divsChild>
        </w:div>
        <w:div w:id="1374618977">
          <w:marLeft w:val="0"/>
          <w:marRight w:val="0"/>
          <w:marTop w:val="0"/>
          <w:marBottom w:val="0"/>
          <w:divBdr>
            <w:top w:val="none" w:sz="0" w:space="0" w:color="auto"/>
            <w:left w:val="none" w:sz="0" w:space="0" w:color="auto"/>
            <w:bottom w:val="none" w:sz="0" w:space="0" w:color="auto"/>
            <w:right w:val="none" w:sz="0" w:space="0" w:color="auto"/>
          </w:divBdr>
          <w:divsChild>
            <w:div w:id="2138061180">
              <w:marLeft w:val="0"/>
              <w:marRight w:val="0"/>
              <w:marTop w:val="120"/>
              <w:marBottom w:val="0"/>
              <w:divBdr>
                <w:top w:val="none" w:sz="0" w:space="0" w:color="auto"/>
                <w:left w:val="none" w:sz="0" w:space="0" w:color="auto"/>
                <w:bottom w:val="none" w:sz="0" w:space="0" w:color="auto"/>
                <w:right w:val="none" w:sz="0" w:space="0" w:color="auto"/>
              </w:divBdr>
            </w:div>
            <w:div w:id="193955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714">
      <w:bodyDiv w:val="1"/>
      <w:marLeft w:val="0"/>
      <w:marRight w:val="0"/>
      <w:marTop w:val="0"/>
      <w:marBottom w:val="0"/>
      <w:divBdr>
        <w:top w:val="none" w:sz="0" w:space="0" w:color="auto"/>
        <w:left w:val="none" w:sz="0" w:space="0" w:color="auto"/>
        <w:bottom w:val="none" w:sz="0" w:space="0" w:color="auto"/>
        <w:right w:val="none" w:sz="0" w:space="0" w:color="auto"/>
      </w:divBdr>
      <w:divsChild>
        <w:div w:id="183909163">
          <w:marLeft w:val="0"/>
          <w:marRight w:val="0"/>
          <w:marTop w:val="0"/>
          <w:marBottom w:val="0"/>
          <w:divBdr>
            <w:top w:val="none" w:sz="0" w:space="0" w:color="auto"/>
            <w:left w:val="none" w:sz="0" w:space="0" w:color="auto"/>
            <w:bottom w:val="none" w:sz="0" w:space="0" w:color="auto"/>
            <w:right w:val="none" w:sz="0" w:space="0" w:color="auto"/>
          </w:divBdr>
        </w:div>
      </w:divsChild>
    </w:div>
    <w:div w:id="1748646298">
      <w:bodyDiv w:val="1"/>
      <w:marLeft w:val="0"/>
      <w:marRight w:val="0"/>
      <w:marTop w:val="0"/>
      <w:marBottom w:val="0"/>
      <w:divBdr>
        <w:top w:val="none" w:sz="0" w:space="0" w:color="auto"/>
        <w:left w:val="none" w:sz="0" w:space="0" w:color="auto"/>
        <w:bottom w:val="none" w:sz="0" w:space="0" w:color="auto"/>
        <w:right w:val="none" w:sz="0" w:space="0" w:color="auto"/>
      </w:divBdr>
      <w:divsChild>
        <w:div w:id="992562486">
          <w:marLeft w:val="0"/>
          <w:marRight w:val="0"/>
          <w:marTop w:val="0"/>
          <w:marBottom w:val="0"/>
          <w:divBdr>
            <w:top w:val="none" w:sz="0" w:space="0" w:color="auto"/>
            <w:left w:val="none" w:sz="0" w:space="0" w:color="auto"/>
            <w:bottom w:val="none" w:sz="0" w:space="0" w:color="auto"/>
            <w:right w:val="none" w:sz="0" w:space="0" w:color="auto"/>
          </w:divBdr>
          <w:divsChild>
            <w:div w:id="1918632018">
              <w:marLeft w:val="0"/>
              <w:marRight w:val="0"/>
              <w:marTop w:val="120"/>
              <w:marBottom w:val="0"/>
              <w:divBdr>
                <w:top w:val="none" w:sz="0" w:space="0" w:color="auto"/>
                <w:left w:val="none" w:sz="0" w:space="0" w:color="auto"/>
                <w:bottom w:val="none" w:sz="0" w:space="0" w:color="auto"/>
                <w:right w:val="none" w:sz="0" w:space="0" w:color="auto"/>
              </w:divBdr>
            </w:div>
            <w:div w:id="1402361830">
              <w:marLeft w:val="0"/>
              <w:marRight w:val="0"/>
              <w:marTop w:val="0"/>
              <w:marBottom w:val="0"/>
              <w:divBdr>
                <w:top w:val="none" w:sz="0" w:space="0" w:color="auto"/>
                <w:left w:val="none" w:sz="0" w:space="0" w:color="auto"/>
                <w:bottom w:val="none" w:sz="0" w:space="0" w:color="auto"/>
                <w:right w:val="none" w:sz="0" w:space="0" w:color="auto"/>
              </w:divBdr>
            </w:div>
          </w:divsChild>
        </w:div>
        <w:div w:id="1905287683">
          <w:marLeft w:val="0"/>
          <w:marRight w:val="0"/>
          <w:marTop w:val="0"/>
          <w:marBottom w:val="0"/>
          <w:divBdr>
            <w:top w:val="none" w:sz="0" w:space="0" w:color="auto"/>
            <w:left w:val="none" w:sz="0" w:space="0" w:color="auto"/>
            <w:bottom w:val="none" w:sz="0" w:space="0" w:color="auto"/>
            <w:right w:val="none" w:sz="0" w:space="0" w:color="auto"/>
          </w:divBdr>
          <w:divsChild>
            <w:div w:id="763114751">
              <w:marLeft w:val="0"/>
              <w:marRight w:val="0"/>
              <w:marTop w:val="120"/>
              <w:marBottom w:val="0"/>
              <w:divBdr>
                <w:top w:val="none" w:sz="0" w:space="0" w:color="auto"/>
                <w:left w:val="none" w:sz="0" w:space="0" w:color="auto"/>
                <w:bottom w:val="none" w:sz="0" w:space="0" w:color="auto"/>
                <w:right w:val="none" w:sz="0" w:space="0" w:color="auto"/>
              </w:divBdr>
            </w:div>
            <w:div w:id="772014446">
              <w:marLeft w:val="0"/>
              <w:marRight w:val="0"/>
              <w:marTop w:val="0"/>
              <w:marBottom w:val="0"/>
              <w:divBdr>
                <w:top w:val="none" w:sz="0" w:space="0" w:color="auto"/>
                <w:left w:val="none" w:sz="0" w:space="0" w:color="auto"/>
                <w:bottom w:val="none" w:sz="0" w:space="0" w:color="auto"/>
                <w:right w:val="none" w:sz="0" w:space="0" w:color="auto"/>
              </w:divBdr>
            </w:div>
          </w:divsChild>
        </w:div>
        <w:div w:id="1351295352">
          <w:marLeft w:val="0"/>
          <w:marRight w:val="0"/>
          <w:marTop w:val="0"/>
          <w:marBottom w:val="0"/>
          <w:divBdr>
            <w:top w:val="none" w:sz="0" w:space="0" w:color="auto"/>
            <w:left w:val="none" w:sz="0" w:space="0" w:color="auto"/>
            <w:bottom w:val="none" w:sz="0" w:space="0" w:color="auto"/>
            <w:right w:val="none" w:sz="0" w:space="0" w:color="auto"/>
          </w:divBdr>
          <w:divsChild>
            <w:div w:id="910309884">
              <w:marLeft w:val="0"/>
              <w:marRight w:val="0"/>
              <w:marTop w:val="120"/>
              <w:marBottom w:val="0"/>
              <w:divBdr>
                <w:top w:val="none" w:sz="0" w:space="0" w:color="auto"/>
                <w:left w:val="none" w:sz="0" w:space="0" w:color="auto"/>
                <w:bottom w:val="none" w:sz="0" w:space="0" w:color="auto"/>
                <w:right w:val="none" w:sz="0" w:space="0" w:color="auto"/>
              </w:divBdr>
            </w:div>
            <w:div w:id="530188984">
              <w:marLeft w:val="0"/>
              <w:marRight w:val="0"/>
              <w:marTop w:val="0"/>
              <w:marBottom w:val="0"/>
              <w:divBdr>
                <w:top w:val="none" w:sz="0" w:space="0" w:color="auto"/>
                <w:left w:val="none" w:sz="0" w:space="0" w:color="auto"/>
                <w:bottom w:val="none" w:sz="0" w:space="0" w:color="auto"/>
                <w:right w:val="none" w:sz="0" w:space="0" w:color="auto"/>
              </w:divBdr>
            </w:div>
          </w:divsChild>
        </w:div>
        <w:div w:id="1727794145">
          <w:marLeft w:val="0"/>
          <w:marRight w:val="0"/>
          <w:marTop w:val="0"/>
          <w:marBottom w:val="0"/>
          <w:divBdr>
            <w:top w:val="none" w:sz="0" w:space="0" w:color="auto"/>
            <w:left w:val="none" w:sz="0" w:space="0" w:color="auto"/>
            <w:bottom w:val="none" w:sz="0" w:space="0" w:color="auto"/>
            <w:right w:val="none" w:sz="0" w:space="0" w:color="auto"/>
          </w:divBdr>
          <w:divsChild>
            <w:div w:id="214700762">
              <w:marLeft w:val="0"/>
              <w:marRight w:val="0"/>
              <w:marTop w:val="120"/>
              <w:marBottom w:val="0"/>
              <w:divBdr>
                <w:top w:val="none" w:sz="0" w:space="0" w:color="auto"/>
                <w:left w:val="none" w:sz="0" w:space="0" w:color="auto"/>
                <w:bottom w:val="none" w:sz="0" w:space="0" w:color="auto"/>
                <w:right w:val="none" w:sz="0" w:space="0" w:color="auto"/>
              </w:divBdr>
            </w:div>
            <w:div w:id="1247574184">
              <w:marLeft w:val="0"/>
              <w:marRight w:val="0"/>
              <w:marTop w:val="0"/>
              <w:marBottom w:val="0"/>
              <w:divBdr>
                <w:top w:val="none" w:sz="0" w:space="0" w:color="auto"/>
                <w:left w:val="none" w:sz="0" w:space="0" w:color="auto"/>
                <w:bottom w:val="none" w:sz="0" w:space="0" w:color="auto"/>
                <w:right w:val="none" w:sz="0" w:space="0" w:color="auto"/>
              </w:divBdr>
            </w:div>
          </w:divsChild>
        </w:div>
        <w:div w:id="1060205068">
          <w:marLeft w:val="0"/>
          <w:marRight w:val="0"/>
          <w:marTop w:val="0"/>
          <w:marBottom w:val="0"/>
          <w:divBdr>
            <w:top w:val="none" w:sz="0" w:space="0" w:color="auto"/>
            <w:left w:val="none" w:sz="0" w:space="0" w:color="auto"/>
            <w:bottom w:val="none" w:sz="0" w:space="0" w:color="auto"/>
            <w:right w:val="none" w:sz="0" w:space="0" w:color="auto"/>
          </w:divBdr>
          <w:divsChild>
            <w:div w:id="1289820051">
              <w:marLeft w:val="0"/>
              <w:marRight w:val="0"/>
              <w:marTop w:val="120"/>
              <w:marBottom w:val="0"/>
              <w:divBdr>
                <w:top w:val="none" w:sz="0" w:space="0" w:color="auto"/>
                <w:left w:val="none" w:sz="0" w:space="0" w:color="auto"/>
                <w:bottom w:val="none" w:sz="0" w:space="0" w:color="auto"/>
                <w:right w:val="none" w:sz="0" w:space="0" w:color="auto"/>
              </w:divBdr>
            </w:div>
            <w:div w:id="209119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90043">
      <w:bodyDiv w:val="1"/>
      <w:marLeft w:val="0"/>
      <w:marRight w:val="0"/>
      <w:marTop w:val="0"/>
      <w:marBottom w:val="0"/>
      <w:divBdr>
        <w:top w:val="none" w:sz="0" w:space="0" w:color="auto"/>
        <w:left w:val="none" w:sz="0" w:space="0" w:color="auto"/>
        <w:bottom w:val="none" w:sz="0" w:space="0" w:color="auto"/>
        <w:right w:val="none" w:sz="0" w:space="0" w:color="auto"/>
      </w:divBdr>
    </w:div>
    <w:div w:id="1792700441">
      <w:bodyDiv w:val="1"/>
      <w:marLeft w:val="0"/>
      <w:marRight w:val="0"/>
      <w:marTop w:val="0"/>
      <w:marBottom w:val="0"/>
      <w:divBdr>
        <w:top w:val="none" w:sz="0" w:space="0" w:color="auto"/>
        <w:left w:val="none" w:sz="0" w:space="0" w:color="auto"/>
        <w:bottom w:val="none" w:sz="0" w:space="0" w:color="auto"/>
        <w:right w:val="none" w:sz="0" w:space="0" w:color="auto"/>
      </w:divBdr>
    </w:div>
    <w:div w:id="1795097654">
      <w:bodyDiv w:val="1"/>
      <w:marLeft w:val="0"/>
      <w:marRight w:val="0"/>
      <w:marTop w:val="0"/>
      <w:marBottom w:val="0"/>
      <w:divBdr>
        <w:top w:val="none" w:sz="0" w:space="0" w:color="auto"/>
        <w:left w:val="none" w:sz="0" w:space="0" w:color="auto"/>
        <w:bottom w:val="none" w:sz="0" w:space="0" w:color="auto"/>
        <w:right w:val="none" w:sz="0" w:space="0" w:color="auto"/>
      </w:divBdr>
    </w:div>
    <w:div w:id="1830898291">
      <w:bodyDiv w:val="1"/>
      <w:marLeft w:val="0"/>
      <w:marRight w:val="0"/>
      <w:marTop w:val="0"/>
      <w:marBottom w:val="0"/>
      <w:divBdr>
        <w:top w:val="none" w:sz="0" w:space="0" w:color="auto"/>
        <w:left w:val="none" w:sz="0" w:space="0" w:color="auto"/>
        <w:bottom w:val="none" w:sz="0" w:space="0" w:color="auto"/>
        <w:right w:val="none" w:sz="0" w:space="0" w:color="auto"/>
      </w:divBdr>
    </w:div>
    <w:div w:id="1872496674">
      <w:bodyDiv w:val="1"/>
      <w:marLeft w:val="0"/>
      <w:marRight w:val="0"/>
      <w:marTop w:val="0"/>
      <w:marBottom w:val="0"/>
      <w:divBdr>
        <w:top w:val="none" w:sz="0" w:space="0" w:color="auto"/>
        <w:left w:val="none" w:sz="0" w:space="0" w:color="auto"/>
        <w:bottom w:val="none" w:sz="0" w:space="0" w:color="auto"/>
        <w:right w:val="none" w:sz="0" w:space="0" w:color="auto"/>
      </w:divBdr>
    </w:div>
    <w:div w:id="1876959955">
      <w:bodyDiv w:val="1"/>
      <w:marLeft w:val="0"/>
      <w:marRight w:val="0"/>
      <w:marTop w:val="0"/>
      <w:marBottom w:val="0"/>
      <w:divBdr>
        <w:top w:val="none" w:sz="0" w:space="0" w:color="auto"/>
        <w:left w:val="none" w:sz="0" w:space="0" w:color="auto"/>
        <w:bottom w:val="none" w:sz="0" w:space="0" w:color="auto"/>
        <w:right w:val="none" w:sz="0" w:space="0" w:color="auto"/>
      </w:divBdr>
    </w:div>
    <w:div w:id="1943879610">
      <w:bodyDiv w:val="1"/>
      <w:marLeft w:val="0"/>
      <w:marRight w:val="0"/>
      <w:marTop w:val="0"/>
      <w:marBottom w:val="0"/>
      <w:divBdr>
        <w:top w:val="none" w:sz="0" w:space="0" w:color="auto"/>
        <w:left w:val="none" w:sz="0" w:space="0" w:color="auto"/>
        <w:bottom w:val="none" w:sz="0" w:space="0" w:color="auto"/>
        <w:right w:val="none" w:sz="0" w:space="0" w:color="auto"/>
      </w:divBdr>
    </w:div>
    <w:div w:id="1945503666">
      <w:bodyDiv w:val="1"/>
      <w:marLeft w:val="0"/>
      <w:marRight w:val="0"/>
      <w:marTop w:val="0"/>
      <w:marBottom w:val="0"/>
      <w:divBdr>
        <w:top w:val="none" w:sz="0" w:space="0" w:color="auto"/>
        <w:left w:val="none" w:sz="0" w:space="0" w:color="auto"/>
        <w:bottom w:val="none" w:sz="0" w:space="0" w:color="auto"/>
        <w:right w:val="none" w:sz="0" w:space="0" w:color="auto"/>
      </w:divBdr>
    </w:div>
    <w:div w:id="2036613868">
      <w:bodyDiv w:val="1"/>
      <w:marLeft w:val="0"/>
      <w:marRight w:val="0"/>
      <w:marTop w:val="0"/>
      <w:marBottom w:val="0"/>
      <w:divBdr>
        <w:top w:val="none" w:sz="0" w:space="0" w:color="auto"/>
        <w:left w:val="none" w:sz="0" w:space="0" w:color="auto"/>
        <w:bottom w:val="none" w:sz="0" w:space="0" w:color="auto"/>
        <w:right w:val="none" w:sz="0" w:space="0" w:color="auto"/>
      </w:divBdr>
    </w:div>
    <w:div w:id="2079665991">
      <w:bodyDiv w:val="1"/>
      <w:marLeft w:val="0"/>
      <w:marRight w:val="0"/>
      <w:marTop w:val="0"/>
      <w:marBottom w:val="0"/>
      <w:divBdr>
        <w:top w:val="none" w:sz="0" w:space="0" w:color="auto"/>
        <w:left w:val="none" w:sz="0" w:space="0" w:color="auto"/>
        <w:bottom w:val="none" w:sz="0" w:space="0" w:color="auto"/>
        <w:right w:val="none" w:sz="0" w:space="0" w:color="auto"/>
      </w:divBdr>
    </w:div>
    <w:div w:id="208964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59044-109B-413C-9671-59FEEA53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3573</Words>
  <Characters>21083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24607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10003721</dc:creator>
  <cp:lastModifiedBy>Pavloušek Robert</cp:lastModifiedBy>
  <cp:revision>4</cp:revision>
  <cp:lastPrinted>2020-11-13T07:03:00Z</cp:lastPrinted>
  <dcterms:created xsi:type="dcterms:W3CDTF">2021-01-27T15:59:00Z</dcterms:created>
  <dcterms:modified xsi:type="dcterms:W3CDTF">2021-01-28T09:30:00Z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fdcfce-ddd9-46fd-a41e-890a4587f248_Enabled">
    <vt:lpwstr>True</vt:lpwstr>
  </property>
  <property fmtid="{D5CDD505-2E9C-101B-9397-08002B2CF9AE}" pid="3" name="MSIP_Label_ddfdcfce-ddd9-46fd-a41e-890a4587f248_SiteId">
    <vt:lpwstr>75660d71-8529-414f-8ee4-8511d8f023aa</vt:lpwstr>
  </property>
  <property fmtid="{D5CDD505-2E9C-101B-9397-08002B2CF9AE}" pid="4" name="MSIP_Label_ddfdcfce-ddd9-46fd-a41e-890a4587f248_SetDate">
    <vt:lpwstr>2019-05-03T09:00:10.5166267Z</vt:lpwstr>
  </property>
  <property fmtid="{D5CDD505-2E9C-101B-9397-08002B2CF9AE}" pid="5" name="MSIP_Label_ddfdcfce-ddd9-46fd-a41e-890a4587f248_Name">
    <vt:lpwstr>General</vt:lpwstr>
  </property>
  <property fmtid="{D5CDD505-2E9C-101B-9397-08002B2CF9AE}" pid="6" name="MSIP_Label_ddfdcfce-ddd9-46fd-a41e-890a4587f248_ActionId">
    <vt:lpwstr>453c00c4-d099-496b-92ee-667a738ccaee</vt:lpwstr>
  </property>
  <property fmtid="{D5CDD505-2E9C-101B-9397-08002B2CF9AE}" pid="7" name="MSIP_Label_ddfdcfce-ddd9-46fd-a41e-890a4587f248_Extended_MSFT_Method">
    <vt:lpwstr>Automatic</vt:lpwstr>
  </property>
  <property fmtid="{D5CDD505-2E9C-101B-9397-08002B2CF9AE}" pid="8" name="Sensitivity">
    <vt:lpwstr>General</vt:lpwstr>
  </property>
</Properties>
</file>