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730" w:rsidRPr="001B3CC7" w:rsidRDefault="00437730" w:rsidP="00D55CD1">
      <w:pPr>
        <w:pStyle w:val="Nzev"/>
      </w:pPr>
      <w:bookmarkStart w:id="0" w:name="_GoBack"/>
      <w:bookmarkEnd w:id="0"/>
      <w:r w:rsidRPr="001B3CC7">
        <w:t>Hodnocení dopadů regulace (RIA)</w:t>
      </w:r>
    </w:p>
    <w:p w:rsidR="00437730" w:rsidRPr="001B3CC7" w:rsidRDefault="00437730" w:rsidP="00D55CD1">
      <w:pPr>
        <w:pStyle w:val="Podtitul"/>
      </w:pPr>
      <w:r w:rsidRPr="001B3CC7">
        <w:t>A. Obecná část</w:t>
      </w:r>
    </w:p>
    <w:p w:rsidR="00437730" w:rsidRPr="001B3CC7" w:rsidRDefault="00437730" w:rsidP="00D55CD1">
      <w:pPr>
        <w:pStyle w:val="Nadpis2"/>
      </w:pPr>
      <w:r w:rsidRPr="001B3CC7">
        <w:t>Závěrečná zpráva o hodnocení dopadů regulace podle Obecných zásad (RIA)</w:t>
      </w:r>
    </w:p>
    <w:p w:rsidR="00437730" w:rsidRPr="001B3CC7" w:rsidRDefault="00437730" w:rsidP="00C64011">
      <w:pPr>
        <w:rPr>
          <w:rFonts w:cs="Times New Roman"/>
        </w:rPr>
      </w:pPr>
    </w:p>
    <w:p w:rsidR="00437730" w:rsidRPr="00D55CD1" w:rsidRDefault="00437730" w:rsidP="00D55CD1">
      <w:pPr>
        <w:pStyle w:val="Nadpis1"/>
        <w:rPr>
          <w:rStyle w:val="Nadpis1Char1"/>
          <w:rFonts w:eastAsiaTheme="majorEastAsia"/>
        </w:rPr>
      </w:pPr>
      <w:r w:rsidRPr="00D55CD1">
        <w:rPr>
          <w:rStyle w:val="Nadpis1Char1"/>
          <w:rFonts w:eastAsiaTheme="majorEastAsia"/>
        </w:rPr>
        <w:t>SHRNUTÍ ZÁVĚREČNÉ ZPRÁVY RIA</w:t>
      </w:r>
    </w:p>
    <w:p w:rsidR="00437730" w:rsidRPr="001B3CC7" w:rsidRDefault="00437730" w:rsidP="00C64011">
      <w:pPr>
        <w:pStyle w:val="Odstavecseseznamem"/>
        <w:tabs>
          <w:tab w:val="left" w:pos="6660"/>
        </w:tabs>
        <w:rPr>
          <w:rFonts w:cs="Times New Roman"/>
          <w:bCs/>
        </w:rPr>
      </w:pPr>
    </w:p>
    <w:tbl>
      <w:tblPr>
        <w:tblW w:w="9645" w:type="dxa"/>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3"/>
        <w:gridCol w:w="5002"/>
      </w:tblGrid>
      <w:tr w:rsidR="00437730" w:rsidRPr="001B3CC7" w:rsidTr="00930B1F">
        <w:trPr>
          <w:trHeight w:val="187"/>
        </w:trPr>
        <w:tc>
          <w:tcPr>
            <w:tcW w:w="9645" w:type="dxa"/>
            <w:gridSpan w:val="2"/>
            <w:tcBorders>
              <w:top w:val="single" w:sz="12" w:space="0" w:color="000000"/>
              <w:left w:val="single" w:sz="12" w:space="0" w:color="000000"/>
              <w:bottom w:val="single" w:sz="4" w:space="0" w:color="auto"/>
              <w:right w:val="single" w:sz="12" w:space="0" w:color="000000"/>
            </w:tcBorders>
            <w:vAlign w:val="bottom"/>
            <w:hideMark/>
          </w:tcPr>
          <w:p w:rsidR="00437730" w:rsidRPr="001B3CC7" w:rsidRDefault="00437730" w:rsidP="00C64011">
            <w:pPr>
              <w:tabs>
                <w:tab w:val="left" w:pos="6660"/>
              </w:tabs>
              <w:rPr>
                <w:rFonts w:cs="Times New Roman"/>
                <w:bCs/>
              </w:rPr>
            </w:pPr>
            <w:r w:rsidRPr="001B3CC7">
              <w:rPr>
                <w:rFonts w:cs="Times New Roman"/>
                <w:bCs/>
              </w:rPr>
              <w:t xml:space="preserve">Název návrhu zákona: </w:t>
            </w:r>
            <w:r w:rsidRPr="001B3CC7">
              <w:rPr>
                <w:rFonts w:cs="Times New Roman"/>
              </w:rPr>
              <w:t xml:space="preserve">Zákon, kterým se mění zákon </w:t>
            </w:r>
            <w:r w:rsidRPr="001B3CC7">
              <w:rPr>
                <w:rFonts w:cs="Times New Roman"/>
                <w:shd w:val="clear" w:color="auto" w:fill="FFFFFF"/>
              </w:rPr>
              <w:t>č. 143/2001 Sb., o ochraně hospodářské soutěže a o změně některých zákonů (zákon o ochraně hospodářské soutěže),</w:t>
            </w:r>
            <w:r w:rsidRPr="001B3CC7">
              <w:rPr>
                <w:rFonts w:cs="Times New Roman"/>
                <w:shd w:val="clear" w:color="auto" w:fill="FFFFFF"/>
              </w:rPr>
              <w:br/>
              <w:t>ve znění pozdějších předpisů</w:t>
            </w:r>
          </w:p>
        </w:tc>
      </w:tr>
      <w:tr w:rsidR="00437730" w:rsidRPr="001B3CC7" w:rsidTr="00930B1F">
        <w:trPr>
          <w:trHeight w:val="979"/>
        </w:trPr>
        <w:tc>
          <w:tcPr>
            <w:tcW w:w="4643" w:type="dxa"/>
            <w:tcBorders>
              <w:top w:val="single" w:sz="4" w:space="0" w:color="auto"/>
              <w:left w:val="single" w:sz="12" w:space="0" w:color="000000"/>
              <w:bottom w:val="single" w:sz="4" w:space="0" w:color="auto"/>
              <w:right w:val="single" w:sz="4" w:space="0" w:color="auto"/>
            </w:tcBorders>
            <w:vAlign w:val="center"/>
          </w:tcPr>
          <w:p w:rsidR="00437730" w:rsidRPr="001B3CC7" w:rsidRDefault="00437730" w:rsidP="00C64011">
            <w:pPr>
              <w:tabs>
                <w:tab w:val="left" w:pos="6660"/>
              </w:tabs>
              <w:rPr>
                <w:rFonts w:cs="Times New Roman"/>
                <w:bCs/>
              </w:rPr>
            </w:pPr>
            <w:r w:rsidRPr="001B3CC7">
              <w:rPr>
                <w:rFonts w:cs="Times New Roman"/>
                <w:bCs/>
              </w:rPr>
              <w:t xml:space="preserve">Zpracovatel / zástupce předkladatele: </w:t>
            </w:r>
          </w:p>
          <w:p w:rsidR="00437730" w:rsidRPr="001B3CC7" w:rsidRDefault="00B02473" w:rsidP="00B02473">
            <w:r>
              <w:t>Úřad pro ochranu hospodářské soutěže</w:t>
            </w:r>
          </w:p>
          <w:p w:rsidR="00437730" w:rsidRPr="001B3CC7" w:rsidRDefault="00437730" w:rsidP="00C64011">
            <w:pPr>
              <w:tabs>
                <w:tab w:val="left" w:pos="6660"/>
              </w:tabs>
              <w:rPr>
                <w:rFonts w:cs="Times New Roman"/>
                <w:bCs/>
                <w:u w:val="single"/>
              </w:rPr>
            </w:pPr>
            <w:r w:rsidRPr="001B3CC7">
              <w:rPr>
                <w:rFonts w:cs="Times New Roman"/>
                <w:bCs/>
              </w:rPr>
              <w:t xml:space="preserve"> </w:t>
            </w:r>
          </w:p>
        </w:tc>
        <w:tc>
          <w:tcPr>
            <w:tcW w:w="5002" w:type="dxa"/>
            <w:tcBorders>
              <w:top w:val="single" w:sz="4" w:space="0" w:color="auto"/>
              <w:left w:val="single" w:sz="4" w:space="0" w:color="auto"/>
              <w:bottom w:val="single" w:sz="4" w:space="0" w:color="auto"/>
              <w:right w:val="single" w:sz="12" w:space="0" w:color="000000"/>
            </w:tcBorders>
            <w:vAlign w:val="center"/>
          </w:tcPr>
          <w:p w:rsidR="00437730" w:rsidRPr="001B3CC7" w:rsidRDefault="00437730" w:rsidP="00C64011">
            <w:pPr>
              <w:tabs>
                <w:tab w:val="left" w:pos="6660"/>
              </w:tabs>
              <w:jc w:val="center"/>
              <w:rPr>
                <w:rFonts w:cs="Times New Roman"/>
                <w:bCs/>
              </w:rPr>
            </w:pPr>
            <w:r w:rsidRPr="001B3CC7">
              <w:rPr>
                <w:rFonts w:cs="Times New Roman"/>
                <w:bCs/>
              </w:rPr>
              <w:t>Předpokládaný termín nabytí účinnosti</w:t>
            </w:r>
            <w:r w:rsidR="00B02473">
              <w:rPr>
                <w:rFonts w:cs="Times New Roman"/>
                <w:bCs/>
              </w:rPr>
              <w:t>:</w:t>
            </w:r>
          </w:p>
          <w:p w:rsidR="00437730" w:rsidRPr="001B3CC7" w:rsidRDefault="007C43CB" w:rsidP="00C64011">
            <w:pPr>
              <w:tabs>
                <w:tab w:val="left" w:pos="6660"/>
              </w:tabs>
              <w:jc w:val="center"/>
              <w:rPr>
                <w:rFonts w:cs="Times New Roman"/>
                <w:bCs/>
              </w:rPr>
            </w:pPr>
            <w:r>
              <w:rPr>
                <w:rFonts w:cs="Times New Roman"/>
                <w:bCs/>
              </w:rPr>
              <w:t>únor 2021</w:t>
            </w:r>
          </w:p>
        </w:tc>
      </w:tr>
      <w:tr w:rsidR="00437730" w:rsidRPr="001B3CC7" w:rsidTr="00930B1F">
        <w:trPr>
          <w:trHeight w:val="1080"/>
        </w:trPr>
        <w:tc>
          <w:tcPr>
            <w:tcW w:w="9645" w:type="dxa"/>
            <w:gridSpan w:val="2"/>
            <w:tcBorders>
              <w:top w:val="single" w:sz="12" w:space="0" w:color="000000"/>
              <w:left w:val="single" w:sz="12" w:space="0" w:color="000000"/>
              <w:bottom w:val="single" w:sz="4" w:space="0" w:color="auto"/>
              <w:right w:val="single" w:sz="12" w:space="0" w:color="000000"/>
            </w:tcBorders>
            <w:vAlign w:val="center"/>
            <w:hideMark/>
          </w:tcPr>
          <w:p w:rsidR="00437730" w:rsidRDefault="00437730" w:rsidP="00C64011">
            <w:pPr>
              <w:tabs>
                <w:tab w:val="left" w:pos="6660"/>
              </w:tabs>
              <w:rPr>
                <w:rFonts w:cs="Times New Roman"/>
                <w:bCs/>
              </w:rPr>
            </w:pPr>
            <w:r w:rsidRPr="001B3CC7">
              <w:rPr>
                <w:rFonts w:cs="Times New Roman"/>
                <w:bCs/>
              </w:rPr>
              <w:t>Implementace práva EU: Ano</w:t>
            </w:r>
          </w:p>
          <w:p w:rsidR="001D25C1" w:rsidRPr="001D25C1" w:rsidRDefault="001D25C1" w:rsidP="00C64011">
            <w:pPr>
              <w:tabs>
                <w:tab w:val="left" w:pos="6660"/>
              </w:tabs>
              <w:rPr>
                <w:rFonts w:cs="Times New Roman"/>
                <w:bCs/>
                <w:szCs w:val="24"/>
              </w:rPr>
            </w:pPr>
            <w:r w:rsidRPr="001D25C1">
              <w:rPr>
                <w:rFonts w:cs="Times New Roman"/>
                <w:szCs w:val="24"/>
              </w:rPr>
              <w:t xml:space="preserve">Termín stanovený pro implementaci: </w:t>
            </w:r>
            <w:r w:rsidRPr="001D25C1">
              <w:rPr>
                <w:rFonts w:cs="Times New Roman"/>
                <w:iCs/>
                <w:szCs w:val="24"/>
              </w:rPr>
              <w:t>4. 2. 2021</w:t>
            </w:r>
          </w:p>
          <w:p w:rsidR="001D25C1" w:rsidRPr="001D25C1" w:rsidRDefault="001D25C1" w:rsidP="00C64011">
            <w:pPr>
              <w:tabs>
                <w:tab w:val="left" w:pos="6660"/>
              </w:tabs>
              <w:rPr>
                <w:rFonts w:cs="Times New Roman"/>
                <w:i/>
                <w:iCs/>
                <w:szCs w:val="24"/>
                <w:u w:val="single"/>
              </w:rPr>
            </w:pPr>
            <w:r w:rsidRPr="001D25C1">
              <w:rPr>
                <w:rFonts w:cs="Times New Roman"/>
                <w:szCs w:val="24"/>
              </w:rPr>
              <w:t>Jde návrh nad rámec požadavků stanovených předpisem EU?: Ano</w:t>
            </w:r>
          </w:p>
        </w:tc>
      </w:tr>
      <w:tr w:rsidR="00437730" w:rsidRPr="001B3CC7" w:rsidTr="00C00C21">
        <w:tc>
          <w:tcPr>
            <w:tcW w:w="9645" w:type="dxa"/>
            <w:gridSpan w:val="2"/>
            <w:tcBorders>
              <w:top w:val="single" w:sz="12" w:space="0" w:color="auto"/>
              <w:left w:val="single" w:sz="12" w:space="0" w:color="auto"/>
              <w:bottom w:val="single" w:sz="12" w:space="0" w:color="auto"/>
              <w:right w:val="single" w:sz="12" w:space="0" w:color="auto"/>
            </w:tcBorders>
            <w:shd w:val="clear" w:color="auto" w:fill="8DB3E2" w:themeFill="text2" w:themeFillTint="66"/>
            <w:hideMark/>
          </w:tcPr>
          <w:p w:rsidR="00437730" w:rsidRPr="001B3CC7" w:rsidRDefault="00437730" w:rsidP="00C64011">
            <w:pPr>
              <w:tabs>
                <w:tab w:val="left" w:pos="6660"/>
              </w:tabs>
              <w:rPr>
                <w:rFonts w:cs="Times New Roman"/>
                <w:bCs/>
              </w:rPr>
            </w:pPr>
            <w:r w:rsidRPr="001B3CC7">
              <w:rPr>
                <w:rFonts w:cs="Times New Roman"/>
                <w:bCs/>
              </w:rPr>
              <w:t xml:space="preserve">2. Cíl návrhu zákona </w:t>
            </w:r>
          </w:p>
        </w:tc>
      </w:tr>
      <w:tr w:rsidR="00437730" w:rsidRPr="001B3CC7" w:rsidTr="00930B1F">
        <w:tc>
          <w:tcPr>
            <w:tcW w:w="9645" w:type="dxa"/>
            <w:gridSpan w:val="2"/>
            <w:tcBorders>
              <w:top w:val="single" w:sz="12" w:space="0" w:color="auto"/>
              <w:left w:val="single" w:sz="12" w:space="0" w:color="auto"/>
              <w:bottom w:val="single" w:sz="12" w:space="0" w:color="auto"/>
              <w:right w:val="single" w:sz="12" w:space="0" w:color="auto"/>
            </w:tcBorders>
            <w:hideMark/>
          </w:tcPr>
          <w:p w:rsidR="00437730" w:rsidRPr="001B3CC7" w:rsidRDefault="00437730" w:rsidP="00C64011">
            <w:pPr>
              <w:rPr>
                <w:rFonts w:cs="Times New Roman"/>
              </w:rPr>
            </w:pPr>
          </w:p>
        </w:tc>
      </w:tr>
      <w:tr w:rsidR="00437730" w:rsidRPr="001B3CC7" w:rsidTr="00930B1F">
        <w:tc>
          <w:tcPr>
            <w:tcW w:w="9645" w:type="dxa"/>
            <w:gridSpan w:val="2"/>
            <w:tcBorders>
              <w:top w:val="single" w:sz="4" w:space="0" w:color="auto"/>
              <w:left w:val="single" w:sz="12" w:space="0" w:color="auto"/>
              <w:bottom w:val="single" w:sz="12" w:space="0" w:color="auto"/>
              <w:right w:val="single" w:sz="12" w:space="0" w:color="auto"/>
            </w:tcBorders>
            <w:hideMark/>
          </w:tcPr>
          <w:p w:rsidR="00437730" w:rsidRPr="001B3CC7" w:rsidRDefault="00437730" w:rsidP="003A3361">
            <w:pPr>
              <w:ind w:firstLine="0"/>
              <w:rPr>
                <w:rFonts w:cs="Times New Roman"/>
              </w:rPr>
            </w:pPr>
            <w:r w:rsidRPr="001B3CC7">
              <w:rPr>
                <w:rFonts w:cs="Times New Roman"/>
              </w:rPr>
              <w:t xml:space="preserve">Zapracování směrnice </w:t>
            </w:r>
            <w:r w:rsidR="00581433" w:rsidRPr="00FA3768">
              <w:rPr>
                <w:color w:val="000000"/>
                <w:shd w:val="clear" w:color="auto" w:fill="FFFFFF"/>
              </w:rPr>
              <w:t xml:space="preserve">Evropského parlamentu a Rady (EU) </w:t>
            </w:r>
            <w:r w:rsidR="00581433">
              <w:rPr>
                <w:color w:val="000000"/>
                <w:shd w:val="clear" w:color="auto" w:fill="FFFFFF"/>
              </w:rPr>
              <w:t>2019/1 ze dne 11. prosince 2018</w:t>
            </w:r>
            <w:r w:rsidR="00C06A06">
              <w:rPr>
                <w:color w:val="000000"/>
                <w:shd w:val="clear" w:color="auto" w:fill="FFFFFF"/>
              </w:rPr>
              <w:t xml:space="preserve"> o </w:t>
            </w:r>
            <w:r w:rsidR="00581433" w:rsidRPr="00FA3768">
              <w:rPr>
                <w:color w:val="000000"/>
                <w:shd w:val="clear" w:color="auto" w:fill="FFFFFF"/>
              </w:rPr>
              <w:t>posílení postavení orgánů pro hospodářskou soutěž v členských státech tak, aby mohly účinněji prosazovat pravidla, a o zajištění řádného fungování vnitřního trhu</w:t>
            </w:r>
            <w:r w:rsidRPr="001B3CC7">
              <w:rPr>
                <w:rStyle w:val="Nadpis1Char"/>
                <w:rFonts w:ascii="Times New Roman" w:hAnsi="Times New Roman" w:cs="Times New Roman"/>
                <w:b w:val="0"/>
              </w:rPr>
              <w:t xml:space="preserve">. Návrh vychází z potřeby plnění závazků vyplývajících z členství v Evropské unii. </w:t>
            </w:r>
            <w:r w:rsidRPr="001B3CC7">
              <w:rPr>
                <w:rStyle w:val="Nadpis1Char"/>
                <w:rFonts w:ascii="Times New Roman" w:hAnsi="Times New Roman" w:cs="Times New Roman"/>
                <w:b w:val="0"/>
                <w:bCs w:val="0"/>
              </w:rPr>
              <w:t xml:space="preserve">Cílem </w:t>
            </w:r>
            <w:r w:rsidRPr="001B3CC7">
              <w:rPr>
                <w:rStyle w:val="Nadpis1Char"/>
                <w:rFonts w:ascii="Times New Roman" w:hAnsi="Times New Roman" w:cs="Times New Roman"/>
                <w:b w:val="0"/>
              </w:rPr>
              <w:t>nové právní úpravy je dosažení stavu, aby u</w:t>
            </w:r>
            <w:r w:rsidRPr="001B3CC7">
              <w:rPr>
                <w:rFonts w:cs="Times New Roman"/>
                <w:highlight w:val="white"/>
              </w:rPr>
              <w:t>platňování vnitrostátních právních předpisů o hospodářské soutěži vnitrostátními orgány pro hospodářskou soutěž na dohody, rozhodnutí s</w:t>
            </w:r>
            <w:r w:rsidR="003A3361">
              <w:rPr>
                <w:rFonts w:cs="Times New Roman"/>
                <w:highlight w:val="white"/>
              </w:rPr>
              <w:t>družení podniků nebo jednání ve </w:t>
            </w:r>
            <w:r w:rsidRPr="001B3CC7">
              <w:rPr>
                <w:rFonts w:cs="Times New Roman"/>
                <w:highlight w:val="white"/>
              </w:rPr>
              <w:t xml:space="preserve">vzájemné shodě, které by mohly ovlivnit obchod mezi členskými státy, nevedlo k výsledku jinému, než je výsledek, jehož by vnitrostátní orgány pro hospodářskou soutěž dosáhly na základě práva </w:t>
            </w:r>
            <w:r w:rsidR="003A3361">
              <w:rPr>
                <w:rFonts w:cs="Times New Roman"/>
                <w:highlight w:val="white"/>
              </w:rPr>
              <w:t xml:space="preserve">Evropské </w:t>
            </w:r>
            <w:r w:rsidRPr="001B3CC7">
              <w:rPr>
                <w:rFonts w:cs="Times New Roman"/>
                <w:highlight w:val="white"/>
              </w:rPr>
              <w:t>Unie podle čl</w:t>
            </w:r>
            <w:r w:rsidR="003A3361">
              <w:rPr>
                <w:rFonts w:cs="Times New Roman"/>
                <w:highlight w:val="white"/>
              </w:rPr>
              <w:t>ánku</w:t>
            </w:r>
            <w:r w:rsidRPr="001B3CC7">
              <w:rPr>
                <w:rFonts w:cs="Times New Roman"/>
                <w:highlight w:val="white"/>
              </w:rPr>
              <w:t xml:space="preserve"> 3 odst. 2 nařízení (ES) č. 1/2003.</w:t>
            </w:r>
            <w:r w:rsidR="00DF14B5">
              <w:rPr>
                <w:rFonts w:cs="Times New Roman"/>
              </w:rPr>
              <w:t xml:space="preserve"> </w:t>
            </w:r>
            <w:r w:rsidR="00DF14B5" w:rsidRPr="00D959CB">
              <w:t xml:space="preserve">Některé navrhované změny s transpozicí přímo nesouvisejí a jsou odůvodněny dosavadní aplikační praxi. </w:t>
            </w:r>
            <w:r w:rsidR="00DF14B5">
              <w:rPr>
                <w:color w:val="000000"/>
              </w:rPr>
              <w:t>Jedná se zejména o</w:t>
            </w:r>
            <w:r w:rsidR="003A3361">
              <w:rPr>
                <w:color w:val="000000"/>
              </w:rPr>
              <w:t> </w:t>
            </w:r>
            <w:r w:rsidR="00DF14B5" w:rsidRPr="00D959CB">
              <w:rPr>
                <w:rFonts w:cs="Times New Roman"/>
                <w:szCs w:val="24"/>
              </w:rPr>
              <w:t>problematik</w:t>
            </w:r>
            <w:r w:rsidR="00DF14B5">
              <w:rPr>
                <w:rFonts w:cs="Times New Roman"/>
                <w:szCs w:val="24"/>
              </w:rPr>
              <w:t>u</w:t>
            </w:r>
            <w:r w:rsidR="00DF14B5" w:rsidRPr="00D959CB">
              <w:rPr>
                <w:rFonts w:cs="Times New Roman"/>
                <w:szCs w:val="24"/>
              </w:rPr>
              <w:t xml:space="preserve"> narovnání</w:t>
            </w:r>
            <w:r w:rsidR="00DF14B5">
              <w:t xml:space="preserve"> a </w:t>
            </w:r>
            <w:r w:rsidR="00DF14B5" w:rsidRPr="00D959CB">
              <w:rPr>
                <w:rFonts w:cs="Times New Roman"/>
                <w:szCs w:val="24"/>
              </w:rPr>
              <w:t>zpřístupnění informací obsažených ve</w:t>
            </w:r>
            <w:r w:rsidR="00B62C05">
              <w:rPr>
                <w:rFonts w:cs="Times New Roman"/>
                <w:szCs w:val="24"/>
              </w:rPr>
              <w:t xml:space="preserve"> správním</w:t>
            </w:r>
            <w:r w:rsidR="00DF14B5" w:rsidRPr="00D959CB">
              <w:rPr>
                <w:rFonts w:cs="Times New Roman"/>
                <w:szCs w:val="24"/>
              </w:rPr>
              <w:t xml:space="preserve"> spise.</w:t>
            </w:r>
          </w:p>
        </w:tc>
      </w:tr>
      <w:tr w:rsidR="00437730" w:rsidRPr="001B3CC7" w:rsidTr="00C00C21">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rsidR="00437730" w:rsidRPr="001B3CC7" w:rsidRDefault="00437730" w:rsidP="00C64011">
            <w:pPr>
              <w:tabs>
                <w:tab w:val="left" w:pos="1037"/>
              </w:tabs>
              <w:rPr>
                <w:rFonts w:cs="Times New Roman"/>
                <w:bCs/>
              </w:rPr>
            </w:pPr>
            <w:r w:rsidRPr="001B3CC7">
              <w:rPr>
                <w:rFonts w:cs="Times New Roman"/>
                <w:bCs/>
              </w:rPr>
              <w:t xml:space="preserve">3.  </w:t>
            </w:r>
            <w:r w:rsidRPr="001B3CC7">
              <w:rPr>
                <w:rFonts w:cs="Times New Roman"/>
              </w:rPr>
              <w:t>Agregované</w:t>
            </w:r>
            <w:r w:rsidRPr="001B3CC7">
              <w:rPr>
                <w:rFonts w:cs="Times New Roman"/>
                <w:bCs/>
              </w:rPr>
              <w:t xml:space="preserve"> dopady návrhu zákona</w:t>
            </w:r>
          </w:p>
        </w:tc>
      </w:tr>
      <w:tr w:rsidR="00437730" w:rsidRPr="001B3CC7" w:rsidTr="00C00C21">
        <w:trPr>
          <w:trHeight w:val="447"/>
        </w:trPr>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rsidR="001D25C1" w:rsidRPr="001B3CC7" w:rsidRDefault="00437730" w:rsidP="00C64011">
            <w:pPr>
              <w:tabs>
                <w:tab w:val="left" w:pos="1037"/>
              </w:tabs>
              <w:rPr>
                <w:rFonts w:cs="Times New Roman"/>
                <w:bCs/>
              </w:rPr>
            </w:pPr>
            <w:r w:rsidRPr="001B3CC7">
              <w:rPr>
                <w:rFonts w:cs="Times New Roman"/>
                <w:bCs/>
              </w:rPr>
              <w:t>3.1 Dopady na státní rozpočet a ostatní veřejné rozpočty: Ne</w:t>
            </w:r>
          </w:p>
        </w:tc>
      </w:tr>
      <w:tr w:rsidR="00437730" w:rsidRPr="001B3CC7" w:rsidTr="00C00C21">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rsidR="00437730" w:rsidRPr="001D25C1" w:rsidRDefault="00CE5166" w:rsidP="00C64011">
            <w:pPr>
              <w:tabs>
                <w:tab w:val="left" w:pos="5526"/>
              </w:tabs>
              <w:rPr>
                <w:rFonts w:cs="Times New Roman"/>
                <w:szCs w:val="24"/>
              </w:rPr>
            </w:pPr>
            <w:r>
              <w:rPr>
                <w:rFonts w:cs="Times New Roman"/>
                <w:szCs w:val="24"/>
              </w:rPr>
              <w:t>3.</w:t>
            </w:r>
            <w:r w:rsidR="001D25C1" w:rsidRPr="001D25C1">
              <w:rPr>
                <w:rFonts w:cs="Times New Roman"/>
                <w:szCs w:val="24"/>
              </w:rPr>
              <w:t>2 Dopady na mezinárodní konkurenceschopnost ČR: Ne</w:t>
            </w:r>
            <w:r w:rsidR="001D25C1" w:rsidRPr="001D25C1">
              <w:rPr>
                <w:rFonts w:cs="Times New Roman"/>
                <w:szCs w:val="24"/>
              </w:rPr>
              <w:tab/>
            </w:r>
          </w:p>
        </w:tc>
      </w:tr>
      <w:tr w:rsidR="00437730" w:rsidRPr="001B3CC7" w:rsidTr="00C00C21">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rsidR="00437730" w:rsidRPr="001B3CC7" w:rsidRDefault="00437730" w:rsidP="00C64011">
            <w:pPr>
              <w:tabs>
                <w:tab w:val="left" w:pos="1037"/>
              </w:tabs>
              <w:rPr>
                <w:rFonts w:cs="Times New Roman"/>
                <w:bCs/>
              </w:rPr>
            </w:pPr>
            <w:r w:rsidRPr="001B3CC7">
              <w:rPr>
                <w:rFonts w:cs="Times New Roman"/>
                <w:bCs/>
              </w:rPr>
              <w:t xml:space="preserve">3.2 Dopady na podnikatelské subjekty: Ano </w:t>
            </w:r>
          </w:p>
        </w:tc>
      </w:tr>
      <w:tr w:rsidR="00437730" w:rsidRPr="001B3CC7" w:rsidTr="00930B1F">
        <w:trPr>
          <w:trHeight w:val="369"/>
        </w:trPr>
        <w:tc>
          <w:tcPr>
            <w:tcW w:w="9645" w:type="dxa"/>
            <w:gridSpan w:val="2"/>
            <w:tcBorders>
              <w:top w:val="single" w:sz="4" w:space="0" w:color="auto"/>
              <w:left w:val="single" w:sz="12" w:space="0" w:color="auto"/>
              <w:bottom w:val="single" w:sz="12" w:space="0" w:color="auto"/>
              <w:right w:val="single" w:sz="12" w:space="0" w:color="auto"/>
            </w:tcBorders>
            <w:hideMark/>
          </w:tcPr>
          <w:p w:rsidR="00C00C21" w:rsidRPr="001B3CC7" w:rsidRDefault="00437730" w:rsidP="002E76B1">
            <w:r w:rsidRPr="001B3CC7">
              <w:lastRenderedPageBreak/>
              <w:t xml:space="preserve">Je rozšířena a zpřesněna úprava vzájemné pomoci mezi soutěžními orgány státu Evropské unie a zcela nově je upraven výkon rozhodnutí soutěžních orgánů členských státu Evropské unie, kterým se ukládají pokuty nebo penále na území České republiky, což povede ke zvýšení efektivity regulace soutěžního jednání v rámci celé Evropské unie. </w:t>
            </w:r>
            <w:r w:rsidR="002E76B1">
              <w:t xml:space="preserve">Dojde ke </w:t>
            </w:r>
            <w:r w:rsidR="002E76B1">
              <w:rPr>
                <w:rFonts w:eastAsia="MS Mincho"/>
                <w:bCs/>
                <w:iCs/>
              </w:rPr>
              <w:t>z</w:t>
            </w:r>
            <w:r w:rsidR="007C43CB" w:rsidRPr="00E11CDE">
              <w:rPr>
                <w:rFonts w:eastAsia="MS Mincho"/>
                <w:bCs/>
                <w:iCs/>
              </w:rPr>
              <w:t>lepšení řádného fungování vnitřního trhu.</w:t>
            </w:r>
            <w:r w:rsidR="007C43CB">
              <w:rPr>
                <w:rFonts w:eastAsia="MS Mincho"/>
                <w:bCs/>
                <w:iCs/>
              </w:rPr>
              <w:t xml:space="preserve"> Doplnění právní úpravy na české národní úrovni a její sjednocení na základní úrovni členských států může přispět ke zkultivování ekonomického prostředí na trhu</w:t>
            </w:r>
            <w:r w:rsidR="007C43CB" w:rsidRPr="00F355E9">
              <w:rPr>
                <w:rFonts w:eastAsia="MS Mincho"/>
                <w:bCs/>
                <w:iCs/>
              </w:rPr>
              <w:t xml:space="preserve">. </w:t>
            </w:r>
            <w:r w:rsidR="007C43CB" w:rsidRPr="00D61876">
              <w:t xml:space="preserve">Cílem návrhu je umožnit účinněji vymáhat pravidla </w:t>
            </w:r>
            <w:r w:rsidR="00587D84" w:rsidRPr="00D61876">
              <w:t>E</w:t>
            </w:r>
            <w:r w:rsidR="00587D84">
              <w:t>vropské unie</w:t>
            </w:r>
            <w:r w:rsidR="00587D84" w:rsidRPr="00D61876">
              <w:t xml:space="preserve"> </w:t>
            </w:r>
            <w:r w:rsidR="007C43CB" w:rsidRPr="00D61876">
              <w:t xml:space="preserve">v oblasti hospodářské soutěže. Mělo by být zajištěno, aby příslušné orgány měly k dispozici všechny nezbytné nástroje, aby všechny vnitrostátní orgány pro hospodářskou soutěž byly schopny přijímat rozhodnutí zcela nezávisle, měly </w:t>
            </w:r>
            <w:r w:rsidR="007C43CB" w:rsidRPr="0050782B">
              <w:t>dostatečné množství lidských, finančních i technických zdrojů</w:t>
            </w:r>
            <w:r w:rsidR="007C43CB" w:rsidRPr="00D61876">
              <w:t xml:space="preserve"> a měly k dispozici účinné nástroje k zastavení protiprávního jednání i k ukládání sankcí za porušování příslušných předpisů. Sankce by přitom měly reflektovat závažnost a dobu trvání protiprávního jednání. Nepředpokládá se však, že by změny vyvolaly náklady na straně podnikatelů, naopak jejich výsledkem bude zajištění férové hospodářské soutěže a lepší vymahatelnost ze strany příslušných orgánů, což zajistí pozitivní dopad na podnikatelské prostředí v České republice.</w:t>
            </w:r>
          </w:p>
        </w:tc>
      </w:tr>
      <w:tr w:rsidR="00437730" w:rsidRPr="001B3CC7" w:rsidTr="0050782B">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rsidR="00437730" w:rsidRPr="00C00C21" w:rsidRDefault="00437730" w:rsidP="00C64011">
            <w:pPr>
              <w:tabs>
                <w:tab w:val="left" w:pos="1037"/>
              </w:tabs>
              <w:rPr>
                <w:rFonts w:cs="Times New Roman"/>
                <w:bCs/>
                <w:szCs w:val="24"/>
              </w:rPr>
            </w:pPr>
            <w:r w:rsidRPr="00C00C21">
              <w:rPr>
                <w:rFonts w:cs="Times New Roman"/>
                <w:bCs/>
                <w:szCs w:val="24"/>
              </w:rPr>
              <w:t xml:space="preserve">3.3 </w:t>
            </w:r>
            <w:r w:rsidR="00C00C21" w:rsidRPr="00C00C21">
              <w:rPr>
                <w:rFonts w:cs="Times New Roman"/>
                <w:szCs w:val="24"/>
              </w:rPr>
              <w:t>Dopady na podnikatelské prostředí: Ano</w:t>
            </w:r>
          </w:p>
        </w:tc>
      </w:tr>
      <w:tr w:rsidR="00F7374C" w:rsidRPr="001B3CC7" w:rsidTr="0050782B">
        <w:tc>
          <w:tcPr>
            <w:tcW w:w="9645" w:type="dxa"/>
            <w:gridSpan w:val="2"/>
            <w:tcBorders>
              <w:top w:val="single" w:sz="12" w:space="0" w:color="auto"/>
              <w:left w:val="single" w:sz="12" w:space="0" w:color="auto"/>
              <w:bottom w:val="single" w:sz="12" w:space="0" w:color="auto"/>
              <w:right w:val="single" w:sz="12" w:space="0" w:color="auto"/>
            </w:tcBorders>
            <w:shd w:val="clear" w:color="auto" w:fill="auto"/>
          </w:tcPr>
          <w:p w:rsidR="00F7374C" w:rsidRPr="0050782B" w:rsidRDefault="00F7374C" w:rsidP="0050782B">
            <w:r>
              <w:t>Dopady budou na podnikatele neutrální, v případě zlepšení soutěžního prostředí v důsledku nové právní úpravy mohou být pro podnikatele mírně pozitivní.</w:t>
            </w:r>
          </w:p>
        </w:tc>
      </w:tr>
      <w:tr w:rsidR="00C00C21" w:rsidRPr="001B3CC7" w:rsidTr="00C00C21">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rsidR="00C00C21" w:rsidRPr="001B3CC7" w:rsidRDefault="00C00C21" w:rsidP="00C64011">
            <w:pPr>
              <w:tabs>
                <w:tab w:val="left" w:pos="1037"/>
              </w:tabs>
              <w:rPr>
                <w:rFonts w:cs="Times New Roman"/>
                <w:bCs/>
              </w:rPr>
            </w:pPr>
            <w:r w:rsidRPr="001B3CC7">
              <w:rPr>
                <w:rFonts w:cs="Times New Roman"/>
                <w:bCs/>
              </w:rPr>
              <w:t>3.</w:t>
            </w:r>
            <w:r>
              <w:rPr>
                <w:rFonts w:cs="Times New Roman"/>
                <w:bCs/>
              </w:rPr>
              <w:t>4</w:t>
            </w:r>
            <w:r w:rsidRPr="001B3CC7">
              <w:rPr>
                <w:rFonts w:cs="Times New Roman"/>
                <w:bCs/>
              </w:rPr>
              <w:t xml:space="preserve"> Dopady na územní samosprávné celky (obce, kraje)</w:t>
            </w:r>
            <w:r>
              <w:rPr>
                <w:rFonts w:cs="Times New Roman"/>
                <w:bCs/>
              </w:rPr>
              <w:t>:</w:t>
            </w:r>
            <w:r w:rsidRPr="001B3CC7">
              <w:rPr>
                <w:rFonts w:cs="Times New Roman"/>
                <w:bCs/>
              </w:rPr>
              <w:t xml:space="preserve"> Ne</w:t>
            </w:r>
          </w:p>
        </w:tc>
      </w:tr>
      <w:tr w:rsidR="00C00C21" w:rsidRPr="001B3CC7" w:rsidTr="00C00C21">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rsidR="00C00C21" w:rsidRPr="001B3CC7" w:rsidRDefault="00C00C21" w:rsidP="00C64011">
            <w:pPr>
              <w:tabs>
                <w:tab w:val="left" w:pos="1037"/>
                <w:tab w:val="left" w:pos="3970"/>
              </w:tabs>
              <w:rPr>
                <w:rFonts w:cs="Times New Roman"/>
                <w:bCs/>
              </w:rPr>
            </w:pPr>
            <w:r w:rsidRPr="001B3CC7">
              <w:rPr>
                <w:rFonts w:cs="Times New Roman"/>
                <w:bCs/>
              </w:rPr>
              <w:t>3.</w:t>
            </w:r>
            <w:r>
              <w:rPr>
                <w:rFonts w:cs="Times New Roman"/>
                <w:bCs/>
              </w:rPr>
              <w:t>5</w:t>
            </w:r>
            <w:r w:rsidRPr="001B3CC7">
              <w:rPr>
                <w:rFonts w:cs="Times New Roman"/>
                <w:bCs/>
              </w:rPr>
              <w:t xml:space="preserve"> Sociální dopady: Ne</w:t>
            </w:r>
          </w:p>
        </w:tc>
      </w:tr>
      <w:tr w:rsidR="00C00C21" w:rsidRPr="001B3CC7" w:rsidTr="00C00C21">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tcPr>
          <w:p w:rsidR="00C00C21" w:rsidRPr="001B3CC7" w:rsidRDefault="00C00C21" w:rsidP="00C64011">
            <w:pPr>
              <w:tabs>
                <w:tab w:val="left" w:pos="1037"/>
                <w:tab w:val="left" w:pos="3970"/>
              </w:tabs>
              <w:rPr>
                <w:rFonts w:cs="Times New Roman"/>
                <w:bCs/>
              </w:rPr>
            </w:pPr>
            <w:r>
              <w:rPr>
                <w:rFonts w:cs="Times New Roman"/>
                <w:bCs/>
              </w:rPr>
              <w:t>3.6 Dopady na spotřebitele: Ano</w:t>
            </w:r>
          </w:p>
        </w:tc>
      </w:tr>
      <w:tr w:rsidR="00C00C21" w:rsidRPr="00F7374C" w:rsidTr="00C00C21">
        <w:tc>
          <w:tcPr>
            <w:tcW w:w="9645" w:type="dxa"/>
            <w:gridSpan w:val="2"/>
            <w:tcBorders>
              <w:top w:val="single" w:sz="4" w:space="0" w:color="auto"/>
              <w:left w:val="single" w:sz="12" w:space="0" w:color="auto"/>
              <w:bottom w:val="single" w:sz="12" w:space="0" w:color="auto"/>
              <w:right w:val="single" w:sz="12" w:space="0" w:color="auto"/>
            </w:tcBorders>
            <w:shd w:val="clear" w:color="auto" w:fill="FFFFFF" w:themeFill="background1"/>
          </w:tcPr>
          <w:p w:rsidR="007C43CB" w:rsidRDefault="007C43CB" w:rsidP="00D55CD1">
            <w:pPr>
              <w:rPr>
                <w:rFonts w:eastAsia="MS Mincho"/>
                <w:bCs/>
                <w:iCs/>
              </w:rPr>
            </w:pPr>
            <w:r w:rsidRPr="00D61876">
              <w:t>Návrh zákona má pozitivní dopad na všechny skupiny obyvatel, neboť zajištění spravedlivé hospodářské soutěže a lepší vymahatelnost ze strany příslušných orgánů je ve veřejném zájmu.</w:t>
            </w:r>
            <w:r>
              <w:t xml:space="preserve"> </w:t>
            </w:r>
          </w:p>
          <w:p w:rsidR="00C00C21" w:rsidRDefault="007C43CB" w:rsidP="00D55CD1">
            <w:pPr>
              <w:rPr>
                <w:rFonts w:cs="Times New Roman"/>
                <w:bCs/>
              </w:rPr>
            </w:pPr>
            <w:r>
              <w:rPr>
                <w:rFonts w:eastAsia="MS Mincho" w:cs="Times New Roman"/>
                <w:bCs/>
                <w:iCs/>
                <w:szCs w:val="24"/>
              </w:rPr>
              <w:t>V tomto případě se jedná zejména o plánovanou legislativní úpravu vzájemných vztahů mezi soutěžními orgány jiných členských států, resp. zpřesnění pravomocí soutěžního národního orgánu, tudíž nelze identifikovat konkrétní navrhovaná ustanovení dotýkající se přímo práv či povinností spotřebitelů.</w:t>
            </w:r>
          </w:p>
        </w:tc>
      </w:tr>
      <w:tr w:rsidR="00C00C21" w:rsidRPr="001B3CC7" w:rsidTr="00C175BB">
        <w:tc>
          <w:tcPr>
            <w:tcW w:w="9645" w:type="dxa"/>
            <w:gridSpan w:val="2"/>
            <w:tcBorders>
              <w:top w:val="single" w:sz="4" w:space="0" w:color="auto"/>
              <w:left w:val="single" w:sz="12" w:space="0" w:color="auto"/>
              <w:bottom w:val="single" w:sz="4" w:space="0" w:color="auto"/>
              <w:right w:val="single" w:sz="12" w:space="0" w:color="auto"/>
            </w:tcBorders>
            <w:shd w:val="clear" w:color="auto" w:fill="8DB3E2" w:themeFill="text2" w:themeFillTint="66"/>
            <w:hideMark/>
          </w:tcPr>
          <w:p w:rsidR="00C00C21" w:rsidRPr="001B3CC7" w:rsidRDefault="00C00C21" w:rsidP="00C64011">
            <w:pPr>
              <w:tabs>
                <w:tab w:val="left" w:pos="1037"/>
              </w:tabs>
              <w:rPr>
                <w:rFonts w:cs="Times New Roman"/>
                <w:bCs/>
              </w:rPr>
            </w:pPr>
            <w:r w:rsidRPr="001B3CC7">
              <w:rPr>
                <w:rFonts w:cs="Times New Roman"/>
                <w:bCs/>
              </w:rPr>
              <w:t>3.</w:t>
            </w:r>
            <w:r w:rsidR="00E738AA">
              <w:rPr>
                <w:rFonts w:cs="Times New Roman"/>
                <w:bCs/>
              </w:rPr>
              <w:t>7</w:t>
            </w:r>
            <w:r w:rsidRPr="001B3CC7">
              <w:rPr>
                <w:rFonts w:cs="Times New Roman"/>
                <w:bCs/>
              </w:rPr>
              <w:t xml:space="preserve"> Dopady na životní prostředí: Ne</w:t>
            </w:r>
          </w:p>
        </w:tc>
      </w:tr>
      <w:tr w:rsidR="00C175BB" w:rsidRPr="001B3CC7" w:rsidTr="00C175BB">
        <w:tc>
          <w:tcPr>
            <w:tcW w:w="9645" w:type="dxa"/>
            <w:gridSpan w:val="2"/>
            <w:tcBorders>
              <w:top w:val="single" w:sz="4" w:space="0" w:color="auto"/>
              <w:left w:val="single" w:sz="12" w:space="0" w:color="auto"/>
              <w:bottom w:val="single" w:sz="4" w:space="0" w:color="auto"/>
              <w:right w:val="single" w:sz="12" w:space="0" w:color="auto"/>
            </w:tcBorders>
            <w:shd w:val="clear" w:color="auto" w:fill="8DB3E2" w:themeFill="text2" w:themeFillTint="66"/>
          </w:tcPr>
          <w:p w:rsidR="00C175BB" w:rsidRPr="001B3CC7" w:rsidRDefault="00C175BB" w:rsidP="00C64011">
            <w:pPr>
              <w:tabs>
                <w:tab w:val="left" w:pos="1037"/>
              </w:tabs>
              <w:rPr>
                <w:rFonts w:cs="Times New Roman"/>
                <w:bCs/>
              </w:rPr>
            </w:pPr>
            <w:r>
              <w:rPr>
                <w:rFonts w:cs="Times New Roman"/>
                <w:bCs/>
              </w:rPr>
              <w:t>3.8 Dopady ve vztahu k zákazu diskriminace a ve vztahu k rovnosti žen a mužů: Ne</w:t>
            </w:r>
          </w:p>
        </w:tc>
      </w:tr>
      <w:tr w:rsidR="00C175BB" w:rsidRPr="001B3CC7" w:rsidTr="00C175BB">
        <w:tc>
          <w:tcPr>
            <w:tcW w:w="9645" w:type="dxa"/>
            <w:gridSpan w:val="2"/>
            <w:tcBorders>
              <w:top w:val="single" w:sz="4" w:space="0" w:color="auto"/>
              <w:left w:val="single" w:sz="12" w:space="0" w:color="auto"/>
              <w:bottom w:val="single" w:sz="4" w:space="0" w:color="auto"/>
              <w:right w:val="single" w:sz="12" w:space="0" w:color="auto"/>
            </w:tcBorders>
            <w:shd w:val="clear" w:color="auto" w:fill="8DB3E2" w:themeFill="text2" w:themeFillTint="66"/>
          </w:tcPr>
          <w:p w:rsidR="00C175BB" w:rsidRPr="001B3CC7" w:rsidRDefault="00C175BB" w:rsidP="00C64011">
            <w:pPr>
              <w:tabs>
                <w:tab w:val="left" w:pos="1037"/>
              </w:tabs>
              <w:rPr>
                <w:rFonts w:cs="Times New Roman"/>
                <w:bCs/>
              </w:rPr>
            </w:pPr>
            <w:r>
              <w:rPr>
                <w:rFonts w:cs="Times New Roman"/>
                <w:bCs/>
              </w:rPr>
              <w:t>3.9 Dopady na výkon státní statistické služby: Ne</w:t>
            </w:r>
          </w:p>
        </w:tc>
      </w:tr>
      <w:tr w:rsidR="00C175BB" w:rsidRPr="001B3CC7" w:rsidTr="00C175BB">
        <w:tc>
          <w:tcPr>
            <w:tcW w:w="9645" w:type="dxa"/>
            <w:gridSpan w:val="2"/>
            <w:tcBorders>
              <w:top w:val="single" w:sz="4" w:space="0" w:color="auto"/>
              <w:left w:val="single" w:sz="12" w:space="0" w:color="auto"/>
              <w:bottom w:val="single" w:sz="4" w:space="0" w:color="auto"/>
              <w:right w:val="single" w:sz="12" w:space="0" w:color="auto"/>
            </w:tcBorders>
            <w:shd w:val="clear" w:color="auto" w:fill="8DB3E2" w:themeFill="text2" w:themeFillTint="66"/>
          </w:tcPr>
          <w:p w:rsidR="00C175BB" w:rsidRPr="001B3CC7" w:rsidRDefault="00C175BB" w:rsidP="00C175BB">
            <w:pPr>
              <w:tabs>
                <w:tab w:val="left" w:pos="1037"/>
              </w:tabs>
              <w:rPr>
                <w:rFonts w:cs="Times New Roman"/>
                <w:bCs/>
              </w:rPr>
            </w:pPr>
            <w:r>
              <w:rPr>
                <w:rFonts w:cs="Times New Roman"/>
                <w:bCs/>
              </w:rPr>
              <w:t>3.10 Korupční rizika: Ne</w:t>
            </w:r>
          </w:p>
        </w:tc>
      </w:tr>
      <w:tr w:rsidR="00C175BB" w:rsidRPr="001B3CC7" w:rsidTr="00C00C21">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tcPr>
          <w:p w:rsidR="00C175BB" w:rsidRPr="001B3CC7" w:rsidRDefault="00C175BB" w:rsidP="00C64011">
            <w:pPr>
              <w:tabs>
                <w:tab w:val="left" w:pos="1037"/>
              </w:tabs>
              <w:rPr>
                <w:rFonts w:cs="Times New Roman"/>
                <w:bCs/>
              </w:rPr>
            </w:pPr>
            <w:r>
              <w:rPr>
                <w:rFonts w:cs="Times New Roman"/>
                <w:bCs/>
              </w:rPr>
              <w:t>3.11 Dopady na bezpečnost nebo obranu státu: Ne</w:t>
            </w:r>
          </w:p>
        </w:tc>
      </w:tr>
    </w:tbl>
    <w:p w:rsidR="005C5CBE" w:rsidRPr="005C5CBE" w:rsidRDefault="005C5CBE" w:rsidP="00D55CD1">
      <w:pPr>
        <w:pStyle w:val="Prvnnadpis"/>
      </w:pPr>
      <w:r w:rsidRPr="005C5CBE">
        <w:lastRenderedPageBreak/>
        <w:t>Důvod předložení a cíle</w:t>
      </w:r>
    </w:p>
    <w:p w:rsidR="00437730" w:rsidRPr="001B3CC7" w:rsidRDefault="00437730" w:rsidP="00D55CD1">
      <w:pPr>
        <w:pStyle w:val="Druhnadpis"/>
      </w:pPr>
      <w:bookmarkStart w:id="1" w:name="_Toc384290113"/>
      <w:bookmarkStart w:id="2" w:name="_Toc343094538"/>
      <w:r w:rsidRPr="001B3CC7">
        <w:t>Název</w:t>
      </w:r>
      <w:bookmarkEnd w:id="1"/>
      <w:bookmarkEnd w:id="2"/>
    </w:p>
    <w:p w:rsidR="00437730" w:rsidRPr="001B3CC7" w:rsidRDefault="00437730" w:rsidP="00D55CD1">
      <w:r w:rsidRPr="001B3CC7">
        <w:t xml:space="preserve">Zákon, kterým se mění zákon </w:t>
      </w:r>
      <w:r w:rsidRPr="001B3CC7">
        <w:rPr>
          <w:shd w:val="clear" w:color="auto" w:fill="FFFFFF"/>
        </w:rPr>
        <w:t>č. 143/2001 Sb., o ochraně hospodářské soutěže</w:t>
      </w:r>
      <w:r w:rsidRPr="001B3CC7">
        <w:rPr>
          <w:shd w:val="clear" w:color="auto" w:fill="FFFFFF"/>
        </w:rPr>
        <w:br/>
        <w:t>a o změně některých zákonů (zákon o ochraně hospodářské soutěže), ve znění pozdějších předpisů</w:t>
      </w:r>
      <w:r w:rsidRPr="001B3CC7">
        <w:t xml:space="preserve">. </w:t>
      </w:r>
    </w:p>
    <w:p w:rsidR="00437730" w:rsidRPr="001B3CC7" w:rsidRDefault="00437730" w:rsidP="00D55CD1">
      <w:pPr>
        <w:pStyle w:val="Druhnadpis"/>
      </w:pPr>
      <w:bookmarkStart w:id="3" w:name="_Toc384290114"/>
      <w:bookmarkStart w:id="4" w:name="_Toc343094540"/>
      <w:r w:rsidRPr="001B3CC7">
        <w:t>Definice problému</w:t>
      </w:r>
      <w:bookmarkEnd w:id="3"/>
      <w:bookmarkEnd w:id="4"/>
      <w:r w:rsidRPr="001B3CC7">
        <w:t xml:space="preserve"> </w:t>
      </w:r>
    </w:p>
    <w:p w:rsidR="00B67B3F" w:rsidRDefault="00437730" w:rsidP="00D55CD1">
      <w:r w:rsidRPr="00DF52FE">
        <w:t xml:space="preserve">V platných právních předpisech není v současné době plně provedena transpozice </w:t>
      </w:r>
      <w:r w:rsidR="00DF52FE" w:rsidRPr="00DF52FE">
        <w:t>sm</w:t>
      </w:r>
      <w:r w:rsidR="00DF52FE" w:rsidRPr="00DF52FE">
        <w:rPr>
          <w:rFonts w:hint="eastAsia"/>
        </w:rPr>
        <w:t>ě</w:t>
      </w:r>
      <w:r w:rsidR="00DF52FE" w:rsidRPr="00DF52FE">
        <w:t xml:space="preserve">rnice </w:t>
      </w:r>
      <w:r w:rsidR="00581433" w:rsidRPr="00FA3768">
        <w:rPr>
          <w:shd w:val="clear" w:color="auto" w:fill="FFFFFF"/>
        </w:rPr>
        <w:t xml:space="preserve">Evropského parlamentu a Rady (EU) </w:t>
      </w:r>
      <w:r w:rsidR="00581433">
        <w:rPr>
          <w:shd w:val="clear" w:color="auto" w:fill="FFFFFF"/>
        </w:rPr>
        <w:t>2019/1 ze dne 11. prosince 2018</w:t>
      </w:r>
      <w:r w:rsidR="00D55CD1">
        <w:rPr>
          <w:shd w:val="clear" w:color="auto" w:fill="FFFFFF"/>
        </w:rPr>
        <w:t> </w:t>
      </w:r>
      <w:r w:rsidR="00581433" w:rsidRPr="00FA3768">
        <w:rPr>
          <w:shd w:val="clear" w:color="auto" w:fill="FFFFFF"/>
        </w:rPr>
        <w:t>o posílení postavení orgánů pro hospodářskou soutěž v členských státech tak, aby mohly účinněji prosazovat pravidla, a o zajištění řádného fungování vnitřního trhu</w:t>
      </w:r>
      <w:r w:rsidR="00216601">
        <w:rPr>
          <w:shd w:val="clear" w:color="auto" w:fill="FFFFFF"/>
        </w:rPr>
        <w:t xml:space="preserve"> (</w:t>
      </w:r>
      <w:r w:rsidR="00581433">
        <w:rPr>
          <w:shd w:val="clear" w:color="auto" w:fill="FFFFFF"/>
        </w:rPr>
        <w:t>dále jen „Směrnice“</w:t>
      </w:r>
      <w:r w:rsidR="00216601">
        <w:rPr>
          <w:shd w:val="clear" w:color="auto" w:fill="FFFFFF"/>
        </w:rPr>
        <w:t>)</w:t>
      </w:r>
      <w:r w:rsidRPr="00DF52FE">
        <w:t>.</w:t>
      </w:r>
      <w:r w:rsidR="00DF52FE">
        <w:t xml:space="preserve"> </w:t>
      </w:r>
    </w:p>
    <w:p w:rsidR="00A66AA7" w:rsidRDefault="00DF52FE" w:rsidP="00D55CD1">
      <w:r>
        <w:t>Vět</w:t>
      </w:r>
      <w:r w:rsidR="00581433">
        <w:t xml:space="preserve">šina </w:t>
      </w:r>
      <w:r w:rsidR="00437730" w:rsidRPr="001B3CC7">
        <w:t xml:space="preserve">požadavků této směrnice je již dnes na naší národní úrovni upravena. Výjimku tvoří úprava </w:t>
      </w:r>
      <w:r w:rsidR="00040176">
        <w:t xml:space="preserve">vnitrounijní </w:t>
      </w:r>
      <w:r w:rsidR="00437730" w:rsidRPr="001B3CC7">
        <w:t xml:space="preserve">spolupráce mezi </w:t>
      </w:r>
      <w:r w:rsidR="00040176">
        <w:t>národními (</w:t>
      </w:r>
      <w:r w:rsidR="00437730" w:rsidRPr="001B3CC7">
        <w:t>vnitrostátními</w:t>
      </w:r>
      <w:r w:rsidR="00040176">
        <w:t>)</w:t>
      </w:r>
      <w:r w:rsidR="00437730" w:rsidRPr="001B3CC7">
        <w:t xml:space="preserve"> orgány pro hospodářskou soutěž, včetně </w:t>
      </w:r>
      <w:r w:rsidR="00A66AA7">
        <w:t xml:space="preserve">otázky </w:t>
      </w:r>
      <w:r w:rsidR="00437730" w:rsidRPr="001B3CC7">
        <w:t xml:space="preserve">vymáhání cizích rozhodnutí </w:t>
      </w:r>
      <w:r w:rsidR="00A66AA7">
        <w:t xml:space="preserve">s evropským rozměrem </w:t>
      </w:r>
      <w:r w:rsidR="00437730" w:rsidRPr="001B3CC7">
        <w:t xml:space="preserve">na našem území, která musí být </w:t>
      </w:r>
      <w:r w:rsidR="007258E2">
        <w:t>právně zakotvena</w:t>
      </w:r>
      <w:r w:rsidR="00B62C05" w:rsidRPr="001B3CC7">
        <w:t xml:space="preserve"> </w:t>
      </w:r>
      <w:r w:rsidR="00437730" w:rsidRPr="001B3CC7">
        <w:t>zcela nově.</w:t>
      </w:r>
      <w:r w:rsidR="00ED6021" w:rsidRPr="00DD5F19">
        <w:t xml:space="preserve"> </w:t>
      </w:r>
    </w:p>
    <w:p w:rsidR="0065594A" w:rsidRDefault="00ED6021" w:rsidP="00D55CD1">
      <w:pPr>
        <w:rPr>
          <w:rStyle w:val="Nadpis1Char"/>
          <w:rFonts w:ascii="Times New Roman" w:hAnsi="Times New Roman" w:cs="Times New Roman"/>
          <w:b w:val="0"/>
        </w:rPr>
      </w:pPr>
      <w:r w:rsidRPr="00DD5F19">
        <w:t xml:space="preserve">Dále je třeba upřesnit úpravu </w:t>
      </w:r>
      <w:r>
        <w:t xml:space="preserve">pořádkových pokut, programů shovívavosti a úpravu nezávislosti </w:t>
      </w:r>
      <w:r w:rsidR="00041DB8">
        <w:t>vnitrostátního</w:t>
      </w:r>
      <w:r w:rsidR="00A66AA7">
        <w:t xml:space="preserve"> soutěžního orgánu</w:t>
      </w:r>
      <w:r>
        <w:t xml:space="preserve">. </w:t>
      </w:r>
      <w:r w:rsidR="00437730" w:rsidRPr="001B3CC7">
        <w:rPr>
          <w:rFonts w:cs="Times New Roman"/>
        </w:rPr>
        <w:t xml:space="preserve">Transpozice směrnice do </w:t>
      </w:r>
      <w:r w:rsidR="00CA4256">
        <w:rPr>
          <w:rFonts w:cs="Times New Roman"/>
        </w:rPr>
        <w:t xml:space="preserve">národního </w:t>
      </w:r>
      <w:r w:rsidR="00437730" w:rsidRPr="001B3CC7">
        <w:rPr>
          <w:rFonts w:cs="Times New Roman"/>
        </w:rPr>
        <w:t xml:space="preserve">právního řádu je povinností České republiky jako členského státu </w:t>
      </w:r>
      <w:r w:rsidR="00587D84">
        <w:rPr>
          <w:rFonts w:cs="Times New Roman"/>
        </w:rPr>
        <w:t>Evropské unie (dále též jako „</w:t>
      </w:r>
      <w:r w:rsidR="00437730" w:rsidRPr="001B3CC7">
        <w:rPr>
          <w:rFonts w:cs="Times New Roman"/>
        </w:rPr>
        <w:t>EU</w:t>
      </w:r>
      <w:r w:rsidR="00587D84">
        <w:rPr>
          <w:rFonts w:cs="Times New Roman"/>
        </w:rPr>
        <w:t>“)</w:t>
      </w:r>
      <w:r w:rsidR="00437730" w:rsidRPr="001B3CC7">
        <w:rPr>
          <w:rFonts w:cs="Times New Roman"/>
        </w:rPr>
        <w:t>. Nep</w:t>
      </w:r>
      <w:r w:rsidR="00D70FFF">
        <w:rPr>
          <w:rFonts w:cs="Times New Roman"/>
        </w:rPr>
        <w:t xml:space="preserve">rovedení implementace </w:t>
      </w:r>
      <w:r w:rsidR="00CA4256">
        <w:rPr>
          <w:rFonts w:cs="Times New Roman"/>
        </w:rPr>
        <w:t>evropské</w:t>
      </w:r>
      <w:r w:rsidR="00CA4256" w:rsidRPr="001B3CC7">
        <w:rPr>
          <w:rFonts w:cs="Times New Roman"/>
        </w:rPr>
        <w:t xml:space="preserve"> </w:t>
      </w:r>
      <w:r w:rsidR="00437730" w:rsidRPr="001B3CC7">
        <w:rPr>
          <w:rFonts w:cs="Times New Roman"/>
        </w:rPr>
        <w:t>právní úpravy</w:t>
      </w:r>
      <w:r>
        <w:rPr>
          <w:rFonts w:cs="Times New Roman"/>
        </w:rPr>
        <w:t xml:space="preserve"> by tak vedlo k zahájení řízení </w:t>
      </w:r>
      <w:r w:rsidR="00437730" w:rsidRPr="001B3CC7">
        <w:rPr>
          <w:rFonts w:cs="Times New Roman"/>
        </w:rPr>
        <w:t xml:space="preserve">o porušení Smlouvy </w:t>
      </w:r>
      <w:r w:rsidR="00587D84">
        <w:t>o </w:t>
      </w:r>
      <w:r w:rsidR="00587D84" w:rsidRPr="001B3CC7">
        <w:t>fungování Evropské unie</w:t>
      </w:r>
      <w:r w:rsidR="00587D84" w:rsidRPr="001B3CC7">
        <w:rPr>
          <w:rFonts w:cs="Times New Roman"/>
        </w:rPr>
        <w:t xml:space="preserve"> </w:t>
      </w:r>
      <w:r w:rsidR="00437730" w:rsidRPr="001B3CC7">
        <w:rPr>
          <w:rFonts w:cs="Times New Roman"/>
        </w:rPr>
        <w:t>(</w:t>
      </w:r>
      <w:r w:rsidR="00727D94">
        <w:rPr>
          <w:rFonts w:cs="Times New Roman"/>
        </w:rPr>
        <w:t>dále také jako „Smlouva“ nebo „SFEU“</w:t>
      </w:r>
      <w:r w:rsidR="00437730" w:rsidRPr="001B3CC7">
        <w:rPr>
          <w:rFonts w:cs="Times New Roman"/>
        </w:rPr>
        <w:t>) vůči České republice ze strany Evropské komise, což by mohlo vést až k uložení finančních</w:t>
      </w:r>
      <w:r w:rsidR="00FF5F3D">
        <w:rPr>
          <w:rFonts w:cs="Times New Roman"/>
        </w:rPr>
        <w:t xml:space="preserve"> sankcí</w:t>
      </w:r>
      <w:r w:rsidR="00437730" w:rsidRPr="001B3CC7">
        <w:rPr>
          <w:rFonts w:cs="Times New Roman"/>
        </w:rPr>
        <w:t>.</w:t>
      </w:r>
      <w:r w:rsidR="0065594A">
        <w:rPr>
          <w:rFonts w:cs="Times New Roman"/>
        </w:rPr>
        <w:t xml:space="preserve"> </w:t>
      </w:r>
      <w:r w:rsidR="00437730" w:rsidRPr="001B3CC7">
        <w:rPr>
          <w:rFonts w:cs="Times New Roman"/>
        </w:rPr>
        <w:t>Vůdčím principem navrhované</w:t>
      </w:r>
      <w:r w:rsidR="00B62C05">
        <w:rPr>
          <w:rFonts w:cs="Times New Roman"/>
        </w:rPr>
        <w:t xml:space="preserve"> právní</w:t>
      </w:r>
      <w:r w:rsidR="00437730" w:rsidRPr="001B3CC7">
        <w:rPr>
          <w:rFonts w:cs="Times New Roman"/>
        </w:rPr>
        <w:t xml:space="preserve"> úpravy je tedy nutnost zapracování </w:t>
      </w:r>
      <w:r w:rsidR="00581433">
        <w:rPr>
          <w:rFonts w:cs="Times New Roman"/>
        </w:rPr>
        <w:t>S</w:t>
      </w:r>
      <w:r w:rsidR="00437730" w:rsidRPr="001B3CC7">
        <w:rPr>
          <w:rFonts w:cs="Times New Roman"/>
        </w:rPr>
        <w:t>měrnice</w:t>
      </w:r>
      <w:r w:rsidR="009933C2">
        <w:rPr>
          <w:rFonts w:cs="Times New Roman"/>
        </w:rPr>
        <w:t xml:space="preserve"> do </w:t>
      </w:r>
      <w:r w:rsidR="0065594A">
        <w:rPr>
          <w:rFonts w:cs="Times New Roman"/>
        </w:rPr>
        <w:t>národní úpravy</w:t>
      </w:r>
      <w:r w:rsidR="00437730" w:rsidRPr="001B3CC7">
        <w:rPr>
          <w:rStyle w:val="Nadpis1Char"/>
          <w:rFonts w:ascii="Times New Roman" w:hAnsi="Times New Roman" w:cs="Times New Roman"/>
          <w:b w:val="0"/>
        </w:rPr>
        <w:t xml:space="preserve">. </w:t>
      </w:r>
    </w:p>
    <w:p w:rsidR="00437730" w:rsidRDefault="00437730" w:rsidP="00D55CD1">
      <w:pPr>
        <w:rPr>
          <w:rFonts w:cs="Times New Roman"/>
        </w:rPr>
      </w:pPr>
      <w:r w:rsidRPr="001B3CC7">
        <w:rPr>
          <w:rStyle w:val="Nadpis1Char"/>
          <w:rFonts w:ascii="Times New Roman" w:hAnsi="Times New Roman" w:cs="Times New Roman"/>
          <w:b w:val="0"/>
        </w:rPr>
        <w:t xml:space="preserve">Účelem nové právní úpravy je </w:t>
      </w:r>
      <w:r w:rsidR="0017225D">
        <w:rPr>
          <w:rStyle w:val="Nadpis1Char"/>
          <w:rFonts w:ascii="Times New Roman" w:hAnsi="Times New Roman" w:cs="Times New Roman"/>
          <w:b w:val="0"/>
        </w:rPr>
        <w:t xml:space="preserve">zejména </w:t>
      </w:r>
      <w:r w:rsidRPr="001B3CC7">
        <w:rPr>
          <w:rStyle w:val="Nadpis1Char"/>
          <w:rFonts w:ascii="Times New Roman" w:hAnsi="Times New Roman" w:cs="Times New Roman"/>
          <w:b w:val="0"/>
        </w:rPr>
        <w:t>dosažení stavu, aby u</w:t>
      </w:r>
      <w:r w:rsidRPr="001B3CC7">
        <w:rPr>
          <w:rFonts w:cs="Times New Roman"/>
          <w:highlight w:val="white"/>
        </w:rPr>
        <w:t>platňování v</w:t>
      </w:r>
      <w:r w:rsidR="007E5AC9">
        <w:rPr>
          <w:rFonts w:cs="Times New Roman"/>
          <w:highlight w:val="white"/>
        </w:rPr>
        <w:t xml:space="preserve">nitrostátních právních předpisů </w:t>
      </w:r>
      <w:r w:rsidR="00D55CD1">
        <w:rPr>
          <w:rFonts w:cs="Times New Roman"/>
          <w:highlight w:val="white"/>
        </w:rPr>
        <w:t>o </w:t>
      </w:r>
      <w:r w:rsidRPr="001B3CC7">
        <w:rPr>
          <w:rFonts w:cs="Times New Roman"/>
          <w:highlight w:val="white"/>
        </w:rPr>
        <w:t>hospodářské soutěži vnitrostátními or</w:t>
      </w:r>
      <w:r w:rsidR="009933C2">
        <w:rPr>
          <w:rFonts w:cs="Times New Roman"/>
          <w:highlight w:val="white"/>
        </w:rPr>
        <w:t>gány pro hospodářskou soutěž na </w:t>
      </w:r>
      <w:r w:rsidRPr="001B3CC7">
        <w:rPr>
          <w:rFonts w:cs="Times New Roman"/>
          <w:highlight w:val="white"/>
        </w:rPr>
        <w:t>dohody, rozhodnutí sdružení podniků nebo jednání ve vzájemné shodě, které by mohly ovlivnit obchod mezi členskými státy, nevedlo k výsledku jinému, než je výsledek, jehož by vnitrostátní orgány pro</w:t>
      </w:r>
      <w:r w:rsidR="0046408F">
        <w:rPr>
          <w:rFonts w:cs="Times New Roman"/>
          <w:highlight w:val="white"/>
        </w:rPr>
        <w:t> </w:t>
      </w:r>
      <w:r w:rsidRPr="001B3CC7">
        <w:rPr>
          <w:rFonts w:cs="Times New Roman"/>
          <w:highlight w:val="white"/>
        </w:rPr>
        <w:t xml:space="preserve">hospodářskou soutěž dosáhly na základě práva </w:t>
      </w:r>
      <w:r w:rsidR="00B91208">
        <w:rPr>
          <w:rFonts w:cs="Times New Roman"/>
          <w:highlight w:val="white"/>
        </w:rPr>
        <w:t>EU</w:t>
      </w:r>
      <w:r w:rsidRPr="001B3CC7">
        <w:rPr>
          <w:rFonts w:cs="Times New Roman"/>
          <w:highlight w:val="white"/>
        </w:rPr>
        <w:t xml:space="preserve"> po</w:t>
      </w:r>
      <w:r w:rsidR="007E5AC9">
        <w:rPr>
          <w:rFonts w:cs="Times New Roman"/>
          <w:highlight w:val="white"/>
        </w:rPr>
        <w:t>dle čl</w:t>
      </w:r>
      <w:r w:rsidR="00B91208">
        <w:rPr>
          <w:rFonts w:cs="Times New Roman"/>
          <w:highlight w:val="white"/>
        </w:rPr>
        <w:t>ánku</w:t>
      </w:r>
      <w:r w:rsidR="007E5AC9">
        <w:rPr>
          <w:rFonts w:cs="Times New Roman"/>
          <w:highlight w:val="white"/>
        </w:rPr>
        <w:t xml:space="preserve"> 3 odst. 2 nařízení (ES) </w:t>
      </w:r>
      <w:r w:rsidR="00D55CD1">
        <w:rPr>
          <w:rFonts w:cs="Times New Roman"/>
          <w:highlight w:val="white"/>
        </w:rPr>
        <w:t>č. </w:t>
      </w:r>
      <w:r w:rsidRPr="001B3CC7">
        <w:rPr>
          <w:rFonts w:cs="Times New Roman"/>
          <w:highlight w:val="white"/>
        </w:rPr>
        <w:t>1/2003. V takovýchto případech souběžného uplatňování vnitrostátních a unijních právních předpisů o hospodářské soutěži je zásad</w:t>
      </w:r>
      <w:r w:rsidR="00D55CD1">
        <w:rPr>
          <w:rFonts w:cs="Times New Roman"/>
          <w:highlight w:val="white"/>
        </w:rPr>
        <w:t xml:space="preserve">ní, aby orgány </w:t>
      </w:r>
      <w:r w:rsidR="0065594A">
        <w:rPr>
          <w:rFonts w:cs="Times New Roman"/>
          <w:highlight w:val="white"/>
        </w:rPr>
        <w:t>ochrany</w:t>
      </w:r>
      <w:r w:rsidR="00D55CD1">
        <w:rPr>
          <w:rFonts w:cs="Times New Roman"/>
          <w:highlight w:val="white"/>
        </w:rPr>
        <w:t> </w:t>
      </w:r>
      <w:r w:rsidRPr="001B3CC7">
        <w:rPr>
          <w:rFonts w:cs="Times New Roman"/>
          <w:highlight w:val="white"/>
        </w:rPr>
        <w:t>hospodářsk</w:t>
      </w:r>
      <w:r w:rsidR="0065594A">
        <w:rPr>
          <w:rFonts w:cs="Times New Roman"/>
          <w:highlight w:val="white"/>
        </w:rPr>
        <w:t>é</w:t>
      </w:r>
      <w:r w:rsidRPr="001B3CC7">
        <w:rPr>
          <w:rFonts w:cs="Times New Roman"/>
          <w:highlight w:val="white"/>
        </w:rPr>
        <w:t xml:space="preserve"> soutěž</w:t>
      </w:r>
      <w:r w:rsidR="0065594A">
        <w:rPr>
          <w:rFonts w:cs="Times New Roman"/>
          <w:highlight w:val="white"/>
        </w:rPr>
        <w:t>e</w:t>
      </w:r>
      <w:r w:rsidRPr="001B3CC7">
        <w:rPr>
          <w:rFonts w:cs="Times New Roman"/>
          <w:highlight w:val="white"/>
        </w:rPr>
        <w:t xml:space="preserve"> měly stejné potřebné záruky nezáv</w:t>
      </w:r>
      <w:r w:rsidR="00D55CD1">
        <w:rPr>
          <w:rFonts w:cs="Times New Roman"/>
          <w:highlight w:val="white"/>
        </w:rPr>
        <w:t>islosti, zdroje a pravomoci při </w:t>
      </w:r>
      <w:r w:rsidRPr="001B3CC7">
        <w:rPr>
          <w:rFonts w:cs="Times New Roman"/>
          <w:highlight w:val="white"/>
        </w:rPr>
        <w:t>pro</w:t>
      </w:r>
      <w:r w:rsidR="007E5AC9">
        <w:rPr>
          <w:rFonts w:cs="Times New Roman"/>
          <w:highlight w:val="white"/>
        </w:rPr>
        <w:t xml:space="preserve">sazování práva a ukládání pokut </w:t>
      </w:r>
      <w:r w:rsidRPr="001B3CC7">
        <w:rPr>
          <w:rFonts w:cs="Times New Roman"/>
          <w:highlight w:val="white"/>
        </w:rPr>
        <w:t>k zajištění toho, že nebude dosaženo odlišného výsledku.</w:t>
      </w:r>
    </w:p>
    <w:p w:rsidR="003C4F74" w:rsidRPr="001B3CC7" w:rsidRDefault="0017225D" w:rsidP="00D55CD1">
      <w:pPr>
        <w:rPr>
          <w:rFonts w:cs="Times New Roman"/>
        </w:rPr>
      </w:pPr>
      <w:r>
        <w:rPr>
          <w:rFonts w:cs="Times New Roman"/>
        </w:rPr>
        <w:t xml:space="preserve">Dalším záměrem navrhované úpravy je pak </w:t>
      </w:r>
      <w:r w:rsidR="00053425">
        <w:rPr>
          <w:rFonts w:cs="Times New Roman"/>
        </w:rPr>
        <w:t>zefektivnění rozhodovací činnosti</w:t>
      </w:r>
      <w:r w:rsidR="002254F5">
        <w:rPr>
          <w:rFonts w:cs="Times New Roman"/>
        </w:rPr>
        <w:t xml:space="preserve"> a</w:t>
      </w:r>
      <w:r w:rsidR="00F56385">
        <w:rPr>
          <w:rFonts w:cs="Times New Roman"/>
        </w:rPr>
        <w:t> </w:t>
      </w:r>
      <w:r w:rsidR="00053425">
        <w:rPr>
          <w:rFonts w:cs="Times New Roman"/>
        </w:rPr>
        <w:t>úspora procesních nákladů Úřadu při výkonu dozoru nad funkčním soutěžním prostředím</w:t>
      </w:r>
      <w:r w:rsidR="002254F5">
        <w:rPr>
          <w:rFonts w:cs="Times New Roman"/>
        </w:rPr>
        <w:t xml:space="preserve">. </w:t>
      </w:r>
      <w:r w:rsidR="005E4148">
        <w:rPr>
          <w:rFonts w:cs="Times New Roman"/>
        </w:rPr>
        <w:t xml:space="preserve">Zvýšení vymahatelnosti soutěžních pravidel v oblasti trestního práva ze strany orgánů činných v trestním řízení </w:t>
      </w:r>
      <w:r w:rsidR="0000370C">
        <w:rPr>
          <w:rFonts w:cs="Times New Roman"/>
        </w:rPr>
        <w:t>je také cílem plánovaných změn.</w:t>
      </w:r>
      <w:r w:rsidR="002E6632">
        <w:rPr>
          <w:rFonts w:cs="Times New Roman"/>
        </w:rPr>
        <w:t xml:space="preserve"> Ve zrovnoprávnění postavení orgánů veřejné správy při možnosti navrhnout závazky v případě narušení hospodářské soutěže </w:t>
      </w:r>
      <w:r w:rsidR="00393C73">
        <w:rPr>
          <w:rFonts w:cs="Times New Roman"/>
        </w:rPr>
        <w:t xml:space="preserve">rovněž </w:t>
      </w:r>
      <w:r w:rsidR="002E6632">
        <w:rPr>
          <w:rFonts w:cs="Times New Roman"/>
        </w:rPr>
        <w:t xml:space="preserve">spočívá </w:t>
      </w:r>
      <w:r w:rsidR="00393C73">
        <w:rPr>
          <w:rFonts w:cs="Times New Roman"/>
        </w:rPr>
        <w:t xml:space="preserve">úmysl </w:t>
      </w:r>
      <w:r w:rsidR="0012003B">
        <w:rPr>
          <w:rFonts w:cs="Times New Roman"/>
        </w:rPr>
        <w:t>předloženého návrhu změn regulace.</w:t>
      </w:r>
    </w:p>
    <w:p w:rsidR="00437730" w:rsidRPr="001B3CC7" w:rsidRDefault="00437730" w:rsidP="00D55CD1">
      <w:pPr>
        <w:pStyle w:val="Druhnadpis"/>
      </w:pPr>
      <w:r w:rsidRPr="001B3CC7">
        <w:lastRenderedPageBreak/>
        <w:t>Popis existujícího právního stavu v dané oblasti</w:t>
      </w:r>
    </w:p>
    <w:p w:rsidR="00581433" w:rsidRDefault="00437730" w:rsidP="00D55CD1">
      <w:r w:rsidRPr="001B3CC7">
        <w:t>Oblast ochrany hospodářské soutěže je v českém právním řádu především upravena zákonem č. 143/2001 Sb., o ochraně hospodářské soutěže a o změně některých zákonů (zákon o ochraně hospodářské soutěže), ve znění pozdějších předpisů (dále jen „zákon o ochraně hospodářské soutěže“)</w:t>
      </w:r>
      <w:r w:rsidR="008D6F9E">
        <w:t xml:space="preserve"> a zákonem č. 273/1996 Sb., o p</w:t>
      </w:r>
      <w:r w:rsidR="008D6F9E" w:rsidRPr="00F40C8A">
        <w:t>ůsobnosti Úřadu pro ochranu hospodářské soutěže</w:t>
      </w:r>
      <w:r w:rsidR="008D6F9E">
        <w:t>, ve znění pozdějších předpisů</w:t>
      </w:r>
      <w:r w:rsidRPr="001B3CC7">
        <w:t>.</w:t>
      </w:r>
    </w:p>
    <w:p w:rsidR="00437730" w:rsidRPr="001B3CC7" w:rsidRDefault="00437730" w:rsidP="00D55CD1">
      <w:r w:rsidRPr="001B3CC7">
        <w:t>V rámci práva Evropské unie je oblast hospodářské sout</w:t>
      </w:r>
      <w:r w:rsidR="00D55CD1">
        <w:t xml:space="preserve">ěže upravena zejména Smlouvou </w:t>
      </w:r>
      <w:r w:rsidRPr="001B3CC7">
        <w:t>(především v hlavě VII., která obsahuje společná pra</w:t>
      </w:r>
      <w:r w:rsidR="00D55CD1">
        <w:t>vidla pro </w:t>
      </w:r>
      <w:r w:rsidRPr="001B3CC7">
        <w:t xml:space="preserve">hospodářskou </w:t>
      </w:r>
      <w:r w:rsidR="009933C2">
        <w:t>soutěž, daně a </w:t>
      </w:r>
      <w:r w:rsidRPr="001B3CC7">
        <w:t xml:space="preserve">sbližování právních předpisů) a přímo použitelnými </w:t>
      </w:r>
      <w:r w:rsidR="00B62C05">
        <w:t xml:space="preserve">právními </w:t>
      </w:r>
      <w:r w:rsidRPr="001B3CC7">
        <w:t xml:space="preserve">předpisy. Veřejné prosazování článků 101 a 102 </w:t>
      </w:r>
      <w:r w:rsidR="00B91208">
        <w:t>SFEU</w:t>
      </w:r>
      <w:r w:rsidRPr="001B3CC7">
        <w:t xml:space="preserve"> zajišťují podle nařízení Rady (ES) č. 1/2003</w:t>
      </w:r>
      <w:r w:rsidRPr="001B3CC7">
        <w:rPr>
          <w:vertAlign w:val="superscript"/>
        </w:rPr>
        <w:footnoteReference w:id="1"/>
      </w:r>
      <w:r w:rsidR="009933C2">
        <w:t xml:space="preserve"> vnitrostátní orgány pro </w:t>
      </w:r>
      <w:r w:rsidRPr="001B3CC7">
        <w:t xml:space="preserve">hospodářskou soutěž členských států souběžně s </w:t>
      </w:r>
      <w:r w:rsidR="009933C2">
        <w:t>Komisí. Vnitrostátní orgány pro </w:t>
      </w:r>
      <w:r w:rsidRPr="001B3CC7">
        <w:t>hospodářskou soutěž a</w:t>
      </w:r>
      <w:r w:rsidR="0046408F">
        <w:t> </w:t>
      </w:r>
      <w:r w:rsidRPr="001B3CC7">
        <w:t xml:space="preserve">Komise společně tvoří síť orgánů veřejné moci, které v úzké spolupráci uplatňují pravidla Unie v oblasti hospodářské soutěže. </w:t>
      </w:r>
    </w:p>
    <w:p w:rsidR="00437730" w:rsidRPr="001B3CC7" w:rsidRDefault="00437730" w:rsidP="00D55CD1">
      <w:r w:rsidRPr="001B3CC7">
        <w:t>Ustanovení čl</w:t>
      </w:r>
      <w:r w:rsidR="00B91208">
        <w:t>ánku</w:t>
      </w:r>
      <w:r w:rsidRPr="001B3CC7">
        <w:t> 3 odst. 1 nařízení (ES) č. 1/2003 u</w:t>
      </w:r>
      <w:r w:rsidR="00D55CD1">
        <w:t>kládá vnitrostátním orgánům pro </w:t>
      </w:r>
      <w:r w:rsidRPr="001B3CC7">
        <w:t xml:space="preserve">hospodářskou soutěž a vnitrostátním soudům povinnost použít články 101 a 102 </w:t>
      </w:r>
      <w:r w:rsidR="00CD2A9C">
        <w:t>SF</w:t>
      </w:r>
      <w:r w:rsidR="009933C2">
        <w:t>EU na </w:t>
      </w:r>
      <w:r w:rsidRPr="001B3CC7">
        <w:t>dohody, rozhodnutí sdružení podniků, jednání ve vzájemné shodě nebo zneužití dominantního postavení, které by mohly ovlivnit obchod mezi členskými státy.</w:t>
      </w:r>
      <w:r w:rsidR="00D55CD1">
        <w:t xml:space="preserve"> </w:t>
      </w:r>
      <w:r w:rsidR="009933C2">
        <w:t>Souběžně s </w:t>
      </w:r>
      <w:r w:rsidRPr="001B3CC7">
        <w:t xml:space="preserve">články 101 a 102 </w:t>
      </w:r>
      <w:r w:rsidR="00CD2A9C">
        <w:t>SF</w:t>
      </w:r>
      <w:r w:rsidRPr="001B3CC7">
        <w:t>EU uplatňuje Česká republika</w:t>
      </w:r>
      <w:r w:rsidR="00D55CD1">
        <w:t xml:space="preserve"> </w:t>
      </w:r>
      <w:r w:rsidRPr="001B3CC7">
        <w:t>i</w:t>
      </w:r>
      <w:r w:rsidR="00D55CD1">
        <w:t> </w:t>
      </w:r>
      <w:r w:rsidR="009933C2">
        <w:t>vnitrostátní právní předpisy o </w:t>
      </w:r>
      <w:r w:rsidRPr="001B3CC7">
        <w:t>hospodářské soutěži.</w:t>
      </w:r>
    </w:p>
    <w:p w:rsidR="004A674B" w:rsidRPr="00004280" w:rsidRDefault="00437730" w:rsidP="00D55CD1">
      <w:r w:rsidRPr="001B3CC7">
        <w:t>Soutěžní pravidla Evropské unie se vzt</w:t>
      </w:r>
      <w:r w:rsidR="00A3494F">
        <w:t xml:space="preserve">ahují jak na jednání soukromých </w:t>
      </w:r>
      <w:r w:rsidRPr="001B3CC7">
        <w:t xml:space="preserve">podnikatelských subjektů, tak na vládní zásahy samotných členských států. Dále je možné nalézt úpravu některých dílčích otázek i v oblasti tzv. </w:t>
      </w:r>
      <w:r w:rsidRPr="00B91208">
        <w:rPr>
          <w:i/>
        </w:rPr>
        <w:t>soft law</w:t>
      </w:r>
      <w:r w:rsidRPr="001B3CC7">
        <w:t>. Úprava je doplněna bohatou judikaturní činností Soudního dvora Evropské unie.</w:t>
      </w:r>
    </w:p>
    <w:p w:rsidR="00B34F65" w:rsidRDefault="004A674B" w:rsidP="00D55CD1">
      <w:r w:rsidRPr="00DD5F19">
        <w:t xml:space="preserve">Navrhovaná </w:t>
      </w:r>
      <w:r w:rsidR="00B62C05">
        <w:t xml:space="preserve">právní </w:t>
      </w:r>
      <w:r w:rsidRPr="00DD5F19">
        <w:t>úprava je genderově zcela neutrální, nemá bezprostřední, ani sekundární dopady na rovnost mužů a žen a nevede k diskriminaci jednoho z pohlaví, neboť nijak nerozlišuje, ani nezvýhodňuje, jedno z pohlaví a nestanoví pro ně odlišné podmínky. V návrhu zákona nejsou upravovány vztahy, které by se dotýkaly zákazu diskriminace ve smyslu antidiskriminačního zákona (tj. nerovného zacházení či znevýhodnění některé osoby z důvodu rasy, etnického původu, národnosti, pohlaví, sexuální orientace, věku, zdravotního postižení, náboženského vyznání, víry či světového názoru). Lze proto konstatovat, že právní úprava obsažená v návrhu zákona nemá žádné dopady ve vztahu k zákazu diskriminace a není v rozporu se zákazem diskriminace, ani nemá dopad na rovnost mužů a žen.</w:t>
      </w:r>
    </w:p>
    <w:p w:rsidR="00F90AD5" w:rsidRPr="00053250" w:rsidRDefault="00F90AD5" w:rsidP="00D55CD1">
      <w:pPr>
        <w:pStyle w:val="Tetnadpis"/>
      </w:pPr>
      <w:r w:rsidRPr="00053250">
        <w:t xml:space="preserve"> </w:t>
      </w:r>
      <w:r w:rsidR="00FA7404" w:rsidRPr="00053250">
        <w:t xml:space="preserve">Pořádková </w:t>
      </w:r>
      <w:r w:rsidR="00F276C7">
        <w:t xml:space="preserve">a donucovací </w:t>
      </w:r>
      <w:r w:rsidR="00FA7404" w:rsidRPr="00053250">
        <w:t>pokuta</w:t>
      </w:r>
    </w:p>
    <w:p w:rsidR="00F90AD5" w:rsidRDefault="00F276C7" w:rsidP="00D55CD1">
      <w:r>
        <w:t xml:space="preserve">V současné době </w:t>
      </w:r>
      <w:r w:rsidR="00FA7404">
        <w:t>je možné uložit pořádkovou nebo donuc</w:t>
      </w:r>
      <w:r w:rsidR="009933C2">
        <w:t>ovací pokutu podle ustanovení § </w:t>
      </w:r>
      <w:r w:rsidR="00FA7404">
        <w:t xml:space="preserve">22c </w:t>
      </w:r>
      <w:r w:rsidR="00FA7404" w:rsidRPr="00FA7404">
        <w:t xml:space="preserve">zákona o ochraně hospodářské soutěže, a § 62 a § 129 zákona č. 500/2004 Sb., správní řád (dále jen „správní řád“). Pořádkovou pokutu je podle § 22c zákona o ochraně hospodářské </w:t>
      </w:r>
      <w:r w:rsidR="00FA7404" w:rsidRPr="00FA7404">
        <w:lastRenderedPageBreak/>
        <w:t>soutěže možné uložit za nesplnění povinnosti poskytnout</w:t>
      </w:r>
      <w:r w:rsidR="009933C2">
        <w:t xml:space="preserve"> obchodních záznamů na výzvu až </w:t>
      </w:r>
      <w:r w:rsidR="00FA7404" w:rsidRPr="00FA7404">
        <w:t>do výše 100 000 Kč nebo do 1 % čistého obratu so</w:t>
      </w:r>
      <w:r w:rsidR="009933C2">
        <w:t>utěžitele. Pořádkovou pokutu za </w:t>
      </w:r>
      <w:r w:rsidR="00FA7404" w:rsidRPr="00FA7404">
        <w:t>nedostavení se na předvolání, rušení pořádku nebo neuposlechnutí pokynu úřední osoby podle § 62 správního řádu je možné uložit až do výše 50 000 Kč. Donucovací pokutu lze podle § 129 správního řádu uložit až do výše 100 000 Kč</w:t>
      </w:r>
      <w:r w:rsidRPr="00F276C7">
        <w:t xml:space="preserve"> </w:t>
      </w:r>
      <w:r>
        <w:t>v případě, že nelze provádět exekuci nepeněžitého plnění náhradním výkonem nebo přímým vynucením</w:t>
      </w:r>
      <w:r w:rsidR="00FA7404" w:rsidRPr="00FA7404">
        <w:t>.</w:t>
      </w:r>
    </w:p>
    <w:p w:rsidR="00F90AD5" w:rsidRPr="00053250" w:rsidRDefault="00F90AD5" w:rsidP="00D55CD1">
      <w:pPr>
        <w:pStyle w:val="Tetnadpis"/>
      </w:pPr>
      <w:r w:rsidRPr="00053250">
        <w:t>Součinnost policie</w:t>
      </w:r>
    </w:p>
    <w:p w:rsidR="00F90AD5" w:rsidRDefault="00F90AD5" w:rsidP="00D55CD1">
      <w:r>
        <w:t xml:space="preserve">Možnost požádat o </w:t>
      </w:r>
      <w:r w:rsidRPr="008F635E">
        <w:t>souči</w:t>
      </w:r>
      <w:r>
        <w:t xml:space="preserve">nnost </w:t>
      </w:r>
      <w:r w:rsidR="001939E8">
        <w:t xml:space="preserve">Policii České republiky </w:t>
      </w:r>
      <w:r w:rsidRPr="00D87213">
        <w:t>při provádění úkonu</w:t>
      </w:r>
      <w:r>
        <w:t xml:space="preserve"> Úřadu, konkrétně v rámci š</w:t>
      </w:r>
      <w:r w:rsidRPr="00F90AD5">
        <w:t>etření na místě v obchodních prostorách</w:t>
      </w:r>
      <w:r>
        <w:t xml:space="preserve"> soutěžitele </w:t>
      </w:r>
      <w:r w:rsidR="001B4786">
        <w:t>podle § 21</w:t>
      </w:r>
      <w:r>
        <w:t xml:space="preserve">f </w:t>
      </w:r>
      <w:r w:rsidR="001B4786">
        <w:t xml:space="preserve">nebo šetření na místě v jiných než obchodních prostorách podle § 21g </w:t>
      </w:r>
      <w:r>
        <w:t>zákona o</w:t>
      </w:r>
      <w:r w:rsidR="0046408F">
        <w:t> </w:t>
      </w:r>
      <w:r>
        <w:t xml:space="preserve">ochraně hospodářské soutěže, je upravena </w:t>
      </w:r>
      <w:r w:rsidRPr="008F635E">
        <w:t xml:space="preserve">v § 135 </w:t>
      </w:r>
      <w:r>
        <w:t>správního řádu, kde se uvádí: „h</w:t>
      </w:r>
      <w:r w:rsidRPr="0017256F">
        <w:t xml:space="preserve">rozí-li, že se někdo pokusí ztížit nebo zmařit provedení úkonu správního orgánu, nebo hrozí-li nebezpečí osobám nebo majetku, může správní orgán </w:t>
      </w:r>
      <w:r w:rsidR="00004280">
        <w:t xml:space="preserve">požádat Policii České republiky </w:t>
      </w:r>
      <w:r w:rsidRPr="0017256F">
        <w:t>o</w:t>
      </w:r>
      <w:r w:rsidR="0046408F">
        <w:t> </w:t>
      </w:r>
      <w:r w:rsidRPr="0017256F">
        <w:t>součinnost jejích příslušníků při provádění svého úkonu.</w:t>
      </w:r>
      <w:r>
        <w:t>“</w:t>
      </w:r>
    </w:p>
    <w:p w:rsidR="00F90AD5" w:rsidRPr="00F90AD5" w:rsidRDefault="00F90AD5" w:rsidP="00D55CD1">
      <w:pPr>
        <w:pStyle w:val="Tetnadpis"/>
        <w:rPr>
          <w:u w:val="single"/>
        </w:rPr>
      </w:pPr>
      <w:r w:rsidRPr="00053250">
        <w:t>Nezávislost Úřadu</w:t>
      </w:r>
    </w:p>
    <w:p w:rsidR="00F90AD5" w:rsidRDefault="00F90AD5" w:rsidP="00D55CD1">
      <w:r w:rsidRPr="00C9438E">
        <w:t>Nezávislost Úřadu je dána jak vnitrostátními právními předpisy,</w:t>
      </w:r>
      <w:r w:rsidRPr="00C9438E">
        <w:rPr>
          <w:rStyle w:val="Znakapoznpodarou"/>
          <w:rFonts w:cs="Times New Roman"/>
          <w:szCs w:val="24"/>
        </w:rPr>
        <w:footnoteReference w:id="2"/>
      </w:r>
      <w:r w:rsidRPr="00C9438E">
        <w:t xml:space="preserve"> tak i předpisy Evropské unie</w:t>
      </w:r>
      <w:r w:rsidRPr="00C9438E">
        <w:rPr>
          <w:rStyle w:val="Znakapoznpodarou"/>
          <w:rFonts w:cs="Times New Roman"/>
          <w:szCs w:val="24"/>
        </w:rPr>
        <w:footnoteReference w:id="3"/>
      </w:r>
      <w:r w:rsidRPr="00C9438E">
        <w:t xml:space="preserve"> a podpořil ji také Ústavní soud,</w:t>
      </w:r>
      <w:r w:rsidRPr="00C9438E">
        <w:rPr>
          <w:rStyle w:val="Znakapoznpodarou"/>
          <w:rFonts w:cs="Times New Roman"/>
          <w:szCs w:val="24"/>
        </w:rPr>
        <w:footnoteReference w:id="4"/>
      </w:r>
      <w:r w:rsidRPr="00C9438E">
        <w:t xml:space="preserve"> neboť je vnímána jako nezbytná podmínka pro efektivní vymáhání soutěžních pravidel. Projevuje se tak, že rozhodování Úřadu je oproštěno od jakéhokoliv vnějšího vlivu a je založeno na intepretaci soutěžních pravidel při použití právních a ekonomických argumentů. Nezávislost Úřadu se projevuje ve třech základních oblastech:</w:t>
      </w:r>
      <w:r w:rsidRPr="00C9438E">
        <w:rPr>
          <w:rStyle w:val="Znakapoznpodarou"/>
          <w:rFonts w:cs="Times New Roman"/>
          <w:szCs w:val="24"/>
        </w:rPr>
        <w:footnoteReference w:id="5"/>
      </w:r>
      <w:r>
        <w:t xml:space="preserve"> </w:t>
      </w:r>
      <w:r w:rsidRPr="00BD2F44">
        <w:t>Personální nezávislost se projevuje ve způsobu jmenování</w:t>
      </w:r>
      <w:r w:rsidR="00D55CD1">
        <w:t xml:space="preserve"> </w:t>
      </w:r>
      <w:r w:rsidRPr="00BD2F44">
        <w:t>a</w:t>
      </w:r>
      <w:r w:rsidR="00D55CD1">
        <w:t> </w:t>
      </w:r>
      <w:r w:rsidRPr="00BD2F44">
        <w:t>odvolávání předsedy Úřadu a délkou jeho funkčního období. Nezávislost je navíc podpořena tím, že funkční období je šestileté a odvolat předsedu úřadu před skončením jeho funkčního období je možné jen z taxativně stanovených důvodů.</w:t>
      </w:r>
      <w:r>
        <w:t xml:space="preserve"> </w:t>
      </w:r>
      <w:r w:rsidRPr="00BD2F44">
        <w:t>Funkční nezávislost znamená, že Úřad není součástí hierarchické soustavy státní správ</w:t>
      </w:r>
      <w:r w:rsidR="009933C2">
        <w:t>y řízené vládou a není vládě (a </w:t>
      </w:r>
      <w:r w:rsidRPr="00BD2F44">
        <w:t>ani ministerstvu či jinému správnímu úřadu) ze své činnosti odpovědný. Vláda ani jiný úřad nemůže Úřadu dávat instrukce či příkazy pro jeho činnost a rozhodování.</w:t>
      </w:r>
      <w:r>
        <w:t xml:space="preserve"> </w:t>
      </w:r>
      <w:r w:rsidRPr="00BD2F44">
        <w:t>Ekonomická nezávislost</w:t>
      </w:r>
      <w:r w:rsidRPr="00C9438E">
        <w:t xml:space="preserve"> Úřadu je zabezpečena tím, že prostředky pro jeho činnost nejsou určovány jiným správním úřadem, ale má vlastní rozpočtovou kapitolu.</w:t>
      </w:r>
    </w:p>
    <w:p w:rsidR="00F90AD5" w:rsidRPr="00053250" w:rsidRDefault="00FA7404" w:rsidP="00D55CD1">
      <w:pPr>
        <w:pStyle w:val="Tetnadpis"/>
      </w:pPr>
      <w:r w:rsidRPr="00053250">
        <w:lastRenderedPageBreak/>
        <w:t>Závazky orgánů veřejné správy</w:t>
      </w:r>
    </w:p>
    <w:p w:rsidR="004238C3" w:rsidRDefault="004238C3" w:rsidP="00D55CD1">
      <w:r>
        <w:t>Institut závazků</w:t>
      </w:r>
      <w:r w:rsidRPr="00C015BC">
        <w:rPr>
          <w:shd w:val="clear" w:color="auto" w:fill="FFFFFF"/>
        </w:rPr>
        <w:t xml:space="preserve"> </w:t>
      </w:r>
      <w:r w:rsidRPr="00C015BC">
        <w:t>je obsažen ve stávající platné </w:t>
      </w:r>
      <w:r w:rsidR="00B62C05">
        <w:t>právní</w:t>
      </w:r>
      <w:r w:rsidR="00B62C05" w:rsidRPr="00C015BC">
        <w:t xml:space="preserve"> </w:t>
      </w:r>
      <w:r w:rsidRPr="00C015BC">
        <w:t>úpravě.</w:t>
      </w:r>
      <w:r>
        <w:t xml:space="preserve"> Možnost navrhnout závazky mají soutěžitelé, kteří naruší hospodářskou soutěž dohodami soutěžitelů (§ 7 odst. 2), zneužitím dominantního postavení (§ 11 odst. 3) nebo spojením soutěžitelů (§ 17 odst. 4). V řízení o narušení hospodářské soutěže zneužitím dominantního postavení v letech 2014-2018 byly přijaty závazky téměř </w:t>
      </w:r>
      <w:r w:rsidR="00B62C05">
        <w:t xml:space="preserve">ve </w:t>
      </w:r>
      <w:r>
        <w:t xml:space="preserve">34 % případů. </w:t>
      </w:r>
    </w:p>
    <w:p w:rsidR="00F90AD5" w:rsidRDefault="00FA7404" w:rsidP="00D55CD1">
      <w:r>
        <w:t xml:space="preserve">Pokud </w:t>
      </w:r>
      <w:r w:rsidR="004238C3">
        <w:t>na</w:t>
      </w:r>
      <w:r>
        <w:t>ruší hospodářskou soutěž</w:t>
      </w:r>
      <w:r w:rsidR="004238C3" w:rsidRPr="004238C3">
        <w:t xml:space="preserve"> </w:t>
      </w:r>
      <w:r w:rsidR="004238C3">
        <w:t>orgán veřejné správy</w:t>
      </w:r>
      <w:r>
        <w:t>,</w:t>
      </w:r>
      <w:r w:rsidRPr="00FA7404">
        <w:t xml:space="preserve"> </w:t>
      </w:r>
      <w:r>
        <w:t>Úřad vydá rozhodnutí podle § 19a a § 22aa zákona o ochraně hospodářské soutěže a uloží tomuto orgánu pokutu. Orgány veřejné správy na rozdíl od soutěžitelů nemohou navrhnout závazky ve prospěch obnovení hospodářské soutěže namísto rozhodnutí Úřadu pro ochranu hospodářské soutěže.</w:t>
      </w:r>
    </w:p>
    <w:p w:rsidR="00775224" w:rsidRPr="00C015BC" w:rsidRDefault="00692A27" w:rsidP="00746CBD">
      <w:pPr>
        <w:pStyle w:val="Tetnadpis"/>
      </w:pPr>
      <w:r>
        <w:t>Shovívavost</w:t>
      </w:r>
    </w:p>
    <w:p w:rsidR="00C015BC" w:rsidRPr="00C015BC" w:rsidRDefault="00C015BC" w:rsidP="00746CBD">
      <w:pPr>
        <w:rPr>
          <w:shd w:val="clear" w:color="auto" w:fill="FFFFFF"/>
        </w:rPr>
      </w:pPr>
      <w:r w:rsidRPr="00C015BC">
        <w:t xml:space="preserve">Program shovívavosti </w:t>
      </w:r>
      <w:r w:rsidRPr="00C015BC">
        <w:rPr>
          <w:shd w:val="clear" w:color="auto" w:fill="FFFFFF"/>
        </w:rPr>
        <w:t>(tzv. </w:t>
      </w:r>
      <w:r w:rsidRPr="00C015BC">
        <w:rPr>
          <w:i/>
          <w:iCs/>
          <w:shd w:val="clear" w:color="auto" w:fill="FFFFFF"/>
        </w:rPr>
        <w:t>leniency program</w:t>
      </w:r>
      <w:r w:rsidRPr="00C015BC">
        <w:rPr>
          <w:shd w:val="clear" w:color="auto" w:fill="FFFFFF"/>
        </w:rPr>
        <w:t xml:space="preserve">) </w:t>
      </w:r>
      <w:r w:rsidRPr="00C015BC">
        <w:t>je institut</w:t>
      </w:r>
      <w:r w:rsidR="00B62C05">
        <w:t>em</w:t>
      </w:r>
      <w:r w:rsidRPr="00C015BC">
        <w:t xml:space="preserve"> obsažen</w:t>
      </w:r>
      <w:r w:rsidR="00B62C05">
        <w:t>ým</w:t>
      </w:r>
      <w:r w:rsidRPr="00C015BC">
        <w:t xml:space="preserve"> ve stávající platné </w:t>
      </w:r>
      <w:r w:rsidR="00B62C05">
        <w:t xml:space="preserve">právní </w:t>
      </w:r>
      <w:r w:rsidRPr="00C015BC">
        <w:t xml:space="preserve">úpravě. </w:t>
      </w:r>
      <w:r w:rsidRPr="00C015BC">
        <w:rPr>
          <w:shd w:val="clear" w:color="auto" w:fill="FFFFFF"/>
        </w:rPr>
        <w:t>Ustanovení zakotvující upuštění od uložení pokuty a snížení pokuty bylo do části zákona upravující přestupky v oblasti hospodářské soutěže vloženo novelizací účinnou od konce roku 2012.</w:t>
      </w:r>
      <w:r w:rsidRPr="00C015BC">
        <w:rPr>
          <w:rStyle w:val="Znakapoznpodarou"/>
          <w:szCs w:val="24"/>
          <w:shd w:val="clear" w:color="auto" w:fill="FFFFFF"/>
        </w:rPr>
        <w:footnoteReference w:id="6"/>
      </w:r>
    </w:p>
    <w:p w:rsidR="00C015BC" w:rsidRPr="00C015BC" w:rsidRDefault="00C015BC" w:rsidP="00746CBD">
      <w:pPr>
        <w:rPr>
          <w:shd w:val="clear" w:color="auto" w:fill="FFFFFF"/>
        </w:rPr>
      </w:pPr>
      <w:r w:rsidRPr="00C015BC">
        <w:rPr>
          <w:shd w:val="clear" w:color="auto" w:fill="FFFFFF"/>
        </w:rPr>
        <w:t>Oba instituty upravené v rámci současného zákonného ustanovení o upuštění a snížení pokuty, tj. program shovívavosti i procedura narovnání, byly Úřadem pro ochranu hospodářské soutěže uplatňovány v praxi již před jejich výslovn</w:t>
      </w:r>
      <w:r w:rsidR="00B62C05">
        <w:rPr>
          <w:shd w:val="clear" w:color="auto" w:fill="FFFFFF"/>
        </w:rPr>
        <w:t>ým zakotvením</w:t>
      </w:r>
      <w:r w:rsidRPr="00C015BC">
        <w:rPr>
          <w:shd w:val="clear" w:color="auto" w:fill="FFFFFF"/>
        </w:rPr>
        <w:t xml:space="preserve"> na zákonné úrovni.</w:t>
      </w:r>
    </w:p>
    <w:p w:rsidR="00C015BC" w:rsidRPr="00C015BC" w:rsidRDefault="00C015BC" w:rsidP="00746CBD">
      <w:r w:rsidRPr="00C015BC">
        <w:rPr>
          <w:shd w:val="clear" w:color="auto" w:fill="FFFFFF"/>
        </w:rPr>
        <w:t>Počátky specifického institutu shovívavosti můžeme spatřovat v právním prostředí USA</w:t>
      </w:r>
      <w:r w:rsidRPr="00C015BC">
        <w:t xml:space="preserve"> konce 70. let 20. století.</w:t>
      </w:r>
      <w:r w:rsidRPr="00C015BC">
        <w:rPr>
          <w:shd w:val="clear" w:color="auto" w:fill="FFFFFF"/>
        </w:rPr>
        <w:t xml:space="preserve"> Můžeme dovodit jeho základ na principech ryze amerického teoretickoprávního přístupu tzv. </w:t>
      </w:r>
      <w:r w:rsidRPr="00C015BC">
        <w:rPr>
          <w:i/>
          <w:shd w:val="clear" w:color="auto" w:fill="FFFFFF"/>
        </w:rPr>
        <w:t>ekonomické analýzy práva</w:t>
      </w:r>
      <w:r w:rsidRPr="00C015BC">
        <w:rPr>
          <w:shd w:val="clear" w:color="auto" w:fill="FFFFFF"/>
        </w:rPr>
        <w:t xml:space="preserve"> </w:t>
      </w:r>
      <w:r w:rsidRPr="00C015BC">
        <w:t>k hospodářské soutěži (obdobně jako v případě konceptů trestněprávního a soukromoprávního vymáhání soutěžního práva).</w:t>
      </w:r>
    </w:p>
    <w:p w:rsidR="00C015BC" w:rsidRPr="00C015BC" w:rsidRDefault="00C015BC" w:rsidP="00746CBD">
      <w:r w:rsidRPr="00C015BC">
        <w:t>Program</w:t>
      </w:r>
      <w:r w:rsidRPr="00C015BC">
        <w:tab/>
        <w:t xml:space="preserve"> shovívavosti bývá dlouhodobě považován za pravděpodobně nejdůležitější nástroj pro účinné odhalování a potírání kartelových doh</w:t>
      </w:r>
      <w:r w:rsidR="00746CBD">
        <w:t>od. Je to efektivní nástroj pro </w:t>
      </w:r>
      <w:r w:rsidRPr="00C015BC">
        <w:t>odhalování i takových deliktů, k nimž jednoznačné důkazy často chybí.</w:t>
      </w:r>
    </w:p>
    <w:p w:rsidR="00C015BC" w:rsidRPr="00C015BC" w:rsidRDefault="00C015BC" w:rsidP="00746CBD">
      <w:r w:rsidRPr="00C015BC">
        <w:t>Základní vlastností kartelu bývá především jeho utajenost. Čím více utajený dokáže být, tím obtížnější je jeho odhalení, prokázání či potrestání. Zároveň v moderní elektronické době a nových technických vymoženostech je snadnější vytvářet takové utajené činnosti a udržovat je při vzájemné komunikaci.</w:t>
      </w:r>
    </w:p>
    <w:p w:rsidR="00C015BC" w:rsidRPr="00C015BC" w:rsidRDefault="00C015BC" w:rsidP="00746CBD">
      <w:r w:rsidRPr="00C015BC">
        <w:t>Společnosti, respektive jednotlivci mohou o</w:t>
      </w:r>
      <w:r w:rsidR="00746CBD">
        <w:t>rgánu odpovědnému za dohled nad </w:t>
      </w:r>
      <w:r w:rsidRPr="00C015BC">
        <w:t>hospodářskou soutěží oznamovat svou kartelovou č</w:t>
      </w:r>
      <w:r w:rsidR="00746CBD">
        <w:t>innost a při jejím rozkrývání s </w:t>
      </w:r>
      <w:r w:rsidRPr="00C015BC">
        <w:t>orgánem spolupracovat. Za odměnu se mohou vyhnout správnímu nebo trestnímu postihu, pokutám či případným trestů odnětí svobody, respektive mohou tvrdost těchto sankcí zmírnit, pokud splní příslušné podmínky.</w:t>
      </w:r>
    </w:p>
    <w:p w:rsidR="00C015BC" w:rsidRPr="00C015BC" w:rsidRDefault="00C015BC" w:rsidP="00746CBD">
      <w:r w:rsidRPr="00C015BC">
        <w:lastRenderedPageBreak/>
        <w:t>Účelem institutu je primárně existující kartely destabilizovat a vytvořit tak tlak na jeho členy, aby byli nuceni nahlásit podstatné informace o takov</w:t>
      </w:r>
      <w:r w:rsidR="00746CBD">
        <w:t>é činnosti soutěžnímu úřadu. Po </w:t>
      </w:r>
      <w:r w:rsidRPr="00C015BC">
        <w:t>odhalení existence kartelu mohou vyšetřující orgá</w:t>
      </w:r>
      <w:r w:rsidR="00746CBD">
        <w:t>ny získat dostatečné důkazy pro </w:t>
      </w:r>
      <w:r w:rsidRPr="00C015BC">
        <w:t>prokázání jeho fungování.</w:t>
      </w:r>
    </w:p>
    <w:p w:rsidR="00C015BC" w:rsidRPr="00C015BC" w:rsidRDefault="00C015BC" w:rsidP="00746CBD">
      <w:r w:rsidRPr="00C015BC">
        <w:t xml:space="preserve">Typickým rysem programu shovívavosti je úspora nákladů při zjišťování podstatných skutečností, rychlost řízení, potlačení tradičních metod vyšetřování a obhajoby. </w:t>
      </w:r>
    </w:p>
    <w:p w:rsidR="00C015BC" w:rsidRPr="00C015BC" w:rsidRDefault="00C015BC" w:rsidP="00746CBD">
      <w:r w:rsidRPr="00C015BC">
        <w:t xml:space="preserve">Náležitá aplikace </w:t>
      </w:r>
      <w:r w:rsidR="00B62C05">
        <w:t>programu shovívavosti vede</w:t>
      </w:r>
      <w:r w:rsidRPr="00C015BC">
        <w:t xml:space="preserve"> k odstraš</w:t>
      </w:r>
      <w:r w:rsidR="009933C2">
        <w:t>ení potenciálních kartelistů od </w:t>
      </w:r>
      <w:r w:rsidRPr="00C015BC">
        <w:t>zakládání kartelů či k narušení již existujících kartelů.</w:t>
      </w:r>
      <w:r w:rsidRPr="00C015BC">
        <w:rPr>
          <w:rStyle w:val="footnote-detail"/>
          <w:szCs w:val="24"/>
          <w:specVanish w:val="0"/>
        </w:rPr>
        <w:t xml:space="preserve"> LESLIE, C. R. Antitrust Amnesty, Game Theory, and Cartel Stability. The Journal of Corporation Law. 2006, s. 453. Dostupné z: (http:/ /blogs.law.uiowa.edu/jcl/wp-content/uploads/2012/01/10-LESLIE-FINAL.pdf), s. 454 an.</w:t>
      </w:r>
      <w:r w:rsidRPr="00C015BC">
        <w:t xml:space="preserve"> Takový závěr však nelze jednoznačně prokázat, neboť nejsou dostupná empirická data k nezjištěným kartelům.</w:t>
      </w:r>
    </w:p>
    <w:p w:rsidR="00C015BC" w:rsidRPr="00C015BC" w:rsidRDefault="00C015BC" w:rsidP="00746CBD">
      <w:r w:rsidRPr="00C015BC">
        <w:rPr>
          <w:rStyle w:val="footnote-detail"/>
          <w:szCs w:val="24"/>
          <w:specVanish w:val="0"/>
        </w:rPr>
        <w:t xml:space="preserve"> ZHOU, J. Evaluating Leniency with Missing Information on Undetected Cartels: Exploring Time-Varying Policy Impacts on Cartel Duration. Příspěvek zveřejněný v roce 2012 na (http:/ /econminds.files.wordpress.com/2012/12/zhou-evaluate-leniency-2012v-december.pdf), s. 3.</w:t>
      </w:r>
      <w:r w:rsidRPr="00C015BC">
        <w:t xml:space="preserve"> Další přínos </w:t>
      </w:r>
      <w:r w:rsidR="00B62C05">
        <w:rPr>
          <w:iCs/>
        </w:rPr>
        <w:t>programu shovívavosti</w:t>
      </w:r>
      <w:r w:rsidRPr="00C015BC">
        <w:t xml:space="preserve"> souvisí s náklady na veřejnoprávní vymáhání soutěžního práva. Náklady stoupají úměrně s rozsahem práva účastníků řízení na</w:t>
      </w:r>
      <w:r w:rsidR="0046408F">
        <w:t> </w:t>
      </w:r>
      <w:r w:rsidRPr="00C015BC">
        <w:t>obhajobu. Program pomáhá také v praxi překonat jurisdikční překážky v získává</w:t>
      </w:r>
      <w:r w:rsidR="00746CBD">
        <w:t>ní svědků a</w:t>
      </w:r>
      <w:r w:rsidR="0046408F">
        <w:t> </w:t>
      </w:r>
      <w:r w:rsidR="00746CBD">
        <w:t>důkazů umístěných v </w:t>
      </w:r>
      <w:r w:rsidRPr="00C015BC">
        <w:t>zahraničí a šetření a sankcionování zahraničních členů kartelu.</w:t>
      </w:r>
    </w:p>
    <w:p w:rsidR="00C015BC" w:rsidRPr="00C015BC" w:rsidRDefault="00C015BC" w:rsidP="00746CBD">
      <w:r w:rsidRPr="00C015BC">
        <w:rPr>
          <w:rStyle w:val="footnote-detail"/>
          <w:szCs w:val="24"/>
          <w:specVanish w:val="0"/>
        </w:rPr>
        <w:t>PRAKASH, D. Understanding Leniency Programme under the US, EU and Indian Competition Law. Law Mantra Journal. 2018, Vol. 5, Is. 4&amp;5. Dostupné z: (http:/ /journal.lawmantra.co.in/wp-content/uploads/2018/01/UNDERSTANDING-LENIENCY-PROGRAM-UNDER-THE-US-EU-AND-INDIAN-COMPETITION-LAWS-BY-MS.-DEEPIK-PRAKASH-PHD-SCHOLAR-AT-NLU-DELHI. pdf), s. 2.</w:t>
      </w:r>
      <w:r w:rsidRPr="00C015BC">
        <w:rPr>
          <w:iCs/>
        </w:rPr>
        <w:t xml:space="preserve">Na úrovni orgánů EU </w:t>
      </w:r>
      <w:r w:rsidRPr="00C015BC">
        <w:t>bývá program shovívavosti označován za nejdůležitější vyšetřovací instrument Evropské komise. První oznámení z roku 1996 zavádějící tento institut bylo založeno na závěrech Bílé knihy z roku 1993 o zvýšen</w:t>
      </w:r>
      <w:r w:rsidR="00746CBD">
        <w:t>í růstu, konkurenceschopnosti a </w:t>
      </w:r>
      <w:r w:rsidRPr="00C015BC">
        <w:t>zaměstnanosti.</w:t>
      </w:r>
      <w:r w:rsidRPr="00C015BC">
        <w:rPr>
          <w:rStyle w:val="Znakapoznpodarou"/>
          <w:color w:val="312783"/>
          <w:szCs w:val="24"/>
        </w:rPr>
        <w:footnoteReference w:id="7"/>
      </w:r>
      <w:r w:rsidRPr="00C015BC">
        <w:t xml:space="preserve"> Program shovívavosti přinesl úpravu, na jejímž základě</w:t>
      </w:r>
      <w:r w:rsidRPr="00C015BC">
        <w:br/>
        <w:t xml:space="preserve">se poskytuje podniku spolupracujícímu na rozkrytí kartelu plná imunita nebo snížení sankce, kterou by jinak bylo třeba aplikovat. V rámci zavedené spolupráce sítě evropských soutěžních úřadů (European Competition Network) na půdě Evropské Komise byl vydán tzv. </w:t>
      </w:r>
      <w:r w:rsidRPr="00C015BC">
        <w:rPr>
          <w:i/>
        </w:rPr>
        <w:t>modelový leniency program</w:t>
      </w:r>
      <w:r w:rsidRPr="00C015BC">
        <w:t>, který slouží jednotlivým členským státům a jejich soutěžním úřadům jako vzorový základ, z něhož vycházejí při tvorbě vlastních programů na národní úrovni.</w:t>
      </w:r>
    </w:p>
    <w:p w:rsidR="00C015BC" w:rsidRPr="00C015BC" w:rsidRDefault="00C015BC" w:rsidP="00746CBD">
      <w:pPr>
        <w:rPr>
          <w:rFonts w:cs="Times New Roman"/>
        </w:rPr>
      </w:pPr>
      <w:r w:rsidRPr="00C015BC">
        <w:rPr>
          <w:rFonts w:cs="Times New Roman"/>
        </w:rPr>
        <w:t>V českém prostředí byl pak poprvé program shovívavosti zaveden v roce 2001. Původní formou implementujícího předpisu bylo oznámení na úrovni metodického obecně nezávazného předpisu. V roce 2007 byl český program shovívavosti inovován i na základě modifikovaného evropského modelového programu z roku 2006.</w:t>
      </w:r>
      <w:r w:rsidRPr="00C015BC">
        <w:rPr>
          <w:rStyle w:val="Znakapoznpodarou"/>
          <w:szCs w:val="24"/>
        </w:rPr>
        <w:footnoteReference w:id="8"/>
      </w:r>
      <w:r w:rsidRPr="00C015BC">
        <w:rPr>
          <w:rFonts w:cs="Times New Roman"/>
        </w:rPr>
        <w:t xml:space="preserve"> Z důvodů větší efektivity se nově začal vztahovat pouze na horizontální zakázané dohody a především na dohody s vyšší typovou nebezpečností (tzv. </w:t>
      </w:r>
      <w:r w:rsidRPr="00C015BC">
        <w:rPr>
          <w:rFonts w:cs="Times New Roman"/>
          <w:i/>
        </w:rPr>
        <w:t xml:space="preserve">hard core </w:t>
      </w:r>
      <w:r w:rsidRPr="00C015BC">
        <w:rPr>
          <w:rFonts w:cs="Times New Roman"/>
        </w:rPr>
        <w:t>kartely).</w:t>
      </w:r>
    </w:p>
    <w:p w:rsidR="00C015BC" w:rsidRPr="00C015BC" w:rsidRDefault="00C015BC" w:rsidP="00746CBD">
      <w:pPr>
        <w:rPr>
          <w:rFonts w:cs="Times New Roman"/>
        </w:rPr>
      </w:pPr>
      <w:r w:rsidRPr="00C015BC">
        <w:rPr>
          <w:rFonts w:cs="Times New Roman"/>
        </w:rPr>
        <w:t xml:space="preserve">Novelou zákona o ochraně hospodářské soutěže z roku 2012 byl </w:t>
      </w:r>
      <w:r w:rsidR="00827095">
        <w:rPr>
          <w:rFonts w:cs="Times New Roman"/>
        </w:rPr>
        <w:t>zaveden institut shovívavosti na zákonné úrovni</w:t>
      </w:r>
      <w:r w:rsidRPr="00C015BC">
        <w:rPr>
          <w:rFonts w:cs="Times New Roman"/>
        </w:rPr>
        <w:t xml:space="preserve">. </w:t>
      </w:r>
      <w:r w:rsidR="00827095">
        <w:rPr>
          <w:rFonts w:cs="Times New Roman"/>
        </w:rPr>
        <w:t>Do té doby n</w:t>
      </w:r>
      <w:r w:rsidRPr="00C015BC">
        <w:rPr>
          <w:rFonts w:cs="Times New Roman"/>
        </w:rPr>
        <w:t>eexistoval zákonný podklad pro tuto aktivitu správního orgánu</w:t>
      </w:r>
      <w:r w:rsidR="00827095">
        <w:rPr>
          <w:rFonts w:cs="Times New Roman"/>
        </w:rPr>
        <w:t xml:space="preserve"> a Úřad postupoval pouze v rámci svých tehdejších obecných oprávnění podle svého správního uvážení</w:t>
      </w:r>
      <w:r w:rsidRPr="00C015BC">
        <w:rPr>
          <w:rFonts w:cs="Times New Roman"/>
        </w:rPr>
        <w:t xml:space="preserve">. Nově byly legislativně definovány základní podmínky (mechanismus) uplatnění institutu. Konkrétní náležitosti žádostí a další specifikace procesu uplatňování tzv. </w:t>
      </w:r>
      <w:r w:rsidRPr="00B91208">
        <w:rPr>
          <w:rFonts w:cs="Times New Roman"/>
          <w:i/>
        </w:rPr>
        <w:t>imunity</w:t>
      </w:r>
      <w:r w:rsidRPr="00C015BC">
        <w:rPr>
          <w:rFonts w:cs="Times New Roman"/>
        </w:rPr>
        <w:t xml:space="preserve"> zůstaly na úrovni </w:t>
      </w:r>
      <w:r w:rsidRPr="00C015BC">
        <w:rPr>
          <w:rFonts w:cs="Times New Roman"/>
          <w:i/>
        </w:rPr>
        <w:t>soft law</w:t>
      </w:r>
      <w:r w:rsidRPr="00C015BC">
        <w:rPr>
          <w:rFonts w:cs="Times New Roman"/>
        </w:rPr>
        <w:t xml:space="preserve"> v novelizovaném oznámení úřadu z roku 2013.</w:t>
      </w:r>
      <w:r w:rsidRPr="00C015BC">
        <w:rPr>
          <w:rStyle w:val="Znakapoznpodarou"/>
          <w:szCs w:val="24"/>
        </w:rPr>
        <w:footnoteReference w:id="9"/>
      </w:r>
      <w:r w:rsidRPr="00C015BC">
        <w:rPr>
          <w:rFonts w:cs="Times New Roman"/>
        </w:rPr>
        <w:t xml:space="preserve"> Zároveň byly do něj v maximální možné míře převzaty principy z upraveného evropského modelového programu z roku 2012.</w:t>
      </w:r>
    </w:p>
    <w:p w:rsidR="00C015BC" w:rsidRPr="00C015BC" w:rsidRDefault="00C015BC" w:rsidP="00746CBD">
      <w:pPr>
        <w:rPr>
          <w:rFonts w:cs="Times New Roman"/>
        </w:rPr>
      </w:pPr>
      <w:r w:rsidRPr="00C015BC">
        <w:rPr>
          <w:rFonts w:cs="Times New Roman"/>
        </w:rPr>
        <w:lastRenderedPageBreak/>
        <w:t>Hlavním důvodem pro uzákonění institutu shovívavosti tkvěly v praktických aplikačních problémech. Problematickými okruhy byly zejména utajení identity žádosti o shovívavost v průběhu správního řízení, včetně jejího obsahu a identity žadatele. Dalším zásadním problémem byla propojenost s úpravou trestněprávní na hmotněprávní úrovni, kde byla upravena skutková podstata porušení předpisů o pravidlech hospodářské soutěže.</w:t>
      </w:r>
    </w:p>
    <w:p w:rsidR="00C015BC" w:rsidRPr="00C015BC" w:rsidRDefault="00C015BC" w:rsidP="00746CBD">
      <w:pPr>
        <w:rPr>
          <w:rFonts w:cs="Times New Roman"/>
        </w:rPr>
      </w:pPr>
      <w:r w:rsidRPr="00C015BC">
        <w:rPr>
          <w:rFonts w:cs="Times New Roman"/>
        </w:rPr>
        <w:t xml:space="preserve"> V této souvislosti bylo zavedeno zmíněnou novelou z roku 2012 ustanovení o účinné lítosti k této skutkové podstatě. To mělo vyřešit praktické problémy aplikace shovívavosti vůči fyzickým osobám, kdy mohla být eventuálně dovozována trestní odpovědnost za trestný čin porušení předpisů o pravidlech hospodářské soutěže.</w:t>
      </w:r>
    </w:p>
    <w:p w:rsidR="00C015BC" w:rsidRPr="00C015BC" w:rsidRDefault="00C015BC" w:rsidP="00746CBD">
      <w:pPr>
        <w:rPr>
          <w:rFonts w:cs="Times New Roman"/>
        </w:rPr>
      </w:pPr>
      <w:r w:rsidRPr="00C015BC">
        <w:rPr>
          <w:rFonts w:cs="Times New Roman"/>
        </w:rPr>
        <w:t>Cílem nové</w:t>
      </w:r>
      <w:r w:rsidR="00AF1062">
        <w:rPr>
          <w:rFonts w:cs="Times New Roman"/>
        </w:rPr>
        <w:t xml:space="preserve"> právní</w:t>
      </w:r>
      <w:r w:rsidRPr="00C015BC">
        <w:rPr>
          <w:rFonts w:cs="Times New Roman"/>
        </w:rPr>
        <w:t xml:space="preserve"> úpravy na trestněprávní úrovni bylo zásadně zesílit atraktivitu programu shovívavosti a zároveň radikálně zredukovat obavy potencionálních tzv. </w:t>
      </w:r>
      <w:r w:rsidRPr="00C015BC">
        <w:rPr>
          <w:rFonts w:cs="Times New Roman"/>
          <w:i/>
        </w:rPr>
        <w:t xml:space="preserve">whistleblowerů. </w:t>
      </w:r>
      <w:r w:rsidRPr="00C015BC">
        <w:rPr>
          <w:rFonts w:cs="Times New Roman"/>
        </w:rPr>
        <w:t>Ekonomický zájem soutěžitele na včasné žádosti o shovívavost je tak umocněn individuálním zájmem dotčených fyzických osob na zániku jejich vlastní trestní odpovědnosti, což by mělo z programu shovívavosti učinit o mnoho atraktivnější instrument ochrany právních zájmů. Podmínkou pro dotčenou fyzickou osobu musí být ale její aktivní podíl na podání žádosti a následných procedurách.</w:t>
      </w:r>
    </w:p>
    <w:p w:rsidR="00F04ECD" w:rsidRDefault="00C015BC" w:rsidP="00746CBD">
      <w:pPr>
        <w:rPr>
          <w:rFonts w:cs="Times New Roman"/>
        </w:rPr>
      </w:pPr>
      <w:r w:rsidRPr="00C015BC">
        <w:rPr>
          <w:rFonts w:cs="Times New Roman"/>
        </w:rPr>
        <w:t xml:space="preserve">Požadavek na změnu na národní úrovni v úpravě zakotvení shovívavosti přinesla evropská </w:t>
      </w:r>
      <w:r w:rsidR="00827095">
        <w:rPr>
          <w:rFonts w:cs="Times New Roman"/>
        </w:rPr>
        <w:t>S</w:t>
      </w:r>
      <w:r w:rsidRPr="00C015BC">
        <w:rPr>
          <w:rFonts w:cs="Times New Roman"/>
        </w:rPr>
        <w:t xml:space="preserve">měrnice </w:t>
      </w:r>
      <w:r w:rsidR="00827095">
        <w:rPr>
          <w:rFonts w:cs="Times New Roman"/>
        </w:rPr>
        <w:t>(</w:t>
      </w:r>
      <w:r w:rsidRPr="00C015BC">
        <w:rPr>
          <w:rFonts w:cs="Times New Roman"/>
        </w:rPr>
        <w:t>o posílení soutěžních orgánů</w:t>
      </w:r>
      <w:r w:rsidR="00827095">
        <w:rPr>
          <w:rFonts w:cs="Times New Roman"/>
        </w:rPr>
        <w:t>)</w:t>
      </w:r>
      <w:r w:rsidRPr="00C015BC">
        <w:rPr>
          <w:rFonts w:cs="Times New Roman"/>
        </w:rPr>
        <w:t xml:space="preserve"> přijatá na počátku roku 2019. Jedna z hlavních kapitol </w:t>
      </w:r>
      <w:r w:rsidR="000D48C6">
        <w:rPr>
          <w:rFonts w:cs="Times New Roman"/>
        </w:rPr>
        <w:t>S</w:t>
      </w:r>
      <w:r w:rsidRPr="00C015BC">
        <w:rPr>
          <w:rFonts w:cs="Times New Roman"/>
        </w:rPr>
        <w:t xml:space="preserve">měrnice (kapitola VI. nazvaná </w:t>
      </w:r>
      <w:r w:rsidRPr="00C015BC">
        <w:rPr>
          <w:rFonts w:cs="Times New Roman"/>
          <w:i/>
        </w:rPr>
        <w:t>Programy shovívavosti pro tajné kartely</w:t>
      </w:r>
      <w:r w:rsidRPr="00C015BC">
        <w:rPr>
          <w:rFonts w:cs="Times New Roman"/>
        </w:rPr>
        <w:t xml:space="preserve">) výslovně kodifikovala základní pravidla pro tzv. </w:t>
      </w:r>
      <w:r w:rsidRPr="00C015BC">
        <w:rPr>
          <w:rFonts w:cs="Times New Roman"/>
          <w:i/>
        </w:rPr>
        <w:t xml:space="preserve">leniency programy </w:t>
      </w:r>
      <w:r w:rsidRPr="00C015BC">
        <w:rPr>
          <w:rFonts w:cs="Times New Roman"/>
        </w:rPr>
        <w:t>pro oblast aplikace evropského primárního práva členskými státy, tj. při řízeních o porušení článků 101 a</w:t>
      </w:r>
      <w:r w:rsidR="00746CBD">
        <w:rPr>
          <w:rFonts w:cs="Times New Roman"/>
        </w:rPr>
        <w:t xml:space="preserve"> 102 Smlouvy o </w:t>
      </w:r>
      <w:r w:rsidRPr="00C015BC">
        <w:rPr>
          <w:rFonts w:cs="Times New Roman"/>
        </w:rPr>
        <w:t xml:space="preserve">fungování EU (viz čl. 3 </w:t>
      </w:r>
      <w:r w:rsidR="000D48C6">
        <w:rPr>
          <w:rFonts w:cs="Times New Roman"/>
        </w:rPr>
        <w:t>S</w:t>
      </w:r>
      <w:r w:rsidRPr="00C015BC">
        <w:rPr>
          <w:rFonts w:cs="Times New Roman"/>
        </w:rPr>
        <w:t xml:space="preserve">měrnice). </w:t>
      </w:r>
    </w:p>
    <w:p w:rsidR="00C015BC" w:rsidRPr="00C015BC" w:rsidRDefault="00C015BC" w:rsidP="00746CBD">
      <w:pPr>
        <w:rPr>
          <w:rFonts w:cs="Times New Roman"/>
        </w:rPr>
      </w:pPr>
      <w:r w:rsidRPr="00C015BC">
        <w:rPr>
          <w:rFonts w:cs="Times New Roman"/>
        </w:rPr>
        <w:t xml:space="preserve">Směrnice požaduje ve svém předmětu nejen úpravu národních ustanovení při aplikaci evropského práva, ale výslovně by se měla vztahovat i na situace „souběžného uplatňování“ vnitrostátních předpisů ve stejné věci (viz čl. 1 odst. 2 </w:t>
      </w:r>
      <w:r w:rsidR="000D48C6">
        <w:rPr>
          <w:rFonts w:cs="Times New Roman"/>
        </w:rPr>
        <w:t>S</w:t>
      </w:r>
      <w:r w:rsidR="000D48C6" w:rsidRPr="00C015BC">
        <w:rPr>
          <w:rFonts w:cs="Times New Roman"/>
        </w:rPr>
        <w:t>měrnice</w:t>
      </w:r>
      <w:r w:rsidRPr="00C015BC">
        <w:rPr>
          <w:rFonts w:cs="Times New Roman"/>
        </w:rPr>
        <w:t>). Tento výslovný požadavek zásadně ovlivňuje tedy i případnou novelizovanou úpravu stávajících ustanovení regulujících pouze aplikaci národního práva.</w:t>
      </w:r>
    </w:p>
    <w:p w:rsidR="00C015BC" w:rsidRPr="00C015BC" w:rsidRDefault="00C015BC" w:rsidP="00746CBD">
      <w:pPr>
        <w:rPr>
          <w:rFonts w:cs="Times New Roman"/>
        </w:rPr>
      </w:pPr>
      <w:r w:rsidRPr="00C015BC">
        <w:rPr>
          <w:rFonts w:cs="Times New Roman"/>
        </w:rPr>
        <w:t xml:space="preserve">V rámci </w:t>
      </w:r>
      <w:r w:rsidR="00F04ECD">
        <w:rPr>
          <w:rFonts w:cs="Times New Roman"/>
        </w:rPr>
        <w:t>S</w:t>
      </w:r>
      <w:r w:rsidR="00F04ECD" w:rsidRPr="00C015BC">
        <w:rPr>
          <w:rFonts w:cs="Times New Roman"/>
        </w:rPr>
        <w:t xml:space="preserve">měrnice </w:t>
      </w:r>
      <w:r w:rsidRPr="00C015BC">
        <w:rPr>
          <w:rFonts w:cs="Times New Roman"/>
        </w:rPr>
        <w:t xml:space="preserve">byly upraveny pravidla pro obecné podmínky shovívavosti (čl. 19 </w:t>
      </w:r>
      <w:r w:rsidR="000D48C6">
        <w:rPr>
          <w:rFonts w:cs="Times New Roman"/>
        </w:rPr>
        <w:t>S</w:t>
      </w:r>
      <w:r w:rsidR="000D48C6" w:rsidRPr="00C015BC">
        <w:rPr>
          <w:rFonts w:cs="Times New Roman"/>
        </w:rPr>
        <w:t>měrnice</w:t>
      </w:r>
      <w:r w:rsidRPr="00C015BC">
        <w:rPr>
          <w:rFonts w:cs="Times New Roman"/>
        </w:rPr>
        <w:t xml:space="preserve">), prominutí (odpuštění) pokuty (čl. 17 </w:t>
      </w:r>
      <w:r w:rsidR="000D48C6">
        <w:rPr>
          <w:rFonts w:cs="Times New Roman"/>
        </w:rPr>
        <w:t>S</w:t>
      </w:r>
      <w:r w:rsidR="000D48C6" w:rsidRPr="00C015BC">
        <w:rPr>
          <w:rFonts w:cs="Times New Roman"/>
        </w:rPr>
        <w:t>měrnice</w:t>
      </w:r>
      <w:r w:rsidRPr="00C015BC">
        <w:rPr>
          <w:rFonts w:cs="Times New Roman"/>
        </w:rPr>
        <w:t xml:space="preserve">), snížení pokuty (čl. 18 </w:t>
      </w:r>
      <w:r w:rsidR="000D48C6">
        <w:rPr>
          <w:rFonts w:cs="Times New Roman"/>
        </w:rPr>
        <w:t>S</w:t>
      </w:r>
      <w:r w:rsidR="000D48C6" w:rsidRPr="00C015BC">
        <w:rPr>
          <w:rFonts w:cs="Times New Roman"/>
        </w:rPr>
        <w:t>měrnice</w:t>
      </w:r>
      <w:r w:rsidRPr="00C015BC">
        <w:rPr>
          <w:rFonts w:cs="Times New Roman"/>
        </w:rPr>
        <w:t xml:space="preserve">), formu prohlášení (žádosti) v rámci programu shovívavosti (čl. 20 </w:t>
      </w:r>
      <w:r w:rsidR="000D48C6">
        <w:rPr>
          <w:rFonts w:cs="Times New Roman"/>
        </w:rPr>
        <w:t>S</w:t>
      </w:r>
      <w:r w:rsidR="000D48C6" w:rsidRPr="00C015BC">
        <w:rPr>
          <w:rFonts w:cs="Times New Roman"/>
        </w:rPr>
        <w:t>měrnice</w:t>
      </w:r>
      <w:r w:rsidRPr="00C015BC">
        <w:rPr>
          <w:rFonts w:cs="Times New Roman"/>
        </w:rPr>
        <w:t xml:space="preserve">), rezervaci pořadí žádosti o prominutí pokuty (čl. 21 </w:t>
      </w:r>
      <w:r w:rsidR="000D48C6">
        <w:rPr>
          <w:rFonts w:cs="Times New Roman"/>
        </w:rPr>
        <w:t>S</w:t>
      </w:r>
      <w:r w:rsidR="000D48C6" w:rsidRPr="00C015BC">
        <w:rPr>
          <w:rFonts w:cs="Times New Roman"/>
        </w:rPr>
        <w:t>měrnice</w:t>
      </w:r>
      <w:r w:rsidRPr="00C015BC">
        <w:rPr>
          <w:rFonts w:cs="Times New Roman"/>
        </w:rPr>
        <w:t xml:space="preserve">), zjednodušené žádosti (čl. 22 </w:t>
      </w:r>
      <w:r w:rsidR="000D48C6">
        <w:rPr>
          <w:rFonts w:cs="Times New Roman"/>
        </w:rPr>
        <w:t>S</w:t>
      </w:r>
      <w:r w:rsidR="000D48C6" w:rsidRPr="00C015BC">
        <w:rPr>
          <w:rFonts w:cs="Times New Roman"/>
        </w:rPr>
        <w:t>měrnice</w:t>
      </w:r>
      <w:r w:rsidRPr="00C015BC">
        <w:rPr>
          <w:rFonts w:cs="Times New Roman"/>
        </w:rPr>
        <w:t>) a vztah žádostí o</w:t>
      </w:r>
      <w:r w:rsidR="000D48C6">
        <w:rPr>
          <w:rFonts w:cs="Times New Roman"/>
        </w:rPr>
        <w:t> </w:t>
      </w:r>
      <w:r w:rsidRPr="00C015BC">
        <w:rPr>
          <w:rFonts w:cs="Times New Roman"/>
        </w:rPr>
        <w:t xml:space="preserve">prominutí k sankcím ukládaným fyzickým osobám (čl. 23 </w:t>
      </w:r>
      <w:r w:rsidR="000D48C6">
        <w:rPr>
          <w:rFonts w:cs="Times New Roman"/>
        </w:rPr>
        <w:t>S</w:t>
      </w:r>
      <w:r w:rsidR="000D48C6" w:rsidRPr="00C015BC">
        <w:rPr>
          <w:rFonts w:cs="Times New Roman"/>
        </w:rPr>
        <w:t>měrnice</w:t>
      </w:r>
      <w:r w:rsidRPr="00C015BC">
        <w:rPr>
          <w:rFonts w:cs="Times New Roman"/>
        </w:rPr>
        <w:t>).</w:t>
      </w:r>
    </w:p>
    <w:p w:rsidR="00C015BC" w:rsidRPr="00C015BC" w:rsidRDefault="00C015BC" w:rsidP="00746CBD">
      <w:pPr>
        <w:rPr>
          <w:rFonts w:cs="Times New Roman"/>
        </w:rPr>
      </w:pPr>
      <w:r w:rsidRPr="00C015BC">
        <w:rPr>
          <w:rFonts w:cs="Times New Roman"/>
        </w:rPr>
        <w:t xml:space="preserve">Dosavadní národní právní úprava je vystavena srovnání s požadavky zavedenými novou úpravou na evropské úrovni. </w:t>
      </w:r>
      <w:r w:rsidR="00D81592">
        <w:rPr>
          <w:rFonts w:cs="Times New Roman"/>
        </w:rPr>
        <w:t>E</w:t>
      </w:r>
      <w:r w:rsidRPr="00C015BC">
        <w:rPr>
          <w:rFonts w:cs="Times New Roman"/>
        </w:rPr>
        <w:t>vropský modelový progra</w:t>
      </w:r>
      <w:r w:rsidR="00746CBD">
        <w:rPr>
          <w:rFonts w:cs="Times New Roman"/>
        </w:rPr>
        <w:t>m shovívavosti, resp. </w:t>
      </w:r>
      <w:r w:rsidR="009933C2">
        <w:rPr>
          <w:rFonts w:cs="Times New Roman"/>
        </w:rPr>
        <w:t>pravidla pro </w:t>
      </w:r>
      <w:r w:rsidRPr="00C015BC">
        <w:rPr>
          <w:rFonts w:cs="Times New Roman"/>
        </w:rPr>
        <w:t>uplatnění institutu shovívavosti</w:t>
      </w:r>
      <w:r w:rsidR="00D81592">
        <w:rPr>
          <w:rFonts w:cs="Times New Roman"/>
        </w:rPr>
        <w:t>, byl</w:t>
      </w:r>
      <w:r w:rsidRPr="00C015BC">
        <w:rPr>
          <w:rFonts w:cs="Times New Roman"/>
        </w:rPr>
        <w:t xml:space="preserve"> regulován na nelegislativní úrovni</w:t>
      </w:r>
      <w:r w:rsidR="00D81592">
        <w:rPr>
          <w:rFonts w:cs="Times New Roman"/>
        </w:rPr>
        <w:t>.</w:t>
      </w:r>
      <w:r w:rsidR="00D81592" w:rsidRPr="00C015BC">
        <w:rPr>
          <w:rFonts w:cs="Times New Roman"/>
        </w:rPr>
        <w:t xml:space="preserve"> </w:t>
      </w:r>
      <w:r w:rsidR="00D81592">
        <w:rPr>
          <w:rFonts w:cs="Times New Roman"/>
        </w:rPr>
        <w:t>N</w:t>
      </w:r>
      <w:r w:rsidR="00D81592" w:rsidRPr="00C015BC">
        <w:rPr>
          <w:rFonts w:cs="Times New Roman"/>
        </w:rPr>
        <w:t xml:space="preserve">yní </w:t>
      </w:r>
      <w:r w:rsidRPr="00C015BC">
        <w:rPr>
          <w:rFonts w:cs="Times New Roman"/>
        </w:rPr>
        <w:t>je celá tématika povýšena na legislativní úroveň</w:t>
      </w:r>
      <w:r w:rsidR="00D81592">
        <w:rPr>
          <w:rFonts w:cs="Times New Roman"/>
        </w:rPr>
        <w:t>.</w:t>
      </w:r>
      <w:r w:rsidRPr="00C015BC">
        <w:rPr>
          <w:rFonts w:cs="Times New Roman"/>
        </w:rPr>
        <w:t xml:space="preserve"> Směrnice o posílení přináší </w:t>
      </w:r>
      <w:r w:rsidR="00D81592">
        <w:rPr>
          <w:rFonts w:cs="Times New Roman"/>
        </w:rPr>
        <w:t xml:space="preserve">požadavek alespoň rámcové </w:t>
      </w:r>
      <w:r w:rsidR="00D81592" w:rsidRPr="00C015BC">
        <w:rPr>
          <w:rFonts w:cs="Times New Roman"/>
        </w:rPr>
        <w:t>kodifikac</w:t>
      </w:r>
      <w:r w:rsidR="00D81592">
        <w:rPr>
          <w:rFonts w:cs="Times New Roman"/>
        </w:rPr>
        <w:t>e</w:t>
      </w:r>
      <w:r w:rsidR="00D81592" w:rsidRPr="00C015BC">
        <w:rPr>
          <w:rFonts w:cs="Times New Roman"/>
        </w:rPr>
        <w:t xml:space="preserve"> </w:t>
      </w:r>
      <w:r w:rsidRPr="00C015BC">
        <w:rPr>
          <w:rFonts w:cs="Times New Roman"/>
        </w:rPr>
        <w:t xml:space="preserve">pravidel shovívavosti </w:t>
      </w:r>
      <w:r w:rsidR="00D81592">
        <w:rPr>
          <w:rFonts w:cs="Times New Roman"/>
        </w:rPr>
        <w:t>na úrovni zákona</w:t>
      </w:r>
      <w:r w:rsidRPr="00C015BC">
        <w:rPr>
          <w:rFonts w:cs="Times New Roman"/>
        </w:rPr>
        <w:t xml:space="preserve">. Založila </w:t>
      </w:r>
      <w:r w:rsidR="00D97929">
        <w:rPr>
          <w:rFonts w:cs="Times New Roman"/>
        </w:rPr>
        <w:t xml:space="preserve">tak výslovně </w:t>
      </w:r>
      <w:r w:rsidRPr="00C015BC">
        <w:rPr>
          <w:rFonts w:cs="Times New Roman"/>
        </w:rPr>
        <w:t>povinnost národních států více sjednotit pravidla programů shovívavosti.</w:t>
      </w:r>
    </w:p>
    <w:p w:rsidR="00C015BC" w:rsidRPr="00C015BC" w:rsidRDefault="00C015BC" w:rsidP="00746CBD">
      <w:pPr>
        <w:rPr>
          <w:rFonts w:cs="Times New Roman"/>
        </w:rPr>
      </w:pPr>
      <w:r w:rsidRPr="00C015BC">
        <w:rPr>
          <w:rFonts w:cs="Times New Roman"/>
        </w:rPr>
        <w:t xml:space="preserve">Na základě provedených průzkumů a veřejných konzultací se dospělo na evropské úrovni ke zjištění, že mezi programy shovívavosti uplatňovanými v členských státech v současnosti existují značné rozdíly. Tyto rozdíly vedou k právní nejistotě na straně podniků porušujících </w:t>
      </w:r>
      <w:r w:rsidRPr="00C015BC">
        <w:rPr>
          <w:rFonts w:cs="Times New Roman"/>
        </w:rPr>
        <w:lastRenderedPageBreak/>
        <w:t>právní předpisy, pokud jde o podmínky, za nichž mohou p</w:t>
      </w:r>
      <w:r w:rsidR="00746CBD">
        <w:rPr>
          <w:rFonts w:cs="Times New Roman"/>
        </w:rPr>
        <w:t>ožádat o shovívavost, jakož i k </w:t>
      </w:r>
      <w:r w:rsidRPr="00C015BC">
        <w:rPr>
          <w:rFonts w:cs="Times New Roman"/>
        </w:rPr>
        <w:t>nejistotě ohledně jejich statusu ochrany podle příslušných programů shovívavosti. Mohla by být oslabena motivace potenciálních žadatelů o shovívavost a mohlo by to vést k méně účinnému prosazování hospodářské soutěže v rámci EU.</w:t>
      </w:r>
    </w:p>
    <w:p w:rsidR="00C015BC" w:rsidRPr="00C015BC" w:rsidRDefault="00C015BC" w:rsidP="00746CBD">
      <w:pPr>
        <w:rPr>
          <w:rFonts w:cs="Times New Roman"/>
        </w:rPr>
      </w:pPr>
      <w:r w:rsidRPr="00C015BC">
        <w:rPr>
          <w:rFonts w:cs="Times New Roman"/>
        </w:rPr>
        <w:t xml:space="preserve">Srovnáním stávající platné národní úpravy na české úrovni oproti nové evropské úpravě byla zjištěna nutnost implementace specifických </w:t>
      </w:r>
      <w:r w:rsidR="00296356">
        <w:rPr>
          <w:rFonts w:cs="Times New Roman"/>
        </w:rPr>
        <w:t xml:space="preserve">forem žádostí o </w:t>
      </w:r>
      <w:r w:rsidR="00746CBD">
        <w:rPr>
          <w:rFonts w:cs="Times New Roman"/>
        </w:rPr>
        <w:t>shovívavost, a to žádostí o </w:t>
      </w:r>
      <w:r w:rsidRPr="00C015BC">
        <w:rPr>
          <w:rFonts w:cs="Times New Roman"/>
        </w:rPr>
        <w:t xml:space="preserve">rezervaci pořadí a souhrnných </w:t>
      </w:r>
      <w:r w:rsidR="00296356">
        <w:rPr>
          <w:rFonts w:cs="Times New Roman"/>
        </w:rPr>
        <w:t xml:space="preserve">(zjednodušených) </w:t>
      </w:r>
      <w:r w:rsidRPr="00C015BC">
        <w:rPr>
          <w:rFonts w:cs="Times New Roman"/>
        </w:rPr>
        <w:t>žádostí. Zbytek požadované evropské úpravy je již</w:t>
      </w:r>
      <w:r w:rsidR="00F04ECD">
        <w:rPr>
          <w:rFonts w:cs="Times New Roman"/>
        </w:rPr>
        <w:t xml:space="preserve"> </w:t>
      </w:r>
      <w:r w:rsidR="00A23DF4">
        <w:rPr>
          <w:rFonts w:cs="Times New Roman"/>
        </w:rPr>
        <w:t xml:space="preserve">v </w:t>
      </w:r>
      <w:r w:rsidRPr="00C015BC">
        <w:rPr>
          <w:rFonts w:cs="Times New Roman"/>
        </w:rPr>
        <w:t xml:space="preserve">české národní </w:t>
      </w:r>
      <w:r w:rsidR="00A23DF4">
        <w:rPr>
          <w:rFonts w:cs="Times New Roman"/>
        </w:rPr>
        <w:t xml:space="preserve">úpravě </w:t>
      </w:r>
      <w:r w:rsidRPr="00C015BC">
        <w:rPr>
          <w:rFonts w:cs="Times New Roman"/>
        </w:rPr>
        <w:t>adaptován pro případy aplikace národního práva.</w:t>
      </w:r>
    </w:p>
    <w:p w:rsidR="00C015BC" w:rsidRDefault="00C015BC" w:rsidP="00746CBD">
      <w:pPr>
        <w:pStyle w:val="Tetnadpis"/>
      </w:pPr>
      <w:r w:rsidRPr="00053250">
        <w:t>Narovnání</w:t>
      </w:r>
    </w:p>
    <w:p w:rsidR="00B734E3" w:rsidRPr="00B734E3" w:rsidRDefault="00B734E3" w:rsidP="00746CBD">
      <w:r w:rsidRPr="00B734E3">
        <w:t>Hlavním účelem procedury narovnání je dosáhnout zjednodušení správního řízení a souvisejících úspor jak na straně Úřadu, tak na straně dotčených soutěžitelů.</w:t>
      </w:r>
    </w:p>
    <w:p w:rsidR="00B734E3" w:rsidRPr="00B734E3" w:rsidRDefault="00B734E3" w:rsidP="00746CBD">
      <w:r w:rsidRPr="00B734E3">
        <w:t xml:space="preserve">Původně byla procedura zavedená Úřadem v roce 2008 bez legislativního zakotvení chápána spíše jako nástroj vyšetřování. Jeho praktickou aplikací měl soutěžní úřad příležitost dostat </w:t>
      </w:r>
      <w:r w:rsidR="00A52F11">
        <w:t xml:space="preserve">se k </w:t>
      </w:r>
      <w:r w:rsidRPr="00B734E3">
        <w:t xml:space="preserve">jinak obtížně zjistitelným informacím od dotčených soutěžitelů. V praxi činily v tomto období úlevy na pokutách poskytované Úřadem ve více případech </w:t>
      </w:r>
      <w:r w:rsidR="006A2A4D">
        <w:t xml:space="preserve">například </w:t>
      </w:r>
      <w:r w:rsidRPr="00B734E3">
        <w:t>až 50 % a v některých případech mohla úleva dosáhnout až 80 % z výše původní pokuty.</w:t>
      </w:r>
    </w:p>
    <w:p w:rsidR="00B734E3" w:rsidRPr="00B734E3" w:rsidRDefault="00B734E3" w:rsidP="00746CBD">
      <w:r w:rsidRPr="00B734E3">
        <w:t xml:space="preserve">Od roku 2012 byla procedura </w:t>
      </w:r>
      <w:r w:rsidR="000E7B53">
        <w:t>legislativně zakotvena</w:t>
      </w:r>
      <w:r w:rsidR="000E7B53" w:rsidRPr="00B734E3">
        <w:t xml:space="preserve"> </w:t>
      </w:r>
      <w:r w:rsidRPr="00B734E3">
        <w:t>v rámci nového ustanovení o upuštění od uložení pokuty a snížení pokuty spolu s institutem shovívavosti. Zákonný text je doplněn na úrovni vnitřního</w:t>
      </w:r>
      <w:r w:rsidR="004D0432">
        <w:t>,</w:t>
      </w:r>
      <w:r w:rsidRPr="00B734E3">
        <w:t xml:space="preserve"> resp. metodického předpisu, kde jsou upraveny (obdobně jako v případě shovívavosti) konkrétní požadavky a procedury provádějící stručný zákonný rámec.</w:t>
      </w:r>
      <w:r w:rsidRPr="00746CBD">
        <w:rPr>
          <w:rStyle w:val="Znakapoznpodarou"/>
          <w:szCs w:val="24"/>
        </w:rPr>
        <w:footnoteReference w:id="10"/>
      </w:r>
    </w:p>
    <w:p w:rsidR="00B734E3" w:rsidRPr="00B734E3" w:rsidRDefault="00B734E3" w:rsidP="00746CBD">
      <w:r w:rsidRPr="00B734E3">
        <w:t>Podstata narovnání spočívá v přiznání dotčeného soutěžitel</w:t>
      </w:r>
      <w:r w:rsidR="000E7B53">
        <w:t>e</w:t>
      </w:r>
      <w:r w:rsidRPr="00B734E3">
        <w:t xml:space="preserve"> ke spáchání správního deliktu. </w:t>
      </w:r>
      <w:r w:rsidR="0027706C">
        <w:t>Správní řízení se tak zrychlí a zje</w:t>
      </w:r>
      <w:r w:rsidR="00002783">
        <w:t>d</w:t>
      </w:r>
      <w:r w:rsidR="0027706C">
        <w:t>noduš</w:t>
      </w:r>
      <w:r w:rsidR="00117A36">
        <w:t>í</w:t>
      </w:r>
      <w:r w:rsidRPr="00B734E3">
        <w:t>. Takový ekonomický přístup přináší zásadní úsporu času i kapacit soutěžního orgánu. Motivace účastníka j</w:t>
      </w:r>
      <w:r w:rsidR="009933C2">
        <w:t>e také ryze ekonomická a tkví v </w:t>
      </w:r>
      <w:r w:rsidRPr="00B734E3">
        <w:t xml:space="preserve">možnosti redukce eventuální pokuty. </w:t>
      </w:r>
    </w:p>
    <w:p w:rsidR="00B734E3" w:rsidRDefault="00B734E3" w:rsidP="00746CBD">
      <w:pPr>
        <w:rPr>
          <w:sz w:val="20"/>
          <w:szCs w:val="20"/>
          <w:shd w:val="clear" w:color="auto" w:fill="FFFFFF"/>
        </w:rPr>
      </w:pPr>
      <w:r w:rsidRPr="00B734E3">
        <w:rPr>
          <w:shd w:val="clear" w:color="auto" w:fill="FFFFFF"/>
        </w:rPr>
        <w:t>Dnešní stručná zákonná úprava procedury narovnání nepřipouští přílišnou diskreci ze</w:t>
      </w:r>
      <w:r w:rsidR="0046408F">
        <w:rPr>
          <w:shd w:val="clear" w:color="auto" w:fill="FFFFFF"/>
        </w:rPr>
        <w:t> </w:t>
      </w:r>
      <w:r w:rsidRPr="00B734E3">
        <w:rPr>
          <w:shd w:val="clear" w:color="auto" w:fill="FFFFFF"/>
        </w:rPr>
        <w:t>strany správního orgánu a pověřené úřední osoby při jeho aplikaci v průběhu správního řízení. Zejména se tento problém týká výše přiznané slevy na pokutě. Zákon výslovně přiznává úlevu na pokutě ve výši 20 %, pokud se soutěžitel ke spáchání přestupku přiznal a</w:t>
      </w:r>
      <w:r w:rsidR="0046408F">
        <w:rPr>
          <w:shd w:val="clear" w:color="auto" w:fill="FFFFFF"/>
        </w:rPr>
        <w:t> </w:t>
      </w:r>
      <w:r w:rsidRPr="00B734E3">
        <w:rPr>
          <w:shd w:val="clear" w:color="auto" w:fill="FFFFFF"/>
        </w:rPr>
        <w:t>Úřad má za to, že s ohledem na povahu a závažnost přestupku je takový postih dostatečný.</w:t>
      </w:r>
    </w:p>
    <w:p w:rsidR="00B734E3" w:rsidRDefault="00B734E3" w:rsidP="00746CBD">
      <w:pPr>
        <w:pStyle w:val="Tetnadpis"/>
      </w:pPr>
      <w:r w:rsidRPr="00775224">
        <w:t>Vzájemná pomoc</w:t>
      </w:r>
    </w:p>
    <w:p w:rsidR="00B11FF9" w:rsidRPr="00B11FF9" w:rsidRDefault="00B11FF9" w:rsidP="00746CBD">
      <w:pPr>
        <w:rPr>
          <w:i/>
        </w:rPr>
      </w:pPr>
      <w:r w:rsidRPr="00B11FF9">
        <w:t xml:space="preserve">Procedura tzv. </w:t>
      </w:r>
      <w:r w:rsidRPr="00503925">
        <w:rPr>
          <w:i/>
        </w:rPr>
        <w:t>vzájemné pomoci</w:t>
      </w:r>
      <w:r w:rsidRPr="00B11FF9">
        <w:t xml:space="preserve"> je soubor nových </w:t>
      </w:r>
      <w:r w:rsidR="00746CBD">
        <w:t xml:space="preserve">institutů zavedených </w:t>
      </w:r>
      <w:r w:rsidR="000E7B53">
        <w:t>Směrnicí</w:t>
      </w:r>
      <w:r w:rsidRPr="00B11FF9">
        <w:t xml:space="preserve">. Celý koncept je novou </w:t>
      </w:r>
      <w:r w:rsidR="000E7B53">
        <w:t xml:space="preserve">právní </w:t>
      </w:r>
      <w:r w:rsidRPr="00B11FF9">
        <w:t xml:space="preserve">úpravou určenou k implementaci </w:t>
      </w:r>
      <w:r w:rsidR="000E7B53">
        <w:t xml:space="preserve">Směrnice </w:t>
      </w:r>
      <w:r w:rsidRPr="00B11FF9">
        <w:t>na národní úrovni.</w:t>
      </w:r>
    </w:p>
    <w:p w:rsidR="00B11FF9" w:rsidRPr="00B11FF9" w:rsidRDefault="00B11FF9" w:rsidP="00746CBD">
      <w:pPr>
        <w:rPr>
          <w:i/>
        </w:rPr>
      </w:pPr>
      <w:r w:rsidRPr="00B11FF9">
        <w:t>Inspirace pro zavedení této koncepce do národních úprav spočívá plně v Nařízení č. 1/2003 a jeho kapitole nazvané Spolupráci upravující vzájemné vztahy při aplikaci práva EU mezi Komisí a členskými státy.</w:t>
      </w:r>
    </w:p>
    <w:p w:rsidR="00B11FF9" w:rsidRPr="00B11FF9" w:rsidRDefault="00B11FF9" w:rsidP="00746CBD">
      <w:pPr>
        <w:rPr>
          <w:i/>
        </w:rPr>
      </w:pPr>
      <w:r w:rsidRPr="00B11FF9">
        <w:lastRenderedPageBreak/>
        <w:t>Směrnice požaduje zakotvit do národních řádů nové instituty</w:t>
      </w:r>
      <w:r w:rsidR="000E7B53">
        <w:t>, především</w:t>
      </w:r>
      <w:r w:rsidR="0018231B">
        <w:t xml:space="preserve"> </w:t>
      </w:r>
      <w:r w:rsidRPr="00B11FF9">
        <w:t>žádost o</w:t>
      </w:r>
      <w:r w:rsidR="0046408F">
        <w:t> </w:t>
      </w:r>
      <w:r w:rsidRPr="00B11FF9">
        <w:t>oznámení, kdy na žádost soutěžního orgánu jiného členského státu uplatňujícího článek 101 nebo 102 Smlouvy má soutěžní orgán jiného členského státu ozn</w:t>
      </w:r>
      <w:r w:rsidR="0005702A">
        <w:t>a</w:t>
      </w:r>
      <w:r w:rsidRPr="00B11FF9">
        <w:t xml:space="preserve">movat soutěžiteli bez zbytečného odkladu jménem cizozemského orgánu rozhodnutí, předběžné námitky, jiné procesní akty nebo další relevantní dokumenty (čl. 25 </w:t>
      </w:r>
      <w:r w:rsidR="000D48C6">
        <w:t>S</w:t>
      </w:r>
      <w:r w:rsidR="000D48C6" w:rsidRPr="00B11FF9">
        <w:t>měrnice</w:t>
      </w:r>
      <w:r w:rsidRPr="00B11FF9">
        <w:t>).</w:t>
      </w:r>
    </w:p>
    <w:p w:rsidR="00B11FF9" w:rsidRPr="00B11FF9" w:rsidRDefault="00B11FF9" w:rsidP="00746CBD">
      <w:pPr>
        <w:rPr>
          <w:i/>
        </w:rPr>
      </w:pPr>
      <w:r w:rsidRPr="00B11FF9">
        <w:t>Dalším kompletně novým institutem je obdobně koncipovaná žádost o výkon rozhodnutí, kterým se ukl</w:t>
      </w:r>
      <w:r w:rsidR="0005702A">
        <w:t>á</w:t>
      </w:r>
      <w:r w:rsidRPr="00B11FF9">
        <w:t>d</w:t>
      </w:r>
      <w:r w:rsidR="0005702A">
        <w:t>a</w:t>
      </w:r>
      <w:r w:rsidRPr="00B11FF9">
        <w:t xml:space="preserve">jí pokuty nebo penále (viz čl. 26 </w:t>
      </w:r>
      <w:r w:rsidR="000D48C6">
        <w:t>S</w:t>
      </w:r>
      <w:r w:rsidRPr="00B11FF9">
        <w:t>měrnice). Opět ve vztahu horizont</w:t>
      </w:r>
      <w:r w:rsidR="00746CBD">
        <w:t>álním (a </w:t>
      </w:r>
      <w:r w:rsidRPr="00B11FF9">
        <w:t>ne vertikálním jako v případě Komise a členského státu u Nařízení č. 1/2003).</w:t>
      </w:r>
    </w:p>
    <w:p w:rsidR="00B734E3" w:rsidRDefault="00B734E3" w:rsidP="00746CBD">
      <w:pPr>
        <w:pStyle w:val="Tetnadpis"/>
      </w:pPr>
      <w:r w:rsidRPr="00775224">
        <w:t>Zpřístupnění informací obsažených ve spise</w:t>
      </w:r>
    </w:p>
    <w:p w:rsidR="00B11FF9" w:rsidRPr="00B11FF9" w:rsidRDefault="00B11FF9" w:rsidP="00746CBD">
      <w:pPr>
        <w:rPr>
          <w:i/>
        </w:rPr>
      </w:pPr>
      <w:r w:rsidRPr="00B11FF9">
        <w:t xml:space="preserve">Riziko zveřejnění sebeusvědčujících materiálů mimo rámec šetření, pro jehož účely byly poskytnuty, by mohlo oslabit motivaci potenciálních </w:t>
      </w:r>
      <w:r w:rsidRPr="008832B7">
        <w:t>žadatel</w:t>
      </w:r>
      <w:r w:rsidR="004238C3" w:rsidRPr="008832B7">
        <w:t>ů o shovívavost ke spolupráci</w:t>
      </w:r>
      <w:r w:rsidR="004238C3">
        <w:rPr>
          <w:i/>
        </w:rPr>
        <w:t xml:space="preserve"> s </w:t>
      </w:r>
      <w:r w:rsidRPr="00B11FF9">
        <w:t xml:space="preserve">orgány pro hospodářskou soutěž. </w:t>
      </w:r>
    </w:p>
    <w:p w:rsidR="00B11FF9" w:rsidRPr="00937F4F" w:rsidRDefault="00B11FF9" w:rsidP="00746CBD">
      <w:pPr>
        <w:rPr>
          <w:i/>
          <w:szCs w:val="24"/>
        </w:rPr>
      </w:pPr>
      <w:r w:rsidRPr="00B11FF9">
        <w:t>Z toho důvodu je již v současné platné právní úpravě obsažena ochrana dokumentů vypracovaných a předložených pouze pro účely probíhajícího správního řízení v</w:t>
      </w:r>
      <w:r w:rsidR="008832B7">
        <w:t>e</w:t>
      </w:r>
      <w:r w:rsidRPr="00B11FF9">
        <w:t xml:space="preserve"> věc</w:t>
      </w:r>
      <w:r w:rsidR="00A05BE8">
        <w:t xml:space="preserve">ech </w:t>
      </w:r>
      <w:r w:rsidRPr="00B11FF9">
        <w:t xml:space="preserve">ochrany </w:t>
      </w:r>
      <w:r w:rsidRPr="00937F4F">
        <w:rPr>
          <w:szCs w:val="24"/>
        </w:rPr>
        <w:t xml:space="preserve">hospodářské soutěže nebo výkonu dozoru </w:t>
      </w:r>
      <w:r w:rsidR="00A05BE8" w:rsidRPr="00937F4F">
        <w:rPr>
          <w:szCs w:val="24"/>
        </w:rPr>
        <w:t>nad plněním povinností soutěžitelů a</w:t>
      </w:r>
      <w:r w:rsidR="000B0CAE" w:rsidRPr="00937F4F">
        <w:rPr>
          <w:szCs w:val="24"/>
        </w:rPr>
        <w:t> </w:t>
      </w:r>
      <w:r w:rsidR="00A05BE8" w:rsidRPr="00937F4F">
        <w:rPr>
          <w:szCs w:val="24"/>
        </w:rPr>
        <w:t>orgánů veřejné správy</w:t>
      </w:r>
      <w:r w:rsidR="00F227E8" w:rsidRPr="00937F4F">
        <w:rPr>
          <w:szCs w:val="24"/>
        </w:rPr>
        <w:t xml:space="preserve"> vyplývajících ze zákona o ochraně hospodářské soutěže nebo z rozhodnutí Úřadu</w:t>
      </w:r>
      <w:r w:rsidRPr="00937F4F">
        <w:rPr>
          <w:szCs w:val="24"/>
        </w:rPr>
        <w:t>.</w:t>
      </w:r>
      <w:r w:rsidR="000E7B53" w:rsidRPr="00937F4F">
        <w:rPr>
          <w:szCs w:val="24"/>
        </w:rPr>
        <w:t xml:space="preserve"> </w:t>
      </w:r>
      <w:r w:rsidRPr="00937F4F">
        <w:rPr>
          <w:szCs w:val="24"/>
        </w:rPr>
        <w:t>Taková materiály by eventuálně mohly být využity pro různé účely mimo správní řízení, např. v civilních žalobách o náhradu škody. Z těchto důvodů je i na základě výslovných požadavků evropského práva kodifikována jejich ochrana, resp. možnost zpřístupňování takových dokumentů za průběhu správního řízení.</w:t>
      </w:r>
    </w:p>
    <w:p w:rsidR="00B11FF9" w:rsidRPr="00937F4F" w:rsidRDefault="00B11FF9" w:rsidP="00746CBD">
      <w:pPr>
        <w:rPr>
          <w:szCs w:val="24"/>
        </w:rPr>
      </w:pPr>
      <w:r w:rsidRPr="00937F4F">
        <w:rPr>
          <w:szCs w:val="24"/>
        </w:rPr>
        <w:t>V současné platné právní úpravě není stanovena výjimka pro poskytování těchto citlivých materiálů orgánům činným v trestním řízení. Stávající pravidla tak nezohledňují rozdíl v postavení takových veřejných orgánů a ostatních osob.</w:t>
      </w:r>
    </w:p>
    <w:p w:rsidR="00D625F8" w:rsidRPr="00937F4F" w:rsidRDefault="00D625F8" w:rsidP="00746CBD">
      <w:pPr>
        <w:rPr>
          <w:i/>
          <w:szCs w:val="24"/>
        </w:rPr>
      </w:pPr>
    </w:p>
    <w:p w:rsidR="00801214" w:rsidRPr="00937F4F" w:rsidRDefault="009F7122" w:rsidP="00801214">
      <w:pPr>
        <w:pStyle w:val="Druhnadpis"/>
        <w:rPr>
          <w:sz w:val="24"/>
        </w:rPr>
      </w:pPr>
      <w:bookmarkStart w:id="5" w:name="_Toc384290116"/>
      <w:r w:rsidRPr="00937F4F">
        <w:rPr>
          <w:sz w:val="24"/>
        </w:rPr>
        <w:t>Identifikace dotčených subjektů</w:t>
      </w:r>
      <w:bookmarkEnd w:id="5"/>
    </w:p>
    <w:p w:rsidR="00A01891" w:rsidRPr="00A01891" w:rsidRDefault="00A01891" w:rsidP="00B77763">
      <w:pPr>
        <w:pStyle w:val="Variantnnadpis"/>
      </w:pPr>
      <w:r w:rsidRPr="00A01891">
        <w:t>Tabulka 1: Seznam dotčených subjektů</w:t>
      </w:r>
    </w:p>
    <w:tbl>
      <w:tblPr>
        <w:tblStyle w:val="Svtlstnovnzvraznn1"/>
        <w:tblW w:w="4878" w:type="pct"/>
        <w:tblLook w:val="04A0" w:firstRow="1" w:lastRow="0" w:firstColumn="1" w:lastColumn="0" w:noHBand="0" w:noVBand="1"/>
      </w:tblPr>
      <w:tblGrid>
        <w:gridCol w:w="2713"/>
        <w:gridCol w:w="6348"/>
      </w:tblGrid>
      <w:tr w:rsidR="00D625F8" w:rsidRPr="00B77763" w:rsidTr="00B777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pct"/>
            <w:hideMark/>
          </w:tcPr>
          <w:p w:rsidR="00D625F8" w:rsidRPr="00B77763" w:rsidRDefault="00D625F8" w:rsidP="00B77763">
            <w:pPr>
              <w:suppressAutoHyphens/>
              <w:spacing w:after="0" w:line="276" w:lineRule="auto"/>
              <w:ind w:firstLine="0"/>
              <w:jc w:val="left"/>
              <w:rPr>
                <w:rFonts w:cs="Times New Roman"/>
                <w:szCs w:val="24"/>
              </w:rPr>
            </w:pPr>
            <w:r w:rsidRPr="00B77763">
              <w:rPr>
                <w:szCs w:val="24"/>
              </w:rPr>
              <w:t>Oblast regulace</w:t>
            </w:r>
          </w:p>
        </w:tc>
        <w:tc>
          <w:tcPr>
            <w:tcW w:w="3503" w:type="pct"/>
            <w:hideMark/>
          </w:tcPr>
          <w:p w:rsidR="00D625F8" w:rsidRPr="00B77763" w:rsidRDefault="00D625F8" w:rsidP="00B77763">
            <w:pPr>
              <w:suppressAutoHyphens/>
              <w:spacing w:after="0" w:line="276" w:lineRule="auto"/>
              <w:ind w:firstLine="0"/>
              <w:jc w:val="left"/>
              <w:cnfStyle w:val="100000000000" w:firstRow="1" w:lastRow="0" w:firstColumn="0" w:lastColumn="0" w:oddVBand="0" w:evenVBand="0" w:oddHBand="0" w:evenHBand="0" w:firstRowFirstColumn="0" w:firstRowLastColumn="0" w:lastRowFirstColumn="0" w:lastRowLastColumn="0"/>
              <w:rPr>
                <w:rFonts w:cs="Times New Roman"/>
                <w:szCs w:val="24"/>
              </w:rPr>
            </w:pPr>
            <w:r w:rsidRPr="00B77763">
              <w:rPr>
                <w:szCs w:val="24"/>
              </w:rPr>
              <w:t>Dotčené subjekty</w:t>
            </w:r>
          </w:p>
        </w:tc>
      </w:tr>
      <w:tr w:rsidR="00D625F8" w:rsidRPr="003C363A" w:rsidTr="00B777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pct"/>
            <w:hideMark/>
          </w:tcPr>
          <w:p w:rsidR="00D625F8" w:rsidRPr="00B77763" w:rsidRDefault="00D625F8" w:rsidP="00B77763">
            <w:pPr>
              <w:spacing w:line="276" w:lineRule="auto"/>
              <w:ind w:firstLine="0"/>
              <w:jc w:val="left"/>
              <w:rPr>
                <w:rFonts w:cs="Times New Roman"/>
                <w:b w:val="0"/>
                <w:szCs w:val="24"/>
              </w:rPr>
            </w:pPr>
            <w:r w:rsidRPr="00B77763">
              <w:rPr>
                <w:rFonts w:cs="Times New Roman"/>
                <w:b w:val="0"/>
                <w:szCs w:val="24"/>
              </w:rPr>
              <w:t>Pořádková a donucovací pokuta</w:t>
            </w:r>
          </w:p>
        </w:tc>
        <w:tc>
          <w:tcPr>
            <w:tcW w:w="3503" w:type="pct"/>
            <w:hideMark/>
          </w:tcPr>
          <w:p w:rsidR="00D625F8" w:rsidRPr="003C363A" w:rsidRDefault="00D625F8" w:rsidP="00B77763">
            <w:pPr>
              <w:suppressAutoHyphens/>
              <w:spacing w:before="20" w:after="20" w:line="276" w:lineRule="auto"/>
              <w:ind w:firstLine="0"/>
              <w:jc w:val="left"/>
              <w:cnfStyle w:val="000000100000" w:firstRow="0" w:lastRow="0" w:firstColumn="0" w:lastColumn="0" w:oddVBand="0" w:evenVBand="0" w:oddHBand="1" w:evenHBand="0" w:firstRowFirstColumn="0" w:firstRowLastColumn="0" w:lastRowFirstColumn="0" w:lastRowLastColumn="0"/>
              <w:rPr>
                <w:rFonts w:cs="Times New Roman"/>
                <w:szCs w:val="24"/>
              </w:rPr>
            </w:pPr>
            <w:r w:rsidRPr="003C363A">
              <w:rPr>
                <w:rFonts w:cs="Times New Roman"/>
                <w:szCs w:val="24"/>
              </w:rPr>
              <w:t>Úřad, soutěžitelé a jejich zaměstnanci, orgány veřejné správy, fyzická nebo právnická osoba</w:t>
            </w:r>
          </w:p>
        </w:tc>
      </w:tr>
      <w:tr w:rsidR="00D625F8" w:rsidRPr="003C363A" w:rsidTr="00B77763">
        <w:tc>
          <w:tcPr>
            <w:cnfStyle w:val="001000000000" w:firstRow="0" w:lastRow="0" w:firstColumn="1" w:lastColumn="0" w:oddVBand="0" w:evenVBand="0" w:oddHBand="0" w:evenHBand="0" w:firstRowFirstColumn="0" w:firstRowLastColumn="0" w:lastRowFirstColumn="0" w:lastRowLastColumn="0"/>
            <w:tcW w:w="1497" w:type="pct"/>
            <w:hideMark/>
          </w:tcPr>
          <w:p w:rsidR="00D625F8" w:rsidRPr="00B77763" w:rsidRDefault="00D625F8" w:rsidP="00B77763">
            <w:pPr>
              <w:suppressAutoHyphens/>
              <w:spacing w:after="0"/>
              <w:ind w:firstLine="0"/>
              <w:jc w:val="left"/>
              <w:rPr>
                <w:rFonts w:cs="Times New Roman"/>
                <w:b w:val="0"/>
                <w:szCs w:val="24"/>
              </w:rPr>
            </w:pPr>
            <w:r w:rsidRPr="00B77763">
              <w:rPr>
                <w:rFonts w:cs="Times New Roman"/>
                <w:b w:val="0"/>
                <w:szCs w:val="24"/>
              </w:rPr>
              <w:t>Součinnost policie</w:t>
            </w:r>
          </w:p>
        </w:tc>
        <w:tc>
          <w:tcPr>
            <w:tcW w:w="3503" w:type="pct"/>
            <w:hideMark/>
          </w:tcPr>
          <w:p w:rsidR="00D625F8" w:rsidRPr="003C363A" w:rsidRDefault="00D625F8" w:rsidP="00B77763">
            <w:pPr>
              <w:suppressAutoHyphens/>
              <w:spacing w:after="0"/>
              <w:ind w:firstLine="0"/>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3C363A">
              <w:rPr>
                <w:rFonts w:cs="Times New Roman"/>
                <w:szCs w:val="24"/>
              </w:rPr>
              <w:t>Úřad, pracovníci Úřadu při provádění místního šetření, Policie České republiky při výkonu součinnosti na základě žádosti Úřadu, soutěžitelé a jejich zaměstnanci</w:t>
            </w:r>
          </w:p>
        </w:tc>
      </w:tr>
      <w:tr w:rsidR="00D625F8" w:rsidRPr="003C363A" w:rsidTr="00B777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pct"/>
            <w:hideMark/>
          </w:tcPr>
          <w:p w:rsidR="00D625F8" w:rsidRPr="00B77763" w:rsidRDefault="00D625F8" w:rsidP="00B77763">
            <w:pPr>
              <w:suppressAutoHyphens/>
              <w:spacing w:after="0"/>
              <w:ind w:firstLine="0"/>
              <w:jc w:val="left"/>
              <w:rPr>
                <w:rFonts w:cs="Times New Roman"/>
                <w:b w:val="0"/>
                <w:szCs w:val="24"/>
              </w:rPr>
            </w:pPr>
            <w:r w:rsidRPr="00B77763">
              <w:rPr>
                <w:rFonts w:cs="Times New Roman"/>
                <w:b w:val="0"/>
                <w:szCs w:val="24"/>
              </w:rPr>
              <w:t>Nezávislost Úřadu</w:t>
            </w:r>
          </w:p>
        </w:tc>
        <w:tc>
          <w:tcPr>
            <w:tcW w:w="3503" w:type="pct"/>
            <w:hideMark/>
          </w:tcPr>
          <w:p w:rsidR="00D625F8" w:rsidRPr="003C363A" w:rsidRDefault="00D625F8" w:rsidP="00B77763">
            <w:pPr>
              <w:suppressAutoHyphens/>
              <w:spacing w:after="0"/>
              <w:ind w:firstLine="0"/>
              <w:jc w:val="left"/>
              <w:cnfStyle w:val="000000100000" w:firstRow="0" w:lastRow="0" w:firstColumn="0" w:lastColumn="0" w:oddVBand="0" w:evenVBand="0" w:oddHBand="1" w:evenHBand="0" w:firstRowFirstColumn="0" w:firstRowLastColumn="0" w:lastRowFirstColumn="0" w:lastRowLastColumn="0"/>
              <w:rPr>
                <w:rFonts w:cs="Times New Roman"/>
                <w:szCs w:val="24"/>
              </w:rPr>
            </w:pPr>
            <w:r w:rsidRPr="003C363A">
              <w:rPr>
                <w:rFonts w:cs="Times New Roman"/>
                <w:szCs w:val="24"/>
              </w:rPr>
              <w:t>Úřad, Vláda České republiky a Parlament České republiky, kterým je předkládána výroční zpráva Úřadu</w:t>
            </w:r>
          </w:p>
        </w:tc>
      </w:tr>
      <w:tr w:rsidR="00D625F8" w:rsidRPr="003C363A" w:rsidTr="00B77763">
        <w:tc>
          <w:tcPr>
            <w:cnfStyle w:val="001000000000" w:firstRow="0" w:lastRow="0" w:firstColumn="1" w:lastColumn="0" w:oddVBand="0" w:evenVBand="0" w:oddHBand="0" w:evenHBand="0" w:firstRowFirstColumn="0" w:firstRowLastColumn="0" w:lastRowFirstColumn="0" w:lastRowLastColumn="0"/>
            <w:tcW w:w="1497" w:type="pct"/>
          </w:tcPr>
          <w:p w:rsidR="00D625F8" w:rsidRPr="00B77763" w:rsidRDefault="00D625F8" w:rsidP="00B77763">
            <w:pPr>
              <w:spacing w:after="0"/>
              <w:ind w:firstLine="0"/>
              <w:jc w:val="left"/>
              <w:rPr>
                <w:rFonts w:cs="Times New Roman"/>
                <w:b w:val="0"/>
                <w:szCs w:val="24"/>
              </w:rPr>
            </w:pPr>
            <w:r w:rsidRPr="00B77763">
              <w:rPr>
                <w:rFonts w:cs="Times New Roman"/>
                <w:b w:val="0"/>
                <w:szCs w:val="24"/>
              </w:rPr>
              <w:t>Závazky orgánů veřejné správy</w:t>
            </w:r>
          </w:p>
        </w:tc>
        <w:tc>
          <w:tcPr>
            <w:tcW w:w="3503" w:type="pct"/>
          </w:tcPr>
          <w:p w:rsidR="00D625F8" w:rsidRPr="003C363A" w:rsidRDefault="00D625F8" w:rsidP="00B77763">
            <w:pPr>
              <w:ind w:firstLine="0"/>
              <w:jc w:val="left"/>
              <w:cnfStyle w:val="000000000000" w:firstRow="0" w:lastRow="0" w:firstColumn="0" w:lastColumn="0" w:oddVBand="0" w:evenVBand="0" w:oddHBand="0" w:evenHBand="0" w:firstRowFirstColumn="0" w:firstRowLastColumn="0" w:lastRowFirstColumn="0" w:lastRowLastColumn="0"/>
              <w:rPr>
                <w:rFonts w:cs="Times New Roman"/>
                <w:b/>
                <w:szCs w:val="24"/>
              </w:rPr>
            </w:pPr>
            <w:r w:rsidRPr="003C363A">
              <w:rPr>
                <w:rFonts w:cs="Times New Roman"/>
                <w:szCs w:val="24"/>
              </w:rPr>
              <w:t>Úřad, orgány veřejné správy</w:t>
            </w:r>
          </w:p>
          <w:p w:rsidR="00D625F8" w:rsidRPr="003C363A" w:rsidRDefault="00D625F8" w:rsidP="00B77763">
            <w:pPr>
              <w:spacing w:before="20" w:after="20"/>
              <w:jc w:val="left"/>
              <w:cnfStyle w:val="000000000000" w:firstRow="0" w:lastRow="0" w:firstColumn="0" w:lastColumn="0" w:oddVBand="0" w:evenVBand="0" w:oddHBand="0" w:evenHBand="0" w:firstRowFirstColumn="0" w:firstRowLastColumn="0" w:lastRowFirstColumn="0" w:lastRowLastColumn="0"/>
              <w:rPr>
                <w:rFonts w:cs="Times New Roman"/>
                <w:szCs w:val="24"/>
              </w:rPr>
            </w:pPr>
          </w:p>
        </w:tc>
      </w:tr>
      <w:tr w:rsidR="00D625F8" w:rsidRPr="003C363A" w:rsidTr="00B777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pct"/>
          </w:tcPr>
          <w:p w:rsidR="00D625F8" w:rsidRPr="00B77763" w:rsidRDefault="00D625F8" w:rsidP="00B77763">
            <w:pPr>
              <w:spacing w:after="0"/>
              <w:ind w:firstLine="0"/>
              <w:jc w:val="left"/>
              <w:rPr>
                <w:rFonts w:cs="Times New Roman"/>
                <w:b w:val="0"/>
                <w:szCs w:val="24"/>
              </w:rPr>
            </w:pPr>
            <w:r w:rsidRPr="00B77763">
              <w:rPr>
                <w:rFonts w:cs="Times New Roman"/>
                <w:b w:val="0"/>
                <w:szCs w:val="24"/>
              </w:rPr>
              <w:t>Shovívavost</w:t>
            </w:r>
          </w:p>
        </w:tc>
        <w:tc>
          <w:tcPr>
            <w:tcW w:w="3503" w:type="pct"/>
          </w:tcPr>
          <w:p w:rsidR="00D625F8" w:rsidRPr="003C363A" w:rsidRDefault="00D625F8" w:rsidP="00B77763">
            <w:pPr>
              <w:spacing w:before="20" w:after="20"/>
              <w:ind w:firstLine="0"/>
              <w:jc w:val="left"/>
              <w:cnfStyle w:val="000000100000" w:firstRow="0" w:lastRow="0" w:firstColumn="0" w:lastColumn="0" w:oddVBand="0" w:evenVBand="0" w:oddHBand="1" w:evenHBand="0" w:firstRowFirstColumn="0" w:firstRowLastColumn="0" w:lastRowFirstColumn="0" w:lastRowLastColumn="0"/>
              <w:rPr>
                <w:rFonts w:cs="Times New Roman"/>
                <w:szCs w:val="24"/>
              </w:rPr>
            </w:pPr>
            <w:r w:rsidRPr="003C363A">
              <w:rPr>
                <w:rFonts w:cs="Times New Roman"/>
                <w:szCs w:val="24"/>
              </w:rPr>
              <w:t>Úřad, pracovníci úřadu, soutěžitelé a jejich zaměstnanci, orgány veřejné správy, fyzická nebo právnická osoba, soutěžní orgány členských států EU, Evropská Komise</w:t>
            </w:r>
          </w:p>
        </w:tc>
      </w:tr>
      <w:tr w:rsidR="00D625F8" w:rsidRPr="003C363A" w:rsidTr="00B77763">
        <w:tc>
          <w:tcPr>
            <w:cnfStyle w:val="001000000000" w:firstRow="0" w:lastRow="0" w:firstColumn="1" w:lastColumn="0" w:oddVBand="0" w:evenVBand="0" w:oddHBand="0" w:evenHBand="0" w:firstRowFirstColumn="0" w:firstRowLastColumn="0" w:lastRowFirstColumn="0" w:lastRowLastColumn="0"/>
            <w:tcW w:w="1497" w:type="pct"/>
          </w:tcPr>
          <w:p w:rsidR="00D625F8" w:rsidRPr="00B77763" w:rsidRDefault="00D625F8" w:rsidP="00B77763">
            <w:pPr>
              <w:spacing w:after="0"/>
              <w:ind w:firstLine="0"/>
              <w:jc w:val="left"/>
              <w:rPr>
                <w:rFonts w:cs="Times New Roman"/>
                <w:b w:val="0"/>
                <w:szCs w:val="24"/>
              </w:rPr>
            </w:pPr>
            <w:r w:rsidRPr="00B77763">
              <w:rPr>
                <w:rFonts w:cs="Times New Roman"/>
                <w:b w:val="0"/>
                <w:szCs w:val="24"/>
              </w:rPr>
              <w:lastRenderedPageBreak/>
              <w:t>Narovnání</w:t>
            </w:r>
          </w:p>
        </w:tc>
        <w:tc>
          <w:tcPr>
            <w:tcW w:w="3503" w:type="pct"/>
          </w:tcPr>
          <w:p w:rsidR="00D625F8" w:rsidRPr="003C363A" w:rsidRDefault="00D625F8" w:rsidP="00BA26EE">
            <w:pPr>
              <w:spacing w:after="0"/>
              <w:ind w:firstLine="0"/>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3C363A">
              <w:rPr>
                <w:rFonts w:cs="Times New Roman"/>
                <w:szCs w:val="24"/>
              </w:rPr>
              <w:t xml:space="preserve">Úřad, pracovníci úřadu, soutěžitelé a jejich zaměstnanci, orgány veřejné správy, </w:t>
            </w:r>
            <w:r w:rsidR="00BA26EE" w:rsidRPr="003C363A">
              <w:rPr>
                <w:rFonts w:cs="Times New Roman"/>
                <w:szCs w:val="24"/>
              </w:rPr>
              <w:t>fyzick</w:t>
            </w:r>
            <w:r w:rsidR="00BA26EE">
              <w:rPr>
                <w:rFonts w:cs="Times New Roman"/>
                <w:szCs w:val="24"/>
              </w:rPr>
              <w:t>é</w:t>
            </w:r>
            <w:r w:rsidR="00BA26EE" w:rsidRPr="003C363A">
              <w:rPr>
                <w:rFonts w:cs="Times New Roman"/>
                <w:szCs w:val="24"/>
              </w:rPr>
              <w:t xml:space="preserve"> </w:t>
            </w:r>
            <w:r w:rsidRPr="003C363A">
              <w:rPr>
                <w:rFonts w:cs="Times New Roman"/>
                <w:szCs w:val="24"/>
              </w:rPr>
              <w:t>nebo právnick</w:t>
            </w:r>
            <w:r w:rsidR="00BA26EE">
              <w:rPr>
                <w:rFonts w:cs="Times New Roman"/>
                <w:szCs w:val="24"/>
              </w:rPr>
              <w:t>é</w:t>
            </w:r>
            <w:r w:rsidRPr="003C363A">
              <w:rPr>
                <w:rFonts w:cs="Times New Roman"/>
                <w:szCs w:val="24"/>
              </w:rPr>
              <w:t xml:space="preserve"> osob</w:t>
            </w:r>
            <w:r w:rsidR="00BA26EE">
              <w:rPr>
                <w:rFonts w:cs="Times New Roman"/>
                <w:szCs w:val="24"/>
              </w:rPr>
              <w:t>y</w:t>
            </w:r>
          </w:p>
        </w:tc>
      </w:tr>
      <w:tr w:rsidR="00D625F8" w:rsidRPr="003C363A" w:rsidTr="00B777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pct"/>
          </w:tcPr>
          <w:p w:rsidR="00D625F8" w:rsidRPr="00B77763" w:rsidRDefault="00D625F8" w:rsidP="00B77763">
            <w:pPr>
              <w:spacing w:after="0"/>
              <w:ind w:firstLine="0"/>
              <w:jc w:val="left"/>
              <w:rPr>
                <w:rFonts w:cs="Times New Roman"/>
                <w:b w:val="0"/>
                <w:szCs w:val="24"/>
              </w:rPr>
            </w:pPr>
            <w:r w:rsidRPr="00B77763">
              <w:rPr>
                <w:rFonts w:cs="Times New Roman"/>
                <w:b w:val="0"/>
                <w:szCs w:val="24"/>
              </w:rPr>
              <w:t>Vzájemná pomoc</w:t>
            </w:r>
          </w:p>
        </w:tc>
        <w:tc>
          <w:tcPr>
            <w:tcW w:w="3503" w:type="pct"/>
          </w:tcPr>
          <w:p w:rsidR="00D625F8" w:rsidRPr="003C363A" w:rsidRDefault="00D625F8" w:rsidP="00B77763">
            <w:pPr>
              <w:spacing w:after="0"/>
              <w:ind w:firstLine="0"/>
              <w:jc w:val="left"/>
              <w:cnfStyle w:val="000000100000" w:firstRow="0" w:lastRow="0" w:firstColumn="0" w:lastColumn="0" w:oddVBand="0" w:evenVBand="0" w:oddHBand="1" w:evenHBand="0" w:firstRowFirstColumn="0" w:firstRowLastColumn="0" w:lastRowFirstColumn="0" w:lastRowLastColumn="0"/>
              <w:rPr>
                <w:rFonts w:cs="Times New Roman"/>
                <w:szCs w:val="24"/>
              </w:rPr>
            </w:pPr>
            <w:r w:rsidRPr="003C363A">
              <w:rPr>
                <w:rFonts w:cs="Times New Roman"/>
                <w:szCs w:val="24"/>
              </w:rPr>
              <w:t>Úřad, pracovníci úřadu, soutěžní orgány členských států EU, Evropská Komise</w:t>
            </w:r>
            <w:r w:rsidR="00A27704">
              <w:rPr>
                <w:rFonts w:cs="Times New Roman"/>
                <w:szCs w:val="24"/>
              </w:rPr>
              <w:t>, Celní úřad pro Jihomoravský kraj</w:t>
            </w:r>
          </w:p>
        </w:tc>
      </w:tr>
      <w:tr w:rsidR="00D625F8" w:rsidRPr="003C363A" w:rsidTr="00B77763">
        <w:tc>
          <w:tcPr>
            <w:cnfStyle w:val="001000000000" w:firstRow="0" w:lastRow="0" w:firstColumn="1" w:lastColumn="0" w:oddVBand="0" w:evenVBand="0" w:oddHBand="0" w:evenHBand="0" w:firstRowFirstColumn="0" w:firstRowLastColumn="0" w:lastRowFirstColumn="0" w:lastRowLastColumn="0"/>
            <w:tcW w:w="1497" w:type="pct"/>
          </w:tcPr>
          <w:p w:rsidR="00D625F8" w:rsidRPr="00B77763" w:rsidRDefault="00D625F8" w:rsidP="00B77763">
            <w:pPr>
              <w:spacing w:after="0"/>
              <w:ind w:firstLine="0"/>
              <w:jc w:val="left"/>
              <w:rPr>
                <w:rFonts w:cs="Times New Roman"/>
                <w:b w:val="0"/>
                <w:szCs w:val="24"/>
              </w:rPr>
            </w:pPr>
            <w:r w:rsidRPr="00B77763">
              <w:rPr>
                <w:rFonts w:cs="Times New Roman"/>
                <w:b w:val="0"/>
                <w:szCs w:val="24"/>
              </w:rPr>
              <w:t>Zpřístupnění informací obsažených ve spise</w:t>
            </w:r>
          </w:p>
        </w:tc>
        <w:tc>
          <w:tcPr>
            <w:tcW w:w="3503" w:type="pct"/>
          </w:tcPr>
          <w:p w:rsidR="00D625F8" w:rsidRPr="003C363A" w:rsidRDefault="00D625F8" w:rsidP="00B77763">
            <w:pPr>
              <w:ind w:firstLine="0"/>
              <w:jc w:val="left"/>
              <w:cnfStyle w:val="000000000000" w:firstRow="0" w:lastRow="0" w:firstColumn="0" w:lastColumn="0" w:oddVBand="0" w:evenVBand="0" w:oddHBand="0" w:evenHBand="0" w:firstRowFirstColumn="0" w:firstRowLastColumn="0" w:lastRowFirstColumn="0" w:lastRowLastColumn="0"/>
              <w:rPr>
                <w:rFonts w:cs="Times New Roman"/>
                <w:szCs w:val="24"/>
              </w:rPr>
            </w:pPr>
            <w:r w:rsidRPr="003C363A">
              <w:rPr>
                <w:rFonts w:cs="Times New Roman"/>
                <w:szCs w:val="24"/>
              </w:rPr>
              <w:t>Úřad, pracovníci úřadu, orgány činné v trestním řízení</w:t>
            </w:r>
          </w:p>
        </w:tc>
      </w:tr>
    </w:tbl>
    <w:p w:rsidR="00937F4F" w:rsidRDefault="00937F4F" w:rsidP="00B77763">
      <w:pPr>
        <w:pStyle w:val="Variantnnadpis"/>
      </w:pPr>
      <w:bookmarkStart w:id="6" w:name="_Toc7182600"/>
      <w:bookmarkStart w:id="7" w:name="_Toc343094542"/>
    </w:p>
    <w:p w:rsidR="00801214" w:rsidRPr="00B77763" w:rsidRDefault="00801214" w:rsidP="00B77763">
      <w:pPr>
        <w:pStyle w:val="Variantnnadpis"/>
      </w:pPr>
      <w:r w:rsidRPr="00B77763">
        <w:t>Tabulka 2: Seznam konzultovaných subjektů</w:t>
      </w:r>
      <w:bookmarkEnd w:id="6"/>
    </w:p>
    <w:tbl>
      <w:tblPr>
        <w:tblStyle w:val="Svtlstnovnzvraznn1"/>
        <w:tblW w:w="0" w:type="auto"/>
        <w:tblLook w:val="04A0" w:firstRow="1" w:lastRow="0" w:firstColumn="1" w:lastColumn="0" w:noHBand="0" w:noVBand="1"/>
      </w:tblPr>
      <w:tblGrid>
        <w:gridCol w:w="2929"/>
        <w:gridCol w:w="6110"/>
      </w:tblGrid>
      <w:tr w:rsidR="00801214" w:rsidRPr="00B77763" w:rsidTr="00B777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9" w:type="dxa"/>
            <w:hideMark/>
          </w:tcPr>
          <w:p w:rsidR="00801214" w:rsidRPr="00B77763" w:rsidRDefault="00801214" w:rsidP="00B77763">
            <w:pPr>
              <w:suppressAutoHyphens/>
              <w:spacing w:after="0" w:line="276" w:lineRule="auto"/>
              <w:ind w:firstLine="0"/>
              <w:jc w:val="left"/>
              <w:rPr>
                <w:sz w:val="22"/>
              </w:rPr>
            </w:pPr>
            <w:r w:rsidRPr="00B77763">
              <w:t>Subjekty konzultace</w:t>
            </w:r>
          </w:p>
        </w:tc>
        <w:tc>
          <w:tcPr>
            <w:tcW w:w="6110" w:type="dxa"/>
            <w:hideMark/>
          </w:tcPr>
          <w:p w:rsidR="00801214" w:rsidRPr="00B77763" w:rsidRDefault="00801214" w:rsidP="00B77763">
            <w:pPr>
              <w:suppressAutoHyphens/>
              <w:spacing w:after="0" w:line="276" w:lineRule="auto"/>
              <w:ind w:firstLine="0"/>
              <w:jc w:val="left"/>
              <w:cnfStyle w:val="100000000000" w:firstRow="1" w:lastRow="0" w:firstColumn="0" w:lastColumn="0" w:oddVBand="0" w:evenVBand="0" w:oddHBand="0" w:evenHBand="0" w:firstRowFirstColumn="0" w:firstRowLastColumn="0" w:lastRowFirstColumn="0" w:lastRowLastColumn="0"/>
              <w:rPr>
                <w:sz w:val="22"/>
              </w:rPr>
            </w:pPr>
            <w:r w:rsidRPr="00B77763">
              <w:t>Relevantnost příslušného subjektu</w:t>
            </w:r>
          </w:p>
        </w:tc>
      </w:tr>
      <w:tr w:rsidR="00801214" w:rsidTr="00937F4F">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929" w:type="dxa"/>
            <w:hideMark/>
          </w:tcPr>
          <w:p w:rsidR="00801214" w:rsidRPr="00B77763" w:rsidRDefault="00801214" w:rsidP="00B77763">
            <w:pPr>
              <w:suppressAutoHyphens/>
              <w:spacing w:before="20" w:after="20" w:line="276" w:lineRule="auto"/>
              <w:ind w:firstLine="0"/>
              <w:jc w:val="left"/>
              <w:rPr>
                <w:b w:val="0"/>
                <w:sz w:val="22"/>
              </w:rPr>
            </w:pPr>
            <w:r w:rsidRPr="00B77763">
              <w:rPr>
                <w:b w:val="0"/>
              </w:rPr>
              <w:t>Policie České republiky</w:t>
            </w:r>
          </w:p>
        </w:tc>
        <w:tc>
          <w:tcPr>
            <w:tcW w:w="6110" w:type="dxa"/>
            <w:hideMark/>
          </w:tcPr>
          <w:p w:rsidR="00801214" w:rsidRDefault="00801214" w:rsidP="00B77763">
            <w:pPr>
              <w:suppressAutoHyphens/>
              <w:spacing w:before="20" w:after="20" w:line="276" w:lineRule="auto"/>
              <w:ind w:firstLine="0"/>
              <w:jc w:val="left"/>
              <w:cnfStyle w:val="000000100000" w:firstRow="0" w:lastRow="0" w:firstColumn="0" w:lastColumn="0" w:oddVBand="0" w:evenVBand="0" w:oddHBand="1" w:evenHBand="0" w:firstRowFirstColumn="0" w:firstRowLastColumn="0" w:lastRowFirstColumn="0" w:lastRowLastColumn="0"/>
              <w:rPr>
                <w:sz w:val="22"/>
              </w:rPr>
            </w:pPr>
            <w:r>
              <w:t>Orgán poskytující součinnost při úkonech Úřadu</w:t>
            </w:r>
          </w:p>
        </w:tc>
      </w:tr>
      <w:tr w:rsidR="00801214" w:rsidTr="00B77763">
        <w:tc>
          <w:tcPr>
            <w:cnfStyle w:val="001000000000" w:firstRow="0" w:lastRow="0" w:firstColumn="1" w:lastColumn="0" w:oddVBand="0" w:evenVBand="0" w:oddHBand="0" w:evenHBand="0" w:firstRowFirstColumn="0" w:firstRowLastColumn="0" w:lastRowFirstColumn="0" w:lastRowLastColumn="0"/>
            <w:tcW w:w="2929" w:type="dxa"/>
            <w:hideMark/>
          </w:tcPr>
          <w:p w:rsidR="00801214" w:rsidRPr="00B77763" w:rsidRDefault="00801214" w:rsidP="00C917DF">
            <w:pPr>
              <w:suppressAutoHyphens/>
              <w:spacing w:before="20" w:after="20" w:line="276" w:lineRule="auto"/>
              <w:ind w:firstLine="0"/>
              <w:jc w:val="left"/>
              <w:rPr>
                <w:b w:val="0"/>
                <w:sz w:val="22"/>
              </w:rPr>
            </w:pPr>
            <w:r w:rsidRPr="00B77763">
              <w:rPr>
                <w:b w:val="0"/>
              </w:rPr>
              <w:t xml:space="preserve">Ministerstvo vnitra </w:t>
            </w:r>
          </w:p>
        </w:tc>
        <w:tc>
          <w:tcPr>
            <w:tcW w:w="6110" w:type="dxa"/>
            <w:hideMark/>
          </w:tcPr>
          <w:p w:rsidR="00801214" w:rsidRPr="00937F4F" w:rsidRDefault="00937F4F" w:rsidP="00937F4F">
            <w:pPr>
              <w:suppressAutoHyphens/>
              <w:spacing w:before="20" w:after="20" w:line="276" w:lineRule="auto"/>
              <w:ind w:firstLine="0"/>
              <w:jc w:val="left"/>
              <w:cnfStyle w:val="000000000000" w:firstRow="0" w:lastRow="0" w:firstColumn="0" w:lastColumn="0" w:oddVBand="0" w:evenVBand="0" w:oddHBand="0" w:evenHBand="0" w:firstRowFirstColumn="0" w:firstRowLastColumn="0" w:lastRowFirstColumn="0" w:lastRowLastColumn="0"/>
              <w:rPr>
                <w:szCs w:val="24"/>
              </w:rPr>
            </w:pPr>
            <w:r w:rsidRPr="00937F4F">
              <w:rPr>
                <w:szCs w:val="24"/>
              </w:rPr>
              <w:t>Gestor správního řádu</w:t>
            </w:r>
          </w:p>
        </w:tc>
      </w:tr>
      <w:tr w:rsidR="00801214" w:rsidTr="00B777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9" w:type="dxa"/>
            <w:hideMark/>
          </w:tcPr>
          <w:p w:rsidR="00801214" w:rsidRPr="00B77763" w:rsidRDefault="00801214" w:rsidP="00BF4CE0">
            <w:pPr>
              <w:suppressAutoHyphens/>
              <w:spacing w:before="20" w:after="20" w:line="276" w:lineRule="auto"/>
              <w:ind w:firstLine="0"/>
              <w:jc w:val="left"/>
              <w:rPr>
                <w:b w:val="0"/>
                <w:sz w:val="22"/>
              </w:rPr>
            </w:pPr>
            <w:r w:rsidRPr="00B77763">
              <w:rPr>
                <w:b w:val="0"/>
              </w:rPr>
              <w:t xml:space="preserve">Generální ředitelství cel </w:t>
            </w:r>
          </w:p>
        </w:tc>
        <w:tc>
          <w:tcPr>
            <w:tcW w:w="6110" w:type="dxa"/>
            <w:hideMark/>
          </w:tcPr>
          <w:p w:rsidR="00801214" w:rsidRDefault="009C2E2E" w:rsidP="009C2E2E">
            <w:pPr>
              <w:suppressAutoHyphens/>
              <w:spacing w:before="20" w:after="20" w:line="276" w:lineRule="auto"/>
              <w:ind w:firstLine="0"/>
              <w:jc w:val="left"/>
              <w:cnfStyle w:val="000000100000" w:firstRow="0" w:lastRow="0" w:firstColumn="0" w:lastColumn="0" w:oddVBand="0" w:evenVBand="0" w:oddHBand="1" w:evenHBand="0" w:firstRowFirstColumn="0" w:firstRowLastColumn="0" w:lastRowFirstColumn="0" w:lastRowLastColumn="0"/>
              <w:rPr>
                <w:sz w:val="22"/>
              </w:rPr>
            </w:pPr>
            <w:r>
              <w:t>Orgán provádějící exekuce na peněžitá plnění podle správního řádu</w:t>
            </w:r>
          </w:p>
        </w:tc>
      </w:tr>
    </w:tbl>
    <w:p w:rsidR="009F7122" w:rsidRPr="004A674B" w:rsidRDefault="009F7122" w:rsidP="00746CBD">
      <w:pPr>
        <w:pStyle w:val="Druhnadpis"/>
      </w:pPr>
      <w:bookmarkStart w:id="8" w:name="_Toc384290118"/>
      <w:r w:rsidRPr="004A674B">
        <w:t>Popis cílového stavu</w:t>
      </w:r>
      <w:bookmarkEnd w:id="7"/>
      <w:bookmarkEnd w:id="8"/>
    </w:p>
    <w:p w:rsidR="00265658" w:rsidRDefault="009F7122" w:rsidP="00746CBD">
      <w:r w:rsidRPr="00265658">
        <w:t xml:space="preserve">Hlavním cílem </w:t>
      </w:r>
      <w:r w:rsidR="00E5307B">
        <w:t xml:space="preserve">navrhované regulace </w:t>
      </w:r>
      <w:r w:rsidR="00581433">
        <w:t>je zapracování S</w:t>
      </w:r>
      <w:r w:rsidR="00265658" w:rsidRPr="00265658">
        <w:t>měrnice</w:t>
      </w:r>
      <w:r w:rsidR="00265658" w:rsidRPr="000101AD">
        <w:rPr>
          <w:rStyle w:val="Nadpis1Char"/>
          <w:rFonts w:ascii="Times New Roman" w:eastAsia="Calibri" w:hAnsi="Times New Roman" w:cs="Times New Roman"/>
          <w:b w:val="0"/>
          <w:szCs w:val="24"/>
        </w:rPr>
        <w:t>. Návrh vychází z potřeby plnění závazků vyplývajících z členství v Evropské unii. Účelem nové právní úpravy je dosažení stavu, aby u</w:t>
      </w:r>
      <w:r w:rsidR="00265658" w:rsidRPr="00265658">
        <w:rPr>
          <w:highlight w:val="white"/>
        </w:rPr>
        <w:t>platňování vnitrostátních právních předpisů o hospodářské soutěži vnitrostátními orgány pro</w:t>
      </w:r>
      <w:r w:rsidR="00293617">
        <w:rPr>
          <w:highlight w:val="white"/>
        </w:rPr>
        <w:t> </w:t>
      </w:r>
      <w:r w:rsidR="00265658" w:rsidRPr="00265658">
        <w:rPr>
          <w:highlight w:val="white"/>
        </w:rPr>
        <w:t xml:space="preserve">hospodářskou soutěž na dohody, rozhodnutí sdružení podniků nebo jednání ve vzájemné shodě, které by mohly ovlivnit obchod mezi členskými státy, nevedlo k výsledku jinému, než je výsledek, jehož by vnitrostátní orgány pro hospodářskou soutěž dosáhly na základě práva </w:t>
      </w:r>
      <w:r w:rsidR="00EB57D0">
        <w:rPr>
          <w:highlight w:val="white"/>
        </w:rPr>
        <w:t>EU</w:t>
      </w:r>
      <w:r w:rsidR="00265658" w:rsidRPr="00265658">
        <w:rPr>
          <w:highlight w:val="white"/>
        </w:rPr>
        <w:t xml:space="preserve"> podle čl</w:t>
      </w:r>
      <w:r w:rsidR="00C93E6F">
        <w:rPr>
          <w:highlight w:val="white"/>
        </w:rPr>
        <w:t>ánku</w:t>
      </w:r>
      <w:r w:rsidR="00265658" w:rsidRPr="00265658">
        <w:rPr>
          <w:highlight w:val="white"/>
        </w:rPr>
        <w:t xml:space="preserve"> 3 odst. 2 nařízení (ES) č. 1/2003. V takovýchto případech souběžného uplatňování vnitrostátních a unijních právních předpisů o hospodářské soutěži je tedy zcela zásadní, aby vnitrostátní orgány pro hospodářskou soutěž měly stejné potřebné záruky nezávislosti, zdroje a pravomoci při prosazování práva a ukládání pokut k zajištění toho, že nebude dosaženo odlišného výsledku.</w:t>
      </w:r>
    </w:p>
    <w:p w:rsidR="00E5307B" w:rsidRPr="00265658" w:rsidRDefault="00E5307B" w:rsidP="00746CBD">
      <w:r>
        <w:t xml:space="preserve">Dalším cílem </w:t>
      </w:r>
      <w:r w:rsidR="00373DB2">
        <w:t>navrhovaných změn úpravy v oblasti ochrany hospodářské soutěže</w:t>
      </w:r>
      <w:r w:rsidR="008E01ED">
        <w:t xml:space="preserve"> je zohlednění identifikovaných problémů zjištěných při aplikační praxi Úřadu.  </w:t>
      </w:r>
    </w:p>
    <w:p w:rsidR="009F7122" w:rsidRPr="001B3CC7" w:rsidRDefault="009F7122" w:rsidP="00746CBD">
      <w:r w:rsidRPr="001B3CC7">
        <w:t>Konkrétní cíle lze definovat následovně:</w:t>
      </w:r>
      <w:r w:rsidR="00DA3C99">
        <w:t xml:space="preserve"> </w:t>
      </w:r>
    </w:p>
    <w:p w:rsidR="00C632C9" w:rsidRDefault="00C632C9" w:rsidP="00C632C9">
      <w:pPr>
        <w:pStyle w:val="Odstavecseseznamem"/>
        <w:numPr>
          <w:ilvl w:val="0"/>
          <w:numId w:val="34"/>
        </w:numPr>
      </w:pPr>
      <w:r w:rsidRPr="00746CBD">
        <w:t xml:space="preserve">upřesnit ustanovení týkající se sankcí </w:t>
      </w:r>
    </w:p>
    <w:p w:rsidR="00C632C9" w:rsidRPr="00746CBD" w:rsidRDefault="00C632C9" w:rsidP="00C632C9">
      <w:pPr>
        <w:pStyle w:val="Odstavecseseznamem"/>
        <w:numPr>
          <w:ilvl w:val="0"/>
          <w:numId w:val="34"/>
        </w:numPr>
      </w:pPr>
      <w:r>
        <w:t xml:space="preserve">upravit součinnost Policie České republiky při </w:t>
      </w:r>
      <w:r w:rsidR="006F66C3">
        <w:t>šetření na místě</w:t>
      </w:r>
    </w:p>
    <w:p w:rsidR="00C632C9" w:rsidRDefault="009F7122" w:rsidP="00746CBD">
      <w:pPr>
        <w:pStyle w:val="Odstavecseseznamem"/>
        <w:numPr>
          <w:ilvl w:val="0"/>
          <w:numId w:val="34"/>
        </w:numPr>
      </w:pPr>
      <w:r w:rsidRPr="00746CBD">
        <w:t xml:space="preserve">vymezit </w:t>
      </w:r>
      <w:r w:rsidR="00DD02CA">
        <w:t>nezávislost Úřadu</w:t>
      </w:r>
      <w:r w:rsidR="00C101B8" w:rsidRPr="00746CBD">
        <w:t xml:space="preserve"> při výkonu své působnosti </w:t>
      </w:r>
    </w:p>
    <w:p w:rsidR="00536D7A" w:rsidRDefault="00C632C9" w:rsidP="00746CBD">
      <w:pPr>
        <w:pStyle w:val="Odstavecseseznamem"/>
        <w:numPr>
          <w:ilvl w:val="0"/>
          <w:numId w:val="34"/>
        </w:numPr>
      </w:pPr>
      <w:r>
        <w:t>upravit možnost orgánů veřejné správy navrhnout závazky</w:t>
      </w:r>
    </w:p>
    <w:p w:rsidR="009F7122" w:rsidRDefault="00C101B8" w:rsidP="00746CBD">
      <w:pPr>
        <w:pStyle w:val="Odstavecseseznamem"/>
        <w:numPr>
          <w:ilvl w:val="0"/>
          <w:numId w:val="34"/>
        </w:numPr>
      </w:pPr>
      <w:r w:rsidRPr="00746CBD">
        <w:t>upřesnit program shovívavosti</w:t>
      </w:r>
    </w:p>
    <w:p w:rsidR="00C632C9" w:rsidRPr="00746CBD" w:rsidRDefault="00C632C9" w:rsidP="00746CBD">
      <w:pPr>
        <w:pStyle w:val="Odstavecseseznamem"/>
        <w:numPr>
          <w:ilvl w:val="0"/>
          <w:numId w:val="34"/>
        </w:numPr>
      </w:pPr>
      <w:r w:rsidRPr="00746CBD">
        <w:t xml:space="preserve">upřesnit </w:t>
      </w:r>
      <w:r w:rsidR="00536D7A">
        <w:t>procedur</w:t>
      </w:r>
      <w:r w:rsidR="00F54858">
        <w:t>u</w:t>
      </w:r>
      <w:r w:rsidR="00536D7A">
        <w:t xml:space="preserve"> </w:t>
      </w:r>
      <w:r>
        <w:t>narovnání</w:t>
      </w:r>
    </w:p>
    <w:p w:rsidR="00C101B8" w:rsidRDefault="00EF62A4" w:rsidP="00746CBD">
      <w:pPr>
        <w:pStyle w:val="Odstavecseseznamem"/>
        <w:numPr>
          <w:ilvl w:val="0"/>
          <w:numId w:val="34"/>
        </w:numPr>
      </w:pPr>
      <w:r>
        <w:t xml:space="preserve">zavést proceduru </w:t>
      </w:r>
      <w:r w:rsidR="00054469">
        <w:t>vzájemn</w:t>
      </w:r>
      <w:r w:rsidR="00C41039">
        <w:t>é</w:t>
      </w:r>
      <w:r w:rsidR="00054469">
        <w:t xml:space="preserve"> pomoc</w:t>
      </w:r>
      <w:r w:rsidR="00C41039">
        <w:t>i mezi členskými státy</w:t>
      </w:r>
      <w:r>
        <w:t xml:space="preserve"> </w:t>
      </w:r>
      <w:r w:rsidR="00C41039">
        <w:t>v oblasti hospodářské soutěže</w:t>
      </w:r>
    </w:p>
    <w:p w:rsidR="007C6F1B" w:rsidRDefault="007C6F1B" w:rsidP="00746CBD">
      <w:pPr>
        <w:pStyle w:val="Odstavecseseznamem"/>
        <w:numPr>
          <w:ilvl w:val="0"/>
          <w:numId w:val="34"/>
        </w:numPr>
      </w:pPr>
      <w:r>
        <w:t>upřesnit zpřístupnění informací obsažených ve spise</w:t>
      </w:r>
    </w:p>
    <w:p w:rsidR="00F6415D" w:rsidRDefault="00460FA4" w:rsidP="00746CBD">
      <w:pPr>
        <w:pStyle w:val="Tetnadpis"/>
        <w:rPr>
          <w:u w:val="single"/>
        </w:rPr>
      </w:pPr>
      <w:r w:rsidRPr="00775224">
        <w:lastRenderedPageBreak/>
        <w:t>Pořádková</w:t>
      </w:r>
      <w:r w:rsidR="00E55E0C">
        <w:t xml:space="preserve"> </w:t>
      </w:r>
      <w:r w:rsidR="00F276C7">
        <w:t>a donucovací</w:t>
      </w:r>
      <w:r w:rsidRPr="00775224">
        <w:t xml:space="preserve"> pokuta</w:t>
      </w:r>
    </w:p>
    <w:p w:rsidR="00976F29" w:rsidRPr="00460FA4" w:rsidRDefault="00460FA4" w:rsidP="00746CBD">
      <w:r w:rsidRPr="00460FA4">
        <w:t xml:space="preserve">Cílem předkládaného návrhu je </w:t>
      </w:r>
      <w:r w:rsidR="00AD0D07">
        <w:t xml:space="preserve">zefektivnění vedení řízení možností udělovat důraznější sankce za širší spektrum případů nespolupráce při vedení tohoto řízení a </w:t>
      </w:r>
      <w:r>
        <w:rPr>
          <w:szCs w:val="24"/>
        </w:rPr>
        <w:t>uvedení zákona do</w:t>
      </w:r>
      <w:r w:rsidR="00AD0D07">
        <w:t> </w:t>
      </w:r>
      <w:r>
        <w:t xml:space="preserve">souladu s požadavkem </w:t>
      </w:r>
      <w:r w:rsidR="00F519AC">
        <w:t xml:space="preserve">čl. 16 </w:t>
      </w:r>
      <w:r>
        <w:t>Směrnice.</w:t>
      </w:r>
      <w:r w:rsidR="00F276C7">
        <w:t xml:space="preserve"> Pořádková a donucovací pokuta je klíčovým nástrojem zajišťující Úřadu účinné prostředky pokračujícímu či budoucímu nedodržování opatření Úřadu nebo jeho rozhodnutí. Cílem návrhu však není umožnit Úřadu dvojí trestání jednoho skutku, ale zavést účinnější nástroj pro plynulost řízení.</w:t>
      </w:r>
    </w:p>
    <w:p w:rsidR="00976F29" w:rsidRDefault="00976F29" w:rsidP="00746CBD">
      <w:pPr>
        <w:pStyle w:val="Tetnadpis"/>
        <w:rPr>
          <w:u w:val="single"/>
        </w:rPr>
      </w:pPr>
      <w:r w:rsidRPr="00775224">
        <w:t>Součinnost Policie</w:t>
      </w:r>
    </w:p>
    <w:p w:rsidR="008C407F" w:rsidRDefault="008C407F" w:rsidP="008C407F">
      <w:pPr>
        <w:ind w:firstLine="0"/>
      </w:pPr>
      <w:r>
        <w:rPr>
          <w:szCs w:val="24"/>
        </w:rPr>
        <w:t xml:space="preserve">Cílem předkládaného návrhu je jasné zakotvení, zpřehlednění a </w:t>
      </w:r>
      <w:r>
        <w:t xml:space="preserve">zefektivnění spolupráce (součinnosti) Policie České republiky s Úřadem při místních šetřeních, </w:t>
      </w:r>
      <w:r>
        <w:rPr>
          <w:szCs w:val="24"/>
        </w:rPr>
        <w:t>uvedení zákona do</w:t>
      </w:r>
      <w:r w:rsidR="0046408F">
        <w:t> </w:t>
      </w:r>
      <w:r>
        <w:t>souladu s </w:t>
      </w:r>
      <w:r>
        <w:rPr>
          <w:rFonts w:cs="Times New Roman"/>
        </w:rPr>
        <w:t>požadavkem Směrnice</w:t>
      </w:r>
      <w:r>
        <w:t>.</w:t>
      </w:r>
    </w:p>
    <w:p w:rsidR="008C407F" w:rsidRDefault="008C407F" w:rsidP="008C407F">
      <w:pPr>
        <w:keepNext/>
        <w:ind w:firstLine="0"/>
      </w:pPr>
      <w:r>
        <w:t xml:space="preserve">Hlavním </w:t>
      </w:r>
      <w:r w:rsidRPr="00DD5F19">
        <w:t>princip</w:t>
      </w:r>
      <w:r>
        <w:t>em</w:t>
      </w:r>
      <w:r w:rsidRPr="00DD5F19">
        <w:t xml:space="preserve"> obsažen</w:t>
      </w:r>
      <w:r>
        <w:t xml:space="preserve">ým </w:t>
      </w:r>
      <w:r w:rsidRPr="00DD5F19">
        <w:t>v</w:t>
      </w:r>
      <w:r>
        <w:t>e</w:t>
      </w:r>
      <w:r w:rsidRPr="00DD5F19">
        <w:t> </w:t>
      </w:r>
      <w:r>
        <w:t>S</w:t>
      </w:r>
      <w:r w:rsidRPr="00DD5F19">
        <w:t xml:space="preserve">měrnici, </w:t>
      </w:r>
      <w:r>
        <w:t xml:space="preserve">je </w:t>
      </w:r>
      <w:r w:rsidRPr="0005183F">
        <w:t>úprav</w:t>
      </w:r>
      <w:r>
        <w:t>a</w:t>
      </w:r>
      <w:r w:rsidRPr="0005183F">
        <w:t xml:space="preserve"> souboru nástrojů nezbytných k řádnému vymáhání pravidel EU v oblasti hospodářské soutěže</w:t>
      </w:r>
      <w:r>
        <w:t xml:space="preserve">. Jedním z takových nástrojů je i efektivní šetření prováděné </w:t>
      </w:r>
      <w:r w:rsidRPr="003B4955">
        <w:t>Úřadem</w:t>
      </w:r>
      <w:r>
        <w:t>.</w:t>
      </w:r>
      <w:r w:rsidRPr="00DB3C5A">
        <w:rPr>
          <w:szCs w:val="24"/>
        </w:rPr>
        <w:t xml:space="preserve"> </w:t>
      </w:r>
      <w:r>
        <w:t>Při provádění místních šetření a jednotlivých úkonů nelze v některých případech vyloučit obstrukční jednání, případně přímo aktivní snahu o</w:t>
      </w:r>
      <w:r w:rsidR="0046408F">
        <w:t> </w:t>
      </w:r>
      <w:r>
        <w:t>zamezení přístupu zaměstnancům Úřadu, nebo jiným Úřadem pověřených osobám, do těchto prostor. V souladu se Směrnicí a právní úpravou jsou z</w:t>
      </w:r>
      <w:r w:rsidRPr="00551F09">
        <w:t>aměstnanc</w:t>
      </w:r>
      <w:r>
        <w:t>i</w:t>
      </w:r>
      <w:r w:rsidRPr="00551F09">
        <w:t xml:space="preserve"> Úřadu</w:t>
      </w:r>
      <w:r>
        <w:t>, popřípadě</w:t>
      </w:r>
      <w:r w:rsidRPr="00551F09">
        <w:t xml:space="preserve"> další Úřadem pověřen</w:t>
      </w:r>
      <w:r>
        <w:t>é</w:t>
      </w:r>
      <w:r w:rsidRPr="00551F09">
        <w:t xml:space="preserve"> osob</w:t>
      </w:r>
      <w:r>
        <w:t>y, oprávněni</w:t>
      </w:r>
      <w:r w:rsidRPr="00551F09">
        <w:t xml:space="preserve"> pož</w:t>
      </w:r>
      <w:r>
        <w:t>ádat</w:t>
      </w:r>
      <w:r w:rsidRPr="00551F09">
        <w:t xml:space="preserve"> Polici</w:t>
      </w:r>
      <w:r>
        <w:t>i</w:t>
      </w:r>
      <w:r w:rsidRPr="00551F09">
        <w:t xml:space="preserve"> České republiky </w:t>
      </w:r>
      <w:r>
        <w:t xml:space="preserve">o </w:t>
      </w:r>
      <w:r w:rsidRPr="00551F09">
        <w:t xml:space="preserve">součinnost </w:t>
      </w:r>
      <w:r>
        <w:t>jejich příslušníků</w:t>
      </w:r>
      <w:r w:rsidRPr="00551F09">
        <w:t xml:space="preserve">, pokud </w:t>
      </w:r>
      <w:r>
        <w:t>se n</w:t>
      </w:r>
      <w:r w:rsidRPr="00000209">
        <w:t>ěkdo pokusí ztížit nebo zmařit provedení úkonu</w:t>
      </w:r>
      <w:r w:rsidRPr="00551F09">
        <w:t>.</w:t>
      </w:r>
      <w:r>
        <w:t xml:space="preserve"> </w:t>
      </w:r>
      <w:r>
        <w:rPr>
          <w:szCs w:val="24"/>
        </w:rPr>
        <w:t>Předkládaný návrh toto jejich oprávnění výslovně zakotvuje.</w:t>
      </w:r>
    </w:p>
    <w:p w:rsidR="00976F29" w:rsidRDefault="00976F29" w:rsidP="00746CBD">
      <w:pPr>
        <w:pStyle w:val="Tetnadpis"/>
      </w:pPr>
      <w:r w:rsidRPr="00775224">
        <w:t>Nezávislost Úřadu</w:t>
      </w:r>
    </w:p>
    <w:p w:rsidR="008D4ADA" w:rsidRDefault="00976F29" w:rsidP="00746CBD">
      <w:r w:rsidRPr="002816FE">
        <w:rPr>
          <w:szCs w:val="24"/>
        </w:rPr>
        <w:t xml:space="preserve">Cílem předkládaného návrhu zákona je </w:t>
      </w:r>
      <w:r w:rsidR="00D43827" w:rsidRPr="002816FE">
        <w:rPr>
          <w:szCs w:val="24"/>
        </w:rPr>
        <w:t>výslovné zakotvení nezávislosti Úřadu do českého právního řádu, v souladu s požadavkem Směrnice (zejména v </w:t>
      </w:r>
      <w:r w:rsidR="00570128">
        <w:rPr>
          <w:szCs w:val="24"/>
        </w:rPr>
        <w:t>k</w:t>
      </w:r>
      <w:r w:rsidR="00D43827" w:rsidRPr="002816FE">
        <w:rPr>
          <w:szCs w:val="24"/>
        </w:rPr>
        <w:t xml:space="preserve">apitole III, </w:t>
      </w:r>
      <w:r w:rsidR="00B91208">
        <w:rPr>
          <w:szCs w:val="24"/>
        </w:rPr>
        <w:t>č</w:t>
      </w:r>
      <w:r w:rsidR="00B91208" w:rsidRPr="002816FE">
        <w:rPr>
          <w:szCs w:val="24"/>
        </w:rPr>
        <w:t xml:space="preserve">lánku </w:t>
      </w:r>
      <w:r w:rsidR="00D43827" w:rsidRPr="002816FE">
        <w:rPr>
          <w:szCs w:val="24"/>
        </w:rPr>
        <w:t>4</w:t>
      </w:r>
      <w:r w:rsidR="002816FE" w:rsidRPr="002816FE">
        <w:rPr>
          <w:szCs w:val="24"/>
        </w:rPr>
        <w:t>, kde se m.</w:t>
      </w:r>
      <w:r w:rsidR="0046408F">
        <w:rPr>
          <w:szCs w:val="24"/>
        </w:rPr>
        <w:t> </w:t>
      </w:r>
      <w:r w:rsidR="002816FE" w:rsidRPr="002816FE">
        <w:rPr>
          <w:szCs w:val="24"/>
        </w:rPr>
        <w:t xml:space="preserve">j. uvádí: </w:t>
      </w:r>
      <w:r w:rsidR="002816FE" w:rsidRPr="00B945E5">
        <w:rPr>
          <w:i/>
          <w:szCs w:val="24"/>
        </w:rPr>
        <w:t>„</w:t>
      </w:r>
      <w:r w:rsidR="00B945E5">
        <w:rPr>
          <w:i/>
          <w:szCs w:val="24"/>
        </w:rPr>
        <w:t>(a)b</w:t>
      </w:r>
      <w:r w:rsidR="002816FE" w:rsidRPr="00B945E5">
        <w:rPr>
          <w:i/>
          <w:szCs w:val="24"/>
        </w:rPr>
        <w:t>y byla zaručena nezávislost vnit</w:t>
      </w:r>
      <w:r w:rsidR="009933C2">
        <w:rPr>
          <w:i/>
          <w:szCs w:val="24"/>
        </w:rPr>
        <w:t>rostátních správních orgánů pro </w:t>
      </w:r>
      <w:r w:rsidR="002816FE" w:rsidRPr="00B945E5">
        <w:rPr>
          <w:i/>
          <w:szCs w:val="24"/>
        </w:rPr>
        <w:t xml:space="preserve">hospodářskou soutěž při uplatňování článků 101 a 102 </w:t>
      </w:r>
      <w:r w:rsidR="00937F4F" w:rsidRPr="00B945E5">
        <w:rPr>
          <w:i/>
          <w:szCs w:val="24"/>
        </w:rPr>
        <w:t>SFEU</w:t>
      </w:r>
      <w:r w:rsidR="002816FE" w:rsidRPr="00B945E5">
        <w:rPr>
          <w:i/>
          <w:szCs w:val="24"/>
        </w:rPr>
        <w:t>, členské státy zajistí, aby tyto orgány plnily své povinnosti a vykonávaly své pravomoci nestranně a v zájmu účinného a</w:t>
      </w:r>
      <w:r w:rsidR="0046408F" w:rsidRPr="00B945E5">
        <w:rPr>
          <w:i/>
          <w:szCs w:val="24"/>
        </w:rPr>
        <w:t> </w:t>
      </w:r>
      <w:r w:rsidR="002816FE" w:rsidRPr="00B945E5">
        <w:rPr>
          <w:i/>
          <w:szCs w:val="24"/>
        </w:rPr>
        <w:t>jednotného uplatňování zmíněných ustanovení, s výhradou přiměřených požadavků na</w:t>
      </w:r>
      <w:r w:rsidR="0046408F" w:rsidRPr="00B945E5">
        <w:rPr>
          <w:i/>
          <w:szCs w:val="24"/>
        </w:rPr>
        <w:t> </w:t>
      </w:r>
      <w:r w:rsidR="002816FE" w:rsidRPr="00B945E5">
        <w:rPr>
          <w:i/>
          <w:szCs w:val="24"/>
        </w:rPr>
        <w:t>odpovědnost a aniž je dotčena úzká spolupráce mezi orgány pro hospodářskou soutěž v</w:t>
      </w:r>
      <w:r w:rsidR="0046408F" w:rsidRPr="00B945E5">
        <w:rPr>
          <w:i/>
          <w:szCs w:val="24"/>
        </w:rPr>
        <w:t> </w:t>
      </w:r>
      <w:r w:rsidR="002816FE" w:rsidRPr="00B945E5">
        <w:rPr>
          <w:i/>
          <w:szCs w:val="24"/>
        </w:rPr>
        <w:t>rámci Evropské sítě pro hospodářskou soutěž.“</w:t>
      </w:r>
      <w:r w:rsidR="00D43827">
        <w:t>)</w:t>
      </w:r>
      <w:r w:rsidR="0036607F">
        <w:t>,</w:t>
      </w:r>
      <w:r w:rsidR="00746CBD">
        <w:t xml:space="preserve"> </w:t>
      </w:r>
      <w:r w:rsidR="00D43827">
        <w:t xml:space="preserve">dále </w:t>
      </w:r>
      <w:r>
        <w:t xml:space="preserve">výslovná úprava </w:t>
      </w:r>
      <w:r w:rsidR="008D4ADA">
        <w:t>vydávání výroční zprávy</w:t>
      </w:r>
      <w:r>
        <w:t>, zvýšení právní jistoty</w:t>
      </w:r>
      <w:r w:rsidR="00746CBD">
        <w:t xml:space="preserve"> a </w:t>
      </w:r>
      <w:r w:rsidR="008D4ADA">
        <w:t>posílení nezávislosti Úřadu</w:t>
      </w:r>
      <w:r w:rsidR="00BC7EF4">
        <w:t xml:space="preserve">. </w:t>
      </w:r>
      <w:r w:rsidR="00D43827">
        <w:t>Cílem návrhu je postavit najisto, že Úřad je nezávislý orgán a odstranit případné pochybnosti, zda lze považovat současnou právní úpravu, ze které je dosud vyvozována nezávislost Úřadu, za dostatečnou. Hlavním záměrem je tedy zvýšení právní jistoty.</w:t>
      </w:r>
    </w:p>
    <w:p w:rsidR="00976F29" w:rsidRDefault="00460FA4" w:rsidP="00746CBD">
      <w:pPr>
        <w:pStyle w:val="Tetnadpis"/>
        <w:rPr>
          <w:u w:val="single"/>
        </w:rPr>
      </w:pPr>
      <w:r w:rsidRPr="00775224">
        <w:t>Závazky orgánů veřejné správy</w:t>
      </w:r>
    </w:p>
    <w:p w:rsidR="00460FA4" w:rsidRPr="00460FA4" w:rsidRDefault="00460FA4" w:rsidP="00746CBD">
      <w:pPr>
        <w:rPr>
          <w:rFonts w:cs="Times New Roman"/>
        </w:rPr>
      </w:pPr>
      <w:r w:rsidRPr="00460FA4">
        <w:rPr>
          <w:rFonts w:cs="Times New Roman"/>
        </w:rPr>
        <w:t xml:space="preserve">Cílem předkládaného návrhu je </w:t>
      </w:r>
      <w:r>
        <w:t>možnost orgánů veřejné správy navrhnout závazky, tím zkrátit délku řízení a zmírnit finanční dopady na tyto orgány</w:t>
      </w:r>
      <w:r>
        <w:rPr>
          <w:rFonts w:cs="Times New Roman"/>
        </w:rPr>
        <w:t>.</w:t>
      </w:r>
      <w:r w:rsidR="00F276C7">
        <w:rPr>
          <w:rFonts w:cs="Times New Roman"/>
        </w:rPr>
        <w:t xml:space="preserve"> </w:t>
      </w:r>
      <w:r w:rsidR="00F276C7">
        <w:t xml:space="preserve">Cílem je umožnit orgánům veřejné správy navrhnout </w:t>
      </w:r>
      <w:r w:rsidR="00F276C7" w:rsidRPr="00C12ED8">
        <w:t xml:space="preserve">Úřadu </w:t>
      </w:r>
      <w:r w:rsidR="00F276C7">
        <w:t xml:space="preserve">provedení takových </w:t>
      </w:r>
      <w:r w:rsidR="00F276C7" w:rsidRPr="00C12ED8">
        <w:t>opatření, která by reagovala na výhrady, které má Úřad k jejich jednání</w:t>
      </w:r>
      <w:r w:rsidR="00F276C7">
        <w:t xml:space="preserve"> (tzn. jednání, které je předmětem řízení o narušení hospodářské </w:t>
      </w:r>
      <w:r w:rsidR="00F276C7">
        <w:lastRenderedPageBreak/>
        <w:t>soutěže)</w:t>
      </w:r>
      <w:r w:rsidR="00F276C7" w:rsidRPr="00C12ED8">
        <w:t xml:space="preserve">. Pokud </w:t>
      </w:r>
      <w:r w:rsidR="00F276C7">
        <w:t>budou</w:t>
      </w:r>
      <w:r w:rsidR="00F276C7" w:rsidRPr="00C12ED8">
        <w:t xml:space="preserve"> tato opatření pro ochranu hospodářské soutěže dostatečná, </w:t>
      </w:r>
      <w:r w:rsidR="00F276C7">
        <w:t>bude</w:t>
      </w:r>
      <w:r w:rsidR="00F276C7" w:rsidRPr="00C12ED8">
        <w:t xml:space="preserve"> velmi rychle</w:t>
      </w:r>
      <w:r w:rsidR="00F276C7">
        <w:t xml:space="preserve"> a jednoduše</w:t>
      </w:r>
      <w:r w:rsidR="00F276C7" w:rsidRPr="00C12ED8">
        <w:t xml:space="preserve"> dosaženo vlastního účelu regulace hospodářské soutěže, </w:t>
      </w:r>
      <w:r w:rsidR="00F276C7">
        <w:t>neboť</w:t>
      </w:r>
      <w:r w:rsidR="00F276C7" w:rsidRPr="00C12ED8">
        <w:t xml:space="preserve"> jejich spl</w:t>
      </w:r>
      <w:r w:rsidR="00F276C7">
        <w:t>nění by odstranilo závadný stav</w:t>
      </w:r>
      <w:r w:rsidR="00F276C7" w:rsidRPr="00C12ED8">
        <w:t xml:space="preserve"> vzbuzující </w:t>
      </w:r>
      <w:r w:rsidR="00F276C7">
        <w:t>zájem</w:t>
      </w:r>
      <w:r w:rsidR="00F276C7" w:rsidRPr="00C12ED8">
        <w:t xml:space="preserve"> Úřadu.</w:t>
      </w:r>
    </w:p>
    <w:p w:rsidR="00223087" w:rsidRDefault="00692A27" w:rsidP="00746CBD">
      <w:pPr>
        <w:pStyle w:val="Tetnadpis"/>
      </w:pPr>
      <w:r>
        <w:t>S</w:t>
      </w:r>
      <w:r w:rsidR="00223087" w:rsidRPr="00053250">
        <w:t>hovívav</w:t>
      </w:r>
      <w:r>
        <w:t>ost</w:t>
      </w:r>
    </w:p>
    <w:p w:rsidR="000035B0" w:rsidRDefault="003A32B7" w:rsidP="00746CBD">
      <w:r w:rsidRPr="003A32B7">
        <w:t>Cíl</w:t>
      </w:r>
      <w:r w:rsidR="00A71272">
        <w:t>em</w:t>
      </w:r>
      <w:r w:rsidRPr="003A32B7">
        <w:t xml:space="preserve"> </w:t>
      </w:r>
      <w:r w:rsidR="00A71272">
        <w:t xml:space="preserve">předpokládaného návrhu </w:t>
      </w:r>
      <w:r w:rsidR="000035B0">
        <w:t xml:space="preserve">s ohledem na výslovné požadavky směrnice </w:t>
      </w:r>
      <w:r w:rsidR="00A71272">
        <w:t>je možnost</w:t>
      </w:r>
      <w:r w:rsidRPr="003A32B7">
        <w:t xml:space="preserve"> </w:t>
      </w:r>
      <w:r w:rsidR="000035B0">
        <w:t>zavedení jednotného režimu programů shovívavosti v členských státech EU při aplikaci jednotných evropských soutěžních pravidel.</w:t>
      </w:r>
      <w:r w:rsidR="002D3507">
        <w:t xml:space="preserve"> Dalším záměrem bude sjednocení režimu programů shovívavosti v režimu evropského práva a v režimu českého práva do přehledné národní právní úpravy na úrovni zákona.</w:t>
      </w:r>
    </w:p>
    <w:p w:rsidR="003A32B7" w:rsidRDefault="000035B0" w:rsidP="00746CBD">
      <w:r>
        <w:t xml:space="preserve">Jedním z nově kodifikovaných institutů má být možnost </w:t>
      </w:r>
      <w:r w:rsidR="003A32B7" w:rsidRPr="003A32B7">
        <w:t xml:space="preserve">soutěžitelů </w:t>
      </w:r>
      <w:r>
        <w:t xml:space="preserve">ještě </w:t>
      </w:r>
      <w:r w:rsidR="003A32B7" w:rsidRPr="003A32B7">
        <w:t>před formálním podáním žádosti o</w:t>
      </w:r>
      <w:r w:rsidR="001157BF">
        <w:t> </w:t>
      </w:r>
      <w:r w:rsidR="003A32B7" w:rsidRPr="003A32B7">
        <w:t xml:space="preserve">shovívavost požádat o rezervaci pořadí v rámci programu shovívavosti. </w:t>
      </w:r>
      <w:r w:rsidR="00A71272">
        <w:t>Účelem podání žádosti o rezervaci pořadí je</w:t>
      </w:r>
      <w:r w:rsidR="008E01ED">
        <w:t xml:space="preserve"> </w:t>
      </w:r>
      <w:r w:rsidR="003A32B7" w:rsidRPr="003A32B7">
        <w:t>shromáždit nezbytné informace</w:t>
      </w:r>
      <w:r w:rsidR="002D7933">
        <w:t>.</w:t>
      </w:r>
      <w:r w:rsidR="003A32B7" w:rsidRPr="003A32B7">
        <w:t xml:space="preserve"> </w:t>
      </w:r>
      <w:r w:rsidR="00F27C00">
        <w:t xml:space="preserve">Případný žadatel o upuštění od uložení pokuty dostane za účelem shromáždění </w:t>
      </w:r>
      <w:r w:rsidR="002D7933">
        <w:t>takových</w:t>
      </w:r>
      <w:r w:rsidR="00F27C00">
        <w:t xml:space="preserve"> informací a </w:t>
      </w:r>
      <w:r w:rsidR="002D7933">
        <w:t xml:space="preserve">či dalších </w:t>
      </w:r>
      <w:r w:rsidR="00F27C00">
        <w:t xml:space="preserve">podkladů </w:t>
      </w:r>
      <w:r w:rsidR="001F1D6D">
        <w:t>(</w:t>
      </w:r>
      <w:r w:rsidR="002D7933">
        <w:t xml:space="preserve">jako </w:t>
      </w:r>
      <w:r w:rsidR="002D7933" w:rsidRPr="003A32B7">
        <w:t>důkaz</w:t>
      </w:r>
      <w:r w:rsidR="002D7933">
        <w:t>ů</w:t>
      </w:r>
      <w:r w:rsidR="002D7933" w:rsidRPr="003A32B7">
        <w:t xml:space="preserve"> potřebn</w:t>
      </w:r>
      <w:r w:rsidR="009517C8">
        <w:t>ých</w:t>
      </w:r>
      <w:r w:rsidR="002D7933" w:rsidRPr="003A32B7">
        <w:t xml:space="preserve"> pro splnění příslušných důkazních kritérií</w:t>
      </w:r>
      <w:r w:rsidR="001F1D6D">
        <w:t>)</w:t>
      </w:r>
      <w:r w:rsidR="002D7933">
        <w:t xml:space="preserve"> </w:t>
      </w:r>
      <w:r w:rsidR="00F27C00">
        <w:t xml:space="preserve">tzv. </w:t>
      </w:r>
      <w:r w:rsidR="00F27C00" w:rsidRPr="009933C2">
        <w:rPr>
          <w:i/>
        </w:rPr>
        <w:t>rezervaci</w:t>
      </w:r>
      <w:r w:rsidR="00F27C00">
        <w:t xml:space="preserve"> </w:t>
      </w:r>
      <w:r w:rsidR="00F27C00" w:rsidRPr="009933C2">
        <w:rPr>
          <w:i/>
        </w:rPr>
        <w:t>pořadí.</w:t>
      </w:r>
      <w:r w:rsidR="00F27C00">
        <w:t xml:space="preserve"> </w:t>
      </w:r>
    </w:p>
    <w:p w:rsidR="003A32B7" w:rsidRPr="003A32B7" w:rsidRDefault="003A32B7" w:rsidP="00746CBD">
      <w:r w:rsidRPr="003A32B7">
        <w:t xml:space="preserve">S ohledem na sdílené pravomoci Komise a vnitrostátních orgánů pro hospodářskou soutěž při prosazování článků 101 a 102 </w:t>
      </w:r>
      <w:r w:rsidR="005C0960">
        <w:t>SFE</w:t>
      </w:r>
      <w:r w:rsidRPr="003A32B7">
        <w:t xml:space="preserve">U je také zásadní, aby byl zaveden bezproblémově fungující systém </w:t>
      </w:r>
      <w:r w:rsidR="00A71272">
        <w:t xml:space="preserve">tzv. </w:t>
      </w:r>
      <w:r w:rsidRPr="00B91208">
        <w:rPr>
          <w:i/>
        </w:rPr>
        <w:t>zjednodušených žádostí</w:t>
      </w:r>
      <w:r w:rsidRPr="003A32B7">
        <w:t xml:space="preserve">. </w:t>
      </w:r>
    </w:p>
    <w:p w:rsidR="003A32B7" w:rsidRPr="003A32B7" w:rsidRDefault="003A32B7" w:rsidP="00746CBD">
      <w:r w:rsidRPr="003A32B7">
        <w:t xml:space="preserve">Žadatelé, kteří požádali Komisi o shovívavost v souvislosti s údajným tajným kartelem, by měli být oprávněni podat u vnitrostátních orgánů pro hospodářskou soutěž zjednodušené žádosti ve stejné věci, pokud se žádost určená Komisi týká více než tří členských států jakožto dotčených území. </w:t>
      </w:r>
    </w:p>
    <w:p w:rsidR="003A32B7" w:rsidRPr="003A32B7" w:rsidRDefault="003A32B7" w:rsidP="00746CBD">
      <w:r w:rsidRPr="003A32B7">
        <w:t>Systém zjednodušených žádostí by měl umožňovat soutěžitelům podat vnitrostátním orgánům pro hospodářskou soutěž zjednodušenou (souhrnnou) žádost o shovívavost obsahující minimální soubor informací týkajících se údajné</w:t>
      </w:r>
      <w:r w:rsidR="009933C2">
        <w:t>ho kartelu, pokud byla Komisi v </w:t>
      </w:r>
      <w:r w:rsidRPr="003A32B7">
        <w:t xml:space="preserve">souvislosti s takovým údajným kartelem podána úplná žádost.  Žadatelé by pak měli mít možnost podat úplné žádosti o shovívavost vnitrostátnímu orgánu pro hospodářskou soutěž, jemuž předložili souhrnné žádosti. </w:t>
      </w:r>
    </w:p>
    <w:p w:rsidR="003A32B7" w:rsidRPr="003A32B7" w:rsidRDefault="003A32B7" w:rsidP="00746CBD">
      <w:r w:rsidRPr="003A32B7">
        <w:t>Cílem systému zjednodušených (souhrnných) žádostí je snížit administrativní zátěž žadatelů, kteří předkládají Komisi žádost o shovívavost v souvislosti s údajným tajným kartelem zahrnujícím více než tři členské státy jakožto dotčená územ</w:t>
      </w:r>
      <w:r w:rsidR="00746CBD">
        <w:t>í. Vzhledem k tomu, že v </w:t>
      </w:r>
      <w:r w:rsidRPr="003A32B7">
        <w:t>takových případech Komise obdrží úplnou žádost, měla by být hlavním kontaktním orgánem žadatele o shovívavost během doby, než se vyjasní, zda se Komise případem bude zabývat.</w:t>
      </w:r>
    </w:p>
    <w:p w:rsidR="00223087" w:rsidRDefault="00223087" w:rsidP="00746CBD">
      <w:pPr>
        <w:pStyle w:val="Tetnadpis"/>
      </w:pPr>
      <w:r w:rsidRPr="00053250">
        <w:t>Narovnání</w:t>
      </w:r>
    </w:p>
    <w:p w:rsidR="004A4F4F" w:rsidRPr="004A4F4F" w:rsidRDefault="00ED5954" w:rsidP="00746CBD">
      <w:r w:rsidRPr="00460FA4">
        <w:rPr>
          <w:rFonts w:cs="Times New Roman"/>
        </w:rPr>
        <w:t>Cílem předkládaného návrhu je</w:t>
      </w:r>
      <w:r w:rsidR="004A4F4F" w:rsidRPr="004A4F4F">
        <w:t xml:space="preserve"> poskytnout regulujícímu orgánu v rámci správního řízení větší možnost diskrece při stan</w:t>
      </w:r>
      <w:r w:rsidR="00746CBD">
        <w:t>ovování výše slevy z pokuty při </w:t>
      </w:r>
      <w:r w:rsidR="004A4F4F" w:rsidRPr="004A4F4F">
        <w:t xml:space="preserve">jednání o narovnání s účastníkem řízení. </w:t>
      </w:r>
    </w:p>
    <w:p w:rsidR="004A4F4F" w:rsidRPr="004A4F4F" w:rsidRDefault="004A4F4F" w:rsidP="00746CBD">
      <w:r w:rsidRPr="004A4F4F">
        <w:lastRenderedPageBreak/>
        <w:t xml:space="preserve">Zároveň bude </w:t>
      </w:r>
      <w:r w:rsidR="00ED5954">
        <w:t>ve vyšší míře umožněna</w:t>
      </w:r>
      <w:r w:rsidRPr="004A4F4F">
        <w:t xml:space="preserve"> diskrece spr</w:t>
      </w:r>
      <w:r w:rsidR="00746CBD">
        <w:t>ávního orgánu ukončit jednání o </w:t>
      </w:r>
      <w:r w:rsidRPr="004A4F4F">
        <w:t>narovnání, pokud z hlediska principu hospodárnosti</w:t>
      </w:r>
      <w:r w:rsidR="00ED5954">
        <w:t xml:space="preserve"> Úřad</w:t>
      </w:r>
      <w:r w:rsidRPr="004A4F4F">
        <w:t xml:space="preserve"> vyhodnotí situaci tak, že dosažení procesních úspor je nepravděpodobné.</w:t>
      </w:r>
    </w:p>
    <w:p w:rsidR="004A4F4F" w:rsidRPr="004A4F4F" w:rsidRDefault="004A4F4F" w:rsidP="00746CBD">
      <w:r w:rsidRPr="004A4F4F">
        <w:t xml:space="preserve">V rámci správního řízení by měla být výslovná zákonná možnost </w:t>
      </w:r>
      <w:r w:rsidR="00746CBD">
        <w:t>vést případně jednání o </w:t>
      </w:r>
      <w:r w:rsidR="003A32B7">
        <w:t>narov</w:t>
      </w:r>
      <w:r w:rsidRPr="004A4F4F">
        <w:t>nání s každým účastníkem daného řízení samostatně.</w:t>
      </w:r>
    </w:p>
    <w:p w:rsidR="00223087" w:rsidRDefault="00223087" w:rsidP="00746CBD">
      <w:pPr>
        <w:pStyle w:val="Tetnadpis"/>
      </w:pPr>
      <w:r w:rsidRPr="00775224">
        <w:t>Vzájemná pomoc</w:t>
      </w:r>
    </w:p>
    <w:p w:rsidR="00AC7CDB" w:rsidRPr="00AC7CDB" w:rsidRDefault="00AC7CDB" w:rsidP="00746CBD">
      <w:pPr>
        <w:rPr>
          <w:i/>
        </w:rPr>
      </w:pPr>
      <w:r w:rsidRPr="00AC7CDB">
        <w:t xml:space="preserve">V systému, v němž mají Komise a vnitrostátní orgány pro hospodářskou soutěž souběžné pravomoci k uplatňování článků 101 a 102 </w:t>
      </w:r>
      <w:r w:rsidR="00D3411B">
        <w:t>SFEU</w:t>
      </w:r>
      <w:r w:rsidRPr="00AC7CDB">
        <w:t xml:space="preserve"> je nutná úzká spolupráce</w:t>
      </w:r>
      <w:r w:rsidR="00ED5954">
        <w:t xml:space="preserve"> a vzájemná pomoc</w:t>
      </w:r>
      <w:r w:rsidRPr="00AC7CDB">
        <w:t xml:space="preserve"> mezi vnitrostátními orgány pro hospodářskou soutěž navzájem, jakož i mezi nimi a Komisí. </w:t>
      </w:r>
    </w:p>
    <w:p w:rsidR="00AC7CDB" w:rsidRPr="00AC7CDB" w:rsidRDefault="00AC7CDB" w:rsidP="00746CBD">
      <w:pPr>
        <w:rPr>
          <w:i/>
        </w:rPr>
      </w:pPr>
      <w:r w:rsidRPr="00AC7CDB">
        <w:t>Pokud vnitrostátní orgán pro hospodářskou soutěž pro</w:t>
      </w:r>
      <w:r w:rsidR="00746CBD">
        <w:t>vádí kontrolu nebo dotazování v </w:t>
      </w:r>
      <w:r w:rsidRPr="00AC7CDB">
        <w:t>souladu se svým vnitrostátním právem jménem j</w:t>
      </w:r>
      <w:r w:rsidR="00746CBD">
        <w:t>iného vnitrostátního orgánu pro </w:t>
      </w:r>
      <w:r w:rsidRPr="00AC7CDB">
        <w:t>hospodářskou soutěž podle čl</w:t>
      </w:r>
      <w:r w:rsidR="003B00F8">
        <w:t>ánku</w:t>
      </w:r>
      <w:r w:rsidRPr="00AC7CDB">
        <w:t xml:space="preserve"> 22 odst. 1 nařízení (ES) </w:t>
      </w:r>
      <w:r w:rsidR="00746CBD">
        <w:t>č. 1/2003, měla by přítomnost a </w:t>
      </w:r>
      <w:r w:rsidRPr="00AC7CDB">
        <w:t>pomoc úředníků z žádajícího orgánu umožnit dosažení v</w:t>
      </w:r>
      <w:r w:rsidR="00746CBD">
        <w:t>yšší účinnosti těchto kontrol a </w:t>
      </w:r>
      <w:r w:rsidRPr="00AC7CDB">
        <w:t xml:space="preserve">dotazování poskytnutím dodatečných zdrojů, znalostí a technické odbornosti. </w:t>
      </w:r>
    </w:p>
    <w:p w:rsidR="00AC7CDB" w:rsidRPr="00AC7CDB" w:rsidRDefault="00AC7CDB" w:rsidP="00746CBD">
      <w:pPr>
        <w:rPr>
          <w:i/>
        </w:rPr>
      </w:pPr>
      <w:r w:rsidRPr="00AC7CDB">
        <w:t xml:space="preserve">Vnitrostátní orgány pro hospodářskou soutěž by měly být rovněž oprávněny požádat jiné vnitrostátní orgány pro hospodářskou soutěž o pomoc při zjišťování, zda došlo k selhání podniků nebo sdružení podniků při dodržování vyšetřovacích opatření a rozhodnutí přijatých žádajícími vnitrostátními orgány pro hospodářskou soutěž. </w:t>
      </w:r>
    </w:p>
    <w:p w:rsidR="00AC7CDB" w:rsidRPr="00AC7CDB" w:rsidRDefault="00AC7CDB" w:rsidP="00746CBD">
      <w:pPr>
        <w:rPr>
          <w:i/>
        </w:rPr>
      </w:pPr>
      <w:r w:rsidRPr="00AC7CDB">
        <w:t xml:space="preserve">Je třeba zavést </w:t>
      </w:r>
      <w:r w:rsidR="0040799E">
        <w:t>režim</w:t>
      </w:r>
      <w:r w:rsidRPr="00AC7CDB">
        <w:t>, kter</w:t>
      </w:r>
      <w:r w:rsidR="0040799E">
        <w:t>ý</w:t>
      </w:r>
      <w:r w:rsidRPr="00AC7CDB">
        <w:t xml:space="preserve"> vnitrostátním orgánům pro hospodářskou soutěž umožní požádat o vzájemnou pomoc při oznamování dokumentů týkajících se uplatňování článků 101 nebo 102 </w:t>
      </w:r>
      <w:r w:rsidR="00B15201">
        <w:t>SFEU</w:t>
      </w:r>
      <w:r w:rsidRPr="00AC7CDB">
        <w:t xml:space="preserve"> na přeshraničním základě</w:t>
      </w:r>
      <w:r w:rsidR="0040799E">
        <w:t>, a to</w:t>
      </w:r>
      <w:r w:rsidRPr="00AC7CDB">
        <w:t xml:space="preserve"> stranám řízení nebo jiným </w:t>
      </w:r>
      <w:r w:rsidR="0040799E">
        <w:t>soutěžitelům</w:t>
      </w:r>
      <w:r w:rsidRPr="00AC7CDB">
        <w:t xml:space="preserve">, jež mohou být adresáty takových oznámení. </w:t>
      </w:r>
    </w:p>
    <w:p w:rsidR="00AC7CDB" w:rsidRPr="00AC7CDB" w:rsidRDefault="00AC7CDB" w:rsidP="00746CBD">
      <w:pPr>
        <w:rPr>
          <w:i/>
        </w:rPr>
      </w:pPr>
      <w:r w:rsidRPr="00AC7CDB">
        <w:t>Obdobně by vnitrostátní orgány pro hospodářskou so</w:t>
      </w:r>
      <w:r w:rsidR="00746CBD">
        <w:t>utěž měly mít možnost požádat o </w:t>
      </w:r>
      <w:r w:rsidRPr="00AC7CDB">
        <w:t>výkon rozhodnutí o uložení pokut či penále orgány v jiných členských státech, pokud žádající orgán vynaložil přiměřené úsilí k zjištění toho, že podnik, od něhož mají být pokuty nebo penále vymáhány, nedisponuje v členském státě žádajícího orgánu dostatečným majetkem. Členské státy by rovněž měly stanovit, že ze</w:t>
      </w:r>
      <w:r w:rsidR="00746CBD">
        <w:t>jména v případě, kdy podnik, od </w:t>
      </w:r>
      <w:r w:rsidRPr="00AC7CDB">
        <w:t xml:space="preserve">něhož lze pokutu nebo penále vymáhat, není usazen v členském státě žádajícího orgánu, může dožádaný orgán vymáhat výkon rozhodnutí přijatých žádajícím orgánem, a to na žádost žádajícího orgánu. </w:t>
      </w:r>
    </w:p>
    <w:p w:rsidR="00223087" w:rsidRPr="00053250" w:rsidRDefault="00223087" w:rsidP="00746CBD">
      <w:pPr>
        <w:pStyle w:val="Tetnadpis"/>
      </w:pPr>
      <w:r w:rsidRPr="00775224">
        <w:lastRenderedPageBreak/>
        <w:t>Zpřístupnění informací obsažených ve spise</w:t>
      </w:r>
    </w:p>
    <w:p w:rsidR="00265CCA" w:rsidRPr="00265CCA" w:rsidRDefault="0085754F" w:rsidP="00265CCA">
      <w:pPr>
        <w:pStyle w:val="Tetnadpis"/>
        <w:numPr>
          <w:ilvl w:val="0"/>
          <w:numId w:val="0"/>
        </w:numPr>
        <w:tabs>
          <w:tab w:val="left" w:pos="284"/>
        </w:tabs>
        <w:spacing w:before="0"/>
        <w:ind w:firstLine="284"/>
        <w:rPr>
          <w:b w:val="0"/>
          <w:i w:val="0"/>
          <w:color w:val="auto"/>
        </w:rPr>
      </w:pPr>
      <w:r>
        <w:rPr>
          <w:b w:val="0"/>
          <w:i w:val="0"/>
          <w:color w:val="auto"/>
        </w:rPr>
        <w:t>Cílový stav úpravy bude</w:t>
      </w:r>
      <w:r w:rsidR="001635CD">
        <w:rPr>
          <w:b w:val="0"/>
          <w:i w:val="0"/>
          <w:color w:val="auto"/>
        </w:rPr>
        <w:t xml:space="preserve"> vyváženě zohledň</w:t>
      </w:r>
      <w:r w:rsidR="00265CCA" w:rsidRPr="00265CCA">
        <w:rPr>
          <w:b w:val="0"/>
          <w:i w:val="0"/>
          <w:color w:val="auto"/>
        </w:rPr>
        <w:t>ovat působnost a úkoly všech potencionálně zainteresovaných orgánů veřejné moci</w:t>
      </w:r>
      <w:r w:rsidR="00C64F6C">
        <w:rPr>
          <w:b w:val="0"/>
          <w:i w:val="0"/>
          <w:color w:val="auto"/>
        </w:rPr>
        <w:t xml:space="preserve"> vymáhajících pravidla hospodářské soutěže</w:t>
      </w:r>
      <w:r w:rsidR="00265CCA" w:rsidRPr="00265CCA">
        <w:rPr>
          <w:b w:val="0"/>
          <w:i w:val="0"/>
          <w:color w:val="auto"/>
        </w:rPr>
        <w:t>.</w:t>
      </w:r>
    </w:p>
    <w:p w:rsidR="00265CCA" w:rsidRPr="00C64F6C" w:rsidRDefault="00265CCA" w:rsidP="00265CCA">
      <w:pPr>
        <w:pStyle w:val="Tetnadpis"/>
        <w:numPr>
          <w:ilvl w:val="0"/>
          <w:numId w:val="0"/>
        </w:numPr>
        <w:tabs>
          <w:tab w:val="left" w:pos="284"/>
        </w:tabs>
        <w:spacing w:before="0"/>
        <w:ind w:firstLine="284"/>
        <w:rPr>
          <w:b w:val="0"/>
          <w:i w:val="0"/>
          <w:color w:val="auto"/>
        </w:rPr>
      </w:pPr>
      <w:r w:rsidRPr="00265CCA">
        <w:rPr>
          <w:b w:val="0"/>
          <w:i w:val="0"/>
          <w:color w:val="auto"/>
        </w:rPr>
        <w:t>Na jedné straně umožní zachovat spefický režim zpřístupňování dokumentů vypracovaných a předložených pro účely správního řízení. Jedná se o řízení, kdy Úřad vykonává svou pravomoc ve věcech ochrany</w:t>
      </w:r>
      <w:r w:rsidR="00C64F6C">
        <w:rPr>
          <w:b w:val="0"/>
          <w:i w:val="0"/>
          <w:color w:val="auto"/>
        </w:rPr>
        <w:t xml:space="preserve"> (nebo </w:t>
      </w:r>
      <w:r w:rsidR="00C64F6C" w:rsidRPr="00265CCA">
        <w:rPr>
          <w:b w:val="0"/>
          <w:i w:val="0"/>
          <w:color w:val="auto"/>
        </w:rPr>
        <w:t>dozoru</w:t>
      </w:r>
      <w:r w:rsidR="00C64F6C">
        <w:rPr>
          <w:b w:val="0"/>
          <w:i w:val="0"/>
          <w:color w:val="auto"/>
        </w:rPr>
        <w:t>) nad pravidly</w:t>
      </w:r>
      <w:r w:rsidR="00C64F6C" w:rsidRPr="00265CCA">
        <w:rPr>
          <w:b w:val="0"/>
          <w:i w:val="0"/>
          <w:color w:val="auto"/>
        </w:rPr>
        <w:t xml:space="preserve"> </w:t>
      </w:r>
      <w:r w:rsidRPr="00265CCA">
        <w:rPr>
          <w:b w:val="0"/>
          <w:i w:val="0"/>
          <w:color w:val="auto"/>
        </w:rPr>
        <w:t>hospodářské soutěže</w:t>
      </w:r>
      <w:r w:rsidR="00C64F6C">
        <w:rPr>
          <w:b w:val="0"/>
          <w:i w:val="0"/>
          <w:color w:val="auto"/>
        </w:rPr>
        <w:t>.</w:t>
      </w:r>
      <w:r w:rsidRPr="00265CCA">
        <w:rPr>
          <w:b w:val="0"/>
          <w:i w:val="0"/>
          <w:color w:val="auto"/>
        </w:rPr>
        <w:t xml:space="preserve"> </w:t>
      </w:r>
      <w:r w:rsidR="00C64F6C">
        <w:rPr>
          <w:b w:val="0"/>
          <w:i w:val="0"/>
          <w:color w:val="auto"/>
        </w:rPr>
        <w:t xml:space="preserve">Speciální ochrana tzv. </w:t>
      </w:r>
      <w:r w:rsidR="00C64F6C" w:rsidRPr="00C64F6C">
        <w:rPr>
          <w:b w:val="0"/>
          <w:color w:val="auto"/>
        </w:rPr>
        <w:t xml:space="preserve">důvěrných </w:t>
      </w:r>
      <w:r w:rsidR="00C64F6C">
        <w:rPr>
          <w:b w:val="0"/>
          <w:color w:val="auto"/>
        </w:rPr>
        <w:t>i</w:t>
      </w:r>
      <w:r w:rsidR="00C64F6C" w:rsidRPr="00C64F6C">
        <w:rPr>
          <w:b w:val="0"/>
          <w:color w:val="auto"/>
        </w:rPr>
        <w:t>nformací</w:t>
      </w:r>
      <w:r w:rsidR="00C64F6C">
        <w:rPr>
          <w:b w:val="0"/>
          <w:color w:val="auto"/>
        </w:rPr>
        <w:t xml:space="preserve"> </w:t>
      </w:r>
      <w:r w:rsidR="00C64F6C">
        <w:rPr>
          <w:b w:val="0"/>
          <w:i w:val="0"/>
          <w:color w:val="auto"/>
        </w:rPr>
        <w:t>z p</w:t>
      </w:r>
      <w:r w:rsidR="009933C2">
        <w:rPr>
          <w:b w:val="0"/>
          <w:i w:val="0"/>
          <w:color w:val="auto"/>
        </w:rPr>
        <w:t>rogramu shovívavosti vychází ze </w:t>
      </w:r>
      <w:r w:rsidR="00C64F6C">
        <w:rPr>
          <w:b w:val="0"/>
          <w:i w:val="0"/>
          <w:color w:val="auto"/>
        </w:rPr>
        <w:t>zvláštních požadavků evropských předpisů v oblasti hospodářské soutěže.</w:t>
      </w:r>
    </w:p>
    <w:p w:rsidR="008D084C" w:rsidRDefault="00265CCA" w:rsidP="00265CCA">
      <w:pPr>
        <w:pStyle w:val="Tetnadpis"/>
        <w:numPr>
          <w:ilvl w:val="0"/>
          <w:numId w:val="0"/>
        </w:numPr>
        <w:tabs>
          <w:tab w:val="left" w:pos="284"/>
        </w:tabs>
        <w:spacing w:before="0"/>
        <w:ind w:firstLine="284"/>
        <w:rPr>
          <w:b w:val="0"/>
          <w:i w:val="0"/>
          <w:color w:val="auto"/>
        </w:rPr>
      </w:pPr>
      <w:r w:rsidRPr="00265CCA">
        <w:rPr>
          <w:b w:val="0"/>
          <w:i w:val="0"/>
          <w:color w:val="auto"/>
        </w:rPr>
        <w:t>Na s</w:t>
      </w:r>
      <w:r w:rsidR="00937130">
        <w:rPr>
          <w:b w:val="0"/>
          <w:i w:val="0"/>
          <w:color w:val="auto"/>
        </w:rPr>
        <w:t xml:space="preserve">traně druhé bude nově nastavena výjimka pro orgány </w:t>
      </w:r>
      <w:r w:rsidRPr="00265CCA">
        <w:rPr>
          <w:b w:val="0"/>
          <w:i w:val="0"/>
          <w:color w:val="auto"/>
        </w:rPr>
        <w:t>činn</w:t>
      </w:r>
      <w:r w:rsidR="00937130">
        <w:rPr>
          <w:b w:val="0"/>
          <w:i w:val="0"/>
          <w:color w:val="auto"/>
        </w:rPr>
        <w:t>é</w:t>
      </w:r>
      <w:r w:rsidR="009933C2">
        <w:rPr>
          <w:b w:val="0"/>
          <w:i w:val="0"/>
          <w:color w:val="auto"/>
        </w:rPr>
        <w:t xml:space="preserve"> v trestním řízení pro </w:t>
      </w:r>
      <w:r w:rsidRPr="00265CCA">
        <w:rPr>
          <w:b w:val="0"/>
          <w:i w:val="0"/>
          <w:color w:val="auto"/>
        </w:rPr>
        <w:t xml:space="preserve">proceduru zpřístupňování takových zvláště chráněných dokumentů. </w:t>
      </w:r>
      <w:r w:rsidR="0017549A">
        <w:rPr>
          <w:b w:val="0"/>
          <w:i w:val="0"/>
          <w:color w:val="auto"/>
        </w:rPr>
        <w:t xml:space="preserve">Orgány činné v trestním řízení evenutálně totiž mohou šetřit ve stejné věci trestné činy tzv. </w:t>
      </w:r>
      <w:r w:rsidR="0017549A" w:rsidRPr="0017549A">
        <w:rPr>
          <w:b w:val="0"/>
          <w:color w:val="auto"/>
        </w:rPr>
        <w:t>porušení předpisů o</w:t>
      </w:r>
      <w:r w:rsidR="008D084C">
        <w:rPr>
          <w:b w:val="0"/>
          <w:color w:val="auto"/>
        </w:rPr>
        <w:t> </w:t>
      </w:r>
      <w:r w:rsidR="0017549A" w:rsidRPr="0017549A">
        <w:rPr>
          <w:b w:val="0"/>
          <w:color w:val="auto"/>
        </w:rPr>
        <w:t>pravidlech hospodářské soutěže</w:t>
      </w:r>
      <w:r w:rsidR="0017549A">
        <w:rPr>
          <w:b w:val="0"/>
          <w:i w:val="0"/>
          <w:color w:val="auto"/>
        </w:rPr>
        <w:t xml:space="preserve">. </w:t>
      </w:r>
    </w:p>
    <w:p w:rsidR="00265CCA" w:rsidRPr="00265CCA" w:rsidRDefault="008D084C" w:rsidP="00265CCA">
      <w:pPr>
        <w:pStyle w:val="Tetnadpis"/>
        <w:numPr>
          <w:ilvl w:val="0"/>
          <w:numId w:val="0"/>
        </w:numPr>
        <w:tabs>
          <w:tab w:val="left" w:pos="284"/>
        </w:tabs>
        <w:spacing w:before="0"/>
        <w:ind w:firstLine="284"/>
        <w:rPr>
          <w:b w:val="0"/>
          <w:i w:val="0"/>
          <w:color w:val="auto"/>
        </w:rPr>
      </w:pPr>
      <w:r>
        <w:rPr>
          <w:b w:val="0"/>
          <w:i w:val="0"/>
          <w:color w:val="auto"/>
        </w:rPr>
        <w:t xml:space="preserve">Pro orgány činné v trestní řízení a jejich možné paralelní šetření ve stejné věci </w:t>
      </w:r>
      <w:r w:rsidR="00265CCA" w:rsidRPr="00265CCA">
        <w:rPr>
          <w:b w:val="0"/>
          <w:i w:val="0"/>
          <w:color w:val="auto"/>
        </w:rPr>
        <w:t>bude nově speciálně stanovena časová hranice (k okamžiku sdělení výhrad), od které jim může Úřad</w:t>
      </w:r>
      <w:r w:rsidR="003236D6">
        <w:rPr>
          <w:b w:val="0"/>
          <w:i w:val="0"/>
          <w:color w:val="auto"/>
        </w:rPr>
        <w:t xml:space="preserve"> chráněné dokumenty již</w:t>
      </w:r>
      <w:r w:rsidR="00265CCA" w:rsidRPr="00265CCA">
        <w:rPr>
          <w:b w:val="0"/>
          <w:i w:val="0"/>
          <w:color w:val="auto"/>
        </w:rPr>
        <w:t xml:space="preserve"> zpřístupnit. </w:t>
      </w:r>
      <w:r w:rsidR="00327489">
        <w:rPr>
          <w:b w:val="0"/>
          <w:i w:val="0"/>
          <w:color w:val="auto"/>
        </w:rPr>
        <w:t xml:space="preserve">Tato hranice </w:t>
      </w:r>
      <w:r w:rsidR="003236D6">
        <w:rPr>
          <w:b w:val="0"/>
          <w:i w:val="0"/>
          <w:color w:val="auto"/>
        </w:rPr>
        <w:t>mění</w:t>
      </w:r>
      <w:r w:rsidR="00327489">
        <w:rPr>
          <w:b w:val="0"/>
          <w:i w:val="0"/>
          <w:color w:val="auto"/>
        </w:rPr>
        <w:t xml:space="preserve"> dosavadní platnou úpravu, která výslovně nerozlišuje mezi jednotlivými typy orgánů veřejné moci.</w:t>
      </w:r>
      <w:r>
        <w:rPr>
          <w:b w:val="0"/>
          <w:i w:val="0"/>
          <w:color w:val="auto"/>
        </w:rPr>
        <w:t xml:space="preserve"> Posouvá okamžik možného zpřístupnění do dřívější fáze řízení.</w:t>
      </w:r>
    </w:p>
    <w:p w:rsidR="009F7122" w:rsidRPr="001B3CC7" w:rsidRDefault="009F7122" w:rsidP="00746CBD">
      <w:pPr>
        <w:pStyle w:val="Druhnadpis"/>
      </w:pPr>
      <w:bookmarkStart w:id="9" w:name="_Toc384290119"/>
      <w:bookmarkStart w:id="10" w:name="_Toc343094543"/>
      <w:r w:rsidRPr="001B3CC7">
        <w:t>Zhodnocení rizika</w:t>
      </w:r>
      <w:bookmarkEnd w:id="9"/>
      <w:bookmarkEnd w:id="10"/>
    </w:p>
    <w:p w:rsidR="000F1CBA" w:rsidRPr="000F1CBA" w:rsidRDefault="000F1CBA" w:rsidP="00746CBD">
      <w:r w:rsidRPr="000F1CBA">
        <w:t>Riziko spojené s nulov</w:t>
      </w:r>
      <w:r>
        <w:t>ými</w:t>
      </w:r>
      <w:r w:rsidRPr="000F1CBA">
        <w:t xml:space="preserve"> variant</w:t>
      </w:r>
      <w:r>
        <w:t>ami</w:t>
      </w:r>
      <w:r w:rsidRPr="000F1CBA">
        <w:t>, tedy se zachováním stávající právní úpravy, spočívá v tom, že budou pře</w:t>
      </w:r>
      <w:r w:rsidR="00AD0D07">
        <w:t>t</w:t>
      </w:r>
      <w:r w:rsidRPr="000F1CBA">
        <w:t>rvávat nedostatky zjištěné v rámci hodnocení dopadů regulace</w:t>
      </w:r>
      <w:r w:rsidR="00D81DBD">
        <w:t xml:space="preserve"> a</w:t>
      </w:r>
      <w:r w:rsidR="00950950">
        <w:t> </w:t>
      </w:r>
      <w:r w:rsidR="00D81DBD">
        <w:t xml:space="preserve">nebude </w:t>
      </w:r>
      <w:r w:rsidR="004C439F">
        <w:t xml:space="preserve">zároveň </w:t>
      </w:r>
      <w:r w:rsidR="00D81DBD">
        <w:t>provedena náležitá transpozice nové unijního předpisu</w:t>
      </w:r>
      <w:r w:rsidRPr="000F1CBA">
        <w:t xml:space="preserve">. </w:t>
      </w:r>
    </w:p>
    <w:p w:rsidR="00F7096B" w:rsidRDefault="009F46A4" w:rsidP="00746CBD">
      <w:r w:rsidRPr="00482CF8">
        <w:rPr>
          <w:rFonts w:cs="Times New Roman"/>
        </w:rPr>
        <w:t xml:space="preserve">V případě neřešení problému </w:t>
      </w:r>
      <w:r>
        <w:rPr>
          <w:rFonts w:cs="Times New Roman"/>
        </w:rPr>
        <w:t xml:space="preserve">jsou </w:t>
      </w:r>
      <w:r w:rsidRPr="00482CF8">
        <w:rPr>
          <w:rFonts w:cs="Times New Roman"/>
        </w:rPr>
        <w:t>rizik</w:t>
      </w:r>
      <w:r>
        <w:rPr>
          <w:rFonts w:cs="Times New Roman"/>
        </w:rPr>
        <w:t>em</w:t>
      </w:r>
      <w:r w:rsidRPr="00482CF8">
        <w:rPr>
          <w:rFonts w:cs="Times New Roman"/>
        </w:rPr>
        <w:t xml:space="preserve"> </w:t>
      </w:r>
      <w:r w:rsidR="00496F26">
        <w:rPr>
          <w:rFonts w:cs="Times New Roman"/>
        </w:rPr>
        <w:t xml:space="preserve">právním </w:t>
      </w:r>
      <w:r>
        <w:rPr>
          <w:rFonts w:cs="Times New Roman"/>
        </w:rPr>
        <w:t xml:space="preserve">důsledky plynoucí z </w:t>
      </w:r>
      <w:r w:rsidRPr="00482CF8">
        <w:rPr>
          <w:rFonts w:cs="Times New Roman"/>
        </w:rPr>
        <w:t>neprovedení implementace předpisu Evropské unie</w:t>
      </w:r>
      <w:r>
        <w:rPr>
          <w:rFonts w:cs="Times New Roman"/>
        </w:rPr>
        <w:t xml:space="preserve">, tj. </w:t>
      </w:r>
      <w:r w:rsidR="00496F26">
        <w:rPr>
          <w:rFonts w:cs="Times New Roman"/>
        </w:rPr>
        <w:t xml:space="preserve">riziko </w:t>
      </w:r>
      <w:r w:rsidRPr="00DD5F19">
        <w:t>zahájení řízení</w:t>
      </w:r>
      <w:r>
        <w:t xml:space="preserve"> </w:t>
      </w:r>
      <w:r w:rsidRPr="00DD5F19">
        <w:t xml:space="preserve">o porušení </w:t>
      </w:r>
      <w:r w:rsidR="00496F26">
        <w:t xml:space="preserve">práva EU </w:t>
      </w:r>
      <w:r w:rsidRPr="00DD5F19">
        <w:t>(tzv.</w:t>
      </w:r>
      <w:r w:rsidR="00990BED">
        <w:t> </w:t>
      </w:r>
      <w:r w:rsidRPr="004C439F">
        <w:rPr>
          <w:i/>
        </w:rPr>
        <w:t>infringementové řízení</w:t>
      </w:r>
      <w:r w:rsidRPr="00DD5F19">
        <w:t>) vůči Česk</w:t>
      </w:r>
      <w:r w:rsidR="004C439F">
        <w:t>é republice ze strany Evropské K</w:t>
      </w:r>
      <w:r w:rsidRPr="00DD5F19">
        <w:t>omise</w:t>
      </w:r>
      <w:r w:rsidR="004C439F">
        <w:t xml:space="preserve">. To </w:t>
      </w:r>
      <w:r w:rsidRPr="00DD5F19">
        <w:t xml:space="preserve">by mohlo vést </w:t>
      </w:r>
      <w:r w:rsidR="004C439F">
        <w:t xml:space="preserve">v konečném důsledku </w:t>
      </w:r>
      <w:r w:rsidRPr="00DD5F19">
        <w:t>až k uložení finančních sankcí.</w:t>
      </w:r>
      <w:r w:rsidR="00F7096B">
        <w:t xml:space="preserve"> </w:t>
      </w:r>
    </w:p>
    <w:p w:rsidR="004C439F" w:rsidRDefault="00F7096B" w:rsidP="00746CBD">
      <w:r>
        <w:t>Ve věcných oblastech to pak můžou být konkrétně rizika např. v otázce programů shovívavosti, nezávislosti</w:t>
      </w:r>
      <w:r w:rsidR="00547A49">
        <w:t>, pořádkových pokut</w:t>
      </w:r>
      <w:r>
        <w:t xml:space="preserve"> či vzájemné pomoci.</w:t>
      </w:r>
    </w:p>
    <w:p w:rsidR="002B4217" w:rsidRPr="00783504" w:rsidRDefault="005C5CBE" w:rsidP="00B844FF">
      <w:pPr>
        <w:pStyle w:val="Prvnnadpis"/>
      </w:pPr>
      <w:r w:rsidRPr="005C5CBE">
        <w:t>Návrh variant řešení</w:t>
      </w:r>
      <w:r w:rsidR="002B4217">
        <w:t xml:space="preserve"> </w:t>
      </w:r>
    </w:p>
    <w:p w:rsidR="00EC571B" w:rsidRPr="00EC571B" w:rsidRDefault="00F9496C" w:rsidP="00B844FF">
      <w:r>
        <w:t>Varianty</w:t>
      </w:r>
      <w:r w:rsidR="00475A38">
        <w:t xml:space="preserve"> </w:t>
      </w:r>
      <w:r>
        <w:t>u k</w:t>
      </w:r>
      <w:r w:rsidR="002B4217">
        <w:t>onkrétn</w:t>
      </w:r>
      <w:r w:rsidR="00EC571B">
        <w:t>í</w:t>
      </w:r>
      <w:r>
        <w:t>ch</w:t>
      </w:r>
      <w:r w:rsidR="00EC571B">
        <w:t xml:space="preserve"> tematick</w:t>
      </w:r>
      <w:r>
        <w:t>ých</w:t>
      </w:r>
      <w:r w:rsidR="00EC571B">
        <w:t xml:space="preserve"> okruh</w:t>
      </w:r>
      <w:r>
        <w:t>ů</w:t>
      </w:r>
      <w:r w:rsidR="002B4217">
        <w:t>:</w:t>
      </w:r>
    </w:p>
    <w:p w:rsidR="00B664B1" w:rsidRPr="00DF7E6A" w:rsidRDefault="00B664B1" w:rsidP="00B844FF">
      <w:pPr>
        <w:pStyle w:val="Druhnadpis"/>
        <w:rPr>
          <w:i/>
          <w:sz w:val="24"/>
          <w:u w:val="single"/>
        </w:rPr>
      </w:pPr>
      <w:r w:rsidRPr="00DF7E6A">
        <w:rPr>
          <w:i/>
          <w:sz w:val="24"/>
        </w:rPr>
        <w:t xml:space="preserve">Pořádková </w:t>
      </w:r>
      <w:r w:rsidR="00F276C7">
        <w:rPr>
          <w:i/>
          <w:sz w:val="24"/>
        </w:rPr>
        <w:t xml:space="preserve">a donucovací </w:t>
      </w:r>
      <w:r w:rsidRPr="00DF7E6A">
        <w:rPr>
          <w:i/>
          <w:sz w:val="24"/>
        </w:rPr>
        <w:t>pokuta</w:t>
      </w:r>
    </w:p>
    <w:p w:rsidR="00B844FF" w:rsidRPr="00B844FF" w:rsidRDefault="00B844FF" w:rsidP="0021075C">
      <w:pPr>
        <w:pStyle w:val="Variantnnadpis"/>
      </w:pPr>
      <w:r w:rsidRPr="00B844FF">
        <w:t>Varianta 0</w:t>
      </w:r>
    </w:p>
    <w:p w:rsidR="00B664B1" w:rsidRPr="008F635E" w:rsidRDefault="00B664B1" w:rsidP="00B844FF">
      <w:r>
        <w:t xml:space="preserve">Zachování současného stavu, použití současného ustanovení § 22c </w:t>
      </w:r>
      <w:r w:rsidRPr="001B3CC7">
        <w:t>zákona</w:t>
      </w:r>
      <w:r w:rsidR="00B844FF">
        <w:t xml:space="preserve"> </w:t>
      </w:r>
      <w:r>
        <w:t>o</w:t>
      </w:r>
      <w:r w:rsidR="00B844FF">
        <w:t> </w:t>
      </w:r>
      <w:r>
        <w:t xml:space="preserve">ochraně hospodářské soutěže, a § 62 a </w:t>
      </w:r>
      <w:r w:rsidRPr="002F5E56">
        <w:t>§ 129</w:t>
      </w:r>
      <w:r>
        <w:t xml:space="preserve"> zákona č. 500/2004 Sb., správní řád (dále jen „správní řád“)</w:t>
      </w:r>
      <w:r w:rsidR="00994EB4">
        <w:t xml:space="preserve"> upravující </w:t>
      </w:r>
      <w:r w:rsidR="00F276C7">
        <w:t xml:space="preserve">pořádkovou pokutu a exekuci na </w:t>
      </w:r>
      <w:r w:rsidR="00E55E0C">
        <w:t>nepeněžitá</w:t>
      </w:r>
      <w:r w:rsidR="00F276C7">
        <w:t xml:space="preserve"> plnění ukládáním donucovacích pokut</w:t>
      </w:r>
      <w:r>
        <w:t>. Okruh skutkových podstat a výše pokuty však nejsou dostatečné vzhledem k transpozici Směrnice.</w:t>
      </w:r>
      <w:r w:rsidR="00F276C7">
        <w:t xml:space="preserve"> Směrnice upravuje možnost </w:t>
      </w:r>
      <w:r w:rsidR="00E55E0C">
        <w:t xml:space="preserve">(čl. 16 Směrnice) </w:t>
      </w:r>
      <w:r w:rsidR="00F276C7">
        <w:t xml:space="preserve">uložení pořádkové </w:t>
      </w:r>
      <w:r w:rsidR="00F276C7">
        <w:lastRenderedPageBreak/>
        <w:t>pokuty za</w:t>
      </w:r>
      <w:r w:rsidR="00AF626E">
        <w:t> </w:t>
      </w:r>
      <w:r w:rsidR="00F276C7">
        <w:t xml:space="preserve">neposkytnutí vyžádaných </w:t>
      </w:r>
      <w:r w:rsidR="00AF626E">
        <w:t>obchodních z</w:t>
      </w:r>
      <w:r w:rsidR="00411A65">
        <w:t>á</w:t>
      </w:r>
      <w:r w:rsidR="00AF626E">
        <w:t>znamů</w:t>
      </w:r>
      <w:r w:rsidR="00F276C7">
        <w:t xml:space="preserve">, </w:t>
      </w:r>
      <w:r w:rsidR="00E55E0C">
        <w:t xml:space="preserve">nedostavení se na </w:t>
      </w:r>
      <w:r w:rsidR="00F276C7">
        <w:t>předvolání</w:t>
      </w:r>
      <w:r w:rsidR="00E55E0C">
        <w:t xml:space="preserve"> Úřadu či nepodrobení se šetření na místě. Dále Směrnice upravuje možnost uložení donucovací pokuty v případech, kdy soutěžitel nedodržuje rozhodnutí či přijaté závazky.</w:t>
      </w:r>
      <w:r w:rsidR="00F276C7">
        <w:t xml:space="preserve"> </w:t>
      </w:r>
      <w:r w:rsidR="009933C2">
        <w:t>Za </w:t>
      </w:r>
      <w:r w:rsidR="00E55E0C">
        <w:t>všechny tyto pochybení Směrnice umožňuje uložit pokuty k průměrnému dennímu celkovému celosvětovému obratu soutěžitele.</w:t>
      </w:r>
      <w:r>
        <w:t xml:space="preserve"> </w:t>
      </w:r>
      <w:r w:rsidR="00E55E0C">
        <w:t>Současný právní řád vša</w:t>
      </w:r>
      <w:r w:rsidR="009933C2">
        <w:t>k umožňuje za </w:t>
      </w:r>
      <w:r w:rsidR="00AF626E">
        <w:t>nedostavení se na </w:t>
      </w:r>
      <w:r w:rsidR="00E55E0C">
        <w:t xml:space="preserve">předvolání </w:t>
      </w:r>
      <w:r w:rsidR="00AF626E">
        <w:t xml:space="preserve">uložit </w:t>
      </w:r>
      <w:r w:rsidR="00E55E0C">
        <w:t>pokutu pouze do výše 50 000 Kč</w:t>
      </w:r>
      <w:r w:rsidR="00E23F0A">
        <w:t xml:space="preserve">, donucovací pokutu </w:t>
      </w:r>
      <w:r w:rsidR="00AF626E">
        <w:t xml:space="preserve">lze uložit </w:t>
      </w:r>
      <w:r w:rsidR="00E23F0A">
        <w:t>pouze do</w:t>
      </w:r>
      <w:r w:rsidR="00AF626E">
        <w:t> </w:t>
      </w:r>
      <w:r w:rsidR="00E23F0A">
        <w:t>výše 100 000 Kč. Za nepodrobení s</w:t>
      </w:r>
      <w:r w:rsidR="009933C2">
        <w:t>e na místě lze uložit pokutu za </w:t>
      </w:r>
      <w:r w:rsidR="00E23F0A">
        <w:t>přestupek, nikoliv pořádkovou pokutu</w:t>
      </w:r>
      <w:r w:rsidR="00AF626E">
        <w:t>, jak je požadováno Směrnicí</w:t>
      </w:r>
      <w:r w:rsidR="00E23F0A">
        <w:t>.</w:t>
      </w:r>
    </w:p>
    <w:p w:rsidR="00B844FF" w:rsidRDefault="00B844FF" w:rsidP="0021075C">
      <w:pPr>
        <w:pStyle w:val="Variantnnadpis"/>
      </w:pPr>
      <w:r w:rsidRPr="00B844FF">
        <w:t>Varianta</w:t>
      </w:r>
      <w:r>
        <w:t xml:space="preserve"> 1</w:t>
      </w:r>
    </w:p>
    <w:p w:rsidR="00B664B1" w:rsidRPr="008F635E" w:rsidRDefault="00B664B1" w:rsidP="00B844FF">
      <w:r>
        <w:t xml:space="preserve">Zakotvení ustanovení </w:t>
      </w:r>
      <w:r w:rsidR="00E80101">
        <w:t>o</w:t>
      </w:r>
      <w:r w:rsidR="00B844FF">
        <w:t xml:space="preserve"> výši pokut</w:t>
      </w:r>
      <w:r w:rsidR="00E80101">
        <w:t>y</w:t>
      </w:r>
      <w:r w:rsidR="00B844FF">
        <w:t xml:space="preserve"> za </w:t>
      </w:r>
      <w:r>
        <w:t>pořádkové delikty</w:t>
      </w:r>
      <w:r w:rsidR="00E80101">
        <w:t>, které bude speciálním ustanovením ve vztahu k pořádkové pokutě upravené § 62 správního řádu, a ustanovení o výši donucovací pokuty, které bude speciálním ustanovením k § 129 správního řádu o exekuci ukládáním donucovacích pokut</w:t>
      </w:r>
      <w:r>
        <w:t>.</w:t>
      </w:r>
    </w:p>
    <w:p w:rsidR="00B844FF" w:rsidRDefault="00B844FF" w:rsidP="0021075C">
      <w:pPr>
        <w:pStyle w:val="Variantnnadpis"/>
      </w:pPr>
      <w:r w:rsidRPr="00B844FF">
        <w:t>Varianta</w:t>
      </w:r>
      <w:r>
        <w:t xml:space="preserve"> 2</w:t>
      </w:r>
    </w:p>
    <w:p w:rsidR="00B664B1" w:rsidRDefault="00B664B1" w:rsidP="00B844FF">
      <w:r>
        <w:t>Zakotvení ustanovení rozšiřující katalog skutkových po</w:t>
      </w:r>
      <w:r w:rsidR="009933C2">
        <w:t>dstat, které jsou považovány za </w:t>
      </w:r>
      <w:r>
        <w:t>pořádkové delikty</w:t>
      </w:r>
      <w:r w:rsidR="00E80101">
        <w:t>, především pořádkový delikt nepodrobení se šetření na místě</w:t>
      </w:r>
      <w:r>
        <w:t xml:space="preserve">. </w:t>
      </w:r>
    </w:p>
    <w:p w:rsidR="00B664B1" w:rsidRPr="00DF7E6A" w:rsidRDefault="00B664B1" w:rsidP="00B844FF">
      <w:pPr>
        <w:pStyle w:val="Druhnadpis"/>
        <w:rPr>
          <w:i/>
          <w:sz w:val="24"/>
        </w:rPr>
      </w:pPr>
      <w:r w:rsidRPr="00DF7E6A">
        <w:rPr>
          <w:i/>
          <w:sz w:val="24"/>
        </w:rPr>
        <w:t>Součinnost policie</w:t>
      </w:r>
    </w:p>
    <w:p w:rsidR="00B844FF" w:rsidRDefault="00B844FF" w:rsidP="0021075C">
      <w:pPr>
        <w:pStyle w:val="Variantnnadpis"/>
      </w:pPr>
      <w:r w:rsidRPr="00B844FF">
        <w:t>Varianta 0</w:t>
      </w:r>
    </w:p>
    <w:p w:rsidR="00B664B1" w:rsidRPr="008F635E" w:rsidRDefault="00B844FF" w:rsidP="00B844FF">
      <w:r>
        <w:t>Z</w:t>
      </w:r>
      <w:r w:rsidR="00B664B1">
        <w:t>achování</w:t>
      </w:r>
      <w:r w:rsidR="00B664B1" w:rsidRPr="008F635E">
        <w:t xml:space="preserve"> stávající</w:t>
      </w:r>
      <w:r w:rsidR="00B664B1">
        <w:t>ho</w:t>
      </w:r>
      <w:r w:rsidR="00B664B1" w:rsidRPr="008F635E">
        <w:t xml:space="preserve"> stav</w:t>
      </w:r>
      <w:r w:rsidR="00B664B1">
        <w:t>u</w:t>
      </w:r>
      <w:r w:rsidR="00B664B1" w:rsidRPr="008F635E">
        <w:t xml:space="preserve">, kdy </w:t>
      </w:r>
      <w:r w:rsidR="00B664B1">
        <w:t xml:space="preserve">možnost </w:t>
      </w:r>
      <w:r w:rsidR="00B664B1" w:rsidRPr="008F635E">
        <w:t>souči</w:t>
      </w:r>
      <w:r w:rsidR="00B664B1">
        <w:t xml:space="preserve">nnosti </w:t>
      </w:r>
      <w:r w:rsidR="00822F6A">
        <w:t xml:space="preserve">Policie </w:t>
      </w:r>
      <w:r w:rsidR="003D60A5">
        <w:t xml:space="preserve">České republiky </w:t>
      </w:r>
      <w:r w:rsidR="0046408F">
        <w:t>při </w:t>
      </w:r>
      <w:r w:rsidR="00B664B1" w:rsidRPr="00D87213">
        <w:t>provádění úkonu</w:t>
      </w:r>
      <w:r w:rsidR="00B664B1">
        <w:t xml:space="preserve"> Úřadu </w:t>
      </w:r>
      <w:r w:rsidR="00E11C8E">
        <w:t xml:space="preserve">je </w:t>
      </w:r>
      <w:r w:rsidR="00B664B1">
        <w:t xml:space="preserve">upravena </w:t>
      </w:r>
      <w:r w:rsidR="00B664B1" w:rsidRPr="008F635E">
        <w:t xml:space="preserve">v § 135 </w:t>
      </w:r>
      <w:r w:rsidR="00B664B1">
        <w:t>správního řádu, kde se uvádí: „</w:t>
      </w:r>
      <w:r w:rsidR="00DF4744">
        <w:t>(</w:t>
      </w:r>
      <w:r w:rsidR="00B664B1" w:rsidRPr="00A90877">
        <w:rPr>
          <w:i/>
        </w:rPr>
        <w:t>h</w:t>
      </w:r>
      <w:r w:rsidR="00DF4744">
        <w:rPr>
          <w:i/>
        </w:rPr>
        <w:t>)</w:t>
      </w:r>
      <w:r w:rsidR="00B664B1" w:rsidRPr="00A90877">
        <w:rPr>
          <w:i/>
        </w:rPr>
        <w:t>rozí-li, že se někdo pokusí ztížit nebo zmařit provedení úkonu správního orgánu, nebo hrozí-li nebezpečí osobám nebo majetku, může správní orgán požádat Policii České republiky o součinnost jejích příslušníků při provádění svého úkonu.</w:t>
      </w:r>
      <w:r w:rsidR="00B664B1">
        <w:t xml:space="preserve">“  </w:t>
      </w:r>
    </w:p>
    <w:p w:rsidR="00B844FF" w:rsidRDefault="00B844FF" w:rsidP="0021075C">
      <w:pPr>
        <w:pStyle w:val="Variantnnadpis"/>
      </w:pPr>
      <w:r w:rsidRPr="00B844FF">
        <w:t xml:space="preserve">Varianta </w:t>
      </w:r>
      <w:r>
        <w:t>1</w:t>
      </w:r>
    </w:p>
    <w:p w:rsidR="00B664B1" w:rsidRDefault="00B844FF" w:rsidP="00B844FF">
      <w:r>
        <w:t>V</w:t>
      </w:r>
      <w:r w:rsidR="00B664B1">
        <w:t xml:space="preserve">ýslovné zakotvení </w:t>
      </w:r>
      <w:r w:rsidR="00B664B1" w:rsidRPr="008F635E">
        <w:t>požadav</w:t>
      </w:r>
      <w:r w:rsidR="00B664B1">
        <w:t>ku</w:t>
      </w:r>
      <w:r w:rsidR="00B664B1" w:rsidRPr="008F635E">
        <w:t xml:space="preserve"> Směrnice</w:t>
      </w:r>
      <w:r w:rsidR="00B664B1">
        <w:t xml:space="preserve"> (</w:t>
      </w:r>
      <w:r w:rsidR="009E1F89">
        <w:t>č</w:t>
      </w:r>
      <w:r w:rsidR="00B664B1">
        <w:t xml:space="preserve">l. 6 odst. 2) </w:t>
      </w:r>
      <w:r w:rsidR="00B664B1" w:rsidRPr="00421CE1">
        <w:t>včlenění</w:t>
      </w:r>
      <w:r w:rsidR="00B664B1">
        <w:t>m</w:t>
      </w:r>
      <w:r w:rsidR="0046408F">
        <w:t xml:space="preserve"> nového ustanovení do </w:t>
      </w:r>
      <w:r w:rsidR="00B664B1" w:rsidRPr="00673DF2">
        <w:t>zákon</w:t>
      </w:r>
      <w:r w:rsidR="00B664B1">
        <w:t>a</w:t>
      </w:r>
      <w:r w:rsidR="00B664B1" w:rsidRPr="00673DF2">
        <w:t xml:space="preserve"> o ochraně hospodářské soutěže</w:t>
      </w:r>
      <w:r w:rsidR="00B664B1" w:rsidRPr="00421CE1">
        <w:t xml:space="preserve"> v</w:t>
      </w:r>
      <w:r w:rsidR="001939E8">
        <w:t>e</w:t>
      </w:r>
      <w:r w:rsidR="00B664B1" w:rsidRPr="00421CE1">
        <w:t>  znění</w:t>
      </w:r>
      <w:r w:rsidR="001939E8">
        <w:t>:</w:t>
      </w:r>
      <w:r w:rsidR="00B664B1" w:rsidRPr="00421CE1">
        <w:t xml:space="preserve"> „</w:t>
      </w:r>
      <w:r w:rsidR="00D85DD4">
        <w:rPr>
          <w:i/>
        </w:rPr>
        <w:t>(z)</w:t>
      </w:r>
      <w:r w:rsidR="00B664B1" w:rsidRPr="00D85DD4">
        <w:rPr>
          <w:i/>
        </w:rPr>
        <w:t>aměstnanci Úřadu jsou oprávněni požadovat pomoc nebo součinnost orgánů policie, pokud nemohou splnění svých povinností zajistit vlastními silami a prostředky</w:t>
      </w:r>
      <w:r w:rsidR="00B664B1" w:rsidRPr="00421CE1">
        <w:t>.</w:t>
      </w:r>
      <w:r w:rsidR="00B664B1">
        <w:t>“</w:t>
      </w:r>
      <w:r w:rsidR="001939E8">
        <w:rPr>
          <w:rStyle w:val="Znakapoznpodarou"/>
        </w:rPr>
        <w:footnoteReference w:id="11"/>
      </w:r>
    </w:p>
    <w:p w:rsidR="00B664B1" w:rsidRPr="00DF7E6A" w:rsidRDefault="00B664B1" w:rsidP="00B844FF">
      <w:pPr>
        <w:pStyle w:val="Druhnadpis"/>
        <w:rPr>
          <w:i/>
          <w:sz w:val="24"/>
        </w:rPr>
      </w:pPr>
      <w:r w:rsidRPr="00DF7E6A">
        <w:rPr>
          <w:i/>
          <w:sz w:val="24"/>
        </w:rPr>
        <w:t>Nezávislost Úřadu</w:t>
      </w:r>
    </w:p>
    <w:p w:rsidR="00B844FF" w:rsidRPr="00B844FF" w:rsidRDefault="00B844FF" w:rsidP="0021075C">
      <w:pPr>
        <w:pStyle w:val="Variantnnadpis"/>
      </w:pPr>
      <w:r w:rsidRPr="00B844FF">
        <w:t>Varianta 0</w:t>
      </w:r>
    </w:p>
    <w:p w:rsidR="00B664B1" w:rsidRPr="00B844FF" w:rsidRDefault="00666FC2" w:rsidP="00B844FF">
      <w:r w:rsidRPr="00A404EF">
        <w:t xml:space="preserve">Úřad je nezávislý ze své podstaty, není třeba </w:t>
      </w:r>
      <w:r w:rsidR="001D223C">
        <w:t>právně zakotvit</w:t>
      </w:r>
      <w:r w:rsidRPr="00A404EF">
        <w:t xml:space="preserve">. </w:t>
      </w:r>
      <w:r w:rsidRPr="00BD2F44">
        <w:rPr>
          <w:rFonts w:cs="Times New Roman"/>
          <w:szCs w:val="24"/>
        </w:rPr>
        <w:t>Personální nezávislost</w:t>
      </w:r>
      <w:r w:rsidR="001D223C">
        <w:rPr>
          <w:rFonts w:cs="Times New Roman"/>
          <w:szCs w:val="24"/>
        </w:rPr>
        <w:t xml:space="preserve"> předsedy Úřadu</w:t>
      </w:r>
      <w:r w:rsidRPr="00BD2F44">
        <w:rPr>
          <w:rFonts w:cs="Times New Roman"/>
          <w:szCs w:val="24"/>
        </w:rPr>
        <w:t xml:space="preserve"> se projevuje ve způsobu jmenování a odvolávání předsedy Úřadu a délkou jeho funkčního období. </w:t>
      </w:r>
      <w:r>
        <w:rPr>
          <w:rFonts w:cs="Times New Roman"/>
          <w:szCs w:val="24"/>
        </w:rPr>
        <w:t>F</w:t>
      </w:r>
      <w:r w:rsidRPr="00BD2F44">
        <w:rPr>
          <w:rFonts w:cs="Times New Roman"/>
          <w:szCs w:val="24"/>
        </w:rPr>
        <w:t>unkční období je šestileté a odvolat předsedu úřadu před skončením jeho funkčního období je možné jen z taxativně stanovených důvodů.</w:t>
      </w:r>
      <w:r>
        <w:rPr>
          <w:rFonts w:cs="Times New Roman"/>
          <w:szCs w:val="24"/>
        </w:rPr>
        <w:t xml:space="preserve"> </w:t>
      </w:r>
      <w:r w:rsidRPr="00BD2F44">
        <w:rPr>
          <w:rFonts w:cs="Times New Roman"/>
          <w:szCs w:val="24"/>
        </w:rPr>
        <w:t xml:space="preserve">Úřad není součástí </w:t>
      </w:r>
      <w:r w:rsidRPr="00BD2F44">
        <w:rPr>
          <w:rFonts w:cs="Times New Roman"/>
          <w:szCs w:val="24"/>
        </w:rPr>
        <w:lastRenderedPageBreak/>
        <w:t>hierarchické soustavy státní správy řízené vládou a není vládě (a ani ministerstvu či jinému správnímu úřadu) ze své činnosti odpovědný. Vláda ani jiný úřad nemůže Úřadu dávat instrukce či příkazy pro jeho činnost a rozhodování.</w:t>
      </w:r>
      <w:r>
        <w:rPr>
          <w:rFonts w:cs="Times New Roman"/>
          <w:szCs w:val="24"/>
        </w:rPr>
        <w:t xml:space="preserve"> </w:t>
      </w:r>
      <w:r w:rsidRPr="00BD2F44">
        <w:rPr>
          <w:rFonts w:cs="Times New Roman"/>
          <w:szCs w:val="24"/>
        </w:rPr>
        <w:t>Ekonomická nezávislost</w:t>
      </w:r>
      <w:r w:rsidRPr="00C9438E">
        <w:rPr>
          <w:rFonts w:cs="Times New Roman"/>
          <w:szCs w:val="24"/>
        </w:rPr>
        <w:t xml:space="preserve"> Úřadu je zabezpečena tím, že prostředky pro jeho činnost nejsou určovány jiným správním úřadem, ale má vlastní rozpočtovou kapitolu.</w:t>
      </w:r>
    </w:p>
    <w:p w:rsidR="0021075C" w:rsidRPr="00B844FF" w:rsidRDefault="0021075C" w:rsidP="0021075C">
      <w:pPr>
        <w:pStyle w:val="Variantnnadpis"/>
      </w:pPr>
      <w:r w:rsidRPr="00B844FF">
        <w:t xml:space="preserve">Varianta </w:t>
      </w:r>
      <w:r>
        <w:t>1</w:t>
      </w:r>
    </w:p>
    <w:p w:rsidR="00B664B1" w:rsidRDefault="0021075C" w:rsidP="00B844FF">
      <w:r>
        <w:t>V</w:t>
      </w:r>
      <w:r w:rsidR="00B664B1" w:rsidRPr="008F635E">
        <w:t xml:space="preserve">ýslovná kodifikace nezávislosti Úřadu včetně úpravy </w:t>
      </w:r>
      <w:r w:rsidR="00B664B1">
        <w:t>vy</w:t>
      </w:r>
      <w:r w:rsidR="00B664B1" w:rsidRPr="008F635E">
        <w:t>dávání výroční zprávy</w:t>
      </w:r>
      <w:r w:rsidR="00B664B1">
        <w:t xml:space="preserve">. Tato varianta je v souladu s </w:t>
      </w:r>
      <w:r w:rsidR="00B664B1" w:rsidRPr="00B844FF">
        <w:t>požadavkem Směrnice.</w:t>
      </w:r>
    </w:p>
    <w:p w:rsidR="00740D7A" w:rsidRPr="00DF7E6A" w:rsidRDefault="00740D7A" w:rsidP="00B844FF">
      <w:pPr>
        <w:pStyle w:val="Druhnadpis"/>
        <w:rPr>
          <w:i/>
          <w:sz w:val="24"/>
        </w:rPr>
      </w:pPr>
      <w:r w:rsidRPr="00DF7E6A">
        <w:rPr>
          <w:i/>
          <w:sz w:val="24"/>
        </w:rPr>
        <w:t>Závazky orgánů veřejné správy</w:t>
      </w:r>
    </w:p>
    <w:p w:rsidR="0021075C" w:rsidRDefault="0021075C" w:rsidP="0021075C">
      <w:pPr>
        <w:pStyle w:val="Variantnnadpis"/>
      </w:pPr>
      <w:r w:rsidRPr="00B844FF">
        <w:t xml:space="preserve">Varianta </w:t>
      </w:r>
      <w:r>
        <w:t>0</w:t>
      </w:r>
    </w:p>
    <w:p w:rsidR="00740D7A" w:rsidRPr="008F635E" w:rsidRDefault="00740D7A" w:rsidP="0021075C">
      <w:r>
        <w:t>Zachování současného stavu, kdy orgány veřejné správy</w:t>
      </w:r>
      <w:r w:rsidR="00DE3D00">
        <w:t xml:space="preserve"> při porušení hospodářské soutěže</w:t>
      </w:r>
      <w:r>
        <w:t xml:space="preserve"> nemohou navrhnout závazky ve prospěch obnovení hospodářské soutěže namísto rozhodnutí Úřadu pro ochranu hospodářské soutěže (§ 19a zákona</w:t>
      </w:r>
      <w:r w:rsidR="00B844FF">
        <w:t xml:space="preserve"> </w:t>
      </w:r>
      <w:r>
        <w:rPr>
          <w:rFonts w:cs="Times New Roman"/>
          <w:szCs w:val="24"/>
        </w:rPr>
        <w:t>o</w:t>
      </w:r>
      <w:r w:rsidR="00B844FF">
        <w:rPr>
          <w:rFonts w:cs="Times New Roman"/>
          <w:szCs w:val="24"/>
        </w:rPr>
        <w:t> </w:t>
      </w:r>
      <w:r>
        <w:rPr>
          <w:rFonts w:cs="Times New Roman"/>
          <w:szCs w:val="24"/>
        </w:rPr>
        <w:t>ochraně hospodářské soutěže</w:t>
      </w:r>
      <w:r w:rsidR="00DE3D00">
        <w:rPr>
          <w:rFonts w:cs="Times New Roman"/>
          <w:szCs w:val="24"/>
        </w:rPr>
        <w:t>)</w:t>
      </w:r>
      <w:r>
        <w:rPr>
          <w:rFonts w:cs="Times New Roman"/>
          <w:szCs w:val="24"/>
        </w:rPr>
        <w:t>.</w:t>
      </w:r>
    </w:p>
    <w:p w:rsidR="0021075C" w:rsidRDefault="0021075C" w:rsidP="0021075C">
      <w:pPr>
        <w:pStyle w:val="Variantnnadpis"/>
      </w:pPr>
      <w:r w:rsidRPr="00B844FF">
        <w:t xml:space="preserve">Varianta </w:t>
      </w:r>
      <w:r>
        <w:t>1</w:t>
      </w:r>
    </w:p>
    <w:p w:rsidR="00740D7A" w:rsidRPr="008F635E" w:rsidRDefault="00740D7A" w:rsidP="0021075C">
      <w:r>
        <w:t>Zakotvení nového ustanovení o možnosti orgánů veřejné správy navrhnout závazky ve</w:t>
      </w:r>
      <w:r w:rsidR="00F519AC">
        <w:t> </w:t>
      </w:r>
      <w:r>
        <w:t>prospěch obnovení hospodářské soutěže</w:t>
      </w:r>
      <w:r>
        <w:rPr>
          <w:rFonts w:cs="Times New Roman"/>
          <w:szCs w:val="24"/>
        </w:rPr>
        <w:t xml:space="preserve">, obdobně jako je tomu </w:t>
      </w:r>
      <w:r w:rsidR="00DE3D00">
        <w:rPr>
          <w:rFonts w:cs="Times New Roman"/>
          <w:szCs w:val="24"/>
        </w:rPr>
        <w:t xml:space="preserve">u dohod narušujících soutěž nebo v případě zneužívání dominantního </w:t>
      </w:r>
      <w:r w:rsidR="00F519AC">
        <w:rPr>
          <w:rFonts w:cs="Times New Roman"/>
          <w:szCs w:val="24"/>
        </w:rPr>
        <w:t>postavení.</w:t>
      </w:r>
    </w:p>
    <w:p w:rsidR="0021075C" w:rsidRDefault="0021075C" w:rsidP="0021075C">
      <w:pPr>
        <w:pStyle w:val="Variantnnadpis"/>
      </w:pPr>
      <w:r w:rsidRPr="00B844FF">
        <w:t>Varianta</w:t>
      </w:r>
      <w:r>
        <w:t xml:space="preserve"> 2</w:t>
      </w:r>
    </w:p>
    <w:p w:rsidR="00740D7A" w:rsidRDefault="00F519AC" w:rsidP="0021075C">
      <w:r>
        <w:t>Zakotvení možnosti orgánů veřejné správy navrhovat závazky ve prospěch obnovení hospodářské soutěže a kumulaci</w:t>
      </w:r>
      <w:r w:rsidR="00740D7A">
        <w:t xml:space="preserve"> </w:t>
      </w:r>
      <w:r>
        <w:t xml:space="preserve">všech </w:t>
      </w:r>
      <w:r w:rsidR="00740D7A">
        <w:t xml:space="preserve">ustanovení o možnosti soutěžitelů </w:t>
      </w:r>
      <w:r>
        <w:t>i </w:t>
      </w:r>
      <w:r w:rsidR="00740D7A">
        <w:t xml:space="preserve">orgánů veřejné správy navrhovat závazky . </w:t>
      </w:r>
    </w:p>
    <w:p w:rsidR="00A10BD9" w:rsidRPr="00DF7E6A" w:rsidRDefault="00A10BD9" w:rsidP="00B844FF">
      <w:pPr>
        <w:pStyle w:val="Druhnadpis"/>
        <w:rPr>
          <w:i/>
          <w:sz w:val="24"/>
          <w:u w:val="single"/>
        </w:rPr>
      </w:pPr>
      <w:r w:rsidRPr="00DF7E6A">
        <w:rPr>
          <w:i/>
          <w:sz w:val="24"/>
        </w:rPr>
        <w:t>Shovívavost</w:t>
      </w:r>
    </w:p>
    <w:p w:rsidR="0021075C" w:rsidRPr="005E729B" w:rsidRDefault="0021075C" w:rsidP="0021075C">
      <w:pPr>
        <w:pStyle w:val="Variantnnadpis"/>
        <w:rPr>
          <w:szCs w:val="24"/>
        </w:rPr>
      </w:pPr>
      <w:r w:rsidRPr="005E729B">
        <w:rPr>
          <w:szCs w:val="24"/>
        </w:rPr>
        <w:t>Varianta 0</w:t>
      </w:r>
      <w:r w:rsidR="005E729B" w:rsidRPr="005E729B">
        <w:rPr>
          <w:szCs w:val="24"/>
        </w:rPr>
        <w:t xml:space="preserve"> – Zachování současného stavu</w:t>
      </w:r>
    </w:p>
    <w:p w:rsidR="00A10BD9" w:rsidRPr="005E729B" w:rsidRDefault="002B07F1" w:rsidP="0021075C">
      <w:pPr>
        <w:rPr>
          <w:szCs w:val="24"/>
        </w:rPr>
      </w:pPr>
      <w:r w:rsidRPr="005E729B">
        <w:rPr>
          <w:szCs w:val="24"/>
        </w:rPr>
        <w:t xml:space="preserve">Zachování současného stavu, kdy nejsou na zákonné úrovni legálně upraveny instituty rezervace pořadí a souhrnné žádosti, které jsou upraveny pouze na úrovni </w:t>
      </w:r>
      <w:r w:rsidRPr="00146FE3">
        <w:rPr>
          <w:i/>
          <w:szCs w:val="24"/>
        </w:rPr>
        <w:t>soft law</w:t>
      </w:r>
      <w:r w:rsidRPr="005E729B">
        <w:rPr>
          <w:szCs w:val="24"/>
        </w:rPr>
        <w:t xml:space="preserve"> v oznámení Úřadu. Konkrétní specifické požadavky na obsah žádostí o shovívavost jsou pak v dnešní úpravě</w:t>
      </w:r>
      <w:r w:rsidR="00490CB1" w:rsidRPr="005E729B">
        <w:rPr>
          <w:szCs w:val="24"/>
        </w:rPr>
        <w:t xml:space="preserve"> také zapracovány pouze v rámci oznámení Úřadu. </w:t>
      </w:r>
      <w:r w:rsidR="00A2354E" w:rsidRPr="005E729B">
        <w:rPr>
          <w:szCs w:val="24"/>
        </w:rPr>
        <w:t xml:space="preserve">Takový stav by odporoval výslovným požadavkům </w:t>
      </w:r>
      <w:r w:rsidR="000D48C6" w:rsidRPr="005E729B">
        <w:rPr>
          <w:szCs w:val="24"/>
        </w:rPr>
        <w:t>Směrnice</w:t>
      </w:r>
      <w:r w:rsidR="00A2354E" w:rsidRPr="005E729B">
        <w:rPr>
          <w:szCs w:val="24"/>
        </w:rPr>
        <w:t>.</w:t>
      </w:r>
    </w:p>
    <w:p w:rsidR="005E729B" w:rsidRPr="005E729B" w:rsidRDefault="0021075C" w:rsidP="005E729B">
      <w:pPr>
        <w:pStyle w:val="Variantnnadpis"/>
        <w:spacing w:line="240" w:lineRule="auto"/>
        <w:rPr>
          <w:rFonts w:cs="Times New Roman"/>
          <w:szCs w:val="24"/>
        </w:rPr>
      </w:pPr>
      <w:r w:rsidRPr="005E729B">
        <w:rPr>
          <w:szCs w:val="24"/>
        </w:rPr>
        <w:t>Varianta 1</w:t>
      </w:r>
      <w:r w:rsidR="005E729B" w:rsidRPr="005E729B">
        <w:rPr>
          <w:szCs w:val="24"/>
        </w:rPr>
        <w:t xml:space="preserve"> </w:t>
      </w:r>
      <w:r w:rsidR="005E729B" w:rsidRPr="005E729B">
        <w:rPr>
          <w:rFonts w:cs="Times New Roman"/>
          <w:szCs w:val="24"/>
        </w:rPr>
        <w:t>– Nový dvojí režim shovívavosti</w:t>
      </w:r>
    </w:p>
    <w:p w:rsidR="00A10BD9" w:rsidRPr="005E729B" w:rsidRDefault="0021075C" w:rsidP="0021075C">
      <w:pPr>
        <w:rPr>
          <w:szCs w:val="24"/>
        </w:rPr>
      </w:pPr>
      <w:r w:rsidRPr="005E729B">
        <w:rPr>
          <w:szCs w:val="24"/>
        </w:rPr>
        <w:t>S</w:t>
      </w:r>
      <w:r w:rsidR="00A10BD9" w:rsidRPr="005E729B">
        <w:rPr>
          <w:szCs w:val="24"/>
        </w:rPr>
        <w:t>jednocení režimu programu shovívavosti při porušování čl. 101 a 102 SFEU všech členských států</w:t>
      </w:r>
      <w:r w:rsidR="00986E46" w:rsidRPr="005E729B">
        <w:rPr>
          <w:szCs w:val="24"/>
        </w:rPr>
        <w:t xml:space="preserve"> na základě řádné transpozice příslušné evropské </w:t>
      </w:r>
      <w:r w:rsidR="000D48C6" w:rsidRPr="005E729B">
        <w:rPr>
          <w:szCs w:val="24"/>
        </w:rPr>
        <w:t>Směrnice</w:t>
      </w:r>
      <w:r w:rsidRPr="005E729B">
        <w:rPr>
          <w:szCs w:val="24"/>
        </w:rPr>
        <w:t>.</w:t>
      </w:r>
    </w:p>
    <w:p w:rsidR="005E729B" w:rsidRPr="005E729B" w:rsidRDefault="0021075C" w:rsidP="005E729B">
      <w:pPr>
        <w:pStyle w:val="Variantnnadpis"/>
        <w:spacing w:line="240" w:lineRule="auto"/>
        <w:rPr>
          <w:rFonts w:cs="Times New Roman"/>
          <w:szCs w:val="24"/>
        </w:rPr>
      </w:pPr>
      <w:r w:rsidRPr="005E729B">
        <w:rPr>
          <w:szCs w:val="24"/>
        </w:rPr>
        <w:t>Varianta 2</w:t>
      </w:r>
      <w:r w:rsidR="005E729B" w:rsidRPr="005E729B">
        <w:rPr>
          <w:szCs w:val="24"/>
        </w:rPr>
        <w:t xml:space="preserve"> </w:t>
      </w:r>
      <w:r w:rsidR="005E729B" w:rsidRPr="005E729B">
        <w:rPr>
          <w:rFonts w:cs="Times New Roman"/>
          <w:szCs w:val="24"/>
        </w:rPr>
        <w:t xml:space="preserve">– Nový </w:t>
      </w:r>
      <w:r w:rsidR="005E729B">
        <w:rPr>
          <w:rFonts w:cs="Times New Roman"/>
          <w:szCs w:val="24"/>
        </w:rPr>
        <w:t>jednotný</w:t>
      </w:r>
      <w:r w:rsidR="005E729B" w:rsidRPr="005E729B">
        <w:rPr>
          <w:rFonts w:cs="Times New Roman"/>
          <w:szCs w:val="24"/>
        </w:rPr>
        <w:t xml:space="preserve"> režim shovívavosti</w:t>
      </w:r>
    </w:p>
    <w:p w:rsidR="00A10BD9" w:rsidRPr="005E729B" w:rsidRDefault="0021075C" w:rsidP="0021075C">
      <w:pPr>
        <w:rPr>
          <w:szCs w:val="24"/>
        </w:rPr>
      </w:pPr>
      <w:r w:rsidRPr="005E729B">
        <w:rPr>
          <w:szCs w:val="24"/>
        </w:rPr>
        <w:t>S</w:t>
      </w:r>
      <w:r w:rsidR="00A10BD9" w:rsidRPr="005E729B">
        <w:rPr>
          <w:szCs w:val="24"/>
        </w:rPr>
        <w:t xml:space="preserve">jednocení režimu programu shovívavosti při </w:t>
      </w:r>
      <w:r w:rsidR="00B844FF" w:rsidRPr="005E729B">
        <w:rPr>
          <w:szCs w:val="24"/>
        </w:rPr>
        <w:t xml:space="preserve">porušování čl. 101 a 102 SFEU </w:t>
      </w:r>
      <w:r w:rsidR="00986E46" w:rsidRPr="005E729B">
        <w:rPr>
          <w:szCs w:val="24"/>
        </w:rPr>
        <w:t xml:space="preserve">všech členských států na základě řádné transpozice příslušné evropské </w:t>
      </w:r>
      <w:r w:rsidR="000D48C6" w:rsidRPr="005E729B">
        <w:rPr>
          <w:szCs w:val="24"/>
        </w:rPr>
        <w:t xml:space="preserve">Směrnice </w:t>
      </w:r>
      <w:r w:rsidR="00B844FF" w:rsidRPr="005E729B">
        <w:rPr>
          <w:szCs w:val="24"/>
        </w:rPr>
        <w:t>a </w:t>
      </w:r>
      <w:r w:rsidR="00986E46" w:rsidRPr="005E729B">
        <w:rPr>
          <w:szCs w:val="24"/>
        </w:rPr>
        <w:t xml:space="preserve">zároveň nově upravený režim </w:t>
      </w:r>
      <w:r w:rsidR="00A10BD9" w:rsidRPr="005E729B">
        <w:rPr>
          <w:szCs w:val="24"/>
        </w:rPr>
        <w:t>p</w:t>
      </w:r>
      <w:r w:rsidR="00986E46" w:rsidRPr="005E729B">
        <w:rPr>
          <w:szCs w:val="24"/>
        </w:rPr>
        <w:t>ro</w:t>
      </w:r>
      <w:r w:rsidR="00A10BD9" w:rsidRPr="005E729B">
        <w:rPr>
          <w:szCs w:val="24"/>
        </w:rPr>
        <w:t xml:space="preserve"> porušování národního práva</w:t>
      </w:r>
      <w:r w:rsidR="00986E46" w:rsidRPr="005E729B">
        <w:rPr>
          <w:szCs w:val="24"/>
        </w:rPr>
        <w:t xml:space="preserve"> v obdobných případech, tak aby byl</w:t>
      </w:r>
      <w:r w:rsidR="00E5070E" w:rsidRPr="005E729B">
        <w:rPr>
          <w:szCs w:val="24"/>
        </w:rPr>
        <w:t>y</w:t>
      </w:r>
      <w:r w:rsidR="00986E46" w:rsidRPr="005E729B">
        <w:rPr>
          <w:szCs w:val="24"/>
        </w:rPr>
        <w:t xml:space="preserve"> sjednoceny oba režimy v české národní úpravě</w:t>
      </w:r>
      <w:r w:rsidRPr="005E729B">
        <w:rPr>
          <w:szCs w:val="24"/>
        </w:rPr>
        <w:t>.</w:t>
      </w:r>
    </w:p>
    <w:p w:rsidR="00A10BD9" w:rsidRPr="005E729B" w:rsidRDefault="00A10BD9" w:rsidP="00B844FF">
      <w:pPr>
        <w:pStyle w:val="Druhnadpis"/>
        <w:rPr>
          <w:i/>
          <w:sz w:val="24"/>
          <w:u w:val="single"/>
        </w:rPr>
      </w:pPr>
      <w:r w:rsidRPr="005E729B">
        <w:rPr>
          <w:i/>
          <w:sz w:val="24"/>
        </w:rPr>
        <w:lastRenderedPageBreak/>
        <w:t xml:space="preserve">Narovnání </w:t>
      </w:r>
    </w:p>
    <w:p w:rsidR="0021075C" w:rsidRDefault="0021075C" w:rsidP="0021075C">
      <w:pPr>
        <w:pStyle w:val="Variantnnadpis"/>
      </w:pPr>
      <w:r w:rsidRPr="00B844FF">
        <w:t>Varianta</w:t>
      </w:r>
      <w:r>
        <w:t xml:space="preserve"> 0</w:t>
      </w:r>
      <w:r w:rsidR="00FB2F18">
        <w:t xml:space="preserve"> </w:t>
      </w:r>
      <w:r w:rsidR="00FB2F18" w:rsidRPr="005E729B">
        <w:rPr>
          <w:szCs w:val="24"/>
        </w:rPr>
        <w:t>– Zachování současného stavu</w:t>
      </w:r>
    </w:p>
    <w:p w:rsidR="00A10BD9" w:rsidRPr="008F635E" w:rsidRDefault="00362929" w:rsidP="0021075C">
      <w:r>
        <w:t>Zachov</w:t>
      </w:r>
      <w:r w:rsidR="00B8335B">
        <w:t>á</w:t>
      </w:r>
      <w:r>
        <w:t>ní současného platného právního stavu, kdy je omezena diskrece Úřadu a</w:t>
      </w:r>
      <w:r w:rsidR="009933C2">
        <w:t> </w:t>
      </w:r>
      <w:r>
        <w:t>při</w:t>
      </w:r>
      <w:r w:rsidR="009933C2">
        <w:t> </w:t>
      </w:r>
      <w:r w:rsidR="00A10BD9" w:rsidRPr="008F635E">
        <w:t>splnění podmínek je narovnání nárokové</w:t>
      </w:r>
      <w:r>
        <w:t xml:space="preserve"> s jednotnou </w:t>
      </w:r>
      <w:r w:rsidR="00A10BD9" w:rsidRPr="008F635E">
        <w:t>paušální sazb</w:t>
      </w:r>
      <w:r>
        <w:t>ou slevy z pokuty</w:t>
      </w:r>
      <w:r w:rsidR="0021075C">
        <w:t>.</w:t>
      </w:r>
    </w:p>
    <w:p w:rsidR="0021075C" w:rsidRPr="00CC6F63" w:rsidRDefault="0021075C" w:rsidP="0021075C">
      <w:pPr>
        <w:pStyle w:val="Variantnnadpis"/>
        <w:rPr>
          <w:szCs w:val="24"/>
        </w:rPr>
      </w:pPr>
      <w:r w:rsidRPr="00CC6F63">
        <w:rPr>
          <w:szCs w:val="24"/>
        </w:rPr>
        <w:t>Varianta 1</w:t>
      </w:r>
      <w:r w:rsidR="00CC6F63" w:rsidRPr="00CC6F63">
        <w:rPr>
          <w:szCs w:val="24"/>
        </w:rPr>
        <w:t xml:space="preserve"> </w:t>
      </w:r>
      <w:r w:rsidR="00CC6F63" w:rsidRPr="00CC6F63">
        <w:rPr>
          <w:rFonts w:cs="Times New Roman"/>
          <w:szCs w:val="24"/>
        </w:rPr>
        <w:t xml:space="preserve">– Pružnější vedení jednání o narovnání </w:t>
      </w:r>
    </w:p>
    <w:p w:rsidR="00A10BD9" w:rsidRPr="008F635E" w:rsidRDefault="00B8335B" w:rsidP="0021075C">
      <w:r>
        <w:t xml:space="preserve">Zavedení možnosti </w:t>
      </w:r>
      <w:r w:rsidR="00790A65">
        <w:t>správního uvážení</w:t>
      </w:r>
      <w:r>
        <w:t xml:space="preserve"> Úřadu při jednání o narovnání</w:t>
      </w:r>
      <w:r w:rsidR="001517BA">
        <w:t>. Zahrnovalo by především</w:t>
      </w:r>
      <w:r>
        <w:t xml:space="preserve"> </w:t>
      </w:r>
      <w:r w:rsidR="001517BA">
        <w:t>možnost</w:t>
      </w:r>
      <w:r>
        <w:t xml:space="preserve"> zohlednit</w:t>
      </w:r>
      <w:r w:rsidR="001517BA">
        <w:t xml:space="preserve"> (</w:t>
      </w:r>
      <w:r>
        <w:t>z hlediska hospodárnosti správního řízení</w:t>
      </w:r>
      <w:r w:rsidR="001517BA">
        <w:t>)</w:t>
      </w:r>
      <w:r>
        <w:t xml:space="preserve"> procesní úspory vedení jednání o</w:t>
      </w:r>
      <w:r w:rsidR="00DD7AF3">
        <w:t> </w:t>
      </w:r>
      <w:r>
        <w:t>narovnání</w:t>
      </w:r>
      <w:r w:rsidR="001517BA">
        <w:t xml:space="preserve">. Dále také i </w:t>
      </w:r>
      <w:r>
        <w:t>možnost ukončení jednání o narovnání a diskrec</w:t>
      </w:r>
      <w:r w:rsidR="00DC74ED">
        <w:t>i</w:t>
      </w:r>
      <w:r>
        <w:t xml:space="preserve"> stanovit sazb</w:t>
      </w:r>
      <w:r w:rsidR="002E41F6">
        <w:t>u</w:t>
      </w:r>
      <w:r>
        <w:t xml:space="preserve"> slevy na pokutě v rámci zákonem nastaveného limitu.</w:t>
      </w:r>
    </w:p>
    <w:p w:rsidR="0021075C" w:rsidRDefault="0021075C" w:rsidP="0021075C">
      <w:pPr>
        <w:pStyle w:val="Variantnnadpis"/>
      </w:pPr>
      <w:r w:rsidRPr="00B844FF">
        <w:t>Varianta</w:t>
      </w:r>
      <w:r>
        <w:t xml:space="preserve"> 2</w:t>
      </w:r>
      <w:r w:rsidR="00CC6F63">
        <w:t xml:space="preserve"> </w:t>
      </w:r>
      <w:r w:rsidR="00CC6F63" w:rsidRPr="00CC6F63">
        <w:rPr>
          <w:rFonts w:cs="Times New Roman"/>
          <w:szCs w:val="24"/>
        </w:rPr>
        <w:t>– Pružnější vedení jednání o narovnání a samostatná jednání</w:t>
      </w:r>
    </w:p>
    <w:p w:rsidR="00B76A6D" w:rsidRPr="008F635E" w:rsidRDefault="00B76A6D" w:rsidP="00B76A6D">
      <w:r>
        <w:t>Zavedení možnosti větší diskrece Úřadu při jednání o narovnání, včetně možnosti zohlednit z hlediska hospodárnosti správního řízení procesní úspory vedení jednání o</w:t>
      </w:r>
      <w:r w:rsidR="00DD7AF3">
        <w:t> </w:t>
      </w:r>
      <w:r>
        <w:t>narovnání, případné možnosti ukončení jednání o narovnání a určité diskrece stanovit sazb</w:t>
      </w:r>
      <w:r w:rsidR="00DD7AF3">
        <w:t>u</w:t>
      </w:r>
      <w:r>
        <w:t xml:space="preserve"> slevy na pokutě v rámci zákonem nastaveného limitu.</w:t>
      </w:r>
    </w:p>
    <w:p w:rsidR="00A10BD9" w:rsidRDefault="0021075C" w:rsidP="0021075C">
      <w:r>
        <w:t>S</w:t>
      </w:r>
      <w:r w:rsidR="00A10BD9" w:rsidRPr="008F635E">
        <w:t>peciální úprava povinnost</w:t>
      </w:r>
      <w:r w:rsidR="00656218">
        <w:t>i</w:t>
      </w:r>
      <w:r w:rsidR="00A10BD9" w:rsidRPr="008F635E">
        <w:t xml:space="preserve"> vést ústní jednání o narovnání s každým účastníkem samostatně</w:t>
      </w:r>
      <w:r w:rsidR="00B76A6D">
        <w:t>.</w:t>
      </w:r>
    </w:p>
    <w:p w:rsidR="00EC571B" w:rsidRPr="00775224" w:rsidRDefault="00EC571B" w:rsidP="00B844FF">
      <w:pPr>
        <w:pStyle w:val="Druhnadpis"/>
      </w:pPr>
      <w:r w:rsidRPr="00775224">
        <w:t>Vzájemná pomoc</w:t>
      </w:r>
    </w:p>
    <w:p w:rsidR="0021075C" w:rsidRDefault="0021075C" w:rsidP="0021075C">
      <w:pPr>
        <w:pStyle w:val="Variantnnadpis"/>
      </w:pPr>
      <w:r w:rsidRPr="00B844FF">
        <w:t xml:space="preserve">Varianta </w:t>
      </w:r>
      <w:r>
        <w:t>0</w:t>
      </w:r>
      <w:r w:rsidR="00FB2F18">
        <w:t xml:space="preserve"> </w:t>
      </w:r>
      <w:r w:rsidR="00FB2F18" w:rsidRPr="005E729B">
        <w:rPr>
          <w:szCs w:val="24"/>
        </w:rPr>
        <w:t>– Zachování současného stavu</w:t>
      </w:r>
    </w:p>
    <w:p w:rsidR="00A90877" w:rsidRPr="00A90877" w:rsidRDefault="00A90877" w:rsidP="00453495">
      <w:r w:rsidRPr="00A90877">
        <w:t xml:space="preserve">Nepřijetí právní úpravy vzájemné pomoci soutěžních orgánů členských zemí </w:t>
      </w:r>
      <w:r w:rsidR="00C8403E">
        <w:t>povede</w:t>
      </w:r>
      <w:r w:rsidRPr="00A90877">
        <w:t xml:space="preserve"> k zahájení řízení o porušení Smlouvy vůči České republice ze strany Evropské komise. Vzájemná spolupráce mezi členskými státy by probíhala podle stávajících pravidel. Nebyla by možnost uplatnit např. výkon pravomocného rozhodnutí Úřadu při aplikaci evropských soutěžních pravidel na území jiného členského státu.</w:t>
      </w:r>
      <w:r>
        <w:t xml:space="preserve"> </w:t>
      </w:r>
    </w:p>
    <w:p w:rsidR="0021075C" w:rsidRDefault="0021075C" w:rsidP="0021075C">
      <w:pPr>
        <w:pStyle w:val="Variantnnadpis"/>
      </w:pPr>
      <w:r w:rsidRPr="00B844FF">
        <w:t>Varianta</w:t>
      </w:r>
      <w:r>
        <w:t xml:space="preserve"> 1</w:t>
      </w:r>
      <w:r w:rsidR="00715656">
        <w:t xml:space="preserve"> </w:t>
      </w:r>
      <w:r w:rsidR="00580A52">
        <w:t>–</w:t>
      </w:r>
      <w:r w:rsidR="00715656">
        <w:t xml:space="preserve"> </w:t>
      </w:r>
      <w:r w:rsidR="00580A52">
        <w:t>Režim vzájemné pomoci s celním orgánem</w:t>
      </w:r>
    </w:p>
    <w:p w:rsidR="00B70121" w:rsidRDefault="00A00904" w:rsidP="0021075C">
      <w:r>
        <w:t>V</w:t>
      </w:r>
      <w:r w:rsidR="005E7B06">
        <w:t> této variantě</w:t>
      </w:r>
      <w:r>
        <w:t xml:space="preserve"> je obsažen v</w:t>
      </w:r>
      <w:r w:rsidRPr="008F635E">
        <w:t>ýslovn</w:t>
      </w:r>
      <w:r>
        <w:t>ý</w:t>
      </w:r>
      <w:r w:rsidRPr="008F635E">
        <w:t xml:space="preserve"> požadav</w:t>
      </w:r>
      <w:r>
        <w:t>ek</w:t>
      </w:r>
      <w:r w:rsidRPr="008F635E">
        <w:t xml:space="preserve"> Směrnice</w:t>
      </w:r>
      <w:r>
        <w:t xml:space="preserve"> na zavedení horizontální systém tzv. vzájemné pomoci mezi členskými státy při aplikaci evropského soutěžního práva. </w:t>
      </w:r>
      <w:r w:rsidR="00475A38">
        <w:t>Ž</w:t>
      </w:r>
      <w:r w:rsidR="00FE73B3">
        <w:t>ádosti</w:t>
      </w:r>
      <w:r w:rsidR="00B844FF">
        <w:t xml:space="preserve"> </w:t>
      </w:r>
      <w:r w:rsidR="00EC571B" w:rsidRPr="008F635E">
        <w:t>o</w:t>
      </w:r>
      <w:r w:rsidR="00B844FF">
        <w:t> </w:t>
      </w:r>
      <w:r w:rsidR="00B70121">
        <w:t xml:space="preserve">(vzájemnou) pomoc a </w:t>
      </w:r>
      <w:r w:rsidR="00EC571B" w:rsidRPr="008F635E">
        <w:t>výkon</w:t>
      </w:r>
      <w:r w:rsidR="00B70121">
        <w:t xml:space="preserve"> rozhodnutí</w:t>
      </w:r>
      <w:r w:rsidR="00EC571B" w:rsidRPr="008F635E">
        <w:t xml:space="preserve"> </w:t>
      </w:r>
      <w:r w:rsidR="00B70121">
        <w:t xml:space="preserve">se směřují </w:t>
      </w:r>
      <w:r w:rsidR="00475A38">
        <w:t xml:space="preserve">přímo </w:t>
      </w:r>
      <w:r w:rsidR="00EC571B" w:rsidRPr="008F635E">
        <w:t xml:space="preserve">na </w:t>
      </w:r>
      <w:r w:rsidR="00B70121">
        <w:t>příslušný veřejný subjekt, který je podle vnitrostátních právních a správních předpisů a správní praxe odpovědný</w:t>
      </w:r>
      <w:r w:rsidR="007B1E5E">
        <w:t xml:space="preserve"> </w:t>
      </w:r>
      <w:r w:rsidR="009933C2">
        <w:t>za </w:t>
      </w:r>
      <w:r w:rsidR="00B70121">
        <w:t>výkon takových rozhodnutí (</w:t>
      </w:r>
      <w:r w:rsidR="003A3361">
        <w:t>č</w:t>
      </w:r>
      <w:r w:rsidR="00B70121">
        <w:t>l. 2,</w:t>
      </w:r>
      <w:r w:rsidR="00FE73B3">
        <w:t xml:space="preserve"> odst. 22 Směrnice), v případě Č</w:t>
      </w:r>
      <w:r w:rsidR="00B70121">
        <w:t xml:space="preserve">eské republiky je tímto orgánem </w:t>
      </w:r>
      <w:r w:rsidR="00EC571B" w:rsidRPr="008F635E">
        <w:t>celní úřad</w:t>
      </w:r>
      <w:r w:rsidR="005E4F44">
        <w:t>.</w:t>
      </w:r>
      <w:r w:rsidR="00231C38">
        <w:t xml:space="preserve"> Ustanovení přinášející pravomoc celním úřadům k výkonu rozhodnutí </w:t>
      </w:r>
      <w:r w:rsidR="00231C38" w:rsidRPr="004C6D59">
        <w:t xml:space="preserve">soutěžních </w:t>
      </w:r>
      <w:r w:rsidR="00D66B5A">
        <w:t xml:space="preserve">orgánů </w:t>
      </w:r>
      <w:r w:rsidR="00231C38" w:rsidRPr="004C6D59">
        <w:t>jiného členského státu</w:t>
      </w:r>
      <w:r w:rsidR="00231C38">
        <w:t xml:space="preserve"> </w:t>
      </w:r>
      <w:r w:rsidR="00A74280">
        <w:t>budou</w:t>
      </w:r>
      <w:r w:rsidR="00FE73B3">
        <w:t xml:space="preserve"> zakotvena </w:t>
      </w:r>
      <w:r w:rsidR="00231C38">
        <w:t>v</w:t>
      </w:r>
      <w:r w:rsidR="00304DB1">
        <w:t> </w:t>
      </w:r>
      <w:r w:rsidR="00231C38">
        <w:rPr>
          <w:szCs w:val="24"/>
        </w:rPr>
        <w:t>zákoně</w:t>
      </w:r>
      <w:r w:rsidR="00304DB1">
        <w:rPr>
          <w:szCs w:val="24"/>
        </w:rPr>
        <w:t xml:space="preserve"> o celní správě.</w:t>
      </w:r>
      <w:r w:rsidR="00E04B6E">
        <w:rPr>
          <w:rStyle w:val="Znakapoznpodarou"/>
          <w:szCs w:val="24"/>
        </w:rPr>
        <w:footnoteReference w:id="12"/>
      </w:r>
      <w:r w:rsidR="005E4F44">
        <w:t xml:space="preserve"> Tato varianta podstatnou měrou komplikuje přístup zahraničních </w:t>
      </w:r>
      <w:r w:rsidR="001A7099">
        <w:t>orgánů</w:t>
      </w:r>
      <w:r w:rsidR="005E4F44">
        <w:t xml:space="preserve"> k výkonu rozhodnutí, neboť předpokládá </w:t>
      </w:r>
      <w:r w:rsidR="00784922">
        <w:t xml:space="preserve">jejich </w:t>
      </w:r>
      <w:r w:rsidR="005E4F44">
        <w:t>znalost českého právního řádu.</w:t>
      </w:r>
    </w:p>
    <w:p w:rsidR="0021075C" w:rsidRDefault="0021075C" w:rsidP="0021075C">
      <w:pPr>
        <w:pStyle w:val="Variantnnadpis"/>
      </w:pPr>
      <w:r w:rsidRPr="00B844FF">
        <w:t>Varianta</w:t>
      </w:r>
      <w:r>
        <w:t xml:space="preserve"> 2</w:t>
      </w:r>
      <w:r w:rsidR="00580A52">
        <w:t xml:space="preserve"> – Režim vzájemné pomoci </w:t>
      </w:r>
      <w:r w:rsidR="00A27704">
        <w:t>ve spolupráci Úřadu a celního orgánu</w:t>
      </w:r>
    </w:p>
    <w:p w:rsidR="00A74280" w:rsidRDefault="00743E01" w:rsidP="0021075C">
      <w:r>
        <w:t>Ž</w:t>
      </w:r>
      <w:r w:rsidR="00EC571B" w:rsidRPr="008F635E">
        <w:t xml:space="preserve">ádosti </w:t>
      </w:r>
      <w:r w:rsidR="007B1E5E" w:rsidRPr="008F635E">
        <w:t xml:space="preserve">o </w:t>
      </w:r>
      <w:r>
        <w:t xml:space="preserve">(vzájemnou) pomoc </w:t>
      </w:r>
      <w:r w:rsidR="007B1E5E">
        <w:t xml:space="preserve">a </w:t>
      </w:r>
      <w:r w:rsidR="007B1E5E" w:rsidRPr="008F635E">
        <w:t>výkon</w:t>
      </w:r>
      <w:r w:rsidR="007B1E5E">
        <w:t xml:space="preserve"> rozhodnutí</w:t>
      </w:r>
      <w:r w:rsidR="007B1E5E" w:rsidRPr="008F635E">
        <w:t xml:space="preserve"> </w:t>
      </w:r>
      <w:r w:rsidR="00A74280">
        <w:t xml:space="preserve">od zahraničních soutěžních úřadů </w:t>
      </w:r>
      <w:r w:rsidR="00231C38">
        <w:t xml:space="preserve">budou směřovány </w:t>
      </w:r>
      <w:r w:rsidR="00A74280">
        <w:t xml:space="preserve">primárně </w:t>
      </w:r>
      <w:r w:rsidR="00EC571B" w:rsidRPr="008F635E">
        <w:t>na Úřad</w:t>
      </w:r>
      <w:r w:rsidR="00A74280">
        <w:t xml:space="preserve">. Bude tak zajištěna věcná a právní kontrola žádostí z pohledu </w:t>
      </w:r>
      <w:r w:rsidR="00A74280">
        <w:lastRenderedPageBreak/>
        <w:t>národního a především evropského soutěžního práva, v jehož režimu mají být žádosti distribuovány mezi členskými státy.</w:t>
      </w:r>
    </w:p>
    <w:p w:rsidR="00EC571B" w:rsidRDefault="00A74280" w:rsidP="0021075C">
      <w:r>
        <w:t>Zachová se stávající praxe vzájemné komunikace mezi partnerskými vnitrostátními soutěžními orgány</w:t>
      </w:r>
      <w:r w:rsidR="00231C38" w:rsidRPr="008F635E">
        <w:t xml:space="preserve"> </w:t>
      </w:r>
      <w:r>
        <w:t xml:space="preserve">v rámci </w:t>
      </w:r>
      <w:r w:rsidR="00AE492B">
        <w:t>Evropské soutěžní sítě (</w:t>
      </w:r>
      <w:r>
        <w:t>ECN</w:t>
      </w:r>
      <w:r w:rsidR="00AE492B">
        <w:t>)</w:t>
      </w:r>
      <w:r>
        <w:t xml:space="preserve">. </w:t>
      </w:r>
      <w:r w:rsidR="00470FAE">
        <w:t>Nová u</w:t>
      </w:r>
      <w:r w:rsidR="00231C38">
        <w:t xml:space="preserve">stanovení </w:t>
      </w:r>
      <w:r w:rsidR="007D1692">
        <w:t xml:space="preserve">ustavující proceduru tzv. </w:t>
      </w:r>
      <w:r w:rsidR="007D1692" w:rsidRPr="007D1692">
        <w:rPr>
          <w:i/>
        </w:rPr>
        <w:t xml:space="preserve">vzájemné pomoci </w:t>
      </w:r>
      <w:r w:rsidR="007D1692">
        <w:t>budou</w:t>
      </w:r>
      <w:r w:rsidR="00231C38">
        <w:t xml:space="preserve"> zakotvena v </w:t>
      </w:r>
      <w:r w:rsidR="00673DF2" w:rsidRPr="00673DF2">
        <w:t>zákon</w:t>
      </w:r>
      <w:r w:rsidR="00673DF2">
        <w:t>ě</w:t>
      </w:r>
      <w:r w:rsidR="00673DF2" w:rsidRPr="00673DF2">
        <w:t xml:space="preserve"> o ochraně hospodářské soutěže</w:t>
      </w:r>
      <w:r w:rsidR="00231C38">
        <w:t>.</w:t>
      </w:r>
      <w:r w:rsidR="00B70121">
        <w:t xml:space="preserve"> </w:t>
      </w:r>
      <w:r w:rsidR="001032BB">
        <w:t xml:space="preserve">Nevyplyne nutnost novelizace jiných národních předpisů, jako např. v oblasti exekucí správních rozhodnutí. </w:t>
      </w:r>
    </w:p>
    <w:p w:rsidR="00EC571B" w:rsidRPr="00DF7E6A" w:rsidRDefault="00EC571B" w:rsidP="00B844FF">
      <w:pPr>
        <w:pStyle w:val="Druhnadpis"/>
        <w:rPr>
          <w:i/>
          <w:sz w:val="24"/>
        </w:rPr>
      </w:pPr>
      <w:r w:rsidRPr="00DF7E6A">
        <w:rPr>
          <w:i/>
          <w:sz w:val="24"/>
        </w:rPr>
        <w:t>Zpřístupnění informací obsažených ve spise</w:t>
      </w:r>
    </w:p>
    <w:p w:rsidR="0021075C" w:rsidRDefault="0021075C" w:rsidP="0021075C">
      <w:pPr>
        <w:pStyle w:val="Variantnnadpis"/>
      </w:pPr>
      <w:r w:rsidRPr="0021075C">
        <w:t>Varianta</w:t>
      </w:r>
      <w:r>
        <w:t xml:space="preserve"> </w:t>
      </w:r>
      <w:r w:rsidRPr="0021075C">
        <w:t>0</w:t>
      </w:r>
      <w:r w:rsidR="00FB2F18">
        <w:t xml:space="preserve"> </w:t>
      </w:r>
      <w:r w:rsidR="00FB2F18" w:rsidRPr="005E729B">
        <w:rPr>
          <w:szCs w:val="24"/>
        </w:rPr>
        <w:t>– Zachování současného stavu</w:t>
      </w:r>
    </w:p>
    <w:p w:rsidR="00EC571B" w:rsidRDefault="00B157D9" w:rsidP="0021075C">
      <w:r>
        <w:t>Zachování stávající platné právní úpravy.</w:t>
      </w:r>
      <w:r w:rsidR="00FA4AED">
        <w:t xml:space="preserve"> Nebudou </w:t>
      </w:r>
      <w:r w:rsidR="008841E7">
        <w:t>provedeny úpravy v rámci zákona o</w:t>
      </w:r>
      <w:r w:rsidR="00DA41F2">
        <w:t> </w:t>
      </w:r>
      <w:r w:rsidR="008841E7">
        <w:t xml:space="preserve">ochraně hospodářské soutěže ve zvláštních ustanoveních týkajících se zpřístupňování dokumentů ze spisu. </w:t>
      </w:r>
    </w:p>
    <w:p w:rsidR="00321B23" w:rsidRPr="008F635E" w:rsidRDefault="00321B23" w:rsidP="0021075C">
      <w:r>
        <w:t xml:space="preserve">Orgány činné v trestním řízení </w:t>
      </w:r>
      <w:r w:rsidR="00CD2E7A">
        <w:t>postihuj</w:t>
      </w:r>
      <w:r w:rsidR="0042323D">
        <w:t>ící pravidla soutěžního práva kodifikovaná trestním právem nedostanou možnost dřívějšího přístupu</w:t>
      </w:r>
      <w:r w:rsidR="00CD2E7A">
        <w:t xml:space="preserve"> </w:t>
      </w:r>
      <w:r w:rsidR="0042323D">
        <w:t xml:space="preserve">k zvláště chráněným </w:t>
      </w:r>
      <w:r w:rsidR="004B4D15">
        <w:t>dokumentům</w:t>
      </w:r>
      <w:r w:rsidR="00BE735F">
        <w:t xml:space="preserve">, </w:t>
      </w:r>
      <w:r w:rsidR="00090644">
        <w:t>jako jsou podklady a informace vypracované a předložené pro účely pr</w:t>
      </w:r>
      <w:r w:rsidR="009933C2">
        <w:t>obíhajícího správního řízení ve </w:t>
      </w:r>
      <w:r w:rsidR="00090644">
        <w:t xml:space="preserve">věcech ochrany (či dozoru) hospodářské soutěže </w:t>
      </w:r>
      <w:r w:rsidR="004B4D15">
        <w:t>– tzv. </w:t>
      </w:r>
      <w:r w:rsidR="004B4D15" w:rsidRPr="00D0249F">
        <w:rPr>
          <w:i/>
        </w:rPr>
        <w:t xml:space="preserve">důvěrným informacím </w:t>
      </w:r>
      <w:r w:rsidR="004B4D15">
        <w:t xml:space="preserve">vedených </w:t>
      </w:r>
      <w:r w:rsidR="00B76486">
        <w:t>ve</w:t>
      </w:r>
      <w:r w:rsidR="009933C2">
        <w:t> </w:t>
      </w:r>
      <w:r w:rsidR="00B76486">
        <w:t>správním spise</w:t>
      </w:r>
      <w:r w:rsidR="00BE735F">
        <w:t xml:space="preserve">. </w:t>
      </w:r>
    </w:p>
    <w:p w:rsidR="00006935" w:rsidRPr="00006935" w:rsidRDefault="0021075C" w:rsidP="00006935">
      <w:pPr>
        <w:pStyle w:val="Variantnnadpis"/>
        <w:spacing w:line="240" w:lineRule="auto"/>
        <w:rPr>
          <w:rFonts w:cs="Times New Roman"/>
          <w:szCs w:val="24"/>
        </w:rPr>
      </w:pPr>
      <w:r w:rsidRPr="00006935">
        <w:rPr>
          <w:szCs w:val="24"/>
        </w:rPr>
        <w:t>Varianta 1</w:t>
      </w:r>
      <w:r w:rsidR="00006935" w:rsidRPr="00006935">
        <w:rPr>
          <w:szCs w:val="24"/>
        </w:rPr>
        <w:t xml:space="preserve"> </w:t>
      </w:r>
      <w:r w:rsidR="00006935" w:rsidRPr="00006935">
        <w:rPr>
          <w:rFonts w:cs="Times New Roman"/>
          <w:szCs w:val="24"/>
        </w:rPr>
        <w:t>– Výjimka pro orgány činné v trestním řízení</w:t>
      </w:r>
    </w:p>
    <w:p w:rsidR="00EC571B" w:rsidRDefault="00B157D9" w:rsidP="0021075C">
      <w:r>
        <w:t>Zavedení speciální v</w:t>
      </w:r>
      <w:r w:rsidR="00EC571B" w:rsidRPr="008F635E">
        <w:t>ýslovn</w:t>
      </w:r>
      <w:r>
        <w:t>é</w:t>
      </w:r>
      <w:r w:rsidR="00EC571B" w:rsidRPr="008F635E">
        <w:t xml:space="preserve"> výjimk</w:t>
      </w:r>
      <w:r>
        <w:t>y</w:t>
      </w:r>
      <w:r w:rsidR="00EC571B" w:rsidRPr="008F635E">
        <w:t xml:space="preserve"> pro </w:t>
      </w:r>
      <w:r w:rsidR="004831A6">
        <w:t xml:space="preserve">zpřístupnění důvěrných informací </w:t>
      </w:r>
      <w:r w:rsidR="00DA41F2">
        <w:t xml:space="preserve">ze spisu </w:t>
      </w:r>
      <w:r w:rsidR="004831A6">
        <w:t xml:space="preserve">pouze pro </w:t>
      </w:r>
      <w:r w:rsidR="00EC571B" w:rsidRPr="008F635E">
        <w:t>orgány činné v trestním řízení</w:t>
      </w:r>
      <w:r w:rsidR="004831A6">
        <w:t>, a to</w:t>
      </w:r>
      <w:r w:rsidR="00EC571B" w:rsidRPr="008F635E">
        <w:t xml:space="preserve"> </w:t>
      </w:r>
      <w:r>
        <w:t xml:space="preserve">k okamžiku </w:t>
      </w:r>
      <w:r w:rsidR="00472D08">
        <w:t xml:space="preserve">tzv. </w:t>
      </w:r>
      <w:r w:rsidR="00EC571B" w:rsidRPr="00D0249F">
        <w:rPr>
          <w:i/>
        </w:rPr>
        <w:t>sdělení výhrad</w:t>
      </w:r>
      <w:r w:rsidR="0021075C">
        <w:t>.</w:t>
      </w:r>
    </w:p>
    <w:p w:rsidR="00006935" w:rsidRPr="00006935" w:rsidRDefault="00B157D9" w:rsidP="00006935">
      <w:pPr>
        <w:pStyle w:val="Variantnnadpis"/>
        <w:spacing w:line="240" w:lineRule="auto"/>
        <w:rPr>
          <w:rFonts w:cs="Times New Roman"/>
          <w:szCs w:val="24"/>
        </w:rPr>
      </w:pPr>
      <w:r w:rsidRPr="00B844FF">
        <w:t>Varianta</w:t>
      </w:r>
      <w:r>
        <w:t xml:space="preserve"> 2</w:t>
      </w:r>
      <w:r w:rsidR="00006935">
        <w:t xml:space="preserve"> </w:t>
      </w:r>
      <w:r w:rsidR="00006935" w:rsidRPr="00006935">
        <w:rPr>
          <w:rFonts w:cs="Times New Roman"/>
          <w:szCs w:val="24"/>
        </w:rPr>
        <w:t xml:space="preserve">– Výjimka pro orgány </w:t>
      </w:r>
      <w:r w:rsidR="00006935">
        <w:rPr>
          <w:rFonts w:cs="Times New Roman"/>
          <w:szCs w:val="24"/>
        </w:rPr>
        <w:t>veřejné moci</w:t>
      </w:r>
    </w:p>
    <w:p w:rsidR="00B157D9" w:rsidRDefault="00B157D9" w:rsidP="00B157D9">
      <w:r>
        <w:t>Zavedení speciální v</w:t>
      </w:r>
      <w:r w:rsidRPr="008F635E">
        <w:t>ýslovn</w:t>
      </w:r>
      <w:r>
        <w:t>é</w:t>
      </w:r>
      <w:r w:rsidRPr="008F635E">
        <w:t xml:space="preserve"> výjimk</w:t>
      </w:r>
      <w:r>
        <w:t>y</w:t>
      </w:r>
      <w:r w:rsidRPr="008F635E">
        <w:t xml:space="preserve"> </w:t>
      </w:r>
      <w:r w:rsidR="00DA41F2" w:rsidRPr="008F635E">
        <w:t xml:space="preserve">pro </w:t>
      </w:r>
      <w:r w:rsidR="00DA41F2">
        <w:t xml:space="preserve">zpřístupnění důvěrných informací ze spisu i </w:t>
      </w:r>
      <w:r w:rsidRPr="008F635E">
        <w:t xml:space="preserve">pro </w:t>
      </w:r>
      <w:r w:rsidR="00DA41F2">
        <w:t xml:space="preserve">ostatní </w:t>
      </w:r>
      <w:r w:rsidRPr="008F635E">
        <w:t xml:space="preserve">orgány </w:t>
      </w:r>
      <w:r>
        <w:t xml:space="preserve">veřejné moci k okamžiku </w:t>
      </w:r>
      <w:r w:rsidRPr="008F635E">
        <w:t>sdělení výhrad</w:t>
      </w:r>
      <w:r>
        <w:t>.</w:t>
      </w:r>
    </w:p>
    <w:p w:rsidR="00323E94" w:rsidRDefault="00323E94" w:rsidP="00B844FF">
      <w:pPr>
        <w:pStyle w:val="Prvnnadpis"/>
      </w:pPr>
      <w:r w:rsidRPr="00653B58">
        <w:t>Vyhodnocení nákladů a přínosů</w:t>
      </w:r>
      <w:r>
        <w:t xml:space="preserve"> jednotlivých variant</w:t>
      </w:r>
    </w:p>
    <w:p w:rsidR="00323E94" w:rsidRDefault="00323E94" w:rsidP="00B844FF">
      <w:r>
        <w:t xml:space="preserve">Obecně není možná </w:t>
      </w:r>
      <w:r w:rsidRPr="001458DA">
        <w:t>taková ekonomická analýza, kde by zpracovatel porovnal náklady</w:t>
      </w:r>
      <w:r>
        <w:t xml:space="preserve"> </w:t>
      </w:r>
      <w:r w:rsidRPr="001458DA">
        <w:t xml:space="preserve">vynaložené na jedné straně a výnosy na druhé straně. Je nutno konstatovat, že </w:t>
      </w:r>
      <w:r>
        <w:t>by se jednalo</w:t>
      </w:r>
      <w:r w:rsidR="00B844FF">
        <w:t xml:space="preserve"> </w:t>
      </w:r>
      <w:r>
        <w:t>o</w:t>
      </w:r>
      <w:r w:rsidR="00B844FF">
        <w:t> </w:t>
      </w:r>
      <w:r>
        <w:t xml:space="preserve">pouhé </w:t>
      </w:r>
      <w:r w:rsidRPr="001458DA">
        <w:t>odhad</w:t>
      </w:r>
      <w:r>
        <w:t>y</w:t>
      </w:r>
      <w:r w:rsidRPr="001458DA">
        <w:t xml:space="preserve">. Nelze předpokládat, že po zavedení </w:t>
      </w:r>
      <w:r>
        <w:t>nových procesních institutů bude zřejmé, zda dojde k dopadům na státní rozpočet v kladném či záporném smyslu.</w:t>
      </w:r>
      <w:r w:rsidRPr="001458DA">
        <w:t xml:space="preserve"> </w:t>
      </w:r>
      <w:r>
        <w:t>Lze však predikovat</w:t>
      </w:r>
      <w:r w:rsidRPr="001458DA">
        <w:t>, která z variant je z hlediska nákladů</w:t>
      </w:r>
      <w:r>
        <w:t xml:space="preserve"> </w:t>
      </w:r>
      <w:r w:rsidRPr="001458DA">
        <w:t>ná</w:t>
      </w:r>
      <w:r>
        <w:t>ročnější, popř. zda vůbec dojde</w:t>
      </w:r>
      <w:r w:rsidR="00B844FF">
        <w:t xml:space="preserve"> </w:t>
      </w:r>
      <w:r w:rsidRPr="001458DA">
        <w:t>k zvýšení nákladů</w:t>
      </w:r>
      <w:r>
        <w:t>.</w:t>
      </w:r>
    </w:p>
    <w:p w:rsidR="0094600E" w:rsidRDefault="00EE1AEA" w:rsidP="00B844FF">
      <w:pPr>
        <w:pStyle w:val="Druhnadpis"/>
      </w:pPr>
      <w:r w:rsidRPr="00EE1AEA">
        <w:lastRenderedPageBreak/>
        <w:t>Náklady</w:t>
      </w:r>
    </w:p>
    <w:p w:rsidR="00605FCD" w:rsidRDefault="00605FCD" w:rsidP="0021075C">
      <w:pPr>
        <w:pStyle w:val="Tetnadpis"/>
        <w:rPr>
          <w:u w:val="single"/>
        </w:rPr>
      </w:pPr>
      <w:r w:rsidRPr="00775224">
        <w:t xml:space="preserve">Pořádková </w:t>
      </w:r>
      <w:r w:rsidR="00D44315">
        <w:t xml:space="preserve">a donucovací </w:t>
      </w:r>
      <w:r w:rsidRPr="00775224">
        <w:t>pokuta</w:t>
      </w:r>
    </w:p>
    <w:p w:rsidR="00605FCD" w:rsidRPr="002F5E56" w:rsidRDefault="00605FCD" w:rsidP="0021075C">
      <w:pPr>
        <w:pStyle w:val="Variantnnadpis"/>
      </w:pPr>
      <w:r w:rsidRPr="002F5E56">
        <w:t>Varianta 0 - Zachování současného stavu</w:t>
      </w:r>
    </w:p>
    <w:p w:rsidR="00C64011" w:rsidRPr="00042F9C" w:rsidRDefault="00042F9C" w:rsidP="0021075C">
      <w:r>
        <w:t xml:space="preserve"> Náklady</w:t>
      </w:r>
      <w:r w:rsidR="00656218">
        <w:t xml:space="preserve"> na straně Úřadu</w:t>
      </w:r>
      <w:r>
        <w:t xml:space="preserve"> související s ukládáním pořádkových a donucovacích pokut jsou v současné době zanedbatelné, neboť uložení pokuty je pouze dílčím úkonem při vedení řízení. Vznik nákladů se nepředpokládá ani do budoucna.</w:t>
      </w:r>
    </w:p>
    <w:p w:rsidR="00605FCD" w:rsidRPr="00C8639A" w:rsidRDefault="00605FCD" w:rsidP="0021075C">
      <w:pPr>
        <w:pStyle w:val="Variantnnadpis"/>
      </w:pPr>
      <w:r w:rsidRPr="00C8639A">
        <w:t>Varianta 1 - Zakotvení ustanovení o výši pokut za pořádkové delikty</w:t>
      </w:r>
      <w:r w:rsidR="00764891">
        <w:t xml:space="preserve"> a o výši donucovacích pokut</w:t>
      </w:r>
    </w:p>
    <w:p w:rsidR="00656218" w:rsidRPr="00656218" w:rsidRDefault="002F5E56" w:rsidP="00656218">
      <w:r>
        <w:t>Náklady při první variantě nevznikají</w:t>
      </w:r>
      <w:r w:rsidR="00D44315">
        <w:t xml:space="preserve">, neboť </w:t>
      </w:r>
      <w:r w:rsidR="00463CB7">
        <w:t xml:space="preserve">kroky Úřadu vedoucí k zvýšení plynulosti řízení a větší efektivitě ochrany hospodářské soutěže, tedy ukládání pořádkových či donucovacích pokut, mohou být činěny i zastávající právní úpravy. </w:t>
      </w:r>
      <w:r w:rsidR="008772C1">
        <w:t>Nová úprava</w:t>
      </w:r>
      <w:r w:rsidR="00463CB7">
        <w:t xml:space="preserve"> se </w:t>
      </w:r>
      <w:r w:rsidR="008772C1">
        <w:t>do</w:t>
      </w:r>
      <w:r w:rsidR="00463CB7">
        <w:t xml:space="preserve">týká pouze výše uložení </w:t>
      </w:r>
      <w:r w:rsidR="008772C1">
        <w:t xml:space="preserve">takové </w:t>
      </w:r>
      <w:r w:rsidR="00463CB7">
        <w:t>pokuty.</w:t>
      </w:r>
      <w:r w:rsidR="00656218" w:rsidRPr="00656218">
        <w:t xml:space="preserve"> Na druhé straně zvýšená sazba pokut bude znamenat vyšší náklady pro subjekty porušující hospodářskou soutěž.</w:t>
      </w:r>
    </w:p>
    <w:p w:rsidR="002F5E56" w:rsidRDefault="002F5E56" w:rsidP="0021075C"/>
    <w:p w:rsidR="00605FCD" w:rsidRPr="00C8639A" w:rsidRDefault="00605FCD" w:rsidP="0021075C">
      <w:pPr>
        <w:pStyle w:val="Variantnnadpis"/>
      </w:pPr>
      <w:r>
        <w:t>Varianta 2</w:t>
      </w:r>
      <w:r w:rsidRPr="00C8639A">
        <w:t xml:space="preserve"> - Zakotvení ustanovení rozšiřující katalog skutkových podstat</w:t>
      </w:r>
      <w:r w:rsidR="00764891">
        <w:t xml:space="preserve"> pořádkových deliktů</w:t>
      </w:r>
    </w:p>
    <w:p w:rsidR="002F5E56" w:rsidRDefault="002F5E56" w:rsidP="0021075C">
      <w:r>
        <w:t>Náklady při druhé variantě nevznikají</w:t>
      </w:r>
      <w:r w:rsidR="00463CB7">
        <w:t>, neboť kroky Úřadu vedoucí k zvýšení plynulosti řízení, tedy ukládání pořádkových pokut, mohou být činěny i zastávající právní úpravy.</w:t>
      </w:r>
      <w:r w:rsidR="008772C1">
        <w:t xml:space="preserve"> Varianta 2 navíc zakotvuje pouze jednu skutkovou podstatu správního deliktu, čímž naopak umožňuje usnadnit vedení řízení</w:t>
      </w:r>
      <w:r w:rsidR="00D36298">
        <w:t xml:space="preserve"> a tedy náklady na vedení řízení zmenšit.</w:t>
      </w:r>
      <w:r w:rsidR="00656218">
        <w:t xml:space="preserve"> I v tomto případě bude </w:t>
      </w:r>
      <w:r w:rsidR="001167AE">
        <w:t>zakotvení nové skutkové podstaty</w:t>
      </w:r>
      <w:r w:rsidR="00656218">
        <w:t xml:space="preserve"> znamenat vyšší náklady pro</w:t>
      </w:r>
      <w:r w:rsidR="001167AE">
        <w:t> </w:t>
      </w:r>
      <w:r w:rsidR="00656218">
        <w:t>subjekty porušující hospodářskou soutěž.</w:t>
      </w:r>
    </w:p>
    <w:p w:rsidR="00EE1AEA" w:rsidRDefault="00EE1AEA" w:rsidP="0021075C">
      <w:pPr>
        <w:pStyle w:val="Tetnadpis"/>
      </w:pPr>
      <w:r w:rsidRPr="00EE1AEA">
        <w:t>Součinnost policie</w:t>
      </w:r>
    </w:p>
    <w:p w:rsidR="00F731CE" w:rsidRPr="00D87213" w:rsidRDefault="00F731CE" w:rsidP="0021075C">
      <w:pPr>
        <w:pStyle w:val="Variantnnadpis"/>
      </w:pPr>
      <w:r w:rsidRPr="00D87213">
        <w:t>Varianta 0 - zachování stávajícího stavu</w:t>
      </w:r>
    </w:p>
    <w:p w:rsidR="00F731CE" w:rsidRPr="00D87213" w:rsidRDefault="00F731CE" w:rsidP="0021075C">
      <w:r>
        <w:t xml:space="preserve">Žádné přímé či nepřímé finanční náklady v důsledku přijetí této </w:t>
      </w:r>
      <w:r w:rsidRPr="00D87213">
        <w:t>variant</w:t>
      </w:r>
      <w:r>
        <w:t>y</w:t>
      </w:r>
      <w:r w:rsidRPr="00D87213">
        <w:t xml:space="preserve"> </w:t>
      </w:r>
      <w:r>
        <w:t>nevznikají</w:t>
      </w:r>
      <w:r w:rsidRPr="00D87213">
        <w:t xml:space="preserve">, neboť podle § 135 správního řádu by mělo být postupováno již v současné době. </w:t>
      </w:r>
      <w:r>
        <w:t xml:space="preserve">Náklady v souvislosti </w:t>
      </w:r>
      <w:r w:rsidR="00304DB1">
        <w:t>s činností</w:t>
      </w:r>
      <w:r>
        <w:t xml:space="preserve"> </w:t>
      </w:r>
      <w:r w:rsidR="003D60A5">
        <w:t xml:space="preserve">Policie České republiky </w:t>
      </w:r>
      <w:r w:rsidR="00304DB1">
        <w:t xml:space="preserve">v současné době </w:t>
      </w:r>
      <w:r>
        <w:t xml:space="preserve">nevznikají </w:t>
      </w:r>
      <w:r w:rsidR="00304DB1">
        <w:t xml:space="preserve">a nepředpokládají se ani do budoucna. </w:t>
      </w:r>
      <w:r>
        <w:t>V současné době není důvod predikovat změnu to</w:t>
      </w:r>
      <w:r w:rsidR="003D60A5">
        <w:t>hoto stavu</w:t>
      </w:r>
      <w:r w:rsidR="006D15CD">
        <w:t>,</w:t>
      </w:r>
      <w:r>
        <w:t xml:space="preserve"> tudíž nelze předvídat ani náklady na součinnost </w:t>
      </w:r>
      <w:r w:rsidR="003D60A5">
        <w:t xml:space="preserve">Policie České republiky </w:t>
      </w:r>
      <w:r>
        <w:t xml:space="preserve">při </w:t>
      </w:r>
      <w:r w:rsidRPr="00D87213">
        <w:t>provádění svého úkonu</w:t>
      </w:r>
      <w:r>
        <w:t xml:space="preserve"> Úřadu. </w:t>
      </w:r>
    </w:p>
    <w:p w:rsidR="00F731CE" w:rsidRDefault="00F731CE" w:rsidP="0021075C">
      <w:pPr>
        <w:pStyle w:val="Variantnnadpis"/>
      </w:pPr>
      <w:r w:rsidRPr="00BB600C">
        <w:t>Varianta 1 - včlenění nového výslovné ustanovení do</w:t>
      </w:r>
      <w:r>
        <w:t xml:space="preserve"> </w:t>
      </w:r>
      <w:r w:rsidRPr="00673DF2">
        <w:t>zákon</w:t>
      </w:r>
      <w:r>
        <w:t>a</w:t>
      </w:r>
      <w:r w:rsidRPr="00673DF2">
        <w:t xml:space="preserve"> o ochraně hospodářské soutěže</w:t>
      </w:r>
    </w:p>
    <w:p w:rsidR="00F731CE" w:rsidRDefault="00F731CE" w:rsidP="0021075C">
      <w:r>
        <w:t>Ani t</w:t>
      </w:r>
      <w:r w:rsidRPr="00D87213">
        <w:t>ato varianta nezahrnuje žádné nové náklady</w:t>
      </w:r>
      <w:r>
        <w:t xml:space="preserve">, neboť v souvislosti s problematikou součinnosti </w:t>
      </w:r>
      <w:r w:rsidR="003D60A5">
        <w:t xml:space="preserve">Policie České republiky </w:t>
      </w:r>
      <w:r>
        <w:t xml:space="preserve">nevznikají žádné náklady v současné době a bude-li </w:t>
      </w:r>
      <w:r w:rsidR="00304DB1">
        <w:t xml:space="preserve">stav </w:t>
      </w:r>
      <w:r>
        <w:t>pokračovat, nepřed</w:t>
      </w:r>
      <w:r w:rsidR="001E0A93">
        <w:t>pokládají se ani v budoucnosti.</w:t>
      </w:r>
    </w:p>
    <w:p w:rsidR="00EE1AEA" w:rsidRPr="00775224" w:rsidRDefault="00EE1AEA" w:rsidP="0021075C">
      <w:pPr>
        <w:pStyle w:val="Tetnadpis"/>
      </w:pPr>
      <w:r w:rsidRPr="00775224">
        <w:t>Nezávislost Úřadu</w:t>
      </w:r>
    </w:p>
    <w:p w:rsidR="00837BF1" w:rsidRDefault="00D22548" w:rsidP="0021075C">
      <w:r>
        <w:t>Žádné přímé či nepřímé finanční náklady v důsledku přijetí ani jedné z variant řešení nevznikají</w:t>
      </w:r>
      <w:r w:rsidR="00304DB1">
        <w:t>, jelikož</w:t>
      </w:r>
      <w:r w:rsidR="003D60A5">
        <w:t xml:space="preserve"> samotná výslovná právní úprava nezávislosti</w:t>
      </w:r>
      <w:r w:rsidR="00827923">
        <w:t xml:space="preserve"> Úřadu</w:t>
      </w:r>
      <w:r w:rsidR="003D60A5">
        <w:t xml:space="preserve"> nepřináší žádné </w:t>
      </w:r>
      <w:r w:rsidR="003D60A5">
        <w:lastRenderedPageBreak/>
        <w:t>faktické změny</w:t>
      </w:r>
      <w:r w:rsidR="00827923">
        <w:t xml:space="preserve">, </w:t>
      </w:r>
      <w:r w:rsidR="003D60A5">
        <w:t xml:space="preserve">nové instituty </w:t>
      </w:r>
      <w:r w:rsidR="00827923">
        <w:t xml:space="preserve">ani potřebu dodatečného personálního zajištění </w:t>
      </w:r>
      <w:r w:rsidR="003D60A5">
        <w:t>vyžadující finanční zabezpečení</w:t>
      </w:r>
      <w:r w:rsidR="006E49AF">
        <w:t>.</w:t>
      </w:r>
    </w:p>
    <w:p w:rsidR="00984D1A" w:rsidRDefault="00984D1A" w:rsidP="0021075C">
      <w:pPr>
        <w:pStyle w:val="Tetnadpis"/>
        <w:rPr>
          <w:u w:val="single"/>
        </w:rPr>
      </w:pPr>
      <w:r w:rsidRPr="00775224">
        <w:t>Závazky orgánů veřejné správy</w:t>
      </w:r>
    </w:p>
    <w:p w:rsidR="00D36298" w:rsidRPr="005F5A67" w:rsidRDefault="00D36298" w:rsidP="0021075C">
      <w:r>
        <w:t xml:space="preserve">Žádné přímé či nepřímé finanční náklady v důsledku přijetí ani jedné z variant řešení nevznikají, jelikož </w:t>
      </w:r>
      <w:r w:rsidR="005F5A67">
        <w:t>institut závazků má sloužit výhradně k tomu, aby orgány veřejné správy</w:t>
      </w:r>
      <w:r w:rsidR="00AF626E">
        <w:t xml:space="preserve"> měly</w:t>
      </w:r>
      <w:r w:rsidR="005F5A67">
        <w:t xml:space="preserve"> možnost tzv. </w:t>
      </w:r>
      <w:r w:rsidR="005F5A67" w:rsidRPr="00503925">
        <w:rPr>
          <w:i/>
        </w:rPr>
        <w:t>autoopravy</w:t>
      </w:r>
      <w:r w:rsidR="005F5A67">
        <w:t xml:space="preserve"> vlastních pochybení, které vedly k narušení hospodářské soutěže. Změna právní úpravy tak nepřináší změny</w:t>
      </w:r>
      <w:r w:rsidR="00C878B4">
        <w:t xml:space="preserve"> ve způsobu vedení řízení, které by měli negativní vliv na délku řízení a tím na vynaložené náklady s tím spojené. Naopak pokud </w:t>
      </w:r>
      <w:r w:rsidR="005F5A67" w:rsidRPr="005F5A67">
        <w:t>Úřad</w:t>
      </w:r>
      <w:r w:rsidR="00C878B4">
        <w:t xml:space="preserve"> uzná navrhované závazky za dostatečné vzhledem k</w:t>
      </w:r>
      <w:r w:rsidR="00C878B4" w:rsidRPr="00C878B4">
        <w:t xml:space="preserve"> účelu regulace hospodářské soutěže</w:t>
      </w:r>
      <w:r w:rsidR="00C878B4">
        <w:t>, může</w:t>
      </w:r>
      <w:r w:rsidR="005F5A67" w:rsidRPr="005F5A67">
        <w:t xml:space="preserve"> řízení zastavit a věnovat své zdroje závažnějším případům narušení </w:t>
      </w:r>
      <w:r w:rsidR="005F5A67">
        <w:t xml:space="preserve">hospodářské </w:t>
      </w:r>
      <w:r w:rsidR="005F5A67" w:rsidRPr="005F5A67">
        <w:t>soutěže.</w:t>
      </w:r>
    </w:p>
    <w:p w:rsidR="00993A41" w:rsidRDefault="00C64011" w:rsidP="0021075C">
      <w:pPr>
        <w:pStyle w:val="Tetnadpis"/>
      </w:pPr>
      <w:r w:rsidRPr="00C64011">
        <w:t xml:space="preserve">Shovívavost </w:t>
      </w:r>
    </w:p>
    <w:p w:rsidR="00EE0C23" w:rsidRPr="002F5E56" w:rsidRDefault="00E16664" w:rsidP="00EE0C23">
      <w:pPr>
        <w:pStyle w:val="Variantnnadpis"/>
      </w:pPr>
      <w:r>
        <w:t>Varianta 0</w:t>
      </w:r>
      <w:r w:rsidR="00A90877">
        <w:t xml:space="preserve"> – </w:t>
      </w:r>
      <w:r w:rsidR="005E729B">
        <w:t>Z</w:t>
      </w:r>
      <w:r w:rsidR="00A90877">
        <w:t>achování současného stavu</w:t>
      </w:r>
    </w:p>
    <w:p w:rsidR="00A90877" w:rsidRPr="00A90877" w:rsidRDefault="00A90877" w:rsidP="005241E8">
      <w:pPr>
        <w:rPr>
          <w:rFonts w:cs="Times New Roman"/>
          <w:szCs w:val="24"/>
        </w:rPr>
      </w:pPr>
      <w:r w:rsidRPr="00A90877">
        <w:rPr>
          <w:rFonts w:cs="Times New Roman"/>
          <w:szCs w:val="24"/>
        </w:rPr>
        <w:t>Mohou vzniknout přímé finanční náklady (platba pokuty) při případném řízení o porušení Sm</w:t>
      </w:r>
      <w:r w:rsidR="00860FD6">
        <w:rPr>
          <w:rFonts w:cs="Times New Roman"/>
          <w:szCs w:val="24"/>
        </w:rPr>
        <w:t>louvy, pokud bude shledáno, že Česká republika</w:t>
      </w:r>
      <w:r w:rsidRPr="00A90877">
        <w:rPr>
          <w:rFonts w:cs="Times New Roman"/>
          <w:szCs w:val="24"/>
        </w:rPr>
        <w:t xml:space="preserve"> řádně netransponovala příslušnou evropskou směrnici a její konkrétní ustanovení požadující zavedení institutu programu shovívavosti včetně jednotlivých náležitostí žádostí na legislativní úrovni.</w:t>
      </w:r>
    </w:p>
    <w:p w:rsidR="00A90877" w:rsidRPr="00A90877" w:rsidRDefault="00A90877" w:rsidP="005241E8">
      <w:pPr>
        <w:rPr>
          <w:rFonts w:cs="Times New Roman"/>
          <w:szCs w:val="24"/>
        </w:rPr>
      </w:pPr>
      <w:r w:rsidRPr="00A90877">
        <w:rPr>
          <w:rFonts w:cs="Times New Roman"/>
          <w:szCs w:val="24"/>
        </w:rPr>
        <w:t>Hmotné náklady na dodržování regulace vzniknou v pozdějším horizontu, kdy bude muset být přímo aplikována evropská úprava. Výsledné přímé náklady na interní či externí právní služby budou vyšší než při variantě 1.</w:t>
      </w:r>
    </w:p>
    <w:p w:rsidR="00A90877" w:rsidRPr="00A90877" w:rsidRDefault="00A90877" w:rsidP="005241E8">
      <w:pPr>
        <w:rPr>
          <w:rFonts w:cs="Times New Roman"/>
          <w:szCs w:val="24"/>
        </w:rPr>
      </w:pPr>
      <w:r w:rsidRPr="00A90877">
        <w:rPr>
          <w:rFonts w:cs="Times New Roman"/>
          <w:szCs w:val="24"/>
        </w:rPr>
        <w:t xml:space="preserve">Regulovaná problematika v oblasti programů shovívavosti u ochrany hospodářské soutěže je velmi specifická. Na základě dlouhodobé praxe správních </w:t>
      </w:r>
      <w:r w:rsidR="009933C2">
        <w:rPr>
          <w:rFonts w:cs="Times New Roman"/>
          <w:szCs w:val="24"/>
        </w:rPr>
        <w:t>řízení je možno konstatovat, že </w:t>
      </w:r>
      <w:r w:rsidRPr="00A90877">
        <w:rPr>
          <w:rFonts w:cs="Times New Roman"/>
          <w:szCs w:val="24"/>
        </w:rPr>
        <w:t xml:space="preserve">ve většině případů případní žadatelé v programu shovívavosti využívají externí poskytovatelé právních služeb a tím se jim výrazně zvyšují přímé hotové náklady na externí právní služby. </w:t>
      </w:r>
    </w:p>
    <w:p w:rsidR="00A90877" w:rsidRPr="00A90877" w:rsidRDefault="00A90877" w:rsidP="005241E8">
      <w:pPr>
        <w:rPr>
          <w:rFonts w:cs="Times New Roman"/>
          <w:szCs w:val="24"/>
        </w:rPr>
      </w:pPr>
      <w:r w:rsidRPr="00A90877">
        <w:rPr>
          <w:rFonts w:cs="Times New Roman"/>
          <w:szCs w:val="24"/>
        </w:rPr>
        <w:t>Při pozdější nucené implementaci budou vynaloženy</w:t>
      </w:r>
      <w:r w:rsidR="004C5278">
        <w:rPr>
          <w:rFonts w:cs="Times New Roman"/>
          <w:szCs w:val="24"/>
        </w:rPr>
        <w:t xml:space="preserve"> náklady na</w:t>
      </w:r>
      <w:r w:rsidR="004C5278" w:rsidRPr="004C5278">
        <w:rPr>
          <w:rFonts w:cs="Times New Roman"/>
          <w:szCs w:val="24"/>
        </w:rPr>
        <w:t xml:space="preserve"> </w:t>
      </w:r>
      <w:r w:rsidR="004C5278" w:rsidRPr="00A90877">
        <w:rPr>
          <w:rFonts w:cs="Times New Roman"/>
          <w:szCs w:val="24"/>
        </w:rPr>
        <w:t xml:space="preserve">administrativní zátěž </w:t>
      </w:r>
      <w:r w:rsidR="004C5278">
        <w:rPr>
          <w:rFonts w:cs="Times New Roman"/>
          <w:szCs w:val="24"/>
        </w:rPr>
        <w:t xml:space="preserve">Úřadu </w:t>
      </w:r>
      <w:r w:rsidR="004C5278" w:rsidRPr="00A90877">
        <w:rPr>
          <w:rFonts w:cs="Times New Roman"/>
          <w:szCs w:val="24"/>
        </w:rPr>
        <w:t xml:space="preserve">při </w:t>
      </w:r>
      <w:r w:rsidR="004C5278">
        <w:rPr>
          <w:rFonts w:cs="Times New Roman"/>
          <w:szCs w:val="24"/>
        </w:rPr>
        <w:t xml:space="preserve">dodatečném </w:t>
      </w:r>
      <w:r w:rsidR="004C5278" w:rsidRPr="00A90877">
        <w:rPr>
          <w:rFonts w:cs="Times New Roman"/>
          <w:szCs w:val="24"/>
        </w:rPr>
        <w:t xml:space="preserve">zavádění </w:t>
      </w:r>
      <w:r w:rsidR="004C5278">
        <w:rPr>
          <w:rFonts w:cs="Times New Roman"/>
          <w:szCs w:val="24"/>
        </w:rPr>
        <w:t>programů.</w:t>
      </w:r>
      <w:r w:rsidR="004C5278" w:rsidRPr="00A90877">
        <w:rPr>
          <w:rFonts w:cs="Times New Roman"/>
          <w:szCs w:val="24"/>
        </w:rPr>
        <w:t xml:space="preserve"> </w:t>
      </w:r>
    </w:p>
    <w:p w:rsidR="00EE0C23" w:rsidRPr="00984D1A" w:rsidRDefault="00E16664" w:rsidP="00EE0C23">
      <w:pPr>
        <w:pStyle w:val="Variantnnadpis"/>
      </w:pPr>
      <w:r>
        <w:t xml:space="preserve">Varianta 1 </w:t>
      </w:r>
      <w:r w:rsidR="00160207" w:rsidRPr="005E729B">
        <w:rPr>
          <w:rFonts w:cs="Times New Roman"/>
          <w:szCs w:val="24"/>
        </w:rPr>
        <w:t>– Nový dvojí režim shovívavosti</w:t>
      </w:r>
    </w:p>
    <w:p w:rsidR="007D5752" w:rsidRPr="003C5E4D" w:rsidRDefault="004C5278" w:rsidP="00EE0C23">
      <w:pPr>
        <w:rPr>
          <w:rFonts w:cs="Times New Roman"/>
          <w:szCs w:val="24"/>
        </w:rPr>
      </w:pPr>
      <w:r>
        <w:t>Z hlediska ekonomických dopadů vzniknou přímé h</w:t>
      </w:r>
      <w:r w:rsidRPr="00A90877">
        <w:rPr>
          <w:rFonts w:cs="Times New Roman"/>
          <w:szCs w:val="24"/>
        </w:rPr>
        <w:t>motné náklady na dodržování regulace</w:t>
      </w:r>
      <w:r>
        <w:rPr>
          <w:rFonts w:cs="Times New Roman"/>
          <w:szCs w:val="24"/>
        </w:rPr>
        <w:t xml:space="preserve">, neboť bude zavedena dvojí nová regulace jednoho institutu. Zároveň vzniknou přímé náklady </w:t>
      </w:r>
      <w:r w:rsidRPr="005241E8">
        <w:rPr>
          <w:rFonts w:cs="Times New Roman"/>
          <w:szCs w:val="24"/>
        </w:rPr>
        <w:t>na externí právní služby při podání žádosti podle nových režimů.</w:t>
      </w:r>
    </w:p>
    <w:p w:rsidR="004C5278" w:rsidRDefault="004C5278" w:rsidP="00EE0C23">
      <w:pPr>
        <w:pStyle w:val="Variantnnadpis"/>
        <w:rPr>
          <w:rFonts w:cs="Times New Roman"/>
          <w:szCs w:val="24"/>
        </w:rPr>
      </w:pPr>
      <w:r w:rsidRPr="00F24F97">
        <w:rPr>
          <w:rFonts w:cs="Times New Roman"/>
          <w:szCs w:val="24"/>
          <w:u w:val="none"/>
        </w:rPr>
        <w:lastRenderedPageBreak/>
        <w:t xml:space="preserve">V další </w:t>
      </w:r>
      <w:r w:rsidR="004E22E6" w:rsidRPr="00F24F97">
        <w:rPr>
          <w:rFonts w:cs="Times New Roman"/>
          <w:szCs w:val="24"/>
          <w:u w:val="none"/>
        </w:rPr>
        <w:t xml:space="preserve">ekonomické </w:t>
      </w:r>
      <w:r w:rsidRPr="00F24F97">
        <w:rPr>
          <w:rFonts w:cs="Times New Roman"/>
          <w:szCs w:val="24"/>
          <w:u w:val="none"/>
        </w:rPr>
        <w:t>kategorii administrativní zátěže a nákladů vzniknou</w:t>
      </w:r>
      <w:r w:rsidRPr="005241E8">
        <w:rPr>
          <w:rFonts w:cs="Times New Roman"/>
          <w:szCs w:val="24"/>
          <w:u w:val="none"/>
        </w:rPr>
        <w:t xml:space="preserve"> například náklady na</w:t>
      </w:r>
      <w:r w:rsidR="00453495">
        <w:rPr>
          <w:rFonts w:cs="Times New Roman"/>
          <w:szCs w:val="24"/>
          <w:u w:val="none"/>
        </w:rPr>
        <w:t> </w:t>
      </w:r>
      <w:r w:rsidRPr="005241E8">
        <w:rPr>
          <w:rFonts w:cs="Times New Roman"/>
          <w:szCs w:val="24"/>
          <w:u w:val="none"/>
        </w:rPr>
        <w:t>zveřejnění nových požadavků regulace, náklady na zavedení nového systému programu</w:t>
      </w:r>
      <w:r w:rsidRPr="003C5E4D">
        <w:rPr>
          <w:rFonts w:cs="Times New Roman"/>
          <w:szCs w:val="24"/>
          <w:u w:val="none"/>
        </w:rPr>
        <w:t xml:space="preserve"> shovívavosti uvnitř Úřadu, vyřizování dotazů úředníky od potencionálně dotčených regulovaných subjektů a další </w:t>
      </w:r>
      <w:r w:rsidRPr="00F24F97">
        <w:rPr>
          <w:rFonts w:cs="Times New Roman"/>
          <w:szCs w:val="24"/>
          <w:u w:val="none"/>
        </w:rPr>
        <w:t>veřejnosti.</w:t>
      </w:r>
      <w:r w:rsidR="00D62ECD" w:rsidRPr="00F24F97">
        <w:rPr>
          <w:rFonts w:cs="Times New Roman"/>
          <w:szCs w:val="24"/>
          <w:u w:val="none"/>
        </w:rPr>
        <w:t xml:space="preserve"> </w:t>
      </w:r>
      <w:r w:rsidR="00F24F97" w:rsidRPr="00F24F97">
        <w:rPr>
          <w:rFonts w:cs="Times New Roman"/>
          <w:szCs w:val="24"/>
          <w:u w:val="none"/>
        </w:rPr>
        <w:t>Navíc budou muset být vedeny dva různé režimy žádostí v programu shovívavosti v rámci správních řízení při činnosti Úřadu.</w:t>
      </w:r>
    </w:p>
    <w:p w:rsidR="00EE0C23" w:rsidRDefault="00E16664" w:rsidP="00EE0C23">
      <w:pPr>
        <w:pStyle w:val="Variantnnadpis"/>
      </w:pPr>
      <w:r>
        <w:t xml:space="preserve">Varianta 2 </w:t>
      </w:r>
      <w:r w:rsidR="00160207" w:rsidRPr="005E729B">
        <w:rPr>
          <w:rFonts w:cs="Times New Roman"/>
          <w:szCs w:val="24"/>
        </w:rPr>
        <w:t xml:space="preserve">– Nový </w:t>
      </w:r>
      <w:r w:rsidR="00160207">
        <w:rPr>
          <w:rFonts w:cs="Times New Roman"/>
          <w:szCs w:val="24"/>
        </w:rPr>
        <w:t>jednotný</w:t>
      </w:r>
      <w:r w:rsidR="00160207" w:rsidRPr="005E729B">
        <w:rPr>
          <w:rFonts w:cs="Times New Roman"/>
          <w:szCs w:val="24"/>
        </w:rPr>
        <w:t xml:space="preserve"> režim shovívavosti</w:t>
      </w:r>
    </w:p>
    <w:p w:rsidR="00E16664" w:rsidRPr="00E16664" w:rsidRDefault="00D62ECD" w:rsidP="00E16664">
      <w:r>
        <w:t xml:space="preserve">Obdobně jako u varianty 1 </w:t>
      </w:r>
      <w:r w:rsidR="00082A35">
        <w:t>podle</w:t>
      </w:r>
      <w:r>
        <w:t> obou ekonomických kritérií vzniknou náklady.</w:t>
      </w:r>
    </w:p>
    <w:p w:rsidR="00C64011" w:rsidRDefault="00C64011" w:rsidP="0021075C">
      <w:pPr>
        <w:pStyle w:val="Tetnadpis"/>
      </w:pPr>
      <w:r>
        <w:t>Narovnání</w:t>
      </w:r>
    </w:p>
    <w:p w:rsidR="00EE0C23" w:rsidRPr="002F5E56" w:rsidRDefault="00EE0C23" w:rsidP="00EE0C23">
      <w:pPr>
        <w:pStyle w:val="Variantnnadpis"/>
      </w:pPr>
      <w:r w:rsidRPr="002F5E56">
        <w:t>Variant</w:t>
      </w:r>
      <w:r w:rsidR="00E16664">
        <w:t>a 0</w:t>
      </w:r>
      <w:r w:rsidR="001732EB">
        <w:t xml:space="preserve"> – Zachování současného stavu</w:t>
      </w:r>
    </w:p>
    <w:p w:rsidR="00EE0C23" w:rsidRDefault="00BE0FE6" w:rsidP="00EE0C23">
      <w:r>
        <w:t xml:space="preserve">Mohou vzniknout náklady z pozice administrativního zatížení Úřadu, kdy jsou vedena správní řízení a v rámci nich </w:t>
      </w:r>
      <w:r w:rsidR="00023197">
        <w:t xml:space="preserve">probíhají </w:t>
      </w:r>
      <w:r>
        <w:t>jednání o narovnání</w:t>
      </w:r>
      <w:r w:rsidR="00B63A19">
        <w:t xml:space="preserve"> i v takových situacích, kdy</w:t>
      </w:r>
      <w:r>
        <w:t xml:space="preserve"> jsou z</w:t>
      </w:r>
      <w:r w:rsidR="008771B9">
        <w:t xml:space="preserve"> působnosti Úřadu </w:t>
      </w:r>
      <w:r>
        <w:t>neefektivní a nevedou ke splnění účelu zákona.</w:t>
      </w:r>
    </w:p>
    <w:p w:rsidR="00EE0C23" w:rsidRPr="00984D1A" w:rsidRDefault="00E16664" w:rsidP="00EE0C23">
      <w:pPr>
        <w:pStyle w:val="Variantnnadpis"/>
      </w:pPr>
      <w:r>
        <w:t>Varianta 1</w:t>
      </w:r>
      <w:r w:rsidR="00A73577">
        <w:t xml:space="preserve"> </w:t>
      </w:r>
      <w:r w:rsidR="00A73577" w:rsidRPr="00CC6F63">
        <w:rPr>
          <w:rFonts w:cs="Times New Roman"/>
          <w:szCs w:val="24"/>
        </w:rPr>
        <w:t>– Pružnější vedení jednání o narovnání</w:t>
      </w:r>
    </w:p>
    <w:p w:rsidR="00EE0C23" w:rsidRDefault="00E52E76" w:rsidP="00EE0C23">
      <w:r>
        <w:t xml:space="preserve">Z pohledu nákladů na regulatorní zatížení i z pohledu nákladů na vynucování regulace </w:t>
      </w:r>
      <w:r w:rsidR="00CE4A17">
        <w:t>nevznikají zásadní náklady</w:t>
      </w:r>
      <w:r>
        <w:t>.</w:t>
      </w:r>
    </w:p>
    <w:p w:rsidR="00EE0C23" w:rsidRDefault="00EE0C23" w:rsidP="00EE0C23">
      <w:pPr>
        <w:pStyle w:val="Variantnnadpis"/>
      </w:pPr>
      <w:r w:rsidRPr="00984D1A">
        <w:t>Var</w:t>
      </w:r>
      <w:r w:rsidR="00E16664">
        <w:t xml:space="preserve">ianta 2 </w:t>
      </w:r>
      <w:r w:rsidR="00A73577" w:rsidRPr="00CC6F63">
        <w:rPr>
          <w:rFonts w:cs="Times New Roman"/>
          <w:szCs w:val="24"/>
        </w:rPr>
        <w:t>– Pružnější vedení jednání o narovnání</w:t>
      </w:r>
      <w:r w:rsidR="00A73577">
        <w:rPr>
          <w:rFonts w:cs="Times New Roman"/>
          <w:szCs w:val="24"/>
        </w:rPr>
        <w:t xml:space="preserve"> a samostatná jednání</w:t>
      </w:r>
    </w:p>
    <w:p w:rsidR="00E16664" w:rsidRPr="00E16664" w:rsidRDefault="00B76FA3" w:rsidP="00E16664">
      <w:r>
        <w:t xml:space="preserve">Náklady </w:t>
      </w:r>
      <w:r w:rsidR="00023197">
        <w:t>mohou</w:t>
      </w:r>
      <w:r>
        <w:t xml:space="preserve"> být na minimální úrovni identifikovatelné v administrativní stránce</w:t>
      </w:r>
      <w:r w:rsidR="0026038D">
        <w:t xml:space="preserve"> vnitřních procesů Úřadu</w:t>
      </w:r>
      <w:r>
        <w:t xml:space="preserve">, pokud by bylo vedeno paralelně více </w:t>
      </w:r>
      <w:r w:rsidR="001B6DE4">
        <w:t xml:space="preserve">samostatných </w:t>
      </w:r>
      <w:r>
        <w:t xml:space="preserve">jednání </w:t>
      </w:r>
      <w:r w:rsidR="00453495">
        <w:t>o </w:t>
      </w:r>
      <w:r w:rsidR="0026038D">
        <w:t>narovnání.</w:t>
      </w:r>
      <w:r w:rsidR="00835520">
        <w:t xml:space="preserve"> </w:t>
      </w:r>
    </w:p>
    <w:p w:rsidR="00C64011" w:rsidRDefault="00C64011" w:rsidP="0021075C">
      <w:pPr>
        <w:pStyle w:val="Tetnadpis"/>
      </w:pPr>
      <w:r>
        <w:t>Vzájemná pomoc</w:t>
      </w:r>
    </w:p>
    <w:p w:rsidR="00EE0C23" w:rsidRPr="002F5E56" w:rsidRDefault="00EE0C23" w:rsidP="00EE0C23">
      <w:pPr>
        <w:pStyle w:val="Variantnnadpis"/>
      </w:pPr>
      <w:r w:rsidRPr="002F5E56">
        <w:t>Variant</w:t>
      </w:r>
      <w:r w:rsidR="00E16664">
        <w:t xml:space="preserve">a 0 </w:t>
      </w:r>
      <w:r w:rsidR="00CD42BA">
        <w:t>– Zachování současného stavu</w:t>
      </w:r>
    </w:p>
    <w:p w:rsidR="00056330" w:rsidRDefault="00056330" w:rsidP="00056330">
      <w:r>
        <w:t xml:space="preserve">Mohou vzniknout finanční náklady (platba pokuty) při případném řízení o porušení Smlouvy, pokud by bylo shledáno, že </w:t>
      </w:r>
      <w:r w:rsidR="00FF5EEF">
        <w:t xml:space="preserve">Česká republika </w:t>
      </w:r>
      <w:r>
        <w:t>řádně netransponovala příslušnou evropskou směrnici.</w:t>
      </w:r>
    </w:p>
    <w:p w:rsidR="00963018" w:rsidRDefault="00963018" w:rsidP="00056330">
      <w:r>
        <w:t xml:space="preserve">Nebudou novelizovány předpisy v oblasti hospodářské soutěže ani předpisy v oblasti </w:t>
      </w:r>
      <w:r w:rsidR="00CB64D7">
        <w:t>exekucí správních rozhodnutí.</w:t>
      </w:r>
    </w:p>
    <w:p w:rsidR="00EE0C23" w:rsidRPr="00984D1A" w:rsidRDefault="00E16664" w:rsidP="00EE0C23">
      <w:pPr>
        <w:pStyle w:val="Variantnnadpis"/>
      </w:pPr>
      <w:r>
        <w:t xml:space="preserve">Varianta 1 </w:t>
      </w:r>
      <w:r w:rsidR="00AB1BB1">
        <w:t>– Režim vzájemné pomoci s celním orgánem</w:t>
      </w:r>
    </w:p>
    <w:p w:rsidR="00EE0C23" w:rsidRDefault="00EE0C23" w:rsidP="009933C2">
      <w:r>
        <w:t xml:space="preserve">Náklady </w:t>
      </w:r>
      <w:r w:rsidR="00D66B5A">
        <w:t>vzniknou</w:t>
      </w:r>
      <w:r w:rsidR="00EE3456">
        <w:t xml:space="preserve"> na straně celní správy, která </w:t>
      </w:r>
      <w:r w:rsidR="00D66B5A">
        <w:t xml:space="preserve">jako exekuční správní orgán bude muset </w:t>
      </w:r>
      <w:r w:rsidR="00EE3456">
        <w:t xml:space="preserve">přizpůsobit svůj dosavadní systém </w:t>
      </w:r>
      <w:r w:rsidR="00D66B5A">
        <w:t xml:space="preserve">přijímání žádostí o exekuci na peněžitá plnění podle správního řádu </w:t>
      </w:r>
      <w:r w:rsidR="00EE3456">
        <w:t>požadavkům nové úpravy, včetně zvýšených nákladů na právní analýzy v oblasti hospodářské soutěže či dotaz</w:t>
      </w:r>
      <w:r w:rsidR="009637CD">
        <w:t>ů o řádný výklad</w:t>
      </w:r>
      <w:r w:rsidR="002A7661">
        <w:t xml:space="preserve"> </w:t>
      </w:r>
      <w:r w:rsidR="00D66B5A">
        <w:t>veš</w:t>
      </w:r>
      <w:r w:rsidR="009933C2">
        <w:t>kerých relevantních národních i </w:t>
      </w:r>
      <w:r w:rsidR="00D66B5A">
        <w:t xml:space="preserve">evropských předpisů </w:t>
      </w:r>
      <w:r w:rsidR="002A7661">
        <w:t>v dané oblasti</w:t>
      </w:r>
      <w:r w:rsidR="00EE3456">
        <w:t xml:space="preserve"> na Úřad.</w:t>
      </w:r>
      <w:r w:rsidR="00D66B5A">
        <w:t xml:space="preserve"> </w:t>
      </w:r>
      <w:r w:rsidR="001F1B54">
        <w:t xml:space="preserve">Bude nutno nastavit nový vnitřní administrativní systém národní exekučního orgánu (celní úřad) zohledňující </w:t>
      </w:r>
      <w:r w:rsidR="00BC14F1">
        <w:t>přijímání cizozemských žádostí soutěžn</w:t>
      </w:r>
      <w:r w:rsidR="004D4BAD">
        <w:t>í</w:t>
      </w:r>
      <w:r w:rsidR="00BC14F1">
        <w:t>ch orgánů.</w:t>
      </w:r>
    </w:p>
    <w:p w:rsidR="00F17F7E" w:rsidRDefault="00901FC6" w:rsidP="00EE0C23">
      <w:r>
        <w:lastRenderedPageBreak/>
        <w:t xml:space="preserve">Úřad nebude mít primární kontrolu a přehled nad </w:t>
      </w:r>
      <w:r w:rsidR="001C5E71">
        <w:t xml:space="preserve">distribucí </w:t>
      </w:r>
      <w:r>
        <w:t>cizozemský</w:t>
      </w:r>
      <w:r w:rsidR="001C5E71">
        <w:t xml:space="preserve">ch </w:t>
      </w:r>
      <w:r>
        <w:t>rozhodnutí aplikujícími</w:t>
      </w:r>
      <w:r w:rsidRPr="00901FC6">
        <w:t xml:space="preserve"> </w:t>
      </w:r>
      <w:r>
        <w:t>společná evropská soutěžní pravidla, i když jeho působnost spočívá v aplikaci těchto pravidel podle čl. 101 a 102 SFEU.</w:t>
      </w:r>
    </w:p>
    <w:p w:rsidR="006073A7" w:rsidRDefault="006073A7" w:rsidP="00EE0C23">
      <w:r>
        <w:t>Další neidentifikovatelné náklady by mohly vzniknout na straně zahraničních soutěžních úřadů při nutnosti vytvářet nově celý systém spolupráce a vzájemné komunikace s celními úřady namísto dosavadního zavedeného systému spolupráce s příslušným národním soutěžním úřadem.</w:t>
      </w:r>
    </w:p>
    <w:p w:rsidR="00827954" w:rsidRDefault="00827954" w:rsidP="00827954">
      <w:r>
        <w:t>Proběhne novelizace ve více oblastech českého právního řádu, tj. v oblasti ochrany hospodářské soutěže a zároveň v oblasti exekucí správních rozhodnutí, minimálně zákonů upravujících působnost orgánů celní správy.</w:t>
      </w:r>
    </w:p>
    <w:p w:rsidR="00EE0C23" w:rsidRDefault="00EE0C23" w:rsidP="00EE0C23">
      <w:pPr>
        <w:pStyle w:val="Variantnnadpis"/>
      </w:pPr>
      <w:r w:rsidRPr="00984D1A">
        <w:t>Var</w:t>
      </w:r>
      <w:r w:rsidR="00E16664">
        <w:t xml:space="preserve">ianta 2 </w:t>
      </w:r>
      <w:r w:rsidR="00AB1BB1">
        <w:t xml:space="preserve">– Režim vzájemné pomoci </w:t>
      </w:r>
      <w:r w:rsidR="00DC1DBF">
        <w:t>ve spolupráci Úřadu a celního orgánu</w:t>
      </w:r>
    </w:p>
    <w:p w:rsidR="00E16664" w:rsidRDefault="00462C8F" w:rsidP="00E16664">
      <w:r>
        <w:t xml:space="preserve">Z pohledu Úřadu jako národního regulátora v oblasti ochrany hospodářské soutěže vznikají krátkodobě dílčí vnitřní administrativní náklady na zavedení nového systému </w:t>
      </w:r>
      <w:r w:rsidR="009933C2">
        <w:t>pro </w:t>
      </w:r>
      <w:r>
        <w:t>zprostředkování výkonu rozhodnutí cizozemských rozhodnutí</w:t>
      </w:r>
      <w:r w:rsidR="001373EB">
        <w:t xml:space="preserve"> v rozsahu do </w:t>
      </w:r>
      <w:r w:rsidR="00434C45">
        <w:t xml:space="preserve">1 milionu korun českých </w:t>
      </w:r>
      <w:r w:rsidR="001373EB">
        <w:t>ročně, např. za překlady cizích rozhodnutí</w:t>
      </w:r>
      <w:r>
        <w:t>.</w:t>
      </w:r>
    </w:p>
    <w:p w:rsidR="00D233AC" w:rsidRPr="00E16664" w:rsidRDefault="00D233AC" w:rsidP="00E16664">
      <w:r>
        <w:t>Novelizace proběhne v oblasti práva hospodářské soutěže</w:t>
      </w:r>
      <w:r w:rsidR="0011796C">
        <w:t>. Další navazující kodifikace nové agendy vzájemné pomoci se může uskutečnit na úrovni vnitřních či metodických předpisů Úřadu.</w:t>
      </w:r>
    </w:p>
    <w:p w:rsidR="00C64011" w:rsidRDefault="00C64011" w:rsidP="0021075C">
      <w:pPr>
        <w:pStyle w:val="Tetnadpis"/>
      </w:pPr>
      <w:r w:rsidRPr="00775224">
        <w:t>Zpřístupnění informací obsažených ve spise</w:t>
      </w:r>
    </w:p>
    <w:p w:rsidR="001732EB" w:rsidRPr="002F5E56" w:rsidRDefault="001732EB" w:rsidP="001732EB">
      <w:pPr>
        <w:pStyle w:val="Variantnnadpis"/>
      </w:pPr>
      <w:r w:rsidRPr="002F5E56">
        <w:t>Variant</w:t>
      </w:r>
      <w:r>
        <w:t>a 0 – Zachování současného stavu</w:t>
      </w:r>
    </w:p>
    <w:p w:rsidR="007E14A6" w:rsidRDefault="007C380C" w:rsidP="007E14A6">
      <w:r>
        <w:t xml:space="preserve">Bude zachována praktická </w:t>
      </w:r>
      <w:r w:rsidR="007E14A6">
        <w:t>nižší dostupnost chráněných dokumentů nejen pro orgány činné v trestním řízení, ale i pro ostatní orgány veřejné moci. Snižuje se tak vymahatelnost pravidel hospodářské soutěže kodifikovaných v trestním právu.</w:t>
      </w:r>
    </w:p>
    <w:p w:rsidR="00F22DAB" w:rsidRDefault="00F22DAB" w:rsidP="007E14A6">
      <w:r>
        <w:t>Dodrží se zpřísněný režim požadavků na omezení přístupu ke spisu vyplývající z dřívější evropské právní úpravy</w:t>
      </w:r>
      <w:r>
        <w:rPr>
          <w:rStyle w:val="Znakapoznpodarou"/>
        </w:rPr>
        <w:footnoteReference w:id="13"/>
      </w:r>
      <w:r>
        <w:t xml:space="preserve"> </w:t>
      </w:r>
      <w:r w:rsidR="002B7B03">
        <w:t xml:space="preserve">a zároveň </w:t>
      </w:r>
      <w:r w:rsidR="0094578E">
        <w:t xml:space="preserve">obecně </w:t>
      </w:r>
      <w:r>
        <w:t>stanovené např. v čl. 31 Směrnice.</w:t>
      </w:r>
    </w:p>
    <w:p w:rsidR="001B6BDC" w:rsidRPr="00006935" w:rsidRDefault="001732EB" w:rsidP="001B6BDC">
      <w:pPr>
        <w:pStyle w:val="Variantnnadpis"/>
        <w:spacing w:line="240" w:lineRule="auto"/>
        <w:rPr>
          <w:rFonts w:cs="Times New Roman"/>
          <w:szCs w:val="24"/>
        </w:rPr>
      </w:pPr>
      <w:r>
        <w:t>Varianta 1</w:t>
      </w:r>
      <w:r w:rsidR="001B6BDC">
        <w:t xml:space="preserve"> </w:t>
      </w:r>
      <w:r w:rsidR="001B6BDC" w:rsidRPr="00006935">
        <w:rPr>
          <w:rFonts w:cs="Times New Roman"/>
          <w:szCs w:val="24"/>
        </w:rPr>
        <w:t>– Výjimka pro orgány činné v trestním řízení</w:t>
      </w:r>
    </w:p>
    <w:p w:rsidR="001732EB" w:rsidRDefault="0017042C" w:rsidP="0058149F">
      <w:r>
        <w:t xml:space="preserve">Možností zpřístupnit chráněné dokumenty ze správního spisu se může zvýšit pravděpodobnost distribuce takových materiálů do širšího okruhu subjektů než je tomu v dnešní době. Zesílí tak riziko potencionálních žalob na náhradu škody v oblasti hospodářské soutěže v civilním řízení na chráněné subjekty v rámci programu shovívavosti. </w:t>
      </w:r>
    </w:p>
    <w:p w:rsidR="00DD54E2" w:rsidRDefault="00DD54E2" w:rsidP="0058149F">
      <w:r>
        <w:t>Může být ohrožena speciálně nastavená ochrana důvěrných informací používaných v rámci programu shovívavosti</w:t>
      </w:r>
      <w:r w:rsidR="00FD4B9E">
        <w:t xml:space="preserve"> a tak dojít v celkovém horizontu k odstrašení potencionálních účastníků programu shovívavosti.</w:t>
      </w:r>
      <w:r w:rsidR="00336B91">
        <w:t xml:space="preserve"> </w:t>
      </w:r>
    </w:p>
    <w:p w:rsidR="001B6BDC" w:rsidRPr="00006935" w:rsidRDefault="001732EB" w:rsidP="001B6BDC">
      <w:pPr>
        <w:pStyle w:val="Variantnnadpis"/>
        <w:spacing w:line="240" w:lineRule="auto"/>
        <w:rPr>
          <w:rFonts w:cs="Times New Roman"/>
          <w:szCs w:val="24"/>
        </w:rPr>
      </w:pPr>
      <w:r>
        <w:lastRenderedPageBreak/>
        <w:t>Varianta 2</w:t>
      </w:r>
      <w:r w:rsidR="001B6BDC">
        <w:t xml:space="preserve"> </w:t>
      </w:r>
      <w:r w:rsidR="001B6BDC" w:rsidRPr="00006935">
        <w:rPr>
          <w:rFonts w:cs="Times New Roman"/>
          <w:szCs w:val="24"/>
        </w:rPr>
        <w:t xml:space="preserve">– Výjimka pro orgány </w:t>
      </w:r>
      <w:r w:rsidR="001B6BDC">
        <w:rPr>
          <w:rFonts w:cs="Times New Roman"/>
          <w:szCs w:val="24"/>
        </w:rPr>
        <w:t>veřejné moci</w:t>
      </w:r>
    </w:p>
    <w:p w:rsidR="001732EB" w:rsidRDefault="0092372D" w:rsidP="0092372D">
      <w:pPr>
        <w:ind w:firstLine="425"/>
      </w:pPr>
      <w:r>
        <w:t xml:space="preserve">Může se </w:t>
      </w:r>
      <w:r w:rsidR="00E72EE7">
        <w:t xml:space="preserve">výrazněji </w:t>
      </w:r>
      <w:r>
        <w:t xml:space="preserve">zvýšit pravděpodobnost distribuce výslovně chráněných dokumentů citlivé povahy mezi vyšší počet subjektů. </w:t>
      </w:r>
    </w:p>
    <w:p w:rsidR="000C2660" w:rsidRDefault="000C2660" w:rsidP="0092372D">
      <w:pPr>
        <w:ind w:firstLine="425"/>
      </w:pPr>
      <w:r>
        <w:t>Zvýšenou možností poskytování chráněných dokumentů většímu počtu orgánů veřejné moci může být</w:t>
      </w:r>
      <w:r w:rsidR="00DE4E9F">
        <w:t xml:space="preserve"> ještě více ohrožen účel ochrany v rámci programu shovívavosti.</w:t>
      </w:r>
      <w:r w:rsidR="00336B91">
        <w:t xml:space="preserve"> Ve výsledku může dojít k snížení vymahatelnosti soutěžních pravidel na úrovni soutěžních orgánů.</w:t>
      </w:r>
    </w:p>
    <w:p w:rsidR="00783504" w:rsidRDefault="00323E94" w:rsidP="0021075C">
      <w:pPr>
        <w:pStyle w:val="Druhnadpis"/>
      </w:pPr>
      <w:bookmarkStart w:id="11" w:name="_Toc384290132"/>
      <w:r w:rsidRPr="00653B58">
        <w:t>Přínosy</w:t>
      </w:r>
      <w:bookmarkEnd w:id="11"/>
    </w:p>
    <w:p w:rsidR="00783504" w:rsidRPr="00775224" w:rsidRDefault="002F5E56" w:rsidP="0021075C">
      <w:pPr>
        <w:pStyle w:val="Tetnadpis"/>
      </w:pPr>
      <w:r w:rsidRPr="00775224">
        <w:t>Pořádková</w:t>
      </w:r>
      <w:r w:rsidR="00C878B4">
        <w:t xml:space="preserve"> a donucovací</w:t>
      </w:r>
      <w:r w:rsidRPr="00775224">
        <w:t xml:space="preserve"> po</w:t>
      </w:r>
      <w:r w:rsidR="006575FA">
        <w:t>k</w:t>
      </w:r>
      <w:r w:rsidRPr="00775224">
        <w:t>uta</w:t>
      </w:r>
    </w:p>
    <w:p w:rsidR="002F5E56" w:rsidRPr="002F5E56" w:rsidRDefault="002F5E56" w:rsidP="0021075C">
      <w:pPr>
        <w:pStyle w:val="Variantnnadpis"/>
      </w:pPr>
      <w:r w:rsidRPr="002F5E56">
        <w:t>Varianta 0 - Zachování současného stavu</w:t>
      </w:r>
    </w:p>
    <w:p w:rsidR="002F5E56" w:rsidRDefault="0000616C" w:rsidP="0021075C">
      <w:r>
        <w:t>Přínosem této varianty je absence změny právního řádu.</w:t>
      </w:r>
    </w:p>
    <w:p w:rsidR="00764891" w:rsidRPr="00C8639A" w:rsidRDefault="002F5E56" w:rsidP="00764891">
      <w:pPr>
        <w:pStyle w:val="Variantnnadpis"/>
      </w:pPr>
      <w:r w:rsidRPr="00C8639A">
        <w:t>Varianta 1 - Zakotvení ustanovení o výši pokut za pořádkové delikty</w:t>
      </w:r>
      <w:r w:rsidR="00764891" w:rsidRPr="00764891">
        <w:t xml:space="preserve"> </w:t>
      </w:r>
      <w:r w:rsidR="00764891">
        <w:t>a o výši donucovacích pokut</w:t>
      </w:r>
    </w:p>
    <w:p w:rsidR="00984D1A" w:rsidRPr="00C8639A" w:rsidRDefault="005A4518" w:rsidP="0021075C">
      <w:pPr>
        <w:rPr>
          <w:u w:val="single"/>
        </w:rPr>
      </w:pPr>
      <w:r>
        <w:t xml:space="preserve">Přínosem varianty 1 je </w:t>
      </w:r>
      <w:r w:rsidR="003A14A0">
        <w:t xml:space="preserve">možné </w:t>
      </w:r>
      <w:r>
        <w:t>zvýšení objemu příjmů státního rozpočtu</w:t>
      </w:r>
      <w:r w:rsidR="00493DA1">
        <w:t xml:space="preserve"> z důvodu zvýšení maximálních limitů za pořádkové</w:t>
      </w:r>
      <w:r w:rsidR="009A3362">
        <w:t xml:space="preserve"> a donucovací</w:t>
      </w:r>
      <w:r w:rsidR="00493DA1">
        <w:t xml:space="preserve"> pokuty</w:t>
      </w:r>
      <w:r>
        <w:t>.</w:t>
      </w:r>
      <w:r w:rsidR="00493DA1">
        <w:t xml:space="preserve"> V letech 2</w:t>
      </w:r>
      <w:r w:rsidR="0021075C">
        <w:t>014 – 2019 Úřad uložil celkem 2 </w:t>
      </w:r>
      <w:r w:rsidR="00493DA1">
        <w:t xml:space="preserve">pořádkové pokuty v celkové výši </w:t>
      </w:r>
      <w:r w:rsidR="0000616C">
        <w:t>2,83 milionů korun</w:t>
      </w:r>
      <w:r w:rsidR="00493DA1">
        <w:t xml:space="preserve">. </w:t>
      </w:r>
      <w:r>
        <w:t>Přínosem je také větší odstrašující efekt vůči soutěžitelům a z toho plynoucí efektivnější vedení řízení</w:t>
      </w:r>
      <w:r w:rsidR="009A3362">
        <w:t xml:space="preserve"> a efektivnější vymáhání rozhodnutí</w:t>
      </w:r>
      <w:r>
        <w:t>.</w:t>
      </w:r>
    </w:p>
    <w:p w:rsidR="002F5E56" w:rsidRPr="00C8639A" w:rsidRDefault="002F5E56" w:rsidP="0021075C">
      <w:pPr>
        <w:pStyle w:val="Variantnnadpis"/>
      </w:pPr>
      <w:r>
        <w:t>Varianta 2</w:t>
      </w:r>
      <w:r w:rsidRPr="00C8639A">
        <w:t xml:space="preserve"> - Zakotvení ustanovení rozšiřující katalog skutkových podstat</w:t>
      </w:r>
      <w:r w:rsidR="00764891" w:rsidRPr="00764891">
        <w:t xml:space="preserve"> </w:t>
      </w:r>
      <w:r w:rsidR="00764891">
        <w:t>pořádkových deliktů</w:t>
      </w:r>
    </w:p>
    <w:p w:rsidR="005A4518" w:rsidRDefault="005A4518" w:rsidP="0021075C">
      <w:r>
        <w:t>Přínosem varianty 2 je pravděpodobné zvýšení objemu příjmů státního rozpočtu. Velkým přínosem je také odstrašující efekt vůči soutěžitelům a z toho plynoucí efektivnější vedení řízení.</w:t>
      </w:r>
    </w:p>
    <w:p w:rsidR="00D35614" w:rsidRDefault="00D35614" w:rsidP="00293617">
      <w:pPr>
        <w:pStyle w:val="Tetnadpis"/>
        <w:rPr>
          <w:u w:val="single"/>
        </w:rPr>
      </w:pPr>
      <w:r w:rsidRPr="00775224">
        <w:t>Součinnost policie</w:t>
      </w:r>
    </w:p>
    <w:p w:rsidR="00D22548" w:rsidRPr="00D87213" w:rsidRDefault="00D22548" w:rsidP="00293617">
      <w:pPr>
        <w:pStyle w:val="Variantnnadpis"/>
      </w:pPr>
      <w:r w:rsidRPr="00D87213">
        <w:t xml:space="preserve">Varianta 0 - zachování </w:t>
      </w:r>
      <w:r w:rsidR="00766133">
        <w:t>současného</w:t>
      </w:r>
      <w:r w:rsidRPr="00D87213">
        <w:t xml:space="preserve"> stavu</w:t>
      </w:r>
    </w:p>
    <w:p w:rsidR="00826540" w:rsidRDefault="00827923" w:rsidP="00293617">
      <w:r w:rsidRPr="00827923">
        <w:t xml:space="preserve"> </w:t>
      </w:r>
      <w:r>
        <w:t xml:space="preserve">Hmotné přínosy nelze identifikovat. </w:t>
      </w:r>
      <w:r>
        <w:rPr>
          <w:rFonts w:cs="Times New Roman"/>
          <w:szCs w:val="24"/>
        </w:rPr>
        <w:t xml:space="preserve">Přínosem této varianty je udržení rozsahu zákona v současné podobě. </w:t>
      </w:r>
      <w:r>
        <w:t>Vyvarování se přebytečné právní regulaci, zachování přehlednosti právního řádu</w:t>
      </w:r>
      <w:r w:rsidR="00D22548">
        <w:t>.</w:t>
      </w:r>
      <w:r w:rsidR="00826540">
        <w:t xml:space="preserve"> </w:t>
      </w:r>
    </w:p>
    <w:p w:rsidR="00D22548" w:rsidRDefault="00D22548" w:rsidP="00293617">
      <w:pPr>
        <w:pStyle w:val="Variantnnadpis"/>
      </w:pPr>
      <w:r w:rsidRPr="00BB600C">
        <w:t xml:space="preserve">Varianta 1 - včlenění nového výslovné ustanovení do </w:t>
      </w:r>
      <w:r w:rsidR="00673DF2" w:rsidRPr="00673DF2">
        <w:t>zákon</w:t>
      </w:r>
      <w:r w:rsidR="00673DF2">
        <w:t>a</w:t>
      </w:r>
      <w:r w:rsidR="00673DF2" w:rsidRPr="00673DF2">
        <w:t xml:space="preserve"> o ochraně hospodářské soutěže</w:t>
      </w:r>
    </w:p>
    <w:p w:rsidR="00826540" w:rsidRDefault="00D22548" w:rsidP="00293617">
      <w:r>
        <w:t>P</w:t>
      </w:r>
      <w:r w:rsidRPr="0037549B">
        <w:t>osílení právního postavení Úřadu</w:t>
      </w:r>
      <w:r w:rsidR="00B57C5C">
        <w:t>, jednoznačná úprava této problematiky, transponování Směrnice, zamezení možnosti odlišných výkladů, což přispívá ke zvýšení právní jistoty</w:t>
      </w:r>
      <w:r>
        <w:t>.</w:t>
      </w:r>
      <w:r w:rsidR="00826540">
        <w:t xml:space="preserve"> </w:t>
      </w:r>
      <w:r w:rsidR="00771086">
        <w:t>Při využití této varianty nastane stav, kdy žádné šetření na místě nebude zmařeno z důvodu neproveditelnosti způsobené obstrukcemi soutěžitele, neboť jeho řádné realizaci bude napomáhat policejní sbor. Úspěšnost místního šetření tak bude zajištěna ze sta procent.</w:t>
      </w:r>
    </w:p>
    <w:p w:rsidR="00D35614" w:rsidRPr="00EE1AEA" w:rsidRDefault="00D35614" w:rsidP="00293617">
      <w:pPr>
        <w:pStyle w:val="Tetnadpis"/>
        <w:rPr>
          <w:u w:val="single"/>
        </w:rPr>
      </w:pPr>
      <w:r w:rsidRPr="00775224">
        <w:lastRenderedPageBreak/>
        <w:t>Nezávislost Úřadu</w:t>
      </w:r>
    </w:p>
    <w:p w:rsidR="006E49AF" w:rsidRPr="003D605F" w:rsidRDefault="006E49AF" w:rsidP="00293617">
      <w:pPr>
        <w:pStyle w:val="Variantnnadpis"/>
      </w:pPr>
      <w:r w:rsidRPr="003D605F">
        <w:t xml:space="preserve">Varianta 0 - </w:t>
      </w:r>
      <w:r w:rsidR="001F609B">
        <w:t>Zachování současného stavu</w:t>
      </w:r>
    </w:p>
    <w:p w:rsidR="00826540" w:rsidRDefault="00D200CE" w:rsidP="00293617">
      <w:r>
        <w:rPr>
          <w:rFonts w:cs="Times New Roman"/>
          <w:szCs w:val="24"/>
        </w:rPr>
        <w:t xml:space="preserve">Udržení rozsahu zákona v současné podobě. </w:t>
      </w:r>
      <w:r>
        <w:t xml:space="preserve">Vyvarování se přebytečné právní regulaci, zachování přehlednosti právního řádu. </w:t>
      </w:r>
      <w:r w:rsidR="00826540">
        <w:t>Hmotné přínosy nelze identifikovat.</w:t>
      </w:r>
    </w:p>
    <w:p w:rsidR="006E49AF" w:rsidRDefault="006E49AF" w:rsidP="00293617">
      <w:pPr>
        <w:pStyle w:val="Variantnnadpis"/>
      </w:pPr>
      <w:r w:rsidRPr="003D605F">
        <w:t xml:space="preserve">Varianta 1 - výslovná kodifikace nezávislosti Úřadu včetně úpravy </w:t>
      </w:r>
      <w:r w:rsidR="00E1769B">
        <w:t>vy</w:t>
      </w:r>
      <w:r w:rsidRPr="003D605F">
        <w:t>dávání výroční zprávy</w:t>
      </w:r>
      <w:r>
        <w:t xml:space="preserve"> </w:t>
      </w:r>
    </w:p>
    <w:p w:rsidR="0083717F" w:rsidRPr="0083717F" w:rsidRDefault="0083717F" w:rsidP="0083717F">
      <w:pPr>
        <w:rPr>
          <w:rFonts w:cs="Times New Roman"/>
          <w:szCs w:val="24"/>
        </w:rPr>
      </w:pPr>
      <w:r w:rsidRPr="0083717F">
        <w:rPr>
          <w:rFonts w:cs="Times New Roman"/>
          <w:szCs w:val="24"/>
        </w:rPr>
        <w:t>Směrnice</w:t>
      </w:r>
      <w:r w:rsidR="00E87EE2">
        <w:rPr>
          <w:rFonts w:cs="Times New Roman"/>
          <w:szCs w:val="24"/>
        </w:rPr>
        <w:t>,</w:t>
      </w:r>
      <w:r w:rsidRPr="0083717F">
        <w:rPr>
          <w:rFonts w:cs="Times New Roman"/>
          <w:szCs w:val="24"/>
        </w:rPr>
        <w:t xml:space="preserve"> </w:t>
      </w:r>
      <w:r>
        <w:rPr>
          <w:rFonts w:cs="Times New Roman"/>
          <w:szCs w:val="24"/>
        </w:rPr>
        <w:t xml:space="preserve">která má být implementována do českého právního řádu </w:t>
      </w:r>
      <w:r w:rsidRPr="0083717F">
        <w:rPr>
          <w:rFonts w:cs="Times New Roman"/>
          <w:szCs w:val="24"/>
        </w:rPr>
        <w:t>má zajistit, že vnitrostátní orgány pro hospodářskou soutěž mají potřebné záruky nezávislosti, zdroje</w:t>
      </w:r>
      <w:r w:rsidR="00E87EE2">
        <w:rPr>
          <w:rFonts w:cs="Times New Roman"/>
          <w:szCs w:val="24"/>
        </w:rPr>
        <w:br/>
      </w:r>
      <w:r w:rsidRPr="0083717F">
        <w:rPr>
          <w:rFonts w:cs="Times New Roman"/>
          <w:szCs w:val="24"/>
        </w:rPr>
        <w:t xml:space="preserve">a pravomoci při prosazování práva a ukládání pokut, aby mohly účinně uplatňovat články 101 a 102 </w:t>
      </w:r>
      <w:r w:rsidR="00F375E0">
        <w:rPr>
          <w:rFonts w:cs="Times New Roman"/>
          <w:szCs w:val="24"/>
        </w:rPr>
        <w:t>SFEU</w:t>
      </w:r>
      <w:r w:rsidRPr="0083717F">
        <w:rPr>
          <w:rFonts w:cs="Times New Roman"/>
          <w:szCs w:val="24"/>
        </w:rPr>
        <w:t>. Přínosem návrhu je p</w:t>
      </w:r>
      <w:r w:rsidR="00D22548" w:rsidRPr="0083717F">
        <w:rPr>
          <w:rFonts w:cs="Times New Roman"/>
          <w:szCs w:val="24"/>
        </w:rPr>
        <w:t>osílení právního postavení Úřadu</w:t>
      </w:r>
      <w:r w:rsidR="001C47CC" w:rsidRPr="0083717F">
        <w:rPr>
          <w:rFonts w:cs="Times New Roman"/>
          <w:szCs w:val="24"/>
        </w:rPr>
        <w:t xml:space="preserve">, jednoznačná úprava této problematiky, transponování Směrnice, </w:t>
      </w:r>
      <w:r w:rsidR="00D200CE" w:rsidRPr="0083717F">
        <w:rPr>
          <w:rFonts w:cs="Times New Roman"/>
          <w:szCs w:val="24"/>
        </w:rPr>
        <w:t xml:space="preserve">právně zaručená nezávislost Úřadu, </w:t>
      </w:r>
      <w:r w:rsidR="001C47CC" w:rsidRPr="0083717F">
        <w:rPr>
          <w:rFonts w:cs="Times New Roman"/>
          <w:szCs w:val="24"/>
        </w:rPr>
        <w:t>zvýšení právní jistoty.</w:t>
      </w:r>
      <w:r w:rsidR="00826540" w:rsidRPr="0083717F">
        <w:rPr>
          <w:rFonts w:cs="Times New Roman"/>
          <w:szCs w:val="24"/>
        </w:rPr>
        <w:t xml:space="preserve"> Hmotné přínosy nelze identifikovat.</w:t>
      </w:r>
      <w:r w:rsidRPr="0083717F">
        <w:rPr>
          <w:rFonts w:cs="Times New Roman"/>
          <w:szCs w:val="24"/>
        </w:rPr>
        <w:t xml:space="preserve"> </w:t>
      </w:r>
    </w:p>
    <w:p w:rsidR="00984D1A" w:rsidRPr="00775224" w:rsidRDefault="00984D1A" w:rsidP="00293617">
      <w:pPr>
        <w:pStyle w:val="Tetnadpis"/>
      </w:pPr>
      <w:r w:rsidRPr="00775224">
        <w:t>Závazky orgánů veřejné správy</w:t>
      </w:r>
    </w:p>
    <w:p w:rsidR="00984D1A" w:rsidRPr="002F5E56" w:rsidRDefault="00984D1A" w:rsidP="00293617">
      <w:pPr>
        <w:pStyle w:val="Variantnnadpis"/>
      </w:pPr>
      <w:r w:rsidRPr="002F5E56">
        <w:t>Varianta 0 - Zachování současného stavu</w:t>
      </w:r>
    </w:p>
    <w:p w:rsidR="00984D1A" w:rsidRDefault="0000616C" w:rsidP="00293617">
      <w:r>
        <w:t>Přínosem této varianty je absence změny právního řádu.</w:t>
      </w:r>
    </w:p>
    <w:p w:rsidR="00984D1A" w:rsidRPr="00984D1A" w:rsidRDefault="00984D1A" w:rsidP="00293617">
      <w:pPr>
        <w:pStyle w:val="Variantnnadpis"/>
      </w:pPr>
      <w:r w:rsidRPr="00984D1A">
        <w:t>Varianta 1 - Zakotvení ustanovení o možnosti orgánů veřejné správy navrhnout závazky</w:t>
      </w:r>
    </w:p>
    <w:p w:rsidR="00984D1A" w:rsidRPr="00984D1A" w:rsidRDefault="00984D1A" w:rsidP="00293617">
      <w:r>
        <w:t>Orgánům veřejné správy</w:t>
      </w:r>
      <w:r w:rsidRPr="00984D1A">
        <w:t xml:space="preserve"> se navrhovanou úpravou umožňuje, aby navrhli Úřadu opatření, která by reagovala na výhrady, které má Úřad k jejich jednání. Pokud by tato opatření byla pro ochranu hospodářské soutěže dostatečná, bylo by velmi rychle dosaženo vlastního účelu regulace hospodářské soutěže, tedy nápravy situace na trhu, protože jejich splnění by odstranilo závadný stav, vzbuzující výhrady Úřadu. Úřad by tak mohl řízení zastavit a věnovat své zdroje závažnějším případům narušení soutěže.</w:t>
      </w:r>
      <w:r w:rsidR="00177564">
        <w:t xml:space="preserve"> </w:t>
      </w:r>
      <w:r w:rsidR="00856698">
        <w:t xml:space="preserve"> </w:t>
      </w:r>
      <w:r w:rsidR="006A560E">
        <w:t xml:space="preserve">Předpokladem je, že třetina řízení s orgány státní správy bude ukončena přijetím navrhovaných závazků s ohledem na zkušenosti Úřadu s využití tohoto institutu u řízení ve věci zneužití dominantního postavení. </w:t>
      </w:r>
      <w:r w:rsidR="00856698">
        <w:t>Přínosem je tedy usnadnění vedení řízení, rychlejší náprava hospodářské soutěže a</w:t>
      </w:r>
      <w:r w:rsidR="006A560E">
        <w:t> </w:t>
      </w:r>
      <w:r w:rsidR="00856698">
        <w:t xml:space="preserve">úspora finančních i personálních zdrojů </w:t>
      </w:r>
      <w:r w:rsidR="006A560E">
        <w:t xml:space="preserve">ve třetině řízení </w:t>
      </w:r>
      <w:r w:rsidR="00856698">
        <w:t>při stejném výsledku tohoto řízení</w:t>
      </w:r>
      <w:r w:rsidR="006A560E">
        <w:t xml:space="preserve"> nejen ve zkrácení daného řízení ale i při následujících úkonem, např. exekuce správního rozhodnutí</w:t>
      </w:r>
      <w:r w:rsidR="00856698">
        <w:t>.</w:t>
      </w:r>
    </w:p>
    <w:p w:rsidR="00984D1A" w:rsidRPr="00984D1A" w:rsidRDefault="00984D1A" w:rsidP="00293617">
      <w:pPr>
        <w:pStyle w:val="Variantnnadpis"/>
      </w:pPr>
      <w:r w:rsidRPr="00984D1A">
        <w:t>Varianta 2 – Sjednocení ustanovení o možnosti soutěžitelů a orgánů veřejné správy navrhovat závazky</w:t>
      </w:r>
    </w:p>
    <w:p w:rsidR="00247771" w:rsidRDefault="00177564" w:rsidP="00293617">
      <w:r>
        <w:t>Přínos varianty 2 je stejný jako u varianty 1.</w:t>
      </w:r>
      <w:r w:rsidR="0000616C">
        <w:t xml:space="preserve"> Jedná se však o </w:t>
      </w:r>
      <w:r w:rsidR="00AF626E">
        <w:t xml:space="preserve">rozsáhlejší </w:t>
      </w:r>
      <w:r w:rsidR="0000616C">
        <w:t>zásah do zákona.</w:t>
      </w:r>
    </w:p>
    <w:p w:rsidR="00AD0D07" w:rsidRDefault="00AD0D07" w:rsidP="00293617">
      <w:pPr>
        <w:pStyle w:val="Tetnadpis"/>
      </w:pPr>
      <w:r>
        <w:t>Shovívavost</w:t>
      </w:r>
    </w:p>
    <w:p w:rsidR="00B66DFF" w:rsidRPr="002F5E56" w:rsidRDefault="00B66DFF" w:rsidP="00B66DFF">
      <w:pPr>
        <w:pStyle w:val="Variantnnadpis"/>
      </w:pPr>
      <w:r>
        <w:t>Varianta 0</w:t>
      </w:r>
      <w:r w:rsidR="006239DC">
        <w:t xml:space="preserve"> – Zachování současného stavu</w:t>
      </w:r>
    </w:p>
    <w:p w:rsidR="00967E61" w:rsidRDefault="00746573" w:rsidP="00B66DFF">
      <w:r>
        <w:t xml:space="preserve">Potencionální přínosy </w:t>
      </w:r>
      <w:r w:rsidR="00D92F6A">
        <w:t>nebudou, dochází</w:t>
      </w:r>
      <w:r w:rsidR="001B0437">
        <w:t xml:space="preserve"> </w:t>
      </w:r>
      <w:r w:rsidR="00D92F6A">
        <w:t>k</w:t>
      </w:r>
      <w:r w:rsidR="00EE7EE9">
        <w:t xml:space="preserve"> zachování současného platného stavu. Adresáti práva </w:t>
      </w:r>
      <w:r w:rsidR="000754E0">
        <w:t xml:space="preserve">nemusí </w:t>
      </w:r>
      <w:r w:rsidR="00EE7EE9">
        <w:t xml:space="preserve">vynakládat </w:t>
      </w:r>
      <w:r w:rsidR="003C5E4D">
        <w:t xml:space="preserve">přímé hmotné </w:t>
      </w:r>
      <w:r w:rsidR="00EE7EE9">
        <w:t xml:space="preserve">náklady na </w:t>
      </w:r>
      <w:r w:rsidR="00967E61">
        <w:t>dodržování regulace</w:t>
      </w:r>
      <w:r w:rsidR="00EE7EE9">
        <w:t xml:space="preserve">. </w:t>
      </w:r>
    </w:p>
    <w:p w:rsidR="00B66DFF" w:rsidRDefault="0012066B" w:rsidP="00B66DFF">
      <w:r>
        <w:t>Administrativní zátěž</w:t>
      </w:r>
      <w:r w:rsidR="00F92498">
        <w:t xml:space="preserve"> na vynucování nové regulace na straně</w:t>
      </w:r>
      <w:r>
        <w:t xml:space="preserve"> regulátora nevzroste</w:t>
      </w:r>
      <w:r w:rsidR="00EE7EE9">
        <w:t>.</w:t>
      </w:r>
    </w:p>
    <w:p w:rsidR="00B66DFF" w:rsidRPr="00984D1A" w:rsidRDefault="00B66DFF" w:rsidP="00B66DFF">
      <w:pPr>
        <w:pStyle w:val="Variantnnadpis"/>
      </w:pPr>
      <w:r>
        <w:lastRenderedPageBreak/>
        <w:t>Varianta 1</w:t>
      </w:r>
      <w:r w:rsidR="006239DC">
        <w:t xml:space="preserve"> </w:t>
      </w:r>
      <w:r w:rsidR="006239DC" w:rsidRPr="005E729B">
        <w:rPr>
          <w:rFonts w:cs="Times New Roman"/>
          <w:szCs w:val="24"/>
        </w:rPr>
        <w:t>– Nový dvojí režim shovívavosti</w:t>
      </w:r>
    </w:p>
    <w:p w:rsidR="00B66DFF" w:rsidRDefault="00FD445C" w:rsidP="00B66DFF">
      <w:r>
        <w:t>Přínosy</w:t>
      </w:r>
      <w:r w:rsidR="00B66DFF">
        <w:t xml:space="preserve"> </w:t>
      </w:r>
      <w:r w:rsidR="002C6F6F">
        <w:t xml:space="preserve">jsou identifikovatelné na evropské úrovni, kdy tento celoevropský instrument v současnosti, již používaný ve vertikálním vztahu Evropské Komise a členských států, </w:t>
      </w:r>
      <w:r w:rsidR="001B0437">
        <w:t>má být</w:t>
      </w:r>
      <w:r w:rsidR="002C6F6F">
        <w:t xml:space="preserve"> nově využitelný i mezi členskými státy navzájem.</w:t>
      </w:r>
      <w:r w:rsidR="00CE18BE" w:rsidRPr="00CE18BE">
        <w:t xml:space="preserve"> </w:t>
      </w:r>
      <w:r w:rsidR="00CE18BE">
        <w:t xml:space="preserve">Zároveň na ústřední evropské úrovni tkví </w:t>
      </w:r>
      <w:r w:rsidR="001B0437">
        <w:t xml:space="preserve">přínos </w:t>
      </w:r>
      <w:r w:rsidR="00CE18BE">
        <w:t>v potencionálním odbřemenění Evropské Komise.</w:t>
      </w:r>
      <w:r w:rsidR="009933C2">
        <w:t xml:space="preserve"> </w:t>
      </w:r>
      <w:r w:rsidR="002C6F6F">
        <w:t>Konkrétním přínosem na</w:t>
      </w:r>
      <w:r w:rsidR="009933C2">
        <w:t> </w:t>
      </w:r>
      <w:r w:rsidR="002C6F6F">
        <w:t xml:space="preserve">obecné úrovni </w:t>
      </w:r>
      <w:r w:rsidR="000754E0">
        <w:t>je</w:t>
      </w:r>
      <w:r w:rsidR="002C6F6F">
        <w:t xml:space="preserve"> sjednocení celého systému spolupráce v otázce vzájemného vymáhání evropského soutěžního práva.</w:t>
      </w:r>
      <w:r w:rsidR="008D62FD">
        <w:t xml:space="preserve"> Zvýš</w:t>
      </w:r>
      <w:r w:rsidR="00CE18BE">
        <w:t xml:space="preserve">í se </w:t>
      </w:r>
      <w:r w:rsidR="008D62FD">
        <w:t>vymahatelnost a efektivita sankcionování při porušení evropských soutěžních pravidel.</w:t>
      </w:r>
      <w:r w:rsidR="00954888" w:rsidRPr="00954888">
        <w:t xml:space="preserve"> </w:t>
      </w:r>
      <w:r w:rsidR="00954888">
        <w:t>Regulační náklady na dodržování regulace budou nižší, neboť bude sjednocen režim evropský s národními.</w:t>
      </w:r>
    </w:p>
    <w:p w:rsidR="00B66DFF" w:rsidRDefault="00CC32FA" w:rsidP="00B66DFF">
      <w:pPr>
        <w:pStyle w:val="Variantnnadpis"/>
      </w:pPr>
      <w:r>
        <w:t>Varianta 2</w:t>
      </w:r>
      <w:r w:rsidR="006239DC">
        <w:t xml:space="preserve"> </w:t>
      </w:r>
      <w:r w:rsidR="006239DC" w:rsidRPr="005E729B">
        <w:rPr>
          <w:rFonts w:cs="Times New Roman"/>
          <w:szCs w:val="24"/>
        </w:rPr>
        <w:t xml:space="preserve">– Nový </w:t>
      </w:r>
      <w:r w:rsidR="006239DC">
        <w:rPr>
          <w:rFonts w:cs="Times New Roman"/>
          <w:szCs w:val="24"/>
        </w:rPr>
        <w:t xml:space="preserve">jednotný </w:t>
      </w:r>
      <w:r w:rsidR="006239DC" w:rsidRPr="005E729B">
        <w:rPr>
          <w:rFonts w:cs="Times New Roman"/>
          <w:szCs w:val="24"/>
        </w:rPr>
        <w:t>režim shovívavosti</w:t>
      </w:r>
    </w:p>
    <w:p w:rsidR="00B66DFF" w:rsidRPr="00E16664" w:rsidRDefault="00F6641F" w:rsidP="00B66DFF">
      <w:r>
        <w:t xml:space="preserve">Zásadní přínos </w:t>
      </w:r>
      <w:r w:rsidR="00396B93">
        <w:t>by spočíval v</w:t>
      </w:r>
      <w:r w:rsidR="00965573">
        <w:t xml:space="preserve"> zachování jednodušší normativní úpravy v dané oblasti a</w:t>
      </w:r>
      <w:r w:rsidR="001400BB">
        <w:t> </w:t>
      </w:r>
      <w:r w:rsidR="00965573">
        <w:t>přehlednějšímu právnímu řádu.</w:t>
      </w:r>
      <w:r w:rsidR="00396B93">
        <w:t xml:space="preserve"> Adresátům normy </w:t>
      </w:r>
      <w:r w:rsidR="008D56C2">
        <w:t xml:space="preserve">vznikne vyšší míra právní jistoty </w:t>
      </w:r>
      <w:r w:rsidR="009933C2">
        <w:t>(z </w:t>
      </w:r>
      <w:r w:rsidR="00767841">
        <w:t>pohledu principu vzájemné bezrozpornosti právního řádu)</w:t>
      </w:r>
      <w:r w:rsidR="00954888">
        <w:t xml:space="preserve">. </w:t>
      </w:r>
      <w:r w:rsidR="009933C2">
        <w:t>Regulační náklady na </w:t>
      </w:r>
      <w:r w:rsidR="009F637E">
        <w:t>dodržování regulace budou nižší, neboť bude sjednocen režim evropský s národními.</w:t>
      </w:r>
    </w:p>
    <w:p w:rsidR="00AD0D07" w:rsidRDefault="00AD0D07" w:rsidP="00293617">
      <w:pPr>
        <w:pStyle w:val="Tetnadpis"/>
      </w:pPr>
      <w:r>
        <w:t>Narovnání</w:t>
      </w:r>
    </w:p>
    <w:p w:rsidR="00B66DFF" w:rsidRPr="002F5E56" w:rsidRDefault="00B66DFF" w:rsidP="00B66DFF">
      <w:pPr>
        <w:pStyle w:val="Variantnnadpis"/>
      </w:pPr>
      <w:r>
        <w:t>Varianta 0</w:t>
      </w:r>
      <w:r w:rsidR="00430434">
        <w:t xml:space="preserve"> – Zachování současného stavu</w:t>
      </w:r>
    </w:p>
    <w:p w:rsidR="002149D7" w:rsidRDefault="009E06F2" w:rsidP="002149D7">
      <w:r>
        <w:t xml:space="preserve">Hmotné (ekonomické) přínosy spočívají v ušetření potencionálních nákladů na </w:t>
      </w:r>
      <w:r w:rsidR="003636E6">
        <w:t>adaptaci</w:t>
      </w:r>
      <w:r>
        <w:t xml:space="preserve"> </w:t>
      </w:r>
      <w:r w:rsidR="003636E6">
        <w:t xml:space="preserve">na </w:t>
      </w:r>
      <w:r>
        <w:t>nov</w:t>
      </w:r>
      <w:r w:rsidR="003636E6">
        <w:t>ou</w:t>
      </w:r>
      <w:r w:rsidR="004A4FFC">
        <w:t xml:space="preserve"> právní regulaci</w:t>
      </w:r>
      <w:r w:rsidR="00A32283">
        <w:t xml:space="preserve">. </w:t>
      </w:r>
      <w:r w:rsidR="006E75F1" w:rsidRPr="006E75F1">
        <w:t xml:space="preserve">Nevznikají </w:t>
      </w:r>
      <w:r>
        <w:t xml:space="preserve">tak </w:t>
      </w:r>
      <w:r w:rsidR="006E75F1" w:rsidRPr="006E75F1">
        <w:t>náklady</w:t>
      </w:r>
      <w:r w:rsidR="009933C2">
        <w:t xml:space="preserve"> na </w:t>
      </w:r>
      <w:r w:rsidR="006E75F1">
        <w:t>interní i externí právní služby spojené s</w:t>
      </w:r>
      <w:r>
        <w:t xml:space="preserve">e souladem (tzv. </w:t>
      </w:r>
      <w:proofErr w:type="spellStart"/>
      <w:r>
        <w:t>compliance</w:t>
      </w:r>
      <w:proofErr w:type="spellEnd"/>
      <w:r>
        <w:t>) s</w:t>
      </w:r>
      <w:r w:rsidR="006E75F1">
        <w:t xml:space="preserve">novou </w:t>
      </w:r>
      <w:r w:rsidR="00D13178">
        <w:t xml:space="preserve">legislativní </w:t>
      </w:r>
      <w:r w:rsidR="006E75F1">
        <w:t>úpravou.</w:t>
      </w:r>
    </w:p>
    <w:p w:rsidR="00A711E2" w:rsidRDefault="000219FD" w:rsidP="002149D7">
      <w:r>
        <w:t xml:space="preserve">Jako nehmotný přínos při nulových variantách je potřeba pravidelně zdůrazňovat podporu </w:t>
      </w:r>
      <w:r w:rsidR="00B064F8">
        <w:t xml:space="preserve">zásadě stability právního řádu. Zachování současného platného </w:t>
      </w:r>
      <w:r w:rsidR="00D90EF2">
        <w:t xml:space="preserve">právního </w:t>
      </w:r>
      <w:r w:rsidR="00B064F8">
        <w:t xml:space="preserve">stavu udržuje </w:t>
      </w:r>
      <w:r w:rsidR="003636E6">
        <w:t>trvalost a</w:t>
      </w:r>
      <w:r w:rsidR="00C53C18">
        <w:t> </w:t>
      </w:r>
      <w:r w:rsidR="00B064F8">
        <w:t>přehlednost právního řádu.</w:t>
      </w:r>
    </w:p>
    <w:p w:rsidR="008E6E10" w:rsidRDefault="008E6E10" w:rsidP="008E6E10">
      <w:pPr>
        <w:pStyle w:val="Variantnnadpis"/>
      </w:pPr>
      <w:r>
        <w:t xml:space="preserve">Varianta 1 </w:t>
      </w:r>
      <w:r w:rsidRPr="00CC6F63">
        <w:rPr>
          <w:rFonts w:cs="Times New Roman"/>
          <w:szCs w:val="24"/>
        </w:rPr>
        <w:t>– Pružnější vedení jednání o narovnání</w:t>
      </w:r>
      <w:r>
        <w:rPr>
          <w:rFonts w:cs="Times New Roman"/>
          <w:szCs w:val="24"/>
        </w:rPr>
        <w:t xml:space="preserve"> </w:t>
      </w:r>
    </w:p>
    <w:p w:rsidR="00366ACD" w:rsidRDefault="00366ACD" w:rsidP="003E5336">
      <w:r>
        <w:t xml:space="preserve">Základním </w:t>
      </w:r>
      <w:r w:rsidR="00536854">
        <w:t xml:space="preserve">nehmotným </w:t>
      </w:r>
      <w:r>
        <w:t xml:space="preserve">přínosem pozměněné úpravy institutu narovnání je především jeho systematické vyčlenění do </w:t>
      </w:r>
      <w:r w:rsidR="00536854">
        <w:t xml:space="preserve">nového </w:t>
      </w:r>
      <w:r>
        <w:t xml:space="preserve">samostatného ustanovení. </w:t>
      </w:r>
      <w:r w:rsidR="00D476C0">
        <w:t xml:space="preserve">Zvýší se tak zásadně </w:t>
      </w:r>
      <w:r w:rsidR="00490135">
        <w:t>systematická přehlednost zákona</w:t>
      </w:r>
      <w:r w:rsidR="00C03633">
        <w:t>.</w:t>
      </w:r>
      <w:r w:rsidR="00490135">
        <w:t xml:space="preserve"> </w:t>
      </w:r>
      <w:r w:rsidR="001E7E76">
        <w:t xml:space="preserve">Zavedením legislativní zkratky k institutu narovnání do nadpisu se zpřehlední normativní text. Zároveň </w:t>
      </w:r>
      <w:r w:rsidR="00C03633">
        <w:t xml:space="preserve">je po terminologické stránce zdůrazněno, že v případě narovnání se jedná o dlouhodobější „proces“ narovnání, který probíhá v rámci správního řízení. Pozitivem je zakotvení základních postupů dosavadní metodické praxe narovnání sepsané v softlaw metodice do </w:t>
      </w:r>
      <w:r w:rsidR="00FC0908">
        <w:t xml:space="preserve">normativního </w:t>
      </w:r>
      <w:r w:rsidR="00C03633">
        <w:t>t</w:t>
      </w:r>
      <w:r w:rsidR="00FC0908">
        <w:t>e</w:t>
      </w:r>
      <w:r w:rsidR="00C03633">
        <w:t>xtu.</w:t>
      </w:r>
    </w:p>
    <w:p w:rsidR="00127A6C" w:rsidRDefault="00F96F7D" w:rsidP="003E5336">
      <w:r>
        <w:t xml:space="preserve">Možnost </w:t>
      </w:r>
      <w:r w:rsidR="005A0A02">
        <w:t>vyšší</w:t>
      </w:r>
      <w:r>
        <w:t>ch</w:t>
      </w:r>
      <w:r w:rsidR="005A0A02">
        <w:t xml:space="preserve"> úspor procesních nákladů při vedení správních řízení</w:t>
      </w:r>
      <w:r>
        <w:t xml:space="preserve"> je z hlediska nákladů na vynucování regulace ze strany Úřadu </w:t>
      </w:r>
      <w:r w:rsidR="00127A6C">
        <w:t xml:space="preserve">hmotným </w:t>
      </w:r>
      <w:r>
        <w:t>přínosem</w:t>
      </w:r>
      <w:r w:rsidR="00A44A35">
        <w:t xml:space="preserve"> při zavedení komplexnější a podrobnější úpravy institutu narovnání do samostatného</w:t>
      </w:r>
      <w:r w:rsidR="003A67B2">
        <w:t xml:space="preserve"> normativního ustanovení zákona</w:t>
      </w:r>
      <w:r w:rsidR="005A0A02">
        <w:t xml:space="preserve">. </w:t>
      </w:r>
    </w:p>
    <w:p w:rsidR="003E5336" w:rsidRDefault="00DE3928" w:rsidP="003E5336">
      <w:r>
        <w:t xml:space="preserve">Další </w:t>
      </w:r>
      <w:r w:rsidR="00127A6C">
        <w:t xml:space="preserve">procesní </w:t>
      </w:r>
      <w:r>
        <w:t>přínos</w:t>
      </w:r>
      <w:r w:rsidR="00663367">
        <w:t xml:space="preserve"> spočívá</w:t>
      </w:r>
      <w:r w:rsidR="009E64A8">
        <w:t xml:space="preserve"> </w:t>
      </w:r>
      <w:r w:rsidR="00127A6C">
        <w:t>v potencionálně  </w:t>
      </w:r>
      <w:r>
        <w:t>větší efektivi</w:t>
      </w:r>
      <w:r w:rsidR="00235CDB">
        <w:t>tě vedených správních řízení. Zvyšuje</w:t>
      </w:r>
      <w:r>
        <w:t xml:space="preserve"> </w:t>
      </w:r>
      <w:r w:rsidR="00235CDB">
        <w:t>se možnost</w:t>
      </w:r>
      <w:r>
        <w:t xml:space="preserve"> dosáhnout sledovaného účelu zákona</w:t>
      </w:r>
      <w:r w:rsidR="003A67B2">
        <w:t>, pokud Úřad má při vedení správních řízení a procesu narovnání pružnější mantinely diskrece při stanovení výše pokuty</w:t>
      </w:r>
      <w:r>
        <w:t>.</w:t>
      </w:r>
      <w:r w:rsidR="00127A6C">
        <w:t xml:space="preserve"> </w:t>
      </w:r>
    </w:p>
    <w:p w:rsidR="00B66DFF" w:rsidRDefault="00B66DFF" w:rsidP="00B66DFF">
      <w:pPr>
        <w:pStyle w:val="Variantnnadpis"/>
      </w:pPr>
      <w:r>
        <w:lastRenderedPageBreak/>
        <w:t xml:space="preserve">Varianta 2 </w:t>
      </w:r>
      <w:r w:rsidR="00430434" w:rsidRPr="00CC6F63">
        <w:rPr>
          <w:rFonts w:cs="Times New Roman"/>
          <w:szCs w:val="24"/>
        </w:rPr>
        <w:t>– Pružnější vedení jednání o narovnání</w:t>
      </w:r>
      <w:r w:rsidR="00430434">
        <w:rPr>
          <w:rFonts w:cs="Times New Roman"/>
          <w:szCs w:val="24"/>
        </w:rPr>
        <w:t xml:space="preserve"> a samostatná jednání</w:t>
      </w:r>
    </w:p>
    <w:p w:rsidR="00142137" w:rsidRDefault="00CC038B" w:rsidP="00142137">
      <w:r>
        <w:t>Hmotný p</w:t>
      </w:r>
      <w:r w:rsidR="00142137">
        <w:t xml:space="preserve">řínos </w:t>
      </w:r>
      <w:r>
        <w:t xml:space="preserve">této varianty </w:t>
      </w:r>
      <w:r w:rsidR="00F75B57">
        <w:t>spočívá</w:t>
      </w:r>
      <w:r w:rsidR="00142137">
        <w:t xml:space="preserve"> </w:t>
      </w:r>
      <w:r>
        <w:t>oproti variantě 1 ve</w:t>
      </w:r>
      <w:r w:rsidR="00142137">
        <w:t xml:space="preserve"> </w:t>
      </w:r>
      <w:r>
        <w:t>zvýšené efektivit</w:t>
      </w:r>
      <w:r w:rsidR="00926E4F">
        <w:t>ě</w:t>
      </w:r>
      <w:r>
        <w:t xml:space="preserve"> </w:t>
      </w:r>
      <w:r w:rsidR="00142137">
        <w:t>vedených správních řízení</w:t>
      </w:r>
      <w:r w:rsidR="00926E4F">
        <w:t xml:space="preserve">, resp. </w:t>
      </w:r>
      <w:r w:rsidR="00F75B57">
        <w:t>vyšších úsporách nákladů řízení</w:t>
      </w:r>
      <w:r w:rsidR="00926E4F">
        <w:t>,</w:t>
      </w:r>
      <w:r>
        <w:t xml:space="preserve"> při </w:t>
      </w:r>
      <w:r w:rsidR="00926E4F">
        <w:t>eve</w:t>
      </w:r>
      <w:r w:rsidR="00252C30">
        <w:t>n</w:t>
      </w:r>
      <w:r w:rsidR="00926E4F">
        <w:t xml:space="preserve">tuální </w:t>
      </w:r>
      <w:r>
        <w:t>možnosti vést jednání v rámci procesu narovnání s každým účastníkem samostatně</w:t>
      </w:r>
      <w:r w:rsidR="00142137">
        <w:t>.</w:t>
      </w:r>
      <w:r>
        <w:t xml:space="preserve"> Efektivita bude spočívat ve větší pružnosti a variabilitě </w:t>
      </w:r>
      <w:r w:rsidR="00252C30">
        <w:t xml:space="preserve">odděleného </w:t>
      </w:r>
      <w:r>
        <w:t>vyjednávání s jednotlivými účastníky správního řízení.</w:t>
      </w:r>
    </w:p>
    <w:p w:rsidR="00AD0D07" w:rsidRDefault="00AD0D07" w:rsidP="00293617">
      <w:pPr>
        <w:pStyle w:val="Tetnadpis"/>
      </w:pPr>
      <w:r>
        <w:t>Vzájemná pomoc</w:t>
      </w:r>
    </w:p>
    <w:p w:rsidR="00B66DFF" w:rsidRPr="002F5E56" w:rsidRDefault="00B66DFF" w:rsidP="00B66DFF">
      <w:pPr>
        <w:pStyle w:val="Variantnnadpis"/>
      </w:pPr>
      <w:r>
        <w:t>Varianta 0</w:t>
      </w:r>
      <w:r w:rsidR="00C71259">
        <w:t xml:space="preserve"> – Zachování současného stavu</w:t>
      </w:r>
    </w:p>
    <w:p w:rsidR="00F96F7D" w:rsidRDefault="00434C45" w:rsidP="00F96F7D">
      <w:r>
        <w:t>Hmotné přínosy nelze identifikovat. Vyvarování se přebytečné právní regulaci, zachování přehlednosti právního řádu pro aplikující subjekty</w:t>
      </w:r>
      <w:r w:rsidR="00F96F7D">
        <w:rPr>
          <w:i/>
        </w:rPr>
        <w:t xml:space="preserve">. </w:t>
      </w:r>
      <w:r w:rsidR="00F96F7D" w:rsidRPr="006E75F1">
        <w:t>Nevznikají náklady</w:t>
      </w:r>
      <w:r w:rsidR="009E64A8">
        <w:t xml:space="preserve"> na </w:t>
      </w:r>
      <w:r w:rsidR="00E41D77">
        <w:t>dodržování nové regulace</w:t>
      </w:r>
    </w:p>
    <w:p w:rsidR="00C71259" w:rsidRDefault="00B66DFF" w:rsidP="00C71259">
      <w:pPr>
        <w:pStyle w:val="Variantnnadpis"/>
      </w:pPr>
      <w:r>
        <w:t xml:space="preserve">Varianta 1 </w:t>
      </w:r>
      <w:r w:rsidR="00C71259">
        <w:t>– Režim vzájemné pomoci s celním orgánem</w:t>
      </w:r>
    </w:p>
    <w:p w:rsidR="00F6641F" w:rsidRDefault="00F6641F" w:rsidP="00F6641F">
      <w:r>
        <w:t xml:space="preserve">Přínosy jsou identifikovatelné na evropské úrovni, kdy tento celoevropský instrument v současnosti, již používaný ve vertikálním vztahu Evropské Komise a členských států, </w:t>
      </w:r>
      <w:r w:rsidR="000C1E97">
        <w:t>bude</w:t>
      </w:r>
      <w:r>
        <w:t xml:space="preserve"> nově využitelný i mezi členskými státy navzájem.</w:t>
      </w:r>
      <w:r w:rsidR="003F10FC">
        <w:t xml:space="preserve"> </w:t>
      </w:r>
      <w:r w:rsidR="00FE1A93">
        <w:t>Z</w:t>
      </w:r>
      <w:r>
        <w:t>ásadní přínos na ústřední evropské úrovni tkv</w:t>
      </w:r>
      <w:r w:rsidR="003F10FC">
        <w:t xml:space="preserve">í </w:t>
      </w:r>
      <w:r>
        <w:t>v potencionálním odbřemenění Evropské Komise.</w:t>
      </w:r>
    </w:p>
    <w:p w:rsidR="007F1F57" w:rsidRDefault="001B672B" w:rsidP="00F6641F">
      <w:r>
        <w:t xml:space="preserve">Konkrétní přínos tohoto </w:t>
      </w:r>
      <w:r w:rsidR="005233A6">
        <w:t xml:space="preserve">režimu </w:t>
      </w:r>
      <w:r>
        <w:t xml:space="preserve">může spočívat v rychlejší proceduře a kratší lhůtě při vymáhání cizozemských rozhodnutí, pokud bude vynechán jeden kontaktní bod na národní úrovni při předávání žádostí o vymáhání. </w:t>
      </w:r>
      <w:r w:rsidR="007F1F57">
        <w:t xml:space="preserve">Při přímém kontaktu cizozemského soutěžního orgánu s exekučním správním orgánem na české straně se sníží administrativní zátěž cizozemského orgánu. </w:t>
      </w:r>
    </w:p>
    <w:p w:rsidR="004706DF" w:rsidRDefault="00B66DFF" w:rsidP="004706DF">
      <w:pPr>
        <w:pStyle w:val="Variantnnadpis"/>
      </w:pPr>
      <w:r>
        <w:t xml:space="preserve">Varianta 2 </w:t>
      </w:r>
      <w:r w:rsidR="004706DF">
        <w:t xml:space="preserve">– Režim vzájemné pomoci </w:t>
      </w:r>
      <w:r w:rsidR="00A27704">
        <w:t>ve spolupráci Úřadu a celního orgánu</w:t>
      </w:r>
    </w:p>
    <w:p w:rsidR="00B66DFF" w:rsidRDefault="00630B53" w:rsidP="00B66DFF">
      <w:r>
        <w:t>Z</w:t>
      </w:r>
      <w:r w:rsidR="004E170C">
        <w:t xml:space="preserve">achování </w:t>
      </w:r>
      <w:r w:rsidR="00DF61B0">
        <w:t xml:space="preserve">dosavadního </w:t>
      </w:r>
      <w:r w:rsidR="004E170C">
        <w:t xml:space="preserve">jednotného komunikačního kanálu mezi </w:t>
      </w:r>
      <w:r w:rsidR="007F1F57">
        <w:t xml:space="preserve">národními </w:t>
      </w:r>
      <w:r w:rsidR="004E170C">
        <w:t>soutěžními orgány</w:t>
      </w:r>
      <w:r w:rsidR="00FE7E7A">
        <w:t xml:space="preserve"> </w:t>
      </w:r>
      <w:r w:rsidR="007F1F57">
        <w:t xml:space="preserve">vykonávajícími jednotnou aplikaci evropských soutěžních pravidel je </w:t>
      </w:r>
      <w:r w:rsidR="00FE7E7A">
        <w:t>rozhodujícím přínosem této varianty</w:t>
      </w:r>
      <w:r w:rsidR="004E170C">
        <w:t xml:space="preserve">. </w:t>
      </w:r>
    </w:p>
    <w:p w:rsidR="007F1F57" w:rsidRDefault="007F1F57" w:rsidP="007F1F57">
      <w:r>
        <w:t xml:space="preserve">Konkrétním přínosem na obecné úrovni </w:t>
      </w:r>
      <w:r w:rsidR="00DA29F9">
        <w:t>bude</w:t>
      </w:r>
      <w:r>
        <w:t xml:space="preserve"> sjednocení celého systému spolupráce v otázce vzájemného vymáhání evropského soutěžního práv</w:t>
      </w:r>
      <w:r w:rsidR="009933C2">
        <w:t>a. Bude zvýšena vymahatelnost a </w:t>
      </w:r>
      <w:r>
        <w:t>efektivita sankcionování při porušení evropských soutěžních pravidel. Zároveň se závazně kodifikuje již fungující současná praxe vzájemných žádostí mezi soutěžními orgány členských států o doručování dokumentů (např. za období 2014 – 18 Úřad zaslal 6 žádostí).</w:t>
      </w:r>
    </w:p>
    <w:p w:rsidR="007F1F57" w:rsidRDefault="007F1F57" w:rsidP="007F1F57">
      <w:r>
        <w:t>Z pohledu českého národního regulátora v oblasti hospod</w:t>
      </w:r>
      <w:r w:rsidR="009933C2">
        <w:t>ářské soutěže přínos spočívá ve </w:t>
      </w:r>
      <w:r>
        <w:t>vyšší úspěšnosti při vedení šetření či správních řízení a vyšší vymahatelnosti pravomocných rozhodnutí.</w:t>
      </w:r>
    </w:p>
    <w:p w:rsidR="00DF61B0" w:rsidRDefault="00DF61B0" w:rsidP="00B66DFF">
      <w:r>
        <w:t xml:space="preserve">Další přínos je identifikovatelný v zachování větší právní jistoty (pro soutěžní orgány, Evropskou Komisi i samotné účastníky řízení) při výkladu soutěžních pravidel evropského práva, když by Úřad verifikoval právní správnost zaslaných žádostí. </w:t>
      </w:r>
    </w:p>
    <w:p w:rsidR="00DA29F9" w:rsidRPr="00E16664" w:rsidRDefault="00DA29F9" w:rsidP="00B66DFF">
      <w:r>
        <w:t>Novelizace proběhne pouze v oblasti práva hospodářské soutěže</w:t>
      </w:r>
      <w:r w:rsidR="0050453A">
        <w:t xml:space="preserve"> a vnitřních předpisů </w:t>
      </w:r>
      <w:r w:rsidR="00AF54E2">
        <w:t>Úřadu</w:t>
      </w:r>
      <w:r>
        <w:t>.</w:t>
      </w:r>
    </w:p>
    <w:p w:rsidR="00AD0D07" w:rsidRDefault="00AD0D07" w:rsidP="00293617">
      <w:pPr>
        <w:pStyle w:val="Tetnadpis"/>
      </w:pPr>
      <w:r w:rsidRPr="00775224">
        <w:lastRenderedPageBreak/>
        <w:t>Zpřístupnění informací obsažených ve spise</w:t>
      </w:r>
    </w:p>
    <w:p w:rsidR="00B66DFF" w:rsidRPr="002F5E56" w:rsidRDefault="00B66DFF" w:rsidP="00B66DFF">
      <w:pPr>
        <w:pStyle w:val="Variantnnadpis"/>
      </w:pPr>
      <w:r>
        <w:t>Varianta 0</w:t>
      </w:r>
      <w:r w:rsidR="009D2A60">
        <w:t xml:space="preserve"> – Zachování </w:t>
      </w:r>
      <w:r w:rsidR="00AB4C6F">
        <w:t>současného stavu</w:t>
      </w:r>
    </w:p>
    <w:p w:rsidR="002149D7" w:rsidRDefault="002149D7" w:rsidP="002149D7">
      <w:r>
        <w:t xml:space="preserve">Potencionální přínosy </w:t>
      </w:r>
      <w:r w:rsidR="00927BF9">
        <w:t>mohou</w:t>
      </w:r>
      <w:r>
        <w:t xml:space="preserve"> spočívat v zachování současného platného stavu. </w:t>
      </w:r>
      <w:r w:rsidR="001B16B5">
        <w:t>Nebude měněna příslušná legislativa na zákonné úrovni ani další související předpisy nižší úrovně.</w:t>
      </w:r>
      <w:r w:rsidR="00927BF9">
        <w:t xml:space="preserve"> Nebude tak zvýšena regulatorní zátěž adresátů práva.</w:t>
      </w:r>
    </w:p>
    <w:p w:rsidR="003F0167" w:rsidRDefault="003F0167" w:rsidP="003F0167">
      <w:r>
        <w:t>Zůstane nastavena s</w:t>
      </w:r>
      <w:r w:rsidR="002A3F94">
        <w:t>oučasná</w:t>
      </w:r>
      <w:r>
        <w:t xml:space="preserve"> úroveň ochrany programu shovívavosti a dokumentů distribuovaných v jeho režimu.</w:t>
      </w:r>
    </w:p>
    <w:p w:rsidR="00720A1B" w:rsidRPr="00006935" w:rsidRDefault="00B66DFF" w:rsidP="00720A1B">
      <w:pPr>
        <w:pStyle w:val="Variantnnadpis"/>
        <w:spacing w:line="240" w:lineRule="auto"/>
        <w:rPr>
          <w:rFonts w:cs="Times New Roman"/>
          <w:szCs w:val="24"/>
        </w:rPr>
      </w:pPr>
      <w:r>
        <w:t xml:space="preserve">Varianta 1 </w:t>
      </w:r>
      <w:r w:rsidR="00720A1B" w:rsidRPr="00006935">
        <w:rPr>
          <w:rFonts w:cs="Times New Roman"/>
          <w:szCs w:val="24"/>
        </w:rPr>
        <w:t>– Výjimka pro orgány činné v trestním řízení</w:t>
      </w:r>
    </w:p>
    <w:p w:rsidR="00FA648C" w:rsidRDefault="00FA648C" w:rsidP="00FA648C">
      <w:r>
        <w:t>Zavedením výjimky budou mít orgány činné v trestním řízení šanci v dřívější lhůtě mít k dispozici náležité dokumenty potřebné pro vedení řízení.</w:t>
      </w:r>
    </w:p>
    <w:p w:rsidR="00B66DFF" w:rsidRDefault="00F15E6A" w:rsidP="0079595C">
      <w:r>
        <w:t>Přín</w:t>
      </w:r>
      <w:r w:rsidR="00FF54C4">
        <w:t>os spočívá ve vyšší efektivitě vymáhání pravidel soutěžního práva</w:t>
      </w:r>
      <w:r w:rsidR="0079595C">
        <w:t xml:space="preserve">. Paralelním vedením řízení či šetření na straně orgánů činných v trestním řízení </w:t>
      </w:r>
      <w:r w:rsidR="00280AF6">
        <w:t>(</w:t>
      </w:r>
      <w:r w:rsidR="0079595C">
        <w:t>a zároveň na straně soutěžního orgánu</w:t>
      </w:r>
      <w:r w:rsidR="00280AF6">
        <w:t>)</w:t>
      </w:r>
      <w:r w:rsidR="0079595C">
        <w:t xml:space="preserve"> ve stejné věci je posilována možnost vynucení pravidel</w:t>
      </w:r>
      <w:r w:rsidR="00280AF6">
        <w:t xml:space="preserve"> soutěžního práva</w:t>
      </w:r>
      <w:r w:rsidR="0079595C">
        <w:t xml:space="preserve">. </w:t>
      </w:r>
      <w:r w:rsidR="009B6801">
        <w:t>Může dojít k zvýšení úspěšnosti vynucování v dané oblasti.</w:t>
      </w:r>
    </w:p>
    <w:p w:rsidR="00720A1B" w:rsidRPr="00006935" w:rsidRDefault="00720A1B" w:rsidP="00720A1B">
      <w:pPr>
        <w:pStyle w:val="Variantnnadpis"/>
        <w:spacing w:line="240" w:lineRule="auto"/>
        <w:rPr>
          <w:rFonts w:cs="Times New Roman"/>
          <w:szCs w:val="24"/>
        </w:rPr>
      </w:pPr>
      <w:r>
        <w:t xml:space="preserve">Varianta 2 </w:t>
      </w:r>
      <w:r w:rsidRPr="00006935">
        <w:rPr>
          <w:rFonts w:cs="Times New Roman"/>
          <w:szCs w:val="24"/>
        </w:rPr>
        <w:t>– Výjimka pro orgány činné v trestním řízení</w:t>
      </w:r>
    </w:p>
    <w:p w:rsidR="00B66DFF" w:rsidRPr="00E16664" w:rsidRDefault="005C389E" w:rsidP="00B66DFF">
      <w:r>
        <w:t xml:space="preserve">Přínosem </w:t>
      </w:r>
      <w:r w:rsidR="004A5FAE">
        <w:t>může</w:t>
      </w:r>
      <w:r>
        <w:t xml:space="preserve"> být eventuální zvýšení možnosti uplatnit dostupné dokumenty v šetřeních </w:t>
      </w:r>
      <w:r w:rsidR="001151D4">
        <w:t xml:space="preserve">či </w:t>
      </w:r>
      <w:r>
        <w:t>řízeních dalších orgánů veřejné moci při plnění jejich zákonných úkolů.</w:t>
      </w:r>
    </w:p>
    <w:p w:rsidR="00323E94" w:rsidRDefault="00323E94" w:rsidP="00293617">
      <w:pPr>
        <w:pStyle w:val="Druhnadpis"/>
      </w:pPr>
      <w:bookmarkStart w:id="12" w:name="_Toc384290133"/>
      <w:r w:rsidRPr="00653B58">
        <w:t>Vyhodnocení nákladů a přínosů variant</w:t>
      </w:r>
      <w:bookmarkEnd w:id="12"/>
    </w:p>
    <w:p w:rsidR="00783504" w:rsidRPr="00775224" w:rsidRDefault="005A4518" w:rsidP="00293617">
      <w:pPr>
        <w:pStyle w:val="Tetnadpis"/>
      </w:pPr>
      <w:r w:rsidRPr="00775224">
        <w:t xml:space="preserve">Pořádková </w:t>
      </w:r>
      <w:r w:rsidR="00D74742">
        <w:t xml:space="preserve">a donucovací </w:t>
      </w:r>
      <w:r w:rsidRPr="00775224">
        <w:t>pokuta</w:t>
      </w:r>
    </w:p>
    <w:p w:rsidR="00D74742" w:rsidRPr="00775224" w:rsidRDefault="00764891" w:rsidP="00D74742">
      <w:r>
        <w:t>P</w:t>
      </w:r>
      <w:r w:rsidR="00D74742">
        <w:t>ři aplikaci ani jedné z variant řešení nevznikají žádné náklady, varianty</w:t>
      </w:r>
      <w:r>
        <w:t xml:space="preserve"> jsou</w:t>
      </w:r>
      <w:r w:rsidR="00D74742">
        <w:t xml:space="preserve"> posuzovány z pohledu náročnosti změny právního řádu, </w:t>
      </w:r>
      <w:r w:rsidR="00E171E3">
        <w:t>působení</w:t>
      </w:r>
      <w:r w:rsidR="00D74742">
        <w:t xml:space="preserve"> </w:t>
      </w:r>
      <w:r w:rsidR="00E171E3">
        <w:t>změny na </w:t>
      </w:r>
      <w:r w:rsidR="00D74742">
        <w:t>soutěžitele z odrazujícího hlediska a souladu změny se Směrnicí.</w:t>
      </w:r>
    </w:p>
    <w:p w:rsidR="00D74742" w:rsidRDefault="00D74742" w:rsidP="00D74742">
      <w:pPr>
        <w:pStyle w:val="Variantnnadpis"/>
      </w:pPr>
      <w:r w:rsidRPr="002F5E56">
        <w:t>Varianta 0 - Zachování současného stavu</w:t>
      </w:r>
    </w:p>
    <w:p w:rsidR="00D74742" w:rsidRPr="00D74742" w:rsidRDefault="00D74742" w:rsidP="00D74742">
      <w:r>
        <w:t xml:space="preserve">Varianta 0 je nenáročná na změnu právního řádu, její </w:t>
      </w:r>
      <w:r w:rsidR="00E171E3">
        <w:t>působení</w:t>
      </w:r>
      <w:r>
        <w:t xml:space="preserve"> na soutěžitele však není vůbec žádný</w:t>
      </w:r>
      <w:r w:rsidR="00E171E3">
        <w:t>. Varianta však nesplňuje cíl implementovat Směrnici do českého právního řádu.</w:t>
      </w:r>
    </w:p>
    <w:p w:rsidR="00764891" w:rsidRPr="00C8639A" w:rsidRDefault="00D74742" w:rsidP="00764891">
      <w:pPr>
        <w:pStyle w:val="Variantnnadpis"/>
      </w:pPr>
      <w:r w:rsidRPr="00C8639A">
        <w:t>Varianta 1 - Zakotvení ustanovení o výši pokut za pořádkové delikty</w:t>
      </w:r>
      <w:r w:rsidR="00764891" w:rsidRPr="00764891">
        <w:t xml:space="preserve"> </w:t>
      </w:r>
      <w:r w:rsidR="00764891">
        <w:t>a o výši donucovacích pokut</w:t>
      </w:r>
    </w:p>
    <w:p w:rsidR="00D74742" w:rsidRPr="00D74742" w:rsidRDefault="00E171E3" w:rsidP="00D74742">
      <w:r>
        <w:t>Varianta 1 již znamená drobné zásahy do právního řádu. Použití této varianty bude kladně působit na dotčené subjekty k řádnému plnění povinností, neboť maximálně výše pokuty bude několikanásobně vyšší než dosud, což povede k plynulejšímu vedení řízení, v konečném důsledku k</w:t>
      </w:r>
      <w:r w:rsidR="00764891">
        <w:t xml:space="preserve">e zvýšení </w:t>
      </w:r>
      <w:r>
        <w:t>rychlosti vyřízení těchto řízení</w:t>
      </w:r>
      <w:r w:rsidR="00764891">
        <w:t>, a k efektivnějšímu vymáhání dodržování rozhodnutí či přijatých závazků</w:t>
      </w:r>
      <w:r>
        <w:t>.</w:t>
      </w:r>
      <w:r w:rsidR="00764891">
        <w:t xml:space="preserve"> Výše pokuty se také promítne na příspěvku do státního rozpočtu. Použitím této varianty bude cíl uvedení zákona do souladu se </w:t>
      </w:r>
      <w:r w:rsidR="000D48C6">
        <w:t>S</w:t>
      </w:r>
      <w:r w:rsidR="00764891">
        <w:t>měrnicí částečně naplněn.</w:t>
      </w:r>
    </w:p>
    <w:p w:rsidR="00D74742" w:rsidRDefault="00D74742" w:rsidP="00D74742">
      <w:pPr>
        <w:pStyle w:val="Variantnnadpis"/>
      </w:pPr>
      <w:r>
        <w:lastRenderedPageBreak/>
        <w:t>Varianta 2</w:t>
      </w:r>
      <w:r w:rsidRPr="00C8639A">
        <w:t xml:space="preserve"> - Zakotvení ustanovení rozšiřující katalog skutkových podstat</w:t>
      </w:r>
      <w:r w:rsidR="00764891" w:rsidRPr="00764891">
        <w:t xml:space="preserve"> </w:t>
      </w:r>
      <w:r w:rsidR="00764891">
        <w:t>pořádkových deliktů</w:t>
      </w:r>
    </w:p>
    <w:p w:rsidR="00D74742" w:rsidRPr="00D74742" w:rsidRDefault="00764891" w:rsidP="00D74742">
      <w:r>
        <w:t xml:space="preserve">Varianta 2 taktéž znamená drobné zásahy do právního řádu. Použití této varianty umožní Úřadu opakovaně ukládat pokuty dotčenému subjektu, který se nepodrobí šetření na místě. Dosud bylo možné za stejný akt uložit pokutu za přestupek v řízení. Dotčené subjekty budou více motivovány k součinnosti, což povede k plynulejšímu vedení řízení, v konečném důsledku ke zvýšení rychlosti vyřízení těchto řízení. Použitím této varianty bude cíl uvedení zákona do souladu se </w:t>
      </w:r>
      <w:r w:rsidR="000D48C6">
        <w:t>S</w:t>
      </w:r>
      <w:r>
        <w:t>měrnicí částečně naplněn.</w:t>
      </w:r>
    </w:p>
    <w:p w:rsidR="00323E94" w:rsidRPr="00775224" w:rsidRDefault="00323E94" w:rsidP="00293617">
      <w:pPr>
        <w:pStyle w:val="Tetnadpis"/>
      </w:pPr>
      <w:r w:rsidRPr="00775224">
        <w:t>Součinnost policie</w:t>
      </w:r>
    </w:p>
    <w:p w:rsidR="00323E94" w:rsidRDefault="00323E94" w:rsidP="00293617">
      <w:pPr>
        <w:pStyle w:val="Variantnnadpis"/>
      </w:pPr>
      <w:r w:rsidRPr="00D87213">
        <w:t xml:space="preserve">Varianta 0 - zachování </w:t>
      </w:r>
      <w:r w:rsidR="001F609B">
        <w:t>současného</w:t>
      </w:r>
      <w:r w:rsidRPr="00D87213">
        <w:t xml:space="preserve"> stavu</w:t>
      </w:r>
    </w:p>
    <w:p w:rsidR="00323E94" w:rsidRPr="00D87213" w:rsidRDefault="00606924" w:rsidP="00606924">
      <w:r>
        <w:t>Náklady v souvislosti s problematikou součinnosti policie nevznikají v současné době a bude-li trend pokračovat, nepředpokládají se ani v budoucnosti. Varianta však nesplňuje cíl implementovat Směrnici do českého právního řádu.</w:t>
      </w:r>
    </w:p>
    <w:p w:rsidR="00323E94" w:rsidRDefault="00323E94" w:rsidP="00293617">
      <w:pPr>
        <w:pStyle w:val="Variantnnadpis"/>
      </w:pPr>
      <w:r w:rsidRPr="00BB600C">
        <w:t xml:space="preserve">Varianta 1 - včlenění nového výslovné ustanovení do </w:t>
      </w:r>
      <w:r w:rsidR="00673DF2" w:rsidRPr="00673DF2">
        <w:t>zákon</w:t>
      </w:r>
      <w:r w:rsidR="00673DF2">
        <w:t>a</w:t>
      </w:r>
      <w:r w:rsidR="00673DF2" w:rsidRPr="00673DF2">
        <w:t xml:space="preserve"> o ochraně hospodářské soutěže</w:t>
      </w:r>
    </w:p>
    <w:p w:rsidR="00323E94" w:rsidRDefault="00323E94" w:rsidP="00293617">
      <w:r w:rsidRPr="0037549B">
        <w:t xml:space="preserve">Náklady v souvislosti s problematikou součinnosti </w:t>
      </w:r>
      <w:r w:rsidR="001C6E48">
        <w:t>P</w:t>
      </w:r>
      <w:r w:rsidR="001C6E48" w:rsidRPr="0037549B">
        <w:t xml:space="preserve">olicie </w:t>
      </w:r>
      <w:r w:rsidR="001C6E48">
        <w:t xml:space="preserve">České republiky </w:t>
      </w:r>
      <w:r w:rsidRPr="0037549B">
        <w:t>nevznikají v současné době</w:t>
      </w:r>
      <w:r w:rsidR="00293617">
        <w:t xml:space="preserve"> </w:t>
      </w:r>
      <w:r w:rsidR="001C6E48">
        <w:t>a zakotvením nové právní úpravy nevzniknou ani v budoucnu</w:t>
      </w:r>
      <w:r w:rsidRPr="0037549B">
        <w:t xml:space="preserve">. Přínosem této varianty je jednoznačné posílení právního postavení Úřadu, a to v souladu s </w:t>
      </w:r>
      <w:r w:rsidR="00BC79FF">
        <w:t>č</w:t>
      </w:r>
      <w:r w:rsidRPr="0037549B">
        <w:t>lánkem 6 bod 2 Směrnice, kde se uvádí: „</w:t>
      </w:r>
      <w:r w:rsidR="00C63B95">
        <w:rPr>
          <w:i/>
        </w:rPr>
        <w:t>(č)</w:t>
      </w:r>
      <w:r w:rsidRPr="00C63B95">
        <w:rPr>
          <w:i/>
        </w:rPr>
        <w:t>lenské státy zajistí, aby se podniky a sdružení podniků musely podrobit kontrolám prováděným vnitrostátními správními orgány pro hospodářskou soutěž. Pokud podnik či sdružení podniků vznese proti kontrole nařízené vnitrostátním správním orgánem pro hospodářskou soutěž či povolené vnitrostátním justičním orgánem námitku, mohou si vnitrostátní orgány pro hospodářskou soutěž vyžádat potřebnou pomoc od policie nebo rovnocenného prosazovacího orgánu tak, aby mohly kontrolu provést. Tuto pomoc si lze vyžádat rovněž jako zajišťovací opatření.</w:t>
      </w:r>
      <w:r w:rsidRPr="0037549B">
        <w:t>“</w:t>
      </w:r>
      <w:r w:rsidR="0045043A">
        <w:t xml:space="preserve"> </w:t>
      </w:r>
      <w:r>
        <w:t>Směrnice navíc uvádí, že vnitrostátní správní orgán pro hospodářskou soutěž má právo vyžádat si nezbytnou pomoc policie nebo rovnocenného donucovacího orgánu, a to i jako preventivního opatření pro případ odmítnutí podrobit se kontrole ze strany subjektů, jichž se kontrola týká</w:t>
      </w:r>
      <w:r w:rsidRPr="0037549B">
        <w:t xml:space="preserve">. (bod 34 </w:t>
      </w:r>
      <w:r w:rsidR="004E2C87">
        <w:t xml:space="preserve">odůvodnění </w:t>
      </w:r>
      <w:r w:rsidRPr="0037549B">
        <w:t>Směrnice).</w:t>
      </w:r>
      <w:r w:rsidR="00B04472" w:rsidRPr="00B04472">
        <w:t xml:space="preserve"> </w:t>
      </w:r>
      <w:r w:rsidR="001F609B">
        <w:t xml:space="preserve">Zásah do právního řádu </w:t>
      </w:r>
      <w:r w:rsidR="00B04472">
        <w:t>není nijak značný. Použití varianty 1, tedy výslovné zakotvení tohoto institutu, může přinést vyšší efektivitu správních řízení a bezpochybnou pravomoc Úřadu si vyžádat součinnost Policie Č</w:t>
      </w:r>
      <w:r w:rsidR="00FF5EEF">
        <w:t>eské republiky</w:t>
      </w:r>
      <w:r w:rsidR="00B04472">
        <w:t xml:space="preserve"> k provádění místního šetření.</w:t>
      </w:r>
    </w:p>
    <w:p w:rsidR="00E23EAE" w:rsidRPr="00775224" w:rsidRDefault="00E23EAE" w:rsidP="00293617">
      <w:pPr>
        <w:pStyle w:val="Tetnadpis"/>
      </w:pPr>
      <w:r w:rsidRPr="00775224">
        <w:t>Nezávislost Úřadu</w:t>
      </w:r>
    </w:p>
    <w:p w:rsidR="008F556E" w:rsidRPr="003D605F" w:rsidRDefault="008F556E" w:rsidP="00293617">
      <w:pPr>
        <w:pStyle w:val="Variantnnadpis"/>
      </w:pPr>
      <w:r w:rsidRPr="003D605F">
        <w:t xml:space="preserve">Varianta 0 - </w:t>
      </w:r>
      <w:r w:rsidR="00131002" w:rsidRPr="002F5E56">
        <w:t>Zachování současného stavu</w:t>
      </w:r>
    </w:p>
    <w:p w:rsidR="000452D5" w:rsidRPr="000452D5" w:rsidRDefault="000452D5" w:rsidP="00293617">
      <w:pPr>
        <w:rPr>
          <w:lang w:eastAsia="cs-CZ"/>
        </w:rPr>
      </w:pPr>
      <w:r w:rsidRPr="000452D5">
        <w:t>Nezávislost je vnitřní systémová podmínka, jejímž důsledkem je vysoká míra autonomie, umožňující rozhodování bez nežádoucích vlivů.</w:t>
      </w:r>
      <w:r w:rsidRPr="000452D5">
        <w:rPr>
          <w:rStyle w:val="Hornindex"/>
          <w:rFonts w:cs="Times New Roman"/>
          <w:szCs w:val="24"/>
        </w:rPr>
        <w:footnoteReference w:id="14"/>
      </w:r>
      <w:r w:rsidRPr="000452D5">
        <w:t xml:space="preserve"> Projevuje se v podobě zásad organizace a činnosti Úřadu. Jakákoli zvažovaná právní úprava musí klást zcela zásadní důraz na vytvoření takových podmínek, aby byl Úřad při svém rozhodování vázán pouze zákonem, přičemž na tento postup (mimo nezávislé soudy) dohlíží osoba, která je opět jen zákonem </w:t>
      </w:r>
      <w:r w:rsidRPr="000452D5">
        <w:lastRenderedPageBreak/>
        <w:t>k tomu výslovně povolána (předseda Úřadu). Ochrana hospodářské soutěže je soustavná činnost vyžadující konzistentní rozhodovací praxi. Vzhledem k tomu, že Úřad reguluje relativně úzce vymezený okruh společenských vztahů, který vyžaduje vysoce odborné znalosti, je nezbytné, aby nedocházelo k náhlým změnám v personálním obsazení Úřadu v návaznosti na změny ve vládě. Tyto personální změny by totiž mohly ohrozit konzistentnost a předvídatelnost rozhodovací praxe Úřadu. Jen nezávislý soutěžní orgán může vytvářet podmínky pro podporu a ochranu hospodářské soutěže, vykonávat dohled nad zadáváním veřejných zakázek či vykonávat jiné kompetence, které mu zákony stanoví.</w:t>
      </w:r>
      <w:r w:rsidRPr="000452D5">
        <w:rPr>
          <w:rStyle w:val="Znakapoznpodarou"/>
          <w:rFonts w:cs="Times New Roman"/>
          <w:szCs w:val="24"/>
        </w:rPr>
        <w:footnoteReference w:id="15"/>
      </w:r>
      <w:r w:rsidRPr="000452D5">
        <w:t xml:space="preserve"> </w:t>
      </w:r>
    </w:p>
    <w:p w:rsidR="001B4B83" w:rsidRPr="00C9438E" w:rsidRDefault="00B04472" w:rsidP="00293617">
      <w:pPr>
        <w:rPr>
          <w:rFonts w:cs="Times New Roman"/>
          <w:szCs w:val="24"/>
        </w:rPr>
      </w:pPr>
      <w:r>
        <w:rPr>
          <w:rFonts w:cs="Times New Roman"/>
          <w:szCs w:val="24"/>
        </w:rPr>
        <w:t xml:space="preserve">Hmotné náklady při zachování stávajícího stavu nevznikají, uvažovat lze pouze nad nemateriálními náklady spočívajícími v nedostatečné právní jistotě v otázce nezávislosti Úřadu a dostatečného </w:t>
      </w:r>
      <w:r>
        <w:t>implementování Směrnice do českého právního řádu</w:t>
      </w:r>
      <w:r>
        <w:rPr>
          <w:rFonts w:cs="Times New Roman"/>
          <w:szCs w:val="24"/>
        </w:rPr>
        <w:t>. Naopak přínosem této varianty je udržení rozsahu zákona v současné podobě.</w:t>
      </w:r>
    </w:p>
    <w:p w:rsidR="008F556E" w:rsidRPr="003D605F" w:rsidRDefault="008F556E" w:rsidP="00293617">
      <w:pPr>
        <w:pStyle w:val="Variantnnadpis"/>
      </w:pPr>
      <w:r w:rsidRPr="003D605F">
        <w:t xml:space="preserve">Varianta 1 - výslovná kodifikace nezávislosti Úřadu včetně úpravy </w:t>
      </w:r>
      <w:r w:rsidR="00E1769B">
        <w:t>vy</w:t>
      </w:r>
      <w:r w:rsidRPr="003D605F">
        <w:t>dávání výroční zprávy</w:t>
      </w:r>
    </w:p>
    <w:p w:rsidR="008F556E" w:rsidRDefault="008F556E" w:rsidP="00293617">
      <w:r>
        <w:t>Přínosem této varianty je výslovné zakotvení nezávislosti Úřadu do českého právního řádu,</w:t>
      </w:r>
      <w:r w:rsidR="00585D8E">
        <w:t xml:space="preserve"> v souladu s </w:t>
      </w:r>
      <w:r>
        <w:t>požad</w:t>
      </w:r>
      <w:r w:rsidR="00585D8E">
        <w:t>avkem</w:t>
      </w:r>
      <w:r>
        <w:t xml:space="preserve"> Směrnice (zejména v </w:t>
      </w:r>
      <w:r w:rsidR="002E3C70">
        <w:t>k</w:t>
      </w:r>
      <w:r>
        <w:t xml:space="preserve">apitole III, </w:t>
      </w:r>
      <w:r w:rsidR="00BC79FF">
        <w:t>č</w:t>
      </w:r>
      <w:r>
        <w:t>lánku 4).</w:t>
      </w:r>
      <w:r w:rsidR="00AC0BA5">
        <w:t xml:space="preserve"> Odpadá tak případná diskuse</w:t>
      </w:r>
      <w:r w:rsidR="00585D8E">
        <w:t xml:space="preserve"> </w:t>
      </w:r>
      <w:r w:rsidR="00AC0BA5">
        <w:t>o tom, zda lze považovat současnou právní úpravu, ze které je vyvozována nezávislost Úřadu, za dostatečnou.</w:t>
      </w:r>
      <w:r w:rsidR="00B06BAA">
        <w:t xml:space="preserve"> </w:t>
      </w:r>
      <w:r w:rsidR="00585D8E">
        <w:t>Výsledke</w:t>
      </w:r>
      <w:r w:rsidR="00AD75E8">
        <w:t>m</w:t>
      </w:r>
      <w:r w:rsidR="00B06BAA">
        <w:t xml:space="preserve"> je</w:t>
      </w:r>
      <w:r w:rsidR="0026658E">
        <w:t xml:space="preserve"> tedy</w:t>
      </w:r>
      <w:r w:rsidR="00B06BAA">
        <w:t xml:space="preserve"> zvýšení právní jistoty.</w:t>
      </w:r>
    </w:p>
    <w:p w:rsidR="00177564" w:rsidRDefault="00177564" w:rsidP="00293617">
      <w:pPr>
        <w:pStyle w:val="Tetnadpis"/>
        <w:rPr>
          <w:u w:val="single"/>
        </w:rPr>
      </w:pPr>
      <w:r w:rsidRPr="00C64011">
        <w:t>Závazky orgánů veřejné správy</w:t>
      </w:r>
    </w:p>
    <w:p w:rsidR="00764891" w:rsidRDefault="00764891" w:rsidP="00293617">
      <w:r>
        <w:t xml:space="preserve">Při aplikaci ani jedné z variant řešení nevznikají žádné náklady, varianty jsou posuzovány z pohledu náročnosti změny právního řádu, možnosti zapojení účastníků řízení do vedení tohoto řízení a naplnění jeho smyslu a </w:t>
      </w:r>
      <w:r w:rsidR="004A0B44">
        <w:t>rychlost nápravy závadného stavu v hospodářské soutěži.</w:t>
      </w:r>
      <w:r>
        <w:t xml:space="preserve"> </w:t>
      </w:r>
    </w:p>
    <w:p w:rsidR="004A0B44" w:rsidRPr="002F5E56" w:rsidRDefault="004A0B44" w:rsidP="004A0B44">
      <w:pPr>
        <w:pStyle w:val="Variantnnadpis"/>
      </w:pPr>
      <w:r w:rsidRPr="002F5E56">
        <w:t>Varianta 0 - Zachování současného stavu</w:t>
      </w:r>
    </w:p>
    <w:p w:rsidR="004A0B44" w:rsidRDefault="004A0B44" w:rsidP="004A0B44">
      <w:r>
        <w:t>Varianta 0 je nenáročná na změnu právního řádu, možnost účastníků aktivně se podílet na výsledku řízení je však minimální. Aplikace této varianty nebude mít žádný vliv na potenciální zjednodušení řízení, neboť veškerá řízení v případech, kdy bude hospodářská soutěž narušena, budou muset být ukončena vydáním rozhodnutí.</w:t>
      </w:r>
    </w:p>
    <w:p w:rsidR="004A0B44" w:rsidRPr="00984D1A" w:rsidRDefault="004A0B44" w:rsidP="004A0B44">
      <w:pPr>
        <w:pStyle w:val="Variantnnadpis"/>
      </w:pPr>
      <w:r w:rsidRPr="00984D1A">
        <w:t>Varianta 1 - Zakotvení ustanovení o možnosti orgánů veřejné správy navrhnout závazky</w:t>
      </w:r>
    </w:p>
    <w:p w:rsidR="004A0B44" w:rsidRPr="00984D1A" w:rsidRDefault="004A0B44" w:rsidP="004A0B44">
      <w:r>
        <w:t xml:space="preserve">Varianta 1 již znamená drobné zásahy do právního řádu. Účastnící řízení, kteří si budou vědomi svého pochybení, se budou moci aktivně zapojit do řízení a navrhnout opatření, které povedou k odstranění závadného stavu. Tento závadný stav </w:t>
      </w:r>
      <w:r w:rsidR="006D5131">
        <w:t>tak bude mít potenciál být odstraněn daleko rychleji.</w:t>
      </w:r>
    </w:p>
    <w:p w:rsidR="004A0B44" w:rsidRPr="00984D1A" w:rsidRDefault="004A0B44" w:rsidP="004A0B44">
      <w:pPr>
        <w:pStyle w:val="Variantnnadpis"/>
      </w:pPr>
      <w:r w:rsidRPr="00984D1A">
        <w:lastRenderedPageBreak/>
        <w:t>Varianta 2 – Sjednocení ustanovení o možnosti soutěžitelů a orgánů veřejné správy navrhovat závazky</w:t>
      </w:r>
    </w:p>
    <w:p w:rsidR="004A0B44" w:rsidRDefault="006D5131" w:rsidP="004A0B44">
      <w:r>
        <w:t>Varianta 2 znamená</w:t>
      </w:r>
      <w:r w:rsidR="0041653A">
        <w:t xml:space="preserve"> velký</w:t>
      </w:r>
      <w:r>
        <w:t xml:space="preserve"> zásah do právního řádu. Změna je způsobilá přivodit právní nejistotu soutěžitelů, neboť možnost přijetí závazků u jednotlivých typů narušení hospodářské soutěže bude zrušena. Výhodou však je tzv. </w:t>
      </w:r>
      <w:r w:rsidRPr="00503925">
        <w:rPr>
          <w:i/>
        </w:rPr>
        <w:t>zeštíhlení zákona</w:t>
      </w:r>
      <w:r>
        <w:t xml:space="preserve">, neboť téměř totožná znění ustanovení o přijetí závazku </w:t>
      </w:r>
      <w:r>
        <w:rPr>
          <w:rFonts w:cs="Times New Roman"/>
          <w:szCs w:val="24"/>
        </w:rPr>
        <w:t xml:space="preserve">u dohod narušujících soutěž nebo v případě zneužívání dominantního postavení budou nahrazena jednotným zněním. </w:t>
      </w:r>
      <w:r>
        <w:t>Účastnící řízení, kteří si budou vědomi svého pochybení, se budou moci aktivně zapojit do řízení a navrhnout opatření, které povedou k odstranění závadného stavu. Tento závadný stav tak bude mít potenciál být odstraněn daleko rychleji.</w:t>
      </w:r>
    </w:p>
    <w:p w:rsidR="0028273E" w:rsidRDefault="00C012BA" w:rsidP="00293617">
      <w:pPr>
        <w:pStyle w:val="Tetnadpis"/>
      </w:pPr>
      <w:r>
        <w:t>Shovívavost</w:t>
      </w:r>
    </w:p>
    <w:p w:rsidR="001822C4" w:rsidRPr="009E64A8" w:rsidRDefault="001822C4" w:rsidP="009E64A8">
      <w:pPr>
        <w:pStyle w:val="Variantnnadpis"/>
      </w:pPr>
      <w:r w:rsidRPr="009E64A8">
        <w:t>Varianta 0 - Zachování současného stavu</w:t>
      </w:r>
    </w:p>
    <w:p w:rsidR="00E15C6F" w:rsidRDefault="00B1338A" w:rsidP="009E64A8">
      <w:r w:rsidRPr="009E64A8">
        <w:rPr>
          <w:rFonts w:cs="Times New Roman"/>
        </w:rPr>
        <w:t xml:space="preserve">Přímé hmotné náklady na dodržování regulace budou vyšší u zbývajících variant. </w:t>
      </w:r>
      <w:r w:rsidR="00E15C6F" w:rsidRPr="009E64A8">
        <w:t xml:space="preserve">Celkové náklady na placení finanční sankce ze strany státu </w:t>
      </w:r>
      <w:r w:rsidR="004A4FFC">
        <w:t>za případnou chybějící adaptaci evrop</w:t>
      </w:r>
      <w:r w:rsidR="0084317D">
        <w:t>s</w:t>
      </w:r>
      <w:r w:rsidR="004A4FFC">
        <w:t xml:space="preserve">ké legislativy </w:t>
      </w:r>
      <w:r w:rsidR="00E15C6F" w:rsidRPr="009E64A8">
        <w:t>a regulační náklady ze strany subjek</w:t>
      </w:r>
      <w:r w:rsidR="00E15C6F" w:rsidRPr="005241E8">
        <w:t>tů regulace převýší ostatní var</w:t>
      </w:r>
      <w:r w:rsidR="00E15C6F" w:rsidRPr="009E64A8">
        <w:t>i</w:t>
      </w:r>
      <w:r w:rsidR="00E15C6F">
        <w:t>a</w:t>
      </w:r>
      <w:r w:rsidR="00E15C6F" w:rsidRPr="009E64A8">
        <w:t>nty.</w:t>
      </w:r>
      <w:r w:rsidR="00E15C6F">
        <w:t xml:space="preserve"> </w:t>
      </w:r>
    </w:p>
    <w:p w:rsidR="00E15C6F" w:rsidRDefault="00E15C6F" w:rsidP="00E15C6F">
      <w:pPr>
        <w:rPr>
          <w:szCs w:val="24"/>
        </w:rPr>
      </w:pPr>
      <w:r>
        <w:rPr>
          <w:szCs w:val="24"/>
        </w:rPr>
        <w:t>Přínosy budou spočívat pouze v prvotní fázi, kdy nebude implementována evropská úprava. V pozdějším horizontu pak převáží náklady.</w:t>
      </w:r>
    </w:p>
    <w:p w:rsidR="00126C9E" w:rsidRDefault="00126C9E" w:rsidP="009E64A8">
      <w:pPr>
        <w:pStyle w:val="Variantnnadpis"/>
      </w:pPr>
      <w:r w:rsidRPr="00126C9E">
        <w:t>Varianta 1 – Nový dvojí režim shovívavosti</w:t>
      </w:r>
    </w:p>
    <w:p w:rsidR="004D4BAB" w:rsidRPr="009E64A8" w:rsidRDefault="00FF3BD3" w:rsidP="009E64A8">
      <w:r>
        <w:t>H</w:t>
      </w:r>
      <w:r w:rsidR="004D4BAB" w:rsidRPr="009E64A8">
        <w:t>motné náklady na dodržování regulace budou nižší než</w:t>
      </w:r>
      <w:r w:rsidR="001E4171">
        <w:t xml:space="preserve"> </w:t>
      </w:r>
      <w:r w:rsidR="004D4BAB" w:rsidRPr="009E64A8">
        <w:t>u varianty 0 a vyšší než u</w:t>
      </w:r>
      <w:r w:rsidR="00A25E20">
        <w:t> </w:t>
      </w:r>
      <w:r w:rsidR="004D4BAB" w:rsidRPr="009E64A8">
        <w:t>varianty</w:t>
      </w:r>
      <w:r w:rsidR="00441F51">
        <w:t xml:space="preserve"> </w:t>
      </w:r>
      <w:r w:rsidR="004D4BAB" w:rsidRPr="009E64A8">
        <w:t>2</w:t>
      </w:r>
      <w:r w:rsidR="00C338D1">
        <w:t>.</w:t>
      </w:r>
      <w:r w:rsidR="00441F51">
        <w:t xml:space="preserve"> </w:t>
      </w:r>
      <w:r w:rsidR="00C338D1">
        <w:t xml:space="preserve">Transpozice </w:t>
      </w:r>
      <w:r w:rsidR="001E4171">
        <w:t>s evropskou úpravou bude provedena</w:t>
      </w:r>
      <w:r w:rsidR="00C338D1">
        <w:t xml:space="preserve"> a zvýš</w:t>
      </w:r>
      <w:r w:rsidR="00441F51">
        <w:t>í</w:t>
      </w:r>
      <w:r w:rsidR="00C338D1">
        <w:t xml:space="preserve"> se tak regulační náklady</w:t>
      </w:r>
      <w:r w:rsidR="00C97D27">
        <w:t xml:space="preserve">, ale zároveň </w:t>
      </w:r>
      <w:r w:rsidR="00441F51">
        <w:t xml:space="preserve">se tak stane </w:t>
      </w:r>
      <w:r w:rsidR="001E4171">
        <w:t>ihned na počátku</w:t>
      </w:r>
      <w:r w:rsidR="00C97D27">
        <w:t xml:space="preserve"> a</w:t>
      </w:r>
      <w:r w:rsidR="001E4171">
        <w:t xml:space="preserve"> v</w:t>
      </w:r>
      <w:r w:rsidR="00441F51">
        <w:t> </w:t>
      </w:r>
      <w:r w:rsidR="001E4171">
        <w:t>řádné</w:t>
      </w:r>
      <w:r w:rsidR="00441F51">
        <w:t xml:space="preserve"> transpoziční </w:t>
      </w:r>
      <w:r w:rsidR="001E4171">
        <w:t xml:space="preserve">lhůtě. </w:t>
      </w:r>
      <w:r>
        <w:t xml:space="preserve">Adresáti nové právní úpravy budou tak mít </w:t>
      </w:r>
      <w:r w:rsidR="00441F51">
        <w:t xml:space="preserve">delší lhůtu na seznámení </w:t>
      </w:r>
      <w:r>
        <w:t xml:space="preserve">s novou regulací v dostatečném předstihu oproti </w:t>
      </w:r>
      <w:r w:rsidR="00441F51">
        <w:t xml:space="preserve">variantě případné </w:t>
      </w:r>
      <w:r>
        <w:t xml:space="preserve">pozdější </w:t>
      </w:r>
      <w:r w:rsidR="00441F51">
        <w:t xml:space="preserve">vynucené </w:t>
      </w:r>
      <w:r>
        <w:t>adaptac</w:t>
      </w:r>
      <w:r w:rsidR="00441F51">
        <w:t>e</w:t>
      </w:r>
      <w:r>
        <w:t>.</w:t>
      </w:r>
    </w:p>
    <w:p w:rsidR="00126C9E" w:rsidRDefault="00126C9E" w:rsidP="009E64A8">
      <w:pPr>
        <w:pStyle w:val="Variantnnadpis"/>
      </w:pPr>
      <w:r w:rsidRPr="00126C9E">
        <w:t>Varianta 2 – Nový jednotný režim shovívavosti</w:t>
      </w:r>
    </w:p>
    <w:p w:rsidR="00EE76D1" w:rsidRDefault="00AA63CA" w:rsidP="009E64A8">
      <w:r w:rsidRPr="00AA63CA">
        <w:t>V případě této varianty</w:t>
      </w:r>
      <w:r w:rsidR="003F5AE4" w:rsidRPr="009E64A8">
        <w:t xml:space="preserve"> </w:t>
      </w:r>
      <w:r w:rsidR="00F62997" w:rsidRPr="009E64A8">
        <w:t xml:space="preserve">budou </w:t>
      </w:r>
      <w:r w:rsidR="00271D58">
        <w:t xml:space="preserve">celkové </w:t>
      </w:r>
      <w:r w:rsidR="003F5AE4" w:rsidRPr="009E64A8">
        <w:t>hmotné náklady na dodržování regulace nižší než u</w:t>
      </w:r>
      <w:r w:rsidR="008A0F91">
        <w:t> </w:t>
      </w:r>
      <w:r w:rsidR="003F5AE4" w:rsidRPr="009E64A8">
        <w:t xml:space="preserve">variant </w:t>
      </w:r>
      <w:r w:rsidR="003D0CAA">
        <w:t>0</w:t>
      </w:r>
      <w:r w:rsidR="003F5AE4" w:rsidRPr="009E64A8">
        <w:t xml:space="preserve"> a </w:t>
      </w:r>
      <w:r w:rsidR="003D0CAA">
        <w:t>1</w:t>
      </w:r>
      <w:r>
        <w:t xml:space="preserve">, jelikož bude </w:t>
      </w:r>
      <w:r w:rsidR="00A25E20">
        <w:t xml:space="preserve">zavedena </w:t>
      </w:r>
      <w:r>
        <w:t>jednotná úprava programu shovívavosti v obou režimech (národním i evropském).</w:t>
      </w:r>
      <w:r w:rsidR="00EE76D1">
        <w:t xml:space="preserve"> </w:t>
      </w:r>
    </w:p>
    <w:p w:rsidR="003F5AE4" w:rsidRPr="009E64A8" w:rsidRDefault="00EE76D1" w:rsidP="009E64A8">
      <w:r>
        <w:t xml:space="preserve">Naopak administrativní zátěž na straně Úřadu při </w:t>
      </w:r>
      <w:r w:rsidR="00292DF2">
        <w:t xml:space="preserve">jednotném </w:t>
      </w:r>
      <w:r>
        <w:t xml:space="preserve">vynucování pravidel bude nižší. Nebudou vedeny dva </w:t>
      </w:r>
      <w:r w:rsidR="00292DF2">
        <w:t xml:space="preserve">paralelní </w:t>
      </w:r>
      <w:r>
        <w:t>systémy programu shovívavosti</w:t>
      </w:r>
      <w:r w:rsidR="00B43106">
        <w:t>.</w:t>
      </w:r>
    </w:p>
    <w:p w:rsidR="00C012BA" w:rsidRDefault="00C012BA" w:rsidP="00293617">
      <w:pPr>
        <w:pStyle w:val="Tetnadpis"/>
      </w:pPr>
      <w:r>
        <w:t>Narovnání</w:t>
      </w:r>
    </w:p>
    <w:p w:rsidR="005D268A" w:rsidRDefault="005D268A" w:rsidP="00763EF6">
      <w:pPr>
        <w:rPr>
          <w:u w:val="single"/>
        </w:rPr>
      </w:pPr>
      <w:r w:rsidRPr="001C3CEC">
        <w:t xml:space="preserve">Obecně při </w:t>
      </w:r>
      <w:r>
        <w:t>použití všech variant nevznikají vyšší náklady. Přínosy mohou tak být jen přidanou hodnotou oproti stávající úpravě.</w:t>
      </w:r>
    </w:p>
    <w:p w:rsidR="00430434" w:rsidRPr="00AF06B9" w:rsidRDefault="00430434" w:rsidP="009E64A8">
      <w:pPr>
        <w:pStyle w:val="Variantnnadpis"/>
      </w:pPr>
      <w:r w:rsidRPr="00AF06B9">
        <w:t xml:space="preserve">Varianta 0 </w:t>
      </w:r>
      <w:r w:rsidR="00AF06B9">
        <w:t>–</w:t>
      </w:r>
      <w:r w:rsidR="00AF06B9" w:rsidRPr="00AF06B9">
        <w:t xml:space="preserve"> </w:t>
      </w:r>
      <w:r w:rsidR="00AF06B9">
        <w:t>Zachování současného stavu</w:t>
      </w:r>
    </w:p>
    <w:p w:rsidR="00B324E9" w:rsidRDefault="00B324E9" w:rsidP="00763EF6">
      <w:r>
        <w:t>Varianta 0 nepředstavuje oproti ostatním variantám větší riziko, ale její přínos je v porovnání s </w:t>
      </w:r>
      <w:r w:rsidR="009D0435">
        <w:t>ostatními</w:t>
      </w:r>
      <w:r>
        <w:t xml:space="preserve"> nižší.</w:t>
      </w:r>
    </w:p>
    <w:p w:rsidR="00AF06B9" w:rsidRDefault="00AF06B9" w:rsidP="009E64A8">
      <w:pPr>
        <w:pStyle w:val="Variantnnadpis"/>
      </w:pPr>
      <w:r w:rsidRPr="00AF06B9">
        <w:lastRenderedPageBreak/>
        <w:t xml:space="preserve">Varianta 1 - Pružnější vedení jednání o narovnání </w:t>
      </w:r>
    </w:p>
    <w:p w:rsidR="00E65999" w:rsidRPr="009700EB" w:rsidRDefault="009700EB" w:rsidP="00763EF6">
      <w:pPr>
        <w:rPr>
          <w:rFonts w:cs="Times New Roman"/>
          <w:szCs w:val="24"/>
        </w:rPr>
      </w:pPr>
      <w:r w:rsidRPr="009700EB">
        <w:rPr>
          <w:rFonts w:cs="Times New Roman"/>
          <w:szCs w:val="24"/>
        </w:rPr>
        <w:t>Daná varianta</w:t>
      </w:r>
      <w:r>
        <w:rPr>
          <w:rFonts w:cs="Times New Roman"/>
          <w:szCs w:val="24"/>
        </w:rPr>
        <w:t xml:space="preserve"> zvyšuje oproti nulové variantě efektivitu vedení správních řízení a naplnění účelu procedury narovnání.</w:t>
      </w:r>
    </w:p>
    <w:p w:rsidR="00E65999" w:rsidRPr="008A28F9" w:rsidRDefault="00E65999" w:rsidP="009E64A8">
      <w:pPr>
        <w:pStyle w:val="Variantnnadpis"/>
      </w:pPr>
      <w:r w:rsidRPr="008A28F9">
        <w:t>Varianta 2 - Pružnější vedení jednání o narovnání a samostatná jednání</w:t>
      </w:r>
    </w:p>
    <w:p w:rsidR="007D3A8E" w:rsidRPr="009700EB" w:rsidRDefault="007D3A8E" w:rsidP="007D3A8E">
      <w:pPr>
        <w:rPr>
          <w:rFonts w:cs="Times New Roman"/>
          <w:szCs w:val="24"/>
        </w:rPr>
      </w:pPr>
      <w:r w:rsidRPr="009700EB">
        <w:rPr>
          <w:rFonts w:cs="Times New Roman"/>
          <w:szCs w:val="24"/>
        </w:rPr>
        <w:t>Daná varianta</w:t>
      </w:r>
      <w:r>
        <w:rPr>
          <w:rFonts w:cs="Times New Roman"/>
          <w:szCs w:val="24"/>
        </w:rPr>
        <w:t xml:space="preserve"> zvyšuje oproti nulové variantě i variantě 1 efektivitu vedení správních řízení a naplnění účelu procedury narovnání.</w:t>
      </w:r>
    </w:p>
    <w:p w:rsidR="00C012BA" w:rsidRDefault="00C012BA" w:rsidP="00293617">
      <w:pPr>
        <w:pStyle w:val="Tetnadpis"/>
      </w:pPr>
      <w:r>
        <w:t>Vzájemná pomoc</w:t>
      </w:r>
    </w:p>
    <w:p w:rsidR="008A28F9" w:rsidRPr="009E64A8" w:rsidRDefault="008A28F9" w:rsidP="009E64A8">
      <w:pPr>
        <w:pStyle w:val="Variantnnadpis"/>
      </w:pPr>
      <w:r w:rsidRPr="009E64A8">
        <w:t>Varianta 0</w:t>
      </w:r>
      <w:r w:rsidR="000F7CCB" w:rsidRPr="009E64A8">
        <w:t xml:space="preserve"> – Zachování současného stavu</w:t>
      </w:r>
    </w:p>
    <w:p w:rsidR="00057618" w:rsidRDefault="00325EAD" w:rsidP="00057618">
      <w:pPr>
        <w:pStyle w:val="Variantnnadpis"/>
        <w:ind w:firstLine="284"/>
        <w:rPr>
          <w:i/>
          <w:u w:val="none"/>
        </w:rPr>
      </w:pPr>
      <w:r>
        <w:rPr>
          <w:u w:val="none"/>
        </w:rPr>
        <w:t xml:space="preserve">Při porovnání nákladů a přínosů zásadně převažují v této variantě náklady. </w:t>
      </w:r>
      <w:r w:rsidR="00A418B2">
        <w:rPr>
          <w:u w:val="none"/>
        </w:rPr>
        <w:t>Nebude řádně transponována nová procedura vzájemné pomoci. Nebude tak sladěn režim mezi členskými státy navzájem do té podoby, v jaké funguje dnes na vertikální úrovni mezi členskými státy a</w:t>
      </w:r>
      <w:r w:rsidR="009933C2">
        <w:rPr>
          <w:u w:val="none"/>
        </w:rPr>
        <w:t> </w:t>
      </w:r>
      <w:r w:rsidR="00A418B2">
        <w:rPr>
          <w:u w:val="none"/>
        </w:rPr>
        <w:t>Evropskou Komisí</w:t>
      </w:r>
      <w:r w:rsidR="00E07DD8">
        <w:rPr>
          <w:u w:val="none"/>
        </w:rPr>
        <w:t>.</w:t>
      </w:r>
      <w:r w:rsidR="006C47A1">
        <w:rPr>
          <w:u w:val="none"/>
        </w:rPr>
        <w:t xml:space="preserve"> Nezlepší se případná vymahatelnost vykonatelných rozhodnutí Úřadu v oblasti evropského práva</w:t>
      </w:r>
      <w:r w:rsidR="0014479B">
        <w:rPr>
          <w:u w:val="none"/>
        </w:rPr>
        <w:t xml:space="preserve"> na území jiných členských států.</w:t>
      </w:r>
    </w:p>
    <w:p w:rsidR="008A28F9" w:rsidRPr="009E64A8" w:rsidRDefault="008A28F9" w:rsidP="009E64A8">
      <w:pPr>
        <w:pStyle w:val="Variantnnadpis"/>
      </w:pPr>
      <w:r w:rsidRPr="009E64A8">
        <w:t>Varianta 1 – Režim vzájemné pomoci s celním orgánem</w:t>
      </w:r>
    </w:p>
    <w:p w:rsidR="008A28F9" w:rsidRPr="008A28F9" w:rsidRDefault="008A28F9" w:rsidP="008A28F9">
      <w:r>
        <w:t xml:space="preserve">V případě varianty 1 </w:t>
      </w:r>
      <w:r w:rsidR="00867E9E">
        <w:t>nastane</w:t>
      </w:r>
      <w:r>
        <w:t xml:space="preserve"> situace, kdy</w:t>
      </w:r>
      <w:r w:rsidR="00867E9E">
        <w:t xml:space="preserve"> </w:t>
      </w:r>
      <w:r>
        <w:t xml:space="preserve">celní orgány </w:t>
      </w:r>
      <w:r w:rsidR="00867E9E">
        <w:t xml:space="preserve">mohou </w:t>
      </w:r>
      <w:r>
        <w:t>dotazova</w:t>
      </w:r>
      <w:r w:rsidR="00867E9E">
        <w:t>t</w:t>
      </w:r>
      <w:r>
        <w:t xml:space="preserve"> </w:t>
      </w:r>
      <w:r w:rsidR="00867E9E">
        <w:t xml:space="preserve">Úřad </w:t>
      </w:r>
      <w:r>
        <w:t>v rámci součinnosti státní správy a přeposíla</w:t>
      </w:r>
      <w:r w:rsidR="00867E9E">
        <w:t>t</w:t>
      </w:r>
      <w:r>
        <w:t xml:space="preserve"> </w:t>
      </w:r>
      <w:r w:rsidR="00867E9E">
        <w:t>jim doručené</w:t>
      </w:r>
      <w:r>
        <w:t xml:space="preserve"> dokumenty. V takovém případě </w:t>
      </w:r>
      <w:r w:rsidR="006E396C">
        <w:t>se zvýší a</w:t>
      </w:r>
      <w:r>
        <w:t>dministrativní</w:t>
      </w:r>
      <w:r w:rsidR="006E396C">
        <w:t xml:space="preserve"> zátěž na straně úřadů</w:t>
      </w:r>
      <w:r w:rsidR="00703509">
        <w:t>, včetně nutnosti rozsáhlejší novelizace větší skupiny předpisů v různých oblastech práva</w:t>
      </w:r>
      <w:r w:rsidR="006E396C">
        <w:t xml:space="preserve">. </w:t>
      </w:r>
      <w:r w:rsidR="00F656EE">
        <w:t>Celkové</w:t>
      </w:r>
      <w:r w:rsidR="002815C7">
        <w:t xml:space="preserve"> regulační</w:t>
      </w:r>
      <w:r>
        <w:t xml:space="preserve"> náklady </w:t>
      </w:r>
      <w:r w:rsidR="006E396C">
        <w:t>převýší</w:t>
      </w:r>
      <w:r>
        <w:t xml:space="preserve"> přínos potencionálně rychlejší vymahatelnosti.</w:t>
      </w:r>
    </w:p>
    <w:p w:rsidR="008A28F9" w:rsidRPr="009E64A8" w:rsidRDefault="008A28F9" w:rsidP="009E64A8">
      <w:pPr>
        <w:pStyle w:val="Variantnnadpis"/>
      </w:pPr>
      <w:r w:rsidRPr="009E64A8">
        <w:t xml:space="preserve">Varianta 2 – Režim vzájemné pomoci </w:t>
      </w:r>
      <w:r w:rsidR="00A27704">
        <w:t>ve spolupráci</w:t>
      </w:r>
      <w:r w:rsidR="00DC1DBF">
        <w:t xml:space="preserve"> Úřadu a</w:t>
      </w:r>
      <w:r w:rsidR="00A27704">
        <w:t xml:space="preserve"> celní</w:t>
      </w:r>
      <w:r w:rsidR="00DC1DBF">
        <w:t>ho</w:t>
      </w:r>
      <w:r w:rsidR="00A27704">
        <w:t xml:space="preserve"> orgán</w:t>
      </w:r>
      <w:r w:rsidR="00DC1DBF">
        <w:t>u</w:t>
      </w:r>
    </w:p>
    <w:p w:rsidR="0012006C" w:rsidRDefault="00E33A1F" w:rsidP="00E33A1F">
      <w:r>
        <w:t>Varianta 2 oproti variantě 1 převažuje v otázce zachování jednotného výkladu současných evropských soutěžních pravidel</w:t>
      </w:r>
      <w:r w:rsidR="0012006C">
        <w:t xml:space="preserve"> ze strany národního soutěžního orgánu</w:t>
      </w:r>
      <w:r>
        <w:t xml:space="preserve">. </w:t>
      </w:r>
    </w:p>
    <w:p w:rsidR="00E33A1F" w:rsidRDefault="0012006C" w:rsidP="00E33A1F">
      <w:r>
        <w:t xml:space="preserve">Nezvýší se </w:t>
      </w:r>
      <w:r w:rsidR="00A46964">
        <w:t>administrativní zátěž vzájemnou komunikací cel</w:t>
      </w:r>
      <w:r w:rsidR="00B0107E">
        <w:t>ního orgánu a soutěžního orgánu v otázce výkladu evropských soutěžních pravidel.</w:t>
      </w:r>
    </w:p>
    <w:p w:rsidR="0012006C" w:rsidRDefault="00BE6042" w:rsidP="00E33A1F">
      <w:r>
        <w:t>Oproti variantě 1 b</w:t>
      </w:r>
      <w:r w:rsidR="0012006C">
        <w:t xml:space="preserve">ude </w:t>
      </w:r>
      <w:r w:rsidR="000F5DC8">
        <w:t>snížena</w:t>
      </w:r>
      <w:r w:rsidR="0012006C">
        <w:t xml:space="preserve"> nutnost novelizace </w:t>
      </w:r>
      <w:r w:rsidR="00AF5B34">
        <w:t>většího množství předpisů na zákonné i</w:t>
      </w:r>
      <w:r w:rsidR="00AA11A3">
        <w:t> </w:t>
      </w:r>
      <w:r w:rsidR="00AF5B34">
        <w:t>podzákonné úrovni a ve více oblastech práva.</w:t>
      </w:r>
    </w:p>
    <w:p w:rsidR="00C012BA" w:rsidRDefault="00C012BA" w:rsidP="00293617">
      <w:pPr>
        <w:pStyle w:val="Tetnadpis"/>
      </w:pPr>
      <w:r w:rsidRPr="00775224">
        <w:t>Zpřístupnění informací obsažených ve spise</w:t>
      </w:r>
    </w:p>
    <w:p w:rsidR="0003063A" w:rsidRPr="0003063A" w:rsidRDefault="008C3ED5" w:rsidP="009E64A8">
      <w:pPr>
        <w:pStyle w:val="Variantnnadpis"/>
      </w:pPr>
      <w:r w:rsidRPr="0003063A">
        <w:t xml:space="preserve">Varianta 0 </w:t>
      </w:r>
      <w:r w:rsidR="0003063A" w:rsidRPr="0003063A">
        <w:t>– Zachování současného stavu</w:t>
      </w:r>
    </w:p>
    <w:p w:rsidR="00763EF6" w:rsidRDefault="009E64A8" w:rsidP="00763EF6">
      <w:r>
        <w:t xml:space="preserve">Varianta 0 </w:t>
      </w:r>
      <w:r w:rsidR="008C3ED5">
        <w:t xml:space="preserve">by nijak zásadně negativně neovlivnila </w:t>
      </w:r>
      <w:r w:rsidR="00FC2952">
        <w:t xml:space="preserve">současné </w:t>
      </w:r>
      <w:r w:rsidR="008C3ED5">
        <w:t xml:space="preserve">vedení řízení na straně Úřadu. Zároveň by </w:t>
      </w:r>
      <w:r w:rsidR="00212462">
        <w:t xml:space="preserve">se </w:t>
      </w:r>
      <w:r w:rsidR="008C3ED5">
        <w:t>snížila šance na efektivněj</w:t>
      </w:r>
      <w:r w:rsidR="00F63EE4">
        <w:t>ší a rychlejší vedení trestních řízení v oblasti porušení pravidel hospodářské soutěže.</w:t>
      </w:r>
      <w:r w:rsidR="00C9143D">
        <w:t xml:space="preserve"> </w:t>
      </w:r>
      <w:r w:rsidR="00534456">
        <w:t>Mohla by snížit ale možnost komunikace mezi soutěžním orgánem a orgánem činným v trest</w:t>
      </w:r>
      <w:r w:rsidR="00A41496">
        <w:t>n</w:t>
      </w:r>
      <w:r w:rsidR="00534456">
        <w:t xml:space="preserve">ím řízení. </w:t>
      </w:r>
    </w:p>
    <w:p w:rsidR="00212462" w:rsidRDefault="00212462" w:rsidP="00763EF6">
      <w:r>
        <w:t>Na druhé straně by se neměnila současná striktně nastavená pravidla pro ochranu chráněných dokumentů z programu shovívavosti vyplývající z požadavků evropských předpisů.</w:t>
      </w:r>
    </w:p>
    <w:p w:rsidR="00BC0283" w:rsidRPr="009E64A8" w:rsidRDefault="008C3ED5" w:rsidP="009E64A8">
      <w:pPr>
        <w:pStyle w:val="Variantnnadpis"/>
      </w:pPr>
      <w:r w:rsidRPr="009E64A8">
        <w:lastRenderedPageBreak/>
        <w:t xml:space="preserve">Varianta 1 </w:t>
      </w:r>
      <w:r w:rsidR="00BC0283" w:rsidRPr="009E64A8">
        <w:t>– Výjimka pro orgány činné v trestním řízení</w:t>
      </w:r>
    </w:p>
    <w:p w:rsidR="007C57EC" w:rsidRDefault="009E64A8" w:rsidP="00763EF6">
      <w:r>
        <w:t xml:space="preserve">Varianta 1 </w:t>
      </w:r>
      <w:r w:rsidR="008C3ED5">
        <w:t>by neměla ohrozit vedení správních řízení u soutěžního orgánu a zároveň by přispěla k potencionálně efektivnějšímu a rychlejšímu vedení trestních</w:t>
      </w:r>
      <w:r w:rsidR="00A64E67">
        <w:t xml:space="preserve"> řízení ve stejných věcech a celkové vyšší úspěšnosti vymáhání pravidel řádné hospodářské soutěže</w:t>
      </w:r>
      <w:r w:rsidR="008C3ED5">
        <w:t>.</w:t>
      </w:r>
      <w:r w:rsidR="00212462">
        <w:t xml:space="preserve"> </w:t>
      </w:r>
    </w:p>
    <w:p w:rsidR="008C3ED5" w:rsidRDefault="00212462" w:rsidP="00763EF6">
      <w:r>
        <w:t>V porovnání s variantou 0 by mohla ale více ohrozit cíle speciální ochrany tzv. důvěrných informací z programů shovívavosti.</w:t>
      </w:r>
    </w:p>
    <w:p w:rsidR="00BC0283" w:rsidRPr="009E64A8" w:rsidRDefault="008C3ED5" w:rsidP="009E64A8">
      <w:pPr>
        <w:pStyle w:val="Variantnnadpis"/>
      </w:pPr>
      <w:r w:rsidRPr="009E64A8">
        <w:t xml:space="preserve">Varianta 2 </w:t>
      </w:r>
      <w:r w:rsidR="00BC0283" w:rsidRPr="009E64A8">
        <w:t xml:space="preserve">– Výjimka pro orgány </w:t>
      </w:r>
      <w:r w:rsidR="00FF70BB" w:rsidRPr="009E64A8">
        <w:t>veřejné moci</w:t>
      </w:r>
    </w:p>
    <w:p w:rsidR="006648B4" w:rsidRDefault="009E64A8" w:rsidP="00763EF6">
      <w:r>
        <w:t xml:space="preserve">Varianta 2 </w:t>
      </w:r>
      <w:r w:rsidR="008C3ED5">
        <w:t xml:space="preserve">by mohla </w:t>
      </w:r>
      <w:r w:rsidR="008C7CDC">
        <w:t xml:space="preserve">ještě více </w:t>
      </w:r>
      <w:r w:rsidR="008C3ED5">
        <w:t>ohrozit úspěšnost vedení správních řízení soutěžních orgánů</w:t>
      </w:r>
      <w:r w:rsidR="008C7CDC">
        <w:t xml:space="preserve"> než varianta 1. </w:t>
      </w:r>
    </w:p>
    <w:p w:rsidR="008C3ED5" w:rsidRPr="00E16664" w:rsidRDefault="008C7CDC" w:rsidP="00763EF6">
      <w:r>
        <w:t>V</w:t>
      </w:r>
      <w:r w:rsidR="008C3ED5">
        <w:t xml:space="preserve">zhledem k nemožnosti </w:t>
      </w:r>
      <w:r>
        <w:t xml:space="preserve">v rámci kodifikace konkrétně </w:t>
      </w:r>
      <w:r w:rsidR="008C3ED5">
        <w:t>identifik</w:t>
      </w:r>
      <w:r>
        <w:t>ovat</w:t>
      </w:r>
      <w:r w:rsidR="008C3ED5">
        <w:t xml:space="preserve"> </w:t>
      </w:r>
      <w:r>
        <w:t>jiné</w:t>
      </w:r>
      <w:r w:rsidR="008C3ED5">
        <w:t xml:space="preserve"> orgán</w:t>
      </w:r>
      <w:r>
        <w:t>y</w:t>
      </w:r>
      <w:r w:rsidR="008C3ED5">
        <w:t xml:space="preserve"> veřejné moci by ve výsledku neměla převážit nad variantou 1.</w:t>
      </w:r>
    </w:p>
    <w:p w:rsidR="00323E94" w:rsidRDefault="002F1BA2" w:rsidP="00293617">
      <w:pPr>
        <w:pStyle w:val="Prvnnadpis"/>
      </w:pPr>
      <w:r>
        <w:t>Vyhodnocení variant a návrh řešení</w:t>
      </w:r>
    </w:p>
    <w:p w:rsidR="001E0E61" w:rsidRDefault="001E0E61" w:rsidP="00734FB7">
      <w:r>
        <w:t>Po vyhodnocení nákladů a přínosů jednotlivých variant došlo ke stanovení základních hodnotících kritérií, na jejichž základě pak probíhalo samotné vyhodnocení a výběr nejvhodnější varianty. Hodnocení byla pro jednotlivé varianty zanesena do tabulky. Jednotlivá kritéria byla bodována číselně od 1 do 5, přičemž 1 znamená nejlepší, 5 nejhorší. Na závěr byl do tabulky zanesen aritmetický průměr vzešlý z ohodnocení jednotlivých variant. Varianta s nejnižším aritmetickým průměrem bodování byla zpravidla hodnocena jeho nejvhodnější.</w:t>
      </w:r>
    </w:p>
    <w:p w:rsidR="00372E9B" w:rsidRDefault="00372E9B" w:rsidP="00734FB7">
      <w:r>
        <w:t>Hodnotící kritéria byla stanovena odlišně u jednotlivých opatření regulace s ohledem na jejich specifičnost, kdy byla vybírána ta kritéria, která jsou pro danou oblast dle názoru předkladatele nejdůležitější a nejprůkaznější. Použití jednotného systému kritérií by mohlo vést k nedostatečnému a nepřesnému zhodnocení jednotlivých variant. Tam, kde to bylo možné, byla použita kritéria konkrétnější, méně obecná, jako např. „</w:t>
      </w:r>
      <w:r w:rsidRPr="00372E9B">
        <w:rPr>
          <w:i/>
        </w:rPr>
        <w:t>zapojení účastníka do řízení</w:t>
      </w:r>
      <w:r w:rsidR="00A10B03" w:rsidRPr="00A10B03">
        <w:t>“</w:t>
      </w:r>
      <w:r w:rsidR="0094733F">
        <w:t xml:space="preserve"> a „</w:t>
      </w:r>
      <w:r w:rsidR="0094733F" w:rsidRPr="0094733F">
        <w:rPr>
          <w:i/>
        </w:rPr>
        <w:t>rychlost nápravy hospodářské soutěže</w:t>
      </w:r>
      <w:r w:rsidR="0094733F">
        <w:t>“</w:t>
      </w:r>
      <w:r w:rsidR="00A10B03" w:rsidRPr="00A10B03">
        <w:t xml:space="preserve"> </w:t>
      </w:r>
      <w:r w:rsidR="00A10B03">
        <w:t>u závazků orgánů veřejné správy, neboť jedním z cílů návrhu je možnost těchto orgánů se podílet na výsledku řízení</w:t>
      </w:r>
      <w:r w:rsidR="0094733F">
        <w:t xml:space="preserve"> a žádoucím stavem je minimalizace délky narušení hospodářské soutěže</w:t>
      </w:r>
      <w:r w:rsidR="00A10B03">
        <w:t>,</w:t>
      </w:r>
      <w:r>
        <w:t xml:space="preserve"> nebo „</w:t>
      </w:r>
      <w:r w:rsidRPr="00372E9B">
        <w:rPr>
          <w:i/>
        </w:rPr>
        <w:t>působení na soutěžitele</w:t>
      </w:r>
      <w:r w:rsidR="0094733F">
        <w:t>“ u </w:t>
      </w:r>
      <w:r>
        <w:t>pořádkové a donucovací pokuty</w:t>
      </w:r>
      <w:r w:rsidR="00A10B03">
        <w:t xml:space="preserve">, neboť hlavním motivem návrhu je zvýšení odrazujícího </w:t>
      </w:r>
      <w:r w:rsidR="0094733F">
        <w:t>efektu na </w:t>
      </w:r>
      <w:r w:rsidR="00A10B03">
        <w:t>soutěžitele a tím efektivnější dohled nad hospodářskou soutěží</w:t>
      </w:r>
      <w:r>
        <w:t xml:space="preserve">. </w:t>
      </w:r>
      <w:r w:rsidR="00A10B03">
        <w:t xml:space="preserve">Další </w:t>
      </w:r>
      <w:r>
        <w:t xml:space="preserve">kritéria </w:t>
      </w:r>
      <w:r w:rsidR="00A10B03">
        <w:t>jsou zvolena obecněji</w:t>
      </w:r>
      <w:r>
        <w:t xml:space="preserve"> jako „</w:t>
      </w:r>
      <w:r w:rsidRPr="00372E9B">
        <w:rPr>
          <w:i/>
        </w:rPr>
        <w:t>náročnost změny</w:t>
      </w:r>
      <w:r w:rsidR="0094733F">
        <w:t>“,</w:t>
      </w:r>
      <w:r>
        <w:t xml:space="preserve"> „</w:t>
      </w:r>
      <w:r w:rsidRPr="00372E9B">
        <w:rPr>
          <w:i/>
        </w:rPr>
        <w:t>efektivita naplnění cílů</w:t>
      </w:r>
      <w:r>
        <w:t>“</w:t>
      </w:r>
      <w:r w:rsidR="0094733F">
        <w:t>, „</w:t>
      </w:r>
      <w:r w:rsidR="0094733F" w:rsidRPr="0094733F">
        <w:rPr>
          <w:i/>
        </w:rPr>
        <w:t>a</w:t>
      </w:r>
      <w:r w:rsidR="0094733F">
        <w:rPr>
          <w:i/>
        </w:rPr>
        <w:t>dministrativní zátěž a </w:t>
      </w:r>
      <w:r w:rsidR="0094733F" w:rsidRPr="0094733F">
        <w:rPr>
          <w:i/>
        </w:rPr>
        <w:t>náklady veřejné správy</w:t>
      </w:r>
      <w:r w:rsidR="0094733F">
        <w:t>“ nebo „</w:t>
      </w:r>
      <w:r w:rsidR="0094733F" w:rsidRPr="0094733F">
        <w:rPr>
          <w:i/>
        </w:rPr>
        <w:t>ekonomické dopady</w:t>
      </w:r>
      <w:r w:rsidR="0094733F">
        <w:t>“</w:t>
      </w:r>
      <w:r w:rsidR="00A10B03">
        <w:t>, protože daná opatření regulace neumožňují zvolení konkrétnějšího kritéria</w:t>
      </w:r>
      <w:r>
        <w:t>. U opatření regulace vycházejících z implementace Směrnice pak bylo vždy použito kritérium „</w:t>
      </w:r>
      <w:r w:rsidRPr="00372E9B">
        <w:rPr>
          <w:i/>
        </w:rPr>
        <w:t>naplnění požadavků transpozice</w:t>
      </w:r>
      <w:r>
        <w:t>“.</w:t>
      </w:r>
    </w:p>
    <w:p w:rsidR="00783504" w:rsidRPr="00697584" w:rsidRDefault="007674FB" w:rsidP="00293617">
      <w:pPr>
        <w:pStyle w:val="Druhnadpis"/>
        <w:rPr>
          <w:i/>
          <w:sz w:val="24"/>
          <w:u w:val="single"/>
        </w:rPr>
      </w:pPr>
      <w:r w:rsidRPr="00697584">
        <w:rPr>
          <w:i/>
          <w:sz w:val="24"/>
        </w:rPr>
        <w:lastRenderedPageBreak/>
        <w:t xml:space="preserve">Pořádková </w:t>
      </w:r>
      <w:r w:rsidR="00E50C76">
        <w:rPr>
          <w:i/>
          <w:sz w:val="24"/>
        </w:rPr>
        <w:t>a donu</w:t>
      </w:r>
      <w:r w:rsidR="0090404B">
        <w:rPr>
          <w:i/>
          <w:sz w:val="24"/>
        </w:rPr>
        <w:t>co</w:t>
      </w:r>
      <w:r w:rsidR="00E50C76">
        <w:rPr>
          <w:i/>
          <w:sz w:val="24"/>
        </w:rPr>
        <w:t xml:space="preserve">vací </w:t>
      </w:r>
      <w:r w:rsidRPr="00697584">
        <w:rPr>
          <w:i/>
          <w:sz w:val="24"/>
        </w:rPr>
        <w:t>pokuta</w:t>
      </w:r>
    </w:p>
    <w:tbl>
      <w:tblPr>
        <w:tblStyle w:val="Svtlstnovnzvraznn1"/>
        <w:tblW w:w="0" w:type="auto"/>
        <w:jc w:val="center"/>
        <w:tblLook w:val="04A0" w:firstRow="1" w:lastRow="0" w:firstColumn="1" w:lastColumn="0" w:noHBand="0" w:noVBand="1"/>
      </w:tblPr>
      <w:tblGrid>
        <w:gridCol w:w="1786"/>
        <w:gridCol w:w="1786"/>
        <w:gridCol w:w="1786"/>
        <w:gridCol w:w="1786"/>
        <w:gridCol w:w="1786"/>
      </w:tblGrid>
      <w:tr w:rsidR="00B57EBD" w:rsidTr="00C66AB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B57EBD" w:rsidRDefault="00B57EBD" w:rsidP="00C66AB6">
            <w:pPr>
              <w:keepNext/>
              <w:ind w:firstLine="0"/>
              <w:jc w:val="center"/>
              <w:rPr>
                <w:b w:val="0"/>
              </w:rPr>
            </w:pPr>
          </w:p>
        </w:tc>
        <w:tc>
          <w:tcPr>
            <w:tcW w:w="1786" w:type="dxa"/>
            <w:vAlign w:val="center"/>
            <w:hideMark/>
          </w:tcPr>
          <w:p w:rsidR="00B57EBD" w:rsidRDefault="00B57EBD"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Náročnost změny</w:t>
            </w:r>
          </w:p>
        </w:tc>
        <w:tc>
          <w:tcPr>
            <w:tcW w:w="1786" w:type="dxa"/>
            <w:vAlign w:val="center"/>
            <w:hideMark/>
          </w:tcPr>
          <w:p w:rsidR="00B57EBD" w:rsidRDefault="00E171E3"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 xml:space="preserve">Působení </w:t>
            </w:r>
            <w:r w:rsidR="00B57EBD">
              <w:t>na</w:t>
            </w:r>
            <w:r>
              <w:t> </w:t>
            </w:r>
            <w:r w:rsidR="00B57EBD">
              <w:t>soutěžitele</w:t>
            </w:r>
          </w:p>
        </w:tc>
        <w:tc>
          <w:tcPr>
            <w:tcW w:w="1786" w:type="dxa"/>
            <w:vAlign w:val="center"/>
            <w:hideMark/>
          </w:tcPr>
          <w:p w:rsidR="00B57EBD" w:rsidRDefault="003516AA"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 xml:space="preserve"> Naplnění </w:t>
            </w:r>
            <w:r w:rsidR="003E1F74">
              <w:t xml:space="preserve">požadavků </w:t>
            </w:r>
            <w:r>
              <w:t>transpozice</w:t>
            </w:r>
          </w:p>
        </w:tc>
        <w:tc>
          <w:tcPr>
            <w:tcW w:w="1786" w:type="dxa"/>
            <w:vAlign w:val="center"/>
            <w:hideMark/>
          </w:tcPr>
          <w:p w:rsidR="00B57EBD" w:rsidRDefault="00B57EBD"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Výsledné hodnocení</w:t>
            </w:r>
          </w:p>
        </w:tc>
      </w:tr>
      <w:tr w:rsidR="00B57EBD" w:rsidTr="00C66AB6">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B57EBD" w:rsidRDefault="006D6DF3" w:rsidP="00C66AB6">
            <w:pPr>
              <w:keepNext/>
              <w:ind w:firstLine="0"/>
              <w:jc w:val="center"/>
              <w:rPr>
                <w:b w:val="0"/>
              </w:rPr>
            </w:pPr>
            <w:r>
              <w:t>Varianta 0</w:t>
            </w:r>
          </w:p>
        </w:tc>
        <w:tc>
          <w:tcPr>
            <w:tcW w:w="1786" w:type="dxa"/>
            <w:vAlign w:val="center"/>
            <w:hideMark/>
          </w:tcPr>
          <w:p w:rsidR="00B57EBD" w:rsidRPr="00B57EBD" w:rsidRDefault="00B57EBD" w:rsidP="00C66AB6">
            <w:pPr>
              <w:keepNext/>
              <w:ind w:firstLine="0"/>
              <w:jc w:val="center"/>
              <w:cnfStyle w:val="000000100000" w:firstRow="0" w:lastRow="0" w:firstColumn="0" w:lastColumn="0" w:oddVBand="0" w:evenVBand="0" w:oddHBand="1" w:evenHBand="0" w:firstRowFirstColumn="0" w:firstRowLastColumn="0" w:lastRowFirstColumn="0" w:lastRowLastColumn="0"/>
            </w:pPr>
            <w:r w:rsidRPr="00B57EBD">
              <w:t>1</w:t>
            </w:r>
          </w:p>
        </w:tc>
        <w:tc>
          <w:tcPr>
            <w:tcW w:w="1786" w:type="dxa"/>
            <w:vAlign w:val="center"/>
            <w:hideMark/>
          </w:tcPr>
          <w:p w:rsidR="00B57EBD" w:rsidRPr="00B57EBD" w:rsidRDefault="00B57EBD" w:rsidP="00C66AB6">
            <w:pPr>
              <w:keepNext/>
              <w:jc w:val="center"/>
              <w:cnfStyle w:val="000000100000" w:firstRow="0" w:lastRow="0" w:firstColumn="0" w:lastColumn="0" w:oddVBand="0" w:evenVBand="0" w:oddHBand="1" w:evenHBand="0" w:firstRowFirstColumn="0" w:firstRowLastColumn="0" w:lastRowFirstColumn="0" w:lastRowLastColumn="0"/>
            </w:pPr>
            <w:r>
              <w:t>5</w:t>
            </w:r>
          </w:p>
        </w:tc>
        <w:tc>
          <w:tcPr>
            <w:tcW w:w="1786" w:type="dxa"/>
            <w:vAlign w:val="center"/>
            <w:hideMark/>
          </w:tcPr>
          <w:p w:rsidR="00B57EBD" w:rsidRPr="00B57EBD" w:rsidRDefault="00B57EBD" w:rsidP="00C66AB6">
            <w:pPr>
              <w:keepNext/>
              <w:jc w:val="center"/>
              <w:cnfStyle w:val="000000100000" w:firstRow="0" w:lastRow="0" w:firstColumn="0" w:lastColumn="0" w:oddVBand="0" w:evenVBand="0" w:oddHBand="1" w:evenHBand="0" w:firstRowFirstColumn="0" w:firstRowLastColumn="0" w:lastRowFirstColumn="0" w:lastRowLastColumn="0"/>
            </w:pPr>
            <w:r>
              <w:t>5</w:t>
            </w:r>
          </w:p>
        </w:tc>
        <w:tc>
          <w:tcPr>
            <w:tcW w:w="1786" w:type="dxa"/>
            <w:vAlign w:val="center"/>
            <w:hideMark/>
          </w:tcPr>
          <w:p w:rsidR="00B57EBD" w:rsidRPr="00B57EBD" w:rsidRDefault="00B57EBD" w:rsidP="00C66AB6">
            <w:pPr>
              <w:keepNext/>
              <w:jc w:val="center"/>
              <w:cnfStyle w:val="000000100000" w:firstRow="0" w:lastRow="0" w:firstColumn="0" w:lastColumn="0" w:oddVBand="0" w:evenVBand="0" w:oddHBand="1" w:evenHBand="0" w:firstRowFirstColumn="0" w:firstRowLastColumn="0" w:lastRowFirstColumn="0" w:lastRowLastColumn="0"/>
            </w:pPr>
            <w:r>
              <w:t>3,67</w:t>
            </w:r>
          </w:p>
        </w:tc>
      </w:tr>
      <w:tr w:rsidR="00B57EBD" w:rsidTr="00C66AB6">
        <w:trPr>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B57EBD" w:rsidRDefault="006D6DF3" w:rsidP="00C66AB6">
            <w:pPr>
              <w:keepNext/>
              <w:ind w:firstLine="0"/>
              <w:jc w:val="center"/>
              <w:rPr>
                <w:b w:val="0"/>
              </w:rPr>
            </w:pPr>
            <w:r>
              <w:t>Varianta 1</w:t>
            </w:r>
          </w:p>
        </w:tc>
        <w:tc>
          <w:tcPr>
            <w:tcW w:w="1786" w:type="dxa"/>
            <w:vAlign w:val="center"/>
            <w:hideMark/>
          </w:tcPr>
          <w:p w:rsidR="00B57EBD" w:rsidRPr="00B57EBD" w:rsidRDefault="00B57EBD" w:rsidP="00C66AB6">
            <w:pPr>
              <w:keepNext/>
              <w:ind w:firstLine="0"/>
              <w:jc w:val="center"/>
              <w:cnfStyle w:val="000000000000" w:firstRow="0" w:lastRow="0" w:firstColumn="0" w:lastColumn="0" w:oddVBand="0" w:evenVBand="0" w:oddHBand="0" w:evenHBand="0" w:firstRowFirstColumn="0" w:firstRowLastColumn="0" w:lastRowFirstColumn="0" w:lastRowLastColumn="0"/>
            </w:pPr>
            <w:r>
              <w:t>3</w:t>
            </w:r>
          </w:p>
        </w:tc>
        <w:tc>
          <w:tcPr>
            <w:tcW w:w="1786" w:type="dxa"/>
            <w:vAlign w:val="center"/>
            <w:hideMark/>
          </w:tcPr>
          <w:p w:rsidR="00B57EBD" w:rsidRPr="00B57EBD" w:rsidRDefault="00B57EBD" w:rsidP="00C66AB6">
            <w:pPr>
              <w:keepNext/>
              <w:jc w:val="center"/>
              <w:cnfStyle w:val="000000000000" w:firstRow="0" w:lastRow="0" w:firstColumn="0" w:lastColumn="0" w:oddVBand="0" w:evenVBand="0" w:oddHBand="0" w:evenHBand="0" w:firstRowFirstColumn="0" w:firstRowLastColumn="0" w:lastRowFirstColumn="0" w:lastRowLastColumn="0"/>
            </w:pPr>
            <w:r>
              <w:t>2</w:t>
            </w:r>
          </w:p>
        </w:tc>
        <w:tc>
          <w:tcPr>
            <w:tcW w:w="1786" w:type="dxa"/>
            <w:vAlign w:val="center"/>
            <w:hideMark/>
          </w:tcPr>
          <w:p w:rsidR="00B57EBD" w:rsidRPr="00B57EBD" w:rsidRDefault="00B57EBD" w:rsidP="00C66AB6">
            <w:pPr>
              <w:keepNext/>
              <w:jc w:val="center"/>
              <w:cnfStyle w:val="000000000000" w:firstRow="0" w:lastRow="0" w:firstColumn="0" w:lastColumn="0" w:oddVBand="0" w:evenVBand="0" w:oddHBand="0" w:evenHBand="0" w:firstRowFirstColumn="0" w:firstRowLastColumn="0" w:lastRowFirstColumn="0" w:lastRowLastColumn="0"/>
            </w:pPr>
            <w:r>
              <w:t>3</w:t>
            </w:r>
          </w:p>
        </w:tc>
        <w:tc>
          <w:tcPr>
            <w:tcW w:w="1786" w:type="dxa"/>
            <w:vAlign w:val="center"/>
            <w:hideMark/>
          </w:tcPr>
          <w:p w:rsidR="00B57EBD" w:rsidRPr="0090404B" w:rsidRDefault="00B57EBD" w:rsidP="00C66AB6">
            <w:pPr>
              <w:keepNext/>
              <w:jc w:val="center"/>
              <w:cnfStyle w:val="000000000000" w:firstRow="0" w:lastRow="0" w:firstColumn="0" w:lastColumn="0" w:oddVBand="0" w:evenVBand="0" w:oddHBand="0" w:evenHBand="0" w:firstRowFirstColumn="0" w:firstRowLastColumn="0" w:lastRowFirstColumn="0" w:lastRowLastColumn="0"/>
              <w:rPr>
                <w:b/>
              </w:rPr>
            </w:pPr>
            <w:r w:rsidRPr="0090404B">
              <w:rPr>
                <w:b/>
              </w:rPr>
              <w:t>2,67</w:t>
            </w:r>
          </w:p>
        </w:tc>
      </w:tr>
      <w:tr w:rsidR="00B57EBD" w:rsidTr="00C66A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B57EBD" w:rsidRDefault="006D6DF3" w:rsidP="00C66AB6">
            <w:pPr>
              <w:keepNext/>
              <w:ind w:firstLine="0"/>
              <w:jc w:val="center"/>
              <w:rPr>
                <w:b w:val="0"/>
              </w:rPr>
            </w:pPr>
            <w:r>
              <w:t>Varianta 2</w:t>
            </w:r>
          </w:p>
        </w:tc>
        <w:tc>
          <w:tcPr>
            <w:tcW w:w="1786" w:type="dxa"/>
            <w:vAlign w:val="center"/>
            <w:hideMark/>
          </w:tcPr>
          <w:p w:rsidR="00B57EBD" w:rsidRPr="00B57EBD" w:rsidRDefault="00C15DEB" w:rsidP="00C66AB6">
            <w:pPr>
              <w:keepNext/>
              <w:ind w:firstLine="0"/>
              <w:jc w:val="center"/>
              <w:cnfStyle w:val="000000100000" w:firstRow="0" w:lastRow="0" w:firstColumn="0" w:lastColumn="0" w:oddVBand="0" w:evenVBand="0" w:oddHBand="1" w:evenHBand="0" w:firstRowFirstColumn="0" w:firstRowLastColumn="0" w:lastRowFirstColumn="0" w:lastRowLastColumn="0"/>
            </w:pPr>
            <w:r>
              <w:t>3</w:t>
            </w:r>
          </w:p>
        </w:tc>
        <w:tc>
          <w:tcPr>
            <w:tcW w:w="1786" w:type="dxa"/>
            <w:vAlign w:val="center"/>
            <w:hideMark/>
          </w:tcPr>
          <w:p w:rsidR="00B57EBD" w:rsidRPr="00B57EBD" w:rsidRDefault="00C15DEB" w:rsidP="00C66AB6">
            <w:pPr>
              <w:keepNext/>
              <w:jc w:val="center"/>
              <w:cnfStyle w:val="000000100000" w:firstRow="0" w:lastRow="0" w:firstColumn="0" w:lastColumn="0" w:oddVBand="0" w:evenVBand="0" w:oddHBand="1" w:evenHBand="0" w:firstRowFirstColumn="0" w:firstRowLastColumn="0" w:lastRowFirstColumn="0" w:lastRowLastColumn="0"/>
            </w:pPr>
            <w:r>
              <w:t>3</w:t>
            </w:r>
          </w:p>
        </w:tc>
        <w:tc>
          <w:tcPr>
            <w:tcW w:w="1786" w:type="dxa"/>
            <w:vAlign w:val="center"/>
            <w:hideMark/>
          </w:tcPr>
          <w:p w:rsidR="00B57EBD" w:rsidRPr="00B57EBD" w:rsidRDefault="00B57EBD" w:rsidP="00C66AB6">
            <w:pPr>
              <w:keepNext/>
              <w:jc w:val="center"/>
              <w:cnfStyle w:val="000000100000" w:firstRow="0" w:lastRow="0" w:firstColumn="0" w:lastColumn="0" w:oddVBand="0" w:evenVBand="0" w:oddHBand="1" w:evenHBand="0" w:firstRowFirstColumn="0" w:firstRowLastColumn="0" w:lastRowFirstColumn="0" w:lastRowLastColumn="0"/>
            </w:pPr>
            <w:r w:rsidRPr="00B57EBD">
              <w:t>2</w:t>
            </w:r>
          </w:p>
        </w:tc>
        <w:tc>
          <w:tcPr>
            <w:tcW w:w="1786" w:type="dxa"/>
            <w:vAlign w:val="center"/>
            <w:hideMark/>
          </w:tcPr>
          <w:p w:rsidR="00B57EBD" w:rsidRPr="0090404B" w:rsidRDefault="00C15DEB" w:rsidP="00C66AB6">
            <w:pPr>
              <w:keepNext/>
              <w:jc w:val="center"/>
              <w:cnfStyle w:val="000000100000" w:firstRow="0" w:lastRow="0" w:firstColumn="0" w:lastColumn="0" w:oddVBand="0" w:evenVBand="0" w:oddHBand="1" w:evenHBand="0" w:firstRowFirstColumn="0" w:firstRowLastColumn="0" w:lastRowFirstColumn="0" w:lastRowLastColumn="0"/>
              <w:rPr>
                <w:b/>
              </w:rPr>
            </w:pPr>
            <w:r w:rsidRPr="0090404B">
              <w:rPr>
                <w:b/>
              </w:rPr>
              <w:t>2,67</w:t>
            </w:r>
          </w:p>
        </w:tc>
      </w:tr>
    </w:tbl>
    <w:p w:rsidR="00146898" w:rsidRPr="001B3CC7" w:rsidRDefault="00146898" w:rsidP="00B77763">
      <w:pPr>
        <w:spacing w:before="240"/>
        <w:rPr>
          <w:color w:val="A6A6A6" w:themeColor="background1" w:themeShade="A6"/>
        </w:rPr>
      </w:pPr>
      <w:r w:rsidRPr="001B3CC7">
        <w:t xml:space="preserve">Jako nejvýhodnější se jeví </w:t>
      </w:r>
      <w:r>
        <w:t>kombinace varianty 1 a 2</w:t>
      </w:r>
      <w:r w:rsidRPr="001B3CC7">
        <w:t>.</w:t>
      </w:r>
      <w:r w:rsidRPr="001B3CC7">
        <w:rPr>
          <w:b/>
        </w:rPr>
        <w:t xml:space="preserve"> </w:t>
      </w:r>
      <w:r w:rsidRPr="001B3CC7">
        <w:t xml:space="preserve">Následuje varianta </w:t>
      </w:r>
      <w:r>
        <w:t>0</w:t>
      </w:r>
      <w:r w:rsidRPr="001B3CC7">
        <w:t>.</w:t>
      </w:r>
      <w:r w:rsidRPr="001B3CC7">
        <w:rPr>
          <w:color w:val="A6A6A6" w:themeColor="background1" w:themeShade="A6"/>
        </w:rPr>
        <w:t xml:space="preserve">  </w:t>
      </w:r>
    </w:p>
    <w:p w:rsidR="0012327E" w:rsidRDefault="007674FB" w:rsidP="00293617">
      <w:pPr>
        <w:pStyle w:val="Variantnnadpis"/>
      </w:pPr>
      <w:r w:rsidRPr="007674FB">
        <w:t>Nejvhodnější varianta</w:t>
      </w:r>
    </w:p>
    <w:p w:rsidR="007674FB" w:rsidRPr="00DA289C" w:rsidRDefault="0012327E" w:rsidP="009933C2">
      <w:r w:rsidRPr="00DA289C">
        <w:t xml:space="preserve"> Na základě vyhodnocení jednotlivých variant doporučujeme</w:t>
      </w:r>
      <w:r w:rsidR="009933C2">
        <w:t xml:space="preserve"> přijmout kombinaci variant 1 a </w:t>
      </w:r>
      <w:r w:rsidRPr="00DA289C">
        <w:t>2. Kombinace těchto variant znamená drobné zásahy do právního řádu, které však nejsou rozsáhlé. Změna právní úpravy bude kladně působit na dotčené subjekty k řádnému plnění povinností, neboť maximálně výše pokuty bude několikanásobně vyšší než dosud. Zároveň bude Úřadu oprávněn opakovaně ukládat pokuty dotčenému subjektu, který se nepodrobí šetření na místě. Změna právního řádu tak povede k plynulejšímu vedení řízení, v konečném důsledku ke zvýšení rychlosti vyřízení těchto řízení, a k efektivnějšímu vymáhání dodržování rozhodnutí či přijatých závazků. Výše pokut se také promítne na příspěvku do státního rozpočtu. Použitím kombinace variant 1 a 2 bude cíl uvedení zákona do souladu se Směrnicí zcela naplněn.</w:t>
      </w:r>
    </w:p>
    <w:p w:rsidR="00C12FD3" w:rsidRDefault="00C12FD3" w:rsidP="00B04472">
      <w:pPr>
        <w:pStyle w:val="Druhnadpis"/>
      </w:pPr>
      <w:r w:rsidRPr="00697584">
        <w:rPr>
          <w:i/>
          <w:sz w:val="24"/>
        </w:rPr>
        <w:t>Součinnost policie</w:t>
      </w:r>
      <w:r>
        <w:t xml:space="preserve"> </w:t>
      </w:r>
    </w:p>
    <w:tbl>
      <w:tblPr>
        <w:tblStyle w:val="Svtlstnovnzvraznn1"/>
        <w:tblW w:w="0" w:type="auto"/>
        <w:jc w:val="center"/>
        <w:tblLook w:val="04A0" w:firstRow="1" w:lastRow="0" w:firstColumn="1" w:lastColumn="0" w:noHBand="0" w:noVBand="1"/>
      </w:tblPr>
      <w:tblGrid>
        <w:gridCol w:w="1729"/>
        <w:gridCol w:w="1729"/>
        <w:gridCol w:w="1729"/>
        <w:gridCol w:w="1729"/>
        <w:gridCol w:w="1730"/>
      </w:tblGrid>
      <w:tr w:rsidR="001F609B" w:rsidTr="009E64A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29" w:type="dxa"/>
            <w:vAlign w:val="center"/>
            <w:hideMark/>
          </w:tcPr>
          <w:p w:rsidR="001F609B" w:rsidRDefault="001F609B" w:rsidP="00C66AB6">
            <w:pPr>
              <w:keepNext/>
              <w:ind w:firstLine="0"/>
              <w:jc w:val="center"/>
              <w:rPr>
                <w:b w:val="0"/>
              </w:rPr>
            </w:pPr>
          </w:p>
        </w:tc>
        <w:tc>
          <w:tcPr>
            <w:tcW w:w="1729" w:type="dxa"/>
            <w:vAlign w:val="center"/>
            <w:hideMark/>
          </w:tcPr>
          <w:p w:rsidR="001F609B" w:rsidRDefault="001F609B"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Náročnost změny</w:t>
            </w:r>
          </w:p>
        </w:tc>
        <w:tc>
          <w:tcPr>
            <w:tcW w:w="1729" w:type="dxa"/>
            <w:vAlign w:val="center"/>
            <w:hideMark/>
          </w:tcPr>
          <w:p w:rsidR="001F609B" w:rsidRPr="00837D18" w:rsidRDefault="001F609B" w:rsidP="00C66AB6">
            <w:pPr>
              <w:keepNext/>
              <w:ind w:firstLine="0"/>
              <w:jc w:val="center"/>
              <w:cnfStyle w:val="100000000000" w:firstRow="1" w:lastRow="0" w:firstColumn="0" w:lastColumn="0" w:oddVBand="0" w:evenVBand="0" w:oddHBand="0" w:evenHBand="0" w:firstRowFirstColumn="0" w:firstRowLastColumn="0" w:lastRowFirstColumn="0" w:lastRowLastColumn="0"/>
            </w:pPr>
            <w:r w:rsidRPr="00837D18">
              <w:rPr>
                <w:szCs w:val="24"/>
              </w:rPr>
              <w:t>Efektivita naplnění cílů</w:t>
            </w:r>
          </w:p>
        </w:tc>
        <w:tc>
          <w:tcPr>
            <w:tcW w:w="1729" w:type="dxa"/>
            <w:vAlign w:val="center"/>
            <w:hideMark/>
          </w:tcPr>
          <w:p w:rsidR="001F609B" w:rsidRDefault="000C604B"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 xml:space="preserve">Naplnění </w:t>
            </w:r>
            <w:r w:rsidR="003E1F74">
              <w:t xml:space="preserve">požadavků </w:t>
            </w:r>
            <w:r>
              <w:t>transpozice</w:t>
            </w:r>
          </w:p>
        </w:tc>
        <w:tc>
          <w:tcPr>
            <w:tcW w:w="1730" w:type="dxa"/>
            <w:vAlign w:val="center"/>
            <w:hideMark/>
          </w:tcPr>
          <w:p w:rsidR="001F609B" w:rsidRDefault="001F609B"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Výsledné hodnocení</w:t>
            </w:r>
          </w:p>
        </w:tc>
      </w:tr>
      <w:tr w:rsidR="001F609B" w:rsidRPr="00B57EBD" w:rsidTr="009E64A8">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1729" w:type="dxa"/>
            <w:vAlign w:val="center"/>
            <w:hideMark/>
          </w:tcPr>
          <w:p w:rsidR="001F609B" w:rsidRDefault="001F609B" w:rsidP="00E85DDD">
            <w:pPr>
              <w:keepNext/>
              <w:ind w:firstLine="0"/>
              <w:jc w:val="left"/>
              <w:rPr>
                <w:b w:val="0"/>
              </w:rPr>
            </w:pPr>
            <w:r>
              <w:t>Varianta 0</w:t>
            </w:r>
          </w:p>
        </w:tc>
        <w:tc>
          <w:tcPr>
            <w:tcW w:w="1729" w:type="dxa"/>
            <w:vAlign w:val="center"/>
            <w:hideMark/>
          </w:tcPr>
          <w:p w:rsidR="001F609B" w:rsidRPr="00486192" w:rsidRDefault="001F609B" w:rsidP="00C66AB6">
            <w:pPr>
              <w:keepNext/>
              <w:ind w:firstLine="0"/>
              <w:jc w:val="center"/>
              <w:cnfStyle w:val="000000100000" w:firstRow="0" w:lastRow="0" w:firstColumn="0" w:lastColumn="0" w:oddVBand="0" w:evenVBand="0" w:oddHBand="1" w:evenHBand="0" w:firstRowFirstColumn="0" w:firstRowLastColumn="0" w:lastRowFirstColumn="0" w:lastRowLastColumn="0"/>
            </w:pPr>
            <w:r w:rsidRPr="00486192">
              <w:rPr>
                <w:szCs w:val="24"/>
              </w:rPr>
              <w:t>1</w:t>
            </w:r>
          </w:p>
        </w:tc>
        <w:tc>
          <w:tcPr>
            <w:tcW w:w="1729" w:type="dxa"/>
            <w:vAlign w:val="center"/>
            <w:hideMark/>
          </w:tcPr>
          <w:p w:rsidR="001F609B" w:rsidRPr="00486192" w:rsidRDefault="001F609B" w:rsidP="00C66AB6">
            <w:pPr>
              <w:keepNext/>
              <w:jc w:val="center"/>
              <w:cnfStyle w:val="000000100000" w:firstRow="0" w:lastRow="0" w:firstColumn="0" w:lastColumn="0" w:oddVBand="0" w:evenVBand="0" w:oddHBand="1" w:evenHBand="0" w:firstRowFirstColumn="0" w:firstRowLastColumn="0" w:lastRowFirstColumn="0" w:lastRowLastColumn="0"/>
            </w:pPr>
            <w:r w:rsidRPr="00486192">
              <w:rPr>
                <w:szCs w:val="24"/>
              </w:rPr>
              <w:t>3</w:t>
            </w:r>
          </w:p>
        </w:tc>
        <w:tc>
          <w:tcPr>
            <w:tcW w:w="1729" w:type="dxa"/>
            <w:vAlign w:val="center"/>
            <w:hideMark/>
          </w:tcPr>
          <w:p w:rsidR="001F609B" w:rsidRPr="00486192" w:rsidRDefault="001F609B" w:rsidP="00C66AB6">
            <w:pPr>
              <w:keepNext/>
              <w:jc w:val="center"/>
              <w:cnfStyle w:val="000000100000" w:firstRow="0" w:lastRow="0" w:firstColumn="0" w:lastColumn="0" w:oddVBand="0" w:evenVBand="0" w:oddHBand="1" w:evenHBand="0" w:firstRowFirstColumn="0" w:firstRowLastColumn="0" w:lastRowFirstColumn="0" w:lastRowLastColumn="0"/>
            </w:pPr>
            <w:r w:rsidRPr="00486192">
              <w:rPr>
                <w:szCs w:val="24"/>
              </w:rPr>
              <w:t>2</w:t>
            </w:r>
          </w:p>
        </w:tc>
        <w:tc>
          <w:tcPr>
            <w:tcW w:w="1730" w:type="dxa"/>
            <w:vAlign w:val="center"/>
            <w:hideMark/>
          </w:tcPr>
          <w:p w:rsidR="001F609B" w:rsidRPr="00486192" w:rsidRDefault="000C604B" w:rsidP="00C66AB6">
            <w:pPr>
              <w:keepNext/>
              <w:jc w:val="center"/>
              <w:cnfStyle w:val="000000100000" w:firstRow="0" w:lastRow="0" w:firstColumn="0" w:lastColumn="0" w:oddVBand="0" w:evenVBand="0" w:oddHBand="1" w:evenHBand="0" w:firstRowFirstColumn="0" w:firstRowLastColumn="0" w:lastRowFirstColumn="0" w:lastRowLastColumn="0"/>
            </w:pPr>
            <w:r w:rsidRPr="00486192">
              <w:rPr>
                <w:szCs w:val="24"/>
              </w:rPr>
              <w:t>2</w:t>
            </w:r>
          </w:p>
        </w:tc>
      </w:tr>
      <w:tr w:rsidR="001F609B" w:rsidRPr="00B57EBD" w:rsidTr="009E64A8">
        <w:trPr>
          <w:jc w:val="center"/>
        </w:trPr>
        <w:tc>
          <w:tcPr>
            <w:cnfStyle w:val="001000000000" w:firstRow="0" w:lastRow="0" w:firstColumn="1" w:lastColumn="0" w:oddVBand="0" w:evenVBand="0" w:oddHBand="0" w:evenHBand="0" w:firstRowFirstColumn="0" w:firstRowLastColumn="0" w:lastRowFirstColumn="0" w:lastRowLastColumn="0"/>
            <w:tcW w:w="1729" w:type="dxa"/>
            <w:vAlign w:val="center"/>
            <w:hideMark/>
          </w:tcPr>
          <w:p w:rsidR="001F609B" w:rsidRDefault="001F609B" w:rsidP="00E85DDD">
            <w:pPr>
              <w:keepNext/>
              <w:ind w:firstLine="0"/>
              <w:jc w:val="left"/>
              <w:rPr>
                <w:b w:val="0"/>
              </w:rPr>
            </w:pPr>
            <w:r>
              <w:t>Varianta 1</w:t>
            </w:r>
          </w:p>
        </w:tc>
        <w:tc>
          <w:tcPr>
            <w:tcW w:w="1729" w:type="dxa"/>
            <w:vAlign w:val="center"/>
            <w:hideMark/>
          </w:tcPr>
          <w:p w:rsidR="001F609B" w:rsidRPr="00486192" w:rsidRDefault="001F609B" w:rsidP="00C66AB6">
            <w:pPr>
              <w:keepNext/>
              <w:ind w:firstLine="0"/>
              <w:jc w:val="center"/>
              <w:cnfStyle w:val="000000000000" w:firstRow="0" w:lastRow="0" w:firstColumn="0" w:lastColumn="0" w:oddVBand="0" w:evenVBand="0" w:oddHBand="0" w:evenHBand="0" w:firstRowFirstColumn="0" w:firstRowLastColumn="0" w:lastRowFirstColumn="0" w:lastRowLastColumn="0"/>
            </w:pPr>
            <w:r w:rsidRPr="00486192">
              <w:rPr>
                <w:szCs w:val="24"/>
              </w:rPr>
              <w:t>2</w:t>
            </w:r>
          </w:p>
        </w:tc>
        <w:tc>
          <w:tcPr>
            <w:tcW w:w="1729" w:type="dxa"/>
            <w:vAlign w:val="center"/>
            <w:hideMark/>
          </w:tcPr>
          <w:p w:rsidR="001F609B" w:rsidRPr="00486192" w:rsidRDefault="001F609B" w:rsidP="00C66AB6">
            <w:pPr>
              <w:keepNext/>
              <w:jc w:val="center"/>
              <w:cnfStyle w:val="000000000000" w:firstRow="0" w:lastRow="0" w:firstColumn="0" w:lastColumn="0" w:oddVBand="0" w:evenVBand="0" w:oddHBand="0" w:evenHBand="0" w:firstRowFirstColumn="0" w:firstRowLastColumn="0" w:lastRowFirstColumn="0" w:lastRowLastColumn="0"/>
            </w:pPr>
            <w:r w:rsidRPr="00486192">
              <w:rPr>
                <w:szCs w:val="24"/>
              </w:rPr>
              <w:t>1</w:t>
            </w:r>
          </w:p>
        </w:tc>
        <w:tc>
          <w:tcPr>
            <w:tcW w:w="1729" w:type="dxa"/>
            <w:vAlign w:val="center"/>
            <w:hideMark/>
          </w:tcPr>
          <w:p w:rsidR="001F609B" w:rsidRPr="00486192" w:rsidRDefault="001F609B" w:rsidP="00C66AB6">
            <w:pPr>
              <w:keepNext/>
              <w:jc w:val="center"/>
              <w:cnfStyle w:val="000000000000" w:firstRow="0" w:lastRow="0" w:firstColumn="0" w:lastColumn="0" w:oddVBand="0" w:evenVBand="0" w:oddHBand="0" w:evenHBand="0" w:firstRowFirstColumn="0" w:firstRowLastColumn="0" w:lastRowFirstColumn="0" w:lastRowLastColumn="0"/>
            </w:pPr>
            <w:r w:rsidRPr="00486192">
              <w:rPr>
                <w:szCs w:val="24"/>
              </w:rPr>
              <w:t>1</w:t>
            </w:r>
          </w:p>
        </w:tc>
        <w:tc>
          <w:tcPr>
            <w:tcW w:w="1730" w:type="dxa"/>
            <w:vAlign w:val="center"/>
            <w:hideMark/>
          </w:tcPr>
          <w:p w:rsidR="001F609B" w:rsidRPr="00486192" w:rsidRDefault="001F609B" w:rsidP="00C66AB6">
            <w:pPr>
              <w:keepNext/>
              <w:jc w:val="center"/>
              <w:cnfStyle w:val="000000000000" w:firstRow="0" w:lastRow="0" w:firstColumn="0" w:lastColumn="0" w:oddVBand="0" w:evenVBand="0" w:oddHBand="0" w:evenHBand="0" w:firstRowFirstColumn="0" w:firstRowLastColumn="0" w:lastRowFirstColumn="0" w:lastRowLastColumn="0"/>
              <w:rPr>
                <w:b/>
              </w:rPr>
            </w:pPr>
            <w:r w:rsidRPr="00486192">
              <w:rPr>
                <w:b/>
                <w:szCs w:val="24"/>
              </w:rPr>
              <w:t>1,</w:t>
            </w:r>
            <w:r w:rsidR="000C604B" w:rsidRPr="00486192">
              <w:rPr>
                <w:b/>
                <w:szCs w:val="24"/>
              </w:rPr>
              <w:t>33</w:t>
            </w:r>
          </w:p>
        </w:tc>
      </w:tr>
    </w:tbl>
    <w:p w:rsidR="00B04472" w:rsidRDefault="00B04472" w:rsidP="009E64A8">
      <w:pPr>
        <w:spacing w:before="240"/>
        <w:rPr>
          <w:color w:val="A6A6A6" w:themeColor="background1" w:themeShade="A6"/>
        </w:rPr>
      </w:pPr>
      <w:r w:rsidRPr="001B3CC7">
        <w:t xml:space="preserve">Jako nejvýhodnější se jeví varianta </w:t>
      </w:r>
      <w:r>
        <w:t>1</w:t>
      </w:r>
      <w:r w:rsidRPr="001B3CC7">
        <w:t>.</w:t>
      </w:r>
      <w:r w:rsidRPr="001B3CC7">
        <w:rPr>
          <w:b/>
        </w:rPr>
        <w:t xml:space="preserve"> </w:t>
      </w:r>
      <w:r w:rsidRPr="001B3CC7">
        <w:t xml:space="preserve">Následuje varianta </w:t>
      </w:r>
      <w:r>
        <w:t>0</w:t>
      </w:r>
      <w:r w:rsidRPr="001B3CC7">
        <w:t>.</w:t>
      </w:r>
      <w:r w:rsidRPr="001B3CC7">
        <w:rPr>
          <w:color w:val="A6A6A6" w:themeColor="background1" w:themeShade="A6"/>
        </w:rPr>
        <w:t xml:space="preserve">  </w:t>
      </w:r>
    </w:p>
    <w:p w:rsidR="00B04472" w:rsidRPr="001B3CC7" w:rsidRDefault="00B04472" w:rsidP="00B04472">
      <w:pPr>
        <w:pStyle w:val="Variantnnadpis"/>
      </w:pPr>
      <w:r w:rsidRPr="001B3CC7">
        <w:t>Nejvhodnější varianta</w:t>
      </w:r>
    </w:p>
    <w:p w:rsidR="00B04472" w:rsidRDefault="00B04472" w:rsidP="00B04472">
      <w:r w:rsidRPr="001B3CC7">
        <w:rPr>
          <w:rFonts w:cs="Times New Roman"/>
          <w:bCs/>
        </w:rPr>
        <w:t xml:space="preserve">Na základě vyhodnocení přínosů a nákladů jednotlivých variant doporučujeme přijmout variantu č. </w:t>
      </w:r>
      <w:r>
        <w:rPr>
          <w:rFonts w:cs="Times New Roman"/>
          <w:bCs/>
        </w:rPr>
        <w:t>1</w:t>
      </w:r>
      <w:r w:rsidRPr="001B3CC7">
        <w:rPr>
          <w:rFonts w:cs="Times New Roman"/>
          <w:bCs/>
        </w:rPr>
        <w:t xml:space="preserve">, tj. </w:t>
      </w:r>
      <w:r>
        <w:t xml:space="preserve">včlenit do právního řádu ustanovení výslovně kodifikující součinnost </w:t>
      </w:r>
      <w:r w:rsidR="00396A69">
        <w:t>P</w:t>
      </w:r>
      <w:r>
        <w:t>olicie</w:t>
      </w:r>
      <w:r w:rsidR="00396A69">
        <w:t xml:space="preserve"> České republiky</w:t>
      </w:r>
      <w:r>
        <w:t>. J</w:t>
      </w:r>
      <w:r w:rsidR="00E85DDD">
        <w:t xml:space="preserve">de </w:t>
      </w:r>
      <w:r>
        <w:t>o transpozici Směrnice a přináší jednoznačnou úpravu této problematiky, bez možností odlišných výkladů, což při</w:t>
      </w:r>
      <w:r w:rsidR="00396A69">
        <w:t>spívá ke zvýšení právní jistoty </w:t>
      </w:r>
      <w:r>
        <w:t>a</w:t>
      </w:r>
      <w:r w:rsidR="00396A69">
        <w:t> </w:t>
      </w:r>
      <w:r>
        <w:t>k</w:t>
      </w:r>
      <w:r w:rsidR="00396A69">
        <w:t> </w:t>
      </w:r>
      <w:r w:rsidRPr="0037549B">
        <w:t>posílení právního postavení Úřadu</w:t>
      </w:r>
      <w:r>
        <w:t xml:space="preserve">. </w:t>
      </w:r>
      <w:r w:rsidR="000809B3">
        <w:t xml:space="preserve">Nejedná se o náročnou legislativní změnu, nebude mít žádný zásadní dopad na praktickou činnost </w:t>
      </w:r>
      <w:r w:rsidR="00E85DDD">
        <w:t xml:space="preserve">Úřadu, </w:t>
      </w:r>
      <w:r w:rsidR="000809B3">
        <w:t>Policie České republiky ani</w:t>
      </w:r>
      <w:r w:rsidR="009933C2">
        <w:t xml:space="preserve"> na </w:t>
      </w:r>
      <w:r w:rsidR="000809B3">
        <w:t>státní rozpočet.</w:t>
      </w:r>
    </w:p>
    <w:p w:rsidR="00B04472" w:rsidRPr="00697584" w:rsidRDefault="00B04472" w:rsidP="00B04472">
      <w:pPr>
        <w:pStyle w:val="Druhnadpis"/>
        <w:rPr>
          <w:i/>
          <w:sz w:val="24"/>
          <w:u w:val="single"/>
        </w:rPr>
      </w:pPr>
      <w:r w:rsidRPr="00697584">
        <w:rPr>
          <w:i/>
          <w:sz w:val="24"/>
        </w:rPr>
        <w:lastRenderedPageBreak/>
        <w:t>Nezávislost Úřadu</w:t>
      </w:r>
    </w:p>
    <w:tbl>
      <w:tblPr>
        <w:tblStyle w:val="Svtlstnovnzvraznn1"/>
        <w:tblW w:w="0" w:type="auto"/>
        <w:jc w:val="center"/>
        <w:tblLook w:val="04A0" w:firstRow="1" w:lastRow="0" w:firstColumn="1" w:lastColumn="0" w:noHBand="0" w:noVBand="1"/>
      </w:tblPr>
      <w:tblGrid>
        <w:gridCol w:w="1729"/>
        <w:gridCol w:w="1729"/>
        <w:gridCol w:w="1729"/>
        <w:gridCol w:w="1729"/>
        <w:gridCol w:w="1730"/>
      </w:tblGrid>
      <w:tr w:rsidR="000C604B" w:rsidTr="009E64A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29" w:type="dxa"/>
            <w:vAlign w:val="center"/>
            <w:hideMark/>
          </w:tcPr>
          <w:p w:rsidR="000C604B" w:rsidRDefault="000C604B" w:rsidP="00C66AB6">
            <w:pPr>
              <w:keepNext/>
              <w:ind w:firstLine="0"/>
              <w:jc w:val="center"/>
              <w:rPr>
                <w:b w:val="0"/>
              </w:rPr>
            </w:pPr>
          </w:p>
        </w:tc>
        <w:tc>
          <w:tcPr>
            <w:tcW w:w="1729" w:type="dxa"/>
            <w:vAlign w:val="center"/>
            <w:hideMark/>
          </w:tcPr>
          <w:p w:rsidR="000C604B" w:rsidRDefault="000C604B"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Náročnost změny</w:t>
            </w:r>
          </w:p>
        </w:tc>
        <w:tc>
          <w:tcPr>
            <w:tcW w:w="1729" w:type="dxa"/>
            <w:vAlign w:val="center"/>
            <w:hideMark/>
          </w:tcPr>
          <w:p w:rsidR="000C604B" w:rsidRPr="00837D18" w:rsidRDefault="000C604B" w:rsidP="00C66AB6">
            <w:pPr>
              <w:keepNext/>
              <w:ind w:firstLine="0"/>
              <w:jc w:val="center"/>
              <w:cnfStyle w:val="100000000000" w:firstRow="1" w:lastRow="0" w:firstColumn="0" w:lastColumn="0" w:oddVBand="0" w:evenVBand="0" w:oddHBand="0" w:evenHBand="0" w:firstRowFirstColumn="0" w:firstRowLastColumn="0" w:lastRowFirstColumn="0" w:lastRowLastColumn="0"/>
            </w:pPr>
            <w:r w:rsidRPr="00837D18">
              <w:rPr>
                <w:szCs w:val="24"/>
              </w:rPr>
              <w:t>Efektivita naplnění cílů</w:t>
            </w:r>
          </w:p>
        </w:tc>
        <w:tc>
          <w:tcPr>
            <w:tcW w:w="1729" w:type="dxa"/>
            <w:vAlign w:val="center"/>
            <w:hideMark/>
          </w:tcPr>
          <w:p w:rsidR="000C604B" w:rsidRDefault="000C604B"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 xml:space="preserve">Naplnění </w:t>
            </w:r>
            <w:r w:rsidR="003E1F74">
              <w:t xml:space="preserve">požadavků </w:t>
            </w:r>
            <w:r>
              <w:t>transpozice</w:t>
            </w:r>
          </w:p>
        </w:tc>
        <w:tc>
          <w:tcPr>
            <w:tcW w:w="1730" w:type="dxa"/>
            <w:vAlign w:val="center"/>
            <w:hideMark/>
          </w:tcPr>
          <w:p w:rsidR="000C604B" w:rsidRDefault="000C604B"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Výsledné hodnocení</w:t>
            </w:r>
          </w:p>
        </w:tc>
      </w:tr>
      <w:tr w:rsidR="000C604B" w:rsidRPr="00B57EBD" w:rsidTr="009E64A8">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1729" w:type="dxa"/>
            <w:vAlign w:val="center"/>
            <w:hideMark/>
          </w:tcPr>
          <w:p w:rsidR="000C604B" w:rsidRDefault="000C604B" w:rsidP="00E85DDD">
            <w:pPr>
              <w:keepNext/>
              <w:ind w:firstLine="0"/>
              <w:jc w:val="left"/>
              <w:rPr>
                <w:b w:val="0"/>
              </w:rPr>
            </w:pPr>
            <w:r>
              <w:t>Varianta 0</w:t>
            </w:r>
          </w:p>
        </w:tc>
        <w:tc>
          <w:tcPr>
            <w:tcW w:w="1729" w:type="dxa"/>
            <w:vAlign w:val="center"/>
            <w:hideMark/>
          </w:tcPr>
          <w:p w:rsidR="000C604B" w:rsidRPr="00301B62" w:rsidRDefault="000C604B" w:rsidP="00C66AB6">
            <w:pPr>
              <w:keepNext/>
              <w:ind w:firstLine="0"/>
              <w:jc w:val="center"/>
              <w:cnfStyle w:val="000000100000" w:firstRow="0" w:lastRow="0" w:firstColumn="0" w:lastColumn="0" w:oddVBand="0" w:evenVBand="0" w:oddHBand="1" w:evenHBand="0" w:firstRowFirstColumn="0" w:firstRowLastColumn="0" w:lastRowFirstColumn="0" w:lastRowLastColumn="0"/>
            </w:pPr>
            <w:r w:rsidRPr="00301B62">
              <w:rPr>
                <w:szCs w:val="24"/>
              </w:rPr>
              <w:t>1</w:t>
            </w:r>
          </w:p>
        </w:tc>
        <w:tc>
          <w:tcPr>
            <w:tcW w:w="1729" w:type="dxa"/>
            <w:vAlign w:val="center"/>
            <w:hideMark/>
          </w:tcPr>
          <w:p w:rsidR="000C604B" w:rsidRPr="00301B62" w:rsidRDefault="000C604B" w:rsidP="00C66AB6">
            <w:pPr>
              <w:keepNext/>
              <w:jc w:val="center"/>
              <w:cnfStyle w:val="000000100000" w:firstRow="0" w:lastRow="0" w:firstColumn="0" w:lastColumn="0" w:oddVBand="0" w:evenVBand="0" w:oddHBand="1" w:evenHBand="0" w:firstRowFirstColumn="0" w:firstRowLastColumn="0" w:lastRowFirstColumn="0" w:lastRowLastColumn="0"/>
            </w:pPr>
            <w:r w:rsidRPr="00301B62">
              <w:rPr>
                <w:szCs w:val="24"/>
              </w:rPr>
              <w:t>3</w:t>
            </w:r>
          </w:p>
        </w:tc>
        <w:tc>
          <w:tcPr>
            <w:tcW w:w="1729" w:type="dxa"/>
            <w:vAlign w:val="center"/>
            <w:hideMark/>
          </w:tcPr>
          <w:p w:rsidR="000C604B" w:rsidRPr="00301B62" w:rsidRDefault="00960542" w:rsidP="00C66AB6">
            <w:pPr>
              <w:keepNext/>
              <w:jc w:val="center"/>
              <w:cnfStyle w:val="000000100000" w:firstRow="0" w:lastRow="0" w:firstColumn="0" w:lastColumn="0" w:oddVBand="0" w:evenVBand="0" w:oddHBand="1" w:evenHBand="0" w:firstRowFirstColumn="0" w:firstRowLastColumn="0" w:lastRowFirstColumn="0" w:lastRowLastColumn="0"/>
            </w:pPr>
            <w:r>
              <w:rPr>
                <w:szCs w:val="24"/>
              </w:rPr>
              <w:t>3</w:t>
            </w:r>
          </w:p>
        </w:tc>
        <w:tc>
          <w:tcPr>
            <w:tcW w:w="1730" w:type="dxa"/>
            <w:vAlign w:val="center"/>
            <w:hideMark/>
          </w:tcPr>
          <w:p w:rsidR="000C604B" w:rsidRPr="00301B62" w:rsidRDefault="000C604B" w:rsidP="00F16758">
            <w:pPr>
              <w:keepNext/>
              <w:jc w:val="center"/>
              <w:cnfStyle w:val="000000100000" w:firstRow="0" w:lastRow="0" w:firstColumn="0" w:lastColumn="0" w:oddVBand="0" w:evenVBand="0" w:oddHBand="1" w:evenHBand="0" w:firstRowFirstColumn="0" w:firstRowLastColumn="0" w:lastRowFirstColumn="0" w:lastRowLastColumn="0"/>
            </w:pPr>
            <w:r w:rsidRPr="00301B62">
              <w:rPr>
                <w:szCs w:val="24"/>
              </w:rPr>
              <w:t>2</w:t>
            </w:r>
            <w:r w:rsidR="00960542">
              <w:rPr>
                <w:szCs w:val="24"/>
              </w:rPr>
              <w:t>,3</w:t>
            </w:r>
            <w:r w:rsidR="00F16758">
              <w:rPr>
                <w:szCs w:val="24"/>
              </w:rPr>
              <w:t>3</w:t>
            </w:r>
          </w:p>
        </w:tc>
      </w:tr>
      <w:tr w:rsidR="000C604B" w:rsidRPr="00B57EBD" w:rsidTr="009E64A8">
        <w:trPr>
          <w:jc w:val="center"/>
        </w:trPr>
        <w:tc>
          <w:tcPr>
            <w:cnfStyle w:val="001000000000" w:firstRow="0" w:lastRow="0" w:firstColumn="1" w:lastColumn="0" w:oddVBand="0" w:evenVBand="0" w:oddHBand="0" w:evenHBand="0" w:firstRowFirstColumn="0" w:firstRowLastColumn="0" w:lastRowFirstColumn="0" w:lastRowLastColumn="0"/>
            <w:tcW w:w="1729" w:type="dxa"/>
            <w:vAlign w:val="center"/>
            <w:hideMark/>
          </w:tcPr>
          <w:p w:rsidR="000C604B" w:rsidRDefault="000C604B" w:rsidP="00E85DDD">
            <w:pPr>
              <w:keepNext/>
              <w:ind w:firstLine="0"/>
              <w:jc w:val="left"/>
              <w:rPr>
                <w:b w:val="0"/>
              </w:rPr>
            </w:pPr>
            <w:r>
              <w:t>Varianta 1</w:t>
            </w:r>
          </w:p>
        </w:tc>
        <w:tc>
          <w:tcPr>
            <w:tcW w:w="1729" w:type="dxa"/>
            <w:vAlign w:val="center"/>
            <w:hideMark/>
          </w:tcPr>
          <w:p w:rsidR="000C604B" w:rsidRPr="00301B62" w:rsidRDefault="000C604B" w:rsidP="00C66AB6">
            <w:pPr>
              <w:keepNext/>
              <w:ind w:firstLine="0"/>
              <w:jc w:val="center"/>
              <w:cnfStyle w:val="000000000000" w:firstRow="0" w:lastRow="0" w:firstColumn="0" w:lastColumn="0" w:oddVBand="0" w:evenVBand="0" w:oddHBand="0" w:evenHBand="0" w:firstRowFirstColumn="0" w:firstRowLastColumn="0" w:lastRowFirstColumn="0" w:lastRowLastColumn="0"/>
            </w:pPr>
            <w:r w:rsidRPr="00301B62">
              <w:rPr>
                <w:szCs w:val="24"/>
              </w:rPr>
              <w:t>3</w:t>
            </w:r>
          </w:p>
        </w:tc>
        <w:tc>
          <w:tcPr>
            <w:tcW w:w="1729" w:type="dxa"/>
            <w:vAlign w:val="center"/>
            <w:hideMark/>
          </w:tcPr>
          <w:p w:rsidR="000C604B" w:rsidRPr="00301B62" w:rsidRDefault="000C604B" w:rsidP="00C66AB6">
            <w:pPr>
              <w:keepNext/>
              <w:jc w:val="center"/>
              <w:cnfStyle w:val="000000000000" w:firstRow="0" w:lastRow="0" w:firstColumn="0" w:lastColumn="0" w:oddVBand="0" w:evenVBand="0" w:oddHBand="0" w:evenHBand="0" w:firstRowFirstColumn="0" w:firstRowLastColumn="0" w:lastRowFirstColumn="0" w:lastRowLastColumn="0"/>
            </w:pPr>
            <w:r w:rsidRPr="00301B62">
              <w:rPr>
                <w:szCs w:val="24"/>
              </w:rPr>
              <w:t>1</w:t>
            </w:r>
          </w:p>
        </w:tc>
        <w:tc>
          <w:tcPr>
            <w:tcW w:w="1729" w:type="dxa"/>
            <w:vAlign w:val="center"/>
            <w:hideMark/>
          </w:tcPr>
          <w:p w:rsidR="000C604B" w:rsidRPr="00301B62" w:rsidRDefault="000C604B" w:rsidP="00C66AB6">
            <w:pPr>
              <w:keepNext/>
              <w:jc w:val="center"/>
              <w:cnfStyle w:val="000000000000" w:firstRow="0" w:lastRow="0" w:firstColumn="0" w:lastColumn="0" w:oddVBand="0" w:evenVBand="0" w:oddHBand="0" w:evenHBand="0" w:firstRowFirstColumn="0" w:firstRowLastColumn="0" w:lastRowFirstColumn="0" w:lastRowLastColumn="0"/>
            </w:pPr>
            <w:r w:rsidRPr="00301B62">
              <w:rPr>
                <w:szCs w:val="24"/>
              </w:rPr>
              <w:t>1</w:t>
            </w:r>
          </w:p>
        </w:tc>
        <w:tc>
          <w:tcPr>
            <w:tcW w:w="1730" w:type="dxa"/>
            <w:vAlign w:val="center"/>
            <w:hideMark/>
          </w:tcPr>
          <w:p w:rsidR="000C604B" w:rsidRPr="00301B62" w:rsidRDefault="000C604B" w:rsidP="00FC4880">
            <w:pPr>
              <w:keepNext/>
              <w:jc w:val="center"/>
              <w:cnfStyle w:val="000000000000" w:firstRow="0" w:lastRow="0" w:firstColumn="0" w:lastColumn="0" w:oddVBand="0" w:evenVBand="0" w:oddHBand="0" w:evenHBand="0" w:firstRowFirstColumn="0" w:firstRowLastColumn="0" w:lastRowFirstColumn="0" w:lastRowLastColumn="0"/>
              <w:rPr>
                <w:b/>
              </w:rPr>
            </w:pPr>
            <w:r w:rsidRPr="00301B62">
              <w:rPr>
                <w:b/>
                <w:szCs w:val="24"/>
              </w:rPr>
              <w:t>1,</w:t>
            </w:r>
            <w:r w:rsidRPr="00FC4880">
              <w:rPr>
                <w:b/>
                <w:szCs w:val="24"/>
              </w:rPr>
              <w:t>6</w:t>
            </w:r>
            <w:r w:rsidR="00FC4880" w:rsidRPr="00FC4880">
              <w:rPr>
                <w:b/>
                <w:szCs w:val="24"/>
              </w:rPr>
              <w:t>7</w:t>
            </w:r>
          </w:p>
        </w:tc>
      </w:tr>
    </w:tbl>
    <w:p w:rsidR="00B04472" w:rsidRDefault="00B04472" w:rsidP="009E64A8">
      <w:pPr>
        <w:spacing w:before="240"/>
        <w:rPr>
          <w:color w:val="A6A6A6" w:themeColor="background1" w:themeShade="A6"/>
        </w:rPr>
      </w:pPr>
      <w:r w:rsidRPr="001B3CC7">
        <w:t xml:space="preserve">Jako nejvýhodnější se jeví varianta </w:t>
      </w:r>
      <w:r>
        <w:t>1</w:t>
      </w:r>
      <w:r w:rsidRPr="001B3CC7">
        <w:t>.</w:t>
      </w:r>
      <w:r w:rsidRPr="001B3CC7">
        <w:rPr>
          <w:b/>
        </w:rPr>
        <w:t xml:space="preserve"> </w:t>
      </w:r>
      <w:r w:rsidRPr="001B3CC7">
        <w:t xml:space="preserve">Následuje varianta </w:t>
      </w:r>
      <w:r>
        <w:t>0</w:t>
      </w:r>
      <w:r w:rsidRPr="001B3CC7">
        <w:t>.</w:t>
      </w:r>
      <w:r w:rsidRPr="001B3CC7">
        <w:rPr>
          <w:color w:val="A6A6A6" w:themeColor="background1" w:themeShade="A6"/>
        </w:rPr>
        <w:t xml:space="preserve">  </w:t>
      </w:r>
    </w:p>
    <w:p w:rsidR="00B04472" w:rsidRPr="001B3CC7" w:rsidRDefault="00B04472" w:rsidP="00B04472">
      <w:pPr>
        <w:pStyle w:val="Variantnnadpis"/>
      </w:pPr>
      <w:r w:rsidRPr="001B3CC7">
        <w:t>Nejvhodnější varianta</w:t>
      </w:r>
    </w:p>
    <w:p w:rsidR="00B04472" w:rsidRPr="001B3CC7" w:rsidRDefault="00B04472" w:rsidP="00B04472">
      <w:r w:rsidRPr="001B3CC7">
        <w:t xml:space="preserve">Na základě vyhodnocení přínosů a nákladů jednotlivých variant doporučujeme přijmout variantu č. </w:t>
      </w:r>
      <w:r>
        <w:t>1</w:t>
      </w:r>
      <w:r w:rsidRPr="001B3CC7">
        <w:t xml:space="preserve">, tj. </w:t>
      </w:r>
      <w:r>
        <w:t>z důvodu zvýšení právní jistoty a posílení právního postavení Úřadu, výslovně zakotvit nezávislost Úřadu do českého právního řádu</w:t>
      </w:r>
      <w:r w:rsidR="00B43A00">
        <w:t xml:space="preserve"> a upravit problematiku vydávání </w:t>
      </w:r>
      <w:r w:rsidR="00F50843">
        <w:t xml:space="preserve">výroční </w:t>
      </w:r>
      <w:r w:rsidR="00B43A00">
        <w:t>zprávy</w:t>
      </w:r>
      <w:r>
        <w:t xml:space="preserve">. </w:t>
      </w:r>
      <w:r w:rsidR="000809B3">
        <w:t>Obdobně jako v případě úpravy součinnosti Policie Č</w:t>
      </w:r>
      <w:r w:rsidR="00FF5EEF">
        <w:t>eské republiky</w:t>
      </w:r>
      <w:r w:rsidR="000809B3">
        <w:t xml:space="preserve"> se jedná spíše o deklaratorní změnu, bez zásadních legislativních, personálních nebo ekonomických dopadů</w:t>
      </w:r>
      <w:r w:rsidR="00EE55E7">
        <w:t>, která legislativně potvrzuje stávající faktický stav.</w:t>
      </w:r>
    </w:p>
    <w:p w:rsidR="00783504" w:rsidRPr="00697584" w:rsidRDefault="00146898" w:rsidP="00293617">
      <w:pPr>
        <w:pStyle w:val="Druhnadpis"/>
        <w:rPr>
          <w:i/>
          <w:sz w:val="24"/>
        </w:rPr>
      </w:pPr>
      <w:r w:rsidRPr="00697584">
        <w:rPr>
          <w:i/>
          <w:sz w:val="24"/>
        </w:rPr>
        <w:t>Závazky orgánů veřejné správy</w:t>
      </w:r>
    </w:p>
    <w:tbl>
      <w:tblPr>
        <w:tblStyle w:val="Svtlstnovnzvraznn1"/>
        <w:tblW w:w="0" w:type="auto"/>
        <w:jc w:val="center"/>
        <w:tblLook w:val="04A0" w:firstRow="1" w:lastRow="0" w:firstColumn="1" w:lastColumn="0" w:noHBand="0" w:noVBand="1"/>
      </w:tblPr>
      <w:tblGrid>
        <w:gridCol w:w="1786"/>
        <w:gridCol w:w="1786"/>
        <w:gridCol w:w="1786"/>
        <w:gridCol w:w="1786"/>
        <w:gridCol w:w="1786"/>
      </w:tblGrid>
      <w:tr w:rsidR="006D6DF3" w:rsidTr="00C66AB6">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6D6DF3" w:rsidRDefault="006D6DF3" w:rsidP="00C66AB6">
            <w:pPr>
              <w:keepNext/>
              <w:ind w:firstLine="0"/>
              <w:jc w:val="center"/>
              <w:rPr>
                <w:b w:val="0"/>
              </w:rPr>
            </w:pPr>
          </w:p>
        </w:tc>
        <w:tc>
          <w:tcPr>
            <w:tcW w:w="1786" w:type="dxa"/>
            <w:vAlign w:val="center"/>
            <w:hideMark/>
          </w:tcPr>
          <w:p w:rsidR="006D6DF3" w:rsidRDefault="006D6DF3"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Náročnost změny</w:t>
            </w:r>
          </w:p>
        </w:tc>
        <w:tc>
          <w:tcPr>
            <w:tcW w:w="1786" w:type="dxa"/>
            <w:vAlign w:val="center"/>
            <w:hideMark/>
          </w:tcPr>
          <w:p w:rsidR="006D6DF3" w:rsidRDefault="006D6DF3"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Zapojení účastníka do řízení</w:t>
            </w:r>
          </w:p>
        </w:tc>
        <w:tc>
          <w:tcPr>
            <w:tcW w:w="1786" w:type="dxa"/>
            <w:vAlign w:val="center"/>
            <w:hideMark/>
          </w:tcPr>
          <w:p w:rsidR="006D6DF3" w:rsidRDefault="006D6DF3"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Rychlost nápravy hospodářské soutěže</w:t>
            </w:r>
          </w:p>
        </w:tc>
        <w:tc>
          <w:tcPr>
            <w:tcW w:w="1786" w:type="dxa"/>
            <w:vAlign w:val="center"/>
            <w:hideMark/>
          </w:tcPr>
          <w:p w:rsidR="006D6DF3" w:rsidRDefault="006D6DF3" w:rsidP="00C66AB6">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Výsledné hodnocení</w:t>
            </w:r>
          </w:p>
        </w:tc>
      </w:tr>
      <w:tr w:rsidR="006D6DF3" w:rsidTr="00C66AB6">
        <w:trPr>
          <w:cnfStyle w:val="000000100000" w:firstRow="0" w:lastRow="0" w:firstColumn="0" w:lastColumn="0" w:oddVBand="0" w:evenVBand="0" w:oddHBand="1" w:evenHBand="0" w:firstRowFirstColumn="0" w:firstRowLastColumn="0" w:lastRowFirstColumn="0" w:lastRowLastColumn="0"/>
          <w:cantSplit/>
          <w:trHeight w:val="262"/>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6D6DF3" w:rsidRDefault="006D6DF3" w:rsidP="00C66AB6">
            <w:pPr>
              <w:keepNext/>
              <w:ind w:firstLine="0"/>
              <w:jc w:val="center"/>
              <w:rPr>
                <w:b w:val="0"/>
              </w:rPr>
            </w:pPr>
            <w:r>
              <w:t>Varianta 0</w:t>
            </w:r>
          </w:p>
        </w:tc>
        <w:tc>
          <w:tcPr>
            <w:tcW w:w="1786" w:type="dxa"/>
            <w:vAlign w:val="center"/>
            <w:hideMark/>
          </w:tcPr>
          <w:p w:rsidR="006D6DF3" w:rsidRPr="00B57EBD" w:rsidRDefault="006D6DF3" w:rsidP="00C66AB6">
            <w:pPr>
              <w:keepNext/>
              <w:ind w:firstLine="0"/>
              <w:jc w:val="center"/>
              <w:cnfStyle w:val="000000100000" w:firstRow="0" w:lastRow="0" w:firstColumn="0" w:lastColumn="0" w:oddVBand="0" w:evenVBand="0" w:oddHBand="1" w:evenHBand="0" w:firstRowFirstColumn="0" w:firstRowLastColumn="0" w:lastRowFirstColumn="0" w:lastRowLastColumn="0"/>
            </w:pPr>
            <w:r w:rsidRPr="00B57EBD">
              <w:t>1</w:t>
            </w:r>
          </w:p>
        </w:tc>
        <w:tc>
          <w:tcPr>
            <w:tcW w:w="1786" w:type="dxa"/>
            <w:vAlign w:val="center"/>
            <w:hideMark/>
          </w:tcPr>
          <w:p w:rsidR="006D6DF3" w:rsidRPr="00B57EBD" w:rsidRDefault="006D6DF3" w:rsidP="00C66AB6">
            <w:pPr>
              <w:keepNext/>
              <w:jc w:val="center"/>
              <w:cnfStyle w:val="000000100000" w:firstRow="0" w:lastRow="0" w:firstColumn="0" w:lastColumn="0" w:oddVBand="0" w:evenVBand="0" w:oddHBand="1" w:evenHBand="0" w:firstRowFirstColumn="0" w:firstRowLastColumn="0" w:lastRowFirstColumn="0" w:lastRowLastColumn="0"/>
            </w:pPr>
            <w:r>
              <w:t>5</w:t>
            </w:r>
          </w:p>
        </w:tc>
        <w:tc>
          <w:tcPr>
            <w:tcW w:w="1786" w:type="dxa"/>
            <w:vAlign w:val="center"/>
            <w:hideMark/>
          </w:tcPr>
          <w:p w:rsidR="006D6DF3" w:rsidRPr="00B57EBD" w:rsidRDefault="006D6DF3" w:rsidP="00C66AB6">
            <w:pPr>
              <w:keepNext/>
              <w:jc w:val="center"/>
              <w:cnfStyle w:val="000000100000" w:firstRow="0" w:lastRow="0" w:firstColumn="0" w:lastColumn="0" w:oddVBand="0" w:evenVBand="0" w:oddHBand="1" w:evenHBand="0" w:firstRowFirstColumn="0" w:firstRowLastColumn="0" w:lastRowFirstColumn="0" w:lastRowLastColumn="0"/>
            </w:pPr>
            <w:r>
              <w:t>4</w:t>
            </w:r>
          </w:p>
        </w:tc>
        <w:tc>
          <w:tcPr>
            <w:tcW w:w="1786" w:type="dxa"/>
            <w:vAlign w:val="center"/>
            <w:hideMark/>
          </w:tcPr>
          <w:p w:rsidR="006D6DF3" w:rsidRPr="00B57EBD" w:rsidRDefault="00F16758" w:rsidP="00C66AB6">
            <w:pPr>
              <w:keepNext/>
              <w:jc w:val="center"/>
              <w:cnfStyle w:val="000000100000" w:firstRow="0" w:lastRow="0" w:firstColumn="0" w:lastColumn="0" w:oddVBand="0" w:evenVBand="0" w:oddHBand="1" w:evenHBand="0" w:firstRowFirstColumn="0" w:firstRowLastColumn="0" w:lastRowFirstColumn="0" w:lastRowLastColumn="0"/>
            </w:pPr>
            <w:r>
              <w:t>3,33</w:t>
            </w:r>
          </w:p>
        </w:tc>
      </w:tr>
      <w:tr w:rsidR="006D6DF3" w:rsidTr="00C66AB6">
        <w:trPr>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6D6DF3" w:rsidRDefault="006D6DF3" w:rsidP="00C66AB6">
            <w:pPr>
              <w:keepNext/>
              <w:ind w:firstLine="0"/>
              <w:jc w:val="center"/>
              <w:rPr>
                <w:b w:val="0"/>
              </w:rPr>
            </w:pPr>
            <w:r>
              <w:t>Varianta 1</w:t>
            </w:r>
          </w:p>
        </w:tc>
        <w:tc>
          <w:tcPr>
            <w:tcW w:w="1786" w:type="dxa"/>
            <w:vAlign w:val="center"/>
            <w:hideMark/>
          </w:tcPr>
          <w:p w:rsidR="006D6DF3" w:rsidRPr="00B57EBD" w:rsidRDefault="006D6DF3" w:rsidP="00C66AB6">
            <w:pPr>
              <w:keepNext/>
              <w:ind w:firstLine="0"/>
              <w:jc w:val="center"/>
              <w:cnfStyle w:val="000000000000" w:firstRow="0" w:lastRow="0" w:firstColumn="0" w:lastColumn="0" w:oddVBand="0" w:evenVBand="0" w:oddHBand="0" w:evenHBand="0" w:firstRowFirstColumn="0" w:firstRowLastColumn="0" w:lastRowFirstColumn="0" w:lastRowLastColumn="0"/>
            </w:pPr>
            <w:r>
              <w:t>3</w:t>
            </w:r>
          </w:p>
        </w:tc>
        <w:tc>
          <w:tcPr>
            <w:tcW w:w="1786" w:type="dxa"/>
            <w:vAlign w:val="center"/>
            <w:hideMark/>
          </w:tcPr>
          <w:p w:rsidR="006D6DF3" w:rsidRPr="00B57EBD" w:rsidRDefault="006D6DF3" w:rsidP="00C66AB6">
            <w:pPr>
              <w:keepNext/>
              <w:jc w:val="center"/>
              <w:cnfStyle w:val="000000000000" w:firstRow="0" w:lastRow="0" w:firstColumn="0" w:lastColumn="0" w:oddVBand="0" w:evenVBand="0" w:oddHBand="0" w:evenHBand="0" w:firstRowFirstColumn="0" w:firstRowLastColumn="0" w:lastRowFirstColumn="0" w:lastRowLastColumn="0"/>
            </w:pPr>
            <w:r>
              <w:t>2</w:t>
            </w:r>
          </w:p>
        </w:tc>
        <w:tc>
          <w:tcPr>
            <w:tcW w:w="1786" w:type="dxa"/>
            <w:vAlign w:val="center"/>
            <w:hideMark/>
          </w:tcPr>
          <w:p w:rsidR="006D6DF3" w:rsidRPr="00B57EBD" w:rsidRDefault="006D6DF3" w:rsidP="00C66AB6">
            <w:pPr>
              <w:keepNext/>
              <w:jc w:val="center"/>
              <w:cnfStyle w:val="000000000000" w:firstRow="0" w:lastRow="0" w:firstColumn="0" w:lastColumn="0" w:oddVBand="0" w:evenVBand="0" w:oddHBand="0" w:evenHBand="0" w:firstRowFirstColumn="0" w:firstRowLastColumn="0" w:lastRowFirstColumn="0" w:lastRowLastColumn="0"/>
            </w:pPr>
            <w:r>
              <w:t>2</w:t>
            </w:r>
          </w:p>
        </w:tc>
        <w:tc>
          <w:tcPr>
            <w:tcW w:w="1786" w:type="dxa"/>
            <w:vAlign w:val="center"/>
            <w:hideMark/>
          </w:tcPr>
          <w:p w:rsidR="006D6DF3" w:rsidRPr="0090404B" w:rsidRDefault="00F16758" w:rsidP="00C66AB6">
            <w:pPr>
              <w:keepNext/>
              <w:jc w:val="center"/>
              <w:cnfStyle w:val="000000000000" w:firstRow="0" w:lastRow="0" w:firstColumn="0" w:lastColumn="0" w:oddVBand="0" w:evenVBand="0" w:oddHBand="0" w:evenHBand="0" w:firstRowFirstColumn="0" w:firstRowLastColumn="0" w:lastRowFirstColumn="0" w:lastRowLastColumn="0"/>
              <w:rPr>
                <w:b/>
              </w:rPr>
            </w:pPr>
            <w:r>
              <w:rPr>
                <w:b/>
              </w:rPr>
              <w:t>2,33</w:t>
            </w:r>
          </w:p>
        </w:tc>
      </w:tr>
      <w:tr w:rsidR="006D6DF3" w:rsidTr="00C66AB6">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6D6DF3" w:rsidRDefault="006D6DF3" w:rsidP="00C66AB6">
            <w:pPr>
              <w:keepNext/>
              <w:ind w:firstLine="0"/>
              <w:jc w:val="center"/>
              <w:rPr>
                <w:b w:val="0"/>
              </w:rPr>
            </w:pPr>
            <w:r>
              <w:t>Varianta 2</w:t>
            </w:r>
          </w:p>
        </w:tc>
        <w:tc>
          <w:tcPr>
            <w:tcW w:w="1786" w:type="dxa"/>
            <w:vAlign w:val="center"/>
            <w:hideMark/>
          </w:tcPr>
          <w:p w:rsidR="006D6DF3" w:rsidRPr="00B57EBD" w:rsidRDefault="006D6DF3" w:rsidP="00C66AB6">
            <w:pPr>
              <w:keepNext/>
              <w:ind w:firstLine="0"/>
              <w:jc w:val="center"/>
              <w:cnfStyle w:val="000000100000" w:firstRow="0" w:lastRow="0" w:firstColumn="0" w:lastColumn="0" w:oddVBand="0" w:evenVBand="0" w:oddHBand="1" w:evenHBand="0" w:firstRowFirstColumn="0" w:firstRowLastColumn="0" w:lastRowFirstColumn="0" w:lastRowLastColumn="0"/>
            </w:pPr>
            <w:r>
              <w:t>5</w:t>
            </w:r>
          </w:p>
        </w:tc>
        <w:tc>
          <w:tcPr>
            <w:tcW w:w="1786" w:type="dxa"/>
            <w:vAlign w:val="center"/>
            <w:hideMark/>
          </w:tcPr>
          <w:p w:rsidR="006D6DF3" w:rsidRPr="00B57EBD" w:rsidRDefault="006D6DF3" w:rsidP="00C66AB6">
            <w:pPr>
              <w:keepNext/>
              <w:jc w:val="center"/>
              <w:cnfStyle w:val="000000100000" w:firstRow="0" w:lastRow="0" w:firstColumn="0" w:lastColumn="0" w:oddVBand="0" w:evenVBand="0" w:oddHBand="1" w:evenHBand="0" w:firstRowFirstColumn="0" w:firstRowLastColumn="0" w:lastRowFirstColumn="0" w:lastRowLastColumn="0"/>
            </w:pPr>
            <w:r>
              <w:t>2</w:t>
            </w:r>
          </w:p>
        </w:tc>
        <w:tc>
          <w:tcPr>
            <w:tcW w:w="1786" w:type="dxa"/>
            <w:vAlign w:val="center"/>
            <w:hideMark/>
          </w:tcPr>
          <w:p w:rsidR="006D6DF3" w:rsidRPr="00B57EBD" w:rsidRDefault="006D6DF3" w:rsidP="00C66AB6">
            <w:pPr>
              <w:keepNext/>
              <w:jc w:val="center"/>
              <w:cnfStyle w:val="000000100000" w:firstRow="0" w:lastRow="0" w:firstColumn="0" w:lastColumn="0" w:oddVBand="0" w:evenVBand="0" w:oddHBand="1" w:evenHBand="0" w:firstRowFirstColumn="0" w:firstRowLastColumn="0" w:lastRowFirstColumn="0" w:lastRowLastColumn="0"/>
            </w:pPr>
            <w:r w:rsidRPr="00B57EBD">
              <w:t>2</w:t>
            </w:r>
          </w:p>
        </w:tc>
        <w:tc>
          <w:tcPr>
            <w:tcW w:w="1786" w:type="dxa"/>
            <w:vAlign w:val="center"/>
            <w:hideMark/>
          </w:tcPr>
          <w:p w:rsidR="006D6DF3" w:rsidRPr="00B57EBD" w:rsidRDefault="006D6DF3" w:rsidP="00C66AB6">
            <w:pPr>
              <w:keepNext/>
              <w:jc w:val="center"/>
              <w:cnfStyle w:val="000000100000" w:firstRow="0" w:lastRow="0" w:firstColumn="0" w:lastColumn="0" w:oddVBand="0" w:evenVBand="0" w:oddHBand="1" w:evenHBand="0" w:firstRowFirstColumn="0" w:firstRowLastColumn="0" w:lastRowFirstColumn="0" w:lastRowLastColumn="0"/>
            </w:pPr>
            <w:r>
              <w:t>3</w:t>
            </w:r>
          </w:p>
        </w:tc>
      </w:tr>
    </w:tbl>
    <w:p w:rsidR="00146898" w:rsidRPr="00C31B57" w:rsidRDefault="00146898" w:rsidP="00B77763">
      <w:pPr>
        <w:spacing w:before="240"/>
      </w:pPr>
      <w:r w:rsidRPr="00C31B57">
        <w:t>Jako nejvhodnější se jeví varianta 1, neboť méně zasahuje do současného znění zákona, poté následuje varianta 2. Nejméně vhodnou je varianta 0.</w:t>
      </w:r>
    </w:p>
    <w:p w:rsidR="00146898" w:rsidRDefault="00146898" w:rsidP="00293617">
      <w:pPr>
        <w:pStyle w:val="Variantnnadpis"/>
      </w:pPr>
      <w:r w:rsidRPr="007674FB">
        <w:t>Nejvhodnější varianta</w:t>
      </w:r>
    </w:p>
    <w:p w:rsidR="00323E94" w:rsidRDefault="00146898" w:rsidP="00293617">
      <w:r w:rsidRPr="001B3CC7">
        <w:t xml:space="preserve">Na základě vyhodnocení přínosů a nákladů jednotlivých variant doporučujeme přijmout variantu č. </w:t>
      </w:r>
      <w:r>
        <w:t>1</w:t>
      </w:r>
      <w:r w:rsidRPr="001B3CC7">
        <w:t xml:space="preserve">, </w:t>
      </w:r>
      <w:r>
        <w:t>a to</w:t>
      </w:r>
      <w:r w:rsidRPr="001B3CC7">
        <w:t xml:space="preserve"> </w:t>
      </w:r>
      <w:r>
        <w:t xml:space="preserve">z důvodu </w:t>
      </w:r>
      <w:r w:rsidR="0041653A">
        <w:t xml:space="preserve">možnosti účastníků řízení, orgánů veřejné správy, aktivně se zapojit do řízení a navrhnout opatření, které povedou k odstranění závadného stavu v hospodářské soutěži. Tento závadný stav tak bude mít potenciál být odstraněn daleko rychleji a Úřad bude moci </w:t>
      </w:r>
      <w:r w:rsidR="0041653A" w:rsidRPr="005F5A67">
        <w:t xml:space="preserve">věnovat své zdroje závažnějším případům narušení </w:t>
      </w:r>
      <w:r w:rsidR="0041653A">
        <w:t xml:space="preserve">hospodářské </w:t>
      </w:r>
      <w:r w:rsidR="0041653A" w:rsidRPr="005F5A67">
        <w:t>soutěže.</w:t>
      </w:r>
      <w:r w:rsidR="0041653A">
        <w:t xml:space="preserve"> Tato varianta zároveň </w:t>
      </w:r>
      <w:r w:rsidR="001761E3">
        <w:t>n</w:t>
      </w:r>
      <w:r w:rsidR="0041653A">
        <w:t xml:space="preserve">ebudou </w:t>
      </w:r>
      <w:r w:rsidR="001761E3">
        <w:t>příliš za</w:t>
      </w:r>
      <w:r w:rsidR="0041653A">
        <w:t>sah</w:t>
      </w:r>
      <w:r w:rsidR="001761E3">
        <w:t>ovat</w:t>
      </w:r>
      <w:r w:rsidR="0041653A">
        <w:t xml:space="preserve"> do právního řádu</w:t>
      </w:r>
      <w:r w:rsidR="001761E3">
        <w:t>.</w:t>
      </w:r>
    </w:p>
    <w:p w:rsidR="00C64011" w:rsidRDefault="00C64011" w:rsidP="00293617">
      <w:pPr>
        <w:pStyle w:val="Druhnadpis"/>
        <w:rPr>
          <w:i/>
          <w:sz w:val="24"/>
        </w:rPr>
      </w:pPr>
      <w:r w:rsidRPr="0005388A">
        <w:rPr>
          <w:i/>
          <w:sz w:val="24"/>
        </w:rPr>
        <w:lastRenderedPageBreak/>
        <w:t>Shovívavost</w:t>
      </w:r>
    </w:p>
    <w:tbl>
      <w:tblPr>
        <w:tblStyle w:val="Svtlstnovnzvraznn1"/>
        <w:tblW w:w="0" w:type="auto"/>
        <w:jc w:val="center"/>
        <w:tblLook w:val="04A0" w:firstRow="1" w:lastRow="0" w:firstColumn="1" w:lastColumn="0" w:noHBand="0" w:noVBand="1"/>
      </w:tblPr>
      <w:tblGrid>
        <w:gridCol w:w="1786"/>
        <w:gridCol w:w="1786"/>
        <w:gridCol w:w="1857"/>
        <w:gridCol w:w="1786"/>
        <w:gridCol w:w="1786"/>
      </w:tblGrid>
      <w:tr w:rsidR="00060D43" w:rsidTr="00453495">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060D43" w:rsidRDefault="00060D43" w:rsidP="00453495">
            <w:pPr>
              <w:keepNext/>
              <w:ind w:firstLine="0"/>
              <w:jc w:val="center"/>
              <w:rPr>
                <w:b w:val="0"/>
              </w:rPr>
            </w:pPr>
          </w:p>
        </w:tc>
        <w:tc>
          <w:tcPr>
            <w:tcW w:w="1786" w:type="dxa"/>
            <w:vAlign w:val="center"/>
            <w:hideMark/>
          </w:tcPr>
          <w:p w:rsidR="00060D43" w:rsidRDefault="00060D43"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Naplnění požadavků transpozice</w:t>
            </w:r>
          </w:p>
        </w:tc>
        <w:tc>
          <w:tcPr>
            <w:tcW w:w="1786" w:type="dxa"/>
            <w:vAlign w:val="center"/>
            <w:hideMark/>
          </w:tcPr>
          <w:p w:rsidR="00060D43" w:rsidRDefault="00060D43"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Administrativní zátěž a náklady veřejné správy</w:t>
            </w:r>
          </w:p>
        </w:tc>
        <w:tc>
          <w:tcPr>
            <w:tcW w:w="1786" w:type="dxa"/>
            <w:vAlign w:val="center"/>
            <w:hideMark/>
          </w:tcPr>
          <w:p w:rsidR="00060D43" w:rsidRDefault="00060D43"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Ekonomické dopady</w:t>
            </w:r>
          </w:p>
        </w:tc>
        <w:tc>
          <w:tcPr>
            <w:tcW w:w="1786" w:type="dxa"/>
            <w:vAlign w:val="center"/>
            <w:hideMark/>
          </w:tcPr>
          <w:p w:rsidR="00060D43" w:rsidRDefault="00060D43"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Výsledné hodnocení</w:t>
            </w:r>
          </w:p>
        </w:tc>
      </w:tr>
      <w:tr w:rsidR="00060D43" w:rsidTr="00453495">
        <w:trPr>
          <w:cnfStyle w:val="000000100000" w:firstRow="0" w:lastRow="0" w:firstColumn="0" w:lastColumn="0" w:oddVBand="0" w:evenVBand="0" w:oddHBand="1" w:evenHBand="0" w:firstRowFirstColumn="0" w:firstRowLastColumn="0" w:lastRowFirstColumn="0" w:lastRowLastColumn="0"/>
          <w:cantSplit/>
          <w:trHeight w:val="262"/>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060D43" w:rsidRDefault="00060D43" w:rsidP="00453495">
            <w:pPr>
              <w:keepNext/>
              <w:ind w:firstLine="0"/>
              <w:jc w:val="center"/>
              <w:rPr>
                <w:b w:val="0"/>
              </w:rPr>
            </w:pPr>
            <w:r>
              <w:t>Varianta 0</w:t>
            </w:r>
          </w:p>
        </w:tc>
        <w:tc>
          <w:tcPr>
            <w:tcW w:w="1786" w:type="dxa"/>
            <w:vAlign w:val="center"/>
            <w:hideMark/>
          </w:tcPr>
          <w:p w:rsidR="00060D43" w:rsidRPr="00B57EBD" w:rsidRDefault="00060D43" w:rsidP="00453495">
            <w:pPr>
              <w:keepNext/>
              <w:ind w:firstLine="0"/>
              <w:jc w:val="center"/>
              <w:cnfStyle w:val="000000100000" w:firstRow="0" w:lastRow="0" w:firstColumn="0" w:lastColumn="0" w:oddVBand="0" w:evenVBand="0" w:oddHBand="1" w:evenHBand="0" w:firstRowFirstColumn="0" w:firstRowLastColumn="0" w:lastRowFirstColumn="0" w:lastRowLastColumn="0"/>
            </w:pPr>
            <w:r>
              <w:t>5</w:t>
            </w:r>
          </w:p>
        </w:tc>
        <w:tc>
          <w:tcPr>
            <w:tcW w:w="1786" w:type="dxa"/>
            <w:vAlign w:val="center"/>
            <w:hideMark/>
          </w:tcPr>
          <w:p w:rsidR="00060D43" w:rsidRPr="00B57EBD" w:rsidRDefault="00060D43" w:rsidP="00453495">
            <w:pPr>
              <w:keepNext/>
              <w:jc w:val="center"/>
              <w:cnfStyle w:val="000000100000" w:firstRow="0" w:lastRow="0" w:firstColumn="0" w:lastColumn="0" w:oddVBand="0" w:evenVBand="0" w:oddHBand="1" w:evenHBand="0" w:firstRowFirstColumn="0" w:firstRowLastColumn="0" w:lastRowFirstColumn="0" w:lastRowLastColumn="0"/>
            </w:pPr>
            <w:r>
              <w:t>4</w:t>
            </w:r>
          </w:p>
        </w:tc>
        <w:tc>
          <w:tcPr>
            <w:tcW w:w="1786" w:type="dxa"/>
            <w:vAlign w:val="center"/>
            <w:hideMark/>
          </w:tcPr>
          <w:p w:rsidR="00060D43" w:rsidRPr="00B57EBD" w:rsidRDefault="00060D43" w:rsidP="00453495">
            <w:pPr>
              <w:keepNext/>
              <w:jc w:val="center"/>
              <w:cnfStyle w:val="000000100000" w:firstRow="0" w:lastRow="0" w:firstColumn="0" w:lastColumn="0" w:oddVBand="0" w:evenVBand="0" w:oddHBand="1" w:evenHBand="0" w:firstRowFirstColumn="0" w:firstRowLastColumn="0" w:lastRowFirstColumn="0" w:lastRowLastColumn="0"/>
            </w:pPr>
            <w:r>
              <w:t>4</w:t>
            </w:r>
          </w:p>
        </w:tc>
        <w:tc>
          <w:tcPr>
            <w:tcW w:w="1786" w:type="dxa"/>
            <w:vAlign w:val="center"/>
            <w:hideMark/>
          </w:tcPr>
          <w:p w:rsidR="00060D43" w:rsidRPr="00B57EBD" w:rsidRDefault="002A5251" w:rsidP="00453495">
            <w:pPr>
              <w:keepNext/>
              <w:jc w:val="center"/>
              <w:cnfStyle w:val="000000100000" w:firstRow="0" w:lastRow="0" w:firstColumn="0" w:lastColumn="0" w:oddVBand="0" w:evenVBand="0" w:oddHBand="1" w:evenHBand="0" w:firstRowFirstColumn="0" w:firstRowLastColumn="0" w:lastRowFirstColumn="0" w:lastRowLastColumn="0"/>
            </w:pPr>
            <w:r>
              <w:t>4,33</w:t>
            </w:r>
          </w:p>
        </w:tc>
      </w:tr>
      <w:tr w:rsidR="00060D43" w:rsidTr="00453495">
        <w:trPr>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060D43" w:rsidRDefault="00060D43" w:rsidP="00453495">
            <w:pPr>
              <w:keepNext/>
              <w:ind w:firstLine="0"/>
              <w:jc w:val="center"/>
              <w:rPr>
                <w:b w:val="0"/>
              </w:rPr>
            </w:pPr>
            <w:r>
              <w:t>Varianta 1</w:t>
            </w:r>
          </w:p>
        </w:tc>
        <w:tc>
          <w:tcPr>
            <w:tcW w:w="1786" w:type="dxa"/>
            <w:vAlign w:val="center"/>
            <w:hideMark/>
          </w:tcPr>
          <w:p w:rsidR="00060D43" w:rsidRPr="00B57EBD" w:rsidRDefault="00060D43" w:rsidP="00453495">
            <w:pPr>
              <w:keepNext/>
              <w:ind w:firstLine="0"/>
              <w:jc w:val="center"/>
              <w:cnfStyle w:val="000000000000" w:firstRow="0" w:lastRow="0" w:firstColumn="0" w:lastColumn="0" w:oddVBand="0" w:evenVBand="0" w:oddHBand="0" w:evenHBand="0" w:firstRowFirstColumn="0" w:firstRowLastColumn="0" w:lastRowFirstColumn="0" w:lastRowLastColumn="0"/>
            </w:pPr>
            <w:r>
              <w:t>3</w:t>
            </w:r>
          </w:p>
        </w:tc>
        <w:tc>
          <w:tcPr>
            <w:tcW w:w="1786" w:type="dxa"/>
            <w:vAlign w:val="center"/>
            <w:hideMark/>
          </w:tcPr>
          <w:p w:rsidR="00060D43" w:rsidRPr="00B57EBD" w:rsidRDefault="00060D43" w:rsidP="00453495">
            <w:pPr>
              <w:keepNext/>
              <w:jc w:val="center"/>
              <w:cnfStyle w:val="000000000000" w:firstRow="0" w:lastRow="0" w:firstColumn="0" w:lastColumn="0" w:oddVBand="0" w:evenVBand="0" w:oddHBand="0" w:evenHBand="0" w:firstRowFirstColumn="0" w:firstRowLastColumn="0" w:lastRowFirstColumn="0" w:lastRowLastColumn="0"/>
            </w:pPr>
            <w:r>
              <w:t>3</w:t>
            </w:r>
          </w:p>
        </w:tc>
        <w:tc>
          <w:tcPr>
            <w:tcW w:w="1786" w:type="dxa"/>
            <w:vAlign w:val="center"/>
            <w:hideMark/>
          </w:tcPr>
          <w:p w:rsidR="00060D43" w:rsidRPr="00B57EBD" w:rsidRDefault="00060D43" w:rsidP="00453495">
            <w:pPr>
              <w:keepNext/>
              <w:jc w:val="center"/>
              <w:cnfStyle w:val="000000000000" w:firstRow="0" w:lastRow="0" w:firstColumn="0" w:lastColumn="0" w:oddVBand="0" w:evenVBand="0" w:oddHBand="0" w:evenHBand="0" w:firstRowFirstColumn="0" w:firstRowLastColumn="0" w:lastRowFirstColumn="0" w:lastRowLastColumn="0"/>
            </w:pPr>
            <w:r>
              <w:t>4</w:t>
            </w:r>
          </w:p>
        </w:tc>
        <w:tc>
          <w:tcPr>
            <w:tcW w:w="1786" w:type="dxa"/>
            <w:vAlign w:val="center"/>
            <w:hideMark/>
          </w:tcPr>
          <w:p w:rsidR="00060D43" w:rsidRPr="002A5251" w:rsidRDefault="002A5251" w:rsidP="00453495">
            <w:pPr>
              <w:keepNext/>
              <w:jc w:val="center"/>
              <w:cnfStyle w:val="000000000000" w:firstRow="0" w:lastRow="0" w:firstColumn="0" w:lastColumn="0" w:oddVBand="0" w:evenVBand="0" w:oddHBand="0" w:evenHBand="0" w:firstRowFirstColumn="0" w:firstRowLastColumn="0" w:lastRowFirstColumn="0" w:lastRowLastColumn="0"/>
            </w:pPr>
            <w:r w:rsidRPr="002A5251">
              <w:t>3,33</w:t>
            </w:r>
          </w:p>
        </w:tc>
      </w:tr>
      <w:tr w:rsidR="00060D43" w:rsidTr="00453495">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060D43" w:rsidRDefault="00060D43" w:rsidP="00453495">
            <w:pPr>
              <w:keepNext/>
              <w:ind w:firstLine="0"/>
              <w:jc w:val="center"/>
              <w:rPr>
                <w:b w:val="0"/>
              </w:rPr>
            </w:pPr>
            <w:r>
              <w:t>Varianta 2</w:t>
            </w:r>
          </w:p>
        </w:tc>
        <w:tc>
          <w:tcPr>
            <w:tcW w:w="1786" w:type="dxa"/>
            <w:vAlign w:val="center"/>
            <w:hideMark/>
          </w:tcPr>
          <w:p w:rsidR="00060D43" w:rsidRPr="00B57EBD" w:rsidRDefault="00060D43" w:rsidP="00453495">
            <w:pPr>
              <w:keepNext/>
              <w:ind w:firstLine="0"/>
              <w:jc w:val="center"/>
              <w:cnfStyle w:val="000000100000" w:firstRow="0" w:lastRow="0" w:firstColumn="0" w:lastColumn="0" w:oddVBand="0" w:evenVBand="0" w:oddHBand="1" w:evenHBand="0" w:firstRowFirstColumn="0" w:firstRowLastColumn="0" w:lastRowFirstColumn="0" w:lastRowLastColumn="0"/>
            </w:pPr>
            <w:r>
              <w:t>1</w:t>
            </w:r>
          </w:p>
        </w:tc>
        <w:tc>
          <w:tcPr>
            <w:tcW w:w="1786" w:type="dxa"/>
            <w:vAlign w:val="center"/>
            <w:hideMark/>
          </w:tcPr>
          <w:p w:rsidR="00060D43" w:rsidRPr="00B57EBD" w:rsidRDefault="00060D43" w:rsidP="00453495">
            <w:pPr>
              <w:keepNext/>
              <w:jc w:val="center"/>
              <w:cnfStyle w:val="000000100000" w:firstRow="0" w:lastRow="0" w:firstColumn="0" w:lastColumn="0" w:oddVBand="0" w:evenVBand="0" w:oddHBand="1" w:evenHBand="0" w:firstRowFirstColumn="0" w:firstRowLastColumn="0" w:lastRowFirstColumn="0" w:lastRowLastColumn="0"/>
            </w:pPr>
            <w:r>
              <w:t>2</w:t>
            </w:r>
          </w:p>
        </w:tc>
        <w:tc>
          <w:tcPr>
            <w:tcW w:w="1786" w:type="dxa"/>
            <w:vAlign w:val="center"/>
            <w:hideMark/>
          </w:tcPr>
          <w:p w:rsidR="00060D43" w:rsidRPr="00B57EBD" w:rsidRDefault="00060D43" w:rsidP="00453495">
            <w:pPr>
              <w:keepNext/>
              <w:jc w:val="center"/>
              <w:cnfStyle w:val="000000100000" w:firstRow="0" w:lastRow="0" w:firstColumn="0" w:lastColumn="0" w:oddVBand="0" w:evenVBand="0" w:oddHBand="1" w:evenHBand="0" w:firstRowFirstColumn="0" w:firstRowLastColumn="0" w:lastRowFirstColumn="0" w:lastRowLastColumn="0"/>
            </w:pPr>
            <w:r w:rsidRPr="00B57EBD">
              <w:t>2</w:t>
            </w:r>
          </w:p>
        </w:tc>
        <w:tc>
          <w:tcPr>
            <w:tcW w:w="1786" w:type="dxa"/>
            <w:vAlign w:val="center"/>
            <w:hideMark/>
          </w:tcPr>
          <w:p w:rsidR="00060D43" w:rsidRPr="009E64A8" w:rsidRDefault="002A5251" w:rsidP="00FC4880">
            <w:pPr>
              <w:keepNext/>
              <w:jc w:val="center"/>
              <w:cnfStyle w:val="000000100000" w:firstRow="0" w:lastRow="0" w:firstColumn="0" w:lastColumn="0" w:oddVBand="0" w:evenVBand="0" w:oddHBand="1" w:evenHBand="0" w:firstRowFirstColumn="0" w:firstRowLastColumn="0" w:lastRowFirstColumn="0" w:lastRowLastColumn="0"/>
              <w:rPr>
                <w:b/>
              </w:rPr>
            </w:pPr>
            <w:r w:rsidRPr="009E64A8">
              <w:rPr>
                <w:b/>
              </w:rPr>
              <w:t>1,6</w:t>
            </w:r>
            <w:r w:rsidR="00FC4880">
              <w:rPr>
                <w:b/>
              </w:rPr>
              <w:t>7</w:t>
            </w:r>
          </w:p>
        </w:tc>
      </w:tr>
    </w:tbl>
    <w:p w:rsidR="009A4C08" w:rsidRDefault="009A4C08" w:rsidP="009E64A8">
      <w:pPr>
        <w:spacing w:before="240"/>
        <w:rPr>
          <w:color w:val="A6A6A6" w:themeColor="background1" w:themeShade="A6"/>
        </w:rPr>
      </w:pPr>
      <w:r w:rsidRPr="001B3CC7">
        <w:t xml:space="preserve">Jako nejvýhodnější se jeví varianta </w:t>
      </w:r>
      <w:r w:rsidR="0097360F">
        <w:t>2</w:t>
      </w:r>
      <w:r w:rsidRPr="001B3CC7">
        <w:t>.</w:t>
      </w:r>
      <w:r w:rsidRPr="001B3CC7">
        <w:rPr>
          <w:b/>
        </w:rPr>
        <w:t xml:space="preserve"> </w:t>
      </w:r>
      <w:r w:rsidRPr="001B3CC7">
        <w:t xml:space="preserve">Následuje varianta </w:t>
      </w:r>
      <w:r w:rsidR="0097360F">
        <w:t>1</w:t>
      </w:r>
      <w:r w:rsidR="00F84735">
        <w:t xml:space="preserve"> a poslední vychází z hlediska vhodnosti varianta 0</w:t>
      </w:r>
      <w:r w:rsidRPr="001B3CC7">
        <w:t>.</w:t>
      </w:r>
      <w:r w:rsidRPr="001B3CC7">
        <w:rPr>
          <w:color w:val="A6A6A6" w:themeColor="background1" w:themeShade="A6"/>
        </w:rPr>
        <w:t xml:space="preserve">  </w:t>
      </w:r>
    </w:p>
    <w:p w:rsidR="00234CCC" w:rsidRDefault="00234CCC" w:rsidP="00234CCC">
      <w:pPr>
        <w:rPr>
          <w:u w:val="single"/>
        </w:rPr>
      </w:pPr>
      <w:r w:rsidRPr="00234CCC">
        <w:rPr>
          <w:u w:val="single"/>
        </w:rPr>
        <w:t xml:space="preserve">Nejvhodnější varianta </w:t>
      </w:r>
    </w:p>
    <w:p w:rsidR="00234CCC" w:rsidRPr="00234CCC" w:rsidRDefault="003E5C8F" w:rsidP="00234CCC">
      <w:pPr>
        <w:rPr>
          <w:color w:val="A6A6A6" w:themeColor="background1" w:themeShade="A6"/>
        </w:rPr>
      </w:pPr>
      <w:r>
        <w:t>Při porovnání nákladů i přínosů jednotlivých variant dominuje varianta 2, která plní úkol transpozice nových jednotných procedur v rámci evropských soutěžních pravidel a zároveň nejméně zatěžuje adresáty práva rozsahem nutné kodifikace.</w:t>
      </w:r>
      <w:r w:rsidR="00982D39">
        <w:t xml:space="preserve"> Zároveň přináší nejnižší hmotné náklady administrativní i regulatorní zátěže ze všech variant. Varianta 0 nevyhovuje </w:t>
      </w:r>
      <w:r w:rsidR="000E3CB7">
        <w:t xml:space="preserve">ani </w:t>
      </w:r>
      <w:r w:rsidR="00982D39">
        <w:t>primárně z pohledu nutné transpozice.</w:t>
      </w:r>
    </w:p>
    <w:p w:rsidR="00C64011" w:rsidRDefault="00C64011" w:rsidP="00293617">
      <w:pPr>
        <w:pStyle w:val="Druhnadpis"/>
        <w:rPr>
          <w:i/>
          <w:sz w:val="24"/>
        </w:rPr>
      </w:pPr>
      <w:r w:rsidRPr="0005388A">
        <w:rPr>
          <w:i/>
          <w:sz w:val="24"/>
        </w:rPr>
        <w:t>Narovnání</w:t>
      </w:r>
    </w:p>
    <w:tbl>
      <w:tblPr>
        <w:tblStyle w:val="Svtlstnovnzvraznn1"/>
        <w:tblW w:w="0" w:type="auto"/>
        <w:jc w:val="center"/>
        <w:tblLook w:val="04A0" w:firstRow="1" w:lastRow="0" w:firstColumn="1" w:lastColumn="0" w:noHBand="0" w:noVBand="1"/>
      </w:tblPr>
      <w:tblGrid>
        <w:gridCol w:w="1786"/>
        <w:gridCol w:w="1786"/>
        <w:gridCol w:w="1857"/>
        <w:gridCol w:w="1786"/>
        <w:gridCol w:w="1786"/>
      </w:tblGrid>
      <w:tr w:rsidR="00234CCC" w:rsidTr="00453495">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Efektivita naplnění cílů</w:t>
            </w: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Administrativní zátěž a náklady veřejné správy</w:t>
            </w: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Ekonomické dopady</w:t>
            </w: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Výsledné hodnocení</w:t>
            </w:r>
          </w:p>
        </w:tc>
      </w:tr>
      <w:tr w:rsidR="00234CCC" w:rsidTr="00234CCC">
        <w:trPr>
          <w:cnfStyle w:val="000000100000" w:firstRow="0" w:lastRow="0" w:firstColumn="0" w:lastColumn="0" w:oddVBand="0" w:evenVBand="0" w:oddHBand="1" w:evenHBand="0" w:firstRowFirstColumn="0" w:firstRowLastColumn="0" w:lastRowFirstColumn="0" w:lastRowLastColumn="0"/>
          <w:cantSplit/>
          <w:trHeight w:val="262"/>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r>
              <w:t>Varianta 0</w:t>
            </w:r>
          </w:p>
        </w:tc>
        <w:tc>
          <w:tcPr>
            <w:tcW w:w="1786" w:type="dxa"/>
            <w:vAlign w:val="center"/>
          </w:tcPr>
          <w:p w:rsidR="00234CCC" w:rsidRPr="00B57EBD" w:rsidRDefault="00C547D7" w:rsidP="00453495">
            <w:pPr>
              <w:keepNext/>
              <w:ind w:firstLine="0"/>
              <w:jc w:val="center"/>
              <w:cnfStyle w:val="000000100000" w:firstRow="0" w:lastRow="0" w:firstColumn="0" w:lastColumn="0" w:oddVBand="0" w:evenVBand="0" w:oddHBand="1" w:evenHBand="0" w:firstRowFirstColumn="0" w:firstRowLastColumn="0" w:lastRowFirstColumn="0" w:lastRowLastColumn="0"/>
            </w:pPr>
            <w:r>
              <w:t>4</w:t>
            </w:r>
          </w:p>
        </w:tc>
        <w:tc>
          <w:tcPr>
            <w:tcW w:w="1786" w:type="dxa"/>
            <w:vAlign w:val="center"/>
          </w:tcPr>
          <w:p w:rsidR="00234CCC" w:rsidRPr="00B57EBD" w:rsidRDefault="00C547D7" w:rsidP="00453495">
            <w:pPr>
              <w:keepNext/>
              <w:jc w:val="center"/>
              <w:cnfStyle w:val="000000100000" w:firstRow="0" w:lastRow="0" w:firstColumn="0" w:lastColumn="0" w:oddVBand="0" w:evenVBand="0" w:oddHBand="1" w:evenHBand="0" w:firstRowFirstColumn="0" w:firstRowLastColumn="0" w:lastRowFirstColumn="0" w:lastRowLastColumn="0"/>
            </w:pPr>
            <w:r>
              <w:t>2</w:t>
            </w:r>
          </w:p>
        </w:tc>
        <w:tc>
          <w:tcPr>
            <w:tcW w:w="1786" w:type="dxa"/>
            <w:vAlign w:val="center"/>
          </w:tcPr>
          <w:p w:rsidR="00234CCC" w:rsidRPr="00B57EBD" w:rsidRDefault="00C547D7" w:rsidP="00453495">
            <w:pPr>
              <w:keepNext/>
              <w:jc w:val="center"/>
              <w:cnfStyle w:val="000000100000" w:firstRow="0" w:lastRow="0" w:firstColumn="0" w:lastColumn="0" w:oddVBand="0" w:evenVBand="0" w:oddHBand="1" w:evenHBand="0" w:firstRowFirstColumn="0" w:firstRowLastColumn="0" w:lastRowFirstColumn="0" w:lastRowLastColumn="0"/>
            </w:pPr>
            <w:r>
              <w:t>1</w:t>
            </w:r>
          </w:p>
        </w:tc>
        <w:tc>
          <w:tcPr>
            <w:tcW w:w="1786" w:type="dxa"/>
            <w:vAlign w:val="center"/>
            <w:hideMark/>
          </w:tcPr>
          <w:p w:rsidR="00234CCC" w:rsidRPr="00B57EBD" w:rsidRDefault="00C12FD3" w:rsidP="00453495">
            <w:pPr>
              <w:keepNext/>
              <w:jc w:val="center"/>
              <w:cnfStyle w:val="000000100000" w:firstRow="0" w:lastRow="0" w:firstColumn="0" w:lastColumn="0" w:oddVBand="0" w:evenVBand="0" w:oddHBand="1" w:evenHBand="0" w:firstRowFirstColumn="0" w:firstRowLastColumn="0" w:lastRowFirstColumn="0" w:lastRowLastColumn="0"/>
            </w:pPr>
            <w:r>
              <w:t>2,33</w:t>
            </w:r>
          </w:p>
        </w:tc>
      </w:tr>
      <w:tr w:rsidR="00234CCC" w:rsidTr="00234CCC">
        <w:trPr>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r>
              <w:t>Varianta 1</w:t>
            </w:r>
          </w:p>
        </w:tc>
        <w:tc>
          <w:tcPr>
            <w:tcW w:w="1786" w:type="dxa"/>
            <w:vAlign w:val="center"/>
          </w:tcPr>
          <w:p w:rsidR="00234CCC" w:rsidRPr="00B57EBD" w:rsidRDefault="00C547D7" w:rsidP="00453495">
            <w:pPr>
              <w:keepNext/>
              <w:ind w:firstLine="0"/>
              <w:jc w:val="center"/>
              <w:cnfStyle w:val="000000000000" w:firstRow="0" w:lastRow="0" w:firstColumn="0" w:lastColumn="0" w:oddVBand="0" w:evenVBand="0" w:oddHBand="0" w:evenHBand="0" w:firstRowFirstColumn="0" w:firstRowLastColumn="0" w:lastRowFirstColumn="0" w:lastRowLastColumn="0"/>
            </w:pPr>
            <w:r>
              <w:t>2</w:t>
            </w:r>
          </w:p>
        </w:tc>
        <w:tc>
          <w:tcPr>
            <w:tcW w:w="1786" w:type="dxa"/>
            <w:vAlign w:val="center"/>
          </w:tcPr>
          <w:p w:rsidR="00234CCC" w:rsidRPr="00B57EBD" w:rsidRDefault="00C547D7" w:rsidP="00453495">
            <w:pPr>
              <w:keepNext/>
              <w:jc w:val="center"/>
              <w:cnfStyle w:val="000000000000" w:firstRow="0" w:lastRow="0" w:firstColumn="0" w:lastColumn="0" w:oddVBand="0" w:evenVBand="0" w:oddHBand="0" w:evenHBand="0" w:firstRowFirstColumn="0" w:firstRowLastColumn="0" w:lastRowFirstColumn="0" w:lastRowLastColumn="0"/>
            </w:pPr>
            <w:r>
              <w:t>3</w:t>
            </w:r>
          </w:p>
        </w:tc>
        <w:tc>
          <w:tcPr>
            <w:tcW w:w="1786" w:type="dxa"/>
            <w:vAlign w:val="center"/>
          </w:tcPr>
          <w:p w:rsidR="00234CCC" w:rsidRPr="00B57EBD" w:rsidRDefault="00C547D7" w:rsidP="00453495">
            <w:pPr>
              <w:keepNext/>
              <w:jc w:val="center"/>
              <w:cnfStyle w:val="000000000000" w:firstRow="0" w:lastRow="0" w:firstColumn="0" w:lastColumn="0" w:oddVBand="0" w:evenVBand="0" w:oddHBand="0" w:evenHBand="0" w:firstRowFirstColumn="0" w:firstRowLastColumn="0" w:lastRowFirstColumn="0" w:lastRowLastColumn="0"/>
            </w:pPr>
            <w:r>
              <w:t>1</w:t>
            </w:r>
          </w:p>
        </w:tc>
        <w:tc>
          <w:tcPr>
            <w:tcW w:w="1786" w:type="dxa"/>
            <w:vAlign w:val="center"/>
            <w:hideMark/>
          </w:tcPr>
          <w:p w:rsidR="00234CCC" w:rsidRPr="00E12783" w:rsidRDefault="00C12FD3" w:rsidP="00453495">
            <w:pPr>
              <w:keepNext/>
              <w:jc w:val="center"/>
              <w:cnfStyle w:val="000000000000" w:firstRow="0" w:lastRow="0" w:firstColumn="0" w:lastColumn="0" w:oddVBand="0" w:evenVBand="0" w:oddHBand="0" w:evenHBand="0" w:firstRowFirstColumn="0" w:firstRowLastColumn="0" w:lastRowFirstColumn="0" w:lastRowLastColumn="0"/>
            </w:pPr>
            <w:r w:rsidRPr="00E12783">
              <w:t>2</w:t>
            </w:r>
          </w:p>
        </w:tc>
      </w:tr>
      <w:tr w:rsidR="00234CCC" w:rsidTr="00234CCC">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r>
              <w:t>Varianta 2</w:t>
            </w:r>
          </w:p>
        </w:tc>
        <w:tc>
          <w:tcPr>
            <w:tcW w:w="1786" w:type="dxa"/>
            <w:vAlign w:val="center"/>
          </w:tcPr>
          <w:p w:rsidR="00234CCC" w:rsidRPr="00B57EBD" w:rsidRDefault="00C547D7" w:rsidP="00453495">
            <w:pPr>
              <w:keepNext/>
              <w:ind w:firstLine="0"/>
              <w:jc w:val="center"/>
              <w:cnfStyle w:val="000000100000" w:firstRow="0" w:lastRow="0" w:firstColumn="0" w:lastColumn="0" w:oddVBand="0" w:evenVBand="0" w:oddHBand="1" w:evenHBand="0" w:firstRowFirstColumn="0" w:firstRowLastColumn="0" w:lastRowFirstColumn="0" w:lastRowLastColumn="0"/>
            </w:pPr>
            <w:r>
              <w:t>1</w:t>
            </w:r>
          </w:p>
        </w:tc>
        <w:tc>
          <w:tcPr>
            <w:tcW w:w="1786" w:type="dxa"/>
            <w:vAlign w:val="center"/>
          </w:tcPr>
          <w:p w:rsidR="00234CCC" w:rsidRPr="00B57EBD" w:rsidRDefault="00C547D7" w:rsidP="00453495">
            <w:pPr>
              <w:keepNext/>
              <w:jc w:val="center"/>
              <w:cnfStyle w:val="000000100000" w:firstRow="0" w:lastRow="0" w:firstColumn="0" w:lastColumn="0" w:oddVBand="0" w:evenVBand="0" w:oddHBand="1" w:evenHBand="0" w:firstRowFirstColumn="0" w:firstRowLastColumn="0" w:lastRowFirstColumn="0" w:lastRowLastColumn="0"/>
            </w:pPr>
            <w:r>
              <w:t>3</w:t>
            </w:r>
          </w:p>
        </w:tc>
        <w:tc>
          <w:tcPr>
            <w:tcW w:w="1786" w:type="dxa"/>
            <w:vAlign w:val="center"/>
          </w:tcPr>
          <w:p w:rsidR="00234CCC" w:rsidRPr="00B57EBD" w:rsidRDefault="00C547D7" w:rsidP="00453495">
            <w:pPr>
              <w:keepNext/>
              <w:jc w:val="center"/>
              <w:cnfStyle w:val="000000100000" w:firstRow="0" w:lastRow="0" w:firstColumn="0" w:lastColumn="0" w:oddVBand="0" w:evenVBand="0" w:oddHBand="1" w:evenHBand="0" w:firstRowFirstColumn="0" w:firstRowLastColumn="0" w:lastRowFirstColumn="0" w:lastRowLastColumn="0"/>
            </w:pPr>
            <w:r>
              <w:t>1</w:t>
            </w:r>
          </w:p>
        </w:tc>
        <w:tc>
          <w:tcPr>
            <w:tcW w:w="1786" w:type="dxa"/>
            <w:vAlign w:val="center"/>
            <w:hideMark/>
          </w:tcPr>
          <w:p w:rsidR="00234CCC" w:rsidRPr="009E64A8" w:rsidRDefault="00E12783" w:rsidP="00FC4880">
            <w:pPr>
              <w:keepNext/>
              <w:jc w:val="center"/>
              <w:cnfStyle w:val="000000100000" w:firstRow="0" w:lastRow="0" w:firstColumn="0" w:lastColumn="0" w:oddVBand="0" w:evenVBand="0" w:oddHBand="1" w:evenHBand="0" w:firstRowFirstColumn="0" w:firstRowLastColumn="0" w:lastRowFirstColumn="0" w:lastRowLastColumn="0"/>
              <w:rPr>
                <w:b/>
              </w:rPr>
            </w:pPr>
            <w:r w:rsidRPr="009E64A8">
              <w:rPr>
                <w:b/>
              </w:rPr>
              <w:t>1,6</w:t>
            </w:r>
            <w:r w:rsidR="00FC4880">
              <w:rPr>
                <w:b/>
              </w:rPr>
              <w:t>7</w:t>
            </w:r>
          </w:p>
        </w:tc>
      </w:tr>
    </w:tbl>
    <w:p w:rsidR="0069136B" w:rsidRDefault="0069136B" w:rsidP="009E64A8">
      <w:pPr>
        <w:spacing w:before="240"/>
        <w:rPr>
          <w:color w:val="A6A6A6" w:themeColor="background1" w:themeShade="A6"/>
        </w:rPr>
      </w:pPr>
      <w:r w:rsidRPr="001B3CC7">
        <w:t xml:space="preserve">Jako nejvýhodnější se jeví varianta </w:t>
      </w:r>
      <w:r>
        <w:t>2</w:t>
      </w:r>
      <w:r w:rsidRPr="001B3CC7">
        <w:t>.</w:t>
      </w:r>
      <w:r w:rsidRPr="001B3CC7">
        <w:rPr>
          <w:b/>
        </w:rPr>
        <w:t xml:space="preserve"> </w:t>
      </w:r>
      <w:r w:rsidRPr="001B3CC7">
        <w:t xml:space="preserve">Následuje varianta </w:t>
      </w:r>
      <w:r>
        <w:t>1</w:t>
      </w:r>
      <w:r w:rsidRPr="001B3CC7">
        <w:t>.</w:t>
      </w:r>
      <w:r>
        <w:t xml:space="preserve"> Jako třetí byla vyhodnocena varianta 0.</w:t>
      </w:r>
      <w:r w:rsidRPr="001B3CC7">
        <w:rPr>
          <w:color w:val="A6A6A6" w:themeColor="background1" w:themeShade="A6"/>
        </w:rPr>
        <w:t xml:space="preserve">  </w:t>
      </w:r>
    </w:p>
    <w:p w:rsidR="00E67629" w:rsidRDefault="00234CCC" w:rsidP="00E67629">
      <w:pPr>
        <w:rPr>
          <w:u w:val="single"/>
        </w:rPr>
      </w:pPr>
      <w:r w:rsidRPr="00234CCC">
        <w:rPr>
          <w:u w:val="single"/>
        </w:rPr>
        <w:t xml:space="preserve">Nejvhodnější varianta </w:t>
      </w:r>
    </w:p>
    <w:p w:rsidR="00E67629" w:rsidRPr="00E67629" w:rsidRDefault="00E67629" w:rsidP="00E67629">
      <w:pPr>
        <w:rPr>
          <w:u w:val="single"/>
        </w:rPr>
      </w:pPr>
      <w:r>
        <w:t>Především z pohledu principu dobré správy by měla převážit varianta 1 nebo varianta 2 zvažované úpravy. Přispějí k vyšší efektivitě vedení příslušných správních řízení a zvýšení vymahatelnosti soutěžního práva.</w:t>
      </w:r>
      <w:r w:rsidR="005D268A">
        <w:t xml:space="preserve"> </w:t>
      </w:r>
      <w:r w:rsidR="00557064">
        <w:t>Ve výsledném efektu je v pra</w:t>
      </w:r>
      <w:r w:rsidR="009933C2">
        <w:t>xi správních řízení a jednání o </w:t>
      </w:r>
      <w:r w:rsidR="00557064">
        <w:t>narovnání nejpřínosnější samostatné vedení jednání o narovnání s rozdílnými účastníky.</w:t>
      </w:r>
    </w:p>
    <w:p w:rsidR="00C64011" w:rsidRDefault="00C64011" w:rsidP="00293617">
      <w:pPr>
        <w:pStyle w:val="Druhnadpis"/>
        <w:rPr>
          <w:i/>
          <w:sz w:val="24"/>
        </w:rPr>
      </w:pPr>
      <w:r w:rsidRPr="0005388A">
        <w:rPr>
          <w:i/>
          <w:sz w:val="24"/>
        </w:rPr>
        <w:lastRenderedPageBreak/>
        <w:t>Vzájemná pomoc</w:t>
      </w:r>
    </w:p>
    <w:tbl>
      <w:tblPr>
        <w:tblStyle w:val="Svtlstnovnzvraznn1"/>
        <w:tblW w:w="0" w:type="auto"/>
        <w:jc w:val="center"/>
        <w:tblLook w:val="04A0" w:firstRow="1" w:lastRow="0" w:firstColumn="1" w:lastColumn="0" w:noHBand="0" w:noVBand="1"/>
      </w:tblPr>
      <w:tblGrid>
        <w:gridCol w:w="1786"/>
        <w:gridCol w:w="1786"/>
        <w:gridCol w:w="1857"/>
        <w:gridCol w:w="1786"/>
        <w:gridCol w:w="1786"/>
      </w:tblGrid>
      <w:tr w:rsidR="00234CCC" w:rsidTr="00453495">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Naplnění požadavků transpozice</w:t>
            </w: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Administrativní zátěž a náklady veřejné správy</w:t>
            </w: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Ekonomické dopady</w:t>
            </w: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Výsledné hodnocení</w:t>
            </w:r>
          </w:p>
        </w:tc>
      </w:tr>
      <w:tr w:rsidR="00234CCC" w:rsidTr="00234CCC">
        <w:trPr>
          <w:cnfStyle w:val="000000100000" w:firstRow="0" w:lastRow="0" w:firstColumn="0" w:lastColumn="0" w:oddVBand="0" w:evenVBand="0" w:oddHBand="1" w:evenHBand="0" w:firstRowFirstColumn="0" w:firstRowLastColumn="0" w:lastRowFirstColumn="0" w:lastRowLastColumn="0"/>
          <w:cantSplit/>
          <w:trHeight w:val="262"/>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r>
              <w:t>Varianta 0</w:t>
            </w:r>
          </w:p>
        </w:tc>
        <w:tc>
          <w:tcPr>
            <w:tcW w:w="1786" w:type="dxa"/>
            <w:vAlign w:val="center"/>
          </w:tcPr>
          <w:p w:rsidR="00234CCC" w:rsidRPr="00B57EBD" w:rsidRDefault="008E6E69" w:rsidP="00453495">
            <w:pPr>
              <w:keepNext/>
              <w:ind w:firstLine="0"/>
              <w:jc w:val="center"/>
              <w:cnfStyle w:val="000000100000" w:firstRow="0" w:lastRow="0" w:firstColumn="0" w:lastColumn="0" w:oddVBand="0" w:evenVBand="0" w:oddHBand="1" w:evenHBand="0" w:firstRowFirstColumn="0" w:firstRowLastColumn="0" w:lastRowFirstColumn="0" w:lastRowLastColumn="0"/>
            </w:pPr>
            <w:r>
              <w:t>5</w:t>
            </w:r>
          </w:p>
        </w:tc>
        <w:tc>
          <w:tcPr>
            <w:tcW w:w="1786" w:type="dxa"/>
            <w:vAlign w:val="center"/>
          </w:tcPr>
          <w:p w:rsidR="00234CCC" w:rsidRPr="00B57EBD" w:rsidRDefault="008E6E69" w:rsidP="00453495">
            <w:pPr>
              <w:keepNext/>
              <w:jc w:val="center"/>
              <w:cnfStyle w:val="000000100000" w:firstRow="0" w:lastRow="0" w:firstColumn="0" w:lastColumn="0" w:oddVBand="0" w:evenVBand="0" w:oddHBand="1" w:evenHBand="0" w:firstRowFirstColumn="0" w:firstRowLastColumn="0" w:lastRowFirstColumn="0" w:lastRowLastColumn="0"/>
            </w:pPr>
            <w:r>
              <w:t>1</w:t>
            </w:r>
          </w:p>
        </w:tc>
        <w:tc>
          <w:tcPr>
            <w:tcW w:w="1786" w:type="dxa"/>
            <w:vAlign w:val="center"/>
          </w:tcPr>
          <w:p w:rsidR="00234CCC" w:rsidRPr="00B57EBD" w:rsidRDefault="008E6E69" w:rsidP="00453495">
            <w:pPr>
              <w:keepNext/>
              <w:jc w:val="center"/>
              <w:cnfStyle w:val="000000100000" w:firstRow="0" w:lastRow="0" w:firstColumn="0" w:lastColumn="0" w:oddVBand="0" w:evenVBand="0" w:oddHBand="1" w:evenHBand="0" w:firstRowFirstColumn="0" w:firstRowLastColumn="0" w:lastRowFirstColumn="0" w:lastRowLastColumn="0"/>
            </w:pPr>
            <w:r>
              <w:t>5</w:t>
            </w:r>
          </w:p>
        </w:tc>
        <w:tc>
          <w:tcPr>
            <w:tcW w:w="1786" w:type="dxa"/>
            <w:vAlign w:val="center"/>
          </w:tcPr>
          <w:p w:rsidR="00234CCC" w:rsidRPr="00B57EBD" w:rsidRDefault="008E6E69" w:rsidP="00FC4880">
            <w:pPr>
              <w:keepNext/>
              <w:jc w:val="center"/>
              <w:cnfStyle w:val="000000100000" w:firstRow="0" w:lastRow="0" w:firstColumn="0" w:lastColumn="0" w:oddVBand="0" w:evenVBand="0" w:oddHBand="1" w:evenHBand="0" w:firstRowFirstColumn="0" w:firstRowLastColumn="0" w:lastRowFirstColumn="0" w:lastRowLastColumn="0"/>
            </w:pPr>
            <w:r>
              <w:t>3,6</w:t>
            </w:r>
            <w:r w:rsidR="00FC4880">
              <w:t>7</w:t>
            </w:r>
          </w:p>
        </w:tc>
      </w:tr>
      <w:tr w:rsidR="00234CCC" w:rsidTr="00234CCC">
        <w:trPr>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r>
              <w:t>Varianta 1</w:t>
            </w:r>
          </w:p>
        </w:tc>
        <w:tc>
          <w:tcPr>
            <w:tcW w:w="1786" w:type="dxa"/>
            <w:vAlign w:val="center"/>
          </w:tcPr>
          <w:p w:rsidR="00234CCC" w:rsidRPr="00B57EBD" w:rsidRDefault="008E6E69" w:rsidP="00453495">
            <w:pPr>
              <w:keepNext/>
              <w:ind w:firstLine="0"/>
              <w:jc w:val="center"/>
              <w:cnfStyle w:val="000000000000" w:firstRow="0" w:lastRow="0" w:firstColumn="0" w:lastColumn="0" w:oddVBand="0" w:evenVBand="0" w:oddHBand="0" w:evenHBand="0" w:firstRowFirstColumn="0" w:firstRowLastColumn="0" w:lastRowFirstColumn="0" w:lastRowLastColumn="0"/>
            </w:pPr>
            <w:r>
              <w:t>3</w:t>
            </w:r>
          </w:p>
        </w:tc>
        <w:tc>
          <w:tcPr>
            <w:tcW w:w="1786" w:type="dxa"/>
            <w:vAlign w:val="center"/>
          </w:tcPr>
          <w:p w:rsidR="00234CCC" w:rsidRPr="00B57EBD" w:rsidRDefault="008E6E69" w:rsidP="00453495">
            <w:pPr>
              <w:keepNext/>
              <w:jc w:val="center"/>
              <w:cnfStyle w:val="000000000000" w:firstRow="0" w:lastRow="0" w:firstColumn="0" w:lastColumn="0" w:oddVBand="0" w:evenVBand="0" w:oddHBand="0" w:evenHBand="0" w:firstRowFirstColumn="0" w:firstRowLastColumn="0" w:lastRowFirstColumn="0" w:lastRowLastColumn="0"/>
            </w:pPr>
            <w:r>
              <w:t>4</w:t>
            </w:r>
          </w:p>
        </w:tc>
        <w:tc>
          <w:tcPr>
            <w:tcW w:w="1786" w:type="dxa"/>
            <w:vAlign w:val="center"/>
          </w:tcPr>
          <w:p w:rsidR="00234CCC" w:rsidRPr="00B57EBD" w:rsidRDefault="008E6E69" w:rsidP="00453495">
            <w:pPr>
              <w:keepNext/>
              <w:jc w:val="center"/>
              <w:cnfStyle w:val="000000000000" w:firstRow="0" w:lastRow="0" w:firstColumn="0" w:lastColumn="0" w:oddVBand="0" w:evenVBand="0" w:oddHBand="0" w:evenHBand="0" w:firstRowFirstColumn="0" w:firstRowLastColumn="0" w:lastRowFirstColumn="0" w:lastRowLastColumn="0"/>
            </w:pPr>
            <w:r>
              <w:t>3</w:t>
            </w:r>
          </w:p>
        </w:tc>
        <w:tc>
          <w:tcPr>
            <w:tcW w:w="1786" w:type="dxa"/>
            <w:vAlign w:val="center"/>
          </w:tcPr>
          <w:p w:rsidR="00234CCC" w:rsidRPr="008E6E69" w:rsidRDefault="008E6E69" w:rsidP="00453495">
            <w:pPr>
              <w:keepNext/>
              <w:jc w:val="center"/>
              <w:cnfStyle w:val="000000000000" w:firstRow="0" w:lastRow="0" w:firstColumn="0" w:lastColumn="0" w:oddVBand="0" w:evenVBand="0" w:oddHBand="0" w:evenHBand="0" w:firstRowFirstColumn="0" w:firstRowLastColumn="0" w:lastRowFirstColumn="0" w:lastRowLastColumn="0"/>
            </w:pPr>
            <w:r w:rsidRPr="008E6E69">
              <w:t>3,33</w:t>
            </w:r>
          </w:p>
        </w:tc>
      </w:tr>
      <w:tr w:rsidR="00234CCC" w:rsidTr="00234CCC">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r>
              <w:t>Varianta 2</w:t>
            </w:r>
          </w:p>
        </w:tc>
        <w:tc>
          <w:tcPr>
            <w:tcW w:w="1786" w:type="dxa"/>
            <w:vAlign w:val="center"/>
          </w:tcPr>
          <w:p w:rsidR="00234CCC" w:rsidRPr="00B57EBD" w:rsidRDefault="008E6E69" w:rsidP="00453495">
            <w:pPr>
              <w:keepNext/>
              <w:ind w:firstLine="0"/>
              <w:jc w:val="center"/>
              <w:cnfStyle w:val="000000100000" w:firstRow="0" w:lastRow="0" w:firstColumn="0" w:lastColumn="0" w:oddVBand="0" w:evenVBand="0" w:oddHBand="1" w:evenHBand="0" w:firstRowFirstColumn="0" w:firstRowLastColumn="0" w:lastRowFirstColumn="0" w:lastRowLastColumn="0"/>
            </w:pPr>
            <w:r>
              <w:t>2</w:t>
            </w:r>
          </w:p>
        </w:tc>
        <w:tc>
          <w:tcPr>
            <w:tcW w:w="1786" w:type="dxa"/>
            <w:vAlign w:val="center"/>
          </w:tcPr>
          <w:p w:rsidR="00234CCC" w:rsidRPr="00B57EBD" w:rsidRDefault="008E6E69" w:rsidP="00453495">
            <w:pPr>
              <w:keepNext/>
              <w:jc w:val="center"/>
              <w:cnfStyle w:val="000000100000" w:firstRow="0" w:lastRow="0" w:firstColumn="0" w:lastColumn="0" w:oddVBand="0" w:evenVBand="0" w:oddHBand="1" w:evenHBand="0" w:firstRowFirstColumn="0" w:firstRowLastColumn="0" w:lastRowFirstColumn="0" w:lastRowLastColumn="0"/>
            </w:pPr>
            <w:r>
              <w:t>2</w:t>
            </w:r>
          </w:p>
        </w:tc>
        <w:tc>
          <w:tcPr>
            <w:tcW w:w="1786" w:type="dxa"/>
            <w:vAlign w:val="center"/>
          </w:tcPr>
          <w:p w:rsidR="00234CCC" w:rsidRPr="00B57EBD" w:rsidRDefault="008E6E69" w:rsidP="00453495">
            <w:pPr>
              <w:keepNext/>
              <w:jc w:val="center"/>
              <w:cnfStyle w:val="000000100000" w:firstRow="0" w:lastRow="0" w:firstColumn="0" w:lastColumn="0" w:oddVBand="0" w:evenVBand="0" w:oddHBand="1" w:evenHBand="0" w:firstRowFirstColumn="0" w:firstRowLastColumn="0" w:lastRowFirstColumn="0" w:lastRowLastColumn="0"/>
            </w:pPr>
            <w:r>
              <w:t>3</w:t>
            </w:r>
          </w:p>
        </w:tc>
        <w:tc>
          <w:tcPr>
            <w:tcW w:w="1786" w:type="dxa"/>
            <w:vAlign w:val="center"/>
          </w:tcPr>
          <w:p w:rsidR="00234CCC" w:rsidRPr="001D36F3" w:rsidRDefault="008E6E69" w:rsidP="00453495">
            <w:pPr>
              <w:keepNext/>
              <w:jc w:val="center"/>
              <w:cnfStyle w:val="000000100000" w:firstRow="0" w:lastRow="0" w:firstColumn="0" w:lastColumn="0" w:oddVBand="0" w:evenVBand="0" w:oddHBand="1" w:evenHBand="0" w:firstRowFirstColumn="0" w:firstRowLastColumn="0" w:lastRowFirstColumn="0" w:lastRowLastColumn="0"/>
              <w:rPr>
                <w:b/>
              </w:rPr>
            </w:pPr>
            <w:r w:rsidRPr="001D36F3">
              <w:rPr>
                <w:b/>
              </w:rPr>
              <w:t>2,33</w:t>
            </w:r>
          </w:p>
        </w:tc>
      </w:tr>
    </w:tbl>
    <w:p w:rsidR="007A3DBF" w:rsidRDefault="007A3DBF" w:rsidP="009A4C08">
      <w:pPr>
        <w:spacing w:after="0" w:line="240" w:lineRule="auto"/>
        <w:rPr>
          <w:szCs w:val="24"/>
        </w:rPr>
      </w:pPr>
    </w:p>
    <w:p w:rsidR="009A4C08" w:rsidRDefault="009A4C08" w:rsidP="009A4C08">
      <w:pPr>
        <w:rPr>
          <w:color w:val="A6A6A6" w:themeColor="background1" w:themeShade="A6"/>
        </w:rPr>
      </w:pPr>
      <w:r w:rsidRPr="001B3CC7">
        <w:t xml:space="preserve">Jako nejvýhodnější se jeví varianta </w:t>
      </w:r>
      <w:r w:rsidR="004C403C">
        <w:t>2</w:t>
      </w:r>
      <w:r w:rsidRPr="001B3CC7">
        <w:t>.</w:t>
      </w:r>
      <w:r w:rsidRPr="001B3CC7">
        <w:rPr>
          <w:b/>
        </w:rPr>
        <w:t xml:space="preserve"> </w:t>
      </w:r>
      <w:r w:rsidRPr="001B3CC7">
        <w:t xml:space="preserve">Následuje varianta </w:t>
      </w:r>
      <w:r w:rsidR="004C403C">
        <w:t>1</w:t>
      </w:r>
      <w:r w:rsidR="003B4C13">
        <w:t xml:space="preserve"> a nejméně vhodná je varianta 0</w:t>
      </w:r>
      <w:r w:rsidRPr="001B3CC7">
        <w:t>.</w:t>
      </w:r>
      <w:r w:rsidRPr="001B3CC7">
        <w:rPr>
          <w:color w:val="A6A6A6" w:themeColor="background1" w:themeShade="A6"/>
        </w:rPr>
        <w:t xml:space="preserve">  </w:t>
      </w:r>
    </w:p>
    <w:p w:rsidR="00234CCC" w:rsidRDefault="00234CCC" w:rsidP="00234CCC">
      <w:pPr>
        <w:rPr>
          <w:u w:val="single"/>
        </w:rPr>
      </w:pPr>
      <w:r w:rsidRPr="00234CCC">
        <w:rPr>
          <w:u w:val="single"/>
        </w:rPr>
        <w:t xml:space="preserve">Nejvhodnější varianta </w:t>
      </w:r>
    </w:p>
    <w:p w:rsidR="00234CCC" w:rsidRPr="00695A52" w:rsidRDefault="00695A52" w:rsidP="00234CCC">
      <w:pPr>
        <w:rPr>
          <w:color w:val="A6A6A6" w:themeColor="background1" w:themeShade="A6"/>
        </w:rPr>
      </w:pPr>
      <w:r>
        <w:t xml:space="preserve">Jedinými vyhovujícími variantami podle primárního cíle transpozice nové evropské úpravy procedury tzv. </w:t>
      </w:r>
      <w:r w:rsidRPr="00695A52">
        <w:rPr>
          <w:i/>
        </w:rPr>
        <w:t>vzájemné pomoci</w:t>
      </w:r>
      <w:r>
        <w:rPr>
          <w:i/>
        </w:rPr>
        <w:t xml:space="preserve"> </w:t>
      </w:r>
      <w:r>
        <w:t>jsou varianty 1 a 2</w:t>
      </w:r>
      <w:r w:rsidR="00C10A4A">
        <w:t>, neboť varianta 0 nesplňuje povinnost transpozice</w:t>
      </w:r>
      <w:r w:rsidR="003A26B4">
        <w:t xml:space="preserve"> evropského předpisu</w:t>
      </w:r>
      <w:r>
        <w:t xml:space="preserve">. </w:t>
      </w:r>
      <w:r w:rsidR="00824CE2">
        <w:t>Rozhoduje pak vyšší přínos varianty 2 spočívající v zachované právní jistotě při výkonu působnosti nad evropskými soutěžními pravidly</w:t>
      </w:r>
      <w:r w:rsidR="00B32253">
        <w:t xml:space="preserve"> a</w:t>
      </w:r>
      <w:r w:rsidR="00933FFA">
        <w:t> </w:t>
      </w:r>
      <w:r w:rsidR="00B32253">
        <w:t>zároveň snížením nákladů na dodržování regulace</w:t>
      </w:r>
      <w:r w:rsidR="00824CE2">
        <w:t>.</w:t>
      </w:r>
      <w:r w:rsidR="00B32253">
        <w:t xml:space="preserve"> Nevyvstane potřeba novelizace v oblasti exekuce správních rozhodnutí a právní úprava bude pro adresáty jednodušší, přehlednější a</w:t>
      </w:r>
      <w:r w:rsidR="00933FFA">
        <w:t> </w:t>
      </w:r>
      <w:r w:rsidR="00B32253">
        <w:t>srozumitelnější.</w:t>
      </w:r>
    </w:p>
    <w:p w:rsidR="00C64011" w:rsidRPr="00234CCC" w:rsidRDefault="00C64011" w:rsidP="00293617">
      <w:pPr>
        <w:pStyle w:val="Druhnadpis"/>
        <w:rPr>
          <w:bCs/>
          <w:i/>
          <w:sz w:val="24"/>
        </w:rPr>
      </w:pPr>
      <w:r w:rsidRPr="0005388A">
        <w:rPr>
          <w:i/>
          <w:sz w:val="24"/>
        </w:rPr>
        <w:t>Zpřístupnění informací obsažených ve spise</w:t>
      </w:r>
    </w:p>
    <w:tbl>
      <w:tblPr>
        <w:tblStyle w:val="Svtlstnovnzvraznn1"/>
        <w:tblW w:w="0" w:type="auto"/>
        <w:jc w:val="center"/>
        <w:tblLook w:val="04A0" w:firstRow="1" w:lastRow="0" w:firstColumn="1" w:lastColumn="0" w:noHBand="0" w:noVBand="1"/>
      </w:tblPr>
      <w:tblGrid>
        <w:gridCol w:w="1786"/>
        <w:gridCol w:w="1786"/>
        <w:gridCol w:w="1857"/>
        <w:gridCol w:w="1786"/>
        <w:gridCol w:w="1786"/>
      </w:tblGrid>
      <w:tr w:rsidR="00234CCC" w:rsidTr="00453495">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Efektivita naplnění cílů</w:t>
            </w: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Administrativní zátěž a náklady veřejné správy</w:t>
            </w: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Ekonomické dopady</w:t>
            </w:r>
          </w:p>
        </w:tc>
        <w:tc>
          <w:tcPr>
            <w:tcW w:w="1786" w:type="dxa"/>
            <w:vAlign w:val="center"/>
            <w:hideMark/>
          </w:tcPr>
          <w:p w:rsidR="00234CCC" w:rsidRDefault="00234CCC" w:rsidP="00453495">
            <w:pPr>
              <w:keepNext/>
              <w:ind w:firstLine="0"/>
              <w:jc w:val="center"/>
              <w:cnfStyle w:val="100000000000" w:firstRow="1" w:lastRow="0" w:firstColumn="0" w:lastColumn="0" w:oddVBand="0" w:evenVBand="0" w:oddHBand="0" w:evenHBand="0" w:firstRowFirstColumn="0" w:firstRowLastColumn="0" w:lastRowFirstColumn="0" w:lastRowLastColumn="0"/>
              <w:rPr>
                <w:b w:val="0"/>
              </w:rPr>
            </w:pPr>
            <w:r>
              <w:t>Výsledné hodnocení</w:t>
            </w:r>
          </w:p>
        </w:tc>
      </w:tr>
      <w:tr w:rsidR="00234CCC" w:rsidTr="002A5E08">
        <w:trPr>
          <w:cnfStyle w:val="000000100000" w:firstRow="0" w:lastRow="0" w:firstColumn="0" w:lastColumn="0" w:oddVBand="0" w:evenVBand="0" w:oddHBand="1" w:evenHBand="0" w:firstRowFirstColumn="0" w:firstRowLastColumn="0" w:lastRowFirstColumn="0" w:lastRowLastColumn="0"/>
          <w:cantSplit/>
          <w:trHeight w:val="262"/>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r>
              <w:t>Varianta 0</w:t>
            </w:r>
          </w:p>
        </w:tc>
        <w:tc>
          <w:tcPr>
            <w:tcW w:w="1786" w:type="dxa"/>
            <w:vAlign w:val="center"/>
          </w:tcPr>
          <w:p w:rsidR="00234CCC" w:rsidRPr="00B57EBD" w:rsidRDefault="00234257" w:rsidP="00453495">
            <w:pPr>
              <w:keepNext/>
              <w:ind w:firstLine="0"/>
              <w:jc w:val="center"/>
              <w:cnfStyle w:val="000000100000" w:firstRow="0" w:lastRow="0" w:firstColumn="0" w:lastColumn="0" w:oddVBand="0" w:evenVBand="0" w:oddHBand="1" w:evenHBand="0" w:firstRowFirstColumn="0" w:firstRowLastColumn="0" w:lastRowFirstColumn="0" w:lastRowLastColumn="0"/>
            </w:pPr>
            <w:r>
              <w:t>4</w:t>
            </w:r>
          </w:p>
        </w:tc>
        <w:tc>
          <w:tcPr>
            <w:tcW w:w="1786" w:type="dxa"/>
            <w:vAlign w:val="center"/>
          </w:tcPr>
          <w:p w:rsidR="00234CCC" w:rsidRPr="00B57EBD" w:rsidRDefault="00234257" w:rsidP="00453495">
            <w:pPr>
              <w:keepNext/>
              <w:jc w:val="center"/>
              <w:cnfStyle w:val="000000100000" w:firstRow="0" w:lastRow="0" w:firstColumn="0" w:lastColumn="0" w:oddVBand="0" w:evenVBand="0" w:oddHBand="1" w:evenHBand="0" w:firstRowFirstColumn="0" w:firstRowLastColumn="0" w:lastRowFirstColumn="0" w:lastRowLastColumn="0"/>
            </w:pPr>
            <w:r>
              <w:t>1</w:t>
            </w:r>
          </w:p>
        </w:tc>
        <w:tc>
          <w:tcPr>
            <w:tcW w:w="1786" w:type="dxa"/>
            <w:vAlign w:val="center"/>
          </w:tcPr>
          <w:p w:rsidR="00234CCC" w:rsidRPr="00B57EBD" w:rsidRDefault="00234257" w:rsidP="00453495">
            <w:pPr>
              <w:keepNext/>
              <w:jc w:val="center"/>
              <w:cnfStyle w:val="000000100000" w:firstRow="0" w:lastRow="0" w:firstColumn="0" w:lastColumn="0" w:oddVBand="0" w:evenVBand="0" w:oddHBand="1" w:evenHBand="0" w:firstRowFirstColumn="0" w:firstRowLastColumn="0" w:lastRowFirstColumn="0" w:lastRowLastColumn="0"/>
            </w:pPr>
            <w:r>
              <w:t>2</w:t>
            </w:r>
          </w:p>
        </w:tc>
        <w:tc>
          <w:tcPr>
            <w:tcW w:w="1786" w:type="dxa"/>
            <w:vAlign w:val="center"/>
          </w:tcPr>
          <w:p w:rsidR="00234CCC" w:rsidRPr="00B57EBD" w:rsidRDefault="00234257" w:rsidP="00FC4880">
            <w:pPr>
              <w:keepNext/>
              <w:jc w:val="center"/>
              <w:cnfStyle w:val="000000100000" w:firstRow="0" w:lastRow="0" w:firstColumn="0" w:lastColumn="0" w:oddVBand="0" w:evenVBand="0" w:oddHBand="1" w:evenHBand="0" w:firstRowFirstColumn="0" w:firstRowLastColumn="0" w:lastRowFirstColumn="0" w:lastRowLastColumn="0"/>
            </w:pPr>
            <w:r>
              <w:t>2,</w:t>
            </w:r>
            <w:r w:rsidR="00FC4880">
              <w:t>33</w:t>
            </w:r>
          </w:p>
        </w:tc>
      </w:tr>
      <w:tr w:rsidR="00234CCC" w:rsidTr="002A5E08">
        <w:trPr>
          <w:cantSplit/>
          <w:trHeight w:val="192"/>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r>
              <w:t>Varianta 1</w:t>
            </w:r>
          </w:p>
        </w:tc>
        <w:tc>
          <w:tcPr>
            <w:tcW w:w="1786" w:type="dxa"/>
            <w:vAlign w:val="center"/>
          </w:tcPr>
          <w:p w:rsidR="00234CCC" w:rsidRPr="00B57EBD" w:rsidRDefault="00234257" w:rsidP="00453495">
            <w:pPr>
              <w:keepNext/>
              <w:ind w:firstLine="0"/>
              <w:jc w:val="center"/>
              <w:cnfStyle w:val="000000000000" w:firstRow="0" w:lastRow="0" w:firstColumn="0" w:lastColumn="0" w:oddVBand="0" w:evenVBand="0" w:oddHBand="0" w:evenHBand="0" w:firstRowFirstColumn="0" w:firstRowLastColumn="0" w:lastRowFirstColumn="0" w:lastRowLastColumn="0"/>
            </w:pPr>
            <w:r>
              <w:t>2</w:t>
            </w:r>
          </w:p>
        </w:tc>
        <w:tc>
          <w:tcPr>
            <w:tcW w:w="1786" w:type="dxa"/>
            <w:vAlign w:val="center"/>
          </w:tcPr>
          <w:p w:rsidR="00234CCC" w:rsidRPr="00B57EBD" w:rsidRDefault="00234257" w:rsidP="00453495">
            <w:pPr>
              <w:keepNext/>
              <w:jc w:val="center"/>
              <w:cnfStyle w:val="000000000000" w:firstRow="0" w:lastRow="0" w:firstColumn="0" w:lastColumn="0" w:oddVBand="0" w:evenVBand="0" w:oddHBand="0" w:evenHBand="0" w:firstRowFirstColumn="0" w:firstRowLastColumn="0" w:lastRowFirstColumn="0" w:lastRowLastColumn="0"/>
            </w:pPr>
            <w:r>
              <w:t>2</w:t>
            </w:r>
          </w:p>
        </w:tc>
        <w:tc>
          <w:tcPr>
            <w:tcW w:w="1786" w:type="dxa"/>
            <w:vAlign w:val="center"/>
          </w:tcPr>
          <w:p w:rsidR="00234CCC" w:rsidRPr="00B57EBD" w:rsidRDefault="00234257" w:rsidP="00453495">
            <w:pPr>
              <w:keepNext/>
              <w:jc w:val="center"/>
              <w:cnfStyle w:val="000000000000" w:firstRow="0" w:lastRow="0" w:firstColumn="0" w:lastColumn="0" w:oddVBand="0" w:evenVBand="0" w:oddHBand="0" w:evenHBand="0" w:firstRowFirstColumn="0" w:firstRowLastColumn="0" w:lastRowFirstColumn="0" w:lastRowLastColumn="0"/>
            </w:pPr>
            <w:r>
              <w:t>2</w:t>
            </w:r>
          </w:p>
        </w:tc>
        <w:tc>
          <w:tcPr>
            <w:tcW w:w="1786" w:type="dxa"/>
            <w:vAlign w:val="center"/>
          </w:tcPr>
          <w:p w:rsidR="00234CCC" w:rsidRPr="009E64A8" w:rsidRDefault="00234257" w:rsidP="00453495">
            <w:pPr>
              <w:keepNext/>
              <w:jc w:val="center"/>
              <w:cnfStyle w:val="000000000000" w:firstRow="0" w:lastRow="0" w:firstColumn="0" w:lastColumn="0" w:oddVBand="0" w:evenVBand="0" w:oddHBand="0" w:evenHBand="0" w:firstRowFirstColumn="0" w:firstRowLastColumn="0" w:lastRowFirstColumn="0" w:lastRowLastColumn="0"/>
              <w:rPr>
                <w:b/>
              </w:rPr>
            </w:pPr>
            <w:r w:rsidRPr="009E64A8">
              <w:rPr>
                <w:b/>
              </w:rPr>
              <w:t>2</w:t>
            </w:r>
          </w:p>
        </w:tc>
      </w:tr>
      <w:tr w:rsidR="00234CCC" w:rsidTr="002A5E08">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786" w:type="dxa"/>
            <w:vAlign w:val="center"/>
            <w:hideMark/>
          </w:tcPr>
          <w:p w:rsidR="00234CCC" w:rsidRDefault="00234CCC" w:rsidP="00453495">
            <w:pPr>
              <w:keepNext/>
              <w:ind w:firstLine="0"/>
              <w:jc w:val="center"/>
              <w:rPr>
                <w:b w:val="0"/>
              </w:rPr>
            </w:pPr>
            <w:r>
              <w:t>Varianta 2</w:t>
            </w:r>
          </w:p>
        </w:tc>
        <w:tc>
          <w:tcPr>
            <w:tcW w:w="1786" w:type="dxa"/>
            <w:vAlign w:val="center"/>
          </w:tcPr>
          <w:p w:rsidR="00234CCC" w:rsidRPr="00B57EBD" w:rsidRDefault="00332A37" w:rsidP="00453495">
            <w:pPr>
              <w:keepNext/>
              <w:ind w:firstLine="0"/>
              <w:jc w:val="center"/>
              <w:cnfStyle w:val="000000100000" w:firstRow="0" w:lastRow="0" w:firstColumn="0" w:lastColumn="0" w:oddVBand="0" w:evenVBand="0" w:oddHBand="1" w:evenHBand="0" w:firstRowFirstColumn="0" w:firstRowLastColumn="0" w:lastRowFirstColumn="0" w:lastRowLastColumn="0"/>
            </w:pPr>
            <w:r>
              <w:t>2</w:t>
            </w:r>
          </w:p>
        </w:tc>
        <w:tc>
          <w:tcPr>
            <w:tcW w:w="1786" w:type="dxa"/>
            <w:vAlign w:val="center"/>
          </w:tcPr>
          <w:p w:rsidR="00234CCC" w:rsidRPr="00B57EBD" w:rsidRDefault="00234257" w:rsidP="00453495">
            <w:pPr>
              <w:keepNext/>
              <w:jc w:val="center"/>
              <w:cnfStyle w:val="000000100000" w:firstRow="0" w:lastRow="0" w:firstColumn="0" w:lastColumn="0" w:oddVBand="0" w:evenVBand="0" w:oddHBand="1" w:evenHBand="0" w:firstRowFirstColumn="0" w:firstRowLastColumn="0" w:lastRowFirstColumn="0" w:lastRowLastColumn="0"/>
            </w:pPr>
            <w:r>
              <w:t>4</w:t>
            </w:r>
          </w:p>
        </w:tc>
        <w:tc>
          <w:tcPr>
            <w:tcW w:w="1786" w:type="dxa"/>
            <w:vAlign w:val="center"/>
          </w:tcPr>
          <w:p w:rsidR="00234CCC" w:rsidRPr="00B57EBD" w:rsidRDefault="00234257" w:rsidP="00453495">
            <w:pPr>
              <w:keepNext/>
              <w:jc w:val="center"/>
              <w:cnfStyle w:val="000000100000" w:firstRow="0" w:lastRow="0" w:firstColumn="0" w:lastColumn="0" w:oddVBand="0" w:evenVBand="0" w:oddHBand="1" w:evenHBand="0" w:firstRowFirstColumn="0" w:firstRowLastColumn="0" w:lastRowFirstColumn="0" w:lastRowLastColumn="0"/>
            </w:pPr>
            <w:r>
              <w:t>2</w:t>
            </w:r>
          </w:p>
        </w:tc>
        <w:tc>
          <w:tcPr>
            <w:tcW w:w="1786" w:type="dxa"/>
            <w:vAlign w:val="center"/>
          </w:tcPr>
          <w:p w:rsidR="00234CCC" w:rsidRPr="00B57EBD" w:rsidRDefault="00234257" w:rsidP="00332A37">
            <w:pPr>
              <w:keepNext/>
              <w:jc w:val="center"/>
              <w:cnfStyle w:val="000000100000" w:firstRow="0" w:lastRow="0" w:firstColumn="0" w:lastColumn="0" w:oddVBand="0" w:evenVBand="0" w:oddHBand="1" w:evenHBand="0" w:firstRowFirstColumn="0" w:firstRowLastColumn="0" w:lastRowFirstColumn="0" w:lastRowLastColumn="0"/>
            </w:pPr>
            <w:r>
              <w:t>2,</w:t>
            </w:r>
            <w:r w:rsidR="00332A37">
              <w:t>66</w:t>
            </w:r>
          </w:p>
        </w:tc>
      </w:tr>
    </w:tbl>
    <w:p w:rsidR="007A3DBF" w:rsidRDefault="007A3DBF" w:rsidP="009A4C08"/>
    <w:p w:rsidR="009A4C08" w:rsidRDefault="009A4C08" w:rsidP="009A4C08">
      <w:r w:rsidRPr="001B3CC7">
        <w:t xml:space="preserve">Jako nejvýhodnější se jeví varianta </w:t>
      </w:r>
      <w:r w:rsidR="00BC69A8">
        <w:t>1</w:t>
      </w:r>
      <w:r w:rsidRPr="001B3CC7">
        <w:t>.</w:t>
      </w:r>
      <w:r w:rsidRPr="001B3CC7">
        <w:rPr>
          <w:b/>
        </w:rPr>
        <w:t xml:space="preserve"> </w:t>
      </w:r>
      <w:r w:rsidRPr="001B3CC7">
        <w:t xml:space="preserve">Následuje varianta </w:t>
      </w:r>
      <w:r w:rsidR="00BC69A8">
        <w:t>0 a jako třetí varianta 2.</w:t>
      </w:r>
    </w:p>
    <w:p w:rsidR="00234CCC" w:rsidRDefault="00234CCC" w:rsidP="009A4C08">
      <w:pPr>
        <w:rPr>
          <w:u w:val="single"/>
        </w:rPr>
      </w:pPr>
      <w:r w:rsidRPr="00234CCC">
        <w:rPr>
          <w:u w:val="single"/>
        </w:rPr>
        <w:t xml:space="preserve">Nejvhodnější varianta </w:t>
      </w:r>
    </w:p>
    <w:p w:rsidR="00234CCC" w:rsidRPr="00234CCC" w:rsidRDefault="0046660A" w:rsidP="009A4C08">
      <w:pPr>
        <w:rPr>
          <w:color w:val="A6A6A6" w:themeColor="background1" w:themeShade="A6"/>
        </w:rPr>
      </w:pPr>
      <w:r>
        <w:t xml:space="preserve">V celkovém kontextu kladů i záporů uvažované změny právní úpravy jsou všechny varianty vyrovnané. Každá z nich zohledňuje jiné hledisko, ale plní stejný cíl efektivnější ochrany hospodářské soutěže. </w:t>
      </w:r>
      <w:r w:rsidR="00553508">
        <w:t xml:space="preserve">Převážit by měla nakonec varianta </w:t>
      </w:r>
      <w:r w:rsidR="003A0E97">
        <w:t>1 umožňující dřívější paralelní šetření orgánů administrativních i trestních.</w:t>
      </w:r>
    </w:p>
    <w:p w:rsidR="009F7122" w:rsidRPr="0078463B" w:rsidRDefault="009F7122" w:rsidP="00293617">
      <w:pPr>
        <w:pStyle w:val="Prvnnadpis"/>
      </w:pPr>
      <w:bookmarkStart w:id="13" w:name="_Toc384290142"/>
      <w:r w:rsidRPr="0078463B">
        <w:t>Implementace doporučené varianty a vynucování</w:t>
      </w:r>
      <w:bookmarkEnd w:id="13"/>
    </w:p>
    <w:p w:rsidR="000E7A52" w:rsidRPr="000E7A52" w:rsidRDefault="000E7A52" w:rsidP="00293617">
      <w:r w:rsidRPr="000E7A52">
        <w:t>Podle nových ustanovení by postupovali všichni adresáti právní úpravy. Navrhované řešení bude realizováno příslušnými orgány veřejné moci.</w:t>
      </w:r>
    </w:p>
    <w:p w:rsidR="005A6672" w:rsidRDefault="005A6672" w:rsidP="00293617">
      <w:pPr>
        <w:rPr>
          <w:rFonts w:cs="Times New Roman"/>
        </w:rPr>
      </w:pPr>
      <w:r>
        <w:rPr>
          <w:rFonts w:cs="Times New Roman"/>
        </w:rPr>
        <w:t>Zpracovatelem</w:t>
      </w:r>
      <w:r w:rsidR="009F7122" w:rsidRPr="00FC6DB1">
        <w:rPr>
          <w:rFonts w:cs="Times New Roman"/>
        </w:rPr>
        <w:t xml:space="preserve"> </w:t>
      </w:r>
      <w:r>
        <w:rPr>
          <w:rFonts w:cs="Times New Roman"/>
        </w:rPr>
        <w:t xml:space="preserve">návrhu </w:t>
      </w:r>
      <w:r w:rsidR="009F7122" w:rsidRPr="00FC6DB1">
        <w:rPr>
          <w:rFonts w:cs="Times New Roman"/>
        </w:rPr>
        <w:t>implementac</w:t>
      </w:r>
      <w:r>
        <w:rPr>
          <w:rFonts w:cs="Times New Roman"/>
        </w:rPr>
        <w:t>e</w:t>
      </w:r>
      <w:r w:rsidR="009F7122" w:rsidRPr="00FC6DB1">
        <w:rPr>
          <w:rFonts w:cs="Times New Roman"/>
        </w:rPr>
        <w:t xml:space="preserve"> </w:t>
      </w:r>
      <w:r>
        <w:rPr>
          <w:rFonts w:cs="Times New Roman"/>
        </w:rPr>
        <w:t xml:space="preserve">doporučené varianty </w:t>
      </w:r>
      <w:r w:rsidR="009F7122" w:rsidRPr="00FC6DB1">
        <w:rPr>
          <w:rFonts w:cs="Times New Roman"/>
        </w:rPr>
        <w:t>je Úřad</w:t>
      </w:r>
      <w:r>
        <w:rPr>
          <w:rFonts w:cs="Times New Roman"/>
        </w:rPr>
        <w:t>. I</w:t>
      </w:r>
      <w:r w:rsidR="009F7122" w:rsidRPr="00FC6DB1">
        <w:rPr>
          <w:rFonts w:cs="Times New Roman"/>
        </w:rPr>
        <w:t>mplementace navrhované novely zákona nevyžaduje zásadní změny činnosti dot</w:t>
      </w:r>
      <w:r w:rsidR="00BA3065">
        <w:rPr>
          <w:rFonts w:cs="Times New Roman"/>
        </w:rPr>
        <w:t xml:space="preserve">čených subjektů. </w:t>
      </w:r>
    </w:p>
    <w:p w:rsidR="00995CBB" w:rsidRDefault="00BA3065" w:rsidP="00293617">
      <w:pPr>
        <w:rPr>
          <w:rFonts w:cs="Times New Roman"/>
        </w:rPr>
      </w:pPr>
      <w:r>
        <w:rPr>
          <w:rFonts w:cs="Times New Roman"/>
        </w:rPr>
        <w:lastRenderedPageBreak/>
        <w:t>Novela zákona o ochraně hospodářské soutěže</w:t>
      </w:r>
      <w:r w:rsidR="009F7122" w:rsidRPr="00FC6DB1">
        <w:rPr>
          <w:rFonts w:cs="Times New Roman"/>
        </w:rPr>
        <w:t xml:space="preserve"> se po její publikaci ve Sbírce zákonů stane integrální součástí tohoto zákona a platného právního řádu.</w:t>
      </w:r>
    </w:p>
    <w:p w:rsidR="00306F94" w:rsidRDefault="006271F8" w:rsidP="00293617">
      <w:pPr>
        <w:rPr>
          <w:rFonts w:cs="Times New Roman"/>
        </w:rPr>
      </w:pPr>
      <w:r>
        <w:rPr>
          <w:rFonts w:cs="Times New Roman"/>
        </w:rPr>
        <w:t xml:space="preserve"> Jako nezávislý regulatorní orgán v oblasti ochrany hospodářské soutěže </w:t>
      </w:r>
      <w:r w:rsidR="00625918">
        <w:rPr>
          <w:rFonts w:cs="Times New Roman"/>
        </w:rPr>
        <w:t>má Úřad pravomoc aplikovat a zároveň vynucovat aplikaci dotčené právní úpravy.</w:t>
      </w:r>
    </w:p>
    <w:p w:rsidR="009F7122" w:rsidRPr="00ED66F7" w:rsidRDefault="009F7122" w:rsidP="00293617">
      <w:pPr>
        <w:pStyle w:val="Prvnnadpis"/>
      </w:pPr>
      <w:bookmarkStart w:id="14" w:name="_Toc384290143"/>
      <w:r w:rsidRPr="00ED66F7">
        <w:t>Přezkum účinnosti regulace</w:t>
      </w:r>
      <w:bookmarkEnd w:id="14"/>
    </w:p>
    <w:p w:rsidR="00214A9A" w:rsidRPr="00214A9A" w:rsidRDefault="00214A9A" w:rsidP="00293617">
      <w:r w:rsidRPr="00214A9A">
        <w:t xml:space="preserve">Přezkum účinnosti (efektivity) </w:t>
      </w:r>
      <w:r>
        <w:t xml:space="preserve">nové </w:t>
      </w:r>
      <w:r w:rsidRPr="00214A9A">
        <w:t xml:space="preserve">regulace bude proveden </w:t>
      </w:r>
      <w:r w:rsidR="0091106B">
        <w:t>k</w:t>
      </w:r>
      <w:r w:rsidRPr="00214A9A">
        <w:t xml:space="preserve"> </w:t>
      </w:r>
      <w:r>
        <w:t>4</w:t>
      </w:r>
      <w:r w:rsidRPr="00214A9A">
        <w:t xml:space="preserve">. </w:t>
      </w:r>
      <w:r>
        <w:t>únor</w:t>
      </w:r>
      <w:r w:rsidR="00B27E1B">
        <w:t>u</w:t>
      </w:r>
      <w:r>
        <w:t xml:space="preserve"> </w:t>
      </w:r>
      <w:r w:rsidRPr="00214A9A">
        <w:t>202</w:t>
      </w:r>
      <w:r>
        <w:t xml:space="preserve">7, kdy budou vyhodnocena data získaná za období počínající účinností nové </w:t>
      </w:r>
      <w:r w:rsidR="00FF61AC">
        <w:t xml:space="preserve">právní </w:t>
      </w:r>
      <w:r w:rsidR="009E64A8">
        <w:t>úpravy a končící k </w:t>
      </w:r>
      <w:r>
        <w:t>31.</w:t>
      </w:r>
      <w:r w:rsidR="009E64A8">
        <w:t> </w:t>
      </w:r>
      <w:r>
        <w:t>prosinci 2026</w:t>
      </w:r>
      <w:r w:rsidR="00AF73F9">
        <w:t xml:space="preserve"> a data převzata ze Zprávy Evropské komise o provedení Směrnice, která má být předložena Evropskému parlamentu a Radě nejpozději 12. 12. 2024</w:t>
      </w:r>
      <w:r>
        <w:t>.</w:t>
      </w:r>
    </w:p>
    <w:p w:rsidR="00214A9A" w:rsidRPr="00214A9A" w:rsidRDefault="00214A9A" w:rsidP="00293617">
      <w:r w:rsidRPr="00214A9A">
        <w:t>Předmětem přezkumu bude zejména skutečnost, zda j</w:t>
      </w:r>
      <w:r w:rsidR="004F455B">
        <w:t>sou</w:t>
      </w:r>
      <w:r w:rsidRPr="00214A9A">
        <w:t xml:space="preserve"> </w:t>
      </w:r>
      <w:r w:rsidR="004F455B">
        <w:t xml:space="preserve">nově kodifikované </w:t>
      </w:r>
      <w:r w:rsidRPr="00214A9A">
        <w:t>institut</w:t>
      </w:r>
      <w:r w:rsidR="004F455B">
        <w:t>y či procesy</w:t>
      </w:r>
      <w:r w:rsidRPr="00214A9A">
        <w:t xml:space="preserve"> v praxi využíván</w:t>
      </w:r>
      <w:r w:rsidR="004F455B">
        <w:t xml:space="preserve">y, </w:t>
      </w:r>
      <w:r w:rsidRPr="00214A9A">
        <w:t>v jaké míře</w:t>
      </w:r>
      <w:r w:rsidR="004F455B">
        <w:t xml:space="preserve"> a </w:t>
      </w:r>
      <w:r w:rsidR="004D26AB">
        <w:t xml:space="preserve">jaká je </w:t>
      </w:r>
      <w:r w:rsidR="004F455B">
        <w:t xml:space="preserve">jejich srozumitelnost pro adresáty a </w:t>
      </w:r>
      <w:r w:rsidRPr="00214A9A">
        <w:t>odborn</w:t>
      </w:r>
      <w:r w:rsidR="004F455B">
        <w:t>ou</w:t>
      </w:r>
      <w:r w:rsidRPr="00214A9A">
        <w:t xml:space="preserve"> veřejnost</w:t>
      </w:r>
      <w:r w:rsidR="004F455B">
        <w:t xml:space="preserve">. </w:t>
      </w:r>
      <w:r w:rsidR="001C6F3B">
        <w:t xml:space="preserve">Primárním kritériem </w:t>
      </w:r>
      <w:r w:rsidRPr="00214A9A">
        <w:t>hodno</w:t>
      </w:r>
      <w:r w:rsidR="001C6F3B">
        <w:t>cení účinnosti regulace bude především její adekvátnost</w:t>
      </w:r>
      <w:r w:rsidR="008959D8">
        <w:t xml:space="preserve"> a efektivit</w:t>
      </w:r>
      <w:r w:rsidR="00AD0D07">
        <w:t>a</w:t>
      </w:r>
      <w:r w:rsidRPr="00214A9A">
        <w:t xml:space="preserve">. </w:t>
      </w:r>
    </w:p>
    <w:p w:rsidR="00214A9A" w:rsidRPr="00214A9A" w:rsidRDefault="00214A9A" w:rsidP="00293617">
      <w:r w:rsidRPr="00214A9A">
        <w:t xml:space="preserve">Data budou shromážděna prostřednictvím příslušných organizačních útvarů </w:t>
      </w:r>
      <w:r w:rsidR="00E052C0">
        <w:t>zpracovatele</w:t>
      </w:r>
      <w:r w:rsidRPr="00214A9A">
        <w:t xml:space="preserve">, </w:t>
      </w:r>
      <w:r w:rsidR="00294341">
        <w:t xml:space="preserve">veřejnými </w:t>
      </w:r>
      <w:r w:rsidRPr="00214A9A">
        <w:t xml:space="preserve">konzultacemi, případně dotazníkovým šetřením nebo prostřednictvím k tomu svolaných </w:t>
      </w:r>
      <w:r w:rsidR="00294341">
        <w:t xml:space="preserve">odborných </w:t>
      </w:r>
      <w:r w:rsidRPr="00214A9A">
        <w:t>akcí (</w:t>
      </w:r>
      <w:r w:rsidR="00294341">
        <w:t xml:space="preserve">konference, </w:t>
      </w:r>
      <w:r w:rsidRPr="00214A9A">
        <w:t>kulatý stůl, seminář a</w:t>
      </w:r>
      <w:r w:rsidR="00294341">
        <w:t>td</w:t>
      </w:r>
      <w:r w:rsidRPr="00214A9A">
        <w:t>.).</w:t>
      </w:r>
    </w:p>
    <w:p w:rsidR="009F7122" w:rsidRPr="00ED66F7" w:rsidRDefault="009F7122" w:rsidP="00293617">
      <w:pPr>
        <w:pStyle w:val="Prvnnadpis"/>
      </w:pPr>
      <w:bookmarkStart w:id="15" w:name="_Toc384290144"/>
      <w:r w:rsidRPr="00ED66F7">
        <w:t>Konzultace a zdroje dat</w:t>
      </w:r>
      <w:bookmarkEnd w:id="15"/>
    </w:p>
    <w:p w:rsidR="0024249C" w:rsidRDefault="00105E6A" w:rsidP="009E64A8">
      <w:r>
        <w:t>Při tvorbě RIA</w:t>
      </w:r>
      <w:r w:rsidR="007D3C5B">
        <w:t xml:space="preserve"> </w:t>
      </w:r>
      <w:r>
        <w:t>zpracovatel</w:t>
      </w:r>
      <w:r w:rsidR="007D3C5B">
        <w:t xml:space="preserve"> </w:t>
      </w:r>
      <w:r w:rsidR="00B61327">
        <w:t xml:space="preserve">konzultoval </w:t>
      </w:r>
      <w:r w:rsidR="007D3C5B">
        <w:t xml:space="preserve">jednotlivé </w:t>
      </w:r>
      <w:r w:rsidR="00D246CB">
        <w:t>oblasti</w:t>
      </w:r>
      <w:r w:rsidR="007D3C5B">
        <w:t xml:space="preserve"> navrhované úpravy a dopady </w:t>
      </w:r>
      <w:r w:rsidR="00D246CB">
        <w:t xml:space="preserve">jejích </w:t>
      </w:r>
      <w:r w:rsidR="007D3C5B">
        <w:t>variant především</w:t>
      </w:r>
      <w:r w:rsidR="00FC6DB1">
        <w:t xml:space="preserve"> s</w:t>
      </w:r>
      <w:r w:rsidR="009A625A">
        <w:t xml:space="preserve"> dotčenými subjekty státní správy. </w:t>
      </w:r>
      <w:r w:rsidR="00B41AFC">
        <w:t xml:space="preserve">S </w:t>
      </w:r>
      <w:r w:rsidR="00215CB4">
        <w:t xml:space="preserve">Ministerstvem </w:t>
      </w:r>
      <w:r w:rsidR="00306F94">
        <w:t>vnitra</w:t>
      </w:r>
      <w:r w:rsidR="00B41AFC">
        <w:t xml:space="preserve"> proběhly konzultace tematického okruhu </w:t>
      </w:r>
      <w:r w:rsidR="007B5DC8">
        <w:t>vzájemné pomoci v návaznosti na institut exekuce správních rozhodnutí na peněžitá plnění v režimu správního řádu</w:t>
      </w:r>
      <w:r w:rsidR="00FC6DB1">
        <w:t>,</w:t>
      </w:r>
      <w:r w:rsidR="007D3C5B">
        <w:t xml:space="preserve"> </w:t>
      </w:r>
      <w:r w:rsidR="007B5DC8">
        <w:t xml:space="preserve">dále </w:t>
      </w:r>
      <w:r w:rsidR="007D3C5B">
        <w:t>s</w:t>
      </w:r>
      <w:r w:rsidR="009A625A">
        <w:t> Generálním ředitelstvím cel</w:t>
      </w:r>
      <w:r w:rsidR="0024249C">
        <w:t xml:space="preserve"> </w:t>
      </w:r>
      <w:r w:rsidR="007B5DC8">
        <w:t>v</w:t>
      </w:r>
      <w:r w:rsidR="005E3622">
        <w:t> </w:t>
      </w:r>
      <w:r w:rsidR="007B5DC8">
        <w:t>totožné problematice. Na úrovni Policejního prezidia České republiky</w:t>
      </w:r>
      <w:r w:rsidR="00B05F7F">
        <w:rPr>
          <w:rFonts w:eastAsia="Times New Roman" w:cs="Times New Roman"/>
          <w:color w:val="333333"/>
          <w:kern w:val="36"/>
          <w:szCs w:val="24"/>
          <w:lang w:eastAsia="cs-CZ"/>
        </w:rPr>
        <w:t xml:space="preserve"> </w:t>
      </w:r>
      <w:r w:rsidR="007B5DC8">
        <w:t xml:space="preserve">probíhala vzájemná komunikace </w:t>
      </w:r>
      <w:r w:rsidR="00BB2464">
        <w:t>v otázce součinnosti policejních orgánů</w:t>
      </w:r>
      <w:r w:rsidR="00D1421E">
        <w:t xml:space="preserve"> při hrozícím</w:t>
      </w:r>
      <w:r w:rsidR="00BB2464">
        <w:t xml:space="preserve"> ztížení nebo zmaření úkonu Úřadu (šetření na místě)</w:t>
      </w:r>
      <w:r w:rsidR="007D3C5B">
        <w:t xml:space="preserve">. </w:t>
      </w:r>
    </w:p>
    <w:p w:rsidR="007D3C5B" w:rsidRDefault="006F31FE" w:rsidP="009E64A8">
      <w:r>
        <w:t>Konzultace dané problematiky probíhala již ve fázi přípravy a tvorby Směrnice</w:t>
      </w:r>
      <w:r w:rsidR="009933C2">
        <w:t xml:space="preserve"> na </w:t>
      </w:r>
      <w:r>
        <w:t>evropské úrovni</w:t>
      </w:r>
      <w:r w:rsidR="008B1DB8">
        <w:t xml:space="preserve"> pracovní skupiny</w:t>
      </w:r>
      <w:r>
        <w:t xml:space="preserve"> Rady</w:t>
      </w:r>
      <w:r w:rsidR="008B1DB8">
        <w:t>. Zároveň byly konkrétní otázky konzultovány</w:t>
      </w:r>
      <w:r w:rsidR="009933C2">
        <w:t xml:space="preserve"> na </w:t>
      </w:r>
      <w:r w:rsidR="008B1DB8">
        <w:t>úrovni národní při schvalování rámcové pozice vlády k návrhu Směrnice. Meziresortní komunikace k jednotlivým konkrétním otázkám probíhala prostřednictvím vypracovaných instrukcí pro jednání pracovní skupiny Rady.</w:t>
      </w:r>
    </w:p>
    <w:p w:rsidR="009F7122" w:rsidRDefault="0024249C" w:rsidP="009E64A8">
      <w:r>
        <w:t xml:space="preserve">Na národní úrovni zpracovatel vyhlásil opakovaně veřejné konzultace </w:t>
      </w:r>
      <w:r w:rsidR="00CC02C4">
        <w:t>(diskuse)</w:t>
      </w:r>
      <w:r w:rsidR="009933C2">
        <w:t xml:space="preserve"> na </w:t>
      </w:r>
      <w:r w:rsidR="00F16F74">
        <w:t>webových stránkách Úřadu</w:t>
      </w:r>
      <w:r w:rsidR="00CC02C4">
        <w:t xml:space="preserve"> za účelem sběru </w:t>
      </w:r>
      <w:r w:rsidR="0080700D">
        <w:t>stanovisek odborné veřejnosti</w:t>
      </w:r>
      <w:r w:rsidR="006469B5">
        <w:t xml:space="preserve"> k </w:t>
      </w:r>
      <w:r w:rsidR="001E226B">
        <w:t xml:space="preserve">původnímu </w:t>
      </w:r>
      <w:r w:rsidR="00601E1F">
        <w:t xml:space="preserve">návrhu Směrnice i finálnímu </w:t>
      </w:r>
      <w:r w:rsidR="004A1EB5">
        <w:t xml:space="preserve">(vyhlášenému) </w:t>
      </w:r>
      <w:r w:rsidR="00601E1F">
        <w:t>platnému znění Směrnice</w:t>
      </w:r>
      <w:r w:rsidR="0080700D">
        <w:t>.</w:t>
      </w:r>
    </w:p>
    <w:tbl>
      <w:tblPr>
        <w:tblStyle w:val="Mkatabulky"/>
        <w:tblW w:w="0" w:type="auto"/>
        <w:tblLook w:val="04A0" w:firstRow="1" w:lastRow="0" w:firstColumn="1" w:lastColumn="0" w:noHBand="0" w:noVBand="1"/>
      </w:tblPr>
      <w:tblGrid>
        <w:gridCol w:w="1809"/>
        <w:gridCol w:w="4402"/>
        <w:gridCol w:w="3071"/>
      </w:tblGrid>
      <w:tr w:rsidR="00D91986" w:rsidTr="00601E1F">
        <w:tc>
          <w:tcPr>
            <w:tcW w:w="1809" w:type="dxa"/>
          </w:tcPr>
          <w:p w:rsidR="00D91986" w:rsidRDefault="00D91986" w:rsidP="009E64A8">
            <w:pPr>
              <w:ind w:firstLine="0"/>
            </w:pPr>
            <w:r>
              <w:t>27. 4. 2018</w:t>
            </w:r>
          </w:p>
        </w:tc>
        <w:tc>
          <w:tcPr>
            <w:tcW w:w="4402" w:type="dxa"/>
          </w:tcPr>
          <w:p w:rsidR="00D91986" w:rsidRDefault="00D91986" w:rsidP="009E64A8">
            <w:pPr>
              <w:ind w:firstLine="0"/>
            </w:pPr>
            <w:r>
              <w:t>Výzva k veřejné diskusi a zaslání příspěvků k návrhu Směrnice</w:t>
            </w:r>
          </w:p>
        </w:tc>
        <w:tc>
          <w:tcPr>
            <w:tcW w:w="3071" w:type="dxa"/>
          </w:tcPr>
          <w:p w:rsidR="00D91986" w:rsidRDefault="00D91986" w:rsidP="00601E1F">
            <w:pPr>
              <w:ind w:firstLine="0"/>
            </w:pPr>
            <w:r>
              <w:t>0 obdržených příspěvků</w:t>
            </w:r>
          </w:p>
        </w:tc>
      </w:tr>
      <w:tr w:rsidR="00D91986" w:rsidTr="00601E1F">
        <w:tc>
          <w:tcPr>
            <w:tcW w:w="1809" w:type="dxa"/>
          </w:tcPr>
          <w:p w:rsidR="00D91986" w:rsidRDefault="00D91986" w:rsidP="009E64A8">
            <w:pPr>
              <w:ind w:firstLine="0"/>
            </w:pPr>
            <w:r>
              <w:t>29. 11. 2018</w:t>
            </w:r>
          </w:p>
        </w:tc>
        <w:tc>
          <w:tcPr>
            <w:tcW w:w="4402" w:type="dxa"/>
          </w:tcPr>
          <w:p w:rsidR="00D91986" w:rsidRDefault="00D91986" w:rsidP="009E64A8">
            <w:pPr>
              <w:ind w:firstLine="0"/>
            </w:pPr>
            <w:r>
              <w:t>Výzva k veřejné diskusi a zaslání příspěvků k návrhu Směrnice</w:t>
            </w:r>
          </w:p>
        </w:tc>
        <w:tc>
          <w:tcPr>
            <w:tcW w:w="3071" w:type="dxa"/>
          </w:tcPr>
          <w:p w:rsidR="00D91986" w:rsidRDefault="00D91986" w:rsidP="009E64A8">
            <w:pPr>
              <w:ind w:firstLine="0"/>
            </w:pPr>
            <w:r>
              <w:t>0 obdržených příspěvků</w:t>
            </w:r>
          </w:p>
        </w:tc>
      </w:tr>
      <w:tr w:rsidR="00D91986" w:rsidTr="00601E1F">
        <w:tc>
          <w:tcPr>
            <w:tcW w:w="1809" w:type="dxa"/>
          </w:tcPr>
          <w:p w:rsidR="00D91986" w:rsidRPr="00601E1F" w:rsidRDefault="00D91986" w:rsidP="00601E1F">
            <w:pPr>
              <w:pStyle w:val="Odstavecseseznamem"/>
              <w:ind w:left="0" w:firstLine="0"/>
            </w:pPr>
            <w:r>
              <w:lastRenderedPageBreak/>
              <w:t>1. 2. 2019</w:t>
            </w:r>
          </w:p>
        </w:tc>
        <w:tc>
          <w:tcPr>
            <w:tcW w:w="4402" w:type="dxa"/>
          </w:tcPr>
          <w:p w:rsidR="00D91986" w:rsidRDefault="00D91986" w:rsidP="00601E1F">
            <w:pPr>
              <w:ind w:firstLine="0"/>
            </w:pPr>
            <w:r>
              <w:t>Výzva k veřejné diskusi a zaslání příspěvků k přijaté Směrnici</w:t>
            </w:r>
          </w:p>
        </w:tc>
        <w:tc>
          <w:tcPr>
            <w:tcW w:w="3071" w:type="dxa"/>
          </w:tcPr>
          <w:p w:rsidR="00D91986" w:rsidRDefault="00D91986" w:rsidP="009E64A8">
            <w:pPr>
              <w:ind w:firstLine="0"/>
            </w:pPr>
            <w:r>
              <w:t>0 obdržených příspěvků</w:t>
            </w:r>
          </w:p>
        </w:tc>
      </w:tr>
      <w:tr w:rsidR="00D91986" w:rsidTr="00601E1F">
        <w:trPr>
          <w:trHeight w:val="553"/>
        </w:trPr>
        <w:tc>
          <w:tcPr>
            <w:tcW w:w="1809" w:type="dxa"/>
          </w:tcPr>
          <w:p w:rsidR="00D91986" w:rsidRDefault="00D91986" w:rsidP="009E64A8">
            <w:pPr>
              <w:ind w:firstLine="0"/>
            </w:pPr>
            <w:r>
              <w:t>19. 12. 2019</w:t>
            </w:r>
          </w:p>
        </w:tc>
        <w:tc>
          <w:tcPr>
            <w:tcW w:w="4402" w:type="dxa"/>
          </w:tcPr>
          <w:p w:rsidR="00D91986" w:rsidRPr="00601E1F" w:rsidRDefault="00D91986" w:rsidP="009E64A8">
            <w:pPr>
              <w:ind w:firstLine="0"/>
            </w:pPr>
            <w:r>
              <w:t>Výzva k veřejné diskusi a zaslání příspěvků k přijaté Směrnici</w:t>
            </w:r>
          </w:p>
        </w:tc>
        <w:tc>
          <w:tcPr>
            <w:tcW w:w="3071" w:type="dxa"/>
          </w:tcPr>
          <w:p w:rsidR="00D91986" w:rsidRDefault="00D91986" w:rsidP="009E64A8">
            <w:pPr>
              <w:ind w:firstLine="0"/>
            </w:pPr>
            <w:r>
              <w:t>0 obdržených příspěvků</w:t>
            </w:r>
          </w:p>
        </w:tc>
      </w:tr>
    </w:tbl>
    <w:p w:rsidR="00E20679" w:rsidRDefault="00E20679" w:rsidP="00601E1F">
      <w:pPr>
        <w:spacing w:before="120"/>
      </w:pPr>
    </w:p>
    <w:p w:rsidR="00EF1BCA" w:rsidRDefault="00EF1BCA" w:rsidP="00601E1F">
      <w:pPr>
        <w:spacing w:before="120"/>
      </w:pPr>
      <w:r>
        <w:t>Data k</w:t>
      </w:r>
      <w:r w:rsidR="00FB0946">
        <w:t xml:space="preserve"> jednotlivým okruhům čerpal zpracovatel z interních záznamů a statistik uveřejněných ve </w:t>
      </w:r>
      <w:r w:rsidR="001A55A3">
        <w:t xml:space="preserve">veřejně dostupných </w:t>
      </w:r>
      <w:r w:rsidR="00FB0946">
        <w:t>výročních zprávách Úřadu</w:t>
      </w:r>
      <w:r w:rsidR="001A55A3">
        <w:t>.</w:t>
      </w:r>
    </w:p>
    <w:p w:rsidR="00ED66F7" w:rsidRPr="00ED66F7" w:rsidRDefault="00ED66F7" w:rsidP="00293617">
      <w:pPr>
        <w:pStyle w:val="Prvnnadpis"/>
      </w:pPr>
      <w:r w:rsidRPr="00ED66F7">
        <w:t>Kontakty na zpracovatele RIA</w:t>
      </w:r>
    </w:p>
    <w:p w:rsidR="001E7557" w:rsidRDefault="001E7557" w:rsidP="009933C2">
      <w:pPr>
        <w:keepNext/>
      </w:pPr>
      <w:r>
        <w:t>Kontaktní útvar:</w:t>
      </w:r>
    </w:p>
    <w:p w:rsidR="00ED66F7" w:rsidRPr="001E7557" w:rsidRDefault="001E7557" w:rsidP="009933C2">
      <w:pPr>
        <w:keepNext/>
      </w:pPr>
      <w:r w:rsidRPr="001E7557">
        <w:t>Odbor Legislativně-právní, Úřad pro ochranu hospodářské soutěže</w:t>
      </w:r>
    </w:p>
    <w:p w:rsidR="001E7557" w:rsidRPr="001E7557" w:rsidRDefault="001E7557" w:rsidP="009933C2">
      <w:pPr>
        <w:keepNext/>
      </w:pPr>
      <w:r w:rsidRPr="001E7557">
        <w:t>Mgr. Jiří Plachý, Ph.D.</w:t>
      </w:r>
    </w:p>
    <w:p w:rsidR="00ED66F7" w:rsidRPr="001E7557" w:rsidRDefault="001E7557" w:rsidP="009933C2">
      <w:pPr>
        <w:keepNext/>
      </w:pPr>
      <w:r w:rsidRPr="001E7557">
        <w:t>tel. +420 542 167 784</w:t>
      </w:r>
    </w:p>
    <w:p w:rsidR="002F31DF" w:rsidRDefault="001E7557" w:rsidP="009933C2">
      <w:pPr>
        <w:keepNext/>
        <w:rPr>
          <w:b/>
        </w:rPr>
      </w:pPr>
      <w:r w:rsidRPr="001E7557">
        <w:t xml:space="preserve">e-mail </w:t>
      </w:r>
      <w:hyperlink r:id="rId9" w:history="1">
        <w:r w:rsidRPr="008C5698">
          <w:rPr>
            <w:rStyle w:val="Hypertextovodkaz"/>
          </w:rPr>
          <w:t>jiri.plachy@uohs.cz</w:t>
        </w:r>
      </w:hyperlink>
      <w:r>
        <w:t xml:space="preserve"> </w:t>
      </w:r>
    </w:p>
    <w:sectPr w:rsidR="002F31DF" w:rsidSect="009E77C4">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E9B" w:rsidRDefault="00372E9B" w:rsidP="00437730">
      <w:pPr>
        <w:spacing w:after="0"/>
      </w:pPr>
      <w:r>
        <w:separator/>
      </w:r>
    </w:p>
  </w:endnote>
  <w:endnote w:type="continuationSeparator" w:id="0">
    <w:p w:rsidR="00372E9B" w:rsidRDefault="00372E9B" w:rsidP="004377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EUAlbertina">
    <w:altName w:val="Arial"/>
    <w:charset w:val="00"/>
    <w:family w:val="roman"/>
    <w:pitch w:val="default"/>
  </w:font>
  <w:font w:name="Droid Sans Fallback">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442037"/>
      <w:docPartObj>
        <w:docPartGallery w:val="Page Numbers (Bottom of Page)"/>
        <w:docPartUnique/>
      </w:docPartObj>
    </w:sdtPr>
    <w:sdtEndPr/>
    <w:sdtContent>
      <w:p w:rsidR="00372E9B" w:rsidRDefault="00372E9B">
        <w:pPr>
          <w:pStyle w:val="Zpat"/>
          <w:jc w:val="right"/>
        </w:pPr>
        <w:r>
          <w:fldChar w:fldCharType="begin"/>
        </w:r>
        <w:r>
          <w:instrText>PAGE   \* MERGEFORMAT</w:instrText>
        </w:r>
        <w:r>
          <w:fldChar w:fldCharType="separate"/>
        </w:r>
        <w:r w:rsidR="00F84A4E">
          <w:rPr>
            <w:noProof/>
          </w:rPr>
          <w:t>7</w:t>
        </w:r>
        <w:r>
          <w:fldChar w:fldCharType="end"/>
        </w:r>
      </w:p>
    </w:sdtContent>
  </w:sdt>
  <w:p w:rsidR="00372E9B" w:rsidRDefault="00372E9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E9B" w:rsidRDefault="00372E9B" w:rsidP="00437730">
      <w:pPr>
        <w:spacing w:after="0"/>
      </w:pPr>
      <w:r>
        <w:separator/>
      </w:r>
    </w:p>
  </w:footnote>
  <w:footnote w:type="continuationSeparator" w:id="0">
    <w:p w:rsidR="00372E9B" w:rsidRDefault="00372E9B" w:rsidP="00437730">
      <w:pPr>
        <w:spacing w:after="0"/>
      </w:pPr>
      <w:r>
        <w:continuationSeparator/>
      </w:r>
    </w:p>
  </w:footnote>
  <w:footnote w:id="1">
    <w:p w:rsidR="00372E9B" w:rsidRPr="00CA2905" w:rsidRDefault="00372E9B" w:rsidP="00437730">
      <w:pPr>
        <w:rPr>
          <w:sz w:val="20"/>
          <w:szCs w:val="20"/>
        </w:rPr>
      </w:pPr>
      <w:r w:rsidRPr="00CA2905">
        <w:rPr>
          <w:sz w:val="20"/>
          <w:szCs w:val="20"/>
          <w:vertAlign w:val="superscript"/>
        </w:rPr>
        <w:footnoteRef/>
      </w:r>
      <w:r w:rsidRPr="00CA2905">
        <w:rPr>
          <w:sz w:val="20"/>
          <w:szCs w:val="20"/>
        </w:rPr>
        <w:tab/>
        <w:t>Nařízení Rady (ES) č. 1/2003 ze dne 16. prosince 2002 o provádění pravidel hospodářské soutěže stanovených v článcích 81 a 82 Smlouvy (Úř. věst. L 1, 4.</w:t>
      </w:r>
      <w:r>
        <w:rPr>
          <w:sz w:val="20"/>
          <w:szCs w:val="20"/>
        </w:rPr>
        <w:t xml:space="preserve"> </w:t>
      </w:r>
      <w:r w:rsidRPr="00CA2905">
        <w:rPr>
          <w:sz w:val="20"/>
          <w:szCs w:val="20"/>
        </w:rPr>
        <w:t>1.</w:t>
      </w:r>
      <w:r>
        <w:rPr>
          <w:sz w:val="20"/>
          <w:szCs w:val="20"/>
        </w:rPr>
        <w:t xml:space="preserve"> </w:t>
      </w:r>
      <w:r w:rsidRPr="00CA2905">
        <w:rPr>
          <w:sz w:val="20"/>
          <w:szCs w:val="20"/>
        </w:rPr>
        <w:t>2003, s. 1).</w:t>
      </w:r>
    </w:p>
  </w:footnote>
  <w:footnote w:id="2">
    <w:p w:rsidR="00372E9B" w:rsidRDefault="00372E9B" w:rsidP="00F90AD5">
      <w:pPr>
        <w:pStyle w:val="Textpoznpodarou"/>
        <w:jc w:val="both"/>
      </w:pPr>
      <w:r>
        <w:rPr>
          <w:rStyle w:val="Znakapoznpodarou"/>
        </w:rPr>
        <w:footnoteRef/>
      </w:r>
      <w:r>
        <w:t xml:space="preserve"> Upraveno zejména </w:t>
      </w:r>
      <w:r w:rsidRPr="00A14CDC">
        <w:t>zákonem č. 273/1996 Sb.</w:t>
      </w:r>
      <w:r>
        <w:t>,</w:t>
      </w:r>
      <w:r w:rsidRPr="00A14CDC">
        <w:t xml:space="preserve"> o působnosti Úřadu pro ochranu hospodářské soutěže, </w:t>
      </w:r>
      <w:r>
        <w:t xml:space="preserve">který </w:t>
      </w:r>
      <w:r w:rsidRPr="00A14CDC">
        <w:t>stanoví, že v</w:t>
      </w:r>
      <w:r>
        <w:t> </w:t>
      </w:r>
      <w:r w:rsidRPr="00A14CDC">
        <w:t>čele</w:t>
      </w:r>
      <w:r>
        <w:t xml:space="preserve"> Úřadu</w:t>
      </w:r>
      <w:r w:rsidRPr="00A14CDC">
        <w:t xml:space="preserve"> je předseda jmenovaný na návrh vlády prezidentem, přičemž s funkcí předsedy Úřadu není slučitelné členství v politické straně či v politickém hnutí. Úřad je subjektem nezávislým na vládě, svou působnost vykonává nestranně a není funkčně ani organizačně podřízen žádnému ministerstvu.</w:t>
      </w:r>
    </w:p>
  </w:footnote>
  <w:footnote w:id="3">
    <w:p w:rsidR="00372E9B" w:rsidRDefault="00372E9B" w:rsidP="00F90AD5">
      <w:pPr>
        <w:pStyle w:val="Textpoznpodarou"/>
        <w:jc w:val="both"/>
      </w:pPr>
      <w:r>
        <w:rPr>
          <w:rStyle w:val="Znakapoznpodarou"/>
        </w:rPr>
        <w:footnoteRef/>
      </w:r>
      <w:r>
        <w:t xml:space="preserve"> Například</w:t>
      </w:r>
      <w:r w:rsidRPr="00051E3B">
        <w:t xml:space="preserve"> Nařízení Rady (ES) č. 1/2003 o provádění pravidel hospodářské soutěže stanovených v článcích 81 a</w:t>
      </w:r>
      <w:r>
        <w:t> </w:t>
      </w:r>
      <w:r w:rsidRPr="00051E3B">
        <w:t>82 Smlouvy v bodě 31 recitálu hovoří o provádění nezávislých procesních úkonů soutěžními orgány členských států.</w:t>
      </w:r>
    </w:p>
  </w:footnote>
  <w:footnote w:id="4">
    <w:p w:rsidR="00372E9B" w:rsidRDefault="00372E9B" w:rsidP="00F90AD5">
      <w:pPr>
        <w:pStyle w:val="Textpoznpodarou"/>
        <w:jc w:val="both"/>
      </w:pPr>
      <w:r>
        <w:rPr>
          <w:rStyle w:val="Znakapoznpodarou"/>
        </w:rPr>
        <w:footnoteRef/>
      </w:r>
      <w:r>
        <w:t xml:space="preserve"> Nález</w:t>
      </w:r>
      <w:r w:rsidRPr="00051E3B">
        <w:t xml:space="preserve"> Ústavního soudu </w:t>
      </w:r>
      <w:r>
        <w:t xml:space="preserve">ze dne 30. 6. 2015, sp. zn. </w:t>
      </w:r>
      <w:r w:rsidRPr="00051E3B">
        <w:t>Pl. ÚS 21/14</w:t>
      </w:r>
      <w:r>
        <w:t>, zejm. bod 233.</w:t>
      </w:r>
    </w:p>
  </w:footnote>
  <w:footnote w:id="5">
    <w:p w:rsidR="00372E9B" w:rsidRDefault="00372E9B" w:rsidP="00F90AD5">
      <w:pPr>
        <w:pStyle w:val="Textpoznpodarou"/>
        <w:jc w:val="both"/>
      </w:pPr>
      <w:r>
        <w:rPr>
          <w:rStyle w:val="Znakapoznpodarou"/>
        </w:rPr>
        <w:footnoteRef/>
      </w:r>
      <w:r>
        <w:t xml:space="preserve"> Srov. POUPEROVÁ, O. </w:t>
      </w:r>
      <w:r>
        <w:rPr>
          <w:i/>
        </w:rPr>
        <w:t xml:space="preserve">Nezávislé správní </w:t>
      </w:r>
      <w:r w:rsidRPr="00090999">
        <w:rPr>
          <w:i/>
        </w:rPr>
        <w:t>úřady</w:t>
      </w:r>
      <w:r>
        <w:rPr>
          <w:i/>
        </w:rPr>
        <w:t xml:space="preserve"> </w:t>
      </w:r>
      <w:r w:rsidRPr="00CC331E">
        <w:t xml:space="preserve">in Správní právo </w:t>
      </w:r>
      <w:r>
        <w:t>04/2014, dostupné na </w:t>
      </w:r>
      <w:hyperlink r:id="rId1" w:history="1">
        <w:r w:rsidRPr="00FA3010">
          <w:rPr>
            <w:rStyle w:val="Hypertextovodkaz"/>
            <w:rFonts w:eastAsiaTheme="majorEastAsia"/>
            <w:color w:val="0D0D0D" w:themeColor="text1" w:themeTint="F2"/>
          </w:rPr>
          <w:t>http://www.mvcr.cz/clanek/nezavisle-spravni-urady.aspx</w:t>
        </w:r>
      </w:hyperlink>
      <w:r>
        <w:t xml:space="preserve"> a </w:t>
      </w:r>
      <w:r w:rsidRPr="00090999">
        <w:t>MIKULE</w:t>
      </w:r>
      <w:r>
        <w:t xml:space="preserve">, V.: </w:t>
      </w:r>
      <w:r w:rsidRPr="00CC331E">
        <w:rPr>
          <w:i/>
        </w:rPr>
        <w:t>Nezávislé správní úřady?</w:t>
      </w:r>
      <w:r>
        <w:t xml:space="preserve"> In: Český stát a vzdělanost. Praha: Nakladatelství Karolinum. 2002.</w:t>
      </w:r>
    </w:p>
  </w:footnote>
  <w:footnote w:id="6">
    <w:p w:rsidR="00372E9B" w:rsidRPr="00897D6F" w:rsidRDefault="00372E9B" w:rsidP="00AF1062">
      <w:pPr>
        <w:pStyle w:val="Textpoznpodarou"/>
        <w:jc w:val="both"/>
      </w:pPr>
      <w:r w:rsidRPr="00897D6F">
        <w:rPr>
          <w:rStyle w:val="Znakapoznpodarou"/>
        </w:rPr>
        <w:footnoteRef/>
      </w:r>
      <w:r w:rsidRPr="00897D6F">
        <w:t xml:space="preserve"> Z</w:t>
      </w:r>
      <w:r>
        <w:rPr>
          <w:shd w:val="clear" w:color="auto" w:fill="FFFFFF"/>
        </w:rPr>
        <w:t xml:space="preserve">ákonem č. 360/2012 Sb., </w:t>
      </w:r>
      <w:r w:rsidRPr="00AF1062">
        <w:rPr>
          <w:shd w:val="clear" w:color="auto" w:fill="FFFFFF"/>
        </w:rPr>
        <w:t>kterým se mění zákon č. 143/2001 Sb., o ochraně hospodářské soutěže a o změně některých zákonů (zákon o ochraně hospodářské soutěže), ve znění pozdějších předpisů, a zákon č. 40/2009 Sb., trestní zákoník, ve znění pozdějších předpisů</w:t>
      </w:r>
      <w:r>
        <w:rPr>
          <w:shd w:val="clear" w:color="auto" w:fill="FFFFFF"/>
        </w:rPr>
        <w:t xml:space="preserve">. </w:t>
      </w:r>
    </w:p>
  </w:footnote>
  <w:footnote w:id="7">
    <w:p w:rsidR="00372E9B" w:rsidRPr="00897D6F" w:rsidRDefault="00372E9B" w:rsidP="00C015BC">
      <w:pPr>
        <w:pStyle w:val="Textpoznpodarou"/>
      </w:pPr>
      <w:r w:rsidRPr="00897D6F">
        <w:rPr>
          <w:rStyle w:val="Znakapoznpodarou"/>
        </w:rPr>
        <w:footnoteRef/>
      </w:r>
      <w:r w:rsidRPr="00897D6F">
        <w:t xml:space="preserve"> Oznámení Komise č. 96/C 207/04, publikováno v Úředním věstníku, dne 18. července 1996.</w:t>
      </w:r>
    </w:p>
  </w:footnote>
  <w:footnote w:id="8">
    <w:p w:rsidR="00372E9B" w:rsidRPr="00897D6F" w:rsidRDefault="00372E9B" w:rsidP="00C015BC">
      <w:pPr>
        <w:pStyle w:val="Textpoznpodarou"/>
      </w:pPr>
      <w:r w:rsidRPr="00897D6F">
        <w:rPr>
          <w:rStyle w:val="Znakapoznpodarou"/>
        </w:rPr>
        <w:footnoteRef/>
      </w:r>
      <w:r w:rsidRPr="00897D6F">
        <w:t xml:space="preserve"> Oznámení Komise č. 2006/C 298/11, publikováno v Úředním věstníku, dne 8. prosince 2006.</w:t>
      </w:r>
    </w:p>
  </w:footnote>
  <w:footnote w:id="9">
    <w:p w:rsidR="00372E9B" w:rsidRPr="00897D6F" w:rsidRDefault="00372E9B" w:rsidP="00C015BC">
      <w:pPr>
        <w:pStyle w:val="Textpoznpodarou"/>
      </w:pPr>
      <w:r w:rsidRPr="00897D6F">
        <w:rPr>
          <w:rStyle w:val="Znakapoznpodarou"/>
        </w:rPr>
        <w:footnoteRef/>
      </w:r>
      <w:r w:rsidRPr="00897D6F">
        <w:t xml:space="preserve"> Oznámení Úřadu pro ochranu hospodářské soutěže ze dne 4. listopadu 2013 o aplikaci § 22ba odst. 1 zákona o ochraně hospodářské soutěže (program leniency).</w:t>
      </w:r>
    </w:p>
  </w:footnote>
  <w:footnote w:id="10">
    <w:p w:rsidR="00372E9B" w:rsidRPr="00897D6F" w:rsidRDefault="00372E9B" w:rsidP="00B734E3">
      <w:pPr>
        <w:pStyle w:val="Textpoznpodarou"/>
      </w:pPr>
      <w:r w:rsidRPr="00897D6F">
        <w:rPr>
          <w:rStyle w:val="Znakapoznpodarou"/>
        </w:rPr>
        <w:footnoteRef/>
      </w:r>
      <w:r w:rsidRPr="00897D6F">
        <w:t xml:space="preserve"> Oznámení Úřadu pro ochranu hospodářské soutěže ze dne 8. listopadu 2013 o aplikaci § 22ba odst. 2 zákona o ochraně hospodářské soutěže (procedura narovnání).</w:t>
      </w:r>
    </w:p>
  </w:footnote>
  <w:footnote w:id="11">
    <w:p w:rsidR="00372E9B" w:rsidRDefault="00372E9B">
      <w:pPr>
        <w:pStyle w:val="Textpoznpodarou"/>
      </w:pPr>
      <w:r>
        <w:rPr>
          <w:rStyle w:val="Znakapoznpodarou"/>
        </w:rPr>
        <w:footnoteRef/>
      </w:r>
      <w:r>
        <w:t xml:space="preserve"> Obdobnou úpravu nalézáme </w:t>
      </w:r>
      <w:r w:rsidRPr="00421CE1">
        <w:t>např.</w:t>
      </w:r>
      <w:r>
        <w:t xml:space="preserve"> v § 81 odst. 7 písm. e) zákona č. 114/1992 Sb. o ochraně přírody a krajiny, </w:t>
      </w:r>
      <w:r w:rsidRPr="00421CE1">
        <w:t>v</w:t>
      </w:r>
      <w:r>
        <w:t> § 14 odst. 1, písm. h)</w:t>
      </w:r>
      <w:r w:rsidRPr="00421CE1">
        <w:t> zákon</w:t>
      </w:r>
      <w:r>
        <w:t>a</w:t>
      </w:r>
      <w:r w:rsidRPr="00421CE1">
        <w:t xml:space="preserve"> </w:t>
      </w:r>
      <w:r>
        <w:t xml:space="preserve">č. 449/2001 Sb. </w:t>
      </w:r>
      <w:r w:rsidRPr="00421CE1">
        <w:t>o myslivosti</w:t>
      </w:r>
      <w:r>
        <w:t xml:space="preserve"> nebo</w:t>
      </w:r>
      <w:r w:rsidRPr="00421CE1">
        <w:t xml:space="preserve"> v</w:t>
      </w:r>
      <w:r>
        <w:t> § 39 odst. 2, písm. d)</w:t>
      </w:r>
      <w:r w:rsidRPr="00421CE1">
        <w:t> </w:t>
      </w:r>
      <w:r>
        <w:t xml:space="preserve">zákona č. 289/1995 Sb. </w:t>
      </w:r>
      <w:r w:rsidRPr="00A3494F">
        <w:t>o lesích a o změně a doplnění některých zákonů</w:t>
      </w:r>
    </w:p>
  </w:footnote>
  <w:footnote w:id="12">
    <w:p w:rsidR="00372E9B" w:rsidRDefault="00372E9B">
      <w:pPr>
        <w:pStyle w:val="Textpoznpodarou"/>
      </w:pPr>
      <w:r>
        <w:rPr>
          <w:rStyle w:val="Znakapoznpodarou"/>
        </w:rPr>
        <w:footnoteRef/>
      </w:r>
      <w:r>
        <w:t xml:space="preserve">  Zákon č. 17/2012 Sb., </w:t>
      </w:r>
      <w:r w:rsidRPr="00BD78F0">
        <w:rPr>
          <w:szCs w:val="24"/>
        </w:rPr>
        <w:t>o Celní správě České republiky</w:t>
      </w:r>
      <w:r>
        <w:rPr>
          <w:szCs w:val="24"/>
        </w:rPr>
        <w:t>.</w:t>
      </w:r>
    </w:p>
  </w:footnote>
  <w:footnote w:id="13">
    <w:p w:rsidR="00372E9B" w:rsidRPr="008E3BBB" w:rsidRDefault="00372E9B" w:rsidP="00F22DAB">
      <w:pPr>
        <w:pStyle w:val="Textpoznpodarou"/>
        <w:jc w:val="both"/>
      </w:pPr>
      <w:r w:rsidRPr="008E3BBB">
        <w:rPr>
          <w:rStyle w:val="Znakapoznpodarou"/>
        </w:rPr>
        <w:footnoteRef/>
      </w:r>
      <w:r w:rsidRPr="008E3BBB">
        <w:t xml:space="preserve"> </w:t>
      </w:r>
      <w:r w:rsidRPr="0058149F">
        <w:t>Směrnice Evropského parlamentu a Rady 2014/104/EU ze dne 26. listopadu 2014 o určitých pravidlech upravujících žaloby o náhradu škody podle vnitrostátního práva v případě porušení právních předpisů členských států a Evropské unie o hospodářské soutěži</w:t>
      </w:r>
    </w:p>
  </w:footnote>
  <w:footnote w:id="14">
    <w:p w:rsidR="00372E9B" w:rsidRDefault="00372E9B" w:rsidP="006575FA">
      <w:pPr>
        <w:ind w:firstLine="0"/>
        <w:rPr>
          <w:rFonts w:ascii="Calibri" w:hAnsi="Calibri"/>
          <w:sz w:val="22"/>
        </w:rPr>
      </w:pPr>
      <w:r>
        <w:rPr>
          <w:rStyle w:val="Hornindex"/>
        </w:rPr>
        <w:footnoteRef/>
      </w:r>
      <w:r>
        <w:t xml:space="preserve"> </w:t>
      </w:r>
      <w:r>
        <w:rPr>
          <w:sz w:val="20"/>
          <w:szCs w:val="20"/>
        </w:rPr>
        <w:t xml:space="preserve">KLÍMA, Karel a kolektiv: </w:t>
      </w:r>
      <w:r w:rsidRPr="0090404B">
        <w:rPr>
          <w:rStyle w:val="Kurzva"/>
          <w:sz w:val="20"/>
          <w:szCs w:val="20"/>
        </w:rPr>
        <w:t>Komentář k Ústavě a Listině</w:t>
      </w:r>
      <w:r>
        <w:rPr>
          <w:sz w:val="20"/>
          <w:szCs w:val="20"/>
        </w:rPr>
        <w:t>. Plzeň: Vydavatelství a nakladatelství Aleš Čeněk, 2005, str. 385.</w:t>
      </w:r>
    </w:p>
  </w:footnote>
  <w:footnote w:id="15">
    <w:p w:rsidR="00372E9B" w:rsidRDefault="00372E9B" w:rsidP="0090404B">
      <w:pPr>
        <w:pStyle w:val="Textpoznpodarou"/>
        <w:jc w:val="both"/>
      </w:pPr>
      <w:r>
        <w:rPr>
          <w:rStyle w:val="Znakapoznpodarou"/>
          <w:rFonts w:eastAsiaTheme="majorEastAsia"/>
        </w:rPr>
        <w:footnoteRef/>
      </w:r>
      <w:r>
        <w:t xml:space="preserve"> Působnost Úřadu je dána zákonem č. 273/1996 Sb., o působnosti Úřadu pro ochranu hospodářské soutěže a dále zejména zákonem č. 143/2001 Sb., o ochraně hospodářské soutěže a o změně některých zákonů (zákon o ochraně hospodářské soutěže).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0BDB"/>
    <w:multiLevelType w:val="hybridMultilevel"/>
    <w:tmpl w:val="F3FE0D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596091B"/>
    <w:multiLevelType w:val="hybridMultilevel"/>
    <w:tmpl w:val="3B8CB6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155198"/>
    <w:multiLevelType w:val="hybridMultilevel"/>
    <w:tmpl w:val="EC9A920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0B90571A"/>
    <w:multiLevelType w:val="hybridMultilevel"/>
    <w:tmpl w:val="B6822C78"/>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
    <w:nsid w:val="0D2E550B"/>
    <w:multiLevelType w:val="hybridMultilevel"/>
    <w:tmpl w:val="F4D05EC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832783D"/>
    <w:multiLevelType w:val="hybridMultilevel"/>
    <w:tmpl w:val="24E24EEE"/>
    <w:lvl w:ilvl="0" w:tplc="77487BC2">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9A92EC1"/>
    <w:multiLevelType w:val="hybridMultilevel"/>
    <w:tmpl w:val="F386FF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1CDC5F5E"/>
    <w:multiLevelType w:val="hybridMultilevel"/>
    <w:tmpl w:val="38348DBC"/>
    <w:lvl w:ilvl="0" w:tplc="2C5E64B6">
      <w:numFmt w:val="decimal"/>
      <w:suff w:val="space"/>
      <w:lvlText w:val="Varianta %1 - "/>
      <w:lvlJc w:val="left"/>
      <w:pPr>
        <w:ind w:left="360" w:hanging="1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375CC5"/>
    <w:multiLevelType w:val="hybridMultilevel"/>
    <w:tmpl w:val="AFD876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EEC0214"/>
    <w:multiLevelType w:val="hybridMultilevel"/>
    <w:tmpl w:val="AFD876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B21876"/>
    <w:multiLevelType w:val="hybridMultilevel"/>
    <w:tmpl w:val="38348DBC"/>
    <w:lvl w:ilvl="0" w:tplc="2C5E64B6">
      <w:numFmt w:val="decimal"/>
      <w:suff w:val="space"/>
      <w:lvlText w:val="Varianta %1 - "/>
      <w:lvlJc w:val="left"/>
      <w:pPr>
        <w:ind w:left="360" w:hanging="1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EA72CA"/>
    <w:multiLevelType w:val="hybridMultilevel"/>
    <w:tmpl w:val="019E6C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281B5C93"/>
    <w:multiLevelType w:val="hybridMultilevel"/>
    <w:tmpl w:val="160A04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2848152B"/>
    <w:multiLevelType w:val="hybridMultilevel"/>
    <w:tmpl w:val="38348DBC"/>
    <w:lvl w:ilvl="0" w:tplc="2C5E64B6">
      <w:numFmt w:val="decimal"/>
      <w:suff w:val="space"/>
      <w:lvlText w:val="Varianta %1 - "/>
      <w:lvlJc w:val="left"/>
      <w:pPr>
        <w:ind w:left="360" w:hanging="1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C92234A"/>
    <w:multiLevelType w:val="hybridMultilevel"/>
    <w:tmpl w:val="EF2C0E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332E1A5B"/>
    <w:multiLevelType w:val="hybridMultilevel"/>
    <w:tmpl w:val="AFD876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8DF4C38"/>
    <w:multiLevelType w:val="hybridMultilevel"/>
    <w:tmpl w:val="38348DBC"/>
    <w:lvl w:ilvl="0" w:tplc="2C5E64B6">
      <w:numFmt w:val="decimal"/>
      <w:suff w:val="space"/>
      <w:lvlText w:val="Varianta %1 - "/>
      <w:lvlJc w:val="left"/>
      <w:pPr>
        <w:ind w:left="360" w:hanging="1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8707EE1"/>
    <w:multiLevelType w:val="hybridMultilevel"/>
    <w:tmpl w:val="38348DBC"/>
    <w:lvl w:ilvl="0" w:tplc="2C5E64B6">
      <w:numFmt w:val="decimal"/>
      <w:suff w:val="space"/>
      <w:lvlText w:val="Varianta %1 - "/>
      <w:lvlJc w:val="left"/>
      <w:pPr>
        <w:ind w:left="360" w:hanging="1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8CA1772"/>
    <w:multiLevelType w:val="hybridMultilevel"/>
    <w:tmpl w:val="AFD876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A35652E"/>
    <w:multiLevelType w:val="multilevel"/>
    <w:tmpl w:val="3ACE54EC"/>
    <w:lvl w:ilvl="0">
      <w:start w:val="1"/>
      <w:numFmt w:val="decimal"/>
      <w:lvlText w:val="%1"/>
      <w:lvlJc w:val="left"/>
      <w:pPr>
        <w:ind w:left="555" w:hanging="555"/>
      </w:pPr>
      <w:rPr>
        <w:rFonts w:hint="default"/>
      </w:rPr>
    </w:lvl>
    <w:lvl w:ilvl="1">
      <w:start w:val="3"/>
      <w:numFmt w:val="decimal"/>
      <w:lvlText w:val="%1.%2"/>
      <w:lvlJc w:val="left"/>
      <w:pPr>
        <w:ind w:left="675" w:hanging="555"/>
      </w:pPr>
      <w:rPr>
        <w:rFonts w:hint="default"/>
      </w:rPr>
    </w:lvl>
    <w:lvl w:ilvl="2">
      <w:start w:val="2"/>
      <w:numFmt w:val="decimal"/>
      <w:lvlText w:val="%1.%2.%3"/>
      <w:lvlJc w:val="left"/>
      <w:pPr>
        <w:ind w:left="960" w:hanging="720"/>
      </w:pPr>
      <w:rPr>
        <w:rFonts w:hint="default"/>
      </w:rPr>
    </w:lvl>
    <w:lvl w:ilvl="3">
      <w:start w:val="1"/>
      <w:numFmt w:val="decimal"/>
      <w:lvlText w:val="%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20">
    <w:nsid w:val="5F0102FD"/>
    <w:multiLevelType w:val="hybridMultilevel"/>
    <w:tmpl w:val="C2721A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5F662625"/>
    <w:multiLevelType w:val="hybridMultilevel"/>
    <w:tmpl w:val="AFD876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FEE6D28"/>
    <w:multiLevelType w:val="hybridMultilevel"/>
    <w:tmpl w:val="38348DBC"/>
    <w:lvl w:ilvl="0" w:tplc="2C5E64B6">
      <w:numFmt w:val="decimal"/>
      <w:suff w:val="space"/>
      <w:lvlText w:val="Varianta %1 - "/>
      <w:lvlJc w:val="left"/>
      <w:pPr>
        <w:ind w:left="360" w:hanging="1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2B573A4"/>
    <w:multiLevelType w:val="multilevel"/>
    <w:tmpl w:val="35B001B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43C0E91"/>
    <w:multiLevelType w:val="hybridMultilevel"/>
    <w:tmpl w:val="C4407BF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64572B17"/>
    <w:multiLevelType w:val="multilevel"/>
    <w:tmpl w:val="01B614D0"/>
    <w:lvl w:ilvl="0">
      <w:start w:val="1"/>
      <w:numFmt w:val="decimal"/>
      <w:pStyle w:val="Prvnnadpis"/>
      <w:lvlText w:val="%1."/>
      <w:lvlJc w:val="left"/>
      <w:pPr>
        <w:ind w:left="720" w:hanging="360"/>
      </w:pPr>
      <w:rPr>
        <w:rFonts w:hint="default"/>
      </w:rPr>
    </w:lvl>
    <w:lvl w:ilvl="1">
      <w:start w:val="1"/>
      <w:numFmt w:val="decimal"/>
      <w:pStyle w:val="Druhnadpis"/>
      <w:isLgl/>
      <w:lvlText w:val="%1.%2"/>
      <w:lvlJc w:val="left"/>
      <w:pPr>
        <w:ind w:left="643" w:hanging="360"/>
      </w:pPr>
      <w:rPr>
        <w:rFonts w:hint="default"/>
        <w:b/>
        <w:sz w:val="24"/>
        <w:szCs w:val="24"/>
      </w:rPr>
    </w:lvl>
    <w:lvl w:ilvl="2">
      <w:start w:val="1"/>
      <w:numFmt w:val="decimal"/>
      <w:pStyle w:val="Tetnadpis"/>
      <w:isLgl/>
      <w:lvlText w:val="%1.%2.%3"/>
      <w:lvlJc w:val="left"/>
      <w:pPr>
        <w:ind w:left="720" w:hanging="72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720"/>
      </w:pPr>
      <w:rPr>
        <w:rFonts w:hint="default"/>
        <w:b w:val="0"/>
        <w:sz w:val="22"/>
      </w:rPr>
    </w:lvl>
    <w:lvl w:ilvl="4">
      <w:start w:val="1"/>
      <w:numFmt w:val="decimal"/>
      <w:isLgl/>
      <w:lvlText w:val="%1.%2.%3.%4.%5"/>
      <w:lvlJc w:val="left"/>
      <w:pPr>
        <w:ind w:left="2880" w:hanging="1080"/>
      </w:pPr>
      <w:rPr>
        <w:rFonts w:hint="default"/>
        <w:b w:val="0"/>
        <w:sz w:val="22"/>
      </w:rPr>
    </w:lvl>
    <w:lvl w:ilvl="5">
      <w:start w:val="1"/>
      <w:numFmt w:val="decimal"/>
      <w:isLgl/>
      <w:lvlText w:val="%1.%2.%3.%4.%5.%6"/>
      <w:lvlJc w:val="left"/>
      <w:pPr>
        <w:ind w:left="3240" w:hanging="1080"/>
      </w:pPr>
      <w:rPr>
        <w:rFonts w:hint="default"/>
        <w:b w:val="0"/>
        <w:sz w:val="22"/>
      </w:rPr>
    </w:lvl>
    <w:lvl w:ilvl="6">
      <w:start w:val="1"/>
      <w:numFmt w:val="decimal"/>
      <w:isLgl/>
      <w:lvlText w:val="%1.%2.%3.%4.%5.%6.%7"/>
      <w:lvlJc w:val="left"/>
      <w:pPr>
        <w:ind w:left="3960" w:hanging="1440"/>
      </w:pPr>
      <w:rPr>
        <w:rFonts w:hint="default"/>
        <w:b w:val="0"/>
        <w:sz w:val="22"/>
      </w:rPr>
    </w:lvl>
    <w:lvl w:ilvl="7">
      <w:start w:val="1"/>
      <w:numFmt w:val="decimal"/>
      <w:isLgl/>
      <w:lvlText w:val="%1.%2.%3.%4.%5.%6.%7.%8"/>
      <w:lvlJc w:val="left"/>
      <w:pPr>
        <w:ind w:left="4320" w:hanging="1440"/>
      </w:pPr>
      <w:rPr>
        <w:rFonts w:hint="default"/>
        <w:b w:val="0"/>
        <w:sz w:val="22"/>
      </w:rPr>
    </w:lvl>
    <w:lvl w:ilvl="8">
      <w:start w:val="1"/>
      <w:numFmt w:val="decimal"/>
      <w:isLgl/>
      <w:lvlText w:val="%1.%2.%3.%4.%5.%6.%7.%8.%9"/>
      <w:lvlJc w:val="left"/>
      <w:pPr>
        <w:ind w:left="4680" w:hanging="1440"/>
      </w:pPr>
      <w:rPr>
        <w:rFonts w:hint="default"/>
        <w:b w:val="0"/>
        <w:sz w:val="22"/>
      </w:rPr>
    </w:lvl>
  </w:abstractNum>
  <w:abstractNum w:abstractNumId="26">
    <w:nsid w:val="66563EF7"/>
    <w:multiLevelType w:val="hybridMultilevel"/>
    <w:tmpl w:val="38348DBC"/>
    <w:lvl w:ilvl="0" w:tplc="2C5E64B6">
      <w:numFmt w:val="decimal"/>
      <w:suff w:val="space"/>
      <w:lvlText w:val="Varianta %1 - "/>
      <w:lvlJc w:val="left"/>
      <w:pPr>
        <w:ind w:left="360" w:hanging="1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96345DA"/>
    <w:multiLevelType w:val="hybridMultilevel"/>
    <w:tmpl w:val="38348DBC"/>
    <w:lvl w:ilvl="0" w:tplc="2C5E64B6">
      <w:numFmt w:val="decimal"/>
      <w:suff w:val="space"/>
      <w:lvlText w:val="Varianta %1 - "/>
      <w:lvlJc w:val="left"/>
      <w:pPr>
        <w:ind w:left="360" w:hanging="1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AAF1A1F"/>
    <w:multiLevelType w:val="multilevel"/>
    <w:tmpl w:val="D152D292"/>
    <w:lvl w:ilvl="0">
      <w:start w:val="1"/>
      <w:numFmt w:val="decimal"/>
      <w:pStyle w:val="Textodstavce"/>
      <w:isLgl/>
      <w:lvlText w:val="(%1)"/>
      <w:lvlJc w:val="left"/>
      <w:pPr>
        <w:tabs>
          <w:tab w:val="num" w:pos="641"/>
        </w:tabs>
        <w:ind w:left="-141" w:firstLine="425"/>
      </w:pPr>
    </w:lvl>
    <w:lvl w:ilvl="1">
      <w:start w:val="1"/>
      <w:numFmt w:val="lowerLetter"/>
      <w:pStyle w:val="Textpsmene"/>
      <w:lvlText w:val="%2)"/>
      <w:lvlJc w:val="left"/>
      <w:pPr>
        <w:tabs>
          <w:tab w:val="num" w:pos="709"/>
        </w:tabs>
        <w:ind w:left="709"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nsid w:val="6AB7394C"/>
    <w:multiLevelType w:val="hybridMultilevel"/>
    <w:tmpl w:val="38348DBC"/>
    <w:lvl w:ilvl="0" w:tplc="2C5E64B6">
      <w:numFmt w:val="decimal"/>
      <w:suff w:val="space"/>
      <w:lvlText w:val="Varianta %1 - "/>
      <w:lvlJc w:val="left"/>
      <w:pPr>
        <w:ind w:left="360" w:hanging="1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DA808FD"/>
    <w:multiLevelType w:val="hybridMultilevel"/>
    <w:tmpl w:val="0AFA6B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nsid w:val="6EF57D9E"/>
    <w:multiLevelType w:val="hybridMultilevel"/>
    <w:tmpl w:val="AFD876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2131370"/>
    <w:multiLevelType w:val="hybridMultilevel"/>
    <w:tmpl w:val="AFD876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3BC3801"/>
    <w:multiLevelType w:val="hybridMultilevel"/>
    <w:tmpl w:val="38348DBC"/>
    <w:lvl w:ilvl="0" w:tplc="2C5E64B6">
      <w:numFmt w:val="decimal"/>
      <w:suff w:val="space"/>
      <w:lvlText w:val="Varianta %1 - "/>
      <w:lvlJc w:val="left"/>
      <w:pPr>
        <w:ind w:left="360" w:hanging="1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800647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92B2850"/>
    <w:multiLevelType w:val="hybridMultilevel"/>
    <w:tmpl w:val="38348DBC"/>
    <w:lvl w:ilvl="0" w:tplc="2C5E64B6">
      <w:numFmt w:val="decimal"/>
      <w:suff w:val="space"/>
      <w:lvlText w:val="Varianta %1 - "/>
      <w:lvlJc w:val="left"/>
      <w:pPr>
        <w:ind w:left="360" w:hanging="1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4"/>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0"/>
  </w:num>
  <w:num w:numId="7">
    <w:abstractNumId w:val="0"/>
  </w:num>
  <w:num w:numId="8">
    <w:abstractNumId w:val="6"/>
  </w:num>
  <w:num w:numId="9">
    <w:abstractNumId w:val="20"/>
  </w:num>
  <w:num w:numId="10">
    <w:abstractNumId w:val="23"/>
  </w:num>
  <w:num w:numId="11">
    <w:abstractNumId w:val="4"/>
  </w:num>
  <w:num w:numId="12">
    <w:abstractNumId w:val="5"/>
  </w:num>
  <w:num w:numId="13">
    <w:abstractNumId w:val="31"/>
  </w:num>
  <w:num w:numId="14">
    <w:abstractNumId w:val="5"/>
    <w:lvlOverride w:ilvl="0">
      <w:startOverride w:val="1"/>
    </w:lvlOverride>
  </w:num>
  <w:num w:numId="15">
    <w:abstractNumId w:val="7"/>
  </w:num>
  <w:num w:numId="16">
    <w:abstractNumId w:val="35"/>
  </w:num>
  <w:num w:numId="17">
    <w:abstractNumId w:val="17"/>
  </w:num>
  <w:num w:numId="18">
    <w:abstractNumId w:val="13"/>
  </w:num>
  <w:num w:numId="19">
    <w:abstractNumId w:val="10"/>
  </w:num>
  <w:num w:numId="20">
    <w:abstractNumId w:val="16"/>
  </w:num>
  <w:num w:numId="21">
    <w:abstractNumId w:val="33"/>
  </w:num>
  <w:num w:numId="22">
    <w:abstractNumId w:val="29"/>
  </w:num>
  <w:num w:numId="23">
    <w:abstractNumId w:val="8"/>
  </w:num>
  <w:num w:numId="24">
    <w:abstractNumId w:val="18"/>
  </w:num>
  <w:num w:numId="25">
    <w:abstractNumId w:val="32"/>
  </w:num>
  <w:num w:numId="26">
    <w:abstractNumId w:val="9"/>
  </w:num>
  <w:num w:numId="27">
    <w:abstractNumId w:val="15"/>
  </w:num>
  <w:num w:numId="28">
    <w:abstractNumId w:val="21"/>
  </w:num>
  <w:num w:numId="29">
    <w:abstractNumId w:val="27"/>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9"/>
  </w:num>
  <w:num w:numId="33">
    <w:abstractNumId w:val="2"/>
  </w:num>
  <w:num w:numId="34">
    <w:abstractNumId w:val="3"/>
  </w:num>
  <w:num w:numId="35">
    <w:abstractNumId w:val="26"/>
  </w:num>
  <w:num w:numId="36">
    <w:abstractNumId w:val="22"/>
  </w:num>
  <w:num w:numId="3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730"/>
    <w:rsid w:val="00002783"/>
    <w:rsid w:val="000035B0"/>
    <w:rsid w:val="0000370C"/>
    <w:rsid w:val="00004280"/>
    <w:rsid w:val="0000616C"/>
    <w:rsid w:val="00006935"/>
    <w:rsid w:val="000101AD"/>
    <w:rsid w:val="00013D78"/>
    <w:rsid w:val="000170A2"/>
    <w:rsid w:val="000219FD"/>
    <w:rsid w:val="00023197"/>
    <w:rsid w:val="0003063A"/>
    <w:rsid w:val="00030C90"/>
    <w:rsid w:val="00037832"/>
    <w:rsid w:val="00040176"/>
    <w:rsid w:val="00041DB8"/>
    <w:rsid w:val="00042F9C"/>
    <w:rsid w:val="000440EE"/>
    <w:rsid w:val="000452D5"/>
    <w:rsid w:val="00053250"/>
    <w:rsid w:val="00053425"/>
    <w:rsid w:val="0005388A"/>
    <w:rsid w:val="00054469"/>
    <w:rsid w:val="00056330"/>
    <w:rsid w:val="0005702A"/>
    <w:rsid w:val="00057618"/>
    <w:rsid w:val="00060D43"/>
    <w:rsid w:val="000754E0"/>
    <w:rsid w:val="000809B3"/>
    <w:rsid w:val="0008173E"/>
    <w:rsid w:val="00082A35"/>
    <w:rsid w:val="0008432B"/>
    <w:rsid w:val="000902D1"/>
    <w:rsid w:val="00090644"/>
    <w:rsid w:val="0009441D"/>
    <w:rsid w:val="00097BBB"/>
    <w:rsid w:val="000A650E"/>
    <w:rsid w:val="000A73AC"/>
    <w:rsid w:val="000B0CAE"/>
    <w:rsid w:val="000B3318"/>
    <w:rsid w:val="000B5E02"/>
    <w:rsid w:val="000C10B2"/>
    <w:rsid w:val="000C1E97"/>
    <w:rsid w:val="000C2660"/>
    <w:rsid w:val="000C604B"/>
    <w:rsid w:val="000D2623"/>
    <w:rsid w:val="000D48C6"/>
    <w:rsid w:val="000E3CB7"/>
    <w:rsid w:val="000E78ED"/>
    <w:rsid w:val="000E7A52"/>
    <w:rsid w:val="000E7B53"/>
    <w:rsid w:val="000F1CBA"/>
    <w:rsid w:val="000F5DC8"/>
    <w:rsid w:val="000F6602"/>
    <w:rsid w:val="000F7CCB"/>
    <w:rsid w:val="0010262F"/>
    <w:rsid w:val="001032BB"/>
    <w:rsid w:val="00105E6A"/>
    <w:rsid w:val="001151D4"/>
    <w:rsid w:val="001157BF"/>
    <w:rsid w:val="001167AE"/>
    <w:rsid w:val="0011796C"/>
    <w:rsid w:val="00117A36"/>
    <w:rsid w:val="0012003B"/>
    <w:rsid w:val="0012006C"/>
    <w:rsid w:val="0012066B"/>
    <w:rsid w:val="00121CBD"/>
    <w:rsid w:val="001224DF"/>
    <w:rsid w:val="0012327E"/>
    <w:rsid w:val="00126C9E"/>
    <w:rsid w:val="0012775B"/>
    <w:rsid w:val="00127A6C"/>
    <w:rsid w:val="00131002"/>
    <w:rsid w:val="001373EB"/>
    <w:rsid w:val="001400BB"/>
    <w:rsid w:val="00142137"/>
    <w:rsid w:val="0014479B"/>
    <w:rsid w:val="00145160"/>
    <w:rsid w:val="00146898"/>
    <w:rsid w:val="00146FE3"/>
    <w:rsid w:val="00147D8A"/>
    <w:rsid w:val="001517BA"/>
    <w:rsid w:val="00155B1D"/>
    <w:rsid w:val="00160207"/>
    <w:rsid w:val="00162EE7"/>
    <w:rsid w:val="0016350F"/>
    <w:rsid w:val="001635CD"/>
    <w:rsid w:val="0017042C"/>
    <w:rsid w:val="0017225D"/>
    <w:rsid w:val="0017256F"/>
    <w:rsid w:val="001732EB"/>
    <w:rsid w:val="0017549A"/>
    <w:rsid w:val="001761E3"/>
    <w:rsid w:val="00177564"/>
    <w:rsid w:val="001822C4"/>
    <w:rsid w:val="0018231B"/>
    <w:rsid w:val="00184474"/>
    <w:rsid w:val="001939E8"/>
    <w:rsid w:val="00194D97"/>
    <w:rsid w:val="00195152"/>
    <w:rsid w:val="001A048A"/>
    <w:rsid w:val="001A0B4D"/>
    <w:rsid w:val="001A2C9A"/>
    <w:rsid w:val="001A55A3"/>
    <w:rsid w:val="001A7099"/>
    <w:rsid w:val="001B01EF"/>
    <w:rsid w:val="001B0437"/>
    <w:rsid w:val="001B16B5"/>
    <w:rsid w:val="001B3CC7"/>
    <w:rsid w:val="001B4786"/>
    <w:rsid w:val="001B4B83"/>
    <w:rsid w:val="001B672B"/>
    <w:rsid w:val="001B6BDC"/>
    <w:rsid w:val="001B6DE4"/>
    <w:rsid w:val="001C3CEC"/>
    <w:rsid w:val="001C47CC"/>
    <w:rsid w:val="001C5E71"/>
    <w:rsid w:val="001C6E48"/>
    <w:rsid w:val="001C6F3B"/>
    <w:rsid w:val="001C7DF4"/>
    <w:rsid w:val="001D189D"/>
    <w:rsid w:val="001D223C"/>
    <w:rsid w:val="001D25C1"/>
    <w:rsid w:val="001D36F3"/>
    <w:rsid w:val="001E0A93"/>
    <w:rsid w:val="001E0E61"/>
    <w:rsid w:val="001E226B"/>
    <w:rsid w:val="001E2921"/>
    <w:rsid w:val="001E4171"/>
    <w:rsid w:val="001E6612"/>
    <w:rsid w:val="001E7557"/>
    <w:rsid w:val="001E766F"/>
    <w:rsid w:val="001E7E76"/>
    <w:rsid w:val="001F1B54"/>
    <w:rsid w:val="001F1D6D"/>
    <w:rsid w:val="001F2AE6"/>
    <w:rsid w:val="001F609B"/>
    <w:rsid w:val="0021075C"/>
    <w:rsid w:val="00212462"/>
    <w:rsid w:val="002149D7"/>
    <w:rsid w:val="00214A9A"/>
    <w:rsid w:val="00215519"/>
    <w:rsid w:val="00215CB4"/>
    <w:rsid w:val="002165E2"/>
    <w:rsid w:val="00216601"/>
    <w:rsid w:val="00223087"/>
    <w:rsid w:val="002254F5"/>
    <w:rsid w:val="002255CF"/>
    <w:rsid w:val="00231C38"/>
    <w:rsid w:val="00234257"/>
    <w:rsid w:val="00234C32"/>
    <w:rsid w:val="00234CCC"/>
    <w:rsid w:val="00235CDB"/>
    <w:rsid w:val="00236213"/>
    <w:rsid w:val="0024249C"/>
    <w:rsid w:val="00245E52"/>
    <w:rsid w:val="00247771"/>
    <w:rsid w:val="00252C30"/>
    <w:rsid w:val="0025440E"/>
    <w:rsid w:val="0026038D"/>
    <w:rsid w:val="00265658"/>
    <w:rsid w:val="00265CCA"/>
    <w:rsid w:val="0026658E"/>
    <w:rsid w:val="002713CD"/>
    <w:rsid w:val="00271D58"/>
    <w:rsid w:val="00274C06"/>
    <w:rsid w:val="0027706C"/>
    <w:rsid w:val="0027730D"/>
    <w:rsid w:val="00277D5E"/>
    <w:rsid w:val="00280AF6"/>
    <w:rsid w:val="002815C7"/>
    <w:rsid w:val="002816FE"/>
    <w:rsid w:val="0028273E"/>
    <w:rsid w:val="00282758"/>
    <w:rsid w:val="00292DF2"/>
    <w:rsid w:val="00293617"/>
    <w:rsid w:val="00294341"/>
    <w:rsid w:val="00296356"/>
    <w:rsid w:val="002A1317"/>
    <w:rsid w:val="002A1426"/>
    <w:rsid w:val="002A2AA2"/>
    <w:rsid w:val="002A3F94"/>
    <w:rsid w:val="002A4D69"/>
    <w:rsid w:val="002A5251"/>
    <w:rsid w:val="002A5E08"/>
    <w:rsid w:val="002A7478"/>
    <w:rsid w:val="002A7661"/>
    <w:rsid w:val="002B07F1"/>
    <w:rsid w:val="002B4217"/>
    <w:rsid w:val="002B6C5A"/>
    <w:rsid w:val="002B7B03"/>
    <w:rsid w:val="002B7BF0"/>
    <w:rsid w:val="002C2DE6"/>
    <w:rsid w:val="002C6CF6"/>
    <w:rsid w:val="002C6F6F"/>
    <w:rsid w:val="002D1485"/>
    <w:rsid w:val="002D1FBB"/>
    <w:rsid w:val="002D3507"/>
    <w:rsid w:val="002D52CD"/>
    <w:rsid w:val="002D7933"/>
    <w:rsid w:val="002E3054"/>
    <w:rsid w:val="002E3C70"/>
    <w:rsid w:val="002E41F6"/>
    <w:rsid w:val="002E6632"/>
    <w:rsid w:val="002E76B1"/>
    <w:rsid w:val="002F1BA2"/>
    <w:rsid w:val="002F31DF"/>
    <w:rsid w:val="002F4980"/>
    <w:rsid w:val="002F5E56"/>
    <w:rsid w:val="00301B62"/>
    <w:rsid w:val="00304DB1"/>
    <w:rsid w:val="00304EDA"/>
    <w:rsid w:val="00306F94"/>
    <w:rsid w:val="00312120"/>
    <w:rsid w:val="00321B23"/>
    <w:rsid w:val="003236D6"/>
    <w:rsid w:val="00323E94"/>
    <w:rsid w:val="00325DC1"/>
    <w:rsid w:val="00325EAD"/>
    <w:rsid w:val="00326BB1"/>
    <w:rsid w:val="00327489"/>
    <w:rsid w:val="003318A8"/>
    <w:rsid w:val="00332A37"/>
    <w:rsid w:val="00335CD2"/>
    <w:rsid w:val="00336259"/>
    <w:rsid w:val="00336B91"/>
    <w:rsid w:val="00337A90"/>
    <w:rsid w:val="00340BC7"/>
    <w:rsid w:val="003516AA"/>
    <w:rsid w:val="00352982"/>
    <w:rsid w:val="00354582"/>
    <w:rsid w:val="00357B2A"/>
    <w:rsid w:val="00362929"/>
    <w:rsid w:val="003636E6"/>
    <w:rsid w:val="0036607F"/>
    <w:rsid w:val="00366A9B"/>
    <w:rsid w:val="00366ACD"/>
    <w:rsid w:val="00370DD6"/>
    <w:rsid w:val="00372E9B"/>
    <w:rsid w:val="00373DB2"/>
    <w:rsid w:val="003852E9"/>
    <w:rsid w:val="00392738"/>
    <w:rsid w:val="00393C73"/>
    <w:rsid w:val="00396A69"/>
    <w:rsid w:val="00396B93"/>
    <w:rsid w:val="003A0E97"/>
    <w:rsid w:val="003A14A0"/>
    <w:rsid w:val="003A26B4"/>
    <w:rsid w:val="003A32B7"/>
    <w:rsid w:val="003A3361"/>
    <w:rsid w:val="003A67B2"/>
    <w:rsid w:val="003B00F8"/>
    <w:rsid w:val="003B4C13"/>
    <w:rsid w:val="003C4F74"/>
    <w:rsid w:val="003C5E4D"/>
    <w:rsid w:val="003D0CAA"/>
    <w:rsid w:val="003D60A5"/>
    <w:rsid w:val="003E1F74"/>
    <w:rsid w:val="003E5336"/>
    <w:rsid w:val="003E5C8F"/>
    <w:rsid w:val="003E65A9"/>
    <w:rsid w:val="003E68C1"/>
    <w:rsid w:val="003F0167"/>
    <w:rsid w:val="003F10FC"/>
    <w:rsid w:val="003F39E9"/>
    <w:rsid w:val="003F5AE4"/>
    <w:rsid w:val="00402C16"/>
    <w:rsid w:val="00405FFD"/>
    <w:rsid w:val="0040799E"/>
    <w:rsid w:val="00411292"/>
    <w:rsid w:val="00411A65"/>
    <w:rsid w:val="00412C64"/>
    <w:rsid w:val="0041653A"/>
    <w:rsid w:val="004165B6"/>
    <w:rsid w:val="004168F3"/>
    <w:rsid w:val="00421CE1"/>
    <w:rsid w:val="0042323D"/>
    <w:rsid w:val="004238C3"/>
    <w:rsid w:val="00430434"/>
    <w:rsid w:val="00432793"/>
    <w:rsid w:val="0043372B"/>
    <w:rsid w:val="00434A8D"/>
    <w:rsid w:val="00434C45"/>
    <w:rsid w:val="00434EA1"/>
    <w:rsid w:val="00437730"/>
    <w:rsid w:val="00441F51"/>
    <w:rsid w:val="0045043A"/>
    <w:rsid w:val="00453495"/>
    <w:rsid w:val="0045556F"/>
    <w:rsid w:val="00460FA4"/>
    <w:rsid w:val="00462C8F"/>
    <w:rsid w:val="00463CB7"/>
    <w:rsid w:val="0046408F"/>
    <w:rsid w:val="00465814"/>
    <w:rsid w:val="0046660A"/>
    <w:rsid w:val="004706DF"/>
    <w:rsid w:val="00470FAE"/>
    <w:rsid w:val="00472D08"/>
    <w:rsid w:val="00473914"/>
    <w:rsid w:val="00475A38"/>
    <w:rsid w:val="00481CF4"/>
    <w:rsid w:val="004831A6"/>
    <w:rsid w:val="00486192"/>
    <w:rsid w:val="00487EB5"/>
    <w:rsid w:val="00490135"/>
    <w:rsid w:val="00490CB1"/>
    <w:rsid w:val="0049129B"/>
    <w:rsid w:val="00493DA1"/>
    <w:rsid w:val="004951EB"/>
    <w:rsid w:val="00496F26"/>
    <w:rsid w:val="004A0B44"/>
    <w:rsid w:val="004A1EB5"/>
    <w:rsid w:val="004A4A2F"/>
    <w:rsid w:val="004A4F4F"/>
    <w:rsid w:val="004A4FFC"/>
    <w:rsid w:val="004A5FAE"/>
    <w:rsid w:val="004A674B"/>
    <w:rsid w:val="004B26A8"/>
    <w:rsid w:val="004B4D15"/>
    <w:rsid w:val="004C0872"/>
    <w:rsid w:val="004C0A4E"/>
    <w:rsid w:val="004C14FF"/>
    <w:rsid w:val="004C403C"/>
    <w:rsid w:val="004C439F"/>
    <w:rsid w:val="004C4521"/>
    <w:rsid w:val="004C5278"/>
    <w:rsid w:val="004C6D59"/>
    <w:rsid w:val="004D0432"/>
    <w:rsid w:val="004D160A"/>
    <w:rsid w:val="004D26AB"/>
    <w:rsid w:val="004D30E2"/>
    <w:rsid w:val="004D34F3"/>
    <w:rsid w:val="004D4569"/>
    <w:rsid w:val="004D4BAB"/>
    <w:rsid w:val="004D4BAD"/>
    <w:rsid w:val="004D67A8"/>
    <w:rsid w:val="004E170C"/>
    <w:rsid w:val="004E22E6"/>
    <w:rsid w:val="004E2C87"/>
    <w:rsid w:val="004F2B15"/>
    <w:rsid w:val="004F455B"/>
    <w:rsid w:val="004F528C"/>
    <w:rsid w:val="005020E9"/>
    <w:rsid w:val="0050234C"/>
    <w:rsid w:val="00503925"/>
    <w:rsid w:val="0050453A"/>
    <w:rsid w:val="00504E89"/>
    <w:rsid w:val="0050782B"/>
    <w:rsid w:val="00510DC0"/>
    <w:rsid w:val="005170D3"/>
    <w:rsid w:val="005233A6"/>
    <w:rsid w:val="0052350B"/>
    <w:rsid w:val="005241E8"/>
    <w:rsid w:val="00524960"/>
    <w:rsid w:val="005306F9"/>
    <w:rsid w:val="005307A3"/>
    <w:rsid w:val="00532BDD"/>
    <w:rsid w:val="00534456"/>
    <w:rsid w:val="00536854"/>
    <w:rsid w:val="00536D7A"/>
    <w:rsid w:val="005412A9"/>
    <w:rsid w:val="00544ABD"/>
    <w:rsid w:val="00547379"/>
    <w:rsid w:val="00547A49"/>
    <w:rsid w:val="00552CEE"/>
    <w:rsid w:val="00553508"/>
    <w:rsid w:val="00553C48"/>
    <w:rsid w:val="00554128"/>
    <w:rsid w:val="00557064"/>
    <w:rsid w:val="00560956"/>
    <w:rsid w:val="00564AA6"/>
    <w:rsid w:val="00570128"/>
    <w:rsid w:val="00580A52"/>
    <w:rsid w:val="00581433"/>
    <w:rsid w:val="0058149F"/>
    <w:rsid w:val="00585D8E"/>
    <w:rsid w:val="00585DA7"/>
    <w:rsid w:val="00587D84"/>
    <w:rsid w:val="005945E0"/>
    <w:rsid w:val="0059594E"/>
    <w:rsid w:val="005A0A02"/>
    <w:rsid w:val="005A4518"/>
    <w:rsid w:val="005A507C"/>
    <w:rsid w:val="005A6672"/>
    <w:rsid w:val="005C0960"/>
    <w:rsid w:val="005C3639"/>
    <w:rsid w:val="005C389E"/>
    <w:rsid w:val="005C582E"/>
    <w:rsid w:val="005C5CBE"/>
    <w:rsid w:val="005C6D45"/>
    <w:rsid w:val="005C71B5"/>
    <w:rsid w:val="005C73C8"/>
    <w:rsid w:val="005D268A"/>
    <w:rsid w:val="005D2C92"/>
    <w:rsid w:val="005D392A"/>
    <w:rsid w:val="005D5316"/>
    <w:rsid w:val="005D6E69"/>
    <w:rsid w:val="005E137C"/>
    <w:rsid w:val="005E1DCA"/>
    <w:rsid w:val="005E3622"/>
    <w:rsid w:val="005E4148"/>
    <w:rsid w:val="005E4F44"/>
    <w:rsid w:val="005E5DDF"/>
    <w:rsid w:val="005E729B"/>
    <w:rsid w:val="005E7B06"/>
    <w:rsid w:val="005F028B"/>
    <w:rsid w:val="005F3B94"/>
    <w:rsid w:val="005F5A67"/>
    <w:rsid w:val="005F7E61"/>
    <w:rsid w:val="00601E1F"/>
    <w:rsid w:val="00604BF3"/>
    <w:rsid w:val="00604FEA"/>
    <w:rsid w:val="00605FCD"/>
    <w:rsid w:val="00606242"/>
    <w:rsid w:val="00606924"/>
    <w:rsid w:val="00607090"/>
    <w:rsid w:val="006073A7"/>
    <w:rsid w:val="00612899"/>
    <w:rsid w:val="00617EC1"/>
    <w:rsid w:val="0062122C"/>
    <w:rsid w:val="006239DC"/>
    <w:rsid w:val="00625918"/>
    <w:rsid w:val="006271F8"/>
    <w:rsid w:val="00630B53"/>
    <w:rsid w:val="0063554D"/>
    <w:rsid w:val="0064259B"/>
    <w:rsid w:val="006469B5"/>
    <w:rsid w:val="00651228"/>
    <w:rsid w:val="00652B6E"/>
    <w:rsid w:val="00653B58"/>
    <w:rsid w:val="006552D7"/>
    <w:rsid w:val="0065594A"/>
    <w:rsid w:val="00656218"/>
    <w:rsid w:val="006575FA"/>
    <w:rsid w:val="00663367"/>
    <w:rsid w:val="006648B4"/>
    <w:rsid w:val="00666FC2"/>
    <w:rsid w:val="00671BA7"/>
    <w:rsid w:val="00672224"/>
    <w:rsid w:val="00673DF2"/>
    <w:rsid w:val="00676CBE"/>
    <w:rsid w:val="006804D8"/>
    <w:rsid w:val="0069136B"/>
    <w:rsid w:val="00692A27"/>
    <w:rsid w:val="00692B3B"/>
    <w:rsid w:val="00695A52"/>
    <w:rsid w:val="00697584"/>
    <w:rsid w:val="006A0194"/>
    <w:rsid w:val="006A0FA4"/>
    <w:rsid w:val="006A1F0B"/>
    <w:rsid w:val="006A2A4D"/>
    <w:rsid w:val="006A560E"/>
    <w:rsid w:val="006B1020"/>
    <w:rsid w:val="006B2D37"/>
    <w:rsid w:val="006B4440"/>
    <w:rsid w:val="006C47A1"/>
    <w:rsid w:val="006C5911"/>
    <w:rsid w:val="006C6715"/>
    <w:rsid w:val="006D15CD"/>
    <w:rsid w:val="006D1A7A"/>
    <w:rsid w:val="006D261C"/>
    <w:rsid w:val="006D4326"/>
    <w:rsid w:val="006D5131"/>
    <w:rsid w:val="006D5B9B"/>
    <w:rsid w:val="006D6DF3"/>
    <w:rsid w:val="006E0365"/>
    <w:rsid w:val="006E396C"/>
    <w:rsid w:val="006E49AF"/>
    <w:rsid w:val="006E75F1"/>
    <w:rsid w:val="006F31FE"/>
    <w:rsid w:val="006F37FB"/>
    <w:rsid w:val="006F66C3"/>
    <w:rsid w:val="00701114"/>
    <w:rsid w:val="00703509"/>
    <w:rsid w:val="00710AD5"/>
    <w:rsid w:val="00714EE6"/>
    <w:rsid w:val="00715656"/>
    <w:rsid w:val="0071733B"/>
    <w:rsid w:val="007206F1"/>
    <w:rsid w:val="00720A1B"/>
    <w:rsid w:val="00722488"/>
    <w:rsid w:val="007258E2"/>
    <w:rsid w:val="00727D94"/>
    <w:rsid w:val="007312E1"/>
    <w:rsid w:val="00733B1D"/>
    <w:rsid w:val="00734FB7"/>
    <w:rsid w:val="00737E9C"/>
    <w:rsid w:val="00740AD5"/>
    <w:rsid w:val="00740D7A"/>
    <w:rsid w:val="007421E7"/>
    <w:rsid w:val="00743E01"/>
    <w:rsid w:val="00746573"/>
    <w:rsid w:val="00746CBD"/>
    <w:rsid w:val="00746EC1"/>
    <w:rsid w:val="007478A2"/>
    <w:rsid w:val="00753E59"/>
    <w:rsid w:val="00753FEE"/>
    <w:rsid w:val="00763EF6"/>
    <w:rsid w:val="00764891"/>
    <w:rsid w:val="00766133"/>
    <w:rsid w:val="00766CEA"/>
    <w:rsid w:val="007674FB"/>
    <w:rsid w:val="00767841"/>
    <w:rsid w:val="00770664"/>
    <w:rsid w:val="00771086"/>
    <w:rsid w:val="00773FF1"/>
    <w:rsid w:val="00775224"/>
    <w:rsid w:val="00783504"/>
    <w:rsid w:val="0078463B"/>
    <w:rsid w:val="00784922"/>
    <w:rsid w:val="00790A65"/>
    <w:rsid w:val="0079595C"/>
    <w:rsid w:val="00796F6D"/>
    <w:rsid w:val="007A3DBF"/>
    <w:rsid w:val="007A7E2A"/>
    <w:rsid w:val="007B1E5E"/>
    <w:rsid w:val="007B2D3F"/>
    <w:rsid w:val="007B5A19"/>
    <w:rsid w:val="007B5DC8"/>
    <w:rsid w:val="007C300F"/>
    <w:rsid w:val="007C380C"/>
    <w:rsid w:val="007C43CB"/>
    <w:rsid w:val="007C57EC"/>
    <w:rsid w:val="007C6CA4"/>
    <w:rsid w:val="007C6F1B"/>
    <w:rsid w:val="007D1692"/>
    <w:rsid w:val="007D3A8E"/>
    <w:rsid w:val="007D3C5B"/>
    <w:rsid w:val="007D44E6"/>
    <w:rsid w:val="007D45A2"/>
    <w:rsid w:val="007D5752"/>
    <w:rsid w:val="007D5A16"/>
    <w:rsid w:val="007D5CB6"/>
    <w:rsid w:val="007D7EA1"/>
    <w:rsid w:val="007E14A6"/>
    <w:rsid w:val="007E5AC9"/>
    <w:rsid w:val="007E633B"/>
    <w:rsid w:val="007E738B"/>
    <w:rsid w:val="007F1E80"/>
    <w:rsid w:val="007F1F57"/>
    <w:rsid w:val="00801214"/>
    <w:rsid w:val="00804D2E"/>
    <w:rsid w:val="0080700D"/>
    <w:rsid w:val="00810DC8"/>
    <w:rsid w:val="00811F67"/>
    <w:rsid w:val="0081651D"/>
    <w:rsid w:val="00822A98"/>
    <w:rsid w:val="00822F6A"/>
    <w:rsid w:val="00824CE2"/>
    <w:rsid w:val="00826540"/>
    <w:rsid w:val="00827095"/>
    <w:rsid w:val="00827923"/>
    <w:rsid w:val="00827954"/>
    <w:rsid w:val="00835520"/>
    <w:rsid w:val="0083717F"/>
    <w:rsid w:val="00837BF1"/>
    <w:rsid w:val="00840359"/>
    <w:rsid w:val="0084317D"/>
    <w:rsid w:val="00846FA7"/>
    <w:rsid w:val="00856698"/>
    <w:rsid w:val="0085754F"/>
    <w:rsid w:val="00860FD6"/>
    <w:rsid w:val="00863298"/>
    <w:rsid w:val="008639E4"/>
    <w:rsid w:val="00867E9E"/>
    <w:rsid w:val="00871BC0"/>
    <w:rsid w:val="008771B9"/>
    <w:rsid w:val="008772C1"/>
    <w:rsid w:val="008832B7"/>
    <w:rsid w:val="008841E7"/>
    <w:rsid w:val="00886A06"/>
    <w:rsid w:val="00886CAE"/>
    <w:rsid w:val="00892E03"/>
    <w:rsid w:val="00893909"/>
    <w:rsid w:val="00893979"/>
    <w:rsid w:val="008959D8"/>
    <w:rsid w:val="008A0F91"/>
    <w:rsid w:val="008A28F9"/>
    <w:rsid w:val="008B1DB8"/>
    <w:rsid w:val="008B5019"/>
    <w:rsid w:val="008C3ED5"/>
    <w:rsid w:val="008C3FF0"/>
    <w:rsid w:val="008C407F"/>
    <w:rsid w:val="008C7CDC"/>
    <w:rsid w:val="008D084C"/>
    <w:rsid w:val="008D1532"/>
    <w:rsid w:val="008D4ADA"/>
    <w:rsid w:val="008D56C2"/>
    <w:rsid w:val="008D62FD"/>
    <w:rsid w:val="008D6F9E"/>
    <w:rsid w:val="008E01ED"/>
    <w:rsid w:val="008E3BBB"/>
    <w:rsid w:val="008E6E10"/>
    <w:rsid w:val="008E6E69"/>
    <w:rsid w:val="008F1503"/>
    <w:rsid w:val="008F330F"/>
    <w:rsid w:val="008F4B11"/>
    <w:rsid w:val="008F556E"/>
    <w:rsid w:val="00901FC6"/>
    <w:rsid w:val="0090404B"/>
    <w:rsid w:val="00904F77"/>
    <w:rsid w:val="00907527"/>
    <w:rsid w:val="00907CB8"/>
    <w:rsid w:val="0091106B"/>
    <w:rsid w:val="00913FF5"/>
    <w:rsid w:val="0092372D"/>
    <w:rsid w:val="00926E4F"/>
    <w:rsid w:val="00927BF9"/>
    <w:rsid w:val="00930B1F"/>
    <w:rsid w:val="00930D96"/>
    <w:rsid w:val="00933FFA"/>
    <w:rsid w:val="00937103"/>
    <w:rsid w:val="00937130"/>
    <w:rsid w:val="00937F4F"/>
    <w:rsid w:val="00941A2B"/>
    <w:rsid w:val="00944DE6"/>
    <w:rsid w:val="0094578E"/>
    <w:rsid w:val="0094600E"/>
    <w:rsid w:val="00946E22"/>
    <w:rsid w:val="0094733F"/>
    <w:rsid w:val="00950950"/>
    <w:rsid w:val="009517C8"/>
    <w:rsid w:val="009535D9"/>
    <w:rsid w:val="00953B8E"/>
    <w:rsid w:val="00954888"/>
    <w:rsid w:val="00960542"/>
    <w:rsid w:val="00963018"/>
    <w:rsid w:val="009637CD"/>
    <w:rsid w:val="00964CAD"/>
    <w:rsid w:val="00965573"/>
    <w:rsid w:val="00967E61"/>
    <w:rsid w:val="009700EB"/>
    <w:rsid w:val="0097360F"/>
    <w:rsid w:val="00976F29"/>
    <w:rsid w:val="00982D39"/>
    <w:rsid w:val="00984D1A"/>
    <w:rsid w:val="00986E46"/>
    <w:rsid w:val="00990BED"/>
    <w:rsid w:val="009933C2"/>
    <w:rsid w:val="00993A41"/>
    <w:rsid w:val="00994EB4"/>
    <w:rsid w:val="00994F19"/>
    <w:rsid w:val="00995CBB"/>
    <w:rsid w:val="009A0402"/>
    <w:rsid w:val="009A3362"/>
    <w:rsid w:val="009A4C08"/>
    <w:rsid w:val="009A5F2E"/>
    <w:rsid w:val="009A625A"/>
    <w:rsid w:val="009A78CA"/>
    <w:rsid w:val="009B39A4"/>
    <w:rsid w:val="009B57FB"/>
    <w:rsid w:val="009B667B"/>
    <w:rsid w:val="009B6801"/>
    <w:rsid w:val="009C0BC8"/>
    <w:rsid w:val="009C2E2E"/>
    <w:rsid w:val="009C3772"/>
    <w:rsid w:val="009C537C"/>
    <w:rsid w:val="009D0435"/>
    <w:rsid w:val="009D2A60"/>
    <w:rsid w:val="009D55C3"/>
    <w:rsid w:val="009D5E1F"/>
    <w:rsid w:val="009E010C"/>
    <w:rsid w:val="009E06F2"/>
    <w:rsid w:val="009E1DC1"/>
    <w:rsid w:val="009E1F89"/>
    <w:rsid w:val="009E3EC1"/>
    <w:rsid w:val="009E5C7D"/>
    <w:rsid w:val="009E64A8"/>
    <w:rsid w:val="009E77C4"/>
    <w:rsid w:val="009E7AB0"/>
    <w:rsid w:val="009F2918"/>
    <w:rsid w:val="009F46A4"/>
    <w:rsid w:val="009F4FD6"/>
    <w:rsid w:val="009F637E"/>
    <w:rsid w:val="009F7122"/>
    <w:rsid w:val="009F7CD2"/>
    <w:rsid w:val="00A008B9"/>
    <w:rsid w:val="00A00904"/>
    <w:rsid w:val="00A01891"/>
    <w:rsid w:val="00A05BE8"/>
    <w:rsid w:val="00A07B59"/>
    <w:rsid w:val="00A10B03"/>
    <w:rsid w:val="00A10BD9"/>
    <w:rsid w:val="00A1131F"/>
    <w:rsid w:val="00A1284D"/>
    <w:rsid w:val="00A15833"/>
    <w:rsid w:val="00A2354E"/>
    <w:rsid w:val="00A23DF4"/>
    <w:rsid w:val="00A24070"/>
    <w:rsid w:val="00A242BB"/>
    <w:rsid w:val="00A25E20"/>
    <w:rsid w:val="00A27704"/>
    <w:rsid w:val="00A32283"/>
    <w:rsid w:val="00A3494F"/>
    <w:rsid w:val="00A34D42"/>
    <w:rsid w:val="00A35227"/>
    <w:rsid w:val="00A404EF"/>
    <w:rsid w:val="00A41496"/>
    <w:rsid w:val="00A418B2"/>
    <w:rsid w:val="00A44A35"/>
    <w:rsid w:val="00A46964"/>
    <w:rsid w:val="00A52F11"/>
    <w:rsid w:val="00A54648"/>
    <w:rsid w:val="00A637D6"/>
    <w:rsid w:val="00A63DCA"/>
    <w:rsid w:val="00A64E67"/>
    <w:rsid w:val="00A66AA7"/>
    <w:rsid w:val="00A66D16"/>
    <w:rsid w:val="00A67217"/>
    <w:rsid w:val="00A711E2"/>
    <w:rsid w:val="00A71272"/>
    <w:rsid w:val="00A721F0"/>
    <w:rsid w:val="00A73577"/>
    <w:rsid w:val="00A74280"/>
    <w:rsid w:val="00A85269"/>
    <w:rsid w:val="00A90877"/>
    <w:rsid w:val="00A96A4D"/>
    <w:rsid w:val="00AA11A3"/>
    <w:rsid w:val="00AA5AA6"/>
    <w:rsid w:val="00AA5F50"/>
    <w:rsid w:val="00AA63CA"/>
    <w:rsid w:val="00AB1BB1"/>
    <w:rsid w:val="00AB4C6F"/>
    <w:rsid w:val="00AB539D"/>
    <w:rsid w:val="00AB5450"/>
    <w:rsid w:val="00AC0BA5"/>
    <w:rsid w:val="00AC18E8"/>
    <w:rsid w:val="00AC56B8"/>
    <w:rsid w:val="00AC7CDB"/>
    <w:rsid w:val="00AD0D07"/>
    <w:rsid w:val="00AD566A"/>
    <w:rsid w:val="00AD5D86"/>
    <w:rsid w:val="00AD75E8"/>
    <w:rsid w:val="00AE492B"/>
    <w:rsid w:val="00AE72ED"/>
    <w:rsid w:val="00AF06B9"/>
    <w:rsid w:val="00AF0878"/>
    <w:rsid w:val="00AF1062"/>
    <w:rsid w:val="00AF544D"/>
    <w:rsid w:val="00AF54E2"/>
    <w:rsid w:val="00AF5B34"/>
    <w:rsid w:val="00AF626E"/>
    <w:rsid w:val="00AF73F9"/>
    <w:rsid w:val="00B0107E"/>
    <w:rsid w:val="00B02473"/>
    <w:rsid w:val="00B034E2"/>
    <w:rsid w:val="00B04472"/>
    <w:rsid w:val="00B05F7F"/>
    <w:rsid w:val="00B064F8"/>
    <w:rsid w:val="00B06BAA"/>
    <w:rsid w:val="00B079A2"/>
    <w:rsid w:val="00B11FF9"/>
    <w:rsid w:val="00B12489"/>
    <w:rsid w:val="00B1338A"/>
    <w:rsid w:val="00B15201"/>
    <w:rsid w:val="00B157D9"/>
    <w:rsid w:val="00B27E1B"/>
    <w:rsid w:val="00B30AD4"/>
    <w:rsid w:val="00B32253"/>
    <w:rsid w:val="00B324E9"/>
    <w:rsid w:val="00B34F65"/>
    <w:rsid w:val="00B41AFC"/>
    <w:rsid w:val="00B43106"/>
    <w:rsid w:val="00B43313"/>
    <w:rsid w:val="00B43A00"/>
    <w:rsid w:val="00B45381"/>
    <w:rsid w:val="00B477D8"/>
    <w:rsid w:val="00B5032A"/>
    <w:rsid w:val="00B52A12"/>
    <w:rsid w:val="00B577DC"/>
    <w:rsid w:val="00B57C5C"/>
    <w:rsid w:val="00B57EBD"/>
    <w:rsid w:val="00B61327"/>
    <w:rsid w:val="00B61829"/>
    <w:rsid w:val="00B62C05"/>
    <w:rsid w:val="00B63A19"/>
    <w:rsid w:val="00B664B1"/>
    <w:rsid w:val="00B66DFF"/>
    <w:rsid w:val="00B67B3F"/>
    <w:rsid w:val="00B67F31"/>
    <w:rsid w:val="00B70121"/>
    <w:rsid w:val="00B719C0"/>
    <w:rsid w:val="00B72442"/>
    <w:rsid w:val="00B734E3"/>
    <w:rsid w:val="00B76486"/>
    <w:rsid w:val="00B76A6D"/>
    <w:rsid w:val="00B76FA3"/>
    <w:rsid w:val="00B77763"/>
    <w:rsid w:val="00B8335B"/>
    <w:rsid w:val="00B8418A"/>
    <w:rsid w:val="00B844FF"/>
    <w:rsid w:val="00B86047"/>
    <w:rsid w:val="00B91208"/>
    <w:rsid w:val="00B916EB"/>
    <w:rsid w:val="00B945E5"/>
    <w:rsid w:val="00B94773"/>
    <w:rsid w:val="00B97066"/>
    <w:rsid w:val="00BA0D59"/>
    <w:rsid w:val="00BA26EE"/>
    <w:rsid w:val="00BA3065"/>
    <w:rsid w:val="00BB040C"/>
    <w:rsid w:val="00BB2464"/>
    <w:rsid w:val="00BC0283"/>
    <w:rsid w:val="00BC14F1"/>
    <w:rsid w:val="00BC3463"/>
    <w:rsid w:val="00BC69A8"/>
    <w:rsid w:val="00BC79FF"/>
    <w:rsid w:val="00BC7EF4"/>
    <w:rsid w:val="00BD2F44"/>
    <w:rsid w:val="00BD3BD6"/>
    <w:rsid w:val="00BD78F0"/>
    <w:rsid w:val="00BE0FE6"/>
    <w:rsid w:val="00BE6042"/>
    <w:rsid w:val="00BE735F"/>
    <w:rsid w:val="00BF0ECA"/>
    <w:rsid w:val="00BF0ED8"/>
    <w:rsid w:val="00BF3CC2"/>
    <w:rsid w:val="00BF4CE0"/>
    <w:rsid w:val="00C00C21"/>
    <w:rsid w:val="00C00FF7"/>
    <w:rsid w:val="00C012BA"/>
    <w:rsid w:val="00C015BC"/>
    <w:rsid w:val="00C03633"/>
    <w:rsid w:val="00C06A06"/>
    <w:rsid w:val="00C101B8"/>
    <w:rsid w:val="00C10A4A"/>
    <w:rsid w:val="00C126BF"/>
    <w:rsid w:val="00C12FD3"/>
    <w:rsid w:val="00C13020"/>
    <w:rsid w:val="00C1399B"/>
    <w:rsid w:val="00C15DEB"/>
    <w:rsid w:val="00C175BB"/>
    <w:rsid w:val="00C21774"/>
    <w:rsid w:val="00C31B57"/>
    <w:rsid w:val="00C338D1"/>
    <w:rsid w:val="00C41039"/>
    <w:rsid w:val="00C512C7"/>
    <w:rsid w:val="00C5160B"/>
    <w:rsid w:val="00C51FCD"/>
    <w:rsid w:val="00C53C18"/>
    <w:rsid w:val="00C547D7"/>
    <w:rsid w:val="00C54988"/>
    <w:rsid w:val="00C5529A"/>
    <w:rsid w:val="00C56A30"/>
    <w:rsid w:val="00C632C9"/>
    <w:rsid w:val="00C63B95"/>
    <w:rsid w:val="00C64011"/>
    <w:rsid w:val="00C64F6C"/>
    <w:rsid w:val="00C65E82"/>
    <w:rsid w:val="00C6607F"/>
    <w:rsid w:val="00C66AB6"/>
    <w:rsid w:val="00C709A2"/>
    <w:rsid w:val="00C71259"/>
    <w:rsid w:val="00C8403E"/>
    <w:rsid w:val="00C8639A"/>
    <w:rsid w:val="00C878B4"/>
    <w:rsid w:val="00C9050D"/>
    <w:rsid w:val="00C90D75"/>
    <w:rsid w:val="00C9143D"/>
    <w:rsid w:val="00C917DF"/>
    <w:rsid w:val="00C93E6F"/>
    <w:rsid w:val="00C9438E"/>
    <w:rsid w:val="00C95C01"/>
    <w:rsid w:val="00C97D27"/>
    <w:rsid w:val="00CA00C7"/>
    <w:rsid w:val="00CA337F"/>
    <w:rsid w:val="00CA4256"/>
    <w:rsid w:val="00CA4E96"/>
    <w:rsid w:val="00CA6B7B"/>
    <w:rsid w:val="00CB6104"/>
    <w:rsid w:val="00CB64D7"/>
    <w:rsid w:val="00CC02C4"/>
    <w:rsid w:val="00CC038B"/>
    <w:rsid w:val="00CC32FA"/>
    <w:rsid w:val="00CC6F63"/>
    <w:rsid w:val="00CD2A9C"/>
    <w:rsid w:val="00CD2E7A"/>
    <w:rsid w:val="00CD42BA"/>
    <w:rsid w:val="00CE18BE"/>
    <w:rsid w:val="00CE3F2D"/>
    <w:rsid w:val="00CE4A17"/>
    <w:rsid w:val="00CE5166"/>
    <w:rsid w:val="00CE6948"/>
    <w:rsid w:val="00CF2DF6"/>
    <w:rsid w:val="00CF318B"/>
    <w:rsid w:val="00CF4EE6"/>
    <w:rsid w:val="00D01AFB"/>
    <w:rsid w:val="00D0249F"/>
    <w:rsid w:val="00D032A9"/>
    <w:rsid w:val="00D13178"/>
    <w:rsid w:val="00D1421E"/>
    <w:rsid w:val="00D15072"/>
    <w:rsid w:val="00D1580F"/>
    <w:rsid w:val="00D200CE"/>
    <w:rsid w:val="00D2037F"/>
    <w:rsid w:val="00D22548"/>
    <w:rsid w:val="00D233AC"/>
    <w:rsid w:val="00D246CB"/>
    <w:rsid w:val="00D33B10"/>
    <w:rsid w:val="00D3411B"/>
    <w:rsid w:val="00D35614"/>
    <w:rsid w:val="00D36298"/>
    <w:rsid w:val="00D377B1"/>
    <w:rsid w:val="00D43827"/>
    <w:rsid w:val="00D44315"/>
    <w:rsid w:val="00D476C0"/>
    <w:rsid w:val="00D5435C"/>
    <w:rsid w:val="00D55CD1"/>
    <w:rsid w:val="00D625F8"/>
    <w:rsid w:val="00D62ECD"/>
    <w:rsid w:val="00D63BAA"/>
    <w:rsid w:val="00D66B5A"/>
    <w:rsid w:val="00D70FFF"/>
    <w:rsid w:val="00D71CA4"/>
    <w:rsid w:val="00D72BCF"/>
    <w:rsid w:val="00D74742"/>
    <w:rsid w:val="00D750EE"/>
    <w:rsid w:val="00D77348"/>
    <w:rsid w:val="00D775A3"/>
    <w:rsid w:val="00D81592"/>
    <w:rsid w:val="00D81DBD"/>
    <w:rsid w:val="00D85DD4"/>
    <w:rsid w:val="00D86EED"/>
    <w:rsid w:val="00D90EF2"/>
    <w:rsid w:val="00D91986"/>
    <w:rsid w:val="00D92F6A"/>
    <w:rsid w:val="00D95E26"/>
    <w:rsid w:val="00D97929"/>
    <w:rsid w:val="00DA289C"/>
    <w:rsid w:val="00DA29F9"/>
    <w:rsid w:val="00DA3C99"/>
    <w:rsid w:val="00DA41F2"/>
    <w:rsid w:val="00DB31FC"/>
    <w:rsid w:val="00DB39AB"/>
    <w:rsid w:val="00DB3C5A"/>
    <w:rsid w:val="00DB547B"/>
    <w:rsid w:val="00DC1DBF"/>
    <w:rsid w:val="00DC422A"/>
    <w:rsid w:val="00DC74ED"/>
    <w:rsid w:val="00DD02CA"/>
    <w:rsid w:val="00DD1F16"/>
    <w:rsid w:val="00DD28EF"/>
    <w:rsid w:val="00DD54E2"/>
    <w:rsid w:val="00DD7AF3"/>
    <w:rsid w:val="00DE3928"/>
    <w:rsid w:val="00DE3D00"/>
    <w:rsid w:val="00DE4E9F"/>
    <w:rsid w:val="00DF14B5"/>
    <w:rsid w:val="00DF4744"/>
    <w:rsid w:val="00DF52FE"/>
    <w:rsid w:val="00DF5468"/>
    <w:rsid w:val="00DF5752"/>
    <w:rsid w:val="00DF61B0"/>
    <w:rsid w:val="00DF7E6A"/>
    <w:rsid w:val="00E04B6E"/>
    <w:rsid w:val="00E052C0"/>
    <w:rsid w:val="00E07DD8"/>
    <w:rsid w:val="00E11C8E"/>
    <w:rsid w:val="00E12783"/>
    <w:rsid w:val="00E14C57"/>
    <w:rsid w:val="00E15C6F"/>
    <w:rsid w:val="00E16664"/>
    <w:rsid w:val="00E171E3"/>
    <w:rsid w:val="00E1769B"/>
    <w:rsid w:val="00E20679"/>
    <w:rsid w:val="00E20BDC"/>
    <w:rsid w:val="00E23EAE"/>
    <w:rsid w:val="00E23F06"/>
    <w:rsid w:val="00E23F0A"/>
    <w:rsid w:val="00E248F3"/>
    <w:rsid w:val="00E32656"/>
    <w:rsid w:val="00E3340B"/>
    <w:rsid w:val="00E33A1F"/>
    <w:rsid w:val="00E41D77"/>
    <w:rsid w:val="00E5070E"/>
    <w:rsid w:val="00E50C76"/>
    <w:rsid w:val="00E52E76"/>
    <w:rsid w:val="00E5307B"/>
    <w:rsid w:val="00E55E0C"/>
    <w:rsid w:val="00E56314"/>
    <w:rsid w:val="00E62570"/>
    <w:rsid w:val="00E65999"/>
    <w:rsid w:val="00E6758F"/>
    <w:rsid w:val="00E67629"/>
    <w:rsid w:val="00E67EE6"/>
    <w:rsid w:val="00E72EE7"/>
    <w:rsid w:val="00E738AA"/>
    <w:rsid w:val="00E73FD7"/>
    <w:rsid w:val="00E75B8D"/>
    <w:rsid w:val="00E768BA"/>
    <w:rsid w:val="00E7721D"/>
    <w:rsid w:val="00E80101"/>
    <w:rsid w:val="00E80DA3"/>
    <w:rsid w:val="00E85DDD"/>
    <w:rsid w:val="00E87EE2"/>
    <w:rsid w:val="00E92D8C"/>
    <w:rsid w:val="00EA215E"/>
    <w:rsid w:val="00EB57B8"/>
    <w:rsid w:val="00EB57D0"/>
    <w:rsid w:val="00EC17F4"/>
    <w:rsid w:val="00EC2E50"/>
    <w:rsid w:val="00EC571B"/>
    <w:rsid w:val="00ED09D6"/>
    <w:rsid w:val="00ED24CD"/>
    <w:rsid w:val="00ED35EF"/>
    <w:rsid w:val="00ED5954"/>
    <w:rsid w:val="00ED6021"/>
    <w:rsid w:val="00ED64D8"/>
    <w:rsid w:val="00ED66F7"/>
    <w:rsid w:val="00EE0C23"/>
    <w:rsid w:val="00EE13D0"/>
    <w:rsid w:val="00EE1AEA"/>
    <w:rsid w:val="00EE298A"/>
    <w:rsid w:val="00EE3456"/>
    <w:rsid w:val="00EE55E7"/>
    <w:rsid w:val="00EE76D1"/>
    <w:rsid w:val="00EE7EE9"/>
    <w:rsid w:val="00EF1BCA"/>
    <w:rsid w:val="00EF5F93"/>
    <w:rsid w:val="00EF62A4"/>
    <w:rsid w:val="00F04ECD"/>
    <w:rsid w:val="00F06090"/>
    <w:rsid w:val="00F07222"/>
    <w:rsid w:val="00F15E6A"/>
    <w:rsid w:val="00F16758"/>
    <w:rsid w:val="00F16F74"/>
    <w:rsid w:val="00F17F7E"/>
    <w:rsid w:val="00F21A01"/>
    <w:rsid w:val="00F227E8"/>
    <w:rsid w:val="00F22DAB"/>
    <w:rsid w:val="00F24F97"/>
    <w:rsid w:val="00F276C7"/>
    <w:rsid w:val="00F27C00"/>
    <w:rsid w:val="00F375E0"/>
    <w:rsid w:val="00F377C5"/>
    <w:rsid w:val="00F42F95"/>
    <w:rsid w:val="00F50843"/>
    <w:rsid w:val="00F519AC"/>
    <w:rsid w:val="00F51EB5"/>
    <w:rsid w:val="00F54858"/>
    <w:rsid w:val="00F56385"/>
    <w:rsid w:val="00F62997"/>
    <w:rsid w:val="00F63EE4"/>
    <w:rsid w:val="00F6415D"/>
    <w:rsid w:val="00F656EE"/>
    <w:rsid w:val="00F6641F"/>
    <w:rsid w:val="00F7096B"/>
    <w:rsid w:val="00F731CE"/>
    <w:rsid w:val="00F7374C"/>
    <w:rsid w:val="00F740D6"/>
    <w:rsid w:val="00F75B57"/>
    <w:rsid w:val="00F84735"/>
    <w:rsid w:val="00F84A4E"/>
    <w:rsid w:val="00F8602E"/>
    <w:rsid w:val="00F90AD5"/>
    <w:rsid w:val="00F92498"/>
    <w:rsid w:val="00F9496C"/>
    <w:rsid w:val="00F96F7D"/>
    <w:rsid w:val="00FA0EE8"/>
    <w:rsid w:val="00FA3010"/>
    <w:rsid w:val="00FA4AED"/>
    <w:rsid w:val="00FA648C"/>
    <w:rsid w:val="00FA7404"/>
    <w:rsid w:val="00FA77D2"/>
    <w:rsid w:val="00FB0946"/>
    <w:rsid w:val="00FB2F18"/>
    <w:rsid w:val="00FB304A"/>
    <w:rsid w:val="00FB71CD"/>
    <w:rsid w:val="00FC0908"/>
    <w:rsid w:val="00FC2952"/>
    <w:rsid w:val="00FC4880"/>
    <w:rsid w:val="00FC6DB1"/>
    <w:rsid w:val="00FD445C"/>
    <w:rsid w:val="00FD4B9E"/>
    <w:rsid w:val="00FE1A93"/>
    <w:rsid w:val="00FE41C7"/>
    <w:rsid w:val="00FE59FF"/>
    <w:rsid w:val="00FE73B3"/>
    <w:rsid w:val="00FE7E7A"/>
    <w:rsid w:val="00FF1A26"/>
    <w:rsid w:val="00FF3329"/>
    <w:rsid w:val="00FF3BD3"/>
    <w:rsid w:val="00FF54C4"/>
    <w:rsid w:val="00FF5EEF"/>
    <w:rsid w:val="00FF5F3D"/>
    <w:rsid w:val="00FF61AC"/>
    <w:rsid w:val="00FF70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5CD1"/>
    <w:pPr>
      <w:spacing w:after="120"/>
      <w:ind w:firstLine="284"/>
      <w:jc w:val="both"/>
    </w:pPr>
    <w:rPr>
      <w:rFonts w:ascii="Times New Roman" w:hAnsi="Times New Roman"/>
      <w:sz w:val="24"/>
    </w:rPr>
  </w:style>
  <w:style w:type="paragraph" w:styleId="Nadpis1">
    <w:name w:val="heading 1"/>
    <w:basedOn w:val="Normln"/>
    <w:next w:val="Normln"/>
    <w:link w:val="Nadpis1Char"/>
    <w:uiPriority w:val="99"/>
    <w:qFormat/>
    <w:rsid w:val="00437730"/>
    <w:pPr>
      <w:keepNext/>
      <w:keepLines/>
      <w:spacing w:before="480" w:after="0"/>
      <w:outlineLvl w:val="0"/>
    </w:pPr>
    <w:rPr>
      <w:rFonts w:asciiTheme="majorHAnsi" w:eastAsiaTheme="majorEastAsia" w:hAnsiTheme="majorHAnsi" w:cstheme="majorBidi"/>
      <w:b/>
      <w:bCs/>
      <w:color w:val="000000" w:themeColor="text1"/>
      <w:szCs w:val="28"/>
    </w:rPr>
  </w:style>
  <w:style w:type="paragraph" w:styleId="Nadpis2">
    <w:name w:val="heading 2"/>
    <w:basedOn w:val="Normln"/>
    <w:next w:val="Normln"/>
    <w:link w:val="Nadpis2Char"/>
    <w:uiPriority w:val="9"/>
    <w:unhideWhenUsed/>
    <w:qFormat/>
    <w:rsid w:val="004377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unhideWhenUsed/>
    <w:qFormat/>
    <w:rsid w:val="00437730"/>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9"/>
    <w:unhideWhenUsed/>
    <w:qFormat/>
    <w:rsid w:val="009F7122"/>
    <w:pPr>
      <w:keepNext/>
      <w:keepLines/>
      <w:spacing w:before="200" w:after="0"/>
      <w:ind w:left="864" w:hanging="864"/>
      <w:outlineLvl w:val="3"/>
    </w:pPr>
    <w:rPr>
      <w:rFonts w:ascii="Cambria" w:eastAsia="Times New Roman" w:hAnsi="Cambria" w:cs="Cambria"/>
      <w:b/>
      <w:bCs/>
      <w:i/>
      <w:iCs/>
      <w:color w:val="1F497D" w:themeColor="text2"/>
      <w:szCs w:val="24"/>
    </w:rPr>
  </w:style>
  <w:style w:type="paragraph" w:styleId="Nadpis5">
    <w:name w:val="heading 5"/>
    <w:basedOn w:val="Normln"/>
    <w:next w:val="Normln"/>
    <w:link w:val="Nadpis5Char"/>
    <w:uiPriority w:val="99"/>
    <w:unhideWhenUsed/>
    <w:qFormat/>
    <w:rsid w:val="009F7122"/>
    <w:pPr>
      <w:spacing w:before="240" w:after="60"/>
      <w:ind w:left="1008" w:hanging="1008"/>
      <w:outlineLvl w:val="4"/>
    </w:pPr>
    <w:rPr>
      <w:rFonts w:ascii="Calibri" w:eastAsia="Times New Roman" w:hAnsi="Calibri" w:cs="Calibri"/>
      <w:b/>
      <w:bCs/>
      <w:i/>
      <w:iCs/>
      <w:sz w:val="26"/>
      <w:szCs w:val="26"/>
    </w:rPr>
  </w:style>
  <w:style w:type="paragraph" w:styleId="Nadpis6">
    <w:name w:val="heading 6"/>
    <w:basedOn w:val="Normln"/>
    <w:next w:val="Normln"/>
    <w:link w:val="Nadpis6Char"/>
    <w:uiPriority w:val="99"/>
    <w:unhideWhenUsed/>
    <w:qFormat/>
    <w:rsid w:val="009F7122"/>
    <w:pPr>
      <w:spacing w:before="240" w:after="60"/>
      <w:ind w:left="1152" w:hanging="1152"/>
      <w:outlineLvl w:val="5"/>
    </w:pPr>
    <w:rPr>
      <w:rFonts w:ascii="Calibri" w:eastAsia="Times New Roman" w:hAnsi="Calibri" w:cs="Calibri"/>
      <w:b/>
      <w:bCs/>
      <w:szCs w:val="24"/>
    </w:rPr>
  </w:style>
  <w:style w:type="paragraph" w:styleId="Nadpis7">
    <w:name w:val="heading 7"/>
    <w:basedOn w:val="Normln"/>
    <w:next w:val="Normln"/>
    <w:link w:val="Nadpis7Char"/>
    <w:uiPriority w:val="99"/>
    <w:unhideWhenUsed/>
    <w:qFormat/>
    <w:rsid w:val="009F7122"/>
    <w:pPr>
      <w:spacing w:before="240" w:after="60"/>
      <w:ind w:left="1296" w:hanging="1296"/>
      <w:outlineLvl w:val="6"/>
    </w:pPr>
    <w:rPr>
      <w:rFonts w:ascii="Calibri" w:eastAsia="Times New Roman" w:hAnsi="Calibri" w:cs="Calibri"/>
      <w:szCs w:val="24"/>
    </w:rPr>
  </w:style>
  <w:style w:type="paragraph" w:styleId="Nadpis8">
    <w:name w:val="heading 8"/>
    <w:basedOn w:val="Normln"/>
    <w:next w:val="Normln"/>
    <w:link w:val="Nadpis8Char"/>
    <w:uiPriority w:val="99"/>
    <w:unhideWhenUsed/>
    <w:qFormat/>
    <w:rsid w:val="009F7122"/>
    <w:pPr>
      <w:spacing w:before="240" w:after="60"/>
      <w:ind w:left="1440" w:hanging="1440"/>
      <w:outlineLvl w:val="7"/>
    </w:pPr>
    <w:rPr>
      <w:rFonts w:ascii="Calibri" w:eastAsia="Times New Roman" w:hAnsi="Calibri" w:cs="Calibri"/>
      <w:i/>
      <w:iCs/>
      <w:szCs w:val="24"/>
    </w:rPr>
  </w:style>
  <w:style w:type="paragraph" w:styleId="Nadpis9">
    <w:name w:val="heading 9"/>
    <w:basedOn w:val="Normln"/>
    <w:next w:val="Normln"/>
    <w:link w:val="Nadpis9Char"/>
    <w:uiPriority w:val="99"/>
    <w:unhideWhenUsed/>
    <w:qFormat/>
    <w:rsid w:val="009F7122"/>
    <w:pPr>
      <w:spacing w:before="240" w:after="60"/>
      <w:ind w:left="1584" w:hanging="1584"/>
      <w:outlineLvl w:val="8"/>
    </w:pPr>
    <w:rPr>
      <w:rFonts w:ascii="Cambria" w:eastAsia="Times New Roman" w:hAnsi="Cambria" w:cs="Cambria"/>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37730"/>
    <w:rPr>
      <w:rFonts w:asciiTheme="majorHAnsi" w:eastAsiaTheme="majorEastAsia" w:hAnsiTheme="majorHAnsi" w:cstheme="majorBidi"/>
      <w:b/>
      <w:bCs/>
      <w:color w:val="000000" w:themeColor="text1"/>
      <w:sz w:val="24"/>
      <w:szCs w:val="28"/>
    </w:rPr>
  </w:style>
  <w:style w:type="character" w:customStyle="1" w:styleId="Nadpis2Char">
    <w:name w:val="Nadpis 2 Char"/>
    <w:basedOn w:val="Standardnpsmoodstavce"/>
    <w:link w:val="Nadpis2"/>
    <w:uiPriority w:val="9"/>
    <w:rsid w:val="0043773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9"/>
    <w:rsid w:val="00437730"/>
    <w:rPr>
      <w:rFonts w:asciiTheme="majorHAnsi" w:eastAsiaTheme="majorEastAsia" w:hAnsiTheme="majorHAnsi" w:cstheme="majorBidi"/>
      <w:b/>
      <w:bCs/>
      <w:color w:val="4F81BD" w:themeColor="accent1"/>
      <w:sz w:val="24"/>
    </w:rPr>
  </w:style>
  <w:style w:type="paragraph" w:styleId="Odstavecseseznamem">
    <w:name w:val="List Paragraph"/>
    <w:basedOn w:val="Normln"/>
    <w:uiPriority w:val="34"/>
    <w:qFormat/>
    <w:rsid w:val="00437730"/>
    <w:pPr>
      <w:ind w:left="720"/>
      <w:contextualSpacing/>
    </w:pPr>
  </w:style>
  <w:style w:type="paragraph" w:styleId="Bezmezer">
    <w:name w:val="No Spacing"/>
    <w:uiPriority w:val="1"/>
    <w:qFormat/>
    <w:rsid w:val="00437730"/>
    <w:pPr>
      <w:spacing w:after="0" w:line="240" w:lineRule="auto"/>
      <w:ind w:firstLine="567"/>
      <w:jc w:val="both"/>
    </w:pPr>
    <w:rPr>
      <w:rFonts w:ascii="Times New Roman" w:hAnsi="Times New Roman"/>
      <w:sz w:val="24"/>
    </w:rPr>
  </w:style>
  <w:style w:type="character" w:customStyle="1" w:styleId="Nadpis4Char">
    <w:name w:val="Nadpis 4 Char"/>
    <w:basedOn w:val="Standardnpsmoodstavce"/>
    <w:link w:val="Nadpis4"/>
    <w:uiPriority w:val="99"/>
    <w:rsid w:val="009F7122"/>
    <w:rPr>
      <w:rFonts w:ascii="Cambria" w:eastAsia="Times New Roman" w:hAnsi="Cambria" w:cs="Cambria"/>
      <w:b/>
      <w:bCs/>
      <w:i/>
      <w:iCs/>
      <w:color w:val="1F497D" w:themeColor="text2"/>
      <w:sz w:val="24"/>
      <w:szCs w:val="24"/>
    </w:rPr>
  </w:style>
  <w:style w:type="character" w:customStyle="1" w:styleId="Nadpis5Char">
    <w:name w:val="Nadpis 5 Char"/>
    <w:basedOn w:val="Standardnpsmoodstavce"/>
    <w:link w:val="Nadpis5"/>
    <w:uiPriority w:val="99"/>
    <w:rsid w:val="009F7122"/>
    <w:rPr>
      <w:rFonts w:ascii="Calibri" w:eastAsia="Times New Roman" w:hAnsi="Calibri" w:cs="Calibri"/>
      <w:b/>
      <w:bCs/>
      <w:i/>
      <w:iCs/>
      <w:sz w:val="26"/>
      <w:szCs w:val="26"/>
    </w:rPr>
  </w:style>
  <w:style w:type="character" w:customStyle="1" w:styleId="Nadpis6Char">
    <w:name w:val="Nadpis 6 Char"/>
    <w:basedOn w:val="Standardnpsmoodstavce"/>
    <w:link w:val="Nadpis6"/>
    <w:uiPriority w:val="99"/>
    <w:rsid w:val="009F7122"/>
    <w:rPr>
      <w:rFonts w:ascii="Calibri" w:eastAsia="Times New Roman" w:hAnsi="Calibri" w:cs="Calibri"/>
      <w:b/>
      <w:bCs/>
      <w:sz w:val="24"/>
      <w:szCs w:val="24"/>
    </w:rPr>
  </w:style>
  <w:style w:type="character" w:customStyle="1" w:styleId="Nadpis7Char">
    <w:name w:val="Nadpis 7 Char"/>
    <w:basedOn w:val="Standardnpsmoodstavce"/>
    <w:link w:val="Nadpis7"/>
    <w:uiPriority w:val="99"/>
    <w:rsid w:val="009F7122"/>
    <w:rPr>
      <w:rFonts w:ascii="Calibri" w:eastAsia="Times New Roman" w:hAnsi="Calibri" w:cs="Calibri"/>
      <w:sz w:val="24"/>
      <w:szCs w:val="24"/>
    </w:rPr>
  </w:style>
  <w:style w:type="character" w:customStyle="1" w:styleId="Nadpis8Char">
    <w:name w:val="Nadpis 8 Char"/>
    <w:basedOn w:val="Standardnpsmoodstavce"/>
    <w:link w:val="Nadpis8"/>
    <w:uiPriority w:val="99"/>
    <w:rsid w:val="009F7122"/>
    <w:rPr>
      <w:rFonts w:ascii="Calibri" w:eastAsia="Times New Roman" w:hAnsi="Calibri" w:cs="Calibri"/>
      <w:i/>
      <w:iCs/>
      <w:sz w:val="24"/>
      <w:szCs w:val="24"/>
    </w:rPr>
  </w:style>
  <w:style w:type="character" w:customStyle="1" w:styleId="Nadpis9Char">
    <w:name w:val="Nadpis 9 Char"/>
    <w:basedOn w:val="Standardnpsmoodstavce"/>
    <w:link w:val="Nadpis9"/>
    <w:uiPriority w:val="99"/>
    <w:rsid w:val="009F7122"/>
    <w:rPr>
      <w:rFonts w:ascii="Cambria" w:eastAsia="Times New Roman" w:hAnsi="Cambria" w:cs="Cambria"/>
      <w:sz w:val="24"/>
      <w:szCs w:val="24"/>
    </w:rPr>
  </w:style>
  <w:style w:type="paragraph" w:styleId="Textbubliny">
    <w:name w:val="Balloon Text"/>
    <w:basedOn w:val="Normln"/>
    <w:link w:val="TextbublinyChar"/>
    <w:uiPriority w:val="99"/>
    <w:semiHidden/>
    <w:unhideWhenUsed/>
    <w:rsid w:val="009F7122"/>
    <w:pPr>
      <w:spacing w:after="0"/>
      <w:ind w:firstLine="0"/>
      <w:jc w:val="left"/>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rsid w:val="009F7122"/>
    <w:rPr>
      <w:rFonts w:ascii="Tahoma" w:eastAsia="Times New Roman" w:hAnsi="Tahoma" w:cs="Tahoma"/>
      <w:sz w:val="16"/>
      <w:szCs w:val="16"/>
      <w:lang w:eastAsia="cs-CZ"/>
    </w:rPr>
  </w:style>
  <w:style w:type="paragraph" w:styleId="Textkomente">
    <w:name w:val="annotation text"/>
    <w:basedOn w:val="Normln"/>
    <w:link w:val="TextkomenteChar"/>
    <w:semiHidden/>
    <w:unhideWhenUsed/>
    <w:rsid w:val="009F7122"/>
    <w:pPr>
      <w:ind w:firstLine="0"/>
      <w:jc w:val="left"/>
    </w:pPr>
    <w:rPr>
      <w:rFonts w:asciiTheme="minorHAnsi" w:hAnsiTheme="minorHAnsi"/>
      <w:sz w:val="20"/>
      <w:szCs w:val="20"/>
    </w:rPr>
  </w:style>
  <w:style w:type="character" w:customStyle="1" w:styleId="TextkomenteChar">
    <w:name w:val="Text komentáře Char"/>
    <w:basedOn w:val="Standardnpsmoodstavce"/>
    <w:link w:val="Textkomente"/>
    <w:semiHidden/>
    <w:rsid w:val="009F7122"/>
    <w:rPr>
      <w:sz w:val="20"/>
      <w:szCs w:val="20"/>
    </w:rPr>
  </w:style>
  <w:style w:type="character" w:styleId="Odkaznakoment">
    <w:name w:val="annotation reference"/>
    <w:basedOn w:val="Standardnpsmoodstavce"/>
    <w:semiHidden/>
    <w:unhideWhenUsed/>
    <w:rsid w:val="009F7122"/>
    <w:rPr>
      <w:sz w:val="16"/>
      <w:szCs w:val="16"/>
    </w:rPr>
  </w:style>
  <w:style w:type="paragraph" w:customStyle="1" w:styleId="Textbodu">
    <w:name w:val="Text bodu"/>
    <w:basedOn w:val="Normln"/>
    <w:rsid w:val="009F7122"/>
    <w:pPr>
      <w:numPr>
        <w:ilvl w:val="2"/>
        <w:numId w:val="1"/>
      </w:numPr>
      <w:spacing w:after="0"/>
      <w:outlineLvl w:val="8"/>
    </w:pPr>
    <w:rPr>
      <w:rFonts w:eastAsia="Times New Roman" w:cs="Times New Roman"/>
      <w:szCs w:val="20"/>
      <w:lang w:eastAsia="cs-CZ"/>
    </w:rPr>
  </w:style>
  <w:style w:type="paragraph" w:customStyle="1" w:styleId="Textpsmene">
    <w:name w:val="Text písmene"/>
    <w:basedOn w:val="Normln"/>
    <w:rsid w:val="009F7122"/>
    <w:pPr>
      <w:numPr>
        <w:ilvl w:val="1"/>
        <w:numId w:val="1"/>
      </w:numPr>
      <w:tabs>
        <w:tab w:val="clear" w:pos="709"/>
        <w:tab w:val="num" w:pos="425"/>
      </w:tabs>
      <w:spacing w:after="0"/>
      <w:ind w:left="425"/>
      <w:outlineLvl w:val="7"/>
    </w:pPr>
    <w:rPr>
      <w:rFonts w:eastAsia="Times New Roman" w:cs="Times New Roman"/>
      <w:szCs w:val="20"/>
      <w:lang w:eastAsia="cs-CZ"/>
    </w:rPr>
  </w:style>
  <w:style w:type="paragraph" w:customStyle="1" w:styleId="Textodstavce">
    <w:name w:val="Text odstavce"/>
    <w:basedOn w:val="Normln"/>
    <w:rsid w:val="009F7122"/>
    <w:pPr>
      <w:numPr>
        <w:numId w:val="1"/>
      </w:numPr>
      <w:tabs>
        <w:tab w:val="left" w:pos="851"/>
      </w:tabs>
      <w:spacing w:before="120"/>
      <w:outlineLvl w:val="6"/>
    </w:pPr>
    <w:rPr>
      <w:rFonts w:eastAsia="Times New Roman" w:cs="Times New Roman"/>
      <w:szCs w:val="20"/>
      <w:lang w:eastAsia="cs-CZ"/>
    </w:rPr>
  </w:style>
  <w:style w:type="paragraph" w:styleId="Textpoznpodarou">
    <w:name w:val="footnote text"/>
    <w:basedOn w:val="Normln"/>
    <w:link w:val="TextpoznpodarouChar"/>
    <w:uiPriority w:val="99"/>
    <w:rsid w:val="009F7122"/>
    <w:pPr>
      <w:spacing w:after="0"/>
      <w:ind w:firstLine="0"/>
      <w:jc w:val="left"/>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uiPriority w:val="99"/>
    <w:rsid w:val="009F7122"/>
    <w:rPr>
      <w:rFonts w:ascii="Times New Roman" w:eastAsia="Times New Roman" w:hAnsi="Times New Roman" w:cs="Times New Roman"/>
      <w:sz w:val="20"/>
      <w:szCs w:val="20"/>
      <w:lang w:eastAsia="cs-CZ"/>
    </w:rPr>
  </w:style>
  <w:style w:type="character" w:styleId="Znakapoznpodarou">
    <w:name w:val="footnote reference"/>
    <w:uiPriority w:val="99"/>
    <w:rsid w:val="009F7122"/>
    <w:rPr>
      <w:vertAlign w:val="superscript"/>
    </w:rPr>
  </w:style>
  <w:style w:type="paragraph" w:styleId="Zhlav">
    <w:name w:val="header"/>
    <w:basedOn w:val="Normln"/>
    <w:link w:val="ZhlavChar"/>
    <w:uiPriority w:val="99"/>
    <w:unhideWhenUsed/>
    <w:rsid w:val="009F7122"/>
    <w:pPr>
      <w:tabs>
        <w:tab w:val="center" w:pos="4536"/>
        <w:tab w:val="right" w:pos="9072"/>
      </w:tabs>
      <w:spacing w:after="0"/>
      <w:ind w:firstLine="0"/>
      <w:jc w:val="left"/>
    </w:pPr>
    <w:rPr>
      <w:rFonts w:eastAsia="Times New Roman" w:cs="Times New Roman"/>
      <w:szCs w:val="24"/>
      <w:lang w:eastAsia="cs-CZ"/>
    </w:rPr>
  </w:style>
  <w:style w:type="character" w:customStyle="1" w:styleId="ZhlavChar">
    <w:name w:val="Záhlaví Char"/>
    <w:basedOn w:val="Standardnpsmoodstavce"/>
    <w:link w:val="Zhlav"/>
    <w:uiPriority w:val="99"/>
    <w:rsid w:val="009F712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7122"/>
    <w:pPr>
      <w:tabs>
        <w:tab w:val="center" w:pos="4536"/>
        <w:tab w:val="right" w:pos="9072"/>
      </w:tabs>
      <w:spacing w:after="0"/>
      <w:ind w:firstLine="0"/>
      <w:jc w:val="left"/>
    </w:pPr>
    <w:rPr>
      <w:rFonts w:eastAsia="Times New Roman" w:cs="Times New Roman"/>
      <w:szCs w:val="24"/>
      <w:lang w:eastAsia="cs-CZ"/>
    </w:rPr>
  </w:style>
  <w:style w:type="character" w:customStyle="1" w:styleId="ZpatChar">
    <w:name w:val="Zápatí Char"/>
    <w:basedOn w:val="Standardnpsmoodstavce"/>
    <w:link w:val="Zpat"/>
    <w:uiPriority w:val="99"/>
    <w:rsid w:val="009F7122"/>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9F7122"/>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F7122"/>
    <w:rPr>
      <w:rFonts w:ascii="Times New Roman" w:eastAsia="Times New Roman" w:hAnsi="Times New Roman" w:cs="Times New Roman"/>
      <w:b/>
      <w:bCs/>
      <w:sz w:val="20"/>
      <w:szCs w:val="20"/>
      <w:lang w:eastAsia="cs-CZ"/>
    </w:rPr>
  </w:style>
  <w:style w:type="paragraph" w:styleId="Zkladntext">
    <w:name w:val="Body Text"/>
    <w:basedOn w:val="Normln"/>
    <w:link w:val="ZkladntextChar"/>
    <w:uiPriority w:val="99"/>
    <w:unhideWhenUsed/>
    <w:rsid w:val="009F7122"/>
    <w:pPr>
      <w:spacing w:before="120"/>
      <w:ind w:firstLine="0"/>
    </w:pPr>
    <w:rPr>
      <w:rFonts w:asciiTheme="minorHAnsi" w:eastAsia="Calibri" w:hAnsiTheme="minorHAnsi" w:cs="Garamond"/>
      <w:szCs w:val="24"/>
    </w:rPr>
  </w:style>
  <w:style w:type="character" w:customStyle="1" w:styleId="ZkladntextChar">
    <w:name w:val="Základní text Char"/>
    <w:basedOn w:val="Standardnpsmoodstavce"/>
    <w:link w:val="Zkladntext"/>
    <w:uiPriority w:val="99"/>
    <w:rsid w:val="009F7122"/>
    <w:rPr>
      <w:rFonts w:eastAsia="Calibri" w:cs="Garamond"/>
      <w:sz w:val="24"/>
      <w:szCs w:val="24"/>
    </w:rPr>
  </w:style>
  <w:style w:type="character" w:customStyle="1" w:styleId="Nadpis1Char1">
    <w:name w:val="Nadpis 1 Char1"/>
    <w:basedOn w:val="Standardnpsmoodstavce"/>
    <w:uiPriority w:val="99"/>
    <w:locked/>
    <w:rsid w:val="009F7122"/>
    <w:rPr>
      <w:rFonts w:eastAsia="Times New Roman" w:cs="Cambria"/>
      <w:b/>
      <w:bCs/>
      <w:color w:val="1F497D" w:themeColor="text2"/>
      <w:sz w:val="28"/>
      <w:szCs w:val="28"/>
    </w:rPr>
  </w:style>
  <w:style w:type="character" w:customStyle="1" w:styleId="Nadpis2Char1">
    <w:name w:val="Nadpis 2 Char1"/>
    <w:basedOn w:val="Standardnpsmoodstavce"/>
    <w:uiPriority w:val="99"/>
    <w:semiHidden/>
    <w:locked/>
    <w:rsid w:val="009F7122"/>
    <w:rPr>
      <w:rFonts w:eastAsia="Times New Roman" w:cs="Cambria"/>
      <w:b/>
      <w:bCs/>
      <w:color w:val="1F497D" w:themeColor="text2"/>
      <w:sz w:val="26"/>
      <w:szCs w:val="26"/>
    </w:rPr>
  </w:style>
  <w:style w:type="paragraph" w:styleId="Textvysvtlivek">
    <w:name w:val="endnote text"/>
    <w:basedOn w:val="Normln"/>
    <w:link w:val="TextvysvtlivekChar"/>
    <w:uiPriority w:val="99"/>
    <w:semiHidden/>
    <w:unhideWhenUsed/>
    <w:rsid w:val="009F7122"/>
    <w:pPr>
      <w:spacing w:after="0"/>
      <w:ind w:firstLine="0"/>
      <w:jc w:val="left"/>
    </w:pPr>
    <w:rPr>
      <w:rFonts w:eastAsia="Times New Roman" w:cs="Times New Roman"/>
      <w:sz w:val="20"/>
      <w:szCs w:val="20"/>
      <w:lang w:eastAsia="cs-CZ"/>
    </w:rPr>
  </w:style>
  <w:style w:type="character" w:customStyle="1" w:styleId="TextvysvtlivekChar">
    <w:name w:val="Text vysvětlivek Char"/>
    <w:basedOn w:val="Standardnpsmoodstavce"/>
    <w:link w:val="Textvysvtlivek"/>
    <w:uiPriority w:val="99"/>
    <w:semiHidden/>
    <w:rsid w:val="009F7122"/>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9F7122"/>
    <w:rPr>
      <w:vertAlign w:val="superscript"/>
    </w:rPr>
  </w:style>
  <w:style w:type="paragraph" w:styleId="Revize">
    <w:name w:val="Revision"/>
    <w:hidden/>
    <w:uiPriority w:val="99"/>
    <w:semiHidden/>
    <w:rsid w:val="009F7122"/>
    <w:pPr>
      <w:spacing w:after="0"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9F7122"/>
    <w:rPr>
      <w:b/>
      <w:bCs/>
    </w:rPr>
  </w:style>
  <w:style w:type="character" w:customStyle="1" w:styleId="Nadpis3Char1">
    <w:name w:val="Nadpis 3 Char1"/>
    <w:basedOn w:val="Standardnpsmoodstavce"/>
    <w:uiPriority w:val="99"/>
    <w:rsid w:val="009F7122"/>
    <w:rPr>
      <w:rFonts w:eastAsia="Times New Roman" w:cs="Cambria"/>
      <w:b/>
      <w:bCs/>
      <w:color w:val="1F497D" w:themeColor="text2"/>
      <w:sz w:val="24"/>
      <w:szCs w:val="24"/>
    </w:rPr>
  </w:style>
  <w:style w:type="table" w:styleId="Mkatabulky">
    <w:name w:val="Table Grid"/>
    <w:basedOn w:val="Normlntabulka"/>
    <w:rsid w:val="009F7122"/>
    <w:pPr>
      <w:spacing w:after="0" w:line="240" w:lineRule="auto"/>
    </w:pPr>
    <w:rPr>
      <w:rFonts w:ascii="Calibri" w:eastAsia="Calibri"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basedOn w:val="Normln"/>
    <w:link w:val="Normln1Char"/>
    <w:rsid w:val="00ED6021"/>
    <w:pPr>
      <w:spacing w:after="240" w:line="360" w:lineRule="auto"/>
      <w:ind w:firstLine="340"/>
    </w:pPr>
    <w:rPr>
      <w:rFonts w:eastAsia="Calibri" w:cs="Times New Roman"/>
      <w:szCs w:val="24"/>
    </w:rPr>
  </w:style>
  <w:style w:type="character" w:customStyle="1" w:styleId="Normln1Char">
    <w:name w:val="Normální1 Char"/>
    <w:link w:val="Normln1"/>
    <w:rsid w:val="00ED6021"/>
    <w:rPr>
      <w:rFonts w:ascii="Times New Roman" w:eastAsia="Calibri" w:hAnsi="Times New Roman" w:cs="Times New Roman"/>
      <w:sz w:val="24"/>
      <w:szCs w:val="24"/>
    </w:rPr>
  </w:style>
  <w:style w:type="character" w:styleId="Hypertextovodkaz">
    <w:name w:val="Hyperlink"/>
    <w:uiPriority w:val="99"/>
    <w:unhideWhenUsed/>
    <w:rsid w:val="00ED66F7"/>
    <w:rPr>
      <w:color w:val="0000FF"/>
      <w:u w:val="single"/>
    </w:rPr>
  </w:style>
  <w:style w:type="paragraph" w:customStyle="1" w:styleId="p2">
    <w:name w:val="p2"/>
    <w:basedOn w:val="Normln"/>
    <w:rsid w:val="00984D1A"/>
    <w:pPr>
      <w:spacing w:before="100" w:beforeAutospacing="1" w:after="100" w:afterAutospacing="1"/>
      <w:ind w:firstLine="0"/>
      <w:jc w:val="left"/>
    </w:pPr>
    <w:rPr>
      <w:rFonts w:eastAsia="Times New Roman" w:cs="Times New Roman"/>
      <w:szCs w:val="24"/>
      <w:lang w:eastAsia="cs-CZ"/>
    </w:rPr>
  </w:style>
  <w:style w:type="character" w:customStyle="1" w:styleId="Kurzva">
    <w:name w:val="Kurzíva"/>
    <w:rsid w:val="000452D5"/>
    <w:rPr>
      <w:rFonts w:ascii="Times New Roman" w:hAnsi="Times New Roman" w:cs="Times New Roman" w:hint="default"/>
      <w:i/>
      <w:iCs/>
    </w:rPr>
  </w:style>
  <w:style w:type="character" w:customStyle="1" w:styleId="Hornindex">
    <w:name w:val="Horní index"/>
    <w:rsid w:val="000452D5"/>
    <w:rPr>
      <w:vertAlign w:val="superscript"/>
    </w:rPr>
  </w:style>
  <w:style w:type="character" w:customStyle="1" w:styleId="footnote-detail">
    <w:name w:val="footnote-detail"/>
    <w:rsid w:val="00C015BC"/>
    <w:rPr>
      <w:b w:val="0"/>
      <w:bCs w:val="0"/>
      <w:i w:val="0"/>
      <w:iCs w:val="0"/>
      <w:vanish/>
      <w:webHidden w:val="0"/>
      <w:color w:val="FFFFFF"/>
      <w:shd w:val="clear" w:color="auto" w:fill="00ADBA"/>
      <w:specVanish w:val="0"/>
    </w:rPr>
  </w:style>
  <w:style w:type="paragraph" w:customStyle="1" w:styleId="Prvnnadpis">
    <w:name w:val="První nadpis"/>
    <w:basedOn w:val="Normln"/>
    <w:qFormat/>
    <w:rsid w:val="00340BC7"/>
    <w:pPr>
      <w:keepNext/>
      <w:numPr>
        <w:numId w:val="31"/>
      </w:numPr>
      <w:spacing w:before="480"/>
      <w:ind w:left="0" w:firstLine="0"/>
    </w:pPr>
    <w:rPr>
      <w:rFonts w:eastAsia="Calibri" w:cs="Times New Roman"/>
      <w:b/>
      <w:color w:val="4F81BD" w:themeColor="accent1"/>
      <w:sz w:val="32"/>
      <w:szCs w:val="24"/>
    </w:rPr>
  </w:style>
  <w:style w:type="paragraph" w:customStyle="1" w:styleId="Druhnadpis">
    <w:name w:val="Druhý nadpis"/>
    <w:basedOn w:val="Normln"/>
    <w:qFormat/>
    <w:rsid w:val="00B844FF"/>
    <w:pPr>
      <w:keepNext/>
      <w:numPr>
        <w:ilvl w:val="1"/>
        <w:numId w:val="31"/>
      </w:numPr>
      <w:spacing w:before="360"/>
      <w:ind w:left="425" w:hanging="425"/>
    </w:pPr>
    <w:rPr>
      <w:rFonts w:eastAsia="Calibri" w:cs="Times New Roman"/>
      <w:b/>
      <w:noProof/>
      <w:color w:val="4F81BD" w:themeColor="accent1"/>
      <w:sz w:val="28"/>
      <w:szCs w:val="24"/>
    </w:rPr>
  </w:style>
  <w:style w:type="paragraph" w:customStyle="1" w:styleId="Tetnadpis">
    <w:name w:val="Třetí nadpis"/>
    <w:basedOn w:val="Druhnadpis"/>
    <w:link w:val="TetnadpisChar"/>
    <w:qFormat/>
    <w:rsid w:val="0021075C"/>
    <w:pPr>
      <w:numPr>
        <w:ilvl w:val="2"/>
      </w:numPr>
      <w:ind w:left="567" w:hanging="567"/>
    </w:pPr>
    <w:rPr>
      <w:i/>
      <w:sz w:val="24"/>
    </w:rPr>
  </w:style>
  <w:style w:type="character" w:customStyle="1" w:styleId="TetnadpisChar">
    <w:name w:val="Třetí nadpis Char"/>
    <w:link w:val="Tetnadpis"/>
    <w:rsid w:val="0021075C"/>
    <w:rPr>
      <w:rFonts w:ascii="Times New Roman" w:eastAsia="Calibri" w:hAnsi="Times New Roman" w:cs="Times New Roman"/>
      <w:b/>
      <w:i/>
      <w:noProof/>
      <w:color w:val="4F81BD" w:themeColor="accent1"/>
      <w:sz w:val="24"/>
      <w:szCs w:val="24"/>
    </w:rPr>
  </w:style>
  <w:style w:type="paragraph" w:styleId="Nzev">
    <w:name w:val="Title"/>
    <w:basedOn w:val="Normln"/>
    <w:next w:val="Normln"/>
    <w:link w:val="NzevChar"/>
    <w:uiPriority w:val="10"/>
    <w:qFormat/>
    <w:rsid w:val="00D55C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55CD1"/>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D55CD1"/>
    <w:pPr>
      <w:numPr>
        <w:ilvl w:val="1"/>
      </w:numPr>
      <w:ind w:firstLine="284"/>
    </w:pPr>
    <w:rPr>
      <w:rFonts w:asciiTheme="majorHAnsi" w:eastAsiaTheme="majorEastAsia" w:hAnsiTheme="majorHAnsi" w:cstheme="majorBidi"/>
      <w:i/>
      <w:iCs/>
      <w:color w:val="4F81BD" w:themeColor="accent1"/>
      <w:spacing w:val="15"/>
      <w:szCs w:val="24"/>
    </w:rPr>
  </w:style>
  <w:style w:type="character" w:customStyle="1" w:styleId="PodtitulChar">
    <w:name w:val="Podtitul Char"/>
    <w:basedOn w:val="Standardnpsmoodstavce"/>
    <w:link w:val="Podtitul"/>
    <w:uiPriority w:val="11"/>
    <w:rsid w:val="00D55CD1"/>
    <w:rPr>
      <w:rFonts w:asciiTheme="majorHAnsi" w:eastAsiaTheme="majorEastAsia" w:hAnsiTheme="majorHAnsi" w:cstheme="majorBidi"/>
      <w:i/>
      <w:iCs/>
      <w:color w:val="4F81BD" w:themeColor="accent1"/>
      <w:spacing w:val="15"/>
      <w:sz w:val="24"/>
      <w:szCs w:val="24"/>
    </w:rPr>
  </w:style>
  <w:style w:type="character" w:styleId="Zdraznnintenzivn">
    <w:name w:val="Intense Emphasis"/>
    <w:basedOn w:val="Standardnpsmoodstavce"/>
    <w:uiPriority w:val="21"/>
    <w:qFormat/>
    <w:rsid w:val="00B844FF"/>
    <w:rPr>
      <w:b/>
      <w:bCs/>
      <w:i/>
      <w:iCs/>
      <w:color w:val="4F81BD" w:themeColor="accent1"/>
    </w:rPr>
  </w:style>
  <w:style w:type="character" w:styleId="Zdraznnjemn">
    <w:name w:val="Subtle Emphasis"/>
    <w:basedOn w:val="Standardnpsmoodstavce"/>
    <w:uiPriority w:val="19"/>
    <w:qFormat/>
    <w:rsid w:val="00B844FF"/>
    <w:rPr>
      <w:i/>
      <w:iCs/>
      <w:color w:val="808080" w:themeColor="text1" w:themeTint="7F"/>
    </w:rPr>
  </w:style>
  <w:style w:type="paragraph" w:customStyle="1" w:styleId="Variantnnadpis">
    <w:name w:val="Variantní nadpis"/>
    <w:basedOn w:val="Normln"/>
    <w:next w:val="Normln"/>
    <w:qFormat/>
    <w:rsid w:val="00D74742"/>
    <w:pPr>
      <w:keepNext/>
      <w:spacing w:before="60"/>
      <w:ind w:firstLine="0"/>
    </w:pPr>
    <w:rPr>
      <w:u w:val="single"/>
    </w:rPr>
  </w:style>
  <w:style w:type="paragraph" w:customStyle="1" w:styleId="Default">
    <w:name w:val="Default"/>
    <w:rsid w:val="0083717F"/>
    <w:pPr>
      <w:autoSpaceDE w:val="0"/>
      <w:autoSpaceDN w:val="0"/>
      <w:adjustRightInd w:val="0"/>
      <w:spacing w:after="0" w:line="240" w:lineRule="auto"/>
    </w:pPr>
    <w:rPr>
      <w:rFonts w:ascii="EUAlbertina" w:hAnsi="EUAlbertina" w:cs="EUAlbertina"/>
      <w:color w:val="000000"/>
      <w:sz w:val="24"/>
      <w:szCs w:val="24"/>
    </w:rPr>
  </w:style>
  <w:style w:type="paragraph" w:styleId="Titulek">
    <w:name w:val="caption"/>
    <w:basedOn w:val="Normln"/>
    <w:semiHidden/>
    <w:unhideWhenUsed/>
    <w:qFormat/>
    <w:rsid w:val="00801214"/>
    <w:pPr>
      <w:suppressAutoHyphens/>
      <w:spacing w:after="200" w:line="240" w:lineRule="auto"/>
      <w:ind w:firstLine="0"/>
      <w:jc w:val="left"/>
    </w:pPr>
    <w:rPr>
      <w:rFonts w:ascii="Calibri" w:eastAsia="Droid Sans Fallback" w:hAnsi="Calibri" w:cs="Times New Roman"/>
      <w:b/>
      <w:bCs/>
      <w:color w:val="4F81BD"/>
      <w:sz w:val="20"/>
      <w:szCs w:val="18"/>
    </w:rPr>
  </w:style>
  <w:style w:type="table" w:styleId="Svtlstnovnzvraznn1">
    <w:name w:val="Light Shading Accent 1"/>
    <w:basedOn w:val="Normlntabulka"/>
    <w:uiPriority w:val="60"/>
    <w:rsid w:val="00B57EB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Sledovanodkaz">
    <w:name w:val="FollowedHyperlink"/>
    <w:basedOn w:val="Standardnpsmoodstavce"/>
    <w:uiPriority w:val="99"/>
    <w:semiHidden/>
    <w:unhideWhenUsed/>
    <w:rsid w:val="00E14C5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5CD1"/>
    <w:pPr>
      <w:spacing w:after="120"/>
      <w:ind w:firstLine="284"/>
      <w:jc w:val="both"/>
    </w:pPr>
    <w:rPr>
      <w:rFonts w:ascii="Times New Roman" w:hAnsi="Times New Roman"/>
      <w:sz w:val="24"/>
    </w:rPr>
  </w:style>
  <w:style w:type="paragraph" w:styleId="Nadpis1">
    <w:name w:val="heading 1"/>
    <w:basedOn w:val="Normln"/>
    <w:next w:val="Normln"/>
    <w:link w:val="Nadpis1Char"/>
    <w:uiPriority w:val="99"/>
    <w:qFormat/>
    <w:rsid w:val="00437730"/>
    <w:pPr>
      <w:keepNext/>
      <w:keepLines/>
      <w:spacing w:before="480" w:after="0"/>
      <w:outlineLvl w:val="0"/>
    </w:pPr>
    <w:rPr>
      <w:rFonts w:asciiTheme="majorHAnsi" w:eastAsiaTheme="majorEastAsia" w:hAnsiTheme="majorHAnsi" w:cstheme="majorBidi"/>
      <w:b/>
      <w:bCs/>
      <w:color w:val="000000" w:themeColor="text1"/>
      <w:szCs w:val="28"/>
    </w:rPr>
  </w:style>
  <w:style w:type="paragraph" w:styleId="Nadpis2">
    <w:name w:val="heading 2"/>
    <w:basedOn w:val="Normln"/>
    <w:next w:val="Normln"/>
    <w:link w:val="Nadpis2Char"/>
    <w:uiPriority w:val="9"/>
    <w:unhideWhenUsed/>
    <w:qFormat/>
    <w:rsid w:val="004377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unhideWhenUsed/>
    <w:qFormat/>
    <w:rsid w:val="00437730"/>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9"/>
    <w:unhideWhenUsed/>
    <w:qFormat/>
    <w:rsid w:val="009F7122"/>
    <w:pPr>
      <w:keepNext/>
      <w:keepLines/>
      <w:spacing w:before="200" w:after="0"/>
      <w:ind w:left="864" w:hanging="864"/>
      <w:outlineLvl w:val="3"/>
    </w:pPr>
    <w:rPr>
      <w:rFonts w:ascii="Cambria" w:eastAsia="Times New Roman" w:hAnsi="Cambria" w:cs="Cambria"/>
      <w:b/>
      <w:bCs/>
      <w:i/>
      <w:iCs/>
      <w:color w:val="1F497D" w:themeColor="text2"/>
      <w:szCs w:val="24"/>
    </w:rPr>
  </w:style>
  <w:style w:type="paragraph" w:styleId="Nadpis5">
    <w:name w:val="heading 5"/>
    <w:basedOn w:val="Normln"/>
    <w:next w:val="Normln"/>
    <w:link w:val="Nadpis5Char"/>
    <w:uiPriority w:val="99"/>
    <w:unhideWhenUsed/>
    <w:qFormat/>
    <w:rsid w:val="009F7122"/>
    <w:pPr>
      <w:spacing w:before="240" w:after="60"/>
      <w:ind w:left="1008" w:hanging="1008"/>
      <w:outlineLvl w:val="4"/>
    </w:pPr>
    <w:rPr>
      <w:rFonts w:ascii="Calibri" w:eastAsia="Times New Roman" w:hAnsi="Calibri" w:cs="Calibri"/>
      <w:b/>
      <w:bCs/>
      <w:i/>
      <w:iCs/>
      <w:sz w:val="26"/>
      <w:szCs w:val="26"/>
    </w:rPr>
  </w:style>
  <w:style w:type="paragraph" w:styleId="Nadpis6">
    <w:name w:val="heading 6"/>
    <w:basedOn w:val="Normln"/>
    <w:next w:val="Normln"/>
    <w:link w:val="Nadpis6Char"/>
    <w:uiPriority w:val="99"/>
    <w:unhideWhenUsed/>
    <w:qFormat/>
    <w:rsid w:val="009F7122"/>
    <w:pPr>
      <w:spacing w:before="240" w:after="60"/>
      <w:ind w:left="1152" w:hanging="1152"/>
      <w:outlineLvl w:val="5"/>
    </w:pPr>
    <w:rPr>
      <w:rFonts w:ascii="Calibri" w:eastAsia="Times New Roman" w:hAnsi="Calibri" w:cs="Calibri"/>
      <w:b/>
      <w:bCs/>
      <w:szCs w:val="24"/>
    </w:rPr>
  </w:style>
  <w:style w:type="paragraph" w:styleId="Nadpis7">
    <w:name w:val="heading 7"/>
    <w:basedOn w:val="Normln"/>
    <w:next w:val="Normln"/>
    <w:link w:val="Nadpis7Char"/>
    <w:uiPriority w:val="99"/>
    <w:unhideWhenUsed/>
    <w:qFormat/>
    <w:rsid w:val="009F7122"/>
    <w:pPr>
      <w:spacing w:before="240" w:after="60"/>
      <w:ind w:left="1296" w:hanging="1296"/>
      <w:outlineLvl w:val="6"/>
    </w:pPr>
    <w:rPr>
      <w:rFonts w:ascii="Calibri" w:eastAsia="Times New Roman" w:hAnsi="Calibri" w:cs="Calibri"/>
      <w:szCs w:val="24"/>
    </w:rPr>
  </w:style>
  <w:style w:type="paragraph" w:styleId="Nadpis8">
    <w:name w:val="heading 8"/>
    <w:basedOn w:val="Normln"/>
    <w:next w:val="Normln"/>
    <w:link w:val="Nadpis8Char"/>
    <w:uiPriority w:val="99"/>
    <w:unhideWhenUsed/>
    <w:qFormat/>
    <w:rsid w:val="009F7122"/>
    <w:pPr>
      <w:spacing w:before="240" w:after="60"/>
      <w:ind w:left="1440" w:hanging="1440"/>
      <w:outlineLvl w:val="7"/>
    </w:pPr>
    <w:rPr>
      <w:rFonts w:ascii="Calibri" w:eastAsia="Times New Roman" w:hAnsi="Calibri" w:cs="Calibri"/>
      <w:i/>
      <w:iCs/>
      <w:szCs w:val="24"/>
    </w:rPr>
  </w:style>
  <w:style w:type="paragraph" w:styleId="Nadpis9">
    <w:name w:val="heading 9"/>
    <w:basedOn w:val="Normln"/>
    <w:next w:val="Normln"/>
    <w:link w:val="Nadpis9Char"/>
    <w:uiPriority w:val="99"/>
    <w:unhideWhenUsed/>
    <w:qFormat/>
    <w:rsid w:val="009F7122"/>
    <w:pPr>
      <w:spacing w:before="240" w:after="60"/>
      <w:ind w:left="1584" w:hanging="1584"/>
      <w:outlineLvl w:val="8"/>
    </w:pPr>
    <w:rPr>
      <w:rFonts w:ascii="Cambria" w:eastAsia="Times New Roman" w:hAnsi="Cambria" w:cs="Cambria"/>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37730"/>
    <w:rPr>
      <w:rFonts w:asciiTheme="majorHAnsi" w:eastAsiaTheme="majorEastAsia" w:hAnsiTheme="majorHAnsi" w:cstheme="majorBidi"/>
      <w:b/>
      <w:bCs/>
      <w:color w:val="000000" w:themeColor="text1"/>
      <w:sz w:val="24"/>
      <w:szCs w:val="28"/>
    </w:rPr>
  </w:style>
  <w:style w:type="character" w:customStyle="1" w:styleId="Nadpis2Char">
    <w:name w:val="Nadpis 2 Char"/>
    <w:basedOn w:val="Standardnpsmoodstavce"/>
    <w:link w:val="Nadpis2"/>
    <w:uiPriority w:val="9"/>
    <w:rsid w:val="0043773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9"/>
    <w:rsid w:val="00437730"/>
    <w:rPr>
      <w:rFonts w:asciiTheme="majorHAnsi" w:eastAsiaTheme="majorEastAsia" w:hAnsiTheme="majorHAnsi" w:cstheme="majorBidi"/>
      <w:b/>
      <w:bCs/>
      <w:color w:val="4F81BD" w:themeColor="accent1"/>
      <w:sz w:val="24"/>
    </w:rPr>
  </w:style>
  <w:style w:type="paragraph" w:styleId="Odstavecseseznamem">
    <w:name w:val="List Paragraph"/>
    <w:basedOn w:val="Normln"/>
    <w:uiPriority w:val="34"/>
    <w:qFormat/>
    <w:rsid w:val="00437730"/>
    <w:pPr>
      <w:ind w:left="720"/>
      <w:contextualSpacing/>
    </w:pPr>
  </w:style>
  <w:style w:type="paragraph" w:styleId="Bezmezer">
    <w:name w:val="No Spacing"/>
    <w:uiPriority w:val="1"/>
    <w:qFormat/>
    <w:rsid w:val="00437730"/>
    <w:pPr>
      <w:spacing w:after="0" w:line="240" w:lineRule="auto"/>
      <w:ind w:firstLine="567"/>
      <w:jc w:val="both"/>
    </w:pPr>
    <w:rPr>
      <w:rFonts w:ascii="Times New Roman" w:hAnsi="Times New Roman"/>
      <w:sz w:val="24"/>
    </w:rPr>
  </w:style>
  <w:style w:type="character" w:customStyle="1" w:styleId="Nadpis4Char">
    <w:name w:val="Nadpis 4 Char"/>
    <w:basedOn w:val="Standardnpsmoodstavce"/>
    <w:link w:val="Nadpis4"/>
    <w:uiPriority w:val="99"/>
    <w:rsid w:val="009F7122"/>
    <w:rPr>
      <w:rFonts w:ascii="Cambria" w:eastAsia="Times New Roman" w:hAnsi="Cambria" w:cs="Cambria"/>
      <w:b/>
      <w:bCs/>
      <w:i/>
      <w:iCs/>
      <w:color w:val="1F497D" w:themeColor="text2"/>
      <w:sz w:val="24"/>
      <w:szCs w:val="24"/>
    </w:rPr>
  </w:style>
  <w:style w:type="character" w:customStyle="1" w:styleId="Nadpis5Char">
    <w:name w:val="Nadpis 5 Char"/>
    <w:basedOn w:val="Standardnpsmoodstavce"/>
    <w:link w:val="Nadpis5"/>
    <w:uiPriority w:val="99"/>
    <w:rsid w:val="009F7122"/>
    <w:rPr>
      <w:rFonts w:ascii="Calibri" w:eastAsia="Times New Roman" w:hAnsi="Calibri" w:cs="Calibri"/>
      <w:b/>
      <w:bCs/>
      <w:i/>
      <w:iCs/>
      <w:sz w:val="26"/>
      <w:szCs w:val="26"/>
    </w:rPr>
  </w:style>
  <w:style w:type="character" w:customStyle="1" w:styleId="Nadpis6Char">
    <w:name w:val="Nadpis 6 Char"/>
    <w:basedOn w:val="Standardnpsmoodstavce"/>
    <w:link w:val="Nadpis6"/>
    <w:uiPriority w:val="99"/>
    <w:rsid w:val="009F7122"/>
    <w:rPr>
      <w:rFonts w:ascii="Calibri" w:eastAsia="Times New Roman" w:hAnsi="Calibri" w:cs="Calibri"/>
      <w:b/>
      <w:bCs/>
      <w:sz w:val="24"/>
      <w:szCs w:val="24"/>
    </w:rPr>
  </w:style>
  <w:style w:type="character" w:customStyle="1" w:styleId="Nadpis7Char">
    <w:name w:val="Nadpis 7 Char"/>
    <w:basedOn w:val="Standardnpsmoodstavce"/>
    <w:link w:val="Nadpis7"/>
    <w:uiPriority w:val="99"/>
    <w:rsid w:val="009F7122"/>
    <w:rPr>
      <w:rFonts w:ascii="Calibri" w:eastAsia="Times New Roman" w:hAnsi="Calibri" w:cs="Calibri"/>
      <w:sz w:val="24"/>
      <w:szCs w:val="24"/>
    </w:rPr>
  </w:style>
  <w:style w:type="character" w:customStyle="1" w:styleId="Nadpis8Char">
    <w:name w:val="Nadpis 8 Char"/>
    <w:basedOn w:val="Standardnpsmoodstavce"/>
    <w:link w:val="Nadpis8"/>
    <w:uiPriority w:val="99"/>
    <w:rsid w:val="009F7122"/>
    <w:rPr>
      <w:rFonts w:ascii="Calibri" w:eastAsia="Times New Roman" w:hAnsi="Calibri" w:cs="Calibri"/>
      <w:i/>
      <w:iCs/>
      <w:sz w:val="24"/>
      <w:szCs w:val="24"/>
    </w:rPr>
  </w:style>
  <w:style w:type="character" w:customStyle="1" w:styleId="Nadpis9Char">
    <w:name w:val="Nadpis 9 Char"/>
    <w:basedOn w:val="Standardnpsmoodstavce"/>
    <w:link w:val="Nadpis9"/>
    <w:uiPriority w:val="99"/>
    <w:rsid w:val="009F7122"/>
    <w:rPr>
      <w:rFonts w:ascii="Cambria" w:eastAsia="Times New Roman" w:hAnsi="Cambria" w:cs="Cambria"/>
      <w:sz w:val="24"/>
      <w:szCs w:val="24"/>
    </w:rPr>
  </w:style>
  <w:style w:type="paragraph" w:styleId="Textbubliny">
    <w:name w:val="Balloon Text"/>
    <w:basedOn w:val="Normln"/>
    <w:link w:val="TextbublinyChar"/>
    <w:uiPriority w:val="99"/>
    <w:semiHidden/>
    <w:unhideWhenUsed/>
    <w:rsid w:val="009F7122"/>
    <w:pPr>
      <w:spacing w:after="0"/>
      <w:ind w:firstLine="0"/>
      <w:jc w:val="left"/>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rsid w:val="009F7122"/>
    <w:rPr>
      <w:rFonts w:ascii="Tahoma" w:eastAsia="Times New Roman" w:hAnsi="Tahoma" w:cs="Tahoma"/>
      <w:sz w:val="16"/>
      <w:szCs w:val="16"/>
      <w:lang w:eastAsia="cs-CZ"/>
    </w:rPr>
  </w:style>
  <w:style w:type="paragraph" w:styleId="Textkomente">
    <w:name w:val="annotation text"/>
    <w:basedOn w:val="Normln"/>
    <w:link w:val="TextkomenteChar"/>
    <w:semiHidden/>
    <w:unhideWhenUsed/>
    <w:rsid w:val="009F7122"/>
    <w:pPr>
      <w:ind w:firstLine="0"/>
      <w:jc w:val="left"/>
    </w:pPr>
    <w:rPr>
      <w:rFonts w:asciiTheme="minorHAnsi" w:hAnsiTheme="minorHAnsi"/>
      <w:sz w:val="20"/>
      <w:szCs w:val="20"/>
    </w:rPr>
  </w:style>
  <w:style w:type="character" w:customStyle="1" w:styleId="TextkomenteChar">
    <w:name w:val="Text komentáře Char"/>
    <w:basedOn w:val="Standardnpsmoodstavce"/>
    <w:link w:val="Textkomente"/>
    <w:semiHidden/>
    <w:rsid w:val="009F7122"/>
    <w:rPr>
      <w:sz w:val="20"/>
      <w:szCs w:val="20"/>
    </w:rPr>
  </w:style>
  <w:style w:type="character" w:styleId="Odkaznakoment">
    <w:name w:val="annotation reference"/>
    <w:basedOn w:val="Standardnpsmoodstavce"/>
    <w:semiHidden/>
    <w:unhideWhenUsed/>
    <w:rsid w:val="009F7122"/>
    <w:rPr>
      <w:sz w:val="16"/>
      <w:szCs w:val="16"/>
    </w:rPr>
  </w:style>
  <w:style w:type="paragraph" w:customStyle="1" w:styleId="Textbodu">
    <w:name w:val="Text bodu"/>
    <w:basedOn w:val="Normln"/>
    <w:rsid w:val="009F7122"/>
    <w:pPr>
      <w:numPr>
        <w:ilvl w:val="2"/>
        <w:numId w:val="1"/>
      </w:numPr>
      <w:spacing w:after="0"/>
      <w:outlineLvl w:val="8"/>
    </w:pPr>
    <w:rPr>
      <w:rFonts w:eastAsia="Times New Roman" w:cs="Times New Roman"/>
      <w:szCs w:val="20"/>
      <w:lang w:eastAsia="cs-CZ"/>
    </w:rPr>
  </w:style>
  <w:style w:type="paragraph" w:customStyle="1" w:styleId="Textpsmene">
    <w:name w:val="Text písmene"/>
    <w:basedOn w:val="Normln"/>
    <w:rsid w:val="009F7122"/>
    <w:pPr>
      <w:numPr>
        <w:ilvl w:val="1"/>
        <w:numId w:val="1"/>
      </w:numPr>
      <w:tabs>
        <w:tab w:val="clear" w:pos="709"/>
        <w:tab w:val="num" w:pos="425"/>
      </w:tabs>
      <w:spacing w:after="0"/>
      <w:ind w:left="425"/>
      <w:outlineLvl w:val="7"/>
    </w:pPr>
    <w:rPr>
      <w:rFonts w:eastAsia="Times New Roman" w:cs="Times New Roman"/>
      <w:szCs w:val="20"/>
      <w:lang w:eastAsia="cs-CZ"/>
    </w:rPr>
  </w:style>
  <w:style w:type="paragraph" w:customStyle="1" w:styleId="Textodstavce">
    <w:name w:val="Text odstavce"/>
    <w:basedOn w:val="Normln"/>
    <w:rsid w:val="009F7122"/>
    <w:pPr>
      <w:numPr>
        <w:numId w:val="1"/>
      </w:numPr>
      <w:tabs>
        <w:tab w:val="left" w:pos="851"/>
      </w:tabs>
      <w:spacing w:before="120"/>
      <w:outlineLvl w:val="6"/>
    </w:pPr>
    <w:rPr>
      <w:rFonts w:eastAsia="Times New Roman" w:cs="Times New Roman"/>
      <w:szCs w:val="20"/>
      <w:lang w:eastAsia="cs-CZ"/>
    </w:rPr>
  </w:style>
  <w:style w:type="paragraph" w:styleId="Textpoznpodarou">
    <w:name w:val="footnote text"/>
    <w:basedOn w:val="Normln"/>
    <w:link w:val="TextpoznpodarouChar"/>
    <w:uiPriority w:val="99"/>
    <w:rsid w:val="009F7122"/>
    <w:pPr>
      <w:spacing w:after="0"/>
      <w:ind w:firstLine="0"/>
      <w:jc w:val="left"/>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uiPriority w:val="99"/>
    <w:rsid w:val="009F7122"/>
    <w:rPr>
      <w:rFonts w:ascii="Times New Roman" w:eastAsia="Times New Roman" w:hAnsi="Times New Roman" w:cs="Times New Roman"/>
      <w:sz w:val="20"/>
      <w:szCs w:val="20"/>
      <w:lang w:eastAsia="cs-CZ"/>
    </w:rPr>
  </w:style>
  <w:style w:type="character" w:styleId="Znakapoznpodarou">
    <w:name w:val="footnote reference"/>
    <w:uiPriority w:val="99"/>
    <w:rsid w:val="009F7122"/>
    <w:rPr>
      <w:vertAlign w:val="superscript"/>
    </w:rPr>
  </w:style>
  <w:style w:type="paragraph" w:styleId="Zhlav">
    <w:name w:val="header"/>
    <w:basedOn w:val="Normln"/>
    <w:link w:val="ZhlavChar"/>
    <w:uiPriority w:val="99"/>
    <w:unhideWhenUsed/>
    <w:rsid w:val="009F7122"/>
    <w:pPr>
      <w:tabs>
        <w:tab w:val="center" w:pos="4536"/>
        <w:tab w:val="right" w:pos="9072"/>
      </w:tabs>
      <w:spacing w:after="0"/>
      <w:ind w:firstLine="0"/>
      <w:jc w:val="left"/>
    </w:pPr>
    <w:rPr>
      <w:rFonts w:eastAsia="Times New Roman" w:cs="Times New Roman"/>
      <w:szCs w:val="24"/>
      <w:lang w:eastAsia="cs-CZ"/>
    </w:rPr>
  </w:style>
  <w:style w:type="character" w:customStyle="1" w:styleId="ZhlavChar">
    <w:name w:val="Záhlaví Char"/>
    <w:basedOn w:val="Standardnpsmoodstavce"/>
    <w:link w:val="Zhlav"/>
    <w:uiPriority w:val="99"/>
    <w:rsid w:val="009F712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7122"/>
    <w:pPr>
      <w:tabs>
        <w:tab w:val="center" w:pos="4536"/>
        <w:tab w:val="right" w:pos="9072"/>
      </w:tabs>
      <w:spacing w:after="0"/>
      <w:ind w:firstLine="0"/>
      <w:jc w:val="left"/>
    </w:pPr>
    <w:rPr>
      <w:rFonts w:eastAsia="Times New Roman" w:cs="Times New Roman"/>
      <w:szCs w:val="24"/>
      <w:lang w:eastAsia="cs-CZ"/>
    </w:rPr>
  </w:style>
  <w:style w:type="character" w:customStyle="1" w:styleId="ZpatChar">
    <w:name w:val="Zápatí Char"/>
    <w:basedOn w:val="Standardnpsmoodstavce"/>
    <w:link w:val="Zpat"/>
    <w:uiPriority w:val="99"/>
    <w:rsid w:val="009F7122"/>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9F7122"/>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F7122"/>
    <w:rPr>
      <w:rFonts w:ascii="Times New Roman" w:eastAsia="Times New Roman" w:hAnsi="Times New Roman" w:cs="Times New Roman"/>
      <w:b/>
      <w:bCs/>
      <w:sz w:val="20"/>
      <w:szCs w:val="20"/>
      <w:lang w:eastAsia="cs-CZ"/>
    </w:rPr>
  </w:style>
  <w:style w:type="paragraph" w:styleId="Zkladntext">
    <w:name w:val="Body Text"/>
    <w:basedOn w:val="Normln"/>
    <w:link w:val="ZkladntextChar"/>
    <w:uiPriority w:val="99"/>
    <w:unhideWhenUsed/>
    <w:rsid w:val="009F7122"/>
    <w:pPr>
      <w:spacing w:before="120"/>
      <w:ind w:firstLine="0"/>
    </w:pPr>
    <w:rPr>
      <w:rFonts w:asciiTheme="minorHAnsi" w:eastAsia="Calibri" w:hAnsiTheme="minorHAnsi" w:cs="Garamond"/>
      <w:szCs w:val="24"/>
    </w:rPr>
  </w:style>
  <w:style w:type="character" w:customStyle="1" w:styleId="ZkladntextChar">
    <w:name w:val="Základní text Char"/>
    <w:basedOn w:val="Standardnpsmoodstavce"/>
    <w:link w:val="Zkladntext"/>
    <w:uiPriority w:val="99"/>
    <w:rsid w:val="009F7122"/>
    <w:rPr>
      <w:rFonts w:eastAsia="Calibri" w:cs="Garamond"/>
      <w:sz w:val="24"/>
      <w:szCs w:val="24"/>
    </w:rPr>
  </w:style>
  <w:style w:type="character" w:customStyle="1" w:styleId="Nadpis1Char1">
    <w:name w:val="Nadpis 1 Char1"/>
    <w:basedOn w:val="Standardnpsmoodstavce"/>
    <w:uiPriority w:val="99"/>
    <w:locked/>
    <w:rsid w:val="009F7122"/>
    <w:rPr>
      <w:rFonts w:eastAsia="Times New Roman" w:cs="Cambria"/>
      <w:b/>
      <w:bCs/>
      <w:color w:val="1F497D" w:themeColor="text2"/>
      <w:sz w:val="28"/>
      <w:szCs w:val="28"/>
    </w:rPr>
  </w:style>
  <w:style w:type="character" w:customStyle="1" w:styleId="Nadpis2Char1">
    <w:name w:val="Nadpis 2 Char1"/>
    <w:basedOn w:val="Standardnpsmoodstavce"/>
    <w:uiPriority w:val="99"/>
    <w:semiHidden/>
    <w:locked/>
    <w:rsid w:val="009F7122"/>
    <w:rPr>
      <w:rFonts w:eastAsia="Times New Roman" w:cs="Cambria"/>
      <w:b/>
      <w:bCs/>
      <w:color w:val="1F497D" w:themeColor="text2"/>
      <w:sz w:val="26"/>
      <w:szCs w:val="26"/>
    </w:rPr>
  </w:style>
  <w:style w:type="paragraph" w:styleId="Textvysvtlivek">
    <w:name w:val="endnote text"/>
    <w:basedOn w:val="Normln"/>
    <w:link w:val="TextvysvtlivekChar"/>
    <w:uiPriority w:val="99"/>
    <w:semiHidden/>
    <w:unhideWhenUsed/>
    <w:rsid w:val="009F7122"/>
    <w:pPr>
      <w:spacing w:after="0"/>
      <w:ind w:firstLine="0"/>
      <w:jc w:val="left"/>
    </w:pPr>
    <w:rPr>
      <w:rFonts w:eastAsia="Times New Roman" w:cs="Times New Roman"/>
      <w:sz w:val="20"/>
      <w:szCs w:val="20"/>
      <w:lang w:eastAsia="cs-CZ"/>
    </w:rPr>
  </w:style>
  <w:style w:type="character" w:customStyle="1" w:styleId="TextvysvtlivekChar">
    <w:name w:val="Text vysvětlivek Char"/>
    <w:basedOn w:val="Standardnpsmoodstavce"/>
    <w:link w:val="Textvysvtlivek"/>
    <w:uiPriority w:val="99"/>
    <w:semiHidden/>
    <w:rsid w:val="009F7122"/>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9F7122"/>
    <w:rPr>
      <w:vertAlign w:val="superscript"/>
    </w:rPr>
  </w:style>
  <w:style w:type="paragraph" w:styleId="Revize">
    <w:name w:val="Revision"/>
    <w:hidden/>
    <w:uiPriority w:val="99"/>
    <w:semiHidden/>
    <w:rsid w:val="009F7122"/>
    <w:pPr>
      <w:spacing w:after="0"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9F7122"/>
    <w:rPr>
      <w:b/>
      <w:bCs/>
    </w:rPr>
  </w:style>
  <w:style w:type="character" w:customStyle="1" w:styleId="Nadpis3Char1">
    <w:name w:val="Nadpis 3 Char1"/>
    <w:basedOn w:val="Standardnpsmoodstavce"/>
    <w:uiPriority w:val="99"/>
    <w:rsid w:val="009F7122"/>
    <w:rPr>
      <w:rFonts w:eastAsia="Times New Roman" w:cs="Cambria"/>
      <w:b/>
      <w:bCs/>
      <w:color w:val="1F497D" w:themeColor="text2"/>
      <w:sz w:val="24"/>
      <w:szCs w:val="24"/>
    </w:rPr>
  </w:style>
  <w:style w:type="table" w:styleId="Mkatabulky">
    <w:name w:val="Table Grid"/>
    <w:basedOn w:val="Normlntabulka"/>
    <w:rsid w:val="009F7122"/>
    <w:pPr>
      <w:spacing w:after="0" w:line="240" w:lineRule="auto"/>
    </w:pPr>
    <w:rPr>
      <w:rFonts w:ascii="Calibri" w:eastAsia="Calibri"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basedOn w:val="Normln"/>
    <w:link w:val="Normln1Char"/>
    <w:rsid w:val="00ED6021"/>
    <w:pPr>
      <w:spacing w:after="240" w:line="360" w:lineRule="auto"/>
      <w:ind w:firstLine="340"/>
    </w:pPr>
    <w:rPr>
      <w:rFonts w:eastAsia="Calibri" w:cs="Times New Roman"/>
      <w:szCs w:val="24"/>
    </w:rPr>
  </w:style>
  <w:style w:type="character" w:customStyle="1" w:styleId="Normln1Char">
    <w:name w:val="Normální1 Char"/>
    <w:link w:val="Normln1"/>
    <w:rsid w:val="00ED6021"/>
    <w:rPr>
      <w:rFonts w:ascii="Times New Roman" w:eastAsia="Calibri" w:hAnsi="Times New Roman" w:cs="Times New Roman"/>
      <w:sz w:val="24"/>
      <w:szCs w:val="24"/>
    </w:rPr>
  </w:style>
  <w:style w:type="character" w:styleId="Hypertextovodkaz">
    <w:name w:val="Hyperlink"/>
    <w:uiPriority w:val="99"/>
    <w:unhideWhenUsed/>
    <w:rsid w:val="00ED66F7"/>
    <w:rPr>
      <w:color w:val="0000FF"/>
      <w:u w:val="single"/>
    </w:rPr>
  </w:style>
  <w:style w:type="paragraph" w:customStyle="1" w:styleId="p2">
    <w:name w:val="p2"/>
    <w:basedOn w:val="Normln"/>
    <w:rsid w:val="00984D1A"/>
    <w:pPr>
      <w:spacing w:before="100" w:beforeAutospacing="1" w:after="100" w:afterAutospacing="1"/>
      <w:ind w:firstLine="0"/>
      <w:jc w:val="left"/>
    </w:pPr>
    <w:rPr>
      <w:rFonts w:eastAsia="Times New Roman" w:cs="Times New Roman"/>
      <w:szCs w:val="24"/>
      <w:lang w:eastAsia="cs-CZ"/>
    </w:rPr>
  </w:style>
  <w:style w:type="character" w:customStyle="1" w:styleId="Kurzva">
    <w:name w:val="Kurzíva"/>
    <w:rsid w:val="000452D5"/>
    <w:rPr>
      <w:rFonts w:ascii="Times New Roman" w:hAnsi="Times New Roman" w:cs="Times New Roman" w:hint="default"/>
      <w:i/>
      <w:iCs/>
    </w:rPr>
  </w:style>
  <w:style w:type="character" w:customStyle="1" w:styleId="Hornindex">
    <w:name w:val="Horní index"/>
    <w:rsid w:val="000452D5"/>
    <w:rPr>
      <w:vertAlign w:val="superscript"/>
    </w:rPr>
  </w:style>
  <w:style w:type="character" w:customStyle="1" w:styleId="footnote-detail">
    <w:name w:val="footnote-detail"/>
    <w:rsid w:val="00C015BC"/>
    <w:rPr>
      <w:b w:val="0"/>
      <w:bCs w:val="0"/>
      <w:i w:val="0"/>
      <w:iCs w:val="0"/>
      <w:vanish/>
      <w:webHidden w:val="0"/>
      <w:color w:val="FFFFFF"/>
      <w:shd w:val="clear" w:color="auto" w:fill="00ADBA"/>
      <w:specVanish w:val="0"/>
    </w:rPr>
  </w:style>
  <w:style w:type="paragraph" w:customStyle="1" w:styleId="Prvnnadpis">
    <w:name w:val="První nadpis"/>
    <w:basedOn w:val="Normln"/>
    <w:qFormat/>
    <w:rsid w:val="00340BC7"/>
    <w:pPr>
      <w:keepNext/>
      <w:numPr>
        <w:numId w:val="31"/>
      </w:numPr>
      <w:spacing w:before="480"/>
      <w:ind w:left="0" w:firstLine="0"/>
    </w:pPr>
    <w:rPr>
      <w:rFonts w:eastAsia="Calibri" w:cs="Times New Roman"/>
      <w:b/>
      <w:color w:val="4F81BD" w:themeColor="accent1"/>
      <w:sz w:val="32"/>
      <w:szCs w:val="24"/>
    </w:rPr>
  </w:style>
  <w:style w:type="paragraph" w:customStyle="1" w:styleId="Druhnadpis">
    <w:name w:val="Druhý nadpis"/>
    <w:basedOn w:val="Normln"/>
    <w:qFormat/>
    <w:rsid w:val="00B844FF"/>
    <w:pPr>
      <w:keepNext/>
      <w:numPr>
        <w:ilvl w:val="1"/>
        <w:numId w:val="31"/>
      </w:numPr>
      <w:spacing w:before="360"/>
      <w:ind w:left="425" w:hanging="425"/>
    </w:pPr>
    <w:rPr>
      <w:rFonts w:eastAsia="Calibri" w:cs="Times New Roman"/>
      <w:b/>
      <w:noProof/>
      <w:color w:val="4F81BD" w:themeColor="accent1"/>
      <w:sz w:val="28"/>
      <w:szCs w:val="24"/>
    </w:rPr>
  </w:style>
  <w:style w:type="paragraph" w:customStyle="1" w:styleId="Tetnadpis">
    <w:name w:val="Třetí nadpis"/>
    <w:basedOn w:val="Druhnadpis"/>
    <w:link w:val="TetnadpisChar"/>
    <w:qFormat/>
    <w:rsid w:val="0021075C"/>
    <w:pPr>
      <w:numPr>
        <w:ilvl w:val="2"/>
      </w:numPr>
      <w:ind w:left="567" w:hanging="567"/>
    </w:pPr>
    <w:rPr>
      <w:i/>
      <w:sz w:val="24"/>
    </w:rPr>
  </w:style>
  <w:style w:type="character" w:customStyle="1" w:styleId="TetnadpisChar">
    <w:name w:val="Třetí nadpis Char"/>
    <w:link w:val="Tetnadpis"/>
    <w:rsid w:val="0021075C"/>
    <w:rPr>
      <w:rFonts w:ascii="Times New Roman" w:eastAsia="Calibri" w:hAnsi="Times New Roman" w:cs="Times New Roman"/>
      <w:b/>
      <w:i/>
      <w:noProof/>
      <w:color w:val="4F81BD" w:themeColor="accent1"/>
      <w:sz w:val="24"/>
      <w:szCs w:val="24"/>
    </w:rPr>
  </w:style>
  <w:style w:type="paragraph" w:styleId="Nzev">
    <w:name w:val="Title"/>
    <w:basedOn w:val="Normln"/>
    <w:next w:val="Normln"/>
    <w:link w:val="NzevChar"/>
    <w:uiPriority w:val="10"/>
    <w:qFormat/>
    <w:rsid w:val="00D55C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55CD1"/>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D55CD1"/>
    <w:pPr>
      <w:numPr>
        <w:ilvl w:val="1"/>
      </w:numPr>
      <w:ind w:firstLine="284"/>
    </w:pPr>
    <w:rPr>
      <w:rFonts w:asciiTheme="majorHAnsi" w:eastAsiaTheme="majorEastAsia" w:hAnsiTheme="majorHAnsi" w:cstheme="majorBidi"/>
      <w:i/>
      <w:iCs/>
      <w:color w:val="4F81BD" w:themeColor="accent1"/>
      <w:spacing w:val="15"/>
      <w:szCs w:val="24"/>
    </w:rPr>
  </w:style>
  <w:style w:type="character" w:customStyle="1" w:styleId="PodtitulChar">
    <w:name w:val="Podtitul Char"/>
    <w:basedOn w:val="Standardnpsmoodstavce"/>
    <w:link w:val="Podtitul"/>
    <w:uiPriority w:val="11"/>
    <w:rsid w:val="00D55CD1"/>
    <w:rPr>
      <w:rFonts w:asciiTheme="majorHAnsi" w:eastAsiaTheme="majorEastAsia" w:hAnsiTheme="majorHAnsi" w:cstheme="majorBidi"/>
      <w:i/>
      <w:iCs/>
      <w:color w:val="4F81BD" w:themeColor="accent1"/>
      <w:spacing w:val="15"/>
      <w:sz w:val="24"/>
      <w:szCs w:val="24"/>
    </w:rPr>
  </w:style>
  <w:style w:type="character" w:styleId="Zdraznnintenzivn">
    <w:name w:val="Intense Emphasis"/>
    <w:basedOn w:val="Standardnpsmoodstavce"/>
    <w:uiPriority w:val="21"/>
    <w:qFormat/>
    <w:rsid w:val="00B844FF"/>
    <w:rPr>
      <w:b/>
      <w:bCs/>
      <w:i/>
      <w:iCs/>
      <w:color w:val="4F81BD" w:themeColor="accent1"/>
    </w:rPr>
  </w:style>
  <w:style w:type="character" w:styleId="Zdraznnjemn">
    <w:name w:val="Subtle Emphasis"/>
    <w:basedOn w:val="Standardnpsmoodstavce"/>
    <w:uiPriority w:val="19"/>
    <w:qFormat/>
    <w:rsid w:val="00B844FF"/>
    <w:rPr>
      <w:i/>
      <w:iCs/>
      <w:color w:val="808080" w:themeColor="text1" w:themeTint="7F"/>
    </w:rPr>
  </w:style>
  <w:style w:type="paragraph" w:customStyle="1" w:styleId="Variantnnadpis">
    <w:name w:val="Variantní nadpis"/>
    <w:basedOn w:val="Normln"/>
    <w:next w:val="Normln"/>
    <w:qFormat/>
    <w:rsid w:val="00D74742"/>
    <w:pPr>
      <w:keepNext/>
      <w:spacing w:before="60"/>
      <w:ind w:firstLine="0"/>
    </w:pPr>
    <w:rPr>
      <w:u w:val="single"/>
    </w:rPr>
  </w:style>
  <w:style w:type="paragraph" w:customStyle="1" w:styleId="Default">
    <w:name w:val="Default"/>
    <w:rsid w:val="0083717F"/>
    <w:pPr>
      <w:autoSpaceDE w:val="0"/>
      <w:autoSpaceDN w:val="0"/>
      <w:adjustRightInd w:val="0"/>
      <w:spacing w:after="0" w:line="240" w:lineRule="auto"/>
    </w:pPr>
    <w:rPr>
      <w:rFonts w:ascii="EUAlbertina" w:hAnsi="EUAlbertina" w:cs="EUAlbertina"/>
      <w:color w:val="000000"/>
      <w:sz w:val="24"/>
      <w:szCs w:val="24"/>
    </w:rPr>
  </w:style>
  <w:style w:type="paragraph" w:styleId="Titulek">
    <w:name w:val="caption"/>
    <w:basedOn w:val="Normln"/>
    <w:semiHidden/>
    <w:unhideWhenUsed/>
    <w:qFormat/>
    <w:rsid w:val="00801214"/>
    <w:pPr>
      <w:suppressAutoHyphens/>
      <w:spacing w:after="200" w:line="240" w:lineRule="auto"/>
      <w:ind w:firstLine="0"/>
      <w:jc w:val="left"/>
    </w:pPr>
    <w:rPr>
      <w:rFonts w:ascii="Calibri" w:eastAsia="Droid Sans Fallback" w:hAnsi="Calibri" w:cs="Times New Roman"/>
      <w:b/>
      <w:bCs/>
      <w:color w:val="4F81BD"/>
      <w:sz w:val="20"/>
      <w:szCs w:val="18"/>
    </w:rPr>
  </w:style>
  <w:style w:type="table" w:styleId="Svtlstnovnzvraznn1">
    <w:name w:val="Light Shading Accent 1"/>
    <w:basedOn w:val="Normlntabulka"/>
    <w:uiPriority w:val="60"/>
    <w:rsid w:val="00B57EB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Sledovanodkaz">
    <w:name w:val="FollowedHyperlink"/>
    <w:basedOn w:val="Standardnpsmoodstavce"/>
    <w:uiPriority w:val="99"/>
    <w:semiHidden/>
    <w:unhideWhenUsed/>
    <w:rsid w:val="00E14C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3214">
      <w:bodyDiv w:val="1"/>
      <w:marLeft w:val="0"/>
      <w:marRight w:val="0"/>
      <w:marTop w:val="0"/>
      <w:marBottom w:val="0"/>
      <w:divBdr>
        <w:top w:val="none" w:sz="0" w:space="0" w:color="auto"/>
        <w:left w:val="none" w:sz="0" w:space="0" w:color="auto"/>
        <w:bottom w:val="none" w:sz="0" w:space="0" w:color="auto"/>
        <w:right w:val="none" w:sz="0" w:space="0" w:color="auto"/>
      </w:divBdr>
    </w:div>
    <w:div w:id="220362124">
      <w:bodyDiv w:val="1"/>
      <w:marLeft w:val="0"/>
      <w:marRight w:val="0"/>
      <w:marTop w:val="0"/>
      <w:marBottom w:val="0"/>
      <w:divBdr>
        <w:top w:val="none" w:sz="0" w:space="0" w:color="auto"/>
        <w:left w:val="none" w:sz="0" w:space="0" w:color="auto"/>
        <w:bottom w:val="none" w:sz="0" w:space="0" w:color="auto"/>
        <w:right w:val="none" w:sz="0" w:space="0" w:color="auto"/>
      </w:divBdr>
    </w:div>
    <w:div w:id="226917402">
      <w:bodyDiv w:val="1"/>
      <w:marLeft w:val="0"/>
      <w:marRight w:val="0"/>
      <w:marTop w:val="0"/>
      <w:marBottom w:val="0"/>
      <w:divBdr>
        <w:top w:val="none" w:sz="0" w:space="0" w:color="auto"/>
        <w:left w:val="none" w:sz="0" w:space="0" w:color="auto"/>
        <w:bottom w:val="none" w:sz="0" w:space="0" w:color="auto"/>
        <w:right w:val="none" w:sz="0" w:space="0" w:color="auto"/>
      </w:divBdr>
    </w:div>
    <w:div w:id="265886175">
      <w:bodyDiv w:val="1"/>
      <w:marLeft w:val="0"/>
      <w:marRight w:val="0"/>
      <w:marTop w:val="0"/>
      <w:marBottom w:val="0"/>
      <w:divBdr>
        <w:top w:val="none" w:sz="0" w:space="0" w:color="auto"/>
        <w:left w:val="none" w:sz="0" w:space="0" w:color="auto"/>
        <w:bottom w:val="none" w:sz="0" w:space="0" w:color="auto"/>
        <w:right w:val="none" w:sz="0" w:space="0" w:color="auto"/>
      </w:divBdr>
    </w:div>
    <w:div w:id="489637488">
      <w:bodyDiv w:val="1"/>
      <w:marLeft w:val="0"/>
      <w:marRight w:val="0"/>
      <w:marTop w:val="0"/>
      <w:marBottom w:val="0"/>
      <w:divBdr>
        <w:top w:val="none" w:sz="0" w:space="0" w:color="auto"/>
        <w:left w:val="none" w:sz="0" w:space="0" w:color="auto"/>
        <w:bottom w:val="none" w:sz="0" w:space="0" w:color="auto"/>
        <w:right w:val="none" w:sz="0" w:space="0" w:color="auto"/>
      </w:divBdr>
    </w:div>
    <w:div w:id="504170786">
      <w:bodyDiv w:val="1"/>
      <w:marLeft w:val="0"/>
      <w:marRight w:val="0"/>
      <w:marTop w:val="0"/>
      <w:marBottom w:val="0"/>
      <w:divBdr>
        <w:top w:val="none" w:sz="0" w:space="0" w:color="auto"/>
        <w:left w:val="none" w:sz="0" w:space="0" w:color="auto"/>
        <w:bottom w:val="none" w:sz="0" w:space="0" w:color="auto"/>
        <w:right w:val="none" w:sz="0" w:space="0" w:color="auto"/>
      </w:divBdr>
    </w:div>
    <w:div w:id="593900921">
      <w:bodyDiv w:val="1"/>
      <w:marLeft w:val="0"/>
      <w:marRight w:val="0"/>
      <w:marTop w:val="0"/>
      <w:marBottom w:val="0"/>
      <w:divBdr>
        <w:top w:val="none" w:sz="0" w:space="0" w:color="auto"/>
        <w:left w:val="none" w:sz="0" w:space="0" w:color="auto"/>
        <w:bottom w:val="none" w:sz="0" w:space="0" w:color="auto"/>
        <w:right w:val="none" w:sz="0" w:space="0" w:color="auto"/>
      </w:divBdr>
    </w:div>
    <w:div w:id="676689198">
      <w:bodyDiv w:val="1"/>
      <w:marLeft w:val="0"/>
      <w:marRight w:val="0"/>
      <w:marTop w:val="0"/>
      <w:marBottom w:val="0"/>
      <w:divBdr>
        <w:top w:val="none" w:sz="0" w:space="0" w:color="auto"/>
        <w:left w:val="none" w:sz="0" w:space="0" w:color="auto"/>
        <w:bottom w:val="none" w:sz="0" w:space="0" w:color="auto"/>
        <w:right w:val="none" w:sz="0" w:space="0" w:color="auto"/>
      </w:divBdr>
    </w:div>
    <w:div w:id="854658995">
      <w:bodyDiv w:val="1"/>
      <w:marLeft w:val="0"/>
      <w:marRight w:val="0"/>
      <w:marTop w:val="0"/>
      <w:marBottom w:val="0"/>
      <w:divBdr>
        <w:top w:val="none" w:sz="0" w:space="0" w:color="auto"/>
        <w:left w:val="none" w:sz="0" w:space="0" w:color="auto"/>
        <w:bottom w:val="none" w:sz="0" w:space="0" w:color="auto"/>
        <w:right w:val="none" w:sz="0" w:space="0" w:color="auto"/>
      </w:divBdr>
    </w:div>
    <w:div w:id="1137650258">
      <w:bodyDiv w:val="1"/>
      <w:marLeft w:val="0"/>
      <w:marRight w:val="0"/>
      <w:marTop w:val="0"/>
      <w:marBottom w:val="0"/>
      <w:divBdr>
        <w:top w:val="none" w:sz="0" w:space="0" w:color="auto"/>
        <w:left w:val="none" w:sz="0" w:space="0" w:color="auto"/>
        <w:bottom w:val="none" w:sz="0" w:space="0" w:color="auto"/>
        <w:right w:val="none" w:sz="0" w:space="0" w:color="auto"/>
      </w:divBdr>
    </w:div>
    <w:div w:id="1436830045">
      <w:bodyDiv w:val="1"/>
      <w:marLeft w:val="0"/>
      <w:marRight w:val="0"/>
      <w:marTop w:val="0"/>
      <w:marBottom w:val="0"/>
      <w:divBdr>
        <w:top w:val="none" w:sz="0" w:space="0" w:color="auto"/>
        <w:left w:val="none" w:sz="0" w:space="0" w:color="auto"/>
        <w:bottom w:val="none" w:sz="0" w:space="0" w:color="auto"/>
        <w:right w:val="none" w:sz="0" w:space="0" w:color="auto"/>
      </w:divBdr>
    </w:div>
    <w:div w:id="1592663583">
      <w:bodyDiv w:val="1"/>
      <w:marLeft w:val="0"/>
      <w:marRight w:val="0"/>
      <w:marTop w:val="0"/>
      <w:marBottom w:val="0"/>
      <w:divBdr>
        <w:top w:val="none" w:sz="0" w:space="0" w:color="auto"/>
        <w:left w:val="none" w:sz="0" w:space="0" w:color="auto"/>
        <w:bottom w:val="none" w:sz="0" w:space="0" w:color="auto"/>
        <w:right w:val="none" w:sz="0" w:space="0" w:color="auto"/>
      </w:divBdr>
    </w:div>
    <w:div w:id="1754551556">
      <w:bodyDiv w:val="1"/>
      <w:marLeft w:val="0"/>
      <w:marRight w:val="0"/>
      <w:marTop w:val="0"/>
      <w:marBottom w:val="0"/>
      <w:divBdr>
        <w:top w:val="none" w:sz="0" w:space="0" w:color="auto"/>
        <w:left w:val="none" w:sz="0" w:space="0" w:color="auto"/>
        <w:bottom w:val="none" w:sz="0" w:space="0" w:color="auto"/>
        <w:right w:val="none" w:sz="0" w:space="0" w:color="auto"/>
      </w:divBdr>
    </w:div>
    <w:div w:id="1816726407">
      <w:bodyDiv w:val="1"/>
      <w:marLeft w:val="0"/>
      <w:marRight w:val="0"/>
      <w:marTop w:val="0"/>
      <w:marBottom w:val="0"/>
      <w:divBdr>
        <w:top w:val="none" w:sz="0" w:space="0" w:color="auto"/>
        <w:left w:val="none" w:sz="0" w:space="0" w:color="auto"/>
        <w:bottom w:val="none" w:sz="0" w:space="0" w:color="auto"/>
        <w:right w:val="none" w:sz="0" w:space="0" w:color="auto"/>
      </w:divBdr>
    </w:div>
    <w:div w:id="1985812361">
      <w:bodyDiv w:val="1"/>
      <w:marLeft w:val="0"/>
      <w:marRight w:val="0"/>
      <w:marTop w:val="0"/>
      <w:marBottom w:val="0"/>
      <w:divBdr>
        <w:top w:val="none" w:sz="0" w:space="0" w:color="auto"/>
        <w:left w:val="none" w:sz="0" w:space="0" w:color="auto"/>
        <w:bottom w:val="none" w:sz="0" w:space="0" w:color="auto"/>
        <w:right w:val="none" w:sz="0" w:space="0" w:color="auto"/>
      </w:divBdr>
    </w:div>
    <w:div w:id="207782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jiri.plachy@uohs.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vcr.cz/clanek/nezavisle-spravni-urady.asp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AF3EA-124D-445C-AC0C-B816147AA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13392</Words>
  <Characters>79014</Characters>
  <Application>Microsoft Office Word</Application>
  <DocSecurity>0</DocSecurity>
  <Lines>658</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Soldán Ladislav;lukas.kralik@uohs.cz;kristina.hlavicova@uohs.cz</dc:creator>
  <cp:lastModifiedBy>Hlavicová Kristina</cp:lastModifiedBy>
  <cp:revision>4</cp:revision>
  <cp:lastPrinted>2020-07-03T11:49:00Z</cp:lastPrinted>
  <dcterms:created xsi:type="dcterms:W3CDTF">2020-09-16T13:58:00Z</dcterms:created>
  <dcterms:modified xsi:type="dcterms:W3CDTF">2020-09-17T09:01:00Z</dcterms:modified>
</cp:coreProperties>
</file>