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6C3E" w:rsidRPr="00484C75" w:rsidRDefault="000E6C3E" w:rsidP="00484C75">
      <w:pPr>
        <w:pStyle w:val="Nadpis1"/>
        <w:ind w:right="360"/>
        <w:rPr>
          <w:rFonts w:ascii="Times New Roman" w:hAnsi="Times New Roman"/>
          <w:b w:val="0"/>
          <w:sz w:val="24"/>
        </w:rPr>
      </w:pPr>
      <w:bookmarkStart w:id="0" w:name="_GoBack"/>
      <w:bookmarkEnd w:id="0"/>
      <w:r>
        <w:tab/>
      </w:r>
      <w:r>
        <w:tab/>
      </w:r>
      <w:r>
        <w:tab/>
      </w:r>
      <w:r w:rsidRPr="00513EF1">
        <w:rPr>
          <w:rFonts w:ascii="Times New Roman" w:hAnsi="Times New Roman"/>
          <w:szCs w:val="28"/>
          <w:u w:val="single"/>
        </w:rPr>
        <w:t xml:space="preserve">Rozdílová tabulka </w:t>
      </w:r>
      <w:r w:rsidR="002863F2">
        <w:rPr>
          <w:rFonts w:ascii="Times New Roman" w:hAnsi="Times New Roman"/>
          <w:szCs w:val="28"/>
          <w:u w:val="single"/>
        </w:rPr>
        <w:t>n</w:t>
      </w:r>
      <w:r w:rsidRPr="00513EF1">
        <w:rPr>
          <w:rFonts w:ascii="Times New Roman" w:hAnsi="Times New Roman"/>
          <w:szCs w:val="28"/>
          <w:u w:val="single"/>
        </w:rPr>
        <w:t>ávrhu předpisu ČR s legislativou ES</w:t>
      </w:r>
    </w:p>
    <w:p w:rsidR="000E6C3E" w:rsidRDefault="000E6C3E" w:rsidP="000E6C3E">
      <w:pPr>
        <w:pStyle w:val="Normln0"/>
        <w:rPr>
          <w:sz w:val="24"/>
        </w:rPr>
      </w:pPr>
    </w:p>
    <w:tbl>
      <w:tblPr>
        <w:tblpPr w:leftFromText="141" w:rightFromText="141" w:vertAnchor="text" w:tblpXSpec="right" w:tblpY="1"/>
        <w:tblOverlap w:val="neve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945"/>
        <w:gridCol w:w="3158"/>
        <w:gridCol w:w="1276"/>
        <w:gridCol w:w="4402"/>
      </w:tblGrid>
      <w:tr w:rsidR="000E6C3E" w:rsidTr="007C5CF9">
        <w:trPr>
          <w:cantSplit/>
        </w:trPr>
        <w:tc>
          <w:tcPr>
            <w:tcW w:w="4103" w:type="dxa"/>
            <w:gridSpan w:val="2"/>
            <w:tcBorders>
              <w:right w:val="single" w:sz="6" w:space="0" w:color="auto"/>
            </w:tcBorders>
          </w:tcPr>
          <w:p w:rsidR="000E6C3E" w:rsidRPr="00513EF1" w:rsidRDefault="000E6C3E" w:rsidP="008746BD">
            <w:pPr>
              <w:pStyle w:val="Normln0"/>
              <w:jc w:val="both"/>
              <w:rPr>
                <w:color w:val="000000"/>
                <w:sz w:val="24"/>
                <w:szCs w:val="24"/>
              </w:rPr>
            </w:pPr>
            <w:r w:rsidRPr="00513EF1">
              <w:rPr>
                <w:sz w:val="24"/>
                <w:szCs w:val="24"/>
              </w:rPr>
              <w:t>Návrh zákona o stavebních výrobcích a jejich použití do staveb</w:t>
            </w:r>
          </w:p>
        </w:tc>
        <w:tc>
          <w:tcPr>
            <w:tcW w:w="5678" w:type="dxa"/>
            <w:gridSpan w:val="2"/>
            <w:tcBorders>
              <w:left w:val="single" w:sz="6" w:space="0" w:color="auto"/>
              <w:right w:val="single" w:sz="6" w:space="0" w:color="auto"/>
            </w:tcBorders>
          </w:tcPr>
          <w:p w:rsidR="000E6C3E" w:rsidRDefault="000E6C3E" w:rsidP="00333DF1">
            <w:pPr>
              <w:pStyle w:val="Normln0"/>
              <w:keepNext/>
              <w:keepLines/>
              <w:spacing w:before="60"/>
              <w:ind w:left="85" w:right="40"/>
              <w:jc w:val="both"/>
              <w:rPr>
                <w:b/>
                <w:color w:val="000000"/>
                <w:sz w:val="24"/>
              </w:rPr>
            </w:pPr>
            <w:r w:rsidRPr="00F631F9">
              <w:rPr>
                <w:sz w:val="24"/>
                <w:szCs w:val="24"/>
              </w:rPr>
              <w:t>Nařízení Evropského parlamentu a Rady (EU) č. 305/2011 ze dne 9. března 2011, kterým se stanoví harmonizované podmínky pro uvádění stavebních výrobků na trh a kterým se zrušuje směrnice Rady 89/106/EHS</w:t>
            </w:r>
          </w:p>
        </w:tc>
      </w:tr>
      <w:tr w:rsidR="000E6C3E" w:rsidTr="007C5CF9">
        <w:trPr>
          <w:trHeight w:val="1185"/>
        </w:trPr>
        <w:tc>
          <w:tcPr>
            <w:tcW w:w="945" w:type="dxa"/>
            <w:tcBorders>
              <w:bottom w:val="double" w:sz="4" w:space="0" w:color="auto"/>
            </w:tcBorders>
          </w:tcPr>
          <w:p w:rsidR="000E6C3E" w:rsidRDefault="000E6C3E" w:rsidP="00333DF1">
            <w:pPr>
              <w:pStyle w:val="Normln0"/>
              <w:keepNext/>
              <w:keepLines/>
              <w:ind w:left="40" w:right="-40"/>
              <w:jc w:val="center"/>
              <w:rPr>
                <w:color w:val="000000"/>
                <w:sz w:val="24"/>
              </w:rPr>
            </w:pPr>
            <w:r>
              <w:rPr>
                <w:color w:val="000000"/>
                <w:sz w:val="24"/>
              </w:rPr>
              <w:t>Ustanovení (část, §, odst., písm. apod.)</w:t>
            </w:r>
          </w:p>
        </w:tc>
        <w:tc>
          <w:tcPr>
            <w:tcW w:w="3158" w:type="dxa"/>
            <w:tcBorders>
              <w:bottom w:val="double" w:sz="4" w:space="0" w:color="auto"/>
              <w:right w:val="single" w:sz="6" w:space="0" w:color="auto"/>
            </w:tcBorders>
          </w:tcPr>
          <w:p w:rsidR="000E6C3E" w:rsidRDefault="000E6C3E" w:rsidP="00333DF1">
            <w:pPr>
              <w:pStyle w:val="Normln0"/>
              <w:keepNext/>
              <w:keepLines/>
              <w:ind w:left="40" w:right="40"/>
              <w:jc w:val="center"/>
              <w:rPr>
                <w:color w:val="000000"/>
                <w:sz w:val="24"/>
              </w:rPr>
            </w:pPr>
            <w:r>
              <w:rPr>
                <w:color w:val="000000"/>
                <w:sz w:val="24"/>
              </w:rPr>
              <w:t>Obsah</w:t>
            </w:r>
          </w:p>
        </w:tc>
        <w:tc>
          <w:tcPr>
            <w:tcW w:w="1276" w:type="dxa"/>
            <w:tcBorders>
              <w:left w:val="single" w:sz="6" w:space="0" w:color="auto"/>
              <w:bottom w:val="double" w:sz="4" w:space="0" w:color="auto"/>
            </w:tcBorders>
          </w:tcPr>
          <w:p w:rsidR="000E6C3E" w:rsidRDefault="000E6C3E" w:rsidP="00333DF1">
            <w:pPr>
              <w:pStyle w:val="Normln0"/>
              <w:keepNext/>
              <w:keepLines/>
              <w:ind w:left="40" w:right="-40"/>
              <w:jc w:val="center"/>
              <w:rPr>
                <w:color w:val="000000"/>
                <w:sz w:val="24"/>
              </w:rPr>
            </w:pPr>
            <w:proofErr w:type="spellStart"/>
            <w:r>
              <w:rPr>
                <w:color w:val="000000"/>
                <w:sz w:val="24"/>
              </w:rPr>
              <w:t>Celex</w:t>
            </w:r>
            <w:proofErr w:type="spellEnd"/>
            <w:r>
              <w:rPr>
                <w:color w:val="000000"/>
                <w:sz w:val="24"/>
              </w:rPr>
              <w:t xml:space="preserve"> č.</w:t>
            </w:r>
          </w:p>
          <w:p w:rsidR="000E6C3E" w:rsidRDefault="000E6C3E" w:rsidP="00333DF1">
            <w:pPr>
              <w:pStyle w:val="Nadpis2"/>
              <w:rPr>
                <w:color w:val="000000"/>
              </w:rPr>
            </w:pPr>
          </w:p>
        </w:tc>
        <w:tc>
          <w:tcPr>
            <w:tcW w:w="4402" w:type="dxa"/>
            <w:tcBorders>
              <w:bottom w:val="double" w:sz="4" w:space="0" w:color="auto"/>
            </w:tcBorders>
          </w:tcPr>
          <w:p w:rsidR="000E6C3E" w:rsidRDefault="000E6C3E" w:rsidP="00333DF1">
            <w:pPr>
              <w:pStyle w:val="Normln0"/>
              <w:keepNext/>
              <w:keepLines/>
              <w:ind w:left="40" w:right="40"/>
              <w:jc w:val="center"/>
              <w:rPr>
                <w:color w:val="000000"/>
                <w:sz w:val="24"/>
              </w:rPr>
            </w:pPr>
            <w:r>
              <w:rPr>
                <w:color w:val="000000"/>
                <w:sz w:val="24"/>
              </w:rPr>
              <w:t xml:space="preserve">Ustanovení  </w:t>
            </w:r>
            <w:r>
              <w:rPr>
                <w:color w:val="000000"/>
                <w:sz w:val="24"/>
              </w:rPr>
              <w:br/>
              <w:t xml:space="preserve">(čl., odst., písm., </w:t>
            </w:r>
            <w:proofErr w:type="gramStart"/>
            <w:r>
              <w:rPr>
                <w:color w:val="000000"/>
                <w:sz w:val="24"/>
              </w:rPr>
              <w:t>bod,</w:t>
            </w:r>
            <w:proofErr w:type="gramEnd"/>
            <w:r>
              <w:rPr>
                <w:color w:val="000000"/>
                <w:sz w:val="24"/>
              </w:rPr>
              <w:t xml:space="preserve"> apod.)</w:t>
            </w:r>
          </w:p>
        </w:tc>
      </w:tr>
      <w:tr w:rsidR="00C47CEC" w:rsidTr="007C5CF9">
        <w:tc>
          <w:tcPr>
            <w:tcW w:w="945" w:type="dxa"/>
            <w:tcBorders>
              <w:top w:val="single" w:sz="4" w:space="0" w:color="auto"/>
              <w:bottom w:val="single" w:sz="4" w:space="0" w:color="auto"/>
            </w:tcBorders>
          </w:tcPr>
          <w:p w:rsidR="00C47CEC" w:rsidRPr="00C47CEC" w:rsidRDefault="00C47CEC" w:rsidP="004974EC">
            <w:pPr>
              <w:rPr>
                <w:rFonts w:ascii="Times New Roman" w:hAnsi="Times New Roman" w:cs="Times New Roman"/>
                <w:sz w:val="20"/>
                <w:szCs w:val="20"/>
              </w:rPr>
            </w:pPr>
            <w:r w:rsidRPr="00C47CEC">
              <w:rPr>
                <w:rFonts w:ascii="Times New Roman" w:hAnsi="Times New Roman" w:cs="Times New Roman"/>
                <w:sz w:val="20"/>
                <w:szCs w:val="20"/>
              </w:rPr>
              <w:t xml:space="preserve">§ </w:t>
            </w:r>
            <w:r w:rsidR="004974EC">
              <w:rPr>
                <w:rFonts w:ascii="Times New Roman" w:hAnsi="Times New Roman" w:cs="Times New Roman"/>
                <w:sz w:val="20"/>
                <w:szCs w:val="20"/>
              </w:rPr>
              <w:t>4 odst. 1</w:t>
            </w:r>
          </w:p>
        </w:tc>
        <w:tc>
          <w:tcPr>
            <w:tcW w:w="3158" w:type="dxa"/>
            <w:tcBorders>
              <w:top w:val="single" w:sz="4" w:space="0" w:color="auto"/>
              <w:bottom w:val="single" w:sz="4" w:space="0" w:color="auto"/>
              <w:right w:val="single" w:sz="6" w:space="0" w:color="auto"/>
            </w:tcBorders>
          </w:tcPr>
          <w:p w:rsidR="00C47CEC" w:rsidRPr="000E6C3E" w:rsidRDefault="00C47CEC" w:rsidP="00333DF1">
            <w:pPr>
              <w:spacing w:line="240" w:lineRule="auto"/>
              <w:jc w:val="center"/>
              <w:rPr>
                <w:rFonts w:ascii="Times New Roman" w:hAnsi="Times New Roman" w:cs="Times New Roman"/>
                <w:sz w:val="20"/>
                <w:szCs w:val="20"/>
              </w:rPr>
            </w:pPr>
            <w:r w:rsidRPr="000E6C3E">
              <w:rPr>
                <w:rFonts w:ascii="Times New Roman" w:hAnsi="Times New Roman" w:cs="Times New Roman"/>
                <w:sz w:val="20"/>
                <w:szCs w:val="20"/>
              </w:rPr>
              <w:t xml:space="preserve">§ </w:t>
            </w:r>
            <w:r w:rsidR="00FB3BB5">
              <w:rPr>
                <w:rFonts w:ascii="Times New Roman" w:hAnsi="Times New Roman" w:cs="Times New Roman"/>
                <w:sz w:val="20"/>
                <w:szCs w:val="20"/>
              </w:rPr>
              <w:t>4</w:t>
            </w:r>
          </w:p>
          <w:p w:rsidR="00C47CEC" w:rsidRPr="00C47CEC" w:rsidRDefault="00101B86" w:rsidP="00333DF1">
            <w:pPr>
              <w:tabs>
                <w:tab w:val="left" w:pos="337"/>
              </w:tabs>
              <w:spacing w:line="240" w:lineRule="auto"/>
              <w:jc w:val="both"/>
              <w:rPr>
                <w:rFonts w:ascii="Times New Roman" w:hAnsi="Times New Roman" w:cs="Times New Roman"/>
                <w:sz w:val="20"/>
                <w:szCs w:val="20"/>
                <w:u w:val="single"/>
              </w:rPr>
            </w:pPr>
            <w:r w:rsidRPr="00101B86">
              <w:rPr>
                <w:rFonts w:ascii="Times New Roman" w:hAnsi="Times New Roman" w:cs="Times New Roman"/>
                <w:sz w:val="20"/>
                <w:szCs w:val="20"/>
                <w:u w:val="single"/>
              </w:rPr>
              <w:t xml:space="preserve">(1) </w:t>
            </w:r>
            <w:r w:rsidRPr="00101B86">
              <w:rPr>
                <w:rFonts w:ascii="Times New Roman" w:hAnsi="Times New Roman" w:cs="Times New Roman"/>
                <w:sz w:val="20"/>
                <w:szCs w:val="20"/>
                <w:u w:val="single"/>
              </w:rPr>
              <w:tab/>
              <w:t>Uvádění a dodávání stavebních výrobků s označením CE na trh upravuje přímo použitelný předpis.</w:t>
            </w:r>
          </w:p>
        </w:tc>
        <w:tc>
          <w:tcPr>
            <w:tcW w:w="1276" w:type="dxa"/>
            <w:tcBorders>
              <w:top w:val="single" w:sz="4" w:space="0" w:color="auto"/>
              <w:left w:val="single" w:sz="6" w:space="0" w:color="auto"/>
              <w:bottom w:val="single" w:sz="4" w:space="0" w:color="auto"/>
            </w:tcBorders>
          </w:tcPr>
          <w:p w:rsidR="002F3D5A" w:rsidRPr="00867288" w:rsidRDefault="002F3D5A" w:rsidP="00333DF1">
            <w:pPr>
              <w:pStyle w:val="Normln0"/>
              <w:keepNext/>
              <w:keepLines/>
              <w:ind w:left="40" w:right="-40"/>
              <w:rPr>
                <w:bCs/>
                <w:color w:val="000000"/>
              </w:rPr>
            </w:pPr>
            <w:r w:rsidRPr="00867288">
              <w:rPr>
                <w:bCs/>
                <w:color w:val="000000"/>
              </w:rPr>
              <w:t>32011R0305</w:t>
            </w:r>
          </w:p>
          <w:p w:rsidR="00C47CEC" w:rsidRPr="00867288" w:rsidRDefault="00C47CEC" w:rsidP="00333DF1">
            <w:pPr>
              <w:pStyle w:val="Normln0"/>
              <w:keepNext/>
              <w:keepLines/>
              <w:ind w:left="40" w:right="-40"/>
              <w:rPr>
                <w:bCs/>
                <w:color w:val="000000"/>
              </w:rPr>
            </w:pPr>
          </w:p>
        </w:tc>
        <w:tc>
          <w:tcPr>
            <w:tcW w:w="4402" w:type="dxa"/>
            <w:tcBorders>
              <w:top w:val="single" w:sz="4" w:space="0" w:color="auto"/>
              <w:bottom w:val="single" w:sz="4" w:space="0" w:color="auto"/>
            </w:tcBorders>
          </w:tcPr>
          <w:p w:rsidR="008441B3" w:rsidRPr="006F4375" w:rsidRDefault="008441B3" w:rsidP="00333DF1">
            <w:pPr>
              <w:pStyle w:val="Normln0"/>
              <w:jc w:val="center"/>
              <w:rPr>
                <w:bCs/>
                <w:i/>
              </w:rPr>
            </w:pPr>
            <w:r w:rsidRPr="006F4375">
              <w:rPr>
                <w:bCs/>
                <w:i/>
              </w:rPr>
              <w:t>Článek 1</w:t>
            </w:r>
          </w:p>
          <w:p w:rsidR="008441B3" w:rsidRPr="006F4375" w:rsidRDefault="008441B3" w:rsidP="00333DF1">
            <w:pPr>
              <w:pStyle w:val="Normln0"/>
              <w:jc w:val="center"/>
              <w:rPr>
                <w:b/>
                <w:color w:val="000000"/>
              </w:rPr>
            </w:pPr>
            <w:r w:rsidRPr="006F4375">
              <w:rPr>
                <w:b/>
                <w:bCs/>
              </w:rPr>
              <w:t>Předmět</w:t>
            </w:r>
          </w:p>
          <w:p w:rsidR="007C5021" w:rsidRDefault="008441B3" w:rsidP="00333DF1">
            <w:pPr>
              <w:pStyle w:val="Normln0"/>
              <w:jc w:val="both"/>
            </w:pPr>
            <w:r>
              <w:t xml:space="preserve">Toto nařízení stanoví podmínky pro uvádění a dodávání stavebních výrobků na trh stanovením harmonizovaných pravidel pro vyjádření vlastností stavebních výrobků </w:t>
            </w:r>
          </w:p>
          <w:p w:rsidR="00C47CEC" w:rsidRPr="00FC1CA7" w:rsidRDefault="008441B3" w:rsidP="00333DF1">
            <w:pPr>
              <w:pStyle w:val="Normln0"/>
              <w:jc w:val="both"/>
            </w:pPr>
            <w:r>
              <w:t>ve vztahu k jejich základním charakteristikám a pro používání označení CE u těchto v</w:t>
            </w:r>
            <w:r w:rsidRPr="00FC1CA7">
              <w:t>ýrobků.</w:t>
            </w:r>
          </w:p>
          <w:p w:rsidR="00C74E65" w:rsidRPr="00FC1CA7" w:rsidRDefault="00C74E65" w:rsidP="00C74E65">
            <w:pPr>
              <w:autoSpaceDE w:val="0"/>
              <w:autoSpaceDN w:val="0"/>
              <w:adjustRightInd w:val="0"/>
              <w:spacing w:after="0" w:line="240" w:lineRule="auto"/>
              <w:jc w:val="center"/>
              <w:rPr>
                <w:rFonts w:ascii="Times New Roman" w:hAnsi="Times New Roman" w:cs="Times New Roman"/>
                <w:color w:val="000000"/>
                <w:sz w:val="20"/>
                <w:szCs w:val="20"/>
              </w:rPr>
            </w:pPr>
            <w:r w:rsidRPr="00FC1CA7">
              <w:rPr>
                <w:rFonts w:ascii="Times New Roman" w:hAnsi="Times New Roman" w:cs="Times New Roman"/>
                <w:i/>
                <w:iCs/>
                <w:color w:val="000000"/>
                <w:sz w:val="20"/>
                <w:szCs w:val="20"/>
              </w:rPr>
              <w:t>Článek 8</w:t>
            </w:r>
          </w:p>
          <w:p w:rsidR="00C74E65" w:rsidRPr="00FC1CA7" w:rsidRDefault="00C74E65" w:rsidP="00C74E65">
            <w:pPr>
              <w:pStyle w:val="Normln0"/>
              <w:jc w:val="center"/>
            </w:pPr>
            <w:r w:rsidRPr="00FC1CA7">
              <w:rPr>
                <w:rFonts w:eastAsiaTheme="minorHAnsi"/>
                <w:b/>
                <w:bCs/>
                <w:color w:val="000000"/>
                <w:lang w:eastAsia="en-US"/>
              </w:rPr>
              <w:t>Obecné zásady a použití označení CE</w:t>
            </w:r>
          </w:p>
          <w:p w:rsidR="00C74E65" w:rsidRPr="00FC1CA7" w:rsidRDefault="00C74E65" w:rsidP="00C74E65">
            <w:pPr>
              <w:autoSpaceDE w:val="0"/>
              <w:autoSpaceDN w:val="0"/>
              <w:adjustRightInd w:val="0"/>
              <w:spacing w:after="0" w:line="240" w:lineRule="auto"/>
              <w:rPr>
                <w:rFonts w:ascii="Times New Roman" w:hAnsi="Times New Roman" w:cs="Times New Roman"/>
                <w:color w:val="000000"/>
                <w:sz w:val="20"/>
                <w:szCs w:val="20"/>
              </w:rPr>
            </w:pPr>
            <w:r w:rsidRPr="00FC1CA7">
              <w:rPr>
                <w:rFonts w:ascii="Times New Roman" w:hAnsi="Times New Roman" w:cs="Times New Roman"/>
                <w:color w:val="000000"/>
                <w:sz w:val="20"/>
                <w:szCs w:val="20"/>
              </w:rPr>
              <w:t xml:space="preserve">4. Členský stát na svém území nebo v rámci své pravomoci nezakáže ani nebrání dodávání na trh nebo používání stavebních výrobků, které nesou označení CE, pokud vlastnosti uvedené v prohlášení odpovídají požadavkům pro toto použití v členském státě. </w:t>
            </w:r>
          </w:p>
          <w:p w:rsidR="00C74E65" w:rsidRPr="00FC1CA7" w:rsidRDefault="00C74E65" w:rsidP="00C74E65">
            <w:pPr>
              <w:pStyle w:val="Normln0"/>
              <w:jc w:val="both"/>
              <w:rPr>
                <w:rFonts w:eastAsiaTheme="minorHAnsi"/>
                <w:color w:val="000000"/>
                <w:lang w:eastAsia="en-US"/>
              </w:rPr>
            </w:pPr>
            <w:r w:rsidRPr="00FC1CA7">
              <w:rPr>
                <w:rFonts w:eastAsiaTheme="minorHAnsi"/>
                <w:color w:val="000000"/>
                <w:lang w:eastAsia="en-US"/>
              </w:rPr>
              <w:t>5. Členské státy zajistí, aby předpisy nebo podmínky stanovené veřejnými nebo soukromými subjekty, které působí jako podnik veřejného práva nebo jako veřejný orgán na základě monopolního postavení nebo s veřejným zmocněním, nebránily používání stavebních výrobků nesoucích označení CE, pokud vlastnosti uvedené v prohlášení odpovídají požadavkům pro jejich</w:t>
            </w:r>
          </w:p>
          <w:p w:rsidR="00C74E65" w:rsidRPr="00D70750" w:rsidRDefault="00C74E65" w:rsidP="00C74E65">
            <w:pPr>
              <w:pStyle w:val="Normln0"/>
              <w:jc w:val="both"/>
              <w:rPr>
                <w:i/>
                <w:color w:val="000000"/>
              </w:rPr>
            </w:pPr>
            <w:r w:rsidRPr="00FC1CA7">
              <w:t>použití v členském státě.</w:t>
            </w:r>
          </w:p>
        </w:tc>
      </w:tr>
      <w:tr w:rsidR="005A07E5" w:rsidTr="007C5CF9">
        <w:tc>
          <w:tcPr>
            <w:tcW w:w="945" w:type="dxa"/>
            <w:tcBorders>
              <w:top w:val="single" w:sz="4" w:space="0" w:color="auto"/>
              <w:bottom w:val="single" w:sz="4" w:space="0" w:color="auto"/>
            </w:tcBorders>
          </w:tcPr>
          <w:p w:rsidR="005A07E5" w:rsidRPr="005A07E5" w:rsidRDefault="004974EC" w:rsidP="00333DF1">
            <w:pPr>
              <w:rPr>
                <w:rFonts w:ascii="Times New Roman" w:hAnsi="Times New Roman" w:cs="Times New Roman"/>
                <w:sz w:val="20"/>
                <w:szCs w:val="20"/>
              </w:rPr>
            </w:pPr>
            <w:r>
              <w:rPr>
                <w:rFonts w:ascii="Times New Roman" w:hAnsi="Times New Roman" w:cs="Times New Roman"/>
                <w:sz w:val="20"/>
                <w:szCs w:val="20"/>
              </w:rPr>
              <w:t>§ 4</w:t>
            </w:r>
            <w:r w:rsidR="005A07E5" w:rsidRPr="005A07E5">
              <w:rPr>
                <w:rFonts w:ascii="Times New Roman" w:hAnsi="Times New Roman" w:cs="Times New Roman"/>
                <w:sz w:val="20"/>
                <w:szCs w:val="20"/>
              </w:rPr>
              <w:t xml:space="preserve"> odst. 2</w:t>
            </w:r>
          </w:p>
        </w:tc>
        <w:tc>
          <w:tcPr>
            <w:tcW w:w="3158" w:type="dxa"/>
            <w:tcBorders>
              <w:top w:val="single" w:sz="4" w:space="0" w:color="auto"/>
              <w:bottom w:val="single" w:sz="4" w:space="0" w:color="auto"/>
              <w:right w:val="single" w:sz="6" w:space="0" w:color="auto"/>
            </w:tcBorders>
          </w:tcPr>
          <w:p w:rsidR="00104B1D" w:rsidRDefault="008D14E3" w:rsidP="008D14E3">
            <w:pPr>
              <w:tabs>
                <w:tab w:val="left" w:pos="708"/>
              </w:tabs>
              <w:spacing w:line="240" w:lineRule="auto"/>
              <w:jc w:val="center"/>
              <w:rPr>
                <w:rFonts w:ascii="Times New Roman" w:hAnsi="Times New Roman"/>
                <w:color w:val="auto"/>
                <w:sz w:val="20"/>
                <w:szCs w:val="20"/>
                <w:u w:val="single"/>
              </w:rPr>
            </w:pPr>
            <w:r>
              <w:rPr>
                <w:rFonts w:ascii="Times New Roman" w:hAnsi="Times New Roman" w:cs="Times New Roman"/>
                <w:sz w:val="20"/>
                <w:szCs w:val="20"/>
              </w:rPr>
              <w:t>§ 4</w:t>
            </w:r>
          </w:p>
          <w:p w:rsidR="004974EC" w:rsidRDefault="004974EC" w:rsidP="007C5CF9">
            <w:pPr>
              <w:tabs>
                <w:tab w:val="left" w:pos="708"/>
              </w:tabs>
              <w:spacing w:line="240" w:lineRule="auto"/>
              <w:jc w:val="both"/>
              <w:rPr>
                <w:rFonts w:ascii="Times New Roman" w:hAnsi="Times New Roman"/>
                <w:color w:val="auto"/>
                <w:sz w:val="20"/>
                <w:szCs w:val="20"/>
                <w:u w:val="single"/>
              </w:rPr>
            </w:pPr>
            <w:r w:rsidRPr="004974EC">
              <w:rPr>
                <w:rFonts w:ascii="Times New Roman" w:hAnsi="Times New Roman"/>
                <w:color w:val="auto"/>
                <w:sz w:val="20"/>
                <w:szCs w:val="20"/>
                <w:u w:val="single"/>
              </w:rPr>
              <w:t xml:space="preserve">(2) </w:t>
            </w:r>
            <w:r w:rsidRPr="004974EC">
              <w:rPr>
                <w:rFonts w:ascii="Times New Roman" w:hAnsi="Times New Roman"/>
                <w:color w:val="auto"/>
                <w:sz w:val="20"/>
                <w:szCs w:val="20"/>
                <w:u w:val="single"/>
              </w:rPr>
              <w:tab/>
              <w:t>Odkazuje-li přímo použitelný předpis</w:t>
            </w:r>
            <w:r w:rsidRPr="00466A11">
              <w:rPr>
                <w:rFonts w:ascii="Times New Roman" w:hAnsi="Times New Roman"/>
                <w:color w:val="auto"/>
                <w:sz w:val="20"/>
                <w:szCs w:val="20"/>
                <w:u w:val="single"/>
                <w:vertAlign w:val="superscript"/>
              </w:rPr>
              <w:t>3)</w:t>
            </w:r>
            <w:r w:rsidRPr="004974EC">
              <w:rPr>
                <w:rFonts w:ascii="Times New Roman" w:hAnsi="Times New Roman"/>
                <w:color w:val="auto"/>
                <w:sz w:val="20"/>
                <w:szCs w:val="20"/>
                <w:u w:val="single"/>
              </w:rPr>
              <w:t xml:space="preserve"> na jazyk určený nebo požadovaný členským státem, je tímto jazykem český jazyk.</w:t>
            </w:r>
          </w:p>
          <w:p w:rsidR="004974EC" w:rsidRDefault="004974EC" w:rsidP="004974EC">
            <w:pPr>
              <w:tabs>
                <w:tab w:val="left" w:pos="1134"/>
              </w:tabs>
              <w:spacing w:line="240" w:lineRule="auto"/>
              <w:jc w:val="both"/>
              <w:rPr>
                <w:rFonts w:ascii="Times New Roman" w:hAnsi="Times New Roman"/>
                <w:color w:val="auto"/>
                <w:sz w:val="20"/>
                <w:szCs w:val="20"/>
                <w:u w:val="single"/>
              </w:rPr>
            </w:pPr>
          </w:p>
          <w:p w:rsidR="004974EC" w:rsidRDefault="004974EC" w:rsidP="004974EC">
            <w:pPr>
              <w:tabs>
                <w:tab w:val="left" w:pos="1134"/>
              </w:tabs>
              <w:spacing w:line="240" w:lineRule="auto"/>
              <w:jc w:val="both"/>
              <w:rPr>
                <w:rFonts w:ascii="Times New Roman" w:hAnsi="Times New Roman"/>
                <w:color w:val="auto"/>
                <w:sz w:val="20"/>
                <w:szCs w:val="20"/>
                <w:u w:val="single"/>
              </w:rPr>
            </w:pPr>
            <w:r>
              <w:rPr>
                <w:rFonts w:ascii="Times New Roman" w:hAnsi="Times New Roman"/>
                <w:color w:val="auto"/>
                <w:sz w:val="20"/>
                <w:szCs w:val="20"/>
                <w:u w:val="single"/>
              </w:rPr>
              <w:t>___</w:t>
            </w:r>
          </w:p>
          <w:p w:rsidR="00661851" w:rsidRPr="00661851" w:rsidRDefault="004974EC" w:rsidP="00661851">
            <w:pPr>
              <w:tabs>
                <w:tab w:val="left" w:pos="1134"/>
              </w:tabs>
              <w:spacing w:line="240" w:lineRule="auto"/>
              <w:jc w:val="both"/>
              <w:rPr>
                <w:rFonts w:ascii="Times New Roman" w:hAnsi="Times New Roman" w:cs="Times New Roman"/>
                <w:color w:val="auto"/>
                <w:sz w:val="20"/>
                <w:szCs w:val="20"/>
              </w:rPr>
            </w:pPr>
            <w:r w:rsidRPr="00466A11">
              <w:rPr>
                <w:rFonts w:ascii="Times New Roman" w:hAnsi="Times New Roman"/>
                <w:color w:val="auto"/>
                <w:sz w:val="20"/>
                <w:szCs w:val="20"/>
                <w:vertAlign w:val="superscript"/>
              </w:rPr>
              <w:t>3)</w:t>
            </w:r>
            <w:r w:rsidRPr="004974EC">
              <w:rPr>
                <w:rFonts w:ascii="Times New Roman" w:hAnsi="Times New Roman"/>
                <w:color w:val="auto"/>
                <w:sz w:val="20"/>
                <w:szCs w:val="20"/>
              </w:rPr>
              <w:t xml:space="preserve"> </w:t>
            </w:r>
            <w:r w:rsidR="00661851" w:rsidRPr="00661851">
              <w:rPr>
                <w:rFonts w:ascii="Times New Roman" w:hAnsi="Times New Roman" w:cs="Times New Roman"/>
                <w:color w:val="auto"/>
                <w:sz w:val="20"/>
                <w:szCs w:val="20"/>
              </w:rPr>
              <w:t>Například čl. 7 odst. 4, čl. 11 odst. 6, čl. 13 odst. 4 a čl. 14 odst. 2 nařízení</w:t>
            </w:r>
            <w:r w:rsidR="00661851" w:rsidRPr="00661851">
              <w:rPr>
                <w:rFonts w:ascii="Times New Roman" w:hAnsi="Times New Roman" w:cs="Times New Roman"/>
                <w:sz w:val="20"/>
                <w:szCs w:val="20"/>
              </w:rPr>
              <w:t xml:space="preserve"> Evropského parlamentu a Rady (EU) č. 305/2011.</w:t>
            </w:r>
          </w:p>
          <w:p w:rsidR="005A07E5" w:rsidRPr="000E6C3E" w:rsidRDefault="005A07E5" w:rsidP="00661851">
            <w:pPr>
              <w:tabs>
                <w:tab w:val="left" w:pos="1134"/>
              </w:tabs>
              <w:spacing w:line="240" w:lineRule="auto"/>
              <w:jc w:val="both"/>
              <w:rPr>
                <w:rFonts w:ascii="Times New Roman" w:hAnsi="Times New Roman" w:cs="Times New Roman"/>
                <w:sz w:val="20"/>
                <w:szCs w:val="20"/>
              </w:rPr>
            </w:pPr>
          </w:p>
        </w:tc>
        <w:tc>
          <w:tcPr>
            <w:tcW w:w="1276" w:type="dxa"/>
            <w:tcBorders>
              <w:top w:val="single" w:sz="4" w:space="0" w:color="auto"/>
              <w:left w:val="single" w:sz="6" w:space="0" w:color="auto"/>
              <w:bottom w:val="single" w:sz="4" w:space="0" w:color="auto"/>
            </w:tcBorders>
          </w:tcPr>
          <w:p w:rsidR="002F3D5A" w:rsidRPr="00867288" w:rsidRDefault="002F3D5A" w:rsidP="00333DF1">
            <w:pPr>
              <w:pStyle w:val="Normln0"/>
              <w:keepNext/>
              <w:keepLines/>
              <w:ind w:left="40" w:right="-40"/>
              <w:rPr>
                <w:bCs/>
                <w:color w:val="000000"/>
              </w:rPr>
            </w:pPr>
            <w:r w:rsidRPr="00867288">
              <w:rPr>
                <w:bCs/>
                <w:color w:val="000000"/>
              </w:rPr>
              <w:t>32011R0305</w:t>
            </w:r>
          </w:p>
          <w:p w:rsidR="005A07E5" w:rsidRPr="00867288" w:rsidRDefault="005A07E5" w:rsidP="00333DF1">
            <w:pPr>
              <w:pStyle w:val="Normln0"/>
              <w:keepNext/>
              <w:keepLines/>
              <w:ind w:left="40" w:right="-40"/>
              <w:rPr>
                <w:bCs/>
                <w:color w:val="000000"/>
              </w:rPr>
            </w:pPr>
          </w:p>
        </w:tc>
        <w:tc>
          <w:tcPr>
            <w:tcW w:w="4402" w:type="dxa"/>
            <w:tcBorders>
              <w:top w:val="single" w:sz="4" w:space="0" w:color="auto"/>
              <w:bottom w:val="single" w:sz="4" w:space="0" w:color="auto"/>
            </w:tcBorders>
          </w:tcPr>
          <w:p w:rsidR="004A3E27" w:rsidRPr="00FB44C4" w:rsidRDefault="004A3E27" w:rsidP="00333DF1">
            <w:pPr>
              <w:pStyle w:val="Normln0"/>
              <w:jc w:val="center"/>
              <w:rPr>
                <w:i/>
                <w:color w:val="000000"/>
              </w:rPr>
            </w:pPr>
            <w:r w:rsidRPr="00FB44C4">
              <w:rPr>
                <w:i/>
                <w:color w:val="000000"/>
              </w:rPr>
              <w:t>Článek 7</w:t>
            </w:r>
          </w:p>
          <w:p w:rsidR="004A3E27" w:rsidRPr="00FB44C4" w:rsidRDefault="004A3E27" w:rsidP="00333DF1">
            <w:pPr>
              <w:pStyle w:val="Normln0"/>
              <w:jc w:val="center"/>
              <w:rPr>
                <w:b/>
                <w:color w:val="000000"/>
              </w:rPr>
            </w:pPr>
            <w:r w:rsidRPr="00FB44C4">
              <w:rPr>
                <w:b/>
                <w:color w:val="000000"/>
              </w:rPr>
              <w:t>Poskytování prohlášení o vlastnostech</w:t>
            </w:r>
          </w:p>
          <w:p w:rsidR="004A3E27" w:rsidRDefault="004A3E27" w:rsidP="00333DF1">
            <w:pPr>
              <w:pStyle w:val="Normln0"/>
              <w:jc w:val="both"/>
              <w:rPr>
                <w:color w:val="000000"/>
              </w:rPr>
            </w:pPr>
            <w:r w:rsidRPr="0025348E">
              <w:rPr>
                <w:color w:val="000000"/>
              </w:rPr>
              <w:t>4. Prohlášení o vlastnostech se poskytuje v jazyce nebo v jazycích požadovaných členským státem, v němž je výrobek dodáván na trh.</w:t>
            </w:r>
          </w:p>
          <w:p w:rsidR="004A3E27" w:rsidRPr="00FB44C4" w:rsidRDefault="004A3E27" w:rsidP="00333DF1">
            <w:pPr>
              <w:pStyle w:val="Normln0"/>
              <w:jc w:val="center"/>
              <w:rPr>
                <w:i/>
                <w:color w:val="000000"/>
              </w:rPr>
            </w:pPr>
            <w:r w:rsidRPr="00FB44C4">
              <w:rPr>
                <w:i/>
                <w:color w:val="000000"/>
              </w:rPr>
              <w:t>Článek 11</w:t>
            </w:r>
          </w:p>
          <w:p w:rsidR="004A3E27" w:rsidRPr="00FB44C4" w:rsidRDefault="004A3E27" w:rsidP="00333DF1">
            <w:pPr>
              <w:pStyle w:val="Normln0"/>
              <w:jc w:val="center"/>
              <w:rPr>
                <w:b/>
                <w:color w:val="000000"/>
              </w:rPr>
            </w:pPr>
            <w:r w:rsidRPr="00FB44C4">
              <w:rPr>
                <w:b/>
                <w:color w:val="000000"/>
              </w:rPr>
              <w:t>Povinnosti výrobců</w:t>
            </w:r>
          </w:p>
          <w:p w:rsidR="004A3E27" w:rsidRDefault="004A3E27" w:rsidP="00333DF1">
            <w:pPr>
              <w:pStyle w:val="Normln0"/>
              <w:jc w:val="both"/>
              <w:rPr>
                <w:color w:val="000000"/>
              </w:rPr>
            </w:pPr>
            <w:r w:rsidRPr="0025348E">
              <w:rPr>
                <w:color w:val="000000"/>
              </w:rPr>
              <w:t>6. Výrobci při dodávání stavebního výrobku na trh zajistí, aby byly k</w:t>
            </w:r>
            <w:r>
              <w:rPr>
                <w:color w:val="000000"/>
              </w:rPr>
              <w:t> </w:t>
            </w:r>
            <w:r w:rsidRPr="0025348E">
              <w:rPr>
                <w:color w:val="000000"/>
              </w:rPr>
              <w:t>výrobku připojeny pokyny a</w:t>
            </w:r>
            <w:r>
              <w:rPr>
                <w:color w:val="000000"/>
              </w:rPr>
              <w:t> </w:t>
            </w:r>
            <w:r w:rsidRPr="0025348E">
              <w:rPr>
                <w:color w:val="000000"/>
              </w:rPr>
              <w:t>bezpečnostní informace v jazyce určeném dotčeným členským státem, kterému uživatelé snadno rozumějí.</w:t>
            </w:r>
          </w:p>
          <w:p w:rsidR="004A3E27" w:rsidRPr="00F935AB" w:rsidRDefault="004A3E27" w:rsidP="00333DF1">
            <w:pPr>
              <w:pStyle w:val="Normln0"/>
              <w:jc w:val="center"/>
              <w:rPr>
                <w:i/>
                <w:color w:val="000000"/>
              </w:rPr>
            </w:pPr>
            <w:r w:rsidRPr="00F935AB">
              <w:rPr>
                <w:i/>
                <w:color w:val="000000"/>
              </w:rPr>
              <w:t>Článek 13</w:t>
            </w:r>
          </w:p>
          <w:p w:rsidR="004A3E27" w:rsidRPr="00F935AB" w:rsidRDefault="004A3E27" w:rsidP="00333DF1">
            <w:pPr>
              <w:pStyle w:val="Normln0"/>
              <w:jc w:val="center"/>
              <w:rPr>
                <w:b/>
                <w:color w:val="000000"/>
              </w:rPr>
            </w:pPr>
            <w:r w:rsidRPr="00F935AB">
              <w:rPr>
                <w:b/>
                <w:color w:val="000000"/>
              </w:rPr>
              <w:t>Povinnosti dovozců</w:t>
            </w:r>
          </w:p>
          <w:p w:rsidR="004A3E27" w:rsidRDefault="004A3E27" w:rsidP="00333DF1">
            <w:pPr>
              <w:pStyle w:val="Normln0"/>
              <w:jc w:val="both"/>
              <w:rPr>
                <w:color w:val="000000"/>
              </w:rPr>
            </w:pPr>
            <w:r w:rsidRPr="0025348E">
              <w:rPr>
                <w:color w:val="000000"/>
              </w:rPr>
              <w:t>4. Dovozci při dodávání stavebního výrobku na trh zajistí, aby byly k</w:t>
            </w:r>
            <w:r>
              <w:rPr>
                <w:color w:val="000000"/>
              </w:rPr>
              <w:t> </w:t>
            </w:r>
            <w:r w:rsidRPr="0025348E">
              <w:rPr>
                <w:color w:val="000000"/>
              </w:rPr>
              <w:t>výrobku přiloženy pokyny a informace o bezpečnosti výrobku v jazyce určeném členským státem, kterému uživatelé snadno rozumějí.</w:t>
            </w:r>
          </w:p>
          <w:p w:rsidR="004A3E27" w:rsidRPr="009C7307" w:rsidRDefault="004A3E27" w:rsidP="00333DF1">
            <w:pPr>
              <w:pStyle w:val="Normln0"/>
              <w:jc w:val="center"/>
              <w:rPr>
                <w:i/>
                <w:color w:val="000000"/>
              </w:rPr>
            </w:pPr>
            <w:r w:rsidRPr="009C7307">
              <w:rPr>
                <w:i/>
                <w:color w:val="000000"/>
              </w:rPr>
              <w:t>Článek 14</w:t>
            </w:r>
          </w:p>
          <w:p w:rsidR="004A3E27" w:rsidRPr="009C7307" w:rsidRDefault="004A3E27" w:rsidP="00333DF1">
            <w:pPr>
              <w:pStyle w:val="Normln0"/>
              <w:jc w:val="center"/>
              <w:rPr>
                <w:b/>
                <w:color w:val="000000"/>
              </w:rPr>
            </w:pPr>
            <w:r w:rsidRPr="009C7307">
              <w:rPr>
                <w:b/>
                <w:color w:val="000000"/>
              </w:rPr>
              <w:t>Povinnosti distributorů</w:t>
            </w:r>
          </w:p>
          <w:p w:rsidR="005A07E5" w:rsidRPr="006F4375" w:rsidRDefault="004A3E27" w:rsidP="007C5CF9">
            <w:pPr>
              <w:pStyle w:val="Normln0"/>
              <w:jc w:val="both"/>
              <w:rPr>
                <w:bCs/>
                <w:i/>
              </w:rPr>
            </w:pPr>
            <w:r w:rsidRPr="0025348E">
              <w:rPr>
                <w:color w:val="000000"/>
              </w:rPr>
              <w:lastRenderedPageBreak/>
              <w:t>2. Před dodáním stavebního výrobku na trh distributoři zajistí, aby výrobek nesl, je-li vyžadováno, označení CE a byly k</w:t>
            </w:r>
            <w:r>
              <w:rPr>
                <w:color w:val="000000"/>
              </w:rPr>
              <w:t> </w:t>
            </w:r>
            <w:r w:rsidRPr="0025348E">
              <w:rPr>
                <w:color w:val="000000"/>
              </w:rPr>
              <w:t>němu připojeny dokumenty požadované tímto nařízením a pokyny a</w:t>
            </w:r>
            <w:r>
              <w:rPr>
                <w:color w:val="000000"/>
              </w:rPr>
              <w:t> </w:t>
            </w:r>
            <w:r w:rsidRPr="0025348E">
              <w:rPr>
                <w:color w:val="000000"/>
              </w:rPr>
              <w:t>informace o bezpečnosti výrobku v</w:t>
            </w:r>
            <w:r>
              <w:rPr>
                <w:color w:val="000000"/>
              </w:rPr>
              <w:t> </w:t>
            </w:r>
            <w:r w:rsidRPr="0025348E">
              <w:rPr>
                <w:color w:val="000000"/>
              </w:rPr>
              <w:t>jazyce určeném dotčeným členským státem, kterému uživatelé snadno rozumějí. Dále distributoři zajistí, aby výrobce i dovozce splnili požadavky stanovené v čl. 11 odst. 4 a 5 a v čl. 13 odst. 3.</w:t>
            </w:r>
          </w:p>
        </w:tc>
      </w:tr>
      <w:tr w:rsidR="003A5557" w:rsidTr="007C5CF9">
        <w:tc>
          <w:tcPr>
            <w:tcW w:w="945" w:type="dxa"/>
            <w:tcBorders>
              <w:top w:val="single" w:sz="4" w:space="0" w:color="auto"/>
              <w:bottom w:val="single" w:sz="4" w:space="0" w:color="auto"/>
            </w:tcBorders>
          </w:tcPr>
          <w:p w:rsidR="003A5557" w:rsidRDefault="003A5557" w:rsidP="00333DF1">
            <w:r w:rsidRPr="005A07E5">
              <w:rPr>
                <w:rFonts w:ascii="Times New Roman" w:hAnsi="Times New Roman" w:cs="Times New Roman"/>
                <w:sz w:val="20"/>
                <w:szCs w:val="20"/>
              </w:rPr>
              <w:lastRenderedPageBreak/>
              <w:t xml:space="preserve">§ </w:t>
            </w:r>
            <w:r w:rsidR="004974EC">
              <w:rPr>
                <w:rFonts w:ascii="Times New Roman" w:hAnsi="Times New Roman" w:cs="Times New Roman"/>
                <w:sz w:val="20"/>
                <w:szCs w:val="20"/>
              </w:rPr>
              <w:t>5</w:t>
            </w:r>
          </w:p>
        </w:tc>
        <w:tc>
          <w:tcPr>
            <w:tcW w:w="3158" w:type="dxa"/>
            <w:tcBorders>
              <w:top w:val="single" w:sz="4" w:space="0" w:color="auto"/>
              <w:bottom w:val="single" w:sz="4" w:space="0" w:color="auto"/>
              <w:right w:val="single" w:sz="6" w:space="0" w:color="auto"/>
            </w:tcBorders>
          </w:tcPr>
          <w:p w:rsidR="004974EC" w:rsidRPr="002C5FED" w:rsidRDefault="004974EC" w:rsidP="008D14E3">
            <w:pPr>
              <w:spacing w:line="240" w:lineRule="auto"/>
              <w:jc w:val="center"/>
              <w:rPr>
                <w:rFonts w:ascii="Times New Roman" w:hAnsi="Times New Roman" w:cs="Times New Roman"/>
                <w:color w:val="auto"/>
                <w:sz w:val="20"/>
                <w:szCs w:val="20"/>
              </w:rPr>
            </w:pPr>
            <w:r w:rsidRPr="002C5FED">
              <w:rPr>
                <w:rFonts w:ascii="Times New Roman" w:hAnsi="Times New Roman" w:cs="Times New Roman"/>
                <w:color w:val="auto"/>
                <w:sz w:val="20"/>
                <w:szCs w:val="20"/>
              </w:rPr>
              <w:t>§ 5</w:t>
            </w:r>
          </w:p>
          <w:p w:rsidR="004974EC" w:rsidRPr="002C5FED" w:rsidRDefault="004974EC" w:rsidP="002C5FED">
            <w:pPr>
              <w:spacing w:line="240" w:lineRule="auto"/>
              <w:jc w:val="both"/>
              <w:rPr>
                <w:rFonts w:ascii="Times New Roman" w:hAnsi="Times New Roman" w:cs="Times New Roman"/>
                <w:b/>
                <w:color w:val="auto"/>
                <w:sz w:val="20"/>
                <w:szCs w:val="20"/>
              </w:rPr>
            </w:pPr>
            <w:r w:rsidRPr="002C5FED">
              <w:rPr>
                <w:rFonts w:ascii="Times New Roman" w:hAnsi="Times New Roman" w:cs="Times New Roman"/>
                <w:b/>
                <w:color w:val="auto"/>
                <w:sz w:val="20"/>
                <w:szCs w:val="20"/>
              </w:rPr>
              <w:t>Subjekty pro technické posuzování</w:t>
            </w:r>
            <w:r w:rsidRPr="002C5FED">
              <w:rPr>
                <w:rFonts w:ascii="Times New Roman" w:hAnsi="Times New Roman" w:cs="Times New Roman"/>
                <w:color w:val="auto"/>
                <w:sz w:val="20"/>
                <w:szCs w:val="20"/>
              </w:rPr>
              <w:t xml:space="preserve"> </w:t>
            </w:r>
            <w:r w:rsidRPr="002C5FED">
              <w:rPr>
                <w:rFonts w:ascii="Times New Roman" w:hAnsi="Times New Roman" w:cs="Times New Roman"/>
                <w:b/>
                <w:color w:val="auto"/>
                <w:sz w:val="20"/>
                <w:szCs w:val="20"/>
              </w:rPr>
              <w:t>stavebních výrobků s označením CE</w:t>
            </w:r>
          </w:p>
          <w:p w:rsidR="00101B86" w:rsidRPr="00101B86" w:rsidRDefault="00101B86" w:rsidP="00101B86">
            <w:pPr>
              <w:tabs>
                <w:tab w:val="left" w:pos="1134"/>
              </w:tabs>
              <w:spacing w:line="240" w:lineRule="auto"/>
              <w:jc w:val="both"/>
              <w:rPr>
                <w:rFonts w:ascii="Times New Roman" w:hAnsi="Times New Roman" w:cs="Times New Roman"/>
                <w:color w:val="auto"/>
                <w:sz w:val="20"/>
                <w:szCs w:val="20"/>
                <w:u w:val="single"/>
              </w:rPr>
            </w:pPr>
            <w:r w:rsidRPr="00101B86">
              <w:rPr>
                <w:rFonts w:ascii="Times New Roman" w:hAnsi="Times New Roman" w:cs="Times New Roman"/>
                <w:color w:val="auto"/>
                <w:sz w:val="20"/>
                <w:szCs w:val="20"/>
                <w:u w:val="single"/>
              </w:rPr>
              <w:t>(1)</w:t>
            </w:r>
            <w:r w:rsidRPr="00101B86">
              <w:rPr>
                <w:rFonts w:ascii="Times New Roman" w:hAnsi="Times New Roman" w:cs="Times New Roman"/>
                <w:color w:val="auto"/>
                <w:sz w:val="20"/>
                <w:szCs w:val="20"/>
                <w:u w:val="single"/>
              </w:rPr>
              <w:tab/>
              <w:t xml:space="preserve">Podle čl. 29 přímo použitelného předpisu </w:t>
            </w:r>
            <w:proofErr w:type="gramStart"/>
            <w:r w:rsidRPr="00101B86">
              <w:rPr>
                <w:rFonts w:ascii="Times New Roman" w:hAnsi="Times New Roman" w:cs="Times New Roman"/>
                <w:color w:val="auto"/>
                <w:sz w:val="20"/>
                <w:szCs w:val="20"/>
                <w:u w:val="single"/>
              </w:rPr>
              <w:t>Ministerstvo</w:t>
            </w:r>
            <w:proofErr w:type="gramEnd"/>
            <w:r w:rsidRPr="00101B86">
              <w:rPr>
                <w:rFonts w:ascii="Times New Roman" w:hAnsi="Times New Roman" w:cs="Times New Roman"/>
                <w:color w:val="auto"/>
                <w:sz w:val="20"/>
                <w:szCs w:val="20"/>
                <w:u w:val="single"/>
              </w:rPr>
              <w:t xml:space="preserve"> může pověřit právnickou osobu na základě její žádosti výkonem činností subjektu pro technické posuzování tak, aby byla zajištěna potřebná kapacita pro zpracování evropských technických posouzení. Požadavky na subjekty pro technické posuzování a jejich povinnosti stanoví čl. 30 přímo použitelného předpisu.</w:t>
            </w:r>
          </w:p>
          <w:p w:rsidR="00101B86" w:rsidRDefault="00101B86" w:rsidP="00101B86">
            <w:pPr>
              <w:tabs>
                <w:tab w:val="left" w:pos="1134"/>
              </w:tabs>
              <w:spacing w:line="240" w:lineRule="auto"/>
              <w:jc w:val="both"/>
              <w:rPr>
                <w:rFonts w:ascii="Times New Roman" w:hAnsi="Times New Roman" w:cs="Times New Roman"/>
                <w:color w:val="auto"/>
                <w:sz w:val="20"/>
                <w:szCs w:val="20"/>
                <w:u w:val="single"/>
              </w:rPr>
            </w:pPr>
            <w:r w:rsidRPr="00101B86">
              <w:rPr>
                <w:rFonts w:ascii="Times New Roman" w:hAnsi="Times New Roman" w:cs="Times New Roman"/>
                <w:color w:val="auto"/>
                <w:sz w:val="20"/>
                <w:szCs w:val="20"/>
                <w:u w:val="single"/>
              </w:rPr>
              <w:t>(2)</w:t>
            </w:r>
            <w:r w:rsidRPr="00101B86">
              <w:rPr>
                <w:rFonts w:ascii="Times New Roman" w:hAnsi="Times New Roman" w:cs="Times New Roman"/>
                <w:color w:val="auto"/>
                <w:sz w:val="20"/>
                <w:szCs w:val="20"/>
                <w:u w:val="single"/>
              </w:rPr>
              <w:tab/>
              <w:t>Žádost podle odstavce 1, kromě náležitostí podle správního řádu, obsahuje vymezení skupin stavebních výrobků s označením CE, pro něž má být právnická osoba pověřena subjektem pro technické posuzování. Součástí žádosti jsou doklady prokazující splnění podmínek stanovených v tabulce 2 přílohy IV. přímo použitelného předpisu.</w:t>
            </w:r>
          </w:p>
          <w:p w:rsidR="00101B86" w:rsidRPr="00101B86" w:rsidRDefault="00101B86" w:rsidP="00101B86">
            <w:pPr>
              <w:tabs>
                <w:tab w:val="left" w:pos="1134"/>
              </w:tabs>
              <w:spacing w:line="240" w:lineRule="auto"/>
              <w:jc w:val="both"/>
              <w:rPr>
                <w:rFonts w:ascii="Times New Roman" w:hAnsi="Times New Roman" w:cs="Times New Roman"/>
                <w:color w:val="auto"/>
                <w:sz w:val="20"/>
                <w:szCs w:val="20"/>
                <w:u w:val="single"/>
              </w:rPr>
            </w:pPr>
            <w:r w:rsidRPr="00101B86">
              <w:rPr>
                <w:rFonts w:ascii="Times New Roman" w:hAnsi="Times New Roman" w:cs="Times New Roman"/>
                <w:color w:val="auto"/>
                <w:sz w:val="20"/>
                <w:szCs w:val="20"/>
                <w:u w:val="single"/>
              </w:rPr>
              <w:t>(3)</w:t>
            </w:r>
            <w:r w:rsidRPr="00101B86">
              <w:rPr>
                <w:rFonts w:ascii="Times New Roman" w:hAnsi="Times New Roman" w:cs="Times New Roman"/>
                <w:color w:val="auto"/>
                <w:sz w:val="20"/>
                <w:szCs w:val="20"/>
                <w:u w:val="single"/>
              </w:rPr>
              <w:tab/>
              <w:t xml:space="preserve">Výroková část rozhodnutí, kterým </w:t>
            </w:r>
            <w:proofErr w:type="gramStart"/>
            <w:r w:rsidRPr="00101B86">
              <w:rPr>
                <w:rFonts w:ascii="Times New Roman" w:hAnsi="Times New Roman" w:cs="Times New Roman"/>
                <w:color w:val="auto"/>
                <w:sz w:val="20"/>
                <w:szCs w:val="20"/>
                <w:u w:val="single"/>
              </w:rPr>
              <w:t>Ministerstvo</w:t>
            </w:r>
            <w:proofErr w:type="gramEnd"/>
            <w:r w:rsidRPr="00101B86">
              <w:rPr>
                <w:rFonts w:ascii="Times New Roman" w:hAnsi="Times New Roman" w:cs="Times New Roman"/>
                <w:color w:val="auto"/>
                <w:sz w:val="20"/>
                <w:szCs w:val="20"/>
                <w:u w:val="single"/>
              </w:rPr>
              <w:t xml:space="preserve"> pověřuje právnickou osobu výkonem činností subjektu pro technické posuzování, kromě náležitostí podle správního řádu, obsahuje vymezení skupin stavebních výrobků s označením CE, pro něž se právnická osoba pověřuje subjektem pro technické posuzování. </w:t>
            </w:r>
          </w:p>
          <w:p w:rsidR="003A5557" w:rsidRPr="002C5FED" w:rsidRDefault="00101B86" w:rsidP="00101B86">
            <w:pPr>
              <w:tabs>
                <w:tab w:val="left" w:pos="1134"/>
              </w:tabs>
              <w:spacing w:line="240" w:lineRule="auto"/>
              <w:jc w:val="both"/>
              <w:rPr>
                <w:rFonts w:ascii="Times New Roman" w:hAnsi="Times New Roman" w:cs="Times New Roman"/>
                <w:sz w:val="20"/>
                <w:szCs w:val="20"/>
              </w:rPr>
            </w:pPr>
            <w:r w:rsidRPr="00101B86">
              <w:rPr>
                <w:rFonts w:ascii="Times New Roman" w:hAnsi="Times New Roman" w:cs="Times New Roman"/>
                <w:color w:val="auto"/>
                <w:sz w:val="20"/>
                <w:szCs w:val="20"/>
                <w:u w:val="single"/>
              </w:rPr>
              <w:t>(4)</w:t>
            </w:r>
            <w:r w:rsidRPr="00101B86">
              <w:rPr>
                <w:rFonts w:ascii="Times New Roman" w:hAnsi="Times New Roman" w:cs="Times New Roman"/>
                <w:color w:val="auto"/>
                <w:sz w:val="20"/>
                <w:szCs w:val="20"/>
                <w:u w:val="single"/>
              </w:rPr>
              <w:tab/>
              <w:t>Ministerstvo kontroluje podle čl. 29 odst. 3 přímo použitelného předpisu, zda subjekt pro technické posuzování dodržuje povinnosti a splňuje požadavky stanovené přímo použitelným předpisem. V případě, že subjekt pro technické posuzování přestane splňovat požadavky nebo neplní povinnosti stanovené přímo použitelným předpisem, Ministerstvo zruší podle čl. 30 odst. 3 přímo použitelného předpisu jeho pověření k výkonu činností subjektu pro technické posuzování.</w:t>
            </w:r>
          </w:p>
        </w:tc>
        <w:tc>
          <w:tcPr>
            <w:tcW w:w="1276" w:type="dxa"/>
            <w:tcBorders>
              <w:top w:val="single" w:sz="4" w:space="0" w:color="auto"/>
              <w:left w:val="single" w:sz="6" w:space="0" w:color="auto"/>
              <w:bottom w:val="single" w:sz="4" w:space="0" w:color="auto"/>
            </w:tcBorders>
          </w:tcPr>
          <w:p w:rsidR="00241E21" w:rsidRPr="00867288" w:rsidRDefault="00241E21" w:rsidP="00333DF1">
            <w:pPr>
              <w:pStyle w:val="Normln0"/>
              <w:keepNext/>
              <w:keepLines/>
              <w:ind w:left="40" w:right="-40"/>
              <w:rPr>
                <w:bCs/>
                <w:color w:val="000000"/>
              </w:rPr>
            </w:pPr>
            <w:r w:rsidRPr="00867288">
              <w:rPr>
                <w:bCs/>
                <w:color w:val="000000"/>
              </w:rPr>
              <w:t>32011R0305</w:t>
            </w:r>
          </w:p>
          <w:p w:rsidR="003A5557" w:rsidRPr="00867288" w:rsidRDefault="003A5557" w:rsidP="00333DF1">
            <w:pPr>
              <w:pStyle w:val="Normln0"/>
              <w:keepNext/>
              <w:keepLines/>
              <w:ind w:left="40" w:right="-40"/>
              <w:rPr>
                <w:bCs/>
                <w:color w:val="000000"/>
              </w:rPr>
            </w:pPr>
          </w:p>
        </w:tc>
        <w:tc>
          <w:tcPr>
            <w:tcW w:w="4402" w:type="dxa"/>
            <w:tcBorders>
              <w:top w:val="single" w:sz="4" w:space="0" w:color="auto"/>
              <w:bottom w:val="single" w:sz="4" w:space="0" w:color="auto"/>
            </w:tcBorders>
          </w:tcPr>
          <w:p w:rsidR="008150EE" w:rsidRDefault="008150EE" w:rsidP="00333DF1">
            <w:pPr>
              <w:pStyle w:val="Default"/>
              <w:jc w:val="center"/>
              <w:rPr>
                <w:sz w:val="20"/>
                <w:szCs w:val="20"/>
              </w:rPr>
            </w:pPr>
            <w:r>
              <w:rPr>
                <w:i/>
                <w:iCs/>
                <w:sz w:val="20"/>
                <w:szCs w:val="20"/>
              </w:rPr>
              <w:t>Článek 29</w:t>
            </w:r>
          </w:p>
          <w:p w:rsidR="008150EE" w:rsidRDefault="008150EE" w:rsidP="00333DF1">
            <w:pPr>
              <w:pStyle w:val="Default"/>
              <w:jc w:val="center"/>
              <w:rPr>
                <w:sz w:val="20"/>
                <w:szCs w:val="20"/>
              </w:rPr>
            </w:pPr>
            <w:r>
              <w:rPr>
                <w:b/>
                <w:bCs/>
                <w:sz w:val="20"/>
                <w:szCs w:val="20"/>
              </w:rPr>
              <w:t>Určení, kontrola a hodnocení subjektů pro technické posuzování</w:t>
            </w:r>
          </w:p>
          <w:p w:rsidR="008150EE" w:rsidRDefault="008150EE" w:rsidP="00333DF1">
            <w:pPr>
              <w:pStyle w:val="Default"/>
              <w:jc w:val="both"/>
              <w:rPr>
                <w:sz w:val="20"/>
                <w:szCs w:val="20"/>
              </w:rPr>
            </w:pPr>
            <w:r>
              <w:rPr>
                <w:sz w:val="20"/>
                <w:szCs w:val="20"/>
              </w:rPr>
              <w:t xml:space="preserve">1. Členské státy mohou určit subjekty pro technické posuzování na svých územích, zejména pro jednu nebo několik skupin výrobků uvedených v tabulce 1 přílohy IV. </w:t>
            </w:r>
          </w:p>
          <w:p w:rsidR="008150EE" w:rsidRDefault="008150EE" w:rsidP="00333DF1">
            <w:pPr>
              <w:pStyle w:val="Default"/>
              <w:jc w:val="both"/>
              <w:rPr>
                <w:sz w:val="20"/>
                <w:szCs w:val="20"/>
              </w:rPr>
            </w:pPr>
            <w:r>
              <w:rPr>
                <w:sz w:val="20"/>
                <w:szCs w:val="20"/>
              </w:rPr>
              <w:t xml:space="preserve">Členské státy, které určily subjekt pro technické posuzování oznámí ostatním členským státům a Komisi název a adresu takového subjektu pro technické posuzování a skupinu výrobků, pro kterou byl subjekt pro technické posuzování určen. </w:t>
            </w:r>
          </w:p>
          <w:p w:rsidR="008150EE" w:rsidRDefault="008150EE" w:rsidP="00333DF1">
            <w:pPr>
              <w:pStyle w:val="Default"/>
              <w:jc w:val="both"/>
              <w:rPr>
                <w:sz w:val="20"/>
                <w:szCs w:val="20"/>
              </w:rPr>
            </w:pPr>
            <w:r>
              <w:rPr>
                <w:sz w:val="20"/>
                <w:szCs w:val="20"/>
              </w:rPr>
              <w:t xml:space="preserve">2. Komise zveřejní elektronickými prostředky seznam subjektů pro technické posuzování, ve kterém budou uvedeny skupiny výrobků, pro které jsou subjekty pro technické posuzování určeny, přičemž se vynasnaží dosáhnout nejvyšší možné míry transparentnosti. </w:t>
            </w:r>
          </w:p>
          <w:p w:rsidR="008150EE" w:rsidRDefault="008150EE" w:rsidP="00333DF1">
            <w:pPr>
              <w:pStyle w:val="Default"/>
              <w:jc w:val="both"/>
              <w:rPr>
                <w:sz w:val="20"/>
                <w:szCs w:val="20"/>
              </w:rPr>
            </w:pPr>
            <w:r>
              <w:rPr>
                <w:sz w:val="20"/>
                <w:szCs w:val="20"/>
              </w:rPr>
              <w:t xml:space="preserve">Komise zveřejní každou aktualizaci tohoto seznamu. </w:t>
            </w:r>
          </w:p>
          <w:p w:rsidR="008150EE" w:rsidRDefault="008150EE" w:rsidP="00333DF1">
            <w:pPr>
              <w:pStyle w:val="Default"/>
              <w:jc w:val="both"/>
              <w:rPr>
                <w:sz w:val="20"/>
                <w:szCs w:val="20"/>
              </w:rPr>
            </w:pPr>
            <w:r>
              <w:rPr>
                <w:sz w:val="20"/>
                <w:szCs w:val="20"/>
              </w:rPr>
              <w:t xml:space="preserve">3. Členské státy kontrolují činnosti a způsobilost subjektů pro technické posuzování, které určily, a vyhodnocují je ve vztahu k příslušným požadavkům stanoveným v tabulce 2 přílohy IV. </w:t>
            </w:r>
          </w:p>
          <w:p w:rsidR="008150EE" w:rsidRDefault="008150EE" w:rsidP="00333DF1">
            <w:pPr>
              <w:pStyle w:val="Default"/>
              <w:jc w:val="both"/>
              <w:rPr>
                <w:sz w:val="20"/>
                <w:szCs w:val="20"/>
              </w:rPr>
            </w:pPr>
            <w:r>
              <w:rPr>
                <w:sz w:val="20"/>
                <w:szCs w:val="20"/>
              </w:rPr>
              <w:t xml:space="preserve">Členské státy informují Komisi o svých vnitrostátních postupech pro určení subjektů pro technické posuzování, o kontrole jejich činnosti, způsobilosti a o veškerých změnách těchto informací. </w:t>
            </w:r>
          </w:p>
          <w:p w:rsidR="003A5557" w:rsidRDefault="008150EE" w:rsidP="006E3590">
            <w:pPr>
              <w:pStyle w:val="Normln0"/>
              <w:jc w:val="both"/>
            </w:pPr>
            <w:r>
              <w:t>4. Komise přijme po konzultaci Stálého výboru pro stavebnictví pokyny pro provádění hodnocení subjektů pro technické posuzování.</w:t>
            </w:r>
          </w:p>
          <w:p w:rsidR="00FB3BB5" w:rsidRDefault="00FB3BB5" w:rsidP="006E3590">
            <w:pPr>
              <w:pStyle w:val="Normln0"/>
              <w:jc w:val="both"/>
            </w:pPr>
          </w:p>
          <w:p w:rsidR="00FB3BB5" w:rsidRDefault="00FB3BB5" w:rsidP="00FB3BB5">
            <w:pPr>
              <w:pStyle w:val="Normln0"/>
              <w:jc w:val="center"/>
            </w:pPr>
            <w:r>
              <w:t>Článek 30</w:t>
            </w:r>
          </w:p>
          <w:p w:rsidR="00FB3BB5" w:rsidRPr="00FB3BB5" w:rsidRDefault="00FB3BB5" w:rsidP="00FB3BB5">
            <w:pPr>
              <w:pStyle w:val="Normln0"/>
              <w:jc w:val="center"/>
              <w:rPr>
                <w:b/>
              </w:rPr>
            </w:pPr>
            <w:r w:rsidRPr="00FB3BB5">
              <w:rPr>
                <w:b/>
              </w:rPr>
              <w:t>Požadavky na subjekty pro technické posuzování</w:t>
            </w:r>
          </w:p>
          <w:p w:rsidR="00FB3BB5" w:rsidRDefault="00FB3BB5" w:rsidP="00FB3BB5">
            <w:pPr>
              <w:pStyle w:val="Normln0"/>
              <w:jc w:val="both"/>
            </w:pPr>
            <w:r>
              <w:t>1. Subjekt pro technické posuzování provádí posuzování a vydává evropské technické posouzení pro skupinu výrobků, pro kterou byl určen.</w:t>
            </w:r>
          </w:p>
          <w:p w:rsidR="00FB3BB5" w:rsidRDefault="00FB3BB5" w:rsidP="00FB3BB5">
            <w:pPr>
              <w:pStyle w:val="Normln0"/>
              <w:jc w:val="both"/>
            </w:pPr>
            <w:r>
              <w:t>Subjekt pro technické posuzování musí v rozsahu svého určení splňovat požadavky stanovené v tabulce 2 přílohy IV.</w:t>
            </w:r>
          </w:p>
          <w:p w:rsidR="00FB3BB5" w:rsidRDefault="00FB3BB5" w:rsidP="00FB3BB5">
            <w:pPr>
              <w:pStyle w:val="Normln0"/>
              <w:jc w:val="both"/>
            </w:pPr>
            <w:r>
              <w:t xml:space="preserve">2. Subjekt pro technické posuzování zveřejní svou organizační strukturu a jména členů svých vnitřních rozhodovacích orgánů. </w:t>
            </w:r>
          </w:p>
          <w:p w:rsidR="00FB3BB5" w:rsidRPr="006E3590" w:rsidRDefault="00FB3BB5" w:rsidP="00FB3BB5">
            <w:pPr>
              <w:pStyle w:val="Normln0"/>
              <w:jc w:val="both"/>
            </w:pPr>
            <w:r>
              <w:t>3. Nesplňuje-li již subjekt pro technické posuzování požadavky uvedené v odstavci 1, členský stát zruší určení tohoto subjektu pro technické posuzování pro příslušnou skupinu výrobků a informuje o tom Komisi a jiné členské státy.</w:t>
            </w:r>
          </w:p>
        </w:tc>
      </w:tr>
      <w:tr w:rsidR="009B00AF" w:rsidTr="007C5CF9">
        <w:tc>
          <w:tcPr>
            <w:tcW w:w="945" w:type="dxa"/>
            <w:tcBorders>
              <w:top w:val="single" w:sz="4" w:space="0" w:color="auto"/>
              <w:bottom w:val="single" w:sz="4" w:space="0" w:color="auto"/>
            </w:tcBorders>
          </w:tcPr>
          <w:p w:rsidR="009B00AF" w:rsidRPr="00076BCD" w:rsidDel="00DA1751" w:rsidRDefault="009B00AF" w:rsidP="004974EC">
            <w:pPr>
              <w:rPr>
                <w:rFonts w:ascii="Times New Roman" w:hAnsi="Times New Roman"/>
                <w:sz w:val="20"/>
                <w:szCs w:val="20"/>
              </w:rPr>
            </w:pPr>
            <w:r w:rsidRPr="00076BCD">
              <w:rPr>
                <w:rFonts w:ascii="Times New Roman" w:hAnsi="Times New Roman"/>
                <w:sz w:val="20"/>
                <w:szCs w:val="20"/>
              </w:rPr>
              <w:lastRenderedPageBreak/>
              <w:t xml:space="preserve">§ </w:t>
            </w:r>
            <w:r w:rsidR="004974EC" w:rsidRPr="00076BCD">
              <w:rPr>
                <w:rFonts w:ascii="Times New Roman" w:hAnsi="Times New Roman"/>
                <w:sz w:val="20"/>
                <w:szCs w:val="20"/>
              </w:rPr>
              <w:t>6</w:t>
            </w:r>
          </w:p>
        </w:tc>
        <w:tc>
          <w:tcPr>
            <w:tcW w:w="3158" w:type="dxa"/>
            <w:tcBorders>
              <w:top w:val="single" w:sz="4" w:space="0" w:color="auto"/>
              <w:bottom w:val="single" w:sz="4" w:space="0" w:color="auto"/>
              <w:right w:val="single" w:sz="6" w:space="0" w:color="auto"/>
            </w:tcBorders>
          </w:tcPr>
          <w:p w:rsidR="00EB683A" w:rsidRPr="00076BCD" w:rsidRDefault="009E2FE0" w:rsidP="00076BCD">
            <w:pPr>
              <w:spacing w:line="240" w:lineRule="auto"/>
              <w:jc w:val="center"/>
              <w:rPr>
                <w:rFonts w:ascii="Times New Roman" w:hAnsi="Times New Roman"/>
                <w:sz w:val="20"/>
                <w:szCs w:val="20"/>
              </w:rPr>
            </w:pPr>
            <w:r w:rsidRPr="00076BCD">
              <w:rPr>
                <w:rFonts w:ascii="Times New Roman" w:hAnsi="Times New Roman"/>
                <w:sz w:val="20"/>
                <w:szCs w:val="20"/>
              </w:rPr>
              <w:t>§</w:t>
            </w:r>
            <w:r w:rsidR="004974EC" w:rsidRPr="00076BCD">
              <w:rPr>
                <w:rFonts w:ascii="Times New Roman" w:hAnsi="Times New Roman"/>
                <w:sz w:val="20"/>
                <w:szCs w:val="20"/>
              </w:rPr>
              <w:t xml:space="preserve"> 6</w:t>
            </w:r>
            <w:r w:rsidRPr="00076BCD">
              <w:rPr>
                <w:rFonts w:ascii="Times New Roman" w:hAnsi="Times New Roman"/>
                <w:sz w:val="20"/>
                <w:szCs w:val="20"/>
              </w:rPr>
              <w:t xml:space="preserve"> </w:t>
            </w:r>
          </w:p>
          <w:p w:rsidR="009E2FE0" w:rsidRDefault="009E2FE0" w:rsidP="00076BCD">
            <w:pPr>
              <w:spacing w:line="240" w:lineRule="auto"/>
              <w:jc w:val="center"/>
              <w:rPr>
                <w:rFonts w:ascii="Times New Roman" w:hAnsi="Times New Roman"/>
                <w:b/>
                <w:sz w:val="20"/>
                <w:szCs w:val="20"/>
              </w:rPr>
            </w:pPr>
            <w:r w:rsidRPr="00076BCD">
              <w:rPr>
                <w:rFonts w:ascii="Times New Roman" w:hAnsi="Times New Roman"/>
                <w:b/>
                <w:sz w:val="20"/>
                <w:szCs w:val="20"/>
              </w:rPr>
              <w:t>Oznámené subjekty</w:t>
            </w:r>
          </w:p>
          <w:p w:rsidR="002C5FED" w:rsidRPr="002C5FED" w:rsidRDefault="00101B86" w:rsidP="002C5FED">
            <w:pPr>
              <w:pStyle w:val="Odstavecseseznamem"/>
              <w:numPr>
                <w:ilvl w:val="0"/>
                <w:numId w:val="24"/>
              </w:numPr>
              <w:tabs>
                <w:tab w:val="left" w:pos="1134"/>
              </w:tabs>
              <w:suppressAutoHyphens/>
              <w:spacing w:line="240" w:lineRule="auto"/>
              <w:ind w:left="0" w:firstLine="0"/>
              <w:contextualSpacing w:val="0"/>
              <w:jc w:val="both"/>
              <w:rPr>
                <w:rFonts w:ascii="Times New Roman" w:hAnsi="Times New Roman" w:cs="Times New Roman"/>
                <w:color w:val="auto"/>
                <w:sz w:val="20"/>
                <w:szCs w:val="20"/>
                <w:u w:val="single"/>
              </w:rPr>
            </w:pPr>
            <w:r w:rsidRPr="00101B86">
              <w:rPr>
                <w:rFonts w:ascii="Times New Roman" w:hAnsi="Times New Roman" w:cs="Times New Roman"/>
                <w:color w:val="auto"/>
                <w:sz w:val="20"/>
                <w:szCs w:val="20"/>
                <w:u w:val="single"/>
              </w:rPr>
              <w:t>Úřad provádí oznamování subjektů oprávněných provádět činnosti oznámeného subjektu</w:t>
            </w:r>
            <w:r w:rsidRPr="00101B86">
              <w:rPr>
                <w:rStyle w:val="Znakapoznpodarou"/>
                <w:rFonts w:ascii="Times New Roman" w:hAnsi="Times New Roman" w:cs="Times New Roman"/>
                <w:color w:val="auto"/>
                <w:sz w:val="20"/>
                <w:szCs w:val="20"/>
                <w:u w:val="single"/>
                <w:vertAlign w:val="baseline"/>
              </w:rPr>
              <w:t xml:space="preserve"> </w:t>
            </w:r>
            <w:r w:rsidR="002C5FED">
              <w:rPr>
                <w:rStyle w:val="Znakapoznpodarou"/>
                <w:rFonts w:ascii="Times New Roman" w:hAnsi="Times New Roman" w:cs="Times New Roman"/>
                <w:color w:val="auto"/>
                <w:sz w:val="20"/>
                <w:szCs w:val="20"/>
                <w:u w:val="single"/>
              </w:rPr>
              <w:t>4</w:t>
            </w:r>
            <w:r w:rsidR="002C5FED" w:rsidRPr="002C5FED">
              <w:rPr>
                <w:rFonts w:ascii="Times New Roman" w:hAnsi="Times New Roman" w:cs="Times New Roman"/>
                <w:color w:val="auto"/>
                <w:sz w:val="20"/>
                <w:szCs w:val="20"/>
                <w:u w:val="single"/>
                <w:vertAlign w:val="superscript"/>
              </w:rPr>
              <w:t>)</w:t>
            </w:r>
            <w:r w:rsidR="002C5FED" w:rsidRPr="002C5FED">
              <w:rPr>
                <w:rFonts w:ascii="Times New Roman" w:hAnsi="Times New Roman" w:cs="Times New Roman"/>
                <w:color w:val="auto"/>
                <w:sz w:val="20"/>
                <w:szCs w:val="20"/>
                <w:u w:val="single"/>
              </w:rPr>
              <w:t xml:space="preserve">. </w:t>
            </w:r>
          </w:p>
          <w:p w:rsidR="002C5FED" w:rsidRPr="002C5FED" w:rsidRDefault="00101B86" w:rsidP="002C5FED">
            <w:pPr>
              <w:pStyle w:val="Odstavecseseznamem"/>
              <w:numPr>
                <w:ilvl w:val="0"/>
                <w:numId w:val="24"/>
              </w:numPr>
              <w:tabs>
                <w:tab w:val="left" w:pos="1134"/>
              </w:tabs>
              <w:suppressAutoHyphens/>
              <w:spacing w:line="240" w:lineRule="auto"/>
              <w:ind w:left="0" w:firstLine="0"/>
              <w:contextualSpacing w:val="0"/>
              <w:jc w:val="both"/>
              <w:rPr>
                <w:rFonts w:ascii="Times New Roman" w:hAnsi="Times New Roman" w:cs="Times New Roman"/>
                <w:color w:val="auto"/>
                <w:sz w:val="20"/>
                <w:szCs w:val="20"/>
                <w:u w:val="single"/>
              </w:rPr>
            </w:pPr>
            <w:r w:rsidRPr="00101B86">
              <w:rPr>
                <w:rFonts w:ascii="Times New Roman" w:hAnsi="Times New Roman" w:cs="Times New Roman"/>
                <w:color w:val="auto"/>
                <w:sz w:val="20"/>
                <w:szCs w:val="20"/>
                <w:u w:val="single"/>
              </w:rPr>
              <w:t>Pro proces oznamování, pro práva a povinnosti oznámených subjektů a pro výkon státní správy s tím související se použijí obdobně ustanovení upravující oznámení a kontrolu oznámených subjektů zákona o posuzování shody stanovených výrobků při jejich dodávání na trh</w:t>
            </w:r>
            <w:r w:rsidR="002C5FED">
              <w:rPr>
                <w:rStyle w:val="Znakapoznpodarou"/>
                <w:rFonts w:ascii="Times New Roman" w:hAnsi="Times New Roman" w:cs="Times New Roman"/>
                <w:color w:val="auto"/>
                <w:sz w:val="20"/>
                <w:szCs w:val="20"/>
                <w:u w:val="single"/>
              </w:rPr>
              <w:t>5</w:t>
            </w:r>
            <w:r w:rsidR="002C5FED" w:rsidRPr="002C5FED">
              <w:rPr>
                <w:rFonts w:ascii="Times New Roman" w:hAnsi="Times New Roman" w:cs="Times New Roman"/>
                <w:color w:val="auto"/>
                <w:sz w:val="20"/>
                <w:szCs w:val="20"/>
                <w:u w:val="single"/>
                <w:vertAlign w:val="superscript"/>
              </w:rPr>
              <w:t>)</w:t>
            </w:r>
            <w:r w:rsidR="002C5FED" w:rsidRPr="002C5FED">
              <w:rPr>
                <w:rFonts w:ascii="Times New Roman" w:hAnsi="Times New Roman" w:cs="Times New Roman"/>
                <w:color w:val="auto"/>
                <w:sz w:val="20"/>
                <w:szCs w:val="20"/>
                <w:u w:val="single"/>
              </w:rPr>
              <w:t>.</w:t>
            </w:r>
          </w:p>
          <w:p w:rsidR="00076BCD" w:rsidRPr="00076BCD" w:rsidRDefault="00076BCD" w:rsidP="00076BCD">
            <w:pPr>
              <w:widowControl w:val="0"/>
              <w:tabs>
                <w:tab w:val="left" w:pos="1134"/>
              </w:tabs>
              <w:suppressAutoHyphens/>
              <w:autoSpaceDE w:val="0"/>
              <w:autoSpaceDN w:val="0"/>
              <w:adjustRightInd w:val="0"/>
              <w:spacing w:after="0" w:line="240" w:lineRule="auto"/>
              <w:jc w:val="both"/>
              <w:rPr>
                <w:rFonts w:ascii="Times New Roman" w:hAnsi="Times New Roman"/>
                <w:sz w:val="20"/>
                <w:szCs w:val="20"/>
                <w:u w:val="single"/>
              </w:rPr>
            </w:pPr>
            <w:r w:rsidRPr="00076BCD">
              <w:rPr>
                <w:rFonts w:ascii="Times New Roman" w:hAnsi="Times New Roman"/>
                <w:sz w:val="20"/>
                <w:szCs w:val="20"/>
                <w:u w:val="single"/>
              </w:rPr>
              <w:t>___</w:t>
            </w:r>
          </w:p>
          <w:p w:rsidR="002C5FED" w:rsidRDefault="002C5FED" w:rsidP="002C5FED">
            <w:pPr>
              <w:pStyle w:val="Textpoznpodarou"/>
              <w:ind w:left="0" w:firstLine="0"/>
            </w:pPr>
            <w:r>
              <w:rPr>
                <w:rStyle w:val="Znakapoznpodarou"/>
              </w:rPr>
              <w:t>4</w:t>
            </w:r>
            <w:r w:rsidRPr="00903BE6">
              <w:rPr>
                <w:rFonts w:cs="Arial"/>
              </w:rPr>
              <w:t>) Čl. 39 nařízení Evropského parlamentu a Rady (EU) č. 305/2011.</w:t>
            </w:r>
          </w:p>
          <w:p w:rsidR="002C5FED" w:rsidRDefault="002C5FED" w:rsidP="002C5FED">
            <w:pPr>
              <w:pStyle w:val="Textpoznpodarou"/>
              <w:ind w:left="0" w:firstLine="0"/>
            </w:pPr>
            <w:r>
              <w:rPr>
                <w:rStyle w:val="Znakapoznpodarou"/>
                <w:rFonts w:cs="Arial"/>
              </w:rPr>
              <w:t>5</w:t>
            </w:r>
            <w:r w:rsidRPr="00903BE6">
              <w:rPr>
                <w:rFonts w:cs="Arial"/>
              </w:rPr>
              <w:t>)</w:t>
            </w:r>
            <w:r w:rsidRPr="00903BE6">
              <w:rPr>
                <w:rFonts w:cs="Arial"/>
                <w:vertAlign w:val="superscript"/>
              </w:rPr>
              <w:t xml:space="preserve"> </w:t>
            </w:r>
            <w:r w:rsidRPr="00EE4C08">
              <w:rPr>
                <w:rFonts w:cs="Arial"/>
              </w:rPr>
              <w:t xml:space="preserve">§ 17 až 26 </w:t>
            </w:r>
            <w:r>
              <w:rPr>
                <w:rFonts w:cs="Arial"/>
              </w:rPr>
              <w:t>z</w:t>
            </w:r>
            <w:r w:rsidRPr="00903BE6">
              <w:rPr>
                <w:rFonts w:cs="Arial"/>
              </w:rPr>
              <w:t>ákon</w:t>
            </w:r>
            <w:r>
              <w:rPr>
                <w:rFonts w:cs="Arial"/>
              </w:rPr>
              <w:t>a</w:t>
            </w:r>
            <w:r w:rsidRPr="00903BE6">
              <w:rPr>
                <w:rFonts w:cs="Arial"/>
              </w:rPr>
              <w:t xml:space="preserve"> č. 90/2016 Sb., o posuzování shody stanovených výrobků při jejich dodávání na trh, ve znění </w:t>
            </w:r>
            <w:r>
              <w:rPr>
                <w:rFonts w:cs="Arial"/>
              </w:rPr>
              <w:t>zákona č. 265/2017 Sb</w:t>
            </w:r>
            <w:r w:rsidRPr="00903BE6">
              <w:rPr>
                <w:rFonts w:cs="Arial"/>
              </w:rPr>
              <w:t>.</w:t>
            </w:r>
          </w:p>
          <w:p w:rsidR="00076BCD" w:rsidRPr="00076BCD" w:rsidRDefault="00076BCD" w:rsidP="00076BCD">
            <w:pPr>
              <w:widowControl w:val="0"/>
              <w:tabs>
                <w:tab w:val="left" w:pos="1134"/>
              </w:tabs>
              <w:suppressAutoHyphens/>
              <w:autoSpaceDE w:val="0"/>
              <w:autoSpaceDN w:val="0"/>
              <w:adjustRightInd w:val="0"/>
              <w:spacing w:after="0" w:line="240" w:lineRule="auto"/>
              <w:jc w:val="both"/>
              <w:rPr>
                <w:rFonts w:ascii="Times New Roman" w:hAnsi="Times New Roman"/>
                <w:sz w:val="20"/>
                <w:szCs w:val="20"/>
              </w:rPr>
            </w:pPr>
          </w:p>
        </w:tc>
        <w:tc>
          <w:tcPr>
            <w:tcW w:w="1276" w:type="dxa"/>
            <w:tcBorders>
              <w:top w:val="single" w:sz="4" w:space="0" w:color="auto"/>
              <w:left w:val="single" w:sz="6" w:space="0" w:color="auto"/>
              <w:bottom w:val="single" w:sz="4" w:space="0" w:color="auto"/>
            </w:tcBorders>
          </w:tcPr>
          <w:p w:rsidR="009B00AF" w:rsidRPr="00867288" w:rsidRDefault="009B00AF" w:rsidP="00333DF1">
            <w:pPr>
              <w:pStyle w:val="Normln0"/>
              <w:keepNext/>
              <w:keepLines/>
              <w:ind w:left="40" w:right="-40"/>
              <w:rPr>
                <w:bCs/>
                <w:color w:val="000000"/>
              </w:rPr>
            </w:pPr>
            <w:r w:rsidRPr="00867288">
              <w:rPr>
                <w:bCs/>
                <w:color w:val="000000"/>
              </w:rPr>
              <w:t>32011R0305</w:t>
            </w:r>
          </w:p>
          <w:p w:rsidR="009B00AF" w:rsidRDefault="009B00AF" w:rsidP="00333DF1">
            <w:pPr>
              <w:pStyle w:val="Normln0"/>
              <w:keepNext/>
              <w:keepLines/>
              <w:ind w:left="40" w:right="-40"/>
              <w:jc w:val="center"/>
              <w:rPr>
                <w:color w:val="000000"/>
                <w:sz w:val="24"/>
              </w:rPr>
            </w:pPr>
          </w:p>
        </w:tc>
        <w:tc>
          <w:tcPr>
            <w:tcW w:w="4402" w:type="dxa"/>
            <w:tcBorders>
              <w:top w:val="single" w:sz="4" w:space="0" w:color="auto"/>
              <w:bottom w:val="single" w:sz="4" w:space="0" w:color="auto"/>
            </w:tcBorders>
          </w:tcPr>
          <w:p w:rsidR="0072194A" w:rsidRPr="0072194A" w:rsidRDefault="0072194A" w:rsidP="00333DF1">
            <w:pPr>
              <w:autoSpaceDE w:val="0"/>
              <w:autoSpaceDN w:val="0"/>
              <w:adjustRightInd w:val="0"/>
              <w:spacing w:after="0" w:line="240" w:lineRule="auto"/>
              <w:jc w:val="center"/>
              <w:rPr>
                <w:rFonts w:ascii="Times New Roman" w:hAnsi="Times New Roman" w:cs="Times New Roman"/>
                <w:color w:val="000000"/>
                <w:sz w:val="20"/>
                <w:szCs w:val="20"/>
              </w:rPr>
            </w:pPr>
            <w:r w:rsidRPr="0072194A">
              <w:rPr>
                <w:rFonts w:ascii="Times New Roman" w:hAnsi="Times New Roman" w:cs="Times New Roman"/>
                <w:color w:val="000000"/>
                <w:sz w:val="20"/>
                <w:szCs w:val="20"/>
              </w:rPr>
              <w:t>KAPITOLA VII</w:t>
            </w:r>
          </w:p>
          <w:p w:rsidR="0072194A" w:rsidRDefault="0072194A" w:rsidP="00333DF1">
            <w:pPr>
              <w:pStyle w:val="Normln0"/>
              <w:jc w:val="center"/>
              <w:rPr>
                <w:i/>
                <w:color w:val="000000"/>
              </w:rPr>
            </w:pPr>
            <w:r w:rsidRPr="0072194A">
              <w:rPr>
                <w:rFonts w:eastAsiaTheme="minorHAnsi"/>
                <w:b/>
                <w:bCs/>
                <w:color w:val="000000"/>
                <w:lang w:eastAsia="en-US"/>
              </w:rPr>
              <w:t>OZNAMUJÍCÍ ORGÁNY A OZNÁMENÉ SUBJEKTY</w:t>
            </w:r>
          </w:p>
          <w:p w:rsidR="00C70AA4" w:rsidRPr="00D70750" w:rsidRDefault="009B00AF" w:rsidP="00333DF1">
            <w:pPr>
              <w:pStyle w:val="Normln0"/>
              <w:jc w:val="center"/>
              <w:rPr>
                <w:i/>
                <w:color w:val="000000"/>
                <w:sz w:val="16"/>
              </w:rPr>
            </w:pPr>
            <w:r w:rsidRPr="00D70750">
              <w:rPr>
                <w:i/>
                <w:color w:val="000000"/>
              </w:rPr>
              <w:t>Článek 39</w:t>
            </w:r>
          </w:p>
          <w:p w:rsidR="009B00AF" w:rsidRPr="00597236" w:rsidRDefault="009B00AF" w:rsidP="00333DF1">
            <w:pPr>
              <w:pStyle w:val="Normln0"/>
              <w:jc w:val="center"/>
              <w:rPr>
                <w:b/>
                <w:color w:val="000000"/>
              </w:rPr>
            </w:pPr>
            <w:r w:rsidRPr="00597236">
              <w:rPr>
                <w:b/>
                <w:color w:val="000000"/>
              </w:rPr>
              <w:t>Oznámení</w:t>
            </w:r>
          </w:p>
          <w:p w:rsidR="009B00AF" w:rsidRPr="004323FD" w:rsidRDefault="009B00AF" w:rsidP="00333DF1">
            <w:pPr>
              <w:pStyle w:val="Normln0"/>
              <w:jc w:val="both"/>
              <w:rPr>
                <w:color w:val="000000"/>
              </w:rPr>
            </w:pPr>
            <w:r w:rsidRPr="004323FD">
              <w:rPr>
                <w:color w:val="000000"/>
              </w:rPr>
              <w:t>Členské státy oznámí Komisi a ostatním členským státům subjekty oprávněné provádět úkoly třetích stran v postupu posuzování a ověřování stálosti vlastností podle tohoto nařízení (dále jen „oznámené subjekty“).</w:t>
            </w:r>
          </w:p>
          <w:p w:rsidR="006C536B" w:rsidRPr="006C536B" w:rsidRDefault="006C536B" w:rsidP="00333DF1">
            <w:pPr>
              <w:autoSpaceDE w:val="0"/>
              <w:autoSpaceDN w:val="0"/>
              <w:adjustRightInd w:val="0"/>
              <w:spacing w:after="0" w:line="240" w:lineRule="auto"/>
              <w:jc w:val="center"/>
              <w:rPr>
                <w:rFonts w:ascii="Times New Roman" w:hAnsi="Times New Roman" w:cs="Times New Roman"/>
                <w:color w:val="000000"/>
                <w:sz w:val="20"/>
                <w:szCs w:val="20"/>
              </w:rPr>
            </w:pPr>
            <w:r w:rsidRPr="006C536B">
              <w:rPr>
                <w:rFonts w:ascii="Times New Roman" w:hAnsi="Times New Roman" w:cs="Times New Roman"/>
                <w:i/>
                <w:iCs/>
                <w:color w:val="000000"/>
                <w:sz w:val="20"/>
                <w:szCs w:val="20"/>
              </w:rPr>
              <w:t>Článek 40</w:t>
            </w:r>
          </w:p>
          <w:p w:rsidR="006C536B" w:rsidRPr="006C536B" w:rsidRDefault="006C536B" w:rsidP="00333DF1">
            <w:pPr>
              <w:autoSpaceDE w:val="0"/>
              <w:autoSpaceDN w:val="0"/>
              <w:adjustRightInd w:val="0"/>
              <w:spacing w:after="0" w:line="240" w:lineRule="auto"/>
              <w:jc w:val="center"/>
              <w:rPr>
                <w:rFonts w:ascii="Times New Roman" w:hAnsi="Times New Roman" w:cs="Times New Roman"/>
                <w:color w:val="000000"/>
                <w:sz w:val="20"/>
                <w:szCs w:val="20"/>
              </w:rPr>
            </w:pPr>
            <w:r w:rsidRPr="006C536B">
              <w:rPr>
                <w:rFonts w:ascii="Times New Roman" w:hAnsi="Times New Roman" w:cs="Times New Roman"/>
                <w:b/>
                <w:bCs/>
                <w:color w:val="000000"/>
                <w:sz w:val="20"/>
                <w:szCs w:val="20"/>
              </w:rPr>
              <w:t>Oznamující orgány</w:t>
            </w:r>
          </w:p>
          <w:p w:rsidR="00A97D01" w:rsidRDefault="006C536B" w:rsidP="00333DF1">
            <w:pPr>
              <w:pStyle w:val="Normln0"/>
              <w:numPr>
                <w:ilvl w:val="0"/>
                <w:numId w:val="19"/>
              </w:numPr>
              <w:ind w:left="0" w:firstLine="0"/>
              <w:jc w:val="both"/>
              <w:rPr>
                <w:rFonts w:eastAsiaTheme="minorHAnsi"/>
                <w:color w:val="000000"/>
                <w:lang w:eastAsia="en-US"/>
              </w:rPr>
            </w:pPr>
            <w:r w:rsidRPr="006C536B">
              <w:rPr>
                <w:rFonts w:eastAsiaTheme="minorHAnsi"/>
                <w:color w:val="000000"/>
                <w:lang w:eastAsia="en-US"/>
              </w:rPr>
              <w:t>Členské státy určí oznamující orgán odpovědný za vytvoření a provádění nezbytných postupů posuzování a oznamování subjektů s oprávněním provádět úkoly třetích stran v postupu posuzování a ověřování stálosti vlastností pro účely tohoto nařízení a za kontrolu oznámených subjektů, včetně souladu s článkem 43.</w:t>
            </w:r>
            <w:r w:rsidR="00583D60">
              <w:rPr>
                <w:rFonts w:eastAsiaTheme="minorHAnsi"/>
                <w:color w:val="000000"/>
                <w:lang w:eastAsia="en-US"/>
              </w:rPr>
              <w:t xml:space="preserve"> …</w:t>
            </w:r>
          </w:p>
          <w:p w:rsidR="00410C7B" w:rsidRDefault="00410C7B" w:rsidP="00333DF1">
            <w:pPr>
              <w:pStyle w:val="Normln0"/>
              <w:jc w:val="both"/>
              <w:rPr>
                <w:i/>
                <w:color w:val="000000"/>
              </w:rPr>
            </w:pPr>
          </w:p>
          <w:p w:rsidR="00EB73F4" w:rsidRDefault="00EB73F4" w:rsidP="00333DF1">
            <w:pPr>
              <w:pStyle w:val="Normln0"/>
              <w:jc w:val="both"/>
              <w:rPr>
                <w:i/>
                <w:color w:val="000000"/>
              </w:rPr>
            </w:pPr>
          </w:p>
          <w:p w:rsidR="00216816" w:rsidRPr="00216816" w:rsidRDefault="00216816" w:rsidP="00333DF1">
            <w:pPr>
              <w:autoSpaceDE w:val="0"/>
              <w:autoSpaceDN w:val="0"/>
              <w:adjustRightInd w:val="0"/>
              <w:spacing w:after="0" w:line="240" w:lineRule="auto"/>
              <w:jc w:val="center"/>
              <w:rPr>
                <w:rFonts w:ascii="Times New Roman" w:hAnsi="Times New Roman" w:cs="Times New Roman"/>
                <w:color w:val="000000"/>
                <w:sz w:val="20"/>
                <w:szCs w:val="20"/>
              </w:rPr>
            </w:pPr>
            <w:r w:rsidRPr="00216816">
              <w:rPr>
                <w:rFonts w:ascii="Times New Roman" w:hAnsi="Times New Roman" w:cs="Times New Roman"/>
                <w:i/>
                <w:iCs/>
                <w:color w:val="000000"/>
                <w:sz w:val="20"/>
                <w:szCs w:val="20"/>
              </w:rPr>
              <w:t>Článek 42</w:t>
            </w:r>
          </w:p>
          <w:p w:rsidR="00216816" w:rsidRPr="00216816" w:rsidRDefault="00216816" w:rsidP="00333DF1">
            <w:pPr>
              <w:autoSpaceDE w:val="0"/>
              <w:autoSpaceDN w:val="0"/>
              <w:adjustRightInd w:val="0"/>
              <w:spacing w:after="0" w:line="240" w:lineRule="auto"/>
              <w:jc w:val="center"/>
              <w:rPr>
                <w:rFonts w:ascii="Times New Roman" w:hAnsi="Times New Roman" w:cs="Times New Roman"/>
                <w:color w:val="000000"/>
                <w:sz w:val="20"/>
                <w:szCs w:val="20"/>
              </w:rPr>
            </w:pPr>
            <w:r w:rsidRPr="00216816">
              <w:rPr>
                <w:rFonts w:ascii="Times New Roman" w:hAnsi="Times New Roman" w:cs="Times New Roman"/>
                <w:b/>
                <w:bCs/>
                <w:color w:val="000000"/>
                <w:sz w:val="20"/>
                <w:szCs w:val="20"/>
              </w:rPr>
              <w:t>Informační povinnost členských států</w:t>
            </w:r>
          </w:p>
          <w:p w:rsidR="00A97D01" w:rsidRDefault="00216816" w:rsidP="00333DF1">
            <w:pPr>
              <w:autoSpaceDE w:val="0"/>
              <w:autoSpaceDN w:val="0"/>
              <w:adjustRightInd w:val="0"/>
              <w:spacing w:after="0" w:line="240" w:lineRule="auto"/>
              <w:jc w:val="both"/>
              <w:rPr>
                <w:i/>
                <w:color w:val="000000"/>
              </w:rPr>
            </w:pPr>
            <w:r w:rsidRPr="00216816">
              <w:rPr>
                <w:rFonts w:ascii="Times New Roman" w:hAnsi="Times New Roman" w:cs="Times New Roman"/>
                <w:color w:val="000000"/>
                <w:sz w:val="20"/>
                <w:szCs w:val="20"/>
              </w:rPr>
              <w:t>Členské státy informují Komisi o svých vnitrostátních postupech posuzování a oznamování subjektů, které jsou oprávněny plnit úkoly třetích stran v postupu posuzování a ověřování stálosti vlastností, a pro kontrolu oznámených subjektů a o změnách těchto postupů. Komise tyto informace zveřejní.</w:t>
            </w:r>
          </w:p>
          <w:p w:rsidR="00A97D01" w:rsidRDefault="00A97D01" w:rsidP="00333DF1">
            <w:pPr>
              <w:pStyle w:val="Normln0"/>
              <w:jc w:val="center"/>
              <w:rPr>
                <w:i/>
                <w:color w:val="000000"/>
              </w:rPr>
            </w:pPr>
          </w:p>
          <w:p w:rsidR="00261939" w:rsidRPr="00D70750" w:rsidRDefault="009B00AF" w:rsidP="00333DF1">
            <w:pPr>
              <w:pStyle w:val="Normln0"/>
              <w:jc w:val="center"/>
              <w:rPr>
                <w:i/>
                <w:color w:val="000000"/>
              </w:rPr>
            </w:pPr>
            <w:r w:rsidRPr="00D70750">
              <w:rPr>
                <w:i/>
                <w:color w:val="000000"/>
              </w:rPr>
              <w:t>Článek 43</w:t>
            </w:r>
            <w:r w:rsidR="00261939" w:rsidRPr="00D70750">
              <w:rPr>
                <w:i/>
                <w:color w:val="000000"/>
              </w:rPr>
              <w:t xml:space="preserve"> </w:t>
            </w:r>
          </w:p>
          <w:p w:rsidR="009B00AF" w:rsidRPr="00533F5A" w:rsidRDefault="009B00AF" w:rsidP="00333DF1">
            <w:pPr>
              <w:pStyle w:val="Normln0"/>
              <w:jc w:val="center"/>
              <w:rPr>
                <w:b/>
                <w:color w:val="000000"/>
              </w:rPr>
            </w:pPr>
            <w:r w:rsidRPr="00533F5A">
              <w:rPr>
                <w:b/>
                <w:color w:val="000000"/>
              </w:rPr>
              <w:t>Požadavky týkající se oznámených subjektů</w:t>
            </w:r>
          </w:p>
          <w:p w:rsidR="00220E4B" w:rsidRPr="00220E4B" w:rsidRDefault="00220E4B" w:rsidP="00333DF1">
            <w:pPr>
              <w:autoSpaceDE w:val="0"/>
              <w:autoSpaceDN w:val="0"/>
              <w:adjustRightInd w:val="0"/>
              <w:spacing w:after="0" w:line="240" w:lineRule="auto"/>
              <w:jc w:val="both"/>
              <w:rPr>
                <w:rFonts w:ascii="Times New Roman" w:hAnsi="Times New Roman" w:cs="Times New Roman"/>
                <w:color w:val="000000"/>
                <w:sz w:val="20"/>
                <w:szCs w:val="20"/>
              </w:rPr>
            </w:pPr>
            <w:r w:rsidRPr="00220E4B">
              <w:rPr>
                <w:rFonts w:ascii="Times New Roman" w:hAnsi="Times New Roman" w:cs="Times New Roman"/>
                <w:color w:val="000000"/>
                <w:sz w:val="20"/>
                <w:szCs w:val="20"/>
              </w:rPr>
              <w:t xml:space="preserve">1. Pro účely oznamování musí oznámený subjekt splňovat požadavky stanovené v odstavcích 2 až 11. </w:t>
            </w:r>
          </w:p>
          <w:p w:rsidR="00220E4B" w:rsidRPr="00220E4B" w:rsidRDefault="00220E4B" w:rsidP="00333DF1">
            <w:pPr>
              <w:autoSpaceDE w:val="0"/>
              <w:autoSpaceDN w:val="0"/>
              <w:adjustRightInd w:val="0"/>
              <w:spacing w:after="0" w:line="240" w:lineRule="auto"/>
              <w:jc w:val="both"/>
              <w:rPr>
                <w:rFonts w:ascii="Times New Roman" w:hAnsi="Times New Roman" w:cs="Times New Roman"/>
                <w:color w:val="000000"/>
                <w:sz w:val="20"/>
                <w:szCs w:val="20"/>
              </w:rPr>
            </w:pPr>
            <w:r w:rsidRPr="00220E4B">
              <w:rPr>
                <w:rFonts w:ascii="Times New Roman" w:hAnsi="Times New Roman" w:cs="Times New Roman"/>
                <w:color w:val="000000"/>
                <w:sz w:val="20"/>
                <w:szCs w:val="20"/>
              </w:rPr>
              <w:t xml:space="preserve">2. Oznámený subjekt se zřizuje podle vnitrostátních právních předpisů a musí mít právní subjektivitu. </w:t>
            </w:r>
          </w:p>
          <w:p w:rsidR="00220E4B" w:rsidRPr="00220E4B" w:rsidRDefault="00220E4B" w:rsidP="00333DF1">
            <w:pPr>
              <w:autoSpaceDE w:val="0"/>
              <w:autoSpaceDN w:val="0"/>
              <w:adjustRightInd w:val="0"/>
              <w:spacing w:after="0" w:line="240" w:lineRule="auto"/>
              <w:jc w:val="both"/>
              <w:rPr>
                <w:rFonts w:ascii="Times New Roman" w:hAnsi="Times New Roman" w:cs="Times New Roman"/>
                <w:color w:val="000000"/>
                <w:sz w:val="20"/>
                <w:szCs w:val="20"/>
              </w:rPr>
            </w:pPr>
            <w:r w:rsidRPr="00220E4B">
              <w:rPr>
                <w:rFonts w:ascii="Times New Roman" w:hAnsi="Times New Roman" w:cs="Times New Roman"/>
                <w:color w:val="000000"/>
                <w:sz w:val="20"/>
                <w:szCs w:val="20"/>
              </w:rPr>
              <w:t xml:space="preserve">3. Oznámený subjekt musí být třetí stranou nezávislou na organizaci nebo stavebním výrobku, který posuzuje. </w:t>
            </w:r>
          </w:p>
          <w:p w:rsidR="000E1BC8" w:rsidRDefault="00220E4B" w:rsidP="00333DF1">
            <w:pPr>
              <w:autoSpaceDE w:val="0"/>
              <w:autoSpaceDN w:val="0"/>
              <w:adjustRightInd w:val="0"/>
              <w:spacing w:after="0" w:line="240" w:lineRule="auto"/>
              <w:jc w:val="both"/>
              <w:rPr>
                <w:rFonts w:ascii="Times New Roman" w:hAnsi="Times New Roman" w:cs="Times New Roman"/>
                <w:color w:val="000000"/>
                <w:sz w:val="20"/>
                <w:szCs w:val="20"/>
              </w:rPr>
            </w:pPr>
            <w:r w:rsidRPr="00220E4B">
              <w:rPr>
                <w:rFonts w:ascii="Times New Roman" w:hAnsi="Times New Roman" w:cs="Times New Roman"/>
                <w:color w:val="000000"/>
                <w:sz w:val="20"/>
                <w:szCs w:val="20"/>
              </w:rPr>
              <w:t>Za takovýto subjekt může být považován subjekt patřící k hospodářskému sdružení nebo profesnímu sdružení zastupujícímu podniky, jež se podílejí na navrhování, výrobě, dodávání, montáži, používání nebo údržbě stavebních výrobků, které tento subjekt posuzuje, pokud je prokázána jeho nezávislost a neexistence jakéhokoli střetu zájmů</w:t>
            </w:r>
            <w:r w:rsidR="007C5021">
              <w:rPr>
                <w:rFonts w:ascii="Times New Roman" w:hAnsi="Times New Roman" w:cs="Times New Roman"/>
                <w:color w:val="000000"/>
                <w:sz w:val="20"/>
                <w:szCs w:val="20"/>
              </w:rPr>
              <w:t>…</w:t>
            </w:r>
          </w:p>
          <w:p w:rsidR="006D3702" w:rsidRPr="006D3702" w:rsidRDefault="006D3702" w:rsidP="006D3702">
            <w:pPr>
              <w:autoSpaceDE w:val="0"/>
              <w:autoSpaceDN w:val="0"/>
              <w:adjustRightInd w:val="0"/>
              <w:spacing w:after="0" w:line="240" w:lineRule="auto"/>
              <w:jc w:val="center"/>
              <w:rPr>
                <w:rFonts w:ascii="Times New Roman" w:hAnsi="Times New Roman" w:cs="Times New Roman"/>
                <w:color w:val="000000"/>
                <w:sz w:val="20"/>
                <w:szCs w:val="20"/>
              </w:rPr>
            </w:pPr>
            <w:r w:rsidRPr="006D3702">
              <w:rPr>
                <w:rFonts w:ascii="Times New Roman" w:hAnsi="Times New Roman" w:cs="Times New Roman"/>
                <w:i/>
                <w:iCs/>
                <w:color w:val="000000"/>
                <w:sz w:val="20"/>
                <w:szCs w:val="20"/>
              </w:rPr>
              <w:t>Článek 48</w:t>
            </w:r>
          </w:p>
          <w:p w:rsidR="006D3702" w:rsidRPr="006D3702" w:rsidRDefault="006D3702" w:rsidP="001933E3">
            <w:pPr>
              <w:autoSpaceDE w:val="0"/>
              <w:autoSpaceDN w:val="0"/>
              <w:adjustRightInd w:val="0"/>
              <w:spacing w:after="0" w:line="240" w:lineRule="auto"/>
              <w:jc w:val="center"/>
              <w:rPr>
                <w:rFonts w:ascii="Times New Roman" w:hAnsi="Times New Roman" w:cs="Times New Roman"/>
                <w:color w:val="000000"/>
                <w:sz w:val="20"/>
                <w:szCs w:val="20"/>
              </w:rPr>
            </w:pPr>
            <w:r w:rsidRPr="006D3702">
              <w:rPr>
                <w:rFonts w:ascii="Times New Roman" w:hAnsi="Times New Roman" w:cs="Times New Roman"/>
                <w:b/>
                <w:bCs/>
                <w:color w:val="000000"/>
                <w:sz w:val="20"/>
                <w:szCs w:val="20"/>
              </w:rPr>
              <w:t>Postup oznamování</w:t>
            </w:r>
          </w:p>
          <w:p w:rsidR="00047DC6" w:rsidRPr="00A0313B" w:rsidRDefault="006D3702" w:rsidP="00C93907">
            <w:pPr>
              <w:autoSpaceDE w:val="0"/>
              <w:autoSpaceDN w:val="0"/>
              <w:adjustRightInd w:val="0"/>
              <w:spacing w:after="0" w:line="240" w:lineRule="auto"/>
              <w:jc w:val="both"/>
              <w:rPr>
                <w:color w:val="000000"/>
              </w:rPr>
            </w:pPr>
            <w:r w:rsidRPr="006D3702">
              <w:rPr>
                <w:rFonts w:ascii="Times New Roman" w:hAnsi="Times New Roman" w:cs="Times New Roman"/>
                <w:color w:val="000000"/>
                <w:sz w:val="20"/>
                <w:szCs w:val="20"/>
              </w:rPr>
              <w:t>1. Oznamující orgány mohou oznámit pouze subjekty, které splňují požadavky stanovené v článku 43.</w:t>
            </w:r>
          </w:p>
        </w:tc>
      </w:tr>
      <w:tr w:rsidR="008917B4" w:rsidTr="007C5CF9">
        <w:tc>
          <w:tcPr>
            <w:tcW w:w="945" w:type="dxa"/>
            <w:tcBorders>
              <w:top w:val="single" w:sz="4" w:space="0" w:color="auto"/>
              <w:bottom w:val="single" w:sz="4" w:space="0" w:color="auto"/>
            </w:tcBorders>
          </w:tcPr>
          <w:p w:rsidR="008917B4" w:rsidRPr="00775CD5" w:rsidRDefault="008917B4" w:rsidP="00333DF1">
            <w:pPr>
              <w:rPr>
                <w:rFonts w:ascii="Times New Roman" w:hAnsi="Times New Roman" w:cs="Times New Roman"/>
                <w:sz w:val="20"/>
                <w:szCs w:val="20"/>
              </w:rPr>
            </w:pPr>
            <w:r w:rsidRPr="00775CD5">
              <w:rPr>
                <w:rFonts w:ascii="Times New Roman" w:hAnsi="Times New Roman" w:cs="Times New Roman"/>
                <w:sz w:val="20"/>
                <w:szCs w:val="20"/>
              </w:rPr>
              <w:t xml:space="preserve">§ </w:t>
            </w:r>
            <w:r>
              <w:rPr>
                <w:rFonts w:ascii="Times New Roman" w:hAnsi="Times New Roman" w:cs="Times New Roman"/>
                <w:sz w:val="20"/>
                <w:szCs w:val="20"/>
              </w:rPr>
              <w:t>2</w:t>
            </w:r>
            <w:r w:rsidR="001D0C4D">
              <w:rPr>
                <w:rFonts w:ascii="Times New Roman" w:hAnsi="Times New Roman" w:cs="Times New Roman"/>
                <w:sz w:val="20"/>
                <w:szCs w:val="20"/>
              </w:rPr>
              <w:t>7</w:t>
            </w:r>
            <w:r>
              <w:rPr>
                <w:rFonts w:ascii="Times New Roman" w:hAnsi="Times New Roman" w:cs="Times New Roman"/>
                <w:sz w:val="20"/>
                <w:szCs w:val="20"/>
              </w:rPr>
              <w:t>, odst.1, 2</w:t>
            </w:r>
          </w:p>
        </w:tc>
        <w:tc>
          <w:tcPr>
            <w:tcW w:w="3158" w:type="dxa"/>
            <w:tcBorders>
              <w:top w:val="single" w:sz="4" w:space="0" w:color="auto"/>
              <w:bottom w:val="single" w:sz="4" w:space="0" w:color="auto"/>
              <w:right w:val="single" w:sz="6" w:space="0" w:color="auto"/>
            </w:tcBorders>
          </w:tcPr>
          <w:p w:rsidR="00DE52FB" w:rsidRPr="00DE52FB" w:rsidRDefault="00DE52FB" w:rsidP="00333DF1">
            <w:pPr>
              <w:spacing w:after="0" w:line="240" w:lineRule="auto"/>
              <w:jc w:val="center"/>
              <w:rPr>
                <w:rFonts w:ascii="Times New Roman" w:hAnsi="Times New Roman"/>
                <w:color w:val="auto"/>
                <w:sz w:val="20"/>
                <w:szCs w:val="20"/>
              </w:rPr>
            </w:pPr>
            <w:r w:rsidRPr="00DE52FB">
              <w:rPr>
                <w:rFonts w:ascii="Times New Roman" w:hAnsi="Times New Roman"/>
                <w:color w:val="auto"/>
                <w:sz w:val="20"/>
                <w:szCs w:val="20"/>
              </w:rPr>
              <w:t>Hlava IV</w:t>
            </w:r>
          </w:p>
          <w:p w:rsidR="00DE52FB" w:rsidRPr="00DE52FB" w:rsidRDefault="00DE52FB" w:rsidP="00333DF1">
            <w:pPr>
              <w:spacing w:after="0" w:line="240" w:lineRule="auto"/>
              <w:jc w:val="center"/>
              <w:rPr>
                <w:rFonts w:ascii="Times New Roman" w:hAnsi="Times New Roman"/>
                <w:b/>
                <w:color w:val="auto"/>
                <w:sz w:val="20"/>
                <w:szCs w:val="20"/>
              </w:rPr>
            </w:pPr>
            <w:r w:rsidRPr="00DE52FB">
              <w:rPr>
                <w:rFonts w:ascii="Times New Roman" w:hAnsi="Times New Roman"/>
                <w:b/>
                <w:color w:val="auto"/>
                <w:sz w:val="20"/>
                <w:szCs w:val="20"/>
              </w:rPr>
              <w:t>Kontaktní místo pro stavební výrobky</w:t>
            </w:r>
          </w:p>
          <w:p w:rsidR="00DE52FB" w:rsidRPr="00DE52FB" w:rsidRDefault="00DE52FB" w:rsidP="00333DF1">
            <w:pPr>
              <w:spacing w:after="0" w:line="240" w:lineRule="auto"/>
              <w:jc w:val="center"/>
              <w:rPr>
                <w:rFonts w:ascii="Times New Roman" w:hAnsi="Times New Roman"/>
                <w:color w:val="auto"/>
                <w:sz w:val="20"/>
                <w:szCs w:val="20"/>
              </w:rPr>
            </w:pPr>
            <w:r w:rsidRPr="00DE52FB">
              <w:rPr>
                <w:rFonts w:ascii="Times New Roman" w:hAnsi="Times New Roman"/>
                <w:color w:val="auto"/>
                <w:sz w:val="20"/>
                <w:szCs w:val="20"/>
              </w:rPr>
              <w:t>§ 2</w:t>
            </w:r>
            <w:r w:rsidR="001D0C4D">
              <w:rPr>
                <w:rFonts w:ascii="Times New Roman" w:hAnsi="Times New Roman"/>
                <w:color w:val="auto"/>
                <w:sz w:val="20"/>
                <w:szCs w:val="20"/>
              </w:rPr>
              <w:t>7</w:t>
            </w:r>
          </w:p>
          <w:p w:rsidR="00101B86" w:rsidRPr="00101B86" w:rsidRDefault="00101B86" w:rsidP="00101B86">
            <w:pPr>
              <w:suppressAutoHyphens/>
              <w:spacing w:after="0" w:line="240" w:lineRule="auto"/>
              <w:jc w:val="both"/>
              <w:rPr>
                <w:rFonts w:ascii="Times New Roman" w:hAnsi="Times New Roman"/>
                <w:color w:val="auto"/>
                <w:sz w:val="20"/>
                <w:szCs w:val="20"/>
                <w:u w:val="single"/>
              </w:rPr>
            </w:pPr>
            <w:r w:rsidRPr="00101B86">
              <w:rPr>
                <w:rFonts w:ascii="Times New Roman" w:hAnsi="Times New Roman"/>
                <w:color w:val="auto"/>
                <w:sz w:val="20"/>
                <w:szCs w:val="20"/>
                <w:u w:val="single"/>
              </w:rPr>
              <w:t>(1)</w:t>
            </w:r>
            <w:r w:rsidRPr="00101B86">
              <w:rPr>
                <w:rFonts w:ascii="Times New Roman" w:hAnsi="Times New Roman"/>
                <w:color w:val="auto"/>
                <w:sz w:val="20"/>
                <w:szCs w:val="20"/>
                <w:u w:val="single"/>
              </w:rPr>
              <w:tab/>
              <w:t>Ministerstvo vykonává činnost kontaktního místa pro stavební výrobky (dále jen „kontaktní místo“).</w:t>
            </w:r>
          </w:p>
          <w:p w:rsidR="008917B4" w:rsidRPr="00076BCD" w:rsidRDefault="00101B86" w:rsidP="00101B86">
            <w:pPr>
              <w:pStyle w:val="Odstavecseseznamem"/>
              <w:suppressAutoHyphens/>
              <w:spacing w:after="0" w:line="240" w:lineRule="auto"/>
              <w:ind w:left="0"/>
              <w:jc w:val="both"/>
              <w:rPr>
                <w:rFonts w:ascii="Times New Roman" w:hAnsi="Times New Roman"/>
                <w:color w:val="auto"/>
                <w:sz w:val="20"/>
                <w:szCs w:val="20"/>
                <w:u w:val="single"/>
              </w:rPr>
            </w:pPr>
            <w:r w:rsidRPr="00101B86">
              <w:rPr>
                <w:rFonts w:ascii="Times New Roman" w:hAnsi="Times New Roman"/>
                <w:color w:val="auto"/>
                <w:sz w:val="20"/>
                <w:szCs w:val="20"/>
                <w:u w:val="single"/>
              </w:rPr>
              <w:t>(2)</w:t>
            </w:r>
            <w:r w:rsidRPr="00101B86">
              <w:rPr>
                <w:rFonts w:ascii="Times New Roman" w:hAnsi="Times New Roman"/>
                <w:color w:val="auto"/>
                <w:sz w:val="20"/>
                <w:szCs w:val="20"/>
                <w:u w:val="single"/>
              </w:rPr>
              <w:tab/>
              <w:t>Informace o stavebních výrobcích s označením CE poskytuje kontaktní místo podle čl. 10 přímo použitelného předpisu.</w:t>
            </w:r>
          </w:p>
        </w:tc>
        <w:tc>
          <w:tcPr>
            <w:tcW w:w="1276" w:type="dxa"/>
            <w:tcBorders>
              <w:top w:val="single" w:sz="4" w:space="0" w:color="auto"/>
              <w:left w:val="single" w:sz="6" w:space="0" w:color="auto"/>
              <w:bottom w:val="single" w:sz="4" w:space="0" w:color="auto"/>
            </w:tcBorders>
          </w:tcPr>
          <w:p w:rsidR="008917B4" w:rsidRPr="00867288" w:rsidRDefault="008917B4" w:rsidP="00333DF1">
            <w:pPr>
              <w:pStyle w:val="Normln0"/>
              <w:keepNext/>
              <w:keepLines/>
              <w:ind w:left="40" w:right="-40"/>
              <w:rPr>
                <w:bCs/>
                <w:color w:val="000000"/>
              </w:rPr>
            </w:pPr>
            <w:r w:rsidRPr="00867288">
              <w:rPr>
                <w:bCs/>
                <w:color w:val="000000"/>
              </w:rPr>
              <w:t>32011R0305</w:t>
            </w:r>
          </w:p>
          <w:p w:rsidR="008917B4" w:rsidRPr="00867288" w:rsidRDefault="008917B4" w:rsidP="00333DF1">
            <w:pPr>
              <w:pStyle w:val="Normln0"/>
              <w:keepNext/>
              <w:keepLines/>
              <w:ind w:left="40" w:right="-40"/>
              <w:rPr>
                <w:bCs/>
                <w:color w:val="000000"/>
              </w:rPr>
            </w:pPr>
          </w:p>
        </w:tc>
        <w:tc>
          <w:tcPr>
            <w:tcW w:w="4402" w:type="dxa"/>
            <w:tcBorders>
              <w:top w:val="single" w:sz="4" w:space="0" w:color="auto"/>
              <w:bottom w:val="single" w:sz="4" w:space="0" w:color="auto"/>
            </w:tcBorders>
          </w:tcPr>
          <w:p w:rsidR="004272F1" w:rsidRPr="004272F1" w:rsidRDefault="004272F1" w:rsidP="00333DF1">
            <w:pPr>
              <w:autoSpaceDE w:val="0"/>
              <w:autoSpaceDN w:val="0"/>
              <w:adjustRightInd w:val="0"/>
              <w:spacing w:after="0" w:line="240" w:lineRule="auto"/>
              <w:jc w:val="center"/>
              <w:rPr>
                <w:rFonts w:ascii="Times New Roman" w:hAnsi="Times New Roman" w:cs="Times New Roman"/>
                <w:color w:val="000000"/>
                <w:sz w:val="20"/>
                <w:szCs w:val="20"/>
              </w:rPr>
            </w:pPr>
            <w:r w:rsidRPr="004272F1">
              <w:rPr>
                <w:rFonts w:ascii="Times New Roman" w:hAnsi="Times New Roman" w:cs="Times New Roman"/>
                <w:i/>
                <w:iCs/>
                <w:color w:val="000000"/>
                <w:sz w:val="20"/>
                <w:szCs w:val="20"/>
              </w:rPr>
              <w:t>Článek 10</w:t>
            </w:r>
          </w:p>
          <w:p w:rsidR="004272F1" w:rsidRPr="004272F1" w:rsidRDefault="004272F1" w:rsidP="00333DF1">
            <w:pPr>
              <w:autoSpaceDE w:val="0"/>
              <w:autoSpaceDN w:val="0"/>
              <w:adjustRightInd w:val="0"/>
              <w:spacing w:after="0" w:line="240" w:lineRule="auto"/>
              <w:jc w:val="center"/>
              <w:rPr>
                <w:rFonts w:ascii="Times New Roman" w:hAnsi="Times New Roman" w:cs="Times New Roman"/>
                <w:color w:val="000000"/>
                <w:sz w:val="20"/>
                <w:szCs w:val="20"/>
              </w:rPr>
            </w:pPr>
            <w:r w:rsidRPr="004272F1">
              <w:rPr>
                <w:rFonts w:ascii="Times New Roman" w:hAnsi="Times New Roman" w:cs="Times New Roman"/>
                <w:b/>
                <w:bCs/>
                <w:color w:val="000000"/>
                <w:sz w:val="20"/>
                <w:szCs w:val="20"/>
              </w:rPr>
              <w:t>Kontaktní místa pro stavební výrobky</w:t>
            </w:r>
          </w:p>
          <w:p w:rsidR="004272F1" w:rsidRPr="004272F1" w:rsidRDefault="004272F1" w:rsidP="00333DF1">
            <w:pPr>
              <w:autoSpaceDE w:val="0"/>
              <w:autoSpaceDN w:val="0"/>
              <w:adjustRightInd w:val="0"/>
              <w:spacing w:after="0" w:line="240" w:lineRule="auto"/>
              <w:jc w:val="both"/>
              <w:rPr>
                <w:rFonts w:ascii="Times New Roman" w:hAnsi="Times New Roman" w:cs="Times New Roman"/>
                <w:color w:val="000000"/>
                <w:sz w:val="20"/>
                <w:szCs w:val="20"/>
              </w:rPr>
            </w:pPr>
            <w:r w:rsidRPr="004272F1">
              <w:rPr>
                <w:rFonts w:ascii="Times New Roman" w:hAnsi="Times New Roman" w:cs="Times New Roman"/>
                <w:color w:val="000000"/>
                <w:sz w:val="20"/>
                <w:szCs w:val="20"/>
              </w:rPr>
              <w:t xml:space="preserve">1. Členské státy určí kontaktní místa pro stavební výrobky podle článku 9 nařízení (ES) č. 764/2008. </w:t>
            </w:r>
          </w:p>
          <w:p w:rsidR="004272F1" w:rsidRPr="004272F1" w:rsidRDefault="004272F1" w:rsidP="00333DF1">
            <w:pPr>
              <w:autoSpaceDE w:val="0"/>
              <w:autoSpaceDN w:val="0"/>
              <w:adjustRightInd w:val="0"/>
              <w:spacing w:after="0" w:line="240" w:lineRule="auto"/>
              <w:jc w:val="both"/>
              <w:rPr>
                <w:rFonts w:ascii="Times New Roman" w:hAnsi="Times New Roman" w:cs="Times New Roman"/>
                <w:color w:val="000000"/>
                <w:sz w:val="20"/>
                <w:szCs w:val="20"/>
              </w:rPr>
            </w:pPr>
            <w:r w:rsidRPr="004272F1">
              <w:rPr>
                <w:rFonts w:ascii="Times New Roman" w:hAnsi="Times New Roman" w:cs="Times New Roman"/>
                <w:color w:val="000000"/>
                <w:sz w:val="20"/>
                <w:szCs w:val="20"/>
              </w:rPr>
              <w:t xml:space="preserve">2. Články 10 a 11 nařízení (ES) č. 764/2008 se použijí na kontaktní místa pro stavební výrobky. </w:t>
            </w:r>
          </w:p>
          <w:p w:rsidR="004272F1" w:rsidRPr="004272F1" w:rsidRDefault="004272F1" w:rsidP="00333DF1">
            <w:pPr>
              <w:autoSpaceDE w:val="0"/>
              <w:autoSpaceDN w:val="0"/>
              <w:adjustRightInd w:val="0"/>
              <w:spacing w:after="0" w:line="240" w:lineRule="auto"/>
              <w:jc w:val="both"/>
              <w:rPr>
                <w:rFonts w:ascii="Times New Roman" w:hAnsi="Times New Roman" w:cs="Times New Roman"/>
                <w:color w:val="000000"/>
                <w:sz w:val="20"/>
                <w:szCs w:val="20"/>
              </w:rPr>
            </w:pPr>
            <w:r w:rsidRPr="004272F1">
              <w:rPr>
                <w:rFonts w:ascii="Times New Roman" w:hAnsi="Times New Roman" w:cs="Times New Roman"/>
                <w:color w:val="000000"/>
                <w:sz w:val="20"/>
                <w:szCs w:val="20"/>
              </w:rPr>
              <w:t xml:space="preserve">3. Pokud jde o úkoly vymezené v čl. 10 odst. 1 nařízení (ES) č. 764/2008, každý členský stát zajistí, aby kontaktní místa pro stavební výrobky na jeho území poskytovala pomocí transparentních a snadno srozumitelných formulací informace o ustanoveních, která mají za cíl splnění základních požadavků na </w:t>
            </w:r>
            <w:r w:rsidRPr="004272F1">
              <w:rPr>
                <w:rFonts w:ascii="Times New Roman" w:hAnsi="Times New Roman" w:cs="Times New Roman"/>
                <w:color w:val="000000"/>
                <w:sz w:val="20"/>
                <w:szCs w:val="20"/>
              </w:rPr>
              <w:lastRenderedPageBreak/>
              <w:t xml:space="preserve">stavby vztahujících se na zamýšlené použití každého stavebního výrobku, jak je stanoveno v čl. 6 odst. 3 písm. e) tohoto nařízení. </w:t>
            </w:r>
          </w:p>
          <w:p w:rsidR="008917B4" w:rsidRPr="0072194A" w:rsidRDefault="004272F1" w:rsidP="00333DF1">
            <w:pPr>
              <w:autoSpaceDE w:val="0"/>
              <w:autoSpaceDN w:val="0"/>
              <w:adjustRightInd w:val="0"/>
              <w:spacing w:after="0" w:line="240" w:lineRule="auto"/>
              <w:jc w:val="both"/>
              <w:rPr>
                <w:rFonts w:ascii="Times New Roman" w:hAnsi="Times New Roman" w:cs="Times New Roman"/>
                <w:color w:val="000000"/>
                <w:sz w:val="20"/>
                <w:szCs w:val="20"/>
              </w:rPr>
            </w:pPr>
            <w:r w:rsidRPr="004272F1">
              <w:rPr>
                <w:rFonts w:ascii="Times New Roman" w:hAnsi="Times New Roman" w:cs="Times New Roman"/>
                <w:color w:val="000000"/>
                <w:sz w:val="20"/>
                <w:szCs w:val="20"/>
              </w:rPr>
              <w:t>4. Kontaktní místa pro stavební výrobky musí být schopna plnit své úkoly tak, aby nedocházelo ke střetu zájmů, zejména pokud jde o postupy získávání označení CE.</w:t>
            </w:r>
          </w:p>
        </w:tc>
      </w:tr>
      <w:tr w:rsidR="009B00AF" w:rsidTr="007C5CF9">
        <w:tc>
          <w:tcPr>
            <w:tcW w:w="945" w:type="dxa"/>
            <w:tcBorders>
              <w:top w:val="single" w:sz="4" w:space="0" w:color="auto"/>
              <w:bottom w:val="single" w:sz="4" w:space="0" w:color="auto"/>
            </w:tcBorders>
          </w:tcPr>
          <w:p w:rsidR="009B00AF" w:rsidRDefault="00021FFB" w:rsidP="00333DF1">
            <w:pPr>
              <w:pStyle w:val="Normln0"/>
              <w:keepNext/>
              <w:keepLines/>
              <w:ind w:right="-40"/>
              <w:rPr>
                <w:color w:val="000000"/>
                <w:sz w:val="24"/>
              </w:rPr>
            </w:pPr>
            <w:r>
              <w:lastRenderedPageBreak/>
              <w:t>§ 3</w:t>
            </w:r>
            <w:r w:rsidR="001D0C4D">
              <w:t>5</w:t>
            </w:r>
            <w:r>
              <w:t xml:space="preserve"> odst. </w:t>
            </w:r>
            <w:r w:rsidR="001D0C4D">
              <w:t>2</w:t>
            </w:r>
          </w:p>
          <w:p w:rsidR="009B00AF" w:rsidRDefault="009B00AF" w:rsidP="00333DF1">
            <w:pPr>
              <w:pStyle w:val="Normln0"/>
              <w:keepNext/>
              <w:keepLines/>
              <w:ind w:left="40" w:right="-40"/>
              <w:jc w:val="center"/>
              <w:rPr>
                <w:color w:val="000000"/>
                <w:sz w:val="24"/>
              </w:rPr>
            </w:pPr>
          </w:p>
          <w:p w:rsidR="009B00AF" w:rsidRDefault="009B00AF" w:rsidP="00333DF1">
            <w:pPr>
              <w:pStyle w:val="Normln0"/>
              <w:keepNext/>
              <w:keepLines/>
              <w:ind w:left="40" w:right="-40"/>
              <w:jc w:val="center"/>
              <w:rPr>
                <w:color w:val="000000"/>
                <w:sz w:val="24"/>
              </w:rPr>
            </w:pPr>
          </w:p>
          <w:p w:rsidR="009B00AF" w:rsidRDefault="009B00AF" w:rsidP="00333DF1">
            <w:pPr>
              <w:pStyle w:val="Normln0"/>
              <w:keepNext/>
              <w:keepLines/>
              <w:ind w:left="40" w:right="-40"/>
              <w:jc w:val="center"/>
              <w:rPr>
                <w:color w:val="000000"/>
                <w:sz w:val="24"/>
              </w:rPr>
            </w:pPr>
          </w:p>
          <w:p w:rsidR="009B00AF" w:rsidRDefault="009B00AF" w:rsidP="00333DF1">
            <w:pPr>
              <w:pStyle w:val="Normln0"/>
              <w:keepNext/>
              <w:keepLines/>
              <w:ind w:left="40" w:right="-40"/>
              <w:jc w:val="center"/>
              <w:rPr>
                <w:color w:val="000000"/>
                <w:sz w:val="24"/>
              </w:rPr>
            </w:pPr>
          </w:p>
          <w:p w:rsidR="009B00AF" w:rsidRDefault="009B00AF" w:rsidP="00333DF1">
            <w:pPr>
              <w:pStyle w:val="Normln0"/>
              <w:keepNext/>
              <w:keepLines/>
              <w:ind w:left="40" w:right="-40"/>
              <w:jc w:val="center"/>
              <w:rPr>
                <w:color w:val="000000"/>
                <w:sz w:val="24"/>
              </w:rPr>
            </w:pPr>
          </w:p>
        </w:tc>
        <w:tc>
          <w:tcPr>
            <w:tcW w:w="3158" w:type="dxa"/>
            <w:tcBorders>
              <w:top w:val="single" w:sz="4" w:space="0" w:color="auto"/>
              <w:bottom w:val="single" w:sz="4" w:space="0" w:color="auto"/>
              <w:right w:val="single" w:sz="6" w:space="0" w:color="auto"/>
            </w:tcBorders>
          </w:tcPr>
          <w:p w:rsidR="0056779B" w:rsidRPr="00D62EA2" w:rsidRDefault="00D62EA2" w:rsidP="00D62EA2">
            <w:pPr>
              <w:pStyle w:val="Odstavecseseznamem"/>
              <w:tabs>
                <w:tab w:val="left" w:pos="1134"/>
              </w:tabs>
              <w:suppressAutoHyphens/>
              <w:spacing w:after="0" w:line="240" w:lineRule="auto"/>
              <w:ind w:left="0"/>
              <w:contextualSpacing w:val="0"/>
              <w:jc w:val="center"/>
              <w:rPr>
                <w:rFonts w:ascii="Times New Roman" w:hAnsi="Times New Roman" w:cs="Times New Roman"/>
                <w:color w:val="auto"/>
                <w:sz w:val="20"/>
                <w:szCs w:val="20"/>
              </w:rPr>
            </w:pPr>
            <w:r w:rsidRPr="00D62EA2">
              <w:rPr>
                <w:rFonts w:ascii="Times New Roman" w:hAnsi="Times New Roman" w:cs="Times New Roman"/>
                <w:sz w:val="20"/>
                <w:szCs w:val="20"/>
              </w:rPr>
              <w:t>§ 35</w:t>
            </w:r>
          </w:p>
          <w:p w:rsidR="001D0C4D" w:rsidRPr="00101B86" w:rsidRDefault="00101B86" w:rsidP="00076BCD">
            <w:pPr>
              <w:tabs>
                <w:tab w:val="left" w:pos="1134"/>
              </w:tabs>
              <w:suppressAutoHyphens/>
              <w:spacing w:after="0" w:line="240" w:lineRule="auto"/>
              <w:jc w:val="both"/>
              <w:rPr>
                <w:rFonts w:ascii="Times New Roman" w:hAnsi="Times New Roman"/>
                <w:color w:val="auto"/>
                <w:u w:val="single"/>
              </w:rPr>
            </w:pPr>
            <w:r w:rsidRPr="00101B86">
              <w:rPr>
                <w:rFonts w:ascii="Times New Roman" w:hAnsi="Times New Roman" w:cs="Times New Roman"/>
                <w:color w:val="auto"/>
                <w:sz w:val="20"/>
                <w:szCs w:val="20"/>
                <w:u w:val="single"/>
              </w:rPr>
              <w:t>(2)</w:t>
            </w:r>
            <w:r w:rsidRPr="00101B86">
              <w:rPr>
                <w:rFonts w:ascii="Times New Roman" w:hAnsi="Times New Roman" w:cs="Times New Roman"/>
                <w:color w:val="auto"/>
                <w:sz w:val="20"/>
                <w:szCs w:val="20"/>
                <w:u w:val="single"/>
              </w:rPr>
              <w:tab/>
              <w:t>Česká obchodní inspekce vykonává působnost vnitrostátního orgánu podle čl. 11 odst. 7 a 8, čl. 12 odst. 2 písm. b), čl. 13 odst. 7 a 9 a čl. 14 odst. 4 a 5 přímo použitelného předpisu, působnost kontrolního úřadu podle čl. 12 odst. 2 písm. a) přímo použitelného předpisu, a orgánu dozoru nad trhem podle čl. 13 odst. 2, čl. 13 odst. 8, čl. 14 odst. 2 a čl. 16, čl. 50 a čl. 56 přímo použitelného předpisu.</w:t>
            </w:r>
          </w:p>
          <w:p w:rsidR="009B00AF" w:rsidRDefault="009B00AF" w:rsidP="001D0C4D">
            <w:pPr>
              <w:tabs>
                <w:tab w:val="left" w:pos="1134"/>
              </w:tabs>
              <w:suppressAutoHyphens/>
              <w:spacing w:after="0" w:line="240" w:lineRule="auto"/>
              <w:jc w:val="both"/>
              <w:rPr>
                <w:color w:val="000000"/>
                <w:sz w:val="24"/>
              </w:rPr>
            </w:pPr>
          </w:p>
        </w:tc>
        <w:tc>
          <w:tcPr>
            <w:tcW w:w="1276" w:type="dxa"/>
            <w:tcBorders>
              <w:top w:val="single" w:sz="4" w:space="0" w:color="auto"/>
              <w:left w:val="single" w:sz="6" w:space="0" w:color="auto"/>
              <w:bottom w:val="single" w:sz="4" w:space="0" w:color="auto"/>
            </w:tcBorders>
          </w:tcPr>
          <w:p w:rsidR="009B00AF" w:rsidRDefault="00021FFB" w:rsidP="00333DF1">
            <w:pPr>
              <w:pStyle w:val="Normln0"/>
              <w:keepNext/>
              <w:keepLines/>
              <w:ind w:left="40" w:right="-40"/>
              <w:rPr>
                <w:color w:val="000000"/>
                <w:sz w:val="24"/>
              </w:rPr>
            </w:pPr>
            <w:r w:rsidRPr="003F5675">
              <w:rPr>
                <w:bCs/>
                <w:color w:val="000000"/>
              </w:rPr>
              <w:t>32011R0305</w:t>
            </w:r>
          </w:p>
        </w:tc>
        <w:tc>
          <w:tcPr>
            <w:tcW w:w="4402" w:type="dxa"/>
            <w:tcBorders>
              <w:top w:val="single" w:sz="4" w:space="0" w:color="auto"/>
              <w:bottom w:val="single" w:sz="4" w:space="0" w:color="auto"/>
            </w:tcBorders>
          </w:tcPr>
          <w:p w:rsidR="00021FFB" w:rsidRPr="00863AF0" w:rsidRDefault="00021FFB" w:rsidP="00333DF1">
            <w:pPr>
              <w:pStyle w:val="Normln0"/>
              <w:jc w:val="center"/>
              <w:rPr>
                <w:color w:val="000000"/>
              </w:rPr>
            </w:pPr>
            <w:r w:rsidRPr="00863AF0">
              <w:rPr>
                <w:color w:val="000000"/>
              </w:rPr>
              <w:t>KAPITOLA VIII</w:t>
            </w:r>
          </w:p>
          <w:p w:rsidR="00021FFB" w:rsidRDefault="00021FFB" w:rsidP="00333DF1">
            <w:pPr>
              <w:pStyle w:val="Normln0"/>
              <w:jc w:val="center"/>
              <w:rPr>
                <w:color w:val="000000"/>
              </w:rPr>
            </w:pPr>
            <w:r w:rsidRPr="00863AF0">
              <w:rPr>
                <w:color w:val="000000"/>
              </w:rPr>
              <w:t>DOZOR NAD TRHEM A OCHRANNÉ POSTUPY</w:t>
            </w:r>
          </w:p>
          <w:p w:rsidR="00021FFB" w:rsidRPr="00574C5D" w:rsidRDefault="00021FFB" w:rsidP="00333DF1">
            <w:pPr>
              <w:pStyle w:val="Normln0"/>
              <w:jc w:val="center"/>
              <w:rPr>
                <w:i/>
                <w:color w:val="000000"/>
              </w:rPr>
            </w:pPr>
            <w:r w:rsidRPr="00574C5D">
              <w:rPr>
                <w:i/>
                <w:color w:val="000000"/>
              </w:rPr>
              <w:t>Článek 56</w:t>
            </w:r>
          </w:p>
          <w:p w:rsidR="00021FFB" w:rsidRPr="00574C5D" w:rsidRDefault="00021FFB" w:rsidP="00333DF1">
            <w:pPr>
              <w:pStyle w:val="Normln0"/>
              <w:jc w:val="center"/>
              <w:rPr>
                <w:b/>
                <w:color w:val="000000"/>
              </w:rPr>
            </w:pPr>
            <w:r w:rsidRPr="00574C5D">
              <w:rPr>
                <w:b/>
                <w:color w:val="000000"/>
              </w:rPr>
              <w:t>Postup na vnitrostátní úrovni při nakládání se stavebními výrobky představujícími riziko</w:t>
            </w:r>
          </w:p>
          <w:p w:rsidR="002E1292" w:rsidRDefault="002E1292" w:rsidP="00333DF1">
            <w:pPr>
              <w:pStyle w:val="Normln0"/>
              <w:jc w:val="both"/>
            </w:pPr>
            <w:r>
              <w:t>1. Pokud orgány dozoru nad trhem jednoho členského státu přijaly opatření podle článku 20 nařízení (ES) č. 765/2008 nebo pokud mají dostatečné důvody domnívat se, že stavební výrobek, na nějž se vztahuje harmonizovaná norma nebo pro nějž bylo vydáno evropské technické posouzení, nesplňuje vlastnosti uvedené v prohlášení a představuje riziko pro splnění základních požadavků na stavby, na něž se vztahuje toto nařízení, provedou hodnocení toho, zda dotčený výrobek splňuje všechny příslušné požadavky stanovené tímto nařízením. Příslušné hospodářské subjekty spolupracují v nezbytné míře s orgány dozoru nad trhem.</w:t>
            </w:r>
          </w:p>
          <w:p w:rsidR="002E1292" w:rsidRDefault="002E1292" w:rsidP="00333DF1">
            <w:pPr>
              <w:pStyle w:val="Normln0"/>
              <w:jc w:val="both"/>
              <w:rPr>
                <w:color w:val="000000"/>
              </w:rPr>
            </w:pPr>
          </w:p>
          <w:p w:rsidR="009B00AF" w:rsidRDefault="00021FFB" w:rsidP="00EB73F4">
            <w:pPr>
              <w:pStyle w:val="Normln0"/>
              <w:jc w:val="both"/>
              <w:rPr>
                <w:color w:val="000000"/>
              </w:rPr>
            </w:pPr>
            <w:r w:rsidRPr="00921B57">
              <w:rPr>
                <w:color w:val="000000"/>
              </w:rPr>
              <w:t>Pokud v průběhu tohoto hodnocení orgány dozoru nad trhem zjistí, že stavební výrobek nesplňuje požadavky stanovené tímto nařízením, požádají neprodleně příslušný hospodářský subjekt, aby přijal všechna vhodná nápravná opatření k uvedení výrobku do souladu s těmito požadavky, zejména s</w:t>
            </w:r>
            <w:r>
              <w:rPr>
                <w:color w:val="000000"/>
              </w:rPr>
              <w:t> </w:t>
            </w:r>
            <w:r w:rsidRPr="00921B57">
              <w:rPr>
                <w:color w:val="000000"/>
              </w:rPr>
              <w:t>vlastnostmi uvedenými v prohlášení, nebo aby výrobek stáhnul z trhu nebo z</w:t>
            </w:r>
            <w:r>
              <w:rPr>
                <w:color w:val="000000"/>
              </w:rPr>
              <w:t> </w:t>
            </w:r>
            <w:r w:rsidRPr="00921B57">
              <w:rPr>
                <w:color w:val="000000"/>
              </w:rPr>
              <w:t>oběhu ve lhůtě, kterou může stanovit a</w:t>
            </w:r>
            <w:r>
              <w:rPr>
                <w:color w:val="000000"/>
              </w:rPr>
              <w:t> </w:t>
            </w:r>
            <w:r w:rsidRPr="00921B57">
              <w:rPr>
                <w:color w:val="000000"/>
              </w:rPr>
              <w:t>která je přiměřená povaze rizik</w:t>
            </w:r>
            <w:r>
              <w:rPr>
                <w:color w:val="000000"/>
              </w:rPr>
              <w:t>a. …</w:t>
            </w:r>
          </w:p>
          <w:p w:rsidR="00EB73F4" w:rsidRDefault="00EB73F4" w:rsidP="00EB73F4">
            <w:pPr>
              <w:pStyle w:val="Normln0"/>
              <w:jc w:val="both"/>
              <w:rPr>
                <w:color w:val="000000"/>
                <w:sz w:val="24"/>
              </w:rPr>
            </w:pPr>
          </w:p>
        </w:tc>
      </w:tr>
      <w:tr w:rsidR="002D3A59" w:rsidTr="007C5CF9">
        <w:tc>
          <w:tcPr>
            <w:tcW w:w="945" w:type="dxa"/>
            <w:tcBorders>
              <w:top w:val="single" w:sz="4" w:space="0" w:color="auto"/>
              <w:bottom w:val="single" w:sz="4" w:space="0" w:color="auto"/>
            </w:tcBorders>
          </w:tcPr>
          <w:p w:rsidR="002D3A59" w:rsidRDefault="007E7296" w:rsidP="00333DF1">
            <w:pPr>
              <w:pStyle w:val="Normln0"/>
              <w:keepNext/>
              <w:keepLines/>
              <w:ind w:right="-40"/>
            </w:pPr>
            <w:r>
              <w:t xml:space="preserve">§ </w:t>
            </w:r>
            <w:r w:rsidR="00562C5D">
              <w:t>39</w:t>
            </w:r>
            <w:r>
              <w:t xml:space="preserve"> </w:t>
            </w: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p w:rsidR="00A56F5C" w:rsidRDefault="00A56F5C" w:rsidP="00333DF1">
            <w:pPr>
              <w:pStyle w:val="Normln0"/>
              <w:keepNext/>
              <w:keepLines/>
              <w:ind w:right="-40"/>
              <w:rPr>
                <w:color w:val="000000"/>
                <w:sz w:val="24"/>
              </w:rPr>
            </w:pPr>
          </w:p>
        </w:tc>
        <w:tc>
          <w:tcPr>
            <w:tcW w:w="3158" w:type="dxa"/>
            <w:tcBorders>
              <w:top w:val="single" w:sz="4" w:space="0" w:color="auto"/>
              <w:bottom w:val="single" w:sz="4" w:space="0" w:color="auto"/>
              <w:right w:val="single" w:sz="6" w:space="0" w:color="auto"/>
            </w:tcBorders>
          </w:tcPr>
          <w:p w:rsidR="008D14E3" w:rsidRPr="008D14E3" w:rsidRDefault="008D14E3" w:rsidP="008D14E3">
            <w:pPr>
              <w:tabs>
                <w:tab w:val="left" w:pos="1134"/>
              </w:tabs>
              <w:spacing w:line="240" w:lineRule="auto"/>
              <w:jc w:val="center"/>
              <w:rPr>
                <w:rFonts w:ascii="Times New Roman" w:hAnsi="Times New Roman" w:cs="Times New Roman"/>
                <w:color w:val="auto"/>
                <w:sz w:val="20"/>
                <w:szCs w:val="20"/>
                <w:u w:val="single"/>
              </w:rPr>
            </w:pPr>
            <w:r w:rsidRPr="008D14E3">
              <w:rPr>
                <w:rFonts w:ascii="Times New Roman" w:hAnsi="Times New Roman" w:cs="Times New Roman"/>
                <w:sz w:val="20"/>
                <w:szCs w:val="20"/>
              </w:rPr>
              <w:lastRenderedPageBreak/>
              <w:t>§ 39</w:t>
            </w:r>
          </w:p>
          <w:p w:rsidR="00562C5D" w:rsidRPr="00562C5D" w:rsidRDefault="00101B86" w:rsidP="00562C5D">
            <w:pPr>
              <w:tabs>
                <w:tab w:val="left" w:pos="1134"/>
              </w:tabs>
              <w:spacing w:line="240" w:lineRule="auto"/>
              <w:jc w:val="both"/>
              <w:rPr>
                <w:rFonts w:ascii="Times New Roman" w:hAnsi="Times New Roman" w:cs="Times New Roman"/>
                <w:strike/>
                <w:color w:val="auto"/>
                <w:sz w:val="20"/>
                <w:szCs w:val="20"/>
                <w:u w:val="single"/>
              </w:rPr>
            </w:pPr>
            <w:r w:rsidRPr="00101B86">
              <w:rPr>
                <w:rFonts w:ascii="Times New Roman" w:hAnsi="Times New Roman" w:cs="Times New Roman"/>
                <w:color w:val="auto"/>
                <w:sz w:val="20"/>
                <w:szCs w:val="20"/>
                <w:u w:val="single"/>
              </w:rPr>
              <w:t>Obdrží-li Česká obchodní inspekce od Evropské komise nebo příslušného orgánu členského státu Evropské unie oznámení o přijetí opatření vůči stavebnímu výrobku s označením CE, postupuje podle nařízení Evropského parlamentu a Rady (ES) 2019/1020</w:t>
            </w:r>
            <w:r w:rsidR="00562C5D" w:rsidRPr="00562C5D">
              <w:rPr>
                <w:rFonts w:ascii="Times New Roman" w:hAnsi="Times New Roman" w:cs="Times New Roman"/>
                <w:color w:val="auto"/>
                <w:sz w:val="20"/>
                <w:szCs w:val="20"/>
                <w:u w:val="single"/>
                <w:vertAlign w:val="superscript"/>
              </w:rPr>
              <w:t>1</w:t>
            </w:r>
            <w:r>
              <w:rPr>
                <w:rFonts w:ascii="Times New Roman" w:hAnsi="Times New Roman" w:cs="Times New Roman"/>
                <w:color w:val="auto"/>
                <w:sz w:val="20"/>
                <w:szCs w:val="20"/>
                <w:u w:val="single"/>
                <w:vertAlign w:val="superscript"/>
              </w:rPr>
              <w:t>6</w:t>
            </w:r>
            <w:r w:rsidR="00562C5D" w:rsidRPr="00562C5D">
              <w:rPr>
                <w:rFonts w:ascii="Times New Roman" w:hAnsi="Times New Roman" w:cs="Times New Roman"/>
                <w:color w:val="auto"/>
                <w:sz w:val="20"/>
                <w:szCs w:val="20"/>
                <w:u w:val="single"/>
                <w:vertAlign w:val="superscript"/>
              </w:rPr>
              <w:t>)</w:t>
            </w:r>
            <w:r w:rsidR="00562C5D" w:rsidRPr="00562C5D">
              <w:rPr>
                <w:rFonts w:ascii="Times New Roman" w:hAnsi="Times New Roman" w:cs="Times New Roman"/>
                <w:color w:val="auto"/>
                <w:sz w:val="20"/>
                <w:szCs w:val="20"/>
                <w:u w:val="single"/>
              </w:rPr>
              <w:t>.</w:t>
            </w:r>
          </w:p>
          <w:p w:rsidR="002D3A59" w:rsidRDefault="002D3A59" w:rsidP="00333DF1">
            <w:pPr>
              <w:pStyle w:val="Normln0"/>
              <w:keepNext/>
              <w:keepLines/>
              <w:ind w:left="40" w:right="40"/>
              <w:rPr>
                <w:color w:val="000000"/>
              </w:rPr>
            </w:pPr>
          </w:p>
          <w:p w:rsidR="00101B86" w:rsidRPr="00101B86" w:rsidRDefault="00A901B3" w:rsidP="00101B86">
            <w:pPr>
              <w:pStyle w:val="Textpoznpodarou"/>
              <w:tabs>
                <w:tab w:val="clear" w:pos="425"/>
                <w:tab w:val="left" w:pos="0"/>
              </w:tabs>
              <w:ind w:left="0" w:firstLine="0"/>
              <w:rPr>
                <w:rFonts w:cs="Arial"/>
                <w:bCs/>
              </w:rPr>
            </w:pPr>
            <w:r w:rsidRPr="00466A11">
              <w:rPr>
                <w:vertAlign w:val="superscript"/>
              </w:rPr>
              <w:t>1</w:t>
            </w:r>
            <w:r w:rsidR="00101B86">
              <w:rPr>
                <w:vertAlign w:val="superscript"/>
              </w:rPr>
              <w:t>6</w:t>
            </w:r>
            <w:r w:rsidRPr="00466A11">
              <w:rPr>
                <w:vertAlign w:val="superscript"/>
              </w:rPr>
              <w:t>)</w:t>
            </w:r>
            <w:r w:rsidRPr="000E4849">
              <w:rPr>
                <w:rFonts w:cs="Arial"/>
              </w:rPr>
              <w:t xml:space="preserve"> </w:t>
            </w:r>
            <w:r w:rsidR="00101B86">
              <w:t xml:space="preserve"> </w:t>
            </w:r>
            <w:r w:rsidR="00101B86" w:rsidRPr="00101B86">
              <w:rPr>
                <w:rFonts w:cs="Arial"/>
                <w:bCs/>
              </w:rPr>
              <w:t>Nařízení Evropského parlamentu a Rady (ES) 2019/1020 ze dne 20. června 2019 o dozoru nad trhem a souladu výrobků s předpisy a o změně směrnice 2004/42/ES a nařízení (ES) č. 765/2008 a (EU) č. 305/2011.</w:t>
            </w:r>
          </w:p>
          <w:p w:rsidR="00A901B3" w:rsidRDefault="00101B86" w:rsidP="00101B86">
            <w:pPr>
              <w:pStyle w:val="Textpoznpodarou"/>
              <w:tabs>
                <w:tab w:val="clear" w:pos="425"/>
                <w:tab w:val="left" w:pos="0"/>
              </w:tabs>
              <w:ind w:left="0" w:firstLine="0"/>
            </w:pPr>
            <w:r w:rsidRPr="00101B86">
              <w:rPr>
                <w:rFonts w:cs="Arial"/>
                <w:bCs/>
              </w:rPr>
              <w:t xml:space="preserve">Zákon č. …/2021 Sb. o dozoru nad trhem a souladu výrobků s </w:t>
            </w:r>
            <w:proofErr w:type="gramStart"/>
            <w:r w:rsidRPr="00101B86">
              <w:rPr>
                <w:rFonts w:cs="Arial"/>
                <w:bCs/>
              </w:rPr>
              <w:t>předpisy.</w:t>
            </w:r>
            <w:r w:rsidR="00A901B3" w:rsidRPr="004850FD">
              <w:t>.</w:t>
            </w:r>
            <w:proofErr w:type="gramEnd"/>
          </w:p>
          <w:p w:rsidR="00A56F5C" w:rsidRPr="00D26F87" w:rsidRDefault="00A56F5C" w:rsidP="00B838D0">
            <w:pPr>
              <w:tabs>
                <w:tab w:val="left" w:pos="567"/>
                <w:tab w:val="left" w:pos="1134"/>
              </w:tabs>
              <w:spacing w:line="240" w:lineRule="auto"/>
              <w:jc w:val="both"/>
              <w:rPr>
                <w:color w:val="000000"/>
              </w:rPr>
            </w:pPr>
          </w:p>
        </w:tc>
        <w:tc>
          <w:tcPr>
            <w:tcW w:w="1276" w:type="dxa"/>
            <w:tcBorders>
              <w:top w:val="single" w:sz="4" w:space="0" w:color="auto"/>
              <w:left w:val="single" w:sz="6" w:space="0" w:color="auto"/>
              <w:bottom w:val="single" w:sz="4" w:space="0" w:color="auto"/>
            </w:tcBorders>
          </w:tcPr>
          <w:p w:rsidR="002D3A59" w:rsidRDefault="00D6389A" w:rsidP="00333DF1">
            <w:pPr>
              <w:pStyle w:val="Normln0"/>
              <w:keepNext/>
              <w:keepLines/>
              <w:ind w:left="40" w:right="-40"/>
              <w:rPr>
                <w:color w:val="000000"/>
                <w:sz w:val="24"/>
              </w:rPr>
            </w:pPr>
            <w:r w:rsidRPr="003F5675">
              <w:rPr>
                <w:bCs/>
                <w:color w:val="000000"/>
              </w:rPr>
              <w:t>32011R0305</w:t>
            </w:r>
          </w:p>
        </w:tc>
        <w:tc>
          <w:tcPr>
            <w:tcW w:w="4402" w:type="dxa"/>
            <w:tcBorders>
              <w:top w:val="single" w:sz="4" w:space="0" w:color="auto"/>
              <w:bottom w:val="single" w:sz="4" w:space="0" w:color="auto"/>
            </w:tcBorders>
          </w:tcPr>
          <w:p w:rsidR="000634A7" w:rsidRDefault="000634A7" w:rsidP="00333DF1">
            <w:pPr>
              <w:pStyle w:val="Default"/>
              <w:jc w:val="center"/>
              <w:rPr>
                <w:sz w:val="20"/>
                <w:szCs w:val="20"/>
              </w:rPr>
            </w:pPr>
            <w:r>
              <w:rPr>
                <w:sz w:val="20"/>
                <w:szCs w:val="20"/>
              </w:rPr>
              <w:t>KAPITOLA VIII</w:t>
            </w:r>
          </w:p>
          <w:p w:rsidR="000634A7" w:rsidRPr="00B90556" w:rsidRDefault="000634A7" w:rsidP="00333DF1">
            <w:pPr>
              <w:pStyle w:val="Default"/>
              <w:jc w:val="center"/>
              <w:rPr>
                <w:sz w:val="20"/>
                <w:szCs w:val="20"/>
              </w:rPr>
            </w:pPr>
            <w:r w:rsidRPr="00B90556">
              <w:rPr>
                <w:bCs/>
                <w:sz w:val="20"/>
                <w:szCs w:val="20"/>
              </w:rPr>
              <w:t>DOZOR NAD TRHEM A OCHRANNÉ POSTUPY</w:t>
            </w:r>
          </w:p>
          <w:p w:rsidR="000634A7" w:rsidRDefault="000634A7" w:rsidP="00333DF1">
            <w:pPr>
              <w:pStyle w:val="Default"/>
              <w:jc w:val="center"/>
              <w:rPr>
                <w:sz w:val="20"/>
                <w:szCs w:val="20"/>
              </w:rPr>
            </w:pPr>
            <w:r>
              <w:rPr>
                <w:i/>
                <w:iCs/>
                <w:sz w:val="20"/>
                <w:szCs w:val="20"/>
              </w:rPr>
              <w:t>Článek 56</w:t>
            </w:r>
          </w:p>
          <w:p w:rsidR="000634A7" w:rsidRDefault="000634A7" w:rsidP="00333DF1">
            <w:pPr>
              <w:pStyle w:val="Default"/>
              <w:jc w:val="center"/>
              <w:rPr>
                <w:sz w:val="20"/>
                <w:szCs w:val="20"/>
              </w:rPr>
            </w:pPr>
            <w:r>
              <w:rPr>
                <w:b/>
                <w:bCs/>
                <w:sz w:val="20"/>
                <w:szCs w:val="20"/>
              </w:rPr>
              <w:t>Postup na vnitrostátní úrovni při nakládání se stavebními výrobky představujícími riziko</w:t>
            </w:r>
          </w:p>
          <w:p w:rsidR="000634A7" w:rsidRDefault="000634A7" w:rsidP="00333DF1">
            <w:pPr>
              <w:pStyle w:val="Default"/>
              <w:jc w:val="both"/>
              <w:rPr>
                <w:sz w:val="20"/>
                <w:szCs w:val="20"/>
              </w:rPr>
            </w:pPr>
            <w:r>
              <w:rPr>
                <w:sz w:val="20"/>
                <w:szCs w:val="20"/>
              </w:rPr>
              <w:t xml:space="preserve">1. Pokud orgány dozoru nad trhem jednoho členského státu přijaly opatření podle článku 20 nařízení (ES) č. 765/2008 nebo pokud mají dostatečné důvody domnívat se, že stavební výrobek, na nějž se vztahuje harmonizovaná norma nebo pro nějž bylo vydáno evropské technické posouzení, nesplňuje vlastnosti uvedené v prohlášení a představuje riziko pro splnění základních požadavků na stavby, na něž se vztahuje toto nařízení, provedou hodnocení toho, zda dotčený výrobek splňuje všechny příslušné požadavky stanovené tímto nařízením. Příslušné hospodářské subjekty spolupracují v nezbytné míře s orgány dozoru nad trhem. </w:t>
            </w:r>
          </w:p>
          <w:p w:rsidR="000634A7" w:rsidRDefault="000634A7" w:rsidP="00333DF1">
            <w:pPr>
              <w:pStyle w:val="Default"/>
              <w:jc w:val="both"/>
              <w:rPr>
                <w:sz w:val="20"/>
                <w:szCs w:val="20"/>
              </w:rPr>
            </w:pPr>
            <w:r>
              <w:rPr>
                <w:sz w:val="20"/>
                <w:szCs w:val="20"/>
              </w:rPr>
              <w:t xml:space="preserve">Pokud v průběhu tohoto hodnocení orgány dozoru nad trhem zjistí, že stavební výrobek nesplňuje požadavky stanovené tímto nařízením, požádají neprodleně příslušný hospodářský subjekt, aby přijal všechna vhodná nápravná opatření k uvedení výrobku do souladu s těmito požadavky, zejména s vlastnostmi uvedenými v prohlášení, nebo aby výrobek stáhnul z </w:t>
            </w:r>
            <w:r>
              <w:rPr>
                <w:sz w:val="20"/>
                <w:szCs w:val="20"/>
              </w:rPr>
              <w:lastRenderedPageBreak/>
              <w:t xml:space="preserve">trhu nebo z oběhu ve lhůtě, kterou může stanovit a která je přiměřená povaze rizika. </w:t>
            </w:r>
          </w:p>
          <w:p w:rsidR="000634A7" w:rsidRDefault="000634A7" w:rsidP="00333DF1">
            <w:pPr>
              <w:pStyle w:val="Default"/>
              <w:jc w:val="both"/>
              <w:rPr>
                <w:sz w:val="20"/>
                <w:szCs w:val="20"/>
              </w:rPr>
            </w:pPr>
            <w:r>
              <w:rPr>
                <w:sz w:val="20"/>
                <w:szCs w:val="20"/>
              </w:rPr>
              <w:t xml:space="preserve">Orgány dozoru nad trhem odpovídajícím způsobem informují oznámený subjekt, pokud je tento subjekt nějak dotčen. </w:t>
            </w:r>
          </w:p>
          <w:p w:rsidR="000634A7" w:rsidRDefault="000634A7" w:rsidP="00333DF1">
            <w:pPr>
              <w:pStyle w:val="Default"/>
              <w:jc w:val="both"/>
              <w:rPr>
                <w:sz w:val="20"/>
                <w:szCs w:val="20"/>
              </w:rPr>
            </w:pPr>
            <w:r>
              <w:rPr>
                <w:sz w:val="20"/>
                <w:szCs w:val="20"/>
              </w:rPr>
              <w:t>Na opatření uvedená ve druhém pododstavci tohoto</w:t>
            </w:r>
            <w:r>
              <w:t xml:space="preserve"> </w:t>
            </w:r>
            <w:r>
              <w:rPr>
                <w:sz w:val="20"/>
                <w:szCs w:val="20"/>
              </w:rPr>
              <w:t xml:space="preserve">odstavce se použije článek 21 nařízení (ES) č. 765/2008. </w:t>
            </w:r>
          </w:p>
          <w:p w:rsidR="000634A7" w:rsidRDefault="000634A7" w:rsidP="00333DF1">
            <w:pPr>
              <w:pStyle w:val="Default"/>
              <w:jc w:val="both"/>
              <w:rPr>
                <w:sz w:val="20"/>
                <w:szCs w:val="20"/>
              </w:rPr>
            </w:pPr>
            <w:r>
              <w:rPr>
                <w:sz w:val="20"/>
                <w:szCs w:val="20"/>
              </w:rPr>
              <w:t xml:space="preserve">2. Domnívají-li se orgány dozoru nad trhem, že se nesoulad neomezuje pouze na území jejich členského státu, informují Komisi a ostatní členské státy o výsledcích hodnocení a opatřeních, která měl hospodářský subjekt na jejich žádost přijmout. </w:t>
            </w:r>
          </w:p>
          <w:p w:rsidR="000634A7" w:rsidRDefault="000634A7" w:rsidP="00333DF1">
            <w:pPr>
              <w:pStyle w:val="Default"/>
              <w:jc w:val="both"/>
              <w:rPr>
                <w:sz w:val="20"/>
                <w:szCs w:val="20"/>
              </w:rPr>
            </w:pPr>
            <w:r>
              <w:rPr>
                <w:sz w:val="20"/>
                <w:szCs w:val="20"/>
              </w:rPr>
              <w:t xml:space="preserve">3. Hospodářský subjekt zajistí, aby byla přijata všechna vhodná nápravná opatření u všech dotčených stavebních výrobků, které dodával na trh v celé Unii. </w:t>
            </w:r>
          </w:p>
          <w:p w:rsidR="000634A7" w:rsidRDefault="000634A7" w:rsidP="00333DF1">
            <w:pPr>
              <w:pStyle w:val="Default"/>
              <w:jc w:val="both"/>
              <w:rPr>
                <w:sz w:val="20"/>
                <w:szCs w:val="20"/>
              </w:rPr>
            </w:pPr>
            <w:r>
              <w:rPr>
                <w:sz w:val="20"/>
                <w:szCs w:val="20"/>
              </w:rPr>
              <w:t xml:space="preserve">4. Pokud příslušný hospodářský subjekt ve lhůtě uvedené v odst. 1 druhém pododstavci nepřijme přiměřená nápravná opatření, přijmou orgány dozoru nad trhem všechna vhodná prozatímní opatření mající za cíl zakázat nebo omezit dodávání stavebního výrobku na trh daného členského státu, nebo jej stáhnout z trhu nebo oběhu. </w:t>
            </w:r>
          </w:p>
          <w:p w:rsidR="000634A7" w:rsidRDefault="000634A7" w:rsidP="00333DF1">
            <w:pPr>
              <w:pStyle w:val="Default"/>
              <w:jc w:val="both"/>
              <w:rPr>
                <w:sz w:val="20"/>
                <w:szCs w:val="20"/>
              </w:rPr>
            </w:pPr>
            <w:r>
              <w:rPr>
                <w:sz w:val="20"/>
                <w:szCs w:val="20"/>
              </w:rPr>
              <w:t xml:space="preserve">Orgány dozoru o takových opatřeních neprodleně informují Komisi a ostatní členské státy. </w:t>
            </w:r>
          </w:p>
          <w:p w:rsidR="000634A7" w:rsidRDefault="000634A7" w:rsidP="00333DF1">
            <w:pPr>
              <w:pStyle w:val="Default"/>
              <w:jc w:val="both"/>
              <w:rPr>
                <w:sz w:val="20"/>
                <w:szCs w:val="20"/>
              </w:rPr>
            </w:pPr>
            <w:r>
              <w:rPr>
                <w:sz w:val="20"/>
                <w:szCs w:val="20"/>
              </w:rPr>
              <w:t xml:space="preserve">5. Součástí informací uvedených v odstavci 4 jsou všechny dostupné podrobnosti, zejména údaje nezbytné pro identifikaci nevyhovujícího stavebního výrobku, údaje o původu stavebního výrobku, povaze údajného nesouladu a souvisejícího rizika, povaze a době trvání opatření přijatých na vnitrostátní úrovni, jakož i argumenty příslušného hospodářského subjektu. Orgány dozoru nad trhem zejména uvedou, zda je důvodem nesouladu některý z těchto nedostatků: </w:t>
            </w:r>
          </w:p>
          <w:p w:rsidR="000634A7" w:rsidRDefault="000634A7" w:rsidP="00333DF1">
            <w:pPr>
              <w:pStyle w:val="Default"/>
              <w:jc w:val="both"/>
              <w:rPr>
                <w:sz w:val="20"/>
                <w:szCs w:val="20"/>
              </w:rPr>
            </w:pPr>
            <w:r>
              <w:rPr>
                <w:sz w:val="20"/>
                <w:szCs w:val="20"/>
              </w:rPr>
              <w:t xml:space="preserve">a) výrobek nesplňuje vlastnosti uvedené v prohlášení nebo požadavky týkající se plnění základních požadavků na stavbu stanovené tímto nařízením; </w:t>
            </w:r>
          </w:p>
          <w:p w:rsidR="000634A7" w:rsidRDefault="000634A7" w:rsidP="00333DF1">
            <w:pPr>
              <w:pStyle w:val="Default"/>
              <w:jc w:val="both"/>
              <w:rPr>
                <w:sz w:val="20"/>
                <w:szCs w:val="20"/>
              </w:rPr>
            </w:pPr>
            <w:r>
              <w:rPr>
                <w:sz w:val="20"/>
                <w:szCs w:val="20"/>
              </w:rPr>
              <w:t xml:space="preserve">b) nedostatky v harmonizovaných technických specifikacích nebo ve specifické technické dokumentaci. </w:t>
            </w:r>
          </w:p>
          <w:p w:rsidR="000634A7" w:rsidRDefault="000634A7" w:rsidP="00333DF1">
            <w:pPr>
              <w:pStyle w:val="Normln0"/>
              <w:keepNext/>
              <w:keepLines/>
              <w:ind w:left="40" w:right="40"/>
              <w:jc w:val="both"/>
            </w:pPr>
            <w:r>
              <w:t xml:space="preserve">6. Členské státy jiné než členský stát, který zahájil tento postup, neprodleně informují Komisi a ostatní členské státy o veškerých přijatých opatřeních a o všech doplňujících informacích, které mají k dispozici, o nesouladu dotčeného stavebního výrobku, a v případě nesouhlasu s oznámenými </w:t>
            </w:r>
            <w:proofErr w:type="gramStart"/>
            <w:r>
              <w:t>vnitro- státními</w:t>
            </w:r>
            <w:proofErr w:type="gramEnd"/>
            <w:r>
              <w:t xml:space="preserve"> opatřeními o svých námitkách.</w:t>
            </w:r>
          </w:p>
          <w:p w:rsidR="000634A7" w:rsidRDefault="000634A7" w:rsidP="00333DF1">
            <w:pPr>
              <w:pStyle w:val="Default"/>
              <w:jc w:val="both"/>
              <w:rPr>
                <w:sz w:val="20"/>
                <w:szCs w:val="20"/>
              </w:rPr>
            </w:pPr>
            <w:r>
              <w:rPr>
                <w:sz w:val="20"/>
                <w:szCs w:val="20"/>
              </w:rPr>
              <w:t xml:space="preserve">7. Pokud do patnácti pracovních dnů od přijetí informací uvedených v odstavci 4 nevznese žádný členský stát ani Komise námitku, pokud jde o prozatímní opatření, která členský stát přijal v souvislosti s dotčeným stavebním výrobkem, považují se tato opatření za oprávněná. </w:t>
            </w:r>
          </w:p>
          <w:p w:rsidR="00C22705" w:rsidRPr="00806DCC" w:rsidRDefault="000634A7" w:rsidP="00806DCC">
            <w:pPr>
              <w:pStyle w:val="Normln0"/>
              <w:keepNext/>
              <w:keepLines/>
              <w:ind w:left="40" w:right="40"/>
              <w:jc w:val="both"/>
            </w:pPr>
            <w:r>
              <w:t>8. Členské státy zajistí, aby byla v souvislosti s dotčeným stavebním výrobkem neprodleně přijata vhodná omezující opatření, jako je stažení daného výrobku z jejich trhů.</w:t>
            </w:r>
          </w:p>
        </w:tc>
      </w:tr>
    </w:tbl>
    <w:p w:rsidR="008D1EBC" w:rsidRDefault="008D1EBC" w:rsidP="007B6291"/>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4961"/>
      </w:tblGrid>
      <w:tr w:rsidR="008D1EBC" w:rsidTr="00947979">
        <w:tc>
          <w:tcPr>
            <w:tcW w:w="4820" w:type="dxa"/>
          </w:tcPr>
          <w:p w:rsidR="008D1EBC" w:rsidRPr="00091E73" w:rsidRDefault="008D1EBC" w:rsidP="004974EC">
            <w:pPr>
              <w:jc w:val="both"/>
              <w:rPr>
                <w:rFonts w:ascii="Times New Roman" w:hAnsi="Times New Roman" w:cs="Times New Roman"/>
                <w:sz w:val="20"/>
                <w:szCs w:val="20"/>
              </w:rPr>
            </w:pPr>
            <w:r w:rsidRPr="00091E73">
              <w:rPr>
                <w:rFonts w:ascii="Times New Roman" w:hAnsi="Times New Roman" w:cs="Times New Roman"/>
                <w:sz w:val="20"/>
                <w:szCs w:val="20"/>
              </w:rPr>
              <w:t xml:space="preserve">Číslo předpisu ES (kód </w:t>
            </w:r>
            <w:proofErr w:type="spellStart"/>
            <w:r w:rsidRPr="00091E73">
              <w:rPr>
                <w:rFonts w:ascii="Times New Roman" w:hAnsi="Times New Roman" w:cs="Times New Roman"/>
                <w:sz w:val="20"/>
                <w:szCs w:val="20"/>
              </w:rPr>
              <w:t>celex</w:t>
            </w:r>
            <w:proofErr w:type="spellEnd"/>
            <w:r w:rsidRPr="00091E73">
              <w:rPr>
                <w:rFonts w:ascii="Times New Roman" w:hAnsi="Times New Roman" w:cs="Times New Roman"/>
                <w:sz w:val="20"/>
                <w:szCs w:val="20"/>
              </w:rPr>
              <w:t>)</w:t>
            </w:r>
          </w:p>
        </w:tc>
        <w:tc>
          <w:tcPr>
            <w:tcW w:w="4961" w:type="dxa"/>
          </w:tcPr>
          <w:p w:rsidR="008D1EBC" w:rsidRPr="00091E73" w:rsidRDefault="008D1EBC" w:rsidP="004974EC">
            <w:pPr>
              <w:jc w:val="both"/>
              <w:rPr>
                <w:rFonts w:ascii="Times New Roman" w:hAnsi="Times New Roman" w:cs="Times New Roman"/>
                <w:sz w:val="20"/>
                <w:szCs w:val="20"/>
              </w:rPr>
            </w:pPr>
            <w:r w:rsidRPr="00091E73">
              <w:rPr>
                <w:rFonts w:ascii="Times New Roman" w:hAnsi="Times New Roman" w:cs="Times New Roman"/>
                <w:sz w:val="20"/>
                <w:szCs w:val="20"/>
              </w:rPr>
              <w:t>Název předpisu ES</w:t>
            </w:r>
          </w:p>
        </w:tc>
      </w:tr>
      <w:tr w:rsidR="008D1EBC" w:rsidTr="00947979">
        <w:tc>
          <w:tcPr>
            <w:tcW w:w="4820" w:type="dxa"/>
          </w:tcPr>
          <w:p w:rsidR="008D1EBC" w:rsidRPr="00091E73" w:rsidRDefault="008D1EBC" w:rsidP="004974EC">
            <w:pPr>
              <w:jc w:val="both"/>
              <w:rPr>
                <w:rFonts w:ascii="Times New Roman" w:hAnsi="Times New Roman" w:cs="Times New Roman"/>
                <w:sz w:val="20"/>
                <w:szCs w:val="20"/>
              </w:rPr>
            </w:pPr>
            <w:r w:rsidRPr="00091E73">
              <w:rPr>
                <w:rFonts w:ascii="Times New Roman" w:hAnsi="Times New Roman" w:cs="Times New Roman"/>
                <w:bCs/>
                <w:color w:val="000000"/>
                <w:sz w:val="20"/>
                <w:szCs w:val="20"/>
              </w:rPr>
              <w:lastRenderedPageBreak/>
              <w:t>32011R0305</w:t>
            </w:r>
          </w:p>
        </w:tc>
        <w:tc>
          <w:tcPr>
            <w:tcW w:w="4961" w:type="dxa"/>
          </w:tcPr>
          <w:p w:rsidR="008D1EBC" w:rsidRPr="00091E73" w:rsidRDefault="008D1EBC" w:rsidP="004974EC">
            <w:pPr>
              <w:jc w:val="both"/>
              <w:rPr>
                <w:rFonts w:ascii="Times New Roman" w:hAnsi="Times New Roman" w:cs="Times New Roman"/>
                <w:sz w:val="20"/>
                <w:szCs w:val="20"/>
              </w:rPr>
            </w:pPr>
            <w:r w:rsidRPr="00091E73">
              <w:rPr>
                <w:rFonts w:ascii="Times New Roman" w:hAnsi="Times New Roman" w:cs="Times New Roman"/>
                <w:sz w:val="20"/>
                <w:szCs w:val="20"/>
              </w:rPr>
              <w:t>Nařízení Evropského parlamentu a Rady (EU) č. 305/2011 ze dne 9. března 2011, kterým se stanoví harmonizované podmínky pro uvádění stavebních výrobků na trh a kterým se zrušuje směrnice Rady 89/106/EHS</w:t>
            </w:r>
          </w:p>
        </w:tc>
      </w:tr>
    </w:tbl>
    <w:p w:rsidR="008D1EBC" w:rsidRPr="00605759" w:rsidRDefault="008D1EBC" w:rsidP="007F59CA"/>
    <w:sectPr w:rsidR="008D1EBC" w:rsidRPr="00605759" w:rsidSect="00CC5E40">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CF9" w:rsidRDefault="007C5CF9" w:rsidP="000E6C3E">
      <w:pPr>
        <w:spacing w:after="0" w:line="240" w:lineRule="auto"/>
      </w:pPr>
      <w:r>
        <w:separator/>
      </w:r>
    </w:p>
  </w:endnote>
  <w:endnote w:type="continuationSeparator" w:id="0">
    <w:p w:rsidR="007C5CF9" w:rsidRDefault="007C5CF9" w:rsidP="000E6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806707976"/>
      <w:docPartObj>
        <w:docPartGallery w:val="Page Numbers (Bottom of Page)"/>
        <w:docPartUnique/>
      </w:docPartObj>
    </w:sdtPr>
    <w:sdtEndPr>
      <w:rPr>
        <w:sz w:val="20"/>
        <w:szCs w:val="20"/>
      </w:rPr>
    </w:sdtEndPr>
    <w:sdtContent>
      <w:p w:rsidR="007C5CF9" w:rsidRPr="00F11C1F" w:rsidRDefault="007C5CF9">
        <w:pPr>
          <w:pStyle w:val="Zpat"/>
          <w:jc w:val="right"/>
          <w:rPr>
            <w:rFonts w:asciiTheme="majorHAnsi" w:eastAsiaTheme="majorEastAsia" w:hAnsiTheme="majorHAnsi" w:cstheme="majorBidi"/>
            <w:sz w:val="20"/>
            <w:szCs w:val="20"/>
          </w:rPr>
        </w:pPr>
        <w:r w:rsidRPr="00F11C1F">
          <w:rPr>
            <w:rFonts w:asciiTheme="majorHAnsi" w:eastAsiaTheme="majorEastAsia" w:hAnsiTheme="majorHAnsi" w:cstheme="majorBidi"/>
            <w:sz w:val="20"/>
            <w:szCs w:val="20"/>
          </w:rPr>
          <w:t xml:space="preserve">Strana </w:t>
        </w:r>
        <w:r w:rsidRPr="00F11C1F">
          <w:rPr>
            <w:rFonts w:eastAsiaTheme="minorEastAsia" w:cs="Times New Roman"/>
            <w:sz w:val="20"/>
            <w:szCs w:val="20"/>
          </w:rPr>
          <w:fldChar w:fldCharType="begin"/>
        </w:r>
        <w:r w:rsidRPr="00F11C1F">
          <w:rPr>
            <w:sz w:val="20"/>
            <w:szCs w:val="20"/>
          </w:rPr>
          <w:instrText>PAGE    \* MERGEFORMAT</w:instrText>
        </w:r>
        <w:r w:rsidRPr="00F11C1F">
          <w:rPr>
            <w:rFonts w:eastAsiaTheme="minorEastAsia" w:cs="Times New Roman"/>
            <w:sz w:val="20"/>
            <w:szCs w:val="20"/>
          </w:rPr>
          <w:fldChar w:fldCharType="separate"/>
        </w:r>
        <w:r w:rsidR="004456F5" w:rsidRPr="004456F5">
          <w:rPr>
            <w:rFonts w:asciiTheme="majorHAnsi" w:eastAsiaTheme="majorEastAsia" w:hAnsiTheme="majorHAnsi" w:cstheme="majorBidi"/>
            <w:noProof/>
            <w:sz w:val="20"/>
            <w:szCs w:val="20"/>
          </w:rPr>
          <w:t>2</w:t>
        </w:r>
        <w:r w:rsidRPr="00F11C1F">
          <w:rPr>
            <w:rFonts w:asciiTheme="majorHAnsi" w:eastAsiaTheme="majorEastAsia" w:hAnsiTheme="majorHAnsi" w:cstheme="majorBidi"/>
            <w:sz w:val="20"/>
            <w:szCs w:val="20"/>
          </w:rPr>
          <w:fldChar w:fldCharType="end"/>
        </w:r>
      </w:p>
    </w:sdtContent>
  </w:sdt>
  <w:p w:rsidR="007C5CF9" w:rsidRDefault="007C5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CF9" w:rsidRDefault="007C5CF9" w:rsidP="000E6C3E">
      <w:pPr>
        <w:spacing w:after="0" w:line="240" w:lineRule="auto"/>
      </w:pPr>
      <w:r>
        <w:separator/>
      </w:r>
    </w:p>
  </w:footnote>
  <w:footnote w:type="continuationSeparator" w:id="0">
    <w:p w:rsidR="007C5CF9" w:rsidRDefault="007C5CF9" w:rsidP="000E6C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5F77E14"/>
    <w:multiLevelType w:val="hybridMultilevel"/>
    <w:tmpl w:val="852A3674"/>
    <w:lvl w:ilvl="0" w:tplc="D9AA0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05A52"/>
    <w:multiLevelType w:val="hybridMultilevel"/>
    <w:tmpl w:val="F7A043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A64F73"/>
    <w:multiLevelType w:val="hybridMultilevel"/>
    <w:tmpl w:val="2C042080"/>
    <w:lvl w:ilvl="0" w:tplc="F718D6F0">
      <w:start w:val="1"/>
      <w:numFmt w:val="decimal"/>
      <w:lvlText w:val="(%1)"/>
      <w:lvlJc w:val="left"/>
      <w:pPr>
        <w:ind w:left="1137" w:hanging="57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ACC6789"/>
    <w:multiLevelType w:val="hybridMultilevel"/>
    <w:tmpl w:val="66264B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75A592E"/>
    <w:multiLevelType w:val="hybridMultilevel"/>
    <w:tmpl w:val="852A3674"/>
    <w:lvl w:ilvl="0" w:tplc="D9AA0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9A5EA2"/>
    <w:multiLevelType w:val="multilevel"/>
    <w:tmpl w:val="E8BAE50A"/>
    <w:numStyleLink w:val="VariantaA-odrky"/>
  </w:abstractNum>
  <w:abstractNum w:abstractNumId="10" w15:restartNumberingAfterBreak="0">
    <w:nsid w:val="2AEA0BD2"/>
    <w:multiLevelType w:val="hybridMultilevel"/>
    <w:tmpl w:val="3026ACDA"/>
    <w:lvl w:ilvl="0" w:tplc="0405000F">
      <w:start w:val="2"/>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38A26FC9"/>
    <w:multiLevelType w:val="hybridMultilevel"/>
    <w:tmpl w:val="852A3674"/>
    <w:lvl w:ilvl="0" w:tplc="D9AA0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852F9C"/>
    <w:multiLevelType w:val="hybridMultilevel"/>
    <w:tmpl w:val="66AE8FAC"/>
    <w:lvl w:ilvl="0" w:tplc="EC2AAB54">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A3C1E7D"/>
    <w:multiLevelType w:val="hybridMultilevel"/>
    <w:tmpl w:val="0C823858"/>
    <w:lvl w:ilvl="0" w:tplc="1B945ED6">
      <w:start w:val="1"/>
      <w:numFmt w:val="decimal"/>
      <w:lvlText w:val="(%1)"/>
      <w:lvlJc w:val="left"/>
      <w:pPr>
        <w:ind w:left="1560" w:hanging="567"/>
      </w:pPr>
      <w:rPr>
        <w:rFonts w:hint="default"/>
      </w:rPr>
    </w:lvl>
    <w:lvl w:ilvl="1" w:tplc="82988C54">
      <w:start w:val="1"/>
      <w:numFmt w:val="lowerLetter"/>
      <w:lvlText w:val="%2."/>
      <w:lvlJc w:val="left"/>
      <w:pPr>
        <w:ind w:left="1491" w:hanging="357"/>
      </w:pPr>
      <w:rPr>
        <w:rFonts w:hint="default"/>
      </w:r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54F0BAB"/>
    <w:multiLevelType w:val="hybridMultilevel"/>
    <w:tmpl w:val="8BD61362"/>
    <w:lvl w:ilvl="0" w:tplc="3D50B66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7" w15:restartNumberingAfterBreak="0">
    <w:nsid w:val="5AF35F43"/>
    <w:multiLevelType w:val="multilevel"/>
    <w:tmpl w:val="0D8ABE32"/>
    <w:numStyleLink w:val="VariantaB-sla"/>
  </w:abstractNum>
  <w:abstractNum w:abstractNumId="18" w15:restartNumberingAfterBreak="0">
    <w:nsid w:val="603D4BC2"/>
    <w:multiLevelType w:val="hybridMultilevel"/>
    <w:tmpl w:val="852A3674"/>
    <w:lvl w:ilvl="0" w:tplc="D9AA0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586B3E"/>
    <w:multiLevelType w:val="hybridMultilevel"/>
    <w:tmpl w:val="30C0C1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F03A70"/>
    <w:multiLevelType w:val="hybridMultilevel"/>
    <w:tmpl w:val="5D4ED11E"/>
    <w:lvl w:ilvl="0" w:tplc="EC226E84">
      <w:start w:val="1"/>
      <w:numFmt w:val="decimal"/>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AE38D1"/>
    <w:multiLevelType w:val="hybridMultilevel"/>
    <w:tmpl w:val="852A3674"/>
    <w:lvl w:ilvl="0" w:tplc="D9AA0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1C42F9A"/>
    <w:multiLevelType w:val="hybridMultilevel"/>
    <w:tmpl w:val="852A3674"/>
    <w:lvl w:ilvl="0" w:tplc="D9AA0D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E01759"/>
    <w:multiLevelType w:val="hybridMultilevel"/>
    <w:tmpl w:val="7398ED0C"/>
    <w:lvl w:ilvl="0" w:tplc="77766748">
      <w:start w:val="1"/>
      <w:numFmt w:val="decimal"/>
      <w:lvlText w:val="(%1)"/>
      <w:lvlJc w:val="left"/>
      <w:pPr>
        <w:ind w:left="1069" w:hanging="360"/>
      </w:pPr>
      <w:rPr>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6"/>
  </w:num>
  <w:num w:numId="2">
    <w:abstractNumId w:val="16"/>
  </w:num>
  <w:num w:numId="3">
    <w:abstractNumId w:val="14"/>
  </w:num>
  <w:num w:numId="4">
    <w:abstractNumId w:val="0"/>
  </w:num>
  <w:num w:numId="5">
    <w:abstractNumId w:val="17"/>
  </w:num>
  <w:num w:numId="6">
    <w:abstractNumId w:val="9"/>
  </w:num>
  <w:num w:numId="7">
    <w:abstractNumId w:val="7"/>
  </w:num>
  <w:num w:numId="8">
    <w:abstractNumId w:val="5"/>
  </w:num>
  <w:num w:numId="9">
    <w:abstractNumId w:val="3"/>
  </w:num>
  <w:num w:numId="10">
    <w:abstractNumId w:val="1"/>
  </w:num>
  <w:num w:numId="11">
    <w:abstractNumId w:val="20"/>
  </w:num>
  <w:num w:numId="12">
    <w:abstractNumId w:val="21"/>
  </w:num>
  <w:num w:numId="13">
    <w:abstractNumId w:val="4"/>
  </w:num>
  <w:num w:numId="14">
    <w:abstractNumId w:val="22"/>
  </w:num>
  <w:num w:numId="15">
    <w:abstractNumId w:val="18"/>
  </w:num>
  <w:num w:numId="16">
    <w:abstractNumId w:val="8"/>
  </w:num>
  <w:num w:numId="17">
    <w:abstractNumId w:val="10"/>
  </w:num>
  <w:num w:numId="18">
    <w:abstractNumId w:val="11"/>
  </w:num>
  <w:num w:numId="19">
    <w:abstractNumId w:val="2"/>
  </w:num>
  <w:num w:numId="20">
    <w:abstractNumId w:val="15"/>
  </w:num>
  <w:num w:numId="21">
    <w:abstractNumId w:val="13"/>
  </w:num>
  <w:num w:numId="22">
    <w:abstractNumId w:val="19"/>
  </w:num>
  <w:num w:numId="23">
    <w:abstractNumId w:val="23"/>
  </w:num>
  <w:num w:numId="2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1A2"/>
    <w:rsid w:val="00001957"/>
    <w:rsid w:val="00007119"/>
    <w:rsid w:val="00015306"/>
    <w:rsid w:val="00021FFB"/>
    <w:rsid w:val="0002674B"/>
    <w:rsid w:val="00027A18"/>
    <w:rsid w:val="00031CDF"/>
    <w:rsid w:val="0003474D"/>
    <w:rsid w:val="0004162E"/>
    <w:rsid w:val="00041F49"/>
    <w:rsid w:val="0004786B"/>
    <w:rsid w:val="00047DC6"/>
    <w:rsid w:val="00047F1D"/>
    <w:rsid w:val="00055925"/>
    <w:rsid w:val="00063405"/>
    <w:rsid w:val="000634A7"/>
    <w:rsid w:val="00076BCD"/>
    <w:rsid w:val="000809B9"/>
    <w:rsid w:val="00081C54"/>
    <w:rsid w:val="00083E73"/>
    <w:rsid w:val="00090B40"/>
    <w:rsid w:val="00090BCC"/>
    <w:rsid w:val="00091E73"/>
    <w:rsid w:val="00095A0A"/>
    <w:rsid w:val="000A0FE9"/>
    <w:rsid w:val="000A275D"/>
    <w:rsid w:val="000A7D5C"/>
    <w:rsid w:val="000B1B3D"/>
    <w:rsid w:val="000C4CAF"/>
    <w:rsid w:val="000C74E8"/>
    <w:rsid w:val="000C7E4B"/>
    <w:rsid w:val="000D0508"/>
    <w:rsid w:val="000D0A19"/>
    <w:rsid w:val="000D0A8D"/>
    <w:rsid w:val="000D6142"/>
    <w:rsid w:val="000D71ED"/>
    <w:rsid w:val="000E1BC8"/>
    <w:rsid w:val="000E2088"/>
    <w:rsid w:val="000E292D"/>
    <w:rsid w:val="000E3E60"/>
    <w:rsid w:val="000E4B57"/>
    <w:rsid w:val="000E6C3E"/>
    <w:rsid w:val="000F6443"/>
    <w:rsid w:val="00100241"/>
    <w:rsid w:val="00101B86"/>
    <w:rsid w:val="00102DBB"/>
    <w:rsid w:val="00104B1D"/>
    <w:rsid w:val="001112D7"/>
    <w:rsid w:val="00115E98"/>
    <w:rsid w:val="00121485"/>
    <w:rsid w:val="001276FC"/>
    <w:rsid w:val="00141129"/>
    <w:rsid w:val="001426E6"/>
    <w:rsid w:val="00151827"/>
    <w:rsid w:val="00153FBC"/>
    <w:rsid w:val="00156383"/>
    <w:rsid w:val="00164EB6"/>
    <w:rsid w:val="00166D7A"/>
    <w:rsid w:val="00167D09"/>
    <w:rsid w:val="00170DFA"/>
    <w:rsid w:val="0018051B"/>
    <w:rsid w:val="001933E3"/>
    <w:rsid w:val="001A293F"/>
    <w:rsid w:val="001A42D6"/>
    <w:rsid w:val="001B1E3F"/>
    <w:rsid w:val="001B1E4A"/>
    <w:rsid w:val="001C5E50"/>
    <w:rsid w:val="001C605F"/>
    <w:rsid w:val="001D0C4D"/>
    <w:rsid w:val="001D27C0"/>
    <w:rsid w:val="001D32EA"/>
    <w:rsid w:val="001D56A2"/>
    <w:rsid w:val="001E74C3"/>
    <w:rsid w:val="001F0CD3"/>
    <w:rsid w:val="001F4528"/>
    <w:rsid w:val="001F6937"/>
    <w:rsid w:val="00201812"/>
    <w:rsid w:val="002020E8"/>
    <w:rsid w:val="00216816"/>
    <w:rsid w:val="002173BD"/>
    <w:rsid w:val="00220DE3"/>
    <w:rsid w:val="00220E4B"/>
    <w:rsid w:val="002236D9"/>
    <w:rsid w:val="00226164"/>
    <w:rsid w:val="00226FC4"/>
    <w:rsid w:val="002303F5"/>
    <w:rsid w:val="00230DA4"/>
    <w:rsid w:val="00236AF5"/>
    <w:rsid w:val="00241E21"/>
    <w:rsid w:val="0025290D"/>
    <w:rsid w:val="00260372"/>
    <w:rsid w:val="00261939"/>
    <w:rsid w:val="00262DAF"/>
    <w:rsid w:val="00263665"/>
    <w:rsid w:val="002741C2"/>
    <w:rsid w:val="00280F8B"/>
    <w:rsid w:val="002847FC"/>
    <w:rsid w:val="00285AED"/>
    <w:rsid w:val="002863F2"/>
    <w:rsid w:val="00286EC8"/>
    <w:rsid w:val="00291A5C"/>
    <w:rsid w:val="00294320"/>
    <w:rsid w:val="00294849"/>
    <w:rsid w:val="002A3593"/>
    <w:rsid w:val="002B437E"/>
    <w:rsid w:val="002B6DCD"/>
    <w:rsid w:val="002C3AD5"/>
    <w:rsid w:val="002C5FED"/>
    <w:rsid w:val="002D3A59"/>
    <w:rsid w:val="002D61FE"/>
    <w:rsid w:val="002E0EF5"/>
    <w:rsid w:val="002E1292"/>
    <w:rsid w:val="002E2442"/>
    <w:rsid w:val="002F0E8C"/>
    <w:rsid w:val="002F3D5A"/>
    <w:rsid w:val="00300E79"/>
    <w:rsid w:val="00304232"/>
    <w:rsid w:val="003051A8"/>
    <w:rsid w:val="00310FA0"/>
    <w:rsid w:val="00311187"/>
    <w:rsid w:val="00313B8F"/>
    <w:rsid w:val="00320481"/>
    <w:rsid w:val="003250CB"/>
    <w:rsid w:val="00333DF1"/>
    <w:rsid w:val="00337975"/>
    <w:rsid w:val="00347DD7"/>
    <w:rsid w:val="003572B7"/>
    <w:rsid w:val="00361C1C"/>
    <w:rsid w:val="003631A2"/>
    <w:rsid w:val="00363201"/>
    <w:rsid w:val="00367B7F"/>
    <w:rsid w:val="00370B8A"/>
    <w:rsid w:val="00370E32"/>
    <w:rsid w:val="0039063C"/>
    <w:rsid w:val="0039793E"/>
    <w:rsid w:val="003A0B19"/>
    <w:rsid w:val="003A46A8"/>
    <w:rsid w:val="003A4753"/>
    <w:rsid w:val="003A51AA"/>
    <w:rsid w:val="003A5557"/>
    <w:rsid w:val="003A7EF2"/>
    <w:rsid w:val="003B565A"/>
    <w:rsid w:val="003C02D4"/>
    <w:rsid w:val="003C4AC4"/>
    <w:rsid w:val="003D00A1"/>
    <w:rsid w:val="003D3EC7"/>
    <w:rsid w:val="003D5B76"/>
    <w:rsid w:val="003D6413"/>
    <w:rsid w:val="003E1314"/>
    <w:rsid w:val="003E24BB"/>
    <w:rsid w:val="003E3A02"/>
    <w:rsid w:val="00400D57"/>
    <w:rsid w:val="00403C9C"/>
    <w:rsid w:val="00404665"/>
    <w:rsid w:val="00410C7B"/>
    <w:rsid w:val="00413BD3"/>
    <w:rsid w:val="0041427F"/>
    <w:rsid w:val="00425856"/>
    <w:rsid w:val="004272F1"/>
    <w:rsid w:val="004323FD"/>
    <w:rsid w:val="00442DF9"/>
    <w:rsid w:val="004456F5"/>
    <w:rsid w:val="0044685A"/>
    <w:rsid w:val="004505B4"/>
    <w:rsid w:val="004509E5"/>
    <w:rsid w:val="0045160B"/>
    <w:rsid w:val="00466A11"/>
    <w:rsid w:val="00467949"/>
    <w:rsid w:val="0047252D"/>
    <w:rsid w:val="00482FB7"/>
    <w:rsid w:val="0048375C"/>
    <w:rsid w:val="00484A6F"/>
    <w:rsid w:val="00484C75"/>
    <w:rsid w:val="00486FB9"/>
    <w:rsid w:val="004974EC"/>
    <w:rsid w:val="004A01E2"/>
    <w:rsid w:val="004A2CD7"/>
    <w:rsid w:val="004A3E27"/>
    <w:rsid w:val="004B2097"/>
    <w:rsid w:val="004C212A"/>
    <w:rsid w:val="004C6A48"/>
    <w:rsid w:val="004C71A6"/>
    <w:rsid w:val="004D1EAB"/>
    <w:rsid w:val="004D20BA"/>
    <w:rsid w:val="004E3487"/>
    <w:rsid w:val="004E5369"/>
    <w:rsid w:val="00500232"/>
    <w:rsid w:val="00501AA3"/>
    <w:rsid w:val="00504668"/>
    <w:rsid w:val="00513EF1"/>
    <w:rsid w:val="00515288"/>
    <w:rsid w:val="00516968"/>
    <w:rsid w:val="00516B18"/>
    <w:rsid w:val="0052510F"/>
    <w:rsid w:val="00525A47"/>
    <w:rsid w:val="005316A7"/>
    <w:rsid w:val="00533F5A"/>
    <w:rsid w:val="005434CD"/>
    <w:rsid w:val="005455E1"/>
    <w:rsid w:val="005502BD"/>
    <w:rsid w:val="0055353B"/>
    <w:rsid w:val="00556787"/>
    <w:rsid w:val="00562C5D"/>
    <w:rsid w:val="00564149"/>
    <w:rsid w:val="00566AB3"/>
    <w:rsid w:val="0056779B"/>
    <w:rsid w:val="00570069"/>
    <w:rsid w:val="00570D09"/>
    <w:rsid w:val="00574C5D"/>
    <w:rsid w:val="00577243"/>
    <w:rsid w:val="00581AEB"/>
    <w:rsid w:val="00583D60"/>
    <w:rsid w:val="00590C82"/>
    <w:rsid w:val="00593AE3"/>
    <w:rsid w:val="005941A0"/>
    <w:rsid w:val="0059479D"/>
    <w:rsid w:val="00597236"/>
    <w:rsid w:val="005A07E5"/>
    <w:rsid w:val="005A146E"/>
    <w:rsid w:val="005A2A6D"/>
    <w:rsid w:val="005A51A2"/>
    <w:rsid w:val="005B0E8F"/>
    <w:rsid w:val="005B2012"/>
    <w:rsid w:val="005C2560"/>
    <w:rsid w:val="005C5F2F"/>
    <w:rsid w:val="005D2FBA"/>
    <w:rsid w:val="005D42C2"/>
    <w:rsid w:val="005F215B"/>
    <w:rsid w:val="005F6153"/>
    <w:rsid w:val="005F70BA"/>
    <w:rsid w:val="005F7585"/>
    <w:rsid w:val="00602155"/>
    <w:rsid w:val="00605759"/>
    <w:rsid w:val="00615264"/>
    <w:rsid w:val="0061537E"/>
    <w:rsid w:val="00625052"/>
    <w:rsid w:val="00635215"/>
    <w:rsid w:val="00636053"/>
    <w:rsid w:val="006376E5"/>
    <w:rsid w:val="00643AA5"/>
    <w:rsid w:val="00644744"/>
    <w:rsid w:val="00646810"/>
    <w:rsid w:val="00650C6C"/>
    <w:rsid w:val="00651CFA"/>
    <w:rsid w:val="00652FE6"/>
    <w:rsid w:val="006533C4"/>
    <w:rsid w:val="00653415"/>
    <w:rsid w:val="00661851"/>
    <w:rsid w:val="006664E4"/>
    <w:rsid w:val="00667898"/>
    <w:rsid w:val="006744DA"/>
    <w:rsid w:val="0067799B"/>
    <w:rsid w:val="00680D71"/>
    <w:rsid w:val="006831CB"/>
    <w:rsid w:val="006849A4"/>
    <w:rsid w:val="0068585B"/>
    <w:rsid w:val="00686973"/>
    <w:rsid w:val="00693B0E"/>
    <w:rsid w:val="00697CDD"/>
    <w:rsid w:val="006A1D83"/>
    <w:rsid w:val="006A39C6"/>
    <w:rsid w:val="006B3656"/>
    <w:rsid w:val="006B6884"/>
    <w:rsid w:val="006C536B"/>
    <w:rsid w:val="006C6296"/>
    <w:rsid w:val="006D04EF"/>
    <w:rsid w:val="006D3702"/>
    <w:rsid w:val="006D7A1F"/>
    <w:rsid w:val="006E2979"/>
    <w:rsid w:val="006E2FB0"/>
    <w:rsid w:val="006E3590"/>
    <w:rsid w:val="006E7B04"/>
    <w:rsid w:val="006F4375"/>
    <w:rsid w:val="00701BAF"/>
    <w:rsid w:val="007102D2"/>
    <w:rsid w:val="007105D4"/>
    <w:rsid w:val="00712A21"/>
    <w:rsid w:val="00713948"/>
    <w:rsid w:val="0072194A"/>
    <w:rsid w:val="007347B5"/>
    <w:rsid w:val="00753A27"/>
    <w:rsid w:val="007617B2"/>
    <w:rsid w:val="007750C0"/>
    <w:rsid w:val="00775CD5"/>
    <w:rsid w:val="0077740A"/>
    <w:rsid w:val="0078630D"/>
    <w:rsid w:val="007864F9"/>
    <w:rsid w:val="00787290"/>
    <w:rsid w:val="007901F2"/>
    <w:rsid w:val="0079342A"/>
    <w:rsid w:val="007964B5"/>
    <w:rsid w:val="007A09CE"/>
    <w:rsid w:val="007B4949"/>
    <w:rsid w:val="007B6291"/>
    <w:rsid w:val="007C4CAB"/>
    <w:rsid w:val="007C5021"/>
    <w:rsid w:val="007C5CF9"/>
    <w:rsid w:val="007C62AD"/>
    <w:rsid w:val="007C73F9"/>
    <w:rsid w:val="007D037F"/>
    <w:rsid w:val="007D2594"/>
    <w:rsid w:val="007D5164"/>
    <w:rsid w:val="007D5FCB"/>
    <w:rsid w:val="007D7620"/>
    <w:rsid w:val="007E7296"/>
    <w:rsid w:val="007E7EF3"/>
    <w:rsid w:val="007F0BC6"/>
    <w:rsid w:val="007F1F05"/>
    <w:rsid w:val="007F4DC8"/>
    <w:rsid w:val="007F59CA"/>
    <w:rsid w:val="007F69A1"/>
    <w:rsid w:val="007F6E71"/>
    <w:rsid w:val="00806DCC"/>
    <w:rsid w:val="008150EE"/>
    <w:rsid w:val="00817E47"/>
    <w:rsid w:val="00822960"/>
    <w:rsid w:val="00823286"/>
    <w:rsid w:val="00831374"/>
    <w:rsid w:val="008441B3"/>
    <w:rsid w:val="008443EF"/>
    <w:rsid w:val="00857580"/>
    <w:rsid w:val="0086092B"/>
    <w:rsid w:val="008641E7"/>
    <w:rsid w:val="00865238"/>
    <w:rsid w:val="008667BF"/>
    <w:rsid w:val="00870321"/>
    <w:rsid w:val="008746BD"/>
    <w:rsid w:val="008747FC"/>
    <w:rsid w:val="008917B4"/>
    <w:rsid w:val="00892947"/>
    <w:rsid w:val="00895645"/>
    <w:rsid w:val="008962F0"/>
    <w:rsid w:val="008A10AC"/>
    <w:rsid w:val="008A1293"/>
    <w:rsid w:val="008A5862"/>
    <w:rsid w:val="008A6C1C"/>
    <w:rsid w:val="008B4238"/>
    <w:rsid w:val="008B4AFD"/>
    <w:rsid w:val="008B4DD2"/>
    <w:rsid w:val="008B7F8A"/>
    <w:rsid w:val="008C2198"/>
    <w:rsid w:val="008C3782"/>
    <w:rsid w:val="008C5859"/>
    <w:rsid w:val="008D14E3"/>
    <w:rsid w:val="008D1EBC"/>
    <w:rsid w:val="008D4A32"/>
    <w:rsid w:val="008D593A"/>
    <w:rsid w:val="008D6128"/>
    <w:rsid w:val="008D66B1"/>
    <w:rsid w:val="008D7E38"/>
    <w:rsid w:val="008E279A"/>
    <w:rsid w:val="008E7760"/>
    <w:rsid w:val="008F1573"/>
    <w:rsid w:val="00904DB0"/>
    <w:rsid w:val="00915807"/>
    <w:rsid w:val="00915B5E"/>
    <w:rsid w:val="00916EF1"/>
    <w:rsid w:val="00922001"/>
    <w:rsid w:val="00922C17"/>
    <w:rsid w:val="0093204C"/>
    <w:rsid w:val="00942DDD"/>
    <w:rsid w:val="00944EF7"/>
    <w:rsid w:val="00947979"/>
    <w:rsid w:val="009516A8"/>
    <w:rsid w:val="00952563"/>
    <w:rsid w:val="00965FEC"/>
    <w:rsid w:val="009739D6"/>
    <w:rsid w:val="00976A9E"/>
    <w:rsid w:val="00976C77"/>
    <w:rsid w:val="0097705C"/>
    <w:rsid w:val="00986DD2"/>
    <w:rsid w:val="00997D06"/>
    <w:rsid w:val="009A1827"/>
    <w:rsid w:val="009A1FB5"/>
    <w:rsid w:val="009B00AF"/>
    <w:rsid w:val="009B6542"/>
    <w:rsid w:val="009C2389"/>
    <w:rsid w:val="009C4C62"/>
    <w:rsid w:val="009C7307"/>
    <w:rsid w:val="009D531D"/>
    <w:rsid w:val="009D7AF1"/>
    <w:rsid w:val="009E2F88"/>
    <w:rsid w:val="009E2FE0"/>
    <w:rsid w:val="009F393D"/>
    <w:rsid w:val="009F7F46"/>
    <w:rsid w:val="00A000BF"/>
    <w:rsid w:val="00A0587E"/>
    <w:rsid w:val="00A16DD0"/>
    <w:rsid w:val="00A230D2"/>
    <w:rsid w:val="00A245B5"/>
    <w:rsid w:val="00A24F3A"/>
    <w:rsid w:val="00A275BC"/>
    <w:rsid w:val="00A35E61"/>
    <w:rsid w:val="00A42EB7"/>
    <w:rsid w:val="00A45531"/>
    <w:rsid w:val="00A460C1"/>
    <w:rsid w:val="00A464B4"/>
    <w:rsid w:val="00A47FD8"/>
    <w:rsid w:val="00A525B4"/>
    <w:rsid w:val="00A557C9"/>
    <w:rsid w:val="00A56F5C"/>
    <w:rsid w:val="00A5725D"/>
    <w:rsid w:val="00A63D6B"/>
    <w:rsid w:val="00A71DF6"/>
    <w:rsid w:val="00A779ED"/>
    <w:rsid w:val="00A807E0"/>
    <w:rsid w:val="00A84B52"/>
    <w:rsid w:val="00A8660F"/>
    <w:rsid w:val="00A901B3"/>
    <w:rsid w:val="00A95C48"/>
    <w:rsid w:val="00A97D01"/>
    <w:rsid w:val="00AA1BED"/>
    <w:rsid w:val="00AA4ADD"/>
    <w:rsid w:val="00AA7056"/>
    <w:rsid w:val="00AB0C1E"/>
    <w:rsid w:val="00AB31C6"/>
    <w:rsid w:val="00AB523B"/>
    <w:rsid w:val="00AC24EB"/>
    <w:rsid w:val="00AC25C0"/>
    <w:rsid w:val="00AD7288"/>
    <w:rsid w:val="00AD7E40"/>
    <w:rsid w:val="00AE3F65"/>
    <w:rsid w:val="00AE68B3"/>
    <w:rsid w:val="00B1477A"/>
    <w:rsid w:val="00B20993"/>
    <w:rsid w:val="00B26200"/>
    <w:rsid w:val="00B30267"/>
    <w:rsid w:val="00B42E96"/>
    <w:rsid w:val="00B47A9F"/>
    <w:rsid w:val="00B50EE6"/>
    <w:rsid w:val="00B52185"/>
    <w:rsid w:val="00B52297"/>
    <w:rsid w:val="00B52AD6"/>
    <w:rsid w:val="00B669A3"/>
    <w:rsid w:val="00B672D8"/>
    <w:rsid w:val="00B67CD4"/>
    <w:rsid w:val="00B824B7"/>
    <w:rsid w:val="00B838D0"/>
    <w:rsid w:val="00B86BCC"/>
    <w:rsid w:val="00B90556"/>
    <w:rsid w:val="00B9753A"/>
    <w:rsid w:val="00BA2A5F"/>
    <w:rsid w:val="00BA2FBE"/>
    <w:rsid w:val="00BA3B38"/>
    <w:rsid w:val="00BA53EF"/>
    <w:rsid w:val="00BA6A2A"/>
    <w:rsid w:val="00BA7EB4"/>
    <w:rsid w:val="00BB0DCD"/>
    <w:rsid w:val="00BB4740"/>
    <w:rsid w:val="00BB479C"/>
    <w:rsid w:val="00BB588A"/>
    <w:rsid w:val="00BC33BB"/>
    <w:rsid w:val="00BC4720"/>
    <w:rsid w:val="00BC7EE6"/>
    <w:rsid w:val="00BD75A2"/>
    <w:rsid w:val="00BE6B00"/>
    <w:rsid w:val="00C1719C"/>
    <w:rsid w:val="00C2017A"/>
    <w:rsid w:val="00C2026B"/>
    <w:rsid w:val="00C20470"/>
    <w:rsid w:val="00C22705"/>
    <w:rsid w:val="00C266DB"/>
    <w:rsid w:val="00C27A9F"/>
    <w:rsid w:val="00C32BFA"/>
    <w:rsid w:val="00C32CFC"/>
    <w:rsid w:val="00C33C50"/>
    <w:rsid w:val="00C34B2F"/>
    <w:rsid w:val="00C37859"/>
    <w:rsid w:val="00C425E2"/>
    <w:rsid w:val="00C4641B"/>
    <w:rsid w:val="00C47C22"/>
    <w:rsid w:val="00C47CEC"/>
    <w:rsid w:val="00C50C50"/>
    <w:rsid w:val="00C6408A"/>
    <w:rsid w:val="00C6690E"/>
    <w:rsid w:val="00C703C5"/>
    <w:rsid w:val="00C70AA4"/>
    <w:rsid w:val="00C71F2F"/>
    <w:rsid w:val="00C73929"/>
    <w:rsid w:val="00C74E65"/>
    <w:rsid w:val="00C751B2"/>
    <w:rsid w:val="00C805F2"/>
    <w:rsid w:val="00C81CA9"/>
    <w:rsid w:val="00C8371C"/>
    <w:rsid w:val="00C93907"/>
    <w:rsid w:val="00C973D9"/>
    <w:rsid w:val="00CA2AB7"/>
    <w:rsid w:val="00CA49DE"/>
    <w:rsid w:val="00CB4B10"/>
    <w:rsid w:val="00CB6647"/>
    <w:rsid w:val="00CC483B"/>
    <w:rsid w:val="00CC5E40"/>
    <w:rsid w:val="00CD3FD9"/>
    <w:rsid w:val="00CE1DB8"/>
    <w:rsid w:val="00CF0DDA"/>
    <w:rsid w:val="00CF1980"/>
    <w:rsid w:val="00CF5D7B"/>
    <w:rsid w:val="00D10747"/>
    <w:rsid w:val="00D1162B"/>
    <w:rsid w:val="00D143F4"/>
    <w:rsid w:val="00D1569F"/>
    <w:rsid w:val="00D20B1E"/>
    <w:rsid w:val="00D22462"/>
    <w:rsid w:val="00D230AC"/>
    <w:rsid w:val="00D259AE"/>
    <w:rsid w:val="00D26F87"/>
    <w:rsid w:val="00D301FA"/>
    <w:rsid w:val="00D32489"/>
    <w:rsid w:val="00D3349E"/>
    <w:rsid w:val="00D44C63"/>
    <w:rsid w:val="00D44C9B"/>
    <w:rsid w:val="00D533AD"/>
    <w:rsid w:val="00D55969"/>
    <w:rsid w:val="00D60B3C"/>
    <w:rsid w:val="00D62EA2"/>
    <w:rsid w:val="00D6389A"/>
    <w:rsid w:val="00D70750"/>
    <w:rsid w:val="00D72627"/>
    <w:rsid w:val="00D73CB8"/>
    <w:rsid w:val="00D92497"/>
    <w:rsid w:val="00D9384E"/>
    <w:rsid w:val="00D94646"/>
    <w:rsid w:val="00DA7591"/>
    <w:rsid w:val="00DC1A7A"/>
    <w:rsid w:val="00DC33F3"/>
    <w:rsid w:val="00DD5CAD"/>
    <w:rsid w:val="00DD72D8"/>
    <w:rsid w:val="00DD7975"/>
    <w:rsid w:val="00DD7D05"/>
    <w:rsid w:val="00DE52FB"/>
    <w:rsid w:val="00DE5AAC"/>
    <w:rsid w:val="00DF17F0"/>
    <w:rsid w:val="00E0001D"/>
    <w:rsid w:val="00E01F0C"/>
    <w:rsid w:val="00E06450"/>
    <w:rsid w:val="00E11476"/>
    <w:rsid w:val="00E223AC"/>
    <w:rsid w:val="00E25C1F"/>
    <w:rsid w:val="00E25D73"/>
    <w:rsid w:val="00E25ECC"/>
    <w:rsid w:val="00E32798"/>
    <w:rsid w:val="00E37703"/>
    <w:rsid w:val="00E51C91"/>
    <w:rsid w:val="00E621C7"/>
    <w:rsid w:val="00E667C1"/>
    <w:rsid w:val="00E71326"/>
    <w:rsid w:val="00E72896"/>
    <w:rsid w:val="00E73A1E"/>
    <w:rsid w:val="00E84E4F"/>
    <w:rsid w:val="00E85E1E"/>
    <w:rsid w:val="00EA5970"/>
    <w:rsid w:val="00EB5AC6"/>
    <w:rsid w:val="00EB683A"/>
    <w:rsid w:val="00EB73F4"/>
    <w:rsid w:val="00EC0121"/>
    <w:rsid w:val="00EC3F88"/>
    <w:rsid w:val="00EC5248"/>
    <w:rsid w:val="00EC6917"/>
    <w:rsid w:val="00ED2288"/>
    <w:rsid w:val="00ED36D8"/>
    <w:rsid w:val="00ED6DBC"/>
    <w:rsid w:val="00EE557B"/>
    <w:rsid w:val="00EE6BD7"/>
    <w:rsid w:val="00EF132B"/>
    <w:rsid w:val="00EF31DA"/>
    <w:rsid w:val="00F0689D"/>
    <w:rsid w:val="00F11778"/>
    <w:rsid w:val="00F11C1F"/>
    <w:rsid w:val="00F13CE2"/>
    <w:rsid w:val="00F16165"/>
    <w:rsid w:val="00F31391"/>
    <w:rsid w:val="00F31F91"/>
    <w:rsid w:val="00F43E7F"/>
    <w:rsid w:val="00F5067F"/>
    <w:rsid w:val="00F57A0F"/>
    <w:rsid w:val="00F631F9"/>
    <w:rsid w:val="00F66F66"/>
    <w:rsid w:val="00F7014C"/>
    <w:rsid w:val="00F7678B"/>
    <w:rsid w:val="00F8135D"/>
    <w:rsid w:val="00F81FC7"/>
    <w:rsid w:val="00F86F06"/>
    <w:rsid w:val="00F935AB"/>
    <w:rsid w:val="00FA181D"/>
    <w:rsid w:val="00FA667B"/>
    <w:rsid w:val="00FA6721"/>
    <w:rsid w:val="00FB01B5"/>
    <w:rsid w:val="00FB3BB5"/>
    <w:rsid w:val="00FB44C4"/>
    <w:rsid w:val="00FB72B6"/>
    <w:rsid w:val="00FC1CA7"/>
    <w:rsid w:val="00FC2FD5"/>
    <w:rsid w:val="00FC60CB"/>
    <w:rsid w:val="00FD4504"/>
    <w:rsid w:val="00FD6D8B"/>
    <w:rsid w:val="00FD7DDB"/>
    <w:rsid w:val="00FF18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AAE688-96C9-46E9-AD7A-E3142DA7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0587E"/>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customStyle="1" w:styleId="Normln0">
    <w:name w:val="Norm‡ln’"/>
    <w:rsid w:val="000E6C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rsid w:val="000E6C3E"/>
    <w:pPr>
      <w:tabs>
        <w:tab w:val="left" w:pos="425"/>
      </w:tabs>
      <w:spacing w:after="0" w:line="240" w:lineRule="auto"/>
      <w:ind w:left="425" w:hanging="425"/>
      <w:jc w:val="both"/>
    </w:pPr>
    <w:rPr>
      <w:rFonts w:ascii="Times New Roman" w:eastAsia="Times New Roman" w:hAnsi="Times New Roman" w:cs="Times New Roman"/>
      <w:color w:val="auto"/>
      <w:sz w:val="20"/>
      <w:szCs w:val="20"/>
      <w:lang w:eastAsia="cs-CZ"/>
    </w:rPr>
  </w:style>
  <w:style w:type="character" w:customStyle="1" w:styleId="TextpoznpodarouChar">
    <w:name w:val="Text pozn. pod čarou Char"/>
    <w:basedOn w:val="Standardnpsmoodstavce"/>
    <w:link w:val="Textpoznpodarou"/>
    <w:uiPriority w:val="99"/>
    <w:rsid w:val="000E6C3E"/>
    <w:rPr>
      <w:rFonts w:ascii="Times New Roman" w:eastAsia="Times New Roman" w:hAnsi="Times New Roman" w:cs="Times New Roman"/>
      <w:sz w:val="20"/>
      <w:szCs w:val="20"/>
      <w:lang w:eastAsia="cs-CZ"/>
    </w:rPr>
  </w:style>
  <w:style w:type="character" w:styleId="Znakapoznpodarou">
    <w:name w:val="footnote reference"/>
    <w:uiPriority w:val="99"/>
    <w:rsid w:val="000E6C3E"/>
    <w:rPr>
      <w:vertAlign w:val="superscript"/>
    </w:rPr>
  </w:style>
  <w:style w:type="paragraph" w:styleId="Zhlav">
    <w:name w:val="header"/>
    <w:basedOn w:val="Normln"/>
    <w:link w:val="ZhlavChar"/>
    <w:uiPriority w:val="99"/>
    <w:unhideWhenUsed/>
    <w:rsid w:val="00F11C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1C1F"/>
    <w:rPr>
      <w:color w:val="000000" w:themeColor="text1"/>
    </w:rPr>
  </w:style>
  <w:style w:type="paragraph" w:styleId="Zpat">
    <w:name w:val="footer"/>
    <w:basedOn w:val="Normln"/>
    <w:link w:val="ZpatChar"/>
    <w:uiPriority w:val="99"/>
    <w:unhideWhenUsed/>
    <w:rsid w:val="00F11C1F"/>
    <w:pPr>
      <w:tabs>
        <w:tab w:val="center" w:pos="4536"/>
        <w:tab w:val="right" w:pos="9072"/>
      </w:tabs>
      <w:spacing w:after="0" w:line="240" w:lineRule="auto"/>
    </w:pPr>
  </w:style>
  <w:style w:type="character" w:customStyle="1" w:styleId="ZpatChar">
    <w:name w:val="Zápatí Char"/>
    <w:basedOn w:val="Standardnpsmoodstavce"/>
    <w:link w:val="Zpat"/>
    <w:uiPriority w:val="99"/>
    <w:rsid w:val="00F11C1F"/>
    <w:rPr>
      <w:color w:val="000000" w:themeColor="text1"/>
    </w:rPr>
  </w:style>
  <w:style w:type="character" w:customStyle="1" w:styleId="OdstavecseseznamemChar">
    <w:name w:val="Odstavec se seznamem Char"/>
    <w:link w:val="Odstavecseseznamem"/>
    <w:uiPriority w:val="99"/>
    <w:rsid w:val="00515288"/>
    <w:rPr>
      <w:color w:val="000000" w:themeColor="text1"/>
    </w:rPr>
  </w:style>
  <w:style w:type="paragraph" w:customStyle="1" w:styleId="Default">
    <w:name w:val="Default"/>
    <w:rsid w:val="00A245B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kotvenpoznmkypodarou">
    <w:name w:val="Ukotvení poznámky pod čarou"/>
    <w:rsid w:val="00151827"/>
    <w:rPr>
      <w:vertAlign w:val="superscript"/>
    </w:rPr>
  </w:style>
  <w:style w:type="paragraph" w:customStyle="1" w:styleId="Poznmkapodarou">
    <w:name w:val="Poznámka pod čarou"/>
    <w:basedOn w:val="Normln"/>
    <w:rsid w:val="00151827"/>
    <w:pPr>
      <w:suppressAutoHyphens/>
      <w:spacing w:after="0" w:line="240" w:lineRule="auto"/>
    </w:pPr>
    <w:rPr>
      <w:rFonts w:ascii="Arial" w:eastAsia="Times New Roman" w:hAnsi="Arial" w:cs="Times New Roman"/>
      <w:color w:val="00000A"/>
      <w:sz w:val="24"/>
      <w:szCs w:val="20"/>
      <w:lang w:eastAsia="ar-SA"/>
    </w:rPr>
  </w:style>
  <w:style w:type="character" w:styleId="Odkaznakoment">
    <w:name w:val="annotation reference"/>
    <w:basedOn w:val="Standardnpsmoodstavce"/>
    <w:uiPriority w:val="99"/>
    <w:semiHidden/>
    <w:unhideWhenUsed/>
    <w:rsid w:val="00D26F87"/>
    <w:rPr>
      <w:sz w:val="16"/>
      <w:szCs w:val="16"/>
    </w:rPr>
  </w:style>
  <w:style w:type="character" w:styleId="Siln">
    <w:name w:val="Strong"/>
    <w:qFormat/>
    <w:rsid w:val="00BA7EB4"/>
    <w:rPr>
      <w:b/>
      <w:bCs/>
    </w:rPr>
  </w:style>
  <w:style w:type="paragraph" w:styleId="Zkladntext2">
    <w:name w:val="Body Text 2"/>
    <w:basedOn w:val="Normln"/>
    <w:link w:val="Zkladntext2Char"/>
    <w:semiHidden/>
    <w:rsid w:val="00BA7EB4"/>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auto"/>
      <w:sz w:val="20"/>
      <w:szCs w:val="20"/>
      <w:lang w:eastAsia="cs-CZ"/>
    </w:rPr>
  </w:style>
  <w:style w:type="character" w:customStyle="1" w:styleId="Zkladntext2Char">
    <w:name w:val="Základní text 2 Char"/>
    <w:basedOn w:val="Standardnpsmoodstavce"/>
    <w:link w:val="Zkladntext2"/>
    <w:semiHidden/>
    <w:rsid w:val="00BA7EB4"/>
    <w:rPr>
      <w:rFonts w:ascii="Times New Roman" w:eastAsia="Times New Roman" w:hAnsi="Times New Roman" w:cs="Times New Roman"/>
      <w:sz w:val="20"/>
      <w:szCs w:val="20"/>
      <w:lang w:eastAsia="cs-CZ"/>
    </w:rPr>
  </w:style>
  <w:style w:type="paragraph" w:styleId="Textkomente">
    <w:name w:val="annotation text"/>
    <w:basedOn w:val="Normln"/>
    <w:link w:val="TextkomenteChar"/>
    <w:semiHidden/>
    <w:unhideWhenUsed/>
    <w:rsid w:val="00BA7EB4"/>
    <w:pPr>
      <w:spacing w:after="0" w:line="240" w:lineRule="auto"/>
      <w:jc w:val="both"/>
    </w:pPr>
    <w:rPr>
      <w:rFonts w:ascii="Times New Roman" w:eastAsia="Times New Roman" w:hAnsi="Times New Roman" w:cs="Times New Roman"/>
      <w:color w:val="auto"/>
      <w:sz w:val="20"/>
      <w:szCs w:val="20"/>
      <w:lang w:eastAsia="cs-CZ"/>
    </w:rPr>
  </w:style>
  <w:style w:type="character" w:customStyle="1" w:styleId="TextkomenteChar">
    <w:name w:val="Text komentáře Char"/>
    <w:basedOn w:val="Standardnpsmoodstavce"/>
    <w:link w:val="Textkomente"/>
    <w:semiHidden/>
    <w:rsid w:val="00BA7EB4"/>
    <w:rPr>
      <w:rFonts w:ascii="Times New Roman" w:eastAsia="Times New Roman" w:hAnsi="Times New Roman" w:cs="Times New Roman"/>
      <w:sz w:val="20"/>
      <w:szCs w:val="20"/>
      <w:lang w:eastAsia="cs-CZ"/>
    </w:rPr>
  </w:style>
  <w:style w:type="paragraph" w:customStyle="1" w:styleId="Normln1">
    <w:name w:val="Normální1"/>
    <w:basedOn w:val="Normln"/>
    <w:rsid w:val="007C5CF9"/>
    <w:pPr>
      <w:spacing w:before="120" w:after="0" w:line="240" w:lineRule="auto"/>
      <w:jc w:val="both"/>
    </w:pPr>
    <w:rPr>
      <w:rFonts w:ascii="Times New Roman" w:eastAsia="Times New Roman" w:hAnsi="Times New Roman" w:cs="Times New Roman"/>
      <w:color w:val="auto"/>
      <w:sz w:val="24"/>
      <w:szCs w:val="24"/>
      <w:lang w:eastAsia="cs-CZ"/>
    </w:rPr>
  </w:style>
  <w:style w:type="paragraph" w:customStyle="1" w:styleId="sti-art">
    <w:name w:val="sti-art"/>
    <w:basedOn w:val="Normln"/>
    <w:rsid w:val="007C5CF9"/>
    <w:pPr>
      <w:spacing w:before="60" w:after="120" w:line="240" w:lineRule="auto"/>
      <w:jc w:val="center"/>
    </w:pPr>
    <w:rPr>
      <w:rFonts w:ascii="Times New Roman" w:eastAsia="Times New Roman" w:hAnsi="Times New Roman" w:cs="Times New Roman"/>
      <w:b/>
      <w:bCs/>
      <w:color w:val="auto"/>
      <w:sz w:val="24"/>
      <w:szCs w:val="24"/>
      <w:lang w:eastAsia="cs-CZ"/>
    </w:rPr>
  </w:style>
  <w:style w:type="paragraph" w:customStyle="1" w:styleId="ti-art">
    <w:name w:val="ti-art"/>
    <w:basedOn w:val="Normln"/>
    <w:rsid w:val="007C5CF9"/>
    <w:pPr>
      <w:spacing w:before="360" w:after="120" w:line="240" w:lineRule="auto"/>
      <w:jc w:val="center"/>
    </w:pPr>
    <w:rPr>
      <w:rFonts w:ascii="Times New Roman" w:eastAsia="Times New Roman" w:hAnsi="Times New Roman" w:cs="Times New Roman"/>
      <w:i/>
      <w:iCs/>
      <w:color w:val="auto"/>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984803">
      <w:bodyDiv w:val="1"/>
      <w:marLeft w:val="390"/>
      <w:marRight w:val="390"/>
      <w:marTop w:val="0"/>
      <w:marBottom w:val="0"/>
      <w:divBdr>
        <w:top w:val="none" w:sz="0" w:space="0" w:color="auto"/>
        <w:left w:val="none" w:sz="0" w:space="0" w:color="auto"/>
        <w:bottom w:val="none" w:sz="0" w:space="0" w:color="auto"/>
        <w:right w:val="none" w:sz="0" w:space="0" w:color="auto"/>
      </w:divBdr>
      <w:divsChild>
        <w:div w:id="1053698142">
          <w:marLeft w:val="0"/>
          <w:marRight w:val="0"/>
          <w:marTop w:val="0"/>
          <w:marBottom w:val="0"/>
          <w:divBdr>
            <w:top w:val="none" w:sz="0" w:space="0" w:color="auto"/>
            <w:left w:val="none" w:sz="0" w:space="0" w:color="auto"/>
            <w:bottom w:val="none" w:sz="0" w:space="0" w:color="auto"/>
            <w:right w:val="none" w:sz="0" w:space="0" w:color="auto"/>
          </w:divBdr>
          <w:divsChild>
            <w:div w:id="105930787">
              <w:marLeft w:val="0"/>
              <w:marRight w:val="0"/>
              <w:marTop w:val="0"/>
              <w:marBottom w:val="0"/>
              <w:divBdr>
                <w:top w:val="none" w:sz="0" w:space="0" w:color="auto"/>
                <w:left w:val="none" w:sz="0" w:space="0" w:color="auto"/>
                <w:bottom w:val="none" w:sz="0" w:space="0" w:color="auto"/>
                <w:right w:val="none" w:sz="0" w:space="0" w:color="auto"/>
              </w:divBdr>
              <w:divsChild>
                <w:div w:id="250164778">
                  <w:marLeft w:val="-150"/>
                  <w:marRight w:val="-150"/>
                  <w:marTop w:val="0"/>
                  <w:marBottom w:val="0"/>
                  <w:divBdr>
                    <w:top w:val="none" w:sz="0" w:space="0" w:color="auto"/>
                    <w:left w:val="none" w:sz="0" w:space="0" w:color="auto"/>
                    <w:bottom w:val="none" w:sz="0" w:space="0" w:color="auto"/>
                    <w:right w:val="none" w:sz="0" w:space="0" w:color="auto"/>
                  </w:divBdr>
                  <w:divsChild>
                    <w:div w:id="1651403694">
                      <w:marLeft w:val="0"/>
                      <w:marRight w:val="0"/>
                      <w:marTop w:val="0"/>
                      <w:marBottom w:val="0"/>
                      <w:divBdr>
                        <w:top w:val="none" w:sz="0" w:space="0" w:color="auto"/>
                        <w:left w:val="none" w:sz="0" w:space="0" w:color="auto"/>
                        <w:bottom w:val="none" w:sz="0" w:space="0" w:color="auto"/>
                        <w:right w:val="none" w:sz="0" w:space="0" w:color="auto"/>
                      </w:divBdr>
                      <w:divsChild>
                        <w:div w:id="1504126864">
                          <w:marLeft w:val="0"/>
                          <w:marRight w:val="0"/>
                          <w:marTop w:val="0"/>
                          <w:marBottom w:val="0"/>
                          <w:divBdr>
                            <w:top w:val="none" w:sz="0" w:space="0" w:color="auto"/>
                            <w:left w:val="none" w:sz="0" w:space="0" w:color="auto"/>
                            <w:bottom w:val="none" w:sz="0" w:space="0" w:color="auto"/>
                            <w:right w:val="none" w:sz="0" w:space="0" w:color="auto"/>
                          </w:divBdr>
                          <w:divsChild>
                            <w:div w:id="1972396345">
                              <w:marLeft w:val="0"/>
                              <w:marRight w:val="0"/>
                              <w:marTop w:val="0"/>
                              <w:marBottom w:val="0"/>
                              <w:divBdr>
                                <w:top w:val="none" w:sz="0" w:space="0" w:color="auto"/>
                                <w:left w:val="none" w:sz="0" w:space="0" w:color="auto"/>
                                <w:bottom w:val="none" w:sz="0" w:space="0" w:color="auto"/>
                                <w:right w:val="none" w:sz="0" w:space="0" w:color="auto"/>
                              </w:divBdr>
                              <w:divsChild>
                                <w:div w:id="1587110585">
                                  <w:marLeft w:val="0"/>
                                  <w:marRight w:val="0"/>
                                  <w:marTop w:val="0"/>
                                  <w:marBottom w:val="0"/>
                                  <w:divBdr>
                                    <w:top w:val="none" w:sz="0" w:space="0" w:color="auto"/>
                                    <w:left w:val="none" w:sz="0" w:space="0" w:color="auto"/>
                                    <w:bottom w:val="none" w:sz="0" w:space="0" w:color="auto"/>
                                    <w:right w:val="none" w:sz="0" w:space="0" w:color="auto"/>
                                  </w:divBdr>
                                </w:div>
                                <w:div w:id="78909523">
                                  <w:marLeft w:val="0"/>
                                  <w:marRight w:val="0"/>
                                  <w:marTop w:val="0"/>
                                  <w:marBottom w:val="0"/>
                                  <w:divBdr>
                                    <w:top w:val="none" w:sz="0" w:space="0" w:color="auto"/>
                                    <w:left w:val="none" w:sz="0" w:space="0" w:color="auto"/>
                                    <w:bottom w:val="none" w:sz="0" w:space="0" w:color="auto"/>
                                    <w:right w:val="none" w:sz="0" w:space="0" w:color="auto"/>
                                  </w:divBdr>
                                </w:div>
                                <w:div w:id="157138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CF1E6-17EC-4E83-980B-E47D3E52E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EDA6253E.dotm</Template>
  <TotalTime>0</TotalTime>
  <Pages>6</Pages>
  <Words>2336</Words>
  <Characters>13789</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Sedmidubská Lenka</dc:creator>
  <cp:keywords/>
  <dc:description/>
  <cp:lastModifiedBy>Poloučková Daniela</cp:lastModifiedBy>
  <cp:revision>2</cp:revision>
  <cp:lastPrinted>2018-06-06T07:20:00Z</cp:lastPrinted>
  <dcterms:created xsi:type="dcterms:W3CDTF">2021-01-07T12:17:00Z</dcterms:created>
  <dcterms:modified xsi:type="dcterms:W3CDTF">2021-01-07T12:17:00Z</dcterms:modified>
</cp:coreProperties>
</file>