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EAA" w:rsidRPr="00C44EAA" w:rsidRDefault="00C44EAA" w:rsidP="00C44EA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 w:bidi="hi-IN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Parlament České republiky</w:t>
            </w:r>
          </w:p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6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36"/>
                <w:szCs w:val="20"/>
                <w:lang w:eastAsia="zh-CN" w:bidi="hi-IN"/>
              </w:rPr>
              <w:t>POSLANECKÁ SNĚMOVNA</w:t>
            </w:r>
          </w:p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CG Omega;Arial" w:eastAsia="Times New Roman" w:hAnsi="CG Omega;Arial" w:cs="CG Omega;Arial"/>
                <w:sz w:val="16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36"/>
                <w:szCs w:val="20"/>
                <w:lang w:eastAsia="zh-CN" w:bidi="hi-IN"/>
              </w:rPr>
              <w:t>2020</w:t>
            </w:r>
          </w:p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8. volební období</w:t>
            </w:r>
          </w:p>
        </w:tc>
      </w:tr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</w:p>
        </w:tc>
      </w:tr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432</w:t>
            </w:r>
          </w:p>
        </w:tc>
      </w:tr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0"/>
                <w:u w:val="single"/>
                <w:lang w:eastAsia="zh-CN" w:bidi="hi-IN"/>
              </w:rPr>
            </w:pPr>
          </w:p>
        </w:tc>
      </w:tr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keepNext/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i/>
                <w:sz w:val="32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32"/>
                <w:szCs w:val="20"/>
                <w:lang w:eastAsia="zh-CN" w:bidi="hi-IN"/>
              </w:rPr>
              <w:t xml:space="preserve">USNESENÍ  </w:t>
            </w:r>
          </w:p>
        </w:tc>
      </w:tr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rozpočtového výboru</w:t>
            </w:r>
          </w:p>
        </w:tc>
      </w:tr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ze 43. schůze</w:t>
            </w:r>
          </w:p>
        </w:tc>
      </w:tr>
      <w:tr w:rsidR="00C44EAA" w:rsidRPr="00C44EAA" w:rsidTr="00A05C91"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suppressAutoHyphens/>
              <w:spacing w:after="0" w:line="240" w:lineRule="auto"/>
              <w:jc w:val="center"/>
              <w:rPr>
                <w:rFonts w:ascii="CG Omega;Arial" w:eastAsia="Times New Roman" w:hAnsi="CG Omega;Arial" w:cs="CG Omega;Arial"/>
                <w:sz w:val="16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ze dne 9. září 2020</w:t>
            </w:r>
          </w:p>
        </w:tc>
      </w:tr>
      <w:tr w:rsidR="00C44EAA" w:rsidRPr="00C44EAA" w:rsidTr="00A05C91">
        <w:trPr>
          <w:trHeight w:val="1686"/>
        </w:trPr>
        <w:tc>
          <w:tcPr>
            <w:tcW w:w="9212" w:type="dxa"/>
            <w:shd w:val="clear" w:color="auto" w:fill="auto"/>
          </w:tcPr>
          <w:p w:rsidR="00C44EAA" w:rsidRPr="00C44EAA" w:rsidRDefault="00C44EAA" w:rsidP="00C44E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 w:bidi="hi-IN"/>
              </w:rPr>
            </w:pPr>
          </w:p>
          <w:p w:rsidR="00C44EAA" w:rsidRPr="00C44EAA" w:rsidRDefault="00C44EAA" w:rsidP="00C44EAA">
            <w:pPr>
              <w:pBdr>
                <w:bottom w:val="single" w:sz="4" w:space="1" w:color="000000"/>
              </w:pBd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  <w:t>k vládnímu návrhu zákona, kterým se mění zákon č. 253/2008 Sb., o některých opatřeních proti legalizaci výnosů z trestné činnosti a financování terorismu, ve znění pozdějších předpisů, a další související zákony, zákony související s přijetím zákona o evidenci skutečných majitelů a zákon č. 186/2016 Sb., o hazardních hrách, ve znění pozdějších předpisů</w:t>
            </w:r>
          </w:p>
          <w:p w:rsidR="00C44EAA" w:rsidRPr="00C44EAA" w:rsidRDefault="00C44EAA" w:rsidP="00C44EAA">
            <w:pPr>
              <w:pBdr>
                <w:bottom w:val="single" w:sz="4" w:space="1" w:color="000000"/>
              </w:pBd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</w:pPr>
          </w:p>
          <w:p w:rsidR="00C44EAA" w:rsidRPr="00C44EAA" w:rsidRDefault="00C44EAA" w:rsidP="00C44EAA">
            <w:pPr>
              <w:pBdr>
                <w:bottom w:val="single" w:sz="4" w:space="1" w:color="000000"/>
              </w:pBd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</w:pPr>
            <w:r w:rsidRPr="00C44EAA"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  <w:t>sněmovní tisk 909 – 2. čtení</w:t>
            </w:r>
          </w:p>
          <w:p w:rsidR="00C44EAA" w:rsidRPr="00C44EAA" w:rsidRDefault="00C44EAA" w:rsidP="00C44EAA">
            <w:pPr>
              <w:suppressAutoHyphens/>
              <w:spacing w:after="0" w:line="240" w:lineRule="auto"/>
              <w:ind w:left="426" w:hanging="426"/>
              <w:jc w:val="center"/>
              <w:rPr>
                <w:rFonts w:ascii="CG Omega;Arial" w:eastAsia="Times New Roman" w:hAnsi="CG Omega;Arial" w:cs="CG Omega;Arial"/>
                <w:sz w:val="16"/>
                <w:szCs w:val="20"/>
                <w:lang w:eastAsia="zh-CN" w:bidi="hi-IN"/>
              </w:rPr>
            </w:pPr>
          </w:p>
        </w:tc>
      </w:tr>
    </w:tbl>
    <w:p w:rsidR="00C44EAA" w:rsidRPr="00C44EAA" w:rsidRDefault="00C44EAA" w:rsidP="00C44EA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C44EAA">
        <w:rPr>
          <w:rFonts w:ascii="CG Omega;Arial" w:eastAsia="Times New Roman" w:hAnsi="CG Omega;Arial" w:cs="CG Omega;Arial"/>
          <w:sz w:val="16"/>
          <w:szCs w:val="20"/>
          <w:lang w:eastAsia="zh-CN" w:bidi="hi-IN"/>
        </w:rPr>
        <w:tab/>
      </w:r>
      <w:r w:rsidRPr="00C44EAA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Po úvodním slově náměstka ministryně financí S. Kouby, zpravodajské zprávě posl. J. Volného a po rozpravě rozpočtový výbor Poslanecké sněmovny Parlamentu   </w:t>
      </w:r>
    </w:p>
    <w:p w:rsidR="00C44EAA" w:rsidRPr="00C44EAA" w:rsidRDefault="00C44EAA" w:rsidP="00C44EA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</w:p>
    <w:p w:rsidR="00C44EAA" w:rsidRPr="00C44EAA" w:rsidRDefault="00C44EAA" w:rsidP="00C44EAA">
      <w:pPr>
        <w:tabs>
          <w:tab w:val="left" w:pos="-720"/>
          <w:tab w:val="left" w:pos="709"/>
          <w:tab w:val="left" w:pos="2160"/>
          <w:tab w:val="left" w:pos="2552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C44EAA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I.</w:t>
      </w:r>
      <w:r w:rsidRPr="00C44EAA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ab/>
        <w:t xml:space="preserve">d o p o r u č u j e  </w:t>
      </w:r>
      <w:r w:rsidRPr="00C44EAA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ab/>
        <w:t>Poslanecké sněmovně Parlamentu, aby s </w:t>
      </w:r>
      <w:r w:rsidRPr="00C44EA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vládním návrhem zákona, kterým se mění zákon č. 253/2008 Sb., o některých opatřeních proti legalizaci výnosů z trestné činnosti a financování terorismu, ve znění pozdějších předpisů, a další související zákony, zákony související s přijetím zákona o evidenci skutečných majitelů a zákon č. 186/2016 Sb., o hazardních hrách, ve znění pozdějších předpisů (sněmovní tisk 909)</w:t>
      </w:r>
    </w:p>
    <w:p w:rsidR="00C44EAA" w:rsidRPr="00C44EAA" w:rsidRDefault="00C44EAA" w:rsidP="00996709">
      <w:pPr>
        <w:tabs>
          <w:tab w:val="left" w:pos="-720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C44EAA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</w:t>
      </w:r>
    </w:p>
    <w:p w:rsidR="00C44EAA" w:rsidRPr="00C44EAA" w:rsidRDefault="00C44EAA" w:rsidP="00C44EAA">
      <w:pPr>
        <w:tabs>
          <w:tab w:val="left" w:pos="-720"/>
          <w:tab w:val="left" w:pos="709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</w:p>
    <w:p w:rsidR="00C44EAA" w:rsidRDefault="00C44EAA" w:rsidP="00C44EAA">
      <w:pPr>
        <w:tabs>
          <w:tab w:val="left" w:pos="-720"/>
          <w:tab w:val="left" w:pos="709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C44EAA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vyslovila   s o u h l a s   ve znění těchto pozměňovacích návrhů:</w:t>
      </w:r>
    </w:p>
    <w:p w:rsidR="00996709" w:rsidRDefault="00996709" w:rsidP="00C44EAA">
      <w:pPr>
        <w:tabs>
          <w:tab w:val="left" w:pos="-720"/>
          <w:tab w:val="left" w:pos="709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</w:p>
    <w:p w:rsidR="00C44EAA" w:rsidRPr="00C44EAA" w:rsidRDefault="00C44EAA" w:rsidP="00C44EAA">
      <w:pPr>
        <w:tabs>
          <w:tab w:val="left" w:pos="-720"/>
          <w:tab w:val="left" w:pos="709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</w:p>
    <w:p w:rsidR="00796693" w:rsidRPr="0070439D" w:rsidRDefault="0070439D" w:rsidP="0070439D">
      <w:pPr>
        <w:autoSpaceDE w:val="0"/>
        <w:autoSpaceDN w:val="0"/>
        <w:adjustRightInd w:val="0"/>
        <w:spacing w:after="24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>A1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C44EAA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>I</w:t>
      </w:r>
      <w:r w:rsidR="002F17B8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mplementace části tzv. informační směrnice, doplnění přechodného ustanovení do novely zákona </w:t>
      </w:r>
      <w:r w:rsidR="00524B38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>o </w:t>
      </w:r>
      <w:r w:rsidR="002F17B8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auditorech, legislativně technická úprava novely zákona </w:t>
      </w:r>
      <w:r w:rsidR="00524B38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>o </w:t>
      </w:r>
      <w:r w:rsidR="00C44EAA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>soudních poplatcích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I, se za dosavadní bod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Na konci poznámky pod čarou č. 1 se na samostatný řádek doplňuje věta „Směrnice Evropského parlamentu a Rady (EU) 2019/1153 ze dne 20. června 2019 o stanovení pravidel usnadňujících používání finančních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dalších informací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k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prevenci, odhalování, vyšetřování či stíhání určitých trestných činů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zrušení rozhodnutí Rady 2000/642/SVV.“.“.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I, se za dosavadní bod 28 vkládají nové body, které znějí: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2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odst.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2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písm. a) se za slovo „útoku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13)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“ vkládají slova „, účasti na teroristické skupině, podpory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propagace terorismu nebo trestného činu vyhrožování teroristickým činem“.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3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odst.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2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písm. b) se za slovo „útoku“ vkládají slova „, účasti na teroristické skupině, podpory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propagace terorismu nebo trestného činu vyhrožování teroristickým činem“.“.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I, se za dosavadní bod 171 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4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31a se doplňují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7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8, které znějí: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„(7) Pokud Úřad zpracovává osobní údaj, který vypovídá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rasovém nebo etnickém původu, politických názorech, náboženském vyznání nebo filosofickém přesvědčení, členství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odborové organizaci, zdravotním stavu, sexuálním chování nebo sexuální orientaci, tak zajistí, že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k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takovému osobnímu údaji má přístup pouze kvalifikovaná úřední osoba. 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(8) Úřad zajistí proškolení kvalifikované úřední osoby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oblasti ochrany osobních údajů zpracovávaných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7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nejméně jedenkrát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průběhu 12 kalendářních měsíců.“.“.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I, se za dosavadní bod 173 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5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Za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33 se vkládá nový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33a, který včetně nadpisu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poznámek pod čarou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45 a 46 zní:</w:t>
      </w:r>
    </w:p>
    <w:p w:rsidR="002F17B8" w:rsidRPr="007477FC" w:rsidRDefault="002F17B8" w:rsidP="002F17B8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33a</w:t>
      </w:r>
    </w:p>
    <w:p w:rsidR="002F17B8" w:rsidRPr="007477FC" w:rsidRDefault="002F17B8" w:rsidP="002F17B8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Poskytnutí údajů souvisejících se závažnými trestnými činy</w:t>
      </w:r>
    </w:p>
    <w:p w:rsidR="002F17B8" w:rsidRPr="007477FC" w:rsidRDefault="002F17B8" w:rsidP="002F17B8">
      <w:pPr>
        <w:numPr>
          <w:ilvl w:val="2"/>
          <w:numId w:val="22"/>
        </w:numPr>
        <w:tabs>
          <w:tab w:val="left" w:pos="851"/>
        </w:tabs>
        <w:spacing w:before="120" w:after="12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Je-li to nezbytné pro plnění konkrétního úkolu orgánu vykonávajícího působnost úřadu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trestné činnosti v České republice podle předpisu Evropské unie upravujícího spolupráci mezi úřady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trestné činnosti 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45)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(dále jen „orgán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trestné činnosti“), týkajícího se trestné činnosti podle přílohy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přímo použitelného právního předpisu Evropské unie upravujícího Europol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46)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poskytne Úřad bez zbytečného odkladu na základě odůvodněné žádosti údaje, které získal při své činnosti podle tohoto zákona. Odepření poskytnutí údajů Úřad odůvodní.</w:t>
      </w:r>
    </w:p>
    <w:p w:rsidR="002F17B8" w:rsidRPr="007477FC" w:rsidRDefault="002F17B8" w:rsidP="004A7BA1">
      <w:pPr>
        <w:keepNext/>
        <w:keepLines/>
        <w:spacing w:before="240" w:after="0" w:line="240" w:lineRule="auto"/>
        <w:ind w:firstLine="425"/>
        <w:jc w:val="both"/>
        <w:outlineLvl w:val="5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(2) Je-li to nezbytné pro plnění konkrétního úkolu Europolu, poskytne Úřad bez zbytečného odkladu na základě odůvodněné žádosti Europolu, zaslané prostřednictvím národní jednotky podle přímo použitelného právního předpisu Evropské unie upravujícího Europol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 xml:space="preserve">46) 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(dále jen „národní jednotka Europolu“), údaje, které získal při své činnosti podle tohoto zákona. Úřad při vyřizování této žádosti uplatňuje stejné zacházení, jaké by poskytoval zahraničnímu orgánu s věcnou působností srovnatelnou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s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Úřadem. Odepření poskytnutí údajů Úřad odůvodní.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(3) Bez souhlasu Úřadu nelze údaje poskytnuté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využít k jiným účelům, než ke kterým byly poskytnuty, ani je nelze předat jinému orgánu veřejné moci nebo orgánu jiného státu. Odepření poskytnutí souhlasu k využití k jiným účelům Úřad odůvodní.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 xml:space="preserve">(4) Úřad vede evidenci žádostí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poskytnutí údajů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nebo 2, která obsahuje: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název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kontaktní údaje žadatele,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b)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jméno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kontaktní údaje fyzické osoby, která jménem žadatele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údaje požádala,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c)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název nebo jméno příjemce poskytnutých údajů,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d)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spisovou značku obsaženou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žádosti,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e)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předmět žádosti a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f)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opatření přijatá Úřadem v souvislosti s vyřizováním žádosti.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(5) Evidenci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4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lze použít pouze pro ověření zákonnosti zpracování osobních údajů. Úřad zpřístupní evidenci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4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orgánu příslušnému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k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dozoru nad zpracováním osobních údajů na základě žádosti pro účely výkonu jeho působnosti.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(6) Úřad uchovává údaje v evidenci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4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 dobu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5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let ode dne jejich vzniku.</w:t>
      </w:r>
    </w:p>
    <w:p w:rsidR="002F17B8" w:rsidRPr="007477FC" w:rsidRDefault="002F17B8" w:rsidP="002F17B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_____________________</w:t>
      </w:r>
    </w:p>
    <w:p w:rsidR="002F17B8" w:rsidRPr="007477FC" w:rsidRDefault="002F17B8" w:rsidP="002F17B8">
      <w:pPr>
        <w:tabs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 xml:space="preserve">45) 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Rozhodnutí Rady 2007/845/SVV ze dne 6. prosince 2007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spolupráci mezi úřady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trestné činnosti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jednotlivých členských státech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oblasti vysledování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identifikace výnosů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trestné činnosti nebo jiného majetku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souvislosti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trestnou činností.</w:t>
      </w:r>
    </w:p>
    <w:p w:rsidR="002F17B8" w:rsidRPr="007477FC" w:rsidRDefault="002F17B8" w:rsidP="002F17B8">
      <w:pPr>
        <w:tabs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 xml:space="preserve">46) 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Nařízení Evropského parlamentu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Rady (EU) 2016/794 ze dne 11. května 2016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Agentuře Evropské unie pro spolupráci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oblasti prosazování práva (Europol)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zrušení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nahrazení rozhodnutí 2009/371/SVV, 2009/934/SVV, 2009/935/SVV, 2009/936/SVV a 2009/968/SVV.“.“.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I, se za dosavadní bod 188 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6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39 odst.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písm. c) se slova „pokud to jiný právní předpis nezakazuje“ nahrazují slovy „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informací souvisejících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s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trestnými činy podle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odst. 2“.“.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I, se za dosavadní bod 191 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7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39 se na konci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tečka nahrazuje čárkou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doplňují se písmena o)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p), která znějí: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o)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orgánu pro vyhledávání majetku z trestné činnosti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národní jednotce Europolu při plnění povinnosti Úřadu podle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33a,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p)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orgánu příslušnému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k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dozoru nad zpracováním osobních údajů, pokud jde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přístup k evidenci žádostí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poskytnutí údajů podle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33a.“.“.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I, se za dosavadní bod 193 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8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39 odst.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4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se text „n)“ nahrazuje textem „p)“.“.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 xml:space="preserve">V části čtvrté,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VIII, dosavadní bod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zní: 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„X. V § 11 se na konci odstavce 1 tečka nahrazuje čárkou a doplňuje se písmeno n), které zní:</w:t>
      </w:r>
    </w:p>
    <w:p w:rsidR="002F17B8" w:rsidRPr="007477FC" w:rsidRDefault="002F17B8" w:rsidP="002F17B8">
      <w:p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„n) výmazu všech údajů o skutečném majiteli bez náhrady z evidence skutečných majitelů.“.“. 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jedenácté,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XXI, se za dosavadní bod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doplňuje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„X.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Vnitřní předpisy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statut Komory auditorů České republiky vydané podle zákona č. 93/2009 Sb., ve znění účinném přede dnem nabytí účinnosti tohoto zákona, které nejsou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souladu se zákonem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93/2009 Sb., ve znění účinném ode dne nabytí účinnosti tohoto zákona, je Komora auditorů České republiky povinna uvést do souladu do 24 měsíců ode dne nabytí účinnosti tohoto zákona.“.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devatenácté,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XXX, se za dosavadní bod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9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Na konci poznámky pod čarou č. 4 se na samostatný řádek doplňuje věta „Směrnice Evropského parlamentu a Rady (EU) 2019/1153 ze dne 20. června 2019 o stanovení pravidel usnadňujících používání finančních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dalších informací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k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prevenci, odhalování, vyšetřování či stíhání určitých trestných činů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zrušení rozhodnutí Rady 2000/642/SVV.“.“.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devatenácté,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XXX, se za dosavadní bod 18 vkládá nový bod, který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10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6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se na konci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tečka nahrazuje čárkou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doplňuje se písmeno f), které včetně poznámky pod čarou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5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zní:</w:t>
      </w:r>
    </w:p>
    <w:p w:rsidR="002F17B8" w:rsidRPr="007477FC" w:rsidRDefault="002F17B8" w:rsidP="002F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„f) 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 xml:space="preserve">orgán vykonávající působnost úřadu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 xml:space="preserve">trestné činnosti </w:t>
      </w:r>
      <w:r w:rsidR="00524B38" w:rsidRPr="007477FC">
        <w:rPr>
          <w:rFonts w:ascii="Times New Roman" w:eastAsia="Times New Roman" w:hAnsi="Times New Roman" w:cs="Times New Roman"/>
          <w:sz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 xml:space="preserve">České republice podle předpisu Evropské unie upravujícího spolupráci mezi úřady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>trestné činností</w:t>
      </w:r>
      <w:r w:rsidRPr="007477FC">
        <w:rPr>
          <w:rFonts w:ascii="Times New Roman" w:eastAsia="Times New Roman" w:hAnsi="Times New Roman" w:cs="Times New Roman"/>
          <w:sz w:val="24"/>
          <w:vertAlign w:val="superscript"/>
          <w:lang w:eastAsia="cs-CZ"/>
        </w:rPr>
        <w:t>5)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 xml:space="preserve"> (dále jen „orgán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>trestné činnosti“).</w:t>
      </w:r>
    </w:p>
    <w:p w:rsidR="002F17B8" w:rsidRPr="007477FC" w:rsidRDefault="002F17B8" w:rsidP="002F17B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_____________________</w:t>
      </w:r>
    </w:p>
    <w:p w:rsidR="002F17B8" w:rsidRPr="007477FC" w:rsidRDefault="002F17B8" w:rsidP="002F17B8">
      <w:pPr>
        <w:tabs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 xml:space="preserve">5) 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Rozhodnutí Rady 2007/845/SVV ze dne 6. prosince 2007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spolupráci mezi úřady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trestné činnosti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jednotlivých členských státech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oblasti vysledování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identifikace výnosů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trestné činnosti nebo jiného majetku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souvislosti </w:t>
      </w:r>
      <w:r w:rsidR="00524B38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524B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trestnou činností.“.“.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devatenácté,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XXX, se za dosavadní bod 19 vkládají nové body, které znějí: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„X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11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6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se doplňují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5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6, které včetně poznámky pod čarou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6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znějí: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„(5) Je-li žadatelem 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 xml:space="preserve">orgán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lang w:eastAsia="cs-CZ"/>
        </w:rPr>
        <w:t>trestné činnosti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může požadovat poskytnutí údajů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centrální evidence účtů, jestliže to je nezbytné pro plnění konkrétního úkolu týkajícího se trestné činnosti podle přílohy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přímo použitelného právního předpisu Evropské unie upravujícího Europol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6)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nebo pro poskytnutí odpovědi na odůvodněnou žádost Europolu; odstavec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2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se přitom nepoužije.</w:t>
      </w:r>
    </w:p>
    <w:p w:rsidR="002F17B8" w:rsidRPr="007477FC" w:rsidRDefault="002F17B8" w:rsidP="002F17B8">
      <w:pPr>
        <w:tabs>
          <w:tab w:val="left" w:pos="851"/>
          <w:tab w:val="num" w:pos="1208"/>
        </w:tabs>
        <w:spacing w:before="120" w:after="120" w:line="240" w:lineRule="auto"/>
        <w:ind w:firstLine="425"/>
        <w:jc w:val="both"/>
        <w:outlineLvl w:val="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(6) Orgán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trestné činnosti vede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evidenci žádostí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poskytnutí údajů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centrální evidence účtů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také identifikační údaje jednoznačně určující 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 xml:space="preserve">fyzickou osobu, která podání žádosti nařídila,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identifikační údaje příjemce vyžádaných údajů.</w:t>
      </w:r>
    </w:p>
    <w:p w:rsidR="002F17B8" w:rsidRPr="007477FC" w:rsidRDefault="002F17B8" w:rsidP="002F17B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_____________________</w:t>
      </w:r>
    </w:p>
    <w:p w:rsidR="002F17B8" w:rsidRPr="007477FC" w:rsidRDefault="002F17B8" w:rsidP="002F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 xml:space="preserve">6) 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Nařízení Evropského parlamentu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Rady (EU) 2016/794 ze dne 11. května 2016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Agentuře Evropské unie pro spolupráci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oblasti prosazování práva (Europol)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zrušení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nahrazení rozhodnutí 2009/371/SVV, 2009/934/SVV, 2009/935/SVV, 2009/936/SVV a 2009/968/SVV.“.</w:t>
      </w:r>
    </w:p>
    <w:p w:rsidR="002F17B8" w:rsidRPr="007477FC" w:rsidRDefault="002F17B8" w:rsidP="002F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12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7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odst.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se za větu druhou vkládá věta „Orgán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trestné činnosti dále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žádosti uvede identifikační údaje jednoznačně určující fyzickou osobu, která jeho jménem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údaje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centrální evidence účtů požádala, dále případně fyzickou osobu, která podání žádosti nařídila,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příjemce vyžádaných údajů.“.</w:t>
      </w:r>
    </w:p>
    <w:p w:rsidR="002F17B8" w:rsidRPr="007477FC" w:rsidRDefault="002F17B8" w:rsidP="002F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13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7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se na konci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tečka nahrazuje čárkou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doplňuje se písmeno h), které zní:</w:t>
      </w:r>
    </w:p>
    <w:p w:rsidR="002F17B8" w:rsidRPr="007477FC" w:rsidRDefault="002F17B8" w:rsidP="002F17B8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„h) orgán pro vyhledávání majetku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z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trestné činnosti prostřednictvím Policejního prezidia České republiky.“.“.</w:t>
      </w:r>
    </w:p>
    <w:p w:rsidR="002F17B8" w:rsidRPr="007477FC" w:rsidRDefault="002F17B8" w:rsidP="002F17B8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2F17B8" w:rsidRPr="007477FC" w:rsidRDefault="002F17B8" w:rsidP="002F17B8">
      <w:pPr>
        <w:numPr>
          <w:ilvl w:val="0"/>
          <w:numId w:val="2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části dvacáté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XXXIII, se na konci odstavce nahrazuje tečka čárkou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vkládá se nové písmeno e), které zní: </w:t>
      </w:r>
    </w:p>
    <w:p w:rsidR="00796693" w:rsidRDefault="002F17B8" w:rsidP="002F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„e) ustanovení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bodů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2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3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4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5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6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7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 xml:space="preserve">8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XXX bodů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9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10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11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12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</w:t>
      </w:r>
      <w:r w:rsidRPr="007477FC">
        <w:rPr>
          <w:rFonts w:ascii="Times New Roman" w:eastAsia="Times New Roman" w:hAnsi="Times New Roman" w:cs="Times New Roman"/>
          <w:sz w:val="24"/>
          <w:szCs w:val="20"/>
          <w:vertAlign w:val="subscript"/>
          <w:lang w:eastAsia="cs-CZ"/>
        </w:rPr>
        <w:t>13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, která nabývají účinnosti dnem 1. srpna 2021.“.</w:t>
      </w:r>
    </w:p>
    <w:p w:rsidR="00C44EAA" w:rsidRDefault="00C44EAA" w:rsidP="002F17B8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44EAA" w:rsidRPr="007477FC" w:rsidRDefault="00C44EAA" w:rsidP="002F17B8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</w:p>
    <w:p w:rsidR="007F7192" w:rsidRPr="0070439D" w:rsidRDefault="0070439D" w:rsidP="0070439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>A2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 </w:t>
      </w:r>
      <w:r w:rsidR="007F7192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>Rozšíření využitelnosti specifické metody distanční identifikace</w:t>
      </w:r>
    </w:p>
    <w:p w:rsidR="007F7192" w:rsidRPr="007477FC" w:rsidRDefault="007F7192" w:rsidP="007F7192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I, se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dosavadním bodu 83 za slova „poskytovatel služby informování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platebním účtu nebo služby nepřímého dání platebního příkazu “ doplňují slova „(dále jen „služba třetích stran“) “.</w:t>
      </w:r>
    </w:p>
    <w:p w:rsidR="007F7192" w:rsidRPr="007477FC" w:rsidRDefault="007F7192" w:rsidP="007F7192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I, se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dosavadním bodu 83 za slovy „hodno</w:t>
      </w:r>
      <w:r w:rsidR="004A7BA1">
        <w:rPr>
          <w:rFonts w:ascii="Times New Roman" w:eastAsia="Times New Roman" w:hAnsi="Times New Roman" w:cs="Times New Roman"/>
          <w:sz w:val="24"/>
          <w:szCs w:val="20"/>
          <w:lang w:eastAsia="cs-CZ"/>
        </w:rPr>
        <w:t>cení rizik poskytovatele služby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“ slova „informování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platebním účtu nebo služby nepřímého dání platebního příkazu“ nahrazují slovy „třetích stran“.</w:t>
      </w:r>
    </w:p>
    <w:p w:rsidR="007F7192" w:rsidRPr="007477FC" w:rsidRDefault="007F7192" w:rsidP="007F7192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I, se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dosavadním bodu 83 slova „informování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platebním účtu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službu nepřímého dání platebního příkazu“ nahrazují slovy „třetích stran“.</w:t>
      </w:r>
    </w:p>
    <w:p w:rsidR="007F7192" w:rsidRPr="007477FC" w:rsidRDefault="007F7192" w:rsidP="007F7192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I, se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dosavadním bodu 83 slova „informování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platebním účtu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službou nepřímého dání platebního příkazu“ nahrazují slovy „třetích stran“.</w:t>
      </w:r>
    </w:p>
    <w:p w:rsidR="007F7192" w:rsidRPr="007477FC" w:rsidRDefault="007F7192" w:rsidP="007F7192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 části první,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I, se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dosavadním bodu 83 doplňuje odstavec 8, který zní:</w:t>
      </w:r>
    </w:p>
    <w:p w:rsidR="007F7192" w:rsidRPr="007477FC" w:rsidRDefault="007F7192" w:rsidP="007F7192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„(8) Omezení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7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se neuplatní, je-li klientovi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rámci postupu podle odstavce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prokazatelně zobrazena informace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účelu identifikace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a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označení 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 xml:space="preserve">poskytovatele služby třetích stran. Naplnění této podmínky musí být poskytovatel služby třetích stran schopen prokázat po dobu podle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§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16 odst. 1.“</w:t>
      </w:r>
    </w:p>
    <w:p w:rsidR="00C507E6" w:rsidRDefault="00524B38" w:rsidP="007F7192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7F7192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části první, 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I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="007F7192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se bod 137 vypouští. </w:t>
      </w:r>
    </w:p>
    <w:p w:rsidR="007F7192" w:rsidRDefault="007F7192" w:rsidP="00C507E6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:rsidR="0070439D" w:rsidRDefault="0070439D" w:rsidP="0070439D">
      <w:pPr>
        <w:keepNext/>
        <w:keepLines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AE6308" w:rsidRPr="0070439D" w:rsidRDefault="0070439D" w:rsidP="0070439D">
      <w:pPr>
        <w:keepNext/>
        <w:keepLines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70439D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A3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6D1B0E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Změna zákona </w:t>
      </w:r>
      <w:r w:rsidR="00524B38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>o </w:t>
      </w:r>
      <w:r w:rsidR="006D1B0E" w:rsidRPr="0070439D">
        <w:rPr>
          <w:rFonts w:ascii="Times New Roman" w:hAnsi="Times New Roman" w:cs="Times New Roman"/>
          <w:b/>
          <w:sz w:val="24"/>
          <w:szCs w:val="24"/>
          <w:lang w:eastAsia="cs-CZ"/>
        </w:rPr>
        <w:t>pojišťovnictví (transpozice směrnice)</w:t>
      </w:r>
    </w:p>
    <w:p w:rsidR="006D1B0E" w:rsidRPr="007477FC" w:rsidRDefault="006D1B0E" w:rsidP="006D1B0E">
      <w:pPr>
        <w:keepNext/>
        <w:spacing w:before="36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Za část dvacátou se vkládá nová část dvacátá první, která zní:</w:t>
      </w:r>
    </w:p>
    <w:p w:rsidR="006D1B0E" w:rsidRPr="007477FC" w:rsidRDefault="006D1B0E" w:rsidP="006D1B0E">
      <w:pPr>
        <w:keepNext/>
        <w:spacing w:before="36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„ČÁST DVACÁTÁ PRVNÍ</w:t>
      </w:r>
    </w:p>
    <w:p w:rsidR="006D1B0E" w:rsidRPr="007477FC" w:rsidRDefault="006D1B0E" w:rsidP="006D1B0E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Změna zákona </w:t>
      </w:r>
      <w:r w:rsidR="00524B38" w:rsidRPr="007477F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</w:t>
      </w:r>
      <w:r w:rsidR="00524B3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pojišťovnictví</w:t>
      </w:r>
    </w:p>
    <w:p w:rsidR="006D1B0E" w:rsidRPr="007477FC" w:rsidRDefault="006D1B0E" w:rsidP="006D1B0E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Čl. XXXIII</w:t>
      </w:r>
    </w:p>
    <w:p w:rsidR="006D1B0E" w:rsidRPr="007477FC" w:rsidRDefault="00524B38" w:rsidP="006D1B0E">
      <w:pPr>
        <w:keepNext/>
        <w:spacing w:before="24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§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D1B0E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54d odst. 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D1B0E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větě první zákona 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č.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D1B0E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277/2009 Sb., </w:t>
      </w:r>
      <w:r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D1B0E" w:rsidRPr="007477FC">
        <w:rPr>
          <w:rFonts w:ascii="Times New Roman" w:eastAsia="Times New Roman" w:hAnsi="Times New Roman" w:cs="Times New Roman"/>
          <w:sz w:val="24"/>
          <w:szCs w:val="24"/>
          <w:lang w:eastAsia="cs-CZ"/>
        </w:rPr>
        <w:t>pojišťovnictví, ve znění zákona č.  304/2016 Sb., se číslo „100“ nahrazuje číslem „85“.“.</w:t>
      </w:r>
    </w:p>
    <w:p w:rsidR="006D1B0E" w:rsidRPr="007477FC" w:rsidRDefault="006D1B0E" w:rsidP="006D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6D1B0E" w:rsidRPr="007477FC" w:rsidRDefault="006D1B0E" w:rsidP="006D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Dosavadní část dvacátá první se označuje jako část dvacátá druhá.</w:t>
      </w:r>
    </w:p>
    <w:p w:rsidR="006D1B0E" w:rsidRPr="007477FC" w:rsidRDefault="006D1B0E" w:rsidP="006D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32D8B" w:rsidRDefault="006D1B0E" w:rsidP="006D1B0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Dosavadní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XXXIII se označuje jako </w:t>
      </w:r>
      <w:r w:rsidR="00524B38"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čl.</w:t>
      </w:r>
      <w:r w:rsidR="00524B38">
        <w:rPr>
          <w:rFonts w:ascii="Times New Roman" w:eastAsia="Times New Roman" w:hAnsi="Times New Roman" w:cs="Times New Roman"/>
          <w:sz w:val="24"/>
          <w:szCs w:val="20"/>
          <w:lang w:eastAsia="cs-CZ"/>
        </w:rPr>
        <w:t> </w:t>
      </w:r>
      <w:r w:rsidRPr="007477FC">
        <w:rPr>
          <w:rFonts w:ascii="Times New Roman" w:eastAsia="Times New Roman" w:hAnsi="Times New Roman" w:cs="Times New Roman"/>
          <w:sz w:val="24"/>
          <w:szCs w:val="20"/>
          <w:lang w:eastAsia="cs-CZ"/>
        </w:rPr>
        <w:t>XXXIV.</w:t>
      </w:r>
      <w:r w:rsidR="00832D8B" w:rsidRPr="007477FC">
        <w:rPr>
          <w:rFonts w:ascii="Times New Roman" w:eastAsia="EB Garamond" w:hAnsi="Times New Roman" w:cs="Times New Roman"/>
          <w:sz w:val="24"/>
          <w:lang w:eastAsia="cs-CZ"/>
        </w:rPr>
        <w:t xml:space="preserve"> </w:t>
      </w:r>
    </w:p>
    <w:p w:rsidR="00C44EAA" w:rsidRDefault="00C44EAA" w:rsidP="006D1B0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</w:p>
    <w:p w:rsidR="00C44EAA" w:rsidRDefault="00C44EAA" w:rsidP="006D1B0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</w:p>
    <w:p w:rsidR="00C44EAA" w:rsidRDefault="00C44EAA" w:rsidP="00C44EA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44EAA" w:rsidRDefault="00C44EAA" w:rsidP="00C44EA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zpravodaje, aby s tímto usnesením seznámil Poslaneckou sněmovnu Parlamentu ČR.</w:t>
      </w:r>
    </w:p>
    <w:p w:rsidR="00C44EAA" w:rsidRPr="006948E2" w:rsidRDefault="00C44EAA" w:rsidP="00C44EAA">
      <w:pPr>
        <w:pStyle w:val="Tlotextu"/>
        <w:rPr>
          <w:szCs w:val="24"/>
        </w:rPr>
      </w:pPr>
    </w:p>
    <w:p w:rsidR="00C44EAA" w:rsidRPr="006948E2" w:rsidRDefault="00C44EAA" w:rsidP="00C44EAA">
      <w:pPr>
        <w:rPr>
          <w:sz w:val="24"/>
          <w:szCs w:val="24"/>
        </w:rPr>
      </w:pPr>
    </w:p>
    <w:p w:rsidR="00C44EAA" w:rsidRPr="006948E2" w:rsidRDefault="00C44EAA" w:rsidP="00C44EAA">
      <w:pPr>
        <w:tabs>
          <w:tab w:val="left" w:pos="0"/>
        </w:tabs>
        <w:spacing w:after="0"/>
        <w:rPr>
          <w:rFonts w:ascii="Times New Roman" w:hAnsi="Times New Roman" w:cs="Times New Roman"/>
          <w:spacing w:val="-3"/>
          <w:sz w:val="24"/>
          <w:szCs w:val="24"/>
        </w:rPr>
      </w:pPr>
    </w:p>
    <w:p w:rsidR="00C44EAA" w:rsidRDefault="00C44EAA" w:rsidP="00C44EAA">
      <w:pPr>
        <w:tabs>
          <w:tab w:val="left" w:pos="0"/>
        </w:tabs>
        <w:spacing w:after="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Iva  KALÁTOVÁ </w:t>
      </w:r>
      <w:r w:rsidR="00D05521">
        <w:rPr>
          <w:rFonts w:ascii="Times New Roman" w:hAnsi="Times New Roman" w:cs="Times New Roman"/>
          <w:spacing w:val="-3"/>
          <w:sz w:val="24"/>
        </w:rPr>
        <w:t>v.r.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Jan VOLNÝ </w:t>
      </w:r>
      <w:r w:rsidR="00D05521">
        <w:rPr>
          <w:rFonts w:ascii="Times New Roman" w:hAnsi="Times New Roman" w:cs="Times New Roman"/>
          <w:spacing w:val="-3"/>
          <w:sz w:val="24"/>
        </w:rPr>
        <w:t>v.r.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C44EAA" w:rsidRPr="006948E2" w:rsidRDefault="00C44EAA" w:rsidP="00C44EA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ověřovatelka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místopředseda - zpravodaj</w:t>
      </w:r>
    </w:p>
    <w:p w:rsidR="00C44EAA" w:rsidRPr="006948E2" w:rsidRDefault="00C44EAA" w:rsidP="00C44EAA">
      <w:pPr>
        <w:rPr>
          <w:rFonts w:ascii="Times New Roman" w:hAnsi="Times New Roman" w:cs="Times New Roman"/>
          <w:sz w:val="24"/>
          <w:szCs w:val="24"/>
        </w:rPr>
      </w:pPr>
    </w:p>
    <w:p w:rsidR="00C44EAA" w:rsidRPr="00FC47E0" w:rsidRDefault="00C44EAA" w:rsidP="00C44EAA">
      <w:pPr>
        <w:rPr>
          <w:rFonts w:ascii="Times New Roman" w:hAnsi="Times New Roman" w:cs="Times New Roman"/>
          <w:sz w:val="24"/>
        </w:rPr>
      </w:pPr>
    </w:p>
    <w:p w:rsidR="00C44EAA" w:rsidRDefault="00C44EAA" w:rsidP="006D1B0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</w:p>
    <w:sectPr w:rsidR="00C44EAA" w:rsidSect="004503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7B8" w:rsidRDefault="002F17B8" w:rsidP="00450354">
      <w:pPr>
        <w:spacing w:after="0" w:line="240" w:lineRule="auto"/>
      </w:pPr>
      <w:r>
        <w:separator/>
      </w:r>
    </w:p>
  </w:endnote>
  <w:endnote w:type="continuationSeparator" w:id="0">
    <w:p w:rsidR="002F17B8" w:rsidRDefault="002F17B8" w:rsidP="00450354">
      <w:pPr>
        <w:spacing w:after="0" w:line="240" w:lineRule="auto"/>
      </w:pPr>
      <w:r>
        <w:continuationSeparator/>
      </w:r>
    </w:p>
  </w:endnote>
  <w:endnote w:type="continuationNotice" w:id="1">
    <w:p w:rsidR="002F17B8" w:rsidRDefault="002F17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EB Garamon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5544605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F17B8" w:rsidRPr="00450354" w:rsidRDefault="002F17B8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450354">
              <w:rPr>
                <w:rFonts w:ascii="Times New Roman" w:hAnsi="Times New Roman" w:cs="Times New Roman"/>
              </w:rPr>
              <w:t xml:space="preserve">Stránka 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5035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05521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50354">
              <w:rPr>
                <w:rFonts w:ascii="Times New Roman" w:hAnsi="Times New Roman" w:cs="Times New Roman"/>
              </w:rPr>
              <w:t xml:space="preserve"> z 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5035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05521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F17B8" w:rsidRPr="00450354" w:rsidRDefault="002F17B8">
    <w:pPr>
      <w:pStyle w:val="Zpat"/>
      <w:rPr>
        <w:rFonts w:ascii="Times New Roman" w:hAnsi="Times New Roman" w:cs="Times New Roman"/>
      </w:rPr>
    </w:pPr>
  </w:p>
  <w:p w:rsidR="002F17B8" w:rsidRDefault="002F17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7B8" w:rsidRDefault="002F17B8" w:rsidP="00450354">
      <w:pPr>
        <w:spacing w:after="0" w:line="240" w:lineRule="auto"/>
      </w:pPr>
      <w:r>
        <w:separator/>
      </w:r>
    </w:p>
  </w:footnote>
  <w:footnote w:type="continuationSeparator" w:id="0">
    <w:p w:rsidR="002F17B8" w:rsidRDefault="002F17B8" w:rsidP="00450354">
      <w:pPr>
        <w:spacing w:after="0" w:line="240" w:lineRule="auto"/>
      </w:pPr>
      <w:r>
        <w:continuationSeparator/>
      </w:r>
    </w:p>
  </w:footnote>
  <w:footnote w:type="continuationNotice" w:id="1">
    <w:p w:rsidR="002F17B8" w:rsidRDefault="002F17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B8" w:rsidRPr="00E31F64" w:rsidRDefault="002F17B8" w:rsidP="00692879">
    <w:pPr>
      <w:pStyle w:val="Zhlav"/>
      <w:jc w:val="right"/>
      <w:rPr>
        <w:rFonts w:ascii="Times New Roman" w:hAnsi="Times New Roman" w:cs="Times New Roman"/>
        <w:sz w:val="24"/>
        <w:szCs w:val="24"/>
      </w:rPr>
    </w:pPr>
  </w:p>
  <w:p w:rsidR="002F17B8" w:rsidRDefault="002F17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1A1546"/>
    <w:name w:val="WW8Num1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567"/>
      </w:pPr>
      <w:rPr>
        <w:rFonts w:cs="Times New Roman"/>
        <w:b/>
        <w:i w:val="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71"/>
      <w:numFmt w:val="decimal"/>
      <w:lvlText w:val="%3."/>
      <w:lvlJc w:val="left"/>
      <w:pPr>
        <w:tabs>
          <w:tab w:val="num" w:pos="708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8C3C3CE0"/>
    <w:name w:val="WW8Num12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5" w15:restartNumberingAfterBreak="0">
    <w:nsid w:val="05B76DDA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71BD0"/>
    <w:multiLevelType w:val="singleLevel"/>
    <w:tmpl w:val="7FB23C10"/>
    <w:lvl w:ilvl="0">
      <w:start w:val="1"/>
      <w:numFmt w:val="decimal"/>
      <w:pStyle w:val="Textbodu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501F36"/>
    <w:multiLevelType w:val="multilevel"/>
    <w:tmpl w:val="14DEE4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76E2B6B"/>
    <w:multiLevelType w:val="hybridMultilevel"/>
    <w:tmpl w:val="5DBA1C4C"/>
    <w:lvl w:ilvl="0" w:tplc="088053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67895"/>
    <w:multiLevelType w:val="multilevel"/>
    <w:tmpl w:val="6224682A"/>
    <w:styleLink w:val="WWNum3"/>
    <w:lvl w:ilvl="0">
      <w:numFmt w:val="bullet"/>
      <w:lvlText w:val="-"/>
      <w:lvlJc w:val="left"/>
      <w:rPr>
        <w:rFonts w:ascii="Times New Roman" w:hAnsi="Times New Roman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A202AB4"/>
    <w:multiLevelType w:val="multilevel"/>
    <w:tmpl w:val="FAAAE4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4617053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957AE4"/>
    <w:multiLevelType w:val="hybridMultilevel"/>
    <w:tmpl w:val="DA2AF86A"/>
    <w:lvl w:ilvl="0" w:tplc="93CA27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B2395D"/>
    <w:multiLevelType w:val="hybridMultilevel"/>
    <w:tmpl w:val="DD42D2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356F77"/>
    <w:multiLevelType w:val="hybridMultilevel"/>
    <w:tmpl w:val="D61A3D16"/>
    <w:lvl w:ilvl="0" w:tplc="E2FA3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E23398"/>
    <w:multiLevelType w:val="hybridMultilevel"/>
    <w:tmpl w:val="DA2AF86A"/>
    <w:lvl w:ilvl="0" w:tplc="93CA27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CB13F0"/>
    <w:multiLevelType w:val="hybridMultilevel"/>
    <w:tmpl w:val="20385F6A"/>
    <w:lvl w:ilvl="0" w:tplc="57BAE5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633E9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C4BCD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DB406D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8677D4"/>
    <w:multiLevelType w:val="hybridMultilevel"/>
    <w:tmpl w:val="3190C788"/>
    <w:lvl w:ilvl="0" w:tplc="44B080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65613"/>
    <w:multiLevelType w:val="hybridMultilevel"/>
    <w:tmpl w:val="19DA1E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C202E"/>
    <w:multiLevelType w:val="hybridMultilevel"/>
    <w:tmpl w:val="6FA6B354"/>
    <w:styleLink w:val="Styl11"/>
    <w:lvl w:ilvl="0" w:tplc="3B9C62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  <w:lvlOverride w:ilvl="0">
      <w:lvl w:ilvl="0" w:tplc="3B9C6238">
        <w:start w:val="1"/>
        <w:numFmt w:val="upperLetter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sz w:val="28"/>
        </w:rPr>
      </w:lvl>
    </w:lvlOverride>
  </w:num>
  <w:num w:numId="2">
    <w:abstractNumId w:val="6"/>
  </w:num>
  <w:num w:numId="3">
    <w:abstractNumId w:val="23"/>
  </w:num>
  <w:num w:numId="4">
    <w:abstractNumId w:val="10"/>
  </w:num>
  <w:num w:numId="5">
    <w:abstractNumId w:val="21"/>
  </w:num>
  <w:num w:numId="6">
    <w:abstractNumId w:val="18"/>
  </w:num>
  <w:num w:numId="7">
    <w:abstractNumId w:val="8"/>
  </w:num>
  <w:num w:numId="8">
    <w:abstractNumId w:val="11"/>
  </w:num>
  <w:num w:numId="9">
    <w:abstractNumId w:val="6"/>
    <w:lvlOverride w:ilvl="0">
      <w:startOverride w:val="16"/>
    </w:lvlOverride>
  </w:num>
  <w:num w:numId="10">
    <w:abstractNumId w:val="6"/>
    <w:lvlOverride w:ilvl="0">
      <w:startOverride w:val="4"/>
    </w:lvlOverride>
  </w:num>
  <w:num w:numId="11">
    <w:abstractNumId w:val="6"/>
    <w:lvlOverride w:ilvl="0">
      <w:startOverride w:val="4"/>
    </w:lvlOverride>
  </w:num>
  <w:num w:numId="12">
    <w:abstractNumId w:val="6"/>
    <w:lvlOverride w:ilvl="0">
      <w:startOverride w:val="4"/>
    </w:lvlOverride>
  </w:num>
  <w:num w:numId="13">
    <w:abstractNumId w:val="12"/>
  </w:num>
  <w:num w:numId="14">
    <w:abstractNumId w:val="20"/>
  </w:num>
  <w:num w:numId="15">
    <w:abstractNumId w:val="14"/>
  </w:num>
  <w:num w:numId="16">
    <w:abstractNumId w:val="5"/>
  </w:num>
  <w:num w:numId="17">
    <w:abstractNumId w:val="17"/>
  </w:num>
  <w:num w:numId="18">
    <w:abstractNumId w:val="15"/>
  </w:num>
  <w:num w:numId="19">
    <w:abstractNumId w:val="19"/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7"/>
  </w:num>
  <w:num w:numId="23">
    <w:abstractNumId w:val="9"/>
  </w:num>
  <w:num w:numId="24">
    <w:abstractNumId w:val="13"/>
  </w:num>
  <w:num w:numId="25">
    <w:abstractNumId w:val="16"/>
  </w:num>
  <w:num w:numId="26">
    <w:abstractNumId w:val="6"/>
    <w:lvlOverride w:ilvl="0">
      <w:startOverride w:val="4"/>
    </w:lvlOverride>
  </w:num>
  <w:num w:numId="27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7F"/>
    <w:rsid w:val="0000095A"/>
    <w:rsid w:val="0000316B"/>
    <w:rsid w:val="000038D8"/>
    <w:rsid w:val="00006EA7"/>
    <w:rsid w:val="00010944"/>
    <w:rsid w:val="00011EB8"/>
    <w:rsid w:val="00027FEF"/>
    <w:rsid w:val="000305EE"/>
    <w:rsid w:val="000317B4"/>
    <w:rsid w:val="0003256E"/>
    <w:rsid w:val="00044F46"/>
    <w:rsid w:val="00051285"/>
    <w:rsid w:val="00052F46"/>
    <w:rsid w:val="000545FE"/>
    <w:rsid w:val="00054799"/>
    <w:rsid w:val="00060CAB"/>
    <w:rsid w:val="00062FD2"/>
    <w:rsid w:val="00063E9E"/>
    <w:rsid w:val="00066143"/>
    <w:rsid w:val="00073259"/>
    <w:rsid w:val="00083AD1"/>
    <w:rsid w:val="00087CE1"/>
    <w:rsid w:val="000963FB"/>
    <w:rsid w:val="000A1F7A"/>
    <w:rsid w:val="000A4DB4"/>
    <w:rsid w:val="000B4305"/>
    <w:rsid w:val="000B60A0"/>
    <w:rsid w:val="000C2AAF"/>
    <w:rsid w:val="000C34A6"/>
    <w:rsid w:val="000D0709"/>
    <w:rsid w:val="000D4A09"/>
    <w:rsid w:val="000D5E11"/>
    <w:rsid w:val="000E18EB"/>
    <w:rsid w:val="000E581F"/>
    <w:rsid w:val="00101192"/>
    <w:rsid w:val="00106586"/>
    <w:rsid w:val="00114BCA"/>
    <w:rsid w:val="00127431"/>
    <w:rsid w:val="00130C76"/>
    <w:rsid w:val="00143F74"/>
    <w:rsid w:val="00146EE1"/>
    <w:rsid w:val="00154D22"/>
    <w:rsid w:val="00156264"/>
    <w:rsid w:val="00156C8A"/>
    <w:rsid w:val="00161F0D"/>
    <w:rsid w:val="001650EE"/>
    <w:rsid w:val="00165877"/>
    <w:rsid w:val="00171FBB"/>
    <w:rsid w:val="00191B17"/>
    <w:rsid w:val="00192581"/>
    <w:rsid w:val="001929B6"/>
    <w:rsid w:val="00194FF5"/>
    <w:rsid w:val="001A031D"/>
    <w:rsid w:val="001A7BF1"/>
    <w:rsid w:val="001B3DF5"/>
    <w:rsid w:val="001C00EB"/>
    <w:rsid w:val="001C16EF"/>
    <w:rsid w:val="001D4399"/>
    <w:rsid w:val="001D6157"/>
    <w:rsid w:val="001D74BD"/>
    <w:rsid w:val="001E162C"/>
    <w:rsid w:val="001E2AC6"/>
    <w:rsid w:val="001E4A56"/>
    <w:rsid w:val="001F1BCF"/>
    <w:rsid w:val="001F293C"/>
    <w:rsid w:val="001F3AB7"/>
    <w:rsid w:val="001F67F1"/>
    <w:rsid w:val="001F7374"/>
    <w:rsid w:val="00203F1E"/>
    <w:rsid w:val="00210421"/>
    <w:rsid w:val="00210C4F"/>
    <w:rsid w:val="00211409"/>
    <w:rsid w:val="00221DAA"/>
    <w:rsid w:val="00222D3B"/>
    <w:rsid w:val="00231BBE"/>
    <w:rsid w:val="00242287"/>
    <w:rsid w:val="00242C6C"/>
    <w:rsid w:val="00242D16"/>
    <w:rsid w:val="00245657"/>
    <w:rsid w:val="00250D87"/>
    <w:rsid w:val="00254132"/>
    <w:rsid w:val="00255A8B"/>
    <w:rsid w:val="00262E78"/>
    <w:rsid w:val="0026607F"/>
    <w:rsid w:val="00270CC9"/>
    <w:rsid w:val="00276868"/>
    <w:rsid w:val="002809C6"/>
    <w:rsid w:val="0028262B"/>
    <w:rsid w:val="002953F6"/>
    <w:rsid w:val="0029659B"/>
    <w:rsid w:val="00296736"/>
    <w:rsid w:val="002A0834"/>
    <w:rsid w:val="002A0C40"/>
    <w:rsid w:val="002A5ADC"/>
    <w:rsid w:val="002A610E"/>
    <w:rsid w:val="002B0D50"/>
    <w:rsid w:val="002B21C8"/>
    <w:rsid w:val="002B5DC7"/>
    <w:rsid w:val="002B7D19"/>
    <w:rsid w:val="002C2E21"/>
    <w:rsid w:val="002C5DA5"/>
    <w:rsid w:val="002D1478"/>
    <w:rsid w:val="002D1DED"/>
    <w:rsid w:val="002E2EE4"/>
    <w:rsid w:val="002E5BDA"/>
    <w:rsid w:val="002E668A"/>
    <w:rsid w:val="002E6A79"/>
    <w:rsid w:val="002F09E5"/>
    <w:rsid w:val="002F17B8"/>
    <w:rsid w:val="002F461B"/>
    <w:rsid w:val="002F6DCB"/>
    <w:rsid w:val="003027B9"/>
    <w:rsid w:val="00304FAF"/>
    <w:rsid w:val="00311640"/>
    <w:rsid w:val="0031168A"/>
    <w:rsid w:val="00312F05"/>
    <w:rsid w:val="003142B9"/>
    <w:rsid w:val="0031512A"/>
    <w:rsid w:val="00320C11"/>
    <w:rsid w:val="003256C5"/>
    <w:rsid w:val="00327522"/>
    <w:rsid w:val="00327B90"/>
    <w:rsid w:val="003311BD"/>
    <w:rsid w:val="00347C24"/>
    <w:rsid w:val="00351789"/>
    <w:rsid w:val="00353A10"/>
    <w:rsid w:val="00355C6C"/>
    <w:rsid w:val="0036196A"/>
    <w:rsid w:val="003648C5"/>
    <w:rsid w:val="0036550F"/>
    <w:rsid w:val="00370B43"/>
    <w:rsid w:val="00371A0A"/>
    <w:rsid w:val="003726FB"/>
    <w:rsid w:val="00374DE7"/>
    <w:rsid w:val="00382D58"/>
    <w:rsid w:val="00383B2A"/>
    <w:rsid w:val="003859E8"/>
    <w:rsid w:val="00394975"/>
    <w:rsid w:val="003A3E5C"/>
    <w:rsid w:val="003A54D0"/>
    <w:rsid w:val="003A5FF0"/>
    <w:rsid w:val="003B2530"/>
    <w:rsid w:val="003C07A4"/>
    <w:rsid w:val="003C4DFC"/>
    <w:rsid w:val="003C6CDE"/>
    <w:rsid w:val="003C7875"/>
    <w:rsid w:val="003D2622"/>
    <w:rsid w:val="003D3A85"/>
    <w:rsid w:val="003E078A"/>
    <w:rsid w:val="003E0E5C"/>
    <w:rsid w:val="003E3745"/>
    <w:rsid w:val="003E3C6F"/>
    <w:rsid w:val="003E574C"/>
    <w:rsid w:val="003F0059"/>
    <w:rsid w:val="00402BA1"/>
    <w:rsid w:val="00406212"/>
    <w:rsid w:val="00406D5F"/>
    <w:rsid w:val="004103BE"/>
    <w:rsid w:val="00416988"/>
    <w:rsid w:val="00421FF3"/>
    <w:rsid w:val="00440163"/>
    <w:rsid w:val="00442CA8"/>
    <w:rsid w:val="00446E85"/>
    <w:rsid w:val="00450354"/>
    <w:rsid w:val="00451162"/>
    <w:rsid w:val="00451395"/>
    <w:rsid w:val="00462A1D"/>
    <w:rsid w:val="0046647B"/>
    <w:rsid w:val="004665B9"/>
    <w:rsid w:val="00467183"/>
    <w:rsid w:val="00484CF9"/>
    <w:rsid w:val="004864FB"/>
    <w:rsid w:val="00486C8E"/>
    <w:rsid w:val="00493816"/>
    <w:rsid w:val="004A05AE"/>
    <w:rsid w:val="004A6399"/>
    <w:rsid w:val="004A6D4D"/>
    <w:rsid w:val="004A7465"/>
    <w:rsid w:val="004A774D"/>
    <w:rsid w:val="004A7BA1"/>
    <w:rsid w:val="004B4D1C"/>
    <w:rsid w:val="004B7573"/>
    <w:rsid w:val="004C6EA7"/>
    <w:rsid w:val="004E068D"/>
    <w:rsid w:val="004F0BAC"/>
    <w:rsid w:val="004F2F7C"/>
    <w:rsid w:val="00502948"/>
    <w:rsid w:val="0050329C"/>
    <w:rsid w:val="00504CDA"/>
    <w:rsid w:val="00507A0F"/>
    <w:rsid w:val="005148AC"/>
    <w:rsid w:val="0051771A"/>
    <w:rsid w:val="00523E2C"/>
    <w:rsid w:val="00524B38"/>
    <w:rsid w:val="00525B33"/>
    <w:rsid w:val="00530D00"/>
    <w:rsid w:val="00530F5C"/>
    <w:rsid w:val="00532C95"/>
    <w:rsid w:val="00535F46"/>
    <w:rsid w:val="00544A27"/>
    <w:rsid w:val="0056154B"/>
    <w:rsid w:val="0056592E"/>
    <w:rsid w:val="005837A3"/>
    <w:rsid w:val="00584C88"/>
    <w:rsid w:val="00590252"/>
    <w:rsid w:val="00594280"/>
    <w:rsid w:val="005963D3"/>
    <w:rsid w:val="005A0D48"/>
    <w:rsid w:val="005A5923"/>
    <w:rsid w:val="005A5B21"/>
    <w:rsid w:val="005A5C81"/>
    <w:rsid w:val="005B4916"/>
    <w:rsid w:val="005C2174"/>
    <w:rsid w:val="005C4BAE"/>
    <w:rsid w:val="005C5B14"/>
    <w:rsid w:val="005D23C5"/>
    <w:rsid w:val="005D3586"/>
    <w:rsid w:val="005D3CC9"/>
    <w:rsid w:val="005D57A3"/>
    <w:rsid w:val="005D5F5A"/>
    <w:rsid w:val="005D61CE"/>
    <w:rsid w:val="005E57C4"/>
    <w:rsid w:val="005F2B4B"/>
    <w:rsid w:val="006055C2"/>
    <w:rsid w:val="00606334"/>
    <w:rsid w:val="00612823"/>
    <w:rsid w:val="00621422"/>
    <w:rsid w:val="00622779"/>
    <w:rsid w:val="00626B0B"/>
    <w:rsid w:val="00627B4E"/>
    <w:rsid w:val="00631BBB"/>
    <w:rsid w:val="006460C1"/>
    <w:rsid w:val="006501C8"/>
    <w:rsid w:val="0065588C"/>
    <w:rsid w:val="006568E6"/>
    <w:rsid w:val="00657997"/>
    <w:rsid w:val="0066162F"/>
    <w:rsid w:val="00661EA7"/>
    <w:rsid w:val="00663F52"/>
    <w:rsid w:val="00664686"/>
    <w:rsid w:val="00676706"/>
    <w:rsid w:val="00680ED4"/>
    <w:rsid w:val="00686624"/>
    <w:rsid w:val="00692879"/>
    <w:rsid w:val="006977AE"/>
    <w:rsid w:val="006A2186"/>
    <w:rsid w:val="006A310F"/>
    <w:rsid w:val="006A6B3D"/>
    <w:rsid w:val="006B4439"/>
    <w:rsid w:val="006B5274"/>
    <w:rsid w:val="006C2AB7"/>
    <w:rsid w:val="006C32F3"/>
    <w:rsid w:val="006C46DE"/>
    <w:rsid w:val="006D14AC"/>
    <w:rsid w:val="006D1B0E"/>
    <w:rsid w:val="006D38CC"/>
    <w:rsid w:val="006D6094"/>
    <w:rsid w:val="006D671B"/>
    <w:rsid w:val="006E32B4"/>
    <w:rsid w:val="006F11EC"/>
    <w:rsid w:val="006F40DF"/>
    <w:rsid w:val="006F539B"/>
    <w:rsid w:val="00700161"/>
    <w:rsid w:val="0070271D"/>
    <w:rsid w:val="0070327D"/>
    <w:rsid w:val="00703EC5"/>
    <w:rsid w:val="0070439D"/>
    <w:rsid w:val="007043C0"/>
    <w:rsid w:val="007044FE"/>
    <w:rsid w:val="00706292"/>
    <w:rsid w:val="00706DED"/>
    <w:rsid w:val="00710225"/>
    <w:rsid w:val="0072122B"/>
    <w:rsid w:val="00721FB1"/>
    <w:rsid w:val="0072224A"/>
    <w:rsid w:val="007244D5"/>
    <w:rsid w:val="00724D1F"/>
    <w:rsid w:val="0073017F"/>
    <w:rsid w:val="00731895"/>
    <w:rsid w:val="0074050A"/>
    <w:rsid w:val="007477FC"/>
    <w:rsid w:val="00756780"/>
    <w:rsid w:val="00762E49"/>
    <w:rsid w:val="00764F08"/>
    <w:rsid w:val="00767A12"/>
    <w:rsid w:val="00770E68"/>
    <w:rsid w:val="00774320"/>
    <w:rsid w:val="007747C9"/>
    <w:rsid w:val="00774DE7"/>
    <w:rsid w:val="00775F27"/>
    <w:rsid w:val="00775FC0"/>
    <w:rsid w:val="00784858"/>
    <w:rsid w:val="00784B73"/>
    <w:rsid w:val="00785286"/>
    <w:rsid w:val="00786258"/>
    <w:rsid w:val="007945BC"/>
    <w:rsid w:val="00795D18"/>
    <w:rsid w:val="00796693"/>
    <w:rsid w:val="007976C9"/>
    <w:rsid w:val="007C5712"/>
    <w:rsid w:val="007D44C0"/>
    <w:rsid w:val="007E0BBE"/>
    <w:rsid w:val="007E4160"/>
    <w:rsid w:val="007E5D7C"/>
    <w:rsid w:val="007F0C8F"/>
    <w:rsid w:val="007F441F"/>
    <w:rsid w:val="007F4B27"/>
    <w:rsid w:val="007F523E"/>
    <w:rsid w:val="007F7192"/>
    <w:rsid w:val="00802DFE"/>
    <w:rsid w:val="00813F94"/>
    <w:rsid w:val="0081514E"/>
    <w:rsid w:val="008242B8"/>
    <w:rsid w:val="0082527F"/>
    <w:rsid w:val="00832D8B"/>
    <w:rsid w:val="00835C49"/>
    <w:rsid w:val="008419F9"/>
    <w:rsid w:val="00843493"/>
    <w:rsid w:val="008461B2"/>
    <w:rsid w:val="00853695"/>
    <w:rsid w:val="008561A7"/>
    <w:rsid w:val="00867664"/>
    <w:rsid w:val="0087761E"/>
    <w:rsid w:val="00880E64"/>
    <w:rsid w:val="00882BF4"/>
    <w:rsid w:val="00885866"/>
    <w:rsid w:val="00891DC9"/>
    <w:rsid w:val="0089275D"/>
    <w:rsid w:val="008A4B38"/>
    <w:rsid w:val="008A67E5"/>
    <w:rsid w:val="008B3B52"/>
    <w:rsid w:val="008B457E"/>
    <w:rsid w:val="008B501C"/>
    <w:rsid w:val="008B5269"/>
    <w:rsid w:val="008C1DDF"/>
    <w:rsid w:val="008D4513"/>
    <w:rsid w:val="008D64F5"/>
    <w:rsid w:val="008D71C9"/>
    <w:rsid w:val="008D7EA2"/>
    <w:rsid w:val="008E0C7E"/>
    <w:rsid w:val="008E16F0"/>
    <w:rsid w:val="00900CD6"/>
    <w:rsid w:val="00901FB1"/>
    <w:rsid w:val="009028E3"/>
    <w:rsid w:val="00904E4E"/>
    <w:rsid w:val="00914F39"/>
    <w:rsid w:val="0091510A"/>
    <w:rsid w:val="009205C6"/>
    <w:rsid w:val="0092075F"/>
    <w:rsid w:val="00926409"/>
    <w:rsid w:val="00926C8C"/>
    <w:rsid w:val="00933AA4"/>
    <w:rsid w:val="00937BE5"/>
    <w:rsid w:val="00940591"/>
    <w:rsid w:val="009415F1"/>
    <w:rsid w:val="00943141"/>
    <w:rsid w:val="00946531"/>
    <w:rsid w:val="00947231"/>
    <w:rsid w:val="00952637"/>
    <w:rsid w:val="00954065"/>
    <w:rsid w:val="00963309"/>
    <w:rsid w:val="0096671D"/>
    <w:rsid w:val="00974C07"/>
    <w:rsid w:val="00977C92"/>
    <w:rsid w:val="00983568"/>
    <w:rsid w:val="00995F45"/>
    <w:rsid w:val="00996003"/>
    <w:rsid w:val="00996709"/>
    <w:rsid w:val="0099735D"/>
    <w:rsid w:val="009A24F8"/>
    <w:rsid w:val="009A376D"/>
    <w:rsid w:val="009C426E"/>
    <w:rsid w:val="009D27EB"/>
    <w:rsid w:val="009D4CF7"/>
    <w:rsid w:val="009D7AE8"/>
    <w:rsid w:val="009D7DD6"/>
    <w:rsid w:val="009E1FFF"/>
    <w:rsid w:val="009E36BB"/>
    <w:rsid w:val="009E4DE7"/>
    <w:rsid w:val="009E616D"/>
    <w:rsid w:val="009F0635"/>
    <w:rsid w:val="009F5C4D"/>
    <w:rsid w:val="009F72AB"/>
    <w:rsid w:val="00A00E82"/>
    <w:rsid w:val="00A02EF3"/>
    <w:rsid w:val="00A05D9B"/>
    <w:rsid w:val="00A15F03"/>
    <w:rsid w:val="00A20880"/>
    <w:rsid w:val="00A21803"/>
    <w:rsid w:val="00A26093"/>
    <w:rsid w:val="00A2700C"/>
    <w:rsid w:val="00A3003C"/>
    <w:rsid w:val="00A35133"/>
    <w:rsid w:val="00A44A06"/>
    <w:rsid w:val="00A56237"/>
    <w:rsid w:val="00A5626D"/>
    <w:rsid w:val="00A57266"/>
    <w:rsid w:val="00A658C1"/>
    <w:rsid w:val="00A70AB6"/>
    <w:rsid w:val="00A70D0F"/>
    <w:rsid w:val="00A71ABB"/>
    <w:rsid w:val="00A72516"/>
    <w:rsid w:val="00A80FC2"/>
    <w:rsid w:val="00A84537"/>
    <w:rsid w:val="00A8790C"/>
    <w:rsid w:val="00A91C5E"/>
    <w:rsid w:val="00A94C06"/>
    <w:rsid w:val="00A96678"/>
    <w:rsid w:val="00AA24EB"/>
    <w:rsid w:val="00AA4AC5"/>
    <w:rsid w:val="00AA6230"/>
    <w:rsid w:val="00AB3A89"/>
    <w:rsid w:val="00AB4448"/>
    <w:rsid w:val="00AB5391"/>
    <w:rsid w:val="00AC2732"/>
    <w:rsid w:val="00AC5E5A"/>
    <w:rsid w:val="00AD2582"/>
    <w:rsid w:val="00AD42FF"/>
    <w:rsid w:val="00AD5ACE"/>
    <w:rsid w:val="00AD7667"/>
    <w:rsid w:val="00AE1FF4"/>
    <w:rsid w:val="00AE6308"/>
    <w:rsid w:val="00AF33DB"/>
    <w:rsid w:val="00AF5362"/>
    <w:rsid w:val="00B004AD"/>
    <w:rsid w:val="00B024E8"/>
    <w:rsid w:val="00B02C55"/>
    <w:rsid w:val="00B0410D"/>
    <w:rsid w:val="00B1116D"/>
    <w:rsid w:val="00B12E01"/>
    <w:rsid w:val="00B16E61"/>
    <w:rsid w:val="00B20FE9"/>
    <w:rsid w:val="00B26161"/>
    <w:rsid w:val="00B329EC"/>
    <w:rsid w:val="00B33DF0"/>
    <w:rsid w:val="00B404CF"/>
    <w:rsid w:val="00B44437"/>
    <w:rsid w:val="00B44D8A"/>
    <w:rsid w:val="00B45EDE"/>
    <w:rsid w:val="00B6112A"/>
    <w:rsid w:val="00B62B13"/>
    <w:rsid w:val="00B67898"/>
    <w:rsid w:val="00B70721"/>
    <w:rsid w:val="00B71A0B"/>
    <w:rsid w:val="00B73A3D"/>
    <w:rsid w:val="00B74604"/>
    <w:rsid w:val="00B81CB2"/>
    <w:rsid w:val="00B82036"/>
    <w:rsid w:val="00B824BC"/>
    <w:rsid w:val="00B834AC"/>
    <w:rsid w:val="00B93441"/>
    <w:rsid w:val="00B96021"/>
    <w:rsid w:val="00BA1700"/>
    <w:rsid w:val="00BA5913"/>
    <w:rsid w:val="00BB1E33"/>
    <w:rsid w:val="00BB3684"/>
    <w:rsid w:val="00BC27D7"/>
    <w:rsid w:val="00BC7D69"/>
    <w:rsid w:val="00BD410D"/>
    <w:rsid w:val="00BD6AA6"/>
    <w:rsid w:val="00BF1473"/>
    <w:rsid w:val="00BF3CA5"/>
    <w:rsid w:val="00BF7BCF"/>
    <w:rsid w:val="00C02848"/>
    <w:rsid w:val="00C03D1C"/>
    <w:rsid w:val="00C0617D"/>
    <w:rsid w:val="00C1089E"/>
    <w:rsid w:val="00C10E87"/>
    <w:rsid w:val="00C1314C"/>
    <w:rsid w:val="00C15436"/>
    <w:rsid w:val="00C16CAD"/>
    <w:rsid w:val="00C2532D"/>
    <w:rsid w:val="00C258F8"/>
    <w:rsid w:val="00C31D1D"/>
    <w:rsid w:val="00C3411A"/>
    <w:rsid w:val="00C44949"/>
    <w:rsid w:val="00C44EAA"/>
    <w:rsid w:val="00C507E6"/>
    <w:rsid w:val="00C53D85"/>
    <w:rsid w:val="00C557A8"/>
    <w:rsid w:val="00C630F1"/>
    <w:rsid w:val="00C6389E"/>
    <w:rsid w:val="00C64163"/>
    <w:rsid w:val="00C76964"/>
    <w:rsid w:val="00C81FC5"/>
    <w:rsid w:val="00C9289B"/>
    <w:rsid w:val="00C92F32"/>
    <w:rsid w:val="00C945E4"/>
    <w:rsid w:val="00CA0D4C"/>
    <w:rsid w:val="00CA16C8"/>
    <w:rsid w:val="00CA43EA"/>
    <w:rsid w:val="00CA4961"/>
    <w:rsid w:val="00CA64A0"/>
    <w:rsid w:val="00CB2125"/>
    <w:rsid w:val="00CB2AEE"/>
    <w:rsid w:val="00CB2F90"/>
    <w:rsid w:val="00CB4179"/>
    <w:rsid w:val="00CD2072"/>
    <w:rsid w:val="00CD2397"/>
    <w:rsid w:val="00CD58BB"/>
    <w:rsid w:val="00CD5CB1"/>
    <w:rsid w:val="00CE572D"/>
    <w:rsid w:val="00CE64C5"/>
    <w:rsid w:val="00CF12FE"/>
    <w:rsid w:val="00CF2FDA"/>
    <w:rsid w:val="00CF5AD2"/>
    <w:rsid w:val="00CF6D3E"/>
    <w:rsid w:val="00D00150"/>
    <w:rsid w:val="00D02590"/>
    <w:rsid w:val="00D02A31"/>
    <w:rsid w:val="00D034B9"/>
    <w:rsid w:val="00D05521"/>
    <w:rsid w:val="00D06CE2"/>
    <w:rsid w:val="00D236C3"/>
    <w:rsid w:val="00D239A3"/>
    <w:rsid w:val="00D264B8"/>
    <w:rsid w:val="00D33E11"/>
    <w:rsid w:val="00D3561D"/>
    <w:rsid w:val="00D376D7"/>
    <w:rsid w:val="00D44F09"/>
    <w:rsid w:val="00D4791C"/>
    <w:rsid w:val="00D55EA1"/>
    <w:rsid w:val="00D6054E"/>
    <w:rsid w:val="00D61F9D"/>
    <w:rsid w:val="00D65737"/>
    <w:rsid w:val="00D669C6"/>
    <w:rsid w:val="00D67FD0"/>
    <w:rsid w:val="00D745A2"/>
    <w:rsid w:val="00D86816"/>
    <w:rsid w:val="00D91B67"/>
    <w:rsid w:val="00D93095"/>
    <w:rsid w:val="00D96684"/>
    <w:rsid w:val="00D96DBD"/>
    <w:rsid w:val="00DB06AC"/>
    <w:rsid w:val="00DB4971"/>
    <w:rsid w:val="00DB5387"/>
    <w:rsid w:val="00DB7A43"/>
    <w:rsid w:val="00DC16A7"/>
    <w:rsid w:val="00DC18AC"/>
    <w:rsid w:val="00DC459D"/>
    <w:rsid w:val="00DD019C"/>
    <w:rsid w:val="00DD1FDB"/>
    <w:rsid w:val="00DE063B"/>
    <w:rsid w:val="00DE141B"/>
    <w:rsid w:val="00DE4D4D"/>
    <w:rsid w:val="00DE75D1"/>
    <w:rsid w:val="00DF57DC"/>
    <w:rsid w:val="00DF799D"/>
    <w:rsid w:val="00E00277"/>
    <w:rsid w:val="00E00355"/>
    <w:rsid w:val="00E02289"/>
    <w:rsid w:val="00E02414"/>
    <w:rsid w:val="00E05BBD"/>
    <w:rsid w:val="00E27B0B"/>
    <w:rsid w:val="00E31F64"/>
    <w:rsid w:val="00E32664"/>
    <w:rsid w:val="00E46FF7"/>
    <w:rsid w:val="00E52CE8"/>
    <w:rsid w:val="00E610E8"/>
    <w:rsid w:val="00E75570"/>
    <w:rsid w:val="00E77FBE"/>
    <w:rsid w:val="00E81FCC"/>
    <w:rsid w:val="00E8425E"/>
    <w:rsid w:val="00E93A4C"/>
    <w:rsid w:val="00EA2285"/>
    <w:rsid w:val="00EA5820"/>
    <w:rsid w:val="00EB2845"/>
    <w:rsid w:val="00EB4450"/>
    <w:rsid w:val="00EC69B6"/>
    <w:rsid w:val="00EC6F6A"/>
    <w:rsid w:val="00ED4487"/>
    <w:rsid w:val="00ED7E19"/>
    <w:rsid w:val="00EE0503"/>
    <w:rsid w:val="00EE06C9"/>
    <w:rsid w:val="00EE281C"/>
    <w:rsid w:val="00EE2A29"/>
    <w:rsid w:val="00EE6CCC"/>
    <w:rsid w:val="00EF6370"/>
    <w:rsid w:val="00F0707D"/>
    <w:rsid w:val="00F079F7"/>
    <w:rsid w:val="00F15EF0"/>
    <w:rsid w:val="00F23032"/>
    <w:rsid w:val="00F23A9B"/>
    <w:rsid w:val="00F254CE"/>
    <w:rsid w:val="00F30AE0"/>
    <w:rsid w:val="00F31620"/>
    <w:rsid w:val="00F344D5"/>
    <w:rsid w:val="00F35899"/>
    <w:rsid w:val="00F42329"/>
    <w:rsid w:val="00F73D92"/>
    <w:rsid w:val="00F74DD9"/>
    <w:rsid w:val="00F81D4F"/>
    <w:rsid w:val="00F85DD6"/>
    <w:rsid w:val="00F87960"/>
    <w:rsid w:val="00FA5169"/>
    <w:rsid w:val="00FA5894"/>
    <w:rsid w:val="00FB1CBC"/>
    <w:rsid w:val="00FB64B6"/>
    <w:rsid w:val="00FB7EE9"/>
    <w:rsid w:val="00FC010E"/>
    <w:rsid w:val="00FC11CA"/>
    <w:rsid w:val="00FC33CF"/>
    <w:rsid w:val="00FD4996"/>
    <w:rsid w:val="00FE476D"/>
    <w:rsid w:val="00FF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E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7C9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4E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4E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87CE1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87CE1"/>
    <w:pPr>
      <w:keepNext/>
      <w:keepLines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087CE1"/>
    <w:pPr>
      <w:keepNext/>
      <w:keepLines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1">
    <w:name w:val="Styl11"/>
    <w:rsid w:val="0082527F"/>
    <w:pPr>
      <w:numPr>
        <w:numId w:val="3"/>
      </w:numPr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82527F"/>
    <w:pPr>
      <w:keepNext/>
      <w:keepLines/>
      <w:tabs>
        <w:tab w:val="left" w:pos="851"/>
        <w:tab w:val="left" w:pos="1135"/>
      </w:tabs>
      <w:suppressAutoHyphens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customStyle="1" w:styleId="Textlnku">
    <w:name w:val="Text článku"/>
    <w:basedOn w:val="Normln"/>
    <w:link w:val="TextlnkuChar"/>
    <w:rsid w:val="0082527F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82527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rsid w:val="0082527F"/>
    <w:rPr>
      <w:rFonts w:ascii="Times New Roman" w:eastAsia="Calibri" w:hAnsi="Times New Roman" w:cs="Times New Roman"/>
      <w:sz w:val="24"/>
      <w:szCs w:val="20"/>
      <w:lang w:eastAsia="zh-CN"/>
    </w:rPr>
  </w:style>
  <w:style w:type="paragraph" w:customStyle="1" w:styleId="Textbodu">
    <w:name w:val="Text bodu"/>
    <w:basedOn w:val="Normln"/>
    <w:rsid w:val="00706292"/>
    <w:pPr>
      <w:numPr>
        <w:numId w:val="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xtpsmene">
    <w:name w:val="Text písmene"/>
    <w:basedOn w:val="Normln"/>
    <w:rsid w:val="00706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extodstavce">
    <w:name w:val="Text odstavce"/>
    <w:basedOn w:val="Normln"/>
    <w:link w:val="TextodstavceChar"/>
    <w:rsid w:val="00706292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Paragraf">
    <w:name w:val="Paragraf"/>
    <w:basedOn w:val="Normln"/>
    <w:next w:val="Textodstavce"/>
    <w:link w:val="ParagrafChar"/>
    <w:rsid w:val="00706292"/>
    <w:pPr>
      <w:keepNext/>
      <w:keepLines/>
      <w:suppressAutoHyphens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Nadpisoddlu">
    <w:name w:val="Nadpis oddílu"/>
    <w:basedOn w:val="Normln"/>
    <w:next w:val="Paragraf"/>
    <w:rsid w:val="00706292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BD410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7A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7A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7A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A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A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A0F"/>
    <w:rPr>
      <w:rFonts w:ascii="Tahoma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621422"/>
    <w:pPr>
      <w:spacing w:after="0" w:line="240" w:lineRule="auto"/>
    </w:pPr>
    <w:rPr>
      <w:rFonts w:ascii="Calibri" w:eastAsia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5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354"/>
  </w:style>
  <w:style w:type="paragraph" w:styleId="Zpat">
    <w:name w:val="footer"/>
    <w:basedOn w:val="Normln"/>
    <w:link w:val="ZpatChar"/>
    <w:unhideWhenUsed/>
    <w:rsid w:val="0045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450354"/>
  </w:style>
  <w:style w:type="character" w:styleId="Hypertextovodkaz">
    <w:name w:val="Hyperlink"/>
    <w:basedOn w:val="Standardnpsmoodstavce"/>
    <w:uiPriority w:val="99"/>
    <w:unhideWhenUsed/>
    <w:rsid w:val="00FD4996"/>
    <w:rPr>
      <w:color w:val="0000FF" w:themeColor="hyperlink"/>
      <w:u w:val="single"/>
    </w:rPr>
  </w:style>
  <w:style w:type="character" w:customStyle="1" w:styleId="WW8Num7z3">
    <w:name w:val="WW8Num7z3"/>
    <w:rsid w:val="00882BF4"/>
  </w:style>
  <w:style w:type="character" w:customStyle="1" w:styleId="WW8Num2z4">
    <w:name w:val="WW8Num2z4"/>
    <w:rsid w:val="009E36BB"/>
  </w:style>
  <w:style w:type="paragraph" w:customStyle="1" w:styleId="Standard">
    <w:name w:val="Standard"/>
    <w:rsid w:val="0091510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seznamu"/>
    <w:rsid w:val="00F30AE0"/>
    <w:pPr>
      <w:numPr>
        <w:numId w:val="4"/>
      </w:numPr>
    </w:pPr>
  </w:style>
  <w:style w:type="paragraph" w:customStyle="1" w:styleId="Dvodovzprvakbodu">
    <w:name w:val="Důvodová zpráva k bodu"/>
    <w:basedOn w:val="Normln"/>
    <w:rsid w:val="0000316B"/>
    <w:pPr>
      <w:keepNext/>
      <w:tabs>
        <w:tab w:val="left" w:pos="1134"/>
      </w:tabs>
      <w:suppressAutoHyphens/>
      <w:spacing w:before="120" w:after="0"/>
      <w:jc w:val="both"/>
    </w:pPr>
    <w:rPr>
      <w:rFonts w:ascii="Arial" w:eastAsia="Times New Roman" w:hAnsi="Arial" w:cs="Times New Roman"/>
      <w:b/>
      <w:bCs/>
      <w:color w:val="0000FF"/>
      <w:szCs w:val="24"/>
      <w:lang w:eastAsia="cs-CZ"/>
    </w:rPr>
  </w:style>
  <w:style w:type="paragraph" w:customStyle="1" w:styleId="Odstavecseseznamem1">
    <w:name w:val="Odstavec se seznamem1"/>
    <w:basedOn w:val="Normln"/>
    <w:rsid w:val="00CB2F90"/>
    <w:pPr>
      <w:suppressAutoHyphens/>
      <w:spacing w:after="160" w:line="256" w:lineRule="auto"/>
      <w:ind w:left="720"/>
      <w:contextualSpacing/>
    </w:pPr>
    <w:rPr>
      <w:rFonts w:ascii="Calibri" w:eastAsia="SimSun" w:hAnsi="Calibri" w:cs="Calibri"/>
      <w:kern w:val="1"/>
    </w:rPr>
  </w:style>
  <w:style w:type="paragraph" w:customStyle="1" w:styleId="Textpechodka">
    <w:name w:val="Text přechodka"/>
    <w:basedOn w:val="Normln"/>
    <w:qFormat/>
    <w:rsid w:val="00D966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D966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western">
    <w:name w:val="western"/>
    <w:basedOn w:val="Normln"/>
    <w:qFormat/>
    <w:rsid w:val="0089275D"/>
    <w:pPr>
      <w:suppressAutoHyphens/>
      <w:spacing w:before="280" w:after="119"/>
    </w:pPr>
    <w:rPr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rsid w:val="00087CE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087CE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087C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087CE1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rsid w:val="00087CE1"/>
    <w:pPr>
      <w:suppressAutoHyphens w:val="0"/>
      <w:outlineLvl w:val="5"/>
    </w:pPr>
    <w:rPr>
      <w:b/>
      <w:lang w:val="cs-CZ" w:eastAsia="cs-CZ"/>
    </w:rPr>
  </w:style>
  <w:style w:type="paragraph" w:customStyle="1" w:styleId="PZTextpsmene">
    <w:name w:val="PZ Text písmene"/>
    <w:basedOn w:val="Textpsmene"/>
    <w:qFormat/>
    <w:rsid w:val="00087CE1"/>
    <w:pPr>
      <w:suppressAutoHyphens w:val="0"/>
      <w:ind w:left="425" w:hanging="425"/>
      <w:outlineLvl w:val="7"/>
    </w:pPr>
    <w:rPr>
      <w:sz w:val="24"/>
      <w:lang w:val="cs-CZ" w:eastAsia="cs-CZ"/>
    </w:rPr>
  </w:style>
  <w:style w:type="character" w:customStyle="1" w:styleId="TextodstavceChar">
    <w:name w:val="Text odstavce Char"/>
    <w:link w:val="Textodstavce"/>
    <w:rsid w:val="00087CE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Revize">
    <w:name w:val="Revision"/>
    <w:hidden/>
    <w:uiPriority w:val="99"/>
    <w:semiHidden/>
    <w:rsid w:val="00657997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904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7DD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7DD6"/>
    <w:rPr>
      <w:sz w:val="20"/>
      <w:szCs w:val="20"/>
    </w:rPr>
  </w:style>
  <w:style w:type="character" w:styleId="Znakapoznpodarou">
    <w:name w:val="footnote reference"/>
    <w:uiPriority w:val="99"/>
    <w:rsid w:val="009D7DD6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13F94"/>
    <w:pPr>
      <w:spacing w:after="120" w:line="240" w:lineRule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13F94"/>
    <w:rPr>
      <w:sz w:val="24"/>
      <w:szCs w:val="24"/>
    </w:rPr>
  </w:style>
  <w:style w:type="character" w:customStyle="1" w:styleId="lnekChar">
    <w:name w:val="Článek Char"/>
    <w:link w:val="lnek"/>
    <w:rsid w:val="00C10E8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416988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4E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4EA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44E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44EAA"/>
    <w:rPr>
      <w:sz w:val="16"/>
      <w:szCs w:val="16"/>
    </w:rPr>
  </w:style>
  <w:style w:type="paragraph" w:customStyle="1" w:styleId="Tlotextu">
    <w:name w:val="Tělo textu"/>
    <w:basedOn w:val="Normln"/>
    <w:rsid w:val="00C44EA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customStyle="1" w:styleId="Odsazentlatextu">
    <w:name w:val="Odsazení těla textu"/>
    <w:basedOn w:val="Normln"/>
    <w:rsid w:val="00C44EAA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5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915D2-7D01-4C4B-96EB-F8F422A9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1851</Words>
  <Characters>10927</Characters>
  <Application>Microsoft Office Word</Application>
  <DocSecurity>0</DocSecurity>
  <Lines>91</Lines>
  <Paragraphs>25</Paragraphs>
  <ScaleCrop>false</ScaleCrop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2020-09-07T13:09:00Z</dcterms:created>
  <dcterms:modified xsi:type="dcterms:W3CDTF">2020-09-10T09:04:00Z</dcterms:modified>
</cp:coreProperties>
</file>