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FB321" w14:textId="77777777" w:rsidR="00BC7AFA" w:rsidRPr="00FF00DD" w:rsidRDefault="00BC7AFA" w:rsidP="00B3567E">
      <w:pPr>
        <w:tabs>
          <w:tab w:val="left" w:pos="6660"/>
        </w:tabs>
        <w:spacing w:before="0" w:after="360" w:line="240" w:lineRule="auto"/>
        <w:jc w:val="center"/>
        <w:rPr>
          <w:rFonts w:ascii="Times New Roman" w:hAnsi="Times New Roman"/>
          <w:b/>
          <w:bCs/>
        </w:rPr>
      </w:pPr>
      <w:r w:rsidRPr="00FF00DD">
        <w:rPr>
          <w:rFonts w:ascii="Times New Roman" w:hAnsi="Times New Roman"/>
          <w:b/>
          <w:bCs/>
        </w:rPr>
        <w:t>SHRNUTÍ ZÁVĚREČNÉ ZPRÁVY RIA</w:t>
      </w:r>
      <w:bookmarkStart w:id="0" w:name="_GoBack"/>
      <w:bookmarkEnd w:id="0"/>
    </w:p>
    <w:tbl>
      <w:tblPr>
        <w:tblW w:w="9648"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4"/>
        <w:gridCol w:w="5004"/>
      </w:tblGrid>
      <w:tr w:rsidR="00FF00DD" w:rsidRPr="00FF00DD" w14:paraId="1D070B2A" w14:textId="77777777" w:rsidTr="00BC7AFA">
        <w:trPr>
          <w:trHeight w:val="187"/>
          <w:jc w:val="center"/>
        </w:trPr>
        <w:tc>
          <w:tcPr>
            <w:tcW w:w="9648" w:type="dxa"/>
            <w:gridSpan w:val="2"/>
            <w:tcBorders>
              <w:top w:val="single" w:sz="12" w:space="0" w:color="000000"/>
              <w:left w:val="single" w:sz="12" w:space="0" w:color="000000"/>
              <w:bottom w:val="single" w:sz="4" w:space="0" w:color="auto"/>
              <w:right w:val="single" w:sz="12" w:space="0" w:color="000000"/>
            </w:tcBorders>
            <w:shd w:val="clear" w:color="auto" w:fill="C6D9F1"/>
            <w:vAlign w:val="bottom"/>
          </w:tcPr>
          <w:p w14:paraId="45C7CCC2" w14:textId="77777777" w:rsidR="00BC7AFA" w:rsidRPr="00FF00DD" w:rsidRDefault="00BC7AFA" w:rsidP="00ED3976">
            <w:pPr>
              <w:tabs>
                <w:tab w:val="left" w:pos="6660"/>
              </w:tabs>
              <w:spacing w:line="240" w:lineRule="auto"/>
              <w:rPr>
                <w:rFonts w:ascii="Times New Roman" w:hAnsi="Times New Roman"/>
                <w:bCs/>
                <w:i/>
                <w:iCs/>
                <w:sz w:val="22"/>
                <w:szCs w:val="22"/>
              </w:rPr>
            </w:pPr>
            <w:r w:rsidRPr="00FF00DD">
              <w:rPr>
                <w:rFonts w:ascii="Times New Roman" w:hAnsi="Times New Roman"/>
                <w:bCs/>
                <w:sz w:val="22"/>
                <w:szCs w:val="22"/>
              </w:rPr>
              <w:t>1. Základní identifikační údaje</w:t>
            </w:r>
          </w:p>
        </w:tc>
      </w:tr>
      <w:tr w:rsidR="00FF00DD" w:rsidRPr="00FF00DD" w14:paraId="09E694E4" w14:textId="77777777" w:rsidTr="00ED3976">
        <w:trPr>
          <w:trHeight w:val="979"/>
          <w:jc w:val="center"/>
        </w:trPr>
        <w:tc>
          <w:tcPr>
            <w:tcW w:w="9648" w:type="dxa"/>
            <w:gridSpan w:val="2"/>
            <w:tcBorders>
              <w:top w:val="single" w:sz="4" w:space="0" w:color="auto"/>
              <w:left w:val="single" w:sz="12" w:space="0" w:color="000000"/>
              <w:bottom w:val="single" w:sz="4" w:space="0" w:color="auto"/>
              <w:right w:val="single" w:sz="12" w:space="0" w:color="000000"/>
            </w:tcBorders>
            <w:shd w:val="clear" w:color="auto" w:fill="auto"/>
            <w:vAlign w:val="center"/>
          </w:tcPr>
          <w:p w14:paraId="3244182F" w14:textId="77777777" w:rsidR="00835316" w:rsidRDefault="00BC7AFA" w:rsidP="007E2348">
            <w:pPr>
              <w:tabs>
                <w:tab w:val="left" w:pos="6660"/>
              </w:tabs>
              <w:spacing w:after="0" w:line="240" w:lineRule="auto"/>
              <w:jc w:val="center"/>
              <w:rPr>
                <w:rFonts w:ascii="Times New Roman" w:hAnsi="Times New Roman"/>
                <w:bCs/>
                <w:sz w:val="22"/>
                <w:szCs w:val="22"/>
              </w:rPr>
            </w:pPr>
            <w:r w:rsidRPr="00FF00DD">
              <w:rPr>
                <w:rFonts w:ascii="Times New Roman" w:hAnsi="Times New Roman"/>
                <w:bCs/>
                <w:sz w:val="22"/>
                <w:szCs w:val="22"/>
              </w:rPr>
              <w:t>Název návrhu:</w:t>
            </w:r>
          </w:p>
          <w:p w14:paraId="79609950" w14:textId="77777777" w:rsidR="00BC7AFA" w:rsidRPr="00312B31" w:rsidRDefault="00835316" w:rsidP="00835316">
            <w:pPr>
              <w:tabs>
                <w:tab w:val="left" w:pos="6660"/>
              </w:tabs>
              <w:spacing w:line="240" w:lineRule="auto"/>
              <w:jc w:val="center"/>
              <w:rPr>
                <w:rFonts w:ascii="Times New Roman" w:hAnsi="Times New Roman"/>
                <w:bCs/>
                <w:i/>
                <w:iCs/>
                <w:sz w:val="22"/>
                <w:szCs w:val="22"/>
              </w:rPr>
            </w:pPr>
            <w:r w:rsidRPr="00312B31">
              <w:rPr>
                <w:rFonts w:ascii="Times New Roman" w:hAnsi="Times New Roman"/>
                <w:bCs/>
                <w:i/>
                <w:iCs/>
                <w:sz w:val="22"/>
                <w:szCs w:val="22"/>
              </w:rPr>
              <w:t>Návrh zákona, kterým se mění zákon č. 61/1988 Sb., o hornické činnosti, výbušninách a o státní báňské správě, ve znění pozdějších předpisů</w:t>
            </w:r>
          </w:p>
        </w:tc>
      </w:tr>
      <w:tr w:rsidR="00FF00DD" w:rsidRPr="00FF00DD" w14:paraId="593CF634" w14:textId="77777777" w:rsidTr="00ED3976">
        <w:trPr>
          <w:trHeight w:val="979"/>
          <w:jc w:val="center"/>
        </w:trPr>
        <w:tc>
          <w:tcPr>
            <w:tcW w:w="4644" w:type="dxa"/>
            <w:tcBorders>
              <w:top w:val="single" w:sz="4" w:space="0" w:color="auto"/>
              <w:left w:val="single" w:sz="12" w:space="0" w:color="000000"/>
              <w:bottom w:val="single" w:sz="4" w:space="0" w:color="auto"/>
              <w:right w:val="single" w:sz="4" w:space="0" w:color="auto"/>
            </w:tcBorders>
            <w:shd w:val="clear" w:color="auto" w:fill="auto"/>
            <w:vAlign w:val="center"/>
          </w:tcPr>
          <w:p w14:paraId="6DEAA7FF" w14:textId="77777777" w:rsidR="00BC7AFA" w:rsidRPr="00633022" w:rsidRDefault="00BC7AFA" w:rsidP="00ED3976">
            <w:pPr>
              <w:tabs>
                <w:tab w:val="left" w:pos="6660"/>
              </w:tabs>
              <w:spacing w:line="240" w:lineRule="auto"/>
              <w:jc w:val="center"/>
              <w:rPr>
                <w:rFonts w:ascii="Times New Roman" w:hAnsi="Times New Roman"/>
                <w:bCs/>
                <w:sz w:val="22"/>
                <w:szCs w:val="22"/>
              </w:rPr>
            </w:pPr>
            <w:r w:rsidRPr="00633022">
              <w:rPr>
                <w:rFonts w:ascii="Times New Roman" w:hAnsi="Times New Roman"/>
                <w:bCs/>
                <w:sz w:val="22"/>
                <w:szCs w:val="22"/>
              </w:rPr>
              <w:t xml:space="preserve">Zpracovatel / zástupce předkladatele: </w:t>
            </w:r>
          </w:p>
          <w:p w14:paraId="5E3BD22D" w14:textId="77777777" w:rsidR="00BC7AFA" w:rsidRPr="00312B31" w:rsidRDefault="009F76C4" w:rsidP="007E2348">
            <w:pPr>
              <w:tabs>
                <w:tab w:val="left" w:pos="6660"/>
              </w:tabs>
              <w:spacing w:line="240" w:lineRule="auto"/>
              <w:jc w:val="center"/>
              <w:rPr>
                <w:rFonts w:ascii="Times New Roman" w:hAnsi="Times New Roman"/>
                <w:bCs/>
                <w:i/>
                <w:iCs/>
                <w:sz w:val="22"/>
                <w:szCs w:val="22"/>
                <w:u w:val="single"/>
              </w:rPr>
            </w:pPr>
            <w:r w:rsidRPr="00312B31">
              <w:rPr>
                <w:rFonts w:ascii="Times New Roman" w:hAnsi="Times New Roman"/>
                <w:bCs/>
                <w:i/>
                <w:iCs/>
                <w:sz w:val="22"/>
                <w:szCs w:val="22"/>
              </w:rPr>
              <w:t>Český báňský úřad</w:t>
            </w:r>
          </w:p>
        </w:tc>
        <w:tc>
          <w:tcPr>
            <w:tcW w:w="5004" w:type="dxa"/>
            <w:tcBorders>
              <w:top w:val="single" w:sz="4" w:space="0" w:color="auto"/>
              <w:left w:val="single" w:sz="4" w:space="0" w:color="auto"/>
              <w:bottom w:val="single" w:sz="4" w:space="0" w:color="auto"/>
              <w:right w:val="single" w:sz="12" w:space="0" w:color="000000"/>
            </w:tcBorders>
            <w:shd w:val="clear" w:color="auto" w:fill="auto"/>
            <w:vAlign w:val="center"/>
          </w:tcPr>
          <w:p w14:paraId="37FB01F5" w14:textId="77777777" w:rsidR="00653796" w:rsidRPr="00633022" w:rsidRDefault="00BC7AFA" w:rsidP="00ED3976">
            <w:pPr>
              <w:tabs>
                <w:tab w:val="left" w:pos="6660"/>
              </w:tabs>
              <w:spacing w:line="240" w:lineRule="auto"/>
              <w:jc w:val="center"/>
              <w:rPr>
                <w:rFonts w:ascii="Times New Roman" w:hAnsi="Times New Roman"/>
                <w:bCs/>
                <w:sz w:val="22"/>
                <w:szCs w:val="22"/>
              </w:rPr>
            </w:pPr>
            <w:r w:rsidRPr="00633022">
              <w:rPr>
                <w:rFonts w:ascii="Times New Roman" w:hAnsi="Times New Roman"/>
                <w:bCs/>
                <w:sz w:val="22"/>
                <w:szCs w:val="22"/>
              </w:rPr>
              <w:t>Předpokládaný termín nabytí účinnosti</w:t>
            </w:r>
            <w:r w:rsidR="00312B31">
              <w:rPr>
                <w:rFonts w:ascii="Times New Roman" w:hAnsi="Times New Roman"/>
                <w:bCs/>
                <w:sz w:val="22"/>
                <w:szCs w:val="22"/>
              </w:rPr>
              <w:t>:</w:t>
            </w:r>
          </w:p>
          <w:p w14:paraId="3386E647" w14:textId="77777777" w:rsidR="00BC7AFA" w:rsidRPr="002562FD" w:rsidRDefault="00690D6B" w:rsidP="002562FD">
            <w:pPr>
              <w:tabs>
                <w:tab w:val="left" w:pos="6660"/>
              </w:tabs>
              <w:spacing w:before="0" w:after="0" w:line="240" w:lineRule="auto"/>
              <w:jc w:val="center"/>
              <w:rPr>
                <w:rFonts w:ascii="Times New Roman" w:hAnsi="Times New Roman"/>
                <w:bCs/>
                <w:i/>
                <w:iCs/>
                <w:sz w:val="22"/>
                <w:szCs w:val="22"/>
              </w:rPr>
            </w:pPr>
            <w:r w:rsidRPr="00312B31">
              <w:rPr>
                <w:rFonts w:ascii="Times New Roman" w:hAnsi="Times New Roman"/>
                <w:bCs/>
                <w:i/>
                <w:iCs/>
                <w:sz w:val="22"/>
                <w:szCs w:val="22"/>
              </w:rPr>
              <w:t>1. ledna 2021</w:t>
            </w:r>
          </w:p>
        </w:tc>
      </w:tr>
      <w:tr w:rsidR="00FF00DD" w:rsidRPr="00FF00DD" w14:paraId="1D8CFC58" w14:textId="77777777" w:rsidTr="00633022">
        <w:tblPrEx>
          <w:tblBorders>
            <w:top w:val="single" w:sz="4" w:space="0" w:color="auto"/>
            <w:left w:val="single" w:sz="4" w:space="0" w:color="auto"/>
            <w:bottom w:val="single" w:sz="4" w:space="0" w:color="auto"/>
            <w:right w:val="single" w:sz="4" w:space="0" w:color="auto"/>
          </w:tblBorders>
        </w:tblPrEx>
        <w:trPr>
          <w:trHeight w:val="565"/>
          <w:jc w:val="center"/>
        </w:trPr>
        <w:tc>
          <w:tcPr>
            <w:tcW w:w="9648" w:type="dxa"/>
            <w:gridSpan w:val="2"/>
            <w:tcBorders>
              <w:top w:val="single" w:sz="12" w:space="0" w:color="000000"/>
              <w:left w:val="single" w:sz="12" w:space="0" w:color="000000"/>
              <w:right w:val="single" w:sz="12" w:space="0" w:color="000000"/>
            </w:tcBorders>
            <w:shd w:val="clear" w:color="auto" w:fill="auto"/>
            <w:vAlign w:val="center"/>
          </w:tcPr>
          <w:p w14:paraId="12BDFC84" w14:textId="77777777" w:rsidR="00BC7AFA" w:rsidRPr="00FF00DD" w:rsidRDefault="00BC7AFA" w:rsidP="00633022">
            <w:pPr>
              <w:tabs>
                <w:tab w:val="left" w:pos="6660"/>
              </w:tabs>
              <w:spacing w:before="100" w:beforeAutospacing="1" w:after="0" w:line="240" w:lineRule="auto"/>
              <w:rPr>
                <w:rFonts w:ascii="Times New Roman" w:hAnsi="Times New Roman"/>
                <w:i/>
                <w:iCs/>
                <w:sz w:val="22"/>
                <w:szCs w:val="22"/>
                <w:u w:val="single"/>
              </w:rPr>
            </w:pPr>
            <w:r w:rsidRPr="00FF00DD">
              <w:rPr>
                <w:rFonts w:ascii="Times New Roman" w:hAnsi="Times New Roman"/>
                <w:bCs/>
                <w:sz w:val="22"/>
                <w:szCs w:val="22"/>
              </w:rPr>
              <w:t xml:space="preserve">Implementace práva EU: </w:t>
            </w:r>
            <w:r w:rsidR="00633022">
              <w:rPr>
                <w:rFonts w:ascii="Times New Roman" w:hAnsi="Times New Roman"/>
                <w:bCs/>
                <w:sz w:val="22"/>
                <w:szCs w:val="22"/>
              </w:rPr>
              <w:t>Ne</w:t>
            </w:r>
          </w:p>
        </w:tc>
      </w:tr>
      <w:tr w:rsidR="00FF00DD" w:rsidRPr="00FF00DD" w14:paraId="1868606D" w14:textId="77777777" w:rsidTr="00172EAE">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44B96BC6" w14:textId="77777777" w:rsidR="00BC7AFA" w:rsidRPr="00FF00DD" w:rsidRDefault="00BC7AFA" w:rsidP="00ED3976">
            <w:pPr>
              <w:tabs>
                <w:tab w:val="left" w:pos="6660"/>
              </w:tabs>
              <w:spacing w:line="240" w:lineRule="auto"/>
              <w:rPr>
                <w:rFonts w:ascii="Times New Roman" w:hAnsi="Times New Roman"/>
                <w:bCs/>
                <w:sz w:val="22"/>
                <w:szCs w:val="22"/>
              </w:rPr>
            </w:pPr>
            <w:r w:rsidRPr="00FF00DD">
              <w:rPr>
                <w:rFonts w:ascii="Times New Roman" w:hAnsi="Times New Roman"/>
                <w:bCs/>
                <w:sz w:val="22"/>
                <w:szCs w:val="22"/>
              </w:rPr>
              <w:t xml:space="preserve">2. Cíl návrhu zákona </w:t>
            </w:r>
          </w:p>
        </w:tc>
      </w:tr>
      <w:tr w:rsidR="00FF00DD" w:rsidRPr="00FF00DD" w14:paraId="1E381EE5" w14:textId="77777777" w:rsidTr="00172EAE">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7747F2BC" w14:textId="77777777" w:rsidR="00BC7AFA" w:rsidRPr="005E0748" w:rsidRDefault="00F65632" w:rsidP="00EB77FE">
            <w:pPr>
              <w:tabs>
                <w:tab w:val="left" w:pos="1037"/>
              </w:tabs>
              <w:spacing w:line="240" w:lineRule="auto"/>
              <w:rPr>
                <w:rFonts w:ascii="Times New Roman" w:hAnsi="Times New Roman"/>
                <w:bCs/>
                <w:i/>
                <w:iCs/>
                <w:sz w:val="22"/>
                <w:szCs w:val="22"/>
              </w:rPr>
            </w:pPr>
            <w:r w:rsidRPr="005E0748">
              <w:rPr>
                <w:rFonts w:ascii="Times New Roman" w:hAnsi="Times New Roman"/>
                <w:i/>
                <w:iCs/>
                <w:sz w:val="22"/>
                <w:szCs w:val="22"/>
              </w:rPr>
              <w:t xml:space="preserve">Navrhovaná právní úprava má za cíl nepatrně změnit organizační uspořádání orgánů státní báňské správy, </w:t>
            </w:r>
            <w:r w:rsidRPr="005E0748">
              <w:rPr>
                <w:rFonts w:ascii="Times New Roman" w:hAnsi="Times New Roman"/>
                <w:i/>
                <w:iCs/>
                <w:sz w:val="22"/>
                <w:szCs w:val="22"/>
              </w:rPr>
              <w:br/>
              <w:t>tj. zrušit jeden z obvodních báňských úřadů (OBÚ se sídlem v Liberci) a tím optimalizovat jejich místní příslušnost a rovněž přizpůsobit činnost SBS možnostem rozpočtové kapitoly 348. Dále má navrhovaná právní úprava za cíl zjednodušit výměnu informací mezi celními úřady a ČBÚ o dovozech a vývozech výbušnin a tím i odbourat zbytečnou zátěž dovozců a vývozců v podobě periodického oznamování uskutečněných transakcí</w:t>
            </w:r>
            <w:r w:rsidR="00EB37EC">
              <w:rPr>
                <w:rFonts w:ascii="Times New Roman" w:hAnsi="Times New Roman"/>
                <w:i/>
                <w:iCs/>
                <w:sz w:val="22"/>
                <w:szCs w:val="22"/>
              </w:rPr>
              <w:t xml:space="preserve"> </w:t>
            </w:r>
            <w:r w:rsidRPr="005E0748">
              <w:rPr>
                <w:rFonts w:ascii="Times New Roman" w:hAnsi="Times New Roman"/>
                <w:i/>
                <w:iCs/>
                <w:sz w:val="22"/>
                <w:szCs w:val="22"/>
              </w:rPr>
              <w:t xml:space="preserve">a </w:t>
            </w:r>
            <w:r w:rsidR="00427CA7">
              <w:rPr>
                <w:rFonts w:ascii="Times New Roman" w:hAnsi="Times New Roman"/>
                <w:i/>
                <w:iCs/>
                <w:sz w:val="22"/>
                <w:szCs w:val="22"/>
              </w:rPr>
              <w:t xml:space="preserve">vynutit důslednější podmínky </w:t>
            </w:r>
            <w:r w:rsidRPr="005E0748">
              <w:rPr>
                <w:rFonts w:ascii="Times New Roman" w:hAnsi="Times New Roman"/>
                <w:i/>
                <w:iCs/>
                <w:sz w:val="22"/>
                <w:szCs w:val="22"/>
              </w:rPr>
              <w:t>pro ověřování zdravotní způsobilosti a</w:t>
            </w:r>
            <w:r w:rsidR="00013637" w:rsidRPr="005E0748">
              <w:rPr>
                <w:rFonts w:ascii="Times New Roman" w:hAnsi="Times New Roman"/>
                <w:i/>
                <w:iCs/>
                <w:sz w:val="22"/>
                <w:szCs w:val="22"/>
              </w:rPr>
              <w:t> </w:t>
            </w:r>
            <w:r w:rsidRPr="005E0748">
              <w:rPr>
                <w:rFonts w:ascii="Times New Roman" w:hAnsi="Times New Roman"/>
                <w:i/>
                <w:iCs/>
                <w:sz w:val="22"/>
                <w:szCs w:val="22"/>
              </w:rPr>
              <w:t>bezúhonnosti osob nakládajících nebo hodlajících nakládat s výbušninami.</w:t>
            </w:r>
          </w:p>
        </w:tc>
      </w:tr>
      <w:tr w:rsidR="00FF00DD" w:rsidRPr="00FF00DD" w14:paraId="00CBEB01" w14:textId="77777777" w:rsidTr="00ED397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6A05EFC3" w14:textId="77777777" w:rsidR="00BC7AFA" w:rsidRPr="005E0748" w:rsidRDefault="00BC7AFA" w:rsidP="00ED3976">
            <w:pPr>
              <w:tabs>
                <w:tab w:val="left" w:pos="1037"/>
              </w:tabs>
              <w:spacing w:line="240" w:lineRule="auto"/>
              <w:rPr>
                <w:rFonts w:ascii="Times New Roman" w:hAnsi="Times New Roman"/>
                <w:bCs/>
                <w:sz w:val="22"/>
                <w:szCs w:val="22"/>
              </w:rPr>
            </w:pPr>
            <w:r w:rsidRPr="005E0748">
              <w:rPr>
                <w:rFonts w:ascii="Times New Roman" w:hAnsi="Times New Roman"/>
                <w:bCs/>
                <w:sz w:val="22"/>
                <w:szCs w:val="22"/>
              </w:rPr>
              <w:t xml:space="preserve">3. </w:t>
            </w:r>
            <w:r w:rsidRPr="005E0748">
              <w:rPr>
                <w:rFonts w:ascii="Times New Roman" w:hAnsi="Times New Roman"/>
                <w:sz w:val="22"/>
                <w:szCs w:val="22"/>
              </w:rPr>
              <w:t>Agregované</w:t>
            </w:r>
            <w:r w:rsidRPr="005E0748">
              <w:rPr>
                <w:rFonts w:ascii="Times New Roman" w:hAnsi="Times New Roman"/>
                <w:bCs/>
                <w:sz w:val="22"/>
                <w:szCs w:val="22"/>
              </w:rPr>
              <w:t xml:space="preserve"> dopady návrhu zákona</w:t>
            </w:r>
          </w:p>
        </w:tc>
      </w:tr>
      <w:tr w:rsidR="00FF00DD" w:rsidRPr="00FF00DD" w14:paraId="56D6B6BA" w14:textId="77777777" w:rsidTr="00172EAE">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2A032CB4" w14:textId="77777777" w:rsidR="00BC7AFA" w:rsidRPr="005E0748" w:rsidRDefault="00BC7AFA" w:rsidP="00ED3976">
            <w:pPr>
              <w:tabs>
                <w:tab w:val="left" w:pos="1037"/>
              </w:tabs>
              <w:spacing w:line="240" w:lineRule="auto"/>
              <w:rPr>
                <w:rFonts w:ascii="Times New Roman" w:hAnsi="Times New Roman"/>
                <w:bCs/>
                <w:sz w:val="22"/>
                <w:szCs w:val="22"/>
              </w:rPr>
            </w:pPr>
            <w:r w:rsidRPr="005E0748">
              <w:rPr>
                <w:rFonts w:ascii="Times New Roman" w:hAnsi="Times New Roman"/>
                <w:bCs/>
                <w:sz w:val="22"/>
                <w:szCs w:val="22"/>
              </w:rPr>
              <w:t xml:space="preserve">3.1 Dopady na státní rozpočet a ostatní veřejné </w:t>
            </w:r>
            <w:r w:rsidRPr="00790B38">
              <w:rPr>
                <w:rFonts w:ascii="Times New Roman" w:hAnsi="Times New Roman"/>
                <w:bCs/>
                <w:sz w:val="22"/>
                <w:szCs w:val="22"/>
              </w:rPr>
              <w:t xml:space="preserve">rozpočty: </w:t>
            </w:r>
            <w:r w:rsidR="006F3FE2" w:rsidRPr="00790B38">
              <w:rPr>
                <w:rFonts w:ascii="Times New Roman" w:hAnsi="Times New Roman"/>
                <w:bCs/>
                <w:sz w:val="22"/>
                <w:szCs w:val="22"/>
              </w:rPr>
              <w:t>Ne</w:t>
            </w:r>
          </w:p>
        </w:tc>
      </w:tr>
      <w:tr w:rsidR="00FF00DD" w:rsidRPr="00FF00DD" w14:paraId="0548CB24" w14:textId="77777777" w:rsidTr="00D65938">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062CF1E6" w14:textId="77777777" w:rsidR="00BC7AFA" w:rsidRPr="004278EE" w:rsidRDefault="00BC7AFA" w:rsidP="004278EE">
            <w:pPr>
              <w:tabs>
                <w:tab w:val="left" w:pos="1037"/>
              </w:tabs>
              <w:spacing w:line="240" w:lineRule="auto"/>
              <w:rPr>
                <w:rFonts w:ascii="Times New Roman" w:hAnsi="Times New Roman"/>
                <w:bCs/>
                <w:sz w:val="22"/>
                <w:szCs w:val="22"/>
              </w:rPr>
            </w:pPr>
          </w:p>
        </w:tc>
      </w:tr>
      <w:tr w:rsidR="00FF00DD" w:rsidRPr="00FF00DD" w14:paraId="79E66D45" w14:textId="77777777" w:rsidTr="00DA5FB9">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54A5DB99" w14:textId="77777777" w:rsidR="00D65938" w:rsidRPr="005E0748" w:rsidRDefault="00D65938" w:rsidP="00D65938">
            <w:pPr>
              <w:tabs>
                <w:tab w:val="left" w:pos="1037"/>
              </w:tabs>
              <w:spacing w:line="240" w:lineRule="auto"/>
              <w:rPr>
                <w:rFonts w:ascii="Times New Roman" w:hAnsi="Times New Roman"/>
                <w:bCs/>
                <w:sz w:val="22"/>
                <w:szCs w:val="22"/>
              </w:rPr>
            </w:pPr>
            <w:r w:rsidRPr="005E0748">
              <w:rPr>
                <w:rFonts w:ascii="Times New Roman" w:hAnsi="Times New Roman"/>
                <w:bCs/>
                <w:sz w:val="22"/>
                <w:szCs w:val="22"/>
              </w:rPr>
              <w:t xml:space="preserve">3.2 Dopady na mezinárodní konkurenceschopnost ČR: </w:t>
            </w:r>
            <w:r w:rsidR="00F65632" w:rsidRPr="005E0748">
              <w:rPr>
                <w:rFonts w:ascii="Times New Roman" w:hAnsi="Times New Roman"/>
                <w:bCs/>
                <w:sz w:val="22"/>
                <w:szCs w:val="22"/>
              </w:rPr>
              <w:t>Ne</w:t>
            </w:r>
          </w:p>
        </w:tc>
      </w:tr>
      <w:tr w:rsidR="00FF00DD" w:rsidRPr="00FF00DD" w14:paraId="11F44C67"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17FAF777" w14:textId="77777777" w:rsidR="00D65938" w:rsidRPr="005E0748" w:rsidRDefault="00D65938" w:rsidP="006D6163">
            <w:pPr>
              <w:tabs>
                <w:tab w:val="left" w:pos="1037"/>
              </w:tabs>
              <w:spacing w:line="240" w:lineRule="auto"/>
              <w:rPr>
                <w:rFonts w:ascii="Times New Roman" w:hAnsi="Times New Roman"/>
                <w:bCs/>
                <w:sz w:val="22"/>
                <w:szCs w:val="22"/>
              </w:rPr>
            </w:pPr>
          </w:p>
        </w:tc>
      </w:tr>
      <w:tr w:rsidR="00FF00DD" w:rsidRPr="00FF00DD" w14:paraId="498D524E" w14:textId="77777777" w:rsidTr="00D65938">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6423B96C" w14:textId="77777777" w:rsidR="00BC7AFA" w:rsidRPr="005E0748" w:rsidRDefault="00BC7AFA" w:rsidP="00ED3976">
            <w:pPr>
              <w:tabs>
                <w:tab w:val="left" w:pos="1037"/>
              </w:tabs>
              <w:spacing w:line="240" w:lineRule="auto"/>
              <w:rPr>
                <w:rFonts w:ascii="Times New Roman" w:hAnsi="Times New Roman"/>
                <w:bCs/>
                <w:sz w:val="22"/>
                <w:szCs w:val="22"/>
              </w:rPr>
            </w:pPr>
            <w:r w:rsidRPr="005E0748">
              <w:rPr>
                <w:rFonts w:ascii="Times New Roman" w:hAnsi="Times New Roman"/>
                <w:bCs/>
                <w:sz w:val="22"/>
                <w:szCs w:val="22"/>
              </w:rPr>
              <w:t xml:space="preserve">3.3 Dopady na podnikatelské prostředí: </w:t>
            </w:r>
            <w:r w:rsidR="00312B31" w:rsidRPr="005E0748">
              <w:rPr>
                <w:rFonts w:ascii="Times New Roman" w:hAnsi="Times New Roman"/>
                <w:bCs/>
                <w:sz w:val="22"/>
                <w:szCs w:val="22"/>
              </w:rPr>
              <w:t>Ano</w:t>
            </w:r>
          </w:p>
        </w:tc>
      </w:tr>
      <w:tr w:rsidR="00FF00DD" w:rsidRPr="00FF00DD" w14:paraId="59FEFF45" w14:textId="77777777" w:rsidTr="00ED3976">
        <w:tblPrEx>
          <w:tblBorders>
            <w:top w:val="single" w:sz="4" w:space="0" w:color="auto"/>
            <w:left w:val="single" w:sz="4" w:space="0" w:color="auto"/>
            <w:bottom w:val="single" w:sz="4" w:space="0" w:color="auto"/>
            <w:right w:val="single" w:sz="4" w:space="0" w:color="auto"/>
          </w:tblBorders>
        </w:tblPrEx>
        <w:trPr>
          <w:trHeight w:val="369"/>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4D9B4DA8" w14:textId="77777777" w:rsidR="00BC7AFA" w:rsidRPr="005E0748" w:rsidRDefault="007B011A" w:rsidP="008F55BA">
            <w:pPr>
              <w:tabs>
                <w:tab w:val="left" w:pos="1037"/>
              </w:tabs>
              <w:spacing w:line="240" w:lineRule="auto"/>
              <w:rPr>
                <w:rFonts w:ascii="Times New Roman" w:hAnsi="Times New Roman"/>
                <w:bCs/>
                <w:i/>
                <w:iCs/>
                <w:sz w:val="22"/>
                <w:szCs w:val="22"/>
                <w:highlight w:val="yellow"/>
              </w:rPr>
            </w:pPr>
            <w:r w:rsidRPr="005E0748">
              <w:rPr>
                <w:rFonts w:ascii="Times New Roman" w:hAnsi="Times New Roman"/>
                <w:i/>
                <w:iCs/>
                <w:sz w:val="22"/>
                <w:szCs w:val="22"/>
              </w:rPr>
              <w:t>Navrhovaná právní úprava dotčen</w:t>
            </w:r>
            <w:r w:rsidR="008C5583">
              <w:rPr>
                <w:rFonts w:ascii="Times New Roman" w:hAnsi="Times New Roman"/>
                <w:i/>
                <w:iCs/>
                <w:sz w:val="22"/>
                <w:szCs w:val="22"/>
              </w:rPr>
              <w:t>ým</w:t>
            </w:r>
            <w:r w:rsidRPr="005E0748">
              <w:rPr>
                <w:rFonts w:ascii="Times New Roman" w:hAnsi="Times New Roman"/>
                <w:i/>
                <w:iCs/>
                <w:sz w:val="22"/>
                <w:szCs w:val="22"/>
              </w:rPr>
              <w:t xml:space="preserve"> podnikatel</w:t>
            </w:r>
            <w:r w:rsidR="008C5583">
              <w:rPr>
                <w:rFonts w:ascii="Times New Roman" w:hAnsi="Times New Roman"/>
                <w:i/>
                <w:iCs/>
                <w:sz w:val="22"/>
                <w:szCs w:val="22"/>
              </w:rPr>
              <w:t xml:space="preserve">ům </w:t>
            </w:r>
            <w:r w:rsidRPr="005E0748">
              <w:rPr>
                <w:rFonts w:ascii="Times New Roman" w:hAnsi="Times New Roman"/>
                <w:i/>
                <w:iCs/>
                <w:sz w:val="22"/>
                <w:szCs w:val="22"/>
              </w:rPr>
              <w:t>nakládající s</w:t>
            </w:r>
            <w:r w:rsidR="008C5583">
              <w:rPr>
                <w:rFonts w:ascii="Times New Roman" w:hAnsi="Times New Roman"/>
                <w:i/>
                <w:iCs/>
                <w:sz w:val="22"/>
                <w:szCs w:val="22"/>
              </w:rPr>
              <w:t> </w:t>
            </w:r>
            <w:r w:rsidRPr="005E0748">
              <w:rPr>
                <w:rFonts w:ascii="Times New Roman" w:hAnsi="Times New Roman"/>
                <w:i/>
                <w:iCs/>
                <w:sz w:val="22"/>
                <w:szCs w:val="22"/>
              </w:rPr>
              <w:t>výbušninami</w:t>
            </w:r>
            <w:r w:rsidR="008C5583">
              <w:rPr>
                <w:rFonts w:ascii="Times New Roman" w:hAnsi="Times New Roman"/>
                <w:i/>
                <w:iCs/>
                <w:sz w:val="22"/>
                <w:szCs w:val="22"/>
              </w:rPr>
              <w:t xml:space="preserve"> drobně odbourává administrativní zátěž související s opatřováním </w:t>
            </w:r>
            <w:r w:rsidR="00920A04">
              <w:rPr>
                <w:rFonts w:ascii="Times New Roman" w:hAnsi="Times New Roman"/>
                <w:i/>
                <w:iCs/>
                <w:sz w:val="22"/>
                <w:szCs w:val="22"/>
              </w:rPr>
              <w:t xml:space="preserve">určitých </w:t>
            </w:r>
            <w:r w:rsidR="008C5583">
              <w:rPr>
                <w:rFonts w:ascii="Times New Roman" w:hAnsi="Times New Roman"/>
                <w:i/>
                <w:iCs/>
                <w:sz w:val="22"/>
                <w:szCs w:val="22"/>
              </w:rPr>
              <w:t>podkladů pro povolení vývozu výbušnin, jakož i</w:t>
            </w:r>
            <w:r w:rsidR="008F55BA">
              <w:rPr>
                <w:rFonts w:ascii="Times New Roman" w:hAnsi="Times New Roman"/>
                <w:i/>
                <w:iCs/>
                <w:sz w:val="22"/>
                <w:szCs w:val="22"/>
              </w:rPr>
              <w:t> </w:t>
            </w:r>
            <w:r w:rsidR="008C5583">
              <w:rPr>
                <w:rFonts w:ascii="Times New Roman" w:hAnsi="Times New Roman"/>
                <w:i/>
                <w:iCs/>
                <w:sz w:val="22"/>
                <w:szCs w:val="22"/>
              </w:rPr>
              <w:t xml:space="preserve">administrativní zátěž spojenou s </w:t>
            </w:r>
            <w:r w:rsidRPr="005E0748">
              <w:rPr>
                <w:rFonts w:ascii="Times New Roman" w:hAnsi="Times New Roman"/>
                <w:i/>
                <w:iCs/>
                <w:sz w:val="22"/>
                <w:szCs w:val="22"/>
              </w:rPr>
              <w:t>periodick</w:t>
            </w:r>
            <w:r w:rsidR="008F55BA">
              <w:rPr>
                <w:rFonts w:ascii="Times New Roman" w:hAnsi="Times New Roman"/>
                <w:i/>
                <w:iCs/>
                <w:sz w:val="22"/>
                <w:szCs w:val="22"/>
              </w:rPr>
              <w:t>ým</w:t>
            </w:r>
            <w:r w:rsidRPr="005E0748">
              <w:rPr>
                <w:rFonts w:ascii="Times New Roman" w:hAnsi="Times New Roman"/>
                <w:i/>
                <w:iCs/>
                <w:sz w:val="22"/>
                <w:szCs w:val="22"/>
              </w:rPr>
              <w:t xml:space="preserve"> oznamování</w:t>
            </w:r>
            <w:r w:rsidR="008F55BA">
              <w:rPr>
                <w:rFonts w:ascii="Times New Roman" w:hAnsi="Times New Roman"/>
                <w:i/>
                <w:iCs/>
                <w:sz w:val="22"/>
                <w:szCs w:val="22"/>
              </w:rPr>
              <w:t>m</w:t>
            </w:r>
            <w:r w:rsidRPr="005E0748">
              <w:rPr>
                <w:rFonts w:ascii="Times New Roman" w:hAnsi="Times New Roman"/>
                <w:i/>
                <w:iCs/>
                <w:sz w:val="22"/>
                <w:szCs w:val="22"/>
              </w:rPr>
              <w:t xml:space="preserve"> uskutečněných transakcí v rámci dovozu a</w:t>
            </w:r>
            <w:r w:rsidR="008F55BA">
              <w:rPr>
                <w:rFonts w:ascii="Times New Roman" w:hAnsi="Times New Roman"/>
                <w:i/>
                <w:iCs/>
                <w:sz w:val="22"/>
                <w:szCs w:val="22"/>
              </w:rPr>
              <w:t> </w:t>
            </w:r>
            <w:r w:rsidRPr="005E0748">
              <w:rPr>
                <w:rFonts w:ascii="Times New Roman" w:hAnsi="Times New Roman"/>
                <w:i/>
                <w:iCs/>
                <w:sz w:val="22"/>
                <w:szCs w:val="22"/>
              </w:rPr>
              <w:t>vývozu výbušnin.</w:t>
            </w:r>
          </w:p>
        </w:tc>
      </w:tr>
      <w:tr w:rsidR="00FF00DD" w:rsidRPr="00FF00DD" w14:paraId="1220C6D7" w14:textId="77777777" w:rsidTr="00172EAE">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2693E0B8" w14:textId="77777777" w:rsidR="00BC7AFA" w:rsidRPr="00FF00DD" w:rsidRDefault="00BC7AFA" w:rsidP="00ED3976">
            <w:pPr>
              <w:tabs>
                <w:tab w:val="left" w:pos="1037"/>
              </w:tabs>
              <w:spacing w:line="240" w:lineRule="auto"/>
              <w:rPr>
                <w:rFonts w:ascii="Times New Roman" w:hAnsi="Times New Roman"/>
                <w:bCs/>
                <w:sz w:val="22"/>
                <w:szCs w:val="22"/>
              </w:rPr>
            </w:pPr>
            <w:r w:rsidRPr="00FF00DD">
              <w:rPr>
                <w:rFonts w:ascii="Times New Roman" w:hAnsi="Times New Roman"/>
                <w:bCs/>
                <w:sz w:val="22"/>
                <w:szCs w:val="22"/>
              </w:rPr>
              <w:t>3.4 Dopady na územní samosprávné celky (obce, kraje)</w:t>
            </w:r>
            <w:r w:rsidR="00116428" w:rsidRPr="00FF00DD">
              <w:rPr>
                <w:rFonts w:ascii="Times New Roman" w:hAnsi="Times New Roman"/>
                <w:bCs/>
                <w:sz w:val="22"/>
                <w:szCs w:val="22"/>
              </w:rPr>
              <w:t>:</w:t>
            </w:r>
            <w:r w:rsidR="008466A6">
              <w:rPr>
                <w:rFonts w:ascii="Times New Roman" w:hAnsi="Times New Roman"/>
                <w:bCs/>
                <w:sz w:val="22"/>
                <w:szCs w:val="22"/>
              </w:rPr>
              <w:t xml:space="preserve"> Ne</w:t>
            </w:r>
          </w:p>
        </w:tc>
      </w:tr>
      <w:tr w:rsidR="00FF00DD" w:rsidRPr="00FF00DD" w:rsidDel="007D15F9" w14:paraId="50CF31CE"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0E78F156" w14:textId="77777777" w:rsidR="00BC7AFA" w:rsidRPr="00FF00DD" w:rsidDel="007D15F9" w:rsidRDefault="00BC7AFA" w:rsidP="006D6163">
            <w:pPr>
              <w:tabs>
                <w:tab w:val="left" w:pos="1037"/>
              </w:tabs>
              <w:spacing w:line="240" w:lineRule="auto"/>
              <w:rPr>
                <w:rFonts w:ascii="Times New Roman" w:hAnsi="Times New Roman"/>
                <w:bCs/>
                <w:sz w:val="22"/>
                <w:szCs w:val="22"/>
              </w:rPr>
            </w:pPr>
          </w:p>
        </w:tc>
      </w:tr>
      <w:tr w:rsidR="00FF00DD" w:rsidRPr="00FF00DD" w14:paraId="6FD433C9"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14:paraId="37B68334" w14:textId="77777777" w:rsidR="00BC7AFA" w:rsidRPr="00FF00DD" w:rsidRDefault="00BC7AFA" w:rsidP="00ED3976">
            <w:pPr>
              <w:tabs>
                <w:tab w:val="left" w:pos="1037"/>
                <w:tab w:val="left" w:pos="3970"/>
              </w:tabs>
              <w:spacing w:line="240" w:lineRule="auto"/>
              <w:rPr>
                <w:rFonts w:ascii="Times New Roman" w:hAnsi="Times New Roman"/>
                <w:bCs/>
                <w:sz w:val="22"/>
                <w:szCs w:val="22"/>
              </w:rPr>
            </w:pPr>
            <w:r w:rsidRPr="00FF00DD">
              <w:rPr>
                <w:rFonts w:ascii="Times New Roman" w:hAnsi="Times New Roman"/>
                <w:bCs/>
                <w:sz w:val="22"/>
                <w:szCs w:val="22"/>
              </w:rPr>
              <w:t xml:space="preserve">3.5 Sociální dopady: </w:t>
            </w:r>
            <w:r w:rsidR="008466A6">
              <w:rPr>
                <w:rFonts w:ascii="Times New Roman" w:hAnsi="Times New Roman"/>
                <w:bCs/>
                <w:sz w:val="22"/>
                <w:szCs w:val="22"/>
              </w:rPr>
              <w:t>Ne</w:t>
            </w:r>
          </w:p>
        </w:tc>
      </w:tr>
      <w:tr w:rsidR="00FF00DD" w:rsidRPr="00FF00DD" w14:paraId="61EDA949"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3AD39451" w14:textId="77777777" w:rsidR="00BC7AFA" w:rsidRPr="00FF00DD" w:rsidRDefault="00BC7AFA" w:rsidP="006D6163">
            <w:pPr>
              <w:tabs>
                <w:tab w:val="left" w:pos="1037"/>
              </w:tabs>
              <w:spacing w:line="240" w:lineRule="auto"/>
              <w:rPr>
                <w:rFonts w:ascii="Times New Roman" w:hAnsi="Times New Roman"/>
                <w:bCs/>
                <w:sz w:val="22"/>
                <w:szCs w:val="22"/>
              </w:rPr>
            </w:pPr>
          </w:p>
        </w:tc>
      </w:tr>
      <w:tr w:rsidR="00FF00DD" w:rsidRPr="00FF00DD" w14:paraId="6EE82240"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758448C2" w14:textId="77777777" w:rsidR="00D65938" w:rsidRPr="00FF00DD" w:rsidRDefault="00D65938" w:rsidP="00D65938">
            <w:pPr>
              <w:tabs>
                <w:tab w:val="left" w:pos="1037"/>
              </w:tabs>
              <w:spacing w:line="240" w:lineRule="auto"/>
              <w:rPr>
                <w:rFonts w:ascii="Times New Roman" w:hAnsi="Times New Roman"/>
                <w:bCs/>
                <w:sz w:val="22"/>
                <w:szCs w:val="22"/>
              </w:rPr>
            </w:pPr>
            <w:r w:rsidRPr="00FF00DD">
              <w:rPr>
                <w:rFonts w:ascii="Times New Roman" w:hAnsi="Times New Roman"/>
                <w:bCs/>
                <w:sz w:val="22"/>
                <w:szCs w:val="22"/>
              </w:rPr>
              <w:t xml:space="preserve">3.6 Dopady na spotřebitele: </w:t>
            </w:r>
            <w:r w:rsidR="008466A6">
              <w:rPr>
                <w:rFonts w:ascii="Times New Roman" w:hAnsi="Times New Roman"/>
                <w:bCs/>
                <w:sz w:val="22"/>
                <w:szCs w:val="22"/>
              </w:rPr>
              <w:t>Ne</w:t>
            </w:r>
          </w:p>
        </w:tc>
      </w:tr>
      <w:tr w:rsidR="00FF00DD" w:rsidRPr="00FF00DD" w14:paraId="1908B08E"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5A76E11E" w14:textId="77777777" w:rsidR="00D65938" w:rsidRDefault="00D65938" w:rsidP="00180F43">
            <w:pPr>
              <w:tabs>
                <w:tab w:val="left" w:pos="1037"/>
              </w:tabs>
              <w:spacing w:line="240" w:lineRule="auto"/>
              <w:rPr>
                <w:rFonts w:ascii="Times New Roman" w:hAnsi="Times New Roman"/>
                <w:bCs/>
                <w:sz w:val="22"/>
                <w:szCs w:val="22"/>
              </w:rPr>
            </w:pPr>
          </w:p>
          <w:p w14:paraId="1DA71D15" w14:textId="77777777" w:rsidR="00DE1066" w:rsidRPr="00DE1066" w:rsidRDefault="00DE1066" w:rsidP="00DE1066">
            <w:pPr>
              <w:rPr>
                <w:rFonts w:ascii="Times New Roman" w:hAnsi="Times New Roman"/>
                <w:sz w:val="22"/>
                <w:szCs w:val="22"/>
              </w:rPr>
            </w:pPr>
          </w:p>
          <w:p w14:paraId="2F1378A9" w14:textId="77777777" w:rsidR="00DE1066" w:rsidRPr="00DE1066" w:rsidRDefault="00DE1066" w:rsidP="00DE1066">
            <w:pPr>
              <w:jc w:val="center"/>
              <w:rPr>
                <w:rFonts w:ascii="Times New Roman" w:hAnsi="Times New Roman"/>
                <w:sz w:val="22"/>
                <w:szCs w:val="22"/>
              </w:rPr>
            </w:pPr>
          </w:p>
        </w:tc>
      </w:tr>
      <w:tr w:rsidR="00FF00DD" w:rsidRPr="00FF00DD" w14:paraId="672E8B28"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7D6A0429" w14:textId="77777777" w:rsidR="00BC7AFA" w:rsidRPr="00FF00DD" w:rsidRDefault="00BC7AFA" w:rsidP="00ED3976">
            <w:pPr>
              <w:tabs>
                <w:tab w:val="left" w:pos="1037"/>
              </w:tabs>
              <w:spacing w:line="240" w:lineRule="auto"/>
              <w:rPr>
                <w:rFonts w:ascii="Times New Roman" w:hAnsi="Times New Roman"/>
                <w:bCs/>
                <w:sz w:val="22"/>
                <w:szCs w:val="22"/>
              </w:rPr>
            </w:pPr>
            <w:r w:rsidRPr="00FF00DD">
              <w:rPr>
                <w:rFonts w:ascii="Times New Roman" w:hAnsi="Times New Roman"/>
                <w:bCs/>
                <w:sz w:val="22"/>
                <w:szCs w:val="22"/>
              </w:rPr>
              <w:t xml:space="preserve">3.7 Dopady na životní prostředí: </w:t>
            </w:r>
            <w:r w:rsidR="008466A6">
              <w:rPr>
                <w:rFonts w:ascii="Times New Roman" w:hAnsi="Times New Roman"/>
                <w:bCs/>
                <w:sz w:val="22"/>
                <w:szCs w:val="22"/>
              </w:rPr>
              <w:t>Ne</w:t>
            </w:r>
          </w:p>
        </w:tc>
      </w:tr>
      <w:tr w:rsidR="00FF00DD" w:rsidRPr="00FF00DD" w14:paraId="57F326B5"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7F9D7DE1" w14:textId="77777777" w:rsidR="00BC7AFA" w:rsidRPr="00FF00DD" w:rsidRDefault="00BC7AFA" w:rsidP="00044732">
            <w:pPr>
              <w:tabs>
                <w:tab w:val="left" w:pos="1037"/>
              </w:tabs>
              <w:spacing w:line="240" w:lineRule="auto"/>
              <w:rPr>
                <w:rFonts w:ascii="Times New Roman" w:hAnsi="Times New Roman"/>
                <w:bCs/>
                <w:sz w:val="22"/>
                <w:szCs w:val="22"/>
              </w:rPr>
            </w:pPr>
          </w:p>
        </w:tc>
      </w:tr>
      <w:tr w:rsidR="00FF00DD" w:rsidRPr="00FF00DD" w14:paraId="570830AD"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2620E544" w14:textId="77777777" w:rsidR="006A438B" w:rsidRPr="00FF00DD" w:rsidRDefault="00182B67" w:rsidP="00ED3976">
            <w:pPr>
              <w:tabs>
                <w:tab w:val="left" w:pos="1037"/>
              </w:tabs>
              <w:spacing w:line="240" w:lineRule="auto"/>
              <w:rPr>
                <w:rFonts w:ascii="Times New Roman" w:hAnsi="Times New Roman"/>
                <w:bCs/>
                <w:sz w:val="22"/>
                <w:szCs w:val="22"/>
              </w:rPr>
            </w:pPr>
            <w:r w:rsidRPr="00FF00DD">
              <w:rPr>
                <w:rFonts w:ascii="Times New Roman" w:hAnsi="Times New Roman"/>
                <w:sz w:val="22"/>
                <w:szCs w:val="22"/>
              </w:rPr>
              <w:t>3.8 Dopady ve vztahu k zákazu diskriminace a ve vztahu k rovnosti žen a mužů</w:t>
            </w:r>
            <w:r w:rsidRPr="00FF00DD">
              <w:rPr>
                <w:rFonts w:ascii="Times New Roman" w:hAnsi="Times New Roman"/>
                <w:bCs/>
                <w:sz w:val="22"/>
                <w:szCs w:val="22"/>
              </w:rPr>
              <w:t xml:space="preserve">: </w:t>
            </w:r>
            <w:r w:rsidR="00650166">
              <w:rPr>
                <w:rFonts w:ascii="Times New Roman" w:hAnsi="Times New Roman"/>
                <w:bCs/>
                <w:sz w:val="22"/>
                <w:szCs w:val="22"/>
              </w:rPr>
              <w:t>Ne</w:t>
            </w:r>
          </w:p>
        </w:tc>
      </w:tr>
      <w:tr w:rsidR="00FF00DD" w:rsidRPr="00FF00DD" w14:paraId="6D13F1DD"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auto"/>
          </w:tcPr>
          <w:p w14:paraId="704047EB" w14:textId="77777777" w:rsidR="006A438B" w:rsidRPr="00FF00DD" w:rsidRDefault="006A438B" w:rsidP="00044732">
            <w:pPr>
              <w:tabs>
                <w:tab w:val="left" w:pos="1037"/>
              </w:tabs>
              <w:spacing w:line="240" w:lineRule="auto"/>
              <w:rPr>
                <w:rFonts w:ascii="Times New Roman" w:hAnsi="Times New Roman"/>
                <w:bCs/>
                <w:sz w:val="22"/>
                <w:szCs w:val="22"/>
              </w:rPr>
            </w:pPr>
          </w:p>
        </w:tc>
      </w:tr>
      <w:tr w:rsidR="00FF00DD" w:rsidRPr="00FF00DD" w14:paraId="7BC7DBBF"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31328FEA" w14:textId="77777777" w:rsidR="006A438B" w:rsidRPr="00FF00DD" w:rsidRDefault="00182B67" w:rsidP="00ED3976">
            <w:pPr>
              <w:tabs>
                <w:tab w:val="left" w:pos="1037"/>
              </w:tabs>
              <w:spacing w:line="240" w:lineRule="auto"/>
              <w:rPr>
                <w:rFonts w:ascii="Times New Roman" w:hAnsi="Times New Roman"/>
                <w:bCs/>
                <w:sz w:val="22"/>
                <w:szCs w:val="22"/>
              </w:rPr>
            </w:pPr>
            <w:r w:rsidRPr="00FF00DD">
              <w:rPr>
                <w:rFonts w:ascii="Times New Roman" w:hAnsi="Times New Roman"/>
                <w:bCs/>
                <w:sz w:val="22"/>
                <w:szCs w:val="22"/>
              </w:rPr>
              <w:t xml:space="preserve">3.9 Dopady na výkon státní statistické služby: </w:t>
            </w:r>
            <w:r w:rsidR="00650166">
              <w:rPr>
                <w:rFonts w:ascii="Times New Roman" w:hAnsi="Times New Roman"/>
                <w:bCs/>
                <w:sz w:val="22"/>
                <w:szCs w:val="22"/>
              </w:rPr>
              <w:t>Ne</w:t>
            </w:r>
          </w:p>
        </w:tc>
      </w:tr>
      <w:tr w:rsidR="00FF00DD" w:rsidRPr="00FF00DD" w14:paraId="46BE5C77"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3D462320" w14:textId="77777777" w:rsidR="006A438B" w:rsidRPr="00FF00DD" w:rsidRDefault="006A438B" w:rsidP="00044732">
            <w:pPr>
              <w:tabs>
                <w:tab w:val="left" w:pos="1037"/>
              </w:tabs>
              <w:spacing w:line="240" w:lineRule="auto"/>
              <w:rPr>
                <w:rFonts w:ascii="Times New Roman" w:hAnsi="Times New Roman"/>
                <w:bCs/>
                <w:sz w:val="22"/>
                <w:szCs w:val="22"/>
              </w:rPr>
            </w:pPr>
          </w:p>
        </w:tc>
      </w:tr>
      <w:tr w:rsidR="00FF00DD" w:rsidRPr="00FF00DD" w14:paraId="3B58014F"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0FEE12E8" w14:textId="77777777" w:rsidR="006A438B" w:rsidRPr="00FF00DD" w:rsidRDefault="00182B67" w:rsidP="00ED3976">
            <w:pPr>
              <w:tabs>
                <w:tab w:val="left" w:pos="1037"/>
              </w:tabs>
              <w:spacing w:line="240" w:lineRule="auto"/>
              <w:rPr>
                <w:rFonts w:ascii="Times New Roman" w:hAnsi="Times New Roman"/>
                <w:bCs/>
                <w:sz w:val="22"/>
                <w:szCs w:val="22"/>
              </w:rPr>
            </w:pPr>
            <w:r w:rsidRPr="00FF00DD">
              <w:rPr>
                <w:rFonts w:ascii="Times New Roman" w:hAnsi="Times New Roman"/>
                <w:bCs/>
                <w:sz w:val="22"/>
                <w:szCs w:val="22"/>
              </w:rPr>
              <w:t xml:space="preserve">3.10 Korupční rizika: </w:t>
            </w:r>
            <w:r w:rsidR="00650166">
              <w:rPr>
                <w:rFonts w:ascii="Times New Roman" w:hAnsi="Times New Roman"/>
                <w:bCs/>
                <w:sz w:val="22"/>
                <w:szCs w:val="22"/>
              </w:rPr>
              <w:t>Ne</w:t>
            </w:r>
          </w:p>
        </w:tc>
      </w:tr>
      <w:tr w:rsidR="00FF00DD" w:rsidRPr="00FF00DD" w14:paraId="6B51ACD9"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3A3701ED" w14:textId="77777777" w:rsidR="006A438B" w:rsidRPr="00FF00DD" w:rsidRDefault="006A438B" w:rsidP="00044732">
            <w:pPr>
              <w:tabs>
                <w:tab w:val="left" w:pos="1037"/>
              </w:tabs>
              <w:spacing w:line="240" w:lineRule="auto"/>
              <w:rPr>
                <w:rFonts w:ascii="Times New Roman" w:hAnsi="Times New Roman"/>
                <w:bCs/>
                <w:sz w:val="22"/>
                <w:szCs w:val="22"/>
              </w:rPr>
            </w:pPr>
          </w:p>
        </w:tc>
      </w:tr>
      <w:tr w:rsidR="00FF00DD" w:rsidRPr="00FF00DD" w14:paraId="1D5DC005"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14:paraId="3760F32C" w14:textId="77777777" w:rsidR="006A438B" w:rsidRPr="00FF00DD" w:rsidRDefault="00182B67" w:rsidP="00ED3976">
            <w:pPr>
              <w:tabs>
                <w:tab w:val="left" w:pos="1037"/>
              </w:tabs>
              <w:spacing w:line="240" w:lineRule="auto"/>
              <w:rPr>
                <w:rFonts w:ascii="Times New Roman" w:hAnsi="Times New Roman"/>
                <w:bCs/>
                <w:sz w:val="22"/>
                <w:szCs w:val="22"/>
              </w:rPr>
            </w:pPr>
            <w:r w:rsidRPr="00FF00DD">
              <w:rPr>
                <w:rFonts w:ascii="Times New Roman" w:hAnsi="Times New Roman"/>
                <w:bCs/>
                <w:sz w:val="22"/>
                <w:szCs w:val="22"/>
              </w:rPr>
              <w:t xml:space="preserve">3.11 Dopady na bezpečnost nebo obranu státu: </w:t>
            </w:r>
            <w:r w:rsidR="00650166">
              <w:rPr>
                <w:rFonts w:ascii="Times New Roman" w:hAnsi="Times New Roman"/>
                <w:bCs/>
                <w:sz w:val="22"/>
                <w:szCs w:val="22"/>
              </w:rPr>
              <w:t>Ne</w:t>
            </w:r>
          </w:p>
        </w:tc>
      </w:tr>
      <w:tr w:rsidR="006A438B" w:rsidRPr="00FF00DD" w14:paraId="74B3270B" w14:textId="77777777" w:rsidTr="006148E5">
        <w:tblPrEx>
          <w:tblBorders>
            <w:top w:val="single" w:sz="4" w:space="0" w:color="auto"/>
            <w:left w:val="single" w:sz="4" w:space="0" w:color="auto"/>
            <w:bottom w:val="single" w:sz="4" w:space="0" w:color="auto"/>
            <w:right w:val="single" w:sz="4" w:space="0" w:color="auto"/>
          </w:tblBorders>
        </w:tblPrEx>
        <w:trPr>
          <w:trHeight w:hRule="exact" w:val="454"/>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309C3BE9" w14:textId="77777777" w:rsidR="006A438B" w:rsidRPr="00FF00DD" w:rsidRDefault="006A438B" w:rsidP="00044732">
            <w:pPr>
              <w:tabs>
                <w:tab w:val="left" w:pos="1037"/>
              </w:tabs>
              <w:spacing w:line="240" w:lineRule="auto"/>
              <w:rPr>
                <w:rFonts w:ascii="Times New Roman" w:hAnsi="Times New Roman"/>
                <w:bCs/>
                <w:sz w:val="22"/>
                <w:szCs w:val="22"/>
              </w:rPr>
            </w:pPr>
          </w:p>
        </w:tc>
      </w:tr>
    </w:tbl>
    <w:p w14:paraId="17EDC331" w14:textId="77777777" w:rsidR="0030680C" w:rsidRDefault="0030680C" w:rsidP="00BC7AFA">
      <w:pPr>
        <w:rPr>
          <w:rFonts w:ascii="Times New Roman" w:hAnsi="Times New Roman"/>
          <w:b/>
          <w:u w:val="single"/>
        </w:rPr>
      </w:pPr>
    </w:p>
    <w:p w14:paraId="1765DB63" w14:textId="77777777" w:rsidR="0030680C" w:rsidRDefault="0030680C">
      <w:pPr>
        <w:spacing w:before="0" w:after="0" w:line="240" w:lineRule="auto"/>
        <w:jc w:val="left"/>
        <w:rPr>
          <w:rFonts w:ascii="Times New Roman" w:hAnsi="Times New Roman"/>
          <w:b/>
          <w:u w:val="single"/>
        </w:rPr>
      </w:pPr>
      <w:r>
        <w:rPr>
          <w:rFonts w:ascii="Times New Roman" w:hAnsi="Times New Roman"/>
          <w:b/>
          <w:u w:val="single"/>
        </w:rPr>
        <w:br w:type="page"/>
      </w:r>
    </w:p>
    <w:p w14:paraId="399E1B5D" w14:textId="77777777" w:rsidR="00B752AD" w:rsidRPr="00FF00DD" w:rsidRDefault="00B752AD" w:rsidP="008303FC">
      <w:pPr>
        <w:spacing w:line="240" w:lineRule="auto"/>
        <w:jc w:val="center"/>
        <w:rPr>
          <w:rFonts w:ascii="Times New Roman" w:hAnsi="Times New Roman"/>
          <w:b/>
        </w:rPr>
      </w:pPr>
      <w:r w:rsidRPr="00FF00DD">
        <w:rPr>
          <w:rFonts w:ascii="Times New Roman" w:hAnsi="Times New Roman"/>
          <w:b/>
          <w:bCs/>
          <w:caps/>
        </w:rPr>
        <w:lastRenderedPageBreak/>
        <w:t>Závěrečná zpráva z hodnocení dopadů regulace (RIA)</w:t>
      </w:r>
    </w:p>
    <w:p w14:paraId="018C93AF" w14:textId="77777777" w:rsidR="00B752AD" w:rsidRPr="00FF00DD" w:rsidRDefault="00B752AD" w:rsidP="00AC24A0">
      <w:pPr>
        <w:pStyle w:val="FormtovanvHTML"/>
        <w:spacing w:before="360" w:after="120"/>
        <w:contextualSpacing/>
        <w:jc w:val="both"/>
        <w:rPr>
          <w:rFonts w:ascii="Times New Roman" w:hAnsi="Times New Roman" w:cs="Times New Roman"/>
          <w:b/>
          <w:bCs/>
          <w:sz w:val="24"/>
          <w:szCs w:val="24"/>
        </w:rPr>
      </w:pPr>
      <w:r w:rsidRPr="00FF00DD">
        <w:rPr>
          <w:rFonts w:ascii="Times New Roman" w:hAnsi="Times New Roman" w:cs="Times New Roman"/>
          <w:b/>
          <w:bCs/>
          <w:sz w:val="24"/>
          <w:szCs w:val="24"/>
        </w:rPr>
        <w:t>1. Důvod předložení a cíle</w:t>
      </w:r>
    </w:p>
    <w:p w14:paraId="090A4C56" w14:textId="77777777" w:rsidR="00B752AD" w:rsidRPr="00FF00DD" w:rsidRDefault="00B752AD" w:rsidP="00AC24A0">
      <w:pPr>
        <w:pStyle w:val="Prosttext"/>
        <w:spacing w:before="240" w:after="120"/>
        <w:jc w:val="both"/>
        <w:outlineLvl w:val="0"/>
        <w:rPr>
          <w:rFonts w:ascii="Times New Roman" w:hAnsi="Times New Roman"/>
          <w:sz w:val="24"/>
          <w:szCs w:val="24"/>
          <w:u w:val="single"/>
        </w:rPr>
      </w:pPr>
      <w:r w:rsidRPr="00FF00DD">
        <w:rPr>
          <w:rFonts w:ascii="Times New Roman" w:hAnsi="Times New Roman"/>
          <w:sz w:val="24"/>
          <w:szCs w:val="24"/>
          <w:u w:val="single"/>
        </w:rPr>
        <w:t>1.1. Název</w:t>
      </w:r>
    </w:p>
    <w:p w14:paraId="6B1F35B7" w14:textId="77777777" w:rsidR="00B752AD" w:rsidRPr="00FF00DD" w:rsidRDefault="00B752AD" w:rsidP="00AC24A0">
      <w:pPr>
        <w:spacing w:line="240" w:lineRule="auto"/>
        <w:rPr>
          <w:rFonts w:ascii="Times New Roman" w:hAnsi="Times New Roman"/>
        </w:rPr>
      </w:pPr>
      <w:r w:rsidRPr="00FF00DD">
        <w:rPr>
          <w:rFonts w:ascii="Times New Roman" w:hAnsi="Times New Roman"/>
        </w:rPr>
        <w:t>Zákon, kterým se mění zákon č. 61/1988 Sb., o hornické činnosti, výbušninách</w:t>
      </w:r>
      <w:r w:rsidR="0095147B">
        <w:rPr>
          <w:rFonts w:ascii="Times New Roman" w:hAnsi="Times New Roman"/>
        </w:rPr>
        <w:t xml:space="preserve"> </w:t>
      </w:r>
      <w:r w:rsidRPr="00FF00DD">
        <w:rPr>
          <w:rFonts w:ascii="Times New Roman" w:hAnsi="Times New Roman"/>
        </w:rPr>
        <w:t>a</w:t>
      </w:r>
      <w:r w:rsidR="00FF00DD">
        <w:rPr>
          <w:rFonts w:ascii="Times New Roman" w:hAnsi="Times New Roman"/>
        </w:rPr>
        <w:t> </w:t>
      </w:r>
      <w:r w:rsidRPr="00FF00DD">
        <w:rPr>
          <w:rFonts w:ascii="Times New Roman" w:hAnsi="Times New Roman"/>
        </w:rPr>
        <w:t>o</w:t>
      </w:r>
      <w:r w:rsidR="00FF00DD">
        <w:rPr>
          <w:rFonts w:ascii="Times New Roman" w:hAnsi="Times New Roman"/>
        </w:rPr>
        <w:t> </w:t>
      </w:r>
      <w:r w:rsidRPr="00FF00DD">
        <w:rPr>
          <w:rFonts w:ascii="Times New Roman" w:hAnsi="Times New Roman"/>
        </w:rPr>
        <w:t>státní báňské správě, ve znění pozdějších předpisů.</w:t>
      </w:r>
    </w:p>
    <w:p w14:paraId="275C94D9" w14:textId="77777777" w:rsidR="00B752AD" w:rsidRPr="00625916" w:rsidRDefault="00B752AD" w:rsidP="00AC24A0">
      <w:pPr>
        <w:pStyle w:val="Prosttext"/>
        <w:spacing w:before="240" w:after="120"/>
        <w:jc w:val="both"/>
        <w:outlineLvl w:val="0"/>
        <w:rPr>
          <w:rFonts w:ascii="Times New Roman" w:hAnsi="Times New Roman"/>
          <w:sz w:val="24"/>
          <w:szCs w:val="24"/>
          <w:u w:val="single"/>
        </w:rPr>
      </w:pPr>
      <w:r w:rsidRPr="00625916">
        <w:rPr>
          <w:rFonts w:ascii="Times New Roman" w:hAnsi="Times New Roman"/>
          <w:sz w:val="24"/>
          <w:szCs w:val="24"/>
          <w:u w:val="single"/>
        </w:rPr>
        <w:t>1.2. Definice problému</w:t>
      </w:r>
    </w:p>
    <w:p w14:paraId="25C6FF28" w14:textId="77777777" w:rsidR="003F2D63" w:rsidRPr="00C964E5" w:rsidRDefault="003F2D63" w:rsidP="003F2D63">
      <w:pPr>
        <w:pStyle w:val="Paragraf"/>
        <w:tabs>
          <w:tab w:val="left" w:pos="709"/>
        </w:tabs>
        <w:spacing w:before="0" w:after="120"/>
        <w:contextualSpacing/>
        <w:jc w:val="both"/>
        <w:rPr>
          <w:rFonts w:eastAsia="MS Mincho"/>
          <w:bCs/>
          <w:szCs w:val="24"/>
          <w:u w:val="single"/>
        </w:rPr>
      </w:pPr>
      <w:r w:rsidRPr="00C964E5">
        <w:rPr>
          <w:rFonts w:eastAsia="MS Mincho"/>
          <w:bCs/>
          <w:szCs w:val="24"/>
          <w:u w:val="single"/>
        </w:rPr>
        <w:t>1.2.1</w:t>
      </w:r>
      <w:r w:rsidRPr="00C964E5">
        <w:rPr>
          <w:rFonts w:eastAsia="MS Mincho"/>
          <w:bCs/>
          <w:szCs w:val="24"/>
          <w:u w:val="single"/>
        </w:rPr>
        <w:tab/>
        <w:t>Uspořádání státní báňské správy</w:t>
      </w:r>
    </w:p>
    <w:p w14:paraId="5E376F75" w14:textId="1A12035F" w:rsidR="00287CB8" w:rsidRPr="00625916" w:rsidRDefault="001959C1" w:rsidP="00DB2169">
      <w:pPr>
        <w:spacing w:line="240" w:lineRule="auto"/>
        <w:rPr>
          <w:rFonts w:ascii="Times New Roman" w:hAnsi="Times New Roman"/>
        </w:rPr>
      </w:pPr>
      <w:r w:rsidRPr="00625916">
        <w:rPr>
          <w:rFonts w:ascii="Times New Roman" w:hAnsi="Times New Roman"/>
        </w:rPr>
        <w:t xml:space="preserve">Obvodnímu báňskému úřadu pro území Libereckého kraje a Vysočiny, sídlícímu v Liberci, byla v minulosti svěřena působnost v Kraji Vysočina především kvůli </w:t>
      </w:r>
      <w:r w:rsidR="00A93738" w:rsidRPr="00625916">
        <w:rPr>
          <w:rFonts w:ascii="Times New Roman" w:hAnsi="Times New Roman"/>
        </w:rPr>
        <w:t xml:space="preserve">dlouhodobé specializaci tohoto úřadu na </w:t>
      </w:r>
      <w:r w:rsidRPr="00625916">
        <w:rPr>
          <w:rFonts w:ascii="Times New Roman" w:hAnsi="Times New Roman"/>
        </w:rPr>
        <w:t xml:space="preserve">dobývání ložisek </w:t>
      </w:r>
      <w:r w:rsidR="00A93738" w:rsidRPr="00625916">
        <w:rPr>
          <w:rFonts w:ascii="Times New Roman" w:hAnsi="Times New Roman"/>
        </w:rPr>
        <w:t>radioaktivních nerostů</w:t>
      </w:r>
      <w:r w:rsidRPr="00625916">
        <w:rPr>
          <w:rFonts w:ascii="Times New Roman" w:hAnsi="Times New Roman"/>
        </w:rPr>
        <w:t xml:space="preserve">, které zde probíhalo, stejně jako v Libereckém kraji. V návaznosti na útlum dobývání ložisek uranové rudy v Kraji Vysočina však ztrácí tato delimitace působnosti </w:t>
      </w:r>
      <w:r w:rsidR="00543B36">
        <w:rPr>
          <w:rFonts w:ascii="Times New Roman" w:hAnsi="Times New Roman"/>
        </w:rPr>
        <w:t xml:space="preserve">jmenovaného OBÚ své </w:t>
      </w:r>
      <w:r w:rsidRPr="00625916">
        <w:rPr>
          <w:rFonts w:ascii="Times New Roman" w:hAnsi="Times New Roman"/>
        </w:rPr>
        <w:t xml:space="preserve">opodstatnění. </w:t>
      </w:r>
      <w:bookmarkStart w:id="1" w:name="_Hlk40197635"/>
      <w:r w:rsidRPr="00625916">
        <w:rPr>
          <w:rFonts w:ascii="Times New Roman" w:hAnsi="Times New Roman"/>
        </w:rPr>
        <w:t>Za těchto okolností je nutné přistoupit k</w:t>
      </w:r>
      <w:r w:rsidR="00543B36">
        <w:rPr>
          <w:rFonts w:ascii="Times New Roman" w:hAnsi="Times New Roman"/>
        </w:rPr>
        <w:t> </w:t>
      </w:r>
      <w:r w:rsidRPr="00625916">
        <w:rPr>
          <w:rFonts w:ascii="Times New Roman" w:hAnsi="Times New Roman"/>
        </w:rPr>
        <w:t xml:space="preserve">optimalizaci </w:t>
      </w:r>
      <w:r w:rsidR="00857845" w:rsidRPr="00625916">
        <w:rPr>
          <w:rFonts w:ascii="Times New Roman" w:hAnsi="Times New Roman"/>
        </w:rPr>
        <w:t>místní příslušnosti</w:t>
      </w:r>
      <w:r w:rsidRPr="00625916">
        <w:rPr>
          <w:rFonts w:ascii="Times New Roman" w:hAnsi="Times New Roman"/>
        </w:rPr>
        <w:t xml:space="preserve"> orgánů státní báňské správy</w:t>
      </w:r>
      <w:bookmarkEnd w:id="1"/>
      <w:r w:rsidRPr="00625916">
        <w:rPr>
          <w:rFonts w:ascii="Times New Roman" w:hAnsi="Times New Roman"/>
        </w:rPr>
        <w:t>.</w:t>
      </w:r>
      <w:r w:rsidR="00543B36">
        <w:rPr>
          <w:rFonts w:ascii="Times New Roman" w:hAnsi="Times New Roman"/>
        </w:rPr>
        <w:t xml:space="preserve"> Daná úprava navíc reflektuje plánovanou systemizaci orgánů </w:t>
      </w:r>
      <w:r w:rsidR="00543B36" w:rsidRPr="00FF00DD">
        <w:rPr>
          <w:rFonts w:ascii="Times New Roman" w:hAnsi="Times New Roman"/>
        </w:rPr>
        <w:t>státní báňské správ</w:t>
      </w:r>
      <w:r w:rsidR="00543B36">
        <w:rPr>
          <w:rFonts w:ascii="Times New Roman" w:hAnsi="Times New Roman"/>
        </w:rPr>
        <w:t>y.</w:t>
      </w:r>
    </w:p>
    <w:p w14:paraId="0FBBB1C0" w14:textId="77777777" w:rsidR="003F2D63" w:rsidRPr="00C964E5" w:rsidRDefault="003F2D63" w:rsidP="009120CB">
      <w:pPr>
        <w:pStyle w:val="Paragraf"/>
        <w:tabs>
          <w:tab w:val="left" w:pos="709"/>
        </w:tabs>
        <w:spacing w:before="0" w:after="120"/>
        <w:contextualSpacing/>
        <w:jc w:val="both"/>
        <w:rPr>
          <w:rFonts w:eastAsia="MS Mincho"/>
          <w:bCs/>
          <w:szCs w:val="24"/>
          <w:u w:val="single"/>
        </w:rPr>
      </w:pPr>
      <w:r w:rsidRPr="00C964E5">
        <w:rPr>
          <w:rFonts w:eastAsia="MS Mincho"/>
          <w:bCs/>
          <w:szCs w:val="24"/>
          <w:u w:val="single"/>
        </w:rPr>
        <w:t>1.2.2</w:t>
      </w:r>
      <w:r w:rsidRPr="00C964E5">
        <w:rPr>
          <w:rFonts w:eastAsia="MS Mincho"/>
          <w:bCs/>
          <w:szCs w:val="24"/>
          <w:u w:val="single"/>
        </w:rPr>
        <w:tab/>
        <w:t>Vývoz výbušnin</w:t>
      </w:r>
    </w:p>
    <w:p w14:paraId="2E9EC8DA" w14:textId="65BD5580" w:rsidR="00495439" w:rsidRPr="00FB160D" w:rsidRDefault="003F2D63" w:rsidP="009120CB">
      <w:pPr>
        <w:spacing w:before="0" w:line="240" w:lineRule="auto"/>
        <w:rPr>
          <w:rFonts w:ascii="Times New Roman" w:hAnsi="Times New Roman"/>
        </w:rPr>
      </w:pPr>
      <w:r w:rsidRPr="000F66F5">
        <w:rPr>
          <w:rFonts w:ascii="Times New Roman" w:hAnsi="Times New Roman"/>
        </w:rPr>
        <w:t xml:space="preserve">Pokud jde o povolování vývozu výbušnin do třetích zemí, </w:t>
      </w:r>
      <w:r w:rsidR="0073673B">
        <w:rPr>
          <w:rFonts w:ascii="Times New Roman" w:hAnsi="Times New Roman"/>
        </w:rPr>
        <w:t xml:space="preserve">současné znění </w:t>
      </w:r>
      <w:r w:rsidRPr="000F66F5">
        <w:rPr>
          <w:rFonts w:ascii="Times New Roman" w:hAnsi="Times New Roman"/>
        </w:rPr>
        <w:t>zákon</w:t>
      </w:r>
      <w:r w:rsidR="0073673B">
        <w:rPr>
          <w:rFonts w:ascii="Times New Roman" w:hAnsi="Times New Roman"/>
        </w:rPr>
        <w:t>a</w:t>
      </w:r>
      <w:r w:rsidRPr="000F66F5">
        <w:rPr>
          <w:rFonts w:ascii="Times New Roman" w:hAnsi="Times New Roman"/>
        </w:rPr>
        <w:t xml:space="preserve"> č. 61/1988 Sb. </w:t>
      </w:r>
      <w:r w:rsidR="0073673B">
        <w:rPr>
          <w:rFonts w:ascii="Times New Roman" w:hAnsi="Times New Roman"/>
        </w:rPr>
        <w:t>požaduje</w:t>
      </w:r>
      <w:r w:rsidRPr="000F66F5">
        <w:rPr>
          <w:rFonts w:ascii="Times New Roman" w:hAnsi="Times New Roman"/>
        </w:rPr>
        <w:t xml:space="preserve">, aby žadatelé o </w:t>
      </w:r>
      <w:r w:rsidR="0073673B">
        <w:rPr>
          <w:rFonts w:ascii="Times New Roman" w:hAnsi="Times New Roman"/>
        </w:rPr>
        <w:t>vývoz</w:t>
      </w:r>
      <w:r w:rsidR="00D439F4" w:rsidRPr="000F66F5">
        <w:rPr>
          <w:rFonts w:ascii="Times New Roman" w:hAnsi="Times New Roman"/>
        </w:rPr>
        <w:t xml:space="preserve"> </w:t>
      </w:r>
      <w:r w:rsidRPr="000F66F5">
        <w:rPr>
          <w:rFonts w:ascii="Times New Roman" w:hAnsi="Times New Roman"/>
        </w:rPr>
        <w:t>přikládali dovozní povolení třetích zemí s antireexportní doložkou</w:t>
      </w:r>
      <w:r w:rsidR="00D439F4" w:rsidRPr="000F66F5">
        <w:rPr>
          <w:rFonts w:ascii="Times New Roman" w:hAnsi="Times New Roman"/>
        </w:rPr>
        <w:t xml:space="preserve">. </w:t>
      </w:r>
      <w:r w:rsidR="00495439" w:rsidRPr="000F66F5">
        <w:rPr>
          <w:rFonts w:ascii="Times New Roman" w:hAnsi="Times New Roman"/>
        </w:rPr>
        <w:t xml:space="preserve">Získání této antireexportní doložky je však v případech, kdy příslušné orgány třetích zemí vydávají dovozní povolení na předdefinovaných </w:t>
      </w:r>
      <w:r w:rsidR="0073673B">
        <w:rPr>
          <w:rFonts w:ascii="Times New Roman" w:hAnsi="Times New Roman"/>
        </w:rPr>
        <w:t>formulářích</w:t>
      </w:r>
      <w:r w:rsidR="00495439" w:rsidRPr="000F66F5">
        <w:rPr>
          <w:rFonts w:ascii="Times New Roman" w:hAnsi="Times New Roman"/>
        </w:rPr>
        <w:t>, které s antireexportní doložkou nepočítají, velmi složité</w:t>
      </w:r>
      <w:r w:rsidR="0073673B">
        <w:rPr>
          <w:rFonts w:ascii="Times New Roman" w:hAnsi="Times New Roman"/>
        </w:rPr>
        <w:t>.</w:t>
      </w:r>
      <w:r w:rsidR="00495439" w:rsidRPr="000F66F5">
        <w:rPr>
          <w:rFonts w:ascii="Times New Roman" w:hAnsi="Times New Roman"/>
        </w:rPr>
        <w:t xml:space="preserve"> </w:t>
      </w:r>
      <w:r w:rsidR="0073673B">
        <w:rPr>
          <w:rFonts w:ascii="Times New Roman" w:hAnsi="Times New Roman"/>
        </w:rPr>
        <w:t>Ž</w:t>
      </w:r>
      <w:r w:rsidR="00495439" w:rsidRPr="000F66F5">
        <w:rPr>
          <w:rFonts w:ascii="Times New Roman" w:hAnsi="Times New Roman"/>
        </w:rPr>
        <w:t xml:space="preserve">adatelé o povolení jsou </w:t>
      </w:r>
      <w:r w:rsidR="0073673B">
        <w:rPr>
          <w:rFonts w:ascii="Times New Roman" w:hAnsi="Times New Roman"/>
        </w:rPr>
        <w:t xml:space="preserve">v takovém případě </w:t>
      </w:r>
      <w:r w:rsidR="00495439" w:rsidRPr="000F66F5">
        <w:rPr>
          <w:rFonts w:ascii="Times New Roman" w:hAnsi="Times New Roman"/>
        </w:rPr>
        <w:t xml:space="preserve">nuceni vyvíjet snahu vůči </w:t>
      </w:r>
      <w:r w:rsidR="0073673B">
        <w:rPr>
          <w:rFonts w:ascii="Times New Roman" w:hAnsi="Times New Roman"/>
        </w:rPr>
        <w:t xml:space="preserve">svým </w:t>
      </w:r>
      <w:r w:rsidR="00495439" w:rsidRPr="000F66F5">
        <w:rPr>
          <w:rFonts w:ascii="Times New Roman" w:hAnsi="Times New Roman"/>
        </w:rPr>
        <w:t>obchodním partnerům</w:t>
      </w:r>
      <w:r w:rsidR="0073673B">
        <w:rPr>
          <w:rFonts w:ascii="Times New Roman" w:hAnsi="Times New Roman"/>
        </w:rPr>
        <w:t xml:space="preserve"> v dané zemi</w:t>
      </w:r>
      <w:r w:rsidR="00495439" w:rsidRPr="000F66F5">
        <w:rPr>
          <w:rFonts w:ascii="Times New Roman" w:hAnsi="Times New Roman"/>
        </w:rPr>
        <w:t xml:space="preserve">, aby </w:t>
      </w:r>
      <w:r w:rsidR="0073673B">
        <w:rPr>
          <w:rFonts w:ascii="Times New Roman" w:hAnsi="Times New Roman"/>
        </w:rPr>
        <w:t>se snažili přimět</w:t>
      </w:r>
      <w:r w:rsidR="00495439" w:rsidRPr="000F66F5">
        <w:rPr>
          <w:rFonts w:ascii="Times New Roman" w:hAnsi="Times New Roman"/>
        </w:rPr>
        <w:t xml:space="preserve"> orgány třetích zemí separátní antireexportní doložky vydat</w:t>
      </w:r>
      <w:r w:rsidR="0073673B">
        <w:rPr>
          <w:rFonts w:ascii="Times New Roman" w:hAnsi="Times New Roman"/>
        </w:rPr>
        <w:t xml:space="preserve"> formou nepovinného přípisu, což je však limitováno případným rozsahem pravomocí stanovených právními předpisy dané země</w:t>
      </w:r>
      <w:r w:rsidR="00495439" w:rsidRPr="000F66F5">
        <w:rPr>
          <w:rFonts w:ascii="Times New Roman" w:hAnsi="Times New Roman"/>
        </w:rPr>
        <w:t xml:space="preserve">. </w:t>
      </w:r>
      <w:r w:rsidR="003E16D0" w:rsidRPr="000F66F5">
        <w:rPr>
          <w:rFonts w:ascii="Times New Roman" w:hAnsi="Times New Roman"/>
        </w:rPr>
        <w:t xml:space="preserve">Tím se </w:t>
      </w:r>
      <w:r w:rsidR="003A73A8">
        <w:rPr>
          <w:rFonts w:ascii="Times New Roman" w:hAnsi="Times New Roman"/>
        </w:rPr>
        <w:t xml:space="preserve">uskutečnění </w:t>
      </w:r>
      <w:r w:rsidR="003E16D0" w:rsidRPr="00963128">
        <w:rPr>
          <w:rFonts w:ascii="Times New Roman" w:hAnsi="Times New Roman"/>
        </w:rPr>
        <w:t>obchodní</w:t>
      </w:r>
      <w:r w:rsidR="003A73A8">
        <w:rPr>
          <w:rFonts w:ascii="Times New Roman" w:hAnsi="Times New Roman"/>
        </w:rPr>
        <w:t>ch</w:t>
      </w:r>
      <w:r w:rsidR="003E16D0" w:rsidRPr="00963128">
        <w:rPr>
          <w:rFonts w:ascii="Times New Roman" w:hAnsi="Times New Roman"/>
        </w:rPr>
        <w:t xml:space="preserve"> transakc</w:t>
      </w:r>
      <w:r w:rsidR="003A73A8">
        <w:rPr>
          <w:rFonts w:ascii="Times New Roman" w:hAnsi="Times New Roman"/>
        </w:rPr>
        <w:t>í</w:t>
      </w:r>
      <w:r w:rsidR="003E16D0" w:rsidRPr="00963128">
        <w:rPr>
          <w:rFonts w:ascii="Times New Roman" w:hAnsi="Times New Roman"/>
        </w:rPr>
        <w:t xml:space="preserve"> </w:t>
      </w:r>
      <w:r w:rsidR="003A73A8">
        <w:rPr>
          <w:rFonts w:ascii="Times New Roman" w:hAnsi="Times New Roman"/>
        </w:rPr>
        <w:t>může</w:t>
      </w:r>
      <w:r w:rsidR="0073673B">
        <w:rPr>
          <w:rFonts w:ascii="Times New Roman" w:hAnsi="Times New Roman"/>
        </w:rPr>
        <w:t xml:space="preserve"> občas</w:t>
      </w:r>
      <w:r w:rsidR="003A73A8">
        <w:rPr>
          <w:rFonts w:ascii="Times New Roman" w:hAnsi="Times New Roman"/>
        </w:rPr>
        <w:t xml:space="preserve"> </w:t>
      </w:r>
      <w:r w:rsidR="003E16D0" w:rsidRPr="00DB2169">
        <w:rPr>
          <w:rFonts w:ascii="Times New Roman" w:hAnsi="Times New Roman"/>
        </w:rPr>
        <w:t xml:space="preserve">značně </w:t>
      </w:r>
      <w:r w:rsidR="0073673B">
        <w:rPr>
          <w:rFonts w:ascii="Times New Roman" w:hAnsi="Times New Roman"/>
        </w:rPr>
        <w:t>časově oddálit</w:t>
      </w:r>
      <w:r w:rsidR="003E16D0" w:rsidRPr="00DB2169">
        <w:rPr>
          <w:rFonts w:ascii="Times New Roman" w:hAnsi="Times New Roman"/>
        </w:rPr>
        <w:t>.</w:t>
      </w:r>
      <w:r w:rsidR="00855FE6">
        <w:rPr>
          <w:rFonts w:ascii="Times New Roman" w:hAnsi="Times New Roman"/>
        </w:rPr>
        <w:t xml:space="preserve"> </w:t>
      </w:r>
      <w:r w:rsidR="00990126">
        <w:rPr>
          <w:rFonts w:ascii="Times New Roman" w:hAnsi="Times New Roman"/>
        </w:rPr>
        <w:t xml:space="preserve">Týká se to prakticky všech </w:t>
      </w:r>
      <w:r w:rsidR="00855FE6">
        <w:rPr>
          <w:rFonts w:ascii="Times New Roman" w:hAnsi="Times New Roman"/>
        </w:rPr>
        <w:t xml:space="preserve">správních řízení </w:t>
      </w:r>
      <w:r w:rsidR="00990126">
        <w:rPr>
          <w:rFonts w:ascii="Times New Roman" w:hAnsi="Times New Roman"/>
        </w:rPr>
        <w:t>o žádosti o povolení vývozu výbušnin, tedy ročně okolo 50 případů (v roce 2019 vedl Český báňský úřad 48 takových řízení, v roce 2018 celkem 53).</w:t>
      </w:r>
    </w:p>
    <w:p w14:paraId="1C8C0C38" w14:textId="77777777" w:rsidR="000F66F5" w:rsidRPr="00963128" w:rsidRDefault="000F66F5">
      <w:pPr>
        <w:pStyle w:val="Paragraf"/>
        <w:tabs>
          <w:tab w:val="left" w:pos="709"/>
        </w:tabs>
        <w:spacing w:before="0" w:after="120"/>
        <w:contextualSpacing/>
        <w:jc w:val="both"/>
        <w:rPr>
          <w:rFonts w:eastAsia="MS Mincho"/>
          <w:bCs/>
          <w:szCs w:val="24"/>
          <w:u w:val="single"/>
        </w:rPr>
      </w:pPr>
      <w:r w:rsidRPr="00003AB8">
        <w:rPr>
          <w:rFonts w:eastAsia="MS Mincho"/>
          <w:bCs/>
          <w:szCs w:val="24"/>
          <w:u w:val="single"/>
        </w:rPr>
        <w:t>1.2.3</w:t>
      </w:r>
      <w:r w:rsidRPr="00963128">
        <w:rPr>
          <w:rFonts w:eastAsia="MS Mincho"/>
          <w:bCs/>
          <w:szCs w:val="24"/>
          <w:u w:val="single"/>
        </w:rPr>
        <w:tab/>
      </w:r>
      <w:r w:rsidR="00C964E5" w:rsidRPr="00963128">
        <w:rPr>
          <w:rFonts w:eastAsia="MS Mincho"/>
          <w:bCs/>
          <w:szCs w:val="24"/>
          <w:u w:val="single"/>
        </w:rPr>
        <w:t>Výměna informací mezi Českým báňským úřadem a celními úřady</w:t>
      </w:r>
    </w:p>
    <w:p w14:paraId="43BD7C96" w14:textId="6244C382" w:rsidR="00331DD8" w:rsidRPr="00735E05" w:rsidRDefault="00963128" w:rsidP="00305615">
      <w:pPr>
        <w:spacing w:line="240" w:lineRule="auto"/>
        <w:rPr>
          <w:rFonts w:ascii="Times New Roman" w:hAnsi="Times New Roman"/>
          <w:lang w:eastAsia="cs-CZ"/>
        </w:rPr>
      </w:pPr>
      <w:r w:rsidRPr="00963128">
        <w:rPr>
          <w:rFonts w:ascii="Times New Roman" w:hAnsi="Times New Roman"/>
          <w:lang w:eastAsia="cs-CZ"/>
        </w:rPr>
        <w:t xml:space="preserve">Podle současné právní úpravy má Český báňský úřad </w:t>
      </w:r>
      <w:r w:rsidR="00592AFE">
        <w:rPr>
          <w:rFonts w:ascii="Times New Roman" w:hAnsi="Times New Roman"/>
          <w:lang w:eastAsia="cs-CZ"/>
        </w:rPr>
        <w:t xml:space="preserve">(dále jen „ČBÚ“) </w:t>
      </w:r>
      <w:r w:rsidRPr="00963128">
        <w:rPr>
          <w:rFonts w:ascii="Times New Roman" w:hAnsi="Times New Roman"/>
          <w:lang w:eastAsia="cs-CZ"/>
        </w:rPr>
        <w:t xml:space="preserve">povinnost zasílat Generálnímu ředitelství cel </w:t>
      </w:r>
      <w:r w:rsidR="00FB160D" w:rsidRPr="008643A7">
        <w:rPr>
          <w:rFonts w:ascii="Times New Roman" w:hAnsi="Times New Roman"/>
        </w:rPr>
        <w:t>(dále jen „GŘC“)</w:t>
      </w:r>
      <w:r w:rsidR="00FB160D">
        <w:rPr>
          <w:rFonts w:ascii="Times New Roman" w:hAnsi="Times New Roman"/>
        </w:rPr>
        <w:t xml:space="preserve"> </w:t>
      </w:r>
      <w:r w:rsidR="002842A4">
        <w:rPr>
          <w:rFonts w:ascii="Times New Roman" w:hAnsi="Times New Roman"/>
          <w:lang w:eastAsia="cs-CZ"/>
        </w:rPr>
        <w:t xml:space="preserve">vydaná pravomocná povolení k nabývání, předávání, tranzitu, vývozu a dovozu výbušnin, a to navzdory skutečnosti, že </w:t>
      </w:r>
      <w:r w:rsidR="00DB2169">
        <w:rPr>
          <w:rFonts w:ascii="Times New Roman" w:hAnsi="Times New Roman"/>
          <w:lang w:eastAsia="cs-CZ"/>
        </w:rPr>
        <w:t xml:space="preserve">povolení </w:t>
      </w:r>
      <w:r w:rsidR="00CB381C">
        <w:rPr>
          <w:rFonts w:ascii="Times New Roman" w:hAnsi="Times New Roman"/>
          <w:lang w:eastAsia="cs-CZ"/>
        </w:rPr>
        <w:t xml:space="preserve">pokrývají </w:t>
      </w:r>
      <w:r w:rsidR="00DB2169">
        <w:rPr>
          <w:rFonts w:ascii="Times New Roman" w:hAnsi="Times New Roman"/>
          <w:lang w:eastAsia="cs-CZ"/>
        </w:rPr>
        <w:t xml:space="preserve">i vnitrostátní </w:t>
      </w:r>
      <w:r w:rsidR="00CB381C">
        <w:rPr>
          <w:rFonts w:ascii="Times New Roman" w:hAnsi="Times New Roman"/>
          <w:lang w:eastAsia="cs-CZ"/>
        </w:rPr>
        <w:t>transakce či transakce v rámci Evropské unie,</w:t>
      </w:r>
      <w:r w:rsidR="00305615">
        <w:rPr>
          <w:rFonts w:ascii="Times New Roman" w:hAnsi="Times New Roman"/>
          <w:lang w:eastAsia="cs-CZ"/>
        </w:rPr>
        <w:t xml:space="preserve"> ačkoliv se role </w:t>
      </w:r>
      <w:r w:rsidR="00305615" w:rsidRPr="008643A7">
        <w:rPr>
          <w:rFonts w:ascii="Times New Roman" w:hAnsi="Times New Roman"/>
        </w:rPr>
        <w:t xml:space="preserve">orgánů Celní správy České republiky omezuje pouze na činnosti související s celním řízením, a řada takovýchto údajů je pro GŘC, </w:t>
      </w:r>
      <w:r w:rsidR="0073673B">
        <w:rPr>
          <w:rFonts w:ascii="Times New Roman" w:hAnsi="Times New Roman"/>
        </w:rPr>
        <w:t>resp.</w:t>
      </w:r>
      <w:r w:rsidR="00305615" w:rsidRPr="008643A7">
        <w:rPr>
          <w:rFonts w:ascii="Times New Roman" w:hAnsi="Times New Roman"/>
        </w:rPr>
        <w:t xml:space="preserve"> celní úřady, zbytečná.</w:t>
      </w:r>
      <w:r w:rsidR="00305615">
        <w:rPr>
          <w:rFonts w:ascii="Times New Roman" w:hAnsi="Times New Roman"/>
        </w:rPr>
        <w:t xml:space="preserve"> </w:t>
      </w:r>
      <w:r w:rsidR="00FB160D">
        <w:rPr>
          <w:rFonts w:ascii="Times New Roman" w:hAnsi="Times New Roman"/>
          <w:lang w:eastAsia="cs-CZ"/>
        </w:rPr>
        <w:t xml:space="preserve">Způsob poskytování těchto povolení navíc </w:t>
      </w:r>
      <w:r w:rsidR="009A5987">
        <w:rPr>
          <w:rFonts w:ascii="Times New Roman" w:hAnsi="Times New Roman"/>
          <w:lang w:eastAsia="cs-CZ"/>
        </w:rPr>
        <w:t xml:space="preserve">nedovoluje ČBÚ </w:t>
      </w:r>
      <w:r w:rsidR="00E50EE3">
        <w:rPr>
          <w:rFonts w:ascii="Times New Roman" w:hAnsi="Times New Roman"/>
          <w:lang w:eastAsia="cs-CZ"/>
        </w:rPr>
        <w:t>an</w:t>
      </w:r>
      <w:r w:rsidR="009A5987">
        <w:rPr>
          <w:rFonts w:ascii="Times New Roman" w:hAnsi="Times New Roman"/>
          <w:lang w:eastAsia="cs-CZ"/>
        </w:rPr>
        <w:t xml:space="preserve">i GŘC </w:t>
      </w:r>
      <w:r w:rsidR="00E50EE3">
        <w:rPr>
          <w:rFonts w:ascii="Times New Roman" w:hAnsi="Times New Roman"/>
          <w:lang w:eastAsia="cs-CZ"/>
        </w:rPr>
        <w:t xml:space="preserve">využívat flexibilnějších nástrojů v podobě zavedených informačních </w:t>
      </w:r>
      <w:r w:rsidR="00C83D49">
        <w:rPr>
          <w:rFonts w:ascii="Times New Roman" w:hAnsi="Times New Roman"/>
          <w:lang w:eastAsia="cs-CZ"/>
        </w:rPr>
        <w:t>systémů</w:t>
      </w:r>
      <w:r w:rsidR="00E50EE3">
        <w:rPr>
          <w:rFonts w:ascii="Times New Roman" w:hAnsi="Times New Roman"/>
          <w:lang w:eastAsia="cs-CZ"/>
        </w:rPr>
        <w:t xml:space="preserve">, které by </w:t>
      </w:r>
      <w:r w:rsidR="00C83D49">
        <w:rPr>
          <w:rFonts w:ascii="Times New Roman" w:hAnsi="Times New Roman"/>
          <w:lang w:eastAsia="cs-CZ"/>
        </w:rPr>
        <w:t xml:space="preserve">údaje </w:t>
      </w:r>
      <w:r w:rsidR="00EE065D">
        <w:rPr>
          <w:rFonts w:ascii="Times New Roman" w:hAnsi="Times New Roman"/>
          <w:lang w:eastAsia="cs-CZ"/>
        </w:rPr>
        <w:t xml:space="preserve">o povoleních </w:t>
      </w:r>
      <w:r w:rsidR="00C83D49">
        <w:rPr>
          <w:rFonts w:ascii="Times New Roman" w:hAnsi="Times New Roman"/>
          <w:lang w:eastAsia="cs-CZ"/>
        </w:rPr>
        <w:t>mohly (po nezbytných úpravách)</w:t>
      </w:r>
      <w:r w:rsidR="00103D6C">
        <w:rPr>
          <w:rFonts w:ascii="Times New Roman" w:hAnsi="Times New Roman"/>
          <w:lang w:eastAsia="cs-CZ"/>
        </w:rPr>
        <w:t xml:space="preserve"> </w:t>
      </w:r>
      <w:r w:rsidR="00592AFE">
        <w:rPr>
          <w:rFonts w:ascii="Times New Roman" w:hAnsi="Times New Roman"/>
          <w:lang w:eastAsia="cs-CZ"/>
        </w:rPr>
        <w:t xml:space="preserve">předávat a zpracovávat automatizovaně. </w:t>
      </w:r>
      <w:r w:rsidR="00003AB8">
        <w:rPr>
          <w:rFonts w:ascii="Times New Roman" w:hAnsi="Times New Roman"/>
          <w:lang w:eastAsia="cs-CZ"/>
        </w:rPr>
        <w:t xml:space="preserve">Dále, </w:t>
      </w:r>
      <w:r w:rsidR="00592AFE">
        <w:rPr>
          <w:rFonts w:ascii="Times New Roman" w:hAnsi="Times New Roman"/>
          <w:lang w:eastAsia="cs-CZ"/>
        </w:rPr>
        <w:t xml:space="preserve">držitelé povolení k vývozu </w:t>
      </w:r>
      <w:r w:rsidR="006850A9">
        <w:rPr>
          <w:rFonts w:ascii="Times New Roman" w:hAnsi="Times New Roman"/>
          <w:lang w:eastAsia="cs-CZ"/>
        </w:rPr>
        <w:t xml:space="preserve">a dovozu </w:t>
      </w:r>
      <w:r w:rsidR="00592AFE">
        <w:rPr>
          <w:rFonts w:ascii="Times New Roman" w:hAnsi="Times New Roman"/>
          <w:lang w:eastAsia="cs-CZ"/>
        </w:rPr>
        <w:t>výbušnin jsou dvakrát ročně povinni ČBÚ oznamovat</w:t>
      </w:r>
      <w:r w:rsidR="00003AB8">
        <w:rPr>
          <w:rFonts w:ascii="Times New Roman" w:hAnsi="Times New Roman"/>
          <w:lang w:eastAsia="cs-CZ"/>
        </w:rPr>
        <w:t xml:space="preserve"> množství a druhy vyvezených </w:t>
      </w:r>
      <w:r w:rsidR="006850A9">
        <w:rPr>
          <w:rFonts w:ascii="Times New Roman" w:hAnsi="Times New Roman"/>
          <w:lang w:eastAsia="cs-CZ"/>
        </w:rPr>
        <w:t xml:space="preserve">a dovezených </w:t>
      </w:r>
      <w:r w:rsidR="00003AB8">
        <w:rPr>
          <w:rFonts w:ascii="Times New Roman" w:hAnsi="Times New Roman"/>
          <w:lang w:eastAsia="cs-CZ"/>
        </w:rPr>
        <w:t>výbušnin</w:t>
      </w:r>
      <w:r w:rsidR="0073673B">
        <w:rPr>
          <w:rFonts w:ascii="Times New Roman" w:hAnsi="Times New Roman"/>
          <w:lang w:eastAsia="cs-CZ"/>
        </w:rPr>
        <w:t>,</w:t>
      </w:r>
      <w:r w:rsidR="00003AB8">
        <w:rPr>
          <w:rFonts w:ascii="Times New Roman" w:hAnsi="Times New Roman"/>
          <w:lang w:eastAsia="cs-CZ"/>
        </w:rPr>
        <w:t xml:space="preserve"> vč</w:t>
      </w:r>
      <w:r w:rsidR="0073673B">
        <w:rPr>
          <w:rFonts w:ascii="Times New Roman" w:hAnsi="Times New Roman"/>
          <w:lang w:eastAsia="cs-CZ"/>
        </w:rPr>
        <w:t>etně</w:t>
      </w:r>
      <w:r w:rsidR="00003AB8">
        <w:rPr>
          <w:rFonts w:ascii="Times New Roman" w:hAnsi="Times New Roman"/>
          <w:lang w:eastAsia="cs-CZ"/>
        </w:rPr>
        <w:t xml:space="preserve"> data uskutečnění transakcí, přitom celní úřady disponují údaji z celních prohlášení, která v jistém ohledu obsahují data, jenž by mohl ČBÚ využívat, aniž by u držitelů povolení zmíněnou oznamovací povinnost</w:t>
      </w:r>
      <w:r w:rsidR="006850A9">
        <w:rPr>
          <w:rFonts w:ascii="Times New Roman" w:hAnsi="Times New Roman"/>
          <w:lang w:eastAsia="cs-CZ"/>
        </w:rPr>
        <w:t xml:space="preserve"> vynucoval</w:t>
      </w:r>
      <w:r w:rsidR="00003AB8">
        <w:rPr>
          <w:rFonts w:ascii="Times New Roman" w:hAnsi="Times New Roman"/>
          <w:lang w:eastAsia="cs-CZ"/>
        </w:rPr>
        <w:t xml:space="preserve">. </w:t>
      </w:r>
      <w:r w:rsidR="000B4940">
        <w:rPr>
          <w:rFonts w:ascii="Times New Roman" w:hAnsi="Times New Roman"/>
          <w:lang w:eastAsia="cs-CZ"/>
        </w:rPr>
        <w:t xml:space="preserve">Současná právní úprava však </w:t>
      </w:r>
      <w:r w:rsidR="000B4940" w:rsidRPr="00735E05">
        <w:rPr>
          <w:rFonts w:ascii="Times New Roman" w:hAnsi="Times New Roman"/>
          <w:lang w:eastAsia="cs-CZ"/>
        </w:rPr>
        <w:t>nedovoluje celním úřadům poskytovat ČBÚ údaje z celních prohlášení.</w:t>
      </w:r>
    </w:p>
    <w:p w14:paraId="576161D4" w14:textId="77777777" w:rsidR="00CA6CBA" w:rsidRPr="00735E05" w:rsidRDefault="00230532" w:rsidP="00305615">
      <w:pPr>
        <w:pStyle w:val="Paragraf"/>
        <w:tabs>
          <w:tab w:val="left" w:pos="709"/>
        </w:tabs>
        <w:spacing w:before="0" w:after="120"/>
        <w:contextualSpacing/>
        <w:jc w:val="both"/>
        <w:rPr>
          <w:rFonts w:eastAsia="MS Mincho"/>
          <w:bCs/>
          <w:szCs w:val="24"/>
          <w:u w:val="single"/>
        </w:rPr>
      </w:pPr>
      <w:r w:rsidRPr="00305615">
        <w:rPr>
          <w:rFonts w:eastAsia="MS Mincho"/>
          <w:bCs/>
          <w:szCs w:val="24"/>
          <w:u w:val="single"/>
        </w:rPr>
        <w:lastRenderedPageBreak/>
        <w:t>1.2.</w:t>
      </w:r>
      <w:r w:rsidR="00BA7A89" w:rsidRPr="00305615">
        <w:rPr>
          <w:rFonts w:eastAsia="MS Mincho"/>
          <w:bCs/>
          <w:szCs w:val="24"/>
          <w:u w:val="single"/>
        </w:rPr>
        <w:t>4</w:t>
      </w:r>
      <w:r w:rsidRPr="00735E05">
        <w:rPr>
          <w:rFonts w:eastAsia="MS Mincho"/>
          <w:bCs/>
          <w:szCs w:val="24"/>
          <w:u w:val="single"/>
        </w:rPr>
        <w:tab/>
      </w:r>
      <w:r w:rsidR="00CA6CBA" w:rsidRPr="00735E05">
        <w:rPr>
          <w:rFonts w:eastAsia="MS Mincho"/>
          <w:bCs/>
          <w:szCs w:val="24"/>
          <w:u w:val="single"/>
        </w:rPr>
        <w:t>Informační součinnost mezi orgány státní báňské správy a Policií České republiky o trhacích pracích</w:t>
      </w:r>
    </w:p>
    <w:p w14:paraId="4DF2EBF7" w14:textId="5D8A3F73" w:rsidR="00CA6CBA" w:rsidRDefault="00735E05" w:rsidP="00735E05">
      <w:pPr>
        <w:spacing w:line="240" w:lineRule="auto"/>
        <w:rPr>
          <w:rFonts w:ascii="Times New Roman" w:hAnsi="Times New Roman"/>
          <w:lang w:eastAsia="cs-CZ"/>
        </w:rPr>
      </w:pPr>
      <w:r w:rsidRPr="00735E05">
        <w:rPr>
          <w:rFonts w:ascii="Times New Roman" w:hAnsi="Times New Roman"/>
          <w:lang w:eastAsia="cs-CZ"/>
        </w:rPr>
        <w:t xml:space="preserve">Podle současné právní úpravy </w:t>
      </w:r>
      <w:r>
        <w:rPr>
          <w:rFonts w:ascii="Times New Roman" w:hAnsi="Times New Roman"/>
          <w:lang w:eastAsia="cs-CZ"/>
        </w:rPr>
        <w:t>mají obvodní báňské úřady zasílat vydaná pravomocná povolení k provádění trhací</w:t>
      </w:r>
      <w:r w:rsidR="007D0452">
        <w:rPr>
          <w:rFonts w:ascii="Times New Roman" w:hAnsi="Times New Roman"/>
          <w:lang w:eastAsia="cs-CZ"/>
        </w:rPr>
        <w:t>ch</w:t>
      </w:r>
      <w:r>
        <w:rPr>
          <w:rFonts w:ascii="Times New Roman" w:hAnsi="Times New Roman"/>
          <w:lang w:eastAsia="cs-CZ"/>
        </w:rPr>
        <w:t xml:space="preserve"> prací</w:t>
      </w:r>
      <w:r w:rsidR="007D0452">
        <w:rPr>
          <w:rFonts w:ascii="Times New Roman" w:hAnsi="Times New Roman"/>
          <w:lang w:eastAsia="cs-CZ"/>
        </w:rPr>
        <w:t xml:space="preserve"> krajskému ředitelství policie příslušnému podle sídla obvodního báňského úřadu, nikoliv podle místa provádění trhacích prací. Jelikož se sídla obvodních báňských úřadů nenacházejí ve všech krajských městech, nelze vyloučit, že informaci o provádění trhacích prací obdrží jiné krajské ředitelství Policie České republiky než to, v jehož území se tyto trhací práce budou provádět. Byť se to téměř neděje a obvodní báňské úřady respektují místní působnost policejních orgánů, </w:t>
      </w:r>
      <w:r w:rsidR="00594FD2">
        <w:rPr>
          <w:rFonts w:ascii="Times New Roman" w:hAnsi="Times New Roman"/>
          <w:lang w:eastAsia="cs-CZ"/>
        </w:rPr>
        <w:t xml:space="preserve">současná právní úprava </w:t>
      </w:r>
      <w:r w:rsidR="006756F7">
        <w:rPr>
          <w:rFonts w:ascii="Times New Roman" w:hAnsi="Times New Roman"/>
          <w:lang w:eastAsia="cs-CZ"/>
        </w:rPr>
        <w:t xml:space="preserve">je </w:t>
      </w:r>
      <w:r w:rsidR="002F506B">
        <w:rPr>
          <w:rFonts w:ascii="Times New Roman" w:hAnsi="Times New Roman"/>
          <w:lang w:eastAsia="cs-CZ"/>
        </w:rPr>
        <w:t xml:space="preserve">v tomto ohledu </w:t>
      </w:r>
      <w:r w:rsidR="004103FB">
        <w:rPr>
          <w:rFonts w:ascii="Times New Roman" w:hAnsi="Times New Roman"/>
          <w:lang w:eastAsia="cs-CZ"/>
        </w:rPr>
        <w:t>ne</w:t>
      </w:r>
      <w:r w:rsidR="00EB2D66">
        <w:rPr>
          <w:rFonts w:ascii="Times New Roman" w:hAnsi="Times New Roman"/>
          <w:lang w:eastAsia="cs-CZ"/>
        </w:rPr>
        <w:t>praktická</w:t>
      </w:r>
      <w:r w:rsidR="004103FB">
        <w:rPr>
          <w:rFonts w:ascii="Times New Roman" w:hAnsi="Times New Roman"/>
          <w:lang w:eastAsia="cs-CZ"/>
        </w:rPr>
        <w:t>.</w:t>
      </w:r>
    </w:p>
    <w:p w14:paraId="7B53366C" w14:textId="77777777" w:rsidR="002F506B" w:rsidRPr="005C51BD" w:rsidRDefault="002F506B" w:rsidP="002F506B">
      <w:pPr>
        <w:pStyle w:val="Paragraf"/>
        <w:tabs>
          <w:tab w:val="left" w:pos="709"/>
        </w:tabs>
        <w:spacing w:before="0" w:after="120"/>
        <w:contextualSpacing/>
        <w:jc w:val="both"/>
        <w:rPr>
          <w:rFonts w:eastAsia="MS Mincho"/>
          <w:bCs/>
          <w:szCs w:val="24"/>
          <w:u w:val="single"/>
        </w:rPr>
      </w:pPr>
      <w:r w:rsidRPr="005C51BD">
        <w:rPr>
          <w:rFonts w:eastAsia="MS Mincho"/>
          <w:bCs/>
          <w:szCs w:val="24"/>
          <w:u w:val="single"/>
        </w:rPr>
        <w:t>1.2.5</w:t>
      </w:r>
      <w:r w:rsidRPr="005C51BD">
        <w:rPr>
          <w:rFonts w:eastAsia="MS Mincho"/>
          <w:bCs/>
          <w:szCs w:val="24"/>
          <w:u w:val="single"/>
        </w:rPr>
        <w:tab/>
        <w:t>Způsobilost k nakládání s výbušninami</w:t>
      </w:r>
    </w:p>
    <w:p w14:paraId="425BC951" w14:textId="1BB0FA44" w:rsidR="002F506B" w:rsidRPr="005C51BD" w:rsidRDefault="00EE6C58" w:rsidP="00735E05">
      <w:pPr>
        <w:spacing w:line="240" w:lineRule="auto"/>
        <w:rPr>
          <w:rFonts w:ascii="Times New Roman" w:hAnsi="Times New Roman"/>
          <w:lang w:eastAsia="cs-CZ"/>
        </w:rPr>
      </w:pPr>
      <w:r w:rsidRPr="005C51BD">
        <w:rPr>
          <w:rFonts w:ascii="Times New Roman" w:hAnsi="Times New Roman"/>
          <w:lang w:eastAsia="cs-CZ"/>
        </w:rPr>
        <w:t xml:space="preserve">Současná právní úprava </w:t>
      </w:r>
      <w:r w:rsidR="005C51BD" w:rsidRPr="005C51BD">
        <w:rPr>
          <w:rFonts w:ascii="Times New Roman" w:hAnsi="Times New Roman"/>
          <w:lang w:eastAsia="cs-CZ"/>
        </w:rPr>
        <w:t xml:space="preserve">předpokládá dokládání bezúhonnosti výpisem z evidence Rejstříku trestů České republiky (případně </w:t>
      </w:r>
      <w:r w:rsidR="005C51BD" w:rsidRPr="005C51BD">
        <w:rPr>
          <w:rFonts w:ascii="Times New Roman" w:eastAsia="Times New Roman" w:hAnsi="Times New Roman"/>
          <w:lang w:eastAsia="cs-CZ"/>
        </w:rPr>
        <w:t>výpisu z evidence Rejstříku trestů s přílohou, která obsahuje informace o</w:t>
      </w:r>
      <w:r w:rsidR="005C51BD">
        <w:rPr>
          <w:rFonts w:ascii="Times New Roman" w:eastAsia="Times New Roman" w:hAnsi="Times New Roman"/>
          <w:lang w:eastAsia="cs-CZ"/>
        </w:rPr>
        <w:t> </w:t>
      </w:r>
      <w:r w:rsidR="005C51BD" w:rsidRPr="005C51BD">
        <w:rPr>
          <w:rFonts w:ascii="Times New Roman" w:eastAsia="Times New Roman" w:hAnsi="Times New Roman"/>
          <w:lang w:eastAsia="cs-CZ"/>
        </w:rPr>
        <w:t>odsouzeních v jiných členských státech Evropské unie</w:t>
      </w:r>
      <w:r w:rsidR="00603455">
        <w:rPr>
          <w:rFonts w:ascii="Times New Roman" w:eastAsia="Times New Roman" w:hAnsi="Times New Roman"/>
          <w:lang w:eastAsia="cs-CZ"/>
        </w:rPr>
        <w:t xml:space="preserve">, </w:t>
      </w:r>
      <w:r w:rsidR="005C51BD" w:rsidRPr="005C51BD">
        <w:rPr>
          <w:rFonts w:ascii="Times New Roman" w:eastAsia="Times New Roman" w:hAnsi="Times New Roman"/>
          <w:lang w:eastAsia="cs-CZ"/>
        </w:rPr>
        <w:t xml:space="preserve">je-li tato osoba státním příslušníkem jiného členského státu nebo pokud měla nebo má bydliště v jiném členském státě), anebo </w:t>
      </w:r>
      <w:r w:rsidR="005C51BD" w:rsidRPr="005C51BD">
        <w:rPr>
          <w:rFonts w:ascii="Times New Roman" w:hAnsi="Times New Roman"/>
          <w:lang w:eastAsia="cs-CZ"/>
        </w:rPr>
        <w:t>obdobným výpisem vydan</w:t>
      </w:r>
      <w:r w:rsidR="00603455">
        <w:rPr>
          <w:rFonts w:ascii="Times New Roman" w:hAnsi="Times New Roman"/>
          <w:lang w:eastAsia="cs-CZ"/>
        </w:rPr>
        <w:t>ým</w:t>
      </w:r>
      <w:r w:rsidR="005C51BD" w:rsidRPr="005C51BD">
        <w:rPr>
          <w:rFonts w:ascii="Times New Roman" w:hAnsi="Times New Roman"/>
          <w:lang w:eastAsia="cs-CZ"/>
        </w:rPr>
        <w:t xml:space="preserve"> přímo </w:t>
      </w:r>
      <w:r w:rsidR="00603455">
        <w:rPr>
          <w:rFonts w:ascii="Times New Roman" w:hAnsi="Times New Roman"/>
          <w:lang w:eastAsia="cs-CZ"/>
        </w:rPr>
        <w:t xml:space="preserve">příslušným </w:t>
      </w:r>
      <w:r w:rsidR="005C51BD" w:rsidRPr="005C51BD">
        <w:rPr>
          <w:rFonts w:ascii="Times New Roman" w:hAnsi="Times New Roman"/>
          <w:lang w:eastAsia="cs-CZ"/>
        </w:rPr>
        <w:t xml:space="preserve">orgánem státu Evropské unie. </w:t>
      </w:r>
      <w:r w:rsidR="005C51BD">
        <w:rPr>
          <w:rFonts w:ascii="Times New Roman" w:hAnsi="Times New Roman"/>
          <w:lang w:eastAsia="cs-CZ"/>
        </w:rPr>
        <w:t xml:space="preserve">Tím však právní úprava zcela rezignuje na případy, kdy má s výbušninami nakládat, případně se bude ucházet o oprávnění k přivádění výbušnin k výbuchu, </w:t>
      </w:r>
      <w:r w:rsidR="00070213">
        <w:rPr>
          <w:rFonts w:ascii="Times New Roman" w:hAnsi="Times New Roman"/>
          <w:lang w:eastAsia="cs-CZ"/>
        </w:rPr>
        <w:t xml:space="preserve">státní příslušník </w:t>
      </w:r>
      <w:r w:rsidR="005C51BD">
        <w:rPr>
          <w:rFonts w:ascii="Times New Roman" w:hAnsi="Times New Roman"/>
          <w:lang w:eastAsia="cs-CZ"/>
        </w:rPr>
        <w:t>třetí země</w:t>
      </w:r>
      <w:r w:rsidR="00070213">
        <w:rPr>
          <w:rFonts w:ascii="Times New Roman" w:hAnsi="Times New Roman"/>
          <w:lang w:eastAsia="cs-CZ"/>
        </w:rPr>
        <w:t>, který v členském státě Evropské unie nem</w:t>
      </w:r>
      <w:r w:rsidR="00603455">
        <w:rPr>
          <w:rFonts w:ascii="Times New Roman" w:hAnsi="Times New Roman"/>
          <w:lang w:eastAsia="cs-CZ"/>
        </w:rPr>
        <w:t>á</w:t>
      </w:r>
      <w:r w:rsidR="00070213">
        <w:rPr>
          <w:rFonts w:ascii="Times New Roman" w:hAnsi="Times New Roman"/>
          <w:lang w:eastAsia="cs-CZ"/>
        </w:rPr>
        <w:t xml:space="preserve"> bydliště. Automaticky je totiž na něj nutné hledět jako na bezúhonného</w:t>
      </w:r>
      <w:r w:rsidR="005F47F8">
        <w:rPr>
          <w:rFonts w:ascii="Times New Roman" w:hAnsi="Times New Roman"/>
          <w:lang w:eastAsia="cs-CZ"/>
        </w:rPr>
        <w:t>, což představuje nejen bezpečnostní riziko, ale i diskriminační nástroj v neprospěch stáních příslušníků členských států Evropské unie.</w:t>
      </w:r>
      <w:r w:rsidR="00A817FE">
        <w:rPr>
          <w:rFonts w:ascii="Times New Roman" w:hAnsi="Times New Roman"/>
          <w:lang w:eastAsia="cs-CZ"/>
        </w:rPr>
        <w:t xml:space="preserve"> Problematická je současná právní úprava i co se posuzování zdravotní způsobilosti k nakládání s výbušninami týče. </w:t>
      </w:r>
      <w:r w:rsidR="00E024AA">
        <w:rPr>
          <w:rFonts w:ascii="Times New Roman" w:hAnsi="Times New Roman"/>
          <w:lang w:eastAsia="cs-CZ"/>
        </w:rPr>
        <w:t>Zdravotní k</w:t>
      </w:r>
      <w:r w:rsidR="00B53F69">
        <w:rPr>
          <w:rFonts w:ascii="Times New Roman" w:hAnsi="Times New Roman"/>
          <w:lang w:eastAsia="cs-CZ"/>
        </w:rPr>
        <w:t xml:space="preserve">ontraindikace </w:t>
      </w:r>
      <w:r w:rsidR="00E024AA">
        <w:rPr>
          <w:rFonts w:ascii="Times New Roman" w:hAnsi="Times New Roman"/>
          <w:lang w:eastAsia="cs-CZ"/>
        </w:rPr>
        <w:t xml:space="preserve">vylučující způsobilost k </w:t>
      </w:r>
      <w:r w:rsidR="00B53F69">
        <w:rPr>
          <w:rFonts w:ascii="Times New Roman" w:hAnsi="Times New Roman"/>
          <w:lang w:eastAsia="cs-CZ"/>
        </w:rPr>
        <w:t xml:space="preserve">nakládání </w:t>
      </w:r>
      <w:r w:rsidR="00073F08">
        <w:rPr>
          <w:rFonts w:ascii="Times New Roman" w:hAnsi="Times New Roman"/>
          <w:lang w:eastAsia="cs-CZ"/>
        </w:rPr>
        <w:t>s</w:t>
      </w:r>
      <w:r w:rsidR="00E024AA">
        <w:rPr>
          <w:rFonts w:ascii="Times New Roman" w:hAnsi="Times New Roman"/>
          <w:lang w:eastAsia="cs-CZ"/>
        </w:rPr>
        <w:t> výbušninami jsou totiž stanoveny jen pro zaměstnance, nikoliv pro osoby samostatně výdělečně činné</w:t>
      </w:r>
      <w:r w:rsidR="00603455">
        <w:rPr>
          <w:rFonts w:ascii="Times New Roman" w:hAnsi="Times New Roman"/>
          <w:lang w:eastAsia="cs-CZ"/>
        </w:rPr>
        <w:t>, kterých nakládá s výbušninami nespočet</w:t>
      </w:r>
      <w:r w:rsidR="00ED78EA">
        <w:rPr>
          <w:rFonts w:ascii="Times New Roman" w:hAnsi="Times New Roman"/>
          <w:lang w:eastAsia="cs-CZ"/>
        </w:rPr>
        <w:t xml:space="preserve">, což představuje bezpečnostní riziko i diskriminační nástroj v neprospěch zaměstnanců nakládajících s výbušninami. </w:t>
      </w:r>
    </w:p>
    <w:p w14:paraId="7C03C9D2" w14:textId="77777777" w:rsidR="00B752AD" w:rsidRPr="00E1621C" w:rsidRDefault="00B752AD" w:rsidP="00E1621C">
      <w:pPr>
        <w:pStyle w:val="Textparagrafu"/>
        <w:spacing w:after="120"/>
        <w:ind w:firstLine="0"/>
        <w:rPr>
          <w:szCs w:val="24"/>
          <w:u w:val="single"/>
        </w:rPr>
      </w:pPr>
      <w:r w:rsidRPr="00E1621C">
        <w:rPr>
          <w:szCs w:val="24"/>
          <w:u w:val="single"/>
        </w:rPr>
        <w:t>1.3 Popis existujícího právního stavu v dané oblasti</w:t>
      </w:r>
    </w:p>
    <w:p w14:paraId="386283A3" w14:textId="77777777" w:rsidR="00E1621C" w:rsidRPr="00E1621C" w:rsidRDefault="007D094A" w:rsidP="008643A7">
      <w:pPr>
        <w:spacing w:line="240" w:lineRule="auto"/>
        <w:rPr>
          <w:rFonts w:ascii="Times New Roman" w:hAnsi="Times New Roman"/>
        </w:rPr>
      </w:pPr>
      <w:r w:rsidRPr="00E1621C">
        <w:rPr>
          <w:rFonts w:ascii="Times New Roman" w:hAnsi="Times New Roman"/>
        </w:rPr>
        <w:t>Státní báňskou správu tvoří Č</w:t>
      </w:r>
      <w:r w:rsidR="00C91CDA" w:rsidRPr="00E1621C">
        <w:rPr>
          <w:rFonts w:ascii="Times New Roman" w:hAnsi="Times New Roman"/>
        </w:rPr>
        <w:t>BÚ</w:t>
      </w:r>
      <w:r w:rsidRPr="00E1621C">
        <w:rPr>
          <w:rFonts w:ascii="Times New Roman" w:hAnsi="Times New Roman"/>
        </w:rPr>
        <w:t xml:space="preserve"> s celorepublikovou působností a osm OBÚ s působnostmi pro jeden nebo dva kraje podle rozsahu dozorované činnosti. Působnost orgánů státní báňské správy je vymezena ustanovením § 38 a násl. zákona č. 61/1988 Sb.</w:t>
      </w:r>
      <w:r w:rsidR="0007321F">
        <w:rPr>
          <w:rFonts w:ascii="Times New Roman" w:hAnsi="Times New Roman"/>
        </w:rPr>
        <w:t xml:space="preserve"> </w:t>
      </w:r>
      <w:r w:rsidR="0007321F">
        <w:rPr>
          <w:rFonts w:ascii="Times New Roman" w:hAnsi="Times New Roman"/>
          <w:iCs/>
        </w:rPr>
        <w:t>M</w:t>
      </w:r>
      <w:r w:rsidR="0007321F" w:rsidRPr="00FF00DD">
        <w:rPr>
          <w:rFonts w:ascii="Times New Roman" w:hAnsi="Times New Roman"/>
          <w:iCs/>
        </w:rPr>
        <w:t xml:space="preserve">ístní příslušnost </w:t>
      </w:r>
      <w:r w:rsidR="0007321F">
        <w:rPr>
          <w:rFonts w:ascii="Times New Roman" w:hAnsi="Times New Roman"/>
          <w:iCs/>
        </w:rPr>
        <w:t xml:space="preserve">OBÚ </w:t>
      </w:r>
      <w:r w:rsidR="0007321F" w:rsidRPr="00FF00DD">
        <w:rPr>
          <w:rFonts w:ascii="Times New Roman" w:hAnsi="Times New Roman"/>
          <w:iCs/>
        </w:rPr>
        <w:t>stanoví v souladu s ústavněprávními principy zákon č. 61/1988 Sb., jejich sídla jsou stanovena vyhláškou č.</w:t>
      </w:r>
      <w:r w:rsidR="0007321F">
        <w:rPr>
          <w:rFonts w:ascii="Times New Roman" w:hAnsi="Times New Roman"/>
          <w:iCs/>
        </w:rPr>
        <w:t> </w:t>
      </w:r>
      <w:r w:rsidR="0007321F" w:rsidRPr="00FF00DD">
        <w:rPr>
          <w:rFonts w:ascii="Times New Roman" w:hAnsi="Times New Roman"/>
          <w:iCs/>
        </w:rPr>
        <w:t>394/2011</w:t>
      </w:r>
      <w:r w:rsidR="0007321F">
        <w:rPr>
          <w:rFonts w:ascii="Times New Roman" w:hAnsi="Times New Roman"/>
          <w:iCs/>
        </w:rPr>
        <w:t> </w:t>
      </w:r>
      <w:r w:rsidR="0007321F" w:rsidRPr="00FF00DD">
        <w:rPr>
          <w:rFonts w:ascii="Times New Roman" w:hAnsi="Times New Roman"/>
          <w:iCs/>
        </w:rPr>
        <w:t>Sb., o sídlech obvodních báňských úřadů.</w:t>
      </w:r>
    </w:p>
    <w:p w14:paraId="3660D1EB" w14:textId="41B211B1" w:rsidR="003C54A5" w:rsidRPr="008643A7" w:rsidRDefault="003C54A5" w:rsidP="008643A7">
      <w:pPr>
        <w:spacing w:line="240" w:lineRule="auto"/>
        <w:rPr>
          <w:rFonts w:ascii="Times New Roman" w:hAnsi="Times New Roman"/>
        </w:rPr>
      </w:pPr>
      <w:r w:rsidRPr="008643A7">
        <w:rPr>
          <w:rFonts w:ascii="Times New Roman" w:hAnsi="Times New Roman"/>
        </w:rPr>
        <w:t xml:space="preserve">Dosavadní výměnu informací mezi ČBÚ a </w:t>
      </w:r>
      <w:r w:rsidR="00FB160D">
        <w:rPr>
          <w:rFonts w:ascii="Times New Roman" w:hAnsi="Times New Roman"/>
        </w:rPr>
        <w:t>GŘC</w:t>
      </w:r>
      <w:r w:rsidRPr="008643A7">
        <w:rPr>
          <w:rFonts w:ascii="Times New Roman" w:hAnsi="Times New Roman"/>
        </w:rPr>
        <w:t xml:space="preserve"> upravuje § </w:t>
      </w:r>
      <w:proofErr w:type="gramStart"/>
      <w:r w:rsidRPr="008643A7">
        <w:rPr>
          <w:rFonts w:ascii="Times New Roman" w:hAnsi="Times New Roman"/>
        </w:rPr>
        <w:t>25h</w:t>
      </w:r>
      <w:proofErr w:type="gramEnd"/>
      <w:r w:rsidRPr="008643A7">
        <w:rPr>
          <w:rFonts w:ascii="Times New Roman" w:hAnsi="Times New Roman"/>
        </w:rPr>
        <w:t xml:space="preserve"> odst. 3 zákona č. 61/1988 Sb. </w:t>
      </w:r>
      <w:r w:rsidR="008643A7" w:rsidRPr="008643A7">
        <w:rPr>
          <w:rFonts w:ascii="Times New Roman" w:hAnsi="Times New Roman"/>
        </w:rPr>
        <w:t xml:space="preserve">Výměna </w:t>
      </w:r>
      <w:r w:rsidRPr="008643A7">
        <w:rPr>
          <w:rFonts w:ascii="Times New Roman" w:hAnsi="Times New Roman"/>
        </w:rPr>
        <w:t xml:space="preserve">probíhá formou </w:t>
      </w:r>
      <w:r w:rsidR="00080253">
        <w:rPr>
          <w:rFonts w:ascii="Times New Roman" w:hAnsi="Times New Roman"/>
        </w:rPr>
        <w:t>opakovaného</w:t>
      </w:r>
      <w:r w:rsidRPr="008643A7">
        <w:rPr>
          <w:rFonts w:ascii="Times New Roman" w:hAnsi="Times New Roman"/>
        </w:rPr>
        <w:t xml:space="preserve"> zasílání údajů z vydaných povolení k nabývání, předávání, tranzitu, dovozu a vývozu výbušnin. ČBÚ u</w:t>
      </w:r>
      <w:r w:rsidR="008643A7">
        <w:rPr>
          <w:rFonts w:ascii="Times New Roman" w:hAnsi="Times New Roman"/>
        </w:rPr>
        <w:t> </w:t>
      </w:r>
      <w:r w:rsidRPr="008643A7">
        <w:rPr>
          <w:rFonts w:ascii="Times New Roman" w:hAnsi="Times New Roman"/>
        </w:rPr>
        <w:t>organizací disponujících povolení mj. k dovozu a</w:t>
      </w:r>
      <w:r w:rsidR="00214D01">
        <w:rPr>
          <w:rFonts w:ascii="Times New Roman" w:hAnsi="Times New Roman"/>
        </w:rPr>
        <w:t> </w:t>
      </w:r>
      <w:r w:rsidRPr="008643A7">
        <w:rPr>
          <w:rFonts w:ascii="Times New Roman" w:hAnsi="Times New Roman"/>
        </w:rPr>
        <w:t>vývozu výbušnin podle § 25f odst. 6 zákona č. 61/1988 Sb. vynucuje oznamovací povinnost o</w:t>
      </w:r>
      <w:r w:rsidR="00D83331">
        <w:rPr>
          <w:rFonts w:ascii="Times New Roman" w:hAnsi="Times New Roman"/>
        </w:rPr>
        <w:t> </w:t>
      </w:r>
      <w:r w:rsidRPr="008643A7">
        <w:rPr>
          <w:rFonts w:ascii="Times New Roman" w:hAnsi="Times New Roman"/>
        </w:rPr>
        <w:t>čerpání daných povolení.</w:t>
      </w:r>
    </w:p>
    <w:p w14:paraId="3B61E5B6" w14:textId="5BA43E30" w:rsidR="003A3920" w:rsidRPr="00FF00DD" w:rsidRDefault="003A3920" w:rsidP="008643A7">
      <w:pPr>
        <w:widowControl w:val="0"/>
        <w:autoSpaceDE w:val="0"/>
        <w:autoSpaceDN w:val="0"/>
        <w:adjustRightInd w:val="0"/>
        <w:spacing w:line="240" w:lineRule="auto"/>
        <w:rPr>
          <w:rFonts w:ascii="Times New Roman" w:hAnsi="Times New Roman"/>
          <w:iCs/>
        </w:rPr>
      </w:pPr>
      <w:r w:rsidRPr="00E1621C">
        <w:rPr>
          <w:rFonts w:ascii="Times New Roman" w:hAnsi="Times New Roman"/>
          <w:iCs/>
        </w:rPr>
        <w:t>Zákon č. 61/1988 Sb. ponechává podmínky získávání zdravotní způsobilosti</w:t>
      </w:r>
      <w:r w:rsidRPr="00FF00DD">
        <w:rPr>
          <w:rFonts w:ascii="Times New Roman" w:hAnsi="Times New Roman"/>
          <w:iCs/>
        </w:rPr>
        <w:t xml:space="preserve"> k nakládání s výbušninami na zvláštních právních předpisech – na zákoně č. 373/2011 Sb. a</w:t>
      </w:r>
      <w:r w:rsidR="00C97084" w:rsidRPr="00FF00DD">
        <w:rPr>
          <w:rFonts w:ascii="Times New Roman" w:hAnsi="Times New Roman"/>
          <w:iCs/>
        </w:rPr>
        <w:t> </w:t>
      </w:r>
      <w:r w:rsidRPr="00FF00DD">
        <w:rPr>
          <w:rFonts w:ascii="Times New Roman" w:hAnsi="Times New Roman"/>
          <w:iCs/>
        </w:rPr>
        <w:t>prováděcí vyhlášce č. 79/2013 Sb. Jí stanovené zdravotní kontraindikace vylučující způsobilost k nakládání s výbušninami však pokrývají jen osoby z řad zaměstnanc</w:t>
      </w:r>
      <w:r w:rsidR="00080253">
        <w:rPr>
          <w:rFonts w:ascii="Times New Roman" w:hAnsi="Times New Roman"/>
          <w:iCs/>
        </w:rPr>
        <w:t>ů</w:t>
      </w:r>
      <w:r w:rsidRPr="00FF00DD">
        <w:rPr>
          <w:rFonts w:ascii="Times New Roman" w:hAnsi="Times New Roman"/>
          <w:iCs/>
        </w:rPr>
        <w:t xml:space="preserve">, nikoliv osoby samostatně výdělečně činné. </w:t>
      </w:r>
      <w:r w:rsidR="00895AAF">
        <w:rPr>
          <w:rFonts w:ascii="Times New Roman" w:hAnsi="Times New Roman"/>
          <w:iCs/>
        </w:rPr>
        <w:t xml:space="preserve">Prokazování bezúhonnosti pak upravuje § 34 odst. 2 až 4 zákona č. 61/1988 Sb., přičemž ustanovení </w:t>
      </w:r>
      <w:r w:rsidR="00080253">
        <w:rPr>
          <w:rFonts w:ascii="Times New Roman" w:hAnsi="Times New Roman"/>
          <w:iCs/>
        </w:rPr>
        <w:t>se týká</w:t>
      </w:r>
      <w:r w:rsidR="00895AAF">
        <w:rPr>
          <w:rFonts w:ascii="Times New Roman" w:hAnsi="Times New Roman"/>
          <w:iCs/>
        </w:rPr>
        <w:t xml:space="preserve"> </w:t>
      </w:r>
      <w:r w:rsidR="00080253">
        <w:rPr>
          <w:rFonts w:ascii="Times New Roman" w:hAnsi="Times New Roman"/>
          <w:iCs/>
        </w:rPr>
        <w:t>pouze</w:t>
      </w:r>
      <w:r w:rsidR="00895AAF">
        <w:rPr>
          <w:rFonts w:ascii="Times New Roman" w:hAnsi="Times New Roman"/>
          <w:iCs/>
        </w:rPr>
        <w:t xml:space="preserve"> státní</w:t>
      </w:r>
      <w:r w:rsidR="00080253">
        <w:rPr>
          <w:rFonts w:ascii="Times New Roman" w:hAnsi="Times New Roman"/>
          <w:iCs/>
        </w:rPr>
        <w:t>ch</w:t>
      </w:r>
      <w:r w:rsidR="00895AAF">
        <w:rPr>
          <w:rFonts w:ascii="Times New Roman" w:hAnsi="Times New Roman"/>
          <w:iCs/>
        </w:rPr>
        <w:t xml:space="preserve"> příslušník</w:t>
      </w:r>
      <w:r w:rsidR="00080253">
        <w:rPr>
          <w:rFonts w:ascii="Times New Roman" w:hAnsi="Times New Roman"/>
          <w:iCs/>
        </w:rPr>
        <w:t>ů</w:t>
      </w:r>
      <w:r w:rsidR="00895AAF">
        <w:rPr>
          <w:rFonts w:ascii="Times New Roman" w:hAnsi="Times New Roman"/>
          <w:iCs/>
        </w:rPr>
        <w:t xml:space="preserve"> členských států Evropské unie</w:t>
      </w:r>
      <w:r w:rsidR="00080253">
        <w:rPr>
          <w:rFonts w:ascii="Times New Roman" w:hAnsi="Times New Roman"/>
          <w:iCs/>
        </w:rPr>
        <w:t xml:space="preserve"> a není dosud požadováno od státních příslušníků třetích zemí</w:t>
      </w:r>
      <w:r w:rsidRPr="00FF00DD">
        <w:rPr>
          <w:rFonts w:ascii="Times New Roman" w:hAnsi="Times New Roman"/>
          <w:iCs/>
        </w:rPr>
        <w:t>.</w:t>
      </w:r>
    </w:p>
    <w:p w14:paraId="35B63994" w14:textId="77777777" w:rsidR="00B752AD" w:rsidRPr="00FF00DD" w:rsidRDefault="00B752AD" w:rsidP="00D85AD9">
      <w:pPr>
        <w:pStyle w:val="Textparagrafu"/>
        <w:spacing w:after="120"/>
        <w:ind w:firstLine="0"/>
        <w:rPr>
          <w:szCs w:val="24"/>
          <w:u w:val="single"/>
        </w:rPr>
      </w:pPr>
      <w:r w:rsidRPr="00FF00DD">
        <w:rPr>
          <w:szCs w:val="24"/>
          <w:u w:val="single"/>
        </w:rPr>
        <w:t>1.4 Identifikace dotčených subjektů</w:t>
      </w:r>
    </w:p>
    <w:p w14:paraId="2ACBC107" w14:textId="3DA66B39" w:rsidR="00B752AD" w:rsidRPr="00221174" w:rsidRDefault="00B752AD" w:rsidP="00221174">
      <w:pPr>
        <w:pStyle w:val="Textparagrafu"/>
        <w:spacing w:before="0"/>
        <w:ind w:firstLine="0"/>
        <w:contextualSpacing/>
        <w:rPr>
          <w:szCs w:val="24"/>
        </w:rPr>
      </w:pPr>
      <w:r w:rsidRPr="00FF00DD">
        <w:rPr>
          <w:szCs w:val="24"/>
        </w:rPr>
        <w:t xml:space="preserve">Dotčenými subjekty jsou fyzické a právnické osoby </w:t>
      </w:r>
      <w:r w:rsidR="00DC3DF4">
        <w:rPr>
          <w:szCs w:val="24"/>
        </w:rPr>
        <w:t xml:space="preserve">nakládající s výbušninami – </w:t>
      </w:r>
      <w:r w:rsidR="00CC75AF" w:rsidRPr="00FF00DD">
        <w:rPr>
          <w:szCs w:val="24"/>
        </w:rPr>
        <w:t>podléhající</w:t>
      </w:r>
      <w:r w:rsidR="00DC3DF4">
        <w:rPr>
          <w:szCs w:val="24"/>
        </w:rPr>
        <w:t xml:space="preserve"> </w:t>
      </w:r>
      <w:r w:rsidR="00CC75AF" w:rsidRPr="00FF00DD">
        <w:rPr>
          <w:szCs w:val="24"/>
        </w:rPr>
        <w:t>vrchnímu dozoru orgánů státní báňské správy</w:t>
      </w:r>
      <w:r w:rsidR="00EB2D66">
        <w:rPr>
          <w:szCs w:val="24"/>
        </w:rPr>
        <w:t>,</w:t>
      </w:r>
      <w:r w:rsidR="00CC75AF" w:rsidRPr="00FF00DD">
        <w:rPr>
          <w:szCs w:val="24"/>
        </w:rPr>
        <w:t xml:space="preserve"> </w:t>
      </w:r>
      <w:r w:rsidR="00DC3DF4">
        <w:rPr>
          <w:szCs w:val="24"/>
        </w:rPr>
        <w:t xml:space="preserve">dále </w:t>
      </w:r>
      <w:r w:rsidR="00CC75AF" w:rsidRPr="00FF00DD">
        <w:rPr>
          <w:szCs w:val="24"/>
        </w:rPr>
        <w:t xml:space="preserve">orgány státní báňské správy, </w:t>
      </w:r>
      <w:r w:rsidR="00CC75AF" w:rsidRPr="00221174">
        <w:rPr>
          <w:szCs w:val="24"/>
        </w:rPr>
        <w:t>tj. Č</w:t>
      </w:r>
      <w:r w:rsidR="00C91CDA" w:rsidRPr="00221174">
        <w:rPr>
          <w:szCs w:val="24"/>
        </w:rPr>
        <w:t>BÚ</w:t>
      </w:r>
      <w:r w:rsidR="00CC75AF" w:rsidRPr="00221174">
        <w:rPr>
          <w:szCs w:val="24"/>
        </w:rPr>
        <w:t xml:space="preserve"> a </w:t>
      </w:r>
      <w:r w:rsidR="00A03DA7" w:rsidRPr="00221174">
        <w:rPr>
          <w:szCs w:val="24"/>
        </w:rPr>
        <w:t>OBÚ</w:t>
      </w:r>
      <w:r w:rsidR="007F3C12" w:rsidRPr="00221174">
        <w:rPr>
          <w:szCs w:val="24"/>
        </w:rPr>
        <w:t xml:space="preserve">, </w:t>
      </w:r>
      <w:r w:rsidR="007F3C12" w:rsidRPr="00221174">
        <w:rPr>
          <w:szCs w:val="24"/>
        </w:rPr>
        <w:lastRenderedPageBreak/>
        <w:t>a</w:t>
      </w:r>
      <w:r w:rsidR="00DC3DF4">
        <w:rPr>
          <w:szCs w:val="24"/>
        </w:rPr>
        <w:t> </w:t>
      </w:r>
      <w:r w:rsidR="007F3C12" w:rsidRPr="00221174">
        <w:rPr>
          <w:szCs w:val="24"/>
        </w:rPr>
        <w:t>dále celní úřady a GŘC</w:t>
      </w:r>
      <w:r w:rsidR="00CC75AF" w:rsidRPr="00221174">
        <w:rPr>
          <w:szCs w:val="24"/>
        </w:rPr>
        <w:t xml:space="preserve">. </w:t>
      </w:r>
      <w:r w:rsidR="007F3C12" w:rsidRPr="00221174">
        <w:rPr>
          <w:szCs w:val="24"/>
        </w:rPr>
        <w:t xml:space="preserve">Co se týče </w:t>
      </w:r>
      <w:r w:rsidR="00CE421D" w:rsidRPr="00221174">
        <w:rPr>
          <w:szCs w:val="24"/>
        </w:rPr>
        <w:t xml:space="preserve">změn v posuzování bezúhonnosti, jsou dotčenými též fyzické osoby </w:t>
      </w:r>
      <w:r w:rsidR="008E4BE3" w:rsidRPr="00221174">
        <w:rPr>
          <w:szCs w:val="24"/>
        </w:rPr>
        <w:t>teprve usilují</w:t>
      </w:r>
      <w:r w:rsidR="00CE421D" w:rsidRPr="00221174">
        <w:rPr>
          <w:szCs w:val="24"/>
        </w:rPr>
        <w:t>cí</w:t>
      </w:r>
      <w:r w:rsidR="008E4BE3" w:rsidRPr="00221174">
        <w:rPr>
          <w:szCs w:val="24"/>
        </w:rPr>
        <w:t xml:space="preserve"> o</w:t>
      </w:r>
      <w:r w:rsidR="007E4081" w:rsidRPr="00221174">
        <w:rPr>
          <w:szCs w:val="24"/>
        </w:rPr>
        <w:t> </w:t>
      </w:r>
      <w:r w:rsidR="00CE421D" w:rsidRPr="00221174">
        <w:rPr>
          <w:szCs w:val="24"/>
        </w:rPr>
        <w:t xml:space="preserve">práva </w:t>
      </w:r>
      <w:r w:rsidR="008E4BE3" w:rsidRPr="00221174">
        <w:rPr>
          <w:szCs w:val="24"/>
        </w:rPr>
        <w:t>naklád</w:t>
      </w:r>
      <w:r w:rsidR="00CE421D" w:rsidRPr="00221174">
        <w:rPr>
          <w:szCs w:val="24"/>
        </w:rPr>
        <w:t xml:space="preserve">at </w:t>
      </w:r>
      <w:r w:rsidR="008E4BE3" w:rsidRPr="00221174">
        <w:rPr>
          <w:szCs w:val="24"/>
        </w:rPr>
        <w:t>s výbušninami</w:t>
      </w:r>
      <w:r w:rsidRPr="00221174">
        <w:rPr>
          <w:szCs w:val="24"/>
        </w:rPr>
        <w:t>.</w:t>
      </w:r>
    </w:p>
    <w:p w14:paraId="65B8F059" w14:textId="675D8DF6" w:rsidR="00B752AD" w:rsidRPr="00221174" w:rsidRDefault="00B752AD" w:rsidP="00221174">
      <w:pPr>
        <w:pStyle w:val="Textparagrafu"/>
        <w:spacing w:after="120"/>
        <w:ind w:firstLine="0"/>
        <w:rPr>
          <w:szCs w:val="24"/>
          <w:u w:val="single"/>
        </w:rPr>
      </w:pPr>
      <w:r w:rsidRPr="00221174">
        <w:rPr>
          <w:szCs w:val="24"/>
          <w:u w:val="single"/>
        </w:rPr>
        <w:t>1.5 Popis cílového stavu</w:t>
      </w:r>
    </w:p>
    <w:p w14:paraId="02E97920" w14:textId="77777777" w:rsidR="0035513F" w:rsidRDefault="0040225B" w:rsidP="00221174">
      <w:pPr>
        <w:spacing w:line="240" w:lineRule="auto"/>
        <w:rPr>
          <w:rFonts w:ascii="Times New Roman" w:hAnsi="Times New Roman"/>
        </w:rPr>
      </w:pPr>
      <w:r w:rsidRPr="00221174">
        <w:rPr>
          <w:rFonts w:ascii="Times New Roman" w:hAnsi="Times New Roman"/>
        </w:rPr>
        <w:t xml:space="preserve">Cílem právní úpravy, k níž by mělo předloženou novelou dojít, je </w:t>
      </w:r>
      <w:r w:rsidR="00A8092C">
        <w:rPr>
          <w:rFonts w:ascii="Times New Roman" w:hAnsi="Times New Roman"/>
        </w:rPr>
        <w:t xml:space="preserve">optimalizovat místní působnost </w:t>
      </w:r>
      <w:r w:rsidRPr="00221174">
        <w:rPr>
          <w:rFonts w:ascii="Times New Roman" w:hAnsi="Times New Roman"/>
        </w:rPr>
        <w:t xml:space="preserve">orgánů státní báňské správy </w:t>
      </w:r>
      <w:r w:rsidR="00A8092C">
        <w:rPr>
          <w:rFonts w:ascii="Times New Roman" w:hAnsi="Times New Roman"/>
        </w:rPr>
        <w:t xml:space="preserve">a </w:t>
      </w:r>
      <w:r w:rsidRPr="00221174">
        <w:rPr>
          <w:rFonts w:ascii="Times New Roman" w:hAnsi="Times New Roman"/>
        </w:rPr>
        <w:t>přizpůsobit činnost SBS rozpočtovým možnostem rozpočtové kapitoly 348.</w:t>
      </w:r>
    </w:p>
    <w:p w14:paraId="51D87E97" w14:textId="2C97687C" w:rsidR="0035513F" w:rsidRDefault="00840238" w:rsidP="00E40B06">
      <w:pPr>
        <w:spacing w:before="0" w:line="240" w:lineRule="auto"/>
        <w:rPr>
          <w:rFonts w:ascii="Times New Roman" w:hAnsi="Times New Roman"/>
        </w:rPr>
      </w:pPr>
      <w:bookmarkStart w:id="2" w:name="_Hlk40197708"/>
      <w:r w:rsidRPr="00A574A2">
        <w:rPr>
          <w:rFonts w:ascii="Times New Roman" w:hAnsi="Times New Roman"/>
        </w:rPr>
        <w:t>Doprovodnými cíli je</w:t>
      </w:r>
      <w:r w:rsidR="008E4BE3" w:rsidRPr="00A574A2">
        <w:rPr>
          <w:rFonts w:ascii="Times New Roman" w:hAnsi="Times New Roman"/>
        </w:rPr>
        <w:t xml:space="preserve"> rovněž promítn</w:t>
      </w:r>
      <w:r w:rsidR="00AC7242">
        <w:rPr>
          <w:rFonts w:ascii="Times New Roman" w:hAnsi="Times New Roman"/>
        </w:rPr>
        <w:t>out</w:t>
      </w:r>
      <w:r w:rsidR="0040225B" w:rsidRPr="00A574A2">
        <w:rPr>
          <w:rFonts w:ascii="Times New Roman" w:hAnsi="Times New Roman"/>
        </w:rPr>
        <w:t xml:space="preserve"> do zákona změny </w:t>
      </w:r>
      <w:r w:rsidR="00AC7242">
        <w:rPr>
          <w:rFonts w:ascii="Times New Roman" w:hAnsi="Times New Roman"/>
        </w:rPr>
        <w:t xml:space="preserve">odůvodněné </w:t>
      </w:r>
      <w:r w:rsidR="0040225B" w:rsidRPr="00A574A2">
        <w:rPr>
          <w:rFonts w:ascii="Times New Roman" w:hAnsi="Times New Roman"/>
        </w:rPr>
        <w:t>poznatk</w:t>
      </w:r>
      <w:r w:rsidR="00AC7242">
        <w:rPr>
          <w:rFonts w:ascii="Times New Roman" w:hAnsi="Times New Roman"/>
        </w:rPr>
        <w:t>y</w:t>
      </w:r>
      <w:r w:rsidR="0040225B" w:rsidRPr="00A574A2">
        <w:rPr>
          <w:rFonts w:ascii="Times New Roman" w:hAnsi="Times New Roman"/>
        </w:rPr>
        <w:t xml:space="preserve"> </w:t>
      </w:r>
      <w:r w:rsidR="00AC7242">
        <w:rPr>
          <w:rFonts w:ascii="Times New Roman" w:hAnsi="Times New Roman"/>
        </w:rPr>
        <w:t>ze správní a zejména kontrolní činnosti</w:t>
      </w:r>
      <w:r w:rsidR="0040225B" w:rsidRPr="00A574A2">
        <w:rPr>
          <w:rFonts w:ascii="Times New Roman" w:hAnsi="Times New Roman"/>
        </w:rPr>
        <w:t>, a</w:t>
      </w:r>
      <w:r w:rsidR="00FF00DD" w:rsidRPr="00A574A2">
        <w:rPr>
          <w:rFonts w:ascii="Times New Roman" w:hAnsi="Times New Roman"/>
        </w:rPr>
        <w:t> </w:t>
      </w:r>
      <w:r w:rsidR="0040225B" w:rsidRPr="00A574A2">
        <w:rPr>
          <w:rFonts w:ascii="Times New Roman" w:hAnsi="Times New Roman"/>
        </w:rPr>
        <w:t xml:space="preserve">upravit </w:t>
      </w:r>
      <w:r w:rsidR="00221174" w:rsidRPr="00A574A2">
        <w:rPr>
          <w:rFonts w:ascii="Times New Roman" w:hAnsi="Times New Roman"/>
        </w:rPr>
        <w:t xml:space="preserve">problematická nebo administrativně zatěžující ustanovení. </w:t>
      </w:r>
      <w:r w:rsidR="008D4C1F" w:rsidRPr="00A574A2">
        <w:rPr>
          <w:rFonts w:ascii="Times New Roman" w:hAnsi="Times New Roman"/>
        </w:rPr>
        <w:t>Konkrétně je doprovodným cílem</w:t>
      </w:r>
      <w:r w:rsidR="0035513F">
        <w:rPr>
          <w:rFonts w:ascii="Times New Roman" w:hAnsi="Times New Roman"/>
        </w:rPr>
        <w:t>:</w:t>
      </w:r>
    </w:p>
    <w:p w14:paraId="797D4903" w14:textId="77777777" w:rsidR="009120CB" w:rsidRPr="009120CB" w:rsidRDefault="009120CB" w:rsidP="009120CB">
      <w:pPr>
        <w:tabs>
          <w:tab w:val="left" w:pos="426"/>
        </w:tabs>
        <w:spacing w:before="0" w:after="0" w:line="240" w:lineRule="auto"/>
        <w:ind w:left="426" w:hanging="426"/>
        <w:rPr>
          <w:rFonts w:ascii="Times New Roman" w:hAnsi="Times New Roman"/>
        </w:rPr>
      </w:pPr>
      <w:r>
        <w:rPr>
          <w:rFonts w:ascii="Times New Roman" w:hAnsi="Times New Roman"/>
        </w:rPr>
        <w:t>a)</w:t>
      </w:r>
      <w:r>
        <w:rPr>
          <w:rFonts w:ascii="Times New Roman" w:hAnsi="Times New Roman"/>
        </w:rPr>
        <w:tab/>
      </w:r>
      <w:r w:rsidRPr="009120CB">
        <w:rPr>
          <w:rFonts w:ascii="Times New Roman" w:hAnsi="Times New Roman"/>
        </w:rPr>
        <w:t xml:space="preserve">umožnit žadatelům o </w:t>
      </w:r>
      <w:r w:rsidR="00CF03C9">
        <w:rPr>
          <w:rFonts w:ascii="Times New Roman" w:hAnsi="Times New Roman"/>
        </w:rPr>
        <w:t xml:space="preserve">vydání </w:t>
      </w:r>
      <w:r w:rsidRPr="009120CB">
        <w:rPr>
          <w:rFonts w:ascii="Times New Roman" w:hAnsi="Times New Roman"/>
        </w:rPr>
        <w:t xml:space="preserve">povolení </w:t>
      </w:r>
      <w:r w:rsidR="00CF03C9">
        <w:rPr>
          <w:rFonts w:ascii="Times New Roman" w:hAnsi="Times New Roman"/>
        </w:rPr>
        <w:t xml:space="preserve">k </w:t>
      </w:r>
      <w:r w:rsidRPr="009120CB">
        <w:rPr>
          <w:rFonts w:ascii="Times New Roman" w:hAnsi="Times New Roman"/>
        </w:rPr>
        <w:t>vývozu výbušnin předkládat antireexportní doložky formou svého prohlášení namísto prohlášení orgánů třetích z</w:t>
      </w:r>
      <w:r>
        <w:rPr>
          <w:rFonts w:ascii="Times New Roman" w:hAnsi="Times New Roman"/>
        </w:rPr>
        <w:t>e</w:t>
      </w:r>
      <w:r w:rsidRPr="009120CB">
        <w:rPr>
          <w:rFonts w:ascii="Times New Roman" w:hAnsi="Times New Roman"/>
        </w:rPr>
        <w:t>mí vydávajících dovozní povolení</w:t>
      </w:r>
      <w:r w:rsidR="00680706">
        <w:rPr>
          <w:rFonts w:ascii="Times New Roman" w:hAnsi="Times New Roman"/>
        </w:rPr>
        <w:t>,</w:t>
      </w:r>
    </w:p>
    <w:p w14:paraId="5666E6FC" w14:textId="53468346" w:rsidR="004C6189" w:rsidRDefault="009120CB" w:rsidP="009120CB">
      <w:pPr>
        <w:tabs>
          <w:tab w:val="left" w:pos="426"/>
        </w:tabs>
        <w:spacing w:before="0" w:after="0" w:line="240" w:lineRule="auto"/>
        <w:ind w:left="426" w:hanging="426"/>
        <w:rPr>
          <w:rFonts w:ascii="Times New Roman" w:hAnsi="Times New Roman"/>
        </w:rPr>
      </w:pPr>
      <w:r>
        <w:rPr>
          <w:rFonts w:ascii="Times New Roman" w:hAnsi="Times New Roman"/>
        </w:rPr>
        <w:t>b)</w:t>
      </w:r>
      <w:r>
        <w:rPr>
          <w:rFonts w:ascii="Times New Roman" w:hAnsi="Times New Roman"/>
        </w:rPr>
        <w:tab/>
      </w:r>
      <w:r w:rsidR="004C6189">
        <w:rPr>
          <w:rFonts w:ascii="Times New Roman" w:hAnsi="Times New Roman"/>
        </w:rPr>
        <w:t xml:space="preserve">omezit rozsah údajů poskytovaných ČBÚ GŘC na údaje z povolení, která jsou pro GŘC směrodatná, a založit nástroje pro poskytování </w:t>
      </w:r>
      <w:r w:rsidR="00EB2D66">
        <w:rPr>
          <w:rFonts w:ascii="Times New Roman" w:hAnsi="Times New Roman"/>
        </w:rPr>
        <w:t>údajů,</w:t>
      </w:r>
      <w:r w:rsidR="004C6189">
        <w:rPr>
          <w:rFonts w:ascii="Times New Roman" w:hAnsi="Times New Roman"/>
        </w:rPr>
        <w:t xml:space="preserve"> pokud možno automatizovaně</w:t>
      </w:r>
      <w:r w:rsidR="00680706">
        <w:rPr>
          <w:rFonts w:ascii="Times New Roman" w:hAnsi="Times New Roman"/>
        </w:rPr>
        <w:t>,</w:t>
      </w:r>
    </w:p>
    <w:p w14:paraId="44B824CB" w14:textId="77777777" w:rsidR="00680706" w:rsidRDefault="004C6189" w:rsidP="009120CB">
      <w:pPr>
        <w:tabs>
          <w:tab w:val="left" w:pos="426"/>
        </w:tabs>
        <w:spacing w:before="0" w:after="0" w:line="240" w:lineRule="auto"/>
        <w:ind w:left="426" w:hanging="426"/>
        <w:rPr>
          <w:rFonts w:ascii="Times New Roman" w:hAnsi="Times New Roman"/>
        </w:rPr>
      </w:pPr>
      <w:r>
        <w:rPr>
          <w:rFonts w:ascii="Times New Roman" w:hAnsi="Times New Roman"/>
        </w:rPr>
        <w:t>c)</w:t>
      </w:r>
      <w:r>
        <w:rPr>
          <w:rFonts w:ascii="Times New Roman" w:hAnsi="Times New Roman"/>
        </w:rPr>
        <w:tab/>
        <w:t xml:space="preserve">umožnit celním úřadům předávat </w:t>
      </w:r>
      <w:r w:rsidR="00936F78">
        <w:rPr>
          <w:rFonts w:ascii="Times New Roman" w:hAnsi="Times New Roman"/>
        </w:rPr>
        <w:t xml:space="preserve">ČBÚ </w:t>
      </w:r>
      <w:r>
        <w:rPr>
          <w:rFonts w:ascii="Times New Roman" w:hAnsi="Times New Roman"/>
        </w:rPr>
        <w:t xml:space="preserve">údaje z celních prohlášení týkajících se vývozu </w:t>
      </w:r>
      <w:r w:rsidR="00936F78">
        <w:rPr>
          <w:rFonts w:ascii="Times New Roman" w:hAnsi="Times New Roman"/>
        </w:rPr>
        <w:t xml:space="preserve">a dovozu </w:t>
      </w:r>
      <w:r>
        <w:rPr>
          <w:rFonts w:ascii="Times New Roman" w:hAnsi="Times New Roman"/>
        </w:rPr>
        <w:t>výbušnin a současně odbourat povinnost držitelů povolení k vývozu výbušnin pravidelně oznamovat příslušné transakce</w:t>
      </w:r>
      <w:r w:rsidR="00680706">
        <w:rPr>
          <w:rFonts w:ascii="Times New Roman" w:hAnsi="Times New Roman"/>
        </w:rPr>
        <w:t xml:space="preserve"> a</w:t>
      </w:r>
    </w:p>
    <w:p w14:paraId="67685204" w14:textId="30B11EC6" w:rsidR="008D4C1F" w:rsidRPr="009120CB" w:rsidRDefault="00680706" w:rsidP="009120CB">
      <w:pPr>
        <w:tabs>
          <w:tab w:val="left" w:pos="426"/>
        </w:tabs>
        <w:spacing w:before="0" w:after="0" w:line="240" w:lineRule="auto"/>
        <w:ind w:left="426" w:hanging="426"/>
        <w:rPr>
          <w:rFonts w:ascii="Times New Roman" w:hAnsi="Times New Roman"/>
        </w:rPr>
      </w:pPr>
      <w:r>
        <w:rPr>
          <w:rFonts w:ascii="Times New Roman" w:hAnsi="Times New Roman"/>
        </w:rPr>
        <w:t>d)</w:t>
      </w:r>
      <w:r>
        <w:rPr>
          <w:rFonts w:ascii="Times New Roman" w:hAnsi="Times New Roman"/>
        </w:rPr>
        <w:tab/>
      </w:r>
      <w:r w:rsidR="00296AD5" w:rsidRPr="009120CB">
        <w:rPr>
          <w:rFonts w:ascii="Times New Roman" w:hAnsi="Times New Roman"/>
        </w:rPr>
        <w:t xml:space="preserve">založit </w:t>
      </w:r>
      <w:r w:rsidR="00155F5C" w:rsidRPr="009120CB">
        <w:rPr>
          <w:rFonts w:ascii="Times New Roman" w:hAnsi="Times New Roman"/>
        </w:rPr>
        <w:t xml:space="preserve">důslednější </w:t>
      </w:r>
      <w:r w:rsidR="00296AD5" w:rsidRPr="009120CB">
        <w:rPr>
          <w:rFonts w:ascii="Times New Roman" w:hAnsi="Times New Roman"/>
        </w:rPr>
        <w:t xml:space="preserve">nástroje pro ověřování zdravotní způsobilosti </w:t>
      </w:r>
      <w:r>
        <w:rPr>
          <w:rFonts w:ascii="Times New Roman" w:hAnsi="Times New Roman"/>
        </w:rPr>
        <w:t>osob, kte</w:t>
      </w:r>
      <w:r w:rsidR="00EB2D66">
        <w:rPr>
          <w:rFonts w:ascii="Times New Roman" w:hAnsi="Times New Roman"/>
        </w:rPr>
        <w:t>ré</w:t>
      </w:r>
      <w:r>
        <w:rPr>
          <w:rFonts w:ascii="Times New Roman" w:hAnsi="Times New Roman"/>
        </w:rPr>
        <w:t xml:space="preserve"> nejsou zaměstnanci</w:t>
      </w:r>
      <w:r w:rsidR="00EB2D66">
        <w:rPr>
          <w:rFonts w:ascii="Times New Roman" w:hAnsi="Times New Roman"/>
        </w:rPr>
        <w:t xml:space="preserve"> a</w:t>
      </w:r>
      <w:r>
        <w:rPr>
          <w:rFonts w:ascii="Times New Roman" w:hAnsi="Times New Roman"/>
        </w:rPr>
        <w:t xml:space="preserve"> důslednější nástroje pro ověřování </w:t>
      </w:r>
      <w:r w:rsidR="00296AD5" w:rsidRPr="009120CB">
        <w:rPr>
          <w:rFonts w:ascii="Times New Roman" w:hAnsi="Times New Roman"/>
        </w:rPr>
        <w:t>bezúhonnosti osob nakládajících nebo hodlajících nakládat s výbušninami.</w:t>
      </w:r>
      <w:bookmarkEnd w:id="2"/>
    </w:p>
    <w:p w14:paraId="281F4E3A" w14:textId="77777777" w:rsidR="00B752AD" w:rsidRPr="00A574A2" w:rsidRDefault="00B752AD" w:rsidP="00221174">
      <w:pPr>
        <w:pStyle w:val="Textparagrafu"/>
        <w:spacing w:after="120"/>
        <w:ind w:firstLine="0"/>
        <w:rPr>
          <w:szCs w:val="24"/>
          <w:u w:val="single"/>
        </w:rPr>
      </w:pPr>
      <w:r w:rsidRPr="00A574A2">
        <w:rPr>
          <w:szCs w:val="24"/>
          <w:u w:val="single"/>
        </w:rPr>
        <w:t>1.6 Zhodnocení rizika</w:t>
      </w:r>
    </w:p>
    <w:p w14:paraId="5408DAB0" w14:textId="0A1C8B21" w:rsidR="006E4FD7" w:rsidRDefault="00882D56" w:rsidP="00B752AD">
      <w:pPr>
        <w:spacing w:line="240" w:lineRule="auto"/>
        <w:rPr>
          <w:rFonts w:ascii="Times New Roman" w:hAnsi="Times New Roman"/>
        </w:rPr>
      </w:pPr>
      <w:r w:rsidRPr="00DD224F">
        <w:rPr>
          <w:rFonts w:ascii="Times New Roman" w:hAnsi="Times New Roman"/>
        </w:rPr>
        <w:t>Bez náležitých změn v organizaci státní báňské správy hrozí v důsledku útlumu dobývání ložisek uranových rud v Kraji Vysočina neúčelné vynakládání prostředků na správní a kontrolní činnost ze</w:t>
      </w:r>
      <w:r w:rsidR="00080253">
        <w:rPr>
          <w:rFonts w:ascii="Times New Roman" w:hAnsi="Times New Roman"/>
        </w:rPr>
        <w:t> </w:t>
      </w:r>
      <w:r w:rsidRPr="00DD224F">
        <w:rPr>
          <w:rFonts w:ascii="Times New Roman" w:hAnsi="Times New Roman"/>
        </w:rPr>
        <w:t>strany obvodního báňského úřadu sídlícího v Liberci v případě, že mu bude zachována působnost i v Kraji Vysočina. Bez náležitých změn v organizaci státní báňské správy by rovněž, s ohledem na</w:t>
      </w:r>
      <w:r w:rsidR="00080253">
        <w:rPr>
          <w:rFonts w:ascii="Times New Roman" w:hAnsi="Times New Roman"/>
        </w:rPr>
        <w:t> </w:t>
      </w:r>
      <w:r w:rsidRPr="00DD224F">
        <w:rPr>
          <w:rFonts w:ascii="Times New Roman" w:hAnsi="Times New Roman"/>
        </w:rPr>
        <w:t xml:space="preserve">změny v systemizaci služebních míst od 1. ledna 2020 schválených usnesením vlády ze dne 18. listopadu 2019 č. 811 a s ohledem na možnosti rozpočtové kapitoly 348, bylo nutné přistoupit k individuálnímu zrušení vybraných míst v jednotlivých orgánech státní báňské správy, což </w:t>
      </w:r>
      <w:r w:rsidR="00857845" w:rsidRPr="00DD224F">
        <w:rPr>
          <w:rFonts w:ascii="Times New Roman" w:hAnsi="Times New Roman"/>
        </w:rPr>
        <w:t>by s ohledem na šíři svěřených kompetencí a poměrně nízké personální obsazení jednotlivých báňských úřadů mohlo vést k ochromení výkonu státní báňské správy.</w:t>
      </w:r>
    </w:p>
    <w:p w14:paraId="72BA870C" w14:textId="0134E40C" w:rsidR="004707A3" w:rsidRDefault="008274AC" w:rsidP="00B752AD">
      <w:pPr>
        <w:spacing w:line="240" w:lineRule="auto"/>
        <w:rPr>
          <w:rFonts w:ascii="Times New Roman" w:hAnsi="Times New Roman"/>
        </w:rPr>
      </w:pPr>
      <w:r w:rsidRPr="00821C66">
        <w:rPr>
          <w:rFonts w:ascii="Times New Roman" w:hAnsi="Times New Roman"/>
        </w:rPr>
        <w:t xml:space="preserve">Beze změn </w:t>
      </w:r>
      <w:r w:rsidR="005C046F" w:rsidRPr="00821C66">
        <w:rPr>
          <w:rFonts w:ascii="Times New Roman" w:hAnsi="Times New Roman"/>
        </w:rPr>
        <w:t>souv</w:t>
      </w:r>
      <w:r w:rsidRPr="00821C66">
        <w:rPr>
          <w:rFonts w:ascii="Times New Roman" w:hAnsi="Times New Roman"/>
        </w:rPr>
        <w:t>i</w:t>
      </w:r>
      <w:r w:rsidR="005C046F" w:rsidRPr="00821C66">
        <w:rPr>
          <w:rFonts w:ascii="Times New Roman" w:hAnsi="Times New Roman"/>
        </w:rPr>
        <w:t>sejíc</w:t>
      </w:r>
      <w:r w:rsidRPr="00821C66">
        <w:rPr>
          <w:rFonts w:ascii="Times New Roman" w:hAnsi="Times New Roman"/>
        </w:rPr>
        <w:t xml:space="preserve">ích s povolováním vývozu výbušnin </w:t>
      </w:r>
      <w:r w:rsidR="000B7AFA">
        <w:rPr>
          <w:rFonts w:ascii="Times New Roman" w:hAnsi="Times New Roman"/>
        </w:rPr>
        <w:t>by nadále bylo nutné vynucovat antireexportní doložky vydávané orgány třetích zemí, čímž by účastníci příslušných správních řízení byli administrativně zatěžování</w:t>
      </w:r>
      <w:r w:rsidR="004707A3">
        <w:rPr>
          <w:rFonts w:ascii="Times New Roman" w:hAnsi="Times New Roman"/>
        </w:rPr>
        <w:t>.</w:t>
      </w:r>
    </w:p>
    <w:p w14:paraId="78DBD3E3" w14:textId="6F786906" w:rsidR="00774AE3" w:rsidRDefault="004707A3" w:rsidP="00B752AD">
      <w:pPr>
        <w:spacing w:line="240" w:lineRule="auto"/>
        <w:rPr>
          <w:rFonts w:ascii="Times New Roman" w:hAnsi="Times New Roman"/>
        </w:rPr>
      </w:pPr>
      <w:r>
        <w:rPr>
          <w:rFonts w:ascii="Times New Roman" w:hAnsi="Times New Roman"/>
        </w:rPr>
        <w:t xml:space="preserve">Bez náležitých změn </w:t>
      </w:r>
      <w:r w:rsidR="00080253">
        <w:rPr>
          <w:rFonts w:ascii="Times New Roman" w:hAnsi="Times New Roman"/>
        </w:rPr>
        <w:t>realizace</w:t>
      </w:r>
      <w:r>
        <w:rPr>
          <w:rFonts w:ascii="Times New Roman" w:hAnsi="Times New Roman"/>
        </w:rPr>
        <w:t xml:space="preserve"> výměny informací o vydaných povoleních podle § 25 až </w:t>
      </w:r>
      <w:proofErr w:type="gramStart"/>
      <w:r>
        <w:rPr>
          <w:rFonts w:ascii="Times New Roman" w:hAnsi="Times New Roman"/>
        </w:rPr>
        <w:t>25d</w:t>
      </w:r>
      <w:proofErr w:type="gramEnd"/>
      <w:r>
        <w:rPr>
          <w:rFonts w:ascii="Times New Roman" w:hAnsi="Times New Roman"/>
        </w:rPr>
        <w:t xml:space="preserve"> zákona č. 61/1988 Sb. bud</w:t>
      </w:r>
      <w:r w:rsidR="00190626">
        <w:rPr>
          <w:rFonts w:ascii="Times New Roman" w:hAnsi="Times New Roman"/>
        </w:rPr>
        <w:t xml:space="preserve">e nadále ČBÚ </w:t>
      </w:r>
      <w:r w:rsidR="00080253">
        <w:rPr>
          <w:rFonts w:ascii="Times New Roman" w:hAnsi="Times New Roman"/>
        </w:rPr>
        <w:t xml:space="preserve">nadbytečně </w:t>
      </w:r>
      <w:r w:rsidR="00190626">
        <w:rPr>
          <w:rFonts w:ascii="Times New Roman" w:hAnsi="Times New Roman"/>
        </w:rPr>
        <w:t xml:space="preserve">zatěžován administrativními úkony v podobě </w:t>
      </w:r>
      <w:r w:rsidR="00DA2850">
        <w:rPr>
          <w:rFonts w:ascii="Times New Roman" w:hAnsi="Times New Roman"/>
        </w:rPr>
        <w:t xml:space="preserve">poskytování údajů GŘC, které nemají </w:t>
      </w:r>
      <w:r>
        <w:rPr>
          <w:rFonts w:ascii="Times New Roman" w:hAnsi="Times New Roman"/>
        </w:rPr>
        <w:t>pro orgány Celní správy České republiky přílišnou relevanci</w:t>
      </w:r>
      <w:r w:rsidR="00774AE3">
        <w:rPr>
          <w:rFonts w:ascii="Times New Roman" w:hAnsi="Times New Roman"/>
        </w:rPr>
        <w:t xml:space="preserve">, čímž nebude možné </w:t>
      </w:r>
      <w:r w:rsidR="00774AE3" w:rsidRPr="00821C66">
        <w:rPr>
          <w:rFonts w:ascii="Times New Roman" w:hAnsi="Times New Roman"/>
        </w:rPr>
        <w:t>efektivněj</w:t>
      </w:r>
      <w:r w:rsidR="00774AE3">
        <w:rPr>
          <w:rFonts w:ascii="Times New Roman" w:hAnsi="Times New Roman"/>
        </w:rPr>
        <w:t>i</w:t>
      </w:r>
      <w:r w:rsidR="00774AE3" w:rsidRPr="00821C66">
        <w:rPr>
          <w:rFonts w:ascii="Times New Roman" w:hAnsi="Times New Roman"/>
        </w:rPr>
        <w:t xml:space="preserve"> využ</w:t>
      </w:r>
      <w:r w:rsidR="00774AE3">
        <w:rPr>
          <w:rFonts w:ascii="Times New Roman" w:hAnsi="Times New Roman"/>
        </w:rPr>
        <w:t xml:space="preserve">ívat personálních </w:t>
      </w:r>
      <w:r w:rsidR="00774AE3" w:rsidRPr="00821C66">
        <w:rPr>
          <w:rFonts w:ascii="Times New Roman" w:hAnsi="Times New Roman"/>
        </w:rPr>
        <w:t>kapacit pro jiné správní nebo kontrolní úkony</w:t>
      </w:r>
      <w:r w:rsidR="00774AE3">
        <w:rPr>
          <w:rFonts w:ascii="Times New Roman" w:hAnsi="Times New Roman"/>
        </w:rPr>
        <w:t xml:space="preserve">, nedojde-li pochopitelně k automatizaci poskytování údajů. </w:t>
      </w:r>
      <w:r w:rsidR="001C3E7E">
        <w:rPr>
          <w:rFonts w:ascii="Times New Roman" w:hAnsi="Times New Roman"/>
        </w:rPr>
        <w:t xml:space="preserve">Bez možnosti </w:t>
      </w:r>
      <w:r w:rsidR="0022696A">
        <w:rPr>
          <w:rFonts w:ascii="Times New Roman" w:hAnsi="Times New Roman"/>
        </w:rPr>
        <w:t xml:space="preserve">zasílat celními úřady ČBÚ údaje z celních prohlášení nebude možné </w:t>
      </w:r>
      <w:proofErr w:type="spellStart"/>
      <w:r w:rsidR="0022696A">
        <w:rPr>
          <w:rFonts w:ascii="Times New Roman" w:hAnsi="Times New Roman"/>
        </w:rPr>
        <w:t>odbřemenit</w:t>
      </w:r>
      <w:proofErr w:type="spellEnd"/>
      <w:r w:rsidR="0022696A">
        <w:rPr>
          <w:rFonts w:ascii="Times New Roman" w:hAnsi="Times New Roman"/>
        </w:rPr>
        <w:t xml:space="preserve"> držitele povolení k</w:t>
      </w:r>
      <w:r w:rsidR="00DA2850">
        <w:rPr>
          <w:rFonts w:ascii="Times New Roman" w:hAnsi="Times New Roman"/>
        </w:rPr>
        <w:t> </w:t>
      </w:r>
      <w:r w:rsidR="0022696A">
        <w:rPr>
          <w:rFonts w:ascii="Times New Roman" w:hAnsi="Times New Roman"/>
        </w:rPr>
        <w:t>vývozu</w:t>
      </w:r>
      <w:r w:rsidR="00DA2850">
        <w:rPr>
          <w:rFonts w:ascii="Times New Roman" w:hAnsi="Times New Roman"/>
        </w:rPr>
        <w:t xml:space="preserve"> a dovozu </w:t>
      </w:r>
      <w:r w:rsidR="0022696A">
        <w:rPr>
          <w:rFonts w:ascii="Times New Roman" w:hAnsi="Times New Roman"/>
        </w:rPr>
        <w:t xml:space="preserve">výbušnin od povinnosti pravidelně oznamovat množství a druhy vyvážených </w:t>
      </w:r>
      <w:r w:rsidR="00DA2850">
        <w:rPr>
          <w:rFonts w:ascii="Times New Roman" w:hAnsi="Times New Roman"/>
        </w:rPr>
        <w:t xml:space="preserve">a dovážených </w:t>
      </w:r>
      <w:r w:rsidR="0022696A">
        <w:rPr>
          <w:rFonts w:ascii="Times New Roman" w:hAnsi="Times New Roman"/>
        </w:rPr>
        <w:t>výbušnin vč. data uskutečněných transakcí</w:t>
      </w:r>
      <w:r w:rsidR="00774AE3">
        <w:rPr>
          <w:rFonts w:ascii="Times New Roman" w:hAnsi="Times New Roman"/>
        </w:rPr>
        <w:t>, jelikož bude nutné</w:t>
      </w:r>
      <w:r w:rsidR="00DA2850">
        <w:rPr>
          <w:rFonts w:ascii="Times New Roman" w:hAnsi="Times New Roman"/>
        </w:rPr>
        <w:t xml:space="preserve"> optimálním </w:t>
      </w:r>
      <w:r w:rsidR="00774AE3">
        <w:rPr>
          <w:rFonts w:ascii="Times New Roman" w:hAnsi="Times New Roman"/>
        </w:rPr>
        <w:t>způsobem zpětně kontrolovat čerpání vydaných povolení.</w:t>
      </w:r>
    </w:p>
    <w:p w14:paraId="245CA779" w14:textId="1C727F55" w:rsidR="00B752AD" w:rsidRDefault="00B07A88" w:rsidP="00B752AD">
      <w:pPr>
        <w:spacing w:line="240" w:lineRule="auto"/>
        <w:rPr>
          <w:rFonts w:ascii="Times New Roman" w:hAnsi="Times New Roman"/>
        </w:rPr>
      </w:pPr>
      <w:r w:rsidRPr="00821C66">
        <w:rPr>
          <w:rFonts w:ascii="Times New Roman" w:hAnsi="Times New Roman"/>
        </w:rPr>
        <w:t>Nezpřesnění podmínek pro prověřování zdravotní způsobilosti a</w:t>
      </w:r>
      <w:r w:rsidR="003A7C9E">
        <w:rPr>
          <w:rFonts w:ascii="Times New Roman" w:hAnsi="Times New Roman"/>
        </w:rPr>
        <w:t> </w:t>
      </w:r>
      <w:r w:rsidRPr="00821C66">
        <w:rPr>
          <w:rFonts w:ascii="Times New Roman" w:hAnsi="Times New Roman"/>
        </w:rPr>
        <w:t xml:space="preserve">bezúhonnosti osob nakládajících s výbušninami nebo hodlajících s nimi nakládat </w:t>
      </w:r>
      <w:r w:rsidR="00080253">
        <w:rPr>
          <w:rFonts w:ascii="Times New Roman" w:hAnsi="Times New Roman"/>
        </w:rPr>
        <w:t>by nezvýšilo</w:t>
      </w:r>
      <w:r w:rsidR="003B1C4B" w:rsidRPr="00821C66">
        <w:rPr>
          <w:rFonts w:ascii="Times New Roman" w:hAnsi="Times New Roman"/>
        </w:rPr>
        <w:t xml:space="preserve"> </w:t>
      </w:r>
      <w:r w:rsidR="003A3920" w:rsidRPr="00821C66">
        <w:rPr>
          <w:rFonts w:ascii="Times New Roman" w:hAnsi="Times New Roman"/>
        </w:rPr>
        <w:t>mír</w:t>
      </w:r>
      <w:r w:rsidR="00080253">
        <w:rPr>
          <w:rFonts w:ascii="Times New Roman" w:hAnsi="Times New Roman"/>
        </w:rPr>
        <w:t>u</w:t>
      </w:r>
      <w:r w:rsidR="003A3920" w:rsidRPr="00821C66">
        <w:rPr>
          <w:rFonts w:ascii="Times New Roman" w:hAnsi="Times New Roman"/>
        </w:rPr>
        <w:t xml:space="preserve"> ochrany a</w:t>
      </w:r>
      <w:r w:rsidR="00F76C5C" w:rsidRPr="00821C66">
        <w:rPr>
          <w:rFonts w:ascii="Times New Roman" w:hAnsi="Times New Roman"/>
        </w:rPr>
        <w:t> </w:t>
      </w:r>
      <w:r w:rsidR="003A3920" w:rsidRPr="00821C66">
        <w:rPr>
          <w:rFonts w:ascii="Times New Roman" w:hAnsi="Times New Roman"/>
        </w:rPr>
        <w:t>bezpečnosti provozu při</w:t>
      </w:r>
      <w:r w:rsidR="00080253">
        <w:rPr>
          <w:rFonts w:ascii="Times New Roman" w:hAnsi="Times New Roman"/>
        </w:rPr>
        <w:t> </w:t>
      </w:r>
      <w:r w:rsidR="003A3920" w:rsidRPr="00821C66">
        <w:rPr>
          <w:rFonts w:ascii="Times New Roman" w:hAnsi="Times New Roman"/>
        </w:rPr>
        <w:t>nakládání s</w:t>
      </w:r>
      <w:r w:rsidR="003801BB">
        <w:rPr>
          <w:rFonts w:ascii="Times New Roman" w:hAnsi="Times New Roman"/>
        </w:rPr>
        <w:t> </w:t>
      </w:r>
      <w:r w:rsidR="003A3920" w:rsidRPr="00821C66">
        <w:rPr>
          <w:rFonts w:ascii="Times New Roman" w:hAnsi="Times New Roman"/>
        </w:rPr>
        <w:t>výbušninami.</w:t>
      </w:r>
      <w:r w:rsidR="003801BB">
        <w:rPr>
          <w:rFonts w:ascii="Times New Roman" w:hAnsi="Times New Roman"/>
        </w:rPr>
        <w:t xml:space="preserve"> O</w:t>
      </w:r>
      <w:r w:rsidR="00FF7E8D">
        <w:rPr>
          <w:rFonts w:ascii="Times New Roman" w:hAnsi="Times New Roman"/>
        </w:rPr>
        <w:t>soby budou moci nadále prokazovat bezúhonnost výpisem z evidence Rejstříku trestů</w:t>
      </w:r>
      <w:r w:rsidR="00A1209E">
        <w:rPr>
          <w:rFonts w:ascii="Times New Roman" w:hAnsi="Times New Roman"/>
        </w:rPr>
        <w:t xml:space="preserve"> České republiky</w:t>
      </w:r>
      <w:r w:rsidR="006921DD">
        <w:rPr>
          <w:rFonts w:ascii="Times New Roman" w:hAnsi="Times New Roman"/>
        </w:rPr>
        <w:t>, ačkoliv může jít o státní příslušníky třetích zemí</w:t>
      </w:r>
      <w:r w:rsidR="00080253">
        <w:rPr>
          <w:rFonts w:ascii="Times New Roman" w:hAnsi="Times New Roman"/>
        </w:rPr>
        <w:t xml:space="preserve">, kteří se potenciálně </w:t>
      </w:r>
      <w:r w:rsidR="00080253">
        <w:rPr>
          <w:rFonts w:ascii="Times New Roman" w:hAnsi="Times New Roman"/>
        </w:rPr>
        <w:lastRenderedPageBreak/>
        <w:t>mohl</w:t>
      </w:r>
      <w:r w:rsidR="00407E45">
        <w:rPr>
          <w:rFonts w:ascii="Times New Roman" w:hAnsi="Times New Roman"/>
        </w:rPr>
        <w:t>i</w:t>
      </w:r>
      <w:r w:rsidR="00080253">
        <w:rPr>
          <w:rFonts w:ascii="Times New Roman" w:hAnsi="Times New Roman"/>
        </w:rPr>
        <w:t xml:space="preserve"> v těchto zemích dopustit trestné činnosti, která by mohla být relevantní pro posouzení jejich možnosti nakládání s výbušninami</w:t>
      </w:r>
      <w:r w:rsidR="003801BB">
        <w:rPr>
          <w:rFonts w:ascii="Times New Roman" w:hAnsi="Times New Roman"/>
        </w:rPr>
        <w:t>. Osobám samostatně výdělečně činným pak nebudou stanoveny zdravotní kontraindikace vylučující nakládání s</w:t>
      </w:r>
      <w:r w:rsidR="00BA5219">
        <w:rPr>
          <w:rFonts w:ascii="Times New Roman" w:hAnsi="Times New Roman"/>
        </w:rPr>
        <w:t> </w:t>
      </w:r>
      <w:r w:rsidR="003801BB">
        <w:rPr>
          <w:rFonts w:ascii="Times New Roman" w:hAnsi="Times New Roman"/>
        </w:rPr>
        <w:t>výbušninami</w:t>
      </w:r>
      <w:r w:rsidR="00BA5219">
        <w:rPr>
          <w:rFonts w:ascii="Times New Roman" w:hAnsi="Times New Roman"/>
        </w:rPr>
        <w:t>.</w:t>
      </w:r>
    </w:p>
    <w:p w14:paraId="1191981D" w14:textId="77777777" w:rsidR="00B752AD" w:rsidRPr="00FF00DD" w:rsidRDefault="00B752AD" w:rsidP="008303FC">
      <w:pPr>
        <w:pStyle w:val="FormtovanvHTML"/>
        <w:spacing w:before="360" w:after="120"/>
        <w:jc w:val="both"/>
        <w:rPr>
          <w:rFonts w:ascii="Times New Roman" w:hAnsi="Times New Roman" w:cs="Times New Roman"/>
          <w:b/>
          <w:bCs/>
          <w:sz w:val="24"/>
          <w:szCs w:val="24"/>
        </w:rPr>
      </w:pPr>
      <w:r w:rsidRPr="00FF00DD">
        <w:rPr>
          <w:rFonts w:ascii="Times New Roman" w:hAnsi="Times New Roman" w:cs="Times New Roman"/>
          <w:b/>
          <w:bCs/>
          <w:sz w:val="24"/>
          <w:szCs w:val="24"/>
        </w:rPr>
        <w:t>2. Návrh variant řešení</w:t>
      </w:r>
    </w:p>
    <w:p w14:paraId="19854B22" w14:textId="77777777" w:rsidR="00B752AD" w:rsidRPr="00FF00DD" w:rsidRDefault="00B752AD" w:rsidP="00B752AD">
      <w:pPr>
        <w:pStyle w:val="Textparagrafu"/>
        <w:tabs>
          <w:tab w:val="left" w:pos="708"/>
        </w:tabs>
        <w:spacing w:before="0" w:after="120"/>
        <w:ind w:firstLine="0"/>
        <w:contextualSpacing/>
        <w:rPr>
          <w:szCs w:val="24"/>
          <w:u w:val="single"/>
        </w:rPr>
      </w:pPr>
      <w:r w:rsidRPr="00FF00DD">
        <w:rPr>
          <w:szCs w:val="24"/>
          <w:u w:val="single"/>
        </w:rPr>
        <w:t>Nulová varianta</w:t>
      </w:r>
    </w:p>
    <w:p w14:paraId="29A00C7A" w14:textId="77777777" w:rsidR="008F1CA2" w:rsidRPr="00FF00DD" w:rsidRDefault="008F1CA2" w:rsidP="008F1CA2">
      <w:pPr>
        <w:pStyle w:val="Textparagrafu"/>
        <w:tabs>
          <w:tab w:val="left" w:pos="708"/>
        </w:tabs>
        <w:spacing w:before="120" w:after="120"/>
        <w:ind w:firstLine="0"/>
        <w:rPr>
          <w:szCs w:val="24"/>
        </w:rPr>
      </w:pPr>
      <w:r w:rsidRPr="00FF00DD">
        <w:rPr>
          <w:szCs w:val="24"/>
        </w:rPr>
        <w:t xml:space="preserve">Zachování stávajícího stavu a neřešení otázek uvedených výše </w:t>
      </w:r>
      <w:r w:rsidR="00950513" w:rsidRPr="00FF00DD">
        <w:rPr>
          <w:szCs w:val="24"/>
        </w:rPr>
        <w:t xml:space="preserve">v bodě 1.5 </w:t>
      </w:r>
      <w:r w:rsidRPr="00FF00DD">
        <w:rPr>
          <w:szCs w:val="24"/>
        </w:rPr>
        <w:t xml:space="preserve">a </w:t>
      </w:r>
      <w:r w:rsidR="00950513" w:rsidRPr="00FF00DD">
        <w:rPr>
          <w:szCs w:val="24"/>
        </w:rPr>
        <w:t>1.2</w:t>
      </w:r>
      <w:r w:rsidRPr="00FF00DD">
        <w:rPr>
          <w:szCs w:val="24"/>
        </w:rPr>
        <w:t>.</w:t>
      </w:r>
    </w:p>
    <w:p w14:paraId="7C0B75D7" w14:textId="77777777" w:rsidR="006D225C" w:rsidRPr="00FF00DD" w:rsidRDefault="006D225C" w:rsidP="00892141">
      <w:pPr>
        <w:pStyle w:val="Textparagrafu"/>
        <w:tabs>
          <w:tab w:val="left" w:pos="708"/>
        </w:tabs>
        <w:spacing w:before="0" w:after="120"/>
        <w:ind w:firstLine="0"/>
        <w:contextualSpacing/>
        <w:rPr>
          <w:szCs w:val="24"/>
          <w:u w:val="single"/>
        </w:rPr>
      </w:pPr>
      <w:r w:rsidRPr="00FF00DD">
        <w:rPr>
          <w:szCs w:val="24"/>
          <w:u w:val="single"/>
        </w:rPr>
        <w:t xml:space="preserve">Varianta I. </w:t>
      </w:r>
    </w:p>
    <w:p w14:paraId="5EB4AAEC" w14:textId="77777777" w:rsidR="00B752AD" w:rsidRPr="00FF00DD" w:rsidRDefault="00E77234" w:rsidP="00892141">
      <w:pPr>
        <w:pStyle w:val="Textparagrafu"/>
        <w:tabs>
          <w:tab w:val="left" w:pos="708"/>
        </w:tabs>
        <w:spacing w:before="0" w:after="120"/>
        <w:ind w:firstLine="0"/>
        <w:contextualSpacing/>
        <w:rPr>
          <w:szCs w:val="24"/>
        </w:rPr>
      </w:pPr>
      <w:r w:rsidRPr="00FF00DD">
        <w:rPr>
          <w:szCs w:val="24"/>
        </w:rPr>
        <w:t>Rozsáhlejší novela zahrnující v</w:t>
      </w:r>
      <w:r w:rsidR="008F1CA2" w:rsidRPr="00FF00DD">
        <w:rPr>
          <w:szCs w:val="24"/>
        </w:rPr>
        <w:t>edle</w:t>
      </w:r>
      <w:r w:rsidR="003146C8">
        <w:rPr>
          <w:szCs w:val="24"/>
        </w:rPr>
        <w:t xml:space="preserve"> </w:t>
      </w:r>
      <w:r w:rsidR="00950513" w:rsidRPr="00FF00DD">
        <w:rPr>
          <w:szCs w:val="24"/>
        </w:rPr>
        <w:t xml:space="preserve">změny organizační struktury zrušením </w:t>
      </w:r>
      <w:r w:rsidR="005F4FF3" w:rsidRPr="00FF00DD">
        <w:rPr>
          <w:szCs w:val="24"/>
        </w:rPr>
        <w:t>jednoho z</w:t>
      </w:r>
      <w:r w:rsidR="007460DB">
        <w:rPr>
          <w:szCs w:val="24"/>
        </w:rPr>
        <w:t> </w:t>
      </w:r>
      <w:r w:rsidR="00A03DA7" w:rsidRPr="00FF00DD">
        <w:rPr>
          <w:szCs w:val="24"/>
        </w:rPr>
        <w:t>OBÚ</w:t>
      </w:r>
      <w:r w:rsidR="007460DB">
        <w:rPr>
          <w:szCs w:val="24"/>
        </w:rPr>
        <w:t xml:space="preserve"> </w:t>
      </w:r>
      <w:r w:rsidRPr="00FF00DD">
        <w:rPr>
          <w:szCs w:val="24"/>
        </w:rPr>
        <w:t>rovněž úpravy související s</w:t>
      </w:r>
      <w:r w:rsidR="007460DB">
        <w:rPr>
          <w:szCs w:val="24"/>
        </w:rPr>
        <w:t> </w:t>
      </w:r>
      <w:r w:rsidR="006D225C" w:rsidRPr="00FF00DD">
        <w:rPr>
          <w:szCs w:val="24"/>
        </w:rPr>
        <w:t>promítnut</w:t>
      </w:r>
      <w:r w:rsidRPr="00FF00DD">
        <w:rPr>
          <w:szCs w:val="24"/>
        </w:rPr>
        <w:t>ím</w:t>
      </w:r>
      <w:r w:rsidR="007460DB">
        <w:rPr>
          <w:szCs w:val="24"/>
        </w:rPr>
        <w:t xml:space="preserve"> </w:t>
      </w:r>
      <w:r w:rsidR="005F4FF3" w:rsidRPr="00FF00DD">
        <w:rPr>
          <w:szCs w:val="24"/>
        </w:rPr>
        <w:t>n</w:t>
      </w:r>
      <w:r w:rsidR="006D225C" w:rsidRPr="00FF00DD">
        <w:rPr>
          <w:szCs w:val="24"/>
        </w:rPr>
        <w:t>ařízení Evropského parlamentu</w:t>
      </w:r>
      <w:r w:rsidR="007460DB">
        <w:rPr>
          <w:szCs w:val="24"/>
        </w:rPr>
        <w:t xml:space="preserve"> </w:t>
      </w:r>
      <w:r w:rsidR="006D225C" w:rsidRPr="00FF00DD">
        <w:rPr>
          <w:szCs w:val="24"/>
        </w:rPr>
        <w:t>a</w:t>
      </w:r>
      <w:r w:rsidR="00FF00DD">
        <w:rPr>
          <w:szCs w:val="24"/>
        </w:rPr>
        <w:t> </w:t>
      </w:r>
      <w:r w:rsidR="006D225C" w:rsidRPr="00FF00DD">
        <w:rPr>
          <w:szCs w:val="24"/>
        </w:rPr>
        <w:t>Rady (EU) 2019/1148 ze dne 20. června 2019 o uvádění prekurzorů výbušnin na trh</w:t>
      </w:r>
      <w:r w:rsidR="007460DB">
        <w:rPr>
          <w:szCs w:val="24"/>
        </w:rPr>
        <w:t xml:space="preserve"> </w:t>
      </w:r>
      <w:r w:rsidR="006D225C" w:rsidRPr="00FF00DD">
        <w:rPr>
          <w:szCs w:val="24"/>
        </w:rPr>
        <w:t>a</w:t>
      </w:r>
      <w:r w:rsidR="00FF00DD">
        <w:rPr>
          <w:szCs w:val="24"/>
        </w:rPr>
        <w:t> </w:t>
      </w:r>
      <w:r w:rsidR="006D225C" w:rsidRPr="00FF00DD">
        <w:rPr>
          <w:szCs w:val="24"/>
        </w:rPr>
        <w:t xml:space="preserve">o jejich používání, změně nařízení (ES) č. 1907/2006 a zrušení nařízení (EU) č. 98/2013 </w:t>
      </w:r>
      <w:r w:rsidRPr="00FF00DD">
        <w:rPr>
          <w:szCs w:val="24"/>
        </w:rPr>
        <w:t xml:space="preserve">do českého právního řádu a rovněž změnu </w:t>
      </w:r>
      <w:r w:rsidR="005F4FF3" w:rsidRPr="00FF00DD">
        <w:rPr>
          <w:szCs w:val="24"/>
        </w:rPr>
        <w:t>rozsahu předmětu podnikání</w:t>
      </w:r>
      <w:r w:rsidR="007460DB">
        <w:rPr>
          <w:szCs w:val="24"/>
        </w:rPr>
        <w:t xml:space="preserve"> </w:t>
      </w:r>
      <w:r w:rsidR="005F4FF3" w:rsidRPr="00FF00DD">
        <w:rPr>
          <w:szCs w:val="24"/>
        </w:rPr>
        <w:t>u</w:t>
      </w:r>
      <w:r w:rsidR="00FF00DD">
        <w:rPr>
          <w:szCs w:val="24"/>
        </w:rPr>
        <w:t> </w:t>
      </w:r>
      <w:r w:rsidRPr="00FF00DD">
        <w:rPr>
          <w:szCs w:val="24"/>
        </w:rPr>
        <w:t>živnosti</w:t>
      </w:r>
      <w:r w:rsidR="005F4FF3" w:rsidRPr="00FF00DD">
        <w:rPr>
          <w:szCs w:val="24"/>
        </w:rPr>
        <w:t xml:space="preserve"> vážící se k nakládání s výbušninami </w:t>
      </w:r>
      <w:r w:rsidRPr="00FF00DD">
        <w:rPr>
          <w:szCs w:val="24"/>
        </w:rPr>
        <w:t xml:space="preserve">vyvolanou </w:t>
      </w:r>
      <w:r w:rsidR="000232D2">
        <w:rPr>
          <w:szCs w:val="24"/>
        </w:rPr>
        <w:t xml:space="preserve">novým zákonem </w:t>
      </w:r>
      <w:r w:rsidRPr="00FF00DD">
        <w:rPr>
          <w:szCs w:val="24"/>
        </w:rPr>
        <w:t>o</w:t>
      </w:r>
      <w:r w:rsidR="007E4081">
        <w:rPr>
          <w:szCs w:val="24"/>
        </w:rPr>
        <w:t> </w:t>
      </w:r>
      <w:r w:rsidRPr="00FF00DD">
        <w:rPr>
          <w:szCs w:val="24"/>
        </w:rPr>
        <w:t>zbraních.</w:t>
      </w:r>
    </w:p>
    <w:p w14:paraId="540DF647" w14:textId="77777777" w:rsidR="00E91F7C" w:rsidRPr="00FF00DD" w:rsidRDefault="00E91F7C" w:rsidP="00E91F7C">
      <w:pPr>
        <w:pStyle w:val="Textparagrafu"/>
        <w:tabs>
          <w:tab w:val="left" w:pos="708"/>
        </w:tabs>
        <w:spacing w:after="120"/>
        <w:ind w:firstLine="0"/>
        <w:rPr>
          <w:szCs w:val="24"/>
          <w:u w:val="single"/>
        </w:rPr>
      </w:pPr>
      <w:r w:rsidRPr="00FF00DD">
        <w:rPr>
          <w:szCs w:val="24"/>
          <w:u w:val="single"/>
        </w:rPr>
        <w:t xml:space="preserve">Varianta II. </w:t>
      </w:r>
    </w:p>
    <w:p w14:paraId="36ADD3C4" w14:textId="77777777" w:rsidR="00352517" w:rsidRPr="00FF00DD" w:rsidRDefault="00892141" w:rsidP="008303FC">
      <w:pPr>
        <w:tabs>
          <w:tab w:val="left" w:pos="708"/>
        </w:tabs>
        <w:spacing w:line="240" w:lineRule="auto"/>
        <w:rPr>
          <w:rFonts w:ascii="Times New Roman" w:hAnsi="Times New Roman"/>
        </w:rPr>
      </w:pPr>
      <w:r w:rsidRPr="00FF00DD">
        <w:rPr>
          <w:rFonts w:ascii="Times New Roman" w:hAnsi="Times New Roman"/>
          <w:iCs/>
        </w:rPr>
        <w:t>Novela zákona upravující vedle úprav</w:t>
      </w:r>
      <w:r w:rsidR="00E77234" w:rsidRPr="00FF00DD">
        <w:rPr>
          <w:rFonts w:ascii="Times New Roman" w:hAnsi="Times New Roman"/>
          <w:iCs/>
        </w:rPr>
        <w:t>y</w:t>
      </w:r>
      <w:r w:rsidRPr="00FF00DD">
        <w:rPr>
          <w:rFonts w:ascii="Times New Roman" w:hAnsi="Times New Roman"/>
          <w:iCs/>
        </w:rPr>
        <w:t xml:space="preserve"> organizační struktury orgánů SBS a některé změny otázky nakládání s výbušninami, zejm. provádění trhacích prací.</w:t>
      </w:r>
    </w:p>
    <w:p w14:paraId="45A1D51A" w14:textId="77777777" w:rsidR="00B752AD" w:rsidRDefault="00B752AD" w:rsidP="008303FC">
      <w:pPr>
        <w:pStyle w:val="FormtovanvHTML"/>
        <w:spacing w:before="360" w:after="120"/>
        <w:jc w:val="both"/>
        <w:rPr>
          <w:rFonts w:ascii="Times New Roman" w:hAnsi="Times New Roman" w:cs="Times New Roman"/>
          <w:b/>
          <w:bCs/>
          <w:sz w:val="24"/>
          <w:szCs w:val="24"/>
        </w:rPr>
      </w:pPr>
      <w:r w:rsidRPr="00FF00DD">
        <w:rPr>
          <w:rFonts w:ascii="Times New Roman" w:hAnsi="Times New Roman" w:cs="Times New Roman"/>
          <w:b/>
          <w:bCs/>
          <w:sz w:val="24"/>
          <w:szCs w:val="24"/>
        </w:rPr>
        <w:t>3. Vyhodnocení nákladů a přínosů</w:t>
      </w:r>
    </w:p>
    <w:p w14:paraId="6C792A8C" w14:textId="77777777" w:rsidR="00B752AD" w:rsidRPr="00FF00DD" w:rsidRDefault="00B752AD" w:rsidP="007977D7">
      <w:pPr>
        <w:pStyle w:val="Textparagrafu"/>
        <w:spacing w:after="120"/>
        <w:ind w:firstLine="0"/>
        <w:rPr>
          <w:szCs w:val="24"/>
          <w:u w:val="single"/>
        </w:rPr>
      </w:pPr>
      <w:r w:rsidRPr="00FF00DD">
        <w:rPr>
          <w:u w:val="single"/>
        </w:rPr>
        <w:t>3.1 Identifikace nákladů a přínosů</w:t>
      </w:r>
    </w:p>
    <w:p w14:paraId="7F623078" w14:textId="77777777" w:rsidR="00B752AD" w:rsidRPr="00FB6BB9" w:rsidRDefault="00B752AD" w:rsidP="007977D7">
      <w:pPr>
        <w:pStyle w:val="Textparagrafu"/>
        <w:spacing w:after="120"/>
        <w:ind w:firstLine="0"/>
        <w:rPr>
          <w:szCs w:val="24"/>
          <w:u w:val="single"/>
        </w:rPr>
      </w:pPr>
      <w:r w:rsidRPr="00FB6BB9">
        <w:rPr>
          <w:szCs w:val="24"/>
          <w:u w:val="single"/>
        </w:rPr>
        <w:t>3.2 Náklady</w:t>
      </w:r>
    </w:p>
    <w:p w14:paraId="74EA7648" w14:textId="77777777" w:rsidR="00B752AD" w:rsidRPr="00FB6BB9" w:rsidRDefault="00FB6BB9" w:rsidP="00B752AD">
      <w:pPr>
        <w:pStyle w:val="Prosttext"/>
        <w:tabs>
          <w:tab w:val="left" w:pos="708"/>
        </w:tabs>
        <w:jc w:val="both"/>
        <w:outlineLvl w:val="0"/>
        <w:rPr>
          <w:rFonts w:ascii="Times New Roman" w:hAnsi="Times New Roman"/>
          <w:sz w:val="24"/>
          <w:szCs w:val="24"/>
        </w:rPr>
      </w:pPr>
      <w:r w:rsidRPr="00FB6BB9">
        <w:rPr>
          <w:rFonts w:ascii="Times New Roman" w:hAnsi="Times New Roman"/>
          <w:color w:val="000000"/>
          <w:sz w:val="24"/>
          <w:szCs w:val="24"/>
        </w:rPr>
        <w:t>Žádná z hodnocených variant nepředstavuje v oblasti nákladů žádné zvýšení nákladů stávajících, ani pokud jde o státní a ostatní veřejné rozpočty, ani pokud jde o dotčené subjekty či jiné osoby.</w:t>
      </w:r>
      <w:r w:rsidR="00BB25D9">
        <w:rPr>
          <w:rFonts w:ascii="Times New Roman" w:hAnsi="Times New Roman"/>
          <w:color w:val="000000"/>
          <w:sz w:val="24"/>
          <w:szCs w:val="24"/>
        </w:rPr>
        <w:t xml:space="preserve"> V</w:t>
      </w:r>
      <w:r w:rsidR="00F70CDC">
        <w:rPr>
          <w:rFonts w:ascii="Times New Roman" w:hAnsi="Times New Roman"/>
          <w:color w:val="000000"/>
          <w:sz w:val="24"/>
          <w:szCs w:val="24"/>
        </w:rPr>
        <w:t xml:space="preserve">ýjimku tvoří varianta II, která přinese nejvýše zanedbatelné náklady na </w:t>
      </w:r>
      <w:r w:rsidR="00BB25D9">
        <w:rPr>
          <w:rFonts w:ascii="Times New Roman" w:hAnsi="Times New Roman"/>
          <w:color w:val="000000"/>
          <w:sz w:val="24"/>
          <w:szCs w:val="24"/>
        </w:rPr>
        <w:t>změnu informačních systémů GŘC a</w:t>
      </w:r>
      <w:r w:rsidR="00F70CDC">
        <w:rPr>
          <w:rFonts w:ascii="Times New Roman" w:hAnsi="Times New Roman"/>
          <w:color w:val="000000"/>
          <w:sz w:val="24"/>
          <w:szCs w:val="24"/>
        </w:rPr>
        <w:t> </w:t>
      </w:r>
      <w:r w:rsidR="00BB25D9">
        <w:rPr>
          <w:rFonts w:ascii="Times New Roman" w:hAnsi="Times New Roman"/>
          <w:color w:val="000000"/>
          <w:sz w:val="24"/>
          <w:szCs w:val="24"/>
        </w:rPr>
        <w:t>ČBÚ v zájmu výměny údajů o povolení k vývozu a</w:t>
      </w:r>
      <w:r w:rsidR="00F70CDC">
        <w:rPr>
          <w:rFonts w:ascii="Times New Roman" w:hAnsi="Times New Roman"/>
          <w:color w:val="000000"/>
          <w:sz w:val="24"/>
          <w:szCs w:val="24"/>
        </w:rPr>
        <w:t> </w:t>
      </w:r>
      <w:r w:rsidR="00BB25D9">
        <w:rPr>
          <w:rFonts w:ascii="Times New Roman" w:hAnsi="Times New Roman"/>
          <w:color w:val="000000"/>
          <w:sz w:val="24"/>
          <w:szCs w:val="24"/>
        </w:rPr>
        <w:t>dovozu výbušnin a údajů z celních prohlášení mezi těmito orgány státní správy</w:t>
      </w:r>
      <w:r w:rsidR="00F70CDC">
        <w:rPr>
          <w:rFonts w:ascii="Times New Roman" w:hAnsi="Times New Roman"/>
          <w:color w:val="000000"/>
          <w:sz w:val="24"/>
          <w:szCs w:val="24"/>
        </w:rPr>
        <w:t>. Podle předběžných kalkulací lze uvažovat mj. na straně ČBÚ o nákladech řádově 200 000 Kč při dosažení co nejvyššího stupně automatizace</w:t>
      </w:r>
      <w:r w:rsidR="00C86F30">
        <w:rPr>
          <w:rFonts w:ascii="Times New Roman" w:hAnsi="Times New Roman"/>
          <w:color w:val="000000"/>
          <w:sz w:val="24"/>
          <w:szCs w:val="24"/>
        </w:rPr>
        <w:t xml:space="preserve">, </w:t>
      </w:r>
      <w:r w:rsidR="00DA0723">
        <w:rPr>
          <w:rFonts w:ascii="Times New Roman" w:hAnsi="Times New Roman"/>
          <w:color w:val="000000"/>
          <w:sz w:val="24"/>
          <w:szCs w:val="24"/>
        </w:rPr>
        <w:t>část takovýchto nákladů však</w:t>
      </w:r>
      <w:r w:rsidR="00EF634E">
        <w:rPr>
          <w:rFonts w:ascii="Times New Roman" w:hAnsi="Times New Roman"/>
          <w:color w:val="000000"/>
          <w:sz w:val="24"/>
          <w:szCs w:val="24"/>
        </w:rPr>
        <w:t xml:space="preserve"> může být pokryta zdroji z již alokované částky pro další rozvoj AIS SBS</w:t>
      </w:r>
      <w:r w:rsidR="00C3159B">
        <w:rPr>
          <w:rFonts w:ascii="Times New Roman" w:hAnsi="Times New Roman"/>
          <w:color w:val="000000"/>
          <w:sz w:val="24"/>
          <w:szCs w:val="24"/>
        </w:rPr>
        <w:t xml:space="preserve"> a konkrétní výše v tuto chvíli nelze přesně stanovit</w:t>
      </w:r>
      <w:r w:rsidR="00E708FA">
        <w:rPr>
          <w:rFonts w:ascii="Times New Roman" w:hAnsi="Times New Roman"/>
          <w:color w:val="000000"/>
          <w:sz w:val="24"/>
          <w:szCs w:val="24"/>
        </w:rPr>
        <w:t>; i</w:t>
      </w:r>
      <w:r w:rsidR="00C3159B">
        <w:rPr>
          <w:rFonts w:ascii="Times New Roman" w:hAnsi="Times New Roman"/>
          <w:color w:val="000000"/>
          <w:sz w:val="24"/>
          <w:szCs w:val="24"/>
        </w:rPr>
        <w:t xml:space="preserve"> pokud by </w:t>
      </w:r>
      <w:r w:rsidR="00E708FA">
        <w:rPr>
          <w:rFonts w:ascii="Times New Roman" w:hAnsi="Times New Roman"/>
          <w:color w:val="000000"/>
          <w:sz w:val="24"/>
          <w:szCs w:val="24"/>
        </w:rPr>
        <w:t xml:space="preserve">se náklady nepodařilo pokrýt z již alokované částky pro další rozvoj AIS SBS, lze důvodně předpokládat, že při úspěšné automatizaci výměny údajů bude v dlouhodobém horizontu možné dosáhnout úspor </w:t>
      </w:r>
      <w:r w:rsidR="00380752">
        <w:rPr>
          <w:rFonts w:ascii="Times New Roman" w:hAnsi="Times New Roman"/>
          <w:color w:val="000000"/>
          <w:sz w:val="24"/>
          <w:szCs w:val="24"/>
        </w:rPr>
        <w:t xml:space="preserve">finančních prostředků vynakládaných </w:t>
      </w:r>
      <w:r w:rsidR="00E708FA">
        <w:rPr>
          <w:rFonts w:ascii="Times New Roman" w:hAnsi="Times New Roman"/>
          <w:color w:val="000000"/>
          <w:sz w:val="24"/>
          <w:szCs w:val="24"/>
        </w:rPr>
        <w:t>na provoz ČBÚ</w:t>
      </w:r>
      <w:r w:rsidR="00621E79">
        <w:rPr>
          <w:rFonts w:ascii="Times New Roman" w:hAnsi="Times New Roman"/>
          <w:color w:val="000000"/>
          <w:sz w:val="24"/>
          <w:szCs w:val="24"/>
        </w:rPr>
        <w:t xml:space="preserve"> </w:t>
      </w:r>
      <w:r w:rsidR="00380752">
        <w:rPr>
          <w:rFonts w:ascii="Times New Roman" w:hAnsi="Times New Roman"/>
          <w:color w:val="000000"/>
          <w:sz w:val="24"/>
          <w:szCs w:val="24"/>
        </w:rPr>
        <w:t xml:space="preserve">díky zefektivnění správní činnosti. Podle konzultací je na straně GŘC již alokována částka pro reciproční změnu informačního systému Single </w:t>
      </w:r>
      <w:proofErr w:type="spellStart"/>
      <w:r w:rsidR="00380752">
        <w:rPr>
          <w:rFonts w:ascii="Times New Roman" w:hAnsi="Times New Roman"/>
          <w:color w:val="000000"/>
          <w:sz w:val="24"/>
          <w:szCs w:val="24"/>
        </w:rPr>
        <w:t>Window</w:t>
      </w:r>
      <w:proofErr w:type="spellEnd"/>
      <w:r w:rsidR="00380752">
        <w:rPr>
          <w:rFonts w:ascii="Times New Roman" w:hAnsi="Times New Roman"/>
          <w:color w:val="000000"/>
          <w:sz w:val="24"/>
          <w:szCs w:val="24"/>
        </w:rPr>
        <w:t>.</w:t>
      </w:r>
    </w:p>
    <w:p w14:paraId="61C8B0C0" w14:textId="77777777" w:rsidR="00B752AD" w:rsidRPr="00881DD1" w:rsidRDefault="00B752AD" w:rsidP="00881DD1">
      <w:pPr>
        <w:pStyle w:val="Textparagrafu"/>
        <w:ind w:firstLine="0"/>
        <w:rPr>
          <w:szCs w:val="24"/>
          <w:u w:val="single"/>
        </w:rPr>
      </w:pPr>
      <w:r w:rsidRPr="00881DD1">
        <w:rPr>
          <w:szCs w:val="24"/>
          <w:u w:val="single"/>
        </w:rPr>
        <w:t>3.3 Přínosy</w:t>
      </w:r>
    </w:p>
    <w:p w14:paraId="6B3194AF" w14:textId="77777777" w:rsidR="00881DD1" w:rsidRPr="00881DD1" w:rsidRDefault="00881DD1" w:rsidP="00881DD1">
      <w:pPr>
        <w:spacing w:line="240" w:lineRule="auto"/>
        <w:rPr>
          <w:rFonts w:ascii="Times New Roman" w:eastAsiaTheme="minorHAnsi" w:hAnsi="Times New Roman"/>
          <w:color w:val="000000"/>
          <w:lang w:eastAsia="cs-CZ"/>
        </w:rPr>
      </w:pPr>
      <w:r w:rsidRPr="00881DD1">
        <w:rPr>
          <w:rFonts w:ascii="Times New Roman" w:hAnsi="Times New Roman"/>
          <w:color w:val="000000"/>
          <w:u w:val="single"/>
        </w:rPr>
        <w:t>3.3.1 Přínosy Varianty 0</w:t>
      </w:r>
    </w:p>
    <w:p w14:paraId="6821DCBB" w14:textId="77777777" w:rsidR="00881DD1" w:rsidRPr="00881DD1" w:rsidRDefault="00881DD1" w:rsidP="000960BD">
      <w:pPr>
        <w:spacing w:after="240" w:line="240" w:lineRule="auto"/>
        <w:rPr>
          <w:rFonts w:ascii="Times New Roman" w:hAnsi="Times New Roman"/>
          <w:color w:val="000000"/>
        </w:rPr>
      </w:pPr>
      <w:r w:rsidRPr="00881DD1">
        <w:rPr>
          <w:rFonts w:ascii="Times New Roman" w:hAnsi="Times New Roman"/>
          <w:color w:val="000000"/>
        </w:rPr>
        <w:t>Navrhovaná právní úprava nepřináší v dané oblasti žádné přínosy oproti stávající úpravě.</w:t>
      </w:r>
    </w:p>
    <w:p w14:paraId="761DE625" w14:textId="77777777" w:rsidR="00881DD1" w:rsidRPr="00881DD1" w:rsidRDefault="00881DD1" w:rsidP="00881DD1">
      <w:pPr>
        <w:spacing w:line="240" w:lineRule="auto"/>
        <w:rPr>
          <w:rFonts w:ascii="Times New Roman" w:hAnsi="Times New Roman"/>
          <w:color w:val="000000"/>
        </w:rPr>
      </w:pPr>
      <w:r w:rsidRPr="00881DD1">
        <w:rPr>
          <w:rFonts w:ascii="Times New Roman" w:hAnsi="Times New Roman"/>
          <w:color w:val="000000"/>
          <w:u w:val="single"/>
        </w:rPr>
        <w:t>3.3.2 Přínosy Varianty I</w:t>
      </w:r>
    </w:p>
    <w:p w14:paraId="74130F13" w14:textId="77777777" w:rsidR="000960BD" w:rsidRDefault="00881DD1" w:rsidP="00881DD1">
      <w:pPr>
        <w:spacing w:after="0" w:line="240" w:lineRule="auto"/>
        <w:rPr>
          <w:rFonts w:ascii="Times New Roman" w:hAnsi="Times New Roman"/>
          <w:color w:val="000000"/>
        </w:rPr>
      </w:pPr>
      <w:r w:rsidRPr="00881DD1">
        <w:rPr>
          <w:rFonts w:ascii="Times New Roman" w:hAnsi="Times New Roman"/>
          <w:color w:val="000000"/>
        </w:rPr>
        <w:t xml:space="preserve">Varianta </w:t>
      </w:r>
      <w:proofErr w:type="gramStart"/>
      <w:r w:rsidRPr="00881DD1">
        <w:rPr>
          <w:rFonts w:ascii="Times New Roman" w:hAnsi="Times New Roman"/>
          <w:color w:val="000000"/>
        </w:rPr>
        <w:t>I</w:t>
      </w:r>
      <w:proofErr w:type="gramEnd"/>
      <w:r w:rsidRPr="00881DD1">
        <w:rPr>
          <w:rFonts w:ascii="Times New Roman" w:hAnsi="Times New Roman"/>
          <w:color w:val="000000"/>
        </w:rPr>
        <w:t xml:space="preserve"> představuje obsahově shodné přínosy jako varianta II.</w:t>
      </w:r>
    </w:p>
    <w:p w14:paraId="1A365300" w14:textId="77777777" w:rsidR="000960BD" w:rsidRDefault="000960BD" w:rsidP="00881DD1">
      <w:pPr>
        <w:spacing w:after="0" w:line="240" w:lineRule="auto"/>
        <w:rPr>
          <w:rFonts w:ascii="Times New Roman" w:hAnsi="Times New Roman"/>
          <w:color w:val="000000"/>
        </w:rPr>
      </w:pPr>
      <w:r>
        <w:rPr>
          <w:rFonts w:ascii="Times New Roman" w:hAnsi="Times New Roman"/>
          <w:color w:val="000000"/>
        </w:rPr>
        <w:t>Varianta II však klade vyšší nároky na provázání a další výstupy z legislativních procesů, které již probíhají paralelně (např. návrh zákona o zbraních, nový zákon o prekurzorech výbušnin)</w:t>
      </w:r>
      <w:r w:rsidR="00777E97">
        <w:rPr>
          <w:rFonts w:ascii="Times New Roman" w:hAnsi="Times New Roman"/>
          <w:color w:val="000000"/>
        </w:rPr>
        <w:t>, zejména pokud jde o terminologii.</w:t>
      </w:r>
    </w:p>
    <w:p w14:paraId="311AEDA9" w14:textId="77777777" w:rsidR="00A80387" w:rsidRPr="00881DD1" w:rsidRDefault="00A80387" w:rsidP="000960BD">
      <w:pPr>
        <w:spacing w:before="240" w:line="240" w:lineRule="auto"/>
        <w:rPr>
          <w:rFonts w:ascii="Times New Roman" w:hAnsi="Times New Roman"/>
          <w:color w:val="000000"/>
        </w:rPr>
      </w:pPr>
      <w:r w:rsidRPr="00881DD1">
        <w:rPr>
          <w:rFonts w:ascii="Times New Roman" w:hAnsi="Times New Roman"/>
          <w:color w:val="000000"/>
          <w:u w:val="single"/>
        </w:rPr>
        <w:lastRenderedPageBreak/>
        <w:t xml:space="preserve">3.3.2 Přínosy Varianty </w:t>
      </w:r>
      <w:r>
        <w:rPr>
          <w:rFonts w:ascii="Times New Roman" w:hAnsi="Times New Roman"/>
          <w:color w:val="000000"/>
          <w:u w:val="single"/>
        </w:rPr>
        <w:t>I</w:t>
      </w:r>
      <w:r w:rsidRPr="00881DD1">
        <w:rPr>
          <w:rFonts w:ascii="Times New Roman" w:hAnsi="Times New Roman"/>
          <w:color w:val="000000"/>
          <w:u w:val="single"/>
        </w:rPr>
        <w:t>I</w:t>
      </w:r>
    </w:p>
    <w:p w14:paraId="711C2AE2" w14:textId="77777777" w:rsidR="00E77234" w:rsidRPr="00FB6BB9" w:rsidRDefault="00E77234" w:rsidP="00C70BB9">
      <w:pPr>
        <w:spacing w:after="0" w:line="240" w:lineRule="auto"/>
        <w:rPr>
          <w:rFonts w:ascii="Times New Roman" w:hAnsi="Times New Roman"/>
          <w:b/>
          <w:bCs/>
        </w:rPr>
      </w:pPr>
      <w:r w:rsidRPr="00FB6BB9">
        <w:rPr>
          <w:rFonts w:ascii="Times New Roman" w:hAnsi="Times New Roman"/>
          <w:b/>
          <w:bCs/>
        </w:rPr>
        <w:t>Organizace státní báňské správy</w:t>
      </w:r>
    </w:p>
    <w:p w14:paraId="60A60CAC" w14:textId="77777777" w:rsidR="0082526C" w:rsidRPr="0082526C" w:rsidRDefault="007E58A8" w:rsidP="00C70BB9">
      <w:pPr>
        <w:pStyle w:val="Textparagrafu"/>
        <w:tabs>
          <w:tab w:val="left" w:pos="708"/>
        </w:tabs>
        <w:spacing w:before="0"/>
        <w:ind w:firstLine="0"/>
        <w:rPr>
          <w:szCs w:val="24"/>
        </w:rPr>
      </w:pPr>
      <w:r w:rsidRPr="00C6632F">
        <w:t>Navrženou změnou</w:t>
      </w:r>
      <w:r w:rsidR="009F0402" w:rsidRPr="00C6632F">
        <w:t xml:space="preserve"> organizačního uspořádání dojde k přiblížení OBÚ dotčeným subjektům (působnost zastávanou OBÚ pro území krajů Libereckého a Vysočina se navrhuje svěřit nejbližšímu a územně operačně výhodně umístěnému OBÚ – tedy OBÚ pro území krajů Královéhradeckého a Pardubického) a rovněž k vytvoření podmínek pro výkon agendy prekurzorů výbušnin (</w:t>
      </w:r>
      <w:r w:rsidR="009F0402" w:rsidRPr="00C6632F">
        <w:rPr>
          <w:szCs w:val="24"/>
        </w:rPr>
        <w:t xml:space="preserve">vyplývající z nárůstu povinností vyvolaných nařízením Evropského parlamentu a Rady 2019/1148 </w:t>
      </w:r>
      <w:r w:rsidR="009F0402" w:rsidRPr="00C6632F">
        <w:t>o uvádění prekurzorů výbušnin na trh a o jejich používání, změně nařízení (ES) č. 1907/2006 a zrušení nařízení</w:t>
      </w:r>
      <w:r w:rsidR="009F0402" w:rsidRPr="00637DEF">
        <w:t xml:space="preserve"> (EU) č. 98/2013, potažmo adaptačního zákona o prekurzorech výbušnin</w:t>
      </w:r>
      <w:r w:rsidR="009F0402" w:rsidRPr="00637DEF">
        <w:rPr>
          <w:szCs w:val="24"/>
        </w:rPr>
        <w:t>, který je v současné době rovněž v legislativním procesu</w:t>
      </w:r>
      <w:r w:rsidR="009F0402">
        <w:rPr>
          <w:szCs w:val="24"/>
        </w:rPr>
        <w:t>). Tím dojde k tomu, že navzdory nárůstu agend zastávaných orgány státní báňské správy nedoje k navýšení počtu systemizovaných míst a tím ani k nárůstu nákladů na provoz orgánů státní báňské správy.</w:t>
      </w:r>
    </w:p>
    <w:p w14:paraId="5D4103F7" w14:textId="77777777" w:rsidR="00E77234" w:rsidRPr="00FF00DD" w:rsidRDefault="00E77234" w:rsidP="004D6EAD">
      <w:pPr>
        <w:spacing w:before="360" w:after="0" w:line="240" w:lineRule="auto"/>
        <w:rPr>
          <w:rFonts w:ascii="Times New Roman" w:hAnsi="Times New Roman"/>
          <w:b/>
          <w:iCs/>
          <w:noProof/>
        </w:rPr>
      </w:pPr>
      <w:r w:rsidRPr="00FF00DD">
        <w:rPr>
          <w:rFonts w:ascii="Times New Roman" w:hAnsi="Times New Roman"/>
          <w:b/>
          <w:iCs/>
          <w:noProof/>
        </w:rPr>
        <w:t>Vývoz výbušnin</w:t>
      </w:r>
    </w:p>
    <w:p w14:paraId="224200A3" w14:textId="53F16ACA" w:rsidR="00995461" w:rsidRPr="00FF00DD" w:rsidRDefault="00E81899" w:rsidP="003F4773">
      <w:pPr>
        <w:spacing w:before="0" w:after="0" w:line="240" w:lineRule="auto"/>
        <w:rPr>
          <w:rFonts w:ascii="Times New Roman" w:hAnsi="Times New Roman"/>
          <w:bCs/>
        </w:rPr>
      </w:pPr>
      <w:r w:rsidRPr="000451F2">
        <w:rPr>
          <w:rFonts w:ascii="Times New Roman" w:hAnsi="Times New Roman"/>
          <w:bCs/>
        </w:rPr>
        <w:t>P</w:t>
      </w:r>
      <w:r w:rsidR="00E77234" w:rsidRPr="000451F2">
        <w:rPr>
          <w:rFonts w:ascii="Times New Roman" w:hAnsi="Times New Roman"/>
          <w:bCs/>
        </w:rPr>
        <w:t>řipuštěním alternativních nástrojů místo povolení orgánů třetích zemí s antireexportní doložkou, a</w:t>
      </w:r>
      <w:r w:rsidR="007E4081" w:rsidRPr="000451F2">
        <w:rPr>
          <w:rFonts w:ascii="Times New Roman" w:hAnsi="Times New Roman"/>
          <w:bCs/>
        </w:rPr>
        <w:t> </w:t>
      </w:r>
      <w:r w:rsidR="00E77234" w:rsidRPr="000451F2">
        <w:rPr>
          <w:rFonts w:ascii="Times New Roman" w:hAnsi="Times New Roman"/>
          <w:bCs/>
        </w:rPr>
        <w:t xml:space="preserve">to povolením orgánů třetích zemí </w:t>
      </w:r>
      <w:r w:rsidR="003F4773" w:rsidRPr="000451F2">
        <w:rPr>
          <w:rFonts w:ascii="Times New Roman" w:hAnsi="Times New Roman"/>
          <w:bCs/>
        </w:rPr>
        <w:t xml:space="preserve">nebo </w:t>
      </w:r>
      <w:r w:rsidR="00E77234" w:rsidRPr="000451F2">
        <w:rPr>
          <w:rFonts w:ascii="Times New Roman" w:hAnsi="Times New Roman"/>
          <w:bCs/>
        </w:rPr>
        <w:t>prohlášením zahraničního konečného uživatele s</w:t>
      </w:r>
      <w:r w:rsidR="003F4773" w:rsidRPr="000451F2">
        <w:rPr>
          <w:rFonts w:ascii="Times New Roman" w:hAnsi="Times New Roman"/>
          <w:bCs/>
        </w:rPr>
        <w:t xml:space="preserve"> vloženou </w:t>
      </w:r>
      <w:r w:rsidR="00E77234" w:rsidRPr="000451F2">
        <w:rPr>
          <w:rFonts w:ascii="Times New Roman" w:hAnsi="Times New Roman"/>
          <w:bCs/>
        </w:rPr>
        <w:t>antireexportní doložkou</w:t>
      </w:r>
      <w:r w:rsidRPr="000451F2">
        <w:rPr>
          <w:rFonts w:ascii="Times New Roman" w:hAnsi="Times New Roman"/>
          <w:bCs/>
        </w:rPr>
        <w:t>, dojde k</w:t>
      </w:r>
      <w:r w:rsidR="000B550C" w:rsidRPr="000451F2">
        <w:rPr>
          <w:rFonts w:ascii="Times New Roman" w:hAnsi="Times New Roman"/>
          <w:bCs/>
        </w:rPr>
        <w:t>e snížení</w:t>
      </w:r>
      <w:r w:rsidRPr="000451F2">
        <w:rPr>
          <w:rFonts w:ascii="Times New Roman" w:hAnsi="Times New Roman"/>
          <w:bCs/>
        </w:rPr>
        <w:t xml:space="preserve"> administrativní zátěže žadatelů o povolení vývozu výbušnin. Vyčíslit nicméně odpovídající úsporu nákladů nelze, jelikož časová náročnost obstarávání povolení včetně antireexportních doložek je </w:t>
      </w:r>
      <w:r w:rsidR="000B550C" w:rsidRPr="000451F2">
        <w:rPr>
          <w:rFonts w:ascii="Times New Roman" w:hAnsi="Times New Roman"/>
          <w:bCs/>
        </w:rPr>
        <w:t xml:space="preserve">v různých státech </w:t>
      </w:r>
      <w:r w:rsidRPr="000451F2">
        <w:rPr>
          <w:rFonts w:ascii="Times New Roman" w:hAnsi="Times New Roman"/>
          <w:bCs/>
        </w:rPr>
        <w:t>značně individuální</w:t>
      </w:r>
      <w:r w:rsidR="00E77234" w:rsidRPr="000451F2">
        <w:rPr>
          <w:rFonts w:ascii="Times New Roman" w:hAnsi="Times New Roman"/>
          <w:bCs/>
        </w:rPr>
        <w:t>.</w:t>
      </w:r>
      <w:r w:rsidR="008261B6" w:rsidRPr="000451F2">
        <w:rPr>
          <w:rFonts w:ascii="Times New Roman" w:hAnsi="Times New Roman"/>
          <w:bCs/>
        </w:rPr>
        <w:t xml:space="preserve"> </w:t>
      </w:r>
      <w:r w:rsidR="00537990" w:rsidRPr="000451F2">
        <w:rPr>
          <w:rFonts w:ascii="Times New Roman" w:hAnsi="Times New Roman"/>
          <w:bCs/>
        </w:rPr>
        <w:t xml:space="preserve">Přínosy </w:t>
      </w:r>
      <w:r w:rsidR="00537990" w:rsidRPr="00B230A2">
        <w:rPr>
          <w:rFonts w:ascii="Times New Roman" w:hAnsi="Times New Roman"/>
          <w:bCs/>
        </w:rPr>
        <w:t>pro</w:t>
      </w:r>
      <w:r w:rsidR="00080253">
        <w:rPr>
          <w:rFonts w:ascii="Times New Roman" w:hAnsi="Times New Roman"/>
          <w:bCs/>
        </w:rPr>
        <w:t> </w:t>
      </w:r>
      <w:r w:rsidR="00537990" w:rsidRPr="00B230A2">
        <w:rPr>
          <w:rFonts w:ascii="Times New Roman" w:hAnsi="Times New Roman"/>
          <w:bCs/>
        </w:rPr>
        <w:t>držitele</w:t>
      </w:r>
      <w:r w:rsidR="00537990" w:rsidRPr="0043404A">
        <w:rPr>
          <w:rFonts w:ascii="Times New Roman" w:hAnsi="Times New Roman"/>
          <w:bCs/>
        </w:rPr>
        <w:t xml:space="preserve"> </w:t>
      </w:r>
      <w:r w:rsidR="00537990" w:rsidRPr="000451F2">
        <w:rPr>
          <w:rFonts w:ascii="Times New Roman" w:hAnsi="Times New Roman"/>
          <w:bCs/>
        </w:rPr>
        <w:t>povolení k vývozu a dovozu výbušnin ve formě ú</w:t>
      </w:r>
      <w:r w:rsidR="008261B6" w:rsidRPr="000451F2">
        <w:rPr>
          <w:rFonts w:ascii="Times New Roman" w:hAnsi="Times New Roman"/>
          <w:bCs/>
        </w:rPr>
        <w:t>spor</w:t>
      </w:r>
      <w:r w:rsidR="00537990" w:rsidRPr="000451F2">
        <w:rPr>
          <w:rFonts w:ascii="Times New Roman" w:hAnsi="Times New Roman"/>
          <w:bCs/>
        </w:rPr>
        <w:t xml:space="preserve"> administrativních </w:t>
      </w:r>
      <w:r w:rsidR="008261B6" w:rsidRPr="000451F2">
        <w:rPr>
          <w:rFonts w:ascii="Times New Roman" w:hAnsi="Times New Roman"/>
          <w:bCs/>
        </w:rPr>
        <w:t xml:space="preserve">nákladů </w:t>
      </w:r>
      <w:r w:rsidR="00537990" w:rsidRPr="000451F2">
        <w:rPr>
          <w:rFonts w:ascii="Times New Roman" w:hAnsi="Times New Roman"/>
          <w:bCs/>
        </w:rPr>
        <w:t>souvisejících s odbouráním povinnosti oznamovat periodicky vývozy a dovozy výbušniny lze kvantifikovat zohlednění</w:t>
      </w:r>
      <w:r w:rsidR="00080253">
        <w:rPr>
          <w:rFonts w:ascii="Times New Roman" w:hAnsi="Times New Roman"/>
          <w:bCs/>
        </w:rPr>
        <w:t>m</w:t>
      </w:r>
      <w:r w:rsidR="00537990" w:rsidRPr="000451F2">
        <w:rPr>
          <w:rFonts w:ascii="Times New Roman" w:hAnsi="Times New Roman"/>
          <w:bCs/>
        </w:rPr>
        <w:t xml:space="preserve"> počtu platných povolení k vývozu a dovozu výbušnin ke konci posledního období, za které bylo nutné vývozy a dovozy výbušnin oznámit </w:t>
      </w:r>
      <w:r w:rsidR="004503B4" w:rsidRPr="000451F2">
        <w:rPr>
          <w:rFonts w:ascii="Times New Roman" w:hAnsi="Times New Roman"/>
          <w:bCs/>
        </w:rPr>
        <w:t>a s</w:t>
      </w:r>
      <w:r w:rsidR="003179AD">
        <w:rPr>
          <w:rFonts w:ascii="Times New Roman" w:hAnsi="Times New Roman"/>
          <w:bCs/>
        </w:rPr>
        <w:t xml:space="preserve">krze </w:t>
      </w:r>
      <w:r w:rsidR="004503B4" w:rsidRPr="000451F2">
        <w:rPr>
          <w:rFonts w:ascii="Times New Roman" w:hAnsi="Times New Roman"/>
          <w:bCs/>
        </w:rPr>
        <w:t xml:space="preserve">zohlednění časové náročnosti oznámení za jedno povolení </w:t>
      </w:r>
      <w:r w:rsidR="00276D91" w:rsidRPr="000451F2">
        <w:rPr>
          <w:rFonts w:ascii="Times New Roman" w:hAnsi="Times New Roman"/>
          <w:bCs/>
        </w:rPr>
        <w:t xml:space="preserve">v kontextu </w:t>
      </w:r>
      <w:r w:rsidR="004503B4" w:rsidRPr="000451F2">
        <w:rPr>
          <w:rFonts w:ascii="Times New Roman" w:hAnsi="Times New Roman"/>
          <w:bCs/>
        </w:rPr>
        <w:t>průměrného počtu transakcí na jedno povolení ke konci posledního období, za které bylo nutné vývozy a dovozy výbušnin oznámit</w:t>
      </w:r>
      <w:r w:rsidR="00276D91" w:rsidRPr="000451F2">
        <w:rPr>
          <w:rFonts w:ascii="Times New Roman" w:hAnsi="Times New Roman"/>
          <w:bCs/>
        </w:rPr>
        <w:t xml:space="preserve">. Při </w:t>
      </w:r>
      <w:r w:rsidR="003179AD">
        <w:rPr>
          <w:rFonts w:ascii="Times New Roman" w:hAnsi="Times New Roman"/>
          <w:bCs/>
        </w:rPr>
        <w:t xml:space="preserve">90 </w:t>
      </w:r>
      <w:r w:rsidR="00276D91" w:rsidRPr="000451F2">
        <w:rPr>
          <w:rFonts w:ascii="Times New Roman" w:hAnsi="Times New Roman"/>
          <w:bCs/>
        </w:rPr>
        <w:t xml:space="preserve">takových </w:t>
      </w:r>
      <w:r w:rsidR="003179AD">
        <w:rPr>
          <w:rFonts w:ascii="Times New Roman" w:hAnsi="Times New Roman"/>
          <w:bCs/>
        </w:rPr>
        <w:t xml:space="preserve">platných </w:t>
      </w:r>
      <w:r w:rsidR="00276D91" w:rsidRPr="000451F2">
        <w:rPr>
          <w:rFonts w:ascii="Times New Roman" w:hAnsi="Times New Roman"/>
          <w:bCs/>
        </w:rPr>
        <w:t xml:space="preserve">povolení, mzdových nákladech na 1 hodinu práce </w:t>
      </w:r>
      <w:r w:rsidR="002B31DB" w:rsidRPr="000451F2">
        <w:rPr>
          <w:rFonts w:ascii="Times New Roman" w:hAnsi="Times New Roman"/>
          <w:bCs/>
        </w:rPr>
        <w:t xml:space="preserve">ve výši 285 Kč </w:t>
      </w:r>
      <w:r w:rsidR="00276D91" w:rsidRPr="000451F2">
        <w:rPr>
          <w:rFonts w:ascii="Times New Roman" w:hAnsi="Times New Roman"/>
          <w:bCs/>
        </w:rPr>
        <w:t>(podle údajů Českého</w:t>
      </w:r>
      <w:r w:rsidR="00276D91">
        <w:rPr>
          <w:rFonts w:ascii="Times New Roman" w:hAnsi="Times New Roman"/>
          <w:bCs/>
        </w:rPr>
        <w:t xml:space="preserve"> statistického úřadu o průměrné </w:t>
      </w:r>
      <w:r w:rsidR="00FB0039">
        <w:rPr>
          <w:rFonts w:ascii="Times New Roman" w:hAnsi="Times New Roman"/>
          <w:bCs/>
        </w:rPr>
        <w:t xml:space="preserve">měsíční </w:t>
      </w:r>
      <w:r w:rsidR="00276D91">
        <w:rPr>
          <w:rFonts w:ascii="Times New Roman" w:hAnsi="Times New Roman"/>
          <w:bCs/>
        </w:rPr>
        <w:t>mzdě za 1. čtvrtletí 2020 ve výši 34 077 Kč</w:t>
      </w:r>
      <w:r w:rsidR="00267463">
        <w:rPr>
          <w:rFonts w:ascii="Times New Roman" w:hAnsi="Times New Roman"/>
          <w:bCs/>
        </w:rPr>
        <w:t xml:space="preserve">, což odpovídá </w:t>
      </w:r>
      <w:r w:rsidR="00FB0039">
        <w:rPr>
          <w:rFonts w:ascii="Times New Roman" w:hAnsi="Times New Roman"/>
          <w:bCs/>
        </w:rPr>
        <w:t xml:space="preserve">průměrným </w:t>
      </w:r>
      <w:r w:rsidR="00267463">
        <w:rPr>
          <w:rFonts w:ascii="Times New Roman" w:hAnsi="Times New Roman"/>
          <w:bCs/>
        </w:rPr>
        <w:t>m</w:t>
      </w:r>
      <w:r w:rsidR="00FB0039">
        <w:rPr>
          <w:rFonts w:ascii="Times New Roman" w:hAnsi="Times New Roman"/>
          <w:bCs/>
        </w:rPr>
        <w:t>ěsíčním mzdovým nákladům 45 600 Kč</w:t>
      </w:r>
      <w:r w:rsidR="002B31DB">
        <w:rPr>
          <w:rFonts w:ascii="Times New Roman" w:hAnsi="Times New Roman"/>
          <w:bCs/>
        </w:rPr>
        <w:t xml:space="preserve">, tj. </w:t>
      </w:r>
      <w:r w:rsidR="000A7B9B">
        <w:rPr>
          <w:rFonts w:ascii="Times New Roman" w:hAnsi="Times New Roman"/>
          <w:bCs/>
        </w:rPr>
        <w:t>2</w:t>
      </w:r>
      <w:r w:rsidR="002B31DB">
        <w:rPr>
          <w:rFonts w:ascii="Times New Roman" w:hAnsi="Times New Roman"/>
          <w:bCs/>
        </w:rPr>
        <w:t>85 Kč na 1 hodinu při zjednodušení a zohlednění 160 pracovních hodin měsíčně), průměrném počtu transakcí</w:t>
      </w:r>
      <w:r w:rsidR="00583529">
        <w:rPr>
          <w:rFonts w:ascii="Times New Roman" w:hAnsi="Times New Roman"/>
          <w:bCs/>
        </w:rPr>
        <w:t xml:space="preserve"> uskutečněných na základě jednoho povolení (</w:t>
      </w:r>
      <w:r w:rsidR="0073304B">
        <w:rPr>
          <w:rFonts w:ascii="Times New Roman" w:hAnsi="Times New Roman"/>
          <w:bCs/>
        </w:rPr>
        <w:t>12</w:t>
      </w:r>
      <w:r w:rsidR="000A7B9B">
        <w:rPr>
          <w:rFonts w:ascii="Times New Roman" w:hAnsi="Times New Roman"/>
          <w:bCs/>
        </w:rPr>
        <w:t>)</w:t>
      </w:r>
      <w:r w:rsidR="00334ED4">
        <w:rPr>
          <w:rFonts w:ascii="Times New Roman" w:hAnsi="Times New Roman"/>
          <w:bCs/>
        </w:rPr>
        <w:t xml:space="preserve">, </w:t>
      </w:r>
      <w:r w:rsidR="002B31DB">
        <w:rPr>
          <w:rFonts w:ascii="Times New Roman" w:hAnsi="Times New Roman"/>
          <w:bCs/>
        </w:rPr>
        <w:t>časové náročnosti zaevidování 1 transakce (</w:t>
      </w:r>
      <w:r w:rsidR="005C5009">
        <w:rPr>
          <w:rFonts w:ascii="Times New Roman" w:hAnsi="Times New Roman"/>
          <w:bCs/>
        </w:rPr>
        <w:t>2</w:t>
      </w:r>
      <w:r w:rsidR="002B31DB">
        <w:rPr>
          <w:rFonts w:ascii="Times New Roman" w:hAnsi="Times New Roman"/>
          <w:bCs/>
        </w:rPr>
        <w:t xml:space="preserve"> minut</w:t>
      </w:r>
      <w:r w:rsidR="005C5009">
        <w:rPr>
          <w:rFonts w:ascii="Times New Roman" w:hAnsi="Times New Roman"/>
          <w:bCs/>
        </w:rPr>
        <w:t>y</w:t>
      </w:r>
      <w:r w:rsidR="002B31DB">
        <w:rPr>
          <w:rFonts w:ascii="Times New Roman" w:hAnsi="Times New Roman"/>
          <w:bCs/>
        </w:rPr>
        <w:t xml:space="preserve">) </w:t>
      </w:r>
      <w:r w:rsidR="00334ED4">
        <w:rPr>
          <w:rFonts w:ascii="Times New Roman" w:hAnsi="Times New Roman"/>
          <w:bCs/>
        </w:rPr>
        <w:t>a povinnosti podat za kalendářní rok oznámení celkem dvakrát</w:t>
      </w:r>
      <w:r w:rsidR="003179AD">
        <w:rPr>
          <w:rFonts w:ascii="Times New Roman" w:hAnsi="Times New Roman"/>
          <w:bCs/>
        </w:rPr>
        <w:t>,</w:t>
      </w:r>
      <w:r w:rsidR="00334ED4">
        <w:rPr>
          <w:rFonts w:ascii="Times New Roman" w:hAnsi="Times New Roman"/>
          <w:bCs/>
        </w:rPr>
        <w:t xml:space="preserve"> </w:t>
      </w:r>
      <w:r w:rsidR="002B31DB">
        <w:rPr>
          <w:rFonts w:ascii="Times New Roman" w:hAnsi="Times New Roman"/>
          <w:bCs/>
        </w:rPr>
        <w:t xml:space="preserve">dosahují úspory částky </w:t>
      </w:r>
      <w:r w:rsidR="00334ED4">
        <w:rPr>
          <w:rFonts w:ascii="Times New Roman" w:hAnsi="Times New Roman"/>
          <w:bCs/>
        </w:rPr>
        <w:t>20 520 Kč ročně.</w:t>
      </w:r>
    </w:p>
    <w:p w14:paraId="591F21E3" w14:textId="77777777" w:rsidR="005F4A9D" w:rsidRPr="00B52053" w:rsidRDefault="00A92BB5" w:rsidP="004527E1">
      <w:pPr>
        <w:spacing w:before="240" w:after="0" w:line="240" w:lineRule="auto"/>
        <w:rPr>
          <w:rFonts w:ascii="Times New Roman" w:hAnsi="Times New Roman"/>
          <w:b/>
        </w:rPr>
      </w:pPr>
      <w:r w:rsidRPr="00B52053">
        <w:rPr>
          <w:rFonts w:ascii="Times New Roman" w:hAnsi="Times New Roman"/>
          <w:b/>
        </w:rPr>
        <w:t>Informační spolupráce celních úřadů a ČBÚ</w:t>
      </w:r>
    </w:p>
    <w:p w14:paraId="1A63F5E8" w14:textId="1F3B594D" w:rsidR="00C77691" w:rsidRPr="00FF00DD" w:rsidRDefault="00C77691" w:rsidP="00C70BB9">
      <w:pPr>
        <w:spacing w:before="0" w:after="240" w:line="240" w:lineRule="auto"/>
        <w:rPr>
          <w:rFonts w:ascii="Times New Roman" w:hAnsi="Times New Roman"/>
          <w:bCs/>
        </w:rPr>
      </w:pPr>
      <w:r w:rsidRPr="00FC73C5">
        <w:rPr>
          <w:rFonts w:ascii="Times New Roman" w:hAnsi="Times New Roman"/>
          <w:bCs/>
        </w:rPr>
        <w:t xml:space="preserve">Úprava stávající formy výměny informací mezi celními úřady a ČBÚ a </w:t>
      </w:r>
      <w:r w:rsidR="00CD38FC" w:rsidRPr="00FC73C5">
        <w:rPr>
          <w:rFonts w:ascii="Times New Roman" w:hAnsi="Times New Roman"/>
          <w:bCs/>
        </w:rPr>
        <w:t xml:space="preserve">změna </w:t>
      </w:r>
      <w:r w:rsidRPr="00FC73C5">
        <w:rPr>
          <w:rFonts w:ascii="Times New Roman" w:hAnsi="Times New Roman"/>
          <w:bCs/>
        </w:rPr>
        <w:t>obsahu vyměňovaných informací povede k</w:t>
      </w:r>
      <w:r w:rsidR="005E64FB" w:rsidRPr="00FC73C5">
        <w:rPr>
          <w:rFonts w:ascii="Times New Roman" w:hAnsi="Times New Roman"/>
          <w:bCs/>
        </w:rPr>
        <w:t>e zjednodušení činnosti orgánů státní správy. ČBÚ totiž nebude nucen duplikovat záznamy z jím vydaných povolení k dovozu a vývozu výbušnin a předávat je GŘC, které je pak podle potřeb zavádělo do svých informačních systémů, ale celní úřady si budou skrze informační systém</w:t>
      </w:r>
      <w:r w:rsidR="00CD38FC" w:rsidRPr="00FC73C5">
        <w:rPr>
          <w:rFonts w:ascii="Times New Roman" w:hAnsi="Times New Roman"/>
          <w:bCs/>
        </w:rPr>
        <w:t>y</w:t>
      </w:r>
      <w:r w:rsidR="005E64FB" w:rsidRPr="00FC73C5">
        <w:rPr>
          <w:rFonts w:ascii="Times New Roman" w:hAnsi="Times New Roman"/>
          <w:bCs/>
        </w:rPr>
        <w:t xml:space="preserve"> bez další součinnosti ČBÚ ověřovat existenci a platnost vydaných povolení</w:t>
      </w:r>
      <w:r w:rsidR="006D583C" w:rsidRPr="00FC73C5">
        <w:rPr>
          <w:rFonts w:ascii="Times New Roman" w:hAnsi="Times New Roman"/>
          <w:bCs/>
        </w:rPr>
        <w:t xml:space="preserve">. ČBÚ rovněž bude získávat údaje z celních prohlášení dovozců a vývozců výbušnin, případně jejich zástupců v celních řízení, která by jinak získával </w:t>
      </w:r>
      <w:r w:rsidR="00354095" w:rsidRPr="00FC73C5">
        <w:rPr>
          <w:rFonts w:ascii="Times New Roman" w:hAnsi="Times New Roman"/>
          <w:bCs/>
        </w:rPr>
        <w:t>(</w:t>
      </w:r>
      <w:r w:rsidR="006D583C" w:rsidRPr="00FC73C5">
        <w:rPr>
          <w:rFonts w:ascii="Times New Roman" w:hAnsi="Times New Roman"/>
          <w:bCs/>
        </w:rPr>
        <w:t>v</w:t>
      </w:r>
      <w:r w:rsidR="00354095" w:rsidRPr="00FC73C5">
        <w:rPr>
          <w:rFonts w:ascii="Times New Roman" w:hAnsi="Times New Roman"/>
          <w:bCs/>
        </w:rPr>
        <w:t xml:space="preserve"> téměř </w:t>
      </w:r>
      <w:r w:rsidR="006D583C" w:rsidRPr="00FC73C5">
        <w:rPr>
          <w:rFonts w:ascii="Times New Roman" w:hAnsi="Times New Roman"/>
          <w:bCs/>
        </w:rPr>
        <w:t>totožném rozsahu</w:t>
      </w:r>
      <w:r w:rsidR="00354095" w:rsidRPr="00FC73C5">
        <w:rPr>
          <w:rFonts w:ascii="Times New Roman" w:hAnsi="Times New Roman"/>
          <w:bCs/>
        </w:rPr>
        <w:t>)</w:t>
      </w:r>
      <w:r w:rsidR="006D583C" w:rsidRPr="00FC73C5">
        <w:rPr>
          <w:rFonts w:ascii="Times New Roman" w:hAnsi="Times New Roman"/>
          <w:bCs/>
        </w:rPr>
        <w:t xml:space="preserve"> od dovozců a vývozců skrze povinnost podle § 25f odst. 6 zákona č. 61/1988 Sb.</w:t>
      </w:r>
      <w:r w:rsidR="00422537" w:rsidRPr="00B52053">
        <w:rPr>
          <w:rFonts w:ascii="Times New Roman" w:hAnsi="Times New Roman"/>
          <w:bCs/>
        </w:rPr>
        <w:t xml:space="preserve"> Přín</w:t>
      </w:r>
      <w:r w:rsidR="00422537" w:rsidRPr="00FC73C5">
        <w:rPr>
          <w:rFonts w:ascii="Times New Roman" w:hAnsi="Times New Roman"/>
          <w:bCs/>
        </w:rPr>
        <w:t xml:space="preserve">osy ve formě úspor administrativních nákladů nelze v tuto </w:t>
      </w:r>
      <w:r w:rsidR="00422537" w:rsidRPr="0043404A">
        <w:rPr>
          <w:rFonts w:ascii="Times New Roman" w:hAnsi="Times New Roman"/>
          <w:bCs/>
        </w:rPr>
        <w:t>chvíli kvantifikovat, jelikož bude záležet na stupni automatizace výměny údajů</w:t>
      </w:r>
      <w:r w:rsidR="00422537" w:rsidRPr="00B52053">
        <w:rPr>
          <w:rFonts w:ascii="Times New Roman" w:hAnsi="Times New Roman"/>
          <w:bCs/>
        </w:rPr>
        <w:t xml:space="preserve"> prostřednictvím informačních systémů dotčených orgánů státní správy.</w:t>
      </w:r>
    </w:p>
    <w:p w14:paraId="07DD831A" w14:textId="77777777" w:rsidR="00E77234" w:rsidRPr="00FF00DD" w:rsidRDefault="00E77234" w:rsidP="00C70BB9">
      <w:pPr>
        <w:spacing w:before="240" w:after="0" w:line="240" w:lineRule="auto"/>
        <w:rPr>
          <w:rFonts w:ascii="Times New Roman" w:hAnsi="Times New Roman"/>
          <w:b/>
          <w:bCs/>
        </w:rPr>
      </w:pPr>
      <w:r w:rsidRPr="00FF00DD">
        <w:rPr>
          <w:rFonts w:ascii="Times New Roman" w:hAnsi="Times New Roman"/>
          <w:b/>
          <w:bCs/>
        </w:rPr>
        <w:t>Provádění prací spojených s použitím výbušnin</w:t>
      </w:r>
    </w:p>
    <w:p w14:paraId="57FB2A4D" w14:textId="77777777" w:rsidR="00E77234" w:rsidRPr="00FF00DD" w:rsidRDefault="00E77234" w:rsidP="00C70BB9">
      <w:pPr>
        <w:spacing w:before="0" w:after="240" w:line="240" w:lineRule="auto"/>
        <w:rPr>
          <w:rFonts w:ascii="Times New Roman" w:hAnsi="Times New Roman"/>
        </w:rPr>
      </w:pPr>
      <w:r w:rsidRPr="00FF00DD">
        <w:rPr>
          <w:rFonts w:ascii="Times New Roman" w:hAnsi="Times New Roman"/>
        </w:rPr>
        <w:t xml:space="preserve">Odstranění překážek pro efektivní informační spolupráci mezi obvodními báňskými úřady a Policií České republiky o trhacích pracích velkého rozsahu spočívá v zavedení principu, kdy orgán báňské správy informuje ten útvar Policie České republiky, v jehož obvodu působnosti se trhací práce mají provádět. Tím rovněž dojde k odstranění případných administrativních nákladů spojených </w:t>
      </w:r>
      <w:r w:rsidRPr="00FF00DD">
        <w:rPr>
          <w:rFonts w:ascii="Times New Roman" w:hAnsi="Times New Roman"/>
        </w:rPr>
        <w:lastRenderedPageBreak/>
        <w:t>s postupováním podání věcně nepříslušným orgánům státní správy. Pokud jde o možnost legislativně měnit vyhlášku upravující provádění trhacích prací, navrhovaná právní úprava se snaží do zákona č. 61/1988 Sb. vložit optimální zmocňovací ustanovení, které by pokrylo okruh zamýšlených úprav na poli provádění trhacích prací v podzákonném předpise.</w:t>
      </w:r>
    </w:p>
    <w:p w14:paraId="5992AC1B" w14:textId="77777777" w:rsidR="00E77234" w:rsidRPr="00FF00DD" w:rsidRDefault="00E77234" w:rsidP="00C70BB9">
      <w:pPr>
        <w:spacing w:before="240" w:after="0" w:line="240" w:lineRule="auto"/>
        <w:rPr>
          <w:rFonts w:ascii="Times New Roman" w:hAnsi="Times New Roman"/>
          <w:b/>
          <w:bCs/>
        </w:rPr>
      </w:pPr>
      <w:r w:rsidRPr="00FF00DD">
        <w:rPr>
          <w:rFonts w:ascii="Times New Roman" w:hAnsi="Times New Roman"/>
          <w:b/>
          <w:bCs/>
        </w:rPr>
        <w:t>Způsobilost k nakládání s výbušninami</w:t>
      </w:r>
    </w:p>
    <w:p w14:paraId="6AE1635E" w14:textId="77777777" w:rsidR="00E77234" w:rsidRPr="00FF00DD" w:rsidRDefault="00E77234" w:rsidP="00213DA4">
      <w:pPr>
        <w:spacing w:before="0" w:after="360" w:line="240" w:lineRule="auto"/>
        <w:rPr>
          <w:rFonts w:ascii="Times New Roman" w:hAnsi="Times New Roman"/>
          <w:u w:val="single"/>
        </w:rPr>
      </w:pPr>
      <w:r w:rsidRPr="00FF00DD">
        <w:rPr>
          <w:rFonts w:ascii="Times New Roman" w:hAnsi="Times New Roman"/>
        </w:rPr>
        <w:t>Přežité podmínky pro nakládání s výbušninami navrhovaná právní úprava nahrazuje podmínkami platn</w:t>
      </w:r>
      <w:r w:rsidR="000B550C" w:rsidRPr="00FF00DD">
        <w:rPr>
          <w:rFonts w:ascii="Times New Roman" w:hAnsi="Times New Roman"/>
        </w:rPr>
        <w:t>ými</w:t>
      </w:r>
      <w:r w:rsidRPr="00FF00DD">
        <w:rPr>
          <w:rFonts w:ascii="Times New Roman" w:hAnsi="Times New Roman"/>
        </w:rPr>
        <w:t xml:space="preserve"> pro širší okruh fyzických osob, které hodlají nakládat s výbušninami. Konkrétně, bezúhonnost fyzických osob se navrhuje prověřovat skrze rejstříky trestů a</w:t>
      </w:r>
      <w:r w:rsidR="00C15948" w:rsidRPr="00FF00DD">
        <w:rPr>
          <w:rFonts w:ascii="Times New Roman" w:hAnsi="Times New Roman"/>
        </w:rPr>
        <w:t> </w:t>
      </w:r>
      <w:r w:rsidRPr="00FF00DD">
        <w:rPr>
          <w:rFonts w:ascii="Times New Roman" w:hAnsi="Times New Roman"/>
        </w:rPr>
        <w:t>obdobné evidence vedené ve státě, jehož má daná fyzická osoba státní příslušnost, jelikož se lze důvodně domnívat, že v něm tráví převážnou část svého života a případné závadné činnosti se dopouští primárně tam. Zdravotní způsobilost se pak navrhuje prověřovat hodnocením zdravotního stavu bez ohledu na skutečnost, zda je fyzická osoba zaměstnancem nebo podnikatelem, resp. osobou samostatně výdělečně činnou, a to skrze zdravotní kontraindikace stanovené vyhláškou č. 79/2013 Sb.</w:t>
      </w:r>
    </w:p>
    <w:p w14:paraId="63AE0C00" w14:textId="77777777" w:rsidR="00B752AD" w:rsidRPr="00FF00DD" w:rsidRDefault="00B752AD" w:rsidP="007977D7">
      <w:pPr>
        <w:pStyle w:val="Textparagrafu"/>
        <w:spacing w:after="120"/>
        <w:ind w:firstLine="0"/>
        <w:rPr>
          <w:u w:val="single"/>
        </w:rPr>
      </w:pPr>
      <w:r w:rsidRPr="00FF00DD">
        <w:rPr>
          <w:u w:val="single"/>
        </w:rPr>
        <w:t>3.4 Vyhodnocení nákladů a přínosů variant</w:t>
      </w:r>
    </w:p>
    <w:p w14:paraId="270F49C6" w14:textId="77777777" w:rsidR="008A092A" w:rsidRDefault="008A092A" w:rsidP="00B24949">
      <w:pPr>
        <w:tabs>
          <w:tab w:val="left" w:pos="708"/>
        </w:tabs>
        <w:spacing w:line="240" w:lineRule="auto"/>
        <w:rPr>
          <w:rFonts w:ascii="Times New Roman" w:hAnsi="Times New Roman"/>
        </w:rPr>
      </w:pPr>
      <w:r w:rsidRPr="00FF00DD">
        <w:rPr>
          <w:rFonts w:ascii="Times New Roman" w:hAnsi="Times New Roman"/>
        </w:rPr>
        <w:t>Hodnocení s využitím kritérií s odpovídající váhou v intervalu 0 až 1, kde hodnocení varianty je vyjádřena jako</w:t>
      </w:r>
      <w:r w:rsidRPr="00FF00DD">
        <w:rPr>
          <w:rFonts w:cs="Arial"/>
          <w:position w:val="-16"/>
          <w:sz w:val="22"/>
          <w:szCs w:val="22"/>
        </w:rPr>
        <w:object w:dxaOrig="1760" w:dyaOrig="560" w14:anchorId="74A0F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17.25pt" o:ole="">
            <v:imagedata r:id="rId8" o:title=""/>
          </v:shape>
          <o:OLEObject Type="Embed" ProgID="Equation.3" ShapeID="_x0000_i1025" DrawAspect="Content" ObjectID="_1660376452" r:id="rId9"/>
        </w:object>
      </w:r>
      <w:r w:rsidRPr="00FF00DD">
        <w:rPr>
          <w:rFonts w:ascii="Times New Roman" w:hAnsi="Times New Roman"/>
        </w:rPr>
        <w:t>.</w:t>
      </w:r>
    </w:p>
    <w:tbl>
      <w:tblPr>
        <w:tblW w:w="7833"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086"/>
        <w:gridCol w:w="1134"/>
        <w:gridCol w:w="850"/>
        <w:gridCol w:w="1118"/>
        <w:gridCol w:w="1276"/>
        <w:gridCol w:w="1276"/>
        <w:gridCol w:w="1093"/>
      </w:tblGrid>
      <w:tr w:rsidR="003F4583" w:rsidRPr="00FF00DD" w14:paraId="07D92433" w14:textId="77777777" w:rsidTr="003F4583">
        <w:trPr>
          <w:jc w:val="center"/>
        </w:trPr>
        <w:tc>
          <w:tcPr>
            <w:tcW w:w="1086" w:type="dxa"/>
            <w:tcBorders>
              <w:bottom w:val="double" w:sz="4" w:space="0" w:color="808080"/>
            </w:tcBorders>
            <w:shd w:val="pct5" w:color="auto" w:fill="auto"/>
          </w:tcPr>
          <w:p w14:paraId="108DE861" w14:textId="77777777" w:rsidR="003F4583" w:rsidRPr="00FF00DD" w:rsidRDefault="003F4583" w:rsidP="000337E1">
            <w:pPr>
              <w:rPr>
                <w:rFonts w:ascii="Times New Roman" w:hAnsi="Times New Roman"/>
                <w:b/>
                <w:bCs/>
                <w:sz w:val="16"/>
                <w:szCs w:val="16"/>
              </w:rPr>
            </w:pPr>
            <w:r w:rsidRPr="00FF00DD">
              <w:rPr>
                <w:rFonts w:ascii="Times New Roman" w:hAnsi="Times New Roman"/>
                <w:b/>
                <w:bCs/>
                <w:sz w:val="16"/>
                <w:szCs w:val="16"/>
              </w:rPr>
              <w:br w:type="page"/>
            </w:r>
            <w:r w:rsidRPr="00FF00DD">
              <w:rPr>
                <w:rFonts w:ascii="Times New Roman" w:hAnsi="Times New Roman"/>
                <w:b/>
                <w:bCs/>
                <w:sz w:val="16"/>
                <w:szCs w:val="16"/>
              </w:rPr>
              <w:br w:type="page"/>
              <w:t>Varianta</w:t>
            </w:r>
          </w:p>
        </w:tc>
        <w:tc>
          <w:tcPr>
            <w:tcW w:w="1134" w:type="dxa"/>
            <w:tcBorders>
              <w:bottom w:val="double" w:sz="4" w:space="0" w:color="808080"/>
            </w:tcBorders>
          </w:tcPr>
          <w:p w14:paraId="2F18949A" w14:textId="77777777" w:rsidR="003F4583" w:rsidRPr="00FF00DD" w:rsidRDefault="003F4583" w:rsidP="000337E1">
            <w:pPr>
              <w:rPr>
                <w:rFonts w:ascii="Times New Roman" w:hAnsi="Times New Roman"/>
                <w:b/>
                <w:bCs/>
                <w:sz w:val="16"/>
                <w:szCs w:val="16"/>
              </w:rPr>
            </w:pPr>
            <w:r w:rsidRPr="00FF00DD">
              <w:rPr>
                <w:rFonts w:ascii="Times New Roman" w:hAnsi="Times New Roman"/>
                <w:b/>
                <w:bCs/>
                <w:sz w:val="16"/>
                <w:szCs w:val="16"/>
              </w:rPr>
              <w:t>Organizace státní báňské správy</w:t>
            </w:r>
          </w:p>
        </w:tc>
        <w:tc>
          <w:tcPr>
            <w:tcW w:w="850" w:type="dxa"/>
            <w:tcBorders>
              <w:bottom w:val="double" w:sz="4" w:space="0" w:color="808080"/>
            </w:tcBorders>
          </w:tcPr>
          <w:p w14:paraId="5D0996BC" w14:textId="77777777" w:rsidR="003F4583" w:rsidRPr="00FF00DD" w:rsidRDefault="003F4583" w:rsidP="00E83D82">
            <w:pPr>
              <w:rPr>
                <w:rFonts w:ascii="Times New Roman" w:hAnsi="Times New Roman"/>
                <w:b/>
                <w:bCs/>
                <w:sz w:val="16"/>
                <w:szCs w:val="16"/>
              </w:rPr>
            </w:pPr>
            <w:r w:rsidRPr="00FF00DD">
              <w:rPr>
                <w:rFonts w:ascii="Times New Roman" w:hAnsi="Times New Roman"/>
                <w:b/>
                <w:bCs/>
                <w:sz w:val="16"/>
                <w:szCs w:val="16"/>
              </w:rPr>
              <w:t xml:space="preserve">Vývoz, dovoz výbušnin </w:t>
            </w:r>
          </w:p>
        </w:tc>
        <w:tc>
          <w:tcPr>
            <w:tcW w:w="1118" w:type="dxa"/>
            <w:tcBorders>
              <w:bottom w:val="double" w:sz="4" w:space="0" w:color="808080"/>
            </w:tcBorders>
          </w:tcPr>
          <w:p w14:paraId="53E88C61" w14:textId="77777777" w:rsidR="003F4583" w:rsidRPr="00FF00DD" w:rsidRDefault="003F4583" w:rsidP="000337E1">
            <w:pPr>
              <w:rPr>
                <w:rFonts w:ascii="Times New Roman" w:hAnsi="Times New Roman"/>
                <w:b/>
                <w:bCs/>
                <w:sz w:val="16"/>
                <w:szCs w:val="16"/>
              </w:rPr>
            </w:pPr>
            <w:r w:rsidRPr="00FF00DD">
              <w:rPr>
                <w:rFonts w:ascii="Times New Roman" w:hAnsi="Times New Roman"/>
                <w:b/>
                <w:bCs/>
                <w:sz w:val="16"/>
                <w:szCs w:val="16"/>
              </w:rPr>
              <w:t>Provádění prací spojených s</w:t>
            </w:r>
            <w:r>
              <w:rPr>
                <w:rFonts w:ascii="Times New Roman" w:hAnsi="Times New Roman"/>
                <w:b/>
                <w:bCs/>
                <w:sz w:val="16"/>
                <w:szCs w:val="16"/>
              </w:rPr>
              <w:t> </w:t>
            </w:r>
            <w:r w:rsidRPr="00FF00DD">
              <w:rPr>
                <w:rFonts w:ascii="Times New Roman" w:hAnsi="Times New Roman"/>
                <w:b/>
                <w:bCs/>
                <w:sz w:val="16"/>
                <w:szCs w:val="16"/>
              </w:rPr>
              <w:t>použitím výbušnin</w:t>
            </w:r>
          </w:p>
        </w:tc>
        <w:tc>
          <w:tcPr>
            <w:tcW w:w="1276" w:type="dxa"/>
            <w:tcBorders>
              <w:bottom w:val="double" w:sz="4" w:space="0" w:color="808080"/>
              <w:right w:val="single" w:sz="4" w:space="0" w:color="auto"/>
            </w:tcBorders>
          </w:tcPr>
          <w:p w14:paraId="1B5E362A" w14:textId="77777777" w:rsidR="003F4583" w:rsidRPr="00FF00DD" w:rsidRDefault="003F4583" w:rsidP="00D37292">
            <w:pPr>
              <w:rPr>
                <w:rFonts w:ascii="Times New Roman" w:hAnsi="Times New Roman"/>
                <w:b/>
                <w:bCs/>
                <w:sz w:val="16"/>
                <w:szCs w:val="16"/>
              </w:rPr>
            </w:pPr>
            <w:r w:rsidRPr="00FF00DD">
              <w:rPr>
                <w:rFonts w:ascii="Times New Roman" w:hAnsi="Times New Roman"/>
                <w:b/>
                <w:bCs/>
                <w:sz w:val="16"/>
                <w:szCs w:val="16"/>
              </w:rPr>
              <w:t>Způsobilost k nakládání s</w:t>
            </w:r>
            <w:r>
              <w:rPr>
                <w:rFonts w:ascii="Times New Roman" w:hAnsi="Times New Roman"/>
                <w:b/>
                <w:bCs/>
                <w:sz w:val="16"/>
                <w:szCs w:val="16"/>
              </w:rPr>
              <w:t> </w:t>
            </w:r>
            <w:r w:rsidRPr="00FF00DD">
              <w:rPr>
                <w:rFonts w:ascii="Times New Roman" w:hAnsi="Times New Roman"/>
                <w:b/>
                <w:bCs/>
                <w:sz w:val="16"/>
                <w:szCs w:val="16"/>
              </w:rPr>
              <w:t>výbušninami</w:t>
            </w:r>
          </w:p>
        </w:tc>
        <w:tc>
          <w:tcPr>
            <w:tcW w:w="1276" w:type="dxa"/>
            <w:tcBorders>
              <w:left w:val="single" w:sz="4" w:space="0" w:color="auto"/>
              <w:bottom w:val="double" w:sz="4" w:space="0" w:color="808080"/>
            </w:tcBorders>
          </w:tcPr>
          <w:p w14:paraId="0850A355" w14:textId="77777777" w:rsidR="003F4583" w:rsidRPr="00FF00DD" w:rsidRDefault="003F4583" w:rsidP="00766422">
            <w:pPr>
              <w:spacing w:after="0" w:line="240" w:lineRule="auto"/>
              <w:rPr>
                <w:rFonts w:ascii="Times New Roman" w:hAnsi="Times New Roman"/>
                <w:b/>
                <w:bCs/>
                <w:sz w:val="16"/>
                <w:szCs w:val="16"/>
              </w:rPr>
            </w:pPr>
            <w:r w:rsidRPr="00FF00DD">
              <w:rPr>
                <w:rFonts w:ascii="Times New Roman" w:hAnsi="Times New Roman"/>
                <w:b/>
                <w:bCs/>
                <w:sz w:val="16"/>
                <w:szCs w:val="16"/>
              </w:rPr>
              <w:t xml:space="preserve">Zajištění </w:t>
            </w:r>
          </w:p>
          <w:p w14:paraId="18969E97" w14:textId="77777777" w:rsidR="003F4583" w:rsidRPr="00FF00DD" w:rsidRDefault="003F4583" w:rsidP="00766422">
            <w:pPr>
              <w:spacing w:before="0" w:after="0" w:line="240" w:lineRule="auto"/>
              <w:rPr>
                <w:rFonts w:ascii="Times New Roman" w:hAnsi="Times New Roman"/>
                <w:b/>
                <w:bCs/>
                <w:sz w:val="16"/>
                <w:szCs w:val="16"/>
              </w:rPr>
            </w:pPr>
            <w:r w:rsidRPr="00FF00DD">
              <w:rPr>
                <w:rFonts w:ascii="Times New Roman" w:hAnsi="Times New Roman"/>
                <w:b/>
                <w:bCs/>
                <w:sz w:val="16"/>
                <w:szCs w:val="16"/>
              </w:rPr>
              <w:t>včasného přijetí předpisu ve vazbě na související zákony</w:t>
            </w:r>
          </w:p>
        </w:tc>
        <w:tc>
          <w:tcPr>
            <w:tcW w:w="1093" w:type="dxa"/>
            <w:tcBorders>
              <w:left w:val="single" w:sz="4" w:space="0" w:color="auto"/>
              <w:bottom w:val="double" w:sz="4" w:space="0" w:color="808080"/>
            </w:tcBorders>
            <w:shd w:val="pct5" w:color="auto" w:fill="auto"/>
          </w:tcPr>
          <w:p w14:paraId="654ECEDC" w14:textId="77777777" w:rsidR="003F4583" w:rsidRPr="00FF00DD" w:rsidRDefault="003F4583">
            <w:pPr>
              <w:spacing w:before="0" w:after="0" w:line="240" w:lineRule="auto"/>
              <w:jc w:val="left"/>
              <w:rPr>
                <w:rFonts w:ascii="Times New Roman" w:hAnsi="Times New Roman"/>
                <w:b/>
                <w:bCs/>
                <w:sz w:val="16"/>
                <w:szCs w:val="16"/>
              </w:rPr>
            </w:pPr>
          </w:p>
          <w:p w14:paraId="1B62BD1E" w14:textId="77777777" w:rsidR="003F4583" w:rsidRPr="00FF00DD" w:rsidRDefault="003F4583">
            <w:pPr>
              <w:spacing w:before="0" w:after="0" w:line="240" w:lineRule="auto"/>
              <w:jc w:val="left"/>
              <w:rPr>
                <w:rFonts w:ascii="Times New Roman" w:hAnsi="Times New Roman"/>
                <w:b/>
                <w:bCs/>
                <w:sz w:val="16"/>
                <w:szCs w:val="16"/>
              </w:rPr>
            </w:pPr>
            <w:r w:rsidRPr="00FF00DD">
              <w:rPr>
                <w:rFonts w:ascii="Times New Roman" w:hAnsi="Times New Roman"/>
                <w:b/>
                <w:bCs/>
                <w:sz w:val="16"/>
                <w:szCs w:val="16"/>
              </w:rPr>
              <w:t>Hodnocení</w:t>
            </w:r>
          </w:p>
          <w:p w14:paraId="35FDF0A8" w14:textId="77777777" w:rsidR="003F4583" w:rsidRPr="00FF00DD" w:rsidRDefault="003F4583">
            <w:pPr>
              <w:spacing w:before="0" w:after="0" w:line="240" w:lineRule="auto"/>
              <w:jc w:val="left"/>
              <w:rPr>
                <w:rFonts w:ascii="Times New Roman" w:hAnsi="Times New Roman"/>
                <w:b/>
                <w:bCs/>
                <w:sz w:val="16"/>
                <w:szCs w:val="16"/>
              </w:rPr>
            </w:pPr>
          </w:p>
          <w:p w14:paraId="6A061ED1" w14:textId="77777777" w:rsidR="003F4583" w:rsidRPr="00FF00DD" w:rsidRDefault="003F4583" w:rsidP="008857D2">
            <w:pPr>
              <w:rPr>
                <w:rFonts w:ascii="Times New Roman" w:hAnsi="Times New Roman"/>
                <w:b/>
                <w:bCs/>
                <w:sz w:val="16"/>
                <w:szCs w:val="16"/>
              </w:rPr>
            </w:pPr>
          </w:p>
        </w:tc>
      </w:tr>
      <w:tr w:rsidR="003F4583" w:rsidRPr="00FF00DD" w14:paraId="56F802E6" w14:textId="77777777" w:rsidTr="003F4583">
        <w:trPr>
          <w:trHeight w:hRule="exact" w:val="483"/>
          <w:jc w:val="center"/>
        </w:trPr>
        <w:tc>
          <w:tcPr>
            <w:tcW w:w="1086" w:type="dxa"/>
            <w:tcBorders>
              <w:top w:val="double" w:sz="4" w:space="0" w:color="808080"/>
            </w:tcBorders>
            <w:vAlign w:val="center"/>
          </w:tcPr>
          <w:p w14:paraId="304E7E10" w14:textId="77777777" w:rsidR="003F4583" w:rsidRPr="00FF00DD" w:rsidRDefault="003F4583" w:rsidP="00A861D3">
            <w:pPr>
              <w:rPr>
                <w:rFonts w:ascii="Times New Roman" w:hAnsi="Times New Roman"/>
                <w:bCs/>
                <w:sz w:val="18"/>
                <w:szCs w:val="18"/>
              </w:rPr>
            </w:pPr>
            <w:r w:rsidRPr="00FF00DD">
              <w:rPr>
                <w:rFonts w:ascii="Times New Roman" w:hAnsi="Times New Roman"/>
                <w:bCs/>
                <w:sz w:val="18"/>
                <w:szCs w:val="18"/>
              </w:rPr>
              <w:t>Varianta</w:t>
            </w:r>
            <w:r>
              <w:rPr>
                <w:rFonts w:ascii="Times New Roman" w:hAnsi="Times New Roman"/>
                <w:bCs/>
                <w:sz w:val="18"/>
                <w:szCs w:val="18"/>
              </w:rPr>
              <w:t xml:space="preserve"> </w:t>
            </w:r>
            <w:r w:rsidRPr="00FF00DD">
              <w:rPr>
                <w:rFonts w:ascii="Times New Roman" w:hAnsi="Times New Roman"/>
                <w:bCs/>
                <w:sz w:val="18"/>
                <w:szCs w:val="18"/>
              </w:rPr>
              <w:t>0</w:t>
            </w:r>
          </w:p>
        </w:tc>
        <w:tc>
          <w:tcPr>
            <w:tcW w:w="1134" w:type="dxa"/>
            <w:tcBorders>
              <w:top w:val="double" w:sz="4" w:space="0" w:color="808080"/>
            </w:tcBorders>
          </w:tcPr>
          <w:p w14:paraId="4E46F4DE" w14:textId="77777777" w:rsidR="003F4583" w:rsidRPr="00FF00DD" w:rsidRDefault="003F4583" w:rsidP="00766422">
            <w:pPr>
              <w:jc w:val="center"/>
              <w:rPr>
                <w:rFonts w:ascii="Times New Roman" w:hAnsi="Times New Roman"/>
                <w:b/>
                <w:bCs/>
                <w:sz w:val="18"/>
                <w:szCs w:val="18"/>
              </w:rPr>
            </w:pPr>
            <w:r w:rsidRPr="00FF00DD">
              <w:rPr>
                <w:rFonts w:ascii="Times New Roman" w:hAnsi="Times New Roman"/>
                <w:b/>
                <w:bCs/>
                <w:sz w:val="18"/>
                <w:szCs w:val="18"/>
              </w:rPr>
              <w:t>NE</w:t>
            </w:r>
          </w:p>
        </w:tc>
        <w:tc>
          <w:tcPr>
            <w:tcW w:w="850" w:type="dxa"/>
            <w:tcBorders>
              <w:top w:val="double" w:sz="4" w:space="0" w:color="808080"/>
            </w:tcBorders>
          </w:tcPr>
          <w:p w14:paraId="132CC650" w14:textId="77777777" w:rsidR="003F4583" w:rsidRPr="00FF00DD" w:rsidRDefault="003F4583" w:rsidP="00766422">
            <w:pPr>
              <w:jc w:val="center"/>
              <w:rPr>
                <w:rFonts w:ascii="Times New Roman" w:hAnsi="Times New Roman"/>
                <w:b/>
                <w:bCs/>
                <w:sz w:val="18"/>
                <w:szCs w:val="18"/>
              </w:rPr>
            </w:pPr>
            <w:r w:rsidRPr="00FF00DD">
              <w:rPr>
                <w:rFonts w:ascii="Times New Roman" w:hAnsi="Times New Roman"/>
                <w:b/>
                <w:bCs/>
                <w:sz w:val="18"/>
                <w:szCs w:val="18"/>
              </w:rPr>
              <w:t>NE</w:t>
            </w:r>
          </w:p>
        </w:tc>
        <w:tc>
          <w:tcPr>
            <w:tcW w:w="1118" w:type="dxa"/>
            <w:tcBorders>
              <w:top w:val="double" w:sz="4" w:space="0" w:color="808080"/>
            </w:tcBorders>
          </w:tcPr>
          <w:p w14:paraId="37C0A07D" w14:textId="77777777" w:rsidR="003F4583" w:rsidRPr="00FF00DD" w:rsidRDefault="003F4583" w:rsidP="00766422">
            <w:pPr>
              <w:jc w:val="center"/>
              <w:rPr>
                <w:rFonts w:ascii="Times New Roman" w:hAnsi="Times New Roman"/>
                <w:b/>
                <w:bCs/>
                <w:sz w:val="18"/>
                <w:szCs w:val="18"/>
              </w:rPr>
            </w:pPr>
            <w:r w:rsidRPr="00FF00DD">
              <w:rPr>
                <w:rFonts w:ascii="Times New Roman" w:hAnsi="Times New Roman"/>
                <w:b/>
                <w:bCs/>
                <w:sz w:val="18"/>
                <w:szCs w:val="18"/>
              </w:rPr>
              <w:t>NE</w:t>
            </w:r>
          </w:p>
        </w:tc>
        <w:tc>
          <w:tcPr>
            <w:tcW w:w="1276" w:type="dxa"/>
            <w:tcBorders>
              <w:top w:val="double" w:sz="4" w:space="0" w:color="808080"/>
              <w:right w:val="single" w:sz="4" w:space="0" w:color="auto"/>
            </w:tcBorders>
          </w:tcPr>
          <w:p w14:paraId="73D9A270" w14:textId="77777777" w:rsidR="003F4583" w:rsidRPr="00FF00DD" w:rsidRDefault="003F4583" w:rsidP="00766422">
            <w:pPr>
              <w:jc w:val="center"/>
              <w:rPr>
                <w:rFonts w:ascii="Times New Roman" w:hAnsi="Times New Roman"/>
                <w:b/>
                <w:bCs/>
                <w:sz w:val="18"/>
                <w:szCs w:val="18"/>
              </w:rPr>
            </w:pPr>
            <w:r w:rsidRPr="00FF00DD">
              <w:rPr>
                <w:rFonts w:ascii="Times New Roman" w:hAnsi="Times New Roman"/>
                <w:b/>
                <w:bCs/>
                <w:sz w:val="18"/>
                <w:szCs w:val="18"/>
              </w:rPr>
              <w:t>NE</w:t>
            </w:r>
          </w:p>
        </w:tc>
        <w:tc>
          <w:tcPr>
            <w:tcW w:w="1276" w:type="dxa"/>
            <w:tcBorders>
              <w:top w:val="double" w:sz="4" w:space="0" w:color="808080"/>
              <w:left w:val="single" w:sz="4" w:space="0" w:color="auto"/>
            </w:tcBorders>
          </w:tcPr>
          <w:p w14:paraId="7F39AA61" w14:textId="77777777" w:rsidR="003F4583" w:rsidRPr="00FF00DD" w:rsidRDefault="003F4583" w:rsidP="00766422">
            <w:pPr>
              <w:jc w:val="center"/>
              <w:rPr>
                <w:rFonts w:ascii="Times New Roman" w:hAnsi="Times New Roman"/>
                <w:b/>
                <w:bCs/>
                <w:sz w:val="18"/>
                <w:szCs w:val="18"/>
              </w:rPr>
            </w:pPr>
            <w:r w:rsidRPr="00FF00DD">
              <w:rPr>
                <w:rFonts w:ascii="Times New Roman" w:hAnsi="Times New Roman"/>
                <w:b/>
                <w:bCs/>
                <w:sz w:val="18"/>
                <w:szCs w:val="18"/>
              </w:rPr>
              <w:t>ANO</w:t>
            </w:r>
          </w:p>
        </w:tc>
        <w:tc>
          <w:tcPr>
            <w:tcW w:w="1093" w:type="dxa"/>
            <w:tcBorders>
              <w:top w:val="double" w:sz="4" w:space="0" w:color="808080"/>
              <w:left w:val="single" w:sz="4" w:space="0" w:color="auto"/>
            </w:tcBorders>
            <w:vAlign w:val="center"/>
          </w:tcPr>
          <w:p w14:paraId="624A49A4" w14:textId="77777777" w:rsidR="003F4583" w:rsidRPr="007A3E04" w:rsidRDefault="003F4583" w:rsidP="007A3E04">
            <w:pPr>
              <w:jc w:val="center"/>
              <w:rPr>
                <w:rFonts w:ascii="Times New Roman" w:hAnsi="Times New Roman"/>
                <w:bCs/>
              </w:rPr>
            </w:pPr>
            <w:r>
              <w:rPr>
                <w:rFonts w:ascii="Times New Roman" w:hAnsi="Times New Roman"/>
                <w:bCs/>
              </w:rPr>
              <w:t>----</w:t>
            </w:r>
          </w:p>
        </w:tc>
      </w:tr>
      <w:tr w:rsidR="003F4583" w:rsidRPr="00FF00DD" w14:paraId="008CFD3E" w14:textId="77777777" w:rsidTr="003F4583">
        <w:trPr>
          <w:trHeight w:hRule="exact" w:val="340"/>
          <w:jc w:val="center"/>
        </w:trPr>
        <w:tc>
          <w:tcPr>
            <w:tcW w:w="1086" w:type="dxa"/>
            <w:vAlign w:val="center"/>
          </w:tcPr>
          <w:p w14:paraId="03942818" w14:textId="77777777" w:rsidR="003F4583" w:rsidRPr="00FF00DD" w:rsidRDefault="003F4583" w:rsidP="00A861D3">
            <w:pPr>
              <w:rPr>
                <w:rFonts w:ascii="Times New Roman" w:hAnsi="Times New Roman"/>
                <w:bCs/>
                <w:sz w:val="18"/>
                <w:szCs w:val="18"/>
              </w:rPr>
            </w:pPr>
            <w:r w:rsidRPr="00FF00DD">
              <w:rPr>
                <w:rFonts w:ascii="Times New Roman" w:hAnsi="Times New Roman"/>
                <w:bCs/>
                <w:sz w:val="18"/>
                <w:szCs w:val="18"/>
              </w:rPr>
              <w:t>Varianta</w:t>
            </w:r>
            <w:r>
              <w:rPr>
                <w:rFonts w:ascii="Times New Roman" w:hAnsi="Times New Roman"/>
                <w:bCs/>
                <w:sz w:val="18"/>
                <w:szCs w:val="18"/>
              </w:rPr>
              <w:t xml:space="preserve"> </w:t>
            </w:r>
            <w:r w:rsidRPr="00FF00DD">
              <w:rPr>
                <w:rFonts w:ascii="Times New Roman" w:hAnsi="Times New Roman"/>
                <w:bCs/>
                <w:sz w:val="18"/>
                <w:szCs w:val="18"/>
              </w:rPr>
              <w:t>I</w:t>
            </w:r>
          </w:p>
        </w:tc>
        <w:tc>
          <w:tcPr>
            <w:tcW w:w="1134" w:type="dxa"/>
          </w:tcPr>
          <w:p w14:paraId="65D2E1D4" w14:textId="77777777" w:rsidR="003F4583" w:rsidRPr="00FF00DD" w:rsidRDefault="003F4583" w:rsidP="00766422">
            <w:pPr>
              <w:jc w:val="center"/>
              <w:rPr>
                <w:rFonts w:ascii="Times New Roman" w:hAnsi="Times New Roman"/>
                <w:b/>
                <w:bCs/>
                <w:sz w:val="18"/>
                <w:szCs w:val="18"/>
              </w:rPr>
            </w:pPr>
            <w:r w:rsidRPr="00FF00DD">
              <w:rPr>
                <w:rFonts w:ascii="Times New Roman" w:hAnsi="Times New Roman"/>
                <w:b/>
                <w:bCs/>
                <w:sz w:val="18"/>
                <w:szCs w:val="18"/>
              </w:rPr>
              <w:t>ANO</w:t>
            </w:r>
          </w:p>
        </w:tc>
        <w:tc>
          <w:tcPr>
            <w:tcW w:w="850" w:type="dxa"/>
          </w:tcPr>
          <w:p w14:paraId="662E7C4C" w14:textId="77777777" w:rsidR="003F4583" w:rsidRPr="00FF00DD" w:rsidRDefault="003F4583" w:rsidP="00766422">
            <w:pPr>
              <w:jc w:val="center"/>
            </w:pPr>
            <w:r w:rsidRPr="00FF00DD">
              <w:rPr>
                <w:rFonts w:ascii="Times New Roman" w:hAnsi="Times New Roman"/>
                <w:b/>
                <w:bCs/>
                <w:sz w:val="18"/>
                <w:szCs w:val="18"/>
              </w:rPr>
              <w:t>ANO</w:t>
            </w:r>
          </w:p>
        </w:tc>
        <w:tc>
          <w:tcPr>
            <w:tcW w:w="1118" w:type="dxa"/>
          </w:tcPr>
          <w:p w14:paraId="20635A3C" w14:textId="77777777" w:rsidR="003F4583" w:rsidRPr="00FF00DD" w:rsidRDefault="003F4583" w:rsidP="00766422">
            <w:pPr>
              <w:jc w:val="center"/>
              <w:rPr>
                <w:rFonts w:ascii="Times New Roman" w:hAnsi="Times New Roman"/>
                <w:b/>
                <w:sz w:val="18"/>
                <w:szCs w:val="18"/>
              </w:rPr>
            </w:pPr>
            <w:r w:rsidRPr="00FF00DD">
              <w:rPr>
                <w:rFonts w:ascii="Times New Roman" w:hAnsi="Times New Roman"/>
                <w:b/>
                <w:sz w:val="18"/>
                <w:szCs w:val="18"/>
              </w:rPr>
              <w:t>ANO</w:t>
            </w:r>
          </w:p>
        </w:tc>
        <w:tc>
          <w:tcPr>
            <w:tcW w:w="1276" w:type="dxa"/>
            <w:tcBorders>
              <w:right w:val="single" w:sz="4" w:space="0" w:color="auto"/>
            </w:tcBorders>
          </w:tcPr>
          <w:p w14:paraId="1E89757C" w14:textId="77777777" w:rsidR="003F4583" w:rsidRPr="00FF00DD" w:rsidRDefault="003F4583" w:rsidP="00766422">
            <w:pPr>
              <w:jc w:val="center"/>
              <w:rPr>
                <w:rFonts w:ascii="Times New Roman" w:hAnsi="Times New Roman"/>
                <w:b/>
                <w:sz w:val="18"/>
                <w:szCs w:val="18"/>
              </w:rPr>
            </w:pPr>
            <w:r w:rsidRPr="00FF00DD">
              <w:rPr>
                <w:rFonts w:ascii="Times New Roman" w:hAnsi="Times New Roman"/>
                <w:b/>
                <w:sz w:val="18"/>
                <w:szCs w:val="18"/>
              </w:rPr>
              <w:t>ANO</w:t>
            </w:r>
          </w:p>
        </w:tc>
        <w:tc>
          <w:tcPr>
            <w:tcW w:w="1276" w:type="dxa"/>
            <w:tcBorders>
              <w:left w:val="single" w:sz="4" w:space="0" w:color="auto"/>
            </w:tcBorders>
          </w:tcPr>
          <w:p w14:paraId="1A6CC6AE" w14:textId="77777777" w:rsidR="003F4583" w:rsidRPr="00FF00DD" w:rsidRDefault="003F4583" w:rsidP="00766422">
            <w:pPr>
              <w:jc w:val="center"/>
              <w:rPr>
                <w:rFonts w:ascii="Times New Roman" w:hAnsi="Times New Roman"/>
                <w:b/>
                <w:sz w:val="18"/>
                <w:szCs w:val="18"/>
              </w:rPr>
            </w:pPr>
            <w:r w:rsidRPr="00FF00DD">
              <w:rPr>
                <w:rFonts w:ascii="Times New Roman" w:hAnsi="Times New Roman"/>
                <w:b/>
                <w:bCs/>
                <w:sz w:val="18"/>
                <w:szCs w:val="18"/>
              </w:rPr>
              <w:t>NE</w:t>
            </w:r>
          </w:p>
        </w:tc>
        <w:tc>
          <w:tcPr>
            <w:tcW w:w="1093" w:type="dxa"/>
            <w:tcBorders>
              <w:left w:val="single" w:sz="4" w:space="0" w:color="auto"/>
            </w:tcBorders>
          </w:tcPr>
          <w:p w14:paraId="5A0EB044" w14:textId="77777777" w:rsidR="003F4583" w:rsidRPr="007A3E04" w:rsidRDefault="003F4583" w:rsidP="00C93CFC">
            <w:pPr>
              <w:jc w:val="center"/>
              <w:rPr>
                <w:rFonts w:ascii="Times New Roman" w:hAnsi="Times New Roman"/>
                <w:bCs/>
              </w:rPr>
            </w:pPr>
            <w:r w:rsidRPr="007A3E04">
              <w:rPr>
                <w:rFonts w:ascii="Times New Roman" w:hAnsi="Times New Roman"/>
                <w:bCs/>
              </w:rPr>
              <w:t>++++</w:t>
            </w:r>
          </w:p>
        </w:tc>
      </w:tr>
      <w:tr w:rsidR="003F4583" w:rsidRPr="00FF00DD" w14:paraId="3A7490A2" w14:textId="77777777" w:rsidTr="003F4583">
        <w:trPr>
          <w:trHeight w:hRule="exact" w:val="340"/>
          <w:jc w:val="center"/>
        </w:trPr>
        <w:tc>
          <w:tcPr>
            <w:tcW w:w="1086" w:type="dxa"/>
            <w:vAlign w:val="center"/>
          </w:tcPr>
          <w:p w14:paraId="3BDBF383" w14:textId="77777777" w:rsidR="003F4583" w:rsidRPr="00FF00DD" w:rsidRDefault="003F4583" w:rsidP="00A861D3">
            <w:pPr>
              <w:rPr>
                <w:rFonts w:ascii="Times New Roman" w:hAnsi="Times New Roman"/>
                <w:bCs/>
                <w:sz w:val="18"/>
                <w:szCs w:val="18"/>
              </w:rPr>
            </w:pPr>
            <w:r w:rsidRPr="00FF00DD">
              <w:rPr>
                <w:rFonts w:ascii="Times New Roman" w:hAnsi="Times New Roman"/>
                <w:bCs/>
                <w:sz w:val="18"/>
                <w:szCs w:val="18"/>
              </w:rPr>
              <w:t>Varianta</w:t>
            </w:r>
            <w:r>
              <w:rPr>
                <w:rFonts w:ascii="Times New Roman" w:hAnsi="Times New Roman"/>
                <w:bCs/>
                <w:sz w:val="18"/>
                <w:szCs w:val="18"/>
              </w:rPr>
              <w:t xml:space="preserve"> </w:t>
            </w:r>
            <w:r w:rsidRPr="00FF00DD">
              <w:rPr>
                <w:rFonts w:ascii="Times New Roman" w:hAnsi="Times New Roman"/>
                <w:bCs/>
                <w:sz w:val="18"/>
                <w:szCs w:val="18"/>
              </w:rPr>
              <w:t>I</w:t>
            </w:r>
            <w:r>
              <w:rPr>
                <w:rFonts w:ascii="Times New Roman" w:hAnsi="Times New Roman"/>
                <w:bCs/>
                <w:sz w:val="18"/>
                <w:szCs w:val="18"/>
              </w:rPr>
              <w:t>I</w:t>
            </w:r>
          </w:p>
        </w:tc>
        <w:tc>
          <w:tcPr>
            <w:tcW w:w="1134" w:type="dxa"/>
          </w:tcPr>
          <w:p w14:paraId="0019C714" w14:textId="77777777" w:rsidR="003F4583" w:rsidRPr="00FF00DD" w:rsidRDefault="003F4583" w:rsidP="000337E1">
            <w:pPr>
              <w:jc w:val="center"/>
              <w:rPr>
                <w:rFonts w:ascii="Times New Roman" w:hAnsi="Times New Roman"/>
                <w:b/>
                <w:bCs/>
                <w:sz w:val="18"/>
                <w:szCs w:val="18"/>
              </w:rPr>
            </w:pPr>
            <w:r w:rsidRPr="00FF00DD">
              <w:rPr>
                <w:rFonts w:ascii="Times New Roman" w:hAnsi="Times New Roman"/>
                <w:b/>
                <w:bCs/>
                <w:sz w:val="18"/>
                <w:szCs w:val="18"/>
              </w:rPr>
              <w:t>ANO</w:t>
            </w:r>
          </w:p>
        </w:tc>
        <w:tc>
          <w:tcPr>
            <w:tcW w:w="850" w:type="dxa"/>
          </w:tcPr>
          <w:p w14:paraId="77F70B13" w14:textId="77777777" w:rsidR="003F4583" w:rsidRPr="00FF00DD" w:rsidRDefault="003F4583" w:rsidP="000337E1">
            <w:pPr>
              <w:jc w:val="center"/>
            </w:pPr>
            <w:r w:rsidRPr="00FF00DD">
              <w:rPr>
                <w:rFonts w:ascii="Times New Roman" w:hAnsi="Times New Roman"/>
                <w:b/>
                <w:bCs/>
                <w:sz w:val="18"/>
                <w:szCs w:val="18"/>
              </w:rPr>
              <w:t>ANO</w:t>
            </w:r>
          </w:p>
        </w:tc>
        <w:tc>
          <w:tcPr>
            <w:tcW w:w="1118" w:type="dxa"/>
          </w:tcPr>
          <w:p w14:paraId="5B70DCAD" w14:textId="77777777" w:rsidR="003F4583" w:rsidRPr="00FF00DD" w:rsidRDefault="003F4583" w:rsidP="000337E1">
            <w:pPr>
              <w:jc w:val="center"/>
              <w:rPr>
                <w:rFonts w:ascii="Times New Roman" w:hAnsi="Times New Roman"/>
                <w:b/>
                <w:sz w:val="18"/>
                <w:szCs w:val="18"/>
              </w:rPr>
            </w:pPr>
            <w:r w:rsidRPr="00FF00DD">
              <w:rPr>
                <w:rFonts w:ascii="Times New Roman" w:hAnsi="Times New Roman"/>
                <w:b/>
                <w:sz w:val="18"/>
                <w:szCs w:val="18"/>
              </w:rPr>
              <w:t>ANO</w:t>
            </w:r>
          </w:p>
        </w:tc>
        <w:tc>
          <w:tcPr>
            <w:tcW w:w="1276" w:type="dxa"/>
            <w:tcBorders>
              <w:right w:val="single" w:sz="4" w:space="0" w:color="auto"/>
            </w:tcBorders>
          </w:tcPr>
          <w:p w14:paraId="13CEBB62" w14:textId="77777777" w:rsidR="003F4583" w:rsidRPr="00FF00DD" w:rsidRDefault="003F4583" w:rsidP="000337E1">
            <w:pPr>
              <w:jc w:val="center"/>
              <w:rPr>
                <w:rFonts w:ascii="Times New Roman" w:hAnsi="Times New Roman"/>
                <w:b/>
                <w:sz w:val="18"/>
                <w:szCs w:val="18"/>
              </w:rPr>
            </w:pPr>
            <w:r w:rsidRPr="00FF00DD">
              <w:rPr>
                <w:rFonts w:ascii="Times New Roman" w:hAnsi="Times New Roman"/>
                <w:b/>
                <w:sz w:val="18"/>
                <w:szCs w:val="18"/>
              </w:rPr>
              <w:t>ANO</w:t>
            </w:r>
          </w:p>
        </w:tc>
        <w:tc>
          <w:tcPr>
            <w:tcW w:w="1276" w:type="dxa"/>
            <w:tcBorders>
              <w:left w:val="single" w:sz="4" w:space="0" w:color="auto"/>
            </w:tcBorders>
          </w:tcPr>
          <w:p w14:paraId="7CF74C9B" w14:textId="77777777" w:rsidR="003F4583" w:rsidRPr="00FF00DD" w:rsidRDefault="003F4583" w:rsidP="000337E1">
            <w:pPr>
              <w:jc w:val="center"/>
              <w:rPr>
                <w:rFonts w:ascii="Times New Roman" w:hAnsi="Times New Roman"/>
                <w:b/>
                <w:bCs/>
                <w:sz w:val="18"/>
                <w:szCs w:val="18"/>
              </w:rPr>
            </w:pPr>
            <w:r w:rsidRPr="00FF00DD">
              <w:rPr>
                <w:rFonts w:ascii="Times New Roman" w:hAnsi="Times New Roman"/>
                <w:b/>
                <w:bCs/>
                <w:sz w:val="18"/>
                <w:szCs w:val="18"/>
              </w:rPr>
              <w:t>ANO</w:t>
            </w:r>
          </w:p>
        </w:tc>
        <w:tc>
          <w:tcPr>
            <w:tcW w:w="1093" w:type="dxa"/>
            <w:tcBorders>
              <w:left w:val="single" w:sz="4" w:space="0" w:color="auto"/>
            </w:tcBorders>
          </w:tcPr>
          <w:p w14:paraId="3642C461" w14:textId="77777777" w:rsidR="003F4583" w:rsidRPr="007A3E04" w:rsidRDefault="003F4583" w:rsidP="00C93CFC">
            <w:pPr>
              <w:jc w:val="center"/>
              <w:rPr>
                <w:rFonts w:ascii="Times New Roman" w:hAnsi="Times New Roman"/>
                <w:bCs/>
              </w:rPr>
            </w:pPr>
            <w:r w:rsidRPr="007A3E04">
              <w:rPr>
                <w:rFonts w:ascii="Times New Roman" w:hAnsi="Times New Roman"/>
                <w:bCs/>
              </w:rPr>
              <w:t>+++++</w:t>
            </w:r>
          </w:p>
        </w:tc>
      </w:tr>
    </w:tbl>
    <w:p w14:paraId="24DD7710" w14:textId="77777777" w:rsidR="00B752AD" w:rsidRPr="00FF00DD" w:rsidRDefault="00B752AD" w:rsidP="008303FC">
      <w:pPr>
        <w:pStyle w:val="FormtovanvHTML"/>
        <w:spacing w:before="360" w:after="120"/>
        <w:jc w:val="both"/>
        <w:rPr>
          <w:rFonts w:ascii="Times New Roman" w:hAnsi="Times New Roman" w:cs="Times New Roman"/>
          <w:b/>
          <w:bCs/>
          <w:sz w:val="24"/>
          <w:szCs w:val="24"/>
        </w:rPr>
      </w:pPr>
      <w:r w:rsidRPr="00FF00DD">
        <w:rPr>
          <w:rFonts w:ascii="Times New Roman" w:hAnsi="Times New Roman" w:cs="Times New Roman"/>
          <w:b/>
          <w:bCs/>
          <w:sz w:val="24"/>
          <w:szCs w:val="24"/>
        </w:rPr>
        <w:t xml:space="preserve">4. </w:t>
      </w:r>
      <w:r w:rsidRPr="00FF00DD">
        <w:rPr>
          <w:rFonts w:ascii="Times New Roman" w:hAnsi="Times New Roman" w:cs="Times New Roman"/>
          <w:b/>
          <w:sz w:val="24"/>
          <w:szCs w:val="24"/>
          <w:lang w:eastAsia="en-US"/>
        </w:rPr>
        <w:t>Stanovení pořadí variant a výběr nejvhodnějšího řešení</w:t>
      </w:r>
    </w:p>
    <w:p w14:paraId="5F2D5CFA" w14:textId="77777777" w:rsidR="00B752AD" w:rsidRPr="00FF00DD" w:rsidRDefault="00B752AD" w:rsidP="007977D7">
      <w:pPr>
        <w:pStyle w:val="Textparagrafu"/>
        <w:spacing w:after="120"/>
        <w:ind w:firstLine="0"/>
        <w:rPr>
          <w:szCs w:val="24"/>
          <w:u w:val="single"/>
        </w:rPr>
      </w:pPr>
      <w:r w:rsidRPr="00FF00DD">
        <w:rPr>
          <w:u w:val="single"/>
        </w:rPr>
        <w:t>4.1. Stanovení pořadí variant a výběr nejvhodnějšího řešení</w:t>
      </w:r>
    </w:p>
    <w:p w14:paraId="6A54DD8D" w14:textId="77777777" w:rsidR="00B3394C" w:rsidRPr="00FF00DD" w:rsidRDefault="00B3394C" w:rsidP="008F1CA2">
      <w:pPr>
        <w:tabs>
          <w:tab w:val="left" w:pos="708"/>
        </w:tabs>
        <w:spacing w:line="240" w:lineRule="auto"/>
        <w:rPr>
          <w:rFonts w:ascii="Times New Roman" w:hAnsi="Times New Roman"/>
        </w:rPr>
      </w:pPr>
      <w:r w:rsidRPr="00FF00DD">
        <w:rPr>
          <w:rFonts w:ascii="Times New Roman" w:hAnsi="Times New Roman"/>
          <w:bCs/>
        </w:rPr>
        <w:t>4.1.1 Nulová varianta</w:t>
      </w:r>
    </w:p>
    <w:p w14:paraId="54C4584B" w14:textId="15F67211" w:rsidR="008F1CA2" w:rsidRPr="00FF00DD" w:rsidRDefault="008F1CA2" w:rsidP="008F1CA2">
      <w:pPr>
        <w:tabs>
          <w:tab w:val="left" w:pos="708"/>
        </w:tabs>
        <w:spacing w:line="240" w:lineRule="auto"/>
        <w:rPr>
          <w:rFonts w:ascii="Times New Roman" w:hAnsi="Times New Roman"/>
        </w:rPr>
      </w:pPr>
      <w:r w:rsidRPr="00FF00DD">
        <w:rPr>
          <w:rFonts w:ascii="Times New Roman" w:hAnsi="Times New Roman"/>
        </w:rPr>
        <w:t>Nulovou variantu nelze uplatnit s ohledem na potřebu zohlednit rozpočtové možnosti kapitoly 348 a</w:t>
      </w:r>
      <w:r w:rsidR="00474EBB">
        <w:rPr>
          <w:rFonts w:ascii="Times New Roman" w:hAnsi="Times New Roman"/>
        </w:rPr>
        <w:t> </w:t>
      </w:r>
      <w:r w:rsidR="00C15948" w:rsidRPr="00FF00DD">
        <w:rPr>
          <w:rFonts w:ascii="Times New Roman" w:hAnsi="Times New Roman"/>
        </w:rPr>
        <w:t>v</w:t>
      </w:r>
      <w:r w:rsidRPr="00FF00DD">
        <w:rPr>
          <w:rFonts w:ascii="Times New Roman" w:hAnsi="Times New Roman"/>
        </w:rPr>
        <w:t>ládou schválenou systemizaci s co nejefektivněji provedenými rozpočtovými opatřeními. Při nereflektování reálného stavu a potřeb jednotlivých krajů by nebylo možné v Libereckém kraji a</w:t>
      </w:r>
      <w:r w:rsidR="00474EBB">
        <w:rPr>
          <w:rFonts w:ascii="Times New Roman" w:hAnsi="Times New Roman"/>
        </w:rPr>
        <w:t> </w:t>
      </w:r>
      <w:r w:rsidRPr="00FF00DD">
        <w:rPr>
          <w:rFonts w:ascii="Times New Roman" w:hAnsi="Times New Roman"/>
        </w:rPr>
        <w:t xml:space="preserve">zejm. </w:t>
      </w:r>
      <w:r w:rsidR="00DB79F0">
        <w:rPr>
          <w:rFonts w:ascii="Times New Roman" w:hAnsi="Times New Roman"/>
        </w:rPr>
        <w:t>K</w:t>
      </w:r>
      <w:r w:rsidRPr="00FF00DD">
        <w:rPr>
          <w:rFonts w:ascii="Times New Roman" w:hAnsi="Times New Roman"/>
        </w:rPr>
        <w:t>raji Vysočina zachovat vysoký standard výkonu působnosti a efektivní realizace právními předpisy stanovených pravomocí orgánů státní báňské správy, včetně bezpečnosti provozu a ochrany zdraví při nakládání s výbušninami</w:t>
      </w:r>
      <w:r w:rsidR="00E77234" w:rsidRPr="00FF00DD">
        <w:rPr>
          <w:rFonts w:ascii="Times New Roman" w:hAnsi="Times New Roman"/>
        </w:rPr>
        <w:t>.</w:t>
      </w:r>
    </w:p>
    <w:p w14:paraId="0B7C0892" w14:textId="77777777" w:rsidR="007C49DF" w:rsidRPr="00FF00DD" w:rsidRDefault="007C49DF" w:rsidP="008A092A">
      <w:pPr>
        <w:tabs>
          <w:tab w:val="left" w:pos="708"/>
        </w:tabs>
        <w:spacing w:line="240" w:lineRule="auto"/>
        <w:rPr>
          <w:rFonts w:ascii="Times New Roman" w:hAnsi="Times New Roman"/>
        </w:rPr>
      </w:pPr>
      <w:r w:rsidRPr="00FF00DD">
        <w:rPr>
          <w:rFonts w:ascii="Times New Roman" w:hAnsi="Times New Roman"/>
          <w:bCs/>
        </w:rPr>
        <w:t>4.1.2 Varianta I.</w:t>
      </w:r>
    </w:p>
    <w:p w14:paraId="30617BEB" w14:textId="77777777" w:rsidR="00E77234" w:rsidRPr="00FF00DD" w:rsidRDefault="007C49DF" w:rsidP="008F1CA2">
      <w:pPr>
        <w:tabs>
          <w:tab w:val="left" w:pos="708"/>
        </w:tabs>
        <w:spacing w:line="240" w:lineRule="auto"/>
        <w:rPr>
          <w:rFonts w:ascii="Times New Roman" w:hAnsi="Times New Roman"/>
        </w:rPr>
      </w:pPr>
      <w:r w:rsidRPr="00FF00DD">
        <w:rPr>
          <w:rFonts w:ascii="Times New Roman" w:hAnsi="Times New Roman"/>
        </w:rPr>
        <w:t xml:space="preserve">Přestože by Variantou </w:t>
      </w:r>
      <w:r w:rsidR="00E77234" w:rsidRPr="00FF00DD">
        <w:rPr>
          <w:rFonts w:ascii="Times New Roman" w:hAnsi="Times New Roman"/>
        </w:rPr>
        <w:t>I.</w:t>
      </w:r>
      <w:r w:rsidR="0095147B">
        <w:rPr>
          <w:rFonts w:ascii="Times New Roman" w:hAnsi="Times New Roman"/>
        </w:rPr>
        <w:t xml:space="preserve"> </w:t>
      </w:r>
      <w:r w:rsidR="00C15948" w:rsidRPr="00FF00DD">
        <w:rPr>
          <w:rFonts w:ascii="Times New Roman" w:hAnsi="Times New Roman"/>
        </w:rPr>
        <w:t>d</w:t>
      </w:r>
      <w:r w:rsidRPr="00FF00DD">
        <w:rPr>
          <w:rFonts w:ascii="Times New Roman" w:hAnsi="Times New Roman"/>
        </w:rPr>
        <w:t>ošlo k úpravě otázek naplňujících cíle novely,</w:t>
      </w:r>
      <w:r w:rsidR="0095147B">
        <w:rPr>
          <w:rFonts w:ascii="Times New Roman" w:hAnsi="Times New Roman"/>
        </w:rPr>
        <w:t xml:space="preserve"> </w:t>
      </w:r>
      <w:r w:rsidRPr="00FF00DD">
        <w:rPr>
          <w:rFonts w:ascii="Times New Roman" w:hAnsi="Times New Roman"/>
        </w:rPr>
        <w:t>j</w:t>
      </w:r>
      <w:r w:rsidR="00E77234" w:rsidRPr="00FF00DD">
        <w:rPr>
          <w:rFonts w:ascii="Times New Roman" w:hAnsi="Times New Roman"/>
        </w:rPr>
        <w:t>e</w:t>
      </w:r>
      <w:r w:rsidRPr="00FF00DD">
        <w:rPr>
          <w:rFonts w:ascii="Times New Roman" w:hAnsi="Times New Roman"/>
        </w:rPr>
        <w:t xml:space="preserve"> tato varianta</w:t>
      </w:r>
      <w:r w:rsidR="00E77234" w:rsidRPr="00FF00DD">
        <w:rPr>
          <w:rFonts w:ascii="Times New Roman" w:hAnsi="Times New Roman"/>
        </w:rPr>
        <w:t xml:space="preserve"> zbytečně rozsáhlá a jejím negativem jsou zejména </w:t>
      </w:r>
      <w:r w:rsidR="00B3394C" w:rsidRPr="00FF00DD">
        <w:rPr>
          <w:rFonts w:ascii="Times New Roman" w:hAnsi="Times New Roman"/>
        </w:rPr>
        <w:t>tři</w:t>
      </w:r>
      <w:r w:rsidR="00E77234" w:rsidRPr="00FF00DD">
        <w:rPr>
          <w:rFonts w:ascii="Times New Roman" w:hAnsi="Times New Roman"/>
        </w:rPr>
        <w:t xml:space="preserve"> skutečnosti:</w:t>
      </w:r>
    </w:p>
    <w:p w14:paraId="26DBA6A9" w14:textId="6C988F7A" w:rsidR="00B3394C" w:rsidRPr="00FF00DD" w:rsidRDefault="00E77234">
      <w:pPr>
        <w:numPr>
          <w:ilvl w:val="0"/>
          <w:numId w:val="34"/>
        </w:numPr>
        <w:tabs>
          <w:tab w:val="left" w:pos="426"/>
        </w:tabs>
        <w:spacing w:line="240" w:lineRule="auto"/>
        <w:ind w:left="426"/>
        <w:rPr>
          <w:rFonts w:ascii="Times New Roman" w:hAnsi="Times New Roman"/>
        </w:rPr>
      </w:pPr>
      <w:r w:rsidRPr="00FF00DD">
        <w:rPr>
          <w:rFonts w:ascii="Times New Roman" w:hAnsi="Times New Roman"/>
        </w:rPr>
        <w:t>Společně s návrhem nového zákona o zbraních byl do mezirezortního připomínkového řízení předložen také změnový zákon, který je určen právě ke změnám jiných zákonů dotčených novou legislativní úpravou zbraní a střeliva. V průběhu přípravy novely zákona č. 61/1988 Sb. bylo ze</w:t>
      </w:r>
      <w:r w:rsidR="00EB2D66">
        <w:rPr>
          <w:rFonts w:ascii="Times New Roman" w:hAnsi="Times New Roman"/>
        </w:rPr>
        <w:t> </w:t>
      </w:r>
      <w:r w:rsidRPr="00FF00DD">
        <w:rPr>
          <w:rFonts w:ascii="Times New Roman" w:hAnsi="Times New Roman"/>
        </w:rPr>
        <w:t>strany ČBÚ s Ministerstvem vnitra dohodnuto, že změna názvu živnosti</w:t>
      </w:r>
      <w:r w:rsidR="00995722" w:rsidRPr="00FF00DD">
        <w:rPr>
          <w:rFonts w:ascii="Times New Roman" w:hAnsi="Times New Roman"/>
        </w:rPr>
        <w:t xml:space="preserve"> „Výzkum, vývoj, </w:t>
      </w:r>
      <w:r w:rsidR="00995722" w:rsidRPr="00FF00DD">
        <w:rPr>
          <w:rFonts w:ascii="Times New Roman" w:hAnsi="Times New Roman"/>
        </w:rPr>
        <w:lastRenderedPageBreak/>
        <w:t>výroba, zpracování, ničení, zneškodňování, nákup, prodej a skladování výbušnin a provádění trhacích prací“</w:t>
      </w:r>
      <w:r w:rsidRPr="00FF00DD">
        <w:rPr>
          <w:rFonts w:ascii="Times New Roman" w:hAnsi="Times New Roman"/>
        </w:rPr>
        <w:t xml:space="preserve"> bude do zákona č.</w:t>
      </w:r>
      <w:r w:rsidR="00C15948" w:rsidRPr="00FF00DD">
        <w:rPr>
          <w:rFonts w:ascii="Times New Roman" w:hAnsi="Times New Roman"/>
        </w:rPr>
        <w:t> </w:t>
      </w:r>
      <w:r w:rsidRPr="00FF00DD">
        <w:rPr>
          <w:rFonts w:ascii="Times New Roman" w:hAnsi="Times New Roman"/>
        </w:rPr>
        <w:t xml:space="preserve">61/1988 Sb. </w:t>
      </w:r>
      <w:r w:rsidR="0051092B" w:rsidRPr="00FF00DD">
        <w:rPr>
          <w:rFonts w:ascii="Times New Roman" w:hAnsi="Times New Roman"/>
        </w:rPr>
        <w:t>p</w:t>
      </w:r>
      <w:r w:rsidRPr="00FF00DD">
        <w:rPr>
          <w:rFonts w:ascii="Times New Roman" w:hAnsi="Times New Roman"/>
        </w:rPr>
        <w:t>romítnuta</w:t>
      </w:r>
      <w:r w:rsidR="00B3394C" w:rsidRPr="00FF00DD">
        <w:rPr>
          <w:rFonts w:ascii="Times New Roman" w:hAnsi="Times New Roman"/>
        </w:rPr>
        <w:t xml:space="preserve"> právě v rámci změnového zákona.</w:t>
      </w:r>
    </w:p>
    <w:p w14:paraId="53957563" w14:textId="77777777" w:rsidR="00B3394C" w:rsidRPr="00FF00DD" w:rsidRDefault="00B3394C" w:rsidP="00B3394C">
      <w:pPr>
        <w:numPr>
          <w:ilvl w:val="0"/>
          <w:numId w:val="34"/>
        </w:numPr>
        <w:tabs>
          <w:tab w:val="left" w:pos="426"/>
        </w:tabs>
        <w:spacing w:line="240" w:lineRule="auto"/>
        <w:ind w:left="426"/>
        <w:rPr>
          <w:rFonts w:ascii="Times New Roman" w:hAnsi="Times New Roman"/>
        </w:rPr>
      </w:pPr>
      <w:r w:rsidRPr="00FF00DD">
        <w:rPr>
          <w:rFonts w:ascii="Times New Roman" w:hAnsi="Times New Roman"/>
        </w:rPr>
        <w:t>Nový zákon o prekurzorech výbušnin, který by měl být adaptačním předpisem k</w:t>
      </w:r>
      <w:r w:rsidR="00C15948" w:rsidRPr="00FF00DD">
        <w:rPr>
          <w:rFonts w:ascii="Times New Roman" w:hAnsi="Times New Roman"/>
        </w:rPr>
        <w:t> </w:t>
      </w:r>
      <w:r w:rsidRPr="00FF00DD">
        <w:rPr>
          <w:rFonts w:ascii="Times New Roman" w:hAnsi="Times New Roman"/>
        </w:rPr>
        <w:t xml:space="preserve">promítnutí </w:t>
      </w:r>
      <w:r w:rsidR="000433D0" w:rsidRPr="00FF00DD">
        <w:rPr>
          <w:rFonts w:ascii="Times New Roman" w:hAnsi="Times New Roman"/>
        </w:rPr>
        <w:t>n</w:t>
      </w:r>
      <w:r w:rsidRPr="00FF00DD">
        <w:rPr>
          <w:rFonts w:ascii="Times New Roman" w:hAnsi="Times New Roman"/>
        </w:rPr>
        <w:t xml:space="preserve">ařízení Evropského parlamentu a Rady (EU) 2019/1148 ze dne 20. června 2019 o uvádění prekurzorů výbušnin na trh a o jejich používání, změně nařízení (ES) č. 1907/2006 a zrušení nařízení (EU) č. 98/2013 do českého právního řádu, musí být přijat dříve, což ve stanovených termínech zohledňuje i Plán legislativních prací vlády. Změny zákona č. 61/1988 Sb., jsou-li nutné ve vazbě na cit. </w:t>
      </w:r>
      <w:r w:rsidR="000433D0" w:rsidRPr="00FF00DD">
        <w:rPr>
          <w:rFonts w:ascii="Times New Roman" w:hAnsi="Times New Roman"/>
        </w:rPr>
        <w:t>n</w:t>
      </w:r>
      <w:r w:rsidRPr="00FF00DD">
        <w:rPr>
          <w:rFonts w:ascii="Times New Roman" w:hAnsi="Times New Roman"/>
        </w:rPr>
        <w:t>ařízení Evropské unie, je tudíž potřeba přijmout rychleji, než by umožnil tento předkládaný návrh.</w:t>
      </w:r>
    </w:p>
    <w:p w14:paraId="27C5488F" w14:textId="77777777" w:rsidR="00E77234" w:rsidRPr="00FF00DD" w:rsidRDefault="00B3394C" w:rsidP="00E30BA3">
      <w:pPr>
        <w:numPr>
          <w:ilvl w:val="0"/>
          <w:numId w:val="34"/>
        </w:numPr>
        <w:tabs>
          <w:tab w:val="left" w:pos="426"/>
        </w:tabs>
        <w:spacing w:after="360" w:line="240" w:lineRule="auto"/>
        <w:ind w:left="425" w:hanging="357"/>
        <w:rPr>
          <w:rFonts w:ascii="Times New Roman" w:hAnsi="Times New Roman"/>
        </w:rPr>
      </w:pPr>
      <w:r w:rsidRPr="00FF00DD">
        <w:rPr>
          <w:rFonts w:ascii="Times New Roman" w:hAnsi="Times New Roman"/>
        </w:rPr>
        <w:t>Legislativně je velmi obtížné, ne-li nemožné, i s ohledem na různý časový postup</w:t>
      </w:r>
      <w:r w:rsidR="0095147B">
        <w:rPr>
          <w:rFonts w:ascii="Times New Roman" w:hAnsi="Times New Roman"/>
        </w:rPr>
        <w:t xml:space="preserve"> </w:t>
      </w:r>
      <w:r w:rsidRPr="00FF00DD">
        <w:rPr>
          <w:rFonts w:ascii="Times New Roman" w:hAnsi="Times New Roman"/>
        </w:rPr>
        <w:t>a</w:t>
      </w:r>
      <w:r w:rsidR="00755A5A">
        <w:rPr>
          <w:rFonts w:ascii="Times New Roman" w:hAnsi="Times New Roman"/>
        </w:rPr>
        <w:t> </w:t>
      </w:r>
      <w:r w:rsidRPr="00FF00DD">
        <w:rPr>
          <w:rFonts w:ascii="Times New Roman" w:hAnsi="Times New Roman"/>
        </w:rPr>
        <w:t>stav</w:t>
      </w:r>
      <w:r w:rsidR="0095147B">
        <w:rPr>
          <w:rFonts w:ascii="Times New Roman" w:hAnsi="Times New Roman"/>
        </w:rPr>
        <w:t xml:space="preserve"> </w:t>
      </w:r>
      <w:r w:rsidRPr="00FF00DD">
        <w:rPr>
          <w:rFonts w:ascii="Times New Roman" w:hAnsi="Times New Roman"/>
        </w:rPr>
        <w:t>legislativních prací na novém zákoně o prekurzorech výbušnin a zákoně</w:t>
      </w:r>
      <w:r w:rsidR="0095147B">
        <w:rPr>
          <w:rFonts w:ascii="Times New Roman" w:hAnsi="Times New Roman"/>
        </w:rPr>
        <w:t xml:space="preserve"> </w:t>
      </w:r>
      <w:r w:rsidRPr="00FF00DD">
        <w:rPr>
          <w:rFonts w:ascii="Times New Roman" w:hAnsi="Times New Roman"/>
        </w:rPr>
        <w:t>o</w:t>
      </w:r>
      <w:r w:rsidR="00755A5A">
        <w:rPr>
          <w:rFonts w:ascii="Times New Roman" w:hAnsi="Times New Roman"/>
        </w:rPr>
        <w:t> </w:t>
      </w:r>
      <w:r w:rsidRPr="00FF00DD">
        <w:rPr>
          <w:rFonts w:ascii="Times New Roman" w:hAnsi="Times New Roman"/>
        </w:rPr>
        <w:t>zbraních a zákoně o</w:t>
      </w:r>
      <w:r w:rsidR="00474EBB">
        <w:rPr>
          <w:rFonts w:ascii="Times New Roman" w:hAnsi="Times New Roman"/>
        </w:rPr>
        <w:t> </w:t>
      </w:r>
      <w:r w:rsidRPr="00FF00DD">
        <w:rPr>
          <w:rFonts w:ascii="Times New Roman" w:hAnsi="Times New Roman"/>
        </w:rPr>
        <w:t>střelivu, v porovnání s touto předkládanou novelou, aby byly všechny zákony, resp. změny v zákoně č. 61/1988 Sb., nutné ve vazbě</w:t>
      </w:r>
      <w:r w:rsidR="0095147B">
        <w:rPr>
          <w:rFonts w:ascii="Times New Roman" w:hAnsi="Times New Roman"/>
        </w:rPr>
        <w:t xml:space="preserve"> </w:t>
      </w:r>
      <w:r w:rsidRPr="00FF00DD">
        <w:rPr>
          <w:rFonts w:ascii="Times New Roman" w:hAnsi="Times New Roman"/>
        </w:rPr>
        <w:t>na zvažované zákony, přijaty v efektivní a vyžadované časové souslednosti.</w:t>
      </w:r>
    </w:p>
    <w:p w14:paraId="567D5783" w14:textId="77777777" w:rsidR="007C49DF" w:rsidRPr="00FF00DD" w:rsidRDefault="007C49DF" w:rsidP="00A0115C">
      <w:pPr>
        <w:tabs>
          <w:tab w:val="left" w:pos="708"/>
        </w:tabs>
        <w:spacing w:line="240" w:lineRule="auto"/>
        <w:rPr>
          <w:rFonts w:ascii="Times New Roman" w:hAnsi="Times New Roman"/>
        </w:rPr>
      </w:pPr>
      <w:r w:rsidRPr="00FF00DD">
        <w:rPr>
          <w:rFonts w:ascii="Times New Roman" w:hAnsi="Times New Roman"/>
          <w:bCs/>
        </w:rPr>
        <w:t>4.1.</w:t>
      </w:r>
      <w:r w:rsidR="00CB6905" w:rsidRPr="00FF00DD">
        <w:rPr>
          <w:rFonts w:ascii="Times New Roman" w:hAnsi="Times New Roman"/>
          <w:bCs/>
        </w:rPr>
        <w:t>3</w:t>
      </w:r>
      <w:r w:rsidRPr="00FF00DD">
        <w:rPr>
          <w:rFonts w:ascii="Times New Roman" w:hAnsi="Times New Roman"/>
          <w:bCs/>
        </w:rPr>
        <w:t xml:space="preserve"> Varianta II.</w:t>
      </w:r>
    </w:p>
    <w:p w14:paraId="219313F5" w14:textId="77777777" w:rsidR="006D225C" w:rsidRDefault="006D225C" w:rsidP="00A0115C">
      <w:pPr>
        <w:spacing w:line="240" w:lineRule="auto"/>
        <w:rPr>
          <w:rFonts w:ascii="Times New Roman" w:hAnsi="Times New Roman"/>
        </w:rPr>
      </w:pPr>
      <w:r w:rsidRPr="00FF00DD">
        <w:rPr>
          <w:rFonts w:ascii="Times New Roman" w:hAnsi="Times New Roman"/>
        </w:rPr>
        <w:t xml:space="preserve">Nejvhodnější variantou řešení je v souladu se zhodnocením přínosů a nákladů podle kapitoly 3. vyhodnocena varianta II., která znamená vydání novely </w:t>
      </w:r>
      <w:r w:rsidR="00BA2F72" w:rsidRPr="00FF00DD">
        <w:rPr>
          <w:rFonts w:ascii="Times New Roman" w:hAnsi="Times New Roman"/>
        </w:rPr>
        <w:t>v rozsahu předmětného návrhu, který</w:t>
      </w:r>
      <w:r w:rsidR="00BA2F72" w:rsidRPr="00FF00DD">
        <w:rPr>
          <w:rFonts w:ascii="Times New Roman" w:hAnsi="Times New Roman"/>
          <w:iCs/>
        </w:rPr>
        <w:t xml:space="preserve"> obsahuje vedle změn stručn</w:t>
      </w:r>
      <w:r w:rsidR="007639DB" w:rsidRPr="00FF00DD">
        <w:rPr>
          <w:rFonts w:ascii="Times New Roman" w:hAnsi="Times New Roman"/>
          <w:iCs/>
        </w:rPr>
        <w:t>é</w:t>
      </w:r>
      <w:r w:rsidR="00BA2F72" w:rsidRPr="00FF00DD">
        <w:rPr>
          <w:rFonts w:ascii="Times New Roman" w:hAnsi="Times New Roman"/>
          <w:iCs/>
        </w:rPr>
        <w:t xml:space="preserve"> úprav</w:t>
      </w:r>
      <w:r w:rsidR="007639DB" w:rsidRPr="00FF00DD">
        <w:rPr>
          <w:rFonts w:ascii="Times New Roman" w:hAnsi="Times New Roman"/>
          <w:iCs/>
        </w:rPr>
        <w:t>y</w:t>
      </w:r>
      <w:r w:rsidR="00BA2F72" w:rsidRPr="00FF00DD">
        <w:rPr>
          <w:rFonts w:ascii="Times New Roman" w:hAnsi="Times New Roman"/>
          <w:iCs/>
        </w:rPr>
        <w:t xml:space="preserve"> organizační struktury orgánů SBS a některé změny otázky nakládání s výbušninami, zejm. provádění trhacích prací.</w:t>
      </w:r>
      <w:r w:rsidR="0095147B">
        <w:rPr>
          <w:rFonts w:ascii="Times New Roman" w:hAnsi="Times New Roman"/>
          <w:iCs/>
        </w:rPr>
        <w:t xml:space="preserve"> </w:t>
      </w:r>
      <w:r w:rsidR="007C49DF" w:rsidRPr="00FF00DD">
        <w:rPr>
          <w:rFonts w:ascii="Times New Roman" w:hAnsi="Times New Roman"/>
        </w:rPr>
        <w:t>Cíle úpravy jí budou naplněny beze zbytku a efektivně, bez případných následných procesních problémů legislativního postupu.</w:t>
      </w:r>
    </w:p>
    <w:p w14:paraId="22716FE7" w14:textId="77777777" w:rsidR="00B752AD" w:rsidRPr="00FF00DD" w:rsidRDefault="00B752AD" w:rsidP="00A0115C">
      <w:pPr>
        <w:pStyle w:val="Textparagrafu"/>
        <w:spacing w:after="240"/>
        <w:ind w:firstLine="0"/>
        <w:rPr>
          <w:u w:val="single"/>
        </w:rPr>
      </w:pPr>
      <w:r w:rsidRPr="00FF00DD">
        <w:rPr>
          <w:u w:val="single"/>
        </w:rPr>
        <w:t>4. 2. Charakteristika specifických dopadů</w:t>
      </w:r>
    </w:p>
    <w:p w14:paraId="74DEB8D9" w14:textId="77777777" w:rsidR="00B752AD" w:rsidRPr="00637DEF" w:rsidRDefault="00B752AD" w:rsidP="002303B7">
      <w:pPr>
        <w:tabs>
          <w:tab w:val="left" w:pos="709"/>
        </w:tabs>
        <w:autoSpaceDE w:val="0"/>
        <w:autoSpaceDN w:val="0"/>
        <w:adjustRightInd w:val="0"/>
        <w:spacing w:line="240" w:lineRule="auto"/>
        <w:rPr>
          <w:rFonts w:ascii="Times New Roman" w:hAnsi="Times New Roman"/>
          <w:bCs/>
        </w:rPr>
      </w:pPr>
      <w:r w:rsidRPr="00637DEF">
        <w:rPr>
          <w:rFonts w:ascii="Times New Roman" w:hAnsi="Times New Roman"/>
          <w:bCs/>
        </w:rPr>
        <w:t>4.</w:t>
      </w:r>
      <w:r w:rsidR="00A85CF4" w:rsidRPr="00637DEF">
        <w:rPr>
          <w:rFonts w:ascii="Times New Roman" w:hAnsi="Times New Roman"/>
          <w:bCs/>
        </w:rPr>
        <w:t>2</w:t>
      </w:r>
      <w:r w:rsidRPr="00637DEF">
        <w:rPr>
          <w:rFonts w:ascii="Times New Roman" w:hAnsi="Times New Roman"/>
          <w:bCs/>
        </w:rPr>
        <w:t>.1</w:t>
      </w:r>
      <w:r w:rsidRPr="00637DEF">
        <w:rPr>
          <w:rFonts w:ascii="Times New Roman" w:hAnsi="Times New Roman"/>
          <w:bCs/>
        </w:rPr>
        <w:tab/>
        <w:t>Dopady na státní rozpočet a ostatní veřejné rozpočty</w:t>
      </w:r>
    </w:p>
    <w:p w14:paraId="1F66450F" w14:textId="1FC7D0F4" w:rsidR="007C2163" w:rsidRPr="00637DEF" w:rsidRDefault="00C31CCE" w:rsidP="00B230A2">
      <w:pPr>
        <w:pStyle w:val="Textparagrafu"/>
        <w:tabs>
          <w:tab w:val="left" w:pos="708"/>
        </w:tabs>
        <w:spacing w:before="120"/>
        <w:ind w:firstLine="0"/>
        <w:rPr>
          <w:szCs w:val="24"/>
        </w:rPr>
      </w:pPr>
      <w:r w:rsidRPr="00637DEF">
        <w:rPr>
          <w:szCs w:val="24"/>
        </w:rPr>
        <w:t xml:space="preserve">Navrhovaná právní úprava </w:t>
      </w:r>
      <w:r w:rsidR="00F73DCC" w:rsidRPr="00637DEF">
        <w:rPr>
          <w:szCs w:val="24"/>
        </w:rPr>
        <w:t>nebude mít dopad na státní rozpočet ani veřejné rozpočty</w:t>
      </w:r>
      <w:r w:rsidR="00F70CDC">
        <w:rPr>
          <w:szCs w:val="24"/>
        </w:rPr>
        <w:t xml:space="preserve">, </w:t>
      </w:r>
      <w:r w:rsidR="00391C5E">
        <w:rPr>
          <w:szCs w:val="24"/>
        </w:rPr>
        <w:t>příp.</w:t>
      </w:r>
      <w:r w:rsidR="00F70CDC">
        <w:rPr>
          <w:szCs w:val="24"/>
        </w:rPr>
        <w:t xml:space="preserve"> </w:t>
      </w:r>
      <w:r w:rsidR="00391C5E">
        <w:rPr>
          <w:szCs w:val="24"/>
        </w:rPr>
        <w:t xml:space="preserve">jen </w:t>
      </w:r>
      <w:r w:rsidR="00F70CDC">
        <w:rPr>
          <w:szCs w:val="24"/>
        </w:rPr>
        <w:t>naprosto zanedbatelný</w:t>
      </w:r>
      <w:r w:rsidR="00F73DCC" w:rsidRPr="00637DEF">
        <w:rPr>
          <w:szCs w:val="24"/>
        </w:rPr>
        <w:t xml:space="preserve">. </w:t>
      </w:r>
      <w:r w:rsidR="00FA2635" w:rsidRPr="00637DEF">
        <w:rPr>
          <w:szCs w:val="24"/>
        </w:rPr>
        <w:t>Zr</w:t>
      </w:r>
      <w:r w:rsidR="00F73DCC" w:rsidRPr="00637DEF">
        <w:rPr>
          <w:szCs w:val="24"/>
        </w:rPr>
        <w:t xml:space="preserve">ušení OBÚ pro </w:t>
      </w:r>
      <w:r w:rsidR="00DB13C1" w:rsidRPr="00637DEF">
        <w:rPr>
          <w:szCs w:val="24"/>
        </w:rPr>
        <w:t xml:space="preserve">území krajů Libereckého a Vysočina </w:t>
      </w:r>
      <w:r w:rsidR="00F73DCC" w:rsidRPr="00637DEF">
        <w:rPr>
          <w:szCs w:val="24"/>
        </w:rPr>
        <w:t xml:space="preserve">přinese nepatrné úspory nákladů na kontrolní </w:t>
      </w:r>
      <w:r w:rsidR="00FA2635" w:rsidRPr="00637DEF">
        <w:rPr>
          <w:szCs w:val="24"/>
        </w:rPr>
        <w:t>a správní činnost vykonávanou v Kraji Vysočina ze strany OBÚ sídlícím v Hradci králové, na který bude agenda rušeného libereckého OBÚ převedena. P</w:t>
      </w:r>
      <w:r w:rsidR="00FA2635" w:rsidRPr="00637DEF">
        <w:rPr>
          <w:rFonts w:cs="Arial"/>
        </w:rPr>
        <w:t xml:space="preserve">ro území kraje Libereckého bude činnost zajišťována detašovaným pracovištěm královéhradeckého OBÚ v Liberci, jehož chod bude zajištěn několika stávajícími zaměstnanci OBÚ </w:t>
      </w:r>
      <w:r w:rsidR="00FA2635" w:rsidRPr="00637DEF">
        <w:rPr>
          <w:szCs w:val="24"/>
        </w:rPr>
        <w:t xml:space="preserve">pro území krajů </w:t>
      </w:r>
      <w:r w:rsidR="00FA2635" w:rsidRPr="00637DEF">
        <w:t>Libereckého a</w:t>
      </w:r>
      <w:r w:rsidR="00391C5E">
        <w:t> </w:t>
      </w:r>
      <w:r w:rsidR="00FA2635" w:rsidRPr="00637DEF">
        <w:t xml:space="preserve">Vysočina (nově zařazenými do </w:t>
      </w:r>
      <w:r w:rsidR="00FA2635" w:rsidRPr="00637DEF">
        <w:rPr>
          <w:rFonts w:cs="Arial"/>
        </w:rPr>
        <w:t>OBÚ pro území krajů Královéhradeckého a Pardubického</w:t>
      </w:r>
      <w:r w:rsidR="00FA2635" w:rsidRPr="00637DEF">
        <w:t>).</w:t>
      </w:r>
      <w:r w:rsidR="0038220F" w:rsidRPr="00637DEF">
        <w:t xml:space="preserve"> </w:t>
      </w:r>
      <w:r w:rsidR="00391C5E">
        <w:t xml:space="preserve">Se zrušením OBÚ </w:t>
      </w:r>
      <w:r w:rsidR="00391C5E" w:rsidRPr="00637DEF">
        <w:rPr>
          <w:szCs w:val="24"/>
        </w:rPr>
        <w:t xml:space="preserve">pro území krajů </w:t>
      </w:r>
      <w:r w:rsidR="00391C5E" w:rsidRPr="00637DEF">
        <w:t>Libereckého a Vysočina</w:t>
      </w:r>
      <w:r w:rsidR="00391C5E">
        <w:t xml:space="preserve"> dojde trvale ke zrušení služebního místa předsedy tohoto OBÚ</w:t>
      </w:r>
      <w:r w:rsidR="00D551C8" w:rsidRPr="00637DEF">
        <w:rPr>
          <w:szCs w:val="24"/>
        </w:rPr>
        <w:t xml:space="preserve">. </w:t>
      </w:r>
      <w:r w:rsidR="007C2163" w:rsidRPr="00637DEF">
        <w:rPr>
          <w:szCs w:val="24"/>
        </w:rPr>
        <w:t>Navržené změny odpovídají obsahu zpracovaného střednědobého výhledu rozpočtu na rok 2021 a roky následující.</w:t>
      </w:r>
      <w:r w:rsidR="00F70CDC">
        <w:rPr>
          <w:szCs w:val="24"/>
        </w:rPr>
        <w:t xml:space="preserve"> </w:t>
      </w:r>
      <w:r w:rsidR="004C7DAA">
        <w:rPr>
          <w:szCs w:val="24"/>
        </w:rPr>
        <w:t xml:space="preserve">Teoreticky může mít navrhovaná právní úprava </w:t>
      </w:r>
      <w:r w:rsidR="00F70CDC">
        <w:rPr>
          <w:szCs w:val="24"/>
        </w:rPr>
        <w:t xml:space="preserve">zanedbatelné náklady </w:t>
      </w:r>
      <w:r w:rsidR="00C36435">
        <w:rPr>
          <w:szCs w:val="24"/>
        </w:rPr>
        <w:t xml:space="preserve">(max. 200 000 Kč) </w:t>
      </w:r>
      <w:r w:rsidR="004C7DAA">
        <w:rPr>
          <w:szCs w:val="24"/>
        </w:rPr>
        <w:t xml:space="preserve">na </w:t>
      </w:r>
      <w:r w:rsidR="00C36435">
        <w:rPr>
          <w:szCs w:val="24"/>
        </w:rPr>
        <w:t>změn</w:t>
      </w:r>
      <w:r w:rsidR="004C7DAA">
        <w:rPr>
          <w:szCs w:val="24"/>
        </w:rPr>
        <w:t>y informačního systému ČBÚ – AIS</w:t>
      </w:r>
      <w:r w:rsidR="00C36435">
        <w:rPr>
          <w:szCs w:val="24"/>
        </w:rPr>
        <w:t> SBS</w:t>
      </w:r>
      <w:r w:rsidR="004C7DAA">
        <w:rPr>
          <w:szCs w:val="24"/>
        </w:rPr>
        <w:t xml:space="preserve"> v zájmu sdílení údajů s celnímu úřady o vydaných povoleních k vývozu a dovozu výbušnin, a v zájmu sdílení údajů s celnímu úřady z celních prohlášení. Výši nákladů však s ohledem na možnost čerpání části nákladů z již alokované částky na rozvoj AIS SBS nelze předem stanovit.</w:t>
      </w:r>
    </w:p>
    <w:p w14:paraId="31741D67" w14:textId="77777777" w:rsidR="00B752AD" w:rsidRPr="00FF00DD" w:rsidRDefault="00B752AD" w:rsidP="00BB25D9">
      <w:pPr>
        <w:tabs>
          <w:tab w:val="left" w:pos="709"/>
        </w:tabs>
        <w:autoSpaceDE w:val="0"/>
        <w:autoSpaceDN w:val="0"/>
        <w:adjustRightInd w:val="0"/>
        <w:spacing w:before="240" w:line="240" w:lineRule="auto"/>
        <w:rPr>
          <w:rFonts w:ascii="Times New Roman" w:hAnsi="Times New Roman"/>
          <w:bCs/>
        </w:rPr>
      </w:pPr>
      <w:r w:rsidRPr="00637DEF">
        <w:rPr>
          <w:rFonts w:ascii="Times New Roman" w:hAnsi="Times New Roman"/>
          <w:bCs/>
        </w:rPr>
        <w:t>4.</w:t>
      </w:r>
      <w:r w:rsidR="00A85CF4" w:rsidRPr="00637DEF">
        <w:rPr>
          <w:rFonts w:ascii="Times New Roman" w:hAnsi="Times New Roman"/>
          <w:bCs/>
        </w:rPr>
        <w:t>2</w:t>
      </w:r>
      <w:r w:rsidRPr="00637DEF">
        <w:rPr>
          <w:rFonts w:ascii="Times New Roman" w:hAnsi="Times New Roman"/>
          <w:bCs/>
        </w:rPr>
        <w:t>.2</w:t>
      </w:r>
      <w:r w:rsidRPr="00637DEF">
        <w:rPr>
          <w:rFonts w:ascii="Times New Roman" w:hAnsi="Times New Roman"/>
          <w:bCs/>
        </w:rPr>
        <w:tab/>
        <w:t>Dopady na podnikatelské prostředí</w:t>
      </w:r>
    </w:p>
    <w:p w14:paraId="4E98C0CC" w14:textId="77777777" w:rsidR="00B752AD" w:rsidRPr="00FC73C5" w:rsidRDefault="00B752AD" w:rsidP="0043404A">
      <w:pPr>
        <w:tabs>
          <w:tab w:val="left" w:pos="709"/>
        </w:tabs>
        <w:spacing w:line="240" w:lineRule="auto"/>
        <w:rPr>
          <w:rFonts w:ascii="Times New Roman" w:hAnsi="Times New Roman"/>
        </w:rPr>
      </w:pPr>
      <w:r w:rsidRPr="00FF00DD">
        <w:rPr>
          <w:rFonts w:ascii="Times New Roman" w:hAnsi="Times New Roman"/>
        </w:rPr>
        <w:t xml:space="preserve">Navrhovaná právní úprava nebude mít negativní dopady na </w:t>
      </w:r>
      <w:r w:rsidR="00BA2F72" w:rsidRPr="00FF00DD">
        <w:rPr>
          <w:rFonts w:ascii="Times New Roman" w:hAnsi="Times New Roman"/>
        </w:rPr>
        <w:t>podnikatelské prostředí. Možnost dávat podání je dotčeným subjektům zajištěna elektronizací a zachováním detašovaného pracoviště O</w:t>
      </w:r>
      <w:r w:rsidR="00C91CDA" w:rsidRPr="00FF00DD">
        <w:rPr>
          <w:rFonts w:ascii="Times New Roman" w:hAnsi="Times New Roman"/>
        </w:rPr>
        <w:t>BÚ</w:t>
      </w:r>
      <w:r w:rsidR="00BA2F72" w:rsidRPr="00FF00DD">
        <w:rPr>
          <w:rFonts w:ascii="Times New Roman" w:hAnsi="Times New Roman"/>
        </w:rPr>
        <w:t xml:space="preserve"> pro území krajů Královéhradeckého a</w:t>
      </w:r>
      <w:r w:rsidR="00C15948" w:rsidRPr="00FF00DD">
        <w:rPr>
          <w:rFonts w:ascii="Times New Roman" w:hAnsi="Times New Roman"/>
        </w:rPr>
        <w:t> </w:t>
      </w:r>
      <w:r w:rsidR="00BA2F72" w:rsidRPr="00FF00DD">
        <w:rPr>
          <w:rFonts w:ascii="Times New Roman" w:hAnsi="Times New Roman"/>
        </w:rPr>
        <w:t xml:space="preserve">Pardubického v Liberci. Z hlediska dostupnosti pro osoby </w:t>
      </w:r>
      <w:r w:rsidR="00BA2F72" w:rsidRPr="00B230A2">
        <w:rPr>
          <w:rFonts w:ascii="Times New Roman" w:hAnsi="Times New Roman"/>
        </w:rPr>
        <w:t>z</w:t>
      </w:r>
      <w:r w:rsidR="00D5367D" w:rsidRPr="00B230A2">
        <w:rPr>
          <w:rFonts w:ascii="Times New Roman" w:hAnsi="Times New Roman"/>
        </w:rPr>
        <w:t> </w:t>
      </w:r>
      <w:r w:rsidR="00BA2F72" w:rsidRPr="00BB25D9">
        <w:rPr>
          <w:rFonts w:ascii="Times New Roman" w:hAnsi="Times New Roman"/>
        </w:rPr>
        <w:t>kraje Vysočina je naopak dostupnější O</w:t>
      </w:r>
      <w:r w:rsidR="00C91CDA" w:rsidRPr="00BB25D9">
        <w:rPr>
          <w:rFonts w:ascii="Times New Roman" w:hAnsi="Times New Roman"/>
        </w:rPr>
        <w:t>BÚ</w:t>
      </w:r>
      <w:r w:rsidR="00BA2F72" w:rsidRPr="00B52053">
        <w:rPr>
          <w:rFonts w:ascii="Times New Roman" w:hAnsi="Times New Roman"/>
        </w:rPr>
        <w:t xml:space="preserve"> pro území krajů Královéhradeckého a Pardubického.</w:t>
      </w:r>
    </w:p>
    <w:p w14:paraId="55293DC8" w14:textId="77777777" w:rsidR="00B94516" w:rsidRPr="00B230A2" w:rsidRDefault="00B94516">
      <w:pPr>
        <w:tabs>
          <w:tab w:val="left" w:pos="709"/>
        </w:tabs>
        <w:spacing w:after="240" w:line="240" w:lineRule="auto"/>
        <w:rPr>
          <w:rFonts w:ascii="Times New Roman" w:hAnsi="Times New Roman"/>
        </w:rPr>
      </w:pPr>
      <w:r w:rsidRPr="0043404A">
        <w:rPr>
          <w:rFonts w:ascii="Times New Roman" w:hAnsi="Times New Roman"/>
        </w:rPr>
        <w:t>Navrhovaná právní úprava přináší dotčen</w:t>
      </w:r>
      <w:r w:rsidR="008C5583" w:rsidRPr="00B230A2">
        <w:rPr>
          <w:rFonts w:ascii="Times New Roman" w:hAnsi="Times New Roman"/>
        </w:rPr>
        <w:t xml:space="preserve">ým </w:t>
      </w:r>
      <w:r w:rsidRPr="00B230A2">
        <w:rPr>
          <w:rFonts w:ascii="Times New Roman" w:hAnsi="Times New Roman"/>
        </w:rPr>
        <w:t>podnikatel</w:t>
      </w:r>
      <w:r w:rsidR="008C5583" w:rsidRPr="00B230A2">
        <w:rPr>
          <w:rFonts w:ascii="Times New Roman" w:hAnsi="Times New Roman"/>
        </w:rPr>
        <w:t>ům</w:t>
      </w:r>
      <w:r w:rsidRPr="00B230A2">
        <w:rPr>
          <w:rFonts w:ascii="Times New Roman" w:hAnsi="Times New Roman"/>
        </w:rPr>
        <w:t xml:space="preserve"> nakládající</w:t>
      </w:r>
      <w:r w:rsidR="008C5583" w:rsidRPr="00B230A2">
        <w:rPr>
          <w:rFonts w:ascii="Times New Roman" w:hAnsi="Times New Roman"/>
        </w:rPr>
        <w:t>m</w:t>
      </w:r>
      <w:r w:rsidRPr="00B230A2">
        <w:rPr>
          <w:rFonts w:ascii="Times New Roman" w:hAnsi="Times New Roman"/>
        </w:rPr>
        <w:t xml:space="preserve"> s</w:t>
      </w:r>
      <w:r w:rsidR="008C5583" w:rsidRPr="00B230A2">
        <w:rPr>
          <w:rFonts w:ascii="Times New Roman" w:hAnsi="Times New Roman"/>
        </w:rPr>
        <w:t> </w:t>
      </w:r>
      <w:r w:rsidRPr="00B230A2">
        <w:rPr>
          <w:rFonts w:ascii="Times New Roman" w:hAnsi="Times New Roman"/>
        </w:rPr>
        <w:t>výbušninami</w:t>
      </w:r>
      <w:r w:rsidR="008C5583" w:rsidRPr="00B230A2">
        <w:rPr>
          <w:rFonts w:ascii="Times New Roman" w:hAnsi="Times New Roman"/>
        </w:rPr>
        <w:t xml:space="preserve"> časové a finanční (nekvantifikovatelné) úspory kvůli </w:t>
      </w:r>
      <w:r w:rsidRPr="00B230A2">
        <w:rPr>
          <w:rFonts w:ascii="Times New Roman" w:hAnsi="Times New Roman"/>
        </w:rPr>
        <w:t xml:space="preserve">zjednodušení administrativy související se správními </w:t>
      </w:r>
      <w:r w:rsidRPr="00B230A2">
        <w:rPr>
          <w:rFonts w:ascii="Times New Roman" w:hAnsi="Times New Roman"/>
        </w:rPr>
        <w:lastRenderedPageBreak/>
        <w:t>řízeními o povolení vývozu výbušnin a</w:t>
      </w:r>
      <w:r w:rsidR="005E0748" w:rsidRPr="00B230A2">
        <w:rPr>
          <w:rFonts w:ascii="Times New Roman" w:hAnsi="Times New Roman"/>
        </w:rPr>
        <w:t> </w:t>
      </w:r>
      <w:r w:rsidRPr="00B230A2">
        <w:rPr>
          <w:rFonts w:ascii="Times New Roman" w:hAnsi="Times New Roman"/>
        </w:rPr>
        <w:t xml:space="preserve">rovněž </w:t>
      </w:r>
      <w:r w:rsidR="005D1C3E" w:rsidRPr="00B230A2">
        <w:rPr>
          <w:rFonts w:ascii="Times New Roman" w:hAnsi="Times New Roman"/>
        </w:rPr>
        <w:t xml:space="preserve">úspory </w:t>
      </w:r>
      <w:r w:rsidR="008C5583" w:rsidRPr="00B230A2">
        <w:rPr>
          <w:rFonts w:ascii="Times New Roman" w:hAnsi="Times New Roman"/>
        </w:rPr>
        <w:t xml:space="preserve">kvůli </w:t>
      </w:r>
      <w:r w:rsidRPr="00B230A2">
        <w:rPr>
          <w:rFonts w:ascii="Times New Roman" w:hAnsi="Times New Roman"/>
        </w:rPr>
        <w:t>odstranění periodického oznamování uskutečněných transakcí v rámci dovozu a vývozu výbušnin</w:t>
      </w:r>
      <w:r w:rsidR="005D1C3E" w:rsidRPr="00B230A2">
        <w:rPr>
          <w:rFonts w:ascii="Times New Roman" w:hAnsi="Times New Roman"/>
        </w:rPr>
        <w:t xml:space="preserve"> ve výši cca</w:t>
      </w:r>
      <w:r w:rsidR="00B230A2" w:rsidRPr="00B230A2">
        <w:rPr>
          <w:rFonts w:ascii="Times New Roman" w:hAnsi="Times New Roman"/>
        </w:rPr>
        <w:t xml:space="preserve"> 2</w:t>
      </w:r>
      <w:r w:rsidR="00B404F6">
        <w:rPr>
          <w:rFonts w:ascii="Times New Roman" w:hAnsi="Times New Roman"/>
        </w:rPr>
        <w:t>0 520 </w:t>
      </w:r>
      <w:r w:rsidR="00B230A2" w:rsidRPr="00B230A2">
        <w:rPr>
          <w:rFonts w:ascii="Times New Roman" w:hAnsi="Times New Roman"/>
        </w:rPr>
        <w:t>Kč</w:t>
      </w:r>
      <w:r w:rsidRPr="00B230A2">
        <w:rPr>
          <w:rFonts w:ascii="Times New Roman" w:hAnsi="Times New Roman"/>
        </w:rPr>
        <w:t>.</w:t>
      </w:r>
    </w:p>
    <w:p w14:paraId="2A33FC2C" w14:textId="77777777" w:rsidR="00B752AD" w:rsidRPr="00B230A2" w:rsidRDefault="00B752AD">
      <w:pPr>
        <w:tabs>
          <w:tab w:val="left" w:pos="709"/>
        </w:tabs>
        <w:autoSpaceDE w:val="0"/>
        <w:autoSpaceDN w:val="0"/>
        <w:adjustRightInd w:val="0"/>
        <w:spacing w:line="240" w:lineRule="auto"/>
        <w:rPr>
          <w:rFonts w:ascii="Times New Roman" w:hAnsi="Times New Roman"/>
          <w:bCs/>
        </w:rPr>
      </w:pPr>
      <w:r w:rsidRPr="0043404A">
        <w:rPr>
          <w:rFonts w:ascii="Times New Roman" w:hAnsi="Times New Roman"/>
          <w:bCs/>
        </w:rPr>
        <w:t>4.</w:t>
      </w:r>
      <w:r w:rsidR="00A85CF4" w:rsidRPr="00B230A2">
        <w:rPr>
          <w:rFonts w:ascii="Times New Roman" w:hAnsi="Times New Roman"/>
          <w:bCs/>
        </w:rPr>
        <w:t>2</w:t>
      </w:r>
      <w:r w:rsidRPr="00B230A2">
        <w:rPr>
          <w:rFonts w:ascii="Times New Roman" w:hAnsi="Times New Roman"/>
          <w:bCs/>
        </w:rPr>
        <w:t>.3</w:t>
      </w:r>
      <w:r w:rsidRPr="00B230A2">
        <w:rPr>
          <w:rFonts w:ascii="Times New Roman" w:hAnsi="Times New Roman"/>
          <w:bCs/>
        </w:rPr>
        <w:tab/>
        <w:t>Sociální dopady, včetně dopadů na specifické skupiny obyvatel</w:t>
      </w:r>
    </w:p>
    <w:p w14:paraId="275DE7A5" w14:textId="33C53887" w:rsidR="00B752AD" w:rsidRPr="00FF00DD" w:rsidRDefault="00B752AD">
      <w:pPr>
        <w:tabs>
          <w:tab w:val="left" w:pos="709"/>
        </w:tabs>
        <w:autoSpaceDE w:val="0"/>
        <w:autoSpaceDN w:val="0"/>
        <w:adjustRightInd w:val="0"/>
        <w:spacing w:after="240" w:line="240" w:lineRule="auto"/>
        <w:rPr>
          <w:rFonts w:ascii="Times New Roman" w:hAnsi="Times New Roman"/>
        </w:rPr>
      </w:pPr>
      <w:r w:rsidRPr="00B230A2">
        <w:rPr>
          <w:rFonts w:ascii="Times New Roman" w:hAnsi="Times New Roman"/>
        </w:rPr>
        <w:t xml:space="preserve">Dosavadní znění </w:t>
      </w:r>
      <w:r w:rsidR="0002133C" w:rsidRPr="00B230A2">
        <w:rPr>
          <w:rFonts w:ascii="Times New Roman" w:hAnsi="Times New Roman"/>
        </w:rPr>
        <w:t>zákona</w:t>
      </w:r>
      <w:r w:rsidRPr="00B230A2">
        <w:rPr>
          <w:rFonts w:ascii="Times New Roman" w:hAnsi="Times New Roman"/>
        </w:rPr>
        <w:t xml:space="preserve"> č. </w:t>
      </w:r>
      <w:r w:rsidR="0002133C" w:rsidRPr="00B230A2">
        <w:rPr>
          <w:rFonts w:ascii="Times New Roman" w:hAnsi="Times New Roman"/>
        </w:rPr>
        <w:t>61</w:t>
      </w:r>
      <w:r w:rsidRPr="00B230A2">
        <w:rPr>
          <w:rFonts w:ascii="Times New Roman" w:hAnsi="Times New Roman"/>
        </w:rPr>
        <w:t>/</w:t>
      </w:r>
      <w:r w:rsidR="0002133C" w:rsidRPr="00B230A2">
        <w:rPr>
          <w:rFonts w:ascii="Times New Roman" w:hAnsi="Times New Roman"/>
        </w:rPr>
        <w:t>1988</w:t>
      </w:r>
      <w:r w:rsidRPr="00B230A2">
        <w:rPr>
          <w:rFonts w:ascii="Times New Roman" w:hAnsi="Times New Roman"/>
        </w:rPr>
        <w:t xml:space="preserve"> Sb., ve znění novel</w:t>
      </w:r>
      <w:r w:rsidR="00EB2D66">
        <w:rPr>
          <w:rFonts w:ascii="Times New Roman" w:hAnsi="Times New Roman"/>
        </w:rPr>
        <w:t>,</w:t>
      </w:r>
      <w:r w:rsidRPr="00B230A2">
        <w:rPr>
          <w:rFonts w:ascii="Times New Roman" w:hAnsi="Times New Roman"/>
        </w:rPr>
        <w:t xml:space="preserve"> neobsahuje žádná </w:t>
      </w:r>
      <w:r w:rsidRPr="00B230A2">
        <w:rPr>
          <w:rFonts w:ascii="Times New Roman" w:hAnsi="Times New Roman"/>
          <w:bCs/>
        </w:rPr>
        <w:t>diskriminační</w:t>
      </w:r>
      <w:r w:rsidRPr="00B230A2">
        <w:rPr>
          <w:rFonts w:ascii="Times New Roman" w:hAnsi="Times New Roman"/>
        </w:rPr>
        <w:t xml:space="preserve"> ustanovení, </w:t>
      </w:r>
      <w:r w:rsidR="0002133C" w:rsidRPr="00B230A2">
        <w:rPr>
          <w:rFonts w:ascii="Times New Roman" w:hAnsi="Times New Roman"/>
        </w:rPr>
        <w:t>neobsahuje ani žádná ustanovení</w:t>
      </w:r>
      <w:r w:rsidRPr="00B230A2">
        <w:rPr>
          <w:rFonts w:ascii="Times New Roman" w:hAnsi="Times New Roman"/>
        </w:rPr>
        <w:t xml:space="preserve"> ve</w:t>
      </w:r>
      <w:r w:rsidRPr="00FF00DD">
        <w:rPr>
          <w:rFonts w:ascii="Times New Roman" w:hAnsi="Times New Roman"/>
        </w:rPr>
        <w:t xml:space="preserve"> vztahu k rovnosti žen a mužů. </w:t>
      </w:r>
      <w:r w:rsidR="0002133C" w:rsidRPr="00FF00DD">
        <w:rPr>
          <w:rFonts w:ascii="Times New Roman" w:hAnsi="Times New Roman"/>
        </w:rPr>
        <w:t>Rovněž</w:t>
      </w:r>
      <w:r w:rsidRPr="00FF00DD">
        <w:rPr>
          <w:rFonts w:ascii="Times New Roman" w:hAnsi="Times New Roman"/>
        </w:rPr>
        <w:t xml:space="preserve"> navrhovaná právní úprava </w:t>
      </w:r>
      <w:r w:rsidR="0002133C" w:rsidRPr="00FF00DD">
        <w:rPr>
          <w:rFonts w:ascii="Times New Roman" w:hAnsi="Times New Roman"/>
        </w:rPr>
        <w:t>nepředpokládá</w:t>
      </w:r>
      <w:r w:rsidRPr="00FF00DD">
        <w:rPr>
          <w:rFonts w:ascii="Times New Roman" w:hAnsi="Times New Roman"/>
        </w:rPr>
        <w:t xml:space="preserve"> dopady na specifické skupiny obyvatel,</w:t>
      </w:r>
      <w:r w:rsidR="0095147B">
        <w:rPr>
          <w:rFonts w:ascii="Times New Roman" w:hAnsi="Times New Roman"/>
        </w:rPr>
        <w:t xml:space="preserve"> </w:t>
      </w:r>
      <w:r w:rsidRPr="00FF00DD">
        <w:rPr>
          <w:rFonts w:ascii="Times New Roman" w:hAnsi="Times New Roman"/>
        </w:rPr>
        <w:t>na osoby sociálně slabé, osoby se zdravotním postižením ani národnostní menšiny.</w:t>
      </w:r>
    </w:p>
    <w:p w14:paraId="588C7F9A" w14:textId="77777777" w:rsidR="00B752AD" w:rsidRPr="00FF00DD" w:rsidRDefault="00B752AD">
      <w:pPr>
        <w:tabs>
          <w:tab w:val="left" w:pos="709"/>
        </w:tabs>
        <w:autoSpaceDE w:val="0"/>
        <w:autoSpaceDN w:val="0"/>
        <w:adjustRightInd w:val="0"/>
        <w:spacing w:line="240" w:lineRule="auto"/>
        <w:rPr>
          <w:rFonts w:ascii="Times New Roman" w:hAnsi="Times New Roman"/>
          <w:bCs/>
        </w:rPr>
      </w:pPr>
      <w:r w:rsidRPr="00FF00DD">
        <w:rPr>
          <w:rFonts w:ascii="Times New Roman" w:hAnsi="Times New Roman"/>
          <w:bCs/>
        </w:rPr>
        <w:t>4.</w:t>
      </w:r>
      <w:r w:rsidR="00A85CF4" w:rsidRPr="00FF00DD">
        <w:rPr>
          <w:rFonts w:ascii="Times New Roman" w:hAnsi="Times New Roman"/>
          <w:bCs/>
        </w:rPr>
        <w:t>2</w:t>
      </w:r>
      <w:r w:rsidRPr="00FF00DD">
        <w:rPr>
          <w:rFonts w:ascii="Times New Roman" w:hAnsi="Times New Roman"/>
          <w:bCs/>
        </w:rPr>
        <w:t>.4</w:t>
      </w:r>
      <w:r w:rsidRPr="00FF00DD">
        <w:rPr>
          <w:rFonts w:ascii="Times New Roman" w:hAnsi="Times New Roman"/>
          <w:bCs/>
        </w:rPr>
        <w:tab/>
        <w:t>Dopady na životní prostředí</w:t>
      </w:r>
    </w:p>
    <w:p w14:paraId="21082EE8" w14:textId="77777777" w:rsidR="00B752AD" w:rsidRPr="00FF00DD" w:rsidRDefault="00B752AD">
      <w:pPr>
        <w:tabs>
          <w:tab w:val="left" w:pos="709"/>
        </w:tabs>
        <w:autoSpaceDE w:val="0"/>
        <w:autoSpaceDN w:val="0"/>
        <w:adjustRightInd w:val="0"/>
        <w:spacing w:after="240" w:line="240" w:lineRule="auto"/>
        <w:rPr>
          <w:rFonts w:ascii="Times New Roman" w:hAnsi="Times New Roman"/>
          <w:bCs/>
        </w:rPr>
      </w:pPr>
      <w:r w:rsidRPr="00FF00DD">
        <w:rPr>
          <w:rFonts w:ascii="Times New Roman" w:hAnsi="Times New Roman"/>
          <w:bCs/>
        </w:rPr>
        <w:t>Navrhovaná právní úprava nebude mít přímý dopad na životní prostředí</w:t>
      </w:r>
      <w:r w:rsidR="00B0341D" w:rsidRPr="00FF00DD">
        <w:rPr>
          <w:rFonts w:ascii="Times New Roman" w:hAnsi="Times New Roman"/>
          <w:bCs/>
        </w:rPr>
        <w:t>, neboť se ho nijak netýká</w:t>
      </w:r>
      <w:r w:rsidRPr="00FF00DD">
        <w:rPr>
          <w:rFonts w:ascii="Times New Roman" w:hAnsi="Times New Roman"/>
          <w:bCs/>
        </w:rPr>
        <w:t>.</w:t>
      </w:r>
    </w:p>
    <w:p w14:paraId="51FC4CB4" w14:textId="77777777" w:rsidR="00B752AD" w:rsidRPr="00FF00DD" w:rsidRDefault="00B752AD">
      <w:pPr>
        <w:tabs>
          <w:tab w:val="left" w:pos="709"/>
        </w:tabs>
        <w:autoSpaceDE w:val="0"/>
        <w:autoSpaceDN w:val="0"/>
        <w:adjustRightInd w:val="0"/>
        <w:spacing w:line="240" w:lineRule="auto"/>
        <w:rPr>
          <w:rFonts w:ascii="Times New Roman" w:hAnsi="Times New Roman"/>
          <w:bCs/>
        </w:rPr>
      </w:pPr>
      <w:r w:rsidRPr="00FF00DD">
        <w:rPr>
          <w:rFonts w:ascii="Times New Roman" w:hAnsi="Times New Roman"/>
          <w:bCs/>
        </w:rPr>
        <w:t>4.</w:t>
      </w:r>
      <w:r w:rsidR="00A85CF4" w:rsidRPr="00FF00DD">
        <w:rPr>
          <w:rFonts w:ascii="Times New Roman" w:hAnsi="Times New Roman"/>
          <w:bCs/>
        </w:rPr>
        <w:t>2</w:t>
      </w:r>
      <w:r w:rsidRPr="00FF00DD">
        <w:rPr>
          <w:rFonts w:ascii="Times New Roman" w:hAnsi="Times New Roman"/>
          <w:bCs/>
        </w:rPr>
        <w:t>.5</w:t>
      </w:r>
      <w:r w:rsidRPr="00FF00DD">
        <w:rPr>
          <w:rFonts w:ascii="Times New Roman" w:hAnsi="Times New Roman"/>
          <w:bCs/>
        </w:rPr>
        <w:tab/>
        <w:t>Dopady navrhovaného řešení na ochranu soukromí a zpracovávání osobních údajů</w:t>
      </w:r>
    </w:p>
    <w:p w14:paraId="571767BC" w14:textId="77777777" w:rsidR="00B752AD" w:rsidRDefault="00B752AD">
      <w:pPr>
        <w:tabs>
          <w:tab w:val="left" w:pos="709"/>
        </w:tabs>
        <w:autoSpaceDE w:val="0"/>
        <w:autoSpaceDN w:val="0"/>
        <w:adjustRightInd w:val="0"/>
        <w:spacing w:after="240" w:line="240" w:lineRule="auto"/>
        <w:rPr>
          <w:rFonts w:ascii="Times New Roman" w:hAnsi="Times New Roman"/>
        </w:rPr>
      </w:pPr>
      <w:r w:rsidRPr="00C86FE5">
        <w:rPr>
          <w:rFonts w:ascii="Times New Roman" w:hAnsi="Times New Roman"/>
        </w:rPr>
        <w:t>Ochrany soukromí se navrhovaná právní úprava netýká, nevynucuje ani nepředpokládá zpracovávání osobních údajů</w:t>
      </w:r>
      <w:r w:rsidR="0002133C" w:rsidRPr="00C86FE5">
        <w:rPr>
          <w:rFonts w:ascii="Times New Roman" w:hAnsi="Times New Roman"/>
        </w:rPr>
        <w:t xml:space="preserve"> nad dosavadní požadavky předpisu</w:t>
      </w:r>
      <w:r w:rsidRPr="00C86FE5">
        <w:rPr>
          <w:rFonts w:ascii="Times New Roman" w:hAnsi="Times New Roman"/>
        </w:rPr>
        <w:t>.</w:t>
      </w:r>
    </w:p>
    <w:p w14:paraId="37F3890A" w14:textId="77777777" w:rsidR="00B752AD" w:rsidRPr="00FF00DD" w:rsidRDefault="00B752AD">
      <w:pPr>
        <w:tabs>
          <w:tab w:val="left" w:pos="709"/>
        </w:tabs>
        <w:autoSpaceDE w:val="0"/>
        <w:autoSpaceDN w:val="0"/>
        <w:adjustRightInd w:val="0"/>
        <w:spacing w:line="240" w:lineRule="auto"/>
        <w:rPr>
          <w:rFonts w:ascii="Times New Roman" w:hAnsi="Times New Roman"/>
          <w:bCs/>
        </w:rPr>
      </w:pPr>
      <w:r w:rsidRPr="00FF00DD">
        <w:rPr>
          <w:rFonts w:ascii="Times New Roman" w:hAnsi="Times New Roman"/>
          <w:bCs/>
        </w:rPr>
        <w:t>4.</w:t>
      </w:r>
      <w:r w:rsidR="00A85CF4" w:rsidRPr="00FF00DD">
        <w:rPr>
          <w:rFonts w:ascii="Times New Roman" w:hAnsi="Times New Roman"/>
          <w:bCs/>
        </w:rPr>
        <w:t>2</w:t>
      </w:r>
      <w:r w:rsidRPr="00FF00DD">
        <w:rPr>
          <w:rFonts w:ascii="Times New Roman" w:hAnsi="Times New Roman"/>
          <w:bCs/>
        </w:rPr>
        <w:t>.6</w:t>
      </w:r>
      <w:r w:rsidRPr="00FF00DD">
        <w:rPr>
          <w:rFonts w:ascii="Times New Roman" w:hAnsi="Times New Roman"/>
          <w:bCs/>
        </w:rPr>
        <w:tab/>
      </w:r>
      <w:r w:rsidRPr="00FF00DD">
        <w:rPr>
          <w:rFonts w:ascii="Times New Roman" w:hAnsi="Times New Roman"/>
        </w:rPr>
        <w:t>Zhodnocení</w:t>
      </w:r>
      <w:r w:rsidRPr="00FF00DD">
        <w:rPr>
          <w:rFonts w:ascii="Times New Roman" w:hAnsi="Times New Roman"/>
          <w:bCs/>
        </w:rPr>
        <w:t xml:space="preserve"> korupčních rizik</w:t>
      </w:r>
    </w:p>
    <w:p w14:paraId="14DD1422" w14:textId="77777777" w:rsidR="00B752AD" w:rsidRPr="00FF00DD" w:rsidRDefault="00B752AD">
      <w:pPr>
        <w:tabs>
          <w:tab w:val="left" w:pos="709"/>
        </w:tabs>
        <w:autoSpaceDE w:val="0"/>
        <w:autoSpaceDN w:val="0"/>
        <w:adjustRightInd w:val="0"/>
        <w:spacing w:after="240" w:line="240" w:lineRule="auto"/>
        <w:rPr>
          <w:rFonts w:ascii="Times New Roman" w:hAnsi="Times New Roman"/>
        </w:rPr>
      </w:pPr>
      <w:r w:rsidRPr="00FF00DD">
        <w:rPr>
          <w:rFonts w:ascii="Times New Roman" w:hAnsi="Times New Roman"/>
        </w:rPr>
        <w:t>Navrhovaná právní úprava je svým rozsahem zcela přiměřená množině vztahů, které má upravovat. Nezavádí žádné nové kompetence orgánů státní správy.</w:t>
      </w:r>
      <w:r w:rsidR="00B0341D" w:rsidRPr="00FF00DD">
        <w:rPr>
          <w:rFonts w:ascii="Times New Roman" w:hAnsi="Times New Roman"/>
        </w:rPr>
        <w:t xml:space="preserve"> Bezúhonnost</w:t>
      </w:r>
      <w:r w:rsidR="0095147B">
        <w:rPr>
          <w:rFonts w:ascii="Times New Roman" w:hAnsi="Times New Roman"/>
        </w:rPr>
        <w:t xml:space="preserve"> </w:t>
      </w:r>
      <w:r w:rsidR="00B0341D" w:rsidRPr="00FF00DD">
        <w:rPr>
          <w:rFonts w:ascii="Times New Roman" w:hAnsi="Times New Roman"/>
        </w:rPr>
        <w:t>a</w:t>
      </w:r>
      <w:r w:rsidR="00985955">
        <w:rPr>
          <w:rFonts w:ascii="Times New Roman" w:hAnsi="Times New Roman"/>
        </w:rPr>
        <w:t> </w:t>
      </w:r>
      <w:r w:rsidR="00B0341D" w:rsidRPr="00FF00DD">
        <w:rPr>
          <w:rFonts w:ascii="Times New Roman" w:hAnsi="Times New Roman"/>
        </w:rPr>
        <w:t>zdravotní způsobilost toliko přizpůsobuje úpravě v již přijatých právních předpisech.</w:t>
      </w:r>
      <w:r w:rsidRPr="00FF00DD">
        <w:rPr>
          <w:rFonts w:ascii="Times New Roman" w:hAnsi="Times New Roman"/>
        </w:rPr>
        <w:t xml:space="preserve"> Kontrolní a rozhodovací mechanismy včetně správního uvážení jsou nastaveny standardně dle kontrolního a správního řádu (jasné vymezení kontrolujících a jejich pravomocí, včetně možnosti jejich přezkoumatelnosti správními i soudními opravnými prostředky apod.). Organizační strukturou </w:t>
      </w:r>
      <w:r w:rsidR="00B0341D" w:rsidRPr="00FF00DD">
        <w:rPr>
          <w:rFonts w:ascii="Times New Roman" w:hAnsi="Times New Roman"/>
        </w:rPr>
        <w:t>státní báňské správy</w:t>
      </w:r>
      <w:r w:rsidRPr="00FF00DD">
        <w:rPr>
          <w:rFonts w:ascii="Times New Roman" w:hAnsi="Times New Roman"/>
        </w:rPr>
        <w:t xml:space="preserve"> jsou pak nastavena pravidla pro rozhodovací pravomoci a odpovědnost za přijatá rozhodnutí. Přístup k informacím </w:t>
      </w:r>
      <w:r w:rsidR="0002133C" w:rsidRPr="00FF00DD">
        <w:rPr>
          <w:rFonts w:ascii="Times New Roman" w:hAnsi="Times New Roman"/>
        </w:rPr>
        <w:t>podle zákona</w:t>
      </w:r>
      <w:r w:rsidRPr="00FF00DD">
        <w:rPr>
          <w:rFonts w:ascii="Times New Roman" w:hAnsi="Times New Roman"/>
        </w:rPr>
        <w:t xml:space="preserve"> není znemožněn a rozhodovací činnost lze </w:t>
      </w:r>
      <w:r w:rsidR="0002133C" w:rsidRPr="00FF00DD">
        <w:rPr>
          <w:rFonts w:ascii="Times New Roman" w:hAnsi="Times New Roman"/>
        </w:rPr>
        <w:t>označit</w:t>
      </w:r>
      <w:r w:rsidR="0095147B">
        <w:rPr>
          <w:rFonts w:ascii="Times New Roman" w:hAnsi="Times New Roman"/>
        </w:rPr>
        <w:t xml:space="preserve"> </w:t>
      </w:r>
      <w:r w:rsidRPr="00FF00DD">
        <w:rPr>
          <w:rFonts w:ascii="Times New Roman" w:hAnsi="Times New Roman"/>
        </w:rPr>
        <w:t xml:space="preserve">za transparentní. </w:t>
      </w:r>
      <w:r w:rsidR="00B0341D" w:rsidRPr="00FF00DD">
        <w:rPr>
          <w:rFonts w:ascii="Times New Roman" w:hAnsi="Times New Roman"/>
        </w:rPr>
        <w:t>Navrhovaná n</w:t>
      </w:r>
      <w:r w:rsidRPr="00FF00DD">
        <w:rPr>
          <w:rFonts w:ascii="Times New Roman" w:hAnsi="Times New Roman"/>
        </w:rPr>
        <w:t xml:space="preserve">ovelizační ustanovení </w:t>
      </w:r>
      <w:r w:rsidR="00B0341D" w:rsidRPr="00FF00DD">
        <w:rPr>
          <w:rFonts w:ascii="Times New Roman" w:hAnsi="Times New Roman"/>
        </w:rPr>
        <w:t xml:space="preserve">žádný </w:t>
      </w:r>
      <w:r w:rsidRPr="00FF00DD">
        <w:rPr>
          <w:rFonts w:ascii="Times New Roman" w:hAnsi="Times New Roman"/>
        </w:rPr>
        <w:t>ne</w:t>
      </w:r>
      <w:r w:rsidR="0002133C" w:rsidRPr="00FF00DD">
        <w:rPr>
          <w:rFonts w:ascii="Times New Roman" w:hAnsi="Times New Roman"/>
        </w:rPr>
        <w:t>mohou žádným způsobem</w:t>
      </w:r>
      <w:r w:rsidR="0095147B">
        <w:rPr>
          <w:rFonts w:ascii="Times New Roman" w:hAnsi="Times New Roman"/>
        </w:rPr>
        <w:t xml:space="preserve"> </w:t>
      </w:r>
      <w:r w:rsidR="0002133C" w:rsidRPr="00FF00DD">
        <w:rPr>
          <w:rFonts w:ascii="Times New Roman" w:hAnsi="Times New Roman"/>
        </w:rPr>
        <w:t>zvýšit</w:t>
      </w:r>
      <w:r w:rsidRPr="00FF00DD">
        <w:rPr>
          <w:rFonts w:ascii="Times New Roman" w:hAnsi="Times New Roman"/>
        </w:rPr>
        <w:t xml:space="preserve"> míru korupčních rizik</w:t>
      </w:r>
      <w:r w:rsidR="0002133C" w:rsidRPr="00FF00DD">
        <w:rPr>
          <w:rFonts w:ascii="Times New Roman" w:hAnsi="Times New Roman"/>
        </w:rPr>
        <w:t xml:space="preserve"> v zákoně č. 61/1988 Sb</w:t>
      </w:r>
      <w:r w:rsidRPr="00FF00DD">
        <w:rPr>
          <w:rFonts w:ascii="Times New Roman" w:hAnsi="Times New Roman"/>
        </w:rPr>
        <w:t>.</w:t>
      </w:r>
    </w:p>
    <w:p w14:paraId="005A2B7B" w14:textId="77777777" w:rsidR="008303FC" w:rsidRPr="00FF00DD" w:rsidRDefault="00B752AD">
      <w:pPr>
        <w:tabs>
          <w:tab w:val="left" w:pos="709"/>
        </w:tabs>
        <w:autoSpaceDE w:val="0"/>
        <w:autoSpaceDN w:val="0"/>
        <w:adjustRightInd w:val="0"/>
        <w:spacing w:line="240" w:lineRule="auto"/>
        <w:rPr>
          <w:rFonts w:ascii="Times New Roman" w:hAnsi="Times New Roman"/>
        </w:rPr>
      </w:pPr>
      <w:r w:rsidRPr="00FF00DD">
        <w:rPr>
          <w:rFonts w:ascii="Times New Roman" w:hAnsi="Times New Roman"/>
          <w:bCs/>
        </w:rPr>
        <w:t>4.</w:t>
      </w:r>
      <w:r w:rsidR="00A85CF4" w:rsidRPr="00FF00DD">
        <w:rPr>
          <w:rFonts w:ascii="Times New Roman" w:hAnsi="Times New Roman"/>
          <w:bCs/>
        </w:rPr>
        <w:t>2</w:t>
      </w:r>
      <w:r w:rsidRPr="00FF00DD">
        <w:rPr>
          <w:rFonts w:ascii="Times New Roman" w:hAnsi="Times New Roman"/>
          <w:bCs/>
        </w:rPr>
        <w:t>.7</w:t>
      </w:r>
      <w:r w:rsidRPr="00FF00DD">
        <w:rPr>
          <w:rFonts w:ascii="Times New Roman" w:hAnsi="Times New Roman"/>
          <w:bCs/>
        </w:rPr>
        <w:tab/>
      </w:r>
      <w:r w:rsidRPr="00FF00DD">
        <w:rPr>
          <w:rFonts w:ascii="Times New Roman" w:hAnsi="Times New Roman"/>
        </w:rPr>
        <w:t>Zhodnocení dopadů na bezpečnost nebo obranu státu</w:t>
      </w:r>
    </w:p>
    <w:p w14:paraId="1E42B9F8" w14:textId="77777777" w:rsidR="00B752AD" w:rsidRDefault="00B752AD">
      <w:pPr>
        <w:tabs>
          <w:tab w:val="left" w:pos="709"/>
        </w:tabs>
        <w:autoSpaceDE w:val="0"/>
        <w:autoSpaceDN w:val="0"/>
        <w:adjustRightInd w:val="0"/>
        <w:spacing w:after="0" w:line="240" w:lineRule="auto"/>
        <w:rPr>
          <w:rFonts w:ascii="Times New Roman" w:hAnsi="Times New Roman"/>
          <w:bCs/>
        </w:rPr>
      </w:pPr>
      <w:r w:rsidRPr="00FF00DD">
        <w:rPr>
          <w:rFonts w:ascii="Times New Roman" w:hAnsi="Times New Roman"/>
          <w:bCs/>
        </w:rPr>
        <w:t xml:space="preserve">Navrhovaná právní úprava se </w:t>
      </w:r>
      <w:r w:rsidR="00B1244F" w:rsidRPr="00FF00DD">
        <w:rPr>
          <w:rFonts w:ascii="Times New Roman" w:hAnsi="Times New Roman"/>
          <w:bCs/>
        </w:rPr>
        <w:t xml:space="preserve">nijak nedotýká </w:t>
      </w:r>
      <w:r w:rsidRPr="00FF00DD">
        <w:rPr>
          <w:rFonts w:ascii="Times New Roman" w:hAnsi="Times New Roman"/>
          <w:bCs/>
        </w:rPr>
        <w:t>obrany státu.</w:t>
      </w:r>
    </w:p>
    <w:p w14:paraId="00E51FFD" w14:textId="77777777" w:rsidR="008303FC" w:rsidRPr="00FF00DD" w:rsidRDefault="008303FC">
      <w:pPr>
        <w:tabs>
          <w:tab w:val="left" w:pos="709"/>
        </w:tabs>
        <w:autoSpaceDE w:val="0"/>
        <w:autoSpaceDN w:val="0"/>
        <w:adjustRightInd w:val="0"/>
        <w:spacing w:before="240" w:line="240" w:lineRule="auto"/>
        <w:rPr>
          <w:rFonts w:ascii="Times New Roman" w:hAnsi="Times New Roman"/>
        </w:rPr>
      </w:pPr>
      <w:r w:rsidRPr="00FF00DD">
        <w:rPr>
          <w:rFonts w:ascii="Times New Roman" w:hAnsi="Times New Roman"/>
        </w:rPr>
        <w:t xml:space="preserve">4.2.8 </w:t>
      </w:r>
      <w:r w:rsidRPr="00FF00DD">
        <w:rPr>
          <w:rFonts w:ascii="Times New Roman" w:hAnsi="Times New Roman"/>
        </w:rPr>
        <w:tab/>
        <w:t>Zhodnocení souladu se Zásadami pro tvorbu digitálně přívětivé legislativy</w:t>
      </w:r>
    </w:p>
    <w:p w14:paraId="7108D3F2" w14:textId="649E8B54" w:rsidR="008303FC" w:rsidRPr="0086159E" w:rsidRDefault="00D17DF2">
      <w:pPr>
        <w:pStyle w:val="Default"/>
        <w:spacing w:after="360"/>
        <w:jc w:val="both"/>
        <w:rPr>
          <w:color w:val="auto"/>
        </w:rPr>
      </w:pPr>
      <w:r w:rsidRPr="0086159E">
        <w:rPr>
          <w:color w:val="auto"/>
        </w:rPr>
        <w:t>Navrhovaná právní úprava je v souladu se Zásadami pro tvorbu digitálně přívětivé legislativy. Svými některými novelizačními body podporuje budování digitálních služeb mezi celními orgány a ČBÚ, a to propojením jejich informačních systém</w:t>
      </w:r>
      <w:r w:rsidR="00EB2D66">
        <w:rPr>
          <w:color w:val="auto"/>
        </w:rPr>
        <w:t>ů</w:t>
      </w:r>
      <w:r w:rsidRPr="0086159E">
        <w:rPr>
          <w:color w:val="auto"/>
        </w:rPr>
        <w:t xml:space="preserve"> Single </w:t>
      </w:r>
      <w:proofErr w:type="spellStart"/>
      <w:r w:rsidRPr="0086159E">
        <w:rPr>
          <w:color w:val="auto"/>
        </w:rPr>
        <w:t>Window</w:t>
      </w:r>
      <w:proofErr w:type="spellEnd"/>
      <w:r w:rsidRPr="0086159E">
        <w:rPr>
          <w:color w:val="auto"/>
        </w:rPr>
        <w:t xml:space="preserve"> a AIS SBS</w:t>
      </w:r>
      <w:r w:rsidR="00435D97" w:rsidRPr="0086159E">
        <w:rPr>
          <w:color w:val="auto"/>
        </w:rPr>
        <w:t>, čímž si tyto orgány státní správy automaticky budou moci vyměňovat informace, který by si jinak vzájemně vyměňovaly složitým způsobem, a ČBÚ pak bude moci získávat informace, které by jinak musel získávat od dotčených organizací dovážejících nebo vyvážejících výbušniny</w:t>
      </w:r>
      <w:r w:rsidR="00D662E6" w:rsidRPr="0086159E">
        <w:rPr>
          <w:color w:val="auto"/>
        </w:rPr>
        <w:t>. Naplňuje tak dílčí zásadu „Budování přednostně digitálních služeb“, „Maximální opakovatelnost a </w:t>
      </w:r>
      <w:proofErr w:type="spellStart"/>
      <w:r w:rsidR="00D662E6" w:rsidRPr="0086159E">
        <w:rPr>
          <w:color w:val="auto"/>
        </w:rPr>
        <w:t>znovupoužitelnost</w:t>
      </w:r>
      <w:proofErr w:type="spellEnd"/>
      <w:r w:rsidR="00D662E6" w:rsidRPr="0086159E">
        <w:rPr>
          <w:color w:val="auto"/>
        </w:rPr>
        <w:t xml:space="preserve"> údajů a služeb“, „Sdílené služby veřejné správy“ a „Konsolidace a propojování informačních systémů veřejné správy“. </w:t>
      </w:r>
      <w:r w:rsidR="00435D97" w:rsidRPr="0086159E">
        <w:rPr>
          <w:color w:val="auto"/>
        </w:rPr>
        <w:t xml:space="preserve">Vzhledem k tomu, že obsah vyměňovaných informací se nerozšiřuje nad rámec současné právní úpravy, a že informace takto sdílené nejsou uveřejňovány, </w:t>
      </w:r>
      <w:r w:rsidR="003878FC" w:rsidRPr="0086159E">
        <w:rPr>
          <w:color w:val="auto"/>
        </w:rPr>
        <w:t xml:space="preserve">dílčí zásady </w:t>
      </w:r>
      <w:r w:rsidR="008303FC" w:rsidRPr="0086159E">
        <w:rPr>
          <w:color w:val="auto"/>
        </w:rPr>
        <w:t>„Budování služeb přístupných a použitelných pro všechny, včetně osob se zdravotním postižením“, „Ochrana osobních údajů v míře umožňující kvalitní služby (princip GDPR)“, „Otevřenost a</w:t>
      </w:r>
      <w:r w:rsidR="004E653A" w:rsidRPr="0086159E">
        <w:rPr>
          <w:color w:val="auto"/>
        </w:rPr>
        <w:t> </w:t>
      </w:r>
      <w:r w:rsidR="008303FC" w:rsidRPr="0086159E">
        <w:rPr>
          <w:color w:val="auto"/>
        </w:rPr>
        <w:t xml:space="preserve">transparentnost včetně otevřených dat a služeb (princip open </w:t>
      </w:r>
      <w:proofErr w:type="spellStart"/>
      <w:r w:rsidR="008303FC" w:rsidRPr="0086159E">
        <w:rPr>
          <w:color w:val="auto"/>
        </w:rPr>
        <w:t>government</w:t>
      </w:r>
      <w:proofErr w:type="spellEnd"/>
      <w:r w:rsidR="008303FC" w:rsidRPr="0086159E">
        <w:rPr>
          <w:color w:val="auto"/>
        </w:rPr>
        <w:t>)“</w:t>
      </w:r>
      <w:r w:rsidR="00D662E6" w:rsidRPr="0086159E">
        <w:rPr>
          <w:color w:val="auto"/>
        </w:rPr>
        <w:t xml:space="preserve"> a „Uživatelská přívětivost“ se navrhované právní úpravy netýkají.</w:t>
      </w:r>
      <w:r w:rsidR="00174AA7" w:rsidRPr="0086159E">
        <w:rPr>
          <w:color w:val="auto"/>
        </w:rPr>
        <w:t xml:space="preserve"> Vzhledem k tomu, že navržený způsob sdílení informací (skrze CMS2 s pomocí </w:t>
      </w:r>
      <w:proofErr w:type="spellStart"/>
      <w:r w:rsidR="00174AA7" w:rsidRPr="0086159E">
        <w:rPr>
          <w:color w:val="auto"/>
        </w:rPr>
        <w:t>xml</w:t>
      </w:r>
      <w:proofErr w:type="spellEnd"/>
      <w:r w:rsidR="00174AA7" w:rsidRPr="0086159E">
        <w:rPr>
          <w:color w:val="auto"/>
        </w:rPr>
        <w:t xml:space="preserve"> souborů) </w:t>
      </w:r>
      <w:r w:rsidR="00174AA7" w:rsidRPr="0086159E">
        <w:rPr>
          <w:rFonts w:eastAsia="TimesNewRomanPSMT"/>
          <w:color w:val="auto"/>
        </w:rPr>
        <w:t xml:space="preserve">nepreferuje jedno konkrétní technologické řešení, resp. není závislé na konkrétní platformě, </w:t>
      </w:r>
      <w:r w:rsidR="0086159E" w:rsidRPr="0086159E">
        <w:rPr>
          <w:rFonts w:eastAsia="TimesNewRomanPSMT"/>
          <w:color w:val="auto"/>
        </w:rPr>
        <w:t xml:space="preserve">je navrhovaná právní úprava </w:t>
      </w:r>
      <w:r w:rsidR="00717AEB">
        <w:rPr>
          <w:rFonts w:eastAsia="TimesNewRomanPSMT"/>
          <w:color w:val="auto"/>
        </w:rPr>
        <w:t xml:space="preserve">v souladu </w:t>
      </w:r>
      <w:r w:rsidR="0086159E" w:rsidRPr="0086159E">
        <w:rPr>
          <w:rFonts w:eastAsia="TimesNewRomanPSMT"/>
          <w:color w:val="auto"/>
        </w:rPr>
        <w:t xml:space="preserve">s dílčí zásadou </w:t>
      </w:r>
      <w:r w:rsidR="008303FC" w:rsidRPr="0086159E">
        <w:rPr>
          <w:color w:val="auto"/>
        </w:rPr>
        <w:t xml:space="preserve">„Technologická </w:t>
      </w:r>
      <w:r w:rsidR="008303FC" w:rsidRPr="0086159E">
        <w:rPr>
          <w:color w:val="auto"/>
        </w:rPr>
        <w:lastRenderedPageBreak/>
        <w:t>neutralita“</w:t>
      </w:r>
      <w:r w:rsidR="0086159E" w:rsidRPr="0086159E">
        <w:rPr>
          <w:color w:val="auto"/>
        </w:rPr>
        <w:t>. Dílčí z</w:t>
      </w:r>
      <w:r w:rsidR="008303FC" w:rsidRPr="0086159E">
        <w:rPr>
          <w:color w:val="auto"/>
        </w:rPr>
        <w:t xml:space="preserve">ásady „Mezinárodní </w:t>
      </w:r>
      <w:r w:rsidR="007460DB" w:rsidRPr="0086159E">
        <w:rPr>
          <w:color w:val="auto"/>
        </w:rPr>
        <w:t>interoperabilita – budování</w:t>
      </w:r>
      <w:r w:rsidR="008303FC" w:rsidRPr="0086159E">
        <w:rPr>
          <w:color w:val="auto"/>
        </w:rPr>
        <w:t xml:space="preserve"> služeb propojitelných a</w:t>
      </w:r>
      <w:r w:rsidR="0086159E" w:rsidRPr="0086159E">
        <w:rPr>
          <w:color w:val="auto"/>
        </w:rPr>
        <w:t> </w:t>
      </w:r>
      <w:r w:rsidR="008303FC" w:rsidRPr="0086159E">
        <w:rPr>
          <w:color w:val="auto"/>
        </w:rPr>
        <w:t>využitelných v evropském prostoru“ se pak navrhovaná právní úprava netýká.</w:t>
      </w:r>
    </w:p>
    <w:p w14:paraId="7AB7DD1A" w14:textId="438CF638" w:rsidR="00B752AD" w:rsidRPr="00FF00DD" w:rsidRDefault="00B752AD">
      <w:pPr>
        <w:pStyle w:val="Prosttext"/>
        <w:tabs>
          <w:tab w:val="left" w:pos="708"/>
        </w:tabs>
        <w:spacing w:after="120"/>
        <w:jc w:val="both"/>
        <w:outlineLvl w:val="0"/>
        <w:rPr>
          <w:rFonts w:ascii="Times New Roman" w:hAnsi="Times New Roman"/>
          <w:b/>
          <w:i/>
          <w:sz w:val="24"/>
          <w:szCs w:val="24"/>
        </w:rPr>
      </w:pPr>
      <w:r w:rsidRPr="00FF00DD">
        <w:rPr>
          <w:rFonts w:ascii="Times New Roman" w:hAnsi="Times New Roman"/>
          <w:b/>
          <w:sz w:val="24"/>
          <w:szCs w:val="24"/>
        </w:rPr>
        <w:t>5. Implementace doporučené varianty a vynucování</w:t>
      </w:r>
    </w:p>
    <w:p w14:paraId="7AAA334A" w14:textId="3153F700" w:rsidR="00B752AD" w:rsidRPr="00FC73C5" w:rsidRDefault="00B752AD">
      <w:pPr>
        <w:pStyle w:val="Textparagrafu"/>
        <w:tabs>
          <w:tab w:val="left" w:pos="708"/>
        </w:tabs>
        <w:spacing w:before="0" w:after="360"/>
        <w:ind w:firstLine="0"/>
        <w:rPr>
          <w:szCs w:val="24"/>
        </w:rPr>
      </w:pPr>
      <w:r w:rsidRPr="00FF00DD">
        <w:rPr>
          <w:szCs w:val="24"/>
        </w:rPr>
        <w:t>Za implementaci budou odpovídat v rámci své působnosti především ČBÚ</w:t>
      </w:r>
      <w:r w:rsidR="003F70F2">
        <w:rPr>
          <w:szCs w:val="24"/>
        </w:rPr>
        <w:t xml:space="preserve"> </w:t>
      </w:r>
      <w:r w:rsidRPr="00FF00DD">
        <w:rPr>
          <w:szCs w:val="24"/>
        </w:rPr>
        <w:t>a obvodní báňské úřady</w:t>
      </w:r>
      <w:r w:rsidR="00271095">
        <w:rPr>
          <w:szCs w:val="24"/>
        </w:rPr>
        <w:t xml:space="preserve"> v rámci své kontrolní a správní činnosti </w:t>
      </w:r>
      <w:r w:rsidRPr="00FF00DD">
        <w:rPr>
          <w:szCs w:val="24"/>
        </w:rPr>
        <w:t>podle zákona č. 61/1988 Sb.</w:t>
      </w:r>
      <w:r w:rsidR="00271095">
        <w:rPr>
          <w:szCs w:val="24"/>
        </w:rPr>
        <w:t xml:space="preserve"> </w:t>
      </w:r>
      <w:r w:rsidR="00B1244F" w:rsidRPr="00FF00DD">
        <w:rPr>
          <w:szCs w:val="24"/>
        </w:rPr>
        <w:t>Zajištění chodu stávající činnosti ruš</w:t>
      </w:r>
      <w:r w:rsidR="0073778C">
        <w:rPr>
          <w:szCs w:val="24"/>
        </w:rPr>
        <w:t xml:space="preserve">eného </w:t>
      </w:r>
      <w:r w:rsidR="00B1244F" w:rsidRPr="00FF00DD">
        <w:rPr>
          <w:szCs w:val="24"/>
        </w:rPr>
        <w:t xml:space="preserve">OBÚ pro území krajů </w:t>
      </w:r>
      <w:r w:rsidR="00B1244F" w:rsidRPr="00FF00DD">
        <w:t>Libereckého a Vysočina</w:t>
      </w:r>
      <w:r w:rsidR="00080550" w:rsidRPr="00FF00DD">
        <w:t xml:space="preserve"> bude realizovat svými zaměstnanci </w:t>
      </w:r>
      <w:r w:rsidR="00080550" w:rsidRPr="00FF00DD">
        <w:rPr>
          <w:rFonts w:cs="Arial"/>
        </w:rPr>
        <w:t>O</w:t>
      </w:r>
      <w:r w:rsidR="00A10974" w:rsidRPr="00FF00DD">
        <w:rPr>
          <w:rFonts w:cs="Arial"/>
        </w:rPr>
        <w:t xml:space="preserve">BÚ </w:t>
      </w:r>
      <w:r w:rsidR="00080550" w:rsidRPr="00FF00DD">
        <w:rPr>
          <w:rFonts w:cs="Arial"/>
        </w:rPr>
        <w:t xml:space="preserve">pro území krajů Královéhradeckého a Pardubického. Přitom pro území kraje Libereckého bude činnost zajišťována detašovaným pracovištěm </w:t>
      </w:r>
      <w:r w:rsidR="00A10974" w:rsidRPr="00FF00DD">
        <w:rPr>
          <w:rFonts w:cs="Arial"/>
        </w:rPr>
        <w:t xml:space="preserve">cit. OBÚ, které bude sídlit </w:t>
      </w:r>
      <w:r w:rsidR="00080550" w:rsidRPr="00FF00DD">
        <w:rPr>
          <w:rFonts w:cs="Arial"/>
        </w:rPr>
        <w:t>v</w:t>
      </w:r>
      <w:r w:rsidR="00A10974" w:rsidRPr="00FF00DD">
        <w:rPr>
          <w:rFonts w:cs="Arial"/>
        </w:rPr>
        <w:t> </w:t>
      </w:r>
      <w:r w:rsidR="00080550" w:rsidRPr="00FF00DD">
        <w:rPr>
          <w:rFonts w:cs="Arial"/>
        </w:rPr>
        <w:t>Liberci</w:t>
      </w:r>
      <w:r w:rsidR="00A10974" w:rsidRPr="00FF00DD">
        <w:rPr>
          <w:rFonts w:cs="Arial"/>
        </w:rPr>
        <w:t>. Chod detašovaného pracoviště bude zajištěn několika</w:t>
      </w:r>
      <w:r w:rsidR="00080550" w:rsidRPr="00FF00DD">
        <w:rPr>
          <w:rFonts w:cs="Arial"/>
        </w:rPr>
        <w:t xml:space="preserve"> stávající</w:t>
      </w:r>
      <w:r w:rsidR="00A10974" w:rsidRPr="00FF00DD">
        <w:rPr>
          <w:rFonts w:cs="Arial"/>
        </w:rPr>
        <w:t>mi</w:t>
      </w:r>
      <w:r w:rsidR="00080550" w:rsidRPr="00FF00DD">
        <w:rPr>
          <w:rFonts w:cs="Arial"/>
        </w:rPr>
        <w:t xml:space="preserve"> zaměstnanc</w:t>
      </w:r>
      <w:r w:rsidR="00A10974" w:rsidRPr="00FF00DD">
        <w:rPr>
          <w:rFonts w:cs="Arial"/>
        </w:rPr>
        <w:t>i</w:t>
      </w:r>
      <w:r w:rsidR="00080550" w:rsidRPr="00FF00DD">
        <w:rPr>
          <w:rFonts w:cs="Arial"/>
        </w:rPr>
        <w:t xml:space="preserve"> OBÚ </w:t>
      </w:r>
      <w:r w:rsidR="00080550" w:rsidRPr="00FF00DD">
        <w:rPr>
          <w:szCs w:val="24"/>
        </w:rPr>
        <w:t xml:space="preserve">pro území krajů </w:t>
      </w:r>
      <w:r w:rsidR="00080550" w:rsidRPr="00FF00DD">
        <w:t>Libereckého a Vysočina</w:t>
      </w:r>
      <w:r w:rsidR="00A10974" w:rsidRPr="00FF00DD">
        <w:t xml:space="preserve">, kteří budou zařazeni do </w:t>
      </w:r>
      <w:r w:rsidR="00A10974" w:rsidRPr="00FF00DD">
        <w:rPr>
          <w:rFonts w:cs="Arial"/>
        </w:rPr>
        <w:t xml:space="preserve">OBÚ pro území krajů </w:t>
      </w:r>
      <w:r w:rsidR="00A10974" w:rsidRPr="00851711">
        <w:rPr>
          <w:rFonts w:cs="Arial"/>
        </w:rPr>
        <w:t>Královéhradeckého a</w:t>
      </w:r>
      <w:r w:rsidR="00D5367D" w:rsidRPr="00851711">
        <w:rPr>
          <w:rFonts w:cs="Arial"/>
        </w:rPr>
        <w:t> </w:t>
      </w:r>
      <w:r w:rsidR="00A10974" w:rsidRPr="00B52053">
        <w:rPr>
          <w:rFonts w:cs="Arial"/>
        </w:rPr>
        <w:t>Pardubického</w:t>
      </w:r>
      <w:r w:rsidR="00080550" w:rsidRPr="00B52053">
        <w:t>.</w:t>
      </w:r>
    </w:p>
    <w:p w14:paraId="6E7EA008" w14:textId="77777777" w:rsidR="00B752AD" w:rsidRPr="00851711" w:rsidRDefault="00B752AD" w:rsidP="00E156C9">
      <w:pPr>
        <w:tabs>
          <w:tab w:val="left" w:pos="708"/>
        </w:tabs>
        <w:spacing w:before="0" w:line="240" w:lineRule="auto"/>
        <w:rPr>
          <w:rFonts w:ascii="Times New Roman" w:hAnsi="Times New Roman"/>
          <w:u w:val="single"/>
        </w:rPr>
      </w:pPr>
      <w:r w:rsidRPr="0043404A">
        <w:rPr>
          <w:rFonts w:ascii="Times New Roman" w:hAnsi="Times New Roman"/>
          <w:b/>
        </w:rPr>
        <w:t>6. Přezkum účinnosti regulace</w:t>
      </w:r>
    </w:p>
    <w:p w14:paraId="0ACE4061" w14:textId="3696F366" w:rsidR="0077656D" w:rsidRPr="00851711" w:rsidRDefault="00B752AD" w:rsidP="00851711">
      <w:pPr>
        <w:tabs>
          <w:tab w:val="left" w:pos="708"/>
        </w:tabs>
        <w:spacing w:before="0" w:after="360" w:line="240" w:lineRule="auto"/>
        <w:rPr>
          <w:rFonts w:ascii="Times New Roman" w:hAnsi="Times New Roman"/>
        </w:rPr>
      </w:pPr>
      <w:r w:rsidRPr="00851711">
        <w:rPr>
          <w:rFonts w:ascii="Times New Roman" w:hAnsi="Times New Roman"/>
        </w:rPr>
        <w:t xml:space="preserve">Přezkum účinnosti </w:t>
      </w:r>
      <w:r w:rsidR="00CB328C" w:rsidRPr="00851711">
        <w:rPr>
          <w:rFonts w:ascii="Times New Roman" w:hAnsi="Times New Roman"/>
        </w:rPr>
        <w:t xml:space="preserve">navržené právní úpravy bude </w:t>
      </w:r>
      <w:r w:rsidR="00A62CFE" w:rsidRPr="00851711">
        <w:rPr>
          <w:rFonts w:ascii="Times New Roman" w:hAnsi="Times New Roman"/>
        </w:rPr>
        <w:t xml:space="preserve">zevrubně </w:t>
      </w:r>
      <w:r w:rsidRPr="00851711">
        <w:rPr>
          <w:rFonts w:ascii="Times New Roman" w:hAnsi="Times New Roman"/>
        </w:rPr>
        <w:t xml:space="preserve">realizován </w:t>
      </w:r>
      <w:r w:rsidR="00A62CFE" w:rsidRPr="00851711">
        <w:rPr>
          <w:rFonts w:ascii="Times New Roman" w:hAnsi="Times New Roman"/>
        </w:rPr>
        <w:t xml:space="preserve">za 5 let od data </w:t>
      </w:r>
      <w:r w:rsidR="00BB42E5" w:rsidRPr="00851711">
        <w:rPr>
          <w:rFonts w:ascii="Times New Roman" w:hAnsi="Times New Roman"/>
        </w:rPr>
        <w:t xml:space="preserve">jejího </w:t>
      </w:r>
      <w:r w:rsidR="00A62CFE" w:rsidRPr="00851711">
        <w:rPr>
          <w:rFonts w:ascii="Times New Roman" w:hAnsi="Times New Roman"/>
        </w:rPr>
        <w:t>nabytí účinnosti</w:t>
      </w:r>
      <w:r w:rsidR="0073778C" w:rsidRPr="00851711">
        <w:rPr>
          <w:rFonts w:ascii="Times New Roman" w:hAnsi="Times New Roman"/>
        </w:rPr>
        <w:t>. M</w:t>
      </w:r>
      <w:r w:rsidR="00A62CFE" w:rsidRPr="00851711">
        <w:rPr>
          <w:rFonts w:ascii="Times New Roman" w:hAnsi="Times New Roman"/>
        </w:rPr>
        <w:t xml:space="preserve">eřítkem účinnosti </w:t>
      </w:r>
      <w:r w:rsidR="002303B7" w:rsidRPr="00851711">
        <w:rPr>
          <w:rFonts w:ascii="Times New Roman" w:hAnsi="Times New Roman"/>
        </w:rPr>
        <w:t xml:space="preserve">ve vztahu k navrhovaným změnám na úseku výbušnin </w:t>
      </w:r>
      <w:r w:rsidR="00A62CFE" w:rsidRPr="00851711">
        <w:rPr>
          <w:rFonts w:ascii="Times New Roman" w:hAnsi="Times New Roman"/>
        </w:rPr>
        <w:t xml:space="preserve">bude </w:t>
      </w:r>
      <w:r w:rsidR="00EE5A47" w:rsidRPr="00851711">
        <w:rPr>
          <w:rFonts w:ascii="Times New Roman" w:hAnsi="Times New Roman"/>
        </w:rPr>
        <w:t>zejména</w:t>
      </w:r>
      <w:r w:rsidR="002708CA" w:rsidRPr="00851711">
        <w:rPr>
          <w:rFonts w:ascii="Times New Roman" w:hAnsi="Times New Roman"/>
        </w:rPr>
        <w:t xml:space="preserve"> </w:t>
      </w:r>
      <w:r w:rsidR="00D54106" w:rsidRPr="00851711">
        <w:rPr>
          <w:rFonts w:ascii="Times New Roman" w:hAnsi="Times New Roman"/>
        </w:rPr>
        <w:t>případný nárůst administrativních či jiných nákladů ČBÚ souvisejících se zpracováváním údajů z celních prohlášení předávaných ČBÚ celními úřady</w:t>
      </w:r>
      <w:r w:rsidR="0077656D" w:rsidRPr="00851711">
        <w:rPr>
          <w:rFonts w:ascii="Times New Roman" w:hAnsi="Times New Roman"/>
        </w:rPr>
        <w:t xml:space="preserve"> v kontextu </w:t>
      </w:r>
      <w:r w:rsidR="00D54106" w:rsidRPr="00851711">
        <w:rPr>
          <w:rFonts w:ascii="Times New Roman" w:hAnsi="Times New Roman"/>
        </w:rPr>
        <w:t>úbytk</w:t>
      </w:r>
      <w:r w:rsidR="0077656D" w:rsidRPr="00851711">
        <w:rPr>
          <w:rFonts w:ascii="Times New Roman" w:hAnsi="Times New Roman"/>
        </w:rPr>
        <w:t>u</w:t>
      </w:r>
      <w:r w:rsidR="00174E88" w:rsidRPr="00851711">
        <w:rPr>
          <w:rFonts w:ascii="Times New Roman" w:hAnsi="Times New Roman"/>
        </w:rPr>
        <w:t xml:space="preserve"> administrativní</w:t>
      </w:r>
      <w:r w:rsidR="00D54106" w:rsidRPr="00851711">
        <w:rPr>
          <w:rFonts w:ascii="Times New Roman" w:hAnsi="Times New Roman"/>
        </w:rPr>
        <w:t>ch</w:t>
      </w:r>
      <w:r w:rsidR="00174E88" w:rsidRPr="00851711">
        <w:rPr>
          <w:rFonts w:ascii="Times New Roman" w:hAnsi="Times New Roman"/>
        </w:rPr>
        <w:t xml:space="preserve"> náklad</w:t>
      </w:r>
      <w:r w:rsidR="00D54106" w:rsidRPr="00851711">
        <w:rPr>
          <w:rFonts w:ascii="Times New Roman" w:hAnsi="Times New Roman"/>
        </w:rPr>
        <w:t>ů</w:t>
      </w:r>
      <w:r w:rsidR="00A608FF" w:rsidRPr="00851711">
        <w:rPr>
          <w:rFonts w:ascii="Times New Roman" w:hAnsi="Times New Roman"/>
        </w:rPr>
        <w:t xml:space="preserve"> d</w:t>
      </w:r>
      <w:r w:rsidR="00EE5A47" w:rsidRPr="00851711">
        <w:rPr>
          <w:rFonts w:ascii="Times New Roman" w:hAnsi="Times New Roman"/>
        </w:rPr>
        <w:t>ržitelů povolení k vývozu a dovozu výbušnin</w:t>
      </w:r>
      <w:r w:rsidR="002303B7" w:rsidRPr="00851711">
        <w:rPr>
          <w:rFonts w:ascii="Times New Roman" w:hAnsi="Times New Roman"/>
        </w:rPr>
        <w:t xml:space="preserve"> </w:t>
      </w:r>
      <w:r w:rsidR="00D54106" w:rsidRPr="00851711">
        <w:rPr>
          <w:rFonts w:ascii="Times New Roman" w:hAnsi="Times New Roman"/>
        </w:rPr>
        <w:t>souvisejících s odstraněním oznamováním vývozů a</w:t>
      </w:r>
      <w:r w:rsidR="00391C5E">
        <w:rPr>
          <w:rFonts w:ascii="Times New Roman" w:hAnsi="Times New Roman"/>
        </w:rPr>
        <w:t> </w:t>
      </w:r>
      <w:r w:rsidR="00D54106" w:rsidRPr="00851711">
        <w:rPr>
          <w:rFonts w:ascii="Times New Roman" w:hAnsi="Times New Roman"/>
        </w:rPr>
        <w:t xml:space="preserve">dovozů výbušnin podle současné právní úpravy </w:t>
      </w:r>
      <w:r w:rsidR="0077656D" w:rsidRPr="00851711">
        <w:rPr>
          <w:rFonts w:ascii="Times New Roman" w:hAnsi="Times New Roman"/>
        </w:rPr>
        <w:t>(což představuje</w:t>
      </w:r>
      <w:r w:rsidR="00851711" w:rsidRPr="00851711">
        <w:rPr>
          <w:rFonts w:ascii="Times New Roman" w:hAnsi="Times New Roman"/>
        </w:rPr>
        <w:t xml:space="preserve"> úporu administrativních nákladů ve výši 20 520 Kč ročně</w:t>
      </w:r>
      <w:r w:rsidR="00D6279F" w:rsidRPr="00851711">
        <w:rPr>
          <w:rFonts w:ascii="Times New Roman" w:hAnsi="Times New Roman"/>
        </w:rPr>
        <w:t>)</w:t>
      </w:r>
      <w:r w:rsidR="002708CA" w:rsidRPr="00851711">
        <w:rPr>
          <w:rFonts w:ascii="Times New Roman" w:hAnsi="Times New Roman"/>
        </w:rPr>
        <w:t>.</w:t>
      </w:r>
    </w:p>
    <w:p w14:paraId="0252F111" w14:textId="77777777" w:rsidR="00B752AD" w:rsidRPr="00851711" w:rsidRDefault="00B752AD" w:rsidP="000E7924">
      <w:pPr>
        <w:tabs>
          <w:tab w:val="left" w:pos="708"/>
        </w:tabs>
        <w:spacing w:before="0" w:line="240" w:lineRule="auto"/>
        <w:rPr>
          <w:rFonts w:ascii="Times New Roman" w:hAnsi="Times New Roman"/>
          <w:b/>
        </w:rPr>
      </w:pPr>
      <w:r w:rsidRPr="00851711">
        <w:rPr>
          <w:rFonts w:ascii="Times New Roman" w:hAnsi="Times New Roman"/>
          <w:b/>
        </w:rPr>
        <w:t>7. Konzultace a zdroje dat</w:t>
      </w:r>
    </w:p>
    <w:p w14:paraId="42F6D259" w14:textId="77777777" w:rsidR="00CB328C" w:rsidRPr="00FF00DD" w:rsidRDefault="00B752AD" w:rsidP="000E7924">
      <w:pPr>
        <w:tabs>
          <w:tab w:val="left" w:pos="708"/>
        </w:tabs>
        <w:spacing w:before="0" w:after="360" w:line="240" w:lineRule="auto"/>
        <w:rPr>
          <w:rFonts w:ascii="Times New Roman" w:hAnsi="Times New Roman"/>
        </w:rPr>
      </w:pPr>
      <w:r w:rsidRPr="00851711">
        <w:rPr>
          <w:rFonts w:ascii="Times New Roman" w:hAnsi="Times New Roman"/>
        </w:rPr>
        <w:t xml:space="preserve">Konzultace byly prováděny </w:t>
      </w:r>
      <w:r w:rsidR="00B862D7" w:rsidRPr="00851711">
        <w:rPr>
          <w:rFonts w:ascii="Times New Roman" w:hAnsi="Times New Roman"/>
        </w:rPr>
        <w:t xml:space="preserve">primárně </w:t>
      </w:r>
      <w:r w:rsidR="006B72A0" w:rsidRPr="00851711">
        <w:rPr>
          <w:rFonts w:ascii="Times New Roman" w:hAnsi="Times New Roman"/>
        </w:rPr>
        <w:t>s orgány státní správy podle jejich věcné působnosti. Úpravy</w:t>
      </w:r>
      <w:r w:rsidR="006B72A0" w:rsidRPr="00092F95">
        <w:rPr>
          <w:rFonts w:ascii="Times New Roman" w:hAnsi="Times New Roman"/>
        </w:rPr>
        <w:t xml:space="preserve"> </w:t>
      </w:r>
      <w:r w:rsidR="00B0341D" w:rsidRPr="00092F95">
        <w:rPr>
          <w:rFonts w:ascii="Times New Roman" w:hAnsi="Times New Roman"/>
        </w:rPr>
        <w:t>§</w:t>
      </w:r>
      <w:r w:rsidR="003A62E8" w:rsidRPr="00092F95">
        <w:rPr>
          <w:rFonts w:ascii="Times New Roman" w:hAnsi="Times New Roman"/>
        </w:rPr>
        <w:t> </w:t>
      </w:r>
      <w:r w:rsidR="00B0341D" w:rsidRPr="00092F95">
        <w:rPr>
          <w:rFonts w:ascii="Times New Roman" w:hAnsi="Times New Roman"/>
        </w:rPr>
        <w:t>25c odst. 5 písm. b)</w:t>
      </w:r>
      <w:r w:rsidR="00D5414E" w:rsidRPr="00092F95">
        <w:rPr>
          <w:rFonts w:ascii="Times New Roman" w:hAnsi="Times New Roman"/>
        </w:rPr>
        <w:t xml:space="preserve"> </w:t>
      </w:r>
      <w:r w:rsidR="00045D29" w:rsidRPr="00092F95">
        <w:rPr>
          <w:rFonts w:ascii="Times New Roman" w:hAnsi="Times New Roman"/>
        </w:rPr>
        <w:t xml:space="preserve">zákona č. 61/1988 Sb. </w:t>
      </w:r>
      <w:r w:rsidR="00B0341D" w:rsidRPr="00092F95">
        <w:rPr>
          <w:rFonts w:ascii="Times New Roman" w:hAnsi="Times New Roman"/>
        </w:rPr>
        <w:t>byly konzultovány s příslušným útvarem sekce bezpečnostní</w:t>
      </w:r>
      <w:r w:rsidR="003F70F2" w:rsidRPr="00092F95">
        <w:rPr>
          <w:rFonts w:ascii="Times New Roman" w:hAnsi="Times New Roman"/>
        </w:rPr>
        <w:t xml:space="preserve"> </w:t>
      </w:r>
      <w:r w:rsidR="00B0341D" w:rsidRPr="00092F95">
        <w:rPr>
          <w:rFonts w:ascii="Times New Roman" w:hAnsi="Times New Roman"/>
        </w:rPr>
        <w:t>a</w:t>
      </w:r>
      <w:r w:rsidR="00985955" w:rsidRPr="00092F95">
        <w:rPr>
          <w:rFonts w:ascii="Times New Roman" w:hAnsi="Times New Roman"/>
        </w:rPr>
        <w:t> </w:t>
      </w:r>
      <w:r w:rsidR="00B0341D" w:rsidRPr="00092F95">
        <w:rPr>
          <w:rFonts w:ascii="Times New Roman" w:hAnsi="Times New Roman"/>
        </w:rPr>
        <w:t>multilaterální Ministerstva zahraničních věcí</w:t>
      </w:r>
      <w:r w:rsidR="003A62E8" w:rsidRPr="00092F95">
        <w:rPr>
          <w:rFonts w:ascii="Times New Roman" w:hAnsi="Times New Roman"/>
        </w:rPr>
        <w:t>.</w:t>
      </w:r>
      <w:r w:rsidR="00045D29" w:rsidRPr="00092F95">
        <w:rPr>
          <w:rFonts w:ascii="Times New Roman" w:hAnsi="Times New Roman"/>
        </w:rPr>
        <w:t xml:space="preserve"> Úpravy </w:t>
      </w:r>
      <w:r w:rsidR="00B862D7">
        <w:rPr>
          <w:rFonts w:ascii="Times New Roman" w:hAnsi="Times New Roman"/>
        </w:rPr>
        <w:t>§ </w:t>
      </w:r>
      <w:r w:rsidR="00045D29" w:rsidRPr="00092F95">
        <w:rPr>
          <w:rFonts w:ascii="Times New Roman" w:hAnsi="Times New Roman"/>
        </w:rPr>
        <w:t>25</w:t>
      </w:r>
      <w:r w:rsidR="00B862D7">
        <w:rPr>
          <w:rFonts w:ascii="Times New Roman" w:hAnsi="Times New Roman"/>
        </w:rPr>
        <w:t>f</w:t>
      </w:r>
      <w:r w:rsidR="00045D29" w:rsidRPr="00092F95">
        <w:rPr>
          <w:rFonts w:ascii="Times New Roman" w:hAnsi="Times New Roman"/>
        </w:rPr>
        <w:t xml:space="preserve"> </w:t>
      </w:r>
      <w:r w:rsidR="00B862D7">
        <w:rPr>
          <w:rFonts w:ascii="Times New Roman" w:hAnsi="Times New Roman"/>
        </w:rPr>
        <w:t xml:space="preserve">zákona č. 61/1988 Sb. </w:t>
      </w:r>
      <w:r w:rsidR="00045D29" w:rsidRPr="00092F95">
        <w:rPr>
          <w:rFonts w:ascii="Times New Roman" w:hAnsi="Times New Roman"/>
        </w:rPr>
        <w:t>byly konzultovány s</w:t>
      </w:r>
      <w:r w:rsidR="00B862D7">
        <w:rPr>
          <w:rFonts w:ascii="Times New Roman" w:hAnsi="Times New Roman"/>
        </w:rPr>
        <w:t> </w:t>
      </w:r>
      <w:r w:rsidR="00045D29" w:rsidRPr="00092F95">
        <w:rPr>
          <w:rFonts w:ascii="Times New Roman" w:hAnsi="Times New Roman"/>
        </w:rPr>
        <w:t>GŘC</w:t>
      </w:r>
      <w:r w:rsidR="007930CF">
        <w:rPr>
          <w:rFonts w:ascii="Times New Roman" w:hAnsi="Times New Roman"/>
        </w:rPr>
        <w:t xml:space="preserve">. </w:t>
      </w:r>
      <w:r w:rsidR="00592417">
        <w:rPr>
          <w:rFonts w:ascii="Times New Roman" w:hAnsi="Times New Roman"/>
        </w:rPr>
        <w:t>N</w:t>
      </w:r>
      <w:r w:rsidR="007930CF">
        <w:rPr>
          <w:rFonts w:ascii="Times New Roman" w:hAnsi="Times New Roman"/>
        </w:rPr>
        <w:t xml:space="preserve">ejen tyto, ale i další navržené úpravy, </w:t>
      </w:r>
      <w:r w:rsidR="00EA2224" w:rsidRPr="00092F95">
        <w:rPr>
          <w:rFonts w:ascii="Times New Roman" w:hAnsi="Times New Roman"/>
        </w:rPr>
        <w:t xml:space="preserve">vycházely z </w:t>
      </w:r>
      <w:r w:rsidRPr="00092F95">
        <w:rPr>
          <w:rFonts w:ascii="Times New Roman" w:hAnsi="Times New Roman"/>
        </w:rPr>
        <w:t>poznatk</w:t>
      </w:r>
      <w:r w:rsidR="00EC4E14">
        <w:rPr>
          <w:rFonts w:ascii="Times New Roman" w:hAnsi="Times New Roman"/>
        </w:rPr>
        <w:t>ů</w:t>
      </w:r>
      <w:r w:rsidRPr="00092F95">
        <w:rPr>
          <w:rFonts w:ascii="Times New Roman" w:hAnsi="Times New Roman"/>
        </w:rPr>
        <w:t xml:space="preserve"> ze správní </w:t>
      </w:r>
      <w:r w:rsidR="00EA2224" w:rsidRPr="00092F95">
        <w:rPr>
          <w:rFonts w:ascii="Times New Roman" w:hAnsi="Times New Roman"/>
        </w:rPr>
        <w:t>a</w:t>
      </w:r>
      <w:r w:rsidR="007930CF">
        <w:rPr>
          <w:rFonts w:ascii="Times New Roman" w:hAnsi="Times New Roman"/>
        </w:rPr>
        <w:t> </w:t>
      </w:r>
      <w:r w:rsidR="00EA2224" w:rsidRPr="00092F95">
        <w:rPr>
          <w:rFonts w:ascii="Times New Roman" w:hAnsi="Times New Roman"/>
        </w:rPr>
        <w:t>zejména kontrolní</w:t>
      </w:r>
      <w:r w:rsidR="00EA2224">
        <w:rPr>
          <w:rFonts w:ascii="Times New Roman" w:hAnsi="Times New Roman"/>
        </w:rPr>
        <w:t xml:space="preserve"> </w:t>
      </w:r>
      <w:r w:rsidRPr="00FF00DD">
        <w:rPr>
          <w:rFonts w:ascii="Times New Roman" w:hAnsi="Times New Roman"/>
        </w:rPr>
        <w:t xml:space="preserve">činnosti </w:t>
      </w:r>
      <w:r w:rsidR="00EA2224">
        <w:rPr>
          <w:rFonts w:ascii="Times New Roman" w:hAnsi="Times New Roman"/>
        </w:rPr>
        <w:t xml:space="preserve">orgánů </w:t>
      </w:r>
      <w:r w:rsidRPr="00FF00DD">
        <w:rPr>
          <w:rFonts w:ascii="Times New Roman" w:hAnsi="Times New Roman"/>
        </w:rPr>
        <w:t>státní báňské správy</w:t>
      </w:r>
      <w:r w:rsidR="007E1DA7">
        <w:rPr>
          <w:rFonts w:ascii="Times New Roman" w:hAnsi="Times New Roman"/>
        </w:rPr>
        <w:t xml:space="preserve"> </w:t>
      </w:r>
      <w:r w:rsidR="00CB328C" w:rsidRPr="00FF00DD">
        <w:rPr>
          <w:rFonts w:ascii="Times New Roman" w:hAnsi="Times New Roman"/>
        </w:rPr>
        <w:t>(ročně provedou orgány státní báňské správy v této oblasti řádově 100 až 200 kontrol).</w:t>
      </w:r>
    </w:p>
    <w:p w14:paraId="11F06A84" w14:textId="77777777" w:rsidR="00B752AD" w:rsidRPr="00FF00DD" w:rsidRDefault="00B752AD" w:rsidP="000E7924">
      <w:pPr>
        <w:tabs>
          <w:tab w:val="left" w:pos="708"/>
        </w:tabs>
        <w:spacing w:before="0" w:line="240" w:lineRule="auto"/>
        <w:rPr>
          <w:rFonts w:ascii="Times New Roman" w:hAnsi="Times New Roman"/>
          <w:b/>
        </w:rPr>
      </w:pPr>
      <w:r w:rsidRPr="00FF00DD">
        <w:rPr>
          <w:rFonts w:ascii="Times New Roman" w:hAnsi="Times New Roman"/>
          <w:b/>
        </w:rPr>
        <w:t>8. Kontakt na zpracovatele RIA</w:t>
      </w:r>
    </w:p>
    <w:p w14:paraId="6EDAC269" w14:textId="77777777" w:rsidR="00391C5E" w:rsidRDefault="00B752AD" w:rsidP="00391C5E">
      <w:pPr>
        <w:tabs>
          <w:tab w:val="left" w:pos="708"/>
        </w:tabs>
        <w:spacing w:before="0" w:line="240" w:lineRule="auto"/>
        <w:rPr>
          <w:rFonts w:ascii="Times New Roman" w:hAnsi="Times New Roman"/>
        </w:rPr>
      </w:pPr>
      <w:r w:rsidRPr="00FF00DD">
        <w:rPr>
          <w:rFonts w:ascii="Times New Roman" w:hAnsi="Times New Roman"/>
        </w:rPr>
        <w:t>JUDr. Ladislav </w:t>
      </w:r>
      <w:proofErr w:type="spellStart"/>
      <w:r w:rsidRPr="00FF00DD">
        <w:rPr>
          <w:rFonts w:ascii="Times New Roman" w:hAnsi="Times New Roman"/>
        </w:rPr>
        <w:t>Šouša</w:t>
      </w:r>
      <w:proofErr w:type="spellEnd"/>
      <w:r w:rsidRPr="00FF00DD">
        <w:rPr>
          <w:rFonts w:ascii="Times New Roman" w:hAnsi="Times New Roman"/>
        </w:rPr>
        <w:t>, ČBÚ, oddělení legislativy; e-mail: Ladislav.Sousa@cbusbs.cz, tel.: 221 775</w:t>
      </w:r>
      <w:r w:rsidR="00391C5E">
        <w:rPr>
          <w:rFonts w:ascii="Times New Roman" w:hAnsi="Times New Roman"/>
        </w:rPr>
        <w:t> </w:t>
      </w:r>
      <w:r w:rsidRPr="00FF00DD">
        <w:rPr>
          <w:rFonts w:ascii="Times New Roman" w:hAnsi="Times New Roman"/>
        </w:rPr>
        <w:t>350</w:t>
      </w:r>
      <w:r w:rsidR="00391C5E">
        <w:rPr>
          <w:rFonts w:ascii="Times New Roman" w:hAnsi="Times New Roman"/>
        </w:rPr>
        <w:t>;</w:t>
      </w:r>
    </w:p>
    <w:p w14:paraId="4F330DB0" w14:textId="647DEF2E" w:rsidR="00316B9D" w:rsidRPr="007460DB" w:rsidRDefault="00391C5E" w:rsidP="000E7924">
      <w:pPr>
        <w:tabs>
          <w:tab w:val="left" w:pos="708"/>
        </w:tabs>
        <w:spacing w:before="0" w:after="360" w:line="240" w:lineRule="auto"/>
        <w:rPr>
          <w:rFonts w:ascii="Times New Roman" w:hAnsi="Times New Roman"/>
        </w:rPr>
      </w:pPr>
      <w:r>
        <w:rPr>
          <w:rFonts w:ascii="Times New Roman" w:hAnsi="Times New Roman"/>
        </w:rPr>
        <w:t>Ing. Michal Roháč, Ph.D., ČBÚ oddělení výbušnin, e-mail: Michal.Rohac@cbusbs.cz, tel.: 221 775 333</w:t>
      </w:r>
      <w:r w:rsidR="007460DB">
        <w:rPr>
          <w:rFonts w:ascii="Times New Roman" w:hAnsi="Times New Roman"/>
        </w:rPr>
        <w:t>.</w:t>
      </w:r>
    </w:p>
    <w:sectPr w:rsidR="00316B9D" w:rsidRPr="007460DB" w:rsidSect="00A83005">
      <w:headerReference w:type="default" r:id="rId10"/>
      <w:footerReference w:type="default" r:id="rId11"/>
      <w:footerReference w:type="first" r:id="rId12"/>
      <w:pgSz w:w="11900" w:h="16840" w:code="9"/>
      <w:pgMar w:top="1134" w:right="1134" w:bottom="1418"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907CF" w14:textId="77777777" w:rsidR="009A0068" w:rsidRDefault="009A0068">
      <w:r>
        <w:separator/>
      </w:r>
    </w:p>
  </w:endnote>
  <w:endnote w:type="continuationSeparator" w:id="0">
    <w:p w14:paraId="143C6CB6" w14:textId="77777777" w:rsidR="009A0068" w:rsidRDefault="009A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58BB5" w14:textId="77777777" w:rsidR="00384B30" w:rsidRPr="002844DB" w:rsidRDefault="00426139" w:rsidP="002844DB">
    <w:pPr>
      <w:pStyle w:val="Zpat"/>
      <w:spacing w:before="0" w:after="0" w:line="240" w:lineRule="auto"/>
      <w:jc w:val="center"/>
      <w:rPr>
        <w:rFonts w:ascii="Times New Roman" w:hAnsi="Times New Roman"/>
        <w:color w:val="808080" w:themeColor="background1" w:themeShade="80"/>
        <w:sz w:val="16"/>
        <w:szCs w:val="16"/>
      </w:rPr>
    </w:pPr>
    <w:r w:rsidRPr="002844DB">
      <w:rPr>
        <w:rFonts w:ascii="Times New Roman" w:hAnsi="Times New Roman"/>
        <w:color w:val="808080" w:themeColor="background1" w:themeShade="80"/>
        <w:sz w:val="16"/>
        <w:szCs w:val="16"/>
      </w:rPr>
      <w:fldChar w:fldCharType="begin"/>
    </w:r>
    <w:r w:rsidR="00384B30" w:rsidRPr="002844DB">
      <w:rPr>
        <w:rFonts w:ascii="Times New Roman" w:hAnsi="Times New Roman"/>
        <w:color w:val="808080" w:themeColor="background1" w:themeShade="80"/>
        <w:sz w:val="16"/>
        <w:szCs w:val="16"/>
      </w:rPr>
      <w:instrText>PAGE   \* MERGEFORMAT</w:instrText>
    </w:r>
    <w:r w:rsidRPr="002844DB">
      <w:rPr>
        <w:rFonts w:ascii="Times New Roman" w:hAnsi="Times New Roman"/>
        <w:color w:val="808080" w:themeColor="background1" w:themeShade="80"/>
        <w:sz w:val="16"/>
        <w:szCs w:val="16"/>
      </w:rPr>
      <w:fldChar w:fldCharType="separate"/>
    </w:r>
    <w:r w:rsidR="0095147B" w:rsidRPr="002844DB">
      <w:rPr>
        <w:rFonts w:ascii="Times New Roman" w:hAnsi="Times New Roman"/>
        <w:noProof/>
        <w:color w:val="808080" w:themeColor="background1" w:themeShade="80"/>
        <w:sz w:val="16"/>
        <w:szCs w:val="16"/>
      </w:rPr>
      <w:t>3</w:t>
    </w:r>
    <w:r w:rsidRPr="002844DB">
      <w:rPr>
        <w:rFonts w:ascii="Times New Roman" w:hAnsi="Times New Roman"/>
        <w:color w:val="808080" w:themeColor="background1" w:themeShade="8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2012754"/>
      <w:docPartObj>
        <w:docPartGallery w:val="Page Numbers (Bottom of Page)"/>
        <w:docPartUnique/>
      </w:docPartObj>
    </w:sdtPr>
    <w:sdtEndPr>
      <w:rPr>
        <w:rFonts w:ascii="Times New Roman" w:hAnsi="Times New Roman"/>
        <w:color w:val="808080" w:themeColor="background1" w:themeShade="80"/>
        <w:sz w:val="16"/>
        <w:szCs w:val="16"/>
      </w:rPr>
    </w:sdtEndPr>
    <w:sdtContent>
      <w:p w14:paraId="13AE3F08" w14:textId="77777777" w:rsidR="00DE1066" w:rsidRPr="00DE1066" w:rsidRDefault="00DE1066" w:rsidP="00DE1066">
        <w:pPr>
          <w:pStyle w:val="Zpat"/>
          <w:spacing w:before="0" w:after="0" w:line="240" w:lineRule="auto"/>
          <w:jc w:val="center"/>
          <w:rPr>
            <w:rFonts w:ascii="Times New Roman" w:hAnsi="Times New Roman"/>
            <w:color w:val="808080" w:themeColor="background1" w:themeShade="80"/>
            <w:sz w:val="16"/>
            <w:szCs w:val="16"/>
          </w:rPr>
        </w:pPr>
        <w:r w:rsidRPr="00DE1066">
          <w:rPr>
            <w:rFonts w:ascii="Times New Roman" w:hAnsi="Times New Roman"/>
            <w:color w:val="808080" w:themeColor="background1" w:themeShade="80"/>
            <w:sz w:val="16"/>
            <w:szCs w:val="16"/>
          </w:rPr>
          <w:fldChar w:fldCharType="begin"/>
        </w:r>
        <w:r w:rsidRPr="00DE1066">
          <w:rPr>
            <w:rFonts w:ascii="Times New Roman" w:hAnsi="Times New Roman"/>
            <w:color w:val="808080" w:themeColor="background1" w:themeShade="80"/>
            <w:sz w:val="16"/>
            <w:szCs w:val="16"/>
          </w:rPr>
          <w:instrText>PAGE   \* MERGEFORMAT</w:instrText>
        </w:r>
        <w:r w:rsidRPr="00DE1066">
          <w:rPr>
            <w:rFonts w:ascii="Times New Roman" w:hAnsi="Times New Roman"/>
            <w:color w:val="808080" w:themeColor="background1" w:themeShade="80"/>
            <w:sz w:val="16"/>
            <w:szCs w:val="16"/>
          </w:rPr>
          <w:fldChar w:fldCharType="separate"/>
        </w:r>
        <w:r w:rsidRPr="00DE1066">
          <w:rPr>
            <w:rFonts w:ascii="Times New Roman" w:hAnsi="Times New Roman"/>
            <w:color w:val="808080" w:themeColor="background1" w:themeShade="80"/>
            <w:sz w:val="16"/>
            <w:szCs w:val="16"/>
          </w:rPr>
          <w:t>2</w:t>
        </w:r>
        <w:r w:rsidRPr="00DE1066">
          <w:rPr>
            <w:rFonts w:ascii="Times New Roman" w:hAnsi="Times New Roman"/>
            <w:color w:val="808080" w:themeColor="background1" w:themeShade="80"/>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01E8C" w14:textId="77777777" w:rsidR="009A0068" w:rsidRDefault="009A0068">
      <w:r>
        <w:separator/>
      </w:r>
    </w:p>
  </w:footnote>
  <w:footnote w:type="continuationSeparator" w:id="0">
    <w:p w14:paraId="04D4441C" w14:textId="77777777" w:rsidR="009A0068" w:rsidRDefault="009A0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4EB6E" w14:textId="77777777" w:rsidR="00EB4F0F" w:rsidRDefault="00EB4F0F">
    <w:pPr>
      <w:pStyle w:val="Zhlav"/>
      <w:rPr>
        <w:rStyle w:val="slostrnky"/>
      </w:rPr>
    </w:pPr>
  </w:p>
  <w:p w14:paraId="3C48B433" w14:textId="77777777" w:rsidR="00EB4F0F" w:rsidRPr="00DB083D" w:rsidRDefault="00EB4F0F" w:rsidP="00384B30">
    <w:pPr>
      <w:pStyle w:val="Zhlav"/>
      <w:jc w:val="center"/>
      <w:rPr>
        <w:rStyle w:val="slostrnk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A6350"/>
    <w:multiLevelType w:val="hybridMultilevel"/>
    <w:tmpl w:val="64C2E404"/>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43D3DEE"/>
    <w:multiLevelType w:val="hybridMultilevel"/>
    <w:tmpl w:val="0B0AE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5DCE"/>
    <w:multiLevelType w:val="hybridMultilevel"/>
    <w:tmpl w:val="0226C44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FA4B20"/>
    <w:multiLevelType w:val="hybridMultilevel"/>
    <w:tmpl w:val="907E9EB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1B57E0A"/>
    <w:multiLevelType w:val="hybridMultilevel"/>
    <w:tmpl w:val="C4E2C41A"/>
    <w:lvl w:ilvl="0" w:tplc="C0840216">
      <w:start w:val="1"/>
      <w:numFmt w:val="bullet"/>
      <w:pStyle w:val="Barevnseznamzvraznn11"/>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9A0AF1"/>
    <w:multiLevelType w:val="hybridMultilevel"/>
    <w:tmpl w:val="FE84B84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E44519A"/>
    <w:multiLevelType w:val="hybridMultilevel"/>
    <w:tmpl w:val="013EFA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CF40A1"/>
    <w:multiLevelType w:val="hybridMultilevel"/>
    <w:tmpl w:val="681A1E5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EB09AE"/>
    <w:multiLevelType w:val="hybridMultilevel"/>
    <w:tmpl w:val="129AF3B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A1C377B"/>
    <w:multiLevelType w:val="hybridMultilevel"/>
    <w:tmpl w:val="75BC48A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F6B6356"/>
    <w:multiLevelType w:val="hybridMultilevel"/>
    <w:tmpl w:val="8EE6ABE6"/>
    <w:lvl w:ilvl="0" w:tplc="08090001">
      <w:start w:val="1"/>
      <w:numFmt w:val="bullet"/>
      <w:pStyle w:val="odrkyodsazen2"/>
      <w:lvlText w:val=""/>
      <w:lvlJc w:val="left"/>
      <w:pPr>
        <w:tabs>
          <w:tab w:val="num" w:pos="511"/>
        </w:tabs>
        <w:ind w:left="511" w:hanging="511"/>
      </w:pPr>
      <w:rPr>
        <w:rFonts w:ascii="Wingdings" w:hAnsi="Wingdings" w:cs="Times New Roman" w:hint="default"/>
        <w:color w:val="008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8B2243"/>
    <w:multiLevelType w:val="hybridMultilevel"/>
    <w:tmpl w:val="5622EEF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7A90E8D"/>
    <w:multiLevelType w:val="hybridMultilevel"/>
    <w:tmpl w:val="F2E873E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8FE1CD5"/>
    <w:multiLevelType w:val="hybridMultilevel"/>
    <w:tmpl w:val="11BEEB76"/>
    <w:lvl w:ilvl="0" w:tplc="7CE4A3A8">
      <w:start w:val="1"/>
      <w:numFmt w:val="lowerLetter"/>
      <w:lvlText w:val="%1)"/>
      <w:lvlJc w:val="left"/>
      <w:pPr>
        <w:ind w:left="1155" w:hanging="79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D3176A"/>
    <w:multiLevelType w:val="hybridMultilevel"/>
    <w:tmpl w:val="EF041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C2741D"/>
    <w:multiLevelType w:val="hybridMultilevel"/>
    <w:tmpl w:val="9D9E648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0791FC0"/>
    <w:multiLevelType w:val="hybridMultilevel"/>
    <w:tmpl w:val="83E46B5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0F06D47"/>
    <w:multiLevelType w:val="multilevel"/>
    <w:tmpl w:val="D4D4757A"/>
    <w:lvl w:ilvl="0">
      <w:start w:val="1"/>
      <w:numFmt w:val="decimal"/>
      <w:pStyle w:val="Nadpis1"/>
      <w:lvlText w:val="%1."/>
      <w:lvlJc w:val="left"/>
      <w:pPr>
        <w:ind w:left="2204"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Nadpis3"/>
      <w:lvlText w:val="%1.%2.%3"/>
      <w:lvlJc w:val="left"/>
      <w:pPr>
        <w:ind w:left="720" w:hanging="720"/>
      </w:pPr>
      <w:rPr>
        <w:rFonts w:hint="default"/>
      </w:rPr>
    </w:lvl>
    <w:lvl w:ilvl="3">
      <w:numFmt w:val="none"/>
      <w:pStyle w:val="Nadpis4"/>
      <w:lvlText w:val=""/>
      <w:lvlJc w:val="left"/>
      <w:pPr>
        <w:tabs>
          <w:tab w:val="num" w:pos="360"/>
        </w:tabs>
        <w:ind w:left="0" w:firstLine="0"/>
      </w:pPr>
      <w:rPr>
        <w:rFonts w:hint="default"/>
      </w:rPr>
    </w:lvl>
    <w:lvl w:ilvl="4">
      <w:numFmt w:val="decimal"/>
      <w:pStyle w:val="Nadpis5"/>
      <w:lvlText w:val=""/>
      <w:lvlJc w:val="left"/>
      <w:pPr>
        <w:ind w:left="0" w:firstLine="0"/>
      </w:pPr>
      <w:rPr>
        <w:rFonts w:hint="default"/>
      </w:rPr>
    </w:lvl>
    <w:lvl w:ilvl="5">
      <w:numFmt w:val="decimal"/>
      <w:pStyle w:val="Nadpis6"/>
      <w:lvlText w:val="ЉЉ"/>
      <w:lvlJc w:val="left"/>
      <w:pPr>
        <w:ind w:left="0" w:firstLine="0"/>
      </w:pPr>
      <w:rPr>
        <w:rFonts w:hint="default"/>
      </w:rPr>
    </w:lvl>
    <w:lvl w:ilvl="6">
      <w:numFmt w:val="none"/>
      <w:pStyle w:val="Nadpis7"/>
      <w:lvlText w:val=""/>
      <w:lvlJc w:val="left"/>
      <w:pPr>
        <w:tabs>
          <w:tab w:val="num" w:pos="360"/>
        </w:tabs>
        <w:ind w:left="0" w:firstLine="0"/>
      </w:pPr>
      <w:rPr>
        <w:rFonts w:hint="default"/>
      </w:rPr>
    </w:lvl>
    <w:lvl w:ilvl="7">
      <w:numFmt w:val="decimal"/>
      <w:pStyle w:val="Nadpis8"/>
      <w:lvlText w:val=""/>
      <w:lvlJc w:val="left"/>
      <w:pPr>
        <w:ind w:left="0" w:firstLine="0"/>
      </w:pPr>
      <w:rPr>
        <w:rFonts w:hint="default"/>
      </w:rPr>
    </w:lvl>
    <w:lvl w:ilvl="8">
      <w:numFmt w:val="decimal"/>
      <w:pStyle w:val="Nadpis9"/>
      <w:lvlText w:val="ࠐༀᄀ帀怀漀(梇䢈ᠲ"/>
      <w:lvlJc w:val="left"/>
      <w:pPr>
        <w:ind w:left="0" w:firstLine="0"/>
      </w:pPr>
      <w:rPr>
        <w:rFonts w:hint="default"/>
      </w:rPr>
    </w:lvl>
  </w:abstractNum>
  <w:abstractNum w:abstractNumId="18" w15:restartNumberingAfterBreak="0">
    <w:nsid w:val="43957B38"/>
    <w:multiLevelType w:val="multilevel"/>
    <w:tmpl w:val="36A6F27C"/>
    <w:lvl w:ilvl="0">
      <w:numFmt w:val="none"/>
      <w:lvlText w:val=""/>
      <w:lvlJc w:val="left"/>
      <w:pPr>
        <w:tabs>
          <w:tab w:val="num" w:pos="360"/>
        </w:tabs>
      </w:pPr>
    </w:lvl>
    <w:lvl w:ilvl="1">
      <w:numFmt w:val="none"/>
      <w:pStyle w:val="Styl2"/>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015138"/>
    <w:multiLevelType w:val="hybridMultilevel"/>
    <w:tmpl w:val="31FE241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9992D58"/>
    <w:multiLevelType w:val="hybridMultilevel"/>
    <w:tmpl w:val="9DC055C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E1838B0"/>
    <w:multiLevelType w:val="hybridMultilevel"/>
    <w:tmpl w:val="3946A346"/>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9B5509"/>
    <w:multiLevelType w:val="hybridMultilevel"/>
    <w:tmpl w:val="3864D51A"/>
    <w:lvl w:ilvl="0" w:tplc="DED2BB18">
      <w:start w:val="1"/>
      <w:numFmt w:val="lowerLetter"/>
      <w:lvlText w:val="%1)"/>
      <w:lvlJc w:val="left"/>
      <w:pPr>
        <w:tabs>
          <w:tab w:val="num" w:pos="720"/>
        </w:tabs>
        <w:ind w:left="720" w:hanging="360"/>
      </w:pPr>
      <w:rPr>
        <w:b w:val="0"/>
        <w:bCs w:val="0"/>
      </w:rPr>
    </w:lvl>
    <w:lvl w:ilvl="1" w:tplc="04050019">
      <w:start w:val="1"/>
      <w:numFmt w:val="lowerLetter"/>
      <w:lvlText w:val="%2."/>
      <w:lvlJc w:val="left"/>
      <w:pPr>
        <w:tabs>
          <w:tab w:val="num" w:pos="1440"/>
        </w:tabs>
        <w:ind w:left="1440" w:hanging="360"/>
      </w:pPr>
    </w:lvl>
    <w:lvl w:ilvl="2" w:tplc="4EE884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CC65AC5"/>
    <w:multiLevelType w:val="hybridMultilevel"/>
    <w:tmpl w:val="F6085B3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E50762D"/>
    <w:multiLevelType w:val="hybridMultilevel"/>
    <w:tmpl w:val="4844A50E"/>
    <w:lvl w:ilvl="0" w:tplc="8730B36C">
      <w:start w:val="1"/>
      <w:numFmt w:val="lowerLetter"/>
      <w:lvlText w:val="%1)"/>
      <w:lvlJc w:val="left"/>
      <w:pPr>
        <w:tabs>
          <w:tab w:val="num" w:pos="720"/>
        </w:tabs>
        <w:ind w:left="720" w:hanging="360"/>
      </w:pPr>
      <w:rPr>
        <w:rFonts w:ascii="Arial" w:hAnsi="Arial" w:cs="Arial" w:hint="default"/>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989082A"/>
    <w:multiLevelType w:val="hybridMultilevel"/>
    <w:tmpl w:val="98AED0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B769A5"/>
    <w:multiLevelType w:val="hybridMultilevel"/>
    <w:tmpl w:val="3522BB9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FE158F0"/>
    <w:multiLevelType w:val="hybridMultilevel"/>
    <w:tmpl w:val="57DCF27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C732804"/>
    <w:multiLevelType w:val="hybridMultilevel"/>
    <w:tmpl w:val="9E5497D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4"/>
  </w:num>
  <w:num w:numId="3">
    <w:abstractNumId w:val="18"/>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771753216"/>
    </w:lvlOverride>
    <w:lvlOverride w:ilvl="7">
      <w:startOverride w:val="118492416"/>
    </w:lvlOverride>
    <w:lvlOverride w:ilvl="8"/>
  </w:num>
  <w:num w:numId="6">
    <w:abstractNumId w:val="1"/>
  </w:num>
  <w:num w:numId="7">
    <w:abstractNumId w:val="14"/>
  </w:num>
  <w:num w:numId="8">
    <w:abstractNumId w:val="21"/>
  </w:num>
  <w:num w:numId="9">
    <w:abstractNumId w:val="0"/>
  </w:num>
  <w:num w:numId="10">
    <w:abstractNumId w:val="8"/>
  </w:num>
  <w:num w:numId="11">
    <w:abstractNumId w:val="22"/>
  </w:num>
  <w:num w:numId="12">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5"/>
  </w:num>
  <w:num w:numId="14">
    <w:abstractNumId w:val="24"/>
  </w:num>
  <w:num w:numId="15">
    <w:abstractNumId w:val="2"/>
  </w:num>
  <w:num w:numId="16">
    <w:abstractNumId w:val="19"/>
  </w:num>
  <w:num w:numId="17">
    <w:abstractNumId w:val="28"/>
  </w:num>
  <w:num w:numId="18">
    <w:abstractNumId w:val="7"/>
  </w:num>
  <w:num w:numId="19">
    <w:abstractNumId w:val="11"/>
  </w:num>
  <w:num w:numId="20">
    <w:abstractNumId w:val="20"/>
  </w:num>
  <w:num w:numId="21">
    <w:abstractNumId w:val="27"/>
  </w:num>
  <w:num w:numId="22">
    <w:abstractNumId w:val="3"/>
  </w:num>
  <w:num w:numId="23">
    <w:abstractNumId w:val="16"/>
  </w:num>
  <w:num w:numId="24">
    <w:abstractNumId w:val="12"/>
  </w:num>
  <w:num w:numId="25">
    <w:abstractNumId w:val="9"/>
  </w:num>
  <w:num w:numId="26">
    <w:abstractNumId w:val="23"/>
  </w:num>
  <w:num w:numId="27">
    <w:abstractNumId w:val="15"/>
  </w:num>
  <w:num w:numId="28">
    <w:abstractNumId w:val="26"/>
  </w:num>
  <w:num w:numId="29">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25"/>
  </w:num>
  <w:num w:numId="31">
    <w:abstractNumId w:val="17"/>
  </w:num>
  <w:num w:numId="32">
    <w:abstractNumId w:val="17"/>
  </w:num>
  <w:num w:numId="33">
    <w:abstractNumId w:val="17"/>
  </w:num>
  <w:num w:numId="34">
    <w:abstractNumId w:val="6"/>
  </w:num>
  <w:num w:numId="35">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9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D9A"/>
    <w:rsid w:val="00000B7E"/>
    <w:rsid w:val="00003AB8"/>
    <w:rsid w:val="00007A07"/>
    <w:rsid w:val="00013637"/>
    <w:rsid w:val="00015967"/>
    <w:rsid w:val="0001648B"/>
    <w:rsid w:val="00017BDC"/>
    <w:rsid w:val="0002133C"/>
    <w:rsid w:val="000232D2"/>
    <w:rsid w:val="000305E5"/>
    <w:rsid w:val="000418F0"/>
    <w:rsid w:val="00042536"/>
    <w:rsid w:val="000433D0"/>
    <w:rsid w:val="00044732"/>
    <w:rsid w:val="000451F2"/>
    <w:rsid w:val="00045D29"/>
    <w:rsid w:val="00055484"/>
    <w:rsid w:val="000600B8"/>
    <w:rsid w:val="0006246F"/>
    <w:rsid w:val="00063BAC"/>
    <w:rsid w:val="00070213"/>
    <w:rsid w:val="0007321F"/>
    <w:rsid w:val="00073F08"/>
    <w:rsid w:val="00075CC6"/>
    <w:rsid w:val="00080253"/>
    <w:rsid w:val="00080550"/>
    <w:rsid w:val="00085473"/>
    <w:rsid w:val="00090554"/>
    <w:rsid w:val="00092DCC"/>
    <w:rsid w:val="00092F95"/>
    <w:rsid w:val="00095DE7"/>
    <w:rsid w:val="000960BD"/>
    <w:rsid w:val="00096A75"/>
    <w:rsid w:val="000A0BBB"/>
    <w:rsid w:val="000A0DAB"/>
    <w:rsid w:val="000A2121"/>
    <w:rsid w:val="000A235C"/>
    <w:rsid w:val="000A2DCA"/>
    <w:rsid w:val="000A399C"/>
    <w:rsid w:val="000A3BB8"/>
    <w:rsid w:val="000A65C7"/>
    <w:rsid w:val="000A7B9B"/>
    <w:rsid w:val="000B4711"/>
    <w:rsid w:val="000B4940"/>
    <w:rsid w:val="000B550C"/>
    <w:rsid w:val="000B6C71"/>
    <w:rsid w:val="000B7AFA"/>
    <w:rsid w:val="000C7E42"/>
    <w:rsid w:val="000D1800"/>
    <w:rsid w:val="000D240A"/>
    <w:rsid w:val="000D35F9"/>
    <w:rsid w:val="000E1C40"/>
    <w:rsid w:val="000E41BB"/>
    <w:rsid w:val="000E7924"/>
    <w:rsid w:val="000F4928"/>
    <w:rsid w:val="000F4FDE"/>
    <w:rsid w:val="000F66F5"/>
    <w:rsid w:val="00103D6C"/>
    <w:rsid w:val="001054CB"/>
    <w:rsid w:val="00107C05"/>
    <w:rsid w:val="0011016A"/>
    <w:rsid w:val="0011390E"/>
    <w:rsid w:val="00113BD0"/>
    <w:rsid w:val="00116428"/>
    <w:rsid w:val="0011653B"/>
    <w:rsid w:val="001175C4"/>
    <w:rsid w:val="001265EA"/>
    <w:rsid w:val="00127243"/>
    <w:rsid w:val="00127A43"/>
    <w:rsid w:val="0013106C"/>
    <w:rsid w:val="00133E5D"/>
    <w:rsid w:val="0013676F"/>
    <w:rsid w:val="00140461"/>
    <w:rsid w:val="00140FEF"/>
    <w:rsid w:val="001431E9"/>
    <w:rsid w:val="00145D4E"/>
    <w:rsid w:val="00146A79"/>
    <w:rsid w:val="00154840"/>
    <w:rsid w:val="00155F5C"/>
    <w:rsid w:val="00164822"/>
    <w:rsid w:val="00166BF5"/>
    <w:rsid w:val="001703BB"/>
    <w:rsid w:val="00172EAE"/>
    <w:rsid w:val="00174925"/>
    <w:rsid w:val="00174AA7"/>
    <w:rsid w:val="00174E88"/>
    <w:rsid w:val="00175BB4"/>
    <w:rsid w:val="00176518"/>
    <w:rsid w:val="00180F43"/>
    <w:rsid w:val="00182B67"/>
    <w:rsid w:val="001874D5"/>
    <w:rsid w:val="00190626"/>
    <w:rsid w:val="0019190F"/>
    <w:rsid w:val="00191AE5"/>
    <w:rsid w:val="00192853"/>
    <w:rsid w:val="00193A09"/>
    <w:rsid w:val="001959C1"/>
    <w:rsid w:val="001A3F94"/>
    <w:rsid w:val="001A409D"/>
    <w:rsid w:val="001B45BA"/>
    <w:rsid w:val="001B4C88"/>
    <w:rsid w:val="001C21DC"/>
    <w:rsid w:val="001C2E0F"/>
    <w:rsid w:val="001C319C"/>
    <w:rsid w:val="001C3E7E"/>
    <w:rsid w:val="001D010C"/>
    <w:rsid w:val="001D0F4B"/>
    <w:rsid w:val="001D2667"/>
    <w:rsid w:val="001D5E18"/>
    <w:rsid w:val="001D76E7"/>
    <w:rsid w:val="001E4EC1"/>
    <w:rsid w:val="001E5A36"/>
    <w:rsid w:val="001E61CE"/>
    <w:rsid w:val="001E6EF2"/>
    <w:rsid w:val="001F50E4"/>
    <w:rsid w:val="001F53F9"/>
    <w:rsid w:val="001F6597"/>
    <w:rsid w:val="001F6DE2"/>
    <w:rsid w:val="00200821"/>
    <w:rsid w:val="00202A12"/>
    <w:rsid w:val="00204CEA"/>
    <w:rsid w:val="00205F5E"/>
    <w:rsid w:val="00212735"/>
    <w:rsid w:val="002134EE"/>
    <w:rsid w:val="00213A10"/>
    <w:rsid w:val="00213DA4"/>
    <w:rsid w:val="00214D01"/>
    <w:rsid w:val="002158E3"/>
    <w:rsid w:val="0022062D"/>
    <w:rsid w:val="00221174"/>
    <w:rsid w:val="00222A37"/>
    <w:rsid w:val="002232AF"/>
    <w:rsid w:val="002256A7"/>
    <w:rsid w:val="0022696A"/>
    <w:rsid w:val="002303B7"/>
    <w:rsid w:val="00230532"/>
    <w:rsid w:val="00233137"/>
    <w:rsid w:val="00237B47"/>
    <w:rsid w:val="0024419F"/>
    <w:rsid w:val="002447E8"/>
    <w:rsid w:val="002451EB"/>
    <w:rsid w:val="00255854"/>
    <w:rsid w:val="002562FD"/>
    <w:rsid w:val="0026064A"/>
    <w:rsid w:val="00263B1B"/>
    <w:rsid w:val="00265074"/>
    <w:rsid w:val="00266D23"/>
    <w:rsid w:val="00267463"/>
    <w:rsid w:val="002708CA"/>
    <w:rsid w:val="00271095"/>
    <w:rsid w:val="002725D9"/>
    <w:rsid w:val="002750F7"/>
    <w:rsid w:val="00275481"/>
    <w:rsid w:val="00276D91"/>
    <w:rsid w:val="00277A5F"/>
    <w:rsid w:val="002842A4"/>
    <w:rsid w:val="002844DB"/>
    <w:rsid w:val="00284C5D"/>
    <w:rsid w:val="00287CB8"/>
    <w:rsid w:val="00292EE3"/>
    <w:rsid w:val="00296AD5"/>
    <w:rsid w:val="00296E77"/>
    <w:rsid w:val="00297061"/>
    <w:rsid w:val="00297C4A"/>
    <w:rsid w:val="002A0CA4"/>
    <w:rsid w:val="002A1D7F"/>
    <w:rsid w:val="002A2D7A"/>
    <w:rsid w:val="002B14CB"/>
    <w:rsid w:val="002B15A9"/>
    <w:rsid w:val="002B31DB"/>
    <w:rsid w:val="002C3ECF"/>
    <w:rsid w:val="002C50F9"/>
    <w:rsid w:val="002C631B"/>
    <w:rsid w:val="002D1A6C"/>
    <w:rsid w:val="002D3BAC"/>
    <w:rsid w:val="002D556D"/>
    <w:rsid w:val="002D6092"/>
    <w:rsid w:val="002D70F6"/>
    <w:rsid w:val="002E04E7"/>
    <w:rsid w:val="002F0DEC"/>
    <w:rsid w:val="002F165D"/>
    <w:rsid w:val="002F506B"/>
    <w:rsid w:val="00300AD1"/>
    <w:rsid w:val="00305615"/>
    <w:rsid w:val="00305A96"/>
    <w:rsid w:val="0030680C"/>
    <w:rsid w:val="00306A13"/>
    <w:rsid w:val="00312B31"/>
    <w:rsid w:val="003130D3"/>
    <w:rsid w:val="003146C8"/>
    <w:rsid w:val="00316B9D"/>
    <w:rsid w:val="003179AD"/>
    <w:rsid w:val="00320A65"/>
    <w:rsid w:val="0032260B"/>
    <w:rsid w:val="00323687"/>
    <w:rsid w:val="00324258"/>
    <w:rsid w:val="00325254"/>
    <w:rsid w:val="00331DCE"/>
    <w:rsid w:val="00331DD8"/>
    <w:rsid w:val="00334C22"/>
    <w:rsid w:val="00334C7C"/>
    <w:rsid w:val="00334ED4"/>
    <w:rsid w:val="0033519D"/>
    <w:rsid w:val="00336760"/>
    <w:rsid w:val="00337773"/>
    <w:rsid w:val="00343C7B"/>
    <w:rsid w:val="00343D4A"/>
    <w:rsid w:val="00344114"/>
    <w:rsid w:val="00352517"/>
    <w:rsid w:val="00354095"/>
    <w:rsid w:val="0035513F"/>
    <w:rsid w:val="00356D12"/>
    <w:rsid w:val="00357D39"/>
    <w:rsid w:val="00366A02"/>
    <w:rsid w:val="00370AD8"/>
    <w:rsid w:val="00370E4E"/>
    <w:rsid w:val="00372C19"/>
    <w:rsid w:val="00374192"/>
    <w:rsid w:val="00377D53"/>
    <w:rsid w:val="003801BB"/>
    <w:rsid w:val="00380752"/>
    <w:rsid w:val="0038110C"/>
    <w:rsid w:val="0038220F"/>
    <w:rsid w:val="00384B30"/>
    <w:rsid w:val="003878FC"/>
    <w:rsid w:val="00390441"/>
    <w:rsid w:val="00391C5E"/>
    <w:rsid w:val="00393C93"/>
    <w:rsid w:val="003A34CB"/>
    <w:rsid w:val="003A3920"/>
    <w:rsid w:val="003A46B1"/>
    <w:rsid w:val="003A62E8"/>
    <w:rsid w:val="003A6744"/>
    <w:rsid w:val="003A6A67"/>
    <w:rsid w:val="003A73A8"/>
    <w:rsid w:val="003A7C9E"/>
    <w:rsid w:val="003B0087"/>
    <w:rsid w:val="003B1C4B"/>
    <w:rsid w:val="003B4FAB"/>
    <w:rsid w:val="003B5983"/>
    <w:rsid w:val="003B629D"/>
    <w:rsid w:val="003B76DB"/>
    <w:rsid w:val="003C49E4"/>
    <w:rsid w:val="003C54A5"/>
    <w:rsid w:val="003C5699"/>
    <w:rsid w:val="003D0E31"/>
    <w:rsid w:val="003D2F76"/>
    <w:rsid w:val="003D31BF"/>
    <w:rsid w:val="003D44E9"/>
    <w:rsid w:val="003D60A6"/>
    <w:rsid w:val="003E16D0"/>
    <w:rsid w:val="003E2861"/>
    <w:rsid w:val="003F0BFB"/>
    <w:rsid w:val="003F2D63"/>
    <w:rsid w:val="003F4583"/>
    <w:rsid w:val="003F4773"/>
    <w:rsid w:val="003F70F2"/>
    <w:rsid w:val="00400894"/>
    <w:rsid w:val="00401B48"/>
    <w:rsid w:val="0040225B"/>
    <w:rsid w:val="00404A76"/>
    <w:rsid w:val="00405714"/>
    <w:rsid w:val="0040652D"/>
    <w:rsid w:val="00407797"/>
    <w:rsid w:val="00407AB3"/>
    <w:rsid w:val="00407E45"/>
    <w:rsid w:val="004103FB"/>
    <w:rsid w:val="00410462"/>
    <w:rsid w:val="00421C55"/>
    <w:rsid w:val="00422537"/>
    <w:rsid w:val="00422C63"/>
    <w:rsid w:val="004250C7"/>
    <w:rsid w:val="00426139"/>
    <w:rsid w:val="004278EE"/>
    <w:rsid w:val="00427CA7"/>
    <w:rsid w:val="0043404A"/>
    <w:rsid w:val="00435D97"/>
    <w:rsid w:val="004430BC"/>
    <w:rsid w:val="00444ECA"/>
    <w:rsid w:val="004503B4"/>
    <w:rsid w:val="00451946"/>
    <w:rsid w:val="004527E1"/>
    <w:rsid w:val="0045760C"/>
    <w:rsid w:val="00461EC2"/>
    <w:rsid w:val="00465E4E"/>
    <w:rsid w:val="00467526"/>
    <w:rsid w:val="004707A3"/>
    <w:rsid w:val="004723F9"/>
    <w:rsid w:val="00474EBB"/>
    <w:rsid w:val="004775A1"/>
    <w:rsid w:val="004908B2"/>
    <w:rsid w:val="00495439"/>
    <w:rsid w:val="004B5768"/>
    <w:rsid w:val="004B6601"/>
    <w:rsid w:val="004B6870"/>
    <w:rsid w:val="004B6BCA"/>
    <w:rsid w:val="004C230D"/>
    <w:rsid w:val="004C29DF"/>
    <w:rsid w:val="004C6189"/>
    <w:rsid w:val="004C6381"/>
    <w:rsid w:val="004C6588"/>
    <w:rsid w:val="004C7DAA"/>
    <w:rsid w:val="004D58F0"/>
    <w:rsid w:val="004D6EAD"/>
    <w:rsid w:val="004E653A"/>
    <w:rsid w:val="004E6927"/>
    <w:rsid w:val="004F360C"/>
    <w:rsid w:val="005004B6"/>
    <w:rsid w:val="00500E5F"/>
    <w:rsid w:val="0051092B"/>
    <w:rsid w:val="00515051"/>
    <w:rsid w:val="00520E62"/>
    <w:rsid w:val="005273EA"/>
    <w:rsid w:val="005317D3"/>
    <w:rsid w:val="00532318"/>
    <w:rsid w:val="00532E79"/>
    <w:rsid w:val="0053304A"/>
    <w:rsid w:val="00533E1A"/>
    <w:rsid w:val="005341AC"/>
    <w:rsid w:val="0053430E"/>
    <w:rsid w:val="00537990"/>
    <w:rsid w:val="00540C63"/>
    <w:rsid w:val="00543B36"/>
    <w:rsid w:val="0054401A"/>
    <w:rsid w:val="00547A7E"/>
    <w:rsid w:val="0055468F"/>
    <w:rsid w:val="0055718C"/>
    <w:rsid w:val="00573CB7"/>
    <w:rsid w:val="005746CF"/>
    <w:rsid w:val="00574ABC"/>
    <w:rsid w:val="005750E8"/>
    <w:rsid w:val="005766CF"/>
    <w:rsid w:val="0057757E"/>
    <w:rsid w:val="00580330"/>
    <w:rsid w:val="0058222A"/>
    <w:rsid w:val="00583529"/>
    <w:rsid w:val="0058547A"/>
    <w:rsid w:val="00590084"/>
    <w:rsid w:val="00591342"/>
    <w:rsid w:val="00592417"/>
    <w:rsid w:val="00592AFE"/>
    <w:rsid w:val="00593E1E"/>
    <w:rsid w:val="00594FD2"/>
    <w:rsid w:val="005A2589"/>
    <w:rsid w:val="005A3614"/>
    <w:rsid w:val="005A6FF0"/>
    <w:rsid w:val="005A74E7"/>
    <w:rsid w:val="005A766E"/>
    <w:rsid w:val="005B2328"/>
    <w:rsid w:val="005B678E"/>
    <w:rsid w:val="005C046F"/>
    <w:rsid w:val="005C4EE6"/>
    <w:rsid w:val="005C5009"/>
    <w:rsid w:val="005C51BD"/>
    <w:rsid w:val="005C5B8E"/>
    <w:rsid w:val="005C6F14"/>
    <w:rsid w:val="005C78DB"/>
    <w:rsid w:val="005D1C3E"/>
    <w:rsid w:val="005D5C12"/>
    <w:rsid w:val="005E0748"/>
    <w:rsid w:val="005E218E"/>
    <w:rsid w:val="005E38E2"/>
    <w:rsid w:val="005E64FB"/>
    <w:rsid w:val="005F09C6"/>
    <w:rsid w:val="005F39AE"/>
    <w:rsid w:val="005F47F8"/>
    <w:rsid w:val="005F4A9D"/>
    <w:rsid w:val="005F4FF3"/>
    <w:rsid w:val="00603455"/>
    <w:rsid w:val="00603EAA"/>
    <w:rsid w:val="00605961"/>
    <w:rsid w:val="00613363"/>
    <w:rsid w:val="006135C6"/>
    <w:rsid w:val="006148E5"/>
    <w:rsid w:val="00614E40"/>
    <w:rsid w:val="00616FC2"/>
    <w:rsid w:val="00621E79"/>
    <w:rsid w:val="006234E7"/>
    <w:rsid w:val="00623FBE"/>
    <w:rsid w:val="006250F3"/>
    <w:rsid w:val="00625916"/>
    <w:rsid w:val="006318C3"/>
    <w:rsid w:val="00633022"/>
    <w:rsid w:val="0063480E"/>
    <w:rsid w:val="00636BDB"/>
    <w:rsid w:val="00637DEF"/>
    <w:rsid w:val="00640237"/>
    <w:rsid w:val="00641729"/>
    <w:rsid w:val="00644FBF"/>
    <w:rsid w:val="0064531A"/>
    <w:rsid w:val="00645C68"/>
    <w:rsid w:val="0064794E"/>
    <w:rsid w:val="00647B91"/>
    <w:rsid w:val="00650166"/>
    <w:rsid w:val="006525DD"/>
    <w:rsid w:val="00653796"/>
    <w:rsid w:val="00653C8F"/>
    <w:rsid w:val="00654FDA"/>
    <w:rsid w:val="00656404"/>
    <w:rsid w:val="00665597"/>
    <w:rsid w:val="006756F7"/>
    <w:rsid w:val="00675EF4"/>
    <w:rsid w:val="00680706"/>
    <w:rsid w:val="006830C0"/>
    <w:rsid w:val="0068311C"/>
    <w:rsid w:val="0068438F"/>
    <w:rsid w:val="00684F7A"/>
    <w:rsid w:val="006850A9"/>
    <w:rsid w:val="00690D6B"/>
    <w:rsid w:val="006921DD"/>
    <w:rsid w:val="006934EF"/>
    <w:rsid w:val="00697E1F"/>
    <w:rsid w:val="006A1820"/>
    <w:rsid w:val="006A3083"/>
    <w:rsid w:val="006A438B"/>
    <w:rsid w:val="006B0760"/>
    <w:rsid w:val="006B3CCE"/>
    <w:rsid w:val="006B4BE2"/>
    <w:rsid w:val="006B72A0"/>
    <w:rsid w:val="006B7FDD"/>
    <w:rsid w:val="006C0B42"/>
    <w:rsid w:val="006C1323"/>
    <w:rsid w:val="006C3920"/>
    <w:rsid w:val="006D225C"/>
    <w:rsid w:val="006D583C"/>
    <w:rsid w:val="006D6163"/>
    <w:rsid w:val="006D6FA2"/>
    <w:rsid w:val="006E4FD7"/>
    <w:rsid w:val="006F1819"/>
    <w:rsid w:val="006F1A67"/>
    <w:rsid w:val="006F21A7"/>
    <w:rsid w:val="006F3109"/>
    <w:rsid w:val="006F3FE2"/>
    <w:rsid w:val="006F6E82"/>
    <w:rsid w:val="006F76FB"/>
    <w:rsid w:val="00701C3B"/>
    <w:rsid w:val="00701CC8"/>
    <w:rsid w:val="00706993"/>
    <w:rsid w:val="00711BF4"/>
    <w:rsid w:val="007177D4"/>
    <w:rsid w:val="00717AEB"/>
    <w:rsid w:val="0072125F"/>
    <w:rsid w:val="007228D6"/>
    <w:rsid w:val="00725B6D"/>
    <w:rsid w:val="00731863"/>
    <w:rsid w:val="0073304B"/>
    <w:rsid w:val="007337E0"/>
    <w:rsid w:val="00734314"/>
    <w:rsid w:val="0073531E"/>
    <w:rsid w:val="00735768"/>
    <w:rsid w:val="00735E05"/>
    <w:rsid w:val="0073673B"/>
    <w:rsid w:val="0073778C"/>
    <w:rsid w:val="00745919"/>
    <w:rsid w:val="007460DB"/>
    <w:rsid w:val="007507D4"/>
    <w:rsid w:val="007531DD"/>
    <w:rsid w:val="00753706"/>
    <w:rsid w:val="00753711"/>
    <w:rsid w:val="00755A5A"/>
    <w:rsid w:val="00756BB2"/>
    <w:rsid w:val="007639DB"/>
    <w:rsid w:val="00766422"/>
    <w:rsid w:val="00770AF8"/>
    <w:rsid w:val="00770B6E"/>
    <w:rsid w:val="00770DC4"/>
    <w:rsid w:val="007738A9"/>
    <w:rsid w:val="00774AE3"/>
    <w:rsid w:val="0077656D"/>
    <w:rsid w:val="00777879"/>
    <w:rsid w:val="00777918"/>
    <w:rsid w:val="00777E97"/>
    <w:rsid w:val="00783E9C"/>
    <w:rsid w:val="00790B38"/>
    <w:rsid w:val="007930CF"/>
    <w:rsid w:val="00794DAA"/>
    <w:rsid w:val="00795003"/>
    <w:rsid w:val="0079540A"/>
    <w:rsid w:val="00796763"/>
    <w:rsid w:val="00796781"/>
    <w:rsid w:val="007977D7"/>
    <w:rsid w:val="007A3E04"/>
    <w:rsid w:val="007A6F10"/>
    <w:rsid w:val="007B011A"/>
    <w:rsid w:val="007B6310"/>
    <w:rsid w:val="007C00A0"/>
    <w:rsid w:val="007C0EDB"/>
    <w:rsid w:val="007C2163"/>
    <w:rsid w:val="007C340D"/>
    <w:rsid w:val="007C34D4"/>
    <w:rsid w:val="007C49DF"/>
    <w:rsid w:val="007D0186"/>
    <w:rsid w:val="007D0452"/>
    <w:rsid w:val="007D0460"/>
    <w:rsid w:val="007D08FE"/>
    <w:rsid w:val="007D094A"/>
    <w:rsid w:val="007D0BA0"/>
    <w:rsid w:val="007D0CB6"/>
    <w:rsid w:val="007D2859"/>
    <w:rsid w:val="007D7BC2"/>
    <w:rsid w:val="007E1DA7"/>
    <w:rsid w:val="007E2348"/>
    <w:rsid w:val="007E4081"/>
    <w:rsid w:val="007E4401"/>
    <w:rsid w:val="007E58A8"/>
    <w:rsid w:val="007E6C0B"/>
    <w:rsid w:val="007E7420"/>
    <w:rsid w:val="007F1027"/>
    <w:rsid w:val="007F3C12"/>
    <w:rsid w:val="007F3F26"/>
    <w:rsid w:val="007F4EAF"/>
    <w:rsid w:val="00801161"/>
    <w:rsid w:val="00802206"/>
    <w:rsid w:val="00802B42"/>
    <w:rsid w:val="00802E8C"/>
    <w:rsid w:val="008049F9"/>
    <w:rsid w:val="00807D72"/>
    <w:rsid w:val="00812992"/>
    <w:rsid w:val="0081708E"/>
    <w:rsid w:val="00820C94"/>
    <w:rsid w:val="00821C66"/>
    <w:rsid w:val="0082316C"/>
    <w:rsid w:val="00824175"/>
    <w:rsid w:val="00824F29"/>
    <w:rsid w:val="0082526C"/>
    <w:rsid w:val="008261B6"/>
    <w:rsid w:val="00827145"/>
    <w:rsid w:val="008274AC"/>
    <w:rsid w:val="0082798C"/>
    <w:rsid w:val="00827D12"/>
    <w:rsid w:val="008303FC"/>
    <w:rsid w:val="00835316"/>
    <w:rsid w:val="0083580F"/>
    <w:rsid w:val="00835D49"/>
    <w:rsid w:val="00840238"/>
    <w:rsid w:val="008408BF"/>
    <w:rsid w:val="00842CE4"/>
    <w:rsid w:val="00843272"/>
    <w:rsid w:val="008433BD"/>
    <w:rsid w:val="00844CA9"/>
    <w:rsid w:val="008452D9"/>
    <w:rsid w:val="008466A6"/>
    <w:rsid w:val="00847CC3"/>
    <w:rsid w:val="00851711"/>
    <w:rsid w:val="0085176B"/>
    <w:rsid w:val="00851B15"/>
    <w:rsid w:val="00855FE6"/>
    <w:rsid w:val="00857845"/>
    <w:rsid w:val="0086159E"/>
    <w:rsid w:val="00863B91"/>
    <w:rsid w:val="008643A7"/>
    <w:rsid w:val="00872541"/>
    <w:rsid w:val="008725EC"/>
    <w:rsid w:val="008801A6"/>
    <w:rsid w:val="00880C14"/>
    <w:rsid w:val="00881DD1"/>
    <w:rsid w:val="00882D56"/>
    <w:rsid w:val="00883E33"/>
    <w:rsid w:val="00884D90"/>
    <w:rsid w:val="008857D2"/>
    <w:rsid w:val="008870A9"/>
    <w:rsid w:val="00887733"/>
    <w:rsid w:val="00891547"/>
    <w:rsid w:val="00892141"/>
    <w:rsid w:val="00893C75"/>
    <w:rsid w:val="00895AAF"/>
    <w:rsid w:val="00897CF9"/>
    <w:rsid w:val="00897DA6"/>
    <w:rsid w:val="008A092A"/>
    <w:rsid w:val="008B12FD"/>
    <w:rsid w:val="008B78A0"/>
    <w:rsid w:val="008B7C04"/>
    <w:rsid w:val="008C022C"/>
    <w:rsid w:val="008C097D"/>
    <w:rsid w:val="008C5583"/>
    <w:rsid w:val="008D27BD"/>
    <w:rsid w:val="008D4C1F"/>
    <w:rsid w:val="008D54BA"/>
    <w:rsid w:val="008D7C2A"/>
    <w:rsid w:val="008E2CDA"/>
    <w:rsid w:val="008E2E77"/>
    <w:rsid w:val="008E4BE3"/>
    <w:rsid w:val="008E663E"/>
    <w:rsid w:val="008F1CA2"/>
    <w:rsid w:val="008F2096"/>
    <w:rsid w:val="008F55BA"/>
    <w:rsid w:val="00901CB4"/>
    <w:rsid w:val="00904890"/>
    <w:rsid w:val="009120CB"/>
    <w:rsid w:val="0091421E"/>
    <w:rsid w:val="00916182"/>
    <w:rsid w:val="00920A04"/>
    <w:rsid w:val="00921F4A"/>
    <w:rsid w:val="009263C8"/>
    <w:rsid w:val="00926AA0"/>
    <w:rsid w:val="0092733F"/>
    <w:rsid w:val="0093228B"/>
    <w:rsid w:val="0093403B"/>
    <w:rsid w:val="0093588E"/>
    <w:rsid w:val="009366B5"/>
    <w:rsid w:val="009368FF"/>
    <w:rsid w:val="00936F78"/>
    <w:rsid w:val="009379E9"/>
    <w:rsid w:val="009413D1"/>
    <w:rsid w:val="00941DEF"/>
    <w:rsid w:val="00942152"/>
    <w:rsid w:val="009438CD"/>
    <w:rsid w:val="009441FD"/>
    <w:rsid w:val="0095044C"/>
    <w:rsid w:val="00950513"/>
    <w:rsid w:val="0095147B"/>
    <w:rsid w:val="00953778"/>
    <w:rsid w:val="0095621B"/>
    <w:rsid w:val="00960B36"/>
    <w:rsid w:val="00961A41"/>
    <w:rsid w:val="00963128"/>
    <w:rsid w:val="00965DA0"/>
    <w:rsid w:val="00965FDA"/>
    <w:rsid w:val="0096760F"/>
    <w:rsid w:val="00970AC3"/>
    <w:rsid w:val="0097327A"/>
    <w:rsid w:val="00983961"/>
    <w:rsid w:val="00985955"/>
    <w:rsid w:val="00987C47"/>
    <w:rsid w:val="00990126"/>
    <w:rsid w:val="00992835"/>
    <w:rsid w:val="00992ECA"/>
    <w:rsid w:val="00995461"/>
    <w:rsid w:val="00995722"/>
    <w:rsid w:val="009A0068"/>
    <w:rsid w:val="009A5987"/>
    <w:rsid w:val="009A6419"/>
    <w:rsid w:val="009B1426"/>
    <w:rsid w:val="009B4412"/>
    <w:rsid w:val="009B49F0"/>
    <w:rsid w:val="009B4E54"/>
    <w:rsid w:val="009C0BA4"/>
    <w:rsid w:val="009C0D4F"/>
    <w:rsid w:val="009C2D9A"/>
    <w:rsid w:val="009D4D54"/>
    <w:rsid w:val="009D5040"/>
    <w:rsid w:val="009D7C56"/>
    <w:rsid w:val="009E293E"/>
    <w:rsid w:val="009E2A66"/>
    <w:rsid w:val="009E7B92"/>
    <w:rsid w:val="009F0402"/>
    <w:rsid w:val="009F0C11"/>
    <w:rsid w:val="009F1439"/>
    <w:rsid w:val="009F36CC"/>
    <w:rsid w:val="009F4A99"/>
    <w:rsid w:val="009F76C4"/>
    <w:rsid w:val="00A000CF"/>
    <w:rsid w:val="00A0115C"/>
    <w:rsid w:val="00A015DA"/>
    <w:rsid w:val="00A023B2"/>
    <w:rsid w:val="00A03DA7"/>
    <w:rsid w:val="00A05374"/>
    <w:rsid w:val="00A10416"/>
    <w:rsid w:val="00A10974"/>
    <w:rsid w:val="00A10DEA"/>
    <w:rsid w:val="00A1209E"/>
    <w:rsid w:val="00A15394"/>
    <w:rsid w:val="00A238EA"/>
    <w:rsid w:val="00A3007D"/>
    <w:rsid w:val="00A30842"/>
    <w:rsid w:val="00A30DBD"/>
    <w:rsid w:val="00A315F2"/>
    <w:rsid w:val="00A32473"/>
    <w:rsid w:val="00A3558D"/>
    <w:rsid w:val="00A36ADC"/>
    <w:rsid w:val="00A42AD8"/>
    <w:rsid w:val="00A51681"/>
    <w:rsid w:val="00A56991"/>
    <w:rsid w:val="00A574A2"/>
    <w:rsid w:val="00A579BE"/>
    <w:rsid w:val="00A601A2"/>
    <w:rsid w:val="00A608FF"/>
    <w:rsid w:val="00A621C1"/>
    <w:rsid w:val="00A62CFE"/>
    <w:rsid w:val="00A63784"/>
    <w:rsid w:val="00A65081"/>
    <w:rsid w:val="00A6612A"/>
    <w:rsid w:val="00A66FD0"/>
    <w:rsid w:val="00A72BB5"/>
    <w:rsid w:val="00A76271"/>
    <w:rsid w:val="00A80387"/>
    <w:rsid w:val="00A8092C"/>
    <w:rsid w:val="00A810D4"/>
    <w:rsid w:val="00A817FE"/>
    <w:rsid w:val="00A818A7"/>
    <w:rsid w:val="00A83005"/>
    <w:rsid w:val="00A83E47"/>
    <w:rsid w:val="00A85CF4"/>
    <w:rsid w:val="00A861D3"/>
    <w:rsid w:val="00A869A4"/>
    <w:rsid w:val="00A9088C"/>
    <w:rsid w:val="00A9201E"/>
    <w:rsid w:val="00A92BB5"/>
    <w:rsid w:val="00A93738"/>
    <w:rsid w:val="00A94816"/>
    <w:rsid w:val="00AA14D9"/>
    <w:rsid w:val="00AA75E8"/>
    <w:rsid w:val="00AB3696"/>
    <w:rsid w:val="00AB5C14"/>
    <w:rsid w:val="00AC026F"/>
    <w:rsid w:val="00AC0AA6"/>
    <w:rsid w:val="00AC24A0"/>
    <w:rsid w:val="00AC2C03"/>
    <w:rsid w:val="00AC6E55"/>
    <w:rsid w:val="00AC7242"/>
    <w:rsid w:val="00AC7661"/>
    <w:rsid w:val="00AD6137"/>
    <w:rsid w:val="00AD6AE4"/>
    <w:rsid w:val="00AE359B"/>
    <w:rsid w:val="00AF2F89"/>
    <w:rsid w:val="00AF650A"/>
    <w:rsid w:val="00AF7AF5"/>
    <w:rsid w:val="00B0341D"/>
    <w:rsid w:val="00B03D69"/>
    <w:rsid w:val="00B07A88"/>
    <w:rsid w:val="00B10F26"/>
    <w:rsid w:val="00B1244F"/>
    <w:rsid w:val="00B1624C"/>
    <w:rsid w:val="00B21B81"/>
    <w:rsid w:val="00B230A2"/>
    <w:rsid w:val="00B24949"/>
    <w:rsid w:val="00B308B1"/>
    <w:rsid w:val="00B313F1"/>
    <w:rsid w:val="00B3394C"/>
    <w:rsid w:val="00B3567E"/>
    <w:rsid w:val="00B36AA9"/>
    <w:rsid w:val="00B37B0D"/>
    <w:rsid w:val="00B404F6"/>
    <w:rsid w:val="00B41661"/>
    <w:rsid w:val="00B42861"/>
    <w:rsid w:val="00B42F27"/>
    <w:rsid w:val="00B45931"/>
    <w:rsid w:val="00B5165A"/>
    <w:rsid w:val="00B51B57"/>
    <w:rsid w:val="00B52053"/>
    <w:rsid w:val="00B53F69"/>
    <w:rsid w:val="00B55839"/>
    <w:rsid w:val="00B55985"/>
    <w:rsid w:val="00B57712"/>
    <w:rsid w:val="00B57F62"/>
    <w:rsid w:val="00B62C54"/>
    <w:rsid w:val="00B64167"/>
    <w:rsid w:val="00B70735"/>
    <w:rsid w:val="00B722D1"/>
    <w:rsid w:val="00B752AD"/>
    <w:rsid w:val="00B76117"/>
    <w:rsid w:val="00B84590"/>
    <w:rsid w:val="00B84B42"/>
    <w:rsid w:val="00B84FC0"/>
    <w:rsid w:val="00B862D7"/>
    <w:rsid w:val="00B87740"/>
    <w:rsid w:val="00B939AD"/>
    <w:rsid w:val="00B94516"/>
    <w:rsid w:val="00BA2F72"/>
    <w:rsid w:val="00BA37DA"/>
    <w:rsid w:val="00BA5219"/>
    <w:rsid w:val="00BA7A89"/>
    <w:rsid w:val="00BB25D9"/>
    <w:rsid w:val="00BB42E5"/>
    <w:rsid w:val="00BC7AFA"/>
    <w:rsid w:val="00BD1F40"/>
    <w:rsid w:val="00BD7A94"/>
    <w:rsid w:val="00BE03DF"/>
    <w:rsid w:val="00BE3295"/>
    <w:rsid w:val="00BE633E"/>
    <w:rsid w:val="00BF222C"/>
    <w:rsid w:val="00BF4F1D"/>
    <w:rsid w:val="00BF631A"/>
    <w:rsid w:val="00C01D4A"/>
    <w:rsid w:val="00C0611C"/>
    <w:rsid w:val="00C070AB"/>
    <w:rsid w:val="00C15948"/>
    <w:rsid w:val="00C17608"/>
    <w:rsid w:val="00C20119"/>
    <w:rsid w:val="00C20A99"/>
    <w:rsid w:val="00C21524"/>
    <w:rsid w:val="00C21A55"/>
    <w:rsid w:val="00C223C1"/>
    <w:rsid w:val="00C25ACF"/>
    <w:rsid w:val="00C3159B"/>
    <w:rsid w:val="00C31CCE"/>
    <w:rsid w:val="00C34DDF"/>
    <w:rsid w:val="00C36435"/>
    <w:rsid w:val="00C36F9C"/>
    <w:rsid w:val="00C55396"/>
    <w:rsid w:val="00C6632F"/>
    <w:rsid w:val="00C70BB9"/>
    <w:rsid w:val="00C741CC"/>
    <w:rsid w:val="00C755CC"/>
    <w:rsid w:val="00C77691"/>
    <w:rsid w:val="00C80256"/>
    <w:rsid w:val="00C83D49"/>
    <w:rsid w:val="00C85AD1"/>
    <w:rsid w:val="00C86F30"/>
    <w:rsid w:val="00C86FE5"/>
    <w:rsid w:val="00C91CDA"/>
    <w:rsid w:val="00C93CFC"/>
    <w:rsid w:val="00C93F3B"/>
    <w:rsid w:val="00C9455C"/>
    <w:rsid w:val="00C96453"/>
    <w:rsid w:val="00C964E5"/>
    <w:rsid w:val="00C97084"/>
    <w:rsid w:val="00CA1EE8"/>
    <w:rsid w:val="00CA47F7"/>
    <w:rsid w:val="00CA6CBA"/>
    <w:rsid w:val="00CA7299"/>
    <w:rsid w:val="00CB0C5C"/>
    <w:rsid w:val="00CB328C"/>
    <w:rsid w:val="00CB381C"/>
    <w:rsid w:val="00CB45B8"/>
    <w:rsid w:val="00CB65F1"/>
    <w:rsid w:val="00CB6858"/>
    <w:rsid w:val="00CB6905"/>
    <w:rsid w:val="00CB7632"/>
    <w:rsid w:val="00CC49F1"/>
    <w:rsid w:val="00CC4EF7"/>
    <w:rsid w:val="00CC7240"/>
    <w:rsid w:val="00CC75AF"/>
    <w:rsid w:val="00CD3396"/>
    <w:rsid w:val="00CD38FC"/>
    <w:rsid w:val="00CD46C9"/>
    <w:rsid w:val="00CE2658"/>
    <w:rsid w:val="00CE2D16"/>
    <w:rsid w:val="00CE421D"/>
    <w:rsid w:val="00CE52FE"/>
    <w:rsid w:val="00CF03C9"/>
    <w:rsid w:val="00CF2EE6"/>
    <w:rsid w:val="00D00057"/>
    <w:rsid w:val="00D009CA"/>
    <w:rsid w:val="00D043B2"/>
    <w:rsid w:val="00D05C25"/>
    <w:rsid w:val="00D06647"/>
    <w:rsid w:val="00D12F23"/>
    <w:rsid w:val="00D17DF2"/>
    <w:rsid w:val="00D2264A"/>
    <w:rsid w:val="00D3508F"/>
    <w:rsid w:val="00D37292"/>
    <w:rsid w:val="00D401F5"/>
    <w:rsid w:val="00D439F4"/>
    <w:rsid w:val="00D50F36"/>
    <w:rsid w:val="00D530E5"/>
    <w:rsid w:val="00D5367D"/>
    <w:rsid w:val="00D537F1"/>
    <w:rsid w:val="00D54106"/>
    <w:rsid w:val="00D5414E"/>
    <w:rsid w:val="00D551C8"/>
    <w:rsid w:val="00D56003"/>
    <w:rsid w:val="00D56A5B"/>
    <w:rsid w:val="00D575D4"/>
    <w:rsid w:val="00D625C4"/>
    <w:rsid w:val="00D6279F"/>
    <w:rsid w:val="00D64340"/>
    <w:rsid w:val="00D65938"/>
    <w:rsid w:val="00D662E6"/>
    <w:rsid w:val="00D727CB"/>
    <w:rsid w:val="00D776D7"/>
    <w:rsid w:val="00D80085"/>
    <w:rsid w:val="00D83331"/>
    <w:rsid w:val="00D85AD9"/>
    <w:rsid w:val="00D860E3"/>
    <w:rsid w:val="00D86AFC"/>
    <w:rsid w:val="00D936C1"/>
    <w:rsid w:val="00D9761B"/>
    <w:rsid w:val="00D97680"/>
    <w:rsid w:val="00DA0723"/>
    <w:rsid w:val="00DA2850"/>
    <w:rsid w:val="00DA59A9"/>
    <w:rsid w:val="00DA5FB9"/>
    <w:rsid w:val="00DA7995"/>
    <w:rsid w:val="00DB0D2D"/>
    <w:rsid w:val="00DB13C1"/>
    <w:rsid w:val="00DB1D1A"/>
    <w:rsid w:val="00DB2169"/>
    <w:rsid w:val="00DB63AC"/>
    <w:rsid w:val="00DB6CC1"/>
    <w:rsid w:val="00DB79F0"/>
    <w:rsid w:val="00DC1588"/>
    <w:rsid w:val="00DC3DF4"/>
    <w:rsid w:val="00DC595A"/>
    <w:rsid w:val="00DD065A"/>
    <w:rsid w:val="00DD224F"/>
    <w:rsid w:val="00DD54FB"/>
    <w:rsid w:val="00DD694D"/>
    <w:rsid w:val="00DE0AEA"/>
    <w:rsid w:val="00DE1066"/>
    <w:rsid w:val="00DE445F"/>
    <w:rsid w:val="00DE4E41"/>
    <w:rsid w:val="00DE6AAA"/>
    <w:rsid w:val="00DE6CF0"/>
    <w:rsid w:val="00DF3E22"/>
    <w:rsid w:val="00DF49B3"/>
    <w:rsid w:val="00DF558D"/>
    <w:rsid w:val="00DF5D60"/>
    <w:rsid w:val="00E01E8D"/>
    <w:rsid w:val="00E024AA"/>
    <w:rsid w:val="00E026B3"/>
    <w:rsid w:val="00E06EC3"/>
    <w:rsid w:val="00E12E59"/>
    <w:rsid w:val="00E15385"/>
    <w:rsid w:val="00E156C9"/>
    <w:rsid w:val="00E1621C"/>
    <w:rsid w:val="00E21472"/>
    <w:rsid w:val="00E229AA"/>
    <w:rsid w:val="00E23D99"/>
    <w:rsid w:val="00E24D4D"/>
    <w:rsid w:val="00E2569B"/>
    <w:rsid w:val="00E30BA3"/>
    <w:rsid w:val="00E31772"/>
    <w:rsid w:val="00E33A1E"/>
    <w:rsid w:val="00E35953"/>
    <w:rsid w:val="00E40B06"/>
    <w:rsid w:val="00E42B80"/>
    <w:rsid w:val="00E50EE3"/>
    <w:rsid w:val="00E512D2"/>
    <w:rsid w:val="00E53F29"/>
    <w:rsid w:val="00E5437F"/>
    <w:rsid w:val="00E55122"/>
    <w:rsid w:val="00E708FA"/>
    <w:rsid w:val="00E73428"/>
    <w:rsid w:val="00E7366E"/>
    <w:rsid w:val="00E74710"/>
    <w:rsid w:val="00E77234"/>
    <w:rsid w:val="00E81899"/>
    <w:rsid w:val="00E83D82"/>
    <w:rsid w:val="00E85D96"/>
    <w:rsid w:val="00E900AF"/>
    <w:rsid w:val="00E913F0"/>
    <w:rsid w:val="00E91F7C"/>
    <w:rsid w:val="00E92114"/>
    <w:rsid w:val="00E95B05"/>
    <w:rsid w:val="00EA18FD"/>
    <w:rsid w:val="00EA2224"/>
    <w:rsid w:val="00EB03CB"/>
    <w:rsid w:val="00EB0A1B"/>
    <w:rsid w:val="00EB2676"/>
    <w:rsid w:val="00EB2D66"/>
    <w:rsid w:val="00EB37EC"/>
    <w:rsid w:val="00EB4F0F"/>
    <w:rsid w:val="00EB77FE"/>
    <w:rsid w:val="00EC3B1D"/>
    <w:rsid w:val="00EC475E"/>
    <w:rsid w:val="00EC4E14"/>
    <w:rsid w:val="00EC7D98"/>
    <w:rsid w:val="00ED138A"/>
    <w:rsid w:val="00ED34BF"/>
    <w:rsid w:val="00ED3976"/>
    <w:rsid w:val="00ED3B1E"/>
    <w:rsid w:val="00ED78EA"/>
    <w:rsid w:val="00EE065D"/>
    <w:rsid w:val="00EE5A47"/>
    <w:rsid w:val="00EE6C58"/>
    <w:rsid w:val="00EF3D5D"/>
    <w:rsid w:val="00EF47A2"/>
    <w:rsid w:val="00EF5232"/>
    <w:rsid w:val="00EF634E"/>
    <w:rsid w:val="00F00588"/>
    <w:rsid w:val="00F11DA4"/>
    <w:rsid w:val="00F16DBD"/>
    <w:rsid w:val="00F21ED0"/>
    <w:rsid w:val="00F2482C"/>
    <w:rsid w:val="00F24874"/>
    <w:rsid w:val="00F30D57"/>
    <w:rsid w:val="00F33CCB"/>
    <w:rsid w:val="00F43092"/>
    <w:rsid w:val="00F43278"/>
    <w:rsid w:val="00F466E2"/>
    <w:rsid w:val="00F5026F"/>
    <w:rsid w:val="00F52F81"/>
    <w:rsid w:val="00F56284"/>
    <w:rsid w:val="00F65632"/>
    <w:rsid w:val="00F67553"/>
    <w:rsid w:val="00F70CDC"/>
    <w:rsid w:val="00F70F21"/>
    <w:rsid w:val="00F73DCC"/>
    <w:rsid w:val="00F74C32"/>
    <w:rsid w:val="00F76C5C"/>
    <w:rsid w:val="00F83DC2"/>
    <w:rsid w:val="00F85D8E"/>
    <w:rsid w:val="00F9278B"/>
    <w:rsid w:val="00F92A70"/>
    <w:rsid w:val="00F93F12"/>
    <w:rsid w:val="00F9471D"/>
    <w:rsid w:val="00F9504C"/>
    <w:rsid w:val="00FA2635"/>
    <w:rsid w:val="00FA3827"/>
    <w:rsid w:val="00FA6827"/>
    <w:rsid w:val="00FB0039"/>
    <w:rsid w:val="00FB05E0"/>
    <w:rsid w:val="00FB160D"/>
    <w:rsid w:val="00FB2175"/>
    <w:rsid w:val="00FB273D"/>
    <w:rsid w:val="00FB6520"/>
    <w:rsid w:val="00FB6BB9"/>
    <w:rsid w:val="00FB71E8"/>
    <w:rsid w:val="00FC15C7"/>
    <w:rsid w:val="00FC73C5"/>
    <w:rsid w:val="00FE2B99"/>
    <w:rsid w:val="00FE5384"/>
    <w:rsid w:val="00FE7285"/>
    <w:rsid w:val="00FF00DD"/>
    <w:rsid w:val="00FF15EE"/>
    <w:rsid w:val="00FF2479"/>
    <w:rsid w:val="00FF6FBA"/>
    <w:rsid w:val="00FF7E8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3141DF"/>
  <w15:docId w15:val="{271F5A36-8B9F-443B-A5DE-45537B938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2D9A"/>
    <w:pPr>
      <w:spacing w:before="120" w:after="120" w:line="264" w:lineRule="auto"/>
      <w:jc w:val="both"/>
    </w:pPr>
    <w:rPr>
      <w:rFonts w:ascii="Arial" w:eastAsia="MS Mincho" w:hAnsi="Arial"/>
      <w:sz w:val="24"/>
      <w:szCs w:val="24"/>
      <w:lang w:eastAsia="en-US"/>
    </w:rPr>
  </w:style>
  <w:style w:type="paragraph" w:styleId="Nadpis1">
    <w:name w:val="heading 1"/>
    <w:basedOn w:val="Normln"/>
    <w:next w:val="Normln"/>
    <w:link w:val="Nadpis1Char"/>
    <w:qFormat/>
    <w:rsid w:val="009C2D9A"/>
    <w:pPr>
      <w:keepNext/>
      <w:keepLines/>
      <w:numPr>
        <w:numId w:val="1"/>
      </w:numPr>
      <w:spacing w:before="480"/>
      <w:jc w:val="center"/>
      <w:outlineLvl w:val="0"/>
    </w:pPr>
    <w:rPr>
      <w:rFonts w:eastAsia="MS Gothic"/>
      <w:b/>
      <w:bCs/>
      <w:sz w:val="32"/>
      <w:szCs w:val="32"/>
    </w:rPr>
  </w:style>
  <w:style w:type="paragraph" w:styleId="Nadpis2">
    <w:name w:val="heading 2"/>
    <w:basedOn w:val="Normln"/>
    <w:next w:val="Normln"/>
    <w:link w:val="Nadpis2Char"/>
    <w:qFormat/>
    <w:rsid w:val="000A2121"/>
    <w:pPr>
      <w:keepNext/>
      <w:keepLines/>
      <w:numPr>
        <w:ilvl w:val="1"/>
        <w:numId w:val="1"/>
      </w:numPr>
      <w:tabs>
        <w:tab w:val="left" w:pos="0"/>
      </w:tabs>
      <w:outlineLvl w:val="1"/>
    </w:pPr>
    <w:rPr>
      <w:rFonts w:eastAsia="MS Gothic"/>
      <w:b/>
      <w:bCs/>
      <w:sz w:val="28"/>
      <w:szCs w:val="28"/>
    </w:rPr>
  </w:style>
  <w:style w:type="paragraph" w:styleId="Nadpis3">
    <w:name w:val="heading 3"/>
    <w:basedOn w:val="Normln"/>
    <w:next w:val="Normln"/>
    <w:link w:val="Nadpis3Char"/>
    <w:qFormat/>
    <w:rsid w:val="009C2D9A"/>
    <w:pPr>
      <w:keepNext/>
      <w:keepLines/>
      <w:numPr>
        <w:ilvl w:val="2"/>
        <w:numId w:val="1"/>
      </w:numPr>
      <w:spacing w:before="200"/>
      <w:outlineLvl w:val="2"/>
    </w:pPr>
    <w:rPr>
      <w:rFonts w:ascii="Calibri" w:eastAsia="MS Gothic" w:hAnsi="Calibri"/>
      <w:b/>
      <w:bCs/>
    </w:rPr>
  </w:style>
  <w:style w:type="paragraph" w:styleId="Nadpis4">
    <w:name w:val="heading 4"/>
    <w:basedOn w:val="Normln"/>
    <w:next w:val="Normln"/>
    <w:link w:val="Nadpis4Char"/>
    <w:qFormat/>
    <w:rsid w:val="009C2D9A"/>
    <w:pPr>
      <w:keepNext/>
      <w:keepLines/>
      <w:numPr>
        <w:ilvl w:val="3"/>
        <w:numId w:val="1"/>
      </w:numPr>
      <w:spacing w:before="200"/>
      <w:outlineLvl w:val="3"/>
    </w:pPr>
    <w:rPr>
      <w:rFonts w:ascii="Calibri" w:eastAsia="MS Gothic" w:hAnsi="Calibri"/>
      <w:b/>
      <w:bCs/>
      <w:i/>
      <w:iCs/>
      <w:color w:val="4F81BD"/>
    </w:rPr>
  </w:style>
  <w:style w:type="paragraph" w:styleId="Nadpis5">
    <w:name w:val="heading 5"/>
    <w:basedOn w:val="Normln"/>
    <w:next w:val="Normln"/>
    <w:link w:val="Nadpis5Char"/>
    <w:qFormat/>
    <w:rsid w:val="009C2D9A"/>
    <w:pPr>
      <w:keepNext/>
      <w:keepLines/>
      <w:numPr>
        <w:ilvl w:val="4"/>
        <w:numId w:val="1"/>
      </w:numPr>
      <w:spacing w:before="200"/>
      <w:outlineLvl w:val="4"/>
    </w:pPr>
    <w:rPr>
      <w:rFonts w:ascii="Calibri" w:eastAsia="MS Gothic" w:hAnsi="Calibri"/>
      <w:color w:val="243F60"/>
    </w:rPr>
  </w:style>
  <w:style w:type="paragraph" w:styleId="Nadpis6">
    <w:name w:val="heading 6"/>
    <w:basedOn w:val="Normln"/>
    <w:next w:val="Normln"/>
    <w:link w:val="Nadpis6Char"/>
    <w:qFormat/>
    <w:rsid w:val="009C2D9A"/>
    <w:pPr>
      <w:keepNext/>
      <w:keepLines/>
      <w:numPr>
        <w:ilvl w:val="5"/>
        <w:numId w:val="1"/>
      </w:numPr>
      <w:spacing w:before="200"/>
      <w:outlineLvl w:val="5"/>
    </w:pPr>
    <w:rPr>
      <w:rFonts w:ascii="Calibri" w:eastAsia="MS Gothic" w:hAnsi="Calibri"/>
      <w:i/>
      <w:iCs/>
      <w:color w:val="243F60"/>
    </w:rPr>
  </w:style>
  <w:style w:type="paragraph" w:styleId="Nadpis7">
    <w:name w:val="heading 7"/>
    <w:basedOn w:val="Normln"/>
    <w:next w:val="Normln"/>
    <w:link w:val="Nadpis7Char"/>
    <w:qFormat/>
    <w:rsid w:val="009C2D9A"/>
    <w:pPr>
      <w:keepNext/>
      <w:keepLines/>
      <w:numPr>
        <w:ilvl w:val="6"/>
        <w:numId w:val="1"/>
      </w:numPr>
      <w:spacing w:before="200"/>
      <w:outlineLvl w:val="6"/>
    </w:pPr>
    <w:rPr>
      <w:rFonts w:ascii="Calibri" w:eastAsia="MS Gothic" w:hAnsi="Calibri"/>
      <w:i/>
      <w:iCs/>
      <w:color w:val="404040"/>
    </w:rPr>
  </w:style>
  <w:style w:type="paragraph" w:styleId="Nadpis8">
    <w:name w:val="heading 8"/>
    <w:basedOn w:val="Normln"/>
    <w:next w:val="Normln"/>
    <w:link w:val="Nadpis8Char"/>
    <w:qFormat/>
    <w:rsid w:val="009C2D9A"/>
    <w:pPr>
      <w:keepNext/>
      <w:keepLines/>
      <w:numPr>
        <w:ilvl w:val="7"/>
        <w:numId w:val="1"/>
      </w:numPr>
      <w:spacing w:before="200"/>
      <w:outlineLvl w:val="7"/>
    </w:pPr>
    <w:rPr>
      <w:rFonts w:ascii="Calibri" w:eastAsia="MS Gothic" w:hAnsi="Calibri"/>
      <w:color w:val="404040"/>
      <w:sz w:val="20"/>
      <w:szCs w:val="20"/>
    </w:rPr>
  </w:style>
  <w:style w:type="paragraph" w:styleId="Nadpis9">
    <w:name w:val="heading 9"/>
    <w:basedOn w:val="Normln"/>
    <w:next w:val="Normln"/>
    <w:link w:val="Nadpis9Char"/>
    <w:qFormat/>
    <w:rsid w:val="009C2D9A"/>
    <w:pPr>
      <w:keepNext/>
      <w:keepLines/>
      <w:numPr>
        <w:ilvl w:val="8"/>
        <w:numId w:val="1"/>
      </w:numPr>
      <w:spacing w:before="200"/>
      <w:outlineLvl w:val="8"/>
    </w:pPr>
    <w:rPr>
      <w:rFonts w:ascii="Calibri" w:eastAsia="MS Gothic" w:hAnsi="Calibri"/>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arevnseznamzvraznn11">
    <w:name w:val="Barevný seznam – zvýraznění 11"/>
    <w:basedOn w:val="Normln"/>
    <w:autoRedefine/>
    <w:qFormat/>
    <w:rsid w:val="009C2D9A"/>
    <w:pPr>
      <w:numPr>
        <w:numId w:val="2"/>
      </w:numPr>
      <w:tabs>
        <w:tab w:val="left" w:pos="0"/>
        <w:tab w:val="left" w:pos="567"/>
      </w:tabs>
      <w:contextualSpacing/>
    </w:pPr>
  </w:style>
  <w:style w:type="character" w:customStyle="1" w:styleId="Nadpis1Char">
    <w:name w:val="Nadpis 1 Char"/>
    <w:link w:val="Nadpis1"/>
    <w:rsid w:val="009C2D9A"/>
    <w:rPr>
      <w:rFonts w:ascii="Arial" w:eastAsia="MS Gothic" w:hAnsi="Arial"/>
      <w:b/>
      <w:bCs/>
      <w:sz w:val="32"/>
      <w:szCs w:val="32"/>
    </w:rPr>
  </w:style>
  <w:style w:type="character" w:customStyle="1" w:styleId="Nadpis2Char">
    <w:name w:val="Nadpis 2 Char"/>
    <w:link w:val="Nadpis2"/>
    <w:rsid w:val="000A2121"/>
    <w:rPr>
      <w:rFonts w:ascii="Arial" w:eastAsia="MS Gothic" w:hAnsi="Arial"/>
      <w:b/>
      <w:bCs/>
      <w:sz w:val="28"/>
      <w:szCs w:val="28"/>
    </w:rPr>
  </w:style>
  <w:style w:type="character" w:customStyle="1" w:styleId="Nadpis3Char">
    <w:name w:val="Nadpis 3 Char"/>
    <w:link w:val="Nadpis3"/>
    <w:rsid w:val="009C2D9A"/>
    <w:rPr>
      <w:rFonts w:ascii="Calibri" w:eastAsia="MS Gothic" w:hAnsi="Calibri"/>
      <w:b/>
      <w:bCs/>
      <w:sz w:val="24"/>
      <w:szCs w:val="24"/>
    </w:rPr>
  </w:style>
  <w:style w:type="character" w:customStyle="1" w:styleId="Nadpis4Char">
    <w:name w:val="Nadpis 4 Char"/>
    <w:link w:val="Nadpis4"/>
    <w:rsid w:val="009C2D9A"/>
    <w:rPr>
      <w:rFonts w:ascii="Calibri" w:eastAsia="MS Gothic" w:hAnsi="Calibri"/>
      <w:b/>
      <w:bCs/>
      <w:i/>
      <w:iCs/>
      <w:color w:val="4F81BD"/>
      <w:sz w:val="24"/>
      <w:szCs w:val="24"/>
    </w:rPr>
  </w:style>
  <w:style w:type="character" w:customStyle="1" w:styleId="Nadpis5Char">
    <w:name w:val="Nadpis 5 Char"/>
    <w:link w:val="Nadpis5"/>
    <w:rsid w:val="009C2D9A"/>
    <w:rPr>
      <w:rFonts w:ascii="Calibri" w:eastAsia="MS Gothic" w:hAnsi="Calibri"/>
      <w:color w:val="243F60"/>
      <w:sz w:val="24"/>
      <w:szCs w:val="24"/>
    </w:rPr>
  </w:style>
  <w:style w:type="character" w:customStyle="1" w:styleId="Nadpis6Char">
    <w:name w:val="Nadpis 6 Char"/>
    <w:link w:val="Nadpis6"/>
    <w:rsid w:val="009C2D9A"/>
    <w:rPr>
      <w:rFonts w:ascii="Calibri" w:eastAsia="MS Gothic" w:hAnsi="Calibri"/>
      <w:i/>
      <w:iCs/>
      <w:color w:val="243F60"/>
      <w:sz w:val="24"/>
      <w:szCs w:val="24"/>
    </w:rPr>
  </w:style>
  <w:style w:type="character" w:customStyle="1" w:styleId="Nadpis7Char">
    <w:name w:val="Nadpis 7 Char"/>
    <w:link w:val="Nadpis7"/>
    <w:rsid w:val="009C2D9A"/>
    <w:rPr>
      <w:rFonts w:ascii="Calibri" w:eastAsia="MS Gothic" w:hAnsi="Calibri"/>
      <w:i/>
      <w:iCs/>
      <w:color w:val="404040"/>
      <w:sz w:val="24"/>
      <w:szCs w:val="24"/>
    </w:rPr>
  </w:style>
  <w:style w:type="character" w:customStyle="1" w:styleId="Nadpis8Char">
    <w:name w:val="Nadpis 8 Char"/>
    <w:link w:val="Nadpis8"/>
    <w:rsid w:val="009C2D9A"/>
    <w:rPr>
      <w:rFonts w:ascii="Calibri" w:eastAsia="MS Gothic" w:hAnsi="Calibri"/>
      <w:color w:val="404040"/>
    </w:rPr>
  </w:style>
  <w:style w:type="character" w:customStyle="1" w:styleId="Nadpis9Char">
    <w:name w:val="Nadpis 9 Char"/>
    <w:link w:val="Nadpis9"/>
    <w:rsid w:val="009C2D9A"/>
    <w:rPr>
      <w:rFonts w:ascii="Calibri" w:eastAsia="MS Gothic" w:hAnsi="Calibri"/>
      <w:i/>
      <w:iCs/>
      <w:color w:val="404040"/>
    </w:rPr>
  </w:style>
  <w:style w:type="paragraph" w:styleId="Zkladntextodsazen">
    <w:name w:val="Body Text Indent"/>
    <w:basedOn w:val="Normln"/>
    <w:link w:val="ZkladntextodsazenChar"/>
    <w:rsid w:val="009C2D9A"/>
    <w:pPr>
      <w:spacing w:line="240" w:lineRule="auto"/>
      <w:ind w:left="993"/>
      <w:jc w:val="left"/>
    </w:pPr>
    <w:rPr>
      <w:rFonts w:ascii="Courier New" w:eastAsia="Times New Roman" w:hAnsi="Courier New"/>
      <w:sz w:val="20"/>
      <w:szCs w:val="20"/>
      <w:lang w:eastAsia="cs-CZ"/>
    </w:rPr>
  </w:style>
  <w:style w:type="character" w:customStyle="1" w:styleId="ZkladntextodsazenChar">
    <w:name w:val="Základní text odsazený Char"/>
    <w:link w:val="Zkladntextodsazen"/>
    <w:rsid w:val="009C2D9A"/>
    <w:rPr>
      <w:rFonts w:ascii="Courier New" w:hAnsi="Courier New"/>
      <w:lang w:val="cs-CZ" w:eastAsia="cs-CZ" w:bidi="ar-SA"/>
    </w:rPr>
  </w:style>
  <w:style w:type="character" w:styleId="slostrnky">
    <w:name w:val="page number"/>
    <w:rsid w:val="009C2D9A"/>
    <w:rPr>
      <w:rFonts w:ascii="Times New Roman" w:hAnsi="Times New Roman" w:cs="Times New Roman"/>
      <w:sz w:val="24"/>
    </w:rPr>
  </w:style>
  <w:style w:type="character" w:customStyle="1" w:styleId="TrailerWGM">
    <w:name w:val="Trailer WGM"/>
    <w:rsid w:val="009C2D9A"/>
    <w:rPr>
      <w:caps/>
      <w:sz w:val="14"/>
    </w:rPr>
  </w:style>
  <w:style w:type="paragraph" w:styleId="Zhlav">
    <w:name w:val="header"/>
    <w:basedOn w:val="Normln"/>
    <w:link w:val="ZhlavChar"/>
    <w:uiPriority w:val="99"/>
    <w:rsid w:val="009C2D9A"/>
    <w:pPr>
      <w:tabs>
        <w:tab w:val="center" w:pos="4703"/>
        <w:tab w:val="right" w:pos="9406"/>
      </w:tabs>
    </w:pPr>
  </w:style>
  <w:style w:type="paragraph" w:styleId="Zpat">
    <w:name w:val="footer"/>
    <w:basedOn w:val="Normln"/>
    <w:link w:val="ZpatChar"/>
    <w:uiPriority w:val="99"/>
    <w:rsid w:val="009C2D9A"/>
    <w:pPr>
      <w:tabs>
        <w:tab w:val="center" w:pos="4703"/>
        <w:tab w:val="right" w:pos="9406"/>
      </w:tabs>
    </w:pPr>
  </w:style>
  <w:style w:type="paragraph" w:styleId="Obsah1">
    <w:name w:val="toc 1"/>
    <w:basedOn w:val="Normln"/>
    <w:next w:val="Normln"/>
    <w:autoRedefine/>
    <w:rsid w:val="00B87740"/>
    <w:pPr>
      <w:spacing w:after="0"/>
      <w:jc w:val="left"/>
    </w:pPr>
    <w:rPr>
      <w:rFonts w:cs="Arial"/>
      <w:noProof/>
    </w:rPr>
  </w:style>
  <w:style w:type="paragraph" w:styleId="Obsah2">
    <w:name w:val="toc 2"/>
    <w:basedOn w:val="Normln"/>
    <w:next w:val="Normln"/>
    <w:autoRedefine/>
    <w:rsid w:val="009C2D9A"/>
    <w:pPr>
      <w:spacing w:before="0" w:after="0"/>
      <w:ind w:left="240"/>
      <w:jc w:val="left"/>
    </w:pPr>
    <w:rPr>
      <w:rFonts w:ascii="Cambria" w:hAnsi="Cambria"/>
      <w:b/>
      <w:sz w:val="22"/>
      <w:szCs w:val="22"/>
    </w:rPr>
  </w:style>
  <w:style w:type="paragraph" w:styleId="Obsah3">
    <w:name w:val="toc 3"/>
    <w:basedOn w:val="Normln"/>
    <w:next w:val="Normln"/>
    <w:autoRedefine/>
    <w:rsid w:val="009C2D9A"/>
    <w:pPr>
      <w:spacing w:before="0" w:after="0"/>
      <w:ind w:left="480"/>
      <w:jc w:val="left"/>
    </w:pPr>
    <w:rPr>
      <w:rFonts w:ascii="Cambria" w:hAnsi="Cambria"/>
      <w:sz w:val="22"/>
      <w:szCs w:val="22"/>
    </w:rPr>
  </w:style>
  <w:style w:type="character" w:styleId="Hypertextovodkaz">
    <w:name w:val="Hyperlink"/>
    <w:rsid w:val="009C2D9A"/>
    <w:rPr>
      <w:color w:val="0000FF"/>
      <w:u w:val="single"/>
    </w:rPr>
  </w:style>
  <w:style w:type="paragraph" w:styleId="Rozloendokumentu">
    <w:name w:val="Document Map"/>
    <w:basedOn w:val="Normln"/>
    <w:semiHidden/>
    <w:rsid w:val="009C2D9A"/>
    <w:pPr>
      <w:shd w:val="clear" w:color="auto" w:fill="000080"/>
    </w:pPr>
    <w:rPr>
      <w:rFonts w:ascii="Tahoma" w:hAnsi="Tahoma" w:cs="Tahoma"/>
      <w:sz w:val="20"/>
      <w:szCs w:val="20"/>
    </w:rPr>
  </w:style>
  <w:style w:type="paragraph" w:styleId="Normlnweb">
    <w:name w:val="Normal (Web)"/>
    <w:basedOn w:val="Normln"/>
    <w:rsid w:val="009C2D9A"/>
    <w:pPr>
      <w:spacing w:before="100" w:beforeAutospacing="1" w:after="100" w:afterAutospacing="1" w:line="240" w:lineRule="auto"/>
      <w:jc w:val="left"/>
    </w:pPr>
    <w:rPr>
      <w:rFonts w:eastAsia="Times New Roman"/>
      <w:lang w:eastAsia="cs-CZ"/>
    </w:rPr>
  </w:style>
  <w:style w:type="character" w:customStyle="1" w:styleId="googqs-tidbitgoogqs-tidbit-0">
    <w:name w:val="goog_qs-tidbit goog_qs-tidbit-0"/>
    <w:basedOn w:val="Standardnpsmoodstavce"/>
    <w:rsid w:val="009C2D9A"/>
  </w:style>
  <w:style w:type="character" w:styleId="Siln">
    <w:name w:val="Strong"/>
    <w:qFormat/>
    <w:rsid w:val="009C2D9A"/>
    <w:rPr>
      <w:rFonts w:ascii="Times New Roman" w:hAnsi="Times New Roman"/>
      <w:b w:val="0"/>
      <w:bCs/>
      <w:i w:val="0"/>
      <w:iCs w:val="0"/>
      <w:caps/>
      <w:smallCaps w:val="0"/>
      <w:sz w:val="32"/>
      <w:szCs w:val="32"/>
    </w:rPr>
  </w:style>
  <w:style w:type="paragraph" w:customStyle="1" w:styleId="noteitalic">
    <w:name w:val="note italic"/>
    <w:basedOn w:val="Normln"/>
    <w:rsid w:val="009C2D9A"/>
    <w:pPr>
      <w:spacing w:before="100" w:beforeAutospacing="1" w:after="100" w:afterAutospacing="1" w:line="240" w:lineRule="auto"/>
      <w:jc w:val="left"/>
    </w:pPr>
    <w:rPr>
      <w:rFonts w:eastAsia="Times New Roman"/>
      <w:lang w:eastAsia="cs-CZ"/>
    </w:rPr>
  </w:style>
  <w:style w:type="paragraph" w:styleId="Obsah4">
    <w:name w:val="toc 4"/>
    <w:basedOn w:val="Normln"/>
    <w:next w:val="Normln"/>
    <w:autoRedefine/>
    <w:unhideWhenUsed/>
    <w:rsid w:val="009C2D9A"/>
    <w:pPr>
      <w:spacing w:before="0" w:after="0"/>
      <w:ind w:left="720"/>
      <w:jc w:val="left"/>
    </w:pPr>
    <w:rPr>
      <w:rFonts w:ascii="Cambria" w:hAnsi="Cambria"/>
      <w:sz w:val="20"/>
      <w:szCs w:val="20"/>
    </w:rPr>
  </w:style>
  <w:style w:type="paragraph" w:styleId="Obsah5">
    <w:name w:val="toc 5"/>
    <w:basedOn w:val="Normln"/>
    <w:next w:val="Normln"/>
    <w:autoRedefine/>
    <w:unhideWhenUsed/>
    <w:rsid w:val="009C2D9A"/>
    <w:pPr>
      <w:spacing w:before="0" w:after="0"/>
      <w:ind w:left="960"/>
      <w:jc w:val="left"/>
    </w:pPr>
    <w:rPr>
      <w:rFonts w:ascii="Cambria" w:hAnsi="Cambria"/>
      <w:sz w:val="20"/>
      <w:szCs w:val="20"/>
    </w:rPr>
  </w:style>
  <w:style w:type="paragraph" w:styleId="Obsah6">
    <w:name w:val="toc 6"/>
    <w:basedOn w:val="Normln"/>
    <w:next w:val="Normln"/>
    <w:autoRedefine/>
    <w:unhideWhenUsed/>
    <w:rsid w:val="009C2D9A"/>
    <w:pPr>
      <w:spacing w:before="0" w:after="0"/>
      <w:ind w:left="1200"/>
      <w:jc w:val="left"/>
    </w:pPr>
    <w:rPr>
      <w:rFonts w:ascii="Cambria" w:hAnsi="Cambria"/>
      <w:sz w:val="20"/>
      <w:szCs w:val="20"/>
    </w:rPr>
  </w:style>
  <w:style w:type="paragraph" w:styleId="Obsah7">
    <w:name w:val="toc 7"/>
    <w:basedOn w:val="Normln"/>
    <w:next w:val="Normln"/>
    <w:autoRedefine/>
    <w:unhideWhenUsed/>
    <w:rsid w:val="009C2D9A"/>
    <w:pPr>
      <w:spacing w:before="0" w:after="0"/>
      <w:ind w:left="1440"/>
      <w:jc w:val="left"/>
    </w:pPr>
    <w:rPr>
      <w:rFonts w:ascii="Cambria" w:hAnsi="Cambria"/>
      <w:sz w:val="20"/>
      <w:szCs w:val="20"/>
    </w:rPr>
  </w:style>
  <w:style w:type="paragraph" w:styleId="Obsah8">
    <w:name w:val="toc 8"/>
    <w:basedOn w:val="Normln"/>
    <w:next w:val="Normln"/>
    <w:autoRedefine/>
    <w:unhideWhenUsed/>
    <w:rsid w:val="009C2D9A"/>
    <w:pPr>
      <w:spacing w:before="0" w:after="0"/>
      <w:ind w:left="1680"/>
      <w:jc w:val="left"/>
    </w:pPr>
    <w:rPr>
      <w:rFonts w:ascii="Cambria" w:hAnsi="Cambria"/>
      <w:sz w:val="20"/>
      <w:szCs w:val="20"/>
    </w:rPr>
  </w:style>
  <w:style w:type="paragraph" w:styleId="Obsah9">
    <w:name w:val="toc 9"/>
    <w:basedOn w:val="Normln"/>
    <w:next w:val="Normln"/>
    <w:autoRedefine/>
    <w:unhideWhenUsed/>
    <w:rsid w:val="009C2D9A"/>
    <w:pPr>
      <w:spacing w:before="0" w:after="0"/>
      <w:ind w:left="1920"/>
      <w:jc w:val="left"/>
    </w:pPr>
    <w:rPr>
      <w:rFonts w:ascii="Cambria" w:hAnsi="Cambria"/>
      <w:sz w:val="20"/>
      <w:szCs w:val="20"/>
    </w:rPr>
  </w:style>
  <w:style w:type="paragraph" w:styleId="Textpoznpodarou">
    <w:name w:val="footnote text"/>
    <w:basedOn w:val="Normln"/>
    <w:link w:val="TextpoznpodarouChar"/>
    <w:unhideWhenUsed/>
    <w:rsid w:val="009C2D9A"/>
    <w:rPr>
      <w:sz w:val="16"/>
    </w:rPr>
  </w:style>
  <w:style w:type="character" w:customStyle="1" w:styleId="TextpoznpodarouChar">
    <w:name w:val="Text pozn. pod čarou Char"/>
    <w:link w:val="Textpoznpodarou"/>
    <w:rsid w:val="009C2D9A"/>
    <w:rPr>
      <w:rFonts w:ascii="Arial" w:eastAsia="MS Mincho" w:hAnsi="Arial"/>
      <w:sz w:val="16"/>
      <w:szCs w:val="24"/>
      <w:lang w:val="cs-CZ" w:bidi="ar-SA"/>
    </w:rPr>
  </w:style>
  <w:style w:type="character" w:styleId="Znakapoznpodarou">
    <w:name w:val="footnote reference"/>
    <w:unhideWhenUsed/>
    <w:rsid w:val="009C2D9A"/>
    <w:rPr>
      <w:vertAlign w:val="superscript"/>
    </w:rPr>
  </w:style>
  <w:style w:type="paragraph" w:styleId="Titulek">
    <w:name w:val="caption"/>
    <w:basedOn w:val="Normln"/>
    <w:next w:val="Normln"/>
    <w:qFormat/>
    <w:rsid w:val="009C2D9A"/>
    <w:pPr>
      <w:jc w:val="center"/>
    </w:pPr>
    <w:rPr>
      <w:rFonts w:ascii="Times New Roman Bold" w:hAnsi="Times New Roman Bold"/>
      <w:b/>
      <w:bCs/>
      <w:caps/>
      <w:sz w:val="32"/>
      <w:szCs w:val="32"/>
    </w:rPr>
  </w:style>
  <w:style w:type="paragraph" w:customStyle="1" w:styleId="Nadpisobsahu1">
    <w:name w:val="Nadpis obsahu1"/>
    <w:basedOn w:val="Nadpis1"/>
    <w:next w:val="Normln"/>
    <w:qFormat/>
    <w:rsid w:val="009C2D9A"/>
    <w:pPr>
      <w:numPr>
        <w:numId w:val="0"/>
      </w:numPr>
      <w:spacing w:line="276" w:lineRule="auto"/>
      <w:jc w:val="left"/>
      <w:outlineLvl w:val="9"/>
    </w:pPr>
    <w:rPr>
      <w:sz w:val="24"/>
      <w:szCs w:val="20"/>
      <w:u w:val="single"/>
      <w:lang w:val="en-US"/>
    </w:rPr>
  </w:style>
  <w:style w:type="paragraph" w:styleId="Nzev">
    <w:name w:val="Title"/>
    <w:basedOn w:val="Normln"/>
    <w:next w:val="Normln"/>
    <w:link w:val="NzevChar"/>
    <w:qFormat/>
    <w:rsid w:val="009C2D9A"/>
    <w:pPr>
      <w:spacing w:before="240" w:after="60"/>
      <w:jc w:val="center"/>
      <w:outlineLvl w:val="0"/>
    </w:pPr>
    <w:rPr>
      <w:rFonts w:ascii="Calibri" w:eastAsia="MS Gothic" w:hAnsi="Calibri"/>
      <w:b/>
      <w:bCs/>
      <w:kern w:val="28"/>
      <w:sz w:val="32"/>
      <w:szCs w:val="32"/>
    </w:rPr>
  </w:style>
  <w:style w:type="character" w:customStyle="1" w:styleId="NzevChar">
    <w:name w:val="Název Char"/>
    <w:link w:val="Nzev"/>
    <w:rsid w:val="009C2D9A"/>
    <w:rPr>
      <w:rFonts w:ascii="Calibri" w:eastAsia="MS Gothic" w:hAnsi="Calibri"/>
      <w:b/>
      <w:bCs/>
      <w:kern w:val="28"/>
      <w:sz w:val="32"/>
      <w:szCs w:val="32"/>
      <w:lang w:val="cs-CZ" w:bidi="ar-SA"/>
    </w:rPr>
  </w:style>
  <w:style w:type="character" w:styleId="slodku">
    <w:name w:val="line number"/>
    <w:semiHidden/>
    <w:unhideWhenUsed/>
    <w:rsid w:val="009C2D9A"/>
  </w:style>
  <w:style w:type="character" w:customStyle="1" w:styleId="quote22">
    <w:name w:val="quote22"/>
    <w:rsid w:val="009C2D9A"/>
  </w:style>
  <w:style w:type="paragraph" w:customStyle="1" w:styleId="null">
    <w:name w:val="null"/>
    <w:basedOn w:val="Normln"/>
    <w:rsid w:val="009C2D9A"/>
    <w:pPr>
      <w:spacing w:before="100" w:beforeAutospacing="1" w:after="100" w:afterAutospacing="1" w:line="240" w:lineRule="auto"/>
      <w:jc w:val="left"/>
    </w:pPr>
    <w:rPr>
      <w:rFonts w:eastAsia="Times New Roman"/>
      <w:lang w:eastAsia="cs-CZ"/>
    </w:rPr>
  </w:style>
  <w:style w:type="character" w:styleId="Zdraznn">
    <w:name w:val="Emphasis"/>
    <w:qFormat/>
    <w:rsid w:val="009C2D9A"/>
    <w:rPr>
      <w:i/>
      <w:iCs/>
    </w:rPr>
  </w:style>
  <w:style w:type="table" w:styleId="Mkatabulky">
    <w:name w:val="Table Grid"/>
    <w:basedOn w:val="Normlntabulka"/>
    <w:rsid w:val="009C2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adpis1"/>
    <w:next w:val="Normln"/>
    <w:qFormat/>
    <w:rsid w:val="009C2D9A"/>
    <w:pPr>
      <w:numPr>
        <w:numId w:val="0"/>
      </w:numPr>
    </w:pPr>
  </w:style>
  <w:style w:type="paragraph" w:customStyle="1" w:styleId="odrkyodsazen2">
    <w:name w:val="odrážky_odsazené2"/>
    <w:basedOn w:val="Normln"/>
    <w:rsid w:val="009C2D9A"/>
    <w:pPr>
      <w:numPr>
        <w:numId w:val="4"/>
      </w:numPr>
    </w:pPr>
    <w:rPr>
      <w:rFonts w:eastAsia="Times New Roman"/>
      <w:szCs w:val="20"/>
    </w:rPr>
  </w:style>
  <w:style w:type="paragraph" w:customStyle="1" w:styleId="StylNadpis1Tmaverven">
    <w:name w:val="Styl Nadpis 1 + Tmavě červená"/>
    <w:basedOn w:val="Nadpis1"/>
    <w:rsid w:val="009C2D9A"/>
    <w:pPr>
      <w:keepLines w:val="0"/>
      <w:numPr>
        <w:numId w:val="0"/>
      </w:numPr>
      <w:tabs>
        <w:tab w:val="num" w:pos="567"/>
      </w:tabs>
      <w:spacing w:after="360" w:line="240" w:lineRule="auto"/>
      <w:ind w:left="567" w:hanging="567"/>
      <w:jc w:val="both"/>
    </w:pPr>
    <w:rPr>
      <w:rFonts w:eastAsia="Times New Roman"/>
      <w:color w:val="800000"/>
      <w:kern w:val="28"/>
      <w:sz w:val="28"/>
      <w:szCs w:val="28"/>
      <w:lang w:eastAsia="cs-CZ"/>
    </w:rPr>
  </w:style>
  <w:style w:type="paragraph" w:customStyle="1" w:styleId="Styl2">
    <w:name w:val="Styl2"/>
    <w:basedOn w:val="Normln"/>
    <w:rsid w:val="009C2D9A"/>
    <w:pPr>
      <w:keepNext/>
      <w:numPr>
        <w:ilvl w:val="1"/>
        <w:numId w:val="3"/>
      </w:numPr>
      <w:spacing w:before="480"/>
      <w:outlineLvl w:val="1"/>
    </w:pPr>
    <w:rPr>
      <w:rFonts w:eastAsia="Times New Roman" w:cs="Arial"/>
      <w:b/>
      <w:bCs/>
      <w:color w:val="008000"/>
      <w:lang w:eastAsia="cs-CZ"/>
    </w:rPr>
  </w:style>
  <w:style w:type="paragraph" w:customStyle="1" w:styleId="StylStylNadpis212bArialZelen">
    <w:name w:val="Styl Styl Nadpis 2 + 12 b. + Arial Zelená"/>
    <w:basedOn w:val="Normln"/>
    <w:rsid w:val="009C2D9A"/>
    <w:pPr>
      <w:keepNext/>
      <w:tabs>
        <w:tab w:val="num" w:pos="0"/>
      </w:tabs>
      <w:spacing w:before="480"/>
      <w:outlineLvl w:val="1"/>
    </w:pPr>
    <w:rPr>
      <w:rFonts w:eastAsia="Times New Roman"/>
      <w:b/>
      <w:bCs/>
      <w:color w:val="008000"/>
      <w:lang w:eastAsia="cs-CZ"/>
    </w:rPr>
  </w:style>
  <w:style w:type="paragraph" w:customStyle="1" w:styleId="Odstavecseseznamem1">
    <w:name w:val="Odstavec se seznamem1"/>
    <w:basedOn w:val="Normln"/>
    <w:qFormat/>
    <w:rsid w:val="009C2D9A"/>
    <w:pPr>
      <w:spacing w:after="200" w:line="276" w:lineRule="auto"/>
      <w:ind w:left="720"/>
      <w:contextualSpacing/>
      <w:jc w:val="left"/>
    </w:pPr>
    <w:rPr>
      <w:rFonts w:ascii="Calibri" w:eastAsia="Calibri" w:hAnsi="Calibri"/>
      <w:sz w:val="22"/>
      <w:szCs w:val="22"/>
    </w:rPr>
  </w:style>
  <w:style w:type="character" w:customStyle="1" w:styleId="Zdraznnjemn1">
    <w:name w:val="Zdůraznění – jemné1"/>
    <w:qFormat/>
    <w:rsid w:val="009C2D9A"/>
    <w:rPr>
      <w:i/>
      <w:iCs/>
      <w:color w:val="808080"/>
    </w:rPr>
  </w:style>
  <w:style w:type="character" w:customStyle="1" w:styleId="Zdraznnintenzivn1">
    <w:name w:val="Zdůraznění – intenzivní1"/>
    <w:qFormat/>
    <w:rsid w:val="009C2D9A"/>
    <w:rPr>
      <w:b/>
      <w:bCs/>
      <w:i/>
      <w:iCs/>
      <w:color w:val="4F81BD"/>
    </w:rPr>
  </w:style>
  <w:style w:type="paragraph" w:customStyle="1" w:styleId="Barevnmkazvraznn11">
    <w:name w:val="Barevná mřížka – zvýraznění 11"/>
    <w:basedOn w:val="Normln"/>
    <w:next w:val="Normln"/>
    <w:link w:val="Barevnmkazvraznn1Char"/>
    <w:qFormat/>
    <w:rsid w:val="009C2D9A"/>
    <w:rPr>
      <w:i/>
      <w:iCs/>
      <w:color w:val="000000"/>
    </w:rPr>
  </w:style>
  <w:style w:type="character" w:customStyle="1" w:styleId="Barevnmkazvraznn1Char">
    <w:name w:val="Barevná mřížka – zvýraznění 1 Char"/>
    <w:link w:val="Barevnmkazvraznn11"/>
    <w:rsid w:val="009C2D9A"/>
    <w:rPr>
      <w:rFonts w:ascii="Arial" w:eastAsia="MS Mincho" w:hAnsi="Arial"/>
      <w:i/>
      <w:iCs/>
      <w:color w:val="000000"/>
      <w:sz w:val="24"/>
      <w:szCs w:val="24"/>
      <w:lang w:val="cs-CZ" w:bidi="ar-SA"/>
    </w:rPr>
  </w:style>
  <w:style w:type="character" w:customStyle="1" w:styleId="Odkazintenzivn1">
    <w:name w:val="Odkaz – intenzivní1"/>
    <w:qFormat/>
    <w:rsid w:val="009C2D9A"/>
    <w:rPr>
      <w:b/>
      <w:bCs/>
      <w:smallCaps/>
      <w:color w:val="C0504D"/>
      <w:spacing w:val="5"/>
      <w:u w:val="single"/>
    </w:rPr>
  </w:style>
  <w:style w:type="paragraph" w:styleId="Podnadpis">
    <w:name w:val="Subtitle"/>
    <w:basedOn w:val="Normln"/>
    <w:next w:val="Normln"/>
    <w:link w:val="PodnadpisChar"/>
    <w:qFormat/>
    <w:rsid w:val="009C2D9A"/>
    <w:pPr>
      <w:spacing w:after="60"/>
      <w:jc w:val="center"/>
      <w:outlineLvl w:val="1"/>
    </w:pPr>
    <w:rPr>
      <w:rFonts w:ascii="Calibri" w:eastAsia="MS Gothic" w:hAnsi="Calibri"/>
    </w:rPr>
  </w:style>
  <w:style w:type="character" w:customStyle="1" w:styleId="PodnadpisChar">
    <w:name w:val="Podnadpis Char"/>
    <w:link w:val="Podnadpis"/>
    <w:rsid w:val="009C2D9A"/>
    <w:rPr>
      <w:rFonts w:ascii="Calibri" w:eastAsia="MS Gothic" w:hAnsi="Calibri"/>
      <w:sz w:val="24"/>
      <w:szCs w:val="24"/>
      <w:lang w:val="cs-CZ" w:bidi="ar-SA"/>
    </w:rPr>
  </w:style>
  <w:style w:type="character" w:customStyle="1" w:styleId="Odkazjemn1">
    <w:name w:val="Odkaz – jemný1"/>
    <w:qFormat/>
    <w:rsid w:val="009C2D9A"/>
    <w:rPr>
      <w:smallCaps/>
      <w:color w:val="C0504D"/>
      <w:u w:val="single"/>
    </w:rPr>
  </w:style>
  <w:style w:type="table" w:customStyle="1" w:styleId="Svtlstnovn1">
    <w:name w:val="Světlé stínování1"/>
    <w:basedOn w:val="Normlntabulka"/>
    <w:rsid w:val="009C2D9A"/>
    <w:rPr>
      <w:rFonts w:ascii="Cambria" w:eastAsia="MS Mincho" w:hAnsi="Cambri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Odkaznakoment">
    <w:name w:val="annotation reference"/>
    <w:semiHidden/>
    <w:unhideWhenUsed/>
    <w:rsid w:val="009C2D9A"/>
    <w:rPr>
      <w:sz w:val="16"/>
      <w:szCs w:val="16"/>
    </w:rPr>
  </w:style>
  <w:style w:type="paragraph" w:styleId="Textkomente">
    <w:name w:val="annotation text"/>
    <w:basedOn w:val="Normln"/>
    <w:link w:val="TextkomenteChar"/>
    <w:semiHidden/>
    <w:unhideWhenUsed/>
    <w:rsid w:val="009C2D9A"/>
    <w:rPr>
      <w:sz w:val="20"/>
      <w:szCs w:val="20"/>
    </w:rPr>
  </w:style>
  <w:style w:type="character" w:customStyle="1" w:styleId="TextkomenteChar">
    <w:name w:val="Text komentáře Char"/>
    <w:link w:val="Textkomente"/>
    <w:semiHidden/>
    <w:rsid w:val="009C2D9A"/>
    <w:rPr>
      <w:rFonts w:ascii="Arial" w:eastAsia="MS Mincho" w:hAnsi="Arial"/>
      <w:lang w:val="cs-CZ" w:eastAsia="en-US" w:bidi="ar-SA"/>
    </w:rPr>
  </w:style>
  <w:style w:type="paragraph" w:styleId="Pedmtkomente">
    <w:name w:val="annotation subject"/>
    <w:basedOn w:val="Textkomente"/>
    <w:next w:val="Textkomente"/>
    <w:link w:val="PedmtkomenteChar"/>
    <w:semiHidden/>
    <w:unhideWhenUsed/>
    <w:rsid w:val="009C2D9A"/>
    <w:rPr>
      <w:b/>
      <w:bCs/>
    </w:rPr>
  </w:style>
  <w:style w:type="character" w:customStyle="1" w:styleId="PedmtkomenteChar">
    <w:name w:val="Předmět komentáře Char"/>
    <w:link w:val="Pedmtkomente"/>
    <w:semiHidden/>
    <w:rsid w:val="009C2D9A"/>
    <w:rPr>
      <w:rFonts w:ascii="Arial" w:eastAsia="MS Mincho" w:hAnsi="Arial"/>
      <w:b/>
      <w:bCs/>
      <w:lang w:val="cs-CZ" w:eastAsia="en-US" w:bidi="ar-SA"/>
    </w:rPr>
  </w:style>
  <w:style w:type="paragraph" w:styleId="Textbubliny">
    <w:name w:val="Balloon Text"/>
    <w:basedOn w:val="Normln"/>
    <w:link w:val="TextbublinyChar"/>
    <w:semiHidden/>
    <w:unhideWhenUsed/>
    <w:rsid w:val="009C2D9A"/>
    <w:pPr>
      <w:spacing w:before="0" w:after="0" w:line="240" w:lineRule="auto"/>
    </w:pPr>
    <w:rPr>
      <w:rFonts w:ascii="Tahoma" w:hAnsi="Tahoma" w:cs="Tahoma"/>
      <w:sz w:val="16"/>
      <w:szCs w:val="16"/>
    </w:rPr>
  </w:style>
  <w:style w:type="character" w:customStyle="1" w:styleId="TextbublinyChar">
    <w:name w:val="Text bubliny Char"/>
    <w:link w:val="Textbubliny"/>
    <w:semiHidden/>
    <w:rsid w:val="009C2D9A"/>
    <w:rPr>
      <w:rFonts w:ascii="Tahoma" w:eastAsia="MS Mincho" w:hAnsi="Tahoma" w:cs="Tahoma"/>
      <w:sz w:val="16"/>
      <w:szCs w:val="16"/>
      <w:lang w:val="cs-CZ" w:eastAsia="en-US" w:bidi="ar-SA"/>
    </w:rPr>
  </w:style>
  <w:style w:type="paragraph" w:styleId="Odstavecseseznamem">
    <w:name w:val="List Paragraph"/>
    <w:basedOn w:val="Normln"/>
    <w:uiPriority w:val="34"/>
    <w:qFormat/>
    <w:rsid w:val="009C2D9A"/>
    <w:pPr>
      <w:spacing w:before="0" w:after="200" w:line="276" w:lineRule="auto"/>
      <w:ind w:left="720"/>
      <w:contextualSpacing/>
      <w:jc w:val="left"/>
    </w:pPr>
    <w:rPr>
      <w:rFonts w:ascii="Calibri" w:eastAsia="Calibri" w:hAnsi="Calibri"/>
      <w:sz w:val="22"/>
      <w:szCs w:val="22"/>
    </w:rPr>
  </w:style>
  <w:style w:type="paragraph" w:customStyle="1" w:styleId="Revize1">
    <w:name w:val="Revize1"/>
    <w:hidden/>
    <w:semiHidden/>
    <w:rsid w:val="009C2D9A"/>
    <w:rPr>
      <w:rFonts w:ascii="Arial" w:eastAsia="MS Mincho" w:hAnsi="Arial"/>
      <w:sz w:val="24"/>
      <w:szCs w:val="24"/>
      <w:lang w:eastAsia="en-US"/>
    </w:rPr>
  </w:style>
  <w:style w:type="paragraph" w:styleId="Revize">
    <w:name w:val="Revision"/>
    <w:hidden/>
    <w:uiPriority w:val="99"/>
    <w:semiHidden/>
    <w:rsid w:val="00DE6CF0"/>
    <w:rPr>
      <w:rFonts w:ascii="Arial" w:eastAsia="MS Mincho" w:hAnsi="Arial"/>
      <w:sz w:val="24"/>
      <w:szCs w:val="24"/>
      <w:lang w:eastAsia="en-US"/>
    </w:rPr>
  </w:style>
  <w:style w:type="paragraph" w:styleId="Textvysvtlivek">
    <w:name w:val="endnote text"/>
    <w:basedOn w:val="Normln"/>
    <w:link w:val="TextvysvtlivekChar"/>
    <w:uiPriority w:val="99"/>
    <w:semiHidden/>
    <w:unhideWhenUsed/>
    <w:rsid w:val="0073531E"/>
    <w:rPr>
      <w:sz w:val="20"/>
      <w:szCs w:val="20"/>
    </w:rPr>
  </w:style>
  <w:style w:type="character" w:customStyle="1" w:styleId="TextvysvtlivekChar">
    <w:name w:val="Text vysvětlivek Char"/>
    <w:link w:val="Textvysvtlivek"/>
    <w:uiPriority w:val="99"/>
    <w:semiHidden/>
    <w:rsid w:val="0073531E"/>
    <w:rPr>
      <w:rFonts w:ascii="Arial" w:eastAsia="MS Mincho" w:hAnsi="Arial"/>
      <w:lang w:eastAsia="en-US"/>
    </w:rPr>
  </w:style>
  <w:style w:type="character" w:styleId="Odkaznavysvtlivky">
    <w:name w:val="endnote reference"/>
    <w:uiPriority w:val="99"/>
    <w:semiHidden/>
    <w:unhideWhenUsed/>
    <w:rsid w:val="0073531E"/>
    <w:rPr>
      <w:vertAlign w:val="superscript"/>
    </w:rPr>
  </w:style>
  <w:style w:type="paragraph" w:styleId="Bezmezer">
    <w:name w:val="No Spacing"/>
    <w:link w:val="BezmezerChar"/>
    <w:uiPriority w:val="1"/>
    <w:qFormat/>
    <w:rsid w:val="00AA14D9"/>
    <w:rPr>
      <w:rFonts w:ascii="Calibri" w:hAnsi="Calibri"/>
      <w:sz w:val="22"/>
      <w:szCs w:val="22"/>
    </w:rPr>
  </w:style>
  <w:style w:type="character" w:customStyle="1" w:styleId="BezmezerChar">
    <w:name w:val="Bez mezer Char"/>
    <w:link w:val="Bezmezer"/>
    <w:uiPriority w:val="1"/>
    <w:rsid w:val="00AA14D9"/>
    <w:rPr>
      <w:rFonts w:ascii="Calibri" w:hAnsi="Calibri"/>
      <w:sz w:val="22"/>
      <w:szCs w:val="22"/>
    </w:rPr>
  </w:style>
  <w:style w:type="paragraph" w:customStyle="1" w:styleId="Default">
    <w:name w:val="Default"/>
    <w:rsid w:val="00AC6E55"/>
    <w:pPr>
      <w:autoSpaceDE w:val="0"/>
      <w:autoSpaceDN w:val="0"/>
      <w:adjustRightInd w:val="0"/>
    </w:pPr>
    <w:rPr>
      <w:color w:val="000000"/>
      <w:sz w:val="24"/>
      <w:szCs w:val="24"/>
    </w:rPr>
  </w:style>
  <w:style w:type="character" w:customStyle="1" w:styleId="ZhlavChar">
    <w:name w:val="Záhlaví Char"/>
    <w:link w:val="Zhlav"/>
    <w:uiPriority w:val="99"/>
    <w:rsid w:val="00233137"/>
    <w:rPr>
      <w:rFonts w:ascii="Arial" w:eastAsia="MS Mincho" w:hAnsi="Arial"/>
      <w:sz w:val="24"/>
      <w:szCs w:val="24"/>
      <w:lang w:eastAsia="en-US"/>
    </w:rPr>
  </w:style>
  <w:style w:type="character" w:customStyle="1" w:styleId="ZpatChar">
    <w:name w:val="Zápatí Char"/>
    <w:link w:val="Zpat"/>
    <w:uiPriority w:val="99"/>
    <w:rsid w:val="00384B30"/>
    <w:rPr>
      <w:rFonts w:ascii="Arial" w:eastAsia="MS Mincho" w:hAnsi="Arial"/>
      <w:sz w:val="24"/>
      <w:szCs w:val="24"/>
      <w:lang w:eastAsia="en-US"/>
    </w:rPr>
  </w:style>
  <w:style w:type="paragraph" w:customStyle="1" w:styleId="Paragraf">
    <w:name w:val="Paragraf"/>
    <w:basedOn w:val="Normln"/>
    <w:next w:val="Normln"/>
    <w:rsid w:val="00316B9D"/>
    <w:pPr>
      <w:keepNext/>
      <w:keepLines/>
      <w:spacing w:before="240" w:after="0" w:line="240" w:lineRule="auto"/>
      <w:jc w:val="center"/>
      <w:outlineLvl w:val="5"/>
    </w:pPr>
    <w:rPr>
      <w:rFonts w:ascii="Times New Roman" w:eastAsia="Times New Roman" w:hAnsi="Times New Roman"/>
      <w:szCs w:val="20"/>
      <w:lang w:eastAsia="cs-CZ"/>
    </w:rPr>
  </w:style>
  <w:style w:type="paragraph" w:customStyle="1" w:styleId="Textparagrafu">
    <w:name w:val="Text paragrafu"/>
    <w:basedOn w:val="Normln"/>
    <w:rsid w:val="00316B9D"/>
    <w:pPr>
      <w:spacing w:before="240" w:after="0" w:line="240" w:lineRule="auto"/>
      <w:ind w:firstLine="425"/>
      <w:outlineLvl w:val="5"/>
    </w:pPr>
    <w:rPr>
      <w:rFonts w:ascii="Times New Roman" w:eastAsia="Times New Roman" w:hAnsi="Times New Roman"/>
      <w:szCs w:val="20"/>
      <w:lang w:eastAsia="cs-CZ"/>
    </w:rPr>
  </w:style>
  <w:style w:type="paragraph" w:styleId="Prosttext">
    <w:name w:val="Plain Text"/>
    <w:aliases w:val=" Char,Char,Char Char Char Char,Char Char Char"/>
    <w:basedOn w:val="Normln"/>
    <w:link w:val="ProsttextChar"/>
    <w:rsid w:val="00316B9D"/>
    <w:pPr>
      <w:spacing w:before="0" w:after="0" w:line="240" w:lineRule="auto"/>
      <w:jc w:val="left"/>
    </w:pPr>
    <w:rPr>
      <w:rFonts w:ascii="Courier New" w:eastAsia="Times New Roman" w:hAnsi="Courier New"/>
      <w:sz w:val="20"/>
      <w:szCs w:val="20"/>
      <w:lang w:eastAsia="cs-CZ"/>
    </w:rPr>
  </w:style>
  <w:style w:type="character" w:customStyle="1" w:styleId="ProsttextChar">
    <w:name w:val="Prostý text Char"/>
    <w:aliases w:val=" Char Char,Char Char,Char Char Char Char Char,Char Char Char Char1"/>
    <w:link w:val="Prosttext"/>
    <w:rsid w:val="00316B9D"/>
    <w:rPr>
      <w:rFonts w:ascii="Courier New" w:hAnsi="Courier New"/>
    </w:rPr>
  </w:style>
  <w:style w:type="paragraph" w:styleId="FormtovanvHTML">
    <w:name w:val="HTML Preformatted"/>
    <w:basedOn w:val="Normln"/>
    <w:link w:val="FormtovanvHTMLChar"/>
    <w:rsid w:val="00316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sz w:val="20"/>
      <w:szCs w:val="20"/>
      <w:lang w:eastAsia="cs-CZ"/>
    </w:rPr>
  </w:style>
  <w:style w:type="character" w:customStyle="1" w:styleId="FormtovanvHTMLChar">
    <w:name w:val="Formátovaný v HTML Char"/>
    <w:link w:val="FormtovanvHTML"/>
    <w:rsid w:val="00316B9D"/>
    <w:rPr>
      <w:rFonts w:ascii="Courier New" w:hAnsi="Courier New" w:cs="Courier New"/>
    </w:rPr>
  </w:style>
  <w:style w:type="paragraph" w:customStyle="1" w:styleId="Normal">
    <w:name w:val="[Normal]"/>
    <w:link w:val="NormalChar"/>
    <w:rsid w:val="00316B9D"/>
    <w:pPr>
      <w:autoSpaceDE w:val="0"/>
      <w:autoSpaceDN w:val="0"/>
      <w:adjustRightInd w:val="0"/>
    </w:pPr>
    <w:rPr>
      <w:rFonts w:ascii="Arial" w:eastAsia="SimSun" w:hAnsi="Arial" w:cs="Arial"/>
      <w:sz w:val="24"/>
      <w:szCs w:val="24"/>
      <w:lang w:eastAsia="zh-CN"/>
    </w:rPr>
  </w:style>
  <w:style w:type="character" w:customStyle="1" w:styleId="NormalChar">
    <w:name w:val="[Normal] Char"/>
    <w:link w:val="Normal"/>
    <w:rsid w:val="00316B9D"/>
    <w:rPr>
      <w:rFonts w:ascii="Arial" w:eastAsia="SimSun" w:hAnsi="Arial" w:cs="Arial"/>
      <w:sz w:val="24"/>
      <w:szCs w:val="24"/>
      <w:lang w:eastAsia="zh-CN"/>
    </w:rPr>
  </w:style>
  <w:style w:type="character" w:styleId="Nevyeenzmnka">
    <w:name w:val="Unresolved Mention"/>
    <w:basedOn w:val="Standardnpsmoodstavce"/>
    <w:uiPriority w:val="99"/>
    <w:semiHidden/>
    <w:unhideWhenUsed/>
    <w:rsid w:val="00391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085971">
      <w:bodyDiv w:val="1"/>
      <w:marLeft w:val="0"/>
      <w:marRight w:val="0"/>
      <w:marTop w:val="0"/>
      <w:marBottom w:val="0"/>
      <w:divBdr>
        <w:top w:val="none" w:sz="0" w:space="0" w:color="auto"/>
        <w:left w:val="none" w:sz="0" w:space="0" w:color="auto"/>
        <w:bottom w:val="none" w:sz="0" w:space="0" w:color="auto"/>
        <w:right w:val="none" w:sz="0" w:space="0" w:color="auto"/>
      </w:divBdr>
    </w:div>
    <w:div w:id="434986172">
      <w:bodyDiv w:val="1"/>
      <w:marLeft w:val="0"/>
      <w:marRight w:val="0"/>
      <w:marTop w:val="0"/>
      <w:marBottom w:val="0"/>
      <w:divBdr>
        <w:top w:val="none" w:sz="0" w:space="0" w:color="auto"/>
        <w:left w:val="none" w:sz="0" w:space="0" w:color="auto"/>
        <w:bottom w:val="none" w:sz="0" w:space="0" w:color="auto"/>
        <w:right w:val="none" w:sz="0" w:space="0" w:color="auto"/>
      </w:divBdr>
    </w:div>
    <w:div w:id="587079733">
      <w:bodyDiv w:val="1"/>
      <w:marLeft w:val="0"/>
      <w:marRight w:val="0"/>
      <w:marTop w:val="0"/>
      <w:marBottom w:val="0"/>
      <w:divBdr>
        <w:top w:val="none" w:sz="0" w:space="0" w:color="auto"/>
        <w:left w:val="none" w:sz="0" w:space="0" w:color="auto"/>
        <w:bottom w:val="none" w:sz="0" w:space="0" w:color="auto"/>
        <w:right w:val="none" w:sz="0" w:space="0" w:color="auto"/>
      </w:divBdr>
    </w:div>
    <w:div w:id="1251430007">
      <w:bodyDiv w:val="1"/>
      <w:marLeft w:val="0"/>
      <w:marRight w:val="0"/>
      <w:marTop w:val="0"/>
      <w:marBottom w:val="0"/>
      <w:divBdr>
        <w:top w:val="none" w:sz="0" w:space="0" w:color="auto"/>
        <w:left w:val="none" w:sz="0" w:space="0" w:color="auto"/>
        <w:bottom w:val="none" w:sz="0" w:space="0" w:color="auto"/>
        <w:right w:val="none" w:sz="0" w:space="0" w:color="auto"/>
      </w:divBdr>
    </w:div>
    <w:div w:id="140491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02B18-65DD-43C7-B6C3-1A2E5C3A7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78E0E970.dotm</Template>
  <TotalTime>70</TotalTime>
  <Pages>11</Pages>
  <Words>4401</Words>
  <Characters>26853</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VLÁDA ČESKÉ REPUBLIKY</vt:lpstr>
    </vt:vector>
  </TitlesOfParts>
  <Company>Microsoft</Company>
  <LinksUpToDate>false</LinksUpToDate>
  <CharactersWithSpaces>31192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VLÁDA ČESKÉ REPUBLIKY</dc:title>
  <dc:creator>prochav</dc:creator>
  <cp:lastModifiedBy>Vacek Jan</cp:lastModifiedBy>
  <cp:revision>36</cp:revision>
  <cp:lastPrinted>2019-12-03T09:35:00Z</cp:lastPrinted>
  <dcterms:created xsi:type="dcterms:W3CDTF">2020-07-30T07:47:00Z</dcterms:created>
  <dcterms:modified xsi:type="dcterms:W3CDTF">2020-08-31T08:54:00Z</dcterms:modified>
</cp:coreProperties>
</file>