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15C3C6" w14:textId="3F868A03" w:rsidR="00755E50" w:rsidRPr="002F6D22" w:rsidRDefault="00755E50" w:rsidP="00755E50">
      <w:pPr>
        <w:spacing w:after="600"/>
        <w:jc w:val="center"/>
        <w:rPr>
          <w:rFonts w:asciiTheme="minorHAnsi" w:hAnsiTheme="minorHAnsi" w:cs="Arial"/>
          <w:b/>
          <w:sz w:val="24"/>
          <w:szCs w:val="24"/>
        </w:rPr>
      </w:pPr>
      <w:r w:rsidRPr="002F6D22">
        <w:rPr>
          <w:rFonts w:asciiTheme="minorHAnsi" w:hAnsiTheme="minorHAnsi" w:cs="Arial"/>
          <w:b/>
          <w:sz w:val="24"/>
          <w:szCs w:val="24"/>
        </w:rPr>
        <w:t>PŘEDKLÁDACÍ ZPRÁVA</w:t>
      </w:r>
      <w:r w:rsidR="00C10439">
        <w:rPr>
          <w:rFonts w:asciiTheme="minorHAnsi" w:hAnsiTheme="minorHAnsi" w:cs="Arial"/>
          <w:b/>
          <w:sz w:val="24"/>
          <w:szCs w:val="24"/>
        </w:rPr>
        <w:t xml:space="preserve"> PRO PARLAMENT ČESKÉ REPUBLIKY</w:t>
      </w:r>
      <w:r w:rsidRPr="002F6D22">
        <w:rPr>
          <w:rFonts w:asciiTheme="minorHAnsi" w:hAnsiTheme="minorHAnsi" w:cs="Arial"/>
          <w:b/>
          <w:sz w:val="24"/>
          <w:szCs w:val="24"/>
        </w:rPr>
        <w:t xml:space="preserve"> </w:t>
      </w:r>
    </w:p>
    <w:p w14:paraId="6BCC7574" w14:textId="77777777" w:rsidR="00C10439" w:rsidRPr="00446A6C" w:rsidRDefault="00C10439" w:rsidP="00C10439">
      <w:pPr>
        <w:spacing w:after="0" w:line="240" w:lineRule="auto"/>
        <w:jc w:val="both"/>
        <w:rPr>
          <w:rFonts w:asciiTheme="minorHAnsi" w:hAnsiTheme="minorHAnsi" w:cs="Arial"/>
        </w:rPr>
      </w:pPr>
      <w:r>
        <w:rPr>
          <w:rFonts w:asciiTheme="minorHAnsi" w:hAnsiTheme="minorHAnsi" w:cs="Arial"/>
        </w:rPr>
        <w:t>Parlamentu České republiky se ke schválení předkládá</w:t>
      </w:r>
      <w:r w:rsidRPr="00446A6C">
        <w:rPr>
          <w:rFonts w:asciiTheme="minorHAnsi" w:hAnsiTheme="minorHAnsi" w:cs="Arial"/>
        </w:rPr>
        <w:t xml:space="preserve"> „Návrh na přístup České republiky k</w:t>
      </w:r>
      <w:r>
        <w:rPr>
          <w:rFonts w:asciiTheme="minorHAnsi" w:hAnsiTheme="minorHAnsi" w:cs="Arial"/>
        </w:rPr>
        <w:t> </w:t>
      </w:r>
      <w:r w:rsidRPr="00446A6C">
        <w:rPr>
          <w:rFonts w:asciiTheme="minorHAnsi" w:hAnsiTheme="minorHAnsi" w:cs="Arial"/>
        </w:rPr>
        <w:t>Ženevskému aktu Lisabonské dohody o</w:t>
      </w:r>
      <w:r>
        <w:rPr>
          <w:rFonts w:asciiTheme="minorHAnsi" w:hAnsiTheme="minorHAnsi" w:cs="Arial"/>
        </w:rPr>
        <w:t> </w:t>
      </w:r>
      <w:r w:rsidRPr="00446A6C">
        <w:rPr>
          <w:rFonts w:asciiTheme="minorHAnsi" w:hAnsiTheme="minorHAnsi" w:cs="Arial"/>
        </w:rPr>
        <w:t>označeních původu a zeměpisných označeních (dále jen „Ženevský akt“).</w:t>
      </w:r>
    </w:p>
    <w:p w14:paraId="6F8B06BA" w14:textId="77777777" w:rsidR="00755E50" w:rsidRPr="002F6D22" w:rsidRDefault="00755E50" w:rsidP="002B0B58">
      <w:pPr>
        <w:pStyle w:val="Default"/>
        <w:spacing w:afterLines="50" w:after="120"/>
        <w:ind w:firstLine="709"/>
        <w:jc w:val="both"/>
        <w:rPr>
          <w:rFonts w:asciiTheme="minorHAnsi" w:hAnsiTheme="minorHAnsi" w:cs="Arial"/>
          <w:color w:val="auto"/>
          <w:sz w:val="22"/>
          <w:szCs w:val="22"/>
        </w:rPr>
      </w:pPr>
    </w:p>
    <w:p w14:paraId="438E0275" w14:textId="77777777" w:rsidR="00F44123" w:rsidRPr="002F6D22" w:rsidRDefault="00F44123" w:rsidP="008A10D1">
      <w:pPr>
        <w:spacing w:afterLines="50" w:after="120" w:line="240" w:lineRule="auto"/>
        <w:jc w:val="center"/>
        <w:rPr>
          <w:rFonts w:asciiTheme="minorHAnsi" w:hAnsiTheme="minorHAnsi" w:cs="Arial"/>
          <w:b/>
          <w:i/>
          <w:iCs/>
        </w:rPr>
      </w:pPr>
      <w:bookmarkStart w:id="0" w:name="_Hlk29483505"/>
      <w:r w:rsidRPr="002F6D22">
        <w:rPr>
          <w:rFonts w:asciiTheme="minorHAnsi" w:hAnsiTheme="minorHAnsi" w:cs="Arial"/>
          <w:b/>
          <w:i/>
          <w:iCs/>
        </w:rPr>
        <w:t>Lisabonská dohoda</w:t>
      </w:r>
      <w:r w:rsidR="006F71B2" w:rsidRPr="002F6D22">
        <w:rPr>
          <w:rFonts w:asciiTheme="minorHAnsi" w:hAnsiTheme="minorHAnsi" w:cs="Arial"/>
          <w:b/>
          <w:i/>
          <w:iCs/>
        </w:rPr>
        <w:t xml:space="preserve"> na ochranu označení původu a o jejich mezinárodním zápisu</w:t>
      </w:r>
      <w:r w:rsidRPr="002F6D22">
        <w:rPr>
          <w:rFonts w:asciiTheme="minorHAnsi" w:hAnsiTheme="minorHAnsi" w:cs="Arial"/>
          <w:b/>
          <w:i/>
          <w:iCs/>
        </w:rPr>
        <w:t xml:space="preserve"> a Ženevský akt</w:t>
      </w:r>
      <w:r w:rsidR="006F71B2" w:rsidRPr="002F6D22">
        <w:rPr>
          <w:rFonts w:asciiTheme="minorHAnsi" w:hAnsiTheme="minorHAnsi" w:cs="Arial"/>
          <w:b/>
          <w:i/>
          <w:iCs/>
        </w:rPr>
        <w:t xml:space="preserve"> Lisabonské dohody o označeních původu a zeměpisných označeních</w:t>
      </w:r>
    </w:p>
    <w:p w14:paraId="3A012A21" w14:textId="77777777" w:rsidR="00F44123" w:rsidRPr="002F6D22" w:rsidRDefault="00F44123" w:rsidP="00F44123">
      <w:pPr>
        <w:pStyle w:val="Textpoznpodarou"/>
        <w:spacing w:afterLines="50"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Lisabonská dohoda na ochranu označení původu a o jejich mezinárodním zápisu ze dne 31.</w:t>
      </w:r>
      <w:r w:rsidR="003A10DB" w:rsidRPr="002F6D22">
        <w:rPr>
          <w:rFonts w:asciiTheme="minorHAnsi" w:hAnsiTheme="minorHAnsi" w:cs="Arial"/>
          <w:sz w:val="22"/>
          <w:szCs w:val="22"/>
        </w:rPr>
        <w:t> </w:t>
      </w:r>
      <w:r w:rsidRPr="002F6D22">
        <w:rPr>
          <w:rFonts w:asciiTheme="minorHAnsi" w:hAnsiTheme="minorHAnsi" w:cs="Arial"/>
          <w:sz w:val="22"/>
          <w:szCs w:val="22"/>
        </w:rPr>
        <w:t>října 1958 (dále jen „Lisabonská dohoda“) vytvořila zvláštní unii v rámci Unie na ochranu průmyslového vlastnictví</w:t>
      </w:r>
      <w:r w:rsidR="000A1C27" w:rsidRPr="002F6D22">
        <w:rPr>
          <w:rFonts w:asciiTheme="minorHAnsi" w:hAnsiTheme="minorHAnsi" w:cs="Arial"/>
          <w:sz w:val="22"/>
          <w:szCs w:val="22"/>
        </w:rPr>
        <w:t xml:space="preserve"> (dále jen „Zvláštní unie“)</w:t>
      </w:r>
      <w:r w:rsidRPr="002F6D22">
        <w:rPr>
          <w:rFonts w:asciiTheme="minorHAnsi" w:hAnsiTheme="minorHAnsi" w:cs="Arial"/>
          <w:sz w:val="22"/>
          <w:szCs w:val="22"/>
        </w:rPr>
        <w:t>, která byla zřízena Pařížskou úmluvou</w:t>
      </w:r>
      <w:r w:rsidRPr="002F6D22">
        <w:rPr>
          <w:rFonts w:asciiTheme="minorHAnsi" w:hAnsiTheme="minorHAnsi"/>
          <w:sz w:val="22"/>
          <w:szCs w:val="22"/>
          <w:vertAlign w:val="superscript"/>
        </w:rPr>
        <w:footnoteReference w:id="1"/>
      </w:r>
      <w:r w:rsidRPr="002F6D22">
        <w:rPr>
          <w:rFonts w:asciiTheme="minorHAnsi" w:hAnsiTheme="minorHAnsi" w:cs="Arial"/>
          <w:sz w:val="22"/>
          <w:szCs w:val="22"/>
        </w:rPr>
        <w:t>. Podle podmínek Lisabonské dohody se smluvní strany zavazují chránit na svých územích označení původu výrobků jiných zemí Zvláštní unie, která jsou uznávána a chráněna v zemi původu a zapsána u</w:t>
      </w:r>
      <w:r w:rsidR="003A10DB" w:rsidRPr="002F6D22">
        <w:rPr>
          <w:rFonts w:asciiTheme="minorHAnsi" w:hAnsiTheme="minorHAnsi" w:cs="Arial"/>
          <w:sz w:val="22"/>
          <w:szCs w:val="22"/>
        </w:rPr>
        <w:t> </w:t>
      </w:r>
      <w:r w:rsidRPr="002F6D22">
        <w:rPr>
          <w:rFonts w:asciiTheme="minorHAnsi" w:hAnsiTheme="minorHAnsi" w:cs="Arial"/>
          <w:sz w:val="22"/>
          <w:szCs w:val="22"/>
        </w:rPr>
        <w:t xml:space="preserve">Mezinárodního úřadu Světové organizace duševního vlastnictví (dále jen „WIPO“). </w:t>
      </w:r>
    </w:p>
    <w:p w14:paraId="59BA15D8" w14:textId="77777777" w:rsidR="00F44123" w:rsidRPr="002F6D22" w:rsidRDefault="00F44123" w:rsidP="00F44123">
      <w:pPr>
        <w:pStyle w:val="Textpoznpodarou"/>
        <w:spacing w:afterLines="50"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 xml:space="preserve">Ve smyslu Lisabonské dohody se označením původu rozumí zeměpisný název země, oblasti nebo místa, sloužící k označení původu výrobku, jehož jakost anebo znaky jsou dány výlučně nebo podstatně zeměpisným prostředím, čítaje v to činitele přírodní a lidské (z českých označení původu jmenujme např. </w:t>
      </w:r>
      <w:r w:rsidR="007616F4" w:rsidRPr="002F6D22">
        <w:rPr>
          <w:rFonts w:asciiTheme="minorHAnsi" w:hAnsiTheme="minorHAnsi" w:cs="Arial"/>
          <w:sz w:val="22"/>
          <w:szCs w:val="22"/>
        </w:rPr>
        <w:t xml:space="preserve">Českobudějovické pivo, </w:t>
      </w:r>
      <w:r w:rsidRPr="002F6D22">
        <w:rPr>
          <w:rFonts w:asciiTheme="minorHAnsi" w:hAnsiTheme="minorHAnsi" w:cs="Arial"/>
          <w:sz w:val="22"/>
          <w:szCs w:val="22"/>
        </w:rPr>
        <w:t>Vambereckou krajku, Žatecký chmel, Pardubický perník, Karlovarské oplatky, Český granát). Označení původu je kolektivním nástrojem na podporu a rozvoj regionálních produktů, pomáhá udržet jejich kvalitu a dobrou pověst. Mezinárodní zápis označení původu poskytuje výrobcům rozsáhlou ochranu proti padělání. Hlavní výhodou zápisu podle Lisabonské dohody je možnost získání mezinárodní ochrany bez ohledu na kategorii výrobků (zemědělské i nezemědělské), v několika zemích najednou, podáním jedné žádosti v jednom jazyce s</w:t>
      </w:r>
      <w:r w:rsidR="003A10DB" w:rsidRPr="002F6D22">
        <w:rPr>
          <w:rFonts w:asciiTheme="minorHAnsi" w:hAnsiTheme="minorHAnsi" w:cs="Arial"/>
          <w:sz w:val="22"/>
          <w:szCs w:val="22"/>
        </w:rPr>
        <w:t> </w:t>
      </w:r>
      <w:r w:rsidRPr="002F6D22">
        <w:rPr>
          <w:rFonts w:asciiTheme="minorHAnsi" w:hAnsiTheme="minorHAnsi" w:cs="Arial"/>
          <w:sz w:val="22"/>
          <w:szCs w:val="22"/>
        </w:rPr>
        <w:t>jednou sadou poplatků, placených v jedné měně. Vzniklá ochrana je časově neomezená.</w:t>
      </w:r>
    </w:p>
    <w:p w14:paraId="52E4E1D9" w14:textId="77777777" w:rsidR="00F44123" w:rsidRPr="002F6D22" w:rsidRDefault="00F44123" w:rsidP="00F44123">
      <w:pPr>
        <w:pStyle w:val="Textpoznpodarou"/>
        <w:spacing w:afterLines="50"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 xml:space="preserve">V současné době má Lisabonská dohoda 30 smluvních stran, mezi nimi i sedm členských států Evropské unie, a to Bulharsko, Českou republiku, Francii, Itálii, Maďarsko, Portugalsko a Slovensko (dále jen „7 ČS EU“). Samotná Evropská unie (dále jen „EU“) stranou Lisabonské dohody není, jelikož tato dohoda neumožňuje přístup mezinárodním organizacím, </w:t>
      </w:r>
      <w:r w:rsidR="00634EFE" w:rsidRPr="002F6D22">
        <w:rPr>
          <w:rFonts w:asciiTheme="minorHAnsi" w:hAnsiTheme="minorHAnsi" w:cs="Arial"/>
          <w:sz w:val="22"/>
          <w:szCs w:val="22"/>
        </w:rPr>
        <w:t xml:space="preserve">ale </w:t>
      </w:r>
      <w:r w:rsidRPr="002F6D22">
        <w:rPr>
          <w:rFonts w:asciiTheme="minorHAnsi" w:hAnsiTheme="minorHAnsi" w:cs="Arial"/>
          <w:sz w:val="22"/>
          <w:szCs w:val="22"/>
        </w:rPr>
        <w:t>pouze státům. Dalšími smluvními stranami jsou Albánie, Alžírsko, Bosna a Hercegovina, Burkina Faso, Černá Hora, Dominikánská republika, Kongo, Kostarika, Kuba, KLDR, Gabon, Gruzie, Haiti, Irán, Izrael, Mexiko, Nikaragua, Peru, Moldavsko, Srbsko, Togo, Tunisko, Severní Makedonie.</w:t>
      </w:r>
    </w:p>
    <w:p w14:paraId="31B92EA1" w14:textId="77777777" w:rsidR="00F44123" w:rsidRPr="002F6D22" w:rsidRDefault="00F44123" w:rsidP="00A8444B">
      <w:pPr>
        <w:pStyle w:val="Textpoznpodarou"/>
        <w:spacing w:afterLines="50" w:after="120" w:line="240" w:lineRule="auto"/>
        <w:ind w:firstLine="709"/>
        <w:jc w:val="both"/>
        <w:rPr>
          <w:rFonts w:asciiTheme="minorHAnsi" w:hAnsiTheme="minorHAnsi" w:cs="Arial"/>
          <w:sz w:val="22"/>
          <w:szCs w:val="22"/>
        </w:rPr>
      </w:pPr>
      <w:r w:rsidRPr="002F6D22">
        <w:rPr>
          <w:rFonts w:asciiTheme="minorHAnsi" w:hAnsiTheme="minorHAnsi" w:cs="Arial"/>
          <w:sz w:val="22"/>
          <w:szCs w:val="22"/>
        </w:rPr>
        <w:t>20. května 2015 byl přijat Ženevský akt Lisabonské dohody o označeních původu a</w:t>
      </w:r>
      <w:r w:rsidR="003A10DB" w:rsidRPr="002F6D22">
        <w:rPr>
          <w:rFonts w:asciiTheme="minorHAnsi" w:hAnsiTheme="minorHAnsi" w:cs="Arial"/>
          <w:sz w:val="22"/>
          <w:szCs w:val="22"/>
        </w:rPr>
        <w:t> </w:t>
      </w:r>
      <w:r w:rsidRPr="002F6D22">
        <w:rPr>
          <w:rFonts w:asciiTheme="minorHAnsi" w:hAnsiTheme="minorHAnsi" w:cs="Arial"/>
          <w:sz w:val="22"/>
          <w:szCs w:val="22"/>
        </w:rPr>
        <w:t>zeměpisných označeních (dále jen „Ženevský akt“), který Lisabonskou dohodu revidoval, rozšířil oblast její působnosti i na zeměpisná označení</w:t>
      </w:r>
      <w:r w:rsidRPr="002F6D22">
        <w:rPr>
          <w:rStyle w:val="Znakapoznpodarou"/>
          <w:rFonts w:asciiTheme="minorHAnsi" w:hAnsiTheme="minorHAnsi" w:cs="Arial"/>
          <w:sz w:val="22"/>
          <w:szCs w:val="22"/>
        </w:rPr>
        <w:footnoteReference w:id="2"/>
      </w:r>
      <w:r w:rsidRPr="002F6D22">
        <w:rPr>
          <w:rFonts w:asciiTheme="minorHAnsi" w:hAnsiTheme="minorHAnsi" w:cs="Arial"/>
          <w:sz w:val="22"/>
          <w:szCs w:val="22"/>
        </w:rPr>
        <w:t xml:space="preserve"> ve smyslu </w:t>
      </w:r>
      <w:r w:rsidR="00123DA9" w:rsidRPr="002F6D22">
        <w:rPr>
          <w:rFonts w:asciiTheme="minorHAnsi" w:hAnsiTheme="minorHAnsi" w:cs="Arial"/>
          <w:sz w:val="22"/>
          <w:szCs w:val="22"/>
        </w:rPr>
        <w:t>Dohody o obchodních aspektech práv k</w:t>
      </w:r>
      <w:r w:rsidR="003A10DB" w:rsidRPr="002F6D22">
        <w:rPr>
          <w:rFonts w:asciiTheme="minorHAnsi" w:hAnsiTheme="minorHAnsi" w:cs="Arial"/>
          <w:sz w:val="22"/>
          <w:szCs w:val="22"/>
        </w:rPr>
        <w:t> </w:t>
      </w:r>
      <w:r w:rsidR="00123DA9" w:rsidRPr="002F6D22">
        <w:rPr>
          <w:rFonts w:asciiTheme="minorHAnsi" w:hAnsiTheme="minorHAnsi" w:cs="Arial"/>
          <w:sz w:val="22"/>
          <w:szCs w:val="22"/>
        </w:rPr>
        <w:t>duševnímu vlastnictví</w:t>
      </w:r>
      <w:r w:rsidR="00123DA9" w:rsidRPr="002F6D22" w:rsidDel="00123DA9">
        <w:rPr>
          <w:rFonts w:asciiTheme="minorHAnsi" w:hAnsiTheme="minorHAnsi" w:cs="Arial"/>
          <w:sz w:val="22"/>
          <w:szCs w:val="22"/>
        </w:rPr>
        <w:t xml:space="preserve"> </w:t>
      </w:r>
      <w:r w:rsidR="00123DA9" w:rsidRPr="002F6D22">
        <w:rPr>
          <w:rFonts w:asciiTheme="minorHAnsi" w:hAnsiTheme="minorHAnsi" w:cs="Arial"/>
          <w:sz w:val="22"/>
          <w:szCs w:val="22"/>
        </w:rPr>
        <w:t>(</w:t>
      </w:r>
      <w:r w:rsidRPr="002F6D22">
        <w:rPr>
          <w:rFonts w:asciiTheme="minorHAnsi" w:hAnsiTheme="minorHAnsi" w:cs="Arial"/>
          <w:sz w:val="22"/>
          <w:szCs w:val="22"/>
        </w:rPr>
        <w:t>TRIPS</w:t>
      </w:r>
      <w:r w:rsidR="00123DA9" w:rsidRPr="002F6D22">
        <w:rPr>
          <w:rFonts w:asciiTheme="minorHAnsi" w:hAnsiTheme="minorHAnsi" w:cs="Arial"/>
          <w:sz w:val="22"/>
          <w:szCs w:val="22"/>
        </w:rPr>
        <w:t>)</w:t>
      </w:r>
      <w:r w:rsidRPr="002F6D22">
        <w:rPr>
          <w:rFonts w:asciiTheme="minorHAnsi" w:hAnsiTheme="minorHAnsi"/>
          <w:sz w:val="22"/>
          <w:szCs w:val="22"/>
          <w:vertAlign w:val="superscript"/>
        </w:rPr>
        <w:footnoteReference w:id="3"/>
      </w:r>
      <w:r w:rsidRPr="002F6D22">
        <w:rPr>
          <w:rFonts w:asciiTheme="minorHAnsi" w:hAnsiTheme="minorHAnsi" w:cs="Arial"/>
          <w:sz w:val="22"/>
          <w:szCs w:val="22"/>
        </w:rPr>
        <w:t xml:space="preserve"> a umožnil přístup mezivládním organizacím. </w:t>
      </w:r>
      <w:hyperlink r:id="rId8" w:history="1">
        <w:r w:rsidRPr="002F6D22">
          <w:rPr>
            <w:rFonts w:asciiTheme="minorHAnsi" w:hAnsiTheme="minorHAnsi" w:cs="Arial"/>
            <w:sz w:val="22"/>
            <w:szCs w:val="22"/>
          </w:rPr>
          <w:t>Ženevský akt</w:t>
        </w:r>
      </w:hyperlink>
      <w:r w:rsidRPr="002F6D22">
        <w:rPr>
          <w:rFonts w:asciiTheme="minorHAnsi" w:hAnsiTheme="minorHAnsi" w:cs="Arial"/>
          <w:sz w:val="22"/>
          <w:szCs w:val="22"/>
        </w:rPr>
        <w:t xml:space="preserve"> vstoupil v platnost dne 26. února 2020</w:t>
      </w:r>
      <w:r w:rsidRPr="002F6D22">
        <w:rPr>
          <w:rStyle w:val="Znakapoznpodarou"/>
          <w:rFonts w:asciiTheme="minorHAnsi" w:hAnsiTheme="minorHAnsi" w:cs="Arial"/>
          <w:sz w:val="22"/>
          <w:szCs w:val="22"/>
        </w:rPr>
        <w:footnoteReference w:id="4"/>
      </w:r>
      <w:r w:rsidRPr="002F6D22">
        <w:rPr>
          <w:rFonts w:asciiTheme="minorHAnsi" w:hAnsiTheme="minorHAnsi" w:cs="Arial"/>
          <w:sz w:val="22"/>
          <w:szCs w:val="22"/>
        </w:rPr>
        <w:t xml:space="preserve">. </w:t>
      </w:r>
    </w:p>
    <w:p w14:paraId="283EA670" w14:textId="77777777" w:rsidR="00A8444B" w:rsidRPr="002F6D22" w:rsidRDefault="00A8444B" w:rsidP="00A8444B">
      <w:pPr>
        <w:pStyle w:val="Textpoznpodarou"/>
        <w:spacing w:afterLines="50" w:after="120" w:line="240" w:lineRule="auto"/>
        <w:ind w:firstLine="709"/>
        <w:jc w:val="both"/>
        <w:rPr>
          <w:rFonts w:asciiTheme="minorHAnsi" w:hAnsiTheme="minorHAnsi" w:cs="Arial"/>
          <w:sz w:val="22"/>
          <w:szCs w:val="22"/>
        </w:rPr>
      </w:pPr>
    </w:p>
    <w:p w14:paraId="0683E943" w14:textId="77777777" w:rsidR="00F44123" w:rsidRPr="002F6D22" w:rsidRDefault="00F44123" w:rsidP="002B0B58">
      <w:pPr>
        <w:spacing w:afterLines="50" w:after="120" w:line="240" w:lineRule="auto"/>
        <w:jc w:val="center"/>
        <w:rPr>
          <w:rFonts w:asciiTheme="minorHAnsi" w:hAnsiTheme="minorHAnsi" w:cs="Arial"/>
          <w:b/>
          <w:i/>
          <w:iCs/>
        </w:rPr>
      </w:pPr>
      <w:r w:rsidRPr="002F6D22">
        <w:rPr>
          <w:rFonts w:asciiTheme="minorHAnsi" w:hAnsiTheme="minorHAnsi" w:cs="Arial"/>
          <w:b/>
          <w:i/>
          <w:iCs/>
        </w:rPr>
        <w:lastRenderedPageBreak/>
        <w:t>Specifická situace v Evropské unii</w:t>
      </w:r>
    </w:p>
    <w:p w14:paraId="0D986943" w14:textId="77777777" w:rsidR="00F44123" w:rsidRPr="002F6D22" w:rsidRDefault="00F44123" w:rsidP="008A10D1">
      <w:pPr>
        <w:pStyle w:val="Textpoznpodarou"/>
        <w:spacing w:afterLines="50" w:after="120" w:line="240" w:lineRule="auto"/>
        <w:ind w:firstLine="709"/>
        <w:jc w:val="both"/>
        <w:rPr>
          <w:rFonts w:asciiTheme="minorHAnsi" w:hAnsiTheme="minorHAnsi" w:cs="Arial"/>
          <w:sz w:val="22"/>
          <w:szCs w:val="22"/>
        </w:rPr>
      </w:pPr>
      <w:r w:rsidRPr="002F6D22">
        <w:rPr>
          <w:rFonts w:asciiTheme="minorHAnsi" w:hAnsiTheme="minorHAnsi" w:cs="Arial"/>
          <w:sz w:val="22"/>
          <w:szCs w:val="22"/>
        </w:rPr>
        <w:t>V EU platí jednotné systémy ochrany zeměpisných označení pro vína</w:t>
      </w:r>
      <w:r w:rsidRPr="002F6D22">
        <w:rPr>
          <w:rStyle w:val="Znakapoznpodarou"/>
          <w:rFonts w:asciiTheme="minorHAnsi" w:hAnsiTheme="minorHAnsi" w:cs="Arial"/>
          <w:sz w:val="22"/>
          <w:szCs w:val="22"/>
        </w:rPr>
        <w:footnoteReference w:id="5"/>
      </w:r>
      <w:r w:rsidRPr="002F6D22">
        <w:rPr>
          <w:rFonts w:asciiTheme="minorHAnsi" w:hAnsiTheme="minorHAnsi" w:cs="Arial"/>
          <w:sz w:val="22"/>
          <w:szCs w:val="22"/>
        </w:rPr>
        <w:t>, lihoviny</w:t>
      </w:r>
      <w:r w:rsidRPr="002F6D22">
        <w:rPr>
          <w:rStyle w:val="Znakapoznpodarou"/>
          <w:rFonts w:asciiTheme="minorHAnsi" w:hAnsiTheme="minorHAnsi" w:cs="Arial"/>
          <w:sz w:val="22"/>
          <w:szCs w:val="22"/>
        </w:rPr>
        <w:footnoteReference w:id="6"/>
      </w:r>
      <w:r w:rsidRPr="002F6D22">
        <w:rPr>
          <w:rFonts w:asciiTheme="minorHAnsi" w:hAnsiTheme="minorHAnsi" w:cs="Arial"/>
          <w:sz w:val="22"/>
          <w:szCs w:val="22"/>
        </w:rPr>
        <w:t>, aromatizovaná vína</w:t>
      </w:r>
      <w:r w:rsidRPr="002F6D22">
        <w:rPr>
          <w:rStyle w:val="Znakapoznpodarou"/>
          <w:rFonts w:asciiTheme="minorHAnsi" w:hAnsiTheme="minorHAnsi" w:cs="Arial"/>
          <w:sz w:val="22"/>
          <w:szCs w:val="22"/>
        </w:rPr>
        <w:footnoteReference w:id="7"/>
      </w:r>
      <w:r w:rsidRPr="002F6D22">
        <w:rPr>
          <w:rFonts w:asciiTheme="minorHAnsi" w:hAnsiTheme="minorHAnsi" w:cs="Arial"/>
          <w:sz w:val="22"/>
          <w:szCs w:val="22"/>
        </w:rPr>
        <w:t xml:space="preserve"> a další zemědělské produkty a potraviny</w:t>
      </w:r>
      <w:r w:rsidRPr="002F6D22">
        <w:rPr>
          <w:rStyle w:val="Znakapoznpodarou"/>
          <w:rFonts w:asciiTheme="minorHAnsi" w:hAnsiTheme="minorHAnsi" w:cs="Arial"/>
          <w:sz w:val="22"/>
          <w:szCs w:val="22"/>
        </w:rPr>
        <w:footnoteReference w:id="8"/>
      </w:r>
      <w:r w:rsidRPr="002F6D22">
        <w:rPr>
          <w:rFonts w:asciiTheme="minorHAnsi" w:hAnsiTheme="minorHAnsi" w:cs="Arial"/>
          <w:sz w:val="22"/>
          <w:szCs w:val="22"/>
        </w:rPr>
        <w:t xml:space="preserve">. </w:t>
      </w:r>
      <w:r w:rsidR="00D83153" w:rsidRPr="002F6D22">
        <w:rPr>
          <w:rFonts w:asciiTheme="minorHAnsi" w:hAnsiTheme="minorHAnsi" w:cs="Arial"/>
          <w:sz w:val="22"/>
          <w:szCs w:val="22"/>
        </w:rPr>
        <w:t>Jak potvrdil Soudní dvůr EU v rozsudku ve věci C-389/15</w:t>
      </w:r>
      <w:r w:rsidRPr="002F6D22">
        <w:rPr>
          <w:rFonts w:asciiTheme="minorHAnsi" w:hAnsiTheme="minorHAnsi" w:cs="Arial"/>
          <w:sz w:val="22"/>
          <w:szCs w:val="22"/>
        </w:rPr>
        <w:t xml:space="preserve"> ze dne 25. října 2017, má EU v oblastech, jež Ženevský akt upravuje, výlučnou pravomoc.</w:t>
      </w:r>
    </w:p>
    <w:p w14:paraId="2B0AF27A" w14:textId="77777777" w:rsidR="00F44123" w:rsidRPr="002F6D22" w:rsidRDefault="00F44123" w:rsidP="008A10D1">
      <w:pPr>
        <w:pStyle w:val="Textpoznpodarou"/>
        <w:spacing w:afterLines="50" w:after="120" w:line="240" w:lineRule="auto"/>
        <w:ind w:firstLine="709"/>
        <w:jc w:val="both"/>
        <w:rPr>
          <w:rFonts w:asciiTheme="minorHAnsi" w:hAnsiTheme="minorHAnsi" w:cs="Arial"/>
          <w:sz w:val="22"/>
          <w:szCs w:val="22"/>
        </w:rPr>
      </w:pPr>
      <w:r w:rsidRPr="002F6D22">
        <w:rPr>
          <w:rFonts w:asciiTheme="minorHAnsi" w:hAnsiTheme="minorHAnsi" w:cs="Arial"/>
          <w:sz w:val="22"/>
          <w:szCs w:val="22"/>
        </w:rPr>
        <w:t>EU přistoupila k Ženevskému aktu dne 26. listopadu 2019. Stalo se tak na základě Rozhodnutí Rady (EU) o jejím přistoupení k Ženevskému aktu</w:t>
      </w:r>
      <w:r w:rsidRPr="002F6D22">
        <w:rPr>
          <w:rStyle w:val="Znakapoznpodarou"/>
          <w:rFonts w:asciiTheme="minorHAnsi" w:hAnsiTheme="minorHAnsi" w:cs="Arial"/>
          <w:sz w:val="22"/>
          <w:szCs w:val="22"/>
        </w:rPr>
        <w:footnoteReference w:id="9"/>
      </w:r>
      <w:r w:rsidRPr="002F6D22">
        <w:rPr>
          <w:rStyle w:val="Znakapoznpodarou"/>
          <w:rFonts w:asciiTheme="minorHAnsi" w:hAnsiTheme="minorHAnsi"/>
          <w:sz w:val="22"/>
          <w:szCs w:val="22"/>
        </w:rPr>
        <w:t xml:space="preserve"> </w:t>
      </w:r>
      <w:r w:rsidRPr="002F6D22">
        <w:rPr>
          <w:rFonts w:asciiTheme="minorHAnsi" w:hAnsiTheme="minorHAnsi" w:cs="Arial"/>
          <w:sz w:val="22"/>
          <w:szCs w:val="22"/>
        </w:rPr>
        <w:t>(dále jen „Rozhodnutí“), které vstoupilo v platnost dne 13. listopadu 2019. Ve stejný den vstoupilo v platnost i Nařízení Evropského parlamentu a Rady (EU) o opatřeních EU po jejím přistoupení k Ženevskému aktu</w:t>
      </w:r>
      <w:r w:rsidRPr="002F6D22">
        <w:rPr>
          <w:rStyle w:val="Znakapoznpodarou"/>
          <w:rFonts w:asciiTheme="minorHAnsi" w:hAnsiTheme="minorHAnsi" w:cs="Arial"/>
          <w:sz w:val="22"/>
          <w:szCs w:val="22"/>
        </w:rPr>
        <w:footnoteReference w:id="10"/>
      </w:r>
      <w:r w:rsidRPr="002F6D22">
        <w:rPr>
          <w:rStyle w:val="Znakapoznpodarou"/>
          <w:rFonts w:asciiTheme="minorHAnsi" w:hAnsiTheme="minorHAnsi"/>
          <w:sz w:val="22"/>
          <w:szCs w:val="22"/>
        </w:rPr>
        <w:t xml:space="preserve"> </w:t>
      </w:r>
      <w:r w:rsidRPr="002F6D22">
        <w:rPr>
          <w:rFonts w:asciiTheme="minorHAnsi" w:hAnsiTheme="minorHAnsi" w:cs="Arial"/>
          <w:sz w:val="22"/>
          <w:szCs w:val="22"/>
        </w:rPr>
        <w:t>(dále jen „Nařízení“).</w:t>
      </w:r>
    </w:p>
    <w:p w14:paraId="5E050291" w14:textId="77777777" w:rsidR="00F44123" w:rsidRPr="002F6D22" w:rsidRDefault="00F44123" w:rsidP="00F44123">
      <w:pPr>
        <w:pStyle w:val="Textpoznpodarou"/>
        <w:spacing w:afterLines="50"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 xml:space="preserve">Na území EU vstoupil </w:t>
      </w:r>
      <w:hyperlink r:id="rId9" w:history="1">
        <w:r w:rsidRPr="002F6D22">
          <w:rPr>
            <w:rFonts w:asciiTheme="minorHAnsi" w:hAnsiTheme="minorHAnsi" w:cs="Arial"/>
            <w:sz w:val="22"/>
            <w:szCs w:val="22"/>
          </w:rPr>
          <w:t>Ženevský akt</w:t>
        </w:r>
      </w:hyperlink>
      <w:r w:rsidRPr="002F6D22">
        <w:rPr>
          <w:rFonts w:asciiTheme="minorHAnsi" w:hAnsiTheme="minorHAnsi" w:cs="Arial"/>
          <w:sz w:val="22"/>
          <w:szCs w:val="22"/>
        </w:rPr>
        <w:t xml:space="preserve"> v platnost dne 26. února 2020. </w:t>
      </w:r>
    </w:p>
    <w:p w14:paraId="01406320" w14:textId="38E54871" w:rsidR="00F03E6F" w:rsidRPr="002F6D22" w:rsidRDefault="00F44123" w:rsidP="007D0731">
      <w:pPr>
        <w:pStyle w:val="Textpoznpodarou"/>
        <w:spacing w:afterLines="50"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 xml:space="preserve">EU v současné době nemá jednotnou právní úpravu pro nezemědělské produkty. Nemůže tedy nezemědělským produktům poskytnout ochranu.  7 ČS EU, které jsou smluvními stranami Lisabonské dohody, naopak </w:t>
      </w:r>
      <w:r w:rsidR="00521396" w:rsidRPr="002F6D22">
        <w:rPr>
          <w:rFonts w:asciiTheme="minorHAnsi" w:hAnsiTheme="minorHAnsi" w:cs="Arial"/>
          <w:sz w:val="22"/>
          <w:szCs w:val="22"/>
        </w:rPr>
        <w:t xml:space="preserve">tato dohoda umožňuje </w:t>
      </w:r>
      <w:r w:rsidRPr="002F6D22">
        <w:rPr>
          <w:rFonts w:asciiTheme="minorHAnsi" w:hAnsiTheme="minorHAnsi" w:cs="Arial"/>
          <w:sz w:val="22"/>
          <w:szCs w:val="22"/>
        </w:rPr>
        <w:t>poskyt</w:t>
      </w:r>
      <w:r w:rsidR="00521396" w:rsidRPr="002F6D22">
        <w:rPr>
          <w:rFonts w:asciiTheme="minorHAnsi" w:hAnsiTheme="minorHAnsi" w:cs="Arial"/>
          <w:sz w:val="22"/>
          <w:szCs w:val="22"/>
        </w:rPr>
        <w:t>ovat</w:t>
      </w:r>
      <w:r w:rsidRPr="002F6D22">
        <w:rPr>
          <w:rFonts w:asciiTheme="minorHAnsi" w:hAnsiTheme="minorHAnsi" w:cs="Arial"/>
          <w:sz w:val="22"/>
          <w:szCs w:val="22"/>
        </w:rPr>
        <w:t xml:space="preserve"> ochranu zemědělským i</w:t>
      </w:r>
      <w:r w:rsidR="003A10DB" w:rsidRPr="002F6D22">
        <w:rPr>
          <w:rFonts w:asciiTheme="minorHAnsi" w:hAnsiTheme="minorHAnsi" w:cs="Arial"/>
          <w:sz w:val="22"/>
          <w:szCs w:val="22"/>
        </w:rPr>
        <w:t> </w:t>
      </w:r>
      <w:r w:rsidRPr="002F6D22">
        <w:rPr>
          <w:rFonts w:asciiTheme="minorHAnsi" w:hAnsiTheme="minorHAnsi" w:cs="Arial"/>
          <w:sz w:val="22"/>
          <w:szCs w:val="22"/>
        </w:rPr>
        <w:t>nezemědělským označením původu</w:t>
      </w:r>
      <w:r w:rsidR="007D0731" w:rsidRPr="002F6D22">
        <w:rPr>
          <w:rFonts w:asciiTheme="minorHAnsi" w:hAnsiTheme="minorHAnsi" w:cs="Arial"/>
          <w:sz w:val="22"/>
          <w:szCs w:val="22"/>
        </w:rPr>
        <w:t xml:space="preserve"> na základě Lisabonské dohody</w:t>
      </w:r>
      <w:r w:rsidRPr="002F6D22">
        <w:rPr>
          <w:rFonts w:asciiTheme="minorHAnsi" w:hAnsiTheme="minorHAnsi" w:cs="Arial"/>
          <w:sz w:val="22"/>
          <w:szCs w:val="22"/>
        </w:rPr>
        <w:t xml:space="preserve"> již dlouhodobě. Aby tyto státy mohly na svých územích zajistit kontinuitu práv udělených Lisabonskou dohodou a plnit povinnosti z</w:t>
      </w:r>
      <w:r w:rsidR="003A10DB" w:rsidRPr="002F6D22">
        <w:rPr>
          <w:rFonts w:asciiTheme="minorHAnsi" w:hAnsiTheme="minorHAnsi" w:cs="Arial"/>
          <w:sz w:val="22"/>
          <w:szCs w:val="22"/>
        </w:rPr>
        <w:t> </w:t>
      </w:r>
      <w:r w:rsidRPr="002F6D22">
        <w:rPr>
          <w:rFonts w:asciiTheme="minorHAnsi" w:hAnsiTheme="minorHAnsi" w:cs="Arial"/>
          <w:sz w:val="22"/>
          <w:szCs w:val="22"/>
        </w:rPr>
        <w:t>ní vyplývající, mohou zůstat jejími smluvními stranami i nadále. Navíc byly výslovně zmocněny k</w:t>
      </w:r>
      <w:r w:rsidR="003A10DB" w:rsidRPr="002F6D22">
        <w:rPr>
          <w:rFonts w:asciiTheme="minorHAnsi" w:hAnsiTheme="minorHAnsi" w:cs="Arial"/>
          <w:sz w:val="22"/>
          <w:szCs w:val="22"/>
        </w:rPr>
        <w:t> </w:t>
      </w:r>
      <w:r w:rsidRPr="002F6D22">
        <w:rPr>
          <w:rFonts w:asciiTheme="minorHAnsi" w:hAnsiTheme="minorHAnsi" w:cs="Arial"/>
          <w:sz w:val="22"/>
          <w:szCs w:val="22"/>
        </w:rPr>
        <w:t>přistoupení k</w:t>
      </w:r>
      <w:r w:rsidR="003B742B" w:rsidRPr="002F6D22">
        <w:rPr>
          <w:rFonts w:asciiTheme="minorHAnsi" w:hAnsiTheme="minorHAnsi" w:cs="Arial"/>
          <w:sz w:val="22"/>
          <w:szCs w:val="22"/>
        </w:rPr>
        <w:t> </w:t>
      </w:r>
      <w:r w:rsidRPr="002F6D22">
        <w:rPr>
          <w:rFonts w:asciiTheme="minorHAnsi" w:hAnsiTheme="minorHAnsi" w:cs="Arial"/>
          <w:sz w:val="22"/>
          <w:szCs w:val="22"/>
        </w:rPr>
        <w:t>Ženevskému aktu</w:t>
      </w:r>
      <w:r w:rsidRPr="002F6D22">
        <w:rPr>
          <w:rStyle w:val="Znakapoznpodarou"/>
          <w:rFonts w:asciiTheme="minorHAnsi" w:hAnsiTheme="minorHAnsi" w:cs="Arial"/>
          <w:sz w:val="22"/>
          <w:szCs w:val="22"/>
        </w:rPr>
        <w:footnoteReference w:id="11"/>
      </w:r>
      <w:r w:rsidRPr="002F6D22">
        <w:rPr>
          <w:rFonts w:asciiTheme="minorHAnsi" w:hAnsiTheme="minorHAnsi" w:cs="Arial"/>
          <w:sz w:val="22"/>
          <w:szCs w:val="22"/>
        </w:rPr>
        <w:t xml:space="preserve">. </w:t>
      </w:r>
      <w:r w:rsidR="00D83153" w:rsidRPr="002F6D22">
        <w:rPr>
          <w:rFonts w:asciiTheme="minorHAnsi" w:hAnsiTheme="minorHAnsi" w:cs="Arial"/>
          <w:sz w:val="22"/>
          <w:szCs w:val="22"/>
        </w:rPr>
        <w:t>Jak vypl</w:t>
      </w:r>
      <w:r w:rsidR="009966A0" w:rsidRPr="002F6D22">
        <w:rPr>
          <w:rFonts w:asciiTheme="minorHAnsi" w:hAnsiTheme="minorHAnsi" w:cs="Arial"/>
          <w:sz w:val="22"/>
          <w:szCs w:val="22"/>
        </w:rPr>
        <w:t>ývá</w:t>
      </w:r>
      <w:r w:rsidR="00D83153" w:rsidRPr="002F6D22">
        <w:rPr>
          <w:rFonts w:asciiTheme="minorHAnsi" w:hAnsiTheme="minorHAnsi" w:cs="Arial"/>
          <w:sz w:val="22"/>
          <w:szCs w:val="22"/>
        </w:rPr>
        <w:t xml:space="preserve"> z výše uvedeného rozsudku SDEU ve věci C-389/15, národní kompetence členských států v této oblasti byly přesunuty na EU.</w:t>
      </w:r>
      <w:r w:rsidRPr="002F6D22">
        <w:rPr>
          <w:rFonts w:asciiTheme="minorHAnsi" w:hAnsiTheme="minorHAnsi" w:cs="Arial"/>
          <w:sz w:val="22"/>
          <w:szCs w:val="22"/>
        </w:rPr>
        <w:t xml:space="preserve"> </w:t>
      </w:r>
    </w:p>
    <w:p w14:paraId="1E276C10" w14:textId="77777777" w:rsidR="007D0731" w:rsidRPr="002F6D22" w:rsidRDefault="007D0731" w:rsidP="009966A0">
      <w:pPr>
        <w:pStyle w:val="Textpoznpodarou"/>
        <w:spacing w:afterLines="50"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Přistoupení 7 ČS EU</w:t>
      </w:r>
      <w:r w:rsidR="009966A0" w:rsidRPr="002F6D22">
        <w:rPr>
          <w:rFonts w:asciiTheme="minorHAnsi" w:hAnsiTheme="minorHAnsi" w:cs="Arial"/>
          <w:sz w:val="22"/>
          <w:szCs w:val="22"/>
        </w:rPr>
        <w:t xml:space="preserve"> (tzn. i České republiky)</w:t>
      </w:r>
      <w:r w:rsidRPr="002F6D22">
        <w:rPr>
          <w:rFonts w:asciiTheme="minorHAnsi" w:hAnsiTheme="minorHAnsi" w:cs="Arial"/>
          <w:sz w:val="22"/>
          <w:szCs w:val="22"/>
        </w:rPr>
        <w:t xml:space="preserve"> k Ženevskému aktu má zásadní význam pro zachování kontinuity ochrany jejich stávajících označení původu a zeměpisných označení</w:t>
      </w:r>
      <w:r w:rsidR="009966A0" w:rsidRPr="002F6D22">
        <w:rPr>
          <w:rFonts w:asciiTheme="minorHAnsi" w:hAnsiTheme="minorHAnsi" w:cs="Arial"/>
          <w:sz w:val="22"/>
          <w:szCs w:val="22"/>
        </w:rPr>
        <w:t>, jelikož se jedná při splnění podmínek podle čl. 11 Nařízení o předpoklad pro zachování ochrany práv udělených podle Lisabonské dohody a zajištění navazující ochrany podle Ženevského aktu</w:t>
      </w:r>
      <w:r w:rsidR="009966A0" w:rsidRPr="002F6D22">
        <w:rPr>
          <w:rStyle w:val="Znakapoznpodarou"/>
          <w:rFonts w:asciiTheme="minorHAnsi" w:hAnsiTheme="minorHAnsi" w:cs="Arial"/>
          <w:sz w:val="22"/>
          <w:szCs w:val="22"/>
        </w:rPr>
        <w:t xml:space="preserve"> </w:t>
      </w:r>
      <w:r w:rsidR="009966A0" w:rsidRPr="002F6D22">
        <w:rPr>
          <w:rFonts w:asciiTheme="minorHAnsi" w:hAnsiTheme="minorHAnsi" w:cs="Arial"/>
          <w:sz w:val="22"/>
          <w:szCs w:val="22"/>
        </w:rPr>
        <w:t xml:space="preserve"> (viz níže) </w:t>
      </w:r>
      <w:r w:rsidR="009966A0" w:rsidRPr="002F6D22">
        <w:rPr>
          <w:rStyle w:val="Znakapoznpodarou"/>
          <w:rFonts w:asciiTheme="minorHAnsi" w:hAnsiTheme="minorHAnsi" w:cs="Arial"/>
          <w:sz w:val="22"/>
          <w:szCs w:val="22"/>
        </w:rPr>
        <w:footnoteReference w:id="12"/>
      </w:r>
      <w:r w:rsidR="009966A0" w:rsidRPr="002F6D22">
        <w:rPr>
          <w:rFonts w:asciiTheme="minorHAnsi" w:hAnsiTheme="minorHAnsi" w:cs="Arial"/>
          <w:sz w:val="22"/>
          <w:szCs w:val="22"/>
        </w:rPr>
        <w:t>.</w:t>
      </w:r>
      <w:r w:rsidRPr="002F6D22">
        <w:rPr>
          <w:rFonts w:asciiTheme="minorHAnsi" w:hAnsiTheme="minorHAnsi" w:cs="Arial"/>
          <w:sz w:val="22"/>
          <w:szCs w:val="22"/>
        </w:rPr>
        <w:t xml:space="preserve"> Významné </w:t>
      </w:r>
      <w:r w:rsidRPr="002F6D22">
        <w:rPr>
          <w:rFonts w:asciiTheme="minorHAnsi" w:hAnsiTheme="minorHAnsi" w:cs="Arial"/>
          <w:sz w:val="22"/>
          <w:szCs w:val="22"/>
        </w:rPr>
        <w:lastRenderedPageBreak/>
        <w:t>je i pro aktivní zapojení EU do hlasování a rozhodovacích procesů ve Shromáždění Zvláštní unie Ženevského aktu</w:t>
      </w:r>
      <w:r w:rsidRPr="002F6D22">
        <w:rPr>
          <w:rStyle w:val="Znakapoznpodarou"/>
          <w:rFonts w:asciiTheme="minorHAnsi" w:hAnsiTheme="minorHAnsi" w:cs="Arial"/>
          <w:sz w:val="22"/>
          <w:szCs w:val="22"/>
        </w:rPr>
        <w:footnoteReference w:id="13"/>
      </w:r>
      <w:r w:rsidRPr="002F6D22">
        <w:rPr>
          <w:rStyle w:val="Znakapoznpodarou"/>
          <w:rFonts w:asciiTheme="minorHAnsi" w:hAnsiTheme="minorHAnsi"/>
          <w:sz w:val="22"/>
          <w:szCs w:val="22"/>
        </w:rPr>
        <w:t>,</w:t>
      </w:r>
      <w:r w:rsidRPr="002F6D22">
        <w:rPr>
          <w:rStyle w:val="Znakapoznpodarou"/>
          <w:rFonts w:asciiTheme="minorHAnsi" w:hAnsiTheme="minorHAnsi" w:cs="Arial"/>
          <w:sz w:val="22"/>
          <w:szCs w:val="22"/>
        </w:rPr>
        <w:footnoteReference w:id="14"/>
      </w:r>
      <w:r w:rsidRPr="002F6D22">
        <w:rPr>
          <w:rFonts w:asciiTheme="minorHAnsi" w:hAnsiTheme="minorHAnsi" w:cs="Arial"/>
          <w:sz w:val="22"/>
          <w:szCs w:val="22"/>
        </w:rPr>
        <w:t>.</w:t>
      </w:r>
    </w:p>
    <w:p w14:paraId="69696672" w14:textId="0036E561" w:rsidR="00640646" w:rsidRPr="002F6D22" w:rsidRDefault="007D0731" w:rsidP="00CE35A7">
      <w:pPr>
        <w:pStyle w:val="Textpoznpodarou"/>
        <w:spacing w:afterLines="50"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Dne 17.</w:t>
      </w:r>
      <w:r w:rsidR="00CB2CC5" w:rsidRPr="002F6D22">
        <w:rPr>
          <w:rFonts w:asciiTheme="minorHAnsi" w:hAnsiTheme="minorHAnsi" w:cs="Arial"/>
          <w:sz w:val="22"/>
          <w:szCs w:val="22"/>
        </w:rPr>
        <w:t xml:space="preserve"> </w:t>
      </w:r>
      <w:r w:rsidRPr="002F6D22">
        <w:rPr>
          <w:rFonts w:asciiTheme="minorHAnsi" w:hAnsiTheme="minorHAnsi" w:cs="Arial"/>
          <w:sz w:val="22"/>
          <w:szCs w:val="22"/>
        </w:rPr>
        <w:t>ledna 2020 podala Evropská komise k Soudnímu dvoru EU žalobu proti Radě (</w:t>
      </w:r>
      <w:r w:rsidR="009129BB" w:rsidRPr="002F6D22">
        <w:rPr>
          <w:rFonts w:asciiTheme="minorHAnsi" w:hAnsiTheme="minorHAnsi" w:cs="Arial"/>
          <w:sz w:val="22"/>
          <w:szCs w:val="22"/>
        </w:rPr>
        <w:t>v</w:t>
      </w:r>
      <w:r w:rsidRPr="002F6D22">
        <w:rPr>
          <w:rFonts w:asciiTheme="minorHAnsi" w:hAnsiTheme="minorHAnsi" w:cs="Arial"/>
          <w:sz w:val="22"/>
          <w:szCs w:val="22"/>
        </w:rPr>
        <w:t xml:space="preserve">ěc C-24/20) v níž navrhuje, aby Soudní dvůr EU </w:t>
      </w:r>
      <w:r w:rsidRPr="002F6D22">
        <w:rPr>
          <w:rFonts w:asciiTheme="minorHAnsi" w:hAnsiTheme="minorHAnsi" w:cs="Arial"/>
          <w:sz w:val="22"/>
          <w:szCs w:val="22"/>
        </w:rPr>
        <w:softHyphen/>
        <w:t xml:space="preserve">zrušil články 3 a 4 Rozhodnutí. Zároveň však Evropská komise navrhuje, aby Soudní dvůr EU zachoval účinky zrušených ustanovení pro </w:t>
      </w:r>
      <w:r w:rsidR="009129BB" w:rsidRPr="002F6D22">
        <w:rPr>
          <w:rFonts w:asciiTheme="minorHAnsi" w:hAnsiTheme="minorHAnsi" w:cs="Arial"/>
          <w:sz w:val="22"/>
          <w:szCs w:val="22"/>
        </w:rPr>
        <w:t xml:space="preserve">ty </w:t>
      </w:r>
      <w:r w:rsidRPr="002F6D22">
        <w:rPr>
          <w:rFonts w:asciiTheme="minorHAnsi" w:hAnsiTheme="minorHAnsi" w:cs="Arial"/>
          <w:sz w:val="22"/>
          <w:szCs w:val="22"/>
        </w:rPr>
        <w:t>ČS EU,</w:t>
      </w:r>
      <w:r w:rsidR="009129BB" w:rsidRPr="002F6D22">
        <w:rPr>
          <w:rFonts w:asciiTheme="minorHAnsi" w:hAnsiTheme="minorHAnsi" w:cs="Arial"/>
          <w:sz w:val="22"/>
          <w:szCs w:val="22"/>
        </w:rPr>
        <w:t xml:space="preserve"> které již jsou členy Lisabonské dohody. Tyto státy by tak měly být nadále zmocněny </w:t>
      </w:r>
      <w:r w:rsidRPr="002F6D22">
        <w:rPr>
          <w:rFonts w:asciiTheme="minorHAnsi" w:hAnsiTheme="minorHAnsi" w:cs="Arial"/>
          <w:sz w:val="22"/>
          <w:szCs w:val="22"/>
        </w:rPr>
        <w:t>k přistoupení k Ženevskému aktu</w:t>
      </w:r>
      <w:r w:rsidR="007616F4" w:rsidRPr="002F6D22">
        <w:rPr>
          <w:rFonts w:asciiTheme="minorHAnsi" w:hAnsiTheme="minorHAnsi" w:cs="Arial"/>
          <w:sz w:val="22"/>
          <w:szCs w:val="22"/>
        </w:rPr>
        <w:t xml:space="preserve">, </w:t>
      </w:r>
      <w:r w:rsidRPr="002F6D22">
        <w:rPr>
          <w:rFonts w:asciiTheme="minorHAnsi" w:hAnsiTheme="minorHAnsi" w:cs="Arial"/>
          <w:sz w:val="22"/>
          <w:szCs w:val="22"/>
        </w:rPr>
        <w:t>podle článku 3</w:t>
      </w:r>
      <w:r w:rsidR="00241485" w:rsidRPr="002F6D22">
        <w:rPr>
          <w:rFonts w:asciiTheme="minorHAnsi" w:hAnsiTheme="minorHAnsi" w:cs="Arial"/>
          <w:sz w:val="22"/>
          <w:szCs w:val="22"/>
        </w:rPr>
        <w:t xml:space="preserve"> Rozhodnutí</w:t>
      </w:r>
      <w:r w:rsidR="007616F4" w:rsidRPr="002F6D22">
        <w:rPr>
          <w:rFonts w:asciiTheme="minorHAnsi" w:hAnsiTheme="minorHAnsi" w:cs="Arial"/>
          <w:sz w:val="22"/>
          <w:szCs w:val="22"/>
        </w:rPr>
        <w:t>, pokud jej uplatní ve stanovené lhůtě</w:t>
      </w:r>
      <w:r w:rsidR="00241485" w:rsidRPr="002F6D22">
        <w:rPr>
          <w:rStyle w:val="Znakapoznpodarou"/>
          <w:rFonts w:asciiTheme="minorHAnsi" w:hAnsiTheme="minorHAnsi" w:cs="Arial"/>
          <w:sz w:val="22"/>
          <w:szCs w:val="22"/>
        </w:rPr>
        <w:footnoteReference w:id="15"/>
      </w:r>
      <w:r w:rsidRPr="002F6D22">
        <w:rPr>
          <w:rFonts w:asciiTheme="minorHAnsi" w:hAnsiTheme="minorHAnsi" w:cs="Arial"/>
          <w:sz w:val="22"/>
          <w:szCs w:val="22"/>
        </w:rPr>
        <w:t>.</w:t>
      </w:r>
      <w:r w:rsidR="00D44F14" w:rsidRPr="002F6D22">
        <w:rPr>
          <w:rFonts w:asciiTheme="minorHAnsi" w:hAnsiTheme="minorHAnsi" w:cs="Arial"/>
          <w:sz w:val="22"/>
          <w:szCs w:val="22"/>
        </w:rPr>
        <w:t xml:space="preserve"> </w:t>
      </w:r>
      <w:r w:rsidR="007A06F6" w:rsidRPr="002F6D22">
        <w:rPr>
          <w:rFonts w:asciiTheme="minorHAnsi" w:hAnsiTheme="minorHAnsi" w:cs="Arial"/>
          <w:sz w:val="22"/>
          <w:szCs w:val="22"/>
        </w:rPr>
        <w:t xml:space="preserve">V rámci uvedeného řízení </w:t>
      </w:r>
      <w:r w:rsidR="00ED6D82">
        <w:rPr>
          <w:rFonts w:asciiTheme="minorHAnsi" w:hAnsiTheme="minorHAnsi" w:cs="Arial"/>
          <w:sz w:val="22"/>
          <w:szCs w:val="22"/>
        </w:rPr>
        <w:t xml:space="preserve">uplatní </w:t>
      </w:r>
      <w:r w:rsidR="007A06F6" w:rsidRPr="002F6D22">
        <w:rPr>
          <w:rFonts w:asciiTheme="minorHAnsi" w:hAnsiTheme="minorHAnsi" w:cs="Arial"/>
          <w:sz w:val="22"/>
          <w:szCs w:val="22"/>
        </w:rPr>
        <w:t xml:space="preserve">Rada </w:t>
      </w:r>
      <w:r w:rsidR="00ED6D82">
        <w:rPr>
          <w:rFonts w:asciiTheme="minorHAnsi" w:hAnsiTheme="minorHAnsi" w:cs="Arial"/>
          <w:sz w:val="22"/>
          <w:szCs w:val="22"/>
        </w:rPr>
        <w:t xml:space="preserve">vůči výše uvedené žalobě </w:t>
      </w:r>
      <w:r w:rsidR="003171C4">
        <w:rPr>
          <w:rFonts w:asciiTheme="minorHAnsi" w:hAnsiTheme="minorHAnsi" w:cs="Arial"/>
          <w:sz w:val="22"/>
          <w:szCs w:val="22"/>
        </w:rPr>
        <w:t>Evropské k</w:t>
      </w:r>
      <w:r w:rsidR="007A06F6" w:rsidRPr="002F6D22">
        <w:rPr>
          <w:rFonts w:asciiTheme="minorHAnsi" w:hAnsiTheme="minorHAnsi" w:cs="Arial"/>
          <w:sz w:val="22"/>
          <w:szCs w:val="22"/>
        </w:rPr>
        <w:t>omise</w:t>
      </w:r>
      <w:r w:rsidR="00ED6D82">
        <w:rPr>
          <w:rFonts w:asciiTheme="minorHAnsi" w:hAnsiTheme="minorHAnsi" w:cs="Arial"/>
          <w:sz w:val="22"/>
          <w:szCs w:val="22"/>
        </w:rPr>
        <w:t xml:space="preserve"> </w:t>
      </w:r>
      <w:r w:rsidR="00ED6D82" w:rsidRPr="002F6D22">
        <w:rPr>
          <w:rFonts w:asciiTheme="minorHAnsi" w:hAnsiTheme="minorHAnsi" w:cs="Arial"/>
          <w:sz w:val="22"/>
          <w:szCs w:val="22"/>
        </w:rPr>
        <w:t>námitku nepřípustnosti</w:t>
      </w:r>
      <w:r w:rsidR="00D44F14" w:rsidRPr="002F6D22">
        <w:rPr>
          <w:rFonts w:asciiTheme="minorHAnsi" w:hAnsiTheme="minorHAnsi" w:cs="Arial"/>
          <w:sz w:val="22"/>
          <w:szCs w:val="22"/>
        </w:rPr>
        <w:t>.</w:t>
      </w:r>
    </w:p>
    <w:p w14:paraId="0B8C1772" w14:textId="77777777" w:rsidR="001403F4" w:rsidRPr="002F6D22" w:rsidRDefault="001403F4" w:rsidP="00CE35A7">
      <w:pPr>
        <w:pStyle w:val="Textpoznpodarou"/>
        <w:spacing w:afterLines="50" w:after="120" w:line="240" w:lineRule="auto"/>
        <w:ind w:firstLine="708"/>
        <w:jc w:val="both"/>
        <w:rPr>
          <w:rFonts w:asciiTheme="minorHAnsi" w:hAnsiTheme="minorHAnsi" w:cs="Arial"/>
          <w:sz w:val="22"/>
          <w:szCs w:val="22"/>
        </w:rPr>
      </w:pPr>
    </w:p>
    <w:p w14:paraId="186C1B20" w14:textId="77777777" w:rsidR="006067AF" w:rsidRPr="002F6D22" w:rsidRDefault="00634EFE" w:rsidP="008A10D1">
      <w:pPr>
        <w:pStyle w:val="doc-ti"/>
        <w:shd w:val="clear" w:color="auto" w:fill="FFFFFF"/>
        <w:spacing w:before="0" w:beforeAutospacing="0" w:afterLines="50" w:after="120" w:afterAutospacing="0"/>
        <w:ind w:left="1066"/>
        <w:jc w:val="center"/>
        <w:rPr>
          <w:rFonts w:asciiTheme="minorHAnsi" w:hAnsiTheme="minorHAnsi" w:cs="Arial"/>
          <w:b/>
          <w:i/>
          <w:iCs/>
          <w:sz w:val="22"/>
          <w:szCs w:val="22"/>
        </w:rPr>
      </w:pPr>
      <w:r w:rsidRPr="002F6D22">
        <w:rPr>
          <w:rFonts w:asciiTheme="minorHAnsi" w:hAnsiTheme="minorHAnsi" w:cs="Arial"/>
          <w:b/>
          <w:i/>
          <w:iCs/>
          <w:sz w:val="22"/>
          <w:szCs w:val="22"/>
        </w:rPr>
        <w:t xml:space="preserve">Soulad </w:t>
      </w:r>
      <w:r w:rsidR="006067AF" w:rsidRPr="002F6D22">
        <w:rPr>
          <w:rFonts w:asciiTheme="minorHAnsi" w:hAnsiTheme="minorHAnsi" w:cs="Arial"/>
          <w:b/>
          <w:i/>
          <w:iCs/>
          <w:sz w:val="22"/>
          <w:szCs w:val="22"/>
        </w:rPr>
        <w:t>Ženevské</w:t>
      </w:r>
      <w:r w:rsidRPr="002F6D22">
        <w:rPr>
          <w:rFonts w:asciiTheme="minorHAnsi" w:hAnsiTheme="minorHAnsi" w:cs="Arial"/>
          <w:b/>
          <w:i/>
          <w:iCs/>
          <w:sz w:val="22"/>
          <w:szCs w:val="22"/>
        </w:rPr>
        <w:t>ho</w:t>
      </w:r>
      <w:r w:rsidR="006067AF" w:rsidRPr="002F6D22">
        <w:rPr>
          <w:rFonts w:asciiTheme="minorHAnsi" w:hAnsiTheme="minorHAnsi" w:cs="Arial"/>
          <w:b/>
          <w:i/>
          <w:iCs/>
          <w:sz w:val="22"/>
          <w:szCs w:val="22"/>
        </w:rPr>
        <w:t xml:space="preserve"> aktu</w:t>
      </w:r>
      <w:r w:rsidRPr="002F6D22">
        <w:rPr>
          <w:rFonts w:asciiTheme="minorHAnsi" w:hAnsiTheme="minorHAnsi" w:cs="Arial"/>
          <w:b/>
          <w:i/>
          <w:iCs/>
          <w:sz w:val="22"/>
          <w:szCs w:val="22"/>
        </w:rPr>
        <w:t xml:space="preserve"> s právním řádem ČR</w:t>
      </w:r>
      <w:r w:rsidR="006067AF" w:rsidRPr="002F6D22">
        <w:rPr>
          <w:rFonts w:asciiTheme="minorHAnsi" w:hAnsiTheme="minorHAnsi" w:cs="Arial"/>
          <w:b/>
          <w:i/>
          <w:iCs/>
          <w:sz w:val="22"/>
          <w:szCs w:val="22"/>
        </w:rPr>
        <w:t xml:space="preserve"> </w:t>
      </w:r>
    </w:p>
    <w:p w14:paraId="065962A3" w14:textId="51013A40" w:rsidR="00F44123" w:rsidRPr="002F6D22" w:rsidRDefault="00F44123" w:rsidP="00F44123">
      <w:pPr>
        <w:pStyle w:val="Textpoznpodarou"/>
        <w:spacing w:afterLines="50"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 xml:space="preserve">Ženevský akt je v souladu s českým právním řádem, se závazky vyplývajícími z členství České republiky v EU, s příslušným právem EU týkajícím se ochrany označení původu a zeměpisných označení zemědělských produktů a potravin, s dohodou TRIPS, se závazky převzatými v rámci jiných platných smluv, jakož i s obecně uznávanými zásadami mezinárodního práva. Ženevský akt je prezidentskou smlouvou podle článku </w:t>
      </w:r>
      <w:r w:rsidR="00F64D2E" w:rsidRPr="002F6D22">
        <w:rPr>
          <w:rFonts w:asciiTheme="minorHAnsi" w:hAnsiTheme="minorHAnsi" w:cs="Arial"/>
          <w:sz w:val="22"/>
          <w:szCs w:val="22"/>
        </w:rPr>
        <w:t>49</w:t>
      </w:r>
      <w:r w:rsidR="00866653" w:rsidRPr="002F6D22">
        <w:rPr>
          <w:rFonts w:asciiTheme="minorHAnsi" w:hAnsiTheme="minorHAnsi" w:cs="Arial"/>
          <w:sz w:val="22"/>
          <w:szCs w:val="22"/>
        </w:rPr>
        <w:t xml:space="preserve"> písm. a) a e)</w:t>
      </w:r>
      <w:r w:rsidRPr="002F6D22">
        <w:rPr>
          <w:rFonts w:asciiTheme="minorHAnsi" w:hAnsiTheme="minorHAnsi" w:cs="Arial"/>
          <w:sz w:val="22"/>
          <w:szCs w:val="22"/>
        </w:rPr>
        <w:t xml:space="preserve"> Ústavy České republiky (zák. č. 1/1993 Sb.), neboť upravuje práva a povinnosti osob a věci, jejichž úprava je vyhrazena zákonu.</w:t>
      </w:r>
    </w:p>
    <w:p w14:paraId="2E29A9AF" w14:textId="77777777" w:rsidR="00F44123" w:rsidRPr="002F6D22" w:rsidRDefault="00F44123" w:rsidP="007D0731">
      <w:pPr>
        <w:pStyle w:val="Textpoznpodarou"/>
        <w:spacing w:afterLines="50" w:after="120" w:line="240" w:lineRule="auto"/>
        <w:ind w:firstLine="708"/>
        <w:jc w:val="both"/>
        <w:rPr>
          <w:rFonts w:asciiTheme="minorHAnsi" w:hAnsiTheme="minorHAnsi"/>
          <w:sz w:val="22"/>
          <w:szCs w:val="22"/>
        </w:rPr>
      </w:pPr>
      <w:bookmarkStart w:id="1" w:name="_Hlk26439237"/>
      <w:r w:rsidRPr="002F6D22">
        <w:rPr>
          <w:rFonts w:asciiTheme="minorHAnsi" w:hAnsiTheme="minorHAnsi" w:cs="Arial"/>
          <w:sz w:val="22"/>
          <w:szCs w:val="22"/>
        </w:rPr>
        <w:t>V současné době probíhají práce na novele zákona č. 452/2001 Sb., o ochraně označení původu a zeměpisných označení a o změně zákona o ochraně spotřebitele. Důvodem novely je zajištění souladu s přímo použitelnými předpisy Evropské unie</w:t>
      </w:r>
      <w:r w:rsidR="007616F4" w:rsidRPr="002F6D22">
        <w:rPr>
          <w:rStyle w:val="Znakapoznpodarou"/>
          <w:rFonts w:asciiTheme="minorHAnsi" w:hAnsiTheme="minorHAnsi" w:cs="Arial"/>
          <w:sz w:val="22"/>
          <w:szCs w:val="22"/>
        </w:rPr>
        <w:footnoteReference w:id="16"/>
      </w:r>
      <w:r w:rsidRPr="002F6D22">
        <w:rPr>
          <w:rFonts w:asciiTheme="minorHAnsi" w:hAnsiTheme="minorHAnsi" w:cs="Arial"/>
          <w:sz w:val="22"/>
          <w:szCs w:val="22"/>
        </w:rPr>
        <w:t>.</w:t>
      </w:r>
      <w:bookmarkEnd w:id="1"/>
    </w:p>
    <w:p w14:paraId="0F5F6755" w14:textId="32170DA7" w:rsidR="00F44123" w:rsidRPr="002F6D22" w:rsidRDefault="00F44123" w:rsidP="00F44123">
      <w:pPr>
        <w:pStyle w:val="Textpoznpodarou"/>
        <w:spacing w:afterLines="50"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Po udělení souhlasu obou komor Parlamentu České republiky s př</w:t>
      </w:r>
      <w:r w:rsidR="006C570C" w:rsidRPr="002F6D22">
        <w:rPr>
          <w:rFonts w:asciiTheme="minorHAnsi" w:hAnsiTheme="minorHAnsi" w:cs="Arial"/>
          <w:sz w:val="22"/>
          <w:szCs w:val="22"/>
        </w:rPr>
        <w:t>ístupem</w:t>
      </w:r>
      <w:r w:rsidRPr="002F6D22">
        <w:rPr>
          <w:rFonts w:asciiTheme="minorHAnsi" w:hAnsiTheme="minorHAnsi" w:cs="Arial"/>
          <w:sz w:val="22"/>
          <w:szCs w:val="22"/>
        </w:rPr>
        <w:t xml:space="preserve"> České republiky k Ženevskému aktu, </w:t>
      </w:r>
      <w:r w:rsidR="006C570C" w:rsidRPr="002F6D22">
        <w:rPr>
          <w:rFonts w:asciiTheme="minorHAnsi" w:hAnsiTheme="minorHAnsi" w:cs="Arial"/>
          <w:sz w:val="22"/>
          <w:szCs w:val="22"/>
        </w:rPr>
        <w:t xml:space="preserve">podepsáním listin o přístupu </w:t>
      </w:r>
      <w:r w:rsidRPr="002F6D22">
        <w:rPr>
          <w:rFonts w:asciiTheme="minorHAnsi" w:hAnsiTheme="minorHAnsi" w:cs="Arial"/>
          <w:sz w:val="22"/>
          <w:szCs w:val="22"/>
        </w:rPr>
        <w:t xml:space="preserve">prezidentem republiky a vyhlášení ve Sbírce mezinárodních smluv se Ženevský akt stane součástí právního řádu, bude přímo použitelný a bude mít aplikační přednost před zákonem. </w:t>
      </w:r>
    </w:p>
    <w:p w14:paraId="5A0BE9AA" w14:textId="77777777" w:rsidR="00634EFE" w:rsidRPr="002F6D22" w:rsidRDefault="00634EFE" w:rsidP="00F44123">
      <w:pPr>
        <w:pStyle w:val="Textpoznpodarou"/>
        <w:spacing w:afterLines="50" w:after="120" w:line="240" w:lineRule="auto"/>
        <w:ind w:firstLine="708"/>
        <w:jc w:val="both"/>
        <w:rPr>
          <w:rFonts w:asciiTheme="minorHAnsi" w:hAnsiTheme="minorHAnsi" w:cs="Arial"/>
          <w:sz w:val="22"/>
          <w:szCs w:val="22"/>
        </w:rPr>
      </w:pPr>
    </w:p>
    <w:p w14:paraId="16100B08" w14:textId="77777777" w:rsidR="00634EFE" w:rsidRPr="002F6D22" w:rsidRDefault="00634EFE" w:rsidP="007D0731">
      <w:pPr>
        <w:pStyle w:val="Textpoznpodarou"/>
        <w:spacing w:afterLines="50" w:after="120" w:line="240" w:lineRule="auto"/>
        <w:ind w:firstLine="708"/>
        <w:jc w:val="center"/>
        <w:rPr>
          <w:rFonts w:asciiTheme="minorHAnsi" w:hAnsiTheme="minorHAnsi" w:cs="Arial"/>
          <w:b/>
          <w:i/>
          <w:iCs/>
          <w:sz w:val="22"/>
          <w:szCs w:val="22"/>
        </w:rPr>
      </w:pPr>
      <w:r w:rsidRPr="002F6D22">
        <w:rPr>
          <w:rFonts w:asciiTheme="minorHAnsi" w:hAnsiTheme="minorHAnsi" w:cs="Arial"/>
          <w:b/>
          <w:i/>
          <w:iCs/>
          <w:sz w:val="22"/>
          <w:szCs w:val="22"/>
        </w:rPr>
        <w:t xml:space="preserve">Dopad přístupu ČR k Ženevskému </w:t>
      </w:r>
      <w:r w:rsidR="00885F85" w:rsidRPr="002F6D22">
        <w:rPr>
          <w:rFonts w:asciiTheme="minorHAnsi" w:hAnsiTheme="minorHAnsi" w:cs="Arial"/>
          <w:b/>
          <w:i/>
          <w:iCs/>
          <w:sz w:val="22"/>
          <w:szCs w:val="22"/>
        </w:rPr>
        <w:t>aktu</w:t>
      </w:r>
    </w:p>
    <w:p w14:paraId="0083F772" w14:textId="77777777" w:rsidR="00F44123" w:rsidRPr="002F6D22" w:rsidRDefault="00F44123" w:rsidP="00F44123">
      <w:pPr>
        <w:pStyle w:val="Default"/>
        <w:ind w:firstLine="708"/>
        <w:jc w:val="both"/>
        <w:rPr>
          <w:rFonts w:asciiTheme="minorHAnsi" w:hAnsiTheme="minorHAnsi" w:cs="Arial"/>
          <w:color w:val="auto"/>
          <w:sz w:val="22"/>
          <w:szCs w:val="22"/>
        </w:rPr>
      </w:pPr>
      <w:r w:rsidRPr="002F6D22">
        <w:rPr>
          <w:rFonts w:asciiTheme="minorHAnsi" w:hAnsiTheme="minorHAnsi" w:cs="Arial"/>
          <w:color w:val="auto"/>
          <w:sz w:val="22"/>
          <w:szCs w:val="22"/>
        </w:rPr>
        <w:t>Z hlediska provádění smlouvy je vzhledem k výlučné kompetenci EU v oblastech, které upravuje Ženevský akt</w:t>
      </w:r>
      <w:r w:rsidR="00521396" w:rsidRPr="002F6D22">
        <w:rPr>
          <w:rFonts w:asciiTheme="minorHAnsi" w:hAnsiTheme="minorHAnsi" w:cs="Arial"/>
          <w:color w:val="auto"/>
          <w:sz w:val="22"/>
          <w:szCs w:val="22"/>
        </w:rPr>
        <w:t xml:space="preserve"> a Nařízení</w:t>
      </w:r>
      <w:r w:rsidRPr="002F6D22">
        <w:rPr>
          <w:rFonts w:asciiTheme="minorHAnsi" w:hAnsiTheme="minorHAnsi" w:cs="Arial"/>
          <w:color w:val="auto"/>
          <w:sz w:val="22"/>
          <w:szCs w:val="22"/>
        </w:rPr>
        <w:t>, třeba rozlišit následující situace:</w:t>
      </w:r>
    </w:p>
    <w:p w14:paraId="61B8731B" w14:textId="77777777" w:rsidR="00F44123" w:rsidRPr="002F6D22" w:rsidRDefault="00F44123" w:rsidP="00F44123">
      <w:pPr>
        <w:pStyle w:val="Default"/>
        <w:ind w:firstLine="708"/>
        <w:jc w:val="both"/>
        <w:rPr>
          <w:rFonts w:asciiTheme="minorHAnsi" w:hAnsiTheme="minorHAnsi" w:cs="Arial"/>
          <w:color w:val="auto"/>
          <w:sz w:val="22"/>
          <w:szCs w:val="22"/>
        </w:rPr>
      </w:pPr>
      <w:r w:rsidRPr="002F6D22">
        <w:rPr>
          <w:rFonts w:asciiTheme="minorHAnsi" w:hAnsiTheme="minorHAnsi" w:cs="Arial"/>
          <w:color w:val="auto"/>
          <w:sz w:val="22"/>
          <w:szCs w:val="22"/>
        </w:rPr>
        <w:t xml:space="preserve"> </w:t>
      </w:r>
    </w:p>
    <w:p w14:paraId="7C24B077" w14:textId="10662C6C" w:rsidR="00F44123" w:rsidRPr="002F6D22" w:rsidRDefault="00F44123" w:rsidP="008A10D1">
      <w:pPr>
        <w:pStyle w:val="Default"/>
        <w:numPr>
          <w:ilvl w:val="0"/>
          <w:numId w:val="7"/>
        </w:numPr>
        <w:spacing w:afterLines="50" w:after="120"/>
        <w:ind w:left="284" w:hanging="284"/>
        <w:jc w:val="both"/>
        <w:rPr>
          <w:rFonts w:asciiTheme="minorHAnsi" w:hAnsiTheme="minorHAnsi" w:cs="Arial"/>
          <w:color w:val="auto"/>
          <w:sz w:val="22"/>
          <w:szCs w:val="22"/>
        </w:rPr>
      </w:pPr>
      <w:r w:rsidRPr="002F6D22">
        <w:rPr>
          <w:rFonts w:asciiTheme="minorHAnsi" w:hAnsiTheme="minorHAnsi" w:cs="Arial"/>
          <w:color w:val="auto"/>
          <w:sz w:val="22"/>
          <w:szCs w:val="22"/>
        </w:rPr>
        <w:t>Nové žádosti o mezinárodní zápis zeměpisných označení chráněných a zapsaných podle práva EU a</w:t>
      </w:r>
      <w:r w:rsidR="003B742B" w:rsidRPr="002F6D22">
        <w:rPr>
          <w:rFonts w:asciiTheme="minorHAnsi" w:hAnsiTheme="minorHAnsi" w:cs="Arial"/>
          <w:color w:val="auto"/>
          <w:sz w:val="22"/>
          <w:szCs w:val="22"/>
        </w:rPr>
        <w:t> </w:t>
      </w:r>
      <w:r w:rsidRPr="002F6D22">
        <w:rPr>
          <w:rFonts w:asciiTheme="minorHAnsi" w:hAnsiTheme="minorHAnsi" w:cs="Arial"/>
          <w:color w:val="auto"/>
          <w:sz w:val="22"/>
          <w:szCs w:val="22"/>
        </w:rPr>
        <w:t>vztahující se k produktům pocházejícím z EU bude podávat (z podnětu členských států) Evropská komise</w:t>
      </w:r>
      <w:r w:rsidR="003171C4">
        <w:rPr>
          <w:rStyle w:val="Znakapoznpodarou"/>
          <w:rFonts w:asciiTheme="minorHAnsi" w:hAnsiTheme="minorHAnsi" w:cs="Arial"/>
          <w:color w:val="auto"/>
          <w:sz w:val="22"/>
          <w:szCs w:val="22"/>
        </w:rPr>
        <w:footnoteReference w:id="17"/>
      </w:r>
      <w:r w:rsidRPr="002F6D22">
        <w:rPr>
          <w:rFonts w:asciiTheme="minorHAnsi" w:hAnsiTheme="minorHAnsi" w:cs="Arial"/>
          <w:color w:val="auto"/>
          <w:sz w:val="22"/>
          <w:szCs w:val="22"/>
        </w:rPr>
        <w:t xml:space="preserve">. To se zatím (do přijetí příslušně legislativy na úrovni EU) nebude týkat nezemědělských výrobků. </w:t>
      </w:r>
    </w:p>
    <w:p w14:paraId="2692D2D9" w14:textId="112AE11C" w:rsidR="00F44123" w:rsidRPr="002F6D22" w:rsidRDefault="00F44123" w:rsidP="008A10D1">
      <w:pPr>
        <w:pStyle w:val="Default"/>
        <w:numPr>
          <w:ilvl w:val="0"/>
          <w:numId w:val="7"/>
        </w:numPr>
        <w:spacing w:afterLines="50" w:after="120"/>
        <w:ind w:left="284" w:hanging="284"/>
        <w:jc w:val="both"/>
        <w:rPr>
          <w:rFonts w:asciiTheme="minorHAnsi" w:hAnsiTheme="minorHAnsi" w:cs="Arial"/>
          <w:color w:val="auto"/>
          <w:sz w:val="22"/>
          <w:szCs w:val="22"/>
        </w:rPr>
      </w:pPr>
      <w:r w:rsidRPr="002F6D22">
        <w:rPr>
          <w:rFonts w:asciiTheme="minorHAnsi" w:hAnsiTheme="minorHAnsi" w:cs="Arial"/>
          <w:color w:val="auto"/>
          <w:sz w:val="22"/>
          <w:szCs w:val="22"/>
        </w:rPr>
        <w:t xml:space="preserve">U označení původu produktu, které již je zapsáno v mezinárodním rejstříku podle Lisabonské dohody a </w:t>
      </w:r>
      <w:r w:rsidR="00521396" w:rsidRPr="002F6D22">
        <w:rPr>
          <w:rFonts w:asciiTheme="minorHAnsi" w:hAnsiTheme="minorHAnsi" w:cs="Arial"/>
          <w:color w:val="auto"/>
          <w:sz w:val="22"/>
          <w:szCs w:val="22"/>
        </w:rPr>
        <w:t xml:space="preserve">zároveň </w:t>
      </w:r>
      <w:r w:rsidR="003B742B" w:rsidRPr="002F6D22">
        <w:rPr>
          <w:rFonts w:asciiTheme="minorHAnsi" w:hAnsiTheme="minorHAnsi" w:cs="Arial"/>
          <w:color w:val="auto"/>
          <w:sz w:val="22"/>
          <w:szCs w:val="22"/>
        </w:rPr>
        <w:t>je zapsáno v rejstříku EU</w:t>
      </w:r>
      <w:r w:rsidRPr="002F6D22">
        <w:rPr>
          <w:rFonts w:asciiTheme="minorHAnsi" w:hAnsiTheme="minorHAnsi" w:cs="Arial"/>
          <w:color w:val="auto"/>
          <w:sz w:val="22"/>
          <w:szCs w:val="22"/>
        </w:rPr>
        <w:t xml:space="preserve">, bude třeba, aby se uživatelé rozhodli, zda budou chtít zachovat jeho mezinárodní ochranu. Pokud ano, bude nutné požádat o mezinárodní zápis podle Ženevského aktu. Tím bude zajištěna </w:t>
      </w:r>
      <w:r w:rsidR="00521396" w:rsidRPr="002F6D22">
        <w:rPr>
          <w:rFonts w:asciiTheme="minorHAnsi" w:hAnsiTheme="minorHAnsi" w:cs="Arial"/>
          <w:color w:val="auto"/>
          <w:sz w:val="22"/>
          <w:szCs w:val="22"/>
        </w:rPr>
        <w:t xml:space="preserve">i </w:t>
      </w:r>
      <w:r w:rsidRPr="002F6D22">
        <w:rPr>
          <w:rFonts w:asciiTheme="minorHAnsi" w:hAnsiTheme="minorHAnsi" w:cs="Arial"/>
          <w:color w:val="auto"/>
          <w:sz w:val="22"/>
          <w:szCs w:val="22"/>
        </w:rPr>
        <w:t xml:space="preserve">kontinuita </w:t>
      </w:r>
      <w:r w:rsidR="00521396" w:rsidRPr="002F6D22">
        <w:rPr>
          <w:rFonts w:asciiTheme="minorHAnsi" w:hAnsiTheme="minorHAnsi" w:cs="Arial"/>
          <w:color w:val="auto"/>
          <w:sz w:val="22"/>
          <w:szCs w:val="22"/>
        </w:rPr>
        <w:t xml:space="preserve">mezinárodní </w:t>
      </w:r>
      <w:r w:rsidRPr="002F6D22">
        <w:rPr>
          <w:rFonts w:asciiTheme="minorHAnsi" w:hAnsiTheme="minorHAnsi" w:cs="Arial"/>
          <w:color w:val="auto"/>
          <w:sz w:val="22"/>
          <w:szCs w:val="22"/>
        </w:rPr>
        <w:t>ochrany. Podmínkou tohoto opatření je př</w:t>
      </w:r>
      <w:r w:rsidR="00FB4B33" w:rsidRPr="002F6D22">
        <w:rPr>
          <w:rFonts w:asciiTheme="minorHAnsi" w:hAnsiTheme="minorHAnsi" w:cs="Arial"/>
          <w:color w:val="auto"/>
          <w:sz w:val="22"/>
          <w:szCs w:val="22"/>
        </w:rPr>
        <w:t>ístup</w:t>
      </w:r>
      <w:r w:rsidRPr="002F6D22">
        <w:rPr>
          <w:rFonts w:asciiTheme="minorHAnsi" w:hAnsiTheme="minorHAnsi" w:cs="Arial"/>
          <w:color w:val="auto"/>
          <w:sz w:val="22"/>
          <w:szCs w:val="22"/>
        </w:rPr>
        <w:t xml:space="preserve"> ČR k Ženevskému aktu. V opačném případě bude třeba požádat o zrušení </w:t>
      </w:r>
      <w:r w:rsidR="00521396" w:rsidRPr="002F6D22">
        <w:rPr>
          <w:rFonts w:asciiTheme="minorHAnsi" w:hAnsiTheme="minorHAnsi" w:cs="Arial"/>
          <w:color w:val="auto"/>
          <w:sz w:val="22"/>
          <w:szCs w:val="22"/>
        </w:rPr>
        <w:t xml:space="preserve">mezinárodního </w:t>
      </w:r>
      <w:r w:rsidRPr="002F6D22">
        <w:rPr>
          <w:rFonts w:asciiTheme="minorHAnsi" w:hAnsiTheme="minorHAnsi" w:cs="Arial"/>
          <w:color w:val="auto"/>
          <w:sz w:val="22"/>
          <w:szCs w:val="22"/>
        </w:rPr>
        <w:t xml:space="preserve">zápisu daného označení původu </w:t>
      </w:r>
      <w:r w:rsidR="00521396" w:rsidRPr="002F6D22">
        <w:rPr>
          <w:rFonts w:asciiTheme="minorHAnsi" w:hAnsiTheme="minorHAnsi" w:cs="Arial"/>
          <w:color w:val="auto"/>
          <w:sz w:val="22"/>
          <w:szCs w:val="22"/>
        </w:rPr>
        <w:t>podle Lisabonské dohody</w:t>
      </w:r>
      <w:r w:rsidRPr="002F6D22">
        <w:rPr>
          <w:rFonts w:asciiTheme="minorHAnsi" w:hAnsiTheme="minorHAnsi" w:cs="Arial"/>
          <w:color w:val="auto"/>
          <w:sz w:val="22"/>
          <w:szCs w:val="22"/>
        </w:rPr>
        <w:t xml:space="preserve">. Lhůta pro oznámení příslušné volby </w:t>
      </w:r>
      <w:r w:rsidR="00640646" w:rsidRPr="002F6D22">
        <w:rPr>
          <w:rFonts w:asciiTheme="minorHAnsi" w:hAnsiTheme="minorHAnsi" w:cs="Arial"/>
          <w:color w:val="auto"/>
          <w:sz w:val="22"/>
          <w:szCs w:val="22"/>
        </w:rPr>
        <w:t>Evropské komisi</w:t>
      </w:r>
      <w:r w:rsidRPr="002F6D22">
        <w:rPr>
          <w:rFonts w:asciiTheme="minorHAnsi" w:hAnsiTheme="minorHAnsi" w:cs="Arial"/>
          <w:color w:val="auto"/>
          <w:sz w:val="22"/>
          <w:szCs w:val="22"/>
        </w:rPr>
        <w:t xml:space="preserve"> je nejpozději do 14. listopadu 2022. </w:t>
      </w:r>
    </w:p>
    <w:p w14:paraId="69AF8DFF" w14:textId="72016B25" w:rsidR="00F44123" w:rsidRPr="002F6D22" w:rsidRDefault="00F44123" w:rsidP="008A10D1">
      <w:pPr>
        <w:pStyle w:val="Default"/>
        <w:numPr>
          <w:ilvl w:val="0"/>
          <w:numId w:val="7"/>
        </w:numPr>
        <w:spacing w:afterLines="50" w:after="120"/>
        <w:ind w:left="284" w:hanging="284"/>
        <w:jc w:val="both"/>
        <w:rPr>
          <w:rFonts w:asciiTheme="minorHAnsi" w:hAnsiTheme="minorHAnsi" w:cs="Arial"/>
          <w:color w:val="auto"/>
          <w:sz w:val="22"/>
          <w:szCs w:val="22"/>
        </w:rPr>
      </w:pPr>
      <w:r w:rsidRPr="002F6D22">
        <w:rPr>
          <w:rFonts w:asciiTheme="minorHAnsi" w:hAnsiTheme="minorHAnsi" w:cs="Arial"/>
          <w:color w:val="auto"/>
          <w:sz w:val="22"/>
          <w:szCs w:val="22"/>
        </w:rPr>
        <w:t>U označení původu produktu, které již je zapsáno v mezinárodním rejstříku podle Lisabonské dohody</w:t>
      </w:r>
      <w:r w:rsidR="003B742B" w:rsidRPr="002F6D22">
        <w:rPr>
          <w:rFonts w:asciiTheme="minorHAnsi" w:hAnsiTheme="minorHAnsi" w:cs="Arial"/>
          <w:color w:val="auto"/>
          <w:sz w:val="22"/>
          <w:szCs w:val="22"/>
        </w:rPr>
        <w:t>,</w:t>
      </w:r>
      <w:r w:rsidRPr="002F6D22">
        <w:rPr>
          <w:rFonts w:asciiTheme="minorHAnsi" w:hAnsiTheme="minorHAnsi" w:cs="Arial"/>
          <w:color w:val="auto"/>
          <w:sz w:val="22"/>
          <w:szCs w:val="22"/>
        </w:rPr>
        <w:t xml:space="preserve"> a</w:t>
      </w:r>
      <w:r w:rsidR="003B742B" w:rsidRPr="002F6D22">
        <w:rPr>
          <w:rFonts w:asciiTheme="minorHAnsi" w:hAnsiTheme="minorHAnsi" w:cs="Arial"/>
          <w:color w:val="auto"/>
          <w:sz w:val="22"/>
          <w:szCs w:val="22"/>
        </w:rPr>
        <w:t>le</w:t>
      </w:r>
      <w:r w:rsidRPr="002F6D22">
        <w:rPr>
          <w:rFonts w:asciiTheme="minorHAnsi" w:hAnsiTheme="minorHAnsi" w:cs="Arial"/>
          <w:color w:val="auto"/>
          <w:sz w:val="22"/>
          <w:szCs w:val="22"/>
        </w:rPr>
        <w:t xml:space="preserve"> které v současné době není zapsáno v rejstříku EU, nicméně tento produkt spadá do oblasti působnosti přímo použitelných předpisů EU, bude třeba, aby se uživatelé rozhodli, zda budou chtít zachovat jeho ochranu. Pokud ano, bude třeba nejprve požádat o zápis daného označení původu do rejstříku EU a následně požádat o</w:t>
      </w:r>
      <w:r w:rsidR="001E2C3D" w:rsidRPr="002F6D22">
        <w:rPr>
          <w:rFonts w:asciiTheme="minorHAnsi" w:hAnsiTheme="minorHAnsi" w:cs="Arial"/>
          <w:color w:val="auto"/>
          <w:sz w:val="22"/>
          <w:szCs w:val="22"/>
        </w:rPr>
        <w:t xml:space="preserve"> jeho</w:t>
      </w:r>
      <w:r w:rsidRPr="002F6D22">
        <w:rPr>
          <w:rFonts w:asciiTheme="minorHAnsi" w:hAnsiTheme="minorHAnsi" w:cs="Arial"/>
          <w:color w:val="auto"/>
          <w:sz w:val="22"/>
          <w:szCs w:val="22"/>
        </w:rPr>
        <w:t xml:space="preserve"> mezinárodní</w:t>
      </w:r>
      <w:r w:rsidR="003F3C4F" w:rsidRPr="002F6D22">
        <w:rPr>
          <w:rFonts w:asciiTheme="minorHAnsi" w:hAnsiTheme="minorHAnsi" w:cs="Arial"/>
          <w:color w:val="auto"/>
          <w:sz w:val="22"/>
          <w:szCs w:val="22"/>
        </w:rPr>
        <w:t xml:space="preserve"> </w:t>
      </w:r>
      <w:r w:rsidRPr="002F6D22">
        <w:rPr>
          <w:rFonts w:asciiTheme="minorHAnsi" w:hAnsiTheme="minorHAnsi" w:cs="Arial"/>
          <w:color w:val="auto"/>
          <w:sz w:val="22"/>
          <w:szCs w:val="22"/>
        </w:rPr>
        <w:t xml:space="preserve">zápis podle Ženevského aktu. Tím bude zajištěna kontinuita jejich </w:t>
      </w:r>
      <w:r w:rsidR="003F3C4F" w:rsidRPr="002F6D22">
        <w:rPr>
          <w:rFonts w:asciiTheme="minorHAnsi" w:hAnsiTheme="minorHAnsi" w:cs="Arial"/>
          <w:color w:val="auto"/>
          <w:sz w:val="22"/>
          <w:szCs w:val="22"/>
        </w:rPr>
        <w:t xml:space="preserve">mezinárodní </w:t>
      </w:r>
      <w:r w:rsidRPr="002F6D22">
        <w:rPr>
          <w:rFonts w:asciiTheme="minorHAnsi" w:hAnsiTheme="minorHAnsi" w:cs="Arial"/>
          <w:color w:val="auto"/>
          <w:sz w:val="22"/>
          <w:szCs w:val="22"/>
        </w:rPr>
        <w:t>ochrany. Podmínkou tohoto opatření je př</w:t>
      </w:r>
      <w:r w:rsidR="00FB4B33" w:rsidRPr="002F6D22">
        <w:rPr>
          <w:rFonts w:asciiTheme="minorHAnsi" w:hAnsiTheme="minorHAnsi" w:cs="Arial"/>
          <w:color w:val="auto"/>
          <w:sz w:val="22"/>
          <w:szCs w:val="22"/>
        </w:rPr>
        <w:t>ístup</w:t>
      </w:r>
      <w:r w:rsidR="001E2C3D" w:rsidRPr="002F6D22">
        <w:rPr>
          <w:rFonts w:asciiTheme="minorHAnsi" w:hAnsiTheme="minorHAnsi" w:cs="Arial"/>
          <w:color w:val="auto"/>
          <w:sz w:val="22"/>
          <w:szCs w:val="22"/>
        </w:rPr>
        <w:t xml:space="preserve"> </w:t>
      </w:r>
      <w:r w:rsidRPr="002F6D22">
        <w:rPr>
          <w:rFonts w:asciiTheme="minorHAnsi" w:hAnsiTheme="minorHAnsi" w:cs="Arial"/>
          <w:color w:val="auto"/>
          <w:sz w:val="22"/>
          <w:szCs w:val="22"/>
        </w:rPr>
        <w:t>ČR k Ženevskému aktu.</w:t>
      </w:r>
      <w:r w:rsidR="003F3C4F" w:rsidRPr="002F6D22">
        <w:rPr>
          <w:rFonts w:asciiTheme="minorHAnsi" w:hAnsiTheme="minorHAnsi" w:cs="Arial"/>
          <w:color w:val="auto"/>
          <w:sz w:val="22"/>
          <w:szCs w:val="22"/>
        </w:rPr>
        <w:t xml:space="preserve"> V opačném případě bude třeba požádat o zrušení mezinárodního zápisu daného označení původu podle Lisabonské dohody. Lhůta pro oznámení příslušné volby Komisi a podání žádosti o zápis do rejstříku EU je nejpozději do 14.</w:t>
      </w:r>
      <w:r w:rsidR="00CB2CC5" w:rsidRPr="002F6D22">
        <w:rPr>
          <w:rFonts w:asciiTheme="minorHAnsi" w:hAnsiTheme="minorHAnsi" w:cs="Arial"/>
          <w:color w:val="auto"/>
          <w:sz w:val="22"/>
          <w:szCs w:val="22"/>
        </w:rPr>
        <w:t xml:space="preserve"> </w:t>
      </w:r>
      <w:r w:rsidR="003F3C4F" w:rsidRPr="002F6D22">
        <w:rPr>
          <w:rFonts w:asciiTheme="minorHAnsi" w:hAnsiTheme="minorHAnsi" w:cs="Arial"/>
          <w:color w:val="auto"/>
          <w:sz w:val="22"/>
          <w:szCs w:val="22"/>
        </w:rPr>
        <w:t>listopadu 2022.</w:t>
      </w:r>
    </w:p>
    <w:p w14:paraId="0EE74E33" w14:textId="77777777" w:rsidR="00F44123" w:rsidRPr="002F6D22" w:rsidRDefault="00F44123" w:rsidP="008A10D1">
      <w:pPr>
        <w:pStyle w:val="Default"/>
        <w:numPr>
          <w:ilvl w:val="0"/>
          <w:numId w:val="7"/>
        </w:numPr>
        <w:spacing w:afterLines="50" w:after="120"/>
        <w:ind w:left="284" w:hanging="284"/>
        <w:jc w:val="both"/>
        <w:rPr>
          <w:rFonts w:asciiTheme="minorHAnsi" w:hAnsiTheme="minorHAnsi" w:cs="Arial"/>
          <w:color w:val="auto"/>
          <w:sz w:val="22"/>
          <w:szCs w:val="22"/>
        </w:rPr>
      </w:pPr>
      <w:r w:rsidRPr="002F6D22">
        <w:rPr>
          <w:rFonts w:asciiTheme="minorHAnsi" w:hAnsiTheme="minorHAnsi" w:cs="Arial"/>
          <w:color w:val="auto"/>
          <w:sz w:val="22"/>
          <w:szCs w:val="22"/>
        </w:rPr>
        <w:t xml:space="preserve">Česká republika bude moci zachovat stávající zápisy v mezinárodním rejstříku </w:t>
      </w:r>
      <w:r w:rsidR="003F3C4F" w:rsidRPr="002F6D22">
        <w:rPr>
          <w:rFonts w:asciiTheme="minorHAnsi" w:hAnsiTheme="minorHAnsi" w:cs="Arial"/>
          <w:color w:val="auto"/>
          <w:sz w:val="22"/>
          <w:szCs w:val="22"/>
        </w:rPr>
        <w:t xml:space="preserve">podle Lisabonské dohody </w:t>
      </w:r>
      <w:r w:rsidRPr="002F6D22">
        <w:rPr>
          <w:rFonts w:asciiTheme="minorHAnsi" w:hAnsiTheme="minorHAnsi" w:cs="Arial"/>
          <w:color w:val="auto"/>
          <w:sz w:val="22"/>
          <w:szCs w:val="22"/>
        </w:rPr>
        <w:t>pro označení původu pro nezemědělské výrobky. Může rovněž podávat další žádosti o</w:t>
      </w:r>
      <w:r w:rsidR="003A10DB" w:rsidRPr="002F6D22">
        <w:rPr>
          <w:rFonts w:asciiTheme="minorHAnsi" w:hAnsiTheme="minorHAnsi" w:cs="Arial"/>
          <w:color w:val="auto"/>
          <w:sz w:val="22"/>
          <w:szCs w:val="22"/>
        </w:rPr>
        <w:t> </w:t>
      </w:r>
      <w:r w:rsidRPr="002F6D22">
        <w:rPr>
          <w:rFonts w:asciiTheme="minorHAnsi" w:hAnsiTheme="minorHAnsi" w:cs="Arial"/>
          <w:color w:val="auto"/>
          <w:sz w:val="22"/>
          <w:szCs w:val="22"/>
        </w:rPr>
        <w:t>zápis takových označení původu a zeměpisných označení do mezinárodního rejstříku</w:t>
      </w:r>
      <w:r w:rsidR="00BD3A75" w:rsidRPr="002F6D22">
        <w:rPr>
          <w:rFonts w:asciiTheme="minorHAnsi" w:hAnsiTheme="minorHAnsi" w:cs="Arial"/>
          <w:color w:val="auto"/>
          <w:sz w:val="22"/>
          <w:szCs w:val="22"/>
        </w:rPr>
        <w:t xml:space="preserve"> podle Lisabonské dohody</w:t>
      </w:r>
      <w:r w:rsidRPr="002F6D22">
        <w:rPr>
          <w:rFonts w:asciiTheme="minorHAnsi" w:hAnsiTheme="minorHAnsi" w:cs="Arial"/>
          <w:color w:val="auto"/>
          <w:sz w:val="22"/>
          <w:szCs w:val="22"/>
        </w:rPr>
        <w:t xml:space="preserve">. </w:t>
      </w:r>
    </w:p>
    <w:p w14:paraId="5AAFB6D8" w14:textId="77777777" w:rsidR="006C570C" w:rsidRPr="002F6D22" w:rsidRDefault="006C570C" w:rsidP="00F44123">
      <w:pPr>
        <w:spacing w:after="0" w:line="240" w:lineRule="auto"/>
        <w:jc w:val="both"/>
        <w:rPr>
          <w:rFonts w:asciiTheme="minorHAnsi" w:hAnsiTheme="minorHAnsi" w:cs="Arial"/>
          <w:i/>
          <w:iCs/>
          <w:u w:val="single"/>
        </w:rPr>
      </w:pPr>
    </w:p>
    <w:p w14:paraId="22065EC7" w14:textId="77777777" w:rsidR="00F44123" w:rsidRPr="002F6D22" w:rsidRDefault="00FB4B33" w:rsidP="00F44123">
      <w:pPr>
        <w:spacing w:after="0" w:line="240" w:lineRule="auto"/>
        <w:ind w:firstLine="708"/>
        <w:jc w:val="both"/>
        <w:rPr>
          <w:rFonts w:asciiTheme="minorHAnsi" w:hAnsiTheme="minorHAnsi" w:cs="Arial"/>
        </w:rPr>
      </w:pPr>
      <w:r w:rsidRPr="002F6D22">
        <w:rPr>
          <w:rFonts w:asciiTheme="minorHAnsi" w:hAnsiTheme="minorHAnsi" w:cs="Arial"/>
        </w:rPr>
        <w:t xml:space="preserve">Přístup </w:t>
      </w:r>
      <w:r w:rsidR="00F44123" w:rsidRPr="002F6D22">
        <w:rPr>
          <w:rFonts w:asciiTheme="minorHAnsi" w:hAnsiTheme="minorHAnsi" w:cs="Arial"/>
        </w:rPr>
        <w:t>České republiky k Ženevskému aktu nebude mít bezprostřední dopad na státní rozpočet.</w:t>
      </w:r>
    </w:p>
    <w:p w14:paraId="696EB7C1" w14:textId="77777777" w:rsidR="00F44123" w:rsidRPr="002F6D22" w:rsidRDefault="00F44123" w:rsidP="00F44123">
      <w:pPr>
        <w:spacing w:after="0" w:line="240" w:lineRule="auto"/>
        <w:jc w:val="both"/>
        <w:rPr>
          <w:rFonts w:asciiTheme="minorHAnsi" w:hAnsiTheme="minorHAnsi" w:cs="Arial"/>
          <w:i/>
          <w:iCs/>
          <w:u w:val="single"/>
        </w:rPr>
      </w:pPr>
    </w:p>
    <w:p w14:paraId="578C618C" w14:textId="77777777" w:rsidR="006A009A" w:rsidRPr="002F6D22" w:rsidRDefault="00F44123" w:rsidP="001F1714">
      <w:pPr>
        <w:pStyle w:val="Textpoznpodarou"/>
        <w:spacing w:after="120" w:line="240" w:lineRule="auto"/>
        <w:ind w:firstLine="708"/>
        <w:jc w:val="both"/>
        <w:rPr>
          <w:rFonts w:asciiTheme="minorHAnsi" w:hAnsiTheme="minorHAnsi" w:cs="Arial"/>
          <w:sz w:val="22"/>
          <w:szCs w:val="22"/>
        </w:rPr>
      </w:pPr>
      <w:r w:rsidRPr="002F6D22">
        <w:rPr>
          <w:rFonts w:asciiTheme="minorHAnsi" w:hAnsiTheme="minorHAnsi" w:cs="Arial"/>
          <w:sz w:val="22"/>
          <w:szCs w:val="22"/>
        </w:rPr>
        <w:t xml:space="preserve">Označení původu a zeměpisná označení mají značnou ekonomickou a kulturní hodnotu. Podporují rozvoj nových pracovních příležitostí v zemědělství, ve výrobě, ve zpracování a dalších souvisejících službách. Mají příznivý vliv na rozvoj venkova, na turistický ruch a na pověst České republiky ve světě. </w:t>
      </w:r>
      <w:r w:rsidR="00FB4B33" w:rsidRPr="002F6D22">
        <w:rPr>
          <w:rFonts w:asciiTheme="minorHAnsi" w:hAnsiTheme="minorHAnsi" w:cs="Arial"/>
          <w:sz w:val="22"/>
          <w:szCs w:val="22"/>
        </w:rPr>
        <w:t xml:space="preserve">Přístup </w:t>
      </w:r>
      <w:r w:rsidRPr="002F6D22">
        <w:rPr>
          <w:rFonts w:asciiTheme="minorHAnsi" w:hAnsiTheme="minorHAnsi" w:cs="Arial"/>
          <w:sz w:val="22"/>
          <w:szCs w:val="22"/>
        </w:rPr>
        <w:t>České republiky k Ženevskému aktu bude mít jednoznačně pozitivní dopad na podnikatelské prostředí. Zajistí kontinuitu ochrany výrobků českých podnikatelů, podpoří nabídku kvalitních produktů, posílí spravedlivou hospodářskou soutěž a přispěje k ochraně spotřebitele. Ženevský akt činí mezinárodní zápisný systém založený Lisabonskou dohodou atraktivní i pro státy a</w:t>
      </w:r>
      <w:r w:rsidR="003A10DB" w:rsidRPr="002F6D22">
        <w:rPr>
          <w:rFonts w:asciiTheme="minorHAnsi" w:hAnsiTheme="minorHAnsi" w:cs="Arial"/>
          <w:sz w:val="22"/>
          <w:szCs w:val="22"/>
        </w:rPr>
        <w:t> </w:t>
      </w:r>
      <w:r w:rsidRPr="002F6D22">
        <w:rPr>
          <w:rFonts w:asciiTheme="minorHAnsi" w:hAnsiTheme="minorHAnsi" w:cs="Arial"/>
          <w:sz w:val="22"/>
          <w:szCs w:val="22"/>
        </w:rPr>
        <w:t xml:space="preserve">mezinárodní organizace s regionálními registračními systémy, které zatím nejsou členy Zvláštní unie, ale jejichž přístup lze očekávat. Tím by se dále rozšířilo chráněné teritorium pro české výrobky. </w:t>
      </w:r>
      <w:bookmarkEnd w:id="0"/>
      <w:r w:rsidRPr="002F6D22">
        <w:rPr>
          <w:rFonts w:asciiTheme="minorHAnsi" w:hAnsiTheme="minorHAnsi" w:cs="Arial"/>
          <w:sz w:val="22"/>
          <w:szCs w:val="22"/>
        </w:rPr>
        <w:t>Je třeba zmínit, že za převedení zeměpisného označení ze starého systému ochrany podle Lisabonské dohody do nového systému ochrany podle Ženevského aktu, budou uživatelé povinni uhradit přechodový poplatek ve výši 500 CHF za každou jednotlivou změnu</w:t>
      </w:r>
      <w:r w:rsidRPr="002F6D22">
        <w:rPr>
          <w:rStyle w:val="Znakapoznpodarou"/>
          <w:rFonts w:asciiTheme="minorHAnsi" w:hAnsiTheme="minorHAnsi" w:cs="Arial"/>
          <w:sz w:val="22"/>
          <w:szCs w:val="22"/>
        </w:rPr>
        <w:footnoteReference w:id="18"/>
      </w:r>
      <w:r w:rsidRPr="002F6D22">
        <w:rPr>
          <w:rFonts w:asciiTheme="minorHAnsi" w:hAnsiTheme="minorHAnsi" w:cs="Arial"/>
          <w:sz w:val="22"/>
          <w:szCs w:val="22"/>
        </w:rPr>
        <w:t>, nicméně výhody v podobě zvýšení</w:t>
      </w:r>
      <w:r w:rsidR="004A6C71" w:rsidRPr="002F6D22">
        <w:rPr>
          <w:rFonts w:asciiTheme="minorHAnsi" w:hAnsiTheme="minorHAnsi" w:cs="Arial"/>
          <w:sz w:val="22"/>
          <w:szCs w:val="22"/>
        </w:rPr>
        <w:t xml:space="preserve"> </w:t>
      </w:r>
      <w:r w:rsidRPr="002F6D22">
        <w:rPr>
          <w:rFonts w:asciiTheme="minorHAnsi" w:hAnsiTheme="minorHAnsi" w:cs="Arial"/>
          <w:sz w:val="22"/>
          <w:szCs w:val="22"/>
        </w:rPr>
        <w:t xml:space="preserve">konkurenceschopnosti </w:t>
      </w:r>
      <w:r w:rsidR="006A009A" w:rsidRPr="002F6D22">
        <w:rPr>
          <w:rFonts w:asciiTheme="minorHAnsi" w:hAnsiTheme="minorHAnsi" w:cs="Arial"/>
          <w:sz w:val="22"/>
          <w:szCs w:val="22"/>
        </w:rPr>
        <w:t>českých podnikatelů a jejich výrobků ve světě převyšují.</w:t>
      </w:r>
    </w:p>
    <w:p w14:paraId="3F870A0E" w14:textId="200180EC" w:rsidR="00755E50" w:rsidRDefault="000B26E8" w:rsidP="00C10439">
      <w:pPr>
        <w:pStyle w:val="Textpoznpodarou"/>
        <w:spacing w:afterLines="50" w:after="120" w:line="240" w:lineRule="auto"/>
        <w:ind w:firstLine="708"/>
        <w:jc w:val="both"/>
        <w:rPr>
          <w:rFonts w:asciiTheme="minorHAnsi" w:hAnsiTheme="minorHAnsi" w:cs="Arial"/>
          <w:sz w:val="22"/>
          <w:szCs w:val="22"/>
        </w:rPr>
      </w:pPr>
      <w:r>
        <w:rPr>
          <w:rFonts w:asciiTheme="minorHAnsi" w:hAnsiTheme="minorHAnsi" w:cs="Arial"/>
          <w:sz w:val="22"/>
          <w:szCs w:val="22"/>
        </w:rPr>
        <w:t>S návrhem na přístup České republiky k</w:t>
      </w:r>
      <w:r w:rsidR="00C10439">
        <w:rPr>
          <w:rFonts w:asciiTheme="minorHAnsi" w:hAnsiTheme="minorHAnsi" w:cs="Arial"/>
          <w:sz w:val="22"/>
          <w:szCs w:val="22"/>
        </w:rPr>
        <w:t xml:space="preserve"> Ženevské</w:t>
      </w:r>
      <w:r>
        <w:rPr>
          <w:rFonts w:asciiTheme="minorHAnsi" w:hAnsiTheme="minorHAnsi" w:cs="Arial"/>
          <w:sz w:val="22"/>
          <w:szCs w:val="22"/>
        </w:rPr>
        <w:t>mu</w:t>
      </w:r>
      <w:r w:rsidR="00C10439">
        <w:rPr>
          <w:rFonts w:asciiTheme="minorHAnsi" w:hAnsiTheme="minorHAnsi" w:cs="Arial"/>
          <w:sz w:val="22"/>
          <w:szCs w:val="22"/>
        </w:rPr>
        <w:t xml:space="preserve"> aktu </w:t>
      </w:r>
      <w:r>
        <w:rPr>
          <w:rFonts w:asciiTheme="minorHAnsi" w:hAnsiTheme="minorHAnsi" w:cs="Arial"/>
          <w:sz w:val="22"/>
          <w:szCs w:val="22"/>
        </w:rPr>
        <w:t>vláda</w:t>
      </w:r>
      <w:r w:rsidR="00C10439">
        <w:rPr>
          <w:rFonts w:asciiTheme="minorHAnsi" w:hAnsiTheme="minorHAnsi" w:cs="Arial"/>
          <w:sz w:val="22"/>
          <w:szCs w:val="22"/>
        </w:rPr>
        <w:t xml:space="preserve"> ČR</w:t>
      </w:r>
      <w:r>
        <w:rPr>
          <w:rFonts w:asciiTheme="minorHAnsi" w:hAnsiTheme="minorHAnsi" w:cs="Arial"/>
          <w:sz w:val="22"/>
          <w:szCs w:val="22"/>
        </w:rPr>
        <w:t xml:space="preserve"> vyslovila souhlas</w:t>
      </w:r>
      <w:r w:rsidR="00C10439">
        <w:rPr>
          <w:rFonts w:asciiTheme="minorHAnsi" w:hAnsiTheme="minorHAnsi" w:cs="Arial"/>
          <w:sz w:val="22"/>
          <w:szCs w:val="22"/>
        </w:rPr>
        <w:t xml:space="preserve"> dne </w:t>
      </w:r>
      <w:r w:rsidR="00FC5266">
        <w:rPr>
          <w:rFonts w:asciiTheme="minorHAnsi" w:hAnsiTheme="minorHAnsi" w:cs="Arial"/>
          <w:sz w:val="22"/>
          <w:szCs w:val="22"/>
        </w:rPr>
        <w:t>20. července 2020</w:t>
      </w:r>
      <w:r>
        <w:rPr>
          <w:rFonts w:asciiTheme="minorHAnsi" w:hAnsiTheme="minorHAnsi" w:cs="Arial"/>
          <w:sz w:val="22"/>
          <w:szCs w:val="22"/>
        </w:rPr>
        <w:t xml:space="preserve"> svým usnesením č. 765</w:t>
      </w:r>
      <w:r w:rsidR="00C10439">
        <w:rPr>
          <w:rFonts w:asciiTheme="minorHAnsi" w:hAnsiTheme="minorHAnsi" w:cs="Arial"/>
          <w:sz w:val="22"/>
          <w:szCs w:val="22"/>
        </w:rPr>
        <w:t>.</w:t>
      </w:r>
      <w:bookmarkStart w:id="2" w:name="_GoBack"/>
      <w:bookmarkEnd w:id="2"/>
    </w:p>
    <w:p w14:paraId="74BB9734" w14:textId="77777777" w:rsidR="000B26E8" w:rsidRDefault="000B26E8" w:rsidP="00C10439">
      <w:pPr>
        <w:pStyle w:val="Textpoznpodarou"/>
        <w:spacing w:afterLines="50" w:after="120" w:line="240" w:lineRule="auto"/>
        <w:ind w:firstLine="708"/>
        <w:jc w:val="both"/>
        <w:rPr>
          <w:rFonts w:asciiTheme="minorHAnsi" w:hAnsiTheme="minorHAnsi" w:cs="Arial"/>
          <w:sz w:val="22"/>
          <w:szCs w:val="22"/>
        </w:rPr>
      </w:pPr>
    </w:p>
    <w:p w14:paraId="529985AD" w14:textId="77777777" w:rsidR="000B26E8" w:rsidRDefault="000B26E8" w:rsidP="00C10439">
      <w:pPr>
        <w:pStyle w:val="Textpoznpodarou"/>
        <w:spacing w:afterLines="50" w:after="120" w:line="240" w:lineRule="auto"/>
        <w:ind w:firstLine="708"/>
        <w:jc w:val="both"/>
        <w:rPr>
          <w:rFonts w:asciiTheme="minorHAnsi" w:hAnsiTheme="minorHAnsi" w:cs="Arial"/>
          <w:sz w:val="22"/>
          <w:szCs w:val="22"/>
        </w:rPr>
      </w:pPr>
    </w:p>
    <w:p w14:paraId="66AA119E" w14:textId="337DF7AC" w:rsidR="000B26E8" w:rsidRDefault="000B26E8" w:rsidP="000B26E8">
      <w:pPr>
        <w:pStyle w:val="Textpoznpodarou"/>
        <w:spacing w:afterLines="50" w:after="120" w:line="240" w:lineRule="auto"/>
        <w:ind w:firstLine="708"/>
        <w:jc w:val="center"/>
        <w:rPr>
          <w:rFonts w:asciiTheme="minorHAnsi" w:hAnsiTheme="minorHAnsi" w:cs="Arial"/>
          <w:sz w:val="22"/>
          <w:szCs w:val="22"/>
        </w:rPr>
      </w:pPr>
      <w:r>
        <w:rPr>
          <w:rFonts w:asciiTheme="minorHAnsi" w:hAnsiTheme="minorHAnsi" w:cs="Arial"/>
          <w:sz w:val="22"/>
          <w:szCs w:val="22"/>
        </w:rPr>
        <w:t>V Praze dne 4. srpna 2020</w:t>
      </w:r>
    </w:p>
    <w:p w14:paraId="15D55080" w14:textId="67CA8BDA" w:rsidR="000B26E8" w:rsidRPr="00C10439" w:rsidRDefault="000B26E8" w:rsidP="000B26E8">
      <w:pPr>
        <w:pStyle w:val="Textpoznpodarou"/>
        <w:spacing w:afterLines="50" w:after="120" w:line="240" w:lineRule="auto"/>
        <w:ind w:firstLine="708"/>
        <w:jc w:val="center"/>
        <w:rPr>
          <w:rFonts w:asciiTheme="minorHAnsi" w:hAnsiTheme="minorHAnsi" w:cs="Arial"/>
          <w:sz w:val="22"/>
          <w:szCs w:val="22"/>
        </w:rPr>
      </w:pPr>
      <w:r>
        <w:rPr>
          <w:rFonts w:asciiTheme="minorHAnsi" w:hAnsiTheme="minorHAnsi" w:cs="Arial"/>
          <w:sz w:val="22"/>
          <w:szCs w:val="22"/>
        </w:rPr>
        <w:t xml:space="preserve">Předseda vlády: Ing. Andrej </w:t>
      </w:r>
      <w:proofErr w:type="spellStart"/>
      <w:r>
        <w:rPr>
          <w:rFonts w:asciiTheme="minorHAnsi" w:hAnsiTheme="minorHAnsi" w:cs="Arial"/>
          <w:sz w:val="22"/>
          <w:szCs w:val="22"/>
        </w:rPr>
        <w:t>Babiš</w:t>
      </w:r>
      <w:proofErr w:type="spellEnd"/>
      <w:r>
        <w:rPr>
          <w:rFonts w:asciiTheme="minorHAnsi" w:hAnsiTheme="minorHAnsi" w:cs="Arial"/>
          <w:sz w:val="22"/>
          <w:szCs w:val="22"/>
        </w:rPr>
        <w:t xml:space="preserve"> </w:t>
      </w:r>
      <w:proofErr w:type="gramStart"/>
      <w:r>
        <w:rPr>
          <w:rFonts w:asciiTheme="minorHAnsi" w:hAnsiTheme="minorHAnsi" w:cs="Arial"/>
          <w:sz w:val="22"/>
          <w:szCs w:val="22"/>
        </w:rPr>
        <w:t>v.r.</w:t>
      </w:r>
      <w:proofErr w:type="gramEnd"/>
    </w:p>
    <w:sectPr w:rsidR="000B26E8" w:rsidRPr="00C10439" w:rsidSect="00A8489F">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28813" w14:textId="77777777" w:rsidR="00B94EAA" w:rsidRDefault="00B94EAA" w:rsidP="00A8489F">
      <w:pPr>
        <w:spacing w:after="0" w:line="240" w:lineRule="auto"/>
      </w:pPr>
      <w:r>
        <w:separator/>
      </w:r>
    </w:p>
  </w:endnote>
  <w:endnote w:type="continuationSeparator" w:id="0">
    <w:p w14:paraId="673A83BF" w14:textId="77777777" w:rsidR="00B94EAA" w:rsidRDefault="00B94EAA" w:rsidP="00A8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EU Albertina">
    <w:altName w:val="Cambria"/>
    <w:panose1 w:val="00000000000000000000"/>
    <w:charset w:val="EE"/>
    <w:family w:val="roman"/>
    <w:notTrueType/>
    <w:pitch w:val="default"/>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6A17E" w14:textId="77777777" w:rsidR="00A8489F" w:rsidRPr="008A10D1" w:rsidRDefault="00A8489F">
    <w:pPr>
      <w:pStyle w:val="Zpat"/>
      <w:jc w:val="center"/>
      <w:rPr>
        <w:rFonts w:asciiTheme="minorHAnsi" w:hAnsiTheme="minorHAnsi"/>
        <w:sz w:val="20"/>
        <w:szCs w:val="20"/>
      </w:rPr>
    </w:pPr>
    <w:r w:rsidRPr="008A10D1">
      <w:rPr>
        <w:rFonts w:asciiTheme="minorHAnsi" w:hAnsiTheme="minorHAnsi"/>
        <w:sz w:val="20"/>
        <w:szCs w:val="20"/>
      </w:rPr>
      <w:t xml:space="preserve">Stránka </w:t>
    </w:r>
    <w:r w:rsidRPr="008A10D1">
      <w:rPr>
        <w:rFonts w:asciiTheme="minorHAnsi" w:hAnsiTheme="minorHAnsi"/>
        <w:b/>
        <w:sz w:val="20"/>
        <w:szCs w:val="20"/>
      </w:rPr>
      <w:fldChar w:fldCharType="begin"/>
    </w:r>
    <w:r w:rsidRPr="008A10D1">
      <w:rPr>
        <w:rFonts w:asciiTheme="minorHAnsi" w:hAnsiTheme="minorHAnsi"/>
        <w:b/>
        <w:sz w:val="20"/>
        <w:szCs w:val="20"/>
      </w:rPr>
      <w:instrText>PAGE</w:instrText>
    </w:r>
    <w:r w:rsidRPr="008A10D1">
      <w:rPr>
        <w:rFonts w:asciiTheme="minorHAnsi" w:hAnsiTheme="minorHAnsi"/>
        <w:b/>
        <w:sz w:val="20"/>
        <w:szCs w:val="20"/>
      </w:rPr>
      <w:fldChar w:fldCharType="separate"/>
    </w:r>
    <w:r w:rsidR="001F1714">
      <w:rPr>
        <w:rFonts w:asciiTheme="minorHAnsi" w:hAnsiTheme="minorHAnsi"/>
        <w:b/>
        <w:noProof/>
        <w:sz w:val="20"/>
        <w:szCs w:val="20"/>
      </w:rPr>
      <w:t>3</w:t>
    </w:r>
    <w:r w:rsidRPr="008A10D1">
      <w:rPr>
        <w:rFonts w:asciiTheme="minorHAnsi" w:hAnsiTheme="minorHAnsi"/>
        <w:b/>
        <w:sz w:val="20"/>
        <w:szCs w:val="20"/>
      </w:rPr>
      <w:fldChar w:fldCharType="end"/>
    </w:r>
    <w:r w:rsidRPr="008A10D1">
      <w:rPr>
        <w:rFonts w:asciiTheme="minorHAnsi" w:hAnsiTheme="minorHAnsi"/>
        <w:sz w:val="20"/>
        <w:szCs w:val="20"/>
      </w:rPr>
      <w:t xml:space="preserve"> z </w:t>
    </w:r>
    <w:r w:rsidRPr="008A10D1">
      <w:rPr>
        <w:rFonts w:asciiTheme="minorHAnsi" w:hAnsiTheme="minorHAnsi"/>
        <w:b/>
        <w:sz w:val="20"/>
        <w:szCs w:val="20"/>
      </w:rPr>
      <w:fldChar w:fldCharType="begin"/>
    </w:r>
    <w:r w:rsidRPr="008A10D1">
      <w:rPr>
        <w:rFonts w:asciiTheme="minorHAnsi" w:hAnsiTheme="minorHAnsi"/>
        <w:b/>
        <w:sz w:val="20"/>
        <w:szCs w:val="20"/>
      </w:rPr>
      <w:instrText>NUMPAGES</w:instrText>
    </w:r>
    <w:r w:rsidRPr="008A10D1">
      <w:rPr>
        <w:rFonts w:asciiTheme="minorHAnsi" w:hAnsiTheme="minorHAnsi"/>
        <w:b/>
        <w:sz w:val="20"/>
        <w:szCs w:val="20"/>
      </w:rPr>
      <w:fldChar w:fldCharType="separate"/>
    </w:r>
    <w:r w:rsidR="001F1714">
      <w:rPr>
        <w:rFonts w:asciiTheme="minorHAnsi" w:hAnsiTheme="minorHAnsi"/>
        <w:b/>
        <w:noProof/>
        <w:sz w:val="20"/>
        <w:szCs w:val="20"/>
      </w:rPr>
      <w:t>4</w:t>
    </w:r>
    <w:r w:rsidRPr="008A10D1">
      <w:rPr>
        <w:rFonts w:asciiTheme="minorHAnsi" w:hAnsiTheme="minorHAnsi"/>
        <w:b/>
        <w:sz w:val="20"/>
        <w:szCs w:val="20"/>
      </w:rPr>
      <w:fldChar w:fldCharType="end"/>
    </w:r>
  </w:p>
  <w:p w14:paraId="60BE3AEF" w14:textId="77777777" w:rsidR="00A8489F" w:rsidRDefault="00A8489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448B8E" w14:textId="77777777" w:rsidR="00B94EAA" w:rsidRDefault="00B94EAA" w:rsidP="00A8489F">
      <w:pPr>
        <w:spacing w:after="0" w:line="240" w:lineRule="auto"/>
      </w:pPr>
      <w:r>
        <w:separator/>
      </w:r>
    </w:p>
  </w:footnote>
  <w:footnote w:type="continuationSeparator" w:id="0">
    <w:p w14:paraId="608C58CD" w14:textId="77777777" w:rsidR="00B94EAA" w:rsidRDefault="00B94EAA" w:rsidP="00A8489F">
      <w:pPr>
        <w:spacing w:after="0" w:line="240" w:lineRule="auto"/>
      </w:pPr>
      <w:r>
        <w:continuationSeparator/>
      </w:r>
    </w:p>
  </w:footnote>
  <w:footnote w:id="1">
    <w:p w14:paraId="41C3B4F4" w14:textId="77777777" w:rsidR="00F44123" w:rsidRPr="003A5771" w:rsidRDefault="00F44123" w:rsidP="00F44123">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Style w:val="Znakapoznpodarou"/>
          <w:rFonts w:asciiTheme="minorHAnsi" w:hAnsiTheme="minorHAnsi"/>
        </w:rPr>
        <w:t xml:space="preserve"> </w:t>
      </w:r>
      <w:r w:rsidRPr="003A5771">
        <w:rPr>
          <w:rFonts w:asciiTheme="minorHAnsi" w:hAnsiTheme="minorHAnsi" w:cs="Arial"/>
          <w:sz w:val="16"/>
          <w:szCs w:val="16"/>
        </w:rPr>
        <w:t>Úmluva na ochranu průmyslového vlastnictví, přijatá v Paříži dne 20. března 1883</w:t>
      </w:r>
    </w:p>
  </w:footnote>
  <w:footnote w:id="2">
    <w:p w14:paraId="0C01C651" w14:textId="77777777" w:rsidR="00F44123" w:rsidRPr="003A5771" w:rsidRDefault="00F44123" w:rsidP="00F44123">
      <w:pPr>
        <w:pStyle w:val="Textpoznpodarou"/>
        <w:spacing w:afterLines="50" w:after="120" w:line="240" w:lineRule="auto"/>
        <w:jc w:val="both"/>
        <w:rPr>
          <w:rFonts w:asciiTheme="minorHAnsi" w:hAnsiTheme="minorHAnsi"/>
        </w:rPr>
      </w:pPr>
      <w:r w:rsidRPr="003A5771">
        <w:rPr>
          <w:rStyle w:val="Znakapoznpodarou"/>
          <w:rFonts w:asciiTheme="minorHAnsi" w:hAnsiTheme="minorHAnsi"/>
        </w:rPr>
        <w:footnoteRef/>
      </w:r>
      <w:r w:rsidRPr="003A5771">
        <w:rPr>
          <w:rStyle w:val="Znakapoznpodarou"/>
          <w:rFonts w:asciiTheme="minorHAnsi" w:hAnsiTheme="minorHAnsi"/>
        </w:rPr>
        <w:t xml:space="preserve"> </w:t>
      </w:r>
      <w:r w:rsidRPr="003A5771">
        <w:rPr>
          <w:rFonts w:asciiTheme="minorHAnsi" w:hAnsiTheme="minorHAnsi" w:cs="Arial"/>
          <w:sz w:val="16"/>
          <w:szCs w:val="16"/>
        </w:rPr>
        <w:t>Zeměpisným označením se rozumí název území používaný k označení zboží pocházejícího z tohoto území, jestliže toto zboží má určitou kvalitu, pověst nebo jiné vlastnosti, které lze přičíst tomuto zeměpisnému původu, a jestliže výroba nebo zpracování anebo příprava takového zboží probíhá ve vymezeném území.</w:t>
      </w:r>
    </w:p>
  </w:footnote>
  <w:footnote w:id="3">
    <w:p w14:paraId="3B21C474" w14:textId="77777777" w:rsidR="00F44123" w:rsidRPr="003A5771" w:rsidRDefault="00F44123"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Style w:val="Znakapoznpodarou"/>
          <w:rFonts w:asciiTheme="minorHAnsi" w:hAnsiTheme="minorHAnsi"/>
        </w:rPr>
        <w:t xml:space="preserve"> </w:t>
      </w:r>
      <w:r w:rsidRPr="003A5771">
        <w:rPr>
          <w:rFonts w:asciiTheme="minorHAnsi" w:hAnsiTheme="minorHAnsi" w:cs="Arial"/>
          <w:sz w:val="16"/>
          <w:szCs w:val="16"/>
        </w:rPr>
        <w:t xml:space="preserve">Dohoda o obchodních aspektech práv k duševnímu vlastnictví </w:t>
      </w:r>
      <w:r w:rsidR="00C35301" w:rsidRPr="003A5771">
        <w:rPr>
          <w:rFonts w:asciiTheme="minorHAnsi" w:hAnsiTheme="minorHAnsi" w:cs="Arial"/>
          <w:sz w:val="16"/>
          <w:szCs w:val="16"/>
        </w:rPr>
        <w:t xml:space="preserve">(TRIPS) představuje jednu ze základních dohod </w:t>
      </w:r>
      <w:r w:rsidRPr="003A5771">
        <w:rPr>
          <w:rFonts w:asciiTheme="minorHAnsi" w:hAnsiTheme="minorHAnsi" w:cs="Arial"/>
          <w:sz w:val="16"/>
          <w:szCs w:val="16"/>
        </w:rPr>
        <w:t>Světov</w:t>
      </w:r>
      <w:r w:rsidR="00C35301" w:rsidRPr="003A5771">
        <w:rPr>
          <w:rFonts w:asciiTheme="minorHAnsi" w:hAnsiTheme="minorHAnsi" w:cs="Arial"/>
          <w:sz w:val="16"/>
          <w:szCs w:val="16"/>
        </w:rPr>
        <w:t>é</w:t>
      </w:r>
      <w:r w:rsidRPr="003A5771">
        <w:rPr>
          <w:rFonts w:asciiTheme="minorHAnsi" w:hAnsiTheme="minorHAnsi" w:cs="Arial"/>
          <w:sz w:val="16"/>
          <w:szCs w:val="16"/>
        </w:rPr>
        <w:t xml:space="preserve"> obchodní organizac</w:t>
      </w:r>
      <w:r w:rsidR="00C35301" w:rsidRPr="003A5771">
        <w:rPr>
          <w:rFonts w:asciiTheme="minorHAnsi" w:hAnsiTheme="minorHAnsi" w:cs="Arial"/>
          <w:sz w:val="16"/>
          <w:szCs w:val="16"/>
        </w:rPr>
        <w:t>e</w:t>
      </w:r>
      <w:r w:rsidRPr="003A5771">
        <w:rPr>
          <w:rFonts w:asciiTheme="minorHAnsi" w:hAnsiTheme="minorHAnsi" w:cs="Arial"/>
          <w:sz w:val="16"/>
          <w:szCs w:val="16"/>
        </w:rPr>
        <w:t xml:space="preserve"> (WTO)</w:t>
      </w:r>
      <w:r w:rsidR="002060BC" w:rsidRPr="003A5771">
        <w:rPr>
          <w:rFonts w:asciiTheme="minorHAnsi" w:hAnsiTheme="minorHAnsi" w:cs="Arial"/>
          <w:sz w:val="16"/>
          <w:szCs w:val="16"/>
        </w:rPr>
        <w:t>.</w:t>
      </w:r>
    </w:p>
  </w:footnote>
  <w:footnote w:id="4">
    <w:p w14:paraId="197A645E" w14:textId="77777777" w:rsidR="00F44123" w:rsidRPr="003A5771" w:rsidRDefault="00F44123"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Style w:val="Znakapoznpodarou"/>
          <w:rFonts w:asciiTheme="minorHAnsi" w:hAnsiTheme="minorHAnsi"/>
        </w:rPr>
        <w:t xml:space="preserve"> </w:t>
      </w:r>
      <w:r w:rsidRPr="003A5771">
        <w:rPr>
          <w:rFonts w:asciiTheme="minorHAnsi" w:hAnsiTheme="minorHAnsi" w:cs="Arial"/>
          <w:sz w:val="16"/>
          <w:szCs w:val="16"/>
        </w:rPr>
        <w:t xml:space="preserve">V souladu s čl. 29 odst. 2 Ženevského aktu se tak stalo tři měsíce poté, co pět způsobilých stran uložilo své ratifikační listiny nebo listiny o přístupu. Jako pátá uložila dne </w:t>
      </w:r>
      <w:r w:rsidR="002060BC" w:rsidRPr="003A5771">
        <w:rPr>
          <w:rFonts w:asciiTheme="minorHAnsi" w:hAnsiTheme="minorHAnsi" w:cs="Arial"/>
          <w:sz w:val="16"/>
          <w:szCs w:val="16"/>
        </w:rPr>
        <w:t>26. listopadu</w:t>
      </w:r>
      <w:r w:rsidRPr="003A5771">
        <w:rPr>
          <w:rFonts w:asciiTheme="minorHAnsi" w:hAnsiTheme="minorHAnsi" w:cs="Arial"/>
          <w:sz w:val="16"/>
          <w:szCs w:val="16"/>
        </w:rPr>
        <w:t xml:space="preserve"> 2019 svou listinu o př</w:t>
      </w:r>
      <w:r w:rsidR="002060BC" w:rsidRPr="003A5771">
        <w:rPr>
          <w:rFonts w:asciiTheme="minorHAnsi" w:hAnsiTheme="minorHAnsi" w:cs="Arial"/>
          <w:sz w:val="16"/>
          <w:szCs w:val="16"/>
        </w:rPr>
        <w:t>ístupu</w:t>
      </w:r>
      <w:r w:rsidRPr="003A5771">
        <w:rPr>
          <w:rFonts w:asciiTheme="minorHAnsi" w:hAnsiTheme="minorHAnsi" w:cs="Arial"/>
          <w:sz w:val="16"/>
          <w:szCs w:val="16"/>
        </w:rPr>
        <w:t xml:space="preserve"> Evropská unie.</w:t>
      </w:r>
    </w:p>
  </w:footnote>
  <w:footnote w:id="5">
    <w:p w14:paraId="076935E8" w14:textId="37F06F38" w:rsidR="00F44123" w:rsidRPr="003A5771" w:rsidRDefault="00F44123"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Fonts w:asciiTheme="minorHAnsi" w:hAnsiTheme="minorHAnsi" w:cs="Arial"/>
          <w:sz w:val="16"/>
          <w:szCs w:val="16"/>
        </w:rPr>
        <w:t xml:space="preserve"> </w:t>
      </w:r>
      <w:r w:rsidR="003171C4" w:rsidRPr="003A5771">
        <w:rPr>
          <w:rFonts w:asciiTheme="minorHAnsi" w:hAnsiTheme="minorHAnsi" w:cs="Arial"/>
          <w:sz w:val="16"/>
          <w:szCs w:val="16"/>
        </w:rPr>
        <w:t>Nařízení Evropského parlamentu a Rady (EU) č. 1308/2013 ze dne 17. prosince 2013, kterým se stanoví společná organizace trhů se zemědělskými produkty a zrušují nařízení Rady (EHS) č. 922/72, (EHS) č. 234/79, (ES) č. 1037/2001 a (ES) č. 1234/2007.</w:t>
      </w:r>
    </w:p>
  </w:footnote>
  <w:footnote w:id="6">
    <w:p w14:paraId="6A45AAE5" w14:textId="4D4A786D" w:rsidR="00F44123" w:rsidRPr="003A5771" w:rsidRDefault="00F44123"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cs="Arial"/>
          <w:sz w:val="16"/>
          <w:szCs w:val="16"/>
        </w:rPr>
        <w:footnoteRef/>
      </w:r>
      <w:r w:rsidRPr="003A5771">
        <w:rPr>
          <w:rStyle w:val="Znakapoznpodarou"/>
          <w:rFonts w:asciiTheme="minorHAnsi" w:hAnsiTheme="minorHAnsi"/>
        </w:rPr>
        <w:t xml:space="preserve"> </w:t>
      </w:r>
      <w:r w:rsidR="003171C4" w:rsidRPr="003A5771">
        <w:rPr>
          <w:rFonts w:asciiTheme="minorHAnsi" w:hAnsiTheme="minorHAnsi" w:cs="Arial"/>
          <w:sz w:val="16"/>
          <w:szCs w:val="16"/>
        </w:rPr>
        <w:t>Nařízení Evropského parlamentu a Rady (EU) 2019/787 ze dne 17. dubna 2019 o definici, popisu, obchodní úpravě a označování lihovin, používání názvů lihovin v obchodní úpravě a při označování jiných potravin, ochraně zeměpisných označení lihovin, používání lihu a destilátů zemědělského původu při výrobě alkoholických nápojů a o zrušení nařízení (ES) č. 110/2008.</w:t>
      </w:r>
    </w:p>
  </w:footnote>
  <w:footnote w:id="7">
    <w:p w14:paraId="0DB9F414" w14:textId="13FA1617" w:rsidR="00F44123" w:rsidRPr="003A5771" w:rsidRDefault="00F44123"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Fonts w:asciiTheme="minorHAnsi" w:hAnsiTheme="minorHAnsi" w:cs="Arial"/>
          <w:sz w:val="16"/>
          <w:szCs w:val="16"/>
        </w:rPr>
        <w:t xml:space="preserve"> </w:t>
      </w:r>
      <w:r w:rsidR="003171C4" w:rsidRPr="003A5771">
        <w:rPr>
          <w:rFonts w:asciiTheme="minorHAnsi" w:hAnsiTheme="minorHAnsi" w:cs="Arial"/>
          <w:sz w:val="16"/>
          <w:szCs w:val="16"/>
        </w:rPr>
        <w:t>Nařízení Evropského parlamentu a Rady (EU) č. 251/2014 ze dne 26. února 2014 o definici, popisu, obchodní úpravě, označování a ochraně zeměpisných označení aromatizovaných vinných výrobků a o zrušení nařízení Rady (EHS) č. 1601/91.</w:t>
      </w:r>
    </w:p>
  </w:footnote>
  <w:footnote w:id="8">
    <w:p w14:paraId="31D5516C" w14:textId="29A30E41" w:rsidR="00F44123" w:rsidRPr="003A5771" w:rsidRDefault="00F44123"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Style w:val="Znakapoznpodarou"/>
          <w:rFonts w:asciiTheme="minorHAnsi" w:hAnsiTheme="minorHAnsi"/>
        </w:rPr>
        <w:t xml:space="preserve"> </w:t>
      </w:r>
      <w:r w:rsidR="003171C4" w:rsidRPr="003A5771">
        <w:rPr>
          <w:rFonts w:asciiTheme="minorHAnsi" w:hAnsiTheme="minorHAnsi" w:cs="Arial"/>
          <w:sz w:val="16"/>
          <w:szCs w:val="16"/>
        </w:rPr>
        <w:t>Nařízení Evropského parlamentu a Rady (EU) č. 1151/2012 ze dne 21. listopadu 2012 o režimech jakosti zemědělských produktů a potravin.</w:t>
      </w:r>
    </w:p>
  </w:footnote>
  <w:footnote w:id="9">
    <w:p w14:paraId="5FA171E0" w14:textId="77777777" w:rsidR="00F44123" w:rsidRPr="003A5771" w:rsidRDefault="00F44123" w:rsidP="004D4E91">
      <w:pPr>
        <w:pStyle w:val="doc-ti"/>
        <w:shd w:val="clear" w:color="auto" w:fill="FFFFFF"/>
        <w:spacing w:before="0" w:beforeAutospacing="0" w:afterLines="50" w:after="120" w:afterAutospacing="0"/>
        <w:jc w:val="both"/>
        <w:rPr>
          <w:rFonts w:asciiTheme="minorHAnsi" w:hAnsiTheme="minorHAnsi" w:cs="Arial"/>
          <w:sz w:val="16"/>
          <w:szCs w:val="16"/>
        </w:rPr>
      </w:pPr>
      <w:r w:rsidRPr="003A5771">
        <w:rPr>
          <w:rStyle w:val="Znakapoznpodarou"/>
          <w:rFonts w:asciiTheme="minorHAnsi" w:hAnsiTheme="minorHAnsi"/>
          <w:sz w:val="20"/>
          <w:szCs w:val="20"/>
        </w:rPr>
        <w:footnoteRef/>
      </w:r>
      <w:r w:rsidRPr="003A5771">
        <w:rPr>
          <w:rFonts w:asciiTheme="minorHAnsi" w:hAnsiTheme="minorHAnsi" w:cs="Arial"/>
          <w:sz w:val="16"/>
          <w:szCs w:val="16"/>
        </w:rPr>
        <w:t xml:space="preserve"> Rozhodnutí Rady (EU) 2019/1754 ze dne 7. října 2019 o přistoupení EU k Ženevskému aktu Lisabonské dohody o označeních původu a zeměpisných označeních</w:t>
      </w:r>
      <w:r w:rsidR="002060BC" w:rsidRPr="003A5771">
        <w:rPr>
          <w:rFonts w:asciiTheme="minorHAnsi" w:hAnsiTheme="minorHAnsi" w:cs="Arial"/>
          <w:sz w:val="16"/>
          <w:szCs w:val="16"/>
        </w:rPr>
        <w:t>.</w:t>
      </w:r>
    </w:p>
  </w:footnote>
  <w:footnote w:id="10">
    <w:p w14:paraId="4F9A8FD1" w14:textId="77777777" w:rsidR="00F44123" w:rsidRPr="003A5771" w:rsidRDefault="00F44123"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Fonts w:asciiTheme="minorHAnsi" w:hAnsiTheme="minorHAnsi" w:cs="Arial"/>
          <w:sz w:val="16"/>
          <w:szCs w:val="16"/>
        </w:rPr>
        <w:t xml:space="preserve"> Nařízení Evropského parlamentu a Rady (EU) 2019/1753 ze dne 23. října 2019 o opatřeních Unie po jejím přistoupení k Ženevskému aktu Lisabonské dohody o označení</w:t>
      </w:r>
      <w:r w:rsidR="00197E89" w:rsidRPr="003A5771">
        <w:rPr>
          <w:rFonts w:asciiTheme="minorHAnsi" w:hAnsiTheme="minorHAnsi" w:cs="Arial"/>
          <w:sz w:val="16"/>
          <w:szCs w:val="16"/>
        </w:rPr>
        <w:t>ch</w:t>
      </w:r>
      <w:r w:rsidRPr="003A5771">
        <w:rPr>
          <w:rFonts w:asciiTheme="minorHAnsi" w:hAnsiTheme="minorHAnsi" w:cs="Arial"/>
          <w:sz w:val="16"/>
          <w:szCs w:val="16"/>
        </w:rPr>
        <w:t xml:space="preserve"> původu a zeměpisných označeních</w:t>
      </w:r>
      <w:r w:rsidR="002060BC" w:rsidRPr="003A5771">
        <w:rPr>
          <w:rFonts w:asciiTheme="minorHAnsi" w:hAnsiTheme="minorHAnsi" w:cs="Arial"/>
          <w:sz w:val="16"/>
          <w:szCs w:val="16"/>
        </w:rPr>
        <w:t>.</w:t>
      </w:r>
    </w:p>
  </w:footnote>
  <w:footnote w:id="11">
    <w:p w14:paraId="778C1EE9" w14:textId="14FE4791" w:rsidR="00F44123" w:rsidRPr="003A5771" w:rsidRDefault="00F44123" w:rsidP="004D4E91">
      <w:pPr>
        <w:pStyle w:val="Default"/>
        <w:spacing w:after="50"/>
        <w:jc w:val="both"/>
        <w:rPr>
          <w:rFonts w:asciiTheme="minorHAnsi" w:hAnsiTheme="minorHAnsi" w:cs="Arial"/>
          <w:color w:val="auto"/>
          <w:sz w:val="16"/>
          <w:szCs w:val="16"/>
        </w:rPr>
      </w:pPr>
      <w:r w:rsidRPr="003A5771">
        <w:rPr>
          <w:rStyle w:val="Znakapoznpodarou"/>
          <w:rFonts w:asciiTheme="minorHAnsi" w:hAnsiTheme="minorHAnsi"/>
          <w:color w:val="auto"/>
          <w:sz w:val="20"/>
          <w:szCs w:val="20"/>
        </w:rPr>
        <w:footnoteRef/>
      </w:r>
      <w:r w:rsidRPr="003A5771">
        <w:rPr>
          <w:rFonts w:asciiTheme="minorHAnsi" w:hAnsiTheme="minorHAnsi" w:cs="Arial"/>
          <w:color w:val="auto"/>
          <w:sz w:val="12"/>
          <w:szCs w:val="12"/>
        </w:rPr>
        <w:t xml:space="preserve"> </w:t>
      </w:r>
      <w:r w:rsidRPr="003A5771">
        <w:rPr>
          <w:rFonts w:asciiTheme="minorHAnsi" w:hAnsiTheme="minorHAnsi" w:cs="Arial"/>
          <w:color w:val="auto"/>
          <w:sz w:val="16"/>
          <w:szCs w:val="16"/>
        </w:rPr>
        <w:t>Čl. 3 Rozhodnutí Rady (EU) 2019/1754, který stanoví, že členské státy, které si to přejí, se zmocňují, aby společně s Unií Ženevský akt ratifikovaly nebo k němu případně přistoupily, a to v zájmu Unie a v plném sou</w:t>
      </w:r>
      <w:r w:rsidR="00C650B7">
        <w:rPr>
          <w:rFonts w:asciiTheme="minorHAnsi" w:hAnsiTheme="minorHAnsi" w:cs="Arial"/>
          <w:color w:val="auto"/>
          <w:sz w:val="16"/>
          <w:szCs w:val="16"/>
        </w:rPr>
        <w:t>ladu s její výlučnou pravomocí.</w:t>
      </w:r>
    </w:p>
    <w:p w14:paraId="558AD69E" w14:textId="4232DC41" w:rsidR="00600DE7" w:rsidRPr="003A5771" w:rsidRDefault="00F44123" w:rsidP="004D4E91">
      <w:pPr>
        <w:pStyle w:val="Default"/>
        <w:spacing w:after="50"/>
        <w:jc w:val="both"/>
        <w:rPr>
          <w:rFonts w:asciiTheme="minorHAnsi" w:hAnsiTheme="minorHAnsi" w:cs="Arial"/>
          <w:color w:val="auto"/>
          <w:sz w:val="16"/>
          <w:szCs w:val="16"/>
        </w:rPr>
      </w:pPr>
      <w:r w:rsidRPr="003A5771">
        <w:rPr>
          <w:rFonts w:asciiTheme="minorHAnsi" w:hAnsiTheme="minorHAnsi" w:cs="Arial"/>
          <w:color w:val="auto"/>
          <w:sz w:val="16"/>
          <w:szCs w:val="16"/>
        </w:rPr>
        <w:t>Dále též bod 11 preambule Nařízení EP a Rady (EU) 2019/1753 („Členské státy, které jsou již stranami Lisabonské dohody, by jimi měly mít možnost zůstat, zejména proto, aby byla zajištěna kontinuita udělených práv a plnění povinností stanovených touto dohodou. Měly by však jednat výhradně v zájmu Unie a při plném respektování výlučné pravomoci Unie. Uvedené členské státy by proto měly vykonávat svá práva a povinnosti podle Lisabonské dohody v plném souladu se zmocněním uděleným Unií podle tohoto nařízení…“) a bod 9 preambule Rozhodnutí Rady (EU) 2019/1754 („Současně se tak umožní zajistit kontinuitu práv vyplývajících ze stávajícího členství sedmi člens</w:t>
      </w:r>
      <w:r w:rsidR="00C650B7">
        <w:rPr>
          <w:rFonts w:asciiTheme="minorHAnsi" w:hAnsiTheme="minorHAnsi" w:cs="Arial"/>
          <w:color w:val="auto"/>
          <w:sz w:val="16"/>
          <w:szCs w:val="16"/>
        </w:rPr>
        <w:t>kých států ve Zvláštní unii.“).</w:t>
      </w:r>
    </w:p>
    <w:p w14:paraId="4A583C8C" w14:textId="1B1910A3" w:rsidR="00F44123" w:rsidRPr="003A5771" w:rsidRDefault="00600DE7" w:rsidP="004D4E91">
      <w:pPr>
        <w:pStyle w:val="Default"/>
        <w:spacing w:afterLines="50" w:after="120"/>
        <w:jc w:val="both"/>
        <w:rPr>
          <w:rFonts w:asciiTheme="minorHAnsi" w:hAnsiTheme="minorHAnsi" w:cs="Arial"/>
          <w:sz w:val="16"/>
          <w:szCs w:val="16"/>
        </w:rPr>
      </w:pPr>
      <w:r w:rsidRPr="003A5771">
        <w:rPr>
          <w:rFonts w:asciiTheme="minorHAnsi" w:hAnsiTheme="minorHAnsi" w:cs="Arial"/>
          <w:color w:val="auto"/>
          <w:sz w:val="16"/>
          <w:szCs w:val="16"/>
        </w:rPr>
        <w:t>Viz též žaloba C-24/20, k revizi rozhodnutí 2019/1754</w:t>
      </w:r>
      <w:r w:rsidR="00F03E6F" w:rsidRPr="003A5771">
        <w:rPr>
          <w:rFonts w:asciiTheme="minorHAnsi" w:hAnsiTheme="minorHAnsi" w:cs="Arial"/>
          <w:color w:val="auto"/>
          <w:sz w:val="16"/>
          <w:szCs w:val="16"/>
        </w:rPr>
        <w:t>, zveřejněná v úředním věstníku EU č. 77/35.</w:t>
      </w:r>
    </w:p>
  </w:footnote>
  <w:footnote w:id="12">
    <w:p w14:paraId="361795D6" w14:textId="77777777" w:rsidR="009966A0" w:rsidRPr="003A5771" w:rsidRDefault="009966A0" w:rsidP="0024455E">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Fonts w:asciiTheme="minorHAnsi" w:hAnsiTheme="minorHAnsi"/>
        </w:rPr>
        <w:t xml:space="preserve"> </w:t>
      </w:r>
      <w:r w:rsidRPr="003A5771">
        <w:rPr>
          <w:rFonts w:asciiTheme="minorHAnsi" w:hAnsiTheme="minorHAnsi" w:cs="Arial"/>
          <w:sz w:val="16"/>
          <w:szCs w:val="16"/>
        </w:rPr>
        <w:t>Čl. 11 Nařízení, obsahující přechodná ustanovení pro označení původu pocházející z členských států, která jsou již zapsána podle Lisabonské dohody.</w:t>
      </w:r>
    </w:p>
  </w:footnote>
  <w:footnote w:id="13">
    <w:p w14:paraId="41DBF774" w14:textId="7631D528" w:rsidR="007D0731" w:rsidRPr="003A5771" w:rsidRDefault="007D0731"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Fonts w:asciiTheme="minorHAnsi" w:hAnsiTheme="minorHAnsi" w:cs="Arial"/>
          <w:sz w:val="16"/>
          <w:szCs w:val="16"/>
        </w:rPr>
        <w:t xml:space="preserve"> čl. 22 odst. 4 písm. b) bod </w:t>
      </w:r>
      <w:proofErr w:type="spellStart"/>
      <w:r w:rsidRPr="003A5771">
        <w:rPr>
          <w:rFonts w:asciiTheme="minorHAnsi" w:hAnsiTheme="minorHAnsi" w:cs="Arial"/>
          <w:sz w:val="16"/>
          <w:szCs w:val="16"/>
        </w:rPr>
        <w:t>ii</w:t>
      </w:r>
      <w:proofErr w:type="spellEnd"/>
      <w:r w:rsidRPr="003A5771">
        <w:rPr>
          <w:rFonts w:asciiTheme="minorHAnsi" w:hAnsiTheme="minorHAnsi" w:cs="Arial"/>
          <w:sz w:val="16"/>
          <w:szCs w:val="16"/>
        </w:rPr>
        <w:t>) Ženevského aktu stanoví, že každá smluvní strana, která je mezivládní organizací, je oprávněna hlasovat za své členské státy, a to počtem hlasů rovným počtu jejích členských států, které js</w:t>
      </w:r>
      <w:r w:rsidR="00C650B7">
        <w:rPr>
          <w:rFonts w:asciiTheme="minorHAnsi" w:hAnsiTheme="minorHAnsi" w:cs="Arial"/>
          <w:sz w:val="16"/>
          <w:szCs w:val="16"/>
        </w:rPr>
        <w:t>ou smluvní stranou tohoto aktu.</w:t>
      </w:r>
    </w:p>
  </w:footnote>
  <w:footnote w:id="14">
    <w:p w14:paraId="2EB0E646" w14:textId="70CB4FB2" w:rsidR="007D0731" w:rsidRPr="00C650B7" w:rsidRDefault="007D0731" w:rsidP="0024455E">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Fonts w:asciiTheme="minorHAnsi" w:hAnsiTheme="minorHAnsi"/>
        </w:rPr>
        <w:t xml:space="preserve"> </w:t>
      </w:r>
      <w:r w:rsidRPr="003A5771">
        <w:rPr>
          <w:rFonts w:asciiTheme="minorHAnsi" w:hAnsiTheme="minorHAnsi" w:cs="Arial"/>
          <w:sz w:val="16"/>
          <w:szCs w:val="16"/>
        </w:rPr>
        <w:t>Další podrobnosti týkající se přechodných opatření souvisejících s přístupem EU k ŽA nejsou uvedeny, neboť přesahují účel této Předkládací zprávy.</w:t>
      </w:r>
    </w:p>
  </w:footnote>
  <w:footnote w:id="15">
    <w:p w14:paraId="537EC9B2" w14:textId="759ADED3" w:rsidR="00241485" w:rsidRPr="003A5771" w:rsidRDefault="00241485"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Style w:val="Znakapoznpodarou"/>
          <w:rFonts w:asciiTheme="minorHAnsi" w:hAnsiTheme="minorHAnsi"/>
        </w:rPr>
        <w:t xml:space="preserve"> </w:t>
      </w:r>
      <w:r w:rsidRPr="003A5771">
        <w:rPr>
          <w:rFonts w:asciiTheme="minorHAnsi" w:hAnsiTheme="minorHAnsi" w:cs="Arial"/>
          <w:sz w:val="16"/>
          <w:szCs w:val="16"/>
        </w:rPr>
        <w:t xml:space="preserve"> Využití zmocnění přistoupit k Ženevs</w:t>
      </w:r>
      <w:r w:rsidR="00D43454" w:rsidRPr="003A5771">
        <w:rPr>
          <w:rFonts w:asciiTheme="minorHAnsi" w:hAnsiTheme="minorHAnsi" w:cs="Arial"/>
          <w:sz w:val="16"/>
          <w:szCs w:val="16"/>
        </w:rPr>
        <w:t>k</w:t>
      </w:r>
      <w:r w:rsidRPr="003A5771">
        <w:rPr>
          <w:rFonts w:asciiTheme="minorHAnsi" w:hAnsiTheme="minorHAnsi" w:cs="Arial"/>
          <w:sz w:val="16"/>
          <w:szCs w:val="16"/>
        </w:rPr>
        <w:t xml:space="preserve">ému aktu </w:t>
      </w:r>
      <w:r w:rsidR="00D43454" w:rsidRPr="003A5771">
        <w:rPr>
          <w:rFonts w:asciiTheme="minorHAnsi" w:hAnsiTheme="minorHAnsi" w:cs="Arial"/>
          <w:sz w:val="16"/>
          <w:szCs w:val="16"/>
        </w:rPr>
        <w:t xml:space="preserve">by podle žalobního návrhu mělo </w:t>
      </w:r>
      <w:r w:rsidRPr="003A5771">
        <w:rPr>
          <w:rFonts w:asciiTheme="minorHAnsi" w:hAnsiTheme="minorHAnsi" w:cs="Arial"/>
          <w:sz w:val="16"/>
          <w:szCs w:val="16"/>
        </w:rPr>
        <w:t>plat</w:t>
      </w:r>
      <w:r w:rsidR="00D43454" w:rsidRPr="003A5771">
        <w:rPr>
          <w:rFonts w:asciiTheme="minorHAnsi" w:hAnsiTheme="minorHAnsi" w:cs="Arial"/>
          <w:sz w:val="16"/>
          <w:szCs w:val="16"/>
        </w:rPr>
        <w:t>it</w:t>
      </w:r>
      <w:r w:rsidRPr="003A5771">
        <w:rPr>
          <w:rFonts w:asciiTheme="minorHAnsi" w:hAnsiTheme="minorHAnsi" w:cs="Arial"/>
          <w:sz w:val="16"/>
          <w:szCs w:val="16"/>
        </w:rPr>
        <w:t xml:space="preserve"> pro 7 ČS EU, pokud ho uplatní před vydáním rozsudku Soudního dvora EU, nejpo</w:t>
      </w:r>
      <w:r w:rsidR="00D43454" w:rsidRPr="003A5771">
        <w:rPr>
          <w:rFonts w:asciiTheme="minorHAnsi" w:hAnsiTheme="minorHAnsi" w:cs="Arial"/>
          <w:sz w:val="16"/>
          <w:szCs w:val="16"/>
        </w:rPr>
        <w:t>z</w:t>
      </w:r>
      <w:r w:rsidRPr="003A5771">
        <w:rPr>
          <w:rFonts w:asciiTheme="minorHAnsi" w:hAnsiTheme="minorHAnsi" w:cs="Arial"/>
          <w:sz w:val="16"/>
          <w:szCs w:val="16"/>
        </w:rPr>
        <w:t>ději do nabytí účinnosti rozhodnutí Rady, ke kterému by mělo dojít v rozumné době nepřekračující šest měsíců od vyd</w:t>
      </w:r>
      <w:r w:rsidR="00C650B7">
        <w:rPr>
          <w:rFonts w:asciiTheme="minorHAnsi" w:hAnsiTheme="minorHAnsi" w:cs="Arial"/>
          <w:sz w:val="16"/>
          <w:szCs w:val="16"/>
        </w:rPr>
        <w:t>ání rozsudku Soudního dvora EU.</w:t>
      </w:r>
    </w:p>
  </w:footnote>
  <w:footnote w:id="16">
    <w:p w14:paraId="420C8955" w14:textId="77777777" w:rsidR="007616F4" w:rsidRPr="006405ED" w:rsidRDefault="007616F4"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Fonts w:asciiTheme="minorHAnsi" w:hAnsiTheme="minorHAnsi"/>
        </w:rPr>
        <w:t xml:space="preserve"> </w:t>
      </w:r>
      <w:r w:rsidRPr="003A5771">
        <w:rPr>
          <w:rFonts w:asciiTheme="minorHAnsi" w:hAnsiTheme="minorHAnsi" w:cs="Arial"/>
          <w:sz w:val="16"/>
          <w:szCs w:val="16"/>
        </w:rPr>
        <w:t>Nařízení Evropského parlamentu a Rady (EU) 2019/1753 ze dne 23. října 2019 o opatřeních Unie po jejím přistoupení k Ženevskému aktu Lisabonské dohody o označení původu a zeměpisných označeních</w:t>
      </w:r>
    </w:p>
  </w:footnote>
  <w:footnote w:id="17">
    <w:p w14:paraId="3AC2E5E7" w14:textId="038EADA6" w:rsidR="003171C4" w:rsidRPr="003A5771" w:rsidRDefault="003171C4" w:rsidP="00C10439">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46C01">
        <w:rPr>
          <w:rFonts w:asciiTheme="minorHAnsi" w:hAnsiTheme="minorHAnsi" w:cs="Arial"/>
        </w:rPr>
        <w:t xml:space="preserve"> </w:t>
      </w:r>
      <w:r w:rsidR="00ED6D82" w:rsidRPr="003A5771">
        <w:rPr>
          <w:rFonts w:asciiTheme="minorHAnsi" w:hAnsiTheme="minorHAnsi" w:cs="Arial"/>
          <w:sz w:val="16"/>
          <w:szCs w:val="16"/>
        </w:rPr>
        <w:t xml:space="preserve">Seznam přihlašovaných označení se přijímá tzv. přezkumným postupem podle čl. 5 </w:t>
      </w:r>
      <w:r w:rsidR="00336F55" w:rsidRPr="003A5771">
        <w:rPr>
          <w:rFonts w:asciiTheme="minorHAnsi" w:hAnsiTheme="minorHAnsi" w:cs="Arial"/>
          <w:sz w:val="16"/>
          <w:szCs w:val="16"/>
        </w:rPr>
        <w:t xml:space="preserve">a 6 </w:t>
      </w:r>
      <w:r w:rsidR="00ED6D82" w:rsidRPr="003A5771">
        <w:rPr>
          <w:rFonts w:asciiTheme="minorHAnsi" w:hAnsiTheme="minorHAnsi" w:cs="Arial"/>
          <w:sz w:val="16"/>
          <w:szCs w:val="16"/>
        </w:rPr>
        <w:t xml:space="preserve">nařízení </w:t>
      </w:r>
      <w:r w:rsidR="000C2E81" w:rsidRPr="003A5771">
        <w:rPr>
          <w:rFonts w:asciiTheme="minorHAnsi" w:hAnsiTheme="minorHAnsi" w:cs="Arial"/>
          <w:sz w:val="16"/>
          <w:szCs w:val="16"/>
        </w:rPr>
        <w:t>EP a Rady (EU) č. 182/2011 ze</w:t>
      </w:r>
      <w:r w:rsidR="00A25AC4">
        <w:rPr>
          <w:rFonts w:asciiTheme="minorHAnsi" w:hAnsiTheme="minorHAnsi" w:cs="Arial"/>
          <w:sz w:val="16"/>
          <w:szCs w:val="16"/>
        </w:rPr>
        <w:t> </w:t>
      </w:r>
      <w:r w:rsidR="000C2E81" w:rsidRPr="003A5771">
        <w:rPr>
          <w:rFonts w:asciiTheme="minorHAnsi" w:hAnsiTheme="minorHAnsi" w:cs="Arial"/>
          <w:sz w:val="16"/>
          <w:szCs w:val="16"/>
        </w:rPr>
        <w:t>dne</w:t>
      </w:r>
      <w:r w:rsidR="00A25AC4">
        <w:rPr>
          <w:rFonts w:asciiTheme="minorHAnsi" w:hAnsiTheme="minorHAnsi" w:cs="Arial"/>
          <w:sz w:val="16"/>
          <w:szCs w:val="16"/>
        </w:rPr>
        <w:t> </w:t>
      </w:r>
      <w:r w:rsidR="000C2E81" w:rsidRPr="003A5771">
        <w:rPr>
          <w:rFonts w:asciiTheme="minorHAnsi" w:hAnsiTheme="minorHAnsi" w:cs="Arial"/>
          <w:sz w:val="16"/>
          <w:szCs w:val="16"/>
        </w:rPr>
        <w:t>16.</w:t>
      </w:r>
      <w:r w:rsidR="00A25AC4">
        <w:rPr>
          <w:rFonts w:asciiTheme="minorHAnsi" w:hAnsiTheme="minorHAnsi" w:cs="Arial"/>
          <w:sz w:val="16"/>
          <w:szCs w:val="16"/>
        </w:rPr>
        <w:t> </w:t>
      </w:r>
      <w:r w:rsidR="000C2E81" w:rsidRPr="003A5771">
        <w:rPr>
          <w:rFonts w:asciiTheme="minorHAnsi" w:hAnsiTheme="minorHAnsi" w:cs="Arial"/>
          <w:sz w:val="16"/>
          <w:szCs w:val="16"/>
        </w:rPr>
        <w:t>února</w:t>
      </w:r>
      <w:r w:rsidR="00A25AC4">
        <w:rPr>
          <w:rFonts w:asciiTheme="minorHAnsi" w:hAnsiTheme="minorHAnsi" w:cs="Arial"/>
          <w:sz w:val="16"/>
          <w:szCs w:val="16"/>
        </w:rPr>
        <w:t> </w:t>
      </w:r>
      <w:r w:rsidR="000C2E81" w:rsidRPr="003A5771">
        <w:rPr>
          <w:rFonts w:asciiTheme="minorHAnsi" w:hAnsiTheme="minorHAnsi" w:cs="Arial"/>
          <w:sz w:val="16"/>
          <w:szCs w:val="16"/>
        </w:rPr>
        <w:t>2011, kterým se stanoví pravidla a obecné zásady způsobu, jakým členské státy kontrolují Komisi při výkonu prováděcích pravomocí</w:t>
      </w:r>
      <w:r w:rsidR="00336F55" w:rsidRPr="003A5771">
        <w:rPr>
          <w:rFonts w:asciiTheme="minorHAnsi" w:hAnsiTheme="minorHAnsi" w:cs="Arial"/>
          <w:sz w:val="16"/>
          <w:szCs w:val="16"/>
        </w:rPr>
        <w:t xml:space="preserve">, přičemž možnost členského státu </w:t>
      </w:r>
      <w:r w:rsidR="00922590" w:rsidRPr="003A5771">
        <w:rPr>
          <w:rFonts w:asciiTheme="minorHAnsi" w:hAnsiTheme="minorHAnsi" w:cs="Arial"/>
          <w:sz w:val="16"/>
          <w:szCs w:val="16"/>
        </w:rPr>
        <w:t>obrátit se na Soudní dvůr EU</w:t>
      </w:r>
      <w:r w:rsidR="00336F55" w:rsidRPr="003A5771">
        <w:rPr>
          <w:rFonts w:asciiTheme="minorHAnsi" w:hAnsiTheme="minorHAnsi" w:cs="Arial"/>
          <w:sz w:val="16"/>
          <w:szCs w:val="16"/>
        </w:rPr>
        <w:t xml:space="preserve"> ve smyslu článku 263 nebo článku 265 Smlouvy o fung</w:t>
      </w:r>
      <w:r w:rsidR="00446E6F" w:rsidRPr="003A5771">
        <w:rPr>
          <w:rFonts w:asciiTheme="minorHAnsi" w:hAnsiTheme="minorHAnsi" w:cs="Arial"/>
          <w:sz w:val="16"/>
          <w:szCs w:val="16"/>
        </w:rPr>
        <w:t>ování Evropské unie není dotčena</w:t>
      </w:r>
      <w:r w:rsidR="00C10439" w:rsidRPr="003A5771">
        <w:rPr>
          <w:rFonts w:asciiTheme="minorHAnsi" w:hAnsiTheme="minorHAnsi" w:cs="Arial"/>
          <w:sz w:val="16"/>
          <w:szCs w:val="16"/>
        </w:rPr>
        <w:t>.</w:t>
      </w:r>
    </w:p>
  </w:footnote>
  <w:footnote w:id="18">
    <w:p w14:paraId="75FD4948" w14:textId="77777777" w:rsidR="00F44123" w:rsidRPr="003A5771" w:rsidRDefault="00F44123" w:rsidP="004D4E91">
      <w:pPr>
        <w:pStyle w:val="Textpoznpodarou"/>
        <w:spacing w:afterLines="50" w:after="120" w:line="240" w:lineRule="auto"/>
        <w:jc w:val="both"/>
        <w:rPr>
          <w:rFonts w:asciiTheme="minorHAnsi" w:hAnsiTheme="minorHAnsi" w:cs="Arial"/>
          <w:sz w:val="16"/>
          <w:szCs w:val="16"/>
        </w:rPr>
      </w:pPr>
      <w:r w:rsidRPr="003A5771">
        <w:rPr>
          <w:rStyle w:val="Znakapoznpodarou"/>
          <w:rFonts w:asciiTheme="minorHAnsi" w:hAnsiTheme="minorHAnsi"/>
        </w:rPr>
        <w:footnoteRef/>
      </w:r>
      <w:r w:rsidRPr="003A5771">
        <w:rPr>
          <w:rFonts w:asciiTheme="minorHAnsi" w:hAnsiTheme="minorHAnsi" w:cs="Arial"/>
          <w:sz w:val="16"/>
          <w:szCs w:val="16"/>
        </w:rPr>
        <w:t xml:space="preserve"> </w:t>
      </w:r>
      <w:r w:rsidR="001E2C3D" w:rsidRPr="003A5771">
        <w:rPr>
          <w:rFonts w:asciiTheme="minorHAnsi" w:hAnsiTheme="minorHAnsi" w:cs="Arial"/>
          <w:sz w:val="16"/>
          <w:szCs w:val="16"/>
        </w:rPr>
        <w:t>Č</w:t>
      </w:r>
      <w:r w:rsidRPr="003A5771">
        <w:rPr>
          <w:rFonts w:asciiTheme="minorHAnsi" w:hAnsiTheme="minorHAnsi" w:cs="Arial"/>
          <w:sz w:val="16"/>
          <w:szCs w:val="16"/>
        </w:rPr>
        <w:t>lánek 7 Ženevského aktu ve spojení s pravidlem 8 Prováděcího řádu k Ženevskému aktu a pravidlem 8 Společného prováděcího řádu k Lisabonské dohodě a Ženevskému aktu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7643ED0"/>
    <w:multiLevelType w:val="hybridMultilevel"/>
    <w:tmpl w:val="91E686C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C4748"/>
    <w:multiLevelType w:val="hybridMultilevel"/>
    <w:tmpl w:val="3D66F7D8"/>
    <w:lvl w:ilvl="0" w:tplc="4422340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7214624"/>
    <w:multiLevelType w:val="hybridMultilevel"/>
    <w:tmpl w:val="490E1178"/>
    <w:lvl w:ilvl="0" w:tplc="BC7EAD9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3846188A"/>
    <w:multiLevelType w:val="hybridMultilevel"/>
    <w:tmpl w:val="33189D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96626A1"/>
    <w:multiLevelType w:val="hybridMultilevel"/>
    <w:tmpl w:val="364427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2ECB669"/>
    <w:multiLevelType w:val="hybridMultilevel"/>
    <w:tmpl w:val="AF9013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0E392EA"/>
    <w:multiLevelType w:val="hybridMultilevel"/>
    <w:tmpl w:val="AFC023F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4BD"/>
    <w:rsid w:val="00001385"/>
    <w:rsid w:val="00002FFA"/>
    <w:rsid w:val="000063F0"/>
    <w:rsid w:val="000073F3"/>
    <w:rsid w:val="0001360C"/>
    <w:rsid w:val="0003004C"/>
    <w:rsid w:val="00034E30"/>
    <w:rsid w:val="00036A3E"/>
    <w:rsid w:val="00036B72"/>
    <w:rsid w:val="0004454B"/>
    <w:rsid w:val="00046202"/>
    <w:rsid w:val="0005110A"/>
    <w:rsid w:val="00052010"/>
    <w:rsid w:val="00052726"/>
    <w:rsid w:val="00053BE4"/>
    <w:rsid w:val="00062D83"/>
    <w:rsid w:val="00080B99"/>
    <w:rsid w:val="00084614"/>
    <w:rsid w:val="0008619F"/>
    <w:rsid w:val="00090B5B"/>
    <w:rsid w:val="00094B7A"/>
    <w:rsid w:val="000A01FE"/>
    <w:rsid w:val="000A1C27"/>
    <w:rsid w:val="000A6A55"/>
    <w:rsid w:val="000A77BC"/>
    <w:rsid w:val="000B254B"/>
    <w:rsid w:val="000B26E8"/>
    <w:rsid w:val="000C2E81"/>
    <w:rsid w:val="000D1F9B"/>
    <w:rsid w:val="000D77E4"/>
    <w:rsid w:val="000E00FB"/>
    <w:rsid w:val="000E4A84"/>
    <w:rsid w:val="000E6F26"/>
    <w:rsid w:val="000F656A"/>
    <w:rsid w:val="001036EE"/>
    <w:rsid w:val="00111392"/>
    <w:rsid w:val="00112DAF"/>
    <w:rsid w:val="001157C9"/>
    <w:rsid w:val="00116EDD"/>
    <w:rsid w:val="00123DA9"/>
    <w:rsid w:val="00125614"/>
    <w:rsid w:val="00135E86"/>
    <w:rsid w:val="001403F4"/>
    <w:rsid w:val="00145966"/>
    <w:rsid w:val="00154695"/>
    <w:rsid w:val="00165961"/>
    <w:rsid w:val="00166038"/>
    <w:rsid w:val="001833F6"/>
    <w:rsid w:val="001941E0"/>
    <w:rsid w:val="00194862"/>
    <w:rsid w:val="0019534B"/>
    <w:rsid w:val="00195D0D"/>
    <w:rsid w:val="00195ED4"/>
    <w:rsid w:val="00197E89"/>
    <w:rsid w:val="001A2BF1"/>
    <w:rsid w:val="001A3A93"/>
    <w:rsid w:val="001A472B"/>
    <w:rsid w:val="001B2026"/>
    <w:rsid w:val="001B2581"/>
    <w:rsid w:val="001B273F"/>
    <w:rsid w:val="001B2E51"/>
    <w:rsid w:val="001C30CC"/>
    <w:rsid w:val="001C4BD1"/>
    <w:rsid w:val="001C5232"/>
    <w:rsid w:val="001C5675"/>
    <w:rsid w:val="001C65E3"/>
    <w:rsid w:val="001C7117"/>
    <w:rsid w:val="001E203E"/>
    <w:rsid w:val="001E2C3D"/>
    <w:rsid w:val="001F1714"/>
    <w:rsid w:val="00204307"/>
    <w:rsid w:val="002047A1"/>
    <w:rsid w:val="002060BC"/>
    <w:rsid w:val="00207053"/>
    <w:rsid w:val="0022319B"/>
    <w:rsid w:val="00226613"/>
    <w:rsid w:val="00241485"/>
    <w:rsid w:val="00242E21"/>
    <w:rsid w:val="002439BC"/>
    <w:rsid w:val="0024455E"/>
    <w:rsid w:val="0025026A"/>
    <w:rsid w:val="00264901"/>
    <w:rsid w:val="00267C02"/>
    <w:rsid w:val="00277AA2"/>
    <w:rsid w:val="00280A1D"/>
    <w:rsid w:val="00283469"/>
    <w:rsid w:val="00283855"/>
    <w:rsid w:val="00293423"/>
    <w:rsid w:val="00295CF9"/>
    <w:rsid w:val="002A3034"/>
    <w:rsid w:val="002A5230"/>
    <w:rsid w:val="002B0B58"/>
    <w:rsid w:val="002B2A17"/>
    <w:rsid w:val="002B43D5"/>
    <w:rsid w:val="002B559A"/>
    <w:rsid w:val="002C67D7"/>
    <w:rsid w:val="002D009D"/>
    <w:rsid w:val="002D0D26"/>
    <w:rsid w:val="002D1704"/>
    <w:rsid w:val="002D703D"/>
    <w:rsid w:val="002F52E9"/>
    <w:rsid w:val="002F6D22"/>
    <w:rsid w:val="003028B9"/>
    <w:rsid w:val="00311FDF"/>
    <w:rsid w:val="003171C4"/>
    <w:rsid w:val="00322E72"/>
    <w:rsid w:val="00327219"/>
    <w:rsid w:val="00336F55"/>
    <w:rsid w:val="00340874"/>
    <w:rsid w:val="00345347"/>
    <w:rsid w:val="00346C01"/>
    <w:rsid w:val="00360D77"/>
    <w:rsid w:val="003643FB"/>
    <w:rsid w:val="00371B1A"/>
    <w:rsid w:val="00375AC1"/>
    <w:rsid w:val="003837AF"/>
    <w:rsid w:val="0038574A"/>
    <w:rsid w:val="003934D2"/>
    <w:rsid w:val="00393AF1"/>
    <w:rsid w:val="00394E50"/>
    <w:rsid w:val="003A10DB"/>
    <w:rsid w:val="003A2990"/>
    <w:rsid w:val="003A5771"/>
    <w:rsid w:val="003B073F"/>
    <w:rsid w:val="003B31D3"/>
    <w:rsid w:val="003B59A5"/>
    <w:rsid w:val="003B742B"/>
    <w:rsid w:val="003C282C"/>
    <w:rsid w:val="003E3999"/>
    <w:rsid w:val="003E5910"/>
    <w:rsid w:val="003E5A5C"/>
    <w:rsid w:val="003F0EA7"/>
    <w:rsid w:val="003F3319"/>
    <w:rsid w:val="003F3C4F"/>
    <w:rsid w:val="00401FEB"/>
    <w:rsid w:val="00403275"/>
    <w:rsid w:val="00406656"/>
    <w:rsid w:val="004120DF"/>
    <w:rsid w:val="004333D1"/>
    <w:rsid w:val="004463EE"/>
    <w:rsid w:val="00446A6C"/>
    <w:rsid w:val="00446E6F"/>
    <w:rsid w:val="004519B3"/>
    <w:rsid w:val="004617A1"/>
    <w:rsid w:val="00464A14"/>
    <w:rsid w:val="004666A2"/>
    <w:rsid w:val="0046798F"/>
    <w:rsid w:val="00470B2B"/>
    <w:rsid w:val="00473163"/>
    <w:rsid w:val="004A58BA"/>
    <w:rsid w:val="004A6C71"/>
    <w:rsid w:val="004B54A8"/>
    <w:rsid w:val="004B6368"/>
    <w:rsid w:val="004B6F99"/>
    <w:rsid w:val="004C6957"/>
    <w:rsid w:val="004D004B"/>
    <w:rsid w:val="004D0867"/>
    <w:rsid w:val="004D4E91"/>
    <w:rsid w:val="004D6224"/>
    <w:rsid w:val="004E1CD2"/>
    <w:rsid w:val="004E50CA"/>
    <w:rsid w:val="004E60AE"/>
    <w:rsid w:val="0050094C"/>
    <w:rsid w:val="005009FB"/>
    <w:rsid w:val="00511A0B"/>
    <w:rsid w:val="00512694"/>
    <w:rsid w:val="0051640B"/>
    <w:rsid w:val="00521396"/>
    <w:rsid w:val="00521FFF"/>
    <w:rsid w:val="00527E81"/>
    <w:rsid w:val="0053276E"/>
    <w:rsid w:val="0053329C"/>
    <w:rsid w:val="00536163"/>
    <w:rsid w:val="0054052F"/>
    <w:rsid w:val="00542475"/>
    <w:rsid w:val="00545162"/>
    <w:rsid w:val="00556778"/>
    <w:rsid w:val="00563CD2"/>
    <w:rsid w:val="00564A2D"/>
    <w:rsid w:val="00564AFB"/>
    <w:rsid w:val="00573C5F"/>
    <w:rsid w:val="00577B75"/>
    <w:rsid w:val="00587C61"/>
    <w:rsid w:val="0059096A"/>
    <w:rsid w:val="00592153"/>
    <w:rsid w:val="00597A15"/>
    <w:rsid w:val="005A1B32"/>
    <w:rsid w:val="005A1BD3"/>
    <w:rsid w:val="005B2BC8"/>
    <w:rsid w:val="005B412F"/>
    <w:rsid w:val="005C0ACD"/>
    <w:rsid w:val="005C1F13"/>
    <w:rsid w:val="005C4B02"/>
    <w:rsid w:val="005F6E82"/>
    <w:rsid w:val="00600DE7"/>
    <w:rsid w:val="006067AF"/>
    <w:rsid w:val="00612AE2"/>
    <w:rsid w:val="00613F36"/>
    <w:rsid w:val="00614B97"/>
    <w:rsid w:val="00626F00"/>
    <w:rsid w:val="00634EFE"/>
    <w:rsid w:val="006405ED"/>
    <w:rsid w:val="00640646"/>
    <w:rsid w:val="00644CBD"/>
    <w:rsid w:val="00654A36"/>
    <w:rsid w:val="006671DC"/>
    <w:rsid w:val="006710F8"/>
    <w:rsid w:val="00672142"/>
    <w:rsid w:val="006842E1"/>
    <w:rsid w:val="00691908"/>
    <w:rsid w:val="006942A4"/>
    <w:rsid w:val="00696F12"/>
    <w:rsid w:val="00697372"/>
    <w:rsid w:val="006A009A"/>
    <w:rsid w:val="006A232B"/>
    <w:rsid w:val="006A2B2E"/>
    <w:rsid w:val="006A50C6"/>
    <w:rsid w:val="006B05D2"/>
    <w:rsid w:val="006B70D4"/>
    <w:rsid w:val="006C1475"/>
    <w:rsid w:val="006C4232"/>
    <w:rsid w:val="006C570C"/>
    <w:rsid w:val="006C592D"/>
    <w:rsid w:val="006C7B8D"/>
    <w:rsid w:val="006D04DA"/>
    <w:rsid w:val="006D23FB"/>
    <w:rsid w:val="006D7995"/>
    <w:rsid w:val="006D79A2"/>
    <w:rsid w:val="006E173B"/>
    <w:rsid w:val="006E5CD9"/>
    <w:rsid w:val="006F50AE"/>
    <w:rsid w:val="006F520F"/>
    <w:rsid w:val="006F71B2"/>
    <w:rsid w:val="00700C37"/>
    <w:rsid w:val="00701567"/>
    <w:rsid w:val="00703163"/>
    <w:rsid w:val="00707D47"/>
    <w:rsid w:val="00710C79"/>
    <w:rsid w:val="00711D45"/>
    <w:rsid w:val="00717C8D"/>
    <w:rsid w:val="00721C65"/>
    <w:rsid w:val="00722BE3"/>
    <w:rsid w:val="007318C5"/>
    <w:rsid w:val="00734FAA"/>
    <w:rsid w:val="00747C31"/>
    <w:rsid w:val="0075104D"/>
    <w:rsid w:val="00754D86"/>
    <w:rsid w:val="00755E50"/>
    <w:rsid w:val="007564BF"/>
    <w:rsid w:val="00760865"/>
    <w:rsid w:val="007616F4"/>
    <w:rsid w:val="00765D9D"/>
    <w:rsid w:val="0077223B"/>
    <w:rsid w:val="00781B37"/>
    <w:rsid w:val="007853CC"/>
    <w:rsid w:val="007A06F6"/>
    <w:rsid w:val="007A0725"/>
    <w:rsid w:val="007A595D"/>
    <w:rsid w:val="007B27C4"/>
    <w:rsid w:val="007C0BE0"/>
    <w:rsid w:val="007C2554"/>
    <w:rsid w:val="007C3430"/>
    <w:rsid w:val="007C35C6"/>
    <w:rsid w:val="007D0731"/>
    <w:rsid w:val="007D1963"/>
    <w:rsid w:val="007D21B4"/>
    <w:rsid w:val="007D2F01"/>
    <w:rsid w:val="007D628A"/>
    <w:rsid w:val="007F33C7"/>
    <w:rsid w:val="007F50A3"/>
    <w:rsid w:val="007F57E7"/>
    <w:rsid w:val="007F5B7E"/>
    <w:rsid w:val="00804963"/>
    <w:rsid w:val="008067C1"/>
    <w:rsid w:val="00817363"/>
    <w:rsid w:val="008211EA"/>
    <w:rsid w:val="008224BD"/>
    <w:rsid w:val="008229F7"/>
    <w:rsid w:val="008233BD"/>
    <w:rsid w:val="008341C5"/>
    <w:rsid w:val="0084431D"/>
    <w:rsid w:val="00844C5F"/>
    <w:rsid w:val="00845A01"/>
    <w:rsid w:val="008601F7"/>
    <w:rsid w:val="008606AA"/>
    <w:rsid w:val="00861B06"/>
    <w:rsid w:val="00862ED9"/>
    <w:rsid w:val="00866063"/>
    <w:rsid w:val="00866653"/>
    <w:rsid w:val="00870595"/>
    <w:rsid w:val="00881A3C"/>
    <w:rsid w:val="00883E6C"/>
    <w:rsid w:val="00885F85"/>
    <w:rsid w:val="00887057"/>
    <w:rsid w:val="00891D44"/>
    <w:rsid w:val="0089306C"/>
    <w:rsid w:val="00895691"/>
    <w:rsid w:val="00895F19"/>
    <w:rsid w:val="008A10D1"/>
    <w:rsid w:val="008C338B"/>
    <w:rsid w:val="008C54B3"/>
    <w:rsid w:val="008C7832"/>
    <w:rsid w:val="008E3EC9"/>
    <w:rsid w:val="008E444B"/>
    <w:rsid w:val="008E5F22"/>
    <w:rsid w:val="008F1DBB"/>
    <w:rsid w:val="008F62BB"/>
    <w:rsid w:val="00906882"/>
    <w:rsid w:val="00912925"/>
    <w:rsid w:val="009129BB"/>
    <w:rsid w:val="009152F0"/>
    <w:rsid w:val="00921123"/>
    <w:rsid w:val="00922590"/>
    <w:rsid w:val="00923331"/>
    <w:rsid w:val="009277E8"/>
    <w:rsid w:val="00933DD5"/>
    <w:rsid w:val="00941376"/>
    <w:rsid w:val="00944229"/>
    <w:rsid w:val="00957DF4"/>
    <w:rsid w:val="00960FC8"/>
    <w:rsid w:val="009615C9"/>
    <w:rsid w:val="00971ADE"/>
    <w:rsid w:val="00972347"/>
    <w:rsid w:val="009729E4"/>
    <w:rsid w:val="009966A0"/>
    <w:rsid w:val="009C17DB"/>
    <w:rsid w:val="009C5916"/>
    <w:rsid w:val="009D029C"/>
    <w:rsid w:val="009D6519"/>
    <w:rsid w:val="009E4500"/>
    <w:rsid w:val="009F60E9"/>
    <w:rsid w:val="009F66A6"/>
    <w:rsid w:val="00A03A07"/>
    <w:rsid w:val="00A12DA6"/>
    <w:rsid w:val="00A25AC4"/>
    <w:rsid w:val="00A26FFC"/>
    <w:rsid w:val="00A33E87"/>
    <w:rsid w:val="00A344FB"/>
    <w:rsid w:val="00A346BF"/>
    <w:rsid w:val="00A406C4"/>
    <w:rsid w:val="00A432DD"/>
    <w:rsid w:val="00A43D83"/>
    <w:rsid w:val="00A513A0"/>
    <w:rsid w:val="00A519D1"/>
    <w:rsid w:val="00A519E8"/>
    <w:rsid w:val="00A54AD7"/>
    <w:rsid w:val="00A707FF"/>
    <w:rsid w:val="00A75EE2"/>
    <w:rsid w:val="00A77091"/>
    <w:rsid w:val="00A81B15"/>
    <w:rsid w:val="00A8444B"/>
    <w:rsid w:val="00A8489F"/>
    <w:rsid w:val="00A915F7"/>
    <w:rsid w:val="00A95D65"/>
    <w:rsid w:val="00A97C2A"/>
    <w:rsid w:val="00AA6AF0"/>
    <w:rsid w:val="00AB1CB7"/>
    <w:rsid w:val="00AB60BF"/>
    <w:rsid w:val="00AC1936"/>
    <w:rsid w:val="00AC6041"/>
    <w:rsid w:val="00AD02C5"/>
    <w:rsid w:val="00AD0FC9"/>
    <w:rsid w:val="00AD26A7"/>
    <w:rsid w:val="00AE3A58"/>
    <w:rsid w:val="00AE4403"/>
    <w:rsid w:val="00AE72C5"/>
    <w:rsid w:val="00AF73DE"/>
    <w:rsid w:val="00B01CC7"/>
    <w:rsid w:val="00B068ED"/>
    <w:rsid w:val="00B178C3"/>
    <w:rsid w:val="00B20B0E"/>
    <w:rsid w:val="00B25326"/>
    <w:rsid w:val="00B36ADD"/>
    <w:rsid w:val="00B36EA3"/>
    <w:rsid w:val="00B428A1"/>
    <w:rsid w:val="00B46A40"/>
    <w:rsid w:val="00B50FB9"/>
    <w:rsid w:val="00B51282"/>
    <w:rsid w:val="00B54CCA"/>
    <w:rsid w:val="00B63D4F"/>
    <w:rsid w:val="00B6679E"/>
    <w:rsid w:val="00B83B6D"/>
    <w:rsid w:val="00B94EAA"/>
    <w:rsid w:val="00B973DE"/>
    <w:rsid w:val="00B97C68"/>
    <w:rsid w:val="00BA0A6A"/>
    <w:rsid w:val="00BA17B6"/>
    <w:rsid w:val="00BA77B6"/>
    <w:rsid w:val="00BA7D95"/>
    <w:rsid w:val="00BB0C82"/>
    <w:rsid w:val="00BB3A84"/>
    <w:rsid w:val="00BB7D7B"/>
    <w:rsid w:val="00BC67B3"/>
    <w:rsid w:val="00BD1027"/>
    <w:rsid w:val="00BD3A75"/>
    <w:rsid w:val="00BD3DC6"/>
    <w:rsid w:val="00BD4A1D"/>
    <w:rsid w:val="00BD50CF"/>
    <w:rsid w:val="00BE17BF"/>
    <w:rsid w:val="00BE4A7C"/>
    <w:rsid w:val="00BE4AE8"/>
    <w:rsid w:val="00BF0DCD"/>
    <w:rsid w:val="00C00E75"/>
    <w:rsid w:val="00C04135"/>
    <w:rsid w:val="00C10439"/>
    <w:rsid w:val="00C10F13"/>
    <w:rsid w:val="00C171FB"/>
    <w:rsid w:val="00C31698"/>
    <w:rsid w:val="00C35301"/>
    <w:rsid w:val="00C4311D"/>
    <w:rsid w:val="00C441B9"/>
    <w:rsid w:val="00C44451"/>
    <w:rsid w:val="00C451D9"/>
    <w:rsid w:val="00C51464"/>
    <w:rsid w:val="00C5449C"/>
    <w:rsid w:val="00C56A59"/>
    <w:rsid w:val="00C60D9C"/>
    <w:rsid w:val="00C64B01"/>
    <w:rsid w:val="00C650B7"/>
    <w:rsid w:val="00C771C6"/>
    <w:rsid w:val="00C92B86"/>
    <w:rsid w:val="00C95DD1"/>
    <w:rsid w:val="00CA4DC5"/>
    <w:rsid w:val="00CA6204"/>
    <w:rsid w:val="00CA69E0"/>
    <w:rsid w:val="00CB2CC5"/>
    <w:rsid w:val="00CD2D37"/>
    <w:rsid w:val="00CD2FFF"/>
    <w:rsid w:val="00CE35A7"/>
    <w:rsid w:val="00CE774E"/>
    <w:rsid w:val="00CF0250"/>
    <w:rsid w:val="00CF10B0"/>
    <w:rsid w:val="00CF1E6C"/>
    <w:rsid w:val="00CF26EB"/>
    <w:rsid w:val="00CF42D2"/>
    <w:rsid w:val="00D0273C"/>
    <w:rsid w:val="00D03598"/>
    <w:rsid w:val="00D13CD5"/>
    <w:rsid w:val="00D148DA"/>
    <w:rsid w:val="00D23781"/>
    <w:rsid w:val="00D25867"/>
    <w:rsid w:val="00D347A7"/>
    <w:rsid w:val="00D35120"/>
    <w:rsid w:val="00D40FA4"/>
    <w:rsid w:val="00D43454"/>
    <w:rsid w:val="00D44F14"/>
    <w:rsid w:val="00D45392"/>
    <w:rsid w:val="00D54FDA"/>
    <w:rsid w:val="00D575F3"/>
    <w:rsid w:val="00D62BA1"/>
    <w:rsid w:val="00D63D1D"/>
    <w:rsid w:val="00D66F29"/>
    <w:rsid w:val="00D80058"/>
    <w:rsid w:val="00D80BBC"/>
    <w:rsid w:val="00D83153"/>
    <w:rsid w:val="00DA1F74"/>
    <w:rsid w:val="00DB5C3A"/>
    <w:rsid w:val="00DC726B"/>
    <w:rsid w:val="00DD28E4"/>
    <w:rsid w:val="00DD497E"/>
    <w:rsid w:val="00DE0224"/>
    <w:rsid w:val="00DF3F94"/>
    <w:rsid w:val="00DF7355"/>
    <w:rsid w:val="00E11DBF"/>
    <w:rsid w:val="00E161CD"/>
    <w:rsid w:val="00E1684F"/>
    <w:rsid w:val="00E24FE1"/>
    <w:rsid w:val="00E31531"/>
    <w:rsid w:val="00E35AD7"/>
    <w:rsid w:val="00E37ECF"/>
    <w:rsid w:val="00E401A1"/>
    <w:rsid w:val="00E4249A"/>
    <w:rsid w:val="00E43FD6"/>
    <w:rsid w:val="00E47E5E"/>
    <w:rsid w:val="00E5515C"/>
    <w:rsid w:val="00E63488"/>
    <w:rsid w:val="00E66DC9"/>
    <w:rsid w:val="00E678E9"/>
    <w:rsid w:val="00E70F02"/>
    <w:rsid w:val="00E80DA1"/>
    <w:rsid w:val="00E81FBA"/>
    <w:rsid w:val="00E822D4"/>
    <w:rsid w:val="00E835A6"/>
    <w:rsid w:val="00E8659A"/>
    <w:rsid w:val="00E865E8"/>
    <w:rsid w:val="00E9315F"/>
    <w:rsid w:val="00EA0205"/>
    <w:rsid w:val="00EA5811"/>
    <w:rsid w:val="00EB4553"/>
    <w:rsid w:val="00EB4D28"/>
    <w:rsid w:val="00EB63D6"/>
    <w:rsid w:val="00ED6D82"/>
    <w:rsid w:val="00ED755E"/>
    <w:rsid w:val="00EE0A2F"/>
    <w:rsid w:val="00EE223F"/>
    <w:rsid w:val="00EE731D"/>
    <w:rsid w:val="00EF05BE"/>
    <w:rsid w:val="00F02475"/>
    <w:rsid w:val="00F0290A"/>
    <w:rsid w:val="00F03E6F"/>
    <w:rsid w:val="00F0566D"/>
    <w:rsid w:val="00F06BBF"/>
    <w:rsid w:val="00F1036A"/>
    <w:rsid w:val="00F16E8F"/>
    <w:rsid w:val="00F172AD"/>
    <w:rsid w:val="00F22BDA"/>
    <w:rsid w:val="00F2415A"/>
    <w:rsid w:val="00F27049"/>
    <w:rsid w:val="00F3563D"/>
    <w:rsid w:val="00F43536"/>
    <w:rsid w:val="00F44123"/>
    <w:rsid w:val="00F45B1F"/>
    <w:rsid w:val="00F5060F"/>
    <w:rsid w:val="00F509CE"/>
    <w:rsid w:val="00F64D2E"/>
    <w:rsid w:val="00F67801"/>
    <w:rsid w:val="00F7183A"/>
    <w:rsid w:val="00F76E85"/>
    <w:rsid w:val="00F80D32"/>
    <w:rsid w:val="00F94B03"/>
    <w:rsid w:val="00FA55C4"/>
    <w:rsid w:val="00FB4B33"/>
    <w:rsid w:val="00FB5B69"/>
    <w:rsid w:val="00FB67A5"/>
    <w:rsid w:val="00FC3E8E"/>
    <w:rsid w:val="00FC49FC"/>
    <w:rsid w:val="00FC5266"/>
    <w:rsid w:val="00FC6E72"/>
    <w:rsid w:val="00FD4E9F"/>
    <w:rsid w:val="00FE0FDC"/>
    <w:rsid w:val="00FF0379"/>
    <w:rsid w:val="00FF23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297E9"/>
  <w15:docId w15:val="{E7A97CF3-FE8A-4483-9C08-28E19618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1B06"/>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ps">
    <w:name w:val="hps"/>
    <w:basedOn w:val="Standardnpsmoodstavce"/>
    <w:rsid w:val="00EA5811"/>
  </w:style>
  <w:style w:type="paragraph" w:customStyle="1" w:styleId="Standard">
    <w:name w:val="Standard"/>
    <w:rsid w:val="00E43FD6"/>
    <w:pPr>
      <w:suppressAutoHyphens/>
      <w:spacing w:after="200" w:line="276" w:lineRule="auto"/>
    </w:pPr>
    <w:rPr>
      <w:rFonts w:eastAsia="SimSun" w:cs="Calibri"/>
      <w:sz w:val="22"/>
      <w:szCs w:val="22"/>
      <w:lang w:val="fr-FR"/>
    </w:rPr>
  </w:style>
  <w:style w:type="paragraph" w:customStyle="1" w:styleId="Default">
    <w:name w:val="Default"/>
    <w:rsid w:val="00DD28E4"/>
    <w:pPr>
      <w:autoSpaceDE w:val="0"/>
      <w:autoSpaceDN w:val="0"/>
      <w:adjustRightInd w:val="0"/>
    </w:pPr>
    <w:rPr>
      <w:rFonts w:ascii="Times New Roman" w:hAnsi="Times New Roman"/>
      <w:color w:val="000000"/>
      <w:sz w:val="24"/>
      <w:szCs w:val="24"/>
    </w:rPr>
  </w:style>
  <w:style w:type="character" w:styleId="Odkaznakoment">
    <w:name w:val="annotation reference"/>
    <w:uiPriority w:val="99"/>
    <w:semiHidden/>
    <w:unhideWhenUsed/>
    <w:rsid w:val="006F520F"/>
    <w:rPr>
      <w:sz w:val="16"/>
      <w:szCs w:val="16"/>
    </w:rPr>
  </w:style>
  <w:style w:type="paragraph" w:styleId="Textkomente">
    <w:name w:val="annotation text"/>
    <w:basedOn w:val="Normln"/>
    <w:link w:val="TextkomenteChar"/>
    <w:uiPriority w:val="99"/>
    <w:semiHidden/>
    <w:unhideWhenUsed/>
    <w:rsid w:val="006F520F"/>
    <w:pPr>
      <w:spacing w:line="240" w:lineRule="auto"/>
    </w:pPr>
    <w:rPr>
      <w:sz w:val="20"/>
      <w:szCs w:val="20"/>
    </w:rPr>
  </w:style>
  <w:style w:type="character" w:customStyle="1" w:styleId="TextkomenteChar">
    <w:name w:val="Text komentáře Char"/>
    <w:link w:val="Textkomente"/>
    <w:uiPriority w:val="99"/>
    <w:semiHidden/>
    <w:rsid w:val="006F520F"/>
    <w:rPr>
      <w:sz w:val="20"/>
      <w:szCs w:val="20"/>
    </w:rPr>
  </w:style>
  <w:style w:type="paragraph" w:styleId="Textbubliny">
    <w:name w:val="Balloon Text"/>
    <w:basedOn w:val="Normln"/>
    <w:link w:val="TextbublinyChar"/>
    <w:uiPriority w:val="99"/>
    <w:semiHidden/>
    <w:unhideWhenUsed/>
    <w:rsid w:val="006F520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F520F"/>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05110A"/>
    <w:rPr>
      <w:b/>
      <w:bCs/>
    </w:rPr>
  </w:style>
  <w:style w:type="character" w:customStyle="1" w:styleId="PedmtkomenteChar">
    <w:name w:val="Předmět komentáře Char"/>
    <w:link w:val="Pedmtkomente"/>
    <w:uiPriority w:val="99"/>
    <w:semiHidden/>
    <w:rsid w:val="0005110A"/>
    <w:rPr>
      <w:b/>
      <w:bCs/>
      <w:sz w:val="20"/>
      <w:szCs w:val="20"/>
    </w:rPr>
  </w:style>
  <w:style w:type="paragraph" w:styleId="Zhlav">
    <w:name w:val="header"/>
    <w:basedOn w:val="Normln"/>
    <w:link w:val="ZhlavChar"/>
    <w:uiPriority w:val="99"/>
    <w:unhideWhenUsed/>
    <w:rsid w:val="00A8489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8489F"/>
  </w:style>
  <w:style w:type="paragraph" w:styleId="Zpat">
    <w:name w:val="footer"/>
    <w:basedOn w:val="Normln"/>
    <w:link w:val="ZpatChar"/>
    <w:uiPriority w:val="99"/>
    <w:unhideWhenUsed/>
    <w:rsid w:val="00A8489F"/>
    <w:pPr>
      <w:tabs>
        <w:tab w:val="center" w:pos="4536"/>
        <w:tab w:val="right" w:pos="9072"/>
      </w:tabs>
      <w:spacing w:after="0" w:line="240" w:lineRule="auto"/>
    </w:pPr>
  </w:style>
  <w:style w:type="character" w:customStyle="1" w:styleId="ZpatChar">
    <w:name w:val="Zápatí Char"/>
    <w:basedOn w:val="Standardnpsmoodstavce"/>
    <w:link w:val="Zpat"/>
    <w:uiPriority w:val="99"/>
    <w:rsid w:val="00A8489F"/>
  </w:style>
  <w:style w:type="character" w:customStyle="1" w:styleId="None">
    <w:name w:val="None"/>
    <w:rsid w:val="003A2990"/>
  </w:style>
  <w:style w:type="paragraph" w:customStyle="1" w:styleId="normal1">
    <w:name w:val="normal1"/>
    <w:basedOn w:val="Normln"/>
    <w:rsid w:val="003A2990"/>
    <w:pPr>
      <w:spacing w:before="120" w:after="0" w:line="312" w:lineRule="atLeast"/>
      <w:jc w:val="both"/>
    </w:pPr>
    <w:rPr>
      <w:rFonts w:ascii="Times New Roman" w:hAnsi="Times New Roman"/>
      <w:sz w:val="24"/>
      <w:szCs w:val="24"/>
    </w:rPr>
  </w:style>
  <w:style w:type="paragraph" w:styleId="Normlnweb">
    <w:name w:val="Normal (Web)"/>
    <w:basedOn w:val="Normln"/>
    <w:uiPriority w:val="99"/>
    <w:unhideWhenUsed/>
    <w:rsid w:val="003A2990"/>
    <w:pPr>
      <w:spacing w:before="100" w:beforeAutospacing="1" w:after="100" w:afterAutospacing="1" w:line="240" w:lineRule="auto"/>
    </w:pPr>
    <w:rPr>
      <w:rFonts w:ascii="Times New Roman" w:hAnsi="Times New Roman"/>
      <w:sz w:val="24"/>
      <w:szCs w:val="24"/>
    </w:rPr>
  </w:style>
  <w:style w:type="character" w:styleId="Hypertextovodkaz">
    <w:name w:val="Hyperlink"/>
    <w:uiPriority w:val="99"/>
    <w:semiHidden/>
    <w:unhideWhenUsed/>
    <w:rsid w:val="00755E50"/>
    <w:rPr>
      <w:color w:val="0000FF"/>
      <w:u w:val="single"/>
    </w:rPr>
  </w:style>
  <w:style w:type="paragraph" w:styleId="Zkladntext">
    <w:name w:val="Body Text"/>
    <w:basedOn w:val="Normln"/>
    <w:link w:val="ZkladntextChar"/>
    <w:uiPriority w:val="99"/>
    <w:semiHidden/>
    <w:unhideWhenUsed/>
    <w:rsid w:val="00755E50"/>
    <w:pPr>
      <w:overflowPunct w:val="0"/>
      <w:autoSpaceDE w:val="0"/>
      <w:autoSpaceDN w:val="0"/>
      <w:adjustRightInd w:val="0"/>
      <w:spacing w:after="0" w:line="360" w:lineRule="auto"/>
      <w:jc w:val="both"/>
    </w:pPr>
    <w:rPr>
      <w:rFonts w:ascii="Times New Roman" w:hAnsi="Times New Roman"/>
      <w:sz w:val="24"/>
      <w:szCs w:val="20"/>
    </w:rPr>
  </w:style>
  <w:style w:type="character" w:customStyle="1" w:styleId="ZkladntextChar">
    <w:name w:val="Základní text Char"/>
    <w:link w:val="Zkladntext"/>
    <w:uiPriority w:val="99"/>
    <w:semiHidden/>
    <w:rsid w:val="00755E50"/>
    <w:rPr>
      <w:rFonts w:ascii="Times New Roman" w:hAnsi="Times New Roman"/>
      <w:sz w:val="24"/>
    </w:rPr>
  </w:style>
  <w:style w:type="paragraph" w:styleId="Zkladntextodsazen">
    <w:name w:val="Body Text Indent"/>
    <w:basedOn w:val="Normln"/>
    <w:link w:val="ZkladntextodsazenChar"/>
    <w:uiPriority w:val="99"/>
    <w:semiHidden/>
    <w:unhideWhenUsed/>
    <w:rsid w:val="00755E50"/>
    <w:pPr>
      <w:spacing w:after="120"/>
      <w:ind w:left="283"/>
    </w:pPr>
  </w:style>
  <w:style w:type="character" w:customStyle="1" w:styleId="ZkladntextodsazenChar">
    <w:name w:val="Základní text odsazený Char"/>
    <w:link w:val="Zkladntextodsazen"/>
    <w:uiPriority w:val="99"/>
    <w:semiHidden/>
    <w:rsid w:val="00755E50"/>
    <w:rPr>
      <w:sz w:val="22"/>
      <w:szCs w:val="22"/>
    </w:rPr>
  </w:style>
  <w:style w:type="paragraph" w:styleId="Textpoznpodarou">
    <w:name w:val="footnote text"/>
    <w:basedOn w:val="Normln"/>
    <w:link w:val="TextpoznpodarouChar"/>
    <w:uiPriority w:val="99"/>
    <w:unhideWhenUsed/>
    <w:rsid w:val="00080B99"/>
    <w:rPr>
      <w:sz w:val="20"/>
      <w:szCs w:val="20"/>
    </w:rPr>
  </w:style>
  <w:style w:type="character" w:customStyle="1" w:styleId="TextpoznpodarouChar">
    <w:name w:val="Text pozn. pod čarou Char"/>
    <w:basedOn w:val="Standardnpsmoodstavce"/>
    <w:link w:val="Textpoznpodarou"/>
    <w:uiPriority w:val="99"/>
    <w:rsid w:val="00080B99"/>
  </w:style>
  <w:style w:type="character" w:styleId="Znakapoznpodarou">
    <w:name w:val="footnote reference"/>
    <w:uiPriority w:val="99"/>
    <w:semiHidden/>
    <w:unhideWhenUsed/>
    <w:rsid w:val="00080B99"/>
    <w:rPr>
      <w:vertAlign w:val="superscript"/>
    </w:rPr>
  </w:style>
  <w:style w:type="paragraph" w:customStyle="1" w:styleId="doc-ti">
    <w:name w:val="doc-ti"/>
    <w:basedOn w:val="Normln"/>
    <w:rsid w:val="00F44123"/>
    <w:pPr>
      <w:spacing w:before="100" w:beforeAutospacing="1" w:after="100" w:afterAutospacing="1" w:line="240" w:lineRule="auto"/>
    </w:pPr>
    <w:rPr>
      <w:rFonts w:ascii="Times New Roman" w:hAnsi="Times New Roman"/>
      <w:sz w:val="24"/>
      <w:szCs w:val="24"/>
    </w:rPr>
  </w:style>
  <w:style w:type="character" w:customStyle="1" w:styleId="SC126999">
    <w:name w:val="SC126999"/>
    <w:uiPriority w:val="99"/>
    <w:rsid w:val="00F03E6F"/>
    <w:rPr>
      <w:rFonts w:cs="EU Albertina"/>
      <w:color w:val="000000"/>
      <w:sz w:val="18"/>
      <w:szCs w:val="18"/>
    </w:rPr>
  </w:style>
  <w:style w:type="character" w:customStyle="1" w:styleId="SC127017">
    <w:name w:val="SC127017"/>
    <w:uiPriority w:val="99"/>
    <w:rsid w:val="00F03E6F"/>
    <w:rPr>
      <w:rFonts w:cs="EU Albertina"/>
      <w:color w:val="000000"/>
      <w:sz w:val="10"/>
      <w:szCs w:val="10"/>
    </w:rPr>
  </w:style>
  <w:style w:type="paragraph" w:customStyle="1" w:styleId="SP282724">
    <w:name w:val="SP282724"/>
    <w:basedOn w:val="Default"/>
    <w:next w:val="Default"/>
    <w:uiPriority w:val="99"/>
    <w:rsid w:val="00640646"/>
    <w:rPr>
      <w:rFonts w:ascii="EU Albertina" w:hAnsi="EU Albertin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49949">
      <w:bodyDiv w:val="1"/>
      <w:marLeft w:val="0"/>
      <w:marRight w:val="0"/>
      <w:marTop w:val="0"/>
      <w:marBottom w:val="0"/>
      <w:divBdr>
        <w:top w:val="none" w:sz="0" w:space="0" w:color="auto"/>
        <w:left w:val="none" w:sz="0" w:space="0" w:color="auto"/>
        <w:bottom w:val="none" w:sz="0" w:space="0" w:color="auto"/>
        <w:right w:val="none" w:sz="0" w:space="0" w:color="auto"/>
      </w:divBdr>
    </w:div>
    <w:div w:id="819425631">
      <w:bodyDiv w:val="1"/>
      <w:marLeft w:val="0"/>
      <w:marRight w:val="0"/>
      <w:marTop w:val="0"/>
      <w:marBottom w:val="0"/>
      <w:divBdr>
        <w:top w:val="none" w:sz="0" w:space="0" w:color="auto"/>
        <w:left w:val="none" w:sz="0" w:space="0" w:color="auto"/>
        <w:bottom w:val="none" w:sz="0" w:space="0" w:color="auto"/>
        <w:right w:val="none" w:sz="0" w:space="0" w:color="auto"/>
      </w:divBdr>
    </w:div>
    <w:div w:id="1167786750">
      <w:bodyDiv w:val="1"/>
      <w:marLeft w:val="0"/>
      <w:marRight w:val="0"/>
      <w:marTop w:val="0"/>
      <w:marBottom w:val="0"/>
      <w:divBdr>
        <w:top w:val="none" w:sz="0" w:space="0" w:color="auto"/>
        <w:left w:val="none" w:sz="0" w:space="0" w:color="auto"/>
        <w:bottom w:val="none" w:sz="0" w:space="0" w:color="auto"/>
        <w:right w:val="none" w:sz="0" w:space="0" w:color="auto"/>
      </w:divBdr>
    </w:div>
    <w:div w:id="1222668678">
      <w:bodyDiv w:val="1"/>
      <w:marLeft w:val="0"/>
      <w:marRight w:val="0"/>
      <w:marTop w:val="0"/>
      <w:marBottom w:val="0"/>
      <w:divBdr>
        <w:top w:val="none" w:sz="0" w:space="0" w:color="auto"/>
        <w:left w:val="none" w:sz="0" w:space="0" w:color="auto"/>
        <w:bottom w:val="none" w:sz="0" w:space="0" w:color="auto"/>
        <w:right w:val="none" w:sz="0" w:space="0" w:color="auto"/>
      </w:divBdr>
    </w:div>
    <w:div w:id="1231185795">
      <w:bodyDiv w:val="1"/>
      <w:marLeft w:val="0"/>
      <w:marRight w:val="0"/>
      <w:marTop w:val="0"/>
      <w:marBottom w:val="0"/>
      <w:divBdr>
        <w:top w:val="none" w:sz="0" w:space="0" w:color="auto"/>
        <w:left w:val="none" w:sz="0" w:space="0" w:color="auto"/>
        <w:bottom w:val="none" w:sz="0" w:space="0" w:color="auto"/>
        <w:right w:val="none" w:sz="0" w:space="0" w:color="auto"/>
      </w:divBdr>
    </w:div>
    <w:div w:id="1540046834">
      <w:bodyDiv w:val="1"/>
      <w:marLeft w:val="0"/>
      <w:marRight w:val="0"/>
      <w:marTop w:val="0"/>
      <w:marBottom w:val="0"/>
      <w:divBdr>
        <w:top w:val="none" w:sz="0" w:space="0" w:color="auto"/>
        <w:left w:val="none" w:sz="0" w:space="0" w:color="auto"/>
        <w:bottom w:val="none" w:sz="0" w:space="0" w:color="auto"/>
        <w:right w:val="none" w:sz="0" w:space="0" w:color="auto"/>
      </w:divBdr>
      <w:divsChild>
        <w:div w:id="1310012615">
          <w:marLeft w:val="0"/>
          <w:marRight w:val="0"/>
          <w:marTop w:val="0"/>
          <w:marBottom w:val="0"/>
          <w:divBdr>
            <w:top w:val="none" w:sz="0" w:space="0" w:color="auto"/>
            <w:left w:val="none" w:sz="0" w:space="0" w:color="auto"/>
            <w:bottom w:val="none" w:sz="0" w:space="0" w:color="auto"/>
            <w:right w:val="none" w:sz="0" w:space="0" w:color="auto"/>
          </w:divBdr>
          <w:divsChild>
            <w:div w:id="471754097">
              <w:marLeft w:val="0"/>
              <w:marRight w:val="0"/>
              <w:marTop w:val="0"/>
              <w:marBottom w:val="0"/>
              <w:divBdr>
                <w:top w:val="none" w:sz="0" w:space="0" w:color="auto"/>
                <w:left w:val="none" w:sz="0" w:space="0" w:color="auto"/>
                <w:bottom w:val="none" w:sz="0" w:space="0" w:color="auto"/>
                <w:right w:val="none" w:sz="0" w:space="0" w:color="auto"/>
              </w:divBdr>
              <w:divsChild>
                <w:div w:id="618756128">
                  <w:marLeft w:val="0"/>
                  <w:marRight w:val="0"/>
                  <w:marTop w:val="0"/>
                  <w:marBottom w:val="0"/>
                  <w:divBdr>
                    <w:top w:val="none" w:sz="0" w:space="0" w:color="auto"/>
                    <w:left w:val="none" w:sz="0" w:space="0" w:color="auto"/>
                    <w:bottom w:val="none" w:sz="0" w:space="0" w:color="auto"/>
                    <w:right w:val="none" w:sz="0" w:space="0" w:color="auto"/>
                  </w:divBdr>
                  <w:divsChild>
                    <w:div w:id="1312783990">
                      <w:marLeft w:val="0"/>
                      <w:marRight w:val="0"/>
                      <w:marTop w:val="0"/>
                      <w:marBottom w:val="0"/>
                      <w:divBdr>
                        <w:top w:val="none" w:sz="0" w:space="0" w:color="auto"/>
                        <w:left w:val="none" w:sz="0" w:space="0" w:color="auto"/>
                        <w:bottom w:val="none" w:sz="0" w:space="0" w:color="auto"/>
                        <w:right w:val="none" w:sz="0" w:space="0" w:color="auto"/>
                      </w:divBdr>
                      <w:divsChild>
                        <w:div w:id="313919364">
                          <w:marLeft w:val="0"/>
                          <w:marRight w:val="0"/>
                          <w:marTop w:val="0"/>
                          <w:marBottom w:val="0"/>
                          <w:divBdr>
                            <w:top w:val="none" w:sz="0" w:space="0" w:color="auto"/>
                            <w:left w:val="none" w:sz="0" w:space="0" w:color="auto"/>
                            <w:bottom w:val="none" w:sz="0" w:space="0" w:color="auto"/>
                            <w:right w:val="none" w:sz="0" w:space="0" w:color="auto"/>
                          </w:divBdr>
                          <w:divsChild>
                            <w:div w:id="74867823">
                              <w:marLeft w:val="0"/>
                              <w:marRight w:val="0"/>
                              <w:marTop w:val="0"/>
                              <w:marBottom w:val="0"/>
                              <w:divBdr>
                                <w:top w:val="none" w:sz="0" w:space="0" w:color="auto"/>
                                <w:left w:val="none" w:sz="0" w:space="0" w:color="auto"/>
                                <w:bottom w:val="none" w:sz="0" w:space="0" w:color="auto"/>
                                <w:right w:val="none" w:sz="0" w:space="0" w:color="auto"/>
                              </w:divBdr>
                              <w:divsChild>
                                <w:div w:id="1606769837">
                                  <w:marLeft w:val="0"/>
                                  <w:marRight w:val="0"/>
                                  <w:marTop w:val="0"/>
                                  <w:marBottom w:val="0"/>
                                  <w:divBdr>
                                    <w:top w:val="none" w:sz="0" w:space="0" w:color="auto"/>
                                    <w:left w:val="none" w:sz="0" w:space="0" w:color="auto"/>
                                    <w:bottom w:val="none" w:sz="0" w:space="0" w:color="auto"/>
                                    <w:right w:val="none" w:sz="0" w:space="0" w:color="auto"/>
                                  </w:divBdr>
                                  <w:divsChild>
                                    <w:div w:id="1633559100">
                                      <w:marLeft w:val="48"/>
                                      <w:marRight w:val="0"/>
                                      <w:marTop w:val="0"/>
                                      <w:marBottom w:val="0"/>
                                      <w:divBdr>
                                        <w:top w:val="none" w:sz="0" w:space="0" w:color="auto"/>
                                        <w:left w:val="none" w:sz="0" w:space="0" w:color="auto"/>
                                        <w:bottom w:val="none" w:sz="0" w:space="0" w:color="auto"/>
                                        <w:right w:val="none" w:sz="0" w:space="0" w:color="auto"/>
                                      </w:divBdr>
                                      <w:divsChild>
                                        <w:div w:id="395782523">
                                          <w:marLeft w:val="0"/>
                                          <w:marRight w:val="0"/>
                                          <w:marTop w:val="0"/>
                                          <w:marBottom w:val="0"/>
                                          <w:divBdr>
                                            <w:top w:val="none" w:sz="0" w:space="0" w:color="auto"/>
                                            <w:left w:val="none" w:sz="0" w:space="0" w:color="auto"/>
                                            <w:bottom w:val="none" w:sz="0" w:space="0" w:color="auto"/>
                                            <w:right w:val="none" w:sz="0" w:space="0" w:color="auto"/>
                                          </w:divBdr>
                                          <w:divsChild>
                                            <w:div w:id="108621349">
                                              <w:marLeft w:val="0"/>
                                              <w:marRight w:val="0"/>
                                              <w:marTop w:val="0"/>
                                              <w:marBottom w:val="96"/>
                                              <w:divBdr>
                                                <w:top w:val="single" w:sz="4" w:space="0" w:color="F5F5F5"/>
                                                <w:left w:val="single" w:sz="4" w:space="0" w:color="F5F5F5"/>
                                                <w:bottom w:val="single" w:sz="4" w:space="0" w:color="F5F5F5"/>
                                                <w:right w:val="single" w:sz="4" w:space="0" w:color="F5F5F5"/>
                                              </w:divBdr>
                                              <w:divsChild>
                                                <w:div w:id="886067124">
                                                  <w:marLeft w:val="0"/>
                                                  <w:marRight w:val="0"/>
                                                  <w:marTop w:val="0"/>
                                                  <w:marBottom w:val="0"/>
                                                  <w:divBdr>
                                                    <w:top w:val="none" w:sz="0" w:space="0" w:color="auto"/>
                                                    <w:left w:val="none" w:sz="0" w:space="0" w:color="auto"/>
                                                    <w:bottom w:val="none" w:sz="0" w:space="0" w:color="auto"/>
                                                    <w:right w:val="none" w:sz="0" w:space="0" w:color="auto"/>
                                                  </w:divBdr>
                                                  <w:divsChild>
                                                    <w:div w:id="444734290">
                                                      <w:marLeft w:val="0"/>
                                                      <w:marRight w:val="0"/>
                                                      <w:marTop w:val="0"/>
                                                      <w:marBottom w:val="0"/>
                                                      <w:divBdr>
                                                        <w:top w:val="none" w:sz="0" w:space="0" w:color="auto"/>
                                                        <w:left w:val="none" w:sz="0" w:space="0" w:color="auto"/>
                                                        <w:bottom w:val="none" w:sz="0" w:space="0" w:color="auto"/>
                                                        <w:right w:val="none" w:sz="0" w:space="0" w:color="auto"/>
                                                      </w:divBdr>
                                                    </w:div>
                                                  </w:divsChild>
                                                </w:div>
                                                <w:div w:id="1648707062">
                                                  <w:marLeft w:val="0"/>
                                                  <w:marRight w:val="0"/>
                                                  <w:marTop w:val="0"/>
                                                  <w:marBottom w:val="0"/>
                                                  <w:divBdr>
                                                    <w:top w:val="none" w:sz="0" w:space="0" w:color="auto"/>
                                                    <w:left w:val="none" w:sz="0" w:space="0" w:color="auto"/>
                                                    <w:bottom w:val="none" w:sz="0" w:space="0" w:color="auto"/>
                                                    <w:right w:val="none" w:sz="0" w:space="0" w:color="auto"/>
                                                  </w:divBdr>
                                                  <w:divsChild>
                                                    <w:div w:id="1147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7231286">
      <w:bodyDiv w:val="1"/>
      <w:marLeft w:val="0"/>
      <w:marRight w:val="0"/>
      <w:marTop w:val="0"/>
      <w:marBottom w:val="0"/>
      <w:divBdr>
        <w:top w:val="none" w:sz="0" w:space="0" w:color="auto"/>
        <w:left w:val="none" w:sz="0" w:space="0" w:color="auto"/>
        <w:bottom w:val="none" w:sz="0" w:space="0" w:color="auto"/>
        <w:right w:val="none" w:sz="0" w:space="0" w:color="auto"/>
      </w:divBdr>
    </w:div>
    <w:div w:id="1649937002">
      <w:bodyDiv w:val="1"/>
      <w:marLeft w:val="0"/>
      <w:marRight w:val="0"/>
      <w:marTop w:val="0"/>
      <w:marBottom w:val="0"/>
      <w:divBdr>
        <w:top w:val="none" w:sz="0" w:space="0" w:color="auto"/>
        <w:left w:val="none" w:sz="0" w:space="0" w:color="auto"/>
        <w:bottom w:val="none" w:sz="0" w:space="0" w:color="auto"/>
        <w:right w:val="none" w:sz="0" w:space="0" w:color="auto"/>
      </w:divBdr>
      <w:divsChild>
        <w:div w:id="971860205">
          <w:marLeft w:val="0"/>
          <w:marRight w:val="0"/>
          <w:marTop w:val="0"/>
          <w:marBottom w:val="0"/>
          <w:divBdr>
            <w:top w:val="none" w:sz="0" w:space="0" w:color="auto"/>
            <w:left w:val="none" w:sz="0" w:space="0" w:color="auto"/>
            <w:bottom w:val="none" w:sz="0" w:space="0" w:color="auto"/>
            <w:right w:val="none" w:sz="0" w:space="0" w:color="auto"/>
          </w:divBdr>
          <w:divsChild>
            <w:div w:id="704185042">
              <w:marLeft w:val="0"/>
              <w:marRight w:val="0"/>
              <w:marTop w:val="0"/>
              <w:marBottom w:val="0"/>
              <w:divBdr>
                <w:top w:val="none" w:sz="0" w:space="0" w:color="auto"/>
                <w:left w:val="none" w:sz="0" w:space="0" w:color="auto"/>
                <w:bottom w:val="none" w:sz="0" w:space="0" w:color="auto"/>
                <w:right w:val="none" w:sz="0" w:space="0" w:color="auto"/>
              </w:divBdr>
              <w:divsChild>
                <w:div w:id="261886178">
                  <w:marLeft w:val="0"/>
                  <w:marRight w:val="0"/>
                  <w:marTop w:val="0"/>
                  <w:marBottom w:val="0"/>
                  <w:divBdr>
                    <w:top w:val="none" w:sz="0" w:space="0" w:color="auto"/>
                    <w:left w:val="none" w:sz="0" w:space="0" w:color="auto"/>
                    <w:bottom w:val="none" w:sz="0" w:space="0" w:color="auto"/>
                    <w:right w:val="none" w:sz="0" w:space="0" w:color="auto"/>
                  </w:divBdr>
                  <w:divsChild>
                    <w:div w:id="1996833487">
                      <w:marLeft w:val="0"/>
                      <w:marRight w:val="0"/>
                      <w:marTop w:val="0"/>
                      <w:marBottom w:val="0"/>
                      <w:divBdr>
                        <w:top w:val="none" w:sz="0" w:space="0" w:color="auto"/>
                        <w:left w:val="none" w:sz="0" w:space="0" w:color="auto"/>
                        <w:bottom w:val="none" w:sz="0" w:space="0" w:color="auto"/>
                        <w:right w:val="none" w:sz="0" w:space="0" w:color="auto"/>
                      </w:divBdr>
                      <w:divsChild>
                        <w:div w:id="2036610155">
                          <w:marLeft w:val="0"/>
                          <w:marRight w:val="0"/>
                          <w:marTop w:val="0"/>
                          <w:marBottom w:val="0"/>
                          <w:divBdr>
                            <w:top w:val="none" w:sz="0" w:space="0" w:color="auto"/>
                            <w:left w:val="none" w:sz="0" w:space="0" w:color="auto"/>
                            <w:bottom w:val="none" w:sz="0" w:space="0" w:color="auto"/>
                            <w:right w:val="none" w:sz="0" w:space="0" w:color="auto"/>
                          </w:divBdr>
                          <w:divsChild>
                            <w:div w:id="1161196008">
                              <w:marLeft w:val="0"/>
                              <w:marRight w:val="0"/>
                              <w:marTop w:val="0"/>
                              <w:marBottom w:val="0"/>
                              <w:divBdr>
                                <w:top w:val="none" w:sz="0" w:space="0" w:color="auto"/>
                                <w:left w:val="none" w:sz="0" w:space="0" w:color="auto"/>
                                <w:bottom w:val="none" w:sz="0" w:space="0" w:color="auto"/>
                                <w:right w:val="none" w:sz="0" w:space="0" w:color="auto"/>
                              </w:divBdr>
                              <w:divsChild>
                                <w:div w:id="376196937">
                                  <w:marLeft w:val="0"/>
                                  <w:marRight w:val="0"/>
                                  <w:marTop w:val="0"/>
                                  <w:marBottom w:val="0"/>
                                  <w:divBdr>
                                    <w:top w:val="none" w:sz="0" w:space="0" w:color="auto"/>
                                    <w:left w:val="none" w:sz="0" w:space="0" w:color="auto"/>
                                    <w:bottom w:val="none" w:sz="0" w:space="0" w:color="auto"/>
                                    <w:right w:val="none" w:sz="0" w:space="0" w:color="auto"/>
                                  </w:divBdr>
                                  <w:divsChild>
                                    <w:div w:id="926882882">
                                      <w:marLeft w:val="48"/>
                                      <w:marRight w:val="0"/>
                                      <w:marTop w:val="0"/>
                                      <w:marBottom w:val="0"/>
                                      <w:divBdr>
                                        <w:top w:val="none" w:sz="0" w:space="0" w:color="auto"/>
                                        <w:left w:val="none" w:sz="0" w:space="0" w:color="auto"/>
                                        <w:bottom w:val="none" w:sz="0" w:space="0" w:color="auto"/>
                                        <w:right w:val="none" w:sz="0" w:space="0" w:color="auto"/>
                                      </w:divBdr>
                                      <w:divsChild>
                                        <w:div w:id="1663047433">
                                          <w:marLeft w:val="0"/>
                                          <w:marRight w:val="0"/>
                                          <w:marTop w:val="0"/>
                                          <w:marBottom w:val="0"/>
                                          <w:divBdr>
                                            <w:top w:val="none" w:sz="0" w:space="0" w:color="auto"/>
                                            <w:left w:val="none" w:sz="0" w:space="0" w:color="auto"/>
                                            <w:bottom w:val="none" w:sz="0" w:space="0" w:color="auto"/>
                                            <w:right w:val="none" w:sz="0" w:space="0" w:color="auto"/>
                                          </w:divBdr>
                                          <w:divsChild>
                                            <w:div w:id="1159224362">
                                              <w:marLeft w:val="0"/>
                                              <w:marRight w:val="0"/>
                                              <w:marTop w:val="0"/>
                                              <w:marBottom w:val="96"/>
                                              <w:divBdr>
                                                <w:top w:val="single" w:sz="4" w:space="0" w:color="F5F5F5"/>
                                                <w:left w:val="single" w:sz="4" w:space="0" w:color="F5F5F5"/>
                                                <w:bottom w:val="single" w:sz="4" w:space="0" w:color="F5F5F5"/>
                                                <w:right w:val="single" w:sz="4" w:space="0" w:color="F5F5F5"/>
                                              </w:divBdr>
                                              <w:divsChild>
                                                <w:div w:id="232013396">
                                                  <w:marLeft w:val="0"/>
                                                  <w:marRight w:val="0"/>
                                                  <w:marTop w:val="0"/>
                                                  <w:marBottom w:val="0"/>
                                                  <w:divBdr>
                                                    <w:top w:val="none" w:sz="0" w:space="0" w:color="auto"/>
                                                    <w:left w:val="none" w:sz="0" w:space="0" w:color="auto"/>
                                                    <w:bottom w:val="none" w:sz="0" w:space="0" w:color="auto"/>
                                                    <w:right w:val="none" w:sz="0" w:space="0" w:color="auto"/>
                                                  </w:divBdr>
                                                  <w:divsChild>
                                                    <w:div w:id="377903768">
                                                      <w:marLeft w:val="0"/>
                                                      <w:marRight w:val="0"/>
                                                      <w:marTop w:val="0"/>
                                                      <w:marBottom w:val="0"/>
                                                      <w:divBdr>
                                                        <w:top w:val="none" w:sz="0" w:space="0" w:color="auto"/>
                                                        <w:left w:val="none" w:sz="0" w:space="0" w:color="auto"/>
                                                        <w:bottom w:val="none" w:sz="0" w:space="0" w:color="auto"/>
                                                        <w:right w:val="none" w:sz="0" w:space="0" w:color="auto"/>
                                                      </w:divBdr>
                                                    </w:div>
                                                  </w:divsChild>
                                                </w:div>
                                                <w:div w:id="557127715">
                                                  <w:marLeft w:val="0"/>
                                                  <w:marRight w:val="0"/>
                                                  <w:marTop w:val="0"/>
                                                  <w:marBottom w:val="0"/>
                                                  <w:divBdr>
                                                    <w:top w:val="none" w:sz="0" w:space="0" w:color="auto"/>
                                                    <w:left w:val="none" w:sz="0" w:space="0" w:color="auto"/>
                                                    <w:bottom w:val="none" w:sz="0" w:space="0" w:color="auto"/>
                                                    <w:right w:val="none" w:sz="0" w:space="0" w:color="auto"/>
                                                  </w:divBdr>
                                                  <w:divsChild>
                                                    <w:div w:id="71762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524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PDF/?uri=CELEX:22019A1024(01)&amp;from=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r-lex.europa.eu/legal-content/CS/TXT/PDF/?uri=CELEX:22019A1024(01)&amp;from=CS"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87577-F4B7-4406-BB8E-06A64F1D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D24164F.dotm</Template>
  <TotalTime>15</TotalTime>
  <Pages>4</Pages>
  <Words>1521</Words>
  <Characters>8976</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UPV</Company>
  <LinksUpToDate>false</LinksUpToDate>
  <CharactersWithSpaces>10477</CharactersWithSpaces>
  <SharedDoc>false</SharedDoc>
  <HLinks>
    <vt:vector size="12" baseType="variant">
      <vt:variant>
        <vt:i4>5701700</vt:i4>
      </vt:variant>
      <vt:variant>
        <vt:i4>6</vt:i4>
      </vt:variant>
      <vt:variant>
        <vt:i4>0</vt:i4>
      </vt:variant>
      <vt:variant>
        <vt:i4>5</vt:i4>
      </vt:variant>
      <vt:variant>
        <vt:lpwstr>https://eur-lex.europa.eu/legal-content/CS/TXT/PDF/?uri=CELEX:22019A1024(01)&amp;from=CS</vt:lpwstr>
      </vt:variant>
      <vt:variant>
        <vt:lpwstr/>
      </vt:variant>
      <vt:variant>
        <vt:i4>5701700</vt:i4>
      </vt:variant>
      <vt:variant>
        <vt:i4>3</vt:i4>
      </vt:variant>
      <vt:variant>
        <vt:i4>0</vt:i4>
      </vt:variant>
      <vt:variant>
        <vt:i4>5</vt:i4>
      </vt:variant>
      <vt:variant>
        <vt:lpwstr>https://eur-lex.europa.eu/legal-content/CS/TXT/PDF/?uri=CELEX:22019A1024(01)&amp;from=CS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mhujerova</dc:creator>
  <cp:lastModifiedBy>Jeníková Milena</cp:lastModifiedBy>
  <cp:revision>5</cp:revision>
  <cp:lastPrinted>2020-06-17T10:47:00Z</cp:lastPrinted>
  <dcterms:created xsi:type="dcterms:W3CDTF">2020-07-28T06:21:00Z</dcterms:created>
  <dcterms:modified xsi:type="dcterms:W3CDTF">2020-08-03T12:25:00Z</dcterms:modified>
</cp:coreProperties>
</file>