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47" w:rsidRDefault="00393247" w:rsidP="00393247">
      <w:pPr>
        <w:pStyle w:val="Normlnweb"/>
        <w:spacing w:after="0"/>
        <w:jc w:val="center"/>
        <w:rPr>
          <w:b/>
          <w:bCs/>
        </w:rPr>
      </w:pPr>
      <w:bookmarkStart w:id="0" w:name="_GoBack"/>
      <w:r>
        <w:rPr>
          <w:b/>
          <w:bCs/>
        </w:rPr>
        <w:t>ZÁKON</w:t>
      </w:r>
    </w:p>
    <w:p w:rsidR="00393247" w:rsidRDefault="00393247" w:rsidP="00393247">
      <w:pPr>
        <w:pStyle w:val="Normlnweb"/>
        <w:spacing w:after="0"/>
        <w:jc w:val="center"/>
      </w:pPr>
      <w:r>
        <w:rPr>
          <w:bCs/>
        </w:rPr>
        <w:t xml:space="preserve">ze dne </w:t>
      </w:r>
      <w:r w:rsidR="003B216B">
        <w:rPr>
          <w:bCs/>
        </w:rPr>
        <w:t>………</w:t>
      </w:r>
      <w:r>
        <w:rPr>
          <w:bCs/>
        </w:rPr>
        <w:t xml:space="preserve"> 2020,</w:t>
      </w:r>
    </w:p>
    <w:p w:rsidR="00393247" w:rsidRDefault="00393247" w:rsidP="00393247">
      <w:pPr>
        <w:pStyle w:val="Normlnweb"/>
        <w:spacing w:after="0"/>
        <w:jc w:val="center"/>
      </w:pPr>
      <w:r>
        <w:rPr>
          <w:b/>
          <w:bCs/>
        </w:rPr>
        <w:t xml:space="preserve">o zvláštním opatření zmírňujícím dopady zákona č. 159/2020 Sb., o kompenzačním bonusu v souvislosti s krizovými opatřeními v souvislosti s výskytem </w:t>
      </w:r>
      <w:proofErr w:type="spellStart"/>
      <w:r>
        <w:rPr>
          <w:b/>
          <w:bCs/>
        </w:rPr>
        <w:t>koronaviru</w:t>
      </w:r>
      <w:proofErr w:type="spellEnd"/>
      <w:r>
        <w:rPr>
          <w:b/>
          <w:bCs/>
        </w:rPr>
        <w:t xml:space="preserve"> SARS CoV-2, ve znění pozdějších zákonů, do rozpočtů vyšších územních samosprávných celků</w:t>
      </w:r>
    </w:p>
    <w:p w:rsidR="00393247" w:rsidRDefault="00393247" w:rsidP="00393247">
      <w:pPr>
        <w:pStyle w:val="Normlnweb"/>
        <w:spacing w:after="0"/>
        <w:jc w:val="both"/>
      </w:pPr>
    </w:p>
    <w:p w:rsidR="00393247" w:rsidRDefault="00393247" w:rsidP="00393247">
      <w:pPr>
        <w:pStyle w:val="Normlnweb"/>
        <w:spacing w:after="0"/>
        <w:jc w:val="both"/>
      </w:pPr>
    </w:p>
    <w:p w:rsidR="00393247" w:rsidRDefault="00393247" w:rsidP="00393247">
      <w:pPr>
        <w:pStyle w:val="Normlnweb"/>
        <w:spacing w:after="0"/>
        <w:ind w:firstLine="708"/>
        <w:jc w:val="both"/>
      </w:pPr>
      <w:r>
        <w:t>Parlament se usnesl na tomto zákoně České republiky:</w:t>
      </w:r>
    </w:p>
    <w:p w:rsidR="00393247" w:rsidRDefault="00393247" w:rsidP="00393247">
      <w:pPr>
        <w:pStyle w:val="Normlnweb"/>
        <w:spacing w:after="0"/>
        <w:jc w:val="both"/>
      </w:pPr>
    </w:p>
    <w:p w:rsidR="00393247" w:rsidRDefault="00393247" w:rsidP="00393247">
      <w:pPr>
        <w:pStyle w:val="Normlnweb"/>
        <w:spacing w:after="0"/>
        <w:jc w:val="both"/>
      </w:pPr>
    </w:p>
    <w:p w:rsidR="00393247" w:rsidRDefault="00393247" w:rsidP="002D6CDF">
      <w:pPr>
        <w:pStyle w:val="normln0"/>
        <w:spacing w:after="120"/>
        <w:jc w:val="center"/>
      </w:pPr>
      <w:r>
        <w:t>§ 1</w:t>
      </w:r>
    </w:p>
    <w:p w:rsidR="00393247" w:rsidRPr="003B216B" w:rsidRDefault="00393247" w:rsidP="005D217E">
      <w:pPr>
        <w:pStyle w:val="normln0"/>
        <w:jc w:val="center"/>
        <w:rPr>
          <w:b/>
        </w:rPr>
      </w:pPr>
      <w:r w:rsidRPr="003B216B">
        <w:rPr>
          <w:b/>
        </w:rPr>
        <w:t>Předmět zákona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 xml:space="preserve">Tento zákon upravuje poskytnutí jednorázového nenávratného příspěvku ze státního rozpočtu krajům včetně hlavního města Prahy (dále jen „kraj“) určeného na zmírnění poklesu daňových příjmů v roce 2020 v souvislosti s epidemií </w:t>
      </w:r>
      <w:proofErr w:type="spellStart"/>
      <w:r>
        <w:t>koronaviru</w:t>
      </w:r>
      <w:proofErr w:type="spellEnd"/>
      <w:r>
        <w:t xml:space="preserve"> označovaného jako SARS CoV-2 (dále jen „příspěvek“).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2D6CDF">
      <w:pPr>
        <w:pStyle w:val="normln0"/>
        <w:spacing w:after="120"/>
        <w:jc w:val="center"/>
      </w:pPr>
      <w:r>
        <w:t>§ 2</w:t>
      </w:r>
    </w:p>
    <w:p w:rsidR="00393247" w:rsidRPr="003B216B" w:rsidRDefault="00393247" w:rsidP="005D217E">
      <w:pPr>
        <w:pStyle w:val="normln0"/>
        <w:jc w:val="center"/>
        <w:rPr>
          <w:b/>
        </w:rPr>
      </w:pPr>
      <w:r w:rsidRPr="003B216B">
        <w:rPr>
          <w:b/>
        </w:rPr>
        <w:t>Výše příspěvku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>(1) Výše příspěvku činí součin částky 500 Kč a počtu obyvatel kraje podle bilance obyvatel České republiky zpracované Českým statistickým úřadem k 1. lednu 2020.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>(2) Příspěvek není účelově určen a nepodléhá vypořádání se státním rozpočtem.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2D6CDF">
      <w:pPr>
        <w:pStyle w:val="normln0"/>
        <w:spacing w:after="120"/>
        <w:jc w:val="center"/>
      </w:pPr>
      <w:r>
        <w:t>§ 3</w:t>
      </w:r>
    </w:p>
    <w:p w:rsidR="00393247" w:rsidRPr="003B216B" w:rsidRDefault="00393247" w:rsidP="005D217E">
      <w:pPr>
        <w:pStyle w:val="normln0"/>
        <w:jc w:val="center"/>
        <w:rPr>
          <w:b/>
        </w:rPr>
      </w:pPr>
      <w:r w:rsidRPr="003B216B">
        <w:rPr>
          <w:b/>
        </w:rPr>
        <w:t>Společná ustanovení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>(1) Příspěvek poskytne Ministerstvo financí z kapitoly Všeobecná pokladní správa státního rozpočtu.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>(2) Příspěvek poukáže Ministerstvo financí kraji do 60 kalendářních dní od nabytí účinnosti tohoto zákona.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2D6CDF">
      <w:pPr>
        <w:pStyle w:val="normln0"/>
        <w:spacing w:after="120"/>
        <w:jc w:val="center"/>
      </w:pPr>
      <w:r>
        <w:t>§ 4</w:t>
      </w:r>
    </w:p>
    <w:p w:rsidR="00393247" w:rsidRPr="003B216B" w:rsidRDefault="00393247" w:rsidP="005D217E">
      <w:pPr>
        <w:pStyle w:val="normln0"/>
        <w:jc w:val="center"/>
        <w:rPr>
          <w:b/>
        </w:rPr>
      </w:pPr>
      <w:r w:rsidRPr="003B216B">
        <w:rPr>
          <w:b/>
        </w:rPr>
        <w:t>Účinnost</w:t>
      </w:r>
    </w:p>
    <w:p w:rsidR="00393247" w:rsidRDefault="00393247" w:rsidP="00393247">
      <w:pPr>
        <w:pStyle w:val="normln0"/>
        <w:ind w:firstLine="708"/>
        <w:jc w:val="center"/>
      </w:pPr>
    </w:p>
    <w:p w:rsidR="00393247" w:rsidRDefault="00393247" w:rsidP="00393247">
      <w:pPr>
        <w:pStyle w:val="normln0"/>
        <w:ind w:firstLine="708"/>
        <w:jc w:val="both"/>
      </w:pPr>
      <w:r>
        <w:t>(1) Tento zákon nabývá účinnosti dnem následujícím po dni jeho vyhlášení.</w:t>
      </w:r>
    </w:p>
    <w:p w:rsidR="00393247" w:rsidRDefault="00393247" w:rsidP="00393247">
      <w:pPr>
        <w:pStyle w:val="normln0"/>
        <w:ind w:firstLine="708"/>
        <w:jc w:val="both"/>
      </w:pPr>
    </w:p>
    <w:p w:rsidR="00393247" w:rsidRDefault="00393247" w:rsidP="00393247">
      <w:pPr>
        <w:pStyle w:val="normln0"/>
        <w:ind w:firstLine="708"/>
        <w:jc w:val="both"/>
      </w:pPr>
      <w:r>
        <w:t>(2) Tento zákon pozbývá platnosti uplynutím dne 31. prosince 2020.</w:t>
      </w:r>
    </w:p>
    <w:p w:rsidR="00393247" w:rsidRDefault="00393247" w:rsidP="00393247"/>
    <w:p w:rsidR="00AD62A7" w:rsidRDefault="00AD62A7">
      <w:pPr>
        <w:spacing w:line="259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br w:type="page"/>
      </w:r>
    </w:p>
    <w:p w:rsidR="00393247" w:rsidRDefault="00393247" w:rsidP="00393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DŮVODOVÁ ZPRÁVA</w:t>
      </w:r>
    </w:p>
    <w:p w:rsidR="002A511B" w:rsidRDefault="002A511B" w:rsidP="002A511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A. Obecná část</w:t>
      </w:r>
    </w:p>
    <w:p w:rsid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1. Zhodnocení platného právního stavu</w:t>
      </w:r>
    </w:p>
    <w:p w:rsidR="00F008A9" w:rsidRPr="00F008A9" w:rsidRDefault="00F008A9" w:rsidP="009957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Vzhledem k rozšíření onemocnění COVID-19, které je způsobeno novým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koronavirem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CoV-2, došlo postupně v České republice k přijetí celé řady opatření, jež dosud na našem území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neměla obdoby. S ohledem na zhoršující se situaci nakonec vláda přistoupila dne 12. března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2020 k vyhlášení nouzového stavu pro území celé České republiky a přijala radikální krizová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opatření obsahující omezení podle § 5 a 6 zákona č. 240/2000 Sb., o krizovém řízení a o změně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některých zákonů (krizový zákon), ve znění pozdějších předpisů.</w:t>
      </w:r>
    </w:p>
    <w:p w:rsidR="009957BB" w:rsidRDefault="009957B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Následně vláda prodloužila nouzový stav dne 9. dubna 2020 do 30. dubna 2020 usnesením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396 (č. 156/2020 Sb.), a to na základě souhlasu Poslanecké sněmovny uděleného jejím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usnesením č. 1012 ze dne 7. dubna 2020. Poté byl nouzový stav opět prodloužen do 17. května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2020, a to usnesením vlády č. 485 ze dne 30. dubna 2020 (č. 219/2020 Sb.) po udělení souhlasu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Poslanecké sněmovny usnesením č. 1105 ze dne 28. dubna 2020.</w:t>
      </w:r>
    </w:p>
    <w:p w:rsidR="009957BB" w:rsidRDefault="009957B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 důsledku výše uvedených okolností došlo k přijetí zásadních restrikcí s dopadem na sociální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a ekonomické poměry v České republice. Aby vláda tyto dopady zmírnila, přijala řadu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speciálních zákonů, které měly zmírnit či kompenzovat újmy zejm. podnikatelskému,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zaměstnaneckému, ale i kulturnímu či sportovnímu prostředí.</w:t>
      </w:r>
    </w:p>
    <w:p w:rsidR="009957BB" w:rsidRDefault="009957B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Ve stínu vlády a Parlamentu však vydatně a nezištně pomáhaly řešit nastalou mimořádnou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situaci územní samosprávné celky (kraje a obce). Byly to právě ony, které byly nejblíže svým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občanům, resp. obyvatelům, a s pomocí přispěchaly zpravidla nejdříve a účinně.</w:t>
      </w:r>
    </w:p>
    <w:p w:rsidR="009957BB" w:rsidRDefault="009957B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Jedním z vlajkových nástrojů se stal pro vládu tzv. kompenzační bonus, poskytnutý osobám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samostatně výdělečně činným, s výjimkou těch, které jsou účastny na nemocenském pojištění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jako zaměstnanci (zákon č. 159/2020 Sb., o kompenzačním bonusu v souvislosti s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krizovými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opatřeními v souvislosti s výskytem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 CoV-2). Původně jednorázová finanční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pomoc byla v druhém kroku navýšena vymezením dalšího bonusové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ho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období od 1. května do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8. června 2020; pomoci se dočkali rovněž pedagogové (zákon č. 234/2020 Sb.). Prostor byl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vládě vytvořen i pro případné třetí bonusové období od 9. června do 31. srpna 2020. Ve třetí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etapě (zákon č. 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262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/2020 Sb.) pak došlo k rozšíření okruhu subjektů kompenzačního bonusu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také o 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společníky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mal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ých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společnost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í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 ručením omezeným 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(společnosti s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jedním či dvěma společníky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,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popřípadě se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společníky, kteří jsou členy jedné rodiny), pěstouny a dobrovolníky pečovatelské služby.</w:t>
      </w:r>
    </w:p>
    <w:p w:rsidR="009957BB" w:rsidRDefault="009957B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Kompenzační bonus je poskytován ve výši 500 Kč za každý den bonusového období,</w:t>
      </w:r>
      <w:r w:rsidR="0099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tj. od </w:t>
      </w:r>
      <w:r w:rsidR="009721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/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12. března do 8. června 2020, a spravuje se jako daň podle daňového řádu. Povahou je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kompenzační bonus vratkou daně z příjmů fyzických osob ze závislé činnosti, jeho správcem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 finanční úřad místně příslušný ke správě daně z příjmů daňového subjektu, který podal žádost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 kompenzační bonus.</w:t>
      </w:r>
    </w:p>
    <w:p w:rsidR="00814CD4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A511B" w:rsidRDefault="002A511B">
      <w:pPr>
        <w:spacing w:line="259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 w:type="page"/>
      </w:r>
    </w:p>
    <w:p w:rsidR="00F008A9" w:rsidRPr="00F008A9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rávě vládou zvolený, metodicky chybný mechanismus, způsobil již v první fázi poskytování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kompenzačního bonusu dopad do veřejných rozpočtů ve výši 16 mld. Kč, přičemž k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tíži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územních rozpočtů šlo zhruba 5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4 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mld.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Kč. </w:t>
      </w:r>
    </w:p>
    <w:p w:rsidR="00814CD4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Shora uvedený mechanismus, kdy se vratka daně u osob samostatně výdělečně činných účtuje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 vrub inkasa daně ze závislé činnosti, je vládou zdůvodňován pouze jako „administrativní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opatření“, které si vyžádala skutečnost, že na položce výnosů daně není z důvodů vratek daně 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 základě daňových přiznání takový objem inkasa, aby pokryl výdaje na kompenzační bonus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ani v prvním bonusovém období.</w:t>
      </w:r>
    </w:p>
    <w:p w:rsidR="00814CD4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lastRenderedPageBreak/>
        <w:t>Dopad na územní rozpočty se samozřejmě zvyšuje s prodlužováním bonusového období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a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rozšiřovaným rozsahem subjektů kompenzačního bonusu. Při odhadu placení kompenzačních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bonusů do 8. června 2020 a při nastaveném mechanismu čin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í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celkový dopad do veřejných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rozpočtů 45 mld. Kč, z toho do územních rozpočtů 15 mld. Kč. Jakkoli jsou si územní samosprávné celky vědomy své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spoluúčasti na řešení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koronavirové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krize a mají vůli se na vzniklých ekonomických škodách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podílet, je dopad do daňových výnosů územních rozpočtů nejméně ve výši 20 % v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jejich</w:t>
      </w:r>
      <w:r w:rsidR="00814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neprospěch propastný, v zásadě již neúnosný.</w:t>
      </w:r>
    </w:p>
    <w:p w:rsidR="00814CD4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B527AB" w:rsidRDefault="00814CD4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I v důsledku snahy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Senát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u, který 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po předchozí neúspěšné snaze dosáhnout uspokojivého řešení v souvislosti s projednáváním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návrh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u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zákona, kterým se mění zákon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 159/2020 Sb., o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kompenzačním bonusu v souvislosti s krizovými opatřeními 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souvislosti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 výskytem </w:t>
      </w:r>
      <w:proofErr w:type="spellStart"/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 CoV-2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posléze publikován jako zákon č. 262/2020 Sb.), dne 12. června 2020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vrátil Poslanecké sněmovně s pozměňovacími návrhy</w:t>
      </w:r>
      <w:r w:rsidR="00B527AB" w:rsidRP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návrh zákona, kterým se mění některé daňové zákony v souvislosti s výskytem </w:t>
      </w:r>
      <w:proofErr w:type="spellStart"/>
      <w:r w:rsidR="00B527AB" w:rsidRP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="00B527AB" w:rsidRP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</w:t>
      </w:r>
      <w:r w:rsidR="00DA1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B527AB" w:rsidRP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CoV-2</w:t>
      </w:r>
      <w:r w:rsid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(posléze publikován jako zákon č. 299/2020 Sb.), přičemž </w:t>
      </w:r>
      <w:r w:rsidR="004E0C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tentokrát </w:t>
      </w:r>
      <w:r w:rsid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byl se svým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i</w:t>
      </w:r>
      <w:r w:rsid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návrh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y</w:t>
      </w:r>
      <w:r w:rsidR="00B52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úspěšný, se podařilo přijmout úpravu, která zmírňuje negativní dopady do rozpočtu obcí.</w:t>
      </w:r>
    </w:p>
    <w:p w:rsidR="00B527AB" w:rsidRDefault="00B527A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Default="00B527A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Jak vyplývá z výše uvedeného, podstatným způsobem jsou však ovlivněny i rozpočty krajů, na něž se mechanismus zakotvený v zákoně č. 299/2020 Sb. nevztahuje.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 uvedeného důvodu Senát přichází s iniciativou, která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obdobným způsobem jako v případě obcí umožní 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negativní dopady do rozpočtů krajů vzniklé v souvislosti s 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epidemií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 CoV-2 prostřednictvím 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jednorázového příspěvku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zohlednit (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resp</w:t>
      </w:r>
      <w:r w:rsidR="00F008A9"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. zmírnit).</w:t>
      </w:r>
    </w:p>
    <w:p w:rsidR="00B527AB" w:rsidRPr="00F008A9" w:rsidRDefault="00B527A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53006E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5300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2. Odůvodnění hlavních principů a nezbytnosti navrhované právní úpravy</w:t>
      </w:r>
    </w:p>
    <w:p w:rsidR="00F008A9" w:rsidRPr="00F008A9" w:rsidRDefault="00F008A9" w:rsidP="005300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Základním principem předloženého návrhu zákona je v krátkém čase reagovat na nepříznivý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vývoj způsobující výpadek rozpočtů územních samosprávných celků.</w:t>
      </w:r>
    </w:p>
    <w:p w:rsidR="0053006E" w:rsidRDefault="0053006E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Navrhovatel zvolil formu speciálního jednorázového zákona, kterou vláda zhusta používá pro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úpravu právních poměrů v souvislosti se stávající mimořádnou situací způsobenou výskytem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označovaného jako SARS CoV-2. Tímto legislativním způsobem nedojde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„vlámání“ se do algoritmů předepsaných v zákoně o rozpočtovém určení daní, příp. do jiných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zákonů technikou nepřímé novelizace; </w:t>
      </w:r>
      <w:proofErr w:type="gram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jde</w:t>
      </w:r>
      <w:proofErr w:type="gram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 jednorázový zákon, který po „upotřebení“ na </w:t>
      </w:r>
      <w:proofErr w:type="gram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konci</w:t>
      </w:r>
      <w:proofErr w:type="gramEnd"/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roku opustí platný právní řád České republiky.</w:t>
      </w:r>
    </w:p>
    <w:p w:rsidR="0053006E" w:rsidRDefault="0053006E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 osnově se 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po vzoru úpravy zakotvené v zákoně č. 299/2020 Sb.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navrhuje, aby stát poskytl krajům jednorázov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ý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nenávratný příspěvek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kter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ý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by jim pomohl provádět, resp. pokračovat v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provádění započatých investičních akcí, a tak se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podíle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na restartu ekonomiky jako celku.</w:t>
      </w:r>
    </w:p>
    <w:p w:rsidR="0053006E" w:rsidRDefault="0053006E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A511B" w:rsidRDefault="002A511B">
      <w:pPr>
        <w:spacing w:line="259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 w:type="page"/>
      </w:r>
    </w:p>
    <w:p w:rsid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Pro výši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příspěvku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byl zvolen mechanismus konkrétní částky za každého obyvatele </w:t>
      </w:r>
      <w:r w:rsidR="00530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kraje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Při počtu </w:t>
      </w:r>
      <w:r w:rsidR="005B5C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10 693 939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obyvatel k 31. prosinci 2019 </w:t>
      </w:r>
      <w:r w:rsidR="005B5C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(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https://www.czso.cz</w:t>
      </w:r>
      <w:r w:rsidR="005B5C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)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navrhovaná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částka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5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00 Kč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na obyvatele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odpovídá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celkové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částce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5 346 969 500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Kč, což se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jeví adekvátním a</w:t>
      </w:r>
      <w:r w:rsidR="00E31D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proporcionálním ve vztahu k rozložení finančního břemene způsobeného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pandemií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označovaného jako SARS CoV-2. </w:t>
      </w:r>
    </w:p>
    <w:p w:rsidR="001D759B" w:rsidRPr="00F008A9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Stanoví se, aby byl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příspěvek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poskytnut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do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60 kalendářních dní od nabytí účinnosti zákona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neboť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jen tak má pro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územní samosprávné celky smysl a může být reálně využit. 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1D759B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3. Zhodnocení souladu navrhované právní úpravy s ústavním pořádkem České republiky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Navrhovaný zákon je v souladu s ústavním pořádkem České republiky, včetně Listiny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základních práv a svobod.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4. Zhodnocení slučitelnosti navrhované právní úpravy s předpisy Evropské unie,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judikaturou soudních orgánů Evropské unie nebo obecnými právními zásadami práva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Evropské unie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lastRenderedPageBreak/>
        <w:t>Navrhovaný zákon je v souladu s předpisy Evropské unie, s judikaturou soudních orgánů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Evropské unie a zároveň respektuje též obecné právní zásady práva Evropské unie.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1D759B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5. Zhodnocení souladu navrhované právní úpravy s mezinárodními smlouvami, jimiž je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Česká republika vázána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Navrhovaný zákon je v souladu s mezinárodními smlouvami, jimiž je Česká republika vázána.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6. Předpokládaný hospodářský a finanční dopad navrhované právní úpravy na státní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rozpočet, ostatní veřejné rozpočty, na podnikatelské prostředí České republiky, dále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sociální dopady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Dopady na státní rozpočet se předpokládají v maximální výši 5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,5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mld. Kč. Vzhledem k tomu,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že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poskytnutím příspěvku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zrcadlově doj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de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 posílení rozpočtů 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krajů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veřejné rozpočty ve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svém důsledku neoslabí.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Navrhovaná právní úprava přinese možnost krajům pokračovat v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plánovaných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investicích či realizovat nové, což by mělo vést k pozitivnímu dopadu na podnikatelské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prostředí České republiky, tím samým i na zaměstnanost.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F008A9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7. Zhodnocení dopadů navrhovaného řešení ve vztahu k ochraně soukromí a osobních</w:t>
      </w:r>
      <w:r w:rsid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údajů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Navrhovaný zákon nebude mít žádné dopady na ochranu soukromí a osobních údajů.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1D759B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8. Zhodnocení korupčních rizik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Navrhovaný zákon není spojen s žádnými novými korupčními riziky. Předpokládá se využití</w:t>
      </w:r>
      <w:r w:rsidR="001D7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stávajících kontrolních mechanismů ze strany finančních orgánů České republiky.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1D759B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9. Zhodnocení dopadů na bezpečnost nebo ochranu státu a dopady na životní prostředí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Navrhovaný zákon nemá vliv na bezpečnost nebo obranu státu ani na životní prostředí.</w:t>
      </w:r>
    </w:p>
    <w:p w:rsidR="001D759B" w:rsidRDefault="001D759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A511B" w:rsidRDefault="002A511B">
      <w:pPr>
        <w:spacing w:line="259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br w:type="page"/>
      </w:r>
    </w:p>
    <w:p w:rsidR="00F008A9" w:rsidRPr="001D759B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1D7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10. Způsob projednání návrhu zákona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Současně s předložením návrhu zákona Senát navrhuje Poslanecké sněmovně Parlamentu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České republiky, aby s návrhem zákona vyslovila souhlas již v prvém čtení (§ 90 odst. 2 zákona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 90/1995 Sb., o jednacím řádu Poslanecké sněmovny). Důvodem je nutnost dostat zvláštní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prostředky co nejrychleji do dispozice adresátů, tedy 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krajů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aby</w:t>
      </w:r>
      <w:r w:rsidR="006D5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mohly tyto prostředky realizovat ve prospěch občanů. </w:t>
      </w:r>
    </w:p>
    <w:p w:rsidR="006D5D37" w:rsidRDefault="006D5D37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A511B" w:rsidRDefault="002A511B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:rsidR="00F008A9" w:rsidRPr="006D5D37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D5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B. Zvláštní část</w:t>
      </w:r>
    </w:p>
    <w:p w:rsidR="006D5D37" w:rsidRDefault="006D5D37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6D5D37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D5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 § 1</w:t>
      </w:r>
    </w:p>
    <w:p w:rsidR="00D46ECD" w:rsidRDefault="00D46ECD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 § 1 je vymezen předmět zákona. Zákon se vztahuje na poskytnutí jednorázového nenávratného příspěvku v roce 2020 všem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krajům (včetně hlavního města Prahy)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 cílem zmírnit dopad poklesu daňových příjmů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krajů 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 souvislosti s opatřeními přijatými v průběhu epidemie </w:t>
      </w:r>
      <w:proofErr w:type="spellStart"/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označovaného jako SARS CoV-2.</w:t>
      </w:r>
    </w:p>
    <w:p w:rsidR="00D46ECD" w:rsidRDefault="00D46ECD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D46ECD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D46E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 § 2</w:t>
      </w:r>
    </w:p>
    <w:p w:rsidR="00B92335" w:rsidRDefault="00B92335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 odst. 1</w:t>
      </w:r>
    </w:p>
    <w:p w:rsidR="00D46ECD" w:rsidRDefault="00D46ECD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Navrhované ustanovení 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vymezuje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výš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i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příspěvku a uprav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uje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způsob jeho výpočtu v závislosti na počtu obyvatel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kraje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podle bilance obyvatel České republiky zpracované Českým statistickým úřadem k 1. lednu 2020. Pro stanovení počtu obyvatel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kraje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pro poskytnutí příspěvku se tedy vychází ze stejných podkladů, které slouží pro stanovení 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rozhodného 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počtu obyvatel 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obcí </w:t>
      </w:r>
      <w:r w:rsidRPr="00D46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 účely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postupu podle části čtvrté zákona č. 159/2020 Sb., ve znění zákona </w:t>
      </w:r>
      <w:r w:rsidR="00DA1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/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 299/2020 Sb.</w:t>
      </w:r>
    </w:p>
    <w:p w:rsidR="00D46ECD" w:rsidRDefault="00D46ECD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B92335" w:rsidRDefault="00B92335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 odst. 2</w:t>
      </w:r>
    </w:p>
    <w:p w:rsidR="00825258" w:rsidRPr="00F008A9" w:rsidRDefault="00B92335" w:rsidP="008252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tanoví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se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že jednorázový n</w:t>
      </w:r>
      <w:r w:rsidR="00825258"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enávratný příspěvek ne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ní nijak</w:t>
      </w:r>
      <w:r w:rsidR="00825258"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účelově určen a nepodléh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á</w:t>
      </w:r>
      <w:r w:rsidR="00825258"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finančnímu vypořádání se státním rozpočtem. 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Kraje</w:t>
      </w:r>
      <w:r w:rsidR="00825258"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ho </w:t>
      </w:r>
      <w:r w:rsid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tak </w:t>
      </w:r>
      <w:r w:rsidR="00825258"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budou moci použít dle svého uvážení, např. na dofinancování výpadku daňových příjmů do oblasti investic, kofinancování dotací, popř. provozních výdajů.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825258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825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 § 3</w:t>
      </w:r>
    </w:p>
    <w:p w:rsidR="00F008A9" w:rsidRDefault="00825258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 § 3 je upraven finanční tok při poskytnutí příspěvku. O poskytnutí příspěvku nebude třeba žádat, nárok na jeho poskytnutí vyplývá z tohoto zákona. Příspěvek poskytne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krajům</w:t>
      </w: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Ministerstvo financí</w:t>
      </w:r>
      <w:r w:rsidRPr="00825258"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jako</w:t>
      </w: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správce kapitoly státního rozpočtu 398 – Všeobecná pokladní správa.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</w:t>
      </w: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výši příspěvku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nebude </w:t>
      </w: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rozhod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ovat</w:t>
      </w:r>
      <w:r w:rsidRPr="008252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neboť jeho výše je stanovena zákonem.</w:t>
      </w:r>
    </w:p>
    <w:p w:rsidR="00825258" w:rsidRDefault="00825258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F008A9" w:rsidRPr="00825258" w:rsidRDefault="00F008A9" w:rsidP="002A511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825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 § 4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 odst. 1</w:t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 ohledem na současnou situaci, kdy Světová zdravotnická organizace (WHO) prohlásila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epidemii </w:t>
      </w:r>
      <w:proofErr w:type="spellStart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SARS</w:t>
      </w:r>
      <w:r w:rsidR="00DA1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CoV-2 za pandemii, nelze postupovat podle § 3 odst. 3 zákona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 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309/1999 Sb., o Sbírce zákonů a o Sbírce mezinárodních smluv, tj. nelze stanovit účinnost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DA1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/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 1. lednu nebo k 1. červenci kalendářního roku. Naopak vzhledem k tomu, že tento zákon je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ředkládán v „mimořádném režimu“, je třeba stanovit datum účinnosti co nejdříve, tj. dnem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následujícím po vyhlášení zákona ve Sbírce zákonů.</w:t>
      </w:r>
    </w:p>
    <w:p w:rsidR="00B92335" w:rsidRDefault="00B92335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A511B" w:rsidRDefault="002A511B">
      <w:pPr>
        <w:spacing w:line="259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br w:type="page"/>
      </w:r>
    </w:p>
    <w:p w:rsidR="00F008A9" w:rsidRPr="00F008A9" w:rsidRDefault="00F008A9" w:rsidP="00F0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 odst. 2</w:t>
      </w:r>
    </w:p>
    <w:p w:rsidR="00B92335" w:rsidRPr="00F008A9" w:rsidRDefault="00F008A9" w:rsidP="00B92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Jednorázová povaha zákona nevyžaduje, aby byl trvalou součástí platného právního řádu.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Vzhledem k tomu, že jednorázový nenávratný příspěvek má být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poskytnut 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do 60 kalendářních dní od nabytí účinnosti zákona, </w:t>
      </w:r>
      <w:r w:rsidR="004E0C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a 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ohledem na 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jeho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ukotvení</w:t>
      </w:r>
      <w:r w:rsidR="00B923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F00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do rozpočtového roku 2020 se ponechává v platnosti do 31. prosince 2020. </w:t>
      </w:r>
    </w:p>
    <w:p w:rsidR="002A511B" w:rsidRDefault="002A511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511B" w:rsidRDefault="002A511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511B" w:rsidRDefault="002A511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511B" w:rsidRDefault="002A511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216B" w:rsidRDefault="003B216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Praze dne 2</w:t>
      </w:r>
      <w:r w:rsidR="001D4EF3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 července 2020</w:t>
      </w:r>
    </w:p>
    <w:p w:rsidR="003B216B" w:rsidRDefault="003B216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216B" w:rsidRDefault="003B216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216B" w:rsidRDefault="003B216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216B" w:rsidRDefault="003B216B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Miloš Vystrčil v. r.</w:t>
      </w:r>
    </w:p>
    <w:p w:rsidR="003B216B" w:rsidRPr="00F008A9" w:rsidRDefault="00972129" w:rsidP="003B2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předseda S</w:t>
      </w:r>
      <w:r w:rsidR="003B216B">
        <w:rPr>
          <w:rFonts w:ascii="Times New Roman" w:eastAsia="Times New Roman" w:hAnsi="Times New Roman" w:cs="Times New Roman"/>
          <w:sz w:val="24"/>
          <w:szCs w:val="24"/>
          <w:lang w:eastAsia="cs-CZ"/>
        </w:rPr>
        <w:t>enátu</w:t>
      </w:r>
      <w:bookmarkEnd w:id="0"/>
    </w:p>
    <w:sectPr w:rsidR="003B216B" w:rsidRPr="00F008A9" w:rsidSect="003B216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95" w:rsidRDefault="003C3F95" w:rsidP="003B216B">
      <w:pPr>
        <w:spacing w:after="0" w:line="240" w:lineRule="auto"/>
      </w:pPr>
      <w:r>
        <w:separator/>
      </w:r>
    </w:p>
  </w:endnote>
  <w:endnote w:type="continuationSeparator" w:id="0">
    <w:p w:rsidR="003C3F95" w:rsidRDefault="003C3F95" w:rsidP="003B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16512"/>
      <w:docPartObj>
        <w:docPartGallery w:val="Page Numbers (Bottom of Page)"/>
        <w:docPartUnique/>
      </w:docPartObj>
    </w:sdtPr>
    <w:sdtEndPr/>
    <w:sdtContent>
      <w:p w:rsidR="003B216B" w:rsidRDefault="003B216B">
        <w:pPr>
          <w:pStyle w:val="Zpat"/>
          <w:jc w:val="center"/>
        </w:pPr>
        <w:r w:rsidRPr="003B21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21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21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6CF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B21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B216B" w:rsidRDefault="003B21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95" w:rsidRDefault="003C3F95" w:rsidP="003B216B">
      <w:pPr>
        <w:spacing w:after="0" w:line="240" w:lineRule="auto"/>
      </w:pPr>
      <w:r>
        <w:separator/>
      </w:r>
    </w:p>
  </w:footnote>
  <w:footnote w:type="continuationSeparator" w:id="0">
    <w:p w:rsidR="003C3F95" w:rsidRDefault="003C3F95" w:rsidP="003B2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14166"/>
    <w:multiLevelType w:val="hybridMultilevel"/>
    <w:tmpl w:val="A7980200"/>
    <w:lvl w:ilvl="0" w:tplc="DDE8C426">
      <w:start w:val="1"/>
      <w:numFmt w:val="decimal"/>
      <w:lvlText w:val="%1."/>
      <w:lvlJc w:val="left"/>
      <w:pPr>
        <w:ind w:left="780" w:hanging="360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8300101"/>
    <w:multiLevelType w:val="hybridMultilevel"/>
    <w:tmpl w:val="6A42DBB8"/>
    <w:lvl w:ilvl="0" w:tplc="C770BE8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743240C8">
      <w:start w:val="1"/>
      <w:numFmt w:val="lowerLetter"/>
      <w:lvlText w:val="%2)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E1577DA"/>
    <w:multiLevelType w:val="multilevel"/>
    <w:tmpl w:val="68EC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47"/>
    <w:rsid w:val="001D4EF3"/>
    <w:rsid w:val="001D759B"/>
    <w:rsid w:val="00275126"/>
    <w:rsid w:val="002A511B"/>
    <w:rsid w:val="002D6CDF"/>
    <w:rsid w:val="00393247"/>
    <w:rsid w:val="003B216B"/>
    <w:rsid w:val="003C3F95"/>
    <w:rsid w:val="004E0CE3"/>
    <w:rsid w:val="0053006E"/>
    <w:rsid w:val="005B5C39"/>
    <w:rsid w:val="005D217E"/>
    <w:rsid w:val="00626E02"/>
    <w:rsid w:val="006D5D37"/>
    <w:rsid w:val="00814CD4"/>
    <w:rsid w:val="00825258"/>
    <w:rsid w:val="00827216"/>
    <w:rsid w:val="00854B3C"/>
    <w:rsid w:val="00856CF9"/>
    <w:rsid w:val="00972129"/>
    <w:rsid w:val="009957BB"/>
    <w:rsid w:val="00AD62A7"/>
    <w:rsid w:val="00B527AB"/>
    <w:rsid w:val="00B92335"/>
    <w:rsid w:val="00D46ECD"/>
    <w:rsid w:val="00DA1295"/>
    <w:rsid w:val="00E31D45"/>
    <w:rsid w:val="00F0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080C"/>
  <w15:chartTrackingRefBased/>
  <w15:docId w15:val="{03797004-75ED-4CDE-A0DF-E5AA5CDA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3247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93247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93247"/>
    <w:pPr>
      <w:spacing w:line="254" w:lineRule="auto"/>
      <w:ind w:left="720"/>
      <w:contextualSpacing/>
    </w:pPr>
  </w:style>
  <w:style w:type="paragraph" w:customStyle="1" w:styleId="normln0">
    <w:name w:val="normln"/>
    <w:basedOn w:val="Normln"/>
    <w:uiPriority w:val="99"/>
    <w:semiHidden/>
    <w:rsid w:val="00393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ln1">
    <w:name w:val="normln1"/>
    <w:basedOn w:val="Standardnpsmoodstavce"/>
    <w:rsid w:val="00393247"/>
    <w:rPr>
      <w:rFonts w:ascii="Times New Roman" w:hAnsi="Times New Roman" w:cs="Times New Roman" w:hint="default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39324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B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216B"/>
  </w:style>
  <w:style w:type="paragraph" w:styleId="Zpat">
    <w:name w:val="footer"/>
    <w:basedOn w:val="Normln"/>
    <w:link w:val="ZpatChar"/>
    <w:uiPriority w:val="99"/>
    <w:unhideWhenUsed/>
    <w:rsid w:val="003B2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16B"/>
  </w:style>
  <w:style w:type="paragraph" w:styleId="Textbubliny">
    <w:name w:val="Balloon Text"/>
    <w:basedOn w:val="Normln"/>
    <w:link w:val="TextbublinyChar"/>
    <w:uiPriority w:val="99"/>
    <w:semiHidden/>
    <w:unhideWhenUsed/>
    <w:rsid w:val="005D2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1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1837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Lifka Jiří</dc:creator>
  <cp:keywords/>
  <dc:description/>
  <cp:lastModifiedBy>Sýkorová Eva</cp:lastModifiedBy>
  <cp:revision>3</cp:revision>
  <cp:lastPrinted>2020-07-27T12:11:00Z</cp:lastPrinted>
  <dcterms:created xsi:type="dcterms:W3CDTF">2020-07-27T12:04:00Z</dcterms:created>
  <dcterms:modified xsi:type="dcterms:W3CDTF">2020-07-27T12:11:00Z</dcterms:modified>
</cp:coreProperties>
</file>