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F2B" w:rsidRPr="00BE49CC" w:rsidRDefault="004F4F2B" w:rsidP="004F4F2B">
      <w:pPr>
        <w:tabs>
          <w:tab w:val="left" w:pos="6660"/>
        </w:tabs>
        <w:spacing w:after="240"/>
        <w:jc w:val="center"/>
        <w:rPr>
          <w:b/>
          <w:bCs/>
          <w:sz w:val="22"/>
          <w:szCs w:val="22"/>
        </w:rPr>
      </w:pPr>
      <w:r w:rsidRPr="00BE49CC">
        <w:rPr>
          <w:b/>
          <w:bCs/>
          <w:sz w:val="22"/>
          <w:szCs w:val="22"/>
        </w:rPr>
        <w:t>SHRNUTÍ ZÁVĚREČNÉ ZPRÁVY RIA</w:t>
      </w:r>
      <w:bookmarkStart w:id="0" w:name="_GoBack"/>
      <w:bookmarkEnd w:id="0"/>
    </w:p>
    <w:tbl>
      <w:tblPr>
        <w:tblW w:w="9663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5552"/>
      </w:tblGrid>
      <w:tr w:rsidR="00781CBF" w:rsidRPr="004F4F2B" w:rsidTr="00EA4975">
        <w:trPr>
          <w:trHeight w:val="250"/>
        </w:trPr>
        <w:tc>
          <w:tcPr>
            <w:tcW w:w="96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BDD6EE" w:themeFill="accent5" w:themeFillTint="66"/>
            <w:vAlign w:val="center"/>
          </w:tcPr>
          <w:p w:rsidR="00781CBF" w:rsidRPr="004F4F2B" w:rsidRDefault="00342BAF" w:rsidP="00342BAF">
            <w:pPr>
              <w:tabs>
                <w:tab w:val="left" w:pos="313"/>
              </w:tabs>
              <w:spacing w:before="40" w:after="40"/>
              <w:rPr>
                <w:bCs/>
                <w:i/>
                <w:i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1.</w:t>
            </w:r>
            <w:r w:rsidRPr="004F4F2B">
              <w:rPr>
                <w:bCs/>
                <w:sz w:val="20"/>
                <w:szCs w:val="20"/>
              </w:rPr>
              <w:tab/>
            </w:r>
            <w:r w:rsidR="00781CBF" w:rsidRPr="004F4F2B">
              <w:rPr>
                <w:bCs/>
                <w:sz w:val="20"/>
                <w:szCs w:val="20"/>
              </w:rPr>
              <w:t>Základní identifikační údaje</w:t>
            </w:r>
          </w:p>
        </w:tc>
      </w:tr>
      <w:tr w:rsidR="00781CBF" w:rsidRPr="004F4F2B" w:rsidTr="00A52E0F">
        <w:trPr>
          <w:trHeight w:hRule="exact" w:val="567"/>
        </w:trPr>
        <w:tc>
          <w:tcPr>
            <w:tcW w:w="96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2109" w:rsidRPr="004F4F2B" w:rsidRDefault="00781CBF" w:rsidP="00D15EA4">
            <w:pPr>
              <w:tabs>
                <w:tab w:val="left" w:pos="6660"/>
              </w:tabs>
              <w:spacing w:before="40"/>
              <w:ind w:left="29"/>
              <w:jc w:val="center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Název návrhu zákona:</w:t>
            </w:r>
          </w:p>
          <w:p w:rsidR="00781CBF" w:rsidRPr="004F4F2B" w:rsidRDefault="00EA6F37" w:rsidP="00D15EA4">
            <w:pPr>
              <w:tabs>
                <w:tab w:val="left" w:pos="6660"/>
              </w:tabs>
              <w:spacing w:after="40"/>
              <w:ind w:left="29"/>
              <w:jc w:val="center"/>
              <w:rPr>
                <w:bCs/>
                <w:sz w:val="20"/>
                <w:szCs w:val="20"/>
              </w:rPr>
            </w:pPr>
            <w:r w:rsidRPr="004F4F2B">
              <w:rPr>
                <w:sz w:val="20"/>
                <w:szCs w:val="20"/>
              </w:rPr>
              <w:t>z</w:t>
            </w:r>
            <w:r w:rsidR="00781CBF" w:rsidRPr="004F4F2B">
              <w:rPr>
                <w:sz w:val="20"/>
                <w:szCs w:val="20"/>
              </w:rPr>
              <w:t>ákon</w:t>
            </w:r>
            <w:r w:rsidR="00EA65AD" w:rsidRPr="004F4F2B">
              <w:rPr>
                <w:sz w:val="20"/>
                <w:szCs w:val="20"/>
              </w:rPr>
              <w:t xml:space="preserve"> o prekurzorech výbušnin a o změně</w:t>
            </w:r>
            <w:r w:rsidR="00ED5784" w:rsidRPr="004F4F2B">
              <w:rPr>
                <w:sz w:val="20"/>
                <w:szCs w:val="20"/>
              </w:rPr>
              <w:t xml:space="preserve"> některých zákonů (zákon o prekurzorech výbušnin)</w:t>
            </w:r>
            <w:r w:rsidR="002951EA" w:rsidRPr="004F4F2B">
              <w:rPr>
                <w:sz w:val="20"/>
                <w:szCs w:val="20"/>
              </w:rPr>
              <w:t>.</w:t>
            </w:r>
          </w:p>
        </w:tc>
      </w:tr>
      <w:tr w:rsidR="00781CBF" w:rsidRPr="004F4F2B" w:rsidTr="00CB69B3">
        <w:trPr>
          <w:trHeight w:val="415"/>
        </w:trPr>
        <w:tc>
          <w:tcPr>
            <w:tcW w:w="4111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1CBF" w:rsidRPr="004F4F2B" w:rsidRDefault="00781CBF" w:rsidP="00C85DAE">
            <w:pPr>
              <w:tabs>
                <w:tab w:val="left" w:pos="6660"/>
              </w:tabs>
              <w:spacing w:before="40"/>
              <w:jc w:val="center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 xml:space="preserve">Zpracovatel/zástupce předkladatele: </w:t>
            </w:r>
          </w:p>
          <w:p w:rsidR="00781CBF" w:rsidRPr="004F4F2B" w:rsidRDefault="00781CBF" w:rsidP="00C85DAE">
            <w:pPr>
              <w:tabs>
                <w:tab w:val="left" w:pos="6660"/>
              </w:tabs>
              <w:spacing w:after="40"/>
              <w:jc w:val="center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Český báňský úřad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81CBF" w:rsidRPr="004F4F2B" w:rsidRDefault="00781CBF" w:rsidP="00C85DAE">
            <w:pPr>
              <w:tabs>
                <w:tab w:val="left" w:pos="6660"/>
              </w:tabs>
              <w:spacing w:before="40"/>
              <w:jc w:val="center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Předpokládaný termín nabytí účinnosti</w:t>
            </w:r>
            <w:r w:rsidR="000B4A71" w:rsidRPr="004F4F2B">
              <w:rPr>
                <w:bCs/>
                <w:sz w:val="20"/>
                <w:szCs w:val="20"/>
              </w:rPr>
              <w:t>:</w:t>
            </w:r>
          </w:p>
          <w:p w:rsidR="00781CBF" w:rsidRPr="004F4F2B" w:rsidRDefault="003E16C2" w:rsidP="00C85DAE">
            <w:pPr>
              <w:tabs>
                <w:tab w:val="left" w:pos="6660"/>
              </w:tabs>
              <w:spacing w:after="40"/>
              <w:jc w:val="center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01.02.</w:t>
            </w:r>
            <w:r w:rsidR="00C85DAE" w:rsidRPr="004F4F2B">
              <w:rPr>
                <w:bCs/>
                <w:sz w:val="20"/>
                <w:szCs w:val="20"/>
              </w:rPr>
              <w:t>2021</w:t>
            </w:r>
          </w:p>
        </w:tc>
      </w:tr>
      <w:tr w:rsidR="00781CBF" w:rsidRPr="004F4F2B" w:rsidTr="005B2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01"/>
        </w:trPr>
        <w:tc>
          <w:tcPr>
            <w:tcW w:w="96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81CBF" w:rsidRPr="004F4F2B" w:rsidRDefault="00781CBF" w:rsidP="00E27454">
            <w:pPr>
              <w:pStyle w:val="Odstavecseseznamem"/>
              <w:numPr>
                <w:ilvl w:val="0"/>
                <w:numId w:val="32"/>
              </w:numPr>
              <w:tabs>
                <w:tab w:val="left" w:pos="6660"/>
              </w:tabs>
              <w:spacing w:before="100" w:beforeAutospacing="1"/>
              <w:ind w:left="313" w:hanging="284"/>
              <w:jc w:val="both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Implementace práva EU: Ano</w:t>
            </w:r>
            <w:r w:rsidR="006720DA" w:rsidRPr="004F4F2B">
              <w:rPr>
                <w:bCs/>
                <w:sz w:val="20"/>
                <w:szCs w:val="20"/>
              </w:rPr>
              <w:t xml:space="preserve"> (</w:t>
            </w:r>
            <w:r w:rsidR="00B51127" w:rsidRPr="004F4F2B">
              <w:rPr>
                <w:sz w:val="20"/>
                <w:szCs w:val="20"/>
              </w:rPr>
              <w:t xml:space="preserve">nařízení </w:t>
            </w:r>
            <w:r w:rsidR="00BC121F" w:rsidRPr="004F4F2B">
              <w:rPr>
                <w:sz w:val="20"/>
                <w:szCs w:val="20"/>
              </w:rPr>
              <w:t>Evropského parlamentu a Rady (EU) 2019/1148 ze dne 20.</w:t>
            </w:r>
            <w:r w:rsidR="005450F4" w:rsidRPr="004F4F2B">
              <w:rPr>
                <w:sz w:val="20"/>
                <w:szCs w:val="20"/>
              </w:rPr>
              <w:t> </w:t>
            </w:r>
            <w:r w:rsidR="00BC121F" w:rsidRPr="004F4F2B">
              <w:rPr>
                <w:sz w:val="20"/>
                <w:szCs w:val="20"/>
              </w:rPr>
              <w:t xml:space="preserve">června 2019 </w:t>
            </w:r>
            <w:r w:rsidR="00BC121F" w:rsidRPr="004F4F2B">
              <w:rPr>
                <w:rFonts w:eastAsia="Calibri"/>
                <w:sz w:val="20"/>
                <w:szCs w:val="20"/>
              </w:rPr>
              <w:t>o</w:t>
            </w:r>
            <w:r w:rsidR="001E65AA">
              <w:rPr>
                <w:rFonts w:eastAsia="Calibri"/>
                <w:sz w:val="20"/>
                <w:szCs w:val="20"/>
              </w:rPr>
              <w:t> </w:t>
            </w:r>
            <w:r w:rsidR="00BC121F" w:rsidRPr="004F4F2B">
              <w:rPr>
                <w:rFonts w:eastAsia="Calibri"/>
                <w:sz w:val="20"/>
                <w:szCs w:val="20"/>
              </w:rPr>
              <w:t>uvádění prekurzorů výbušnin na trh a o jejich používání, změně nařízení (ES) č. 1907/2006 a zrušení nařízení (EU) č. 98/2013</w:t>
            </w:r>
            <w:r w:rsidR="006720DA" w:rsidRPr="004F4F2B">
              <w:rPr>
                <w:bCs/>
                <w:sz w:val="20"/>
                <w:szCs w:val="20"/>
              </w:rPr>
              <w:t>)</w:t>
            </w:r>
            <w:r w:rsidR="00E47918" w:rsidRPr="004F4F2B">
              <w:rPr>
                <w:bCs/>
                <w:sz w:val="20"/>
                <w:szCs w:val="20"/>
              </w:rPr>
              <w:t>.</w:t>
            </w:r>
          </w:p>
          <w:p w:rsidR="00781CBF" w:rsidRPr="004F4F2B" w:rsidRDefault="006A780B" w:rsidP="001433D0">
            <w:pPr>
              <w:pStyle w:val="Odstavecseseznamem"/>
              <w:numPr>
                <w:ilvl w:val="0"/>
                <w:numId w:val="32"/>
              </w:numPr>
              <w:tabs>
                <w:tab w:val="left" w:pos="6660"/>
              </w:tabs>
              <w:ind w:left="313" w:hanging="284"/>
              <w:jc w:val="both"/>
              <w:rPr>
                <w:i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T</w:t>
            </w:r>
            <w:r w:rsidR="00781CBF" w:rsidRPr="004F4F2B">
              <w:rPr>
                <w:bCs/>
                <w:sz w:val="20"/>
                <w:szCs w:val="20"/>
              </w:rPr>
              <w:t xml:space="preserve">ermín stanovený pro </w:t>
            </w:r>
            <w:r w:rsidR="005450F4" w:rsidRPr="004F4F2B">
              <w:rPr>
                <w:bCs/>
                <w:sz w:val="20"/>
                <w:szCs w:val="20"/>
              </w:rPr>
              <w:t>adaptaci národního právního řádu</w:t>
            </w:r>
            <w:r w:rsidR="00781CBF" w:rsidRPr="004F4F2B">
              <w:rPr>
                <w:bCs/>
                <w:sz w:val="20"/>
                <w:szCs w:val="20"/>
              </w:rPr>
              <w:t xml:space="preserve">: </w:t>
            </w:r>
            <w:r w:rsidR="005450F4" w:rsidRPr="004F4F2B">
              <w:rPr>
                <w:bCs/>
                <w:sz w:val="20"/>
                <w:szCs w:val="20"/>
              </w:rPr>
              <w:t xml:space="preserve">31.01.2021 </w:t>
            </w:r>
            <w:r w:rsidR="00B51127" w:rsidRPr="004F4F2B">
              <w:rPr>
                <w:bCs/>
                <w:sz w:val="20"/>
                <w:szCs w:val="20"/>
              </w:rPr>
              <w:t>(čl. </w:t>
            </w:r>
            <w:r w:rsidR="005450F4" w:rsidRPr="004F4F2B">
              <w:rPr>
                <w:bCs/>
                <w:sz w:val="20"/>
                <w:szCs w:val="20"/>
              </w:rPr>
              <w:t xml:space="preserve">23 odst. 2 </w:t>
            </w:r>
            <w:r w:rsidR="00B51127" w:rsidRPr="004F4F2B">
              <w:rPr>
                <w:sz w:val="20"/>
                <w:szCs w:val="20"/>
              </w:rPr>
              <w:t>nařízení</w:t>
            </w:r>
            <w:r w:rsidR="005450F4" w:rsidRPr="004F4F2B">
              <w:rPr>
                <w:sz w:val="20"/>
                <w:szCs w:val="20"/>
              </w:rPr>
              <w:t>)</w:t>
            </w:r>
            <w:r w:rsidR="00E47918" w:rsidRPr="004F4F2B">
              <w:rPr>
                <w:sz w:val="20"/>
                <w:szCs w:val="20"/>
              </w:rPr>
              <w:t>.</w:t>
            </w:r>
          </w:p>
          <w:p w:rsidR="00781CBF" w:rsidRPr="004F4F2B" w:rsidRDefault="006A780B" w:rsidP="00A7553C">
            <w:pPr>
              <w:pStyle w:val="Odstavecseseznamem"/>
              <w:numPr>
                <w:ilvl w:val="0"/>
                <w:numId w:val="32"/>
              </w:numPr>
              <w:tabs>
                <w:tab w:val="left" w:pos="6660"/>
              </w:tabs>
              <w:ind w:left="313" w:hanging="284"/>
              <w:rPr>
                <w:i/>
                <w:iCs/>
                <w:sz w:val="20"/>
                <w:szCs w:val="20"/>
                <w:u w:val="single"/>
              </w:rPr>
            </w:pPr>
            <w:r w:rsidRPr="004F4F2B">
              <w:rPr>
                <w:bCs/>
                <w:sz w:val="20"/>
                <w:szCs w:val="20"/>
              </w:rPr>
              <w:t>J</w:t>
            </w:r>
            <w:r w:rsidR="00781CBF" w:rsidRPr="004F4F2B">
              <w:rPr>
                <w:bCs/>
                <w:sz w:val="20"/>
                <w:szCs w:val="20"/>
              </w:rPr>
              <w:t xml:space="preserve">de návrh nad rámec požadavků stanovených předpisem EU? </w:t>
            </w:r>
            <w:r w:rsidRPr="004F4F2B">
              <w:rPr>
                <w:bCs/>
                <w:sz w:val="20"/>
                <w:szCs w:val="20"/>
              </w:rPr>
              <w:t>Ne</w:t>
            </w:r>
            <w:r w:rsidR="00E47918" w:rsidRPr="004F4F2B">
              <w:rPr>
                <w:bCs/>
                <w:sz w:val="20"/>
                <w:szCs w:val="20"/>
              </w:rPr>
              <w:t>.</w:t>
            </w:r>
          </w:p>
        </w:tc>
      </w:tr>
      <w:tr w:rsidR="00781CBF" w:rsidRPr="004F4F2B" w:rsidTr="005B2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5" w:themeFillTint="66"/>
          </w:tcPr>
          <w:p w:rsidR="00781CBF" w:rsidRPr="004F4F2B" w:rsidRDefault="00342BAF" w:rsidP="00342BAF">
            <w:pPr>
              <w:tabs>
                <w:tab w:val="left" w:pos="313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2.</w:t>
            </w:r>
            <w:r w:rsidRPr="004F4F2B">
              <w:rPr>
                <w:bCs/>
                <w:sz w:val="20"/>
                <w:szCs w:val="20"/>
              </w:rPr>
              <w:tab/>
            </w:r>
            <w:r w:rsidR="00781CBF" w:rsidRPr="004F4F2B">
              <w:rPr>
                <w:bCs/>
                <w:sz w:val="20"/>
                <w:szCs w:val="20"/>
              </w:rPr>
              <w:t>Cíl návrhu zákona</w:t>
            </w:r>
          </w:p>
        </w:tc>
      </w:tr>
      <w:tr w:rsidR="00781CBF" w:rsidRPr="004F4F2B" w:rsidTr="00EB4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81CBF" w:rsidRPr="004F4F2B" w:rsidRDefault="00266251" w:rsidP="00481A84">
            <w:pPr>
              <w:spacing w:before="40" w:after="40"/>
              <w:ind w:left="29"/>
              <w:jc w:val="both"/>
              <w:rPr>
                <w:sz w:val="20"/>
                <w:szCs w:val="20"/>
              </w:rPr>
            </w:pPr>
            <w:r w:rsidRPr="004F4F2B">
              <w:rPr>
                <w:sz w:val="20"/>
                <w:szCs w:val="20"/>
              </w:rPr>
              <w:t>Navrhovaná právní úprava má za cíl</w:t>
            </w:r>
            <w:r w:rsidR="00E16B8F" w:rsidRPr="004F4F2B">
              <w:rPr>
                <w:sz w:val="20"/>
                <w:szCs w:val="20"/>
              </w:rPr>
              <w:t xml:space="preserve"> adaptovat právní řád České republiky </w:t>
            </w:r>
            <w:r w:rsidR="00930091" w:rsidRPr="004F4F2B">
              <w:rPr>
                <w:sz w:val="20"/>
                <w:szCs w:val="20"/>
              </w:rPr>
              <w:t xml:space="preserve">přímo použitelnému </w:t>
            </w:r>
            <w:r w:rsidR="00E16B8F" w:rsidRPr="004F4F2B">
              <w:rPr>
                <w:sz w:val="20"/>
                <w:szCs w:val="20"/>
              </w:rPr>
              <w:t>nařízení</w:t>
            </w:r>
            <w:r w:rsidR="00930091" w:rsidRPr="004F4F2B">
              <w:rPr>
                <w:sz w:val="20"/>
                <w:szCs w:val="20"/>
              </w:rPr>
              <w:t xml:space="preserve"> 2019/1148</w:t>
            </w:r>
            <w:r w:rsidR="00163A6F" w:rsidRPr="004F4F2B">
              <w:rPr>
                <w:sz w:val="20"/>
                <w:szCs w:val="20"/>
              </w:rPr>
              <w:t>, t</w:t>
            </w:r>
            <w:r w:rsidR="00CF3587">
              <w:rPr>
                <w:sz w:val="20"/>
                <w:szCs w:val="20"/>
              </w:rPr>
              <w:t>zn.</w:t>
            </w:r>
            <w:r w:rsidR="00163A6F" w:rsidRPr="004F4F2B">
              <w:rPr>
                <w:sz w:val="20"/>
                <w:szCs w:val="20"/>
              </w:rPr>
              <w:t xml:space="preserve"> </w:t>
            </w:r>
            <w:r w:rsidR="00E16B8F" w:rsidRPr="004F4F2B">
              <w:rPr>
                <w:sz w:val="20"/>
                <w:szCs w:val="20"/>
              </w:rPr>
              <w:t xml:space="preserve">stanovit vhodná pravidla pro </w:t>
            </w:r>
            <w:r w:rsidR="00481A84">
              <w:rPr>
                <w:sz w:val="20"/>
                <w:szCs w:val="20"/>
              </w:rPr>
              <w:t xml:space="preserve">nově nastavený </w:t>
            </w:r>
            <w:r w:rsidR="00CF3587">
              <w:rPr>
                <w:sz w:val="20"/>
                <w:szCs w:val="20"/>
              </w:rPr>
              <w:t xml:space="preserve">regulační </w:t>
            </w:r>
            <w:r w:rsidR="00163A6F" w:rsidRPr="004F4F2B">
              <w:rPr>
                <w:sz w:val="20"/>
                <w:szCs w:val="20"/>
              </w:rPr>
              <w:t>přístup k </w:t>
            </w:r>
            <w:r w:rsidR="00E16B8F" w:rsidRPr="004F4F2B">
              <w:rPr>
                <w:sz w:val="20"/>
                <w:szCs w:val="20"/>
              </w:rPr>
              <w:t>prekurzor</w:t>
            </w:r>
            <w:r w:rsidR="00163A6F" w:rsidRPr="004F4F2B">
              <w:rPr>
                <w:sz w:val="20"/>
                <w:szCs w:val="20"/>
              </w:rPr>
              <w:t xml:space="preserve">ům </w:t>
            </w:r>
            <w:r w:rsidR="00E16B8F" w:rsidRPr="004F4F2B">
              <w:rPr>
                <w:sz w:val="20"/>
                <w:szCs w:val="20"/>
              </w:rPr>
              <w:t>výbušnin</w:t>
            </w:r>
            <w:r w:rsidR="001B7E2F" w:rsidRPr="004F4F2B">
              <w:rPr>
                <w:sz w:val="20"/>
                <w:szCs w:val="20"/>
              </w:rPr>
              <w:t xml:space="preserve"> a založit související kontrolní a sankční pravomoci</w:t>
            </w:r>
            <w:r w:rsidR="00CF3587">
              <w:rPr>
                <w:sz w:val="20"/>
                <w:szCs w:val="20"/>
              </w:rPr>
              <w:t xml:space="preserve"> ve vazbě na cit. nařízení</w:t>
            </w:r>
            <w:r w:rsidR="001B7E2F" w:rsidRPr="004F4F2B">
              <w:rPr>
                <w:sz w:val="20"/>
                <w:szCs w:val="20"/>
              </w:rPr>
              <w:t>.</w:t>
            </w:r>
          </w:p>
        </w:tc>
      </w:tr>
      <w:tr w:rsidR="00781CBF" w:rsidRPr="004F4F2B" w:rsidTr="00505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5" w:themeFillTint="66"/>
          </w:tcPr>
          <w:p w:rsidR="00781CBF" w:rsidRPr="004F4F2B" w:rsidRDefault="005362C7" w:rsidP="005362C7">
            <w:pPr>
              <w:tabs>
                <w:tab w:val="left" w:pos="313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3.</w:t>
            </w:r>
            <w:r w:rsidRPr="004F4F2B">
              <w:rPr>
                <w:bCs/>
                <w:sz w:val="20"/>
                <w:szCs w:val="20"/>
              </w:rPr>
              <w:tab/>
            </w:r>
            <w:r w:rsidR="00781CBF" w:rsidRPr="004F4F2B">
              <w:rPr>
                <w:sz w:val="20"/>
                <w:szCs w:val="20"/>
              </w:rPr>
              <w:t>Agregované</w:t>
            </w:r>
            <w:r w:rsidR="00781CBF" w:rsidRPr="004F4F2B">
              <w:rPr>
                <w:bCs/>
                <w:sz w:val="20"/>
                <w:szCs w:val="20"/>
              </w:rPr>
              <w:t xml:space="preserve"> dopady návrhu zákona</w:t>
            </w:r>
          </w:p>
        </w:tc>
      </w:tr>
      <w:tr w:rsidR="00781CBF" w:rsidRPr="004F4F2B" w:rsidTr="00505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781CBF" w:rsidRPr="004F4F2B" w:rsidRDefault="00E81E3D" w:rsidP="000A07D6">
            <w:pPr>
              <w:tabs>
                <w:tab w:val="left" w:pos="880"/>
              </w:tabs>
              <w:spacing w:before="40" w:after="40"/>
              <w:ind w:left="313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3.1</w:t>
            </w:r>
            <w:r w:rsidRPr="004F4F2B">
              <w:rPr>
                <w:bCs/>
                <w:sz w:val="20"/>
                <w:szCs w:val="20"/>
              </w:rPr>
              <w:tab/>
            </w:r>
            <w:r w:rsidR="00781CBF" w:rsidRPr="004F4F2B">
              <w:rPr>
                <w:bCs/>
                <w:sz w:val="20"/>
                <w:szCs w:val="20"/>
              </w:rPr>
              <w:t>Dopady na státní rozpočet a ostatní veřejné</w:t>
            </w:r>
            <w:r w:rsidR="00F00A47" w:rsidRPr="004F4F2B">
              <w:rPr>
                <w:bCs/>
                <w:sz w:val="20"/>
                <w:szCs w:val="20"/>
              </w:rPr>
              <w:t xml:space="preserve"> rozpočty:</w:t>
            </w:r>
            <w:r w:rsidR="000A07D6" w:rsidRPr="004F4F2B">
              <w:rPr>
                <w:bCs/>
                <w:sz w:val="20"/>
                <w:szCs w:val="20"/>
              </w:rPr>
              <w:t xml:space="preserve"> </w:t>
            </w:r>
            <w:r w:rsidR="00880884">
              <w:rPr>
                <w:bCs/>
                <w:sz w:val="20"/>
                <w:szCs w:val="20"/>
              </w:rPr>
              <w:t>Ne</w:t>
            </w:r>
          </w:p>
        </w:tc>
      </w:tr>
      <w:tr w:rsidR="002816F2" w:rsidRPr="004F4F2B" w:rsidTr="00F00A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61BB2" w:rsidRPr="004F4F2B" w:rsidRDefault="00C61BB2" w:rsidP="0027735C">
            <w:pPr>
              <w:tabs>
                <w:tab w:val="left" w:pos="1037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2816F2" w:rsidRPr="004F4F2B" w:rsidTr="007F3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2816F2" w:rsidRPr="004F4F2B" w:rsidRDefault="002816F2" w:rsidP="002816F2">
            <w:pPr>
              <w:tabs>
                <w:tab w:val="left" w:pos="880"/>
              </w:tabs>
              <w:spacing w:before="40" w:after="40"/>
              <w:ind w:left="313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>3.2</w:t>
            </w:r>
            <w:r w:rsidRPr="004F4F2B">
              <w:rPr>
                <w:bCs/>
                <w:sz w:val="20"/>
                <w:szCs w:val="20"/>
              </w:rPr>
              <w:tab/>
            </w:r>
            <w:r w:rsidRPr="004F4F2B">
              <w:rPr>
                <w:rFonts w:eastAsiaTheme="minorHAnsi"/>
                <w:sz w:val="20"/>
                <w:szCs w:val="20"/>
                <w:lang w:eastAsia="en-US"/>
              </w:rPr>
              <w:t>Dopady na mezinárodní konkurenceschopnost ČR</w:t>
            </w:r>
            <w:r w:rsidRPr="004F4F2B">
              <w:rPr>
                <w:bCs/>
                <w:sz w:val="20"/>
                <w:szCs w:val="20"/>
              </w:rPr>
              <w:t xml:space="preserve">: </w:t>
            </w:r>
            <w:r w:rsidR="002702BB" w:rsidRPr="004F4F2B">
              <w:rPr>
                <w:bCs/>
                <w:sz w:val="20"/>
                <w:szCs w:val="20"/>
              </w:rPr>
              <w:t>Ne</w:t>
            </w:r>
          </w:p>
        </w:tc>
      </w:tr>
      <w:tr w:rsidR="002816F2" w:rsidRPr="004F4F2B" w:rsidTr="00F00A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3ACE" w:rsidRPr="004F4F2B" w:rsidRDefault="00CA3ACE" w:rsidP="00AF1B33">
            <w:pPr>
              <w:tabs>
                <w:tab w:val="left" w:pos="1037"/>
              </w:tabs>
              <w:spacing w:before="40" w:after="40"/>
              <w:jc w:val="both"/>
              <w:rPr>
                <w:bCs/>
                <w:sz w:val="20"/>
                <w:szCs w:val="20"/>
              </w:rPr>
            </w:pPr>
          </w:p>
        </w:tc>
      </w:tr>
      <w:tr w:rsidR="002816F2" w:rsidRPr="004F4F2B" w:rsidTr="007F3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2816F2" w:rsidRPr="004F4F2B" w:rsidRDefault="006B2DA7" w:rsidP="006B2DA7">
            <w:pPr>
              <w:tabs>
                <w:tab w:val="left" w:pos="313"/>
                <w:tab w:val="left" w:pos="880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ab/>
              <w:t>3.3</w:t>
            </w:r>
            <w:r w:rsidRPr="004F4F2B">
              <w:rPr>
                <w:bCs/>
                <w:sz w:val="20"/>
                <w:szCs w:val="20"/>
              </w:rPr>
              <w:tab/>
            </w:r>
            <w:r w:rsidR="00B722CC" w:rsidRPr="004F4F2B">
              <w:rPr>
                <w:rFonts w:eastAsiaTheme="minorHAnsi"/>
                <w:sz w:val="20"/>
                <w:szCs w:val="20"/>
                <w:lang w:eastAsia="en-US"/>
              </w:rPr>
              <w:t>Dopady na podnikatelské prostředí: Ano</w:t>
            </w:r>
          </w:p>
        </w:tc>
      </w:tr>
      <w:tr w:rsidR="002816F2" w:rsidRPr="004F4F2B" w:rsidTr="00F00A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16F2" w:rsidRPr="004F4F2B" w:rsidRDefault="00E37D60" w:rsidP="003D358C">
            <w:pPr>
              <w:spacing w:before="40" w:after="40"/>
              <w:jc w:val="both"/>
              <w:rPr>
                <w:bCs/>
                <w:sz w:val="20"/>
                <w:szCs w:val="20"/>
              </w:rPr>
            </w:pPr>
            <w:r w:rsidRPr="004F4F2B">
              <w:rPr>
                <w:sz w:val="20"/>
                <w:szCs w:val="20"/>
              </w:rPr>
              <w:t xml:space="preserve">Lze předpokládat, že navrhovaná právní úprava bude mít na podnikatelské prostředí drobné pozitivní finanční dopady. </w:t>
            </w:r>
            <w:r w:rsidR="003D358C">
              <w:rPr>
                <w:sz w:val="20"/>
                <w:szCs w:val="20"/>
              </w:rPr>
              <w:t>D</w:t>
            </w:r>
            <w:r w:rsidRPr="004F4F2B">
              <w:rPr>
                <w:sz w:val="20"/>
                <w:szCs w:val="20"/>
              </w:rPr>
              <w:t>ůvod</w:t>
            </w:r>
            <w:r w:rsidR="003D358C">
              <w:rPr>
                <w:sz w:val="20"/>
                <w:szCs w:val="20"/>
              </w:rPr>
              <w:t>em bude</w:t>
            </w:r>
            <w:r w:rsidRPr="004F4F2B">
              <w:rPr>
                <w:sz w:val="20"/>
                <w:szCs w:val="20"/>
              </w:rPr>
              <w:t xml:space="preserve"> nevynakládání administrativních nákladů spojených s ověřováním splnění podmínek pro přístup osob z řad široké veřejnosti k prekurzorům výbušnin podléhajícím omezení</w:t>
            </w:r>
            <w:r w:rsidR="003D358C">
              <w:rPr>
                <w:sz w:val="20"/>
                <w:szCs w:val="20"/>
              </w:rPr>
              <w:t xml:space="preserve"> (dosud registrovaných a povolovaných)</w:t>
            </w:r>
            <w:r w:rsidRPr="004F4F2B">
              <w:rPr>
                <w:sz w:val="20"/>
                <w:szCs w:val="20"/>
              </w:rPr>
              <w:t>, jelikož se jejich zpřístupňování navrhuje zakázat</w:t>
            </w:r>
            <w:r w:rsidR="00C9010B" w:rsidRPr="004F4F2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R="002816F2" w:rsidRPr="004F4F2B" w:rsidTr="007F3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2816F2" w:rsidRPr="004F4F2B" w:rsidRDefault="006B2DA7" w:rsidP="006B2DA7">
            <w:pPr>
              <w:tabs>
                <w:tab w:val="left" w:pos="313"/>
                <w:tab w:val="left" w:pos="880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ab/>
            </w:r>
            <w:r w:rsidR="00B722CC" w:rsidRPr="004F4F2B">
              <w:rPr>
                <w:bCs/>
                <w:sz w:val="20"/>
                <w:szCs w:val="20"/>
              </w:rPr>
              <w:t>3.4</w:t>
            </w:r>
            <w:r w:rsidR="00B722CC" w:rsidRPr="004F4F2B">
              <w:rPr>
                <w:bCs/>
                <w:sz w:val="20"/>
                <w:szCs w:val="20"/>
              </w:rPr>
              <w:tab/>
              <w:t>Dopady na územní samosprávné celky (obce, kraje): Ne</w:t>
            </w:r>
          </w:p>
        </w:tc>
      </w:tr>
      <w:tr w:rsidR="002816F2" w:rsidRPr="004F4F2B" w:rsidTr="00F00A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16F2" w:rsidRPr="004F4F2B" w:rsidRDefault="002816F2" w:rsidP="004949EB">
            <w:pPr>
              <w:tabs>
                <w:tab w:val="left" w:pos="1037"/>
              </w:tabs>
              <w:rPr>
                <w:bCs/>
                <w:sz w:val="20"/>
                <w:szCs w:val="20"/>
              </w:rPr>
            </w:pPr>
          </w:p>
        </w:tc>
      </w:tr>
      <w:tr w:rsidR="002816F2" w:rsidRPr="004F4F2B" w:rsidTr="007F3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2816F2" w:rsidRPr="004F4F2B" w:rsidRDefault="00013B76" w:rsidP="00013B76">
            <w:pPr>
              <w:tabs>
                <w:tab w:val="left" w:pos="313"/>
                <w:tab w:val="left" w:pos="880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ab/>
            </w:r>
            <w:r w:rsidR="00B722CC" w:rsidRPr="004F4F2B">
              <w:rPr>
                <w:bCs/>
                <w:sz w:val="20"/>
                <w:szCs w:val="20"/>
              </w:rPr>
              <w:t>3.5</w:t>
            </w:r>
            <w:r w:rsidRPr="004F4F2B">
              <w:rPr>
                <w:bCs/>
                <w:sz w:val="20"/>
                <w:szCs w:val="20"/>
              </w:rPr>
              <w:tab/>
            </w:r>
            <w:r w:rsidR="00B722CC" w:rsidRPr="004F4F2B">
              <w:rPr>
                <w:bCs/>
                <w:sz w:val="20"/>
                <w:szCs w:val="20"/>
              </w:rPr>
              <w:t>Sociální dopady: Ne</w:t>
            </w:r>
          </w:p>
        </w:tc>
      </w:tr>
      <w:tr w:rsidR="00F00A47" w:rsidRPr="004F4F2B" w:rsidTr="00F00A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00A47" w:rsidRPr="004F4F2B" w:rsidRDefault="00F00A47" w:rsidP="004949EB">
            <w:pPr>
              <w:tabs>
                <w:tab w:val="left" w:pos="1037"/>
              </w:tabs>
              <w:rPr>
                <w:bCs/>
                <w:sz w:val="20"/>
                <w:szCs w:val="20"/>
              </w:rPr>
            </w:pPr>
          </w:p>
        </w:tc>
      </w:tr>
      <w:tr w:rsidR="002816F2" w:rsidRPr="004F4F2B" w:rsidTr="00276C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2816F2" w:rsidRPr="004F4F2B" w:rsidRDefault="00EC0C1F" w:rsidP="000A07D6">
            <w:pPr>
              <w:tabs>
                <w:tab w:val="left" w:pos="313"/>
                <w:tab w:val="left" w:pos="880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rFonts w:eastAsiaTheme="minorHAnsi"/>
                <w:sz w:val="20"/>
                <w:szCs w:val="20"/>
                <w:lang w:eastAsia="en-US"/>
              </w:rPr>
              <w:tab/>
            </w:r>
            <w:r w:rsidR="00B722CC" w:rsidRPr="004F4F2B">
              <w:rPr>
                <w:rFonts w:eastAsiaTheme="minorHAnsi"/>
                <w:sz w:val="20"/>
                <w:szCs w:val="20"/>
                <w:lang w:eastAsia="en-US"/>
              </w:rPr>
              <w:t>3.6</w:t>
            </w:r>
            <w:r w:rsidRPr="004F4F2B">
              <w:rPr>
                <w:rFonts w:eastAsiaTheme="minorHAnsi"/>
                <w:sz w:val="20"/>
                <w:szCs w:val="20"/>
                <w:lang w:eastAsia="en-US"/>
              </w:rPr>
              <w:tab/>
            </w:r>
            <w:r w:rsidR="00B722CC" w:rsidRPr="004F4F2B">
              <w:rPr>
                <w:rFonts w:eastAsiaTheme="minorHAnsi"/>
                <w:sz w:val="20"/>
                <w:szCs w:val="20"/>
                <w:lang w:eastAsia="en-US"/>
              </w:rPr>
              <w:t>Dopady na spotřebitele</w:t>
            </w:r>
            <w:r w:rsidRPr="004F4F2B">
              <w:rPr>
                <w:rFonts w:eastAsiaTheme="minorHAnsi"/>
                <w:sz w:val="20"/>
                <w:szCs w:val="20"/>
                <w:lang w:eastAsia="en-US"/>
              </w:rPr>
              <w:t xml:space="preserve">: </w:t>
            </w:r>
            <w:r w:rsidR="00553D34" w:rsidRPr="004F4F2B">
              <w:rPr>
                <w:rFonts w:eastAsiaTheme="minorHAnsi"/>
                <w:sz w:val="20"/>
                <w:szCs w:val="20"/>
                <w:lang w:eastAsia="en-US"/>
              </w:rPr>
              <w:t>Ano</w:t>
            </w:r>
          </w:p>
        </w:tc>
      </w:tr>
      <w:tr w:rsidR="00B722CC" w:rsidRPr="004F4F2B" w:rsidTr="007F34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B8A" w:rsidRPr="004F4F2B" w:rsidRDefault="00125135" w:rsidP="00AA6AB2">
            <w:pPr>
              <w:tabs>
                <w:tab w:val="left" w:pos="1037"/>
              </w:tabs>
              <w:jc w:val="both"/>
              <w:rPr>
                <w:bCs/>
                <w:sz w:val="20"/>
                <w:szCs w:val="20"/>
              </w:rPr>
            </w:pPr>
            <w:r w:rsidRPr="004F4F2B">
              <w:rPr>
                <w:rFonts w:eastAsiaTheme="minorHAnsi"/>
                <w:sz w:val="20"/>
                <w:szCs w:val="20"/>
                <w:lang w:eastAsia="en-US"/>
              </w:rPr>
              <w:t xml:space="preserve">Navrhovaná právní úprava bude mít </w:t>
            </w:r>
            <w:r w:rsidR="00AA6AB2">
              <w:rPr>
                <w:rFonts w:eastAsiaTheme="minorHAnsi"/>
                <w:sz w:val="20"/>
                <w:szCs w:val="20"/>
                <w:lang w:eastAsia="en-US"/>
              </w:rPr>
              <w:t>zanedbatelné</w:t>
            </w:r>
            <w:r w:rsidRPr="004F4F2B">
              <w:rPr>
                <w:rFonts w:eastAsiaTheme="minorHAnsi"/>
                <w:sz w:val="20"/>
                <w:szCs w:val="20"/>
                <w:lang w:eastAsia="en-US"/>
              </w:rPr>
              <w:t xml:space="preserve"> finanční dopady na osoby z řad široké veřejnosti v důsledku </w:t>
            </w:r>
            <w:r w:rsidR="00AA6AB2">
              <w:rPr>
                <w:rFonts w:eastAsiaTheme="minorHAnsi"/>
                <w:sz w:val="20"/>
                <w:szCs w:val="20"/>
                <w:lang w:eastAsia="en-US"/>
              </w:rPr>
              <w:t>nutnosti koupě</w:t>
            </w:r>
            <w:r w:rsidRPr="004F4F2B">
              <w:rPr>
                <w:rFonts w:eastAsiaTheme="minorHAnsi"/>
                <w:sz w:val="20"/>
                <w:szCs w:val="20"/>
                <w:lang w:eastAsia="en-US"/>
              </w:rPr>
              <w:t xml:space="preserve"> alternativních výrobků namísto prekurzorů výbušnin podléhajících omezení, které, v závislosti </w:t>
            </w:r>
            <w:r w:rsidR="00AA6AB2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4F4F2B">
              <w:rPr>
                <w:rFonts w:eastAsiaTheme="minorHAnsi"/>
                <w:sz w:val="20"/>
                <w:szCs w:val="20"/>
                <w:lang w:eastAsia="en-US"/>
              </w:rPr>
              <w:t>na druhu</w:t>
            </w:r>
            <w:r w:rsidR="003D358C">
              <w:rPr>
                <w:rFonts w:eastAsiaTheme="minorHAnsi"/>
                <w:sz w:val="20"/>
                <w:szCs w:val="20"/>
                <w:lang w:eastAsia="en-US"/>
              </w:rPr>
              <w:t xml:space="preserve"> a ceně na trhu</w:t>
            </w:r>
            <w:r w:rsidRPr="004F4F2B">
              <w:rPr>
                <w:rFonts w:eastAsiaTheme="minorHAnsi"/>
                <w:sz w:val="20"/>
                <w:szCs w:val="20"/>
                <w:lang w:eastAsia="en-US"/>
              </w:rPr>
              <w:t>, mohou vykazovat vyšší jednotkovou cenu.</w:t>
            </w:r>
          </w:p>
        </w:tc>
      </w:tr>
      <w:tr w:rsidR="00B722CC" w:rsidRPr="004F4F2B" w:rsidTr="00276C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B722CC" w:rsidRPr="004F4F2B" w:rsidRDefault="00EC0C1F" w:rsidP="000A07D6">
            <w:pPr>
              <w:tabs>
                <w:tab w:val="left" w:pos="313"/>
                <w:tab w:val="left" w:pos="880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ab/>
            </w:r>
            <w:r w:rsidR="00B722CC" w:rsidRPr="004F4F2B">
              <w:rPr>
                <w:bCs/>
                <w:sz w:val="20"/>
                <w:szCs w:val="20"/>
              </w:rPr>
              <w:t>3.7</w:t>
            </w:r>
            <w:r w:rsidRPr="004F4F2B">
              <w:rPr>
                <w:bCs/>
                <w:sz w:val="20"/>
                <w:szCs w:val="20"/>
              </w:rPr>
              <w:tab/>
            </w:r>
            <w:r w:rsidR="00B722CC" w:rsidRPr="004F4F2B">
              <w:rPr>
                <w:bCs/>
                <w:sz w:val="20"/>
                <w:szCs w:val="20"/>
              </w:rPr>
              <w:t>Dopady na životní prostředí: Ne</w:t>
            </w:r>
          </w:p>
        </w:tc>
      </w:tr>
      <w:tr w:rsidR="007D47F8" w:rsidRPr="004F4F2B" w:rsidTr="00653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227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47F8" w:rsidRPr="004F4F2B" w:rsidRDefault="007D47F8" w:rsidP="004949EB">
            <w:pPr>
              <w:tabs>
                <w:tab w:val="left" w:pos="313"/>
                <w:tab w:val="left" w:pos="880"/>
              </w:tabs>
              <w:rPr>
                <w:bCs/>
                <w:sz w:val="20"/>
                <w:szCs w:val="20"/>
              </w:rPr>
            </w:pPr>
          </w:p>
        </w:tc>
      </w:tr>
      <w:tr w:rsidR="007D47F8" w:rsidRPr="004F4F2B" w:rsidTr="00276C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7D47F8" w:rsidRPr="004F4F2B" w:rsidRDefault="00190FAA" w:rsidP="000A07D6">
            <w:pPr>
              <w:tabs>
                <w:tab w:val="left" w:pos="313"/>
                <w:tab w:val="left" w:pos="880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ab/>
            </w:r>
            <w:r w:rsidR="007D47F8" w:rsidRPr="004F4F2B">
              <w:rPr>
                <w:bCs/>
                <w:sz w:val="20"/>
                <w:szCs w:val="20"/>
              </w:rPr>
              <w:t>3.8</w:t>
            </w:r>
            <w:r w:rsidRPr="004F4F2B">
              <w:rPr>
                <w:bCs/>
                <w:sz w:val="20"/>
                <w:szCs w:val="20"/>
              </w:rPr>
              <w:tab/>
            </w:r>
            <w:r w:rsidR="007D47F8" w:rsidRPr="004F4F2B">
              <w:rPr>
                <w:rFonts w:eastAsiaTheme="minorHAnsi"/>
                <w:sz w:val="20"/>
                <w:szCs w:val="20"/>
                <w:lang w:eastAsia="en-US"/>
              </w:rPr>
              <w:t>Dopady ve vztahu k zákazu diskriminace a ve vztahu k rovnosti žen a mužů: Ne</w:t>
            </w:r>
          </w:p>
        </w:tc>
      </w:tr>
      <w:tr w:rsidR="007D47F8" w:rsidRPr="004F4F2B" w:rsidTr="00653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227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47F8" w:rsidRPr="004F4F2B" w:rsidRDefault="007D47F8" w:rsidP="004949EB">
            <w:pPr>
              <w:tabs>
                <w:tab w:val="left" w:pos="313"/>
                <w:tab w:val="left" w:pos="880"/>
              </w:tabs>
              <w:rPr>
                <w:bCs/>
                <w:sz w:val="20"/>
                <w:szCs w:val="20"/>
              </w:rPr>
            </w:pPr>
          </w:p>
        </w:tc>
      </w:tr>
      <w:tr w:rsidR="007D47F8" w:rsidRPr="004F4F2B" w:rsidTr="00276C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7D47F8" w:rsidRPr="004F4F2B" w:rsidRDefault="001F2467" w:rsidP="000A07D6">
            <w:pPr>
              <w:tabs>
                <w:tab w:val="left" w:pos="313"/>
                <w:tab w:val="left" w:pos="880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rFonts w:eastAsiaTheme="minorHAnsi"/>
                <w:sz w:val="20"/>
                <w:szCs w:val="20"/>
                <w:lang w:eastAsia="en-US"/>
              </w:rPr>
              <w:tab/>
            </w:r>
            <w:r w:rsidR="007D47F8" w:rsidRPr="004F4F2B">
              <w:rPr>
                <w:rFonts w:eastAsiaTheme="minorHAnsi"/>
                <w:sz w:val="20"/>
                <w:szCs w:val="20"/>
                <w:lang w:eastAsia="en-US"/>
              </w:rPr>
              <w:t>3.9</w:t>
            </w:r>
            <w:r w:rsidRPr="004F4F2B">
              <w:rPr>
                <w:rFonts w:eastAsiaTheme="minorHAnsi"/>
                <w:sz w:val="20"/>
                <w:szCs w:val="20"/>
                <w:lang w:eastAsia="en-US"/>
              </w:rPr>
              <w:tab/>
            </w:r>
            <w:r w:rsidR="007D47F8" w:rsidRPr="004F4F2B">
              <w:rPr>
                <w:rFonts w:eastAsiaTheme="minorHAnsi"/>
                <w:sz w:val="20"/>
                <w:szCs w:val="20"/>
                <w:lang w:eastAsia="en-US"/>
              </w:rPr>
              <w:t>Dopady na výkon státní statistické služby: Ne</w:t>
            </w:r>
          </w:p>
        </w:tc>
      </w:tr>
      <w:tr w:rsidR="007D47F8" w:rsidRPr="004F4F2B" w:rsidTr="00653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227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47F8" w:rsidRPr="004F4F2B" w:rsidRDefault="007D47F8" w:rsidP="004949EB">
            <w:pPr>
              <w:tabs>
                <w:tab w:val="left" w:pos="313"/>
                <w:tab w:val="left" w:pos="880"/>
              </w:tabs>
              <w:rPr>
                <w:bCs/>
                <w:sz w:val="20"/>
                <w:szCs w:val="20"/>
              </w:rPr>
            </w:pPr>
          </w:p>
        </w:tc>
      </w:tr>
      <w:tr w:rsidR="007D47F8" w:rsidRPr="004F4F2B" w:rsidTr="00276C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7D47F8" w:rsidRPr="004F4F2B" w:rsidRDefault="001F2467" w:rsidP="000A07D6">
            <w:pPr>
              <w:tabs>
                <w:tab w:val="left" w:pos="313"/>
                <w:tab w:val="left" w:pos="880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ab/>
            </w:r>
            <w:r w:rsidR="007D47F8" w:rsidRPr="004F4F2B">
              <w:rPr>
                <w:bCs/>
                <w:sz w:val="20"/>
                <w:szCs w:val="20"/>
              </w:rPr>
              <w:t>3.10</w:t>
            </w:r>
            <w:r w:rsidRPr="004F4F2B">
              <w:rPr>
                <w:bCs/>
                <w:sz w:val="20"/>
                <w:szCs w:val="20"/>
              </w:rPr>
              <w:tab/>
            </w:r>
            <w:r w:rsidR="007D47F8" w:rsidRPr="004F4F2B">
              <w:rPr>
                <w:rFonts w:eastAsiaTheme="minorHAnsi"/>
                <w:sz w:val="20"/>
                <w:szCs w:val="20"/>
                <w:lang w:eastAsia="en-US"/>
              </w:rPr>
              <w:t>Korupční rizika: Ne</w:t>
            </w:r>
          </w:p>
        </w:tc>
      </w:tr>
      <w:tr w:rsidR="00B722CC" w:rsidRPr="004F4F2B" w:rsidTr="00653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227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722CC" w:rsidRPr="004F4F2B" w:rsidRDefault="00B722CC" w:rsidP="004949EB">
            <w:pPr>
              <w:tabs>
                <w:tab w:val="left" w:pos="313"/>
                <w:tab w:val="left" w:pos="880"/>
              </w:tabs>
              <w:rPr>
                <w:bCs/>
                <w:sz w:val="20"/>
                <w:szCs w:val="20"/>
              </w:rPr>
            </w:pPr>
          </w:p>
        </w:tc>
      </w:tr>
      <w:tr w:rsidR="00B722CC" w:rsidRPr="004F4F2B" w:rsidTr="00CD19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:rsidR="00B722CC" w:rsidRPr="004F4F2B" w:rsidRDefault="001F2467" w:rsidP="000A07D6">
            <w:pPr>
              <w:tabs>
                <w:tab w:val="left" w:pos="313"/>
                <w:tab w:val="left" w:pos="880"/>
              </w:tabs>
              <w:spacing w:before="40" w:after="40"/>
              <w:rPr>
                <w:bCs/>
                <w:sz w:val="20"/>
                <w:szCs w:val="20"/>
              </w:rPr>
            </w:pPr>
            <w:r w:rsidRPr="004F4F2B">
              <w:rPr>
                <w:bCs/>
                <w:sz w:val="20"/>
                <w:szCs w:val="20"/>
              </w:rPr>
              <w:tab/>
            </w:r>
            <w:r w:rsidR="0096269B" w:rsidRPr="004F4F2B">
              <w:rPr>
                <w:bCs/>
                <w:sz w:val="20"/>
                <w:szCs w:val="20"/>
              </w:rPr>
              <w:t>3.11</w:t>
            </w:r>
            <w:r w:rsidRPr="004F4F2B">
              <w:rPr>
                <w:bCs/>
                <w:sz w:val="20"/>
                <w:szCs w:val="20"/>
              </w:rPr>
              <w:tab/>
            </w:r>
            <w:r w:rsidR="0096269B" w:rsidRPr="004F4F2B">
              <w:rPr>
                <w:rFonts w:eastAsiaTheme="minorHAnsi"/>
                <w:sz w:val="20"/>
                <w:szCs w:val="20"/>
                <w:lang w:eastAsia="en-US"/>
              </w:rPr>
              <w:t xml:space="preserve">Dopady na bezpečnost nebo obranu státu: </w:t>
            </w:r>
            <w:r w:rsidR="00C86A91" w:rsidRPr="004F4F2B">
              <w:rPr>
                <w:rFonts w:eastAsiaTheme="minorHAnsi"/>
                <w:sz w:val="20"/>
                <w:szCs w:val="20"/>
                <w:lang w:eastAsia="en-US"/>
              </w:rPr>
              <w:t>Ano</w:t>
            </w:r>
          </w:p>
        </w:tc>
      </w:tr>
      <w:tr w:rsidR="0070306F" w:rsidRPr="004F4F2B" w:rsidTr="00EC7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306F" w:rsidRPr="004F4F2B" w:rsidRDefault="00B1563B" w:rsidP="00D44BFB">
            <w:pPr>
              <w:tabs>
                <w:tab w:val="left" w:pos="313"/>
                <w:tab w:val="left" w:pos="880"/>
              </w:tabs>
              <w:jc w:val="both"/>
              <w:rPr>
                <w:bCs/>
                <w:sz w:val="20"/>
                <w:szCs w:val="20"/>
              </w:rPr>
            </w:pPr>
            <w:r w:rsidRPr="004F4F2B">
              <w:rPr>
                <w:rFonts w:eastAsiaTheme="minorHAnsi"/>
                <w:sz w:val="20"/>
                <w:szCs w:val="20"/>
                <w:lang w:eastAsia="en-US"/>
              </w:rPr>
              <w:t>Navrhovaná právní úprava má pozitivní vliv na bezpečnost státu, když omezuje přístup k látkám a směsím zneužitelným k nedovolené výrobě výbušnin</w:t>
            </w:r>
            <w:r w:rsidR="00DB3B70" w:rsidRPr="004F4F2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</w:tbl>
    <w:p w:rsidR="00F964C3" w:rsidRDefault="00F964C3" w:rsidP="006603CD">
      <w:pPr>
        <w:spacing w:after="480"/>
        <w:jc w:val="center"/>
        <w:rPr>
          <w:b/>
          <w:sz w:val="22"/>
          <w:szCs w:val="22"/>
        </w:rPr>
      </w:pPr>
    </w:p>
    <w:p w:rsidR="006B7D1C" w:rsidRDefault="006B7D1C" w:rsidP="006603CD">
      <w:pPr>
        <w:spacing w:after="480"/>
        <w:jc w:val="center"/>
        <w:rPr>
          <w:b/>
          <w:sz w:val="22"/>
          <w:szCs w:val="22"/>
        </w:rPr>
      </w:pPr>
    </w:p>
    <w:p w:rsidR="00FD2790" w:rsidRPr="004F4F2B" w:rsidRDefault="00FD2790" w:rsidP="006603CD">
      <w:pPr>
        <w:spacing w:after="480"/>
        <w:jc w:val="center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lastRenderedPageBreak/>
        <w:t>ZÁVĚREČNÁ ZPRÁVA Z HODNOCENÍ DOPADŮ REGULACE</w:t>
      </w:r>
    </w:p>
    <w:p w:rsidR="00781CBF" w:rsidRPr="004F4F2B" w:rsidRDefault="00781CBF" w:rsidP="00B0450A">
      <w:pPr>
        <w:spacing w:after="240"/>
        <w:ind w:left="425" w:hanging="425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1</w:t>
      </w:r>
      <w:r w:rsidRPr="004F4F2B">
        <w:rPr>
          <w:b/>
          <w:sz w:val="22"/>
          <w:szCs w:val="22"/>
        </w:rPr>
        <w:tab/>
        <w:t>Důvod předložení a cíle</w:t>
      </w:r>
    </w:p>
    <w:p w:rsidR="00781CBF" w:rsidRPr="004F4F2B" w:rsidRDefault="00781CBF" w:rsidP="003D358C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1.1</w:t>
      </w:r>
      <w:r w:rsidRPr="004F4F2B">
        <w:rPr>
          <w:b/>
          <w:sz w:val="22"/>
          <w:szCs w:val="22"/>
        </w:rPr>
        <w:tab/>
        <w:t>Název</w:t>
      </w:r>
    </w:p>
    <w:p w:rsidR="00781CBF" w:rsidRPr="004F4F2B" w:rsidRDefault="00781CBF" w:rsidP="003D358C">
      <w:pPr>
        <w:spacing w:after="48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Zákon</w:t>
      </w:r>
      <w:r w:rsidR="00662F5E" w:rsidRPr="004F4F2B">
        <w:rPr>
          <w:sz w:val="22"/>
          <w:szCs w:val="22"/>
        </w:rPr>
        <w:t xml:space="preserve"> o prekurzorech výbušnin a o změně </w:t>
      </w:r>
      <w:r w:rsidR="00C606FE" w:rsidRPr="004F4F2B">
        <w:rPr>
          <w:sz w:val="22"/>
          <w:szCs w:val="22"/>
        </w:rPr>
        <w:t xml:space="preserve">některých zákonů </w:t>
      </w:r>
      <w:r w:rsidR="009048DE" w:rsidRPr="004F4F2B">
        <w:rPr>
          <w:bCs/>
          <w:sz w:val="22"/>
          <w:szCs w:val="22"/>
        </w:rPr>
        <w:t>(zákon o prekurzorech výbušnin)</w:t>
      </w:r>
      <w:r w:rsidRPr="004F4F2B">
        <w:rPr>
          <w:bCs/>
          <w:sz w:val="22"/>
          <w:szCs w:val="22"/>
        </w:rPr>
        <w:t>.</w:t>
      </w:r>
    </w:p>
    <w:p w:rsidR="00781CBF" w:rsidRPr="004F4F2B" w:rsidRDefault="00781CBF" w:rsidP="003D358C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1.2</w:t>
      </w:r>
      <w:r w:rsidRPr="004F4F2B">
        <w:rPr>
          <w:b/>
          <w:sz w:val="22"/>
          <w:szCs w:val="22"/>
        </w:rPr>
        <w:tab/>
        <w:t>Definice problému</w:t>
      </w:r>
    </w:p>
    <w:p w:rsidR="00593E46" w:rsidRPr="004F4F2B" w:rsidRDefault="00593E46" w:rsidP="003D358C">
      <w:pPr>
        <w:spacing w:after="24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>Dovoz, prodej, držení a používání prekurzorů výbušnin (chemických látek a směsí, ze kterých lze připravit výbušnin</w:t>
      </w:r>
      <w:r w:rsidR="006D043A" w:rsidRPr="004F4F2B">
        <w:rPr>
          <w:bCs/>
          <w:sz w:val="22"/>
          <w:szCs w:val="22"/>
        </w:rPr>
        <w:t>y</w:t>
      </w:r>
      <w:r w:rsidRPr="004F4F2B">
        <w:rPr>
          <w:bCs/>
          <w:sz w:val="22"/>
          <w:szCs w:val="22"/>
        </w:rPr>
        <w:t>) fyzickými osobami podléhá na úrovni Evropské unie již téměř 5 let pravidlům</w:t>
      </w:r>
      <w:r w:rsidR="006D043A" w:rsidRPr="004F4F2B">
        <w:rPr>
          <w:bCs/>
          <w:sz w:val="22"/>
          <w:szCs w:val="22"/>
        </w:rPr>
        <w:t xml:space="preserve"> </w:t>
      </w:r>
      <w:r w:rsidRPr="004F4F2B">
        <w:rPr>
          <w:bCs/>
          <w:sz w:val="22"/>
          <w:szCs w:val="22"/>
        </w:rPr>
        <w:t xml:space="preserve">stanoveným nařízením Evropského parlamentu a Rady č. 98/2013 </w:t>
      </w:r>
      <w:r w:rsidRPr="004F4F2B">
        <w:rPr>
          <w:bCs/>
          <w:color w:val="000000"/>
          <w:sz w:val="22"/>
          <w:szCs w:val="22"/>
        </w:rPr>
        <w:t xml:space="preserve">o uvádění prekurzorů výbušnin na trh a o jejich používání, </w:t>
      </w:r>
      <w:r w:rsidRPr="004F4F2B">
        <w:rPr>
          <w:sz w:val="22"/>
          <w:szCs w:val="22"/>
        </w:rPr>
        <w:t xml:space="preserve">ve znění prováděcího nařízení Komise (EU) 2017/214, 2017/215 a 2017/216 (dále jen „přímo použitelné nařízení č. 98/2013“), </w:t>
      </w:r>
      <w:r w:rsidRPr="004F4F2B">
        <w:rPr>
          <w:bCs/>
          <w:color w:val="000000"/>
          <w:sz w:val="22"/>
          <w:szCs w:val="22"/>
        </w:rPr>
        <w:t xml:space="preserve">a na území České republiky pak rovněž </w:t>
      </w:r>
      <w:r w:rsidR="006D043A" w:rsidRPr="004F4F2B">
        <w:rPr>
          <w:bCs/>
          <w:color w:val="000000"/>
          <w:sz w:val="22"/>
          <w:szCs w:val="22"/>
        </w:rPr>
        <w:t xml:space="preserve">pravidlům </w:t>
      </w:r>
      <w:r w:rsidRPr="004F4F2B">
        <w:rPr>
          <w:bCs/>
          <w:color w:val="000000"/>
          <w:sz w:val="22"/>
          <w:szCs w:val="22"/>
        </w:rPr>
        <w:t>stanovený</w:t>
      </w:r>
      <w:r w:rsidR="006D043A" w:rsidRPr="004F4F2B">
        <w:rPr>
          <w:bCs/>
          <w:color w:val="000000"/>
          <w:sz w:val="22"/>
          <w:szCs w:val="22"/>
        </w:rPr>
        <w:t xml:space="preserve">m </w:t>
      </w:r>
      <w:r w:rsidRPr="004F4F2B">
        <w:rPr>
          <w:bCs/>
          <w:color w:val="000000"/>
          <w:sz w:val="22"/>
          <w:szCs w:val="22"/>
        </w:rPr>
        <w:t xml:space="preserve">adaptačním zákonem č. 259/2014 Sb., </w:t>
      </w:r>
      <w:r w:rsidRPr="004F4F2B">
        <w:rPr>
          <w:bCs/>
          <w:sz w:val="22"/>
          <w:szCs w:val="22"/>
        </w:rPr>
        <w:t>o prekurzorech výbušnin a o změně zákona č. 634/2004 Sb., o</w:t>
      </w:r>
      <w:r w:rsidR="006D043A" w:rsidRPr="004F4F2B">
        <w:rPr>
          <w:bCs/>
          <w:sz w:val="22"/>
          <w:szCs w:val="22"/>
        </w:rPr>
        <w:t> </w:t>
      </w:r>
      <w:r w:rsidRPr="004F4F2B">
        <w:rPr>
          <w:bCs/>
          <w:sz w:val="22"/>
          <w:szCs w:val="22"/>
        </w:rPr>
        <w:t>správních poplatcích, ve znění pozdějších předpisů (zákon o prekurzorech výbušnin), ve znění zákona č. 183/2017 Sb.</w:t>
      </w:r>
    </w:p>
    <w:p w:rsidR="0019025A" w:rsidRPr="004F4F2B" w:rsidRDefault="00BA4700" w:rsidP="003D358C">
      <w:pPr>
        <w:spacing w:after="8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 xml:space="preserve">Při vynucování celounijních </w:t>
      </w:r>
      <w:r w:rsidR="006965F8" w:rsidRPr="004F4F2B">
        <w:rPr>
          <w:bCs/>
          <w:sz w:val="22"/>
          <w:szCs w:val="22"/>
        </w:rPr>
        <w:t xml:space="preserve">pravidel </w:t>
      </w:r>
      <w:r w:rsidR="00E5589B" w:rsidRPr="004F4F2B">
        <w:rPr>
          <w:bCs/>
          <w:sz w:val="22"/>
          <w:szCs w:val="22"/>
        </w:rPr>
        <w:t xml:space="preserve">však </w:t>
      </w:r>
      <w:r w:rsidR="009B7DC5" w:rsidRPr="004F4F2B">
        <w:rPr>
          <w:bCs/>
          <w:sz w:val="22"/>
          <w:szCs w:val="22"/>
        </w:rPr>
        <w:t xml:space="preserve">postupem času </w:t>
      </w:r>
      <w:r w:rsidRPr="004F4F2B">
        <w:rPr>
          <w:bCs/>
          <w:sz w:val="22"/>
          <w:szCs w:val="22"/>
        </w:rPr>
        <w:t>vyvstala řada potíží, které</w:t>
      </w:r>
      <w:r w:rsidR="00E5589B" w:rsidRPr="004F4F2B">
        <w:rPr>
          <w:bCs/>
          <w:sz w:val="22"/>
          <w:szCs w:val="22"/>
        </w:rPr>
        <w:t xml:space="preserve"> brání </w:t>
      </w:r>
      <w:r w:rsidR="00853D17" w:rsidRPr="004F4F2B">
        <w:rPr>
          <w:bCs/>
          <w:sz w:val="22"/>
          <w:szCs w:val="22"/>
        </w:rPr>
        <w:t>efektivnímu boji proti neoprávněné výrobě improvizovaných výbušnin</w:t>
      </w:r>
      <w:r w:rsidR="00EE5B34" w:rsidRPr="004F4F2B">
        <w:rPr>
          <w:bCs/>
          <w:sz w:val="22"/>
          <w:szCs w:val="22"/>
        </w:rPr>
        <w:t>, zejména</w:t>
      </w:r>
      <w:r w:rsidR="0019025A" w:rsidRPr="004F4F2B">
        <w:rPr>
          <w:bCs/>
          <w:sz w:val="22"/>
          <w:szCs w:val="22"/>
        </w:rPr>
        <w:t>:</w:t>
      </w:r>
    </w:p>
    <w:p w:rsidR="00702B9D" w:rsidRPr="004F4F2B" w:rsidRDefault="00702B9D" w:rsidP="00571360">
      <w:pPr>
        <w:tabs>
          <w:tab w:val="left" w:pos="426"/>
        </w:tabs>
        <w:ind w:left="426" w:hanging="426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>a)</w:t>
      </w:r>
      <w:r w:rsidRPr="004F4F2B">
        <w:rPr>
          <w:bCs/>
          <w:sz w:val="22"/>
          <w:szCs w:val="22"/>
        </w:rPr>
        <w:tab/>
        <w:t xml:space="preserve">limitní hmotnostní koncentrace </w:t>
      </w:r>
      <w:r w:rsidR="008805BB" w:rsidRPr="004F4F2B">
        <w:rPr>
          <w:bCs/>
          <w:sz w:val="22"/>
          <w:szCs w:val="22"/>
        </w:rPr>
        <w:t>regulovaných chemických látek rozhodné pro přístup fyzických osob k nim na základě tzv. registračního režimu (</w:t>
      </w:r>
      <w:r w:rsidR="00657298" w:rsidRPr="004F4F2B">
        <w:rPr>
          <w:bCs/>
          <w:sz w:val="22"/>
          <w:szCs w:val="22"/>
        </w:rPr>
        <w:t>registrace údajů o nakupující fyzické osobě</w:t>
      </w:r>
      <w:r w:rsidR="00FF2D35" w:rsidRPr="004F4F2B">
        <w:rPr>
          <w:bCs/>
          <w:sz w:val="22"/>
          <w:szCs w:val="22"/>
        </w:rPr>
        <w:t xml:space="preserve"> prodejcem</w:t>
      </w:r>
      <w:r w:rsidR="008805BB" w:rsidRPr="004F4F2B">
        <w:rPr>
          <w:bCs/>
          <w:sz w:val="22"/>
          <w:szCs w:val="22"/>
        </w:rPr>
        <w:t>) je příliš vysoký</w:t>
      </w:r>
      <w:r w:rsidR="00264CB4" w:rsidRPr="004F4F2B">
        <w:rPr>
          <w:bCs/>
          <w:sz w:val="22"/>
          <w:szCs w:val="22"/>
        </w:rPr>
        <w:t>; f</w:t>
      </w:r>
      <w:r w:rsidR="002229BD" w:rsidRPr="004F4F2B">
        <w:rPr>
          <w:bCs/>
          <w:sz w:val="22"/>
          <w:szCs w:val="22"/>
        </w:rPr>
        <w:t xml:space="preserve">yzické osoby </w:t>
      </w:r>
      <w:r w:rsidR="003D358C">
        <w:rPr>
          <w:bCs/>
          <w:sz w:val="22"/>
          <w:szCs w:val="22"/>
        </w:rPr>
        <w:t xml:space="preserve">dosud </w:t>
      </w:r>
      <w:r w:rsidR="002229BD" w:rsidRPr="004F4F2B">
        <w:rPr>
          <w:bCs/>
          <w:sz w:val="22"/>
          <w:szCs w:val="22"/>
        </w:rPr>
        <w:t xml:space="preserve">mohou poměrně snadno získat </w:t>
      </w:r>
      <w:r w:rsidR="00E309F5" w:rsidRPr="004F4F2B">
        <w:rPr>
          <w:bCs/>
          <w:sz w:val="22"/>
          <w:szCs w:val="22"/>
        </w:rPr>
        <w:t>zneužitelné chemické látky a směsi</w:t>
      </w:r>
      <w:r w:rsidR="003C196F" w:rsidRPr="004F4F2B">
        <w:rPr>
          <w:bCs/>
          <w:sz w:val="22"/>
          <w:szCs w:val="22"/>
        </w:rPr>
        <w:t>;</w:t>
      </w:r>
    </w:p>
    <w:p w:rsidR="00BA4700" w:rsidRPr="004F4F2B" w:rsidRDefault="008805BB" w:rsidP="00571360">
      <w:pPr>
        <w:tabs>
          <w:tab w:val="left" w:pos="426"/>
        </w:tabs>
        <w:ind w:left="426" w:hanging="426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>b)</w:t>
      </w:r>
      <w:r w:rsidRPr="004F4F2B">
        <w:rPr>
          <w:bCs/>
          <w:sz w:val="22"/>
          <w:szCs w:val="22"/>
        </w:rPr>
        <w:tab/>
      </w:r>
      <w:r w:rsidR="00BA4700" w:rsidRPr="004F4F2B">
        <w:rPr>
          <w:bCs/>
          <w:sz w:val="22"/>
          <w:szCs w:val="22"/>
        </w:rPr>
        <w:t xml:space="preserve">některé regulované </w:t>
      </w:r>
      <w:r w:rsidR="003C196F" w:rsidRPr="004F4F2B">
        <w:rPr>
          <w:bCs/>
          <w:sz w:val="22"/>
          <w:szCs w:val="22"/>
        </w:rPr>
        <w:t xml:space="preserve">chemické </w:t>
      </w:r>
      <w:r w:rsidR="00BA4700" w:rsidRPr="004F4F2B">
        <w:rPr>
          <w:bCs/>
          <w:sz w:val="22"/>
          <w:szCs w:val="22"/>
        </w:rPr>
        <w:t xml:space="preserve">látky začínají být </w:t>
      </w:r>
      <w:r w:rsidR="003317E4" w:rsidRPr="004F4F2B">
        <w:rPr>
          <w:bCs/>
          <w:sz w:val="22"/>
          <w:szCs w:val="22"/>
        </w:rPr>
        <w:t xml:space="preserve">při neoprávněné výrobě </w:t>
      </w:r>
      <w:r w:rsidR="00E309F5" w:rsidRPr="004F4F2B">
        <w:rPr>
          <w:bCs/>
          <w:sz w:val="22"/>
          <w:szCs w:val="22"/>
        </w:rPr>
        <w:t xml:space="preserve">výbušnin </w:t>
      </w:r>
      <w:r w:rsidR="00BA4700" w:rsidRPr="004F4F2B">
        <w:rPr>
          <w:bCs/>
          <w:sz w:val="22"/>
          <w:szCs w:val="22"/>
        </w:rPr>
        <w:t xml:space="preserve">nahrazovány jinými </w:t>
      </w:r>
      <w:r w:rsidR="003317E4" w:rsidRPr="004F4F2B">
        <w:rPr>
          <w:bCs/>
          <w:sz w:val="22"/>
          <w:szCs w:val="22"/>
        </w:rPr>
        <w:t>(</w:t>
      </w:r>
      <w:r w:rsidR="00BA4700" w:rsidRPr="004F4F2B">
        <w:rPr>
          <w:bCs/>
          <w:sz w:val="22"/>
          <w:szCs w:val="22"/>
        </w:rPr>
        <w:t>neregulovanými</w:t>
      </w:r>
      <w:r w:rsidR="003317E4" w:rsidRPr="004F4F2B">
        <w:rPr>
          <w:bCs/>
          <w:sz w:val="22"/>
          <w:szCs w:val="22"/>
        </w:rPr>
        <w:t>)</w:t>
      </w:r>
      <w:r w:rsidR="00BA4700" w:rsidRPr="004F4F2B">
        <w:rPr>
          <w:bCs/>
          <w:sz w:val="22"/>
          <w:szCs w:val="22"/>
        </w:rPr>
        <w:t xml:space="preserve"> látkami</w:t>
      </w:r>
      <w:r w:rsidR="003317E4" w:rsidRPr="004F4F2B">
        <w:rPr>
          <w:bCs/>
          <w:sz w:val="22"/>
          <w:szCs w:val="22"/>
        </w:rPr>
        <w:t>;</w:t>
      </w:r>
    </w:p>
    <w:p w:rsidR="005B17E7" w:rsidRPr="004F4F2B" w:rsidRDefault="005B17E7" w:rsidP="00571360">
      <w:pPr>
        <w:tabs>
          <w:tab w:val="left" w:pos="426"/>
        </w:tabs>
        <w:ind w:left="426" w:hanging="426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>c)</w:t>
      </w:r>
      <w:r w:rsidRPr="004F4F2B">
        <w:rPr>
          <w:bCs/>
          <w:sz w:val="22"/>
          <w:szCs w:val="22"/>
        </w:rPr>
        <w:tab/>
      </w:r>
      <w:r w:rsidR="0094512F" w:rsidRPr="004F4F2B">
        <w:rPr>
          <w:bCs/>
          <w:sz w:val="22"/>
          <w:szCs w:val="22"/>
        </w:rPr>
        <w:t>existence 3 režimů pro přístup fyzických osob k prekurzorů</w:t>
      </w:r>
      <w:r w:rsidR="00575796" w:rsidRPr="004F4F2B">
        <w:rPr>
          <w:bCs/>
          <w:sz w:val="22"/>
          <w:szCs w:val="22"/>
        </w:rPr>
        <w:t>m</w:t>
      </w:r>
      <w:r w:rsidR="0094512F" w:rsidRPr="004F4F2B">
        <w:rPr>
          <w:bCs/>
          <w:sz w:val="22"/>
          <w:szCs w:val="22"/>
        </w:rPr>
        <w:t xml:space="preserve"> výbušnin (registrační režim, povolovací režim a úplný zákaz), </w:t>
      </w:r>
      <w:r w:rsidR="00C17216" w:rsidRPr="004F4F2B">
        <w:rPr>
          <w:bCs/>
          <w:sz w:val="22"/>
          <w:szCs w:val="22"/>
        </w:rPr>
        <w:t xml:space="preserve">jež </w:t>
      </w:r>
      <w:r w:rsidR="0094512F" w:rsidRPr="004F4F2B">
        <w:rPr>
          <w:bCs/>
          <w:sz w:val="22"/>
          <w:szCs w:val="22"/>
        </w:rPr>
        <w:t xml:space="preserve">členské státy Evropské unie využívají </w:t>
      </w:r>
      <w:r w:rsidR="00356F11" w:rsidRPr="004F4F2B">
        <w:rPr>
          <w:bCs/>
          <w:sz w:val="22"/>
          <w:szCs w:val="22"/>
        </w:rPr>
        <w:t>nejednotně, vede ke skutečnosti,</w:t>
      </w:r>
      <w:r w:rsidR="004E3C0C">
        <w:rPr>
          <w:bCs/>
          <w:sz w:val="22"/>
          <w:szCs w:val="22"/>
        </w:rPr>
        <w:t xml:space="preserve"> </w:t>
      </w:r>
      <w:r w:rsidR="00356F11" w:rsidRPr="004F4F2B">
        <w:rPr>
          <w:bCs/>
          <w:sz w:val="22"/>
          <w:szCs w:val="22"/>
        </w:rPr>
        <w:t xml:space="preserve">že </w:t>
      </w:r>
      <w:r w:rsidR="00193A56" w:rsidRPr="004F4F2B">
        <w:rPr>
          <w:bCs/>
          <w:sz w:val="22"/>
          <w:szCs w:val="22"/>
        </w:rPr>
        <w:t xml:space="preserve">potenciální </w:t>
      </w:r>
      <w:r w:rsidR="0053290E" w:rsidRPr="004F4F2B">
        <w:rPr>
          <w:bCs/>
          <w:sz w:val="22"/>
          <w:szCs w:val="22"/>
        </w:rPr>
        <w:t xml:space="preserve">pachatelé mohou snadno získat </w:t>
      </w:r>
      <w:r w:rsidR="002E629E" w:rsidRPr="004F4F2B">
        <w:rPr>
          <w:bCs/>
          <w:sz w:val="22"/>
          <w:szCs w:val="22"/>
        </w:rPr>
        <w:t>zneužitelné chemické látky a směsi</w:t>
      </w:r>
      <w:r w:rsidR="00760159" w:rsidRPr="004F4F2B">
        <w:rPr>
          <w:bCs/>
          <w:sz w:val="22"/>
          <w:szCs w:val="22"/>
        </w:rPr>
        <w:t>, např. způsobem na dálku,</w:t>
      </w:r>
      <w:r w:rsidR="0053290E" w:rsidRPr="004F4F2B">
        <w:rPr>
          <w:bCs/>
          <w:sz w:val="22"/>
          <w:szCs w:val="22"/>
        </w:rPr>
        <w:t xml:space="preserve"> z jiného členského státu Evropské unie, ve kterém </w:t>
      </w:r>
      <w:r w:rsidR="001B4C23" w:rsidRPr="004F4F2B">
        <w:rPr>
          <w:bCs/>
          <w:sz w:val="22"/>
          <w:szCs w:val="22"/>
        </w:rPr>
        <w:t xml:space="preserve">panují </w:t>
      </w:r>
      <w:r w:rsidR="00760159" w:rsidRPr="004F4F2B">
        <w:rPr>
          <w:bCs/>
          <w:sz w:val="22"/>
          <w:szCs w:val="22"/>
        </w:rPr>
        <w:t xml:space="preserve">odlišná pravidla </w:t>
      </w:r>
      <w:r w:rsidR="008D2BD6" w:rsidRPr="004F4F2B">
        <w:rPr>
          <w:bCs/>
          <w:sz w:val="22"/>
          <w:szCs w:val="22"/>
        </w:rPr>
        <w:t xml:space="preserve">než ve </w:t>
      </w:r>
      <w:r w:rsidR="00760159" w:rsidRPr="004F4F2B">
        <w:rPr>
          <w:bCs/>
          <w:sz w:val="22"/>
          <w:szCs w:val="22"/>
        </w:rPr>
        <w:t>stát</w:t>
      </w:r>
      <w:r w:rsidR="008D2BD6" w:rsidRPr="004F4F2B">
        <w:rPr>
          <w:bCs/>
          <w:sz w:val="22"/>
          <w:szCs w:val="22"/>
        </w:rPr>
        <w:t>ě</w:t>
      </w:r>
      <w:r w:rsidR="00760159" w:rsidRPr="004F4F2B">
        <w:rPr>
          <w:bCs/>
          <w:sz w:val="22"/>
          <w:szCs w:val="22"/>
        </w:rPr>
        <w:t xml:space="preserve"> trvalého pobytu případného pachatele;</w:t>
      </w:r>
    </w:p>
    <w:p w:rsidR="0096093F" w:rsidRPr="004F4F2B" w:rsidRDefault="005B17E7" w:rsidP="00571360">
      <w:pPr>
        <w:tabs>
          <w:tab w:val="left" w:pos="426"/>
        </w:tabs>
        <w:spacing w:after="240"/>
        <w:ind w:left="426" w:hanging="426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>d</w:t>
      </w:r>
      <w:r w:rsidR="000401B4" w:rsidRPr="004F4F2B">
        <w:rPr>
          <w:bCs/>
          <w:sz w:val="22"/>
          <w:szCs w:val="22"/>
        </w:rPr>
        <w:t>)</w:t>
      </w:r>
      <w:r w:rsidR="000401B4" w:rsidRPr="004F4F2B">
        <w:rPr>
          <w:bCs/>
          <w:sz w:val="22"/>
          <w:szCs w:val="22"/>
        </w:rPr>
        <w:tab/>
      </w:r>
      <w:r w:rsidR="00BA4700" w:rsidRPr="004F4F2B">
        <w:rPr>
          <w:bCs/>
          <w:sz w:val="22"/>
          <w:szCs w:val="22"/>
        </w:rPr>
        <w:t xml:space="preserve">omezení prodeje </w:t>
      </w:r>
      <w:r w:rsidR="000401B4" w:rsidRPr="004F4F2B">
        <w:rPr>
          <w:bCs/>
          <w:sz w:val="22"/>
          <w:szCs w:val="22"/>
        </w:rPr>
        <w:t xml:space="preserve">prekurzorů výbušnin </w:t>
      </w:r>
      <w:r w:rsidR="00BA4700" w:rsidRPr="004F4F2B">
        <w:rPr>
          <w:bCs/>
          <w:sz w:val="22"/>
          <w:szCs w:val="22"/>
        </w:rPr>
        <w:t>fyzickým osobám začínají být obcházena předstíranou obchodní činností</w:t>
      </w:r>
      <w:r w:rsidR="000401B4" w:rsidRPr="004F4F2B">
        <w:rPr>
          <w:bCs/>
          <w:sz w:val="22"/>
          <w:szCs w:val="22"/>
        </w:rPr>
        <w:t xml:space="preserve"> skrze formální statut podnikatele</w:t>
      </w:r>
      <w:r w:rsidR="00AB4F3D" w:rsidRPr="004F4F2B">
        <w:rPr>
          <w:bCs/>
          <w:sz w:val="22"/>
          <w:szCs w:val="22"/>
        </w:rPr>
        <w:t>.</w:t>
      </w:r>
    </w:p>
    <w:p w:rsidR="0088759F" w:rsidRPr="004F4F2B" w:rsidRDefault="00AB4F3D" w:rsidP="003D358C">
      <w:pPr>
        <w:spacing w:after="240"/>
        <w:jc w:val="both"/>
        <w:rPr>
          <w:sz w:val="22"/>
          <w:szCs w:val="22"/>
        </w:rPr>
      </w:pPr>
      <w:r w:rsidRPr="004F4F2B">
        <w:rPr>
          <w:bCs/>
          <w:sz w:val="22"/>
          <w:szCs w:val="22"/>
        </w:rPr>
        <w:t>Evropská komise</w:t>
      </w:r>
      <w:r w:rsidR="003A1723" w:rsidRPr="004F4F2B">
        <w:rPr>
          <w:bCs/>
          <w:sz w:val="22"/>
          <w:szCs w:val="22"/>
        </w:rPr>
        <w:t>, vědoma si těchto potíží</w:t>
      </w:r>
      <w:r w:rsidR="00257EC0">
        <w:rPr>
          <w:bCs/>
          <w:sz w:val="22"/>
          <w:szCs w:val="22"/>
        </w:rPr>
        <w:t>,</w:t>
      </w:r>
      <w:r w:rsidR="00FE4B68" w:rsidRPr="004F4F2B">
        <w:rPr>
          <w:bCs/>
          <w:sz w:val="22"/>
          <w:szCs w:val="22"/>
        </w:rPr>
        <w:t xml:space="preserve"> </w:t>
      </w:r>
      <w:r w:rsidR="002A4D89" w:rsidRPr="004F4F2B">
        <w:rPr>
          <w:bCs/>
          <w:sz w:val="22"/>
          <w:szCs w:val="22"/>
        </w:rPr>
        <w:t xml:space="preserve">již nedlouho po počátku </w:t>
      </w:r>
      <w:r w:rsidR="00257EC0">
        <w:rPr>
          <w:bCs/>
          <w:sz w:val="22"/>
          <w:szCs w:val="22"/>
        </w:rPr>
        <w:t xml:space="preserve">možnosti </w:t>
      </w:r>
      <w:r w:rsidR="002A4D89" w:rsidRPr="004F4F2B">
        <w:rPr>
          <w:bCs/>
          <w:sz w:val="22"/>
          <w:szCs w:val="22"/>
        </w:rPr>
        <w:t xml:space="preserve">vynucování </w:t>
      </w:r>
      <w:r w:rsidR="002A4D89" w:rsidRPr="004F4F2B">
        <w:rPr>
          <w:sz w:val="22"/>
          <w:szCs w:val="22"/>
        </w:rPr>
        <w:t>přímo použitelné</w:t>
      </w:r>
      <w:r w:rsidR="00131EBC" w:rsidRPr="004F4F2B">
        <w:rPr>
          <w:sz w:val="22"/>
          <w:szCs w:val="22"/>
        </w:rPr>
        <w:t>ho</w:t>
      </w:r>
      <w:r w:rsidR="002A4D89" w:rsidRPr="004F4F2B">
        <w:rPr>
          <w:sz w:val="22"/>
          <w:szCs w:val="22"/>
        </w:rPr>
        <w:t xml:space="preserve"> nařízení č. 98/2013</w:t>
      </w:r>
      <w:r w:rsidR="00257EC0">
        <w:rPr>
          <w:sz w:val="22"/>
          <w:szCs w:val="22"/>
        </w:rPr>
        <w:t>,</w:t>
      </w:r>
      <w:r w:rsidR="00356BCC" w:rsidRPr="004F4F2B">
        <w:rPr>
          <w:sz w:val="22"/>
          <w:szCs w:val="22"/>
        </w:rPr>
        <w:t xml:space="preserve"> </w:t>
      </w:r>
      <w:r w:rsidR="00FE4B68" w:rsidRPr="004F4F2B">
        <w:rPr>
          <w:bCs/>
          <w:sz w:val="22"/>
          <w:szCs w:val="22"/>
        </w:rPr>
        <w:t xml:space="preserve">začala </w:t>
      </w:r>
      <w:r w:rsidR="002A4D89" w:rsidRPr="004F4F2B">
        <w:rPr>
          <w:bCs/>
          <w:sz w:val="22"/>
          <w:szCs w:val="22"/>
        </w:rPr>
        <w:t xml:space="preserve">zvažovat </w:t>
      </w:r>
      <w:r w:rsidR="003A1723" w:rsidRPr="004F4F2B">
        <w:rPr>
          <w:bCs/>
          <w:sz w:val="22"/>
          <w:szCs w:val="22"/>
        </w:rPr>
        <w:t>změn</w:t>
      </w:r>
      <w:r w:rsidR="00356BCC" w:rsidRPr="004F4F2B">
        <w:rPr>
          <w:bCs/>
          <w:sz w:val="22"/>
          <w:szCs w:val="22"/>
        </w:rPr>
        <w:t>u</w:t>
      </w:r>
      <w:r w:rsidR="003A1723" w:rsidRPr="004F4F2B">
        <w:rPr>
          <w:bCs/>
          <w:sz w:val="22"/>
          <w:szCs w:val="22"/>
        </w:rPr>
        <w:t xml:space="preserve"> pravidel pro přístup k prekurzorům výbušnin</w:t>
      </w:r>
      <w:r w:rsidR="00257EC0">
        <w:rPr>
          <w:bCs/>
          <w:sz w:val="22"/>
          <w:szCs w:val="22"/>
        </w:rPr>
        <w:t xml:space="preserve"> a jejich </w:t>
      </w:r>
      <w:r w:rsidR="00DA360D">
        <w:rPr>
          <w:bCs/>
          <w:sz w:val="22"/>
          <w:szCs w:val="22"/>
        </w:rPr>
        <w:t>výčet</w:t>
      </w:r>
      <w:r w:rsidR="0007018F" w:rsidRPr="004F4F2B">
        <w:rPr>
          <w:bCs/>
          <w:sz w:val="22"/>
          <w:szCs w:val="22"/>
        </w:rPr>
        <w:t xml:space="preserve">. </w:t>
      </w:r>
      <w:r w:rsidR="00257EC0">
        <w:rPr>
          <w:bCs/>
          <w:sz w:val="22"/>
          <w:szCs w:val="22"/>
        </w:rPr>
        <w:t>V</w:t>
      </w:r>
      <w:r w:rsidR="00C553BF" w:rsidRPr="004F4F2B">
        <w:rPr>
          <w:sz w:val="22"/>
          <w:szCs w:val="22"/>
        </w:rPr>
        <w:t> návaznosti na útoky v Paříži dne 13. listopadu 2015</w:t>
      </w:r>
      <w:r w:rsidR="00257EC0">
        <w:rPr>
          <w:sz w:val="22"/>
          <w:szCs w:val="22"/>
        </w:rPr>
        <w:t>,</w:t>
      </w:r>
      <w:r w:rsidR="00C553BF" w:rsidRPr="004F4F2B">
        <w:rPr>
          <w:sz w:val="22"/>
          <w:szCs w:val="22"/>
        </w:rPr>
        <w:t xml:space="preserve"> mj. s použitím improvizovaných výbušnin</w:t>
      </w:r>
      <w:r w:rsidR="00257EC0">
        <w:rPr>
          <w:sz w:val="22"/>
          <w:szCs w:val="22"/>
        </w:rPr>
        <w:t>, navíc</w:t>
      </w:r>
      <w:r w:rsidR="00C553BF" w:rsidRPr="004F4F2B">
        <w:rPr>
          <w:sz w:val="22"/>
          <w:szCs w:val="22"/>
        </w:rPr>
        <w:t xml:space="preserve"> Evropská komise</w:t>
      </w:r>
      <w:r w:rsidR="00257EC0" w:rsidRPr="00257EC0">
        <w:rPr>
          <w:sz w:val="22"/>
          <w:szCs w:val="22"/>
        </w:rPr>
        <w:t xml:space="preserve"> </w:t>
      </w:r>
      <w:r w:rsidR="00257EC0" w:rsidRPr="004F4F2B">
        <w:rPr>
          <w:sz w:val="22"/>
          <w:szCs w:val="22"/>
        </w:rPr>
        <w:t>zdůraznila</w:t>
      </w:r>
      <w:r w:rsidR="00C553BF" w:rsidRPr="004F4F2B">
        <w:rPr>
          <w:sz w:val="22"/>
          <w:szCs w:val="22"/>
        </w:rPr>
        <w:t xml:space="preserve"> ve svém sdělení adresovaném Evropskému parlamentu a Radě „Provádění Evropského programu pro bezpečnost: akční plán EU proti nedovolenému obchodu se střelnými zbraněmi a</w:t>
      </w:r>
      <w:r w:rsidR="00FE4B68" w:rsidRPr="004F4F2B">
        <w:rPr>
          <w:sz w:val="22"/>
          <w:szCs w:val="22"/>
        </w:rPr>
        <w:t> </w:t>
      </w:r>
      <w:r w:rsidR="00C553BF" w:rsidRPr="004F4F2B">
        <w:rPr>
          <w:sz w:val="22"/>
          <w:szCs w:val="22"/>
        </w:rPr>
        <w:t>výbušninami a proti jejich používání“ (COM(2015) 624 v konečném znění ze dne 2. prosince 2015)</w:t>
      </w:r>
      <w:r w:rsidR="00257EC0">
        <w:rPr>
          <w:sz w:val="22"/>
          <w:szCs w:val="22"/>
        </w:rPr>
        <w:t xml:space="preserve"> a také</w:t>
      </w:r>
      <w:r w:rsidR="00C553BF" w:rsidRPr="004F4F2B">
        <w:rPr>
          <w:sz w:val="22"/>
          <w:szCs w:val="22"/>
        </w:rPr>
        <w:t xml:space="preserve"> posléze v návaznosti na útoky v Bruselu dne 22. března 2016, rovněž </w:t>
      </w:r>
      <w:r w:rsidR="00257EC0">
        <w:rPr>
          <w:sz w:val="22"/>
          <w:szCs w:val="22"/>
        </w:rPr>
        <w:t xml:space="preserve">spáchaných </w:t>
      </w:r>
      <w:r w:rsidR="00C553BF" w:rsidRPr="004F4F2B">
        <w:rPr>
          <w:sz w:val="22"/>
          <w:szCs w:val="22"/>
        </w:rPr>
        <w:t>mj. s použitím improvizovaných výbušnin, ve svém sdělení „Naplňování Evropského programu pro bezpečnost v zájmu boje proti terorismu a položení základů účinné a skutečné bezpečnostní unie“ (COM(2016) 230 v konečném znění ze dne 20. dubna 2016), že prekurzory výbušnin nadále zůstávají příliš snadno dostupné, a že stávající kontrolní režimy by měly být zpřísněny. O necelý rok později vydala Evropská komise zprávu adresovanou Evropskému parlamentu a Radě „O uplatňování nařízení Evropského parlamentu a Rady (EU) č. 98/2013</w:t>
      </w:r>
      <w:r w:rsidR="007E6629">
        <w:rPr>
          <w:sz w:val="22"/>
          <w:szCs w:val="22"/>
        </w:rPr>
        <w:t xml:space="preserve"> </w:t>
      </w:r>
      <w:r w:rsidR="00C553BF" w:rsidRPr="004F4F2B">
        <w:rPr>
          <w:sz w:val="22"/>
          <w:szCs w:val="22"/>
        </w:rPr>
        <w:t>o</w:t>
      </w:r>
      <w:r w:rsidR="007E6629">
        <w:rPr>
          <w:sz w:val="22"/>
          <w:szCs w:val="22"/>
        </w:rPr>
        <w:t> </w:t>
      </w:r>
      <w:r w:rsidR="00C553BF" w:rsidRPr="004F4F2B">
        <w:rPr>
          <w:sz w:val="22"/>
          <w:szCs w:val="22"/>
        </w:rPr>
        <w:t>uvádění prekurzorů výbušnin na trh a o jejich používání a o přenesení pravomoci podle tohoto nařízení“ (</w:t>
      </w:r>
      <w:proofErr w:type="gramStart"/>
      <w:r w:rsidR="00C553BF" w:rsidRPr="004F4F2B">
        <w:rPr>
          <w:sz w:val="22"/>
          <w:szCs w:val="22"/>
        </w:rPr>
        <w:t>COM(</w:t>
      </w:r>
      <w:proofErr w:type="gramEnd"/>
      <w:r w:rsidR="00C553BF" w:rsidRPr="004F4F2B">
        <w:rPr>
          <w:sz w:val="22"/>
          <w:szCs w:val="22"/>
        </w:rPr>
        <w:t xml:space="preserve">2017) 103 v konečném znění ze dne 28. února 2017), ve které </w:t>
      </w:r>
      <w:r w:rsidR="00257EC0">
        <w:rPr>
          <w:sz w:val="22"/>
          <w:szCs w:val="22"/>
        </w:rPr>
        <w:t xml:space="preserve">Komise </w:t>
      </w:r>
      <w:r w:rsidR="00C553BF" w:rsidRPr="004F4F2B">
        <w:rPr>
          <w:sz w:val="22"/>
          <w:szCs w:val="22"/>
        </w:rPr>
        <w:t>popsala řadu výzev, jimž členské státy Evropské unie a dodavatelsk</w:t>
      </w:r>
      <w:r w:rsidR="00257EC0">
        <w:rPr>
          <w:sz w:val="22"/>
          <w:szCs w:val="22"/>
        </w:rPr>
        <w:t>é řetězce v EU</w:t>
      </w:r>
      <w:r w:rsidR="00C553BF" w:rsidRPr="004F4F2B">
        <w:rPr>
          <w:sz w:val="22"/>
          <w:szCs w:val="22"/>
        </w:rPr>
        <w:t xml:space="preserve"> čelí, aby byly dostatečně naplněny požadavky nařízení č. 98/2013. V reakci na další </w:t>
      </w:r>
      <w:r w:rsidR="00257EC0">
        <w:rPr>
          <w:sz w:val="22"/>
          <w:szCs w:val="22"/>
        </w:rPr>
        <w:t>útoky spáchané</w:t>
      </w:r>
      <w:r w:rsidR="00C553BF" w:rsidRPr="004F4F2B">
        <w:rPr>
          <w:sz w:val="22"/>
          <w:szCs w:val="22"/>
        </w:rPr>
        <w:t xml:space="preserve"> s použitím improvizovaných výbušnin, tj. zejména</w:t>
      </w:r>
      <w:r w:rsidR="007E6629">
        <w:rPr>
          <w:sz w:val="22"/>
          <w:szCs w:val="22"/>
        </w:rPr>
        <w:t xml:space="preserve"> </w:t>
      </w:r>
      <w:r w:rsidR="00C553BF" w:rsidRPr="004F4F2B">
        <w:rPr>
          <w:sz w:val="22"/>
          <w:szCs w:val="22"/>
        </w:rPr>
        <w:t>na útok v Manchesteru dne 25. května 2017, útok v Bruselu dne 20. června 2017, událost v </w:t>
      </w:r>
      <w:proofErr w:type="spellStart"/>
      <w:r w:rsidR="00C553BF" w:rsidRPr="004F4F2B">
        <w:rPr>
          <w:sz w:val="22"/>
          <w:szCs w:val="22"/>
        </w:rPr>
        <w:t>Alcanar</w:t>
      </w:r>
      <w:proofErr w:type="spellEnd"/>
      <w:r w:rsidR="00C553BF" w:rsidRPr="004F4F2B">
        <w:rPr>
          <w:sz w:val="22"/>
          <w:szCs w:val="22"/>
        </w:rPr>
        <w:t xml:space="preserve"> dne 17. srpna 2017 a na útok v </w:t>
      </w:r>
      <w:proofErr w:type="spellStart"/>
      <w:r w:rsidR="00C553BF" w:rsidRPr="004F4F2B">
        <w:rPr>
          <w:sz w:val="22"/>
          <w:szCs w:val="22"/>
        </w:rPr>
        <w:t>Parsons</w:t>
      </w:r>
      <w:proofErr w:type="spellEnd"/>
      <w:r w:rsidR="00C553BF" w:rsidRPr="004F4F2B">
        <w:rPr>
          <w:sz w:val="22"/>
          <w:szCs w:val="22"/>
        </w:rPr>
        <w:t xml:space="preserve"> Green dne 15. září 2017, vydala Evropská komise dne 18. října 2017 své doporučení 2017/1936 „O bezodkladných krocích k zabránění zneužívání prekurzorů výbušnin“. Evropsk</w:t>
      </w:r>
      <w:r w:rsidR="00CA3815">
        <w:rPr>
          <w:sz w:val="22"/>
          <w:szCs w:val="22"/>
        </w:rPr>
        <w:t>á</w:t>
      </w:r>
      <w:r w:rsidR="00C553BF" w:rsidRPr="004F4F2B">
        <w:rPr>
          <w:sz w:val="22"/>
          <w:szCs w:val="22"/>
        </w:rPr>
        <w:t xml:space="preserve"> unie v něm vyzvala členské státy, aby přijaly veškerá nezbytná opatření podle nařízení č. 98/2013 s cílem zabránit teroristům v přístupu k regulovaným látkám, a aby provedly důkladné posouzení zákazu, udělování </w:t>
      </w:r>
      <w:r w:rsidR="00627636" w:rsidRPr="004F4F2B">
        <w:rPr>
          <w:sz w:val="22"/>
          <w:szCs w:val="22"/>
        </w:rPr>
        <w:t>povolení</w:t>
      </w:r>
      <w:r w:rsidR="00C553BF" w:rsidRPr="004F4F2B">
        <w:rPr>
          <w:sz w:val="22"/>
          <w:szCs w:val="22"/>
        </w:rPr>
        <w:t xml:space="preserve"> </w:t>
      </w:r>
      <w:r w:rsidR="00C553BF" w:rsidRPr="004F4F2B">
        <w:rPr>
          <w:sz w:val="22"/>
          <w:szCs w:val="22"/>
        </w:rPr>
        <w:lastRenderedPageBreak/>
        <w:t>nebo registračních režimů pro zpřístupňování prekurzorů výbušnin osobám z řad široké veřejnosti, a výsledek posouzení následně zaslaly Evropské komisi. Rada Evropské unie toto doporučení uvítala</w:t>
      </w:r>
      <w:r w:rsidR="007E6629">
        <w:rPr>
          <w:sz w:val="22"/>
          <w:szCs w:val="22"/>
        </w:rPr>
        <w:t xml:space="preserve"> </w:t>
      </w:r>
      <w:r w:rsidR="00C553BF" w:rsidRPr="004F4F2B">
        <w:rPr>
          <w:sz w:val="22"/>
          <w:szCs w:val="22"/>
        </w:rPr>
        <w:t>a ve svých závěrech „O posílení reakce Evropské unie na rizika související s CBRN, omezení přístupu k prekurzorům výbušnin a</w:t>
      </w:r>
      <w:r w:rsidR="005D22C7" w:rsidRPr="004F4F2B">
        <w:rPr>
          <w:sz w:val="22"/>
          <w:szCs w:val="22"/>
        </w:rPr>
        <w:t> </w:t>
      </w:r>
      <w:r w:rsidR="00C553BF" w:rsidRPr="004F4F2B">
        <w:rPr>
          <w:sz w:val="22"/>
          <w:szCs w:val="22"/>
        </w:rPr>
        <w:t>ochraně veřejných prostor“ (dokument č. 15648/17 v konečném znění ze dne 12. prosince 2017) vyzvala</w:t>
      </w:r>
      <w:r w:rsidR="00CA3815">
        <w:rPr>
          <w:sz w:val="22"/>
          <w:szCs w:val="22"/>
        </w:rPr>
        <w:t xml:space="preserve"> všechny</w:t>
      </w:r>
      <w:r w:rsidR="00C553BF" w:rsidRPr="004F4F2B">
        <w:rPr>
          <w:sz w:val="22"/>
          <w:szCs w:val="22"/>
        </w:rPr>
        <w:t xml:space="preserve"> členské státy, aby dostupnost prekurzorů výbušnin osobám z řad široké veřejnosti omezily. Dne 17. dubna 2018 pak Evropská komise vydala sdělení adresované Evropskému parlamentu a Radě „Čtrnáctá zpráva o</w:t>
      </w:r>
      <w:r w:rsidR="005D22C7" w:rsidRPr="004F4F2B">
        <w:rPr>
          <w:sz w:val="22"/>
          <w:szCs w:val="22"/>
        </w:rPr>
        <w:t> </w:t>
      </w:r>
      <w:r w:rsidR="00C553BF" w:rsidRPr="004F4F2B">
        <w:rPr>
          <w:sz w:val="22"/>
          <w:szCs w:val="22"/>
        </w:rPr>
        <w:t>pokroku na cestě k účinné a skutečné bezpečnostní unii“ (</w:t>
      </w:r>
      <w:proofErr w:type="gramStart"/>
      <w:r w:rsidR="00C553BF" w:rsidRPr="004F4F2B">
        <w:rPr>
          <w:sz w:val="22"/>
          <w:szCs w:val="22"/>
        </w:rPr>
        <w:t>COM(</w:t>
      </w:r>
      <w:proofErr w:type="gramEnd"/>
      <w:r w:rsidR="00C553BF" w:rsidRPr="004F4F2B">
        <w:rPr>
          <w:sz w:val="22"/>
          <w:szCs w:val="22"/>
        </w:rPr>
        <w:t>2018) 211)</w:t>
      </w:r>
      <w:r w:rsidR="00CA3815">
        <w:rPr>
          <w:sz w:val="22"/>
          <w:szCs w:val="22"/>
        </w:rPr>
        <w:t>,</w:t>
      </w:r>
      <w:r w:rsidR="00C553BF" w:rsidRPr="004F4F2B">
        <w:rPr>
          <w:sz w:val="22"/>
          <w:szCs w:val="22"/>
        </w:rPr>
        <w:t xml:space="preserve"> v</w:t>
      </w:r>
      <w:r w:rsidR="00CA3815">
        <w:rPr>
          <w:sz w:val="22"/>
          <w:szCs w:val="22"/>
        </w:rPr>
        <w:t>e</w:t>
      </w:r>
      <w:r w:rsidR="00C553BF" w:rsidRPr="004F4F2B">
        <w:rPr>
          <w:sz w:val="22"/>
          <w:szCs w:val="22"/>
        </w:rPr>
        <w:t> </w:t>
      </w:r>
      <w:r w:rsidR="00CA3815">
        <w:rPr>
          <w:sz w:val="22"/>
          <w:szCs w:val="22"/>
        </w:rPr>
        <w:t>kterém</w:t>
      </w:r>
      <w:r w:rsidR="00C553BF" w:rsidRPr="004F4F2B">
        <w:rPr>
          <w:sz w:val="22"/>
          <w:szCs w:val="22"/>
        </w:rPr>
        <w:t xml:space="preserve"> </w:t>
      </w:r>
      <w:r w:rsidR="00CA3815" w:rsidRPr="004F4F2B">
        <w:rPr>
          <w:sz w:val="22"/>
          <w:szCs w:val="22"/>
        </w:rPr>
        <w:t>především</w:t>
      </w:r>
      <w:r w:rsidR="00CA3815">
        <w:rPr>
          <w:sz w:val="22"/>
          <w:szCs w:val="22"/>
        </w:rPr>
        <w:t xml:space="preserve"> zdůraznila</w:t>
      </w:r>
      <w:r w:rsidR="00C553BF" w:rsidRPr="004F4F2B">
        <w:rPr>
          <w:sz w:val="22"/>
          <w:szCs w:val="22"/>
        </w:rPr>
        <w:t xml:space="preserve"> další kroky nezbytné v boji proti terorismu. Ve snaze </w:t>
      </w:r>
      <w:r w:rsidR="00CA3815">
        <w:rPr>
          <w:sz w:val="22"/>
          <w:szCs w:val="22"/>
        </w:rPr>
        <w:t>podtrhnout</w:t>
      </w:r>
      <w:r w:rsidR="00C553BF" w:rsidRPr="004F4F2B">
        <w:rPr>
          <w:sz w:val="22"/>
          <w:szCs w:val="22"/>
        </w:rPr>
        <w:t xml:space="preserve"> svou snahu pečovat o vnitřní bezpečnost předložila společně s tímto sdělením nový balíček bezpečnostních opatření.</w:t>
      </w:r>
      <w:r w:rsidR="002D51C3" w:rsidRPr="004F4F2B">
        <w:rPr>
          <w:sz w:val="22"/>
          <w:szCs w:val="22"/>
        </w:rPr>
        <w:t xml:space="preserve"> </w:t>
      </w:r>
      <w:r w:rsidR="00C553BF" w:rsidRPr="004F4F2B">
        <w:rPr>
          <w:sz w:val="22"/>
          <w:szCs w:val="22"/>
        </w:rPr>
        <w:t xml:space="preserve">Jedním z těchto opatření </w:t>
      </w:r>
      <w:r w:rsidR="0088759F" w:rsidRPr="004F4F2B">
        <w:rPr>
          <w:sz w:val="22"/>
          <w:szCs w:val="22"/>
        </w:rPr>
        <w:t xml:space="preserve">byl </w:t>
      </w:r>
      <w:r w:rsidR="00C553BF" w:rsidRPr="004F4F2B">
        <w:rPr>
          <w:sz w:val="22"/>
          <w:szCs w:val="22"/>
        </w:rPr>
        <w:t xml:space="preserve">právě návrh </w:t>
      </w:r>
      <w:r w:rsidR="00182CD4">
        <w:rPr>
          <w:sz w:val="22"/>
          <w:szCs w:val="22"/>
        </w:rPr>
        <w:t xml:space="preserve">nového </w:t>
      </w:r>
      <w:r w:rsidR="00C553BF" w:rsidRPr="004F4F2B">
        <w:rPr>
          <w:sz w:val="22"/>
          <w:szCs w:val="22"/>
        </w:rPr>
        <w:t>nařízení Evropského parlamentu a Rady o uvádění na trh prekurzorů výbušnin a o jejich používání</w:t>
      </w:r>
      <w:r w:rsidR="0088759F" w:rsidRPr="004F4F2B">
        <w:rPr>
          <w:sz w:val="22"/>
          <w:szCs w:val="22"/>
        </w:rPr>
        <w:t xml:space="preserve"> (</w:t>
      </w:r>
      <w:proofErr w:type="gramStart"/>
      <w:r w:rsidR="0088759F" w:rsidRPr="004F4F2B">
        <w:rPr>
          <w:sz w:val="22"/>
          <w:szCs w:val="22"/>
        </w:rPr>
        <w:t>COM(</w:t>
      </w:r>
      <w:proofErr w:type="gramEnd"/>
      <w:r w:rsidR="0088759F" w:rsidRPr="004F4F2B">
        <w:rPr>
          <w:sz w:val="22"/>
          <w:szCs w:val="22"/>
        </w:rPr>
        <w:t>2018) 209)</w:t>
      </w:r>
      <w:r w:rsidR="00182CD4">
        <w:rPr>
          <w:sz w:val="22"/>
          <w:szCs w:val="22"/>
        </w:rPr>
        <w:t>, které by sjednotilo a zpřísnilo dosavadní režim a nahradilo stávající nařízení</w:t>
      </w:r>
      <w:r w:rsidR="0088759F" w:rsidRPr="004F4F2B">
        <w:rPr>
          <w:sz w:val="22"/>
          <w:szCs w:val="22"/>
        </w:rPr>
        <w:t>.</w:t>
      </w:r>
    </w:p>
    <w:p w:rsidR="00AB2981" w:rsidRPr="004F4F2B" w:rsidRDefault="00C553BF" w:rsidP="003D358C">
      <w:pPr>
        <w:spacing w:after="8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V návaznosti na příslušný legislativní postup </w:t>
      </w:r>
      <w:r w:rsidR="00A2493D" w:rsidRPr="004F4F2B">
        <w:rPr>
          <w:sz w:val="22"/>
          <w:szCs w:val="22"/>
        </w:rPr>
        <w:t xml:space="preserve">bylo dne 11. července 2019 v Úředním věstníku Evropské unie (řada L 186) uveřejněno nařízení Evropského parlamentu a Rady (EU) 2019/1148 </w:t>
      </w:r>
      <w:r w:rsidR="00A2493D" w:rsidRPr="004F4F2B">
        <w:rPr>
          <w:rFonts w:eastAsiaTheme="minorHAnsi"/>
          <w:color w:val="000000"/>
          <w:sz w:val="22"/>
          <w:szCs w:val="22"/>
          <w:lang w:eastAsia="en-US"/>
        </w:rPr>
        <w:t>ze dne 20. června 2019</w:t>
      </w:r>
      <w:r w:rsidR="007E6629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A2493D" w:rsidRPr="004F4F2B">
        <w:rPr>
          <w:rFonts w:eastAsiaTheme="minorHAnsi"/>
          <w:color w:val="000000"/>
          <w:sz w:val="22"/>
          <w:szCs w:val="22"/>
          <w:lang w:eastAsia="en-US"/>
        </w:rPr>
        <w:t>o</w:t>
      </w:r>
      <w:r w:rsidR="007E6629">
        <w:rPr>
          <w:rFonts w:eastAsiaTheme="minorHAnsi"/>
          <w:color w:val="000000"/>
          <w:sz w:val="22"/>
          <w:szCs w:val="22"/>
          <w:lang w:eastAsia="en-US"/>
        </w:rPr>
        <w:t> </w:t>
      </w:r>
      <w:r w:rsidR="00A2493D" w:rsidRPr="004F4F2B">
        <w:rPr>
          <w:rFonts w:eastAsiaTheme="minorHAnsi"/>
          <w:color w:val="000000"/>
          <w:sz w:val="22"/>
          <w:szCs w:val="22"/>
          <w:lang w:eastAsia="en-US"/>
        </w:rPr>
        <w:t xml:space="preserve">uvádění prekurzorů výbušnin na trh a o jejich používání, změně nařízení (ES) č. 1907/2006 a zrušení nařízení (EU) č. 98/2013 (dále jen „přímo použitelné nařízení 2019/1148“). </w:t>
      </w:r>
      <w:r w:rsidR="00AB2981" w:rsidRPr="004F4F2B">
        <w:rPr>
          <w:sz w:val="22"/>
          <w:szCs w:val="22"/>
        </w:rPr>
        <w:t xml:space="preserve">Oproti </w:t>
      </w:r>
      <w:r w:rsidR="00A2493D" w:rsidRPr="004F4F2B">
        <w:rPr>
          <w:sz w:val="22"/>
          <w:szCs w:val="22"/>
        </w:rPr>
        <w:t xml:space="preserve">dosavadnímu </w:t>
      </w:r>
      <w:r w:rsidR="00AB2981" w:rsidRPr="004F4F2B">
        <w:rPr>
          <w:sz w:val="22"/>
          <w:szCs w:val="22"/>
        </w:rPr>
        <w:t xml:space="preserve">přímo použitelnému nařízení č. 98/2013 přináší </w:t>
      </w:r>
      <w:r w:rsidR="00E318FF">
        <w:rPr>
          <w:sz w:val="22"/>
          <w:szCs w:val="22"/>
        </w:rPr>
        <w:t xml:space="preserve">nové nařízení </w:t>
      </w:r>
      <w:r w:rsidR="00AB2981" w:rsidRPr="004F4F2B">
        <w:rPr>
          <w:sz w:val="22"/>
          <w:szCs w:val="22"/>
        </w:rPr>
        <w:t>řadu změn</w:t>
      </w:r>
      <w:r w:rsidR="0095461E">
        <w:rPr>
          <w:sz w:val="22"/>
          <w:szCs w:val="22"/>
        </w:rPr>
        <w:t>, když</w:t>
      </w:r>
      <w:r w:rsidR="00AB2981" w:rsidRPr="004F4F2B">
        <w:rPr>
          <w:sz w:val="22"/>
          <w:szCs w:val="22"/>
        </w:rPr>
        <w:t>:</w:t>
      </w:r>
    </w:p>
    <w:p w:rsidR="00AB2981" w:rsidRPr="00256FC1" w:rsidRDefault="00256FC1" w:rsidP="00256FC1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AB2981" w:rsidRPr="00256FC1">
        <w:rPr>
          <w:sz w:val="22"/>
          <w:szCs w:val="22"/>
        </w:rPr>
        <w:t>rozšiřuje seznam látek nebo směsí, které mají podléhat omezením</w:t>
      </w:r>
      <w:r w:rsidR="00930F1C" w:rsidRPr="00256FC1">
        <w:rPr>
          <w:sz w:val="22"/>
          <w:szCs w:val="22"/>
        </w:rPr>
        <w:t xml:space="preserve"> a mění hraniční koncentrace některých prekurzorů výbušnin, které jsou rozhodné pro zpřístupňování na základě povolení</w:t>
      </w:r>
      <w:r w:rsidR="00AB2981" w:rsidRPr="00256FC1">
        <w:rPr>
          <w:sz w:val="22"/>
          <w:szCs w:val="22"/>
        </w:rPr>
        <w:t>;</w:t>
      </w:r>
    </w:p>
    <w:p w:rsidR="00AB2981" w:rsidRPr="00256FC1" w:rsidRDefault="00256FC1" w:rsidP="00256FC1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AB2981" w:rsidRPr="00256FC1">
        <w:rPr>
          <w:sz w:val="22"/>
          <w:szCs w:val="22"/>
        </w:rPr>
        <w:t>zavádí nové definice pojmů a zpřesňuje některé stávající pojmy;</w:t>
      </w:r>
    </w:p>
    <w:p w:rsidR="00AB2981" w:rsidRPr="00256FC1" w:rsidRDefault="00256FC1" w:rsidP="00256FC1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AB2981" w:rsidRPr="00256FC1">
        <w:rPr>
          <w:sz w:val="22"/>
          <w:szCs w:val="22"/>
        </w:rPr>
        <w:t xml:space="preserve">ruší možnost zpřístupňovat prekurzory výbušnin osobám z řad široké veřejnosti na základě </w:t>
      </w:r>
      <w:r w:rsidR="00332009" w:rsidRPr="00256FC1">
        <w:rPr>
          <w:sz w:val="22"/>
          <w:szCs w:val="22"/>
        </w:rPr>
        <w:t xml:space="preserve">pouhé </w:t>
      </w:r>
      <w:r w:rsidR="00AB2981" w:rsidRPr="00256FC1">
        <w:rPr>
          <w:sz w:val="22"/>
          <w:szCs w:val="22"/>
        </w:rPr>
        <w:t>registrace transakcí;</w:t>
      </w:r>
    </w:p>
    <w:p w:rsidR="00AB2981" w:rsidRPr="00256FC1" w:rsidRDefault="00256FC1" w:rsidP="00256FC1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AB2981" w:rsidRPr="00256FC1">
        <w:rPr>
          <w:sz w:val="22"/>
          <w:szCs w:val="22"/>
        </w:rPr>
        <w:t>stanoví minimální závazná pravidla pro prověřování žadatelů o vydání povolení pro získání prekurzorů výbušnin a ruší platnost dříve vydaných povolení;</w:t>
      </w:r>
    </w:p>
    <w:p w:rsidR="00AB2981" w:rsidRPr="00256FC1" w:rsidRDefault="00256FC1" w:rsidP="00256FC1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AB2981" w:rsidRPr="00256FC1">
        <w:rPr>
          <w:sz w:val="22"/>
          <w:szCs w:val="22"/>
        </w:rPr>
        <w:t>stanoví nové informační povinnosti hospodářských subjektů při předávání prekurzorů výbušnin mezi sebou;</w:t>
      </w:r>
    </w:p>
    <w:p w:rsidR="00AB2981" w:rsidRPr="00256FC1" w:rsidRDefault="00256FC1" w:rsidP="00256FC1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AB2981" w:rsidRPr="00256FC1">
        <w:rPr>
          <w:sz w:val="22"/>
          <w:szCs w:val="22"/>
        </w:rPr>
        <w:t>zpřesňuje postupy pro prověřování zákazníků při prodeji prekurzorů výbušnin;</w:t>
      </w:r>
    </w:p>
    <w:p w:rsidR="00AB2981" w:rsidRPr="00256FC1" w:rsidRDefault="00A32A58" w:rsidP="00256FC1">
      <w:pPr>
        <w:tabs>
          <w:tab w:val="left" w:pos="426"/>
        </w:tabs>
        <w:spacing w:after="48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AB2981" w:rsidRPr="00256FC1">
        <w:rPr>
          <w:sz w:val="22"/>
          <w:szCs w:val="22"/>
        </w:rPr>
        <w:t xml:space="preserve">zavádí povinnost zodpovědných orgánů pravidelně </w:t>
      </w:r>
      <w:r w:rsidR="003B0768" w:rsidRPr="00256FC1">
        <w:rPr>
          <w:sz w:val="22"/>
          <w:szCs w:val="22"/>
        </w:rPr>
        <w:t xml:space="preserve">zvyšovat povědomí </w:t>
      </w:r>
      <w:r w:rsidR="00AB2981" w:rsidRPr="00256FC1">
        <w:rPr>
          <w:sz w:val="22"/>
          <w:szCs w:val="22"/>
        </w:rPr>
        <w:t>dotčen</w:t>
      </w:r>
      <w:r w:rsidR="003B0768" w:rsidRPr="00256FC1">
        <w:rPr>
          <w:sz w:val="22"/>
          <w:szCs w:val="22"/>
        </w:rPr>
        <w:t xml:space="preserve">ých </w:t>
      </w:r>
      <w:r w:rsidR="00AB2981" w:rsidRPr="00256FC1">
        <w:rPr>
          <w:sz w:val="22"/>
          <w:szCs w:val="22"/>
        </w:rPr>
        <w:t>orgán</w:t>
      </w:r>
      <w:r w:rsidR="003B0768" w:rsidRPr="00256FC1">
        <w:rPr>
          <w:sz w:val="22"/>
          <w:szCs w:val="22"/>
        </w:rPr>
        <w:t>ů státní správy a</w:t>
      </w:r>
      <w:r w:rsidR="00D25D05" w:rsidRPr="00256FC1">
        <w:rPr>
          <w:sz w:val="22"/>
          <w:szCs w:val="22"/>
        </w:rPr>
        <w:t> </w:t>
      </w:r>
      <w:r w:rsidR="00AB2981" w:rsidRPr="00256FC1">
        <w:rPr>
          <w:sz w:val="22"/>
          <w:szCs w:val="22"/>
        </w:rPr>
        <w:t>hospodářsk</w:t>
      </w:r>
      <w:r w:rsidR="003B0768" w:rsidRPr="00256FC1">
        <w:rPr>
          <w:sz w:val="22"/>
          <w:szCs w:val="22"/>
        </w:rPr>
        <w:t xml:space="preserve">ých </w:t>
      </w:r>
      <w:r w:rsidR="00AB2981" w:rsidRPr="00256FC1">
        <w:rPr>
          <w:sz w:val="22"/>
          <w:szCs w:val="22"/>
        </w:rPr>
        <w:t>subjekt</w:t>
      </w:r>
      <w:r w:rsidR="003B0768" w:rsidRPr="00256FC1">
        <w:rPr>
          <w:sz w:val="22"/>
          <w:szCs w:val="22"/>
        </w:rPr>
        <w:t xml:space="preserve">ů </w:t>
      </w:r>
      <w:r w:rsidR="00AB2981" w:rsidRPr="00256FC1">
        <w:rPr>
          <w:sz w:val="22"/>
          <w:szCs w:val="22"/>
        </w:rPr>
        <w:t>o prekurzorech výbušnin;</w:t>
      </w:r>
    </w:p>
    <w:p w:rsidR="00781CBF" w:rsidRPr="004F4F2B" w:rsidRDefault="00781CBF" w:rsidP="003D358C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1.3</w:t>
      </w:r>
      <w:r w:rsidRPr="004F4F2B">
        <w:rPr>
          <w:b/>
          <w:sz w:val="22"/>
          <w:szCs w:val="22"/>
        </w:rPr>
        <w:tab/>
        <w:t>Popis existujícího právního stavu v dané oblasti</w:t>
      </w:r>
    </w:p>
    <w:p w:rsidR="003208C3" w:rsidRPr="004F4F2B" w:rsidRDefault="00AC2C0F" w:rsidP="003D358C">
      <w:pPr>
        <w:spacing w:after="24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 xml:space="preserve">Nakládání s prekurzory výbušnin </w:t>
      </w:r>
      <w:r w:rsidR="00293D54" w:rsidRPr="004F4F2B">
        <w:rPr>
          <w:bCs/>
          <w:sz w:val="22"/>
          <w:szCs w:val="22"/>
        </w:rPr>
        <w:t xml:space="preserve">se řídí pravidly přímo použitelného </w:t>
      </w:r>
      <w:r w:rsidR="005410BF" w:rsidRPr="004F4F2B">
        <w:rPr>
          <w:sz w:val="22"/>
          <w:szCs w:val="22"/>
        </w:rPr>
        <w:t>nařízení č. 98/2013</w:t>
      </w:r>
      <w:r w:rsidR="00293D54" w:rsidRPr="004F4F2B">
        <w:rPr>
          <w:sz w:val="22"/>
          <w:szCs w:val="22"/>
        </w:rPr>
        <w:t xml:space="preserve"> a </w:t>
      </w:r>
      <w:r w:rsidR="005410BF" w:rsidRPr="004F4F2B">
        <w:rPr>
          <w:bCs/>
          <w:color w:val="000000"/>
          <w:sz w:val="22"/>
          <w:szCs w:val="22"/>
        </w:rPr>
        <w:t xml:space="preserve">zákonem č. 259/2014 Sb., </w:t>
      </w:r>
      <w:r w:rsidR="005410BF" w:rsidRPr="004F4F2B">
        <w:rPr>
          <w:bCs/>
          <w:sz w:val="22"/>
          <w:szCs w:val="22"/>
        </w:rPr>
        <w:t>o prekurzorech výbušnin a o změně zákona č. 634/2004 Sb., o správních poplatcích,</w:t>
      </w:r>
      <w:r w:rsidR="007E6629">
        <w:rPr>
          <w:bCs/>
          <w:sz w:val="22"/>
          <w:szCs w:val="22"/>
        </w:rPr>
        <w:t xml:space="preserve"> </w:t>
      </w:r>
      <w:r w:rsidR="005410BF" w:rsidRPr="004F4F2B">
        <w:rPr>
          <w:bCs/>
          <w:sz w:val="22"/>
          <w:szCs w:val="22"/>
        </w:rPr>
        <w:t>ve znění pozdějších předpisů (zákon o prekurzorech výbušnin), ve znění zákona č. 183/2017 Sb.</w:t>
      </w:r>
      <w:r w:rsidR="00EB3D80" w:rsidRPr="004F4F2B">
        <w:rPr>
          <w:bCs/>
          <w:sz w:val="22"/>
          <w:szCs w:val="22"/>
        </w:rPr>
        <w:t xml:space="preserve"> </w:t>
      </w:r>
      <w:r w:rsidR="007A349F" w:rsidRPr="004F4F2B">
        <w:rPr>
          <w:bCs/>
          <w:sz w:val="22"/>
          <w:szCs w:val="22"/>
        </w:rPr>
        <w:t>Tato pravidla mají za cíl zabránit neoprávněné výrobě výbušnin či ji alespoň ztížit. Konkrétně, dovážet, nakupovat, držet a</w:t>
      </w:r>
      <w:r w:rsidR="00D25D05">
        <w:rPr>
          <w:bCs/>
          <w:sz w:val="22"/>
          <w:szCs w:val="22"/>
        </w:rPr>
        <w:t> </w:t>
      </w:r>
      <w:r w:rsidR="007A349F" w:rsidRPr="004F4F2B">
        <w:rPr>
          <w:bCs/>
          <w:sz w:val="22"/>
          <w:szCs w:val="22"/>
        </w:rPr>
        <w:t>používat takové látky a</w:t>
      </w:r>
      <w:r w:rsidR="00EB3D80" w:rsidRPr="004F4F2B">
        <w:rPr>
          <w:bCs/>
          <w:sz w:val="22"/>
          <w:szCs w:val="22"/>
        </w:rPr>
        <w:t> </w:t>
      </w:r>
      <w:r w:rsidR="007A349F" w:rsidRPr="004F4F2B">
        <w:rPr>
          <w:bCs/>
          <w:sz w:val="22"/>
          <w:szCs w:val="22"/>
        </w:rPr>
        <w:t>směsi ve vysokých koncentracích může pouze fyzická osoba, která je držitelem příslušného oprávnění, a prodejci nesmí fyzické osobě, která není držitelem tohoto oprávnění, takovéto látky a směsi nijak poskytnout. Výjimku tvoří látky a směsi v koncentracích, které nevykazují extrémní riziko zneužití, které je možné prodávat či jinak poskytovat jen na základě registrace údajů o nakupující fyzické osobě. Prodejci rovněž mají možnost odmítnout prodej prekurzorů výbušnin fyzické osobě, o které soudí, že jeví zájem</w:t>
      </w:r>
      <w:r w:rsidR="005C6DF7">
        <w:rPr>
          <w:bCs/>
          <w:sz w:val="22"/>
          <w:szCs w:val="22"/>
        </w:rPr>
        <w:t xml:space="preserve"> k zneuži</w:t>
      </w:r>
      <w:r w:rsidR="005C6DF7" w:rsidRPr="004F4F2B">
        <w:rPr>
          <w:bCs/>
          <w:sz w:val="22"/>
          <w:szCs w:val="22"/>
        </w:rPr>
        <w:t>t</w:t>
      </w:r>
      <w:r w:rsidR="005C6DF7">
        <w:rPr>
          <w:bCs/>
          <w:sz w:val="22"/>
          <w:szCs w:val="22"/>
        </w:rPr>
        <w:t>í</w:t>
      </w:r>
      <w:r w:rsidR="005C6DF7" w:rsidRPr="004F4F2B">
        <w:rPr>
          <w:bCs/>
          <w:sz w:val="22"/>
          <w:szCs w:val="22"/>
        </w:rPr>
        <w:t xml:space="preserve"> </w:t>
      </w:r>
      <w:r w:rsidR="007A349F" w:rsidRPr="004F4F2B">
        <w:rPr>
          <w:bCs/>
          <w:sz w:val="22"/>
          <w:szCs w:val="22"/>
        </w:rPr>
        <w:t xml:space="preserve">takové látky a směsi </w:t>
      </w:r>
      <w:r w:rsidR="005E0020" w:rsidRPr="004F4F2B">
        <w:rPr>
          <w:bCs/>
          <w:sz w:val="22"/>
          <w:szCs w:val="22"/>
        </w:rPr>
        <w:t>k </w:t>
      </w:r>
      <w:r w:rsidR="007A349F" w:rsidRPr="004F4F2B">
        <w:rPr>
          <w:bCs/>
          <w:sz w:val="22"/>
          <w:szCs w:val="22"/>
        </w:rPr>
        <w:t>v</w:t>
      </w:r>
      <w:r w:rsidR="005E0020" w:rsidRPr="004F4F2B">
        <w:rPr>
          <w:bCs/>
          <w:sz w:val="22"/>
          <w:szCs w:val="22"/>
        </w:rPr>
        <w:t xml:space="preserve">ýrobě </w:t>
      </w:r>
      <w:r w:rsidR="007A349F" w:rsidRPr="004F4F2B">
        <w:rPr>
          <w:bCs/>
          <w:sz w:val="22"/>
          <w:szCs w:val="22"/>
        </w:rPr>
        <w:t>výbušnin, a rovněž i povinnost mj.</w:t>
      </w:r>
      <w:r w:rsidR="0038358E" w:rsidRPr="004F4F2B">
        <w:rPr>
          <w:bCs/>
          <w:sz w:val="22"/>
          <w:szCs w:val="22"/>
        </w:rPr>
        <w:t> </w:t>
      </w:r>
      <w:r w:rsidR="007A349F" w:rsidRPr="004F4F2B">
        <w:rPr>
          <w:bCs/>
          <w:sz w:val="22"/>
          <w:szCs w:val="22"/>
        </w:rPr>
        <w:t>jakékoliv podezřelé nákupy nebo snahy o ně ohlásit příslušnému orgánu.</w:t>
      </w:r>
    </w:p>
    <w:p w:rsidR="005C6DF7" w:rsidRDefault="004D29AD" w:rsidP="005C6DF7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Nepřímo se prekurzorů výbušnin týká též zákon č. 61/1988 Sb., o hornické činnosti, výbušninách a o státní báňské správě, ve znění pozdějších předpisů, konkrétně pak skutkové podstaty přestupků podle jeho § 44 odst. 1 písm. d) a § 44a odst. 1 písm. c), tj. opatřování prostředků k vý</w:t>
      </w:r>
      <w:r w:rsidR="005C6DF7">
        <w:rPr>
          <w:sz w:val="22"/>
          <w:szCs w:val="22"/>
        </w:rPr>
        <w:t>robě výbušnin sobě nebo jinému.</w:t>
      </w:r>
    </w:p>
    <w:p w:rsidR="004D29AD" w:rsidRDefault="004A3211" w:rsidP="005C6DF7">
      <w:pPr>
        <w:spacing w:after="48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Z</w:t>
      </w:r>
      <w:r w:rsidR="004D29AD" w:rsidRPr="004F4F2B">
        <w:rPr>
          <w:sz w:val="22"/>
          <w:szCs w:val="22"/>
        </w:rPr>
        <w:t xml:space="preserve"> důvodu přílišné obecnosti </w:t>
      </w:r>
      <w:r w:rsidRPr="004F4F2B">
        <w:rPr>
          <w:sz w:val="22"/>
          <w:szCs w:val="22"/>
        </w:rPr>
        <w:t xml:space="preserve">a absence hmotněprávních zákazů </w:t>
      </w:r>
      <w:r w:rsidR="004D29AD" w:rsidRPr="004F4F2B">
        <w:rPr>
          <w:sz w:val="22"/>
          <w:szCs w:val="22"/>
        </w:rPr>
        <w:t xml:space="preserve">však </w:t>
      </w:r>
      <w:r w:rsidR="005C6DF7" w:rsidRPr="004F4F2B">
        <w:rPr>
          <w:sz w:val="22"/>
          <w:szCs w:val="22"/>
        </w:rPr>
        <w:t xml:space="preserve">nebyly </w:t>
      </w:r>
      <w:r w:rsidR="004D29AD" w:rsidRPr="004F4F2B">
        <w:rPr>
          <w:sz w:val="22"/>
          <w:szCs w:val="22"/>
        </w:rPr>
        <w:t>odpovídající přestupky nikdy v minulosti projedná</w:t>
      </w:r>
      <w:r w:rsidRPr="004F4F2B">
        <w:rPr>
          <w:sz w:val="22"/>
          <w:szCs w:val="22"/>
        </w:rPr>
        <w:t>vá</w:t>
      </w:r>
      <w:r w:rsidR="004D29AD" w:rsidRPr="004F4F2B">
        <w:rPr>
          <w:sz w:val="22"/>
          <w:szCs w:val="22"/>
        </w:rPr>
        <w:t>ny.</w:t>
      </w:r>
    </w:p>
    <w:p w:rsidR="00F1444D" w:rsidRPr="004F4F2B" w:rsidRDefault="00F1444D" w:rsidP="005C6DF7">
      <w:pPr>
        <w:spacing w:after="480"/>
        <w:jc w:val="both"/>
        <w:rPr>
          <w:sz w:val="22"/>
          <w:szCs w:val="22"/>
        </w:rPr>
      </w:pPr>
    </w:p>
    <w:p w:rsidR="005614B6" w:rsidRPr="004F4F2B" w:rsidRDefault="005614B6" w:rsidP="003D358C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lastRenderedPageBreak/>
        <w:t>1.3.1</w:t>
      </w:r>
      <w:r w:rsidRPr="004F4F2B">
        <w:rPr>
          <w:b/>
          <w:sz w:val="22"/>
          <w:szCs w:val="22"/>
        </w:rPr>
        <w:tab/>
        <w:t>Zhodnocení existujícího právního stavu ve vztahu k diskriminaci, ochraně soukromí a</w:t>
      </w:r>
      <w:r w:rsidR="00D25D05">
        <w:rPr>
          <w:b/>
          <w:sz w:val="22"/>
          <w:szCs w:val="22"/>
        </w:rPr>
        <w:t> </w:t>
      </w:r>
      <w:r w:rsidRPr="004F4F2B">
        <w:rPr>
          <w:b/>
          <w:sz w:val="22"/>
          <w:szCs w:val="22"/>
        </w:rPr>
        <w:t>osobních údajů</w:t>
      </w:r>
    </w:p>
    <w:p w:rsidR="00415A7A" w:rsidRPr="004F4F2B" w:rsidRDefault="005614B6" w:rsidP="003D358C">
      <w:pPr>
        <w:spacing w:after="480"/>
        <w:jc w:val="both"/>
        <w:rPr>
          <w:bCs/>
          <w:sz w:val="22"/>
          <w:szCs w:val="22"/>
        </w:rPr>
      </w:pPr>
      <w:r w:rsidRPr="004F4F2B">
        <w:rPr>
          <w:sz w:val="22"/>
          <w:szCs w:val="22"/>
        </w:rPr>
        <w:t>Současný platný právní stav</w:t>
      </w:r>
      <w:r w:rsidR="00343049" w:rsidRPr="004F4F2B">
        <w:rPr>
          <w:sz w:val="22"/>
          <w:szCs w:val="22"/>
        </w:rPr>
        <w:t xml:space="preserve"> daný </w:t>
      </w:r>
      <w:r w:rsidR="000E5992" w:rsidRPr="004F4F2B">
        <w:rPr>
          <w:sz w:val="22"/>
          <w:szCs w:val="22"/>
        </w:rPr>
        <w:t>adaptační</w:t>
      </w:r>
      <w:r w:rsidR="00343049" w:rsidRPr="004F4F2B">
        <w:rPr>
          <w:sz w:val="22"/>
          <w:szCs w:val="22"/>
        </w:rPr>
        <w:t>m</w:t>
      </w:r>
      <w:r w:rsidR="000E5992" w:rsidRPr="004F4F2B">
        <w:rPr>
          <w:sz w:val="22"/>
          <w:szCs w:val="22"/>
        </w:rPr>
        <w:t xml:space="preserve"> </w:t>
      </w:r>
      <w:r w:rsidR="000E5992" w:rsidRPr="004F4F2B">
        <w:rPr>
          <w:bCs/>
          <w:color w:val="000000"/>
          <w:sz w:val="22"/>
          <w:szCs w:val="22"/>
        </w:rPr>
        <w:t>zákon</w:t>
      </w:r>
      <w:r w:rsidR="00343049" w:rsidRPr="004F4F2B">
        <w:rPr>
          <w:bCs/>
          <w:color w:val="000000"/>
          <w:sz w:val="22"/>
          <w:szCs w:val="22"/>
        </w:rPr>
        <w:t xml:space="preserve">em </w:t>
      </w:r>
      <w:r w:rsidR="000E5992" w:rsidRPr="004F4F2B">
        <w:rPr>
          <w:bCs/>
          <w:color w:val="000000"/>
          <w:sz w:val="22"/>
          <w:szCs w:val="22"/>
        </w:rPr>
        <w:t xml:space="preserve">č. 259/2014 Sb. </w:t>
      </w:r>
      <w:r w:rsidRPr="004F4F2B">
        <w:rPr>
          <w:sz w:val="22"/>
          <w:szCs w:val="22"/>
        </w:rPr>
        <w:t>se netýká rovnosti mužů a žen</w:t>
      </w:r>
      <w:r w:rsidR="007E6629">
        <w:rPr>
          <w:sz w:val="22"/>
          <w:szCs w:val="22"/>
        </w:rPr>
        <w:t xml:space="preserve"> a </w:t>
      </w:r>
      <w:r w:rsidR="0025195B" w:rsidRPr="004F4F2B">
        <w:rPr>
          <w:sz w:val="22"/>
          <w:szCs w:val="22"/>
        </w:rPr>
        <w:t xml:space="preserve">nekoliduje se </w:t>
      </w:r>
      <w:r w:rsidRPr="004F4F2B">
        <w:rPr>
          <w:bCs/>
          <w:sz w:val="22"/>
          <w:szCs w:val="22"/>
        </w:rPr>
        <w:t>zákaz</w:t>
      </w:r>
      <w:r w:rsidR="0025195B" w:rsidRPr="004F4F2B">
        <w:rPr>
          <w:bCs/>
          <w:sz w:val="22"/>
          <w:szCs w:val="22"/>
        </w:rPr>
        <w:t xml:space="preserve">em </w:t>
      </w:r>
      <w:r w:rsidRPr="004F4F2B">
        <w:rPr>
          <w:bCs/>
          <w:sz w:val="22"/>
          <w:szCs w:val="22"/>
        </w:rPr>
        <w:t>diskriminace na základě věku, národnosti, náboženství atp.</w:t>
      </w:r>
      <w:r w:rsidR="001F5912" w:rsidRPr="004F4F2B">
        <w:rPr>
          <w:bCs/>
          <w:sz w:val="22"/>
          <w:szCs w:val="22"/>
        </w:rPr>
        <w:t xml:space="preserve"> </w:t>
      </w:r>
      <w:r w:rsidR="00415A7A" w:rsidRPr="004F4F2B">
        <w:rPr>
          <w:bCs/>
          <w:sz w:val="22"/>
          <w:szCs w:val="22"/>
        </w:rPr>
        <w:t>Současný platný právní stav nekoliduje se zásadami ochrany soukromí a osobních údajů. Obvodní báňské úřady i Český báňský úřad sice zpracovávají osobní údaje, a to v souvislosti s vydáváním povolení pro nabytí, držení a použití prekurzorů výbušnin podléhajících omezení</w:t>
      </w:r>
      <w:r w:rsidR="00DD56F2" w:rsidRPr="004F4F2B">
        <w:rPr>
          <w:bCs/>
          <w:sz w:val="22"/>
          <w:szCs w:val="22"/>
        </w:rPr>
        <w:t xml:space="preserve">, ale toto zpracování osobních údajů má legitimní cíl a ochrana osobních údajů je zajištěna. </w:t>
      </w:r>
      <w:r w:rsidR="00070708" w:rsidRPr="004F4F2B">
        <w:rPr>
          <w:bCs/>
          <w:sz w:val="22"/>
          <w:szCs w:val="22"/>
        </w:rPr>
        <w:t>Totéž platí o</w:t>
      </w:r>
      <w:r w:rsidR="006A51B8" w:rsidRPr="004F4F2B">
        <w:rPr>
          <w:bCs/>
          <w:sz w:val="22"/>
          <w:szCs w:val="22"/>
        </w:rPr>
        <w:t> </w:t>
      </w:r>
      <w:r w:rsidR="00070708" w:rsidRPr="004F4F2B">
        <w:rPr>
          <w:bCs/>
          <w:sz w:val="22"/>
          <w:szCs w:val="22"/>
        </w:rPr>
        <w:t>osobních údajích zpracovávaných hospodářskými subjekty</w:t>
      </w:r>
      <w:r w:rsidR="007E6629">
        <w:rPr>
          <w:bCs/>
          <w:sz w:val="22"/>
          <w:szCs w:val="22"/>
        </w:rPr>
        <w:t xml:space="preserve"> </w:t>
      </w:r>
      <w:r w:rsidR="00070708" w:rsidRPr="004F4F2B">
        <w:rPr>
          <w:bCs/>
          <w:sz w:val="22"/>
          <w:szCs w:val="22"/>
        </w:rPr>
        <w:t>při registracích obch</w:t>
      </w:r>
      <w:r w:rsidR="000E0B74" w:rsidRPr="004F4F2B">
        <w:rPr>
          <w:bCs/>
          <w:sz w:val="22"/>
          <w:szCs w:val="22"/>
        </w:rPr>
        <w:t>o</w:t>
      </w:r>
      <w:r w:rsidR="00070708" w:rsidRPr="004F4F2B">
        <w:rPr>
          <w:bCs/>
          <w:sz w:val="22"/>
          <w:szCs w:val="22"/>
        </w:rPr>
        <w:t>dních transa</w:t>
      </w:r>
      <w:r w:rsidR="000E0B74" w:rsidRPr="004F4F2B">
        <w:rPr>
          <w:bCs/>
          <w:sz w:val="22"/>
          <w:szCs w:val="22"/>
        </w:rPr>
        <w:t>k</w:t>
      </w:r>
      <w:r w:rsidR="00070708" w:rsidRPr="004F4F2B">
        <w:rPr>
          <w:bCs/>
          <w:sz w:val="22"/>
          <w:szCs w:val="22"/>
        </w:rPr>
        <w:t>cí.</w:t>
      </w:r>
    </w:p>
    <w:p w:rsidR="00781CBF" w:rsidRPr="004F4F2B" w:rsidRDefault="00781CBF" w:rsidP="003D358C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1.4</w:t>
      </w:r>
      <w:r w:rsidRPr="004F4F2B">
        <w:rPr>
          <w:b/>
          <w:sz w:val="22"/>
          <w:szCs w:val="22"/>
        </w:rPr>
        <w:tab/>
        <w:t>Identifikace dotčených subjektů</w:t>
      </w:r>
    </w:p>
    <w:p w:rsidR="00781CBF" w:rsidRPr="004F4F2B" w:rsidRDefault="00AD29AF" w:rsidP="003D358C">
      <w:pPr>
        <w:autoSpaceDE w:val="0"/>
        <w:autoSpaceDN w:val="0"/>
        <w:adjustRightInd w:val="0"/>
        <w:spacing w:after="8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Přímo d</w:t>
      </w:r>
      <w:r w:rsidR="00781CBF" w:rsidRPr="004F4F2B">
        <w:rPr>
          <w:sz w:val="22"/>
          <w:szCs w:val="22"/>
        </w:rPr>
        <w:t>otčenými subjekty navrhované právní úpravy jsou:</w:t>
      </w:r>
    </w:p>
    <w:p w:rsidR="00781CBF" w:rsidRPr="004F4F2B" w:rsidRDefault="00781CBF" w:rsidP="00B152C4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a)</w:t>
      </w:r>
      <w:r w:rsidRPr="004F4F2B">
        <w:rPr>
          <w:sz w:val="22"/>
          <w:szCs w:val="22"/>
        </w:rPr>
        <w:tab/>
      </w:r>
      <w:r w:rsidR="0082539E" w:rsidRPr="004F4F2B">
        <w:rPr>
          <w:sz w:val="22"/>
          <w:szCs w:val="22"/>
        </w:rPr>
        <w:t xml:space="preserve">fyzické podnikající a právnické osoby, které na trhu zpřístupňují </w:t>
      </w:r>
      <w:r w:rsidR="00434225" w:rsidRPr="004F4F2B">
        <w:rPr>
          <w:sz w:val="22"/>
          <w:szCs w:val="22"/>
        </w:rPr>
        <w:t>regulované prekurzory výbušnin,</w:t>
      </w:r>
      <w:r w:rsidR="007E6629">
        <w:rPr>
          <w:sz w:val="22"/>
          <w:szCs w:val="22"/>
        </w:rPr>
        <w:t xml:space="preserve"> </w:t>
      </w:r>
      <w:r w:rsidR="00434225" w:rsidRPr="004F4F2B">
        <w:rPr>
          <w:sz w:val="22"/>
          <w:szCs w:val="22"/>
        </w:rPr>
        <w:t>tj.</w:t>
      </w:r>
      <w:r w:rsidR="007E6629">
        <w:rPr>
          <w:sz w:val="22"/>
          <w:szCs w:val="22"/>
        </w:rPr>
        <w:t> </w:t>
      </w:r>
      <w:r w:rsidR="00434225" w:rsidRPr="004F4F2B">
        <w:rPr>
          <w:sz w:val="22"/>
          <w:szCs w:val="22"/>
        </w:rPr>
        <w:t xml:space="preserve">jejich </w:t>
      </w:r>
      <w:r w:rsidR="00FB25C2" w:rsidRPr="004F4F2B">
        <w:rPr>
          <w:sz w:val="22"/>
          <w:szCs w:val="22"/>
        </w:rPr>
        <w:t xml:space="preserve">výrobci, dovozci a distributoři </w:t>
      </w:r>
      <w:r w:rsidR="002C1B40" w:rsidRPr="004F4F2B">
        <w:rPr>
          <w:sz w:val="22"/>
          <w:szCs w:val="22"/>
        </w:rPr>
        <w:t>(</w:t>
      </w:r>
      <w:r w:rsidR="00936B22" w:rsidRPr="004F4F2B">
        <w:rPr>
          <w:sz w:val="22"/>
          <w:szCs w:val="22"/>
        </w:rPr>
        <w:t>tzv. </w:t>
      </w:r>
      <w:r w:rsidR="002C1B40" w:rsidRPr="004F4F2B">
        <w:rPr>
          <w:sz w:val="22"/>
          <w:szCs w:val="22"/>
        </w:rPr>
        <w:t>hospodářské subjekty)</w:t>
      </w:r>
      <w:r w:rsidR="00FB25C2" w:rsidRPr="004F4F2B">
        <w:rPr>
          <w:sz w:val="22"/>
          <w:szCs w:val="22"/>
        </w:rPr>
        <w:t>;</w:t>
      </w:r>
    </w:p>
    <w:p w:rsidR="00396157" w:rsidRPr="004F4F2B" w:rsidRDefault="005739E9" w:rsidP="00B152C4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b)</w:t>
      </w:r>
      <w:r w:rsidRPr="004F4F2B">
        <w:rPr>
          <w:sz w:val="22"/>
          <w:szCs w:val="22"/>
        </w:rPr>
        <w:tab/>
      </w:r>
      <w:r w:rsidR="006B01B8" w:rsidRPr="004F4F2B">
        <w:rPr>
          <w:sz w:val="22"/>
          <w:szCs w:val="22"/>
        </w:rPr>
        <w:t>fyzické podnikající a právnické osoby, které regulované prekurzory výbušnin potřebují ke své činnosti jako koncoví uživatelé (tzv. profesionální uživatelé);</w:t>
      </w:r>
    </w:p>
    <w:p w:rsidR="0051485C" w:rsidRPr="004F4F2B" w:rsidRDefault="006B01B8" w:rsidP="00B152C4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c</w:t>
      </w:r>
      <w:r w:rsidR="008E74CD" w:rsidRPr="004F4F2B">
        <w:rPr>
          <w:sz w:val="22"/>
          <w:szCs w:val="22"/>
        </w:rPr>
        <w:t>)</w:t>
      </w:r>
      <w:r w:rsidR="008E74CD" w:rsidRPr="004F4F2B">
        <w:rPr>
          <w:sz w:val="22"/>
          <w:szCs w:val="22"/>
        </w:rPr>
        <w:tab/>
        <w:t>fyzické a právnické osoby, které ne</w:t>
      </w:r>
      <w:r w:rsidR="00396157" w:rsidRPr="004F4F2B">
        <w:rPr>
          <w:sz w:val="22"/>
          <w:szCs w:val="22"/>
        </w:rPr>
        <w:t xml:space="preserve">potřebují regulované </w:t>
      </w:r>
      <w:r w:rsidR="008E74CD" w:rsidRPr="004F4F2B">
        <w:rPr>
          <w:sz w:val="22"/>
          <w:szCs w:val="22"/>
        </w:rPr>
        <w:t xml:space="preserve">prekurzory výbušnin </w:t>
      </w:r>
      <w:r w:rsidRPr="004F4F2B">
        <w:rPr>
          <w:sz w:val="22"/>
          <w:szCs w:val="22"/>
        </w:rPr>
        <w:t xml:space="preserve">ke </w:t>
      </w:r>
      <w:r w:rsidR="008E74CD" w:rsidRPr="004F4F2B">
        <w:rPr>
          <w:sz w:val="22"/>
          <w:szCs w:val="22"/>
        </w:rPr>
        <w:t>své podnikatelské nebo profesní činnosti</w:t>
      </w:r>
      <w:r w:rsidR="00E84D37" w:rsidRPr="004F4F2B">
        <w:rPr>
          <w:sz w:val="22"/>
          <w:szCs w:val="22"/>
        </w:rPr>
        <w:t xml:space="preserve"> (tzv. osoby z řad široké veřejnosti);</w:t>
      </w:r>
    </w:p>
    <w:p w:rsidR="00781CBF" w:rsidRPr="004F4F2B" w:rsidRDefault="002D0D60" w:rsidP="00B152C4">
      <w:pPr>
        <w:tabs>
          <w:tab w:val="left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d</w:t>
      </w:r>
      <w:r w:rsidR="004E771B" w:rsidRPr="004F4F2B">
        <w:rPr>
          <w:sz w:val="22"/>
          <w:szCs w:val="22"/>
        </w:rPr>
        <w:t>)</w:t>
      </w:r>
      <w:r w:rsidR="004E771B" w:rsidRPr="004F4F2B">
        <w:rPr>
          <w:sz w:val="22"/>
          <w:szCs w:val="22"/>
        </w:rPr>
        <w:tab/>
      </w:r>
      <w:r w:rsidR="00781CBF" w:rsidRPr="004F4F2B">
        <w:rPr>
          <w:sz w:val="22"/>
          <w:szCs w:val="22"/>
        </w:rPr>
        <w:t>orgán</w:t>
      </w:r>
      <w:r w:rsidR="004E771B" w:rsidRPr="004F4F2B">
        <w:rPr>
          <w:sz w:val="22"/>
          <w:szCs w:val="22"/>
        </w:rPr>
        <w:t>y</w:t>
      </w:r>
      <w:r w:rsidR="00781CBF" w:rsidRPr="004F4F2B">
        <w:rPr>
          <w:sz w:val="22"/>
          <w:szCs w:val="22"/>
        </w:rPr>
        <w:t xml:space="preserve"> </w:t>
      </w:r>
      <w:r w:rsidR="00887C8F" w:rsidRPr="004F4F2B">
        <w:rPr>
          <w:sz w:val="22"/>
          <w:szCs w:val="22"/>
        </w:rPr>
        <w:t xml:space="preserve">státní správy </w:t>
      </w:r>
      <w:r w:rsidR="00781CBF" w:rsidRPr="004F4F2B">
        <w:rPr>
          <w:sz w:val="22"/>
          <w:szCs w:val="22"/>
        </w:rPr>
        <w:t xml:space="preserve">vykonávající </w:t>
      </w:r>
      <w:r w:rsidR="001E1962">
        <w:rPr>
          <w:sz w:val="22"/>
          <w:szCs w:val="22"/>
        </w:rPr>
        <w:t>veřejnou moc</w:t>
      </w:r>
      <w:r w:rsidR="004E771B" w:rsidRPr="004F4F2B">
        <w:rPr>
          <w:sz w:val="22"/>
          <w:szCs w:val="22"/>
        </w:rPr>
        <w:t xml:space="preserve"> na úseku prekurzorů výbušnin</w:t>
      </w:r>
      <w:r w:rsidR="00887C8F" w:rsidRPr="004F4F2B">
        <w:rPr>
          <w:sz w:val="22"/>
          <w:szCs w:val="22"/>
        </w:rPr>
        <w:t>.</w:t>
      </w:r>
    </w:p>
    <w:p w:rsidR="00AD29AF" w:rsidRPr="004F4F2B" w:rsidRDefault="00AD29AF" w:rsidP="003D358C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Nepřímo d</w:t>
      </w:r>
      <w:r w:rsidR="00C215A9" w:rsidRPr="004F4F2B">
        <w:rPr>
          <w:sz w:val="22"/>
          <w:szCs w:val="22"/>
        </w:rPr>
        <w:t>o</w:t>
      </w:r>
      <w:r w:rsidRPr="004F4F2B">
        <w:rPr>
          <w:sz w:val="22"/>
          <w:szCs w:val="22"/>
        </w:rPr>
        <w:t xml:space="preserve">tčenými subjekty navrhované právní úpravy budou </w:t>
      </w:r>
      <w:r w:rsidR="0029418F" w:rsidRPr="004F4F2B">
        <w:rPr>
          <w:sz w:val="22"/>
          <w:szCs w:val="22"/>
        </w:rPr>
        <w:t xml:space="preserve">všechny </w:t>
      </w:r>
      <w:r w:rsidRPr="004F4F2B">
        <w:rPr>
          <w:sz w:val="22"/>
          <w:szCs w:val="22"/>
        </w:rPr>
        <w:t>osoby zdržující se v České republice, a to z pohledu dopadů na jejich osobní bezpečnost v souvislosti s případn</w:t>
      </w:r>
      <w:r w:rsidR="00C216F8" w:rsidRPr="004F4F2B">
        <w:rPr>
          <w:sz w:val="22"/>
          <w:szCs w:val="22"/>
        </w:rPr>
        <w:t>ou neoprávněnou výrobou výbušnin</w:t>
      </w:r>
      <w:r w:rsidR="00E41238" w:rsidRPr="004F4F2B">
        <w:rPr>
          <w:sz w:val="22"/>
          <w:szCs w:val="22"/>
        </w:rPr>
        <w:t xml:space="preserve"> právě z regulovaných prekurzorů výbušnin </w:t>
      </w:r>
      <w:r w:rsidR="00C216F8" w:rsidRPr="004F4F2B">
        <w:rPr>
          <w:sz w:val="22"/>
          <w:szCs w:val="22"/>
        </w:rPr>
        <w:t>jinými osobami.</w:t>
      </w:r>
    </w:p>
    <w:p w:rsidR="00952A7B" w:rsidRPr="004F4F2B" w:rsidRDefault="006315C9" w:rsidP="003D358C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Počty</w:t>
      </w:r>
      <w:r w:rsidR="003177F9" w:rsidRPr="004F4F2B">
        <w:rPr>
          <w:sz w:val="22"/>
          <w:szCs w:val="22"/>
        </w:rPr>
        <w:t xml:space="preserve"> subjektů jednotlivých stěžejních skupin dotčených subjektů, uvedených pod písmeny a) a</w:t>
      </w:r>
      <w:r w:rsidR="00DE778C" w:rsidRPr="004F4F2B">
        <w:rPr>
          <w:sz w:val="22"/>
          <w:szCs w:val="22"/>
        </w:rPr>
        <w:t xml:space="preserve"> b</w:t>
      </w:r>
      <w:r w:rsidR="00417C67" w:rsidRPr="004F4F2B">
        <w:rPr>
          <w:sz w:val="22"/>
          <w:szCs w:val="22"/>
        </w:rPr>
        <w:t xml:space="preserve">), </w:t>
      </w:r>
      <w:r w:rsidR="003177F9" w:rsidRPr="004F4F2B">
        <w:rPr>
          <w:sz w:val="22"/>
          <w:szCs w:val="22"/>
        </w:rPr>
        <w:t xml:space="preserve">nelze </w:t>
      </w:r>
      <w:r w:rsidR="003E64DE" w:rsidRPr="004F4F2B">
        <w:rPr>
          <w:sz w:val="22"/>
          <w:szCs w:val="22"/>
        </w:rPr>
        <w:t xml:space="preserve">přesně </w:t>
      </w:r>
      <w:r w:rsidR="003177F9" w:rsidRPr="004F4F2B">
        <w:rPr>
          <w:sz w:val="22"/>
          <w:szCs w:val="22"/>
        </w:rPr>
        <w:t>určit</w:t>
      </w:r>
      <w:r w:rsidR="00D36172" w:rsidRPr="004F4F2B">
        <w:rPr>
          <w:sz w:val="22"/>
          <w:szCs w:val="22"/>
        </w:rPr>
        <w:t>. A to ani v případě hospodářských subjektů, uvedených pod písm. a), s případnými využitím Registru ekonomických subjektů (</w:t>
      </w:r>
      <w:r w:rsidR="00D36172" w:rsidRPr="004F4F2B">
        <w:rPr>
          <w:i/>
          <w:iCs/>
          <w:sz w:val="22"/>
          <w:szCs w:val="22"/>
        </w:rPr>
        <w:t>https://apl.czso.cz</w:t>
      </w:r>
      <w:r w:rsidR="00D36172" w:rsidRPr="004F4F2B">
        <w:rPr>
          <w:sz w:val="22"/>
          <w:szCs w:val="22"/>
        </w:rPr>
        <w:t>) či Administrativního registru ekonomických subjektů</w:t>
      </w:r>
      <w:r w:rsidR="00547FCA" w:rsidRPr="004F4F2B">
        <w:rPr>
          <w:sz w:val="22"/>
          <w:szCs w:val="22"/>
        </w:rPr>
        <w:t xml:space="preserve"> (</w:t>
      </w:r>
      <w:r w:rsidR="00547FCA" w:rsidRPr="004F4F2B">
        <w:rPr>
          <w:i/>
          <w:iCs/>
          <w:sz w:val="22"/>
          <w:szCs w:val="22"/>
        </w:rPr>
        <w:t>https://wwwinfo.mfcr.cz/</w:t>
      </w:r>
      <w:proofErr w:type="spellStart"/>
      <w:r w:rsidR="00547FCA" w:rsidRPr="004F4F2B">
        <w:rPr>
          <w:i/>
          <w:iCs/>
          <w:sz w:val="22"/>
          <w:szCs w:val="22"/>
        </w:rPr>
        <w:t>ares</w:t>
      </w:r>
      <w:proofErr w:type="spellEnd"/>
      <w:r w:rsidR="00547FCA" w:rsidRPr="004F4F2B">
        <w:rPr>
          <w:sz w:val="22"/>
          <w:szCs w:val="22"/>
        </w:rPr>
        <w:t xml:space="preserve">) a filtrací podle </w:t>
      </w:r>
      <w:r w:rsidR="00547FCA" w:rsidRPr="004F4F2B">
        <w:rPr>
          <w:rFonts w:eastAsiaTheme="minorHAnsi"/>
          <w:sz w:val="22"/>
          <w:szCs w:val="22"/>
        </w:rPr>
        <w:t>klasifikace ekonomických činností</w:t>
      </w:r>
      <w:r w:rsidR="00C33496" w:rsidRPr="004F4F2B">
        <w:rPr>
          <w:rFonts w:eastAsiaTheme="minorHAnsi"/>
          <w:sz w:val="22"/>
          <w:szCs w:val="22"/>
        </w:rPr>
        <w:t xml:space="preserve">, </w:t>
      </w:r>
      <w:r w:rsidR="00B118BC" w:rsidRPr="004F4F2B">
        <w:rPr>
          <w:rFonts w:eastAsiaTheme="minorHAnsi"/>
          <w:sz w:val="22"/>
          <w:szCs w:val="22"/>
        </w:rPr>
        <w:t xml:space="preserve">anebo </w:t>
      </w:r>
      <w:r w:rsidR="00C33496" w:rsidRPr="004F4F2B">
        <w:rPr>
          <w:rFonts w:eastAsiaTheme="minorHAnsi"/>
          <w:sz w:val="22"/>
          <w:szCs w:val="22"/>
        </w:rPr>
        <w:t>s případným využitím dat Živnostenského rejstříku</w:t>
      </w:r>
      <w:r w:rsidR="00B118BC" w:rsidRPr="004F4F2B">
        <w:rPr>
          <w:rFonts w:eastAsiaTheme="minorHAnsi"/>
          <w:sz w:val="22"/>
          <w:szCs w:val="22"/>
        </w:rPr>
        <w:t xml:space="preserve">, resp. </w:t>
      </w:r>
      <w:r w:rsidR="001914EF" w:rsidRPr="004F4F2B">
        <w:rPr>
          <w:rFonts w:eastAsiaTheme="minorHAnsi"/>
          <w:sz w:val="22"/>
          <w:szCs w:val="22"/>
        </w:rPr>
        <w:t xml:space="preserve">informací </w:t>
      </w:r>
      <w:r w:rsidR="00B118BC" w:rsidRPr="004F4F2B">
        <w:rPr>
          <w:rFonts w:eastAsiaTheme="minorHAnsi"/>
          <w:sz w:val="22"/>
          <w:szCs w:val="22"/>
        </w:rPr>
        <w:t>Odboru živností Ministerstva průmyslu a obchodu,</w:t>
      </w:r>
      <w:r w:rsidR="007E6629">
        <w:rPr>
          <w:rFonts w:eastAsiaTheme="minorHAnsi"/>
          <w:sz w:val="22"/>
          <w:szCs w:val="22"/>
        </w:rPr>
        <w:t xml:space="preserve"> </w:t>
      </w:r>
      <w:r w:rsidR="00C33496" w:rsidRPr="004F4F2B">
        <w:rPr>
          <w:rFonts w:eastAsiaTheme="minorHAnsi"/>
          <w:sz w:val="22"/>
          <w:szCs w:val="22"/>
        </w:rPr>
        <w:t xml:space="preserve">a filtrací podle </w:t>
      </w:r>
      <w:r w:rsidR="00B118BC" w:rsidRPr="004F4F2B">
        <w:rPr>
          <w:rFonts w:eastAsiaTheme="minorHAnsi"/>
          <w:sz w:val="22"/>
          <w:szCs w:val="22"/>
        </w:rPr>
        <w:t>konkrétní živnosti</w:t>
      </w:r>
      <w:r w:rsidR="00385227" w:rsidRPr="004F4F2B">
        <w:rPr>
          <w:rStyle w:val="Znakapoznpodarou"/>
          <w:rFonts w:eastAsiaTheme="minorHAnsi"/>
          <w:sz w:val="22"/>
          <w:szCs w:val="22"/>
        </w:rPr>
        <w:footnoteReference w:customMarkFollows="1" w:id="1"/>
        <w:t>1)</w:t>
      </w:r>
      <w:r w:rsidR="00DD1902" w:rsidRPr="004F4F2B">
        <w:rPr>
          <w:rFonts w:eastAsiaTheme="minorHAnsi"/>
          <w:sz w:val="22"/>
          <w:szCs w:val="22"/>
        </w:rPr>
        <w:t>.</w:t>
      </w:r>
      <w:r w:rsidR="00B118BC" w:rsidRPr="004F4F2B">
        <w:rPr>
          <w:rFonts w:eastAsiaTheme="minorHAnsi"/>
          <w:sz w:val="22"/>
          <w:szCs w:val="22"/>
        </w:rPr>
        <w:t xml:space="preserve"> </w:t>
      </w:r>
      <w:r w:rsidR="00DD1902">
        <w:rPr>
          <w:sz w:val="22"/>
          <w:szCs w:val="22"/>
        </w:rPr>
        <w:t>Nicméně byl zpracován</w:t>
      </w:r>
      <w:r w:rsidR="00385227" w:rsidRPr="004F4F2B">
        <w:rPr>
          <w:sz w:val="22"/>
          <w:szCs w:val="22"/>
        </w:rPr>
        <w:t xml:space="preserve"> násled</w:t>
      </w:r>
      <w:r w:rsidR="00DD1902">
        <w:rPr>
          <w:sz w:val="22"/>
          <w:szCs w:val="22"/>
        </w:rPr>
        <w:t>ně uvedený</w:t>
      </w:r>
      <w:r w:rsidR="00385227" w:rsidRPr="004F4F2B">
        <w:rPr>
          <w:sz w:val="22"/>
          <w:szCs w:val="22"/>
        </w:rPr>
        <w:t xml:space="preserve"> </w:t>
      </w:r>
      <w:r w:rsidR="0086796A" w:rsidRPr="004F4F2B">
        <w:rPr>
          <w:sz w:val="22"/>
          <w:szCs w:val="22"/>
        </w:rPr>
        <w:t xml:space="preserve">rámcový přehled počtu subjektů podle relevantní klasifikace ekonomických činností a podle </w:t>
      </w:r>
      <w:r w:rsidR="001914EF" w:rsidRPr="004F4F2B">
        <w:rPr>
          <w:sz w:val="22"/>
          <w:szCs w:val="22"/>
        </w:rPr>
        <w:t xml:space="preserve">vybraných </w:t>
      </w:r>
      <w:r w:rsidR="0086796A" w:rsidRPr="004F4F2B">
        <w:rPr>
          <w:sz w:val="22"/>
          <w:szCs w:val="22"/>
        </w:rPr>
        <w:t>živnostenských oprávnění</w:t>
      </w:r>
      <w:r w:rsidR="0080603D" w:rsidRPr="004F4F2B">
        <w:rPr>
          <w:sz w:val="22"/>
          <w:szCs w:val="22"/>
        </w:rPr>
        <w:t>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983"/>
        <w:gridCol w:w="1275"/>
        <w:gridCol w:w="2262"/>
      </w:tblGrid>
      <w:tr w:rsidR="003221EF" w:rsidRPr="004F4F2B" w:rsidTr="003D358C">
        <w:trPr>
          <w:trHeight w:hRule="exact" w:val="340"/>
        </w:trPr>
        <w:tc>
          <w:tcPr>
            <w:tcW w:w="9520" w:type="dxa"/>
            <w:gridSpan w:val="3"/>
            <w:shd w:val="clear" w:color="auto" w:fill="D9D9D9" w:themeFill="background1" w:themeFillShade="D9"/>
            <w:vAlign w:val="center"/>
          </w:tcPr>
          <w:p w:rsidR="003221EF" w:rsidRPr="004F4F2B" w:rsidRDefault="007B446C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</w:t>
            </w:r>
            <w:r w:rsidR="003221EF" w:rsidRPr="004F4F2B">
              <w:rPr>
                <w:sz w:val="16"/>
                <w:szCs w:val="16"/>
              </w:rPr>
              <w:t xml:space="preserve">očty přímo dotčených hospodářských subjektů podle </w:t>
            </w:r>
            <w:r w:rsidR="00D15A25" w:rsidRPr="004F4F2B">
              <w:rPr>
                <w:sz w:val="16"/>
                <w:szCs w:val="16"/>
              </w:rPr>
              <w:t xml:space="preserve">vybrané </w:t>
            </w:r>
            <w:r w:rsidR="003221EF" w:rsidRPr="004F4F2B">
              <w:rPr>
                <w:sz w:val="16"/>
                <w:szCs w:val="16"/>
              </w:rPr>
              <w:t>klasifikace ekonomických činností</w:t>
            </w:r>
          </w:p>
        </w:tc>
      </w:tr>
      <w:tr w:rsidR="003221EF" w:rsidRPr="004F4F2B" w:rsidTr="003D358C">
        <w:trPr>
          <w:trHeight w:hRule="exact" w:val="340"/>
        </w:trPr>
        <w:tc>
          <w:tcPr>
            <w:tcW w:w="5983" w:type="dxa"/>
            <w:shd w:val="clear" w:color="auto" w:fill="F2F2F2" w:themeFill="background1" w:themeFillShade="F2"/>
            <w:vAlign w:val="center"/>
          </w:tcPr>
          <w:p w:rsidR="003221EF" w:rsidRPr="004F4F2B" w:rsidRDefault="00BD4192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CZ-NACE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72478" w:rsidRPr="004F4F2B" w:rsidRDefault="00BD4192" w:rsidP="00741BCA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Počet subjektů</w:t>
            </w:r>
          </w:p>
        </w:tc>
        <w:tc>
          <w:tcPr>
            <w:tcW w:w="2262" w:type="dxa"/>
            <w:shd w:val="clear" w:color="auto" w:fill="F2F2F2" w:themeFill="background1" w:themeFillShade="F2"/>
            <w:vAlign w:val="center"/>
          </w:tcPr>
          <w:p w:rsidR="003221EF" w:rsidRPr="004F4F2B" w:rsidRDefault="00BD4192" w:rsidP="00741BCA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Zdroj</w:t>
            </w:r>
          </w:p>
        </w:tc>
      </w:tr>
      <w:tr w:rsidR="00D10527" w:rsidRPr="004F4F2B" w:rsidTr="003D358C">
        <w:trPr>
          <w:trHeight w:val="454"/>
        </w:trPr>
        <w:tc>
          <w:tcPr>
            <w:tcW w:w="5983" w:type="dxa"/>
            <w:tcBorders>
              <w:bottom w:val="single" w:sz="4" w:space="0" w:color="auto"/>
            </w:tcBorders>
            <w:vAlign w:val="center"/>
          </w:tcPr>
          <w:p w:rsidR="00D10527" w:rsidRPr="004F4F2B" w:rsidRDefault="00D10527" w:rsidP="006F0DC7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r w:rsidRPr="004F4F2B">
              <w:rPr>
                <w:b w:val="0"/>
                <w:bCs w:val="0"/>
                <w:sz w:val="16"/>
                <w:szCs w:val="16"/>
              </w:rPr>
              <w:t>2013, 20130 (Výroba jiných základních anorganických chemických látek)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10527" w:rsidRPr="004F4F2B" w:rsidRDefault="00D10527" w:rsidP="006F0DC7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372</w:t>
            </w:r>
          </w:p>
        </w:tc>
        <w:tc>
          <w:tcPr>
            <w:tcW w:w="2262" w:type="dxa"/>
            <w:vMerge w:val="restart"/>
            <w:tcBorders>
              <w:bottom w:val="single" w:sz="4" w:space="0" w:color="auto"/>
            </w:tcBorders>
            <w:vAlign w:val="center"/>
          </w:tcPr>
          <w:p w:rsidR="00D10527" w:rsidRPr="004F4F2B" w:rsidRDefault="00D10527" w:rsidP="00741BCA">
            <w:pPr>
              <w:rPr>
                <w:rStyle w:val="tbold"/>
                <w:sz w:val="16"/>
                <w:szCs w:val="16"/>
              </w:rPr>
            </w:pPr>
            <w:r w:rsidRPr="004F4F2B">
              <w:rPr>
                <w:rStyle w:val="tbold"/>
                <w:sz w:val="16"/>
                <w:szCs w:val="16"/>
              </w:rPr>
              <w:t>Administrativní registr ekonomických subjektů (stav k 26. srpna 2019)</w:t>
            </w:r>
          </w:p>
        </w:tc>
      </w:tr>
      <w:tr w:rsidR="00D10527" w:rsidRPr="004F4F2B" w:rsidTr="003D358C">
        <w:trPr>
          <w:trHeight w:hRule="exact" w:val="284"/>
        </w:trPr>
        <w:tc>
          <w:tcPr>
            <w:tcW w:w="5983" w:type="dxa"/>
            <w:vAlign w:val="center"/>
          </w:tcPr>
          <w:p w:rsidR="00D10527" w:rsidRPr="004F4F2B" w:rsidRDefault="00D10527" w:rsidP="007C72E7">
            <w:pPr>
              <w:pStyle w:val="Nadpis1"/>
              <w:outlineLvl w:val="0"/>
              <w:rPr>
                <w:b w:val="0"/>
                <w:bCs w:val="0"/>
                <w:sz w:val="16"/>
                <w:szCs w:val="16"/>
              </w:rPr>
            </w:pPr>
            <w:r w:rsidRPr="004F4F2B">
              <w:rPr>
                <w:b w:val="0"/>
                <w:bCs w:val="0"/>
                <w:sz w:val="16"/>
                <w:szCs w:val="16"/>
              </w:rPr>
              <w:t>20150 (Výroba hnojiv a dusíkatých sloučenin)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1 920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hRule="exact" w:val="284"/>
        </w:trPr>
        <w:tc>
          <w:tcPr>
            <w:tcW w:w="5983" w:type="dxa"/>
            <w:vAlign w:val="center"/>
          </w:tcPr>
          <w:p w:rsidR="00D10527" w:rsidRPr="004F4F2B" w:rsidRDefault="00D10527" w:rsidP="009A650A">
            <w:pPr>
              <w:pStyle w:val="Nadpis1"/>
              <w:outlineLvl w:val="0"/>
              <w:rPr>
                <w:b w:val="0"/>
                <w:bCs w:val="0"/>
                <w:sz w:val="16"/>
                <w:szCs w:val="16"/>
              </w:rPr>
            </w:pPr>
            <w:r w:rsidRPr="004F4F2B">
              <w:rPr>
                <w:b w:val="0"/>
                <w:bCs w:val="0"/>
                <w:sz w:val="16"/>
                <w:szCs w:val="16"/>
              </w:rPr>
              <w:t>2059 (Výroba ostatních chemických výrobků j. n.)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435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hRule="exact" w:val="28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464 (Velkoobchod s výrobky převážně pro domácnost)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792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hRule="exact" w:val="28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46490 (Velkoobchod s ostatními výrobky převážně pro domácnost)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845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hRule="exact" w:val="28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46750 (Velkoobchod s chemickými výrobky)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1 065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hRule="exact" w:val="28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46900 (Nespecializovaný velkoobchod)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&gt;2</w:t>
            </w:r>
            <w:r w:rsidR="006B3F1C" w:rsidRPr="004F4F2B">
              <w:rPr>
                <w:sz w:val="16"/>
                <w:szCs w:val="16"/>
              </w:rPr>
              <w:t>0</w:t>
            </w:r>
            <w:r w:rsidRPr="004F4F2B">
              <w:rPr>
                <w:sz w:val="16"/>
                <w:szCs w:val="16"/>
              </w:rPr>
              <w:t> </w:t>
            </w:r>
            <w:r w:rsidR="006B3F1C" w:rsidRPr="004F4F2B">
              <w:rPr>
                <w:sz w:val="16"/>
                <w:szCs w:val="16"/>
              </w:rPr>
              <w:t>000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hRule="exact" w:val="28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4719, 47190 (Ostatní maloobchod v nespecializovaných prodejnách)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&gt;</w:t>
            </w:r>
            <w:r w:rsidR="006B3F1C" w:rsidRPr="004F4F2B">
              <w:rPr>
                <w:sz w:val="16"/>
                <w:szCs w:val="16"/>
              </w:rPr>
              <w:t>20</w:t>
            </w:r>
            <w:r w:rsidRPr="004F4F2B">
              <w:rPr>
                <w:sz w:val="16"/>
                <w:szCs w:val="16"/>
              </w:rPr>
              <w:t> </w:t>
            </w:r>
            <w:r w:rsidR="006B3F1C" w:rsidRPr="004F4F2B">
              <w:rPr>
                <w:sz w:val="16"/>
                <w:szCs w:val="16"/>
              </w:rPr>
              <w:t>000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hRule="exact" w:val="45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lastRenderedPageBreak/>
              <w:t>475 (Maloobchod s ostatními výrobky převážně pro domácnost ve specializovaných prodejnách)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134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hRule="exact" w:val="45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4752, 47520 (Maloobchod s železářským zbožím, barvami, sklem a potřebami pro kutily)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1 709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val="28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4775, 47750 (Maloobchod s kosmetickými a toaletními výrobky)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1 491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val="45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4776, 47760 (Maloobchod s květinami, rostlinami, osivy, hnojivy, zvířaty pro zájmový chov a krmivy pro ně)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1 163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hRule="exact" w:val="284"/>
        </w:trPr>
        <w:tc>
          <w:tcPr>
            <w:tcW w:w="5983" w:type="dxa"/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4765, 47650 (Maloobchod s hrami a hračkami)</w:t>
            </w:r>
          </w:p>
        </w:tc>
        <w:tc>
          <w:tcPr>
            <w:tcW w:w="1275" w:type="dxa"/>
            <w:vAlign w:val="center"/>
          </w:tcPr>
          <w:p w:rsidR="00D10527" w:rsidRPr="004F4F2B" w:rsidRDefault="00D10527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179</w:t>
            </w:r>
          </w:p>
        </w:tc>
        <w:tc>
          <w:tcPr>
            <w:tcW w:w="2262" w:type="dxa"/>
            <w:vMerge/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D10527" w:rsidRPr="004F4F2B" w:rsidTr="003D358C">
        <w:trPr>
          <w:trHeight w:val="454"/>
        </w:trPr>
        <w:tc>
          <w:tcPr>
            <w:tcW w:w="5983" w:type="dxa"/>
            <w:tcBorders>
              <w:bottom w:val="single" w:sz="4" w:space="0" w:color="auto"/>
            </w:tcBorders>
            <w:vAlign w:val="center"/>
          </w:tcPr>
          <w:p w:rsidR="00D10527" w:rsidRPr="004F4F2B" w:rsidRDefault="00D10527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4778, 47789 (Ostatní maloobchod s novým zbožím ve specializovaných prodejnách)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10527" w:rsidRPr="004F4F2B" w:rsidRDefault="00F364A5" w:rsidP="00741BC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&gt;20 000</w:t>
            </w:r>
          </w:p>
        </w:tc>
        <w:tc>
          <w:tcPr>
            <w:tcW w:w="2262" w:type="dxa"/>
            <w:vMerge/>
            <w:tcBorders>
              <w:bottom w:val="single" w:sz="4" w:space="0" w:color="auto"/>
            </w:tcBorders>
            <w:vAlign w:val="center"/>
          </w:tcPr>
          <w:p w:rsidR="00D10527" w:rsidRPr="004F4F2B" w:rsidRDefault="00D10527" w:rsidP="00741BCA">
            <w:pPr>
              <w:rPr>
                <w:sz w:val="16"/>
                <w:szCs w:val="16"/>
              </w:rPr>
            </w:pPr>
          </w:p>
        </w:tc>
      </w:tr>
      <w:tr w:rsidR="006001EF" w:rsidRPr="004F4F2B" w:rsidTr="003D358C">
        <w:trPr>
          <w:trHeight w:hRule="exact" w:val="340"/>
        </w:trPr>
        <w:tc>
          <w:tcPr>
            <w:tcW w:w="9520" w:type="dxa"/>
            <w:gridSpan w:val="3"/>
            <w:shd w:val="clear" w:color="auto" w:fill="D9D9D9" w:themeFill="background1" w:themeFillShade="D9"/>
            <w:vAlign w:val="center"/>
          </w:tcPr>
          <w:p w:rsidR="006001EF" w:rsidRPr="004F4F2B" w:rsidRDefault="007B446C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</w:t>
            </w:r>
            <w:r w:rsidR="006001EF" w:rsidRPr="004F4F2B">
              <w:rPr>
                <w:sz w:val="16"/>
                <w:szCs w:val="16"/>
              </w:rPr>
              <w:t xml:space="preserve">očty přímo dotčených hospodářských subjektů podle </w:t>
            </w:r>
            <w:r w:rsidR="00D15A25" w:rsidRPr="004F4F2B">
              <w:rPr>
                <w:sz w:val="16"/>
                <w:szCs w:val="16"/>
              </w:rPr>
              <w:t xml:space="preserve">vybraných </w:t>
            </w:r>
            <w:r w:rsidR="006001EF" w:rsidRPr="004F4F2B">
              <w:rPr>
                <w:sz w:val="16"/>
                <w:szCs w:val="16"/>
              </w:rPr>
              <w:t>živnostenských oprávnění</w:t>
            </w:r>
          </w:p>
        </w:tc>
      </w:tr>
      <w:tr w:rsidR="006001EF" w:rsidRPr="004F4F2B" w:rsidTr="003D358C">
        <w:trPr>
          <w:trHeight w:hRule="exact" w:val="340"/>
        </w:trPr>
        <w:tc>
          <w:tcPr>
            <w:tcW w:w="5983" w:type="dxa"/>
            <w:shd w:val="clear" w:color="auto" w:fill="F2F2F2" w:themeFill="background1" w:themeFillShade="F2"/>
            <w:vAlign w:val="center"/>
          </w:tcPr>
          <w:p w:rsidR="006001EF" w:rsidRPr="004F4F2B" w:rsidRDefault="00BD4192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Živnost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6001EF" w:rsidRPr="004F4F2B" w:rsidRDefault="00BD4192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Počet subjektů</w:t>
            </w:r>
          </w:p>
        </w:tc>
        <w:tc>
          <w:tcPr>
            <w:tcW w:w="2262" w:type="dxa"/>
            <w:shd w:val="clear" w:color="auto" w:fill="F2F2F2" w:themeFill="background1" w:themeFillShade="F2"/>
            <w:vAlign w:val="center"/>
          </w:tcPr>
          <w:p w:rsidR="006001EF" w:rsidRPr="004F4F2B" w:rsidRDefault="00BD4192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Zdroj</w:t>
            </w:r>
          </w:p>
        </w:tc>
      </w:tr>
      <w:tr w:rsidR="000829D1" w:rsidRPr="004F4F2B" w:rsidTr="003D358C">
        <w:trPr>
          <w:trHeight w:hRule="exact" w:val="851"/>
        </w:trPr>
        <w:tc>
          <w:tcPr>
            <w:tcW w:w="5983" w:type="dxa"/>
            <w:vAlign w:val="center"/>
          </w:tcPr>
          <w:p w:rsidR="000829D1" w:rsidRPr="004F4F2B" w:rsidRDefault="000829D1" w:rsidP="003221EF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Výroba nebezpečných látek a nebezpečných chemických směsí a prodej chemických látek a chemických směsí klasifikovaných jako vysoce toxické a toxické</w:t>
            </w:r>
          </w:p>
          <w:p w:rsidR="000829D1" w:rsidRPr="004F4F2B" w:rsidRDefault="000829D1" w:rsidP="003221EF">
            <w:pPr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(Živnost vázaná)</w:t>
            </w:r>
          </w:p>
        </w:tc>
        <w:tc>
          <w:tcPr>
            <w:tcW w:w="1275" w:type="dxa"/>
            <w:vAlign w:val="center"/>
          </w:tcPr>
          <w:p w:rsidR="000829D1" w:rsidRPr="004F4F2B" w:rsidRDefault="000829D1" w:rsidP="00B84679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2 545</w:t>
            </w:r>
          </w:p>
        </w:tc>
        <w:tc>
          <w:tcPr>
            <w:tcW w:w="2262" w:type="dxa"/>
            <w:vMerge w:val="restart"/>
            <w:vAlign w:val="center"/>
          </w:tcPr>
          <w:p w:rsidR="005043A4" w:rsidRPr="004F4F2B" w:rsidRDefault="000829D1" w:rsidP="00B8325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Ministerstvo průmyslu a</w:t>
            </w:r>
            <w:r w:rsidR="001914EF" w:rsidRPr="004F4F2B">
              <w:rPr>
                <w:sz w:val="16"/>
                <w:szCs w:val="16"/>
              </w:rPr>
              <w:t> </w:t>
            </w:r>
            <w:r w:rsidRPr="004F4F2B">
              <w:rPr>
                <w:sz w:val="16"/>
                <w:szCs w:val="16"/>
              </w:rPr>
              <w:t>obchodu</w:t>
            </w:r>
            <w:r w:rsidR="005043A4" w:rsidRPr="004F4F2B">
              <w:rPr>
                <w:sz w:val="16"/>
                <w:szCs w:val="16"/>
              </w:rPr>
              <w:t>;</w:t>
            </w:r>
          </w:p>
          <w:p w:rsidR="000829D1" w:rsidRPr="004F4F2B" w:rsidRDefault="000829D1" w:rsidP="00B8325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stav k II. čtvrtletí 2019</w:t>
            </w:r>
          </w:p>
        </w:tc>
      </w:tr>
      <w:tr w:rsidR="000829D1" w:rsidRPr="004F4F2B" w:rsidTr="003D358C">
        <w:trPr>
          <w:trHeight w:hRule="exact" w:val="624"/>
        </w:trPr>
        <w:tc>
          <w:tcPr>
            <w:tcW w:w="5983" w:type="dxa"/>
            <w:vAlign w:val="center"/>
          </w:tcPr>
          <w:p w:rsidR="000829D1" w:rsidRPr="004F4F2B" w:rsidRDefault="000829D1" w:rsidP="003221EF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F4F2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Výroba chemických látek a chemických směsí nebo předmětů a kosmetických přípravků</w:t>
            </w:r>
          </w:p>
          <w:p w:rsidR="000829D1" w:rsidRPr="004F4F2B" w:rsidRDefault="000829D1" w:rsidP="003221EF">
            <w:pPr>
              <w:rPr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(Živnost volná)</w:t>
            </w:r>
          </w:p>
        </w:tc>
        <w:tc>
          <w:tcPr>
            <w:tcW w:w="1275" w:type="dxa"/>
            <w:vAlign w:val="center"/>
          </w:tcPr>
          <w:p w:rsidR="000829D1" w:rsidRPr="004F4F2B" w:rsidRDefault="007B446C" w:rsidP="00B84679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86 551</w:t>
            </w:r>
          </w:p>
        </w:tc>
        <w:tc>
          <w:tcPr>
            <w:tcW w:w="2262" w:type="dxa"/>
            <w:vMerge/>
            <w:vAlign w:val="center"/>
          </w:tcPr>
          <w:p w:rsidR="000829D1" w:rsidRPr="004F4F2B" w:rsidRDefault="000829D1" w:rsidP="003221EF">
            <w:pPr>
              <w:rPr>
                <w:sz w:val="16"/>
                <w:szCs w:val="16"/>
              </w:rPr>
            </w:pPr>
          </w:p>
        </w:tc>
      </w:tr>
      <w:tr w:rsidR="005B11DF" w:rsidRPr="004F4F2B" w:rsidTr="003D358C">
        <w:trPr>
          <w:trHeight w:val="454"/>
        </w:trPr>
        <w:tc>
          <w:tcPr>
            <w:tcW w:w="5983" w:type="dxa"/>
            <w:vAlign w:val="center"/>
          </w:tcPr>
          <w:p w:rsidR="005B11DF" w:rsidRPr="004F4F2B" w:rsidRDefault="005B11DF" w:rsidP="003221EF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4F4F2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Výroba hnojiv</w:t>
            </w:r>
          </w:p>
          <w:p w:rsidR="005B11DF" w:rsidRPr="004F4F2B" w:rsidRDefault="005B11DF" w:rsidP="003221EF">
            <w:pPr>
              <w:rPr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(Živnost volná)</w:t>
            </w:r>
          </w:p>
        </w:tc>
        <w:tc>
          <w:tcPr>
            <w:tcW w:w="1275" w:type="dxa"/>
            <w:vAlign w:val="center"/>
          </w:tcPr>
          <w:p w:rsidR="005B11DF" w:rsidRPr="004F4F2B" w:rsidRDefault="005B11DF" w:rsidP="00B84679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81 059</w:t>
            </w:r>
          </w:p>
        </w:tc>
        <w:tc>
          <w:tcPr>
            <w:tcW w:w="2262" w:type="dxa"/>
            <w:vMerge/>
            <w:vAlign w:val="center"/>
          </w:tcPr>
          <w:p w:rsidR="005B11DF" w:rsidRPr="004F4F2B" w:rsidRDefault="005B11DF" w:rsidP="003221EF">
            <w:pPr>
              <w:rPr>
                <w:sz w:val="16"/>
                <w:szCs w:val="16"/>
              </w:rPr>
            </w:pPr>
          </w:p>
        </w:tc>
      </w:tr>
    </w:tbl>
    <w:p w:rsidR="00182FCD" w:rsidRPr="004F4F2B" w:rsidRDefault="00DD1902" w:rsidP="003D358C">
      <w:pPr>
        <w:spacing w:before="240" w:after="480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677A82" w:rsidRPr="004F4F2B">
        <w:rPr>
          <w:sz w:val="22"/>
          <w:szCs w:val="22"/>
        </w:rPr>
        <w:t xml:space="preserve">iž v době přípravy návrhu </w:t>
      </w:r>
      <w:r>
        <w:rPr>
          <w:sz w:val="22"/>
          <w:szCs w:val="22"/>
        </w:rPr>
        <w:t xml:space="preserve">v současnosti platného a účinného </w:t>
      </w:r>
      <w:r w:rsidR="00677A82" w:rsidRPr="004F4F2B">
        <w:rPr>
          <w:sz w:val="22"/>
          <w:szCs w:val="22"/>
        </w:rPr>
        <w:t>zákona o prekurzorech výbušnin</w:t>
      </w:r>
      <w:r w:rsidR="00F45EDD" w:rsidRPr="004F4F2B">
        <w:rPr>
          <w:sz w:val="22"/>
          <w:szCs w:val="22"/>
        </w:rPr>
        <w:t>,</w:t>
      </w:r>
      <w:r w:rsidR="00677A82" w:rsidRPr="004F4F2B">
        <w:rPr>
          <w:sz w:val="22"/>
          <w:szCs w:val="22"/>
        </w:rPr>
        <w:t xml:space="preserve"> posléze uveřejněného pod č. 259/2014 Sb.</w:t>
      </w:r>
      <w:r w:rsidR="00F45EDD" w:rsidRPr="004F4F2B">
        <w:rPr>
          <w:sz w:val="22"/>
          <w:szCs w:val="22"/>
        </w:rPr>
        <w:t>,</w:t>
      </w:r>
      <w:r w:rsidR="00350B72" w:rsidRPr="004F4F2B">
        <w:rPr>
          <w:sz w:val="22"/>
          <w:szCs w:val="22"/>
        </w:rPr>
        <w:t xml:space="preserve"> </w:t>
      </w:r>
      <w:r w:rsidR="00F45EDD" w:rsidRPr="004F4F2B">
        <w:rPr>
          <w:sz w:val="22"/>
          <w:szCs w:val="22"/>
        </w:rPr>
        <w:t xml:space="preserve">deklarovala </w:t>
      </w:r>
      <w:r w:rsidR="00677A82" w:rsidRPr="004F4F2B">
        <w:rPr>
          <w:sz w:val="22"/>
          <w:szCs w:val="22"/>
        </w:rPr>
        <w:t>řada výrobců a hlavních distributorů (</w:t>
      </w:r>
      <w:r w:rsidR="00350B72" w:rsidRPr="004F4F2B">
        <w:rPr>
          <w:sz w:val="22"/>
          <w:szCs w:val="22"/>
        </w:rPr>
        <w:t xml:space="preserve">mj. a nejen </w:t>
      </w:r>
      <w:r w:rsidR="00677A82" w:rsidRPr="004F4F2B">
        <w:rPr>
          <w:sz w:val="22"/>
          <w:szCs w:val="22"/>
        </w:rPr>
        <w:t>VERKON s.r.o.</w:t>
      </w:r>
      <w:r w:rsidR="00350B72" w:rsidRPr="004F4F2B">
        <w:rPr>
          <w:sz w:val="22"/>
          <w:szCs w:val="22"/>
        </w:rPr>
        <w:t xml:space="preserve">, </w:t>
      </w:r>
      <w:proofErr w:type="spellStart"/>
      <w:r w:rsidR="00677A82" w:rsidRPr="004F4F2B">
        <w:rPr>
          <w:sz w:val="22"/>
          <w:szCs w:val="22"/>
        </w:rPr>
        <w:t>OlChemIm</w:t>
      </w:r>
      <w:proofErr w:type="spellEnd"/>
      <w:r w:rsidR="00677A82" w:rsidRPr="004F4F2B">
        <w:rPr>
          <w:sz w:val="22"/>
          <w:szCs w:val="22"/>
        </w:rPr>
        <w:t xml:space="preserve"> s.r.o.</w:t>
      </w:r>
      <w:r w:rsidR="00350B72" w:rsidRPr="004F4F2B">
        <w:rPr>
          <w:sz w:val="22"/>
          <w:szCs w:val="22"/>
        </w:rPr>
        <w:t xml:space="preserve">, </w:t>
      </w:r>
      <w:proofErr w:type="spellStart"/>
      <w:r w:rsidR="00350B72" w:rsidRPr="004F4F2B">
        <w:rPr>
          <w:sz w:val="22"/>
          <w:szCs w:val="22"/>
        </w:rPr>
        <w:t>Alchimica</w:t>
      </w:r>
      <w:proofErr w:type="spellEnd"/>
      <w:r w:rsidR="00350B72" w:rsidRPr="004F4F2B">
        <w:rPr>
          <w:sz w:val="22"/>
          <w:szCs w:val="22"/>
        </w:rPr>
        <w:t xml:space="preserve"> s.r.o., CHEMOFORM CZ s.r.o., PRECHEZA a.s., Ing. Petr </w:t>
      </w:r>
      <w:proofErr w:type="gramStart"/>
      <w:r w:rsidR="00350B72" w:rsidRPr="004F4F2B">
        <w:rPr>
          <w:sz w:val="22"/>
          <w:szCs w:val="22"/>
        </w:rPr>
        <w:t>Švec - PENTA</w:t>
      </w:r>
      <w:proofErr w:type="gramEnd"/>
      <w:r w:rsidR="00350B72" w:rsidRPr="004F4F2B">
        <w:rPr>
          <w:sz w:val="22"/>
          <w:szCs w:val="22"/>
        </w:rPr>
        <w:t xml:space="preserve"> s.r.o.), že prekurzory výbušnin podléhající omezení nedodával</w:t>
      </w:r>
      <w:r w:rsidR="002E65A8" w:rsidRPr="004F4F2B">
        <w:rPr>
          <w:sz w:val="22"/>
          <w:szCs w:val="22"/>
        </w:rPr>
        <w:t xml:space="preserve">a </w:t>
      </w:r>
      <w:r w:rsidR="00350B72" w:rsidRPr="004F4F2B">
        <w:rPr>
          <w:sz w:val="22"/>
          <w:szCs w:val="22"/>
        </w:rPr>
        <w:t>nepodnikaj</w:t>
      </w:r>
      <w:r w:rsidR="003006E2" w:rsidRPr="004F4F2B">
        <w:rPr>
          <w:sz w:val="22"/>
          <w:szCs w:val="22"/>
        </w:rPr>
        <w:t xml:space="preserve">ícím </w:t>
      </w:r>
      <w:r w:rsidR="00350B72" w:rsidRPr="004F4F2B">
        <w:rPr>
          <w:sz w:val="22"/>
          <w:szCs w:val="22"/>
        </w:rPr>
        <w:t xml:space="preserve">fyzickým osobám. Již tehdy </w:t>
      </w:r>
      <w:r w:rsidRPr="004F4F2B">
        <w:rPr>
          <w:sz w:val="22"/>
          <w:szCs w:val="22"/>
        </w:rPr>
        <w:t xml:space="preserve">byl </w:t>
      </w:r>
      <w:r w:rsidR="00350B72" w:rsidRPr="004F4F2B">
        <w:rPr>
          <w:sz w:val="22"/>
          <w:szCs w:val="22"/>
        </w:rPr>
        <w:t>tedy okruh dotčených hospodářských subjektů zp</w:t>
      </w:r>
      <w:r w:rsidR="003006E2" w:rsidRPr="004F4F2B">
        <w:rPr>
          <w:sz w:val="22"/>
          <w:szCs w:val="22"/>
        </w:rPr>
        <w:t>ř</w:t>
      </w:r>
      <w:r w:rsidR="00350B72" w:rsidRPr="004F4F2B">
        <w:rPr>
          <w:sz w:val="22"/>
          <w:szCs w:val="22"/>
        </w:rPr>
        <w:t xml:space="preserve">ístupňujících prekurzory výbušnin podléhající omezení osobám z řad široké veřejnosti </w:t>
      </w:r>
      <w:r w:rsidR="00B57A5F" w:rsidRPr="004F4F2B">
        <w:rPr>
          <w:sz w:val="22"/>
          <w:szCs w:val="22"/>
        </w:rPr>
        <w:t xml:space="preserve">velmi </w:t>
      </w:r>
      <w:r w:rsidR="00350B72" w:rsidRPr="004F4F2B">
        <w:rPr>
          <w:sz w:val="22"/>
          <w:szCs w:val="22"/>
        </w:rPr>
        <w:t>omezený</w:t>
      </w:r>
      <w:r w:rsidR="00B57A5F" w:rsidRPr="004F4F2B">
        <w:rPr>
          <w:sz w:val="22"/>
          <w:szCs w:val="22"/>
        </w:rPr>
        <w:t xml:space="preserve"> a </w:t>
      </w:r>
      <w:r>
        <w:rPr>
          <w:sz w:val="22"/>
          <w:szCs w:val="22"/>
        </w:rPr>
        <w:t>shodná</w:t>
      </w:r>
      <w:r w:rsidR="00B57A5F" w:rsidRPr="004F4F2B">
        <w:rPr>
          <w:sz w:val="22"/>
          <w:szCs w:val="22"/>
        </w:rPr>
        <w:t xml:space="preserve"> situace </w:t>
      </w:r>
      <w:r>
        <w:rPr>
          <w:sz w:val="22"/>
          <w:szCs w:val="22"/>
        </w:rPr>
        <w:t>platí</w:t>
      </w:r>
      <w:r w:rsidR="00B57A5F" w:rsidRPr="004F4F2B">
        <w:rPr>
          <w:sz w:val="22"/>
          <w:szCs w:val="22"/>
        </w:rPr>
        <w:t xml:space="preserve"> i dnes</w:t>
      </w:r>
      <w:r w:rsidR="00350B72" w:rsidRPr="004F4F2B">
        <w:rPr>
          <w:sz w:val="22"/>
          <w:szCs w:val="22"/>
        </w:rPr>
        <w:t xml:space="preserve">. Jelikož je výčet </w:t>
      </w:r>
      <w:r w:rsidR="003006E2" w:rsidRPr="004F4F2B">
        <w:rPr>
          <w:sz w:val="22"/>
          <w:szCs w:val="22"/>
        </w:rPr>
        <w:t xml:space="preserve">regulovaných látek přímo použitelného nařízení 2019/1148 dnes velmi podobný jako v minulosti </w:t>
      </w:r>
      <w:r>
        <w:rPr>
          <w:sz w:val="22"/>
          <w:szCs w:val="22"/>
        </w:rPr>
        <w:t>(</w:t>
      </w:r>
      <w:r w:rsidR="003006E2" w:rsidRPr="004F4F2B">
        <w:rPr>
          <w:sz w:val="22"/>
          <w:szCs w:val="22"/>
        </w:rPr>
        <w:t>podle přímo použitelného nařízení č. 98/2013</w:t>
      </w:r>
      <w:r>
        <w:rPr>
          <w:sz w:val="22"/>
          <w:szCs w:val="22"/>
        </w:rPr>
        <w:t>)</w:t>
      </w:r>
      <w:r w:rsidR="003006E2" w:rsidRPr="004F4F2B">
        <w:rPr>
          <w:sz w:val="22"/>
          <w:szCs w:val="22"/>
        </w:rPr>
        <w:t xml:space="preserve">, lze dovodit, že počet přímo dotčených hospodářských subjektů nebude </w:t>
      </w:r>
      <w:r>
        <w:rPr>
          <w:sz w:val="22"/>
          <w:szCs w:val="22"/>
        </w:rPr>
        <w:t>vysoký</w:t>
      </w:r>
      <w:r w:rsidR="003006E2" w:rsidRPr="004F4F2B">
        <w:rPr>
          <w:sz w:val="22"/>
          <w:szCs w:val="22"/>
        </w:rPr>
        <w:t>; lze odhadovat řádově několik jednotek tisíc</w:t>
      </w:r>
      <w:r>
        <w:rPr>
          <w:sz w:val="22"/>
          <w:szCs w:val="22"/>
        </w:rPr>
        <w:t xml:space="preserve"> osob</w:t>
      </w:r>
      <w:r w:rsidR="003006E2" w:rsidRPr="004F4F2B">
        <w:rPr>
          <w:sz w:val="22"/>
          <w:szCs w:val="22"/>
        </w:rPr>
        <w:t>.</w:t>
      </w:r>
      <w:r w:rsidR="00DE0690" w:rsidRPr="004F4F2B">
        <w:rPr>
          <w:sz w:val="22"/>
          <w:szCs w:val="22"/>
        </w:rPr>
        <w:t xml:space="preserve"> </w:t>
      </w:r>
      <w:r w:rsidR="00C0132E" w:rsidRPr="004F4F2B">
        <w:rPr>
          <w:sz w:val="22"/>
          <w:szCs w:val="22"/>
        </w:rPr>
        <w:t xml:space="preserve">Pokud jde o strukturu dotčených hospodářských subjektů, </w:t>
      </w:r>
      <w:r w:rsidR="00FC725E" w:rsidRPr="004F4F2B">
        <w:rPr>
          <w:sz w:val="22"/>
          <w:szCs w:val="22"/>
        </w:rPr>
        <w:t>v případě výrobců půjde spíše o </w:t>
      </w:r>
      <w:r w:rsidR="00182FCD" w:rsidRPr="004F4F2B">
        <w:rPr>
          <w:sz w:val="22"/>
          <w:szCs w:val="22"/>
        </w:rPr>
        <w:t>drobné, malé a střední podnikatele</w:t>
      </w:r>
      <w:r w:rsidR="00FC725E" w:rsidRPr="004F4F2B">
        <w:rPr>
          <w:sz w:val="22"/>
          <w:szCs w:val="22"/>
        </w:rPr>
        <w:t xml:space="preserve">, v případě distributorů půjde spíše o drobné a malé </w:t>
      </w:r>
      <w:r w:rsidR="00182FCD" w:rsidRPr="004F4F2B">
        <w:rPr>
          <w:sz w:val="22"/>
          <w:szCs w:val="22"/>
        </w:rPr>
        <w:t>podnikatele.</w:t>
      </w:r>
    </w:p>
    <w:p w:rsidR="00781CBF" w:rsidRPr="004F4F2B" w:rsidRDefault="00781CBF" w:rsidP="003D358C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1.5</w:t>
      </w:r>
      <w:r w:rsidRPr="004F4F2B">
        <w:rPr>
          <w:b/>
          <w:sz w:val="22"/>
          <w:szCs w:val="22"/>
        </w:rPr>
        <w:tab/>
        <w:t>Popis cílového stavu</w:t>
      </w:r>
    </w:p>
    <w:p w:rsidR="00194B36" w:rsidRPr="004F4F2B" w:rsidRDefault="00B73380" w:rsidP="00486724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Cíle</w:t>
      </w:r>
      <w:r w:rsidR="00B743E6" w:rsidRPr="004F4F2B">
        <w:rPr>
          <w:sz w:val="22"/>
          <w:szCs w:val="22"/>
        </w:rPr>
        <w:t>m</w:t>
      </w:r>
      <w:r w:rsidRPr="004F4F2B">
        <w:rPr>
          <w:sz w:val="22"/>
          <w:szCs w:val="22"/>
        </w:rPr>
        <w:t xml:space="preserve"> navrhované právní úpravy j</w:t>
      </w:r>
      <w:r w:rsidR="00B743E6" w:rsidRPr="004F4F2B">
        <w:rPr>
          <w:sz w:val="22"/>
          <w:szCs w:val="22"/>
        </w:rPr>
        <w:t xml:space="preserve">e </w:t>
      </w:r>
      <w:r w:rsidR="00DD1902">
        <w:rPr>
          <w:sz w:val="22"/>
          <w:szCs w:val="22"/>
        </w:rPr>
        <w:t>promítnout do zákona</w:t>
      </w:r>
      <w:r w:rsidR="00194B36" w:rsidRPr="004F4F2B">
        <w:rPr>
          <w:sz w:val="22"/>
          <w:szCs w:val="22"/>
        </w:rPr>
        <w:t xml:space="preserve"> optimální regulaci </w:t>
      </w:r>
      <w:r w:rsidR="00E41467" w:rsidRPr="004F4F2B">
        <w:rPr>
          <w:sz w:val="22"/>
          <w:szCs w:val="22"/>
        </w:rPr>
        <w:t xml:space="preserve">zpřístupňování látek a směsí zneužitelných k nedovolené výrobě výbušnin, jakož i regulaci jejich </w:t>
      </w:r>
      <w:r w:rsidR="00194B36" w:rsidRPr="004F4F2B">
        <w:rPr>
          <w:sz w:val="22"/>
          <w:szCs w:val="22"/>
        </w:rPr>
        <w:t xml:space="preserve">dovozu, držení a používání </w:t>
      </w:r>
      <w:r w:rsidR="002A409A" w:rsidRPr="004F4F2B">
        <w:rPr>
          <w:sz w:val="22"/>
          <w:szCs w:val="22"/>
        </w:rPr>
        <w:t xml:space="preserve">osobami z řad široké veřejnosti, </w:t>
      </w:r>
      <w:r w:rsidR="00C2267C" w:rsidRPr="004F4F2B">
        <w:rPr>
          <w:sz w:val="22"/>
          <w:szCs w:val="22"/>
        </w:rPr>
        <w:t>a</w:t>
      </w:r>
      <w:r w:rsidR="00194B36" w:rsidRPr="004F4F2B">
        <w:rPr>
          <w:sz w:val="22"/>
          <w:szCs w:val="22"/>
        </w:rPr>
        <w:t> </w:t>
      </w:r>
      <w:r w:rsidR="00C2267C" w:rsidRPr="004F4F2B">
        <w:rPr>
          <w:sz w:val="22"/>
          <w:szCs w:val="22"/>
        </w:rPr>
        <w:t>dosáhnout tím slučitelnosti českého právního řádu s</w:t>
      </w:r>
      <w:r w:rsidR="002E3BE8" w:rsidRPr="004F4F2B">
        <w:rPr>
          <w:sz w:val="22"/>
          <w:szCs w:val="22"/>
        </w:rPr>
        <w:t xml:space="preserve"> přímo použitelným </w:t>
      </w:r>
      <w:r w:rsidR="00C2267C" w:rsidRPr="004F4F2B">
        <w:rPr>
          <w:sz w:val="22"/>
          <w:szCs w:val="22"/>
        </w:rPr>
        <w:t xml:space="preserve">nařízením </w:t>
      </w:r>
      <w:r w:rsidR="00AA7A20" w:rsidRPr="004F4F2B">
        <w:rPr>
          <w:sz w:val="22"/>
          <w:szCs w:val="22"/>
        </w:rPr>
        <w:t>2019/1148</w:t>
      </w:r>
      <w:r w:rsidR="00C2267C" w:rsidRPr="004F4F2B">
        <w:rPr>
          <w:sz w:val="22"/>
          <w:szCs w:val="22"/>
        </w:rPr>
        <w:t>.</w:t>
      </w:r>
      <w:r w:rsidR="002A409A" w:rsidRPr="004F4F2B">
        <w:rPr>
          <w:sz w:val="22"/>
          <w:szCs w:val="22"/>
        </w:rPr>
        <w:t xml:space="preserve"> Navrhovaná právní úprava nemá za </w:t>
      </w:r>
      <w:proofErr w:type="gramStart"/>
      <w:r w:rsidR="002A409A" w:rsidRPr="004F4F2B">
        <w:rPr>
          <w:sz w:val="22"/>
          <w:szCs w:val="22"/>
        </w:rPr>
        <w:t>cíl</w:t>
      </w:r>
      <w:proofErr w:type="gramEnd"/>
      <w:r w:rsidR="002A409A" w:rsidRPr="004F4F2B">
        <w:rPr>
          <w:sz w:val="22"/>
          <w:szCs w:val="22"/>
        </w:rPr>
        <w:t xml:space="preserve"> jakkoliv zasahovat do zpřístupňování a držení těchto zneužitelných látek </w:t>
      </w:r>
      <w:r w:rsidR="00D346D7" w:rsidRPr="004F4F2B">
        <w:rPr>
          <w:sz w:val="22"/>
          <w:szCs w:val="22"/>
        </w:rPr>
        <w:t>a</w:t>
      </w:r>
      <w:r w:rsidR="002A409A" w:rsidRPr="004F4F2B">
        <w:rPr>
          <w:sz w:val="22"/>
          <w:szCs w:val="22"/>
        </w:rPr>
        <w:t xml:space="preserve"> směsí hospodářskými subjekty a profesionálními uživateli, pro n</w:t>
      </w:r>
      <w:r w:rsidR="00DD1902">
        <w:rPr>
          <w:sz w:val="22"/>
          <w:szCs w:val="22"/>
        </w:rPr>
        <w:t>ě</w:t>
      </w:r>
      <w:r w:rsidR="002A409A" w:rsidRPr="004F4F2B">
        <w:rPr>
          <w:sz w:val="22"/>
          <w:szCs w:val="22"/>
        </w:rPr>
        <w:t>ž jsou určitá pravidla stanovena přímo použitelným nařízením 2019/1148.</w:t>
      </w:r>
      <w:r w:rsidR="00486724">
        <w:rPr>
          <w:sz w:val="22"/>
          <w:szCs w:val="22"/>
        </w:rPr>
        <w:t xml:space="preserve"> </w:t>
      </w:r>
      <w:r w:rsidR="00194B36" w:rsidRPr="004F4F2B">
        <w:rPr>
          <w:sz w:val="22"/>
          <w:szCs w:val="22"/>
        </w:rPr>
        <w:t xml:space="preserve">Jelikož je převážná část povinností </w:t>
      </w:r>
      <w:r w:rsidR="00E95E7F" w:rsidRPr="004F4F2B">
        <w:rPr>
          <w:sz w:val="22"/>
          <w:szCs w:val="22"/>
        </w:rPr>
        <w:t>spojených</w:t>
      </w:r>
      <w:r w:rsidR="007E6629">
        <w:rPr>
          <w:sz w:val="22"/>
          <w:szCs w:val="22"/>
        </w:rPr>
        <w:t xml:space="preserve"> </w:t>
      </w:r>
      <w:r w:rsidR="00E95E7F" w:rsidRPr="004F4F2B">
        <w:rPr>
          <w:sz w:val="22"/>
          <w:szCs w:val="22"/>
        </w:rPr>
        <w:t>s</w:t>
      </w:r>
      <w:r w:rsidR="007E6629">
        <w:rPr>
          <w:sz w:val="22"/>
          <w:szCs w:val="22"/>
        </w:rPr>
        <w:t> </w:t>
      </w:r>
      <w:r w:rsidR="00194B36" w:rsidRPr="004F4F2B">
        <w:rPr>
          <w:sz w:val="22"/>
          <w:szCs w:val="22"/>
        </w:rPr>
        <w:t>nakládání</w:t>
      </w:r>
      <w:r w:rsidR="00E95E7F" w:rsidRPr="004F4F2B">
        <w:rPr>
          <w:sz w:val="22"/>
          <w:szCs w:val="22"/>
        </w:rPr>
        <w:t>m</w:t>
      </w:r>
      <w:r w:rsidR="00194B36" w:rsidRPr="004F4F2B">
        <w:rPr>
          <w:sz w:val="22"/>
          <w:szCs w:val="22"/>
        </w:rPr>
        <w:t xml:space="preserve"> s prekurzory výbušnin výslovně a adresně stanovena v přímo použitelném nařízení 2019/1148, navrhovaná právní úprava si klade za cíl</w:t>
      </w:r>
      <w:r w:rsidR="00486724">
        <w:rPr>
          <w:sz w:val="22"/>
          <w:szCs w:val="22"/>
        </w:rPr>
        <w:t xml:space="preserve"> ve vazbě na cit. nařízení</w:t>
      </w:r>
      <w:r w:rsidR="00194B36" w:rsidRPr="004F4F2B">
        <w:rPr>
          <w:sz w:val="22"/>
          <w:szCs w:val="22"/>
        </w:rPr>
        <w:t>:</w:t>
      </w:r>
    </w:p>
    <w:p w:rsidR="00194B36" w:rsidRPr="004F4F2B" w:rsidRDefault="00194B36" w:rsidP="003D358C">
      <w:pPr>
        <w:tabs>
          <w:tab w:val="left" w:pos="709"/>
        </w:tabs>
        <w:autoSpaceDE w:val="0"/>
        <w:autoSpaceDN w:val="0"/>
        <w:adjustRightInd w:val="0"/>
        <w:ind w:left="426" w:hanging="425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a)</w:t>
      </w:r>
      <w:r w:rsidRPr="004F4F2B">
        <w:rPr>
          <w:sz w:val="22"/>
          <w:szCs w:val="22"/>
        </w:rPr>
        <w:tab/>
        <w:t>stanovit vhodný režim pro přístup osob z řad široké veřejnosti k prekurzorům výbušnin,</w:t>
      </w:r>
    </w:p>
    <w:p w:rsidR="00194B36" w:rsidRPr="004F4F2B" w:rsidRDefault="00194B36" w:rsidP="003D358C">
      <w:pPr>
        <w:tabs>
          <w:tab w:val="left" w:pos="709"/>
        </w:tabs>
        <w:autoSpaceDE w:val="0"/>
        <w:autoSpaceDN w:val="0"/>
        <w:adjustRightInd w:val="0"/>
        <w:ind w:left="426" w:hanging="425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b)</w:t>
      </w:r>
      <w:r w:rsidRPr="004F4F2B">
        <w:rPr>
          <w:sz w:val="22"/>
          <w:szCs w:val="22"/>
        </w:rPr>
        <w:tab/>
        <w:t xml:space="preserve">zakotvit působnost správních orgánů </w:t>
      </w:r>
      <w:r w:rsidR="00486724">
        <w:rPr>
          <w:sz w:val="22"/>
          <w:szCs w:val="22"/>
        </w:rPr>
        <w:t>pro oblast</w:t>
      </w:r>
      <w:r w:rsidRPr="004F4F2B">
        <w:rPr>
          <w:sz w:val="22"/>
          <w:szCs w:val="22"/>
        </w:rPr>
        <w:t xml:space="preserve"> prekurzorů výbušnin a</w:t>
      </w:r>
    </w:p>
    <w:p w:rsidR="00194B36" w:rsidRPr="004F4F2B" w:rsidRDefault="00194B36" w:rsidP="003D358C">
      <w:pPr>
        <w:tabs>
          <w:tab w:val="left" w:pos="709"/>
        </w:tabs>
        <w:autoSpaceDE w:val="0"/>
        <w:autoSpaceDN w:val="0"/>
        <w:adjustRightInd w:val="0"/>
        <w:spacing w:after="480"/>
        <w:ind w:left="426" w:hanging="425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c)</w:t>
      </w:r>
      <w:r w:rsidRPr="004F4F2B">
        <w:rPr>
          <w:sz w:val="22"/>
          <w:szCs w:val="22"/>
        </w:rPr>
        <w:tab/>
        <w:t xml:space="preserve">zavést nástroje pro vynucování </w:t>
      </w:r>
      <w:r w:rsidR="00486724">
        <w:rPr>
          <w:sz w:val="22"/>
          <w:szCs w:val="22"/>
        </w:rPr>
        <w:t xml:space="preserve">stanovených </w:t>
      </w:r>
      <w:r w:rsidRPr="004F4F2B">
        <w:rPr>
          <w:sz w:val="22"/>
          <w:szCs w:val="22"/>
        </w:rPr>
        <w:t>povinností.</w:t>
      </w:r>
    </w:p>
    <w:p w:rsidR="00781CBF" w:rsidRPr="004F4F2B" w:rsidRDefault="00781CBF" w:rsidP="003D358C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1.6</w:t>
      </w:r>
      <w:r w:rsidRPr="004F4F2B">
        <w:rPr>
          <w:b/>
          <w:sz w:val="22"/>
          <w:szCs w:val="22"/>
        </w:rPr>
        <w:tab/>
        <w:t>Zhodnocení rizika</w:t>
      </w:r>
    </w:p>
    <w:p w:rsidR="00AA2AA2" w:rsidRPr="004F4F2B" w:rsidRDefault="00AA2AA2" w:rsidP="00D25D05">
      <w:pPr>
        <w:spacing w:after="36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Případné nepřijetí navrhované právní úpravy přináší v</w:t>
      </w:r>
      <w:r w:rsidR="00AA2EDA" w:rsidRPr="004F4F2B">
        <w:rPr>
          <w:sz w:val="22"/>
          <w:szCs w:val="22"/>
        </w:rPr>
        <w:t> </w:t>
      </w:r>
      <w:r w:rsidRPr="004F4F2B">
        <w:rPr>
          <w:sz w:val="22"/>
          <w:szCs w:val="22"/>
        </w:rPr>
        <w:t>prv</w:t>
      </w:r>
      <w:r w:rsidR="00AA2EDA" w:rsidRPr="004F4F2B">
        <w:rPr>
          <w:sz w:val="22"/>
          <w:szCs w:val="22"/>
        </w:rPr>
        <w:t xml:space="preserve">ní </w:t>
      </w:r>
      <w:r w:rsidRPr="004F4F2B">
        <w:rPr>
          <w:sz w:val="22"/>
          <w:szCs w:val="22"/>
        </w:rPr>
        <w:t>řadě riziko spojené s absencí nástrojů</w:t>
      </w:r>
      <w:r w:rsidR="007E6629">
        <w:rPr>
          <w:sz w:val="22"/>
          <w:szCs w:val="22"/>
        </w:rPr>
        <w:t xml:space="preserve"> </w:t>
      </w:r>
      <w:r w:rsidRPr="004F4F2B">
        <w:rPr>
          <w:sz w:val="22"/>
          <w:szCs w:val="22"/>
        </w:rPr>
        <w:t>pro účinnou regulaci prodeje a držení prekurzorů výbušnin. Současná národní právní úprava</w:t>
      </w:r>
      <w:r w:rsidR="00C27ABF" w:rsidRPr="004F4F2B">
        <w:rPr>
          <w:sz w:val="22"/>
          <w:szCs w:val="22"/>
        </w:rPr>
        <w:t xml:space="preserve"> (</w:t>
      </w:r>
      <w:r w:rsidRPr="004F4F2B">
        <w:rPr>
          <w:sz w:val="22"/>
          <w:szCs w:val="22"/>
        </w:rPr>
        <w:t>zákon č. 259/2014 Sb.</w:t>
      </w:r>
      <w:r w:rsidR="00C27ABF" w:rsidRPr="004F4F2B">
        <w:rPr>
          <w:sz w:val="22"/>
          <w:szCs w:val="22"/>
        </w:rPr>
        <w:t xml:space="preserve">) </w:t>
      </w:r>
      <w:r w:rsidRPr="004F4F2B">
        <w:rPr>
          <w:sz w:val="22"/>
          <w:szCs w:val="22"/>
        </w:rPr>
        <w:t>je již totiž neposkytuje</w:t>
      </w:r>
      <w:r w:rsidR="003F1B87" w:rsidRPr="004F4F2B">
        <w:rPr>
          <w:sz w:val="22"/>
          <w:szCs w:val="22"/>
        </w:rPr>
        <w:t xml:space="preserve">, neboť nejsou </w:t>
      </w:r>
      <w:r w:rsidR="00531147" w:rsidRPr="004F4F2B">
        <w:rPr>
          <w:sz w:val="22"/>
          <w:szCs w:val="22"/>
        </w:rPr>
        <w:t>vyjasněn</w:t>
      </w:r>
      <w:r w:rsidR="003F1B87" w:rsidRPr="004F4F2B">
        <w:rPr>
          <w:sz w:val="22"/>
          <w:szCs w:val="22"/>
        </w:rPr>
        <w:t>y</w:t>
      </w:r>
      <w:r w:rsidR="00531147" w:rsidRPr="004F4F2B">
        <w:rPr>
          <w:sz w:val="22"/>
          <w:szCs w:val="22"/>
        </w:rPr>
        <w:t xml:space="preserve"> působnost</w:t>
      </w:r>
      <w:r w:rsidR="003F1B87" w:rsidRPr="004F4F2B">
        <w:rPr>
          <w:sz w:val="22"/>
          <w:szCs w:val="22"/>
        </w:rPr>
        <w:t>i</w:t>
      </w:r>
      <w:r w:rsidR="00531147" w:rsidRPr="004F4F2B">
        <w:rPr>
          <w:sz w:val="22"/>
          <w:szCs w:val="22"/>
        </w:rPr>
        <w:t xml:space="preserve"> </w:t>
      </w:r>
      <w:r w:rsidR="00CB3205" w:rsidRPr="004F4F2B">
        <w:rPr>
          <w:sz w:val="22"/>
          <w:szCs w:val="22"/>
        </w:rPr>
        <w:t xml:space="preserve">orgánů státní správy za účelem </w:t>
      </w:r>
      <w:r w:rsidR="007F349D" w:rsidRPr="004F4F2B">
        <w:rPr>
          <w:sz w:val="22"/>
          <w:szCs w:val="22"/>
        </w:rPr>
        <w:t xml:space="preserve">plnění povinností podle přímo použitelného nařízení 2019/1148, a </w:t>
      </w:r>
      <w:r w:rsidR="007E7FF7">
        <w:rPr>
          <w:sz w:val="22"/>
          <w:szCs w:val="22"/>
        </w:rPr>
        <w:t>rovněž ve vazbě na přijetí nového nařízení EU</w:t>
      </w:r>
      <w:r w:rsidR="007F349D" w:rsidRPr="004F4F2B">
        <w:rPr>
          <w:sz w:val="22"/>
          <w:szCs w:val="22"/>
        </w:rPr>
        <w:t xml:space="preserve"> </w:t>
      </w:r>
      <w:r w:rsidR="003F1B87" w:rsidRPr="004F4F2B">
        <w:rPr>
          <w:sz w:val="22"/>
          <w:szCs w:val="22"/>
        </w:rPr>
        <w:t xml:space="preserve">nejsou stanoveny </w:t>
      </w:r>
      <w:r w:rsidR="007F349D" w:rsidRPr="004F4F2B">
        <w:rPr>
          <w:sz w:val="22"/>
          <w:szCs w:val="22"/>
        </w:rPr>
        <w:t xml:space="preserve">vhodné sankce za </w:t>
      </w:r>
      <w:r w:rsidR="007E7FF7">
        <w:rPr>
          <w:sz w:val="22"/>
          <w:szCs w:val="22"/>
        </w:rPr>
        <w:t>jejich</w:t>
      </w:r>
      <w:r w:rsidR="003F1B87" w:rsidRPr="004F4F2B">
        <w:rPr>
          <w:sz w:val="22"/>
          <w:szCs w:val="22"/>
        </w:rPr>
        <w:t xml:space="preserve"> </w:t>
      </w:r>
      <w:r w:rsidR="007F349D" w:rsidRPr="004F4F2B">
        <w:rPr>
          <w:sz w:val="22"/>
          <w:szCs w:val="22"/>
        </w:rPr>
        <w:t>porušení.</w:t>
      </w:r>
      <w:r w:rsidR="0095542E" w:rsidRPr="004F4F2B">
        <w:rPr>
          <w:sz w:val="22"/>
          <w:szCs w:val="22"/>
        </w:rPr>
        <w:t xml:space="preserve"> </w:t>
      </w:r>
      <w:r w:rsidR="004F123B">
        <w:rPr>
          <w:sz w:val="22"/>
          <w:szCs w:val="22"/>
        </w:rPr>
        <w:t>N</w:t>
      </w:r>
      <w:r w:rsidRPr="004F4F2B">
        <w:rPr>
          <w:sz w:val="22"/>
          <w:szCs w:val="22"/>
        </w:rPr>
        <w:t xml:space="preserve">epřijetí </w:t>
      </w:r>
      <w:r w:rsidR="004F123B">
        <w:rPr>
          <w:sz w:val="22"/>
          <w:szCs w:val="22"/>
        </w:rPr>
        <w:t>návrhu by</w:t>
      </w:r>
      <w:r w:rsidRPr="004F4F2B">
        <w:rPr>
          <w:sz w:val="22"/>
          <w:szCs w:val="22"/>
        </w:rPr>
        <w:t xml:space="preserve"> </w:t>
      </w:r>
      <w:r w:rsidR="00B9573C">
        <w:rPr>
          <w:sz w:val="22"/>
          <w:szCs w:val="22"/>
        </w:rPr>
        <w:t>tak</w:t>
      </w:r>
      <w:r w:rsidRPr="004F4F2B">
        <w:rPr>
          <w:sz w:val="22"/>
          <w:szCs w:val="22"/>
        </w:rPr>
        <w:t xml:space="preserve"> </w:t>
      </w:r>
      <w:r w:rsidR="004C74AE" w:rsidRPr="004F4F2B">
        <w:rPr>
          <w:sz w:val="22"/>
          <w:szCs w:val="22"/>
        </w:rPr>
        <w:t xml:space="preserve">bránilo </w:t>
      </w:r>
      <w:r w:rsidRPr="004F4F2B">
        <w:rPr>
          <w:sz w:val="22"/>
          <w:szCs w:val="22"/>
        </w:rPr>
        <w:t xml:space="preserve">prevenci zneužívání prekurzorů výbušnin </w:t>
      </w:r>
      <w:r w:rsidRPr="004F4F2B">
        <w:rPr>
          <w:sz w:val="22"/>
          <w:szCs w:val="22"/>
        </w:rPr>
        <w:lastRenderedPageBreak/>
        <w:t>pro neoprávněn</w:t>
      </w:r>
      <w:r w:rsidR="004B1130" w:rsidRPr="004F4F2B">
        <w:rPr>
          <w:sz w:val="22"/>
          <w:szCs w:val="22"/>
        </w:rPr>
        <w:t>ou</w:t>
      </w:r>
      <w:r w:rsidRPr="004F4F2B">
        <w:rPr>
          <w:sz w:val="22"/>
          <w:szCs w:val="22"/>
        </w:rPr>
        <w:t xml:space="preserve"> výrob</w:t>
      </w:r>
      <w:r w:rsidR="004B1130" w:rsidRPr="004F4F2B">
        <w:rPr>
          <w:sz w:val="22"/>
          <w:szCs w:val="22"/>
        </w:rPr>
        <w:t>u</w:t>
      </w:r>
      <w:r w:rsidRPr="004F4F2B">
        <w:rPr>
          <w:sz w:val="22"/>
          <w:szCs w:val="22"/>
        </w:rPr>
        <w:t xml:space="preserve"> výbušnin a prevenci kriminality obecně.</w:t>
      </w:r>
      <w:r w:rsidR="004F123B">
        <w:rPr>
          <w:sz w:val="22"/>
          <w:szCs w:val="22"/>
        </w:rPr>
        <w:t xml:space="preserve"> S tím je dále spojeno</w:t>
      </w:r>
      <w:r w:rsidRPr="004F4F2B">
        <w:rPr>
          <w:sz w:val="22"/>
          <w:szCs w:val="22"/>
        </w:rPr>
        <w:t xml:space="preserve"> riziko nedostatečné adaptace českého právního řádu přímo použitelnému nařízení 2019/1148, které oproti dosavadnímu přímo použitelnému nařízení č. 98/2013 přináší značné změny v politice nakládání s prekurzory výbušnin. To může </w:t>
      </w:r>
      <w:r w:rsidR="004F123B">
        <w:rPr>
          <w:sz w:val="22"/>
          <w:szCs w:val="22"/>
        </w:rPr>
        <w:t>vést</w:t>
      </w:r>
      <w:r w:rsidRPr="004F4F2B">
        <w:rPr>
          <w:sz w:val="22"/>
          <w:szCs w:val="22"/>
        </w:rPr>
        <w:t xml:space="preserve"> </w:t>
      </w:r>
      <w:r w:rsidR="004F123B">
        <w:rPr>
          <w:sz w:val="22"/>
          <w:szCs w:val="22"/>
        </w:rPr>
        <w:t>až k procesním</w:t>
      </w:r>
      <w:r w:rsidRPr="004F4F2B">
        <w:rPr>
          <w:sz w:val="22"/>
          <w:szCs w:val="22"/>
        </w:rPr>
        <w:t> úkon</w:t>
      </w:r>
      <w:r w:rsidR="004F123B">
        <w:rPr>
          <w:sz w:val="22"/>
          <w:szCs w:val="22"/>
        </w:rPr>
        <w:t>ům</w:t>
      </w:r>
      <w:r w:rsidRPr="004F4F2B">
        <w:rPr>
          <w:sz w:val="22"/>
          <w:szCs w:val="22"/>
        </w:rPr>
        <w:t xml:space="preserve"> proti České republice podle čl. 258 a 260 Smlouvy o</w:t>
      </w:r>
      <w:r w:rsidR="00D25D05">
        <w:rPr>
          <w:sz w:val="22"/>
          <w:szCs w:val="22"/>
        </w:rPr>
        <w:t> </w:t>
      </w:r>
      <w:r w:rsidRPr="004F4F2B">
        <w:rPr>
          <w:sz w:val="22"/>
          <w:szCs w:val="22"/>
        </w:rPr>
        <w:t xml:space="preserve">fungování Evropské unie za nepřijetí příslušných </w:t>
      </w:r>
      <w:r w:rsidRPr="004F4F2B">
        <w:rPr>
          <w:color w:val="000000"/>
          <w:sz w:val="22"/>
          <w:szCs w:val="22"/>
        </w:rPr>
        <w:t xml:space="preserve">vnitrostátních právních opatření podle </w:t>
      </w:r>
      <w:r w:rsidRPr="004F4F2B">
        <w:rPr>
          <w:sz w:val="22"/>
          <w:szCs w:val="22"/>
        </w:rPr>
        <w:t>čl. 291 odst. 1 Smlouvy o fungování Evropské unie. Vzhledem k tomu, že Evropská komise řadí boj proti terorismu mezi své priority (srov. řadu dokumentů v podkapitole 1.3), nelze předpokládat její vstřícný postup vůči České republice podle zmíněných ustanovení při případné pozdním přijetí nebo dokonce nepřijetí navrhované právní úpravy.</w:t>
      </w:r>
    </w:p>
    <w:p w:rsidR="00781CBF" w:rsidRPr="004F4F2B" w:rsidRDefault="00781CBF" w:rsidP="00E26D4C">
      <w:pPr>
        <w:tabs>
          <w:tab w:val="left" w:pos="426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2</w:t>
      </w:r>
      <w:r w:rsidRPr="004F4F2B">
        <w:rPr>
          <w:b/>
          <w:sz w:val="22"/>
          <w:szCs w:val="22"/>
        </w:rPr>
        <w:tab/>
        <w:t>Návrh variant řešení</w:t>
      </w:r>
    </w:p>
    <w:p w:rsidR="002071EB" w:rsidRPr="004F4F2B" w:rsidRDefault="004F123B" w:rsidP="003D358C">
      <w:pPr>
        <w:spacing w:after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 hlediska </w:t>
      </w:r>
      <w:r w:rsidR="002071EB" w:rsidRPr="004F4F2B">
        <w:rPr>
          <w:bCs/>
          <w:sz w:val="22"/>
          <w:szCs w:val="22"/>
        </w:rPr>
        <w:t>cílů uvedených v kapitole 1.5</w:t>
      </w:r>
      <w:r>
        <w:rPr>
          <w:bCs/>
          <w:sz w:val="22"/>
          <w:szCs w:val="22"/>
        </w:rPr>
        <w:t xml:space="preserve"> zpracovaného hodnocení RIA</w:t>
      </w:r>
      <w:r w:rsidR="00E3312F" w:rsidRPr="004F4F2B">
        <w:rPr>
          <w:bCs/>
          <w:sz w:val="22"/>
          <w:szCs w:val="22"/>
        </w:rPr>
        <w:t>, tedy adaptaci českého právního</w:t>
      </w:r>
      <w:r w:rsidR="00225E42" w:rsidRPr="004F4F2B">
        <w:rPr>
          <w:bCs/>
          <w:sz w:val="22"/>
          <w:szCs w:val="22"/>
        </w:rPr>
        <w:t xml:space="preserve"> přímo použitelnému nařízení </w:t>
      </w:r>
      <w:r>
        <w:rPr>
          <w:bCs/>
          <w:sz w:val="22"/>
          <w:szCs w:val="22"/>
        </w:rPr>
        <w:t>prostřednictvím</w:t>
      </w:r>
      <w:r w:rsidR="00225E42" w:rsidRPr="004F4F2B">
        <w:rPr>
          <w:bCs/>
          <w:sz w:val="22"/>
          <w:szCs w:val="22"/>
        </w:rPr>
        <w:t xml:space="preserve"> návrh</w:t>
      </w:r>
      <w:r>
        <w:rPr>
          <w:bCs/>
          <w:sz w:val="22"/>
          <w:szCs w:val="22"/>
        </w:rPr>
        <w:t>u</w:t>
      </w:r>
      <w:r w:rsidR="00225E42" w:rsidRPr="004F4F2B">
        <w:rPr>
          <w:bCs/>
          <w:sz w:val="22"/>
          <w:szCs w:val="22"/>
        </w:rPr>
        <w:t xml:space="preserve"> nového adaptačního zákona, </w:t>
      </w:r>
      <w:r w:rsidR="00C05246" w:rsidRPr="004F4F2B">
        <w:rPr>
          <w:bCs/>
          <w:sz w:val="22"/>
          <w:szCs w:val="22"/>
        </w:rPr>
        <w:t xml:space="preserve">je žádoucí </w:t>
      </w:r>
      <w:r w:rsidR="002071EB" w:rsidRPr="004F4F2B">
        <w:rPr>
          <w:bCs/>
          <w:sz w:val="22"/>
          <w:szCs w:val="22"/>
        </w:rPr>
        <w:t>blíže zhodnotit eventuální varianty pro naplnění cíl</w:t>
      </w:r>
      <w:r w:rsidR="00C86CE6">
        <w:rPr>
          <w:bCs/>
          <w:sz w:val="22"/>
          <w:szCs w:val="22"/>
        </w:rPr>
        <w:t>ů</w:t>
      </w:r>
      <w:r w:rsidR="002071EB" w:rsidRPr="004F4F2B">
        <w:rPr>
          <w:bCs/>
          <w:sz w:val="22"/>
          <w:szCs w:val="22"/>
        </w:rPr>
        <w:t xml:space="preserve"> „stanovit vhodný režim pro přístup osob z řad široké veřejnosti k prekurzorům výbušnin“ a „zavést nástroje pro vynucování povinností“.</w:t>
      </w:r>
    </w:p>
    <w:p w:rsidR="00C60B19" w:rsidRPr="004F4F2B" w:rsidRDefault="00C60B19" w:rsidP="003D358C">
      <w:pPr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2.</w:t>
      </w:r>
      <w:r w:rsidR="00DE0690" w:rsidRPr="004F4F2B">
        <w:rPr>
          <w:b/>
          <w:sz w:val="22"/>
          <w:szCs w:val="22"/>
        </w:rPr>
        <w:t>1</w:t>
      </w:r>
      <w:r w:rsidRPr="004F4F2B">
        <w:rPr>
          <w:b/>
          <w:sz w:val="22"/>
          <w:szCs w:val="22"/>
        </w:rPr>
        <w:tab/>
        <w:t>Cíl „</w:t>
      </w:r>
      <w:r w:rsidR="00D61A5B" w:rsidRPr="004F4F2B">
        <w:rPr>
          <w:b/>
          <w:sz w:val="22"/>
          <w:szCs w:val="22"/>
        </w:rPr>
        <w:t>Stanov</w:t>
      </w:r>
      <w:r w:rsidR="00137A9D" w:rsidRPr="004F4F2B">
        <w:rPr>
          <w:b/>
          <w:sz w:val="22"/>
          <w:szCs w:val="22"/>
        </w:rPr>
        <w:t xml:space="preserve">it </w:t>
      </w:r>
      <w:r w:rsidR="00D61A5B" w:rsidRPr="004F4F2B">
        <w:rPr>
          <w:b/>
          <w:sz w:val="22"/>
          <w:szCs w:val="22"/>
        </w:rPr>
        <w:t>vhodn</w:t>
      </w:r>
      <w:r w:rsidR="00192347" w:rsidRPr="004F4F2B">
        <w:rPr>
          <w:b/>
          <w:sz w:val="22"/>
          <w:szCs w:val="22"/>
        </w:rPr>
        <w:t>ý</w:t>
      </w:r>
      <w:r w:rsidR="00D61A5B" w:rsidRPr="004F4F2B">
        <w:rPr>
          <w:b/>
          <w:sz w:val="22"/>
          <w:szCs w:val="22"/>
        </w:rPr>
        <w:t xml:space="preserve"> režimu pro přístup osob z řad široké veřejnosti k prekurzorům výbušnin</w:t>
      </w:r>
      <w:r w:rsidR="000B6FE3" w:rsidRPr="004F4F2B">
        <w:rPr>
          <w:b/>
          <w:sz w:val="22"/>
          <w:szCs w:val="22"/>
        </w:rPr>
        <w:t>“</w:t>
      </w:r>
    </w:p>
    <w:p w:rsidR="00695659" w:rsidRPr="004F4F2B" w:rsidRDefault="00695659" w:rsidP="003D358C">
      <w:pPr>
        <w:spacing w:after="240"/>
        <w:jc w:val="both"/>
        <w:rPr>
          <w:sz w:val="22"/>
          <w:szCs w:val="22"/>
        </w:rPr>
      </w:pPr>
      <w:r w:rsidRPr="004F4F2B">
        <w:rPr>
          <w:b/>
          <w:sz w:val="22"/>
          <w:szCs w:val="22"/>
        </w:rPr>
        <w:t>2.</w:t>
      </w:r>
      <w:r w:rsidR="00DE0690" w:rsidRPr="004F4F2B">
        <w:rPr>
          <w:b/>
          <w:sz w:val="22"/>
          <w:szCs w:val="22"/>
        </w:rPr>
        <w:t>1</w:t>
      </w:r>
      <w:r w:rsidR="000B6FE3" w:rsidRPr="004F4F2B">
        <w:rPr>
          <w:b/>
          <w:sz w:val="22"/>
          <w:szCs w:val="22"/>
        </w:rPr>
        <w:t>.1</w:t>
      </w:r>
      <w:r w:rsidRPr="004F4F2B">
        <w:rPr>
          <w:b/>
          <w:sz w:val="22"/>
          <w:szCs w:val="22"/>
        </w:rPr>
        <w:tab/>
        <w:t>Varianta I: nulová varianta</w:t>
      </w:r>
    </w:p>
    <w:p w:rsidR="00695659" w:rsidRPr="004F4F2B" w:rsidRDefault="00695659" w:rsidP="003D358C">
      <w:pPr>
        <w:spacing w:after="36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Nulová varianta znamená </w:t>
      </w:r>
      <w:r w:rsidR="003043C1" w:rsidRPr="004F4F2B">
        <w:rPr>
          <w:sz w:val="22"/>
          <w:szCs w:val="22"/>
        </w:rPr>
        <w:t xml:space="preserve">nestanovovat žádný </w:t>
      </w:r>
      <w:r w:rsidRPr="004F4F2B">
        <w:rPr>
          <w:sz w:val="22"/>
          <w:szCs w:val="22"/>
        </w:rPr>
        <w:t xml:space="preserve">konkrétní </w:t>
      </w:r>
      <w:r w:rsidR="003043C1" w:rsidRPr="004F4F2B">
        <w:rPr>
          <w:sz w:val="22"/>
          <w:szCs w:val="22"/>
        </w:rPr>
        <w:t xml:space="preserve">režim pro přístup </w:t>
      </w:r>
      <w:r w:rsidRPr="004F4F2B">
        <w:rPr>
          <w:sz w:val="22"/>
          <w:szCs w:val="22"/>
        </w:rPr>
        <w:t>osob z řad široké veřejnosti</w:t>
      </w:r>
      <w:r w:rsidR="007E6629">
        <w:rPr>
          <w:sz w:val="22"/>
          <w:szCs w:val="22"/>
        </w:rPr>
        <w:t xml:space="preserve"> </w:t>
      </w:r>
      <w:r w:rsidR="003043C1" w:rsidRPr="004F4F2B">
        <w:rPr>
          <w:sz w:val="22"/>
          <w:szCs w:val="22"/>
        </w:rPr>
        <w:t>k</w:t>
      </w:r>
      <w:r w:rsidR="007E6629">
        <w:rPr>
          <w:sz w:val="22"/>
          <w:szCs w:val="22"/>
        </w:rPr>
        <w:t> </w:t>
      </w:r>
      <w:r w:rsidR="003043C1" w:rsidRPr="004F4F2B">
        <w:rPr>
          <w:sz w:val="22"/>
          <w:szCs w:val="22"/>
        </w:rPr>
        <w:t>prekurzorů</w:t>
      </w:r>
      <w:r w:rsidR="00954F8A" w:rsidRPr="004F4F2B">
        <w:rPr>
          <w:sz w:val="22"/>
          <w:szCs w:val="22"/>
        </w:rPr>
        <w:t>m</w:t>
      </w:r>
      <w:r w:rsidR="003043C1" w:rsidRPr="004F4F2B">
        <w:rPr>
          <w:sz w:val="22"/>
          <w:szCs w:val="22"/>
        </w:rPr>
        <w:t xml:space="preserve"> výbušnin</w:t>
      </w:r>
      <w:r w:rsidR="001777F9" w:rsidRPr="004F4F2B">
        <w:rPr>
          <w:sz w:val="22"/>
          <w:szCs w:val="22"/>
        </w:rPr>
        <w:t xml:space="preserve"> podléhajících omezení</w:t>
      </w:r>
      <w:r w:rsidR="00954F8A" w:rsidRPr="004F4F2B">
        <w:rPr>
          <w:sz w:val="22"/>
          <w:szCs w:val="22"/>
        </w:rPr>
        <w:t xml:space="preserve">. Přístup takovýchto osob a subjektů k definovaným </w:t>
      </w:r>
      <w:r w:rsidR="00840CFA" w:rsidRPr="004F4F2B">
        <w:rPr>
          <w:sz w:val="22"/>
          <w:szCs w:val="22"/>
        </w:rPr>
        <w:t>látkám</w:t>
      </w:r>
      <w:r w:rsidR="007E6629">
        <w:rPr>
          <w:sz w:val="22"/>
          <w:szCs w:val="22"/>
        </w:rPr>
        <w:t xml:space="preserve"> </w:t>
      </w:r>
      <w:r w:rsidR="00840CFA" w:rsidRPr="004F4F2B">
        <w:rPr>
          <w:sz w:val="22"/>
          <w:szCs w:val="22"/>
        </w:rPr>
        <w:t>a</w:t>
      </w:r>
      <w:r w:rsidR="007E6629">
        <w:rPr>
          <w:sz w:val="22"/>
          <w:szCs w:val="22"/>
        </w:rPr>
        <w:t> </w:t>
      </w:r>
      <w:r w:rsidR="00840CFA" w:rsidRPr="004F4F2B">
        <w:rPr>
          <w:sz w:val="22"/>
          <w:szCs w:val="22"/>
        </w:rPr>
        <w:t xml:space="preserve">směsím </w:t>
      </w:r>
      <w:r w:rsidR="00954F8A" w:rsidRPr="004F4F2B">
        <w:rPr>
          <w:sz w:val="22"/>
          <w:szCs w:val="22"/>
        </w:rPr>
        <w:t xml:space="preserve">by byl </w:t>
      </w:r>
      <w:r w:rsidR="00DB07F2" w:rsidRPr="004F4F2B">
        <w:rPr>
          <w:sz w:val="22"/>
          <w:szCs w:val="22"/>
        </w:rPr>
        <w:t>ve smyslu čl.</w:t>
      </w:r>
      <w:r w:rsidR="001777F9" w:rsidRPr="004F4F2B">
        <w:rPr>
          <w:sz w:val="22"/>
          <w:szCs w:val="22"/>
        </w:rPr>
        <w:t xml:space="preserve"> 5 odst. 1 </w:t>
      </w:r>
      <w:r w:rsidR="0042248F" w:rsidRPr="004F4F2B">
        <w:rPr>
          <w:sz w:val="22"/>
          <w:szCs w:val="22"/>
        </w:rPr>
        <w:t xml:space="preserve">přímo použitelného nařízení </w:t>
      </w:r>
      <w:r w:rsidR="001777F9" w:rsidRPr="004F4F2B">
        <w:rPr>
          <w:sz w:val="22"/>
          <w:szCs w:val="22"/>
        </w:rPr>
        <w:t>2019/1148</w:t>
      </w:r>
      <w:r w:rsidR="004C50C9" w:rsidRPr="004F4F2B">
        <w:rPr>
          <w:sz w:val="22"/>
          <w:szCs w:val="22"/>
        </w:rPr>
        <w:t xml:space="preserve"> zcela zakázán.</w:t>
      </w:r>
    </w:p>
    <w:p w:rsidR="00D00E60" w:rsidRPr="004F4F2B" w:rsidRDefault="00695659" w:rsidP="003D358C">
      <w:pPr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2.</w:t>
      </w:r>
      <w:r w:rsidR="00DE0690" w:rsidRPr="004F4F2B">
        <w:rPr>
          <w:b/>
          <w:sz w:val="22"/>
          <w:szCs w:val="22"/>
        </w:rPr>
        <w:t>1</w:t>
      </w:r>
      <w:r w:rsidR="00306546" w:rsidRPr="004F4F2B">
        <w:rPr>
          <w:b/>
          <w:sz w:val="22"/>
          <w:szCs w:val="22"/>
        </w:rPr>
        <w:t>.2</w:t>
      </w:r>
      <w:r w:rsidRPr="004F4F2B">
        <w:rPr>
          <w:b/>
          <w:sz w:val="22"/>
          <w:szCs w:val="22"/>
        </w:rPr>
        <w:tab/>
        <w:t xml:space="preserve">Varianta II: </w:t>
      </w:r>
      <w:r w:rsidR="003043C1" w:rsidRPr="004F4F2B">
        <w:rPr>
          <w:b/>
          <w:sz w:val="22"/>
          <w:szCs w:val="22"/>
        </w:rPr>
        <w:t>zavedení povolovacího režimu</w:t>
      </w:r>
    </w:p>
    <w:p w:rsidR="00D00E60" w:rsidRPr="004F4F2B" w:rsidRDefault="00176CF2" w:rsidP="003D358C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Varianta II znamená </w:t>
      </w:r>
      <w:r w:rsidR="00F075BA" w:rsidRPr="004F4F2B">
        <w:rPr>
          <w:sz w:val="22"/>
          <w:szCs w:val="22"/>
        </w:rPr>
        <w:t xml:space="preserve">zavedení povolovacího režimu, kdy osoby z řad široké veřejnosti </w:t>
      </w:r>
      <w:r w:rsidR="005A1456" w:rsidRPr="004F4F2B">
        <w:rPr>
          <w:sz w:val="22"/>
          <w:szCs w:val="22"/>
        </w:rPr>
        <w:t>budou oprávněn</w:t>
      </w:r>
      <w:r w:rsidR="00840B17" w:rsidRPr="004F4F2B">
        <w:rPr>
          <w:sz w:val="22"/>
          <w:szCs w:val="22"/>
        </w:rPr>
        <w:t>y</w:t>
      </w:r>
      <w:r w:rsidR="005A1456" w:rsidRPr="004F4F2B">
        <w:rPr>
          <w:sz w:val="22"/>
          <w:szCs w:val="22"/>
        </w:rPr>
        <w:t xml:space="preserve"> získat, dovézt, držet a používat definované prekurzory výbušnin </w:t>
      </w:r>
      <w:r w:rsidR="00751972" w:rsidRPr="004F4F2B">
        <w:rPr>
          <w:sz w:val="22"/>
          <w:szCs w:val="22"/>
        </w:rPr>
        <w:t xml:space="preserve">na základě </w:t>
      </w:r>
      <w:r w:rsidR="00420DB2" w:rsidRPr="004F4F2B">
        <w:rPr>
          <w:sz w:val="22"/>
          <w:szCs w:val="22"/>
        </w:rPr>
        <w:t>vydaného povolení.</w:t>
      </w:r>
    </w:p>
    <w:p w:rsidR="0079698F" w:rsidRPr="004F4F2B" w:rsidRDefault="00C145ED" w:rsidP="003D358C">
      <w:pPr>
        <w:spacing w:after="8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Věcné řešení varianty II by pak obnášelo stanovit vhodné podmínky pro </w:t>
      </w:r>
      <w:r w:rsidR="002B6DB6" w:rsidRPr="004F4F2B">
        <w:rPr>
          <w:sz w:val="22"/>
          <w:szCs w:val="22"/>
        </w:rPr>
        <w:t xml:space="preserve">získání </w:t>
      </w:r>
      <w:r w:rsidRPr="004F4F2B">
        <w:rPr>
          <w:sz w:val="22"/>
          <w:szCs w:val="22"/>
        </w:rPr>
        <w:t>povolení</w:t>
      </w:r>
      <w:r w:rsidR="00EF209E" w:rsidRPr="004F4F2B">
        <w:rPr>
          <w:sz w:val="22"/>
          <w:szCs w:val="22"/>
        </w:rPr>
        <w:t xml:space="preserve"> </w:t>
      </w:r>
      <w:r w:rsidR="007E520B" w:rsidRPr="004F4F2B">
        <w:rPr>
          <w:sz w:val="22"/>
          <w:szCs w:val="22"/>
        </w:rPr>
        <w:t>(</w:t>
      </w:r>
      <w:r w:rsidR="00EF209E" w:rsidRPr="004F4F2B">
        <w:rPr>
          <w:sz w:val="22"/>
          <w:szCs w:val="22"/>
        </w:rPr>
        <w:t xml:space="preserve">nad rámec hodnocení </w:t>
      </w:r>
      <w:r w:rsidR="007E520B" w:rsidRPr="004F4F2B">
        <w:rPr>
          <w:rFonts w:eastAsiaTheme="minorHAnsi"/>
          <w:color w:val="000000"/>
          <w:sz w:val="22"/>
          <w:szCs w:val="22"/>
          <w:lang w:eastAsia="en-US"/>
        </w:rPr>
        <w:t xml:space="preserve">prokazatelné potřeby prekurzorů výbušnin podléhajících omezení, hodnocení oprávněnosti jejich zamýšleného použití a hodnocení podmínek pro zabezpečení proti zneužití ve smyslu </w:t>
      </w:r>
      <w:r w:rsidR="00EF209E" w:rsidRPr="004F4F2B">
        <w:rPr>
          <w:sz w:val="22"/>
          <w:szCs w:val="22"/>
        </w:rPr>
        <w:t xml:space="preserve">čl. 6 odst. 1 písm. a), b) a d) </w:t>
      </w:r>
      <w:r w:rsidR="00C65B37" w:rsidRPr="004F4F2B">
        <w:rPr>
          <w:sz w:val="22"/>
          <w:szCs w:val="22"/>
        </w:rPr>
        <w:t xml:space="preserve">přímo použitelného nařízení </w:t>
      </w:r>
      <w:r w:rsidR="000A7061" w:rsidRPr="004F4F2B">
        <w:rPr>
          <w:sz w:val="22"/>
          <w:szCs w:val="22"/>
        </w:rPr>
        <w:t>2019/1148</w:t>
      </w:r>
      <w:r w:rsidR="007E520B" w:rsidRPr="004F4F2B">
        <w:rPr>
          <w:sz w:val="22"/>
          <w:szCs w:val="22"/>
        </w:rPr>
        <w:t>)</w:t>
      </w:r>
      <w:r w:rsidR="00E30A19" w:rsidRPr="004F4F2B">
        <w:rPr>
          <w:sz w:val="22"/>
          <w:szCs w:val="22"/>
        </w:rPr>
        <w:t>.</w:t>
      </w:r>
      <w:r w:rsidR="007E520B" w:rsidRPr="004F4F2B">
        <w:rPr>
          <w:sz w:val="22"/>
          <w:szCs w:val="22"/>
        </w:rPr>
        <w:t xml:space="preserve"> Konkrétně by tato varianta obnášela </w:t>
      </w:r>
      <w:r w:rsidR="00EA4ECF" w:rsidRPr="004F4F2B">
        <w:rPr>
          <w:sz w:val="22"/>
          <w:szCs w:val="22"/>
        </w:rPr>
        <w:t>stanovi</w:t>
      </w:r>
      <w:r w:rsidR="0079698F" w:rsidRPr="004F4F2B">
        <w:rPr>
          <w:sz w:val="22"/>
          <w:szCs w:val="22"/>
        </w:rPr>
        <w:t>t:</w:t>
      </w:r>
    </w:p>
    <w:p w:rsidR="0079698F" w:rsidRPr="004F4F2B" w:rsidRDefault="0079698F" w:rsidP="00497D6F">
      <w:pPr>
        <w:tabs>
          <w:tab w:val="left" w:pos="426"/>
        </w:tabs>
        <w:jc w:val="both"/>
        <w:rPr>
          <w:sz w:val="22"/>
          <w:szCs w:val="22"/>
        </w:rPr>
      </w:pPr>
      <w:r w:rsidRPr="004F4F2B">
        <w:rPr>
          <w:sz w:val="22"/>
          <w:szCs w:val="22"/>
        </w:rPr>
        <w:t>a)</w:t>
      </w:r>
      <w:r w:rsidRPr="004F4F2B">
        <w:rPr>
          <w:sz w:val="22"/>
          <w:szCs w:val="22"/>
        </w:rPr>
        <w:tab/>
      </w:r>
      <w:r w:rsidR="0028168D" w:rsidRPr="004F4F2B">
        <w:rPr>
          <w:sz w:val="22"/>
          <w:szCs w:val="22"/>
        </w:rPr>
        <w:t>požadavky na obsah žádosti,</w:t>
      </w:r>
    </w:p>
    <w:p w:rsidR="0079698F" w:rsidRPr="004F4F2B" w:rsidRDefault="0079698F" w:rsidP="00497D6F">
      <w:pPr>
        <w:tabs>
          <w:tab w:val="left" w:pos="426"/>
        </w:tabs>
        <w:jc w:val="both"/>
        <w:rPr>
          <w:sz w:val="22"/>
          <w:szCs w:val="22"/>
        </w:rPr>
      </w:pPr>
      <w:r w:rsidRPr="004F4F2B">
        <w:rPr>
          <w:sz w:val="22"/>
          <w:szCs w:val="22"/>
        </w:rPr>
        <w:t>b)</w:t>
      </w:r>
      <w:r w:rsidRPr="004F4F2B">
        <w:rPr>
          <w:sz w:val="22"/>
          <w:szCs w:val="22"/>
        </w:rPr>
        <w:tab/>
      </w:r>
      <w:r w:rsidR="00EA4ECF" w:rsidRPr="004F4F2B">
        <w:rPr>
          <w:sz w:val="22"/>
          <w:szCs w:val="22"/>
        </w:rPr>
        <w:t>podmínky bezúhonnosti co se trestných činů a přestupků týče,</w:t>
      </w:r>
    </w:p>
    <w:p w:rsidR="0079698F" w:rsidRPr="004F4F2B" w:rsidRDefault="0079698F" w:rsidP="00497D6F">
      <w:pPr>
        <w:tabs>
          <w:tab w:val="left" w:pos="426"/>
        </w:tabs>
        <w:jc w:val="both"/>
        <w:rPr>
          <w:sz w:val="22"/>
          <w:szCs w:val="22"/>
        </w:rPr>
      </w:pPr>
      <w:r w:rsidRPr="004F4F2B">
        <w:rPr>
          <w:sz w:val="22"/>
          <w:szCs w:val="22"/>
        </w:rPr>
        <w:t>c)</w:t>
      </w:r>
      <w:r w:rsidRPr="004F4F2B">
        <w:rPr>
          <w:sz w:val="22"/>
          <w:szCs w:val="22"/>
        </w:rPr>
        <w:tab/>
        <w:t>náležitosti povolení</w:t>
      </w:r>
      <w:r w:rsidR="00557845" w:rsidRPr="004F4F2B">
        <w:rPr>
          <w:sz w:val="22"/>
          <w:szCs w:val="22"/>
        </w:rPr>
        <w:t xml:space="preserve"> a</w:t>
      </w:r>
    </w:p>
    <w:p w:rsidR="00EA4ECF" w:rsidRDefault="0079698F" w:rsidP="00497D6F">
      <w:pPr>
        <w:tabs>
          <w:tab w:val="left" w:pos="426"/>
        </w:tabs>
        <w:spacing w:after="48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d)</w:t>
      </w:r>
      <w:r w:rsidRPr="004F4F2B">
        <w:rPr>
          <w:sz w:val="22"/>
          <w:szCs w:val="22"/>
        </w:rPr>
        <w:tab/>
        <w:t xml:space="preserve">podmínky pro případné </w:t>
      </w:r>
      <w:r w:rsidR="00D74B58" w:rsidRPr="004F4F2B">
        <w:rPr>
          <w:sz w:val="22"/>
          <w:szCs w:val="22"/>
        </w:rPr>
        <w:t>odejm</w:t>
      </w:r>
      <w:r w:rsidRPr="004F4F2B">
        <w:rPr>
          <w:sz w:val="22"/>
          <w:szCs w:val="22"/>
        </w:rPr>
        <w:t>utí povolení</w:t>
      </w:r>
      <w:r w:rsidR="00557845" w:rsidRPr="004F4F2B">
        <w:rPr>
          <w:sz w:val="22"/>
          <w:szCs w:val="22"/>
        </w:rPr>
        <w:t>.</w:t>
      </w:r>
    </w:p>
    <w:p w:rsidR="005F18D0" w:rsidRPr="004F4F2B" w:rsidRDefault="005F18D0" w:rsidP="003D358C">
      <w:pPr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2.</w:t>
      </w:r>
      <w:r w:rsidR="00DE0690" w:rsidRPr="004F4F2B">
        <w:rPr>
          <w:b/>
          <w:sz w:val="22"/>
          <w:szCs w:val="22"/>
        </w:rPr>
        <w:t>2</w:t>
      </w:r>
      <w:r w:rsidRPr="004F4F2B">
        <w:rPr>
          <w:b/>
          <w:sz w:val="22"/>
          <w:szCs w:val="22"/>
        </w:rPr>
        <w:tab/>
        <w:t>Cíl „Zavést nástroje pro vynucování povinností“</w:t>
      </w:r>
    </w:p>
    <w:p w:rsidR="0054586A" w:rsidRPr="004F4F2B" w:rsidRDefault="0054586A" w:rsidP="003D358C">
      <w:pPr>
        <w:spacing w:after="240"/>
        <w:jc w:val="both"/>
        <w:rPr>
          <w:sz w:val="22"/>
          <w:szCs w:val="22"/>
        </w:rPr>
      </w:pPr>
      <w:r w:rsidRPr="004F4F2B">
        <w:rPr>
          <w:b/>
          <w:sz w:val="22"/>
          <w:szCs w:val="22"/>
        </w:rPr>
        <w:t>2.</w:t>
      </w:r>
      <w:r w:rsidR="00DE0690" w:rsidRPr="004F4F2B">
        <w:rPr>
          <w:b/>
          <w:sz w:val="22"/>
          <w:szCs w:val="22"/>
        </w:rPr>
        <w:t>2</w:t>
      </w:r>
      <w:r w:rsidRPr="004F4F2B">
        <w:rPr>
          <w:b/>
          <w:sz w:val="22"/>
          <w:szCs w:val="22"/>
        </w:rPr>
        <w:t>.1</w:t>
      </w:r>
      <w:r w:rsidRPr="004F4F2B">
        <w:rPr>
          <w:b/>
          <w:sz w:val="22"/>
          <w:szCs w:val="22"/>
        </w:rPr>
        <w:tab/>
        <w:t xml:space="preserve">Varianta </w:t>
      </w:r>
      <w:proofErr w:type="gramStart"/>
      <w:r w:rsidRPr="004F4F2B">
        <w:rPr>
          <w:b/>
          <w:sz w:val="22"/>
          <w:szCs w:val="22"/>
        </w:rPr>
        <w:t>I</w:t>
      </w:r>
      <w:r w:rsidR="00CD3652">
        <w:rPr>
          <w:b/>
          <w:sz w:val="22"/>
          <w:szCs w:val="22"/>
        </w:rPr>
        <w:t xml:space="preserve"> -</w:t>
      </w:r>
      <w:r w:rsidRPr="004F4F2B">
        <w:rPr>
          <w:b/>
          <w:sz w:val="22"/>
          <w:szCs w:val="22"/>
        </w:rPr>
        <w:t xml:space="preserve"> nulová</w:t>
      </w:r>
      <w:proofErr w:type="gramEnd"/>
      <w:r w:rsidRPr="004F4F2B">
        <w:rPr>
          <w:b/>
          <w:sz w:val="22"/>
          <w:szCs w:val="22"/>
        </w:rPr>
        <w:t xml:space="preserve"> varianta</w:t>
      </w:r>
    </w:p>
    <w:p w:rsidR="0022681D" w:rsidRPr="004F4F2B" w:rsidRDefault="0054586A" w:rsidP="009C6999">
      <w:pPr>
        <w:spacing w:after="36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Nulová varianta </w:t>
      </w:r>
      <w:r w:rsidR="00CD3652">
        <w:rPr>
          <w:sz w:val="22"/>
          <w:szCs w:val="22"/>
        </w:rPr>
        <w:t>spočívá v</w:t>
      </w:r>
      <w:r w:rsidRPr="004F4F2B">
        <w:rPr>
          <w:sz w:val="22"/>
          <w:szCs w:val="22"/>
        </w:rPr>
        <w:t xml:space="preserve"> </w:t>
      </w:r>
      <w:r w:rsidR="00163C9A" w:rsidRPr="004F4F2B">
        <w:rPr>
          <w:sz w:val="22"/>
          <w:szCs w:val="22"/>
        </w:rPr>
        <w:t>nezavádě</w:t>
      </w:r>
      <w:r w:rsidR="00CD3652">
        <w:rPr>
          <w:sz w:val="22"/>
          <w:szCs w:val="22"/>
        </w:rPr>
        <w:t>ní</w:t>
      </w:r>
      <w:r w:rsidR="00163C9A" w:rsidRPr="004F4F2B">
        <w:rPr>
          <w:sz w:val="22"/>
          <w:szCs w:val="22"/>
        </w:rPr>
        <w:t xml:space="preserve"> žádné</w:t>
      </w:r>
      <w:r w:rsidR="00CD3652">
        <w:rPr>
          <w:sz w:val="22"/>
          <w:szCs w:val="22"/>
        </w:rPr>
        <w:t>ho</w:t>
      </w:r>
      <w:r w:rsidR="00163C9A" w:rsidRPr="004F4F2B">
        <w:rPr>
          <w:sz w:val="22"/>
          <w:szCs w:val="22"/>
        </w:rPr>
        <w:t xml:space="preserve"> </w:t>
      </w:r>
      <w:r w:rsidR="0022681D" w:rsidRPr="004F4F2B">
        <w:rPr>
          <w:sz w:val="22"/>
          <w:szCs w:val="22"/>
        </w:rPr>
        <w:t xml:space="preserve">nástroje pro postih za porušení </w:t>
      </w:r>
      <w:r w:rsidR="00A96690" w:rsidRPr="004F4F2B">
        <w:rPr>
          <w:sz w:val="22"/>
          <w:szCs w:val="22"/>
        </w:rPr>
        <w:t>stanovených povinností</w:t>
      </w:r>
      <w:r w:rsidR="0022681D" w:rsidRPr="004F4F2B">
        <w:rPr>
          <w:sz w:val="22"/>
          <w:szCs w:val="22"/>
        </w:rPr>
        <w:t xml:space="preserve">. Tato varianta je však nejen nepřípustná s ohledem na čl. 13 přímo použitelného nařízení 2019/1148, ale zejména </w:t>
      </w:r>
      <w:r w:rsidR="00CD3652">
        <w:rPr>
          <w:sz w:val="22"/>
          <w:szCs w:val="22"/>
        </w:rPr>
        <w:t>nereálná</w:t>
      </w:r>
      <w:r w:rsidR="0022681D" w:rsidRPr="004F4F2B">
        <w:rPr>
          <w:sz w:val="22"/>
          <w:szCs w:val="22"/>
        </w:rPr>
        <w:t>, neboť by nebylo možné regulaci účinně vynucovat.</w:t>
      </w:r>
    </w:p>
    <w:p w:rsidR="0054586A" w:rsidRPr="004F4F2B" w:rsidRDefault="0054586A" w:rsidP="003D358C">
      <w:pPr>
        <w:spacing w:after="240"/>
        <w:jc w:val="both"/>
        <w:rPr>
          <w:sz w:val="22"/>
          <w:szCs w:val="22"/>
        </w:rPr>
      </w:pPr>
      <w:r w:rsidRPr="004F4F2B">
        <w:rPr>
          <w:b/>
          <w:sz w:val="22"/>
          <w:szCs w:val="22"/>
        </w:rPr>
        <w:t>2.</w:t>
      </w:r>
      <w:r w:rsidR="00DE0690" w:rsidRPr="004F4F2B">
        <w:rPr>
          <w:b/>
          <w:sz w:val="22"/>
          <w:szCs w:val="22"/>
        </w:rPr>
        <w:t>2</w:t>
      </w:r>
      <w:r w:rsidRPr="004F4F2B">
        <w:rPr>
          <w:b/>
          <w:sz w:val="22"/>
          <w:szCs w:val="22"/>
        </w:rPr>
        <w:t>.2</w:t>
      </w:r>
      <w:r w:rsidRPr="004F4F2B">
        <w:rPr>
          <w:b/>
          <w:sz w:val="22"/>
          <w:szCs w:val="22"/>
        </w:rPr>
        <w:tab/>
        <w:t xml:space="preserve">Varianta </w:t>
      </w:r>
      <w:proofErr w:type="gramStart"/>
      <w:r w:rsidRPr="004F4F2B">
        <w:rPr>
          <w:b/>
          <w:sz w:val="22"/>
          <w:szCs w:val="22"/>
        </w:rPr>
        <w:t>II</w:t>
      </w:r>
      <w:r w:rsidR="00CD3652">
        <w:rPr>
          <w:b/>
          <w:sz w:val="22"/>
          <w:szCs w:val="22"/>
        </w:rPr>
        <w:t xml:space="preserve"> -</w:t>
      </w:r>
      <w:r w:rsidRPr="004F4F2B">
        <w:rPr>
          <w:b/>
          <w:sz w:val="22"/>
          <w:szCs w:val="22"/>
        </w:rPr>
        <w:t xml:space="preserve"> stanovení</w:t>
      </w:r>
      <w:proofErr w:type="gramEnd"/>
      <w:r w:rsidRPr="004F4F2B">
        <w:rPr>
          <w:b/>
          <w:sz w:val="22"/>
          <w:szCs w:val="22"/>
        </w:rPr>
        <w:t xml:space="preserve"> </w:t>
      </w:r>
      <w:r w:rsidR="00163C9A" w:rsidRPr="004F4F2B">
        <w:rPr>
          <w:b/>
          <w:sz w:val="22"/>
          <w:szCs w:val="22"/>
        </w:rPr>
        <w:t>skutkových podstat přestupků</w:t>
      </w:r>
      <w:r w:rsidR="00550163" w:rsidRPr="004F4F2B">
        <w:rPr>
          <w:b/>
          <w:sz w:val="22"/>
          <w:szCs w:val="22"/>
        </w:rPr>
        <w:t xml:space="preserve"> a s</w:t>
      </w:r>
      <w:r w:rsidR="00202920" w:rsidRPr="004F4F2B">
        <w:rPr>
          <w:b/>
          <w:sz w:val="22"/>
          <w:szCs w:val="22"/>
        </w:rPr>
        <w:t>právních trestů</w:t>
      </w:r>
    </w:p>
    <w:p w:rsidR="0054586A" w:rsidRPr="004F4F2B" w:rsidRDefault="0054586A" w:rsidP="009C6999">
      <w:pPr>
        <w:spacing w:after="60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Varianta II </w:t>
      </w:r>
      <w:r w:rsidR="00CD3652">
        <w:rPr>
          <w:sz w:val="22"/>
          <w:szCs w:val="22"/>
        </w:rPr>
        <w:t>spočívá v</w:t>
      </w:r>
      <w:r w:rsidRPr="004F4F2B">
        <w:rPr>
          <w:sz w:val="22"/>
          <w:szCs w:val="22"/>
        </w:rPr>
        <w:t xml:space="preserve"> </w:t>
      </w:r>
      <w:r w:rsidR="00993438" w:rsidRPr="004F4F2B">
        <w:rPr>
          <w:sz w:val="22"/>
          <w:szCs w:val="22"/>
        </w:rPr>
        <w:t>definov</w:t>
      </w:r>
      <w:r w:rsidR="00CD3652">
        <w:rPr>
          <w:sz w:val="22"/>
          <w:szCs w:val="22"/>
        </w:rPr>
        <w:t>ání</w:t>
      </w:r>
      <w:r w:rsidR="00993438" w:rsidRPr="004F4F2B">
        <w:rPr>
          <w:sz w:val="22"/>
          <w:szCs w:val="22"/>
        </w:rPr>
        <w:t xml:space="preserve"> skutkov</w:t>
      </w:r>
      <w:r w:rsidR="00CD3652">
        <w:rPr>
          <w:sz w:val="22"/>
          <w:szCs w:val="22"/>
        </w:rPr>
        <w:t>ých</w:t>
      </w:r>
      <w:r w:rsidR="00993438" w:rsidRPr="004F4F2B">
        <w:rPr>
          <w:sz w:val="22"/>
          <w:szCs w:val="22"/>
        </w:rPr>
        <w:t xml:space="preserve"> podstat přestupků a založ</w:t>
      </w:r>
      <w:r w:rsidR="00CD3652">
        <w:rPr>
          <w:sz w:val="22"/>
          <w:szCs w:val="22"/>
        </w:rPr>
        <w:t>ení</w:t>
      </w:r>
      <w:r w:rsidR="00993438" w:rsidRPr="004F4F2B">
        <w:rPr>
          <w:sz w:val="22"/>
          <w:szCs w:val="22"/>
        </w:rPr>
        <w:t xml:space="preserve"> adekvátní</w:t>
      </w:r>
      <w:r w:rsidR="00CD3652">
        <w:rPr>
          <w:sz w:val="22"/>
          <w:szCs w:val="22"/>
        </w:rPr>
        <w:t>ch</w:t>
      </w:r>
      <w:r w:rsidR="00993438" w:rsidRPr="004F4F2B">
        <w:rPr>
          <w:sz w:val="22"/>
          <w:szCs w:val="22"/>
        </w:rPr>
        <w:t xml:space="preserve"> správní</w:t>
      </w:r>
      <w:r w:rsidR="00CD3652">
        <w:rPr>
          <w:sz w:val="22"/>
          <w:szCs w:val="22"/>
        </w:rPr>
        <w:t>ch</w:t>
      </w:r>
      <w:r w:rsidR="00993438" w:rsidRPr="004F4F2B">
        <w:rPr>
          <w:sz w:val="22"/>
          <w:szCs w:val="22"/>
        </w:rPr>
        <w:t xml:space="preserve"> trest</w:t>
      </w:r>
      <w:r w:rsidR="00CD3652">
        <w:rPr>
          <w:sz w:val="22"/>
          <w:szCs w:val="22"/>
        </w:rPr>
        <w:t>ů</w:t>
      </w:r>
      <w:r w:rsidR="00DC4D85">
        <w:rPr>
          <w:sz w:val="22"/>
          <w:szCs w:val="22"/>
        </w:rPr>
        <w:t xml:space="preserve"> </w:t>
      </w:r>
      <w:r w:rsidR="00993438" w:rsidRPr="004F4F2B">
        <w:rPr>
          <w:sz w:val="22"/>
          <w:szCs w:val="22"/>
        </w:rPr>
        <w:t>za porušení stanovených povinností.</w:t>
      </w:r>
    </w:p>
    <w:p w:rsidR="00993438" w:rsidRPr="004F4F2B" w:rsidRDefault="00993438" w:rsidP="003D358C">
      <w:pPr>
        <w:spacing w:after="240"/>
        <w:jc w:val="both"/>
        <w:rPr>
          <w:sz w:val="22"/>
          <w:szCs w:val="22"/>
        </w:rPr>
      </w:pPr>
      <w:r w:rsidRPr="004F4F2B">
        <w:rPr>
          <w:b/>
          <w:sz w:val="22"/>
          <w:szCs w:val="22"/>
        </w:rPr>
        <w:lastRenderedPageBreak/>
        <w:t>2.</w:t>
      </w:r>
      <w:r w:rsidR="00DE0690" w:rsidRPr="004F4F2B">
        <w:rPr>
          <w:b/>
          <w:sz w:val="22"/>
          <w:szCs w:val="22"/>
        </w:rPr>
        <w:t>2</w:t>
      </w:r>
      <w:r w:rsidRPr="004F4F2B">
        <w:rPr>
          <w:b/>
          <w:sz w:val="22"/>
          <w:szCs w:val="22"/>
        </w:rPr>
        <w:t>.</w:t>
      </w:r>
      <w:r w:rsidR="00C613BA" w:rsidRPr="004F4F2B">
        <w:rPr>
          <w:b/>
          <w:sz w:val="22"/>
          <w:szCs w:val="22"/>
        </w:rPr>
        <w:t>3</w:t>
      </w:r>
      <w:r w:rsidRPr="004F4F2B">
        <w:rPr>
          <w:b/>
          <w:sz w:val="22"/>
          <w:szCs w:val="22"/>
        </w:rPr>
        <w:tab/>
        <w:t xml:space="preserve">Varianta </w:t>
      </w:r>
      <w:r w:rsidR="007A74FD" w:rsidRPr="004F4F2B">
        <w:rPr>
          <w:b/>
          <w:sz w:val="22"/>
          <w:szCs w:val="22"/>
        </w:rPr>
        <w:t>III</w:t>
      </w:r>
      <w:r w:rsidR="007A74FD">
        <w:rPr>
          <w:b/>
          <w:sz w:val="22"/>
          <w:szCs w:val="22"/>
        </w:rPr>
        <w:t xml:space="preserve"> – stanovení</w:t>
      </w:r>
      <w:r w:rsidRPr="004F4F2B">
        <w:rPr>
          <w:b/>
          <w:sz w:val="22"/>
          <w:szCs w:val="22"/>
        </w:rPr>
        <w:t xml:space="preserve"> skutkových podstat přestupků a správních trestů</w:t>
      </w:r>
      <w:r w:rsidR="00C613BA" w:rsidRPr="004F4F2B">
        <w:rPr>
          <w:b/>
          <w:sz w:val="22"/>
          <w:szCs w:val="22"/>
        </w:rPr>
        <w:t xml:space="preserve"> </w:t>
      </w:r>
      <w:r w:rsidR="00FF7BA1" w:rsidRPr="004F4F2B">
        <w:rPr>
          <w:b/>
          <w:sz w:val="22"/>
          <w:szCs w:val="22"/>
        </w:rPr>
        <w:t>a rovněž i </w:t>
      </w:r>
      <w:r w:rsidR="00C613BA" w:rsidRPr="004F4F2B">
        <w:rPr>
          <w:b/>
          <w:sz w:val="22"/>
          <w:szCs w:val="22"/>
        </w:rPr>
        <w:t>trestn</w:t>
      </w:r>
      <w:r w:rsidR="00FF7BA1" w:rsidRPr="004F4F2B">
        <w:rPr>
          <w:b/>
          <w:sz w:val="22"/>
          <w:szCs w:val="22"/>
        </w:rPr>
        <w:t>í odpovědnosti</w:t>
      </w:r>
    </w:p>
    <w:p w:rsidR="003C4EB3" w:rsidRPr="004F4F2B" w:rsidRDefault="00722100" w:rsidP="003D358C">
      <w:pPr>
        <w:spacing w:after="48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Varianta III </w:t>
      </w:r>
      <w:r w:rsidR="00CD3652">
        <w:rPr>
          <w:sz w:val="22"/>
          <w:szCs w:val="22"/>
        </w:rPr>
        <w:t>obsahuje</w:t>
      </w:r>
      <w:r w:rsidRPr="004F4F2B">
        <w:rPr>
          <w:sz w:val="22"/>
          <w:szCs w:val="22"/>
        </w:rPr>
        <w:t xml:space="preserve"> rozšíř</w:t>
      </w:r>
      <w:r w:rsidR="00CD3652">
        <w:rPr>
          <w:sz w:val="22"/>
          <w:szCs w:val="22"/>
        </w:rPr>
        <w:t xml:space="preserve">enou variantu II, </w:t>
      </w:r>
      <w:r w:rsidRPr="004F4F2B">
        <w:rPr>
          <w:sz w:val="22"/>
          <w:szCs w:val="22"/>
        </w:rPr>
        <w:t>tj. definování skutkových podstat přestupků a založení adekvátních trestů za porušení stanovených povinností</w:t>
      </w:r>
      <w:r w:rsidR="00FD0536" w:rsidRPr="004F4F2B">
        <w:rPr>
          <w:sz w:val="22"/>
          <w:szCs w:val="22"/>
        </w:rPr>
        <w:t xml:space="preserve"> o trestní odpovědnost osob páchajících definovanou protiprávní činnost.</w:t>
      </w:r>
    </w:p>
    <w:p w:rsidR="00781CBF" w:rsidRPr="004F4F2B" w:rsidRDefault="00781CBF" w:rsidP="003D0F4D">
      <w:pPr>
        <w:tabs>
          <w:tab w:val="left" w:pos="426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</w:t>
      </w:r>
      <w:r w:rsidRPr="004F4F2B">
        <w:rPr>
          <w:b/>
          <w:sz w:val="22"/>
          <w:szCs w:val="22"/>
        </w:rPr>
        <w:tab/>
        <w:t>Vyhodnocení nákladů a přínosů</w:t>
      </w:r>
      <w:r w:rsidR="00322017" w:rsidRPr="004F4F2B">
        <w:rPr>
          <w:b/>
          <w:sz w:val="22"/>
          <w:szCs w:val="22"/>
        </w:rPr>
        <w:t xml:space="preserve"> jednotlivých variant</w:t>
      </w:r>
    </w:p>
    <w:p w:rsidR="003D0F4D" w:rsidRPr="004F4F2B" w:rsidRDefault="003D0F4D" w:rsidP="003D358C">
      <w:pPr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3.</w:t>
      </w:r>
      <w:r w:rsidR="00112A12" w:rsidRPr="004F4F2B">
        <w:rPr>
          <w:b/>
          <w:sz w:val="22"/>
          <w:szCs w:val="22"/>
        </w:rPr>
        <w:t>1</w:t>
      </w:r>
      <w:r w:rsidRPr="004F4F2B">
        <w:rPr>
          <w:b/>
          <w:sz w:val="22"/>
          <w:szCs w:val="22"/>
        </w:rPr>
        <w:tab/>
        <w:t>Cíl „Stanovit vhodný režimu pro přístup osob z řad široké veřejnosti k prekurzorům výbušnin“</w:t>
      </w:r>
    </w:p>
    <w:p w:rsidR="00781CBF" w:rsidRPr="004F4F2B" w:rsidRDefault="00781CBF" w:rsidP="003D358C">
      <w:pPr>
        <w:tabs>
          <w:tab w:val="left" w:pos="1418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3.</w:t>
      </w:r>
      <w:r w:rsidR="00112A12" w:rsidRPr="004F4F2B">
        <w:rPr>
          <w:b/>
          <w:sz w:val="22"/>
          <w:szCs w:val="22"/>
        </w:rPr>
        <w:t>1</w:t>
      </w:r>
      <w:r w:rsidR="00322017" w:rsidRPr="004F4F2B">
        <w:rPr>
          <w:b/>
          <w:sz w:val="22"/>
          <w:szCs w:val="22"/>
        </w:rPr>
        <w:t>.1</w:t>
      </w:r>
      <w:r w:rsidRPr="004F4F2B">
        <w:rPr>
          <w:b/>
          <w:sz w:val="22"/>
          <w:szCs w:val="22"/>
        </w:rPr>
        <w:tab/>
        <w:t xml:space="preserve">Identifikace </w:t>
      </w:r>
      <w:r w:rsidR="00C44517" w:rsidRPr="004F4F2B">
        <w:rPr>
          <w:b/>
          <w:sz w:val="22"/>
          <w:szCs w:val="22"/>
        </w:rPr>
        <w:t>přínosů a nákladů</w:t>
      </w:r>
    </w:p>
    <w:p w:rsidR="00781CBF" w:rsidRPr="004F4F2B" w:rsidRDefault="00781CBF" w:rsidP="003D358C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Přínosy a náklady jednotlivých variant i</w:t>
      </w:r>
      <w:r w:rsidR="004E3F2A" w:rsidRPr="004F4F2B">
        <w:rPr>
          <w:sz w:val="22"/>
          <w:szCs w:val="22"/>
        </w:rPr>
        <w:t>dentifikuj</w:t>
      </w:r>
      <w:r w:rsidR="001F101A" w:rsidRPr="004F4F2B">
        <w:rPr>
          <w:sz w:val="22"/>
          <w:szCs w:val="22"/>
        </w:rPr>
        <w:t>e</w:t>
      </w:r>
      <w:r w:rsidR="004E3F2A" w:rsidRPr="004F4F2B">
        <w:rPr>
          <w:sz w:val="22"/>
          <w:szCs w:val="22"/>
        </w:rPr>
        <w:t xml:space="preserve"> následující tabulk</w:t>
      </w:r>
      <w:r w:rsidR="001F101A" w:rsidRPr="004F4F2B">
        <w:rPr>
          <w:sz w:val="22"/>
          <w:szCs w:val="22"/>
        </w:rPr>
        <w:t>a</w:t>
      </w:r>
      <w:r w:rsidR="001D2038" w:rsidRPr="004F4F2B">
        <w:rPr>
          <w:sz w:val="22"/>
          <w:szCs w:val="22"/>
        </w:rPr>
        <w:t>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2694"/>
        <w:gridCol w:w="2976"/>
      </w:tblGrid>
      <w:tr w:rsidR="003A532B" w:rsidRPr="004F4F2B" w:rsidTr="003D358C">
        <w:trPr>
          <w:trHeight w:hRule="exact" w:val="891"/>
        </w:trPr>
        <w:tc>
          <w:tcPr>
            <w:tcW w:w="1134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0775A" w:rsidRPr="004F4F2B" w:rsidRDefault="00A9721B" w:rsidP="003A3CF4">
            <w:pPr>
              <w:ind w:left="113" w:right="113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Varianta</w:t>
            </w:r>
          </w:p>
        </w:tc>
        <w:tc>
          <w:tcPr>
            <w:tcW w:w="272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0775A" w:rsidRPr="004F4F2B" w:rsidRDefault="00715DB2" w:rsidP="00C97C90">
            <w:pPr>
              <w:rPr>
                <w:bCs/>
                <w:sz w:val="16"/>
                <w:szCs w:val="16"/>
              </w:rPr>
            </w:pPr>
            <w:r w:rsidRPr="004F4F2B">
              <w:rPr>
                <w:bCs/>
                <w:sz w:val="16"/>
                <w:szCs w:val="16"/>
              </w:rPr>
              <w:t>D</w:t>
            </w:r>
            <w:r w:rsidR="00FE780B" w:rsidRPr="004F4F2B">
              <w:rPr>
                <w:bCs/>
                <w:sz w:val="16"/>
                <w:szCs w:val="16"/>
              </w:rPr>
              <w:t>otčen</w:t>
            </w:r>
            <w:r w:rsidR="00330BBB" w:rsidRPr="004F4F2B">
              <w:rPr>
                <w:bCs/>
                <w:sz w:val="16"/>
                <w:szCs w:val="16"/>
              </w:rPr>
              <w:t>ý</w:t>
            </w:r>
            <w:r w:rsidR="00FE780B" w:rsidRPr="004F4F2B">
              <w:rPr>
                <w:bCs/>
                <w:sz w:val="16"/>
                <w:szCs w:val="16"/>
              </w:rPr>
              <w:t xml:space="preserve"> subjekt</w:t>
            </w:r>
          </w:p>
        </w:tc>
        <w:tc>
          <w:tcPr>
            <w:tcW w:w="269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0775A" w:rsidRPr="004F4F2B" w:rsidRDefault="00B0775A" w:rsidP="00FE780B">
            <w:pPr>
              <w:jc w:val="center"/>
              <w:rPr>
                <w:sz w:val="16"/>
                <w:szCs w:val="16"/>
              </w:rPr>
            </w:pPr>
            <w:r w:rsidRPr="004F4F2B">
              <w:rPr>
                <w:bCs/>
                <w:sz w:val="16"/>
                <w:szCs w:val="16"/>
              </w:rPr>
              <w:t>Přínosy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0775A" w:rsidRPr="004F4F2B" w:rsidRDefault="00B0775A" w:rsidP="00FE780B">
            <w:pPr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Náklady</w:t>
            </w:r>
          </w:p>
        </w:tc>
      </w:tr>
      <w:tr w:rsidR="003A532B" w:rsidRPr="004F4F2B" w:rsidTr="003D358C">
        <w:trPr>
          <w:trHeight w:hRule="exact" w:val="454"/>
        </w:trPr>
        <w:tc>
          <w:tcPr>
            <w:tcW w:w="1134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E4A" w:rsidRPr="004F4F2B" w:rsidRDefault="009A3E4A" w:rsidP="003A3CF4">
            <w:pPr>
              <w:ind w:left="113" w:right="113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Varianta I (nulová)</w:t>
            </w:r>
          </w:p>
        </w:tc>
        <w:tc>
          <w:tcPr>
            <w:tcW w:w="272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A3E4A" w:rsidRPr="004F4F2B" w:rsidRDefault="009A3E4A" w:rsidP="009A3E4A">
            <w:pPr>
              <w:tabs>
                <w:tab w:val="left" w:pos="21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Hospodářský subjekt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3E4A" w:rsidRPr="004F4F2B" w:rsidRDefault="006E20FD" w:rsidP="006E20FD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29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3E4A" w:rsidRPr="004F4F2B" w:rsidRDefault="006120C3" w:rsidP="006120C3">
            <w:pPr>
              <w:tabs>
                <w:tab w:val="left" w:pos="176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3A532B" w:rsidRPr="004F4F2B" w:rsidTr="003D358C">
        <w:trPr>
          <w:trHeight w:hRule="exact" w:val="454"/>
        </w:trPr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A3E4A" w:rsidRPr="004F4F2B" w:rsidRDefault="009A3E4A" w:rsidP="003A3CF4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A3E4A" w:rsidRPr="004F4F2B" w:rsidRDefault="009A3E4A" w:rsidP="009A3E4A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Profesionální uživatel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A3E4A" w:rsidRPr="004F4F2B" w:rsidRDefault="004367FD" w:rsidP="004367FD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A3E4A" w:rsidRPr="004F4F2B" w:rsidRDefault="009A3E4A" w:rsidP="009A3E4A">
            <w:pPr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0973ED" w:rsidRPr="004F4F2B" w:rsidTr="003D358C">
        <w:trPr>
          <w:trHeight w:hRule="exact" w:val="454"/>
        </w:trPr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73ED" w:rsidRPr="004F4F2B" w:rsidRDefault="000973ED" w:rsidP="000973E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73ED" w:rsidRPr="004F4F2B" w:rsidRDefault="000973ED" w:rsidP="000973ED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Osoba z řad široké veřejnosti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73ED" w:rsidRPr="004F4F2B" w:rsidRDefault="000973ED" w:rsidP="000973ED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73ED" w:rsidRPr="004F4F2B" w:rsidRDefault="000759D6" w:rsidP="000973ED">
            <w:pPr>
              <w:pStyle w:val="Odstavecseseznamem"/>
              <w:numPr>
                <w:ilvl w:val="0"/>
                <w:numId w:val="33"/>
              </w:numPr>
              <w:tabs>
                <w:tab w:val="left" w:pos="176"/>
              </w:tabs>
              <w:ind w:left="181" w:hanging="181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Pořizování alternativních látek</w:t>
            </w:r>
            <w:r w:rsidR="00E54480" w:rsidRPr="004F4F2B">
              <w:rPr>
                <w:sz w:val="16"/>
                <w:szCs w:val="16"/>
              </w:rPr>
              <w:t xml:space="preserve"> a směsí</w:t>
            </w:r>
          </w:p>
        </w:tc>
      </w:tr>
      <w:tr w:rsidR="000973ED" w:rsidRPr="004F4F2B" w:rsidTr="003D358C">
        <w:trPr>
          <w:trHeight w:hRule="exact" w:val="454"/>
        </w:trPr>
        <w:tc>
          <w:tcPr>
            <w:tcW w:w="1134" w:type="dxa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73ED" w:rsidRPr="004F4F2B" w:rsidRDefault="000973ED" w:rsidP="000973E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73ED" w:rsidRPr="004F4F2B" w:rsidRDefault="000973ED" w:rsidP="000973ED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Orgán státní správy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973ED" w:rsidRPr="004F4F2B" w:rsidRDefault="00EE54A5" w:rsidP="00EE54A5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973ED" w:rsidRPr="004F4F2B" w:rsidRDefault="006D6DE4" w:rsidP="006D6DE4">
            <w:pPr>
              <w:tabs>
                <w:tab w:val="left" w:pos="176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0973ED" w:rsidRPr="004F4F2B" w:rsidTr="003D358C">
        <w:trPr>
          <w:trHeight w:hRule="exact" w:val="454"/>
        </w:trPr>
        <w:tc>
          <w:tcPr>
            <w:tcW w:w="1134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73ED" w:rsidRPr="004F4F2B" w:rsidRDefault="000973ED" w:rsidP="000973ED">
            <w:pPr>
              <w:ind w:left="113" w:right="113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Varianta II</w:t>
            </w:r>
          </w:p>
        </w:tc>
        <w:tc>
          <w:tcPr>
            <w:tcW w:w="272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73ED" w:rsidRPr="004F4F2B" w:rsidRDefault="000973ED" w:rsidP="000973ED">
            <w:pPr>
              <w:tabs>
                <w:tab w:val="left" w:pos="21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Hospodářský subjekt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73ED" w:rsidRPr="004F4F2B" w:rsidRDefault="0060712A" w:rsidP="0060712A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29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73ED" w:rsidRPr="004F4F2B" w:rsidRDefault="00F82740" w:rsidP="000973ED">
            <w:pPr>
              <w:pStyle w:val="Odstavecseseznamem"/>
              <w:numPr>
                <w:ilvl w:val="0"/>
                <w:numId w:val="33"/>
              </w:numPr>
              <w:tabs>
                <w:tab w:val="left" w:pos="176"/>
              </w:tabs>
              <w:ind w:left="181" w:hanging="181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Zvýšená administrativa při zpřístupňování prekurzorů výbušnin</w:t>
            </w:r>
          </w:p>
        </w:tc>
      </w:tr>
      <w:tr w:rsidR="000973ED" w:rsidRPr="004F4F2B" w:rsidTr="003D358C">
        <w:trPr>
          <w:trHeight w:hRule="exact" w:val="454"/>
        </w:trPr>
        <w:tc>
          <w:tcPr>
            <w:tcW w:w="113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73ED" w:rsidRPr="004F4F2B" w:rsidRDefault="000973ED" w:rsidP="000973ED">
            <w:pPr>
              <w:rPr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73ED" w:rsidRPr="004F4F2B" w:rsidRDefault="000973ED" w:rsidP="000973ED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Profesionální uživatel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73ED" w:rsidRPr="004F4F2B" w:rsidRDefault="000973ED" w:rsidP="000973ED">
            <w:pPr>
              <w:tabs>
                <w:tab w:val="left" w:pos="176"/>
              </w:tabs>
              <w:ind w:left="176" w:hanging="142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73ED" w:rsidRPr="004F4F2B" w:rsidRDefault="000973ED" w:rsidP="000973ED">
            <w:pPr>
              <w:tabs>
                <w:tab w:val="left" w:pos="176"/>
              </w:tabs>
              <w:ind w:left="176" w:hanging="176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0973ED" w:rsidRPr="004F4F2B" w:rsidTr="003D358C">
        <w:trPr>
          <w:trHeight w:hRule="exact" w:val="454"/>
        </w:trPr>
        <w:tc>
          <w:tcPr>
            <w:tcW w:w="113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73ED" w:rsidRPr="004F4F2B" w:rsidRDefault="000973ED" w:rsidP="000973ED">
            <w:pPr>
              <w:rPr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73ED" w:rsidRPr="004F4F2B" w:rsidRDefault="000973ED" w:rsidP="000973ED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Osoba z řad široké veřejnosti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73ED" w:rsidRPr="004F4F2B" w:rsidRDefault="002F3DBE" w:rsidP="002F3DBE">
            <w:pPr>
              <w:tabs>
                <w:tab w:val="left" w:pos="176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73ED" w:rsidRPr="004F4F2B" w:rsidRDefault="000973ED" w:rsidP="00BF78B1">
            <w:pPr>
              <w:pStyle w:val="Odstavecseseznamem"/>
              <w:numPr>
                <w:ilvl w:val="0"/>
                <w:numId w:val="33"/>
              </w:numPr>
              <w:tabs>
                <w:tab w:val="left" w:pos="176"/>
              </w:tabs>
              <w:ind w:left="181" w:hanging="181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Administrativa spojená s žádostí o povolení</w:t>
            </w:r>
          </w:p>
        </w:tc>
      </w:tr>
      <w:tr w:rsidR="000973ED" w:rsidRPr="004F4F2B" w:rsidTr="003D358C">
        <w:trPr>
          <w:trHeight w:hRule="exact" w:val="454"/>
        </w:trPr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73ED" w:rsidRPr="004F4F2B" w:rsidRDefault="000973ED" w:rsidP="000973ED">
            <w:pPr>
              <w:rPr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973ED" w:rsidRPr="004F4F2B" w:rsidRDefault="000973ED" w:rsidP="000973ED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Orgán státní správy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0973ED" w:rsidRPr="004F4F2B" w:rsidRDefault="000973ED" w:rsidP="000973ED">
            <w:pPr>
              <w:tabs>
                <w:tab w:val="left" w:pos="176"/>
              </w:tabs>
              <w:ind w:left="176" w:hanging="142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3ED" w:rsidRPr="004F4F2B" w:rsidRDefault="000973ED" w:rsidP="000973ED">
            <w:pPr>
              <w:pStyle w:val="Odstavecseseznamem"/>
              <w:numPr>
                <w:ilvl w:val="0"/>
                <w:numId w:val="33"/>
              </w:numPr>
              <w:tabs>
                <w:tab w:val="left" w:pos="742"/>
              </w:tabs>
              <w:ind w:left="175" w:hanging="175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Správní úkony související s povoleními</w:t>
            </w:r>
          </w:p>
        </w:tc>
      </w:tr>
    </w:tbl>
    <w:p w:rsidR="00763A5A" w:rsidRPr="004F4F2B" w:rsidRDefault="00763A5A" w:rsidP="003D358C">
      <w:pPr>
        <w:tabs>
          <w:tab w:val="left" w:pos="1418"/>
        </w:tabs>
        <w:spacing w:before="480"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3.</w:t>
      </w:r>
      <w:r w:rsidR="00112A12" w:rsidRPr="004F4F2B">
        <w:rPr>
          <w:b/>
          <w:sz w:val="22"/>
          <w:szCs w:val="22"/>
        </w:rPr>
        <w:t>1</w:t>
      </w:r>
      <w:r w:rsidRPr="004F4F2B">
        <w:rPr>
          <w:b/>
          <w:sz w:val="22"/>
          <w:szCs w:val="22"/>
        </w:rPr>
        <w:t>.2</w:t>
      </w:r>
      <w:r w:rsidRPr="004F4F2B">
        <w:rPr>
          <w:b/>
          <w:sz w:val="22"/>
          <w:szCs w:val="22"/>
        </w:rPr>
        <w:tab/>
        <w:t>Přínosy</w:t>
      </w:r>
    </w:p>
    <w:p w:rsidR="00804C7D" w:rsidRPr="004F4F2B" w:rsidRDefault="00627752" w:rsidP="003D358C">
      <w:pPr>
        <w:spacing w:after="48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Žádná z variant nepřináší přímo dotčeným subjektům přínosy. </w:t>
      </w:r>
      <w:r w:rsidR="00597B5E">
        <w:rPr>
          <w:sz w:val="22"/>
          <w:szCs w:val="22"/>
        </w:rPr>
        <w:t>Variant</w:t>
      </w:r>
      <w:r w:rsidR="008C4D03">
        <w:rPr>
          <w:sz w:val="22"/>
          <w:szCs w:val="22"/>
        </w:rPr>
        <w:t>a</w:t>
      </w:r>
      <w:r w:rsidR="00597B5E">
        <w:rPr>
          <w:sz w:val="22"/>
          <w:szCs w:val="22"/>
        </w:rPr>
        <w:t xml:space="preserve"> II na základě zákazu znamenají ztí</w:t>
      </w:r>
      <w:r w:rsidRPr="004F4F2B">
        <w:rPr>
          <w:sz w:val="22"/>
          <w:szCs w:val="22"/>
        </w:rPr>
        <w:t xml:space="preserve">žený </w:t>
      </w:r>
      <w:r w:rsidR="001C0B1F" w:rsidRPr="004F4F2B">
        <w:rPr>
          <w:sz w:val="22"/>
          <w:szCs w:val="22"/>
        </w:rPr>
        <w:t>přístup osob z řad široké veřejnosti k prekurzorům výbušnin podléhajících omezení, což</w:t>
      </w:r>
      <w:r w:rsidR="00DC4D85">
        <w:rPr>
          <w:sz w:val="22"/>
          <w:szCs w:val="22"/>
        </w:rPr>
        <w:t xml:space="preserve"> </w:t>
      </w:r>
      <w:r w:rsidR="001C0B1F" w:rsidRPr="004F4F2B">
        <w:rPr>
          <w:sz w:val="22"/>
          <w:szCs w:val="22"/>
        </w:rPr>
        <w:t>v</w:t>
      </w:r>
      <w:r w:rsidR="00597B5E">
        <w:rPr>
          <w:sz w:val="22"/>
          <w:szCs w:val="22"/>
        </w:rPr>
        <w:t>e svém</w:t>
      </w:r>
      <w:r w:rsidR="001C0B1F" w:rsidRPr="004F4F2B">
        <w:rPr>
          <w:sz w:val="22"/>
          <w:szCs w:val="22"/>
        </w:rPr>
        <w:t xml:space="preserve"> důsledku </w:t>
      </w:r>
      <w:r w:rsidR="00597B5E">
        <w:rPr>
          <w:sz w:val="22"/>
          <w:szCs w:val="22"/>
        </w:rPr>
        <w:t>směřuje</w:t>
      </w:r>
      <w:r w:rsidR="001C0B1F" w:rsidRPr="004F4F2B">
        <w:rPr>
          <w:sz w:val="22"/>
          <w:szCs w:val="22"/>
        </w:rPr>
        <w:t xml:space="preserve"> ke zvýšení bezpečnosti </w:t>
      </w:r>
      <w:r w:rsidR="00FF088C">
        <w:rPr>
          <w:sz w:val="22"/>
          <w:szCs w:val="22"/>
        </w:rPr>
        <w:t>všech</w:t>
      </w:r>
      <w:r w:rsidR="001C0B1F" w:rsidRPr="004F4F2B">
        <w:rPr>
          <w:sz w:val="22"/>
          <w:szCs w:val="22"/>
        </w:rPr>
        <w:t xml:space="preserve"> osob</w:t>
      </w:r>
      <w:r w:rsidR="00804C7D" w:rsidRPr="004F4F2B">
        <w:rPr>
          <w:sz w:val="22"/>
          <w:szCs w:val="22"/>
        </w:rPr>
        <w:t xml:space="preserve"> vystavených případným následkům nedovolené výroby, držení nebo používání výbušnin.</w:t>
      </w:r>
    </w:p>
    <w:p w:rsidR="007C2078" w:rsidRPr="004F4F2B" w:rsidRDefault="007C2078" w:rsidP="003D358C">
      <w:pPr>
        <w:tabs>
          <w:tab w:val="left" w:pos="1418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3.</w:t>
      </w:r>
      <w:r w:rsidR="00112A12" w:rsidRPr="004F4F2B">
        <w:rPr>
          <w:b/>
          <w:sz w:val="22"/>
          <w:szCs w:val="22"/>
        </w:rPr>
        <w:t>1</w:t>
      </w:r>
      <w:r w:rsidRPr="004F4F2B">
        <w:rPr>
          <w:b/>
          <w:sz w:val="22"/>
          <w:szCs w:val="22"/>
        </w:rPr>
        <w:t>.3</w:t>
      </w:r>
      <w:r w:rsidRPr="004F4F2B">
        <w:rPr>
          <w:b/>
          <w:sz w:val="22"/>
          <w:szCs w:val="22"/>
        </w:rPr>
        <w:tab/>
        <w:t>Náklady</w:t>
      </w:r>
    </w:p>
    <w:p w:rsidR="007868AF" w:rsidRPr="004F4F2B" w:rsidRDefault="007868AF" w:rsidP="003D358C">
      <w:pPr>
        <w:spacing w:after="120"/>
        <w:jc w:val="both"/>
        <w:rPr>
          <w:sz w:val="22"/>
          <w:szCs w:val="22"/>
          <w:u w:val="single"/>
        </w:rPr>
      </w:pPr>
      <w:r w:rsidRPr="004F4F2B">
        <w:rPr>
          <w:sz w:val="22"/>
          <w:szCs w:val="22"/>
          <w:u w:val="single"/>
        </w:rPr>
        <w:t>Náklady varianty I</w:t>
      </w:r>
    </w:p>
    <w:p w:rsidR="002C7A3E" w:rsidRPr="004F4F2B" w:rsidRDefault="00F32993" w:rsidP="003D358C">
      <w:pPr>
        <w:spacing w:after="8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 xml:space="preserve">Varianta I (nulová) přinese osobám z řad široké veřejnosti náklady </w:t>
      </w:r>
      <w:r w:rsidR="00C77662" w:rsidRPr="004F4F2B">
        <w:rPr>
          <w:bCs/>
          <w:sz w:val="22"/>
          <w:szCs w:val="22"/>
        </w:rPr>
        <w:t>související s pořizováním alternativních látek a směsí, které, alespoň prozatím, nejsou předmětem omezení.</w:t>
      </w:r>
      <w:r w:rsidR="00C55DE7" w:rsidRPr="004F4F2B">
        <w:rPr>
          <w:bCs/>
          <w:sz w:val="22"/>
          <w:szCs w:val="22"/>
        </w:rPr>
        <w:t xml:space="preserve"> </w:t>
      </w:r>
      <w:r w:rsidR="00A07470" w:rsidRPr="004F4F2B">
        <w:rPr>
          <w:bCs/>
          <w:sz w:val="22"/>
          <w:szCs w:val="22"/>
        </w:rPr>
        <w:t xml:space="preserve">Při vyčíslení těchto nákladů lze vycházet ze skutečnosti, že pouze 4 látky či jejich směsi lze zpřístupňovat na základě povolení a zákaz jejich zpřístupňování by </w:t>
      </w:r>
      <w:r w:rsidR="002C7A3E" w:rsidRPr="004F4F2B">
        <w:rPr>
          <w:bCs/>
          <w:sz w:val="22"/>
          <w:szCs w:val="22"/>
        </w:rPr>
        <w:t>znamenal hledání alternativ těchto látek a jejich směsí. Jde o následující látky či jejich směsi:</w:t>
      </w:r>
    </w:p>
    <w:p w:rsidR="007C2078" w:rsidRPr="004F4F2B" w:rsidRDefault="004766F9" w:rsidP="003D358C">
      <w:pPr>
        <w:tabs>
          <w:tab w:val="left" w:pos="426"/>
          <w:tab w:val="left" w:pos="1843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–</w:t>
      </w:r>
      <w:r w:rsidR="00D678B0" w:rsidRPr="004F4F2B">
        <w:rPr>
          <w:bCs/>
          <w:sz w:val="22"/>
          <w:szCs w:val="22"/>
        </w:rPr>
        <w:tab/>
      </w:r>
      <w:r w:rsidR="002C7A3E" w:rsidRPr="004F4F2B">
        <w:rPr>
          <w:bCs/>
          <w:sz w:val="22"/>
          <w:szCs w:val="22"/>
        </w:rPr>
        <w:t>kyselinu dusičnou o obsahu více než 3</w:t>
      </w:r>
      <w:r w:rsidR="00D678B0" w:rsidRPr="004F4F2B">
        <w:rPr>
          <w:bCs/>
          <w:sz w:val="22"/>
          <w:szCs w:val="22"/>
        </w:rPr>
        <w:t xml:space="preserve"> a nejvýše </w:t>
      </w:r>
      <w:r w:rsidR="002C7A3E" w:rsidRPr="004F4F2B">
        <w:rPr>
          <w:bCs/>
          <w:sz w:val="22"/>
          <w:szCs w:val="22"/>
        </w:rPr>
        <w:t>10 % hm.,</w:t>
      </w:r>
    </w:p>
    <w:p w:rsidR="00D678B0" w:rsidRPr="004F4F2B" w:rsidRDefault="004766F9" w:rsidP="003D358C">
      <w:pPr>
        <w:tabs>
          <w:tab w:val="left" w:pos="426"/>
          <w:tab w:val="left" w:pos="1843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–</w:t>
      </w:r>
      <w:r w:rsidR="00D678B0" w:rsidRPr="004F4F2B">
        <w:rPr>
          <w:bCs/>
          <w:sz w:val="22"/>
          <w:szCs w:val="22"/>
        </w:rPr>
        <w:tab/>
        <w:t>kyselinu sírovou o obsahu více než 15 a nejvýše 40 % hm.,</w:t>
      </w:r>
    </w:p>
    <w:p w:rsidR="00D678B0" w:rsidRPr="004F4F2B" w:rsidRDefault="004766F9" w:rsidP="003D358C">
      <w:pPr>
        <w:tabs>
          <w:tab w:val="left" w:pos="426"/>
          <w:tab w:val="left" w:pos="1843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–</w:t>
      </w:r>
      <w:r w:rsidR="00D678B0" w:rsidRPr="004F4F2B">
        <w:rPr>
          <w:bCs/>
          <w:sz w:val="22"/>
          <w:szCs w:val="22"/>
        </w:rPr>
        <w:tab/>
        <w:t>peroxid vodíku o obsahu více než 12 a nejvýše 35 % hm.</w:t>
      </w:r>
      <w:r w:rsidR="00430F43" w:rsidRPr="004F4F2B">
        <w:rPr>
          <w:bCs/>
          <w:sz w:val="22"/>
          <w:szCs w:val="22"/>
        </w:rPr>
        <w:t xml:space="preserve"> a</w:t>
      </w:r>
    </w:p>
    <w:p w:rsidR="00430F43" w:rsidRPr="004F4F2B" w:rsidRDefault="004766F9" w:rsidP="003D358C">
      <w:pPr>
        <w:tabs>
          <w:tab w:val="left" w:pos="426"/>
          <w:tab w:val="left" w:pos="1843"/>
        </w:tabs>
        <w:spacing w:after="2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–</w:t>
      </w:r>
      <w:r w:rsidR="00430F43" w:rsidRPr="004F4F2B">
        <w:rPr>
          <w:bCs/>
          <w:sz w:val="22"/>
          <w:szCs w:val="22"/>
        </w:rPr>
        <w:tab/>
      </w:r>
      <w:proofErr w:type="spellStart"/>
      <w:r w:rsidR="00430F43" w:rsidRPr="004F4F2B">
        <w:rPr>
          <w:bCs/>
          <w:sz w:val="22"/>
          <w:szCs w:val="22"/>
        </w:rPr>
        <w:t>nitromethan</w:t>
      </w:r>
      <w:proofErr w:type="spellEnd"/>
      <w:r w:rsidR="00430F43" w:rsidRPr="004F4F2B">
        <w:rPr>
          <w:bCs/>
          <w:sz w:val="22"/>
          <w:szCs w:val="22"/>
        </w:rPr>
        <w:t xml:space="preserve"> o obsahu více než 16 % hm.</w:t>
      </w:r>
    </w:p>
    <w:p w:rsidR="001D2038" w:rsidRPr="004F4F2B" w:rsidRDefault="007364DA" w:rsidP="003155F3">
      <w:pPr>
        <w:spacing w:after="360"/>
        <w:jc w:val="both"/>
        <w:rPr>
          <w:sz w:val="22"/>
          <w:szCs w:val="22"/>
        </w:rPr>
      </w:pPr>
      <w:r w:rsidRPr="004F4F2B">
        <w:rPr>
          <w:bCs/>
          <w:sz w:val="22"/>
          <w:szCs w:val="22"/>
        </w:rPr>
        <w:lastRenderedPageBreak/>
        <w:t xml:space="preserve">Přitom jen </w:t>
      </w:r>
      <w:r w:rsidR="00A34895" w:rsidRPr="004F4F2B">
        <w:rPr>
          <w:bCs/>
          <w:sz w:val="22"/>
          <w:szCs w:val="22"/>
        </w:rPr>
        <w:t xml:space="preserve">poslední </w:t>
      </w:r>
      <w:r w:rsidR="007935A0" w:rsidRPr="004F4F2B">
        <w:rPr>
          <w:bCs/>
          <w:sz w:val="22"/>
          <w:szCs w:val="22"/>
        </w:rPr>
        <w:t xml:space="preserve">tři </w:t>
      </w:r>
      <w:r w:rsidR="001F2948">
        <w:rPr>
          <w:bCs/>
          <w:sz w:val="22"/>
          <w:szCs w:val="22"/>
        </w:rPr>
        <w:t xml:space="preserve">uvedené </w:t>
      </w:r>
      <w:r w:rsidR="00A34895" w:rsidRPr="004F4F2B">
        <w:rPr>
          <w:bCs/>
          <w:sz w:val="22"/>
          <w:szCs w:val="22"/>
        </w:rPr>
        <w:t>látk</w:t>
      </w:r>
      <w:r w:rsidR="00725CD0" w:rsidRPr="004F4F2B">
        <w:rPr>
          <w:bCs/>
          <w:sz w:val="22"/>
          <w:szCs w:val="22"/>
        </w:rPr>
        <w:t>y</w:t>
      </w:r>
      <w:r w:rsidR="00A34895" w:rsidRPr="004F4F2B">
        <w:rPr>
          <w:bCs/>
          <w:sz w:val="22"/>
          <w:szCs w:val="22"/>
        </w:rPr>
        <w:t xml:space="preserve"> </w:t>
      </w:r>
      <w:r w:rsidR="00725CD0" w:rsidRPr="004F4F2B">
        <w:rPr>
          <w:bCs/>
          <w:sz w:val="22"/>
          <w:szCs w:val="22"/>
        </w:rPr>
        <w:t>nacházejí legitimní užití osobami z řad široké veřejnosti</w:t>
      </w:r>
      <w:r w:rsidR="000E43CC" w:rsidRPr="004F4F2B">
        <w:rPr>
          <w:bCs/>
          <w:sz w:val="22"/>
          <w:szCs w:val="22"/>
        </w:rPr>
        <w:t xml:space="preserve">: </w:t>
      </w:r>
      <w:r w:rsidR="007935A0" w:rsidRPr="004F4F2B">
        <w:rPr>
          <w:bCs/>
          <w:sz w:val="22"/>
          <w:szCs w:val="22"/>
        </w:rPr>
        <w:t xml:space="preserve">kyselina sírová pro úpravu pH vody v bazénech nebo pro přípravu elektrolytu </w:t>
      </w:r>
      <w:r w:rsidR="008745B5" w:rsidRPr="004F4F2B">
        <w:rPr>
          <w:bCs/>
          <w:sz w:val="22"/>
          <w:szCs w:val="22"/>
        </w:rPr>
        <w:t xml:space="preserve">konvenčních </w:t>
      </w:r>
      <w:r w:rsidR="00352A80" w:rsidRPr="004F4F2B">
        <w:rPr>
          <w:bCs/>
          <w:sz w:val="22"/>
          <w:szCs w:val="22"/>
        </w:rPr>
        <w:t xml:space="preserve">kyselinových </w:t>
      </w:r>
      <w:r w:rsidR="008745B5" w:rsidRPr="004F4F2B">
        <w:rPr>
          <w:bCs/>
          <w:sz w:val="22"/>
          <w:szCs w:val="22"/>
        </w:rPr>
        <w:t xml:space="preserve">(zejména </w:t>
      </w:r>
      <w:r w:rsidR="00844F6C" w:rsidRPr="004F4F2B">
        <w:rPr>
          <w:bCs/>
          <w:sz w:val="22"/>
          <w:szCs w:val="22"/>
        </w:rPr>
        <w:t>moto</w:t>
      </w:r>
      <w:r w:rsidR="00B65FDA" w:rsidRPr="004F4F2B">
        <w:rPr>
          <w:bCs/>
          <w:sz w:val="22"/>
          <w:szCs w:val="22"/>
        </w:rPr>
        <w:t>cyklových</w:t>
      </w:r>
      <w:r w:rsidR="008745B5" w:rsidRPr="004F4F2B">
        <w:rPr>
          <w:bCs/>
          <w:sz w:val="22"/>
          <w:szCs w:val="22"/>
        </w:rPr>
        <w:t>)</w:t>
      </w:r>
      <w:r w:rsidR="00B65FDA" w:rsidRPr="004F4F2B">
        <w:rPr>
          <w:bCs/>
          <w:sz w:val="22"/>
          <w:szCs w:val="22"/>
        </w:rPr>
        <w:t xml:space="preserve"> akumulátorů</w:t>
      </w:r>
      <w:r w:rsidR="00611301" w:rsidRPr="004F4F2B">
        <w:rPr>
          <w:bCs/>
          <w:sz w:val="22"/>
          <w:szCs w:val="22"/>
        </w:rPr>
        <w:t xml:space="preserve"> se zaplavenými elektrodami</w:t>
      </w:r>
      <w:r w:rsidR="001F2948">
        <w:rPr>
          <w:bCs/>
          <w:sz w:val="22"/>
          <w:szCs w:val="22"/>
        </w:rPr>
        <w:t>;</w:t>
      </w:r>
      <w:r w:rsidR="000E43CC" w:rsidRPr="004F4F2B">
        <w:rPr>
          <w:bCs/>
          <w:sz w:val="22"/>
          <w:szCs w:val="22"/>
        </w:rPr>
        <w:t xml:space="preserve"> </w:t>
      </w:r>
      <w:r w:rsidR="00185336" w:rsidRPr="004F4F2B">
        <w:rPr>
          <w:bCs/>
          <w:sz w:val="22"/>
          <w:szCs w:val="22"/>
        </w:rPr>
        <w:t xml:space="preserve">peroxid vodíku pro </w:t>
      </w:r>
      <w:r w:rsidR="00F579E5" w:rsidRPr="004F4F2B">
        <w:rPr>
          <w:bCs/>
          <w:sz w:val="22"/>
          <w:szCs w:val="22"/>
        </w:rPr>
        <w:t>desinfekci vody v b</w:t>
      </w:r>
      <w:r w:rsidR="0050477B" w:rsidRPr="004F4F2B">
        <w:rPr>
          <w:bCs/>
          <w:sz w:val="22"/>
          <w:szCs w:val="22"/>
        </w:rPr>
        <w:t>a</w:t>
      </w:r>
      <w:r w:rsidR="00F579E5" w:rsidRPr="004F4F2B">
        <w:rPr>
          <w:bCs/>
          <w:sz w:val="22"/>
          <w:szCs w:val="22"/>
        </w:rPr>
        <w:t>zénech a</w:t>
      </w:r>
      <w:r w:rsidR="00CE6C55">
        <w:rPr>
          <w:bCs/>
          <w:sz w:val="22"/>
          <w:szCs w:val="22"/>
        </w:rPr>
        <w:t> </w:t>
      </w:r>
      <w:r w:rsidR="00F579E5" w:rsidRPr="004F4F2B">
        <w:rPr>
          <w:bCs/>
          <w:sz w:val="22"/>
          <w:szCs w:val="22"/>
        </w:rPr>
        <w:t>pro bělení paroží</w:t>
      </w:r>
      <w:r w:rsidR="001F2948">
        <w:rPr>
          <w:bCs/>
          <w:sz w:val="22"/>
          <w:szCs w:val="22"/>
        </w:rPr>
        <w:t>;</w:t>
      </w:r>
      <w:r w:rsidR="00F579E5" w:rsidRPr="004F4F2B">
        <w:rPr>
          <w:bCs/>
          <w:sz w:val="22"/>
          <w:szCs w:val="22"/>
        </w:rPr>
        <w:t xml:space="preserve"> a</w:t>
      </w:r>
      <w:r w:rsidR="00611301" w:rsidRPr="004F4F2B">
        <w:rPr>
          <w:bCs/>
          <w:sz w:val="22"/>
          <w:szCs w:val="22"/>
        </w:rPr>
        <w:t> </w:t>
      </w:r>
      <w:proofErr w:type="spellStart"/>
      <w:r w:rsidR="00F579E5" w:rsidRPr="004F4F2B">
        <w:rPr>
          <w:bCs/>
          <w:sz w:val="22"/>
          <w:szCs w:val="22"/>
        </w:rPr>
        <w:t>nitromethan</w:t>
      </w:r>
      <w:proofErr w:type="spellEnd"/>
      <w:r w:rsidR="00F579E5" w:rsidRPr="004F4F2B">
        <w:rPr>
          <w:bCs/>
          <w:sz w:val="22"/>
          <w:szCs w:val="22"/>
        </w:rPr>
        <w:t xml:space="preserve"> </w:t>
      </w:r>
      <w:r w:rsidR="00BA1D4B" w:rsidRPr="004F4F2B">
        <w:rPr>
          <w:bCs/>
          <w:sz w:val="22"/>
          <w:szCs w:val="22"/>
        </w:rPr>
        <w:t xml:space="preserve">jako </w:t>
      </w:r>
      <w:r w:rsidR="00BA1D4B" w:rsidRPr="004F4F2B">
        <w:rPr>
          <w:sz w:val="22"/>
          <w:szCs w:val="22"/>
        </w:rPr>
        <w:t>komponenta modelářských paliv.</w:t>
      </w:r>
      <w:r w:rsidR="00443C98" w:rsidRPr="004F4F2B">
        <w:rPr>
          <w:sz w:val="22"/>
          <w:szCs w:val="22"/>
        </w:rPr>
        <w:t xml:space="preserve"> Všechny tyto látky či jejich směsi mají alternativy</w:t>
      </w:r>
      <w:r w:rsidR="00DA5EDF" w:rsidRPr="004F4F2B">
        <w:rPr>
          <w:sz w:val="22"/>
          <w:szCs w:val="22"/>
        </w:rPr>
        <w:t>, které lze využít k získání principiálně obdobného účinku</w:t>
      </w:r>
      <w:r w:rsidR="001D2038" w:rsidRPr="004F4F2B">
        <w:rPr>
          <w:sz w:val="22"/>
          <w:szCs w:val="22"/>
        </w:rPr>
        <w:t>, jak uvádí následující tabulka.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006"/>
        <w:gridCol w:w="3679"/>
      </w:tblGrid>
      <w:tr w:rsidR="003F0410" w:rsidRPr="004F4F2B" w:rsidTr="00E40C96">
        <w:trPr>
          <w:trHeight w:hRule="exact" w:val="567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760DCD" w:rsidRPr="004F4F2B" w:rsidRDefault="00760DCD" w:rsidP="0092400E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Prekurzor výbušnin podléhající omezení</w:t>
            </w:r>
          </w:p>
        </w:tc>
        <w:tc>
          <w:tcPr>
            <w:tcW w:w="3006" w:type="dxa"/>
            <w:shd w:val="clear" w:color="auto" w:fill="D9D9D9" w:themeFill="background1" w:themeFillShade="D9"/>
            <w:vAlign w:val="center"/>
          </w:tcPr>
          <w:p w:rsidR="00760DCD" w:rsidRPr="004F4F2B" w:rsidRDefault="00E51EA5" w:rsidP="0092400E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 xml:space="preserve">Hlavní </w:t>
            </w:r>
            <w:r w:rsidR="00A25B02" w:rsidRPr="004F4F2B">
              <w:rPr>
                <w:sz w:val="16"/>
                <w:szCs w:val="16"/>
              </w:rPr>
              <w:t xml:space="preserve">uplatnění </w:t>
            </w:r>
            <w:r w:rsidRPr="004F4F2B">
              <w:rPr>
                <w:sz w:val="16"/>
                <w:szCs w:val="16"/>
              </w:rPr>
              <w:t>osobami z řad široké veřejnosti</w:t>
            </w:r>
          </w:p>
        </w:tc>
        <w:tc>
          <w:tcPr>
            <w:tcW w:w="3679" w:type="dxa"/>
            <w:shd w:val="clear" w:color="auto" w:fill="D9D9D9" w:themeFill="background1" w:themeFillShade="D9"/>
            <w:vAlign w:val="center"/>
          </w:tcPr>
          <w:p w:rsidR="00760DCD" w:rsidRPr="004F4F2B" w:rsidRDefault="00E41C46" w:rsidP="0092400E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Dostupná alternativa</w:t>
            </w:r>
          </w:p>
        </w:tc>
      </w:tr>
      <w:tr w:rsidR="00D36F87" w:rsidRPr="004F4F2B" w:rsidTr="00E40C96">
        <w:trPr>
          <w:trHeight w:hRule="exact" w:val="340"/>
        </w:trPr>
        <w:tc>
          <w:tcPr>
            <w:tcW w:w="2835" w:type="dxa"/>
            <w:vMerge w:val="restart"/>
            <w:vAlign w:val="center"/>
          </w:tcPr>
          <w:p w:rsidR="00D36F87" w:rsidRPr="004F4F2B" w:rsidRDefault="00D36F87" w:rsidP="00216AF4">
            <w:pPr>
              <w:tabs>
                <w:tab w:val="left" w:pos="1843"/>
              </w:tabs>
              <w:rPr>
                <w:bCs/>
                <w:sz w:val="16"/>
                <w:szCs w:val="16"/>
              </w:rPr>
            </w:pPr>
            <w:r w:rsidRPr="004F4F2B">
              <w:rPr>
                <w:bCs/>
                <w:sz w:val="16"/>
                <w:szCs w:val="16"/>
              </w:rPr>
              <w:t>Kyselina sírová</w:t>
            </w:r>
          </w:p>
          <w:p w:rsidR="00D36F87" w:rsidRPr="004F4F2B" w:rsidRDefault="00D36F87" w:rsidP="00216AF4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bCs/>
                <w:sz w:val="16"/>
                <w:szCs w:val="16"/>
              </w:rPr>
              <w:t>(&gt;15-40 % hm.)</w:t>
            </w:r>
          </w:p>
        </w:tc>
        <w:tc>
          <w:tcPr>
            <w:tcW w:w="3006" w:type="dxa"/>
            <w:vAlign w:val="center"/>
          </w:tcPr>
          <w:p w:rsidR="00D36F87" w:rsidRPr="004F4F2B" w:rsidRDefault="003B1172" w:rsidP="002015F6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Ú</w:t>
            </w:r>
            <w:r w:rsidR="00D36F87" w:rsidRPr="004F4F2B">
              <w:rPr>
                <w:sz w:val="16"/>
                <w:szCs w:val="16"/>
              </w:rPr>
              <w:t>prav</w:t>
            </w:r>
            <w:r w:rsidRPr="004F4F2B">
              <w:rPr>
                <w:sz w:val="16"/>
                <w:szCs w:val="16"/>
              </w:rPr>
              <w:t>a</w:t>
            </w:r>
            <w:r w:rsidR="00D36F87" w:rsidRPr="004F4F2B">
              <w:rPr>
                <w:sz w:val="16"/>
                <w:szCs w:val="16"/>
              </w:rPr>
              <w:t xml:space="preserve"> pH vody v</w:t>
            </w:r>
            <w:r w:rsidR="00EF1C34" w:rsidRPr="004F4F2B">
              <w:rPr>
                <w:sz w:val="16"/>
                <w:szCs w:val="16"/>
              </w:rPr>
              <w:t> </w:t>
            </w:r>
            <w:r w:rsidR="00D36F87" w:rsidRPr="004F4F2B">
              <w:rPr>
                <w:sz w:val="16"/>
                <w:szCs w:val="16"/>
              </w:rPr>
              <w:t>bazénech</w:t>
            </w:r>
          </w:p>
        </w:tc>
        <w:tc>
          <w:tcPr>
            <w:tcW w:w="3679" w:type="dxa"/>
            <w:vAlign w:val="center"/>
          </w:tcPr>
          <w:p w:rsidR="00D36F87" w:rsidRPr="004F4F2B" w:rsidRDefault="005F15F0" w:rsidP="00724555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Zředěnější roztoky</w:t>
            </w:r>
          </w:p>
        </w:tc>
      </w:tr>
      <w:tr w:rsidR="00D36F87" w:rsidRPr="004F4F2B" w:rsidTr="00E40C96">
        <w:trPr>
          <w:trHeight w:hRule="exact" w:val="454"/>
        </w:trPr>
        <w:tc>
          <w:tcPr>
            <w:tcW w:w="2835" w:type="dxa"/>
            <w:vMerge/>
            <w:vAlign w:val="center"/>
          </w:tcPr>
          <w:p w:rsidR="00D36F87" w:rsidRPr="004F4F2B" w:rsidRDefault="00D36F87" w:rsidP="00216AF4">
            <w:pPr>
              <w:tabs>
                <w:tab w:val="left" w:pos="1843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3006" w:type="dxa"/>
            <w:vAlign w:val="center"/>
          </w:tcPr>
          <w:p w:rsidR="00D36F87" w:rsidRPr="004F4F2B" w:rsidRDefault="00B222C0" w:rsidP="002015F6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 xml:space="preserve">Plnění suchých </w:t>
            </w:r>
            <w:r w:rsidR="00016AD8" w:rsidRPr="004F4F2B">
              <w:rPr>
                <w:sz w:val="16"/>
                <w:szCs w:val="16"/>
              </w:rPr>
              <w:t>konvenčních</w:t>
            </w:r>
            <w:r w:rsidR="008745B5" w:rsidRPr="004F4F2B">
              <w:rPr>
                <w:sz w:val="16"/>
                <w:szCs w:val="16"/>
              </w:rPr>
              <w:t xml:space="preserve"> </w:t>
            </w:r>
            <w:r w:rsidR="00B65FDA" w:rsidRPr="004F4F2B">
              <w:rPr>
                <w:sz w:val="16"/>
                <w:szCs w:val="16"/>
              </w:rPr>
              <w:t>akumulátorů</w:t>
            </w:r>
          </w:p>
        </w:tc>
        <w:tc>
          <w:tcPr>
            <w:tcW w:w="3679" w:type="dxa"/>
            <w:vAlign w:val="center"/>
          </w:tcPr>
          <w:p w:rsidR="00D36F87" w:rsidRPr="004F4F2B" w:rsidRDefault="00105D2A" w:rsidP="00724555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 xml:space="preserve">Uzavřené </w:t>
            </w:r>
            <w:r w:rsidR="00504C23" w:rsidRPr="004F4F2B">
              <w:rPr>
                <w:sz w:val="16"/>
                <w:szCs w:val="16"/>
              </w:rPr>
              <w:t>bezúdržbové akumulátory</w:t>
            </w:r>
          </w:p>
        </w:tc>
      </w:tr>
      <w:tr w:rsidR="00D36F87" w:rsidRPr="004F4F2B" w:rsidTr="00E40C96">
        <w:trPr>
          <w:trHeight w:hRule="exact" w:val="624"/>
        </w:trPr>
        <w:tc>
          <w:tcPr>
            <w:tcW w:w="2835" w:type="dxa"/>
            <w:vMerge w:val="restart"/>
            <w:vAlign w:val="center"/>
          </w:tcPr>
          <w:p w:rsidR="00D36F87" w:rsidRPr="004F4F2B" w:rsidRDefault="00D36F87" w:rsidP="00216AF4">
            <w:pPr>
              <w:tabs>
                <w:tab w:val="left" w:pos="1843"/>
              </w:tabs>
              <w:rPr>
                <w:bCs/>
                <w:sz w:val="16"/>
                <w:szCs w:val="16"/>
              </w:rPr>
            </w:pPr>
            <w:r w:rsidRPr="004F4F2B">
              <w:rPr>
                <w:bCs/>
                <w:sz w:val="16"/>
                <w:szCs w:val="16"/>
              </w:rPr>
              <w:t>Peroxid vodíku</w:t>
            </w:r>
          </w:p>
          <w:p w:rsidR="00D36F87" w:rsidRPr="004F4F2B" w:rsidRDefault="00D36F87" w:rsidP="00216AF4">
            <w:pPr>
              <w:tabs>
                <w:tab w:val="left" w:pos="1843"/>
              </w:tabs>
              <w:rPr>
                <w:bCs/>
                <w:sz w:val="16"/>
                <w:szCs w:val="16"/>
              </w:rPr>
            </w:pPr>
            <w:r w:rsidRPr="004F4F2B">
              <w:rPr>
                <w:bCs/>
                <w:sz w:val="16"/>
                <w:szCs w:val="16"/>
              </w:rPr>
              <w:t>(&gt;12-35 % hm.)</w:t>
            </w:r>
          </w:p>
        </w:tc>
        <w:tc>
          <w:tcPr>
            <w:tcW w:w="3006" w:type="dxa"/>
            <w:vAlign w:val="center"/>
          </w:tcPr>
          <w:p w:rsidR="00D36F87" w:rsidRPr="004F4F2B" w:rsidRDefault="003B1172" w:rsidP="002015F6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D</w:t>
            </w:r>
            <w:r w:rsidR="00216AF4" w:rsidRPr="004F4F2B">
              <w:rPr>
                <w:sz w:val="16"/>
                <w:szCs w:val="16"/>
              </w:rPr>
              <w:t>esinfekc</w:t>
            </w:r>
            <w:r w:rsidR="00B222C0" w:rsidRPr="004F4F2B">
              <w:rPr>
                <w:sz w:val="16"/>
                <w:szCs w:val="16"/>
              </w:rPr>
              <w:t>e</w:t>
            </w:r>
            <w:r w:rsidR="00216AF4" w:rsidRPr="004F4F2B">
              <w:rPr>
                <w:sz w:val="16"/>
                <w:szCs w:val="16"/>
              </w:rPr>
              <w:t xml:space="preserve"> vody v</w:t>
            </w:r>
            <w:r w:rsidR="00EF1C34" w:rsidRPr="004F4F2B">
              <w:rPr>
                <w:sz w:val="16"/>
                <w:szCs w:val="16"/>
              </w:rPr>
              <w:t> </w:t>
            </w:r>
            <w:r w:rsidR="00216AF4" w:rsidRPr="004F4F2B">
              <w:rPr>
                <w:sz w:val="16"/>
                <w:szCs w:val="16"/>
              </w:rPr>
              <w:t>bazénech</w:t>
            </w:r>
          </w:p>
        </w:tc>
        <w:tc>
          <w:tcPr>
            <w:tcW w:w="3679" w:type="dxa"/>
            <w:vAlign w:val="center"/>
          </w:tcPr>
          <w:p w:rsidR="001B247B" w:rsidRPr="004F4F2B" w:rsidRDefault="001B247B" w:rsidP="001B247B">
            <w:pPr>
              <w:tabs>
                <w:tab w:val="left" w:pos="181"/>
              </w:tabs>
              <w:ind w:left="181" w:hanging="181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1.</w:t>
            </w:r>
            <w:r w:rsidRPr="004F4F2B">
              <w:rPr>
                <w:sz w:val="16"/>
                <w:szCs w:val="16"/>
              </w:rPr>
              <w:tab/>
              <w:t>Zředěnější roztoky</w:t>
            </w:r>
          </w:p>
          <w:p w:rsidR="00D36F87" w:rsidRPr="004F4F2B" w:rsidRDefault="001B247B" w:rsidP="00E20EAE">
            <w:pPr>
              <w:tabs>
                <w:tab w:val="left" w:pos="181"/>
              </w:tabs>
              <w:ind w:left="177" w:hanging="177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2.</w:t>
            </w:r>
            <w:r w:rsidRPr="004F4F2B">
              <w:rPr>
                <w:sz w:val="16"/>
                <w:szCs w:val="16"/>
              </w:rPr>
              <w:tab/>
              <w:t>Alternativní látky a směsi (</w:t>
            </w:r>
            <w:r w:rsidR="00E20EAE" w:rsidRPr="004F4F2B">
              <w:rPr>
                <w:sz w:val="16"/>
                <w:szCs w:val="16"/>
              </w:rPr>
              <w:t xml:space="preserve">výrobky </w:t>
            </w:r>
            <w:r w:rsidRPr="004F4F2B">
              <w:rPr>
                <w:sz w:val="16"/>
                <w:szCs w:val="16"/>
              </w:rPr>
              <w:t>na bázi aktivního chlóru</w:t>
            </w:r>
            <w:r w:rsidR="00E20EAE" w:rsidRPr="004F4F2B">
              <w:rPr>
                <w:sz w:val="16"/>
                <w:szCs w:val="16"/>
              </w:rPr>
              <w:t xml:space="preserve"> apod.)</w:t>
            </w:r>
          </w:p>
        </w:tc>
      </w:tr>
      <w:tr w:rsidR="00D36F87" w:rsidRPr="004F4F2B" w:rsidTr="00E40C96">
        <w:trPr>
          <w:trHeight w:hRule="exact" w:val="340"/>
        </w:trPr>
        <w:tc>
          <w:tcPr>
            <w:tcW w:w="2835" w:type="dxa"/>
            <w:vMerge/>
            <w:vAlign w:val="center"/>
          </w:tcPr>
          <w:p w:rsidR="00D36F87" w:rsidRPr="004F4F2B" w:rsidRDefault="00D36F87" w:rsidP="00216AF4">
            <w:pPr>
              <w:tabs>
                <w:tab w:val="left" w:pos="1843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3006" w:type="dxa"/>
            <w:vAlign w:val="center"/>
          </w:tcPr>
          <w:p w:rsidR="00D36F87" w:rsidRPr="004F4F2B" w:rsidRDefault="00216AF4" w:rsidP="002015F6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Bělení paroží</w:t>
            </w:r>
          </w:p>
        </w:tc>
        <w:tc>
          <w:tcPr>
            <w:tcW w:w="3679" w:type="dxa"/>
            <w:vAlign w:val="center"/>
          </w:tcPr>
          <w:p w:rsidR="00D36F87" w:rsidRPr="004F4F2B" w:rsidRDefault="00724555" w:rsidP="00724555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Zředěnější roztoky</w:t>
            </w:r>
          </w:p>
        </w:tc>
      </w:tr>
      <w:tr w:rsidR="003F0410" w:rsidRPr="004F4F2B" w:rsidTr="00E40C96">
        <w:trPr>
          <w:trHeight w:hRule="exact" w:val="454"/>
        </w:trPr>
        <w:tc>
          <w:tcPr>
            <w:tcW w:w="2835" w:type="dxa"/>
            <w:vAlign w:val="center"/>
          </w:tcPr>
          <w:p w:rsidR="00E047E8" w:rsidRPr="004F4F2B" w:rsidRDefault="00E047E8" w:rsidP="00216AF4">
            <w:pPr>
              <w:tabs>
                <w:tab w:val="left" w:pos="1843"/>
              </w:tabs>
              <w:rPr>
                <w:bCs/>
                <w:sz w:val="16"/>
                <w:szCs w:val="16"/>
              </w:rPr>
            </w:pPr>
            <w:proofErr w:type="spellStart"/>
            <w:r w:rsidRPr="004F4F2B">
              <w:rPr>
                <w:bCs/>
                <w:sz w:val="16"/>
                <w:szCs w:val="16"/>
              </w:rPr>
              <w:t>N</w:t>
            </w:r>
            <w:r w:rsidR="00E51EA5" w:rsidRPr="004F4F2B">
              <w:rPr>
                <w:bCs/>
                <w:sz w:val="16"/>
                <w:szCs w:val="16"/>
              </w:rPr>
              <w:t>itromethan</w:t>
            </w:r>
            <w:proofErr w:type="spellEnd"/>
          </w:p>
          <w:p w:rsidR="00760DCD" w:rsidRPr="004F4F2B" w:rsidRDefault="00E047E8" w:rsidP="00216AF4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bCs/>
                <w:sz w:val="16"/>
                <w:szCs w:val="16"/>
              </w:rPr>
              <w:t>(&gt;16 % hm.)</w:t>
            </w:r>
          </w:p>
        </w:tc>
        <w:tc>
          <w:tcPr>
            <w:tcW w:w="3006" w:type="dxa"/>
            <w:vAlign w:val="center"/>
          </w:tcPr>
          <w:p w:rsidR="00760DCD" w:rsidRPr="004F4F2B" w:rsidRDefault="003B1172" w:rsidP="002015F6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K</w:t>
            </w:r>
            <w:r w:rsidR="00216AF4" w:rsidRPr="004F4F2B">
              <w:rPr>
                <w:sz w:val="16"/>
                <w:szCs w:val="16"/>
              </w:rPr>
              <w:t>omponenta modelářských paliv</w:t>
            </w:r>
            <w:r w:rsidR="001C6121" w:rsidRPr="004F4F2B">
              <w:rPr>
                <w:sz w:val="16"/>
                <w:szCs w:val="16"/>
              </w:rPr>
              <w:t xml:space="preserve"> pro spalovací motory</w:t>
            </w:r>
          </w:p>
        </w:tc>
        <w:tc>
          <w:tcPr>
            <w:tcW w:w="3679" w:type="dxa"/>
            <w:vAlign w:val="center"/>
          </w:tcPr>
          <w:p w:rsidR="00760DCD" w:rsidRPr="004F4F2B" w:rsidRDefault="00D63EE9" w:rsidP="00A1203A">
            <w:pPr>
              <w:tabs>
                <w:tab w:val="left" w:pos="181"/>
              </w:tabs>
              <w:ind w:left="181" w:hanging="181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1.</w:t>
            </w:r>
            <w:r w:rsidR="00A1203A" w:rsidRPr="004F4F2B">
              <w:rPr>
                <w:sz w:val="16"/>
                <w:szCs w:val="16"/>
              </w:rPr>
              <w:tab/>
            </w:r>
            <w:r w:rsidR="0065633B" w:rsidRPr="004F4F2B">
              <w:rPr>
                <w:sz w:val="16"/>
                <w:szCs w:val="16"/>
              </w:rPr>
              <w:t>Zředěnější roztoky</w:t>
            </w:r>
          </w:p>
          <w:p w:rsidR="00D63EE9" w:rsidRPr="004F4F2B" w:rsidRDefault="001F34B1" w:rsidP="00D460D2">
            <w:pPr>
              <w:tabs>
                <w:tab w:val="left" w:pos="181"/>
              </w:tabs>
              <w:ind w:left="181" w:hanging="181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2.</w:t>
            </w:r>
            <w:r w:rsidR="00A1203A" w:rsidRPr="004F4F2B">
              <w:rPr>
                <w:sz w:val="16"/>
                <w:szCs w:val="16"/>
              </w:rPr>
              <w:tab/>
            </w:r>
            <w:r w:rsidR="001B247B" w:rsidRPr="004F4F2B">
              <w:rPr>
                <w:sz w:val="16"/>
                <w:szCs w:val="16"/>
              </w:rPr>
              <w:t>Alternativní modelářská paliva</w:t>
            </w:r>
          </w:p>
        </w:tc>
      </w:tr>
    </w:tbl>
    <w:p w:rsidR="006375EC" w:rsidRDefault="00B65991" w:rsidP="003155F3">
      <w:pPr>
        <w:spacing w:before="360" w:after="300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V případě </w:t>
      </w:r>
      <w:r w:rsidR="005E7A75" w:rsidRPr="004F4F2B">
        <w:rPr>
          <w:sz w:val="22"/>
          <w:szCs w:val="22"/>
        </w:rPr>
        <w:t>alternativ označených jako „</w:t>
      </w:r>
      <w:r w:rsidRPr="004F4F2B">
        <w:rPr>
          <w:sz w:val="22"/>
          <w:szCs w:val="22"/>
        </w:rPr>
        <w:t>zředěnější roztok</w:t>
      </w:r>
      <w:r w:rsidR="005E7A75" w:rsidRPr="004F4F2B">
        <w:rPr>
          <w:sz w:val="22"/>
          <w:szCs w:val="22"/>
        </w:rPr>
        <w:t>y“ bud</w:t>
      </w:r>
      <w:r w:rsidR="004C06D4" w:rsidRPr="004F4F2B">
        <w:rPr>
          <w:sz w:val="22"/>
          <w:szCs w:val="22"/>
        </w:rPr>
        <w:t xml:space="preserve">ou náklady souviset s nákupem většího objemu zředěných roztoků (např. </w:t>
      </w:r>
      <w:r w:rsidR="00A61932" w:rsidRPr="004F4F2B">
        <w:rPr>
          <w:sz w:val="22"/>
          <w:szCs w:val="22"/>
        </w:rPr>
        <w:t>ob</w:t>
      </w:r>
      <w:r w:rsidR="00684E01" w:rsidRPr="004F4F2B">
        <w:rPr>
          <w:sz w:val="22"/>
          <w:szCs w:val="22"/>
        </w:rPr>
        <w:t>jem 1 000 ml peroxidu vodíku 3</w:t>
      </w:r>
      <w:r w:rsidR="00C40938" w:rsidRPr="004F4F2B">
        <w:rPr>
          <w:sz w:val="22"/>
          <w:szCs w:val="22"/>
        </w:rPr>
        <w:t>5</w:t>
      </w:r>
      <w:r w:rsidR="00684E01" w:rsidRPr="004F4F2B">
        <w:rPr>
          <w:sz w:val="22"/>
          <w:szCs w:val="22"/>
        </w:rPr>
        <w:t> % hm. představuje cca 3 110 ml peroxidu vodíku 12 % hm</w:t>
      </w:r>
      <w:r w:rsidR="0064739F" w:rsidRPr="004F4F2B">
        <w:rPr>
          <w:rStyle w:val="Znakapoznpodarou"/>
          <w:sz w:val="22"/>
          <w:szCs w:val="22"/>
        </w:rPr>
        <w:footnoteReference w:customMarkFollows="1" w:id="2"/>
        <w:t>2)</w:t>
      </w:r>
      <w:r w:rsidR="001F2948" w:rsidRPr="001F2948">
        <w:rPr>
          <w:sz w:val="22"/>
          <w:szCs w:val="22"/>
        </w:rPr>
        <w:t>)</w:t>
      </w:r>
      <w:r w:rsidR="001F2948" w:rsidRPr="004F4F2B">
        <w:rPr>
          <w:sz w:val="22"/>
          <w:szCs w:val="22"/>
        </w:rPr>
        <w:t>.</w:t>
      </w:r>
      <w:r w:rsidR="00A61932" w:rsidRPr="004F4F2B">
        <w:rPr>
          <w:sz w:val="22"/>
          <w:szCs w:val="22"/>
        </w:rPr>
        <w:t xml:space="preserve"> </w:t>
      </w:r>
      <w:r w:rsidR="003311F2">
        <w:rPr>
          <w:sz w:val="22"/>
          <w:szCs w:val="22"/>
        </w:rPr>
        <w:t>Protože</w:t>
      </w:r>
      <w:r w:rsidR="00A61932" w:rsidRPr="004F4F2B">
        <w:rPr>
          <w:sz w:val="22"/>
          <w:szCs w:val="22"/>
        </w:rPr>
        <w:t xml:space="preserve"> výsledn</w:t>
      </w:r>
      <w:r w:rsidR="006C0F59" w:rsidRPr="004F4F2B">
        <w:rPr>
          <w:sz w:val="22"/>
          <w:szCs w:val="22"/>
        </w:rPr>
        <w:t xml:space="preserve">á hmotnost </w:t>
      </w:r>
      <w:r w:rsidR="00A61932" w:rsidRPr="004F4F2B">
        <w:rPr>
          <w:sz w:val="22"/>
          <w:szCs w:val="22"/>
        </w:rPr>
        <w:t xml:space="preserve">aktivní látky </w:t>
      </w:r>
      <w:r w:rsidR="006C0F59" w:rsidRPr="004F4F2B">
        <w:rPr>
          <w:sz w:val="22"/>
          <w:szCs w:val="22"/>
        </w:rPr>
        <w:t xml:space="preserve">ve zředěnějším roztoku </w:t>
      </w:r>
      <w:r w:rsidR="00A61932" w:rsidRPr="004F4F2B">
        <w:rPr>
          <w:sz w:val="22"/>
          <w:szCs w:val="22"/>
        </w:rPr>
        <w:t xml:space="preserve">zůstane </w:t>
      </w:r>
      <w:r w:rsidR="00911053">
        <w:rPr>
          <w:sz w:val="22"/>
          <w:szCs w:val="22"/>
        </w:rPr>
        <w:t>shodná</w:t>
      </w:r>
      <w:r w:rsidR="00A61932" w:rsidRPr="004F4F2B">
        <w:rPr>
          <w:sz w:val="22"/>
          <w:szCs w:val="22"/>
        </w:rPr>
        <w:t xml:space="preserve">, lze předpokládat zvýšení nákladů na jednotku aktivní látky o </w:t>
      </w:r>
      <w:r w:rsidR="000B15E1" w:rsidRPr="004F4F2B">
        <w:rPr>
          <w:sz w:val="22"/>
          <w:szCs w:val="22"/>
        </w:rPr>
        <w:t xml:space="preserve">nejvýše </w:t>
      </w:r>
      <w:r w:rsidR="00A61932" w:rsidRPr="004F4F2B">
        <w:rPr>
          <w:b/>
          <w:bCs/>
          <w:sz w:val="22"/>
          <w:szCs w:val="22"/>
        </w:rPr>
        <w:t>10 %</w:t>
      </w:r>
      <w:r w:rsidR="00A61932" w:rsidRPr="004F4F2B">
        <w:rPr>
          <w:sz w:val="22"/>
          <w:szCs w:val="22"/>
        </w:rPr>
        <w:t xml:space="preserve">, a to </w:t>
      </w:r>
      <w:r w:rsidR="002B6B8D">
        <w:rPr>
          <w:sz w:val="22"/>
          <w:szCs w:val="22"/>
        </w:rPr>
        <w:t>nej</w:t>
      </w:r>
      <w:r w:rsidR="006C0F59" w:rsidRPr="004F4F2B">
        <w:rPr>
          <w:sz w:val="22"/>
          <w:szCs w:val="22"/>
        </w:rPr>
        <w:t xml:space="preserve">spíše jen </w:t>
      </w:r>
      <w:r w:rsidR="008D0F74" w:rsidRPr="004F4F2B">
        <w:rPr>
          <w:sz w:val="22"/>
          <w:szCs w:val="22"/>
        </w:rPr>
        <w:t xml:space="preserve">kvůli vyššímu objemu rozpouštědla </w:t>
      </w:r>
      <w:r w:rsidR="00C85F2F" w:rsidRPr="00C85F2F">
        <w:rPr>
          <w:sz w:val="22"/>
          <w:szCs w:val="22"/>
        </w:rPr>
        <w:t>(v případě naředění roztoků kyseliny sírové a peroxidu vodíku destilovanou nebo demineralizovanou vodou zvýšení nákladů patrně ani očekávat nelze)</w:t>
      </w:r>
      <w:r w:rsidR="00A970C9" w:rsidRPr="004F4F2B">
        <w:rPr>
          <w:sz w:val="22"/>
          <w:szCs w:val="22"/>
        </w:rPr>
        <w:t xml:space="preserve"> a kvůli nákladům spojeným s</w:t>
      </w:r>
      <w:r w:rsidR="00FC7CF4" w:rsidRPr="004F4F2B">
        <w:rPr>
          <w:sz w:val="22"/>
          <w:szCs w:val="22"/>
        </w:rPr>
        <w:t> </w:t>
      </w:r>
      <w:r w:rsidR="00A970C9" w:rsidRPr="004F4F2B">
        <w:rPr>
          <w:sz w:val="22"/>
          <w:szCs w:val="22"/>
        </w:rPr>
        <w:t xml:space="preserve">logistickými aktivitami </w:t>
      </w:r>
      <w:r w:rsidR="00F95935" w:rsidRPr="004F4F2B">
        <w:rPr>
          <w:sz w:val="22"/>
          <w:szCs w:val="22"/>
        </w:rPr>
        <w:t>s </w:t>
      </w:r>
      <w:r w:rsidR="00A970C9" w:rsidRPr="004F4F2B">
        <w:rPr>
          <w:sz w:val="22"/>
          <w:szCs w:val="22"/>
        </w:rPr>
        <w:t>vyšší</w:t>
      </w:r>
      <w:r w:rsidR="00F95935" w:rsidRPr="004F4F2B">
        <w:rPr>
          <w:sz w:val="22"/>
          <w:szCs w:val="22"/>
        </w:rPr>
        <w:t xml:space="preserve">mi </w:t>
      </w:r>
      <w:r w:rsidR="00A970C9" w:rsidRPr="004F4F2B">
        <w:rPr>
          <w:sz w:val="22"/>
          <w:szCs w:val="22"/>
        </w:rPr>
        <w:t>objem</w:t>
      </w:r>
      <w:r w:rsidR="00F95935" w:rsidRPr="004F4F2B">
        <w:rPr>
          <w:sz w:val="22"/>
          <w:szCs w:val="22"/>
        </w:rPr>
        <w:t>y</w:t>
      </w:r>
      <w:r w:rsidR="00A970C9" w:rsidRPr="004F4F2B">
        <w:rPr>
          <w:sz w:val="22"/>
          <w:szCs w:val="22"/>
        </w:rPr>
        <w:t>.</w:t>
      </w:r>
      <w:r w:rsidR="004D0A79" w:rsidRPr="004F4F2B">
        <w:rPr>
          <w:sz w:val="22"/>
          <w:szCs w:val="22"/>
        </w:rPr>
        <w:t xml:space="preserve"> Ve výjimečných případech </w:t>
      </w:r>
      <w:r w:rsidR="00291819">
        <w:rPr>
          <w:sz w:val="22"/>
          <w:szCs w:val="22"/>
        </w:rPr>
        <w:t>mohou vyžadovat</w:t>
      </w:r>
      <w:r w:rsidR="004D0A79" w:rsidRPr="004F4F2B">
        <w:rPr>
          <w:sz w:val="22"/>
          <w:szCs w:val="22"/>
        </w:rPr>
        <w:t xml:space="preserve"> zředěné roztoky </w:t>
      </w:r>
      <w:r w:rsidR="00384DA3" w:rsidRPr="004F4F2B">
        <w:rPr>
          <w:sz w:val="22"/>
          <w:szCs w:val="22"/>
        </w:rPr>
        <w:t>oproti koncentrovanějším vyšší čas</w:t>
      </w:r>
      <w:r w:rsidR="00291819">
        <w:rPr>
          <w:sz w:val="22"/>
          <w:szCs w:val="22"/>
        </w:rPr>
        <w:t xml:space="preserve"> úkonu </w:t>
      </w:r>
      <w:r w:rsidR="00384DA3" w:rsidRPr="004F4F2B">
        <w:rPr>
          <w:sz w:val="22"/>
          <w:szCs w:val="22"/>
        </w:rPr>
        <w:t>prováděn</w:t>
      </w:r>
      <w:r w:rsidR="00291819">
        <w:rPr>
          <w:sz w:val="22"/>
          <w:szCs w:val="22"/>
        </w:rPr>
        <w:t>ého</w:t>
      </w:r>
      <w:r w:rsidR="00384DA3" w:rsidRPr="004F4F2B">
        <w:rPr>
          <w:sz w:val="22"/>
          <w:szCs w:val="22"/>
        </w:rPr>
        <w:t xml:space="preserve"> s </w:t>
      </w:r>
      <w:r w:rsidR="00291819">
        <w:rPr>
          <w:sz w:val="22"/>
          <w:szCs w:val="22"/>
        </w:rPr>
        <w:t>danou</w:t>
      </w:r>
      <w:r w:rsidR="00384DA3" w:rsidRPr="004F4F2B">
        <w:rPr>
          <w:sz w:val="22"/>
          <w:szCs w:val="22"/>
        </w:rPr>
        <w:t xml:space="preserve"> látkou či směsí. </w:t>
      </w:r>
      <w:r w:rsidR="00291819">
        <w:rPr>
          <w:sz w:val="22"/>
          <w:szCs w:val="22"/>
        </w:rPr>
        <w:t>Např. u</w:t>
      </w:r>
      <w:r w:rsidR="00384DA3" w:rsidRPr="004F4F2B">
        <w:rPr>
          <w:sz w:val="22"/>
          <w:szCs w:val="22"/>
        </w:rPr>
        <w:t xml:space="preserve"> bělení paroží s využitím peroxidu vodíku si použití zředěnějších roztoků vyžádá delší dobu působení </w:t>
      </w:r>
      <w:r w:rsidR="00834F5D" w:rsidRPr="004F4F2B">
        <w:rPr>
          <w:sz w:val="22"/>
          <w:szCs w:val="22"/>
        </w:rPr>
        <w:t>(tedy mj. 12 % vodného roztoku nespadajícího pod prekurzory výbušnin podléhající omezení)</w:t>
      </w:r>
      <w:r w:rsidR="00291819">
        <w:rPr>
          <w:sz w:val="22"/>
          <w:szCs w:val="22"/>
        </w:rPr>
        <w:t>.</w:t>
      </w:r>
      <w:r w:rsidR="00834F5D" w:rsidRPr="004F4F2B">
        <w:rPr>
          <w:sz w:val="22"/>
          <w:szCs w:val="22"/>
        </w:rPr>
        <w:t xml:space="preserve"> </w:t>
      </w:r>
      <w:r w:rsidR="00E87806" w:rsidRPr="00E87806">
        <w:rPr>
          <w:sz w:val="22"/>
          <w:szCs w:val="22"/>
        </w:rPr>
        <w:t>Týká se to bělení paroží s využitím peroxidu vodíku, kdy si použití zředěnějších roztoků vyžádá delší dobu působení, rozhodně však nelze tvrdit, že použití zředěnějších roztoků (tedy mj. 12 % vodného roztoku nespadajícího pod prekurzory výbušnin podléhající omezení) není schůdné, jak vyplývá z konzultací s Ministerstvem zemědělství</w:t>
      </w:r>
      <w:r w:rsidR="00DC4D85">
        <w:rPr>
          <w:sz w:val="22"/>
          <w:szCs w:val="22"/>
        </w:rPr>
        <w:t xml:space="preserve"> </w:t>
      </w:r>
      <w:r w:rsidR="00E87806" w:rsidRPr="00E87806">
        <w:rPr>
          <w:sz w:val="22"/>
          <w:szCs w:val="22"/>
        </w:rPr>
        <w:t>a</w:t>
      </w:r>
      <w:r w:rsidR="00DC4D85">
        <w:rPr>
          <w:sz w:val="22"/>
          <w:szCs w:val="22"/>
        </w:rPr>
        <w:t> </w:t>
      </w:r>
      <w:r w:rsidR="00E87806" w:rsidRPr="00E87806">
        <w:rPr>
          <w:sz w:val="22"/>
          <w:szCs w:val="22"/>
        </w:rPr>
        <w:t>oslovenými sběrateli paroží.</w:t>
      </w:r>
      <w:r w:rsidR="002E7983" w:rsidRPr="004F4F2B">
        <w:rPr>
          <w:sz w:val="22"/>
          <w:szCs w:val="22"/>
        </w:rPr>
        <w:t xml:space="preserve"> </w:t>
      </w:r>
      <w:r w:rsidR="009846EA" w:rsidRPr="004F4F2B">
        <w:rPr>
          <w:sz w:val="22"/>
          <w:szCs w:val="22"/>
        </w:rPr>
        <w:t>Snadné přizpůsobení osob z</w:t>
      </w:r>
      <w:r w:rsidR="00B76C09" w:rsidRPr="004F4F2B">
        <w:rPr>
          <w:sz w:val="22"/>
          <w:szCs w:val="22"/>
        </w:rPr>
        <w:t xml:space="preserve"> </w:t>
      </w:r>
      <w:r w:rsidR="009846EA" w:rsidRPr="004F4F2B">
        <w:rPr>
          <w:sz w:val="22"/>
          <w:szCs w:val="22"/>
        </w:rPr>
        <w:t xml:space="preserve">řad široké veřejnosti </w:t>
      </w:r>
      <w:r w:rsidR="00B76C09" w:rsidRPr="004F4F2B">
        <w:rPr>
          <w:sz w:val="22"/>
          <w:szCs w:val="22"/>
        </w:rPr>
        <w:t xml:space="preserve">omezením </w:t>
      </w:r>
      <w:r w:rsidR="009846EA" w:rsidRPr="004F4F2B">
        <w:rPr>
          <w:sz w:val="22"/>
          <w:szCs w:val="22"/>
        </w:rPr>
        <w:t xml:space="preserve">dostupnosti roztoků peroxidu vodíku </w:t>
      </w:r>
      <w:r w:rsidR="00B76C09" w:rsidRPr="004F4F2B">
        <w:rPr>
          <w:sz w:val="22"/>
          <w:szCs w:val="22"/>
        </w:rPr>
        <w:t>nad 12 % hm.</w:t>
      </w:r>
      <w:r w:rsidR="00291819">
        <w:rPr>
          <w:sz w:val="22"/>
          <w:szCs w:val="22"/>
        </w:rPr>
        <w:t xml:space="preserve"> </w:t>
      </w:r>
      <w:r w:rsidR="009846EA" w:rsidRPr="004F4F2B">
        <w:rPr>
          <w:sz w:val="22"/>
          <w:szCs w:val="22"/>
        </w:rPr>
        <w:t>v</w:t>
      </w:r>
      <w:r w:rsidR="00EE2CFB" w:rsidRPr="004F4F2B">
        <w:rPr>
          <w:sz w:val="22"/>
          <w:szCs w:val="22"/>
        </w:rPr>
        <w:t> Norském království</w:t>
      </w:r>
      <w:r w:rsidR="004410B0" w:rsidRPr="004F4F2B">
        <w:rPr>
          <w:sz w:val="22"/>
          <w:szCs w:val="22"/>
        </w:rPr>
        <w:t xml:space="preserve"> ostatně zmiňuje i </w:t>
      </w:r>
      <w:r w:rsidR="002E7983" w:rsidRPr="004F4F2B">
        <w:rPr>
          <w:rFonts w:eastAsiaTheme="minorHAnsi"/>
          <w:sz w:val="22"/>
          <w:szCs w:val="22"/>
          <w:lang w:eastAsia="en-US"/>
        </w:rPr>
        <w:t>hodnocení dopadů k návrhu nařízení Evropského parlamentu a Rady o prekurzorech výbušnin</w:t>
      </w:r>
      <w:r w:rsidR="0064739F" w:rsidRPr="004F4F2B">
        <w:rPr>
          <w:rStyle w:val="Znakapoznpodarou"/>
          <w:rFonts w:eastAsiaTheme="minorHAnsi"/>
          <w:sz w:val="22"/>
          <w:szCs w:val="22"/>
          <w:lang w:eastAsia="en-US"/>
        </w:rPr>
        <w:footnoteReference w:customMarkFollows="1" w:id="3"/>
        <w:t>3)</w:t>
      </w:r>
      <w:r w:rsidR="001F2948" w:rsidRPr="004F4F2B">
        <w:rPr>
          <w:rFonts w:eastAsiaTheme="minorHAnsi"/>
          <w:sz w:val="22"/>
          <w:szCs w:val="22"/>
          <w:lang w:eastAsia="en-US"/>
        </w:rPr>
        <w:t>.</w:t>
      </w:r>
      <w:r w:rsidR="00156EAA" w:rsidRPr="004F4F2B">
        <w:rPr>
          <w:rFonts w:eastAsiaTheme="minorHAnsi"/>
          <w:sz w:val="22"/>
          <w:szCs w:val="22"/>
          <w:lang w:eastAsia="en-US"/>
        </w:rPr>
        <w:t xml:space="preserve"> Problematick</w:t>
      </w:r>
      <w:r w:rsidR="008F7DD3" w:rsidRPr="004F4F2B">
        <w:rPr>
          <w:rFonts w:eastAsiaTheme="minorHAnsi"/>
          <w:sz w:val="22"/>
          <w:szCs w:val="22"/>
          <w:lang w:eastAsia="en-US"/>
        </w:rPr>
        <w:t>é</w:t>
      </w:r>
      <w:r w:rsidR="00156EAA" w:rsidRPr="004F4F2B">
        <w:rPr>
          <w:rFonts w:eastAsiaTheme="minorHAnsi"/>
          <w:sz w:val="22"/>
          <w:szCs w:val="22"/>
          <w:lang w:eastAsia="en-US"/>
        </w:rPr>
        <w:t xml:space="preserve"> se může jevit spíše jen </w:t>
      </w:r>
      <w:r w:rsidR="008F7DD3" w:rsidRPr="004F4F2B">
        <w:rPr>
          <w:rFonts w:eastAsiaTheme="minorHAnsi"/>
          <w:sz w:val="22"/>
          <w:szCs w:val="22"/>
          <w:lang w:eastAsia="en-US"/>
        </w:rPr>
        <w:t xml:space="preserve">pořizování </w:t>
      </w:r>
      <w:r w:rsidR="00156EAA" w:rsidRPr="004F4F2B">
        <w:rPr>
          <w:rFonts w:eastAsiaTheme="minorHAnsi"/>
          <w:sz w:val="22"/>
          <w:szCs w:val="22"/>
          <w:lang w:eastAsia="en-US"/>
        </w:rPr>
        <w:t xml:space="preserve">zředěnějších roztoků </w:t>
      </w:r>
      <w:proofErr w:type="spellStart"/>
      <w:r w:rsidR="00156EAA" w:rsidRPr="004F4F2B">
        <w:rPr>
          <w:rFonts w:eastAsiaTheme="minorHAnsi"/>
          <w:sz w:val="22"/>
          <w:szCs w:val="22"/>
          <w:lang w:eastAsia="en-US"/>
        </w:rPr>
        <w:t>nitromethanu</w:t>
      </w:r>
      <w:proofErr w:type="spellEnd"/>
      <w:r w:rsidR="008F7DD3" w:rsidRPr="004F4F2B">
        <w:rPr>
          <w:rFonts w:eastAsiaTheme="minorHAnsi"/>
          <w:sz w:val="22"/>
          <w:szCs w:val="22"/>
          <w:lang w:eastAsia="en-US"/>
        </w:rPr>
        <w:t>, nikoliv však kvůli ceně, nýbrž kvůli tomu, že j</w:t>
      </w:r>
      <w:r w:rsidR="00156EAA" w:rsidRPr="004F4F2B">
        <w:rPr>
          <w:rFonts w:eastAsiaTheme="minorHAnsi"/>
          <w:sz w:val="22"/>
          <w:szCs w:val="22"/>
          <w:lang w:eastAsia="en-US"/>
        </w:rPr>
        <w:t>eho nižší obsah v</w:t>
      </w:r>
      <w:r w:rsidR="00986FE2" w:rsidRPr="004F4F2B">
        <w:rPr>
          <w:rFonts w:eastAsiaTheme="minorHAnsi"/>
          <w:sz w:val="22"/>
          <w:szCs w:val="22"/>
          <w:lang w:eastAsia="en-US"/>
        </w:rPr>
        <w:t xml:space="preserve"> roztoku </w:t>
      </w:r>
      <w:r w:rsidR="00156EAA" w:rsidRPr="004F4F2B">
        <w:rPr>
          <w:rFonts w:eastAsiaTheme="minorHAnsi"/>
          <w:sz w:val="22"/>
          <w:szCs w:val="22"/>
          <w:lang w:eastAsia="en-US"/>
        </w:rPr>
        <w:t>nemůže být nahrazen vyšším objemem paliva</w:t>
      </w:r>
      <w:r w:rsidR="008F7DD3" w:rsidRPr="004F4F2B">
        <w:rPr>
          <w:rFonts w:eastAsiaTheme="minorHAnsi"/>
          <w:sz w:val="22"/>
          <w:szCs w:val="22"/>
          <w:lang w:eastAsia="en-US"/>
        </w:rPr>
        <w:t xml:space="preserve">. </w:t>
      </w:r>
      <w:r w:rsidR="00AD3899" w:rsidRPr="004F4F2B">
        <w:rPr>
          <w:rFonts w:eastAsiaTheme="minorHAnsi"/>
          <w:sz w:val="22"/>
          <w:szCs w:val="22"/>
          <w:lang w:eastAsia="en-US"/>
        </w:rPr>
        <w:t>Nepochybně však nepůjde o nepřekonatelný problém.</w:t>
      </w:r>
      <w:r w:rsidR="00291819">
        <w:rPr>
          <w:rFonts w:eastAsiaTheme="minorHAnsi"/>
          <w:sz w:val="22"/>
          <w:szCs w:val="22"/>
          <w:lang w:eastAsia="en-US"/>
        </w:rPr>
        <w:t xml:space="preserve"> </w:t>
      </w:r>
      <w:r w:rsidR="00E6036A" w:rsidRPr="004F4F2B">
        <w:rPr>
          <w:sz w:val="22"/>
          <w:szCs w:val="22"/>
        </w:rPr>
        <w:t xml:space="preserve">V případě alternativy </w:t>
      </w:r>
      <w:r w:rsidR="00291819">
        <w:rPr>
          <w:sz w:val="22"/>
          <w:szCs w:val="22"/>
        </w:rPr>
        <w:t xml:space="preserve">regulovaných prekurzorů výbušnin </w:t>
      </w:r>
      <w:r w:rsidR="00E6036A" w:rsidRPr="004F4F2B">
        <w:rPr>
          <w:sz w:val="22"/>
          <w:szCs w:val="22"/>
        </w:rPr>
        <w:t xml:space="preserve">označené jako </w:t>
      </w:r>
      <w:r w:rsidR="00D24A12" w:rsidRPr="004F4F2B">
        <w:rPr>
          <w:sz w:val="22"/>
          <w:szCs w:val="22"/>
        </w:rPr>
        <w:t>„</w:t>
      </w:r>
      <w:r w:rsidR="007D2E1A" w:rsidRPr="004F4F2B">
        <w:rPr>
          <w:sz w:val="22"/>
          <w:szCs w:val="22"/>
        </w:rPr>
        <w:t>uzavřené bezúdržbové akumulátory</w:t>
      </w:r>
      <w:r w:rsidR="00D24A12" w:rsidRPr="004F4F2B">
        <w:rPr>
          <w:sz w:val="22"/>
          <w:szCs w:val="22"/>
        </w:rPr>
        <w:t>“</w:t>
      </w:r>
      <w:r w:rsidR="00E6036A" w:rsidRPr="004F4F2B">
        <w:rPr>
          <w:sz w:val="22"/>
          <w:szCs w:val="22"/>
        </w:rPr>
        <w:t xml:space="preserve"> lze předpokládat navýšení nákladů </w:t>
      </w:r>
      <w:r w:rsidR="007D2E1A" w:rsidRPr="004F4F2B">
        <w:rPr>
          <w:sz w:val="22"/>
          <w:szCs w:val="22"/>
        </w:rPr>
        <w:t xml:space="preserve">na straně osob z řad široké veřejnosti </w:t>
      </w:r>
      <w:r w:rsidR="006375EC" w:rsidRPr="004F4F2B">
        <w:rPr>
          <w:sz w:val="22"/>
          <w:szCs w:val="22"/>
        </w:rPr>
        <w:t xml:space="preserve">podle druhu alternativních </w:t>
      </w:r>
      <w:r w:rsidR="00B65FDA" w:rsidRPr="004F4F2B">
        <w:rPr>
          <w:sz w:val="22"/>
          <w:szCs w:val="22"/>
        </w:rPr>
        <w:t>akumulátorů</w:t>
      </w:r>
      <w:r w:rsidR="006375EC" w:rsidRPr="004F4F2B">
        <w:rPr>
          <w:sz w:val="22"/>
          <w:szCs w:val="22"/>
        </w:rPr>
        <w:t>.</w:t>
      </w:r>
      <w:r w:rsidR="00922CCE" w:rsidRPr="004F4F2B">
        <w:rPr>
          <w:sz w:val="22"/>
          <w:szCs w:val="22"/>
        </w:rPr>
        <w:t xml:space="preserve"> V zájmu zjednodušení se hodnocení dopadů věnuje motocyklovým </w:t>
      </w:r>
      <w:r w:rsidR="00CB4B60" w:rsidRPr="004F4F2B">
        <w:rPr>
          <w:sz w:val="22"/>
          <w:szCs w:val="22"/>
        </w:rPr>
        <w:t>akumulátorům</w:t>
      </w:r>
      <w:r w:rsidR="00922CCE" w:rsidRPr="004F4F2B">
        <w:rPr>
          <w:sz w:val="22"/>
          <w:szCs w:val="22"/>
        </w:rPr>
        <w:t>, které na trhu</w:t>
      </w:r>
      <w:r w:rsidR="00291819">
        <w:rPr>
          <w:sz w:val="22"/>
          <w:szCs w:val="22"/>
        </w:rPr>
        <w:t xml:space="preserve"> v současnosti</w:t>
      </w:r>
      <w:r w:rsidR="00922CCE" w:rsidRPr="004F4F2B">
        <w:rPr>
          <w:sz w:val="22"/>
          <w:szCs w:val="22"/>
        </w:rPr>
        <w:t xml:space="preserve"> dominují. </w:t>
      </w:r>
      <w:r w:rsidR="00CB4B60" w:rsidRPr="004F4F2B">
        <w:rPr>
          <w:sz w:val="22"/>
          <w:szCs w:val="22"/>
        </w:rPr>
        <w:t>S</w:t>
      </w:r>
      <w:r w:rsidR="001F14EA" w:rsidRPr="004F4F2B">
        <w:rPr>
          <w:sz w:val="22"/>
          <w:szCs w:val="22"/>
        </w:rPr>
        <w:t>t</w:t>
      </w:r>
      <w:r w:rsidR="006375EC" w:rsidRPr="004F4F2B">
        <w:rPr>
          <w:sz w:val="22"/>
          <w:szCs w:val="22"/>
        </w:rPr>
        <w:t xml:space="preserve">andardní ceny </w:t>
      </w:r>
      <w:r w:rsidR="00CB4B60" w:rsidRPr="004F4F2B">
        <w:rPr>
          <w:sz w:val="22"/>
          <w:szCs w:val="22"/>
        </w:rPr>
        <w:t xml:space="preserve">jejich </w:t>
      </w:r>
      <w:r w:rsidR="006375EC" w:rsidRPr="004F4F2B">
        <w:rPr>
          <w:sz w:val="22"/>
          <w:szCs w:val="22"/>
        </w:rPr>
        <w:t xml:space="preserve">vybraných typů uvádí </w:t>
      </w:r>
      <w:r w:rsidR="008F1BDF" w:rsidRPr="004F4F2B">
        <w:rPr>
          <w:sz w:val="22"/>
          <w:szCs w:val="22"/>
        </w:rPr>
        <w:t xml:space="preserve">zjednodušeně </w:t>
      </w:r>
      <w:r w:rsidR="006375EC" w:rsidRPr="004F4F2B">
        <w:rPr>
          <w:sz w:val="22"/>
          <w:szCs w:val="22"/>
        </w:rPr>
        <w:t>následující tabulka.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701"/>
        <w:gridCol w:w="3085"/>
        <w:gridCol w:w="1203"/>
        <w:gridCol w:w="1405"/>
        <w:gridCol w:w="1133"/>
      </w:tblGrid>
      <w:tr w:rsidR="00E5027A" w:rsidRPr="004F4F2B" w:rsidTr="00E40C96">
        <w:trPr>
          <w:trHeight w:hRule="exact" w:val="454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:rsidR="002A1DE5" w:rsidRPr="004F4F2B" w:rsidRDefault="002A1DE5" w:rsidP="002A1DE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lastRenderedPageBreak/>
              <w:t>Provedení akumulátoru</w:t>
            </w:r>
          </w:p>
        </w:tc>
        <w:tc>
          <w:tcPr>
            <w:tcW w:w="3085" w:type="dxa"/>
            <w:shd w:val="clear" w:color="auto" w:fill="D9D9D9" w:themeFill="background1" w:themeFillShade="D9"/>
            <w:vAlign w:val="center"/>
          </w:tcPr>
          <w:p w:rsidR="002A1DE5" w:rsidRPr="004F4F2B" w:rsidRDefault="002A1DE5" w:rsidP="002A1DE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Označení akumulátoru</w:t>
            </w:r>
          </w:p>
          <w:p w:rsidR="002A1DE5" w:rsidRPr="004F4F2B" w:rsidRDefault="002A1DE5" w:rsidP="002A1DE5">
            <w:pPr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Parametry akumulátoru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:rsidR="00B12C98" w:rsidRPr="004F4F2B" w:rsidRDefault="002A1DE5" w:rsidP="002A1DE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Cena</w:t>
            </w:r>
          </w:p>
          <w:p w:rsidR="002A1DE5" w:rsidRPr="004F4F2B" w:rsidRDefault="00B12C98" w:rsidP="002A1DE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(vč. DPH)</w:t>
            </w:r>
          </w:p>
        </w:tc>
        <w:tc>
          <w:tcPr>
            <w:tcW w:w="1405" w:type="dxa"/>
            <w:shd w:val="clear" w:color="auto" w:fill="D9D9D9" w:themeFill="background1" w:themeFillShade="D9"/>
            <w:vAlign w:val="center"/>
          </w:tcPr>
          <w:p w:rsidR="002A1DE5" w:rsidRPr="004F4F2B" w:rsidRDefault="00BC2899" w:rsidP="002A1DE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C</w:t>
            </w:r>
            <w:r w:rsidR="002A1DE5" w:rsidRPr="004F4F2B">
              <w:rPr>
                <w:sz w:val="16"/>
                <w:szCs w:val="16"/>
              </w:rPr>
              <w:t>en</w:t>
            </w:r>
            <w:r w:rsidRPr="004F4F2B">
              <w:rPr>
                <w:sz w:val="16"/>
                <w:szCs w:val="16"/>
              </w:rPr>
              <w:t>a</w:t>
            </w:r>
            <w:r w:rsidR="002A1DE5" w:rsidRPr="004F4F2B">
              <w:rPr>
                <w:sz w:val="16"/>
                <w:szCs w:val="16"/>
              </w:rPr>
              <w:t xml:space="preserve"> na elektrický náboj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2A1DE5" w:rsidRPr="004F4F2B" w:rsidRDefault="002A1DE5" w:rsidP="002A1DE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Střední cena na el</w:t>
            </w:r>
            <w:r w:rsidR="00960057" w:rsidRPr="004F4F2B">
              <w:rPr>
                <w:sz w:val="16"/>
                <w:szCs w:val="16"/>
              </w:rPr>
              <w:t>.</w:t>
            </w:r>
            <w:r w:rsidRPr="004F4F2B">
              <w:rPr>
                <w:sz w:val="16"/>
                <w:szCs w:val="16"/>
              </w:rPr>
              <w:t xml:space="preserve"> náboj</w:t>
            </w:r>
          </w:p>
        </w:tc>
      </w:tr>
      <w:tr w:rsidR="00E5027A" w:rsidRPr="004F4F2B" w:rsidTr="00E40C96">
        <w:tc>
          <w:tcPr>
            <w:tcW w:w="993" w:type="dxa"/>
            <w:vMerge w:val="restart"/>
            <w:shd w:val="clear" w:color="auto" w:fill="D9D9D9" w:themeFill="background1" w:themeFillShade="D9"/>
            <w:textDirection w:val="btLr"/>
          </w:tcPr>
          <w:p w:rsidR="00E5027A" w:rsidRPr="004F4F2B" w:rsidRDefault="00E5027A" w:rsidP="00EB51ED">
            <w:pPr>
              <w:ind w:left="113" w:right="113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 xml:space="preserve">Suchý, </w:t>
            </w:r>
            <w:proofErr w:type="spellStart"/>
            <w:r w:rsidRPr="004F4F2B">
              <w:rPr>
                <w:sz w:val="16"/>
                <w:szCs w:val="16"/>
              </w:rPr>
              <w:t>plnitelný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E5027A" w:rsidRPr="004F4F2B" w:rsidRDefault="00E5027A" w:rsidP="00F11256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Konvenční kyselinový</w:t>
            </w:r>
            <w:r w:rsidR="005C7FDB" w:rsidRPr="004F4F2B">
              <w:rPr>
                <w:sz w:val="16"/>
                <w:szCs w:val="16"/>
              </w:rPr>
              <w:t xml:space="preserve"> se zaplavenými elektrodami</w:t>
            </w:r>
          </w:p>
        </w:tc>
        <w:tc>
          <w:tcPr>
            <w:tcW w:w="3085" w:type="dxa"/>
            <w:vAlign w:val="center"/>
          </w:tcPr>
          <w:p w:rsidR="00E5027A" w:rsidRPr="004F4F2B" w:rsidRDefault="00E5027A" w:rsidP="00F11256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Exide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>, EB12A-A</w:t>
            </w:r>
          </w:p>
          <w:p w:rsidR="00E5027A" w:rsidRPr="004F4F2B" w:rsidRDefault="00E5027A" w:rsidP="00F11256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12 V, 12 </w:t>
            </w:r>
            <w:proofErr w:type="spellStart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Ah</w:t>
            </w:r>
            <w:proofErr w:type="spellEnd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, 165 A</w:t>
            </w:r>
          </w:p>
        </w:tc>
        <w:tc>
          <w:tcPr>
            <w:tcW w:w="1203" w:type="dxa"/>
            <w:vAlign w:val="center"/>
          </w:tcPr>
          <w:p w:rsidR="00E5027A" w:rsidRPr="004F4F2B" w:rsidRDefault="00406015" w:rsidP="00F11256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800</w:t>
            </w:r>
            <w:r w:rsidR="00E5027A" w:rsidRPr="004F4F2B">
              <w:rPr>
                <w:sz w:val="16"/>
                <w:szCs w:val="16"/>
              </w:rPr>
              <w:t>±100 Kč</w:t>
            </w:r>
          </w:p>
        </w:tc>
        <w:tc>
          <w:tcPr>
            <w:tcW w:w="1405" w:type="dxa"/>
            <w:vAlign w:val="center"/>
          </w:tcPr>
          <w:p w:rsidR="00E5027A" w:rsidRPr="004F4F2B" w:rsidRDefault="00E5027A" w:rsidP="009C2385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6</w:t>
            </w:r>
            <w:r w:rsidR="00F50329" w:rsidRPr="004F4F2B">
              <w:rPr>
                <w:sz w:val="16"/>
                <w:szCs w:val="16"/>
              </w:rPr>
              <w:t>7</w:t>
            </w:r>
            <w:r w:rsidRPr="004F4F2B">
              <w:rPr>
                <w:sz w:val="16"/>
                <w:szCs w:val="16"/>
              </w:rPr>
              <w:t>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  <w:tc>
          <w:tcPr>
            <w:tcW w:w="1133" w:type="dxa"/>
            <w:vMerge w:val="restart"/>
            <w:vAlign w:val="center"/>
          </w:tcPr>
          <w:p w:rsidR="00E5027A" w:rsidRPr="004F4F2B" w:rsidRDefault="00E5027A" w:rsidP="00145274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7</w:t>
            </w:r>
            <w:r w:rsidR="00F50329" w:rsidRPr="004F4F2B">
              <w:rPr>
                <w:sz w:val="16"/>
                <w:szCs w:val="16"/>
              </w:rPr>
              <w:t>8</w:t>
            </w:r>
            <w:r w:rsidRPr="004F4F2B">
              <w:rPr>
                <w:sz w:val="16"/>
                <w:szCs w:val="16"/>
              </w:rPr>
              <w:t>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</w:tr>
      <w:tr w:rsidR="00E5027A" w:rsidRPr="004F4F2B" w:rsidTr="00E40C96">
        <w:tc>
          <w:tcPr>
            <w:tcW w:w="993" w:type="dxa"/>
            <w:vMerge/>
            <w:shd w:val="clear" w:color="auto" w:fill="D9D9D9" w:themeFill="background1" w:themeFillShade="D9"/>
            <w:textDirection w:val="btLr"/>
          </w:tcPr>
          <w:p w:rsidR="00E5027A" w:rsidRPr="004F4F2B" w:rsidRDefault="00E5027A" w:rsidP="00EB51E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027A" w:rsidRPr="004F4F2B" w:rsidRDefault="00E5027A" w:rsidP="00597697">
            <w:pPr>
              <w:rPr>
                <w:sz w:val="16"/>
                <w:szCs w:val="16"/>
              </w:rPr>
            </w:pPr>
          </w:p>
        </w:tc>
        <w:tc>
          <w:tcPr>
            <w:tcW w:w="3085" w:type="dxa"/>
            <w:vAlign w:val="center"/>
          </w:tcPr>
          <w:p w:rsidR="00E5027A" w:rsidRPr="004F4F2B" w:rsidRDefault="00E5027A" w:rsidP="00902729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Fiam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MotorEnergy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 xml:space="preserve"> FB YB12A-A</w:t>
            </w:r>
          </w:p>
          <w:p w:rsidR="00E5027A" w:rsidRPr="004F4F2B" w:rsidRDefault="00E5027A" w:rsidP="00902729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12 V, 12 </w:t>
            </w:r>
            <w:proofErr w:type="spellStart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Ah</w:t>
            </w:r>
            <w:proofErr w:type="spellEnd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, 160 A</w:t>
            </w:r>
          </w:p>
        </w:tc>
        <w:tc>
          <w:tcPr>
            <w:tcW w:w="1203" w:type="dxa"/>
            <w:vAlign w:val="center"/>
          </w:tcPr>
          <w:p w:rsidR="00E5027A" w:rsidRPr="004F4F2B" w:rsidRDefault="00406015" w:rsidP="00F11256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900</w:t>
            </w:r>
            <w:r w:rsidR="00E5027A" w:rsidRPr="004F4F2B">
              <w:rPr>
                <w:sz w:val="16"/>
                <w:szCs w:val="16"/>
              </w:rPr>
              <w:t>±100 Kč</w:t>
            </w:r>
          </w:p>
        </w:tc>
        <w:tc>
          <w:tcPr>
            <w:tcW w:w="1405" w:type="dxa"/>
            <w:vAlign w:val="center"/>
          </w:tcPr>
          <w:p w:rsidR="00E5027A" w:rsidRPr="004F4F2B" w:rsidRDefault="00E5027A" w:rsidP="009C2385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7</w:t>
            </w:r>
            <w:r w:rsidR="00F50329" w:rsidRPr="004F4F2B">
              <w:rPr>
                <w:sz w:val="16"/>
                <w:szCs w:val="16"/>
              </w:rPr>
              <w:t>5</w:t>
            </w:r>
            <w:r w:rsidRPr="004F4F2B">
              <w:rPr>
                <w:sz w:val="16"/>
                <w:szCs w:val="16"/>
              </w:rPr>
              <w:t>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  <w:tc>
          <w:tcPr>
            <w:tcW w:w="1133" w:type="dxa"/>
            <w:vMerge/>
            <w:vAlign w:val="center"/>
          </w:tcPr>
          <w:p w:rsidR="00E5027A" w:rsidRPr="004F4F2B" w:rsidRDefault="00E5027A" w:rsidP="00145274">
            <w:pPr>
              <w:jc w:val="right"/>
              <w:rPr>
                <w:sz w:val="16"/>
                <w:szCs w:val="16"/>
              </w:rPr>
            </w:pPr>
          </w:p>
        </w:tc>
      </w:tr>
      <w:tr w:rsidR="00E5027A" w:rsidRPr="004F4F2B" w:rsidTr="00E40C96">
        <w:tc>
          <w:tcPr>
            <w:tcW w:w="993" w:type="dxa"/>
            <w:vMerge/>
            <w:shd w:val="clear" w:color="auto" w:fill="D9D9D9" w:themeFill="background1" w:themeFillShade="D9"/>
            <w:textDirection w:val="btLr"/>
          </w:tcPr>
          <w:p w:rsidR="00E5027A" w:rsidRPr="004F4F2B" w:rsidRDefault="00E5027A" w:rsidP="00EB51E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027A" w:rsidRPr="004F4F2B" w:rsidRDefault="00E5027A" w:rsidP="00597697">
            <w:pPr>
              <w:rPr>
                <w:sz w:val="16"/>
                <w:szCs w:val="16"/>
              </w:rPr>
            </w:pPr>
          </w:p>
        </w:tc>
        <w:tc>
          <w:tcPr>
            <w:tcW w:w="3085" w:type="dxa"/>
            <w:vAlign w:val="center"/>
          </w:tcPr>
          <w:p w:rsidR="00E5027A" w:rsidRPr="004F4F2B" w:rsidRDefault="00E5027A" w:rsidP="00C95F32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Yuasa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Yumicron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>, YB12A-A</w:t>
            </w:r>
          </w:p>
          <w:p w:rsidR="00E5027A" w:rsidRPr="004F4F2B" w:rsidRDefault="00E5027A" w:rsidP="00C95F32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12 V, 12 </w:t>
            </w:r>
            <w:proofErr w:type="spellStart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Ah</w:t>
            </w:r>
            <w:proofErr w:type="spellEnd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, 165 A</w:t>
            </w:r>
          </w:p>
        </w:tc>
        <w:tc>
          <w:tcPr>
            <w:tcW w:w="1203" w:type="dxa"/>
            <w:vAlign w:val="center"/>
          </w:tcPr>
          <w:p w:rsidR="00E5027A" w:rsidRPr="004F4F2B" w:rsidRDefault="00E5027A" w:rsidP="00F11256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</w:t>
            </w:r>
            <w:r w:rsidR="00F50329" w:rsidRPr="004F4F2B">
              <w:rPr>
                <w:sz w:val="16"/>
                <w:szCs w:val="16"/>
              </w:rPr>
              <w:t>100</w:t>
            </w:r>
            <w:r w:rsidRPr="004F4F2B">
              <w:rPr>
                <w:sz w:val="16"/>
                <w:szCs w:val="16"/>
              </w:rPr>
              <w:t>±100 Kč</w:t>
            </w:r>
          </w:p>
        </w:tc>
        <w:tc>
          <w:tcPr>
            <w:tcW w:w="1405" w:type="dxa"/>
            <w:vAlign w:val="center"/>
          </w:tcPr>
          <w:p w:rsidR="00E5027A" w:rsidRPr="004F4F2B" w:rsidRDefault="00F50329" w:rsidP="00B44068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92</w:t>
            </w:r>
            <w:r w:rsidR="00E5027A" w:rsidRPr="004F4F2B">
              <w:rPr>
                <w:sz w:val="16"/>
                <w:szCs w:val="16"/>
              </w:rPr>
              <w:t> Kč/1 </w:t>
            </w:r>
            <w:proofErr w:type="spellStart"/>
            <w:r w:rsidR="00E5027A" w:rsidRPr="004F4F2B">
              <w:rPr>
                <w:sz w:val="16"/>
                <w:szCs w:val="16"/>
              </w:rPr>
              <w:t>Ah</w:t>
            </w:r>
            <w:proofErr w:type="spellEnd"/>
          </w:p>
        </w:tc>
        <w:tc>
          <w:tcPr>
            <w:tcW w:w="1133" w:type="dxa"/>
            <w:vMerge/>
            <w:vAlign w:val="center"/>
          </w:tcPr>
          <w:p w:rsidR="00E5027A" w:rsidRPr="004F4F2B" w:rsidRDefault="00E5027A" w:rsidP="00145274">
            <w:pPr>
              <w:jc w:val="right"/>
              <w:rPr>
                <w:sz w:val="16"/>
                <w:szCs w:val="16"/>
              </w:rPr>
            </w:pPr>
          </w:p>
        </w:tc>
      </w:tr>
      <w:tr w:rsidR="00E5027A" w:rsidRPr="004F4F2B" w:rsidTr="00E40C96">
        <w:tc>
          <w:tcPr>
            <w:tcW w:w="993" w:type="dxa"/>
            <w:vMerge/>
            <w:shd w:val="clear" w:color="auto" w:fill="D9D9D9" w:themeFill="background1" w:themeFillShade="D9"/>
            <w:textDirection w:val="btLr"/>
          </w:tcPr>
          <w:p w:rsidR="00E5027A" w:rsidRPr="004F4F2B" w:rsidRDefault="00E5027A" w:rsidP="00EB51E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5027A" w:rsidRPr="004F4F2B" w:rsidRDefault="00E5027A" w:rsidP="00597697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 xml:space="preserve">Absorbent </w:t>
            </w:r>
            <w:proofErr w:type="spellStart"/>
            <w:r w:rsidRPr="004F4F2B">
              <w:rPr>
                <w:sz w:val="16"/>
                <w:szCs w:val="16"/>
              </w:rPr>
              <w:t>Glass</w:t>
            </w:r>
            <w:proofErr w:type="spellEnd"/>
            <w:r w:rsidRPr="004F4F2B">
              <w:rPr>
                <w:sz w:val="16"/>
                <w:szCs w:val="16"/>
              </w:rPr>
              <w:t xml:space="preserve"> Mat</w:t>
            </w:r>
          </w:p>
        </w:tc>
        <w:tc>
          <w:tcPr>
            <w:tcW w:w="3085" w:type="dxa"/>
            <w:vAlign w:val="center"/>
          </w:tcPr>
          <w:p w:rsidR="00E5027A" w:rsidRPr="004F4F2B" w:rsidRDefault="00E5027A" w:rsidP="00D434B5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Exide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 xml:space="preserve"> AGM, ETX14-BS</w:t>
            </w:r>
          </w:p>
          <w:p w:rsidR="00E5027A" w:rsidRPr="004F4F2B" w:rsidRDefault="00E5027A" w:rsidP="00D434B5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12 V, 12 </w:t>
            </w:r>
            <w:proofErr w:type="spellStart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Ah</w:t>
            </w:r>
            <w:proofErr w:type="spellEnd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, 200 A</w:t>
            </w:r>
          </w:p>
        </w:tc>
        <w:tc>
          <w:tcPr>
            <w:tcW w:w="1203" w:type="dxa"/>
            <w:vAlign w:val="center"/>
          </w:tcPr>
          <w:p w:rsidR="00E5027A" w:rsidRPr="004F4F2B" w:rsidRDefault="00E5027A" w:rsidP="00F11256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850±100 Kč</w:t>
            </w:r>
          </w:p>
        </w:tc>
        <w:tc>
          <w:tcPr>
            <w:tcW w:w="1405" w:type="dxa"/>
            <w:vAlign w:val="center"/>
          </w:tcPr>
          <w:p w:rsidR="00E5027A" w:rsidRPr="004F4F2B" w:rsidRDefault="00E5027A" w:rsidP="00C448EB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71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  <w:tc>
          <w:tcPr>
            <w:tcW w:w="1133" w:type="dxa"/>
            <w:vMerge w:val="restart"/>
            <w:vAlign w:val="center"/>
          </w:tcPr>
          <w:p w:rsidR="00E5027A" w:rsidRPr="004F4F2B" w:rsidRDefault="00900F42" w:rsidP="00145274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92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</w:tr>
      <w:tr w:rsidR="00E5027A" w:rsidRPr="004F4F2B" w:rsidTr="00E40C96">
        <w:tc>
          <w:tcPr>
            <w:tcW w:w="993" w:type="dxa"/>
            <w:vMerge/>
            <w:shd w:val="clear" w:color="auto" w:fill="D9D9D9" w:themeFill="background1" w:themeFillShade="D9"/>
            <w:textDirection w:val="btLr"/>
          </w:tcPr>
          <w:p w:rsidR="00E5027A" w:rsidRPr="004F4F2B" w:rsidRDefault="00E5027A" w:rsidP="008F220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027A" w:rsidRPr="004F4F2B" w:rsidRDefault="00E5027A" w:rsidP="008F220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085" w:type="dxa"/>
            <w:vAlign w:val="center"/>
          </w:tcPr>
          <w:p w:rsidR="00E5027A" w:rsidRPr="004F4F2B" w:rsidRDefault="00E5027A" w:rsidP="00EE3FC3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4F4F2B">
              <w:rPr>
                <w:rFonts w:eastAsiaTheme="minorHAnsi"/>
                <w:b w:val="0"/>
                <w:bCs w:val="0"/>
                <w:sz w:val="16"/>
                <w:szCs w:val="16"/>
                <w:lang w:eastAsia="en-US"/>
              </w:rPr>
              <w:t>Fiam</w:t>
            </w:r>
            <w:proofErr w:type="spellEnd"/>
            <w:r w:rsidRPr="004F4F2B">
              <w:rPr>
                <w:rFonts w:eastAsiaTheme="minorHAnsi"/>
                <w:b w:val="0"/>
                <w:bCs w:val="0"/>
                <w:sz w:val="16"/>
                <w:szCs w:val="16"/>
                <w:lang w:eastAsia="en-US"/>
              </w:rPr>
              <w:t xml:space="preserve"> Motor </w:t>
            </w:r>
            <w:proofErr w:type="spellStart"/>
            <w:r w:rsidRPr="004F4F2B">
              <w:rPr>
                <w:rFonts w:eastAsiaTheme="minorHAnsi"/>
                <w:b w:val="0"/>
                <w:bCs w:val="0"/>
                <w:sz w:val="16"/>
                <w:szCs w:val="16"/>
                <w:lang w:eastAsia="en-US"/>
              </w:rPr>
              <w:t>Energy</w:t>
            </w:r>
            <w:proofErr w:type="spellEnd"/>
            <w:r w:rsidRPr="004F4F2B">
              <w:rPr>
                <w:rFonts w:eastAsiaTheme="minorHAnsi"/>
                <w:b w:val="0"/>
                <w:bCs w:val="0"/>
                <w:sz w:val="16"/>
                <w:szCs w:val="16"/>
                <w:lang w:eastAsia="en-US"/>
              </w:rPr>
              <w:t>, FTX14-BS</w:t>
            </w:r>
          </w:p>
          <w:p w:rsidR="00E5027A" w:rsidRPr="004F4F2B" w:rsidRDefault="00E5027A" w:rsidP="00EE3FC3">
            <w:pPr>
              <w:rPr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12 V, 12 </w:t>
            </w:r>
            <w:proofErr w:type="spellStart"/>
            <w:r w:rsidRPr="004F4F2B">
              <w:rPr>
                <w:i/>
                <w:iCs/>
                <w:sz w:val="16"/>
                <w:szCs w:val="16"/>
              </w:rPr>
              <w:t>Ah</w:t>
            </w:r>
            <w:proofErr w:type="spellEnd"/>
            <w:r w:rsidRPr="004F4F2B">
              <w:rPr>
                <w:i/>
                <w:iCs/>
                <w:sz w:val="16"/>
                <w:szCs w:val="16"/>
              </w:rPr>
              <w:t>, 170 A</w:t>
            </w:r>
          </w:p>
        </w:tc>
        <w:tc>
          <w:tcPr>
            <w:tcW w:w="1203" w:type="dxa"/>
            <w:vAlign w:val="center"/>
          </w:tcPr>
          <w:p w:rsidR="00E5027A" w:rsidRPr="004F4F2B" w:rsidRDefault="00E5027A" w:rsidP="008F220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950±100 Kč</w:t>
            </w:r>
          </w:p>
        </w:tc>
        <w:tc>
          <w:tcPr>
            <w:tcW w:w="1405" w:type="dxa"/>
            <w:vAlign w:val="center"/>
          </w:tcPr>
          <w:p w:rsidR="00E5027A" w:rsidRPr="004F4F2B" w:rsidRDefault="00E5027A" w:rsidP="008F220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79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  <w:tc>
          <w:tcPr>
            <w:tcW w:w="1133" w:type="dxa"/>
            <w:vMerge/>
            <w:vAlign w:val="center"/>
          </w:tcPr>
          <w:p w:rsidR="00E5027A" w:rsidRPr="004F4F2B" w:rsidRDefault="00E5027A" w:rsidP="00145274">
            <w:pPr>
              <w:jc w:val="right"/>
              <w:rPr>
                <w:sz w:val="16"/>
                <w:szCs w:val="16"/>
              </w:rPr>
            </w:pPr>
          </w:p>
        </w:tc>
      </w:tr>
      <w:tr w:rsidR="00E5027A" w:rsidRPr="004F4F2B" w:rsidTr="00E40C96">
        <w:tc>
          <w:tcPr>
            <w:tcW w:w="993" w:type="dxa"/>
            <w:vMerge/>
            <w:shd w:val="clear" w:color="auto" w:fill="D9D9D9" w:themeFill="background1" w:themeFillShade="D9"/>
            <w:textDirection w:val="btLr"/>
          </w:tcPr>
          <w:p w:rsidR="00E5027A" w:rsidRPr="004F4F2B" w:rsidRDefault="00E5027A" w:rsidP="008F220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5027A" w:rsidRPr="004F4F2B" w:rsidRDefault="00E5027A" w:rsidP="008F220A">
            <w:pPr>
              <w:rPr>
                <w:sz w:val="16"/>
                <w:szCs w:val="16"/>
              </w:rPr>
            </w:pPr>
          </w:p>
        </w:tc>
        <w:tc>
          <w:tcPr>
            <w:tcW w:w="3085" w:type="dxa"/>
            <w:vAlign w:val="center"/>
          </w:tcPr>
          <w:p w:rsidR="00E5027A" w:rsidRPr="004F4F2B" w:rsidRDefault="00E5027A" w:rsidP="00192372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Yuasa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 xml:space="preserve"> Super MF, YTX14-BS</w:t>
            </w:r>
          </w:p>
          <w:p w:rsidR="00E5027A" w:rsidRPr="004F4F2B" w:rsidRDefault="00E5027A" w:rsidP="00192372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12 V, 12 </w:t>
            </w:r>
            <w:proofErr w:type="spellStart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Ah</w:t>
            </w:r>
            <w:proofErr w:type="spellEnd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, 200</w:t>
            </w:r>
            <w:r w:rsidR="005C3B4B" w:rsidRPr="004F4F2B">
              <w:rPr>
                <w:b w:val="0"/>
                <w:bCs w:val="0"/>
                <w:i/>
                <w:iCs/>
                <w:sz w:val="16"/>
                <w:szCs w:val="16"/>
              </w:rPr>
              <w:t> </w:t>
            </w:r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1203" w:type="dxa"/>
            <w:vAlign w:val="center"/>
          </w:tcPr>
          <w:p w:rsidR="00E5027A" w:rsidRPr="004F4F2B" w:rsidRDefault="00E5027A" w:rsidP="008F220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1 500±100 Kč</w:t>
            </w:r>
          </w:p>
        </w:tc>
        <w:tc>
          <w:tcPr>
            <w:tcW w:w="1405" w:type="dxa"/>
            <w:vAlign w:val="center"/>
          </w:tcPr>
          <w:p w:rsidR="00E5027A" w:rsidRPr="004F4F2B" w:rsidRDefault="00E5027A" w:rsidP="0019237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125 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  <w:tc>
          <w:tcPr>
            <w:tcW w:w="1133" w:type="dxa"/>
            <w:vMerge/>
            <w:vAlign w:val="center"/>
          </w:tcPr>
          <w:p w:rsidR="00E5027A" w:rsidRPr="004F4F2B" w:rsidRDefault="00E5027A" w:rsidP="00145274">
            <w:pPr>
              <w:jc w:val="right"/>
              <w:rPr>
                <w:sz w:val="16"/>
                <w:szCs w:val="16"/>
              </w:rPr>
            </w:pPr>
          </w:p>
        </w:tc>
      </w:tr>
      <w:tr w:rsidR="00FF6A12" w:rsidRPr="004F4F2B" w:rsidTr="00E40C96">
        <w:trPr>
          <w:trHeight w:hRule="exact" w:val="397"/>
        </w:trPr>
        <w:tc>
          <w:tcPr>
            <w:tcW w:w="993" w:type="dxa"/>
            <w:vMerge w:val="restart"/>
            <w:shd w:val="clear" w:color="auto" w:fill="D9D9D9" w:themeFill="background1" w:themeFillShade="D9"/>
            <w:textDirection w:val="btLr"/>
          </w:tcPr>
          <w:p w:rsidR="00FF6A12" w:rsidRPr="004F4F2B" w:rsidRDefault="00FF6A12" w:rsidP="008F220A">
            <w:pPr>
              <w:ind w:left="113" w:right="113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Uzavřený</w:t>
            </w:r>
          </w:p>
        </w:tc>
        <w:tc>
          <w:tcPr>
            <w:tcW w:w="1701" w:type="dxa"/>
            <w:vMerge w:val="restart"/>
            <w:vAlign w:val="center"/>
          </w:tcPr>
          <w:p w:rsidR="00FF6A12" w:rsidRPr="004F4F2B" w:rsidRDefault="00FF6A12" w:rsidP="008F220A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 xml:space="preserve">Absorbent </w:t>
            </w:r>
            <w:proofErr w:type="spellStart"/>
            <w:r w:rsidRPr="004F4F2B">
              <w:rPr>
                <w:sz w:val="16"/>
                <w:szCs w:val="16"/>
              </w:rPr>
              <w:t>Glass</w:t>
            </w:r>
            <w:proofErr w:type="spellEnd"/>
            <w:r w:rsidRPr="004F4F2B">
              <w:rPr>
                <w:sz w:val="16"/>
                <w:szCs w:val="16"/>
              </w:rPr>
              <w:t xml:space="preserve"> Mat, </w:t>
            </w:r>
            <w:proofErr w:type="spellStart"/>
            <w:r w:rsidRPr="004F4F2B">
              <w:rPr>
                <w:sz w:val="16"/>
                <w:szCs w:val="16"/>
              </w:rPr>
              <w:t>ready</w:t>
            </w:r>
            <w:proofErr w:type="spellEnd"/>
            <w:r w:rsidRPr="004F4F2B">
              <w:rPr>
                <w:sz w:val="16"/>
                <w:szCs w:val="16"/>
              </w:rPr>
              <w:t>/</w:t>
            </w:r>
            <w:proofErr w:type="spellStart"/>
            <w:r w:rsidRPr="004F4F2B">
              <w:rPr>
                <w:sz w:val="16"/>
                <w:szCs w:val="16"/>
              </w:rPr>
              <w:t>factory</w:t>
            </w:r>
            <w:proofErr w:type="spellEnd"/>
            <w:r w:rsidRPr="004F4F2B">
              <w:rPr>
                <w:sz w:val="16"/>
                <w:szCs w:val="16"/>
              </w:rPr>
              <w:t xml:space="preserve"> </w:t>
            </w:r>
            <w:proofErr w:type="spellStart"/>
            <w:r w:rsidRPr="004F4F2B">
              <w:rPr>
                <w:sz w:val="16"/>
                <w:szCs w:val="16"/>
              </w:rPr>
              <w:t>sealed</w:t>
            </w:r>
            <w:proofErr w:type="spellEnd"/>
            <w:r w:rsidR="00D53E3F" w:rsidRPr="004F4F2B">
              <w:rPr>
                <w:sz w:val="16"/>
                <w:szCs w:val="16"/>
              </w:rPr>
              <w:t>/</w:t>
            </w:r>
            <w:proofErr w:type="spellStart"/>
            <w:r w:rsidR="00D53E3F" w:rsidRPr="004F4F2B">
              <w:rPr>
                <w:sz w:val="16"/>
                <w:szCs w:val="16"/>
              </w:rPr>
              <w:t>factory</w:t>
            </w:r>
            <w:proofErr w:type="spellEnd"/>
            <w:r w:rsidR="00D53E3F" w:rsidRPr="004F4F2B">
              <w:rPr>
                <w:sz w:val="16"/>
                <w:szCs w:val="16"/>
              </w:rPr>
              <w:t xml:space="preserve"> </w:t>
            </w:r>
            <w:proofErr w:type="spellStart"/>
            <w:r w:rsidR="00D53E3F" w:rsidRPr="004F4F2B">
              <w:rPr>
                <w:sz w:val="16"/>
                <w:szCs w:val="16"/>
              </w:rPr>
              <w:t>activated</w:t>
            </w:r>
            <w:proofErr w:type="spellEnd"/>
          </w:p>
        </w:tc>
        <w:tc>
          <w:tcPr>
            <w:tcW w:w="3085" w:type="dxa"/>
            <w:vAlign w:val="center"/>
          </w:tcPr>
          <w:p w:rsidR="00FF6A12" w:rsidRPr="004F4F2B" w:rsidRDefault="00FF6A12" w:rsidP="00423653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Exide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 xml:space="preserve"> AGM </w:t>
            </w: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Ready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>, AGM12-12</w:t>
            </w:r>
          </w:p>
          <w:p w:rsidR="00FF6A12" w:rsidRPr="004F4F2B" w:rsidRDefault="00FF6A12" w:rsidP="00423653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12 V, 12 </w:t>
            </w:r>
            <w:proofErr w:type="spellStart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Ah</w:t>
            </w:r>
            <w:proofErr w:type="spellEnd"/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, 200 A</w:t>
            </w:r>
          </w:p>
        </w:tc>
        <w:tc>
          <w:tcPr>
            <w:tcW w:w="1203" w:type="dxa"/>
            <w:vAlign w:val="center"/>
          </w:tcPr>
          <w:p w:rsidR="00FF6A12" w:rsidRPr="004F4F2B" w:rsidRDefault="00FF6A12" w:rsidP="008F220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1 000±100 Kč</w:t>
            </w:r>
          </w:p>
        </w:tc>
        <w:tc>
          <w:tcPr>
            <w:tcW w:w="1405" w:type="dxa"/>
            <w:vAlign w:val="center"/>
          </w:tcPr>
          <w:p w:rsidR="00FF6A12" w:rsidRPr="004F4F2B" w:rsidRDefault="00FF6A12" w:rsidP="00A60AA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83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  <w:tc>
          <w:tcPr>
            <w:tcW w:w="1133" w:type="dxa"/>
            <w:vMerge w:val="restart"/>
            <w:vAlign w:val="center"/>
          </w:tcPr>
          <w:p w:rsidR="00FF6A12" w:rsidRPr="004F4F2B" w:rsidRDefault="00FF6A12" w:rsidP="00145274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13</w:t>
            </w:r>
            <w:r w:rsidR="00AA33B4" w:rsidRPr="004F4F2B">
              <w:rPr>
                <w:sz w:val="16"/>
                <w:szCs w:val="16"/>
              </w:rPr>
              <w:t>3</w:t>
            </w:r>
            <w:r w:rsidRPr="004F4F2B">
              <w:rPr>
                <w:sz w:val="16"/>
                <w:szCs w:val="16"/>
              </w:rPr>
              <w:t>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  <w:r w:rsidRPr="004F4F2B">
              <w:rPr>
                <w:sz w:val="16"/>
                <w:szCs w:val="16"/>
              </w:rPr>
              <w:t> </w:t>
            </w:r>
          </w:p>
        </w:tc>
      </w:tr>
      <w:tr w:rsidR="00FF6A12" w:rsidRPr="004F4F2B" w:rsidTr="00E40C96">
        <w:trPr>
          <w:trHeight w:hRule="exact" w:val="567"/>
        </w:trPr>
        <w:tc>
          <w:tcPr>
            <w:tcW w:w="993" w:type="dxa"/>
            <w:vMerge/>
            <w:shd w:val="clear" w:color="auto" w:fill="D9D9D9" w:themeFill="background1" w:themeFillShade="D9"/>
            <w:textDirection w:val="btLr"/>
          </w:tcPr>
          <w:p w:rsidR="00FF6A12" w:rsidRPr="004F4F2B" w:rsidRDefault="00FF6A12" w:rsidP="006C023A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F6A12" w:rsidRPr="004F4F2B" w:rsidRDefault="00FF6A12" w:rsidP="006C023A">
            <w:pPr>
              <w:rPr>
                <w:sz w:val="16"/>
                <w:szCs w:val="16"/>
              </w:rPr>
            </w:pPr>
          </w:p>
        </w:tc>
        <w:tc>
          <w:tcPr>
            <w:tcW w:w="3085" w:type="dxa"/>
            <w:vAlign w:val="center"/>
          </w:tcPr>
          <w:p w:rsidR="00FF6A12" w:rsidRPr="004F4F2B" w:rsidRDefault="00FF6A12" w:rsidP="004A288F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Fiamm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MotorEnergy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 xml:space="preserve"> AGM, </w:t>
            </w:r>
            <w:r w:rsidRPr="004F4F2B">
              <w:rPr>
                <w:rFonts w:eastAsiaTheme="minorHAnsi"/>
                <w:b w:val="0"/>
                <w:bCs w:val="0"/>
                <w:sz w:val="16"/>
                <w:szCs w:val="16"/>
                <w:lang w:eastAsia="en-US"/>
              </w:rPr>
              <w:t>FTZ14S</w:t>
            </w:r>
            <w:r w:rsidRPr="004F4F2B">
              <w:rPr>
                <w:rFonts w:eastAsiaTheme="minorHAnsi"/>
                <w:b w:val="0"/>
                <w:bCs w:val="0"/>
                <w:sz w:val="16"/>
                <w:szCs w:val="16"/>
                <w:lang w:eastAsia="en-US"/>
              </w:rPr>
              <w:noBreakHyphen/>
            </w:r>
            <w:proofErr w:type="gramStart"/>
            <w:r w:rsidRPr="004F4F2B">
              <w:rPr>
                <w:rFonts w:eastAsiaTheme="minorHAnsi"/>
                <w:b w:val="0"/>
                <w:bCs w:val="0"/>
                <w:sz w:val="16"/>
                <w:szCs w:val="16"/>
                <w:lang w:eastAsia="en-US"/>
              </w:rPr>
              <w:t>12B</w:t>
            </w:r>
            <w:proofErr w:type="gramEnd"/>
          </w:p>
          <w:p w:rsidR="00FF6A12" w:rsidRPr="004F4F2B" w:rsidRDefault="00FF6A12" w:rsidP="004A288F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4F4F2B">
              <w:rPr>
                <w:b w:val="0"/>
                <w:bCs w:val="0"/>
                <w:i/>
                <w:iCs/>
                <w:sz w:val="16"/>
                <w:szCs w:val="16"/>
              </w:rPr>
              <w:t>12 V, 11,2 A, 230 A</w:t>
            </w:r>
          </w:p>
        </w:tc>
        <w:tc>
          <w:tcPr>
            <w:tcW w:w="1203" w:type="dxa"/>
            <w:vAlign w:val="center"/>
          </w:tcPr>
          <w:p w:rsidR="00FF6A12" w:rsidRPr="004F4F2B" w:rsidRDefault="00FF6A12" w:rsidP="006C023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1 2</w:t>
            </w:r>
            <w:r w:rsidR="00AA33B4" w:rsidRPr="004F4F2B">
              <w:rPr>
                <w:sz w:val="16"/>
                <w:szCs w:val="16"/>
              </w:rPr>
              <w:t>00</w:t>
            </w:r>
            <w:r w:rsidRPr="004F4F2B">
              <w:rPr>
                <w:sz w:val="16"/>
                <w:szCs w:val="16"/>
              </w:rPr>
              <w:t>±100 Kč</w:t>
            </w:r>
          </w:p>
        </w:tc>
        <w:tc>
          <w:tcPr>
            <w:tcW w:w="1405" w:type="dxa"/>
            <w:vAlign w:val="center"/>
          </w:tcPr>
          <w:p w:rsidR="00FF6A12" w:rsidRPr="004F4F2B" w:rsidRDefault="00FF6A12" w:rsidP="003F45FA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</w:t>
            </w:r>
            <w:r w:rsidR="00AA33B4" w:rsidRPr="004F4F2B">
              <w:rPr>
                <w:sz w:val="16"/>
                <w:szCs w:val="16"/>
              </w:rPr>
              <w:t>07</w:t>
            </w:r>
            <w:r w:rsidRPr="004F4F2B">
              <w:rPr>
                <w:sz w:val="16"/>
                <w:szCs w:val="16"/>
              </w:rPr>
              <w:t>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  <w:tc>
          <w:tcPr>
            <w:tcW w:w="1133" w:type="dxa"/>
            <w:vMerge/>
            <w:vAlign w:val="center"/>
          </w:tcPr>
          <w:p w:rsidR="00FF6A12" w:rsidRPr="004F4F2B" w:rsidRDefault="00FF6A12" w:rsidP="00145274">
            <w:pPr>
              <w:jc w:val="right"/>
              <w:rPr>
                <w:sz w:val="16"/>
                <w:szCs w:val="16"/>
              </w:rPr>
            </w:pPr>
          </w:p>
        </w:tc>
      </w:tr>
      <w:tr w:rsidR="00FF6A12" w:rsidRPr="004F4F2B" w:rsidTr="00E40C96">
        <w:trPr>
          <w:trHeight w:hRule="exact" w:val="397"/>
        </w:trPr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F6A12" w:rsidRPr="004F4F2B" w:rsidRDefault="00FF6A12" w:rsidP="00F77214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FF6A12" w:rsidRPr="004F4F2B" w:rsidRDefault="00FF6A12" w:rsidP="00F77214">
            <w:pPr>
              <w:rPr>
                <w:sz w:val="16"/>
                <w:szCs w:val="16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FF6A12" w:rsidRPr="004F4F2B" w:rsidRDefault="00FF6A12" w:rsidP="00F77214">
            <w:pPr>
              <w:pStyle w:val="Nadpis1"/>
              <w:spacing w:before="0" w:beforeAutospacing="0" w:after="0" w:afterAutospacing="0"/>
              <w:outlineLvl w:val="0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4F4F2B">
              <w:rPr>
                <w:b w:val="0"/>
                <w:bCs w:val="0"/>
                <w:sz w:val="16"/>
                <w:szCs w:val="16"/>
              </w:rPr>
              <w:t>Yuasa</w:t>
            </w:r>
            <w:proofErr w:type="spellEnd"/>
            <w:r w:rsidRPr="004F4F2B">
              <w:rPr>
                <w:b w:val="0"/>
                <w:bCs w:val="0"/>
                <w:sz w:val="16"/>
                <w:szCs w:val="16"/>
              </w:rPr>
              <w:t xml:space="preserve"> Super MF, YTZ12S</w:t>
            </w:r>
          </w:p>
          <w:p w:rsidR="00FF6A12" w:rsidRPr="004F4F2B" w:rsidRDefault="00FF6A12" w:rsidP="00F77214">
            <w:pPr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12</w:t>
            </w:r>
            <w:r w:rsidRPr="004F4F2B">
              <w:rPr>
                <w:b/>
                <w:bCs/>
                <w:i/>
                <w:iCs/>
                <w:sz w:val="16"/>
                <w:szCs w:val="16"/>
              </w:rPr>
              <w:t> </w:t>
            </w:r>
            <w:r w:rsidRPr="004F4F2B">
              <w:rPr>
                <w:i/>
                <w:iCs/>
                <w:sz w:val="16"/>
                <w:szCs w:val="16"/>
              </w:rPr>
              <w:t>V, 11</w:t>
            </w:r>
            <w:r w:rsidRPr="004F4F2B">
              <w:rPr>
                <w:b/>
                <w:bCs/>
                <w:i/>
                <w:iCs/>
                <w:sz w:val="16"/>
                <w:szCs w:val="16"/>
              </w:rPr>
              <w:t> </w:t>
            </w:r>
            <w:proofErr w:type="spellStart"/>
            <w:r w:rsidRPr="004F4F2B">
              <w:rPr>
                <w:i/>
                <w:iCs/>
                <w:sz w:val="16"/>
                <w:szCs w:val="16"/>
              </w:rPr>
              <w:t>Ah</w:t>
            </w:r>
            <w:proofErr w:type="spellEnd"/>
            <w:r w:rsidRPr="004F4F2B">
              <w:rPr>
                <w:i/>
                <w:iCs/>
                <w:sz w:val="16"/>
                <w:szCs w:val="16"/>
              </w:rPr>
              <w:t>, 210</w:t>
            </w:r>
            <w:r w:rsidRPr="004F4F2B">
              <w:rPr>
                <w:b/>
                <w:bCs/>
                <w:i/>
                <w:iCs/>
                <w:sz w:val="16"/>
                <w:szCs w:val="16"/>
              </w:rPr>
              <w:t> </w:t>
            </w:r>
            <w:r w:rsidRPr="004F4F2B">
              <w:rPr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FF6A12" w:rsidRPr="004F4F2B" w:rsidRDefault="00FF6A12" w:rsidP="00F77214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2 300±100 Kč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:rsidR="00FF6A12" w:rsidRPr="004F4F2B" w:rsidRDefault="00FF6A12" w:rsidP="00F77214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209 Kč/1 </w:t>
            </w:r>
            <w:proofErr w:type="spellStart"/>
            <w:r w:rsidRPr="004F4F2B">
              <w:rPr>
                <w:sz w:val="16"/>
                <w:szCs w:val="16"/>
              </w:rPr>
              <w:t>Ah</w:t>
            </w:r>
            <w:proofErr w:type="spellEnd"/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:rsidR="00FF6A12" w:rsidRPr="004F4F2B" w:rsidRDefault="00FF6A12" w:rsidP="00145274">
            <w:pPr>
              <w:jc w:val="right"/>
              <w:rPr>
                <w:sz w:val="16"/>
                <w:szCs w:val="16"/>
              </w:rPr>
            </w:pPr>
          </w:p>
        </w:tc>
      </w:tr>
    </w:tbl>
    <w:p w:rsidR="008D5686" w:rsidRPr="004F4F2B" w:rsidRDefault="002F5EDE" w:rsidP="00E37165">
      <w:pPr>
        <w:spacing w:before="360" w:after="24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B12C98" w:rsidRPr="004F4F2B">
        <w:rPr>
          <w:sz w:val="22"/>
          <w:szCs w:val="22"/>
        </w:rPr>
        <w:t>ro akumulátor s napětím mezi elektrodami</w:t>
      </w:r>
      <w:r w:rsidR="00F12B44" w:rsidRPr="004F4F2B">
        <w:rPr>
          <w:sz w:val="22"/>
          <w:szCs w:val="22"/>
        </w:rPr>
        <w:t xml:space="preserve"> </w:t>
      </w:r>
      <w:r w:rsidR="00B12C98" w:rsidRPr="004F4F2B">
        <w:rPr>
          <w:sz w:val="22"/>
          <w:szCs w:val="22"/>
        </w:rPr>
        <w:t>12 V</w:t>
      </w:r>
      <w:r w:rsidR="0020219A" w:rsidRPr="004F4F2B">
        <w:rPr>
          <w:sz w:val="22"/>
          <w:szCs w:val="22"/>
        </w:rPr>
        <w:t xml:space="preserve"> </w:t>
      </w:r>
      <w:r w:rsidR="00B12C98" w:rsidRPr="004F4F2B">
        <w:rPr>
          <w:sz w:val="22"/>
          <w:szCs w:val="22"/>
        </w:rPr>
        <w:t xml:space="preserve">a elektrickým nábojem </w:t>
      </w:r>
      <w:r w:rsidR="00F12B44" w:rsidRPr="004F4F2B">
        <w:rPr>
          <w:sz w:val="22"/>
          <w:szCs w:val="22"/>
        </w:rPr>
        <w:t xml:space="preserve">např. </w:t>
      </w:r>
      <w:r w:rsidR="00B12C98" w:rsidRPr="004F4F2B">
        <w:rPr>
          <w:sz w:val="22"/>
          <w:szCs w:val="22"/>
        </w:rPr>
        <w:t>1</w:t>
      </w:r>
      <w:r w:rsidR="00F12B44" w:rsidRPr="004F4F2B">
        <w:rPr>
          <w:sz w:val="22"/>
          <w:szCs w:val="22"/>
        </w:rPr>
        <w:t>2</w:t>
      </w:r>
      <w:r w:rsidR="00B12C98" w:rsidRPr="004F4F2B">
        <w:rPr>
          <w:sz w:val="22"/>
          <w:szCs w:val="22"/>
        </w:rPr>
        <w:t> </w:t>
      </w:r>
      <w:proofErr w:type="spellStart"/>
      <w:r w:rsidR="00B12C98" w:rsidRPr="004F4F2B">
        <w:rPr>
          <w:sz w:val="22"/>
          <w:szCs w:val="22"/>
        </w:rPr>
        <w:t>Ah</w:t>
      </w:r>
      <w:proofErr w:type="spellEnd"/>
      <w:r w:rsidR="00F37C46" w:rsidRPr="004F4F2B">
        <w:rPr>
          <w:sz w:val="22"/>
          <w:szCs w:val="22"/>
        </w:rPr>
        <w:t xml:space="preserve">, </w:t>
      </w:r>
      <w:r w:rsidR="00B12C98" w:rsidRPr="004F4F2B">
        <w:rPr>
          <w:sz w:val="22"/>
          <w:szCs w:val="22"/>
        </w:rPr>
        <w:t>půjde o</w:t>
      </w:r>
      <w:r w:rsidR="00F37C46" w:rsidRPr="004F4F2B">
        <w:rPr>
          <w:sz w:val="22"/>
          <w:szCs w:val="22"/>
        </w:rPr>
        <w:t> </w:t>
      </w:r>
      <w:r w:rsidR="00B12C98" w:rsidRPr="004F4F2B">
        <w:rPr>
          <w:sz w:val="22"/>
          <w:szCs w:val="22"/>
        </w:rPr>
        <w:t>částk</w:t>
      </w:r>
      <w:r w:rsidR="00F37C46" w:rsidRPr="004F4F2B">
        <w:rPr>
          <w:sz w:val="22"/>
          <w:szCs w:val="22"/>
        </w:rPr>
        <w:t xml:space="preserve">u </w:t>
      </w:r>
      <w:r w:rsidR="007C0402" w:rsidRPr="004F4F2B">
        <w:rPr>
          <w:sz w:val="22"/>
          <w:szCs w:val="22"/>
        </w:rPr>
        <w:t>1 </w:t>
      </w:r>
      <w:r w:rsidR="00F4497A" w:rsidRPr="004F4F2B">
        <w:rPr>
          <w:sz w:val="22"/>
          <w:szCs w:val="22"/>
        </w:rPr>
        <w:t>596</w:t>
      </w:r>
      <w:r w:rsidR="007C0402" w:rsidRPr="004F4F2B">
        <w:rPr>
          <w:sz w:val="22"/>
          <w:szCs w:val="22"/>
        </w:rPr>
        <w:t xml:space="preserve"> Kč namísto </w:t>
      </w:r>
      <w:r w:rsidR="00F37C46" w:rsidRPr="004F4F2B">
        <w:rPr>
          <w:sz w:val="22"/>
          <w:szCs w:val="22"/>
        </w:rPr>
        <w:t>9</w:t>
      </w:r>
      <w:r w:rsidR="00371954" w:rsidRPr="004F4F2B">
        <w:rPr>
          <w:sz w:val="22"/>
          <w:szCs w:val="22"/>
        </w:rPr>
        <w:t>36</w:t>
      </w:r>
      <w:r w:rsidR="00B12C98" w:rsidRPr="004F4F2B">
        <w:rPr>
          <w:sz w:val="22"/>
          <w:szCs w:val="22"/>
        </w:rPr>
        <w:t> Kč</w:t>
      </w:r>
      <w:r w:rsidR="00F37C46" w:rsidRPr="004F4F2B">
        <w:rPr>
          <w:sz w:val="22"/>
          <w:szCs w:val="22"/>
        </w:rPr>
        <w:t>, resp. 1 </w:t>
      </w:r>
      <w:r w:rsidR="00F4497A" w:rsidRPr="004F4F2B">
        <w:rPr>
          <w:sz w:val="22"/>
          <w:szCs w:val="22"/>
        </w:rPr>
        <w:t>596</w:t>
      </w:r>
      <w:r w:rsidR="00F37C46" w:rsidRPr="004F4F2B">
        <w:rPr>
          <w:sz w:val="22"/>
          <w:szCs w:val="22"/>
        </w:rPr>
        <w:t> Kč namísto 1 104 Kč vč. DPH.</w:t>
      </w:r>
      <w:r w:rsidR="00D5132F" w:rsidRPr="004F4F2B">
        <w:rPr>
          <w:sz w:val="22"/>
          <w:szCs w:val="22"/>
        </w:rPr>
        <w:t xml:space="preserve"> </w:t>
      </w:r>
      <w:r w:rsidR="00CF0FF4" w:rsidRPr="004F4F2B">
        <w:rPr>
          <w:sz w:val="22"/>
          <w:szCs w:val="22"/>
        </w:rPr>
        <w:t xml:space="preserve">Byť jde </w:t>
      </w:r>
      <w:proofErr w:type="gramStart"/>
      <w:r w:rsidR="00CF0FF4" w:rsidRPr="004F4F2B">
        <w:rPr>
          <w:sz w:val="22"/>
          <w:szCs w:val="22"/>
        </w:rPr>
        <w:t>o</w:t>
      </w:r>
      <w:r w:rsidR="004B7874" w:rsidRPr="004F4F2B">
        <w:rPr>
          <w:sz w:val="22"/>
          <w:szCs w:val="22"/>
        </w:rPr>
        <w:t> </w:t>
      </w:r>
      <w:r w:rsidR="00CF0FF4" w:rsidRPr="004F4F2B">
        <w:rPr>
          <w:sz w:val="22"/>
          <w:szCs w:val="22"/>
        </w:rPr>
        <w:t xml:space="preserve"> nárůst</w:t>
      </w:r>
      <w:proofErr w:type="gramEnd"/>
      <w:r w:rsidR="00CF0FF4" w:rsidRPr="004F4F2B">
        <w:rPr>
          <w:sz w:val="22"/>
          <w:szCs w:val="22"/>
        </w:rPr>
        <w:t xml:space="preserve"> nákladů, </w:t>
      </w:r>
      <w:r w:rsidR="00EE3F9E" w:rsidRPr="004F4F2B">
        <w:rPr>
          <w:sz w:val="22"/>
          <w:szCs w:val="22"/>
        </w:rPr>
        <w:t xml:space="preserve">z konzultací vyplývá, že </w:t>
      </w:r>
      <w:r w:rsidR="00BB15A7" w:rsidRPr="004F4F2B">
        <w:rPr>
          <w:sz w:val="22"/>
          <w:szCs w:val="22"/>
        </w:rPr>
        <w:t xml:space="preserve">si </w:t>
      </w:r>
      <w:r w:rsidR="00CF0FF4" w:rsidRPr="004F4F2B">
        <w:rPr>
          <w:sz w:val="22"/>
          <w:szCs w:val="22"/>
        </w:rPr>
        <w:t>vlastníci mot</w:t>
      </w:r>
      <w:r w:rsidR="005D0B69" w:rsidRPr="004F4F2B">
        <w:rPr>
          <w:sz w:val="22"/>
          <w:szCs w:val="22"/>
        </w:rPr>
        <w:t>o</w:t>
      </w:r>
      <w:r w:rsidR="00CF0FF4" w:rsidRPr="004F4F2B">
        <w:rPr>
          <w:sz w:val="22"/>
          <w:szCs w:val="22"/>
        </w:rPr>
        <w:t>c</w:t>
      </w:r>
      <w:r w:rsidR="005D0B69" w:rsidRPr="004F4F2B">
        <w:rPr>
          <w:sz w:val="22"/>
          <w:szCs w:val="22"/>
        </w:rPr>
        <w:t>y</w:t>
      </w:r>
      <w:r w:rsidR="00CF0FF4" w:rsidRPr="004F4F2B">
        <w:rPr>
          <w:sz w:val="22"/>
          <w:szCs w:val="22"/>
        </w:rPr>
        <w:t xml:space="preserve">klů </w:t>
      </w:r>
      <w:r w:rsidR="00BB15A7" w:rsidRPr="004F4F2B">
        <w:rPr>
          <w:sz w:val="22"/>
          <w:szCs w:val="22"/>
        </w:rPr>
        <w:t xml:space="preserve">pořizují nové akumulátory </w:t>
      </w:r>
      <w:r w:rsidR="00EE3F9E" w:rsidRPr="004F4F2B">
        <w:rPr>
          <w:sz w:val="22"/>
          <w:szCs w:val="22"/>
        </w:rPr>
        <w:t>(s</w:t>
      </w:r>
      <w:r w:rsidR="00F564F7" w:rsidRPr="004F4F2B">
        <w:rPr>
          <w:sz w:val="22"/>
          <w:szCs w:val="22"/>
        </w:rPr>
        <w:t xml:space="preserve">amozřejmě s přihlédnutím k jejich péči </w:t>
      </w:r>
      <w:r>
        <w:rPr>
          <w:sz w:val="22"/>
          <w:szCs w:val="22"/>
        </w:rPr>
        <w:t xml:space="preserve">o stroj </w:t>
      </w:r>
      <w:r w:rsidR="00F564F7" w:rsidRPr="004F4F2B">
        <w:rPr>
          <w:sz w:val="22"/>
          <w:szCs w:val="22"/>
        </w:rPr>
        <w:t>a ke</w:t>
      </w:r>
      <w:r w:rsidR="00EE3F9E" w:rsidRPr="004F4F2B">
        <w:rPr>
          <w:sz w:val="22"/>
          <w:szCs w:val="22"/>
        </w:rPr>
        <w:t xml:space="preserve"> způsob</w:t>
      </w:r>
      <w:r w:rsidR="00F564F7" w:rsidRPr="004F4F2B">
        <w:rPr>
          <w:sz w:val="22"/>
          <w:szCs w:val="22"/>
        </w:rPr>
        <w:t>u</w:t>
      </w:r>
      <w:r w:rsidR="00EE3F9E" w:rsidRPr="004F4F2B">
        <w:rPr>
          <w:sz w:val="22"/>
          <w:szCs w:val="22"/>
        </w:rPr>
        <w:t xml:space="preserve"> jízdy) </w:t>
      </w:r>
      <w:r w:rsidR="005D0B69" w:rsidRPr="004F4F2B">
        <w:rPr>
          <w:sz w:val="22"/>
          <w:szCs w:val="22"/>
        </w:rPr>
        <w:t>nejčastěji jednou za 3</w:t>
      </w:r>
      <w:r w:rsidR="00585E92" w:rsidRPr="004F4F2B">
        <w:rPr>
          <w:sz w:val="22"/>
          <w:szCs w:val="22"/>
        </w:rPr>
        <w:t xml:space="preserve"> až </w:t>
      </w:r>
      <w:r w:rsidR="005D0B69" w:rsidRPr="004F4F2B">
        <w:rPr>
          <w:sz w:val="22"/>
          <w:szCs w:val="22"/>
        </w:rPr>
        <w:t>4 roky.</w:t>
      </w:r>
      <w:r w:rsidR="006D0E73" w:rsidRPr="004F4F2B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="00016AD8" w:rsidRPr="004F4F2B">
        <w:rPr>
          <w:sz w:val="22"/>
          <w:szCs w:val="22"/>
        </w:rPr>
        <w:t xml:space="preserve">d </w:t>
      </w:r>
      <w:r w:rsidR="004B7874" w:rsidRPr="004F4F2B">
        <w:rPr>
          <w:sz w:val="22"/>
          <w:szCs w:val="22"/>
        </w:rPr>
        <w:t>naplnitelných, akumulátorů</w:t>
      </w:r>
      <w:r>
        <w:rPr>
          <w:sz w:val="22"/>
          <w:szCs w:val="22"/>
        </w:rPr>
        <w:t xml:space="preserve"> (</w:t>
      </w:r>
      <w:r w:rsidRPr="004F4F2B">
        <w:rPr>
          <w:sz w:val="22"/>
          <w:szCs w:val="22"/>
        </w:rPr>
        <w:t xml:space="preserve">ať již konvenčních se zaplavenými elektrodami, nebo </w:t>
      </w:r>
      <w:proofErr w:type="gramStart"/>
      <w:r w:rsidRPr="004F4F2B">
        <w:rPr>
          <w:sz w:val="22"/>
          <w:szCs w:val="22"/>
        </w:rPr>
        <w:t>AGM</w:t>
      </w:r>
      <w:r>
        <w:rPr>
          <w:sz w:val="22"/>
          <w:szCs w:val="22"/>
        </w:rPr>
        <w:t>)navíc</w:t>
      </w:r>
      <w:proofErr w:type="gramEnd"/>
      <w:r>
        <w:rPr>
          <w:sz w:val="22"/>
          <w:szCs w:val="22"/>
        </w:rPr>
        <w:t xml:space="preserve"> čím dál více</w:t>
      </w:r>
      <w:r w:rsidR="004B7874" w:rsidRPr="004F4F2B">
        <w:rPr>
          <w:sz w:val="22"/>
          <w:szCs w:val="22"/>
        </w:rPr>
        <w:t xml:space="preserve"> vlastníc</w:t>
      </w:r>
      <w:r w:rsidR="00AC07C3" w:rsidRPr="004F4F2B">
        <w:rPr>
          <w:sz w:val="22"/>
          <w:szCs w:val="22"/>
        </w:rPr>
        <w:t xml:space="preserve">i motocyklů </w:t>
      </w:r>
      <w:r w:rsidR="004B7874" w:rsidRPr="004F4F2B">
        <w:rPr>
          <w:sz w:val="22"/>
          <w:szCs w:val="22"/>
        </w:rPr>
        <w:t>upoušt</w:t>
      </w:r>
      <w:r w:rsidR="00AC07C3" w:rsidRPr="004F4F2B">
        <w:rPr>
          <w:sz w:val="22"/>
          <w:szCs w:val="22"/>
        </w:rPr>
        <w:t xml:space="preserve">ějí </w:t>
      </w:r>
      <w:r w:rsidR="004B7874" w:rsidRPr="004F4F2B">
        <w:rPr>
          <w:sz w:val="22"/>
          <w:szCs w:val="22"/>
        </w:rPr>
        <w:t>rovněž kvůli nízkému přípustnému náklonu těchto akumulátorů (30</w:t>
      </w:r>
      <w:r w:rsidR="004C1D53" w:rsidRPr="004F4F2B">
        <w:rPr>
          <w:rStyle w:val="mw-redirectedfrom"/>
          <w:sz w:val="22"/>
          <w:szCs w:val="22"/>
        </w:rPr>
        <w:t>°</w:t>
      </w:r>
      <w:r w:rsidR="00DF2FE0" w:rsidRPr="004F4F2B">
        <w:rPr>
          <w:rStyle w:val="mw-redirectedfrom"/>
          <w:sz w:val="22"/>
          <w:szCs w:val="22"/>
        </w:rPr>
        <w:t>–</w:t>
      </w:r>
      <w:r>
        <w:rPr>
          <w:rStyle w:val="mw-redirectedfrom"/>
          <w:sz w:val="22"/>
          <w:szCs w:val="22"/>
        </w:rPr>
        <w:t xml:space="preserve"> </w:t>
      </w:r>
      <w:r w:rsidR="004B7874" w:rsidRPr="004F4F2B">
        <w:rPr>
          <w:sz w:val="22"/>
          <w:szCs w:val="22"/>
        </w:rPr>
        <w:t>45</w:t>
      </w:r>
      <w:r w:rsidR="004C1D53" w:rsidRPr="004F4F2B">
        <w:rPr>
          <w:rStyle w:val="mw-redirectedfrom"/>
          <w:sz w:val="22"/>
          <w:szCs w:val="22"/>
        </w:rPr>
        <w:t xml:space="preserve">°), </w:t>
      </w:r>
      <w:r w:rsidR="00281F40" w:rsidRPr="004F4F2B">
        <w:rPr>
          <w:sz w:val="22"/>
          <w:szCs w:val="22"/>
        </w:rPr>
        <w:t xml:space="preserve">nehledě k atraktivitě akumulátorů s elektrolytem vázaným v gelu či akumulátorů s katodami </w:t>
      </w:r>
      <w:r w:rsidR="00F86FD2" w:rsidRPr="004F4F2B">
        <w:rPr>
          <w:sz w:val="22"/>
          <w:szCs w:val="22"/>
        </w:rPr>
        <w:t xml:space="preserve">na bázi </w:t>
      </w:r>
      <w:r w:rsidR="00281F40" w:rsidRPr="004F4F2B">
        <w:rPr>
          <w:sz w:val="22"/>
          <w:szCs w:val="22"/>
        </w:rPr>
        <w:t>fosforečnan</w:t>
      </w:r>
      <w:r w:rsidR="00F86FD2" w:rsidRPr="004F4F2B">
        <w:rPr>
          <w:sz w:val="22"/>
          <w:szCs w:val="22"/>
        </w:rPr>
        <w:t>u</w:t>
      </w:r>
      <w:r w:rsidR="00281F40" w:rsidRPr="004F4F2B">
        <w:rPr>
          <w:sz w:val="22"/>
          <w:szCs w:val="22"/>
        </w:rPr>
        <w:t xml:space="preserve"> </w:t>
      </w:r>
      <w:proofErr w:type="spellStart"/>
      <w:r w:rsidR="00281F40" w:rsidRPr="004F4F2B">
        <w:rPr>
          <w:sz w:val="22"/>
          <w:szCs w:val="22"/>
        </w:rPr>
        <w:t>lit</w:t>
      </w:r>
      <w:r w:rsidR="00A01F97" w:rsidRPr="004F4F2B">
        <w:rPr>
          <w:sz w:val="22"/>
          <w:szCs w:val="22"/>
        </w:rPr>
        <w:t>hno</w:t>
      </w:r>
      <w:proofErr w:type="spellEnd"/>
      <w:r w:rsidR="00823F0F" w:rsidRPr="004F4F2B">
        <w:rPr>
          <w:sz w:val="22"/>
          <w:szCs w:val="22"/>
        </w:rPr>
        <w:noBreakHyphen/>
      </w:r>
      <w:r w:rsidR="00281F40" w:rsidRPr="004F4F2B">
        <w:rPr>
          <w:sz w:val="22"/>
          <w:szCs w:val="22"/>
        </w:rPr>
        <w:t>želez</w:t>
      </w:r>
      <w:r w:rsidR="00F86FD2" w:rsidRPr="004F4F2B">
        <w:rPr>
          <w:sz w:val="22"/>
          <w:szCs w:val="22"/>
        </w:rPr>
        <w:t>natého</w:t>
      </w:r>
      <w:r w:rsidR="00A01F97" w:rsidRPr="004F4F2B">
        <w:rPr>
          <w:sz w:val="22"/>
          <w:szCs w:val="22"/>
        </w:rPr>
        <w:t xml:space="preserve">, </w:t>
      </w:r>
      <w:proofErr w:type="spellStart"/>
      <w:r w:rsidR="00A01F97" w:rsidRPr="004F4F2B">
        <w:rPr>
          <w:sz w:val="22"/>
          <w:szCs w:val="22"/>
        </w:rPr>
        <w:t>kobaltitanu</w:t>
      </w:r>
      <w:proofErr w:type="spellEnd"/>
      <w:r w:rsidR="00A01F97" w:rsidRPr="004F4F2B">
        <w:rPr>
          <w:sz w:val="22"/>
          <w:szCs w:val="22"/>
        </w:rPr>
        <w:t xml:space="preserve"> lithného apod. (obecně lithiov</w:t>
      </w:r>
      <w:r w:rsidR="00601BB8" w:rsidRPr="004F4F2B">
        <w:rPr>
          <w:sz w:val="22"/>
          <w:szCs w:val="22"/>
        </w:rPr>
        <w:t xml:space="preserve">ých </w:t>
      </w:r>
      <w:r w:rsidR="00CB4B60" w:rsidRPr="004F4F2B">
        <w:rPr>
          <w:sz w:val="22"/>
          <w:szCs w:val="22"/>
        </w:rPr>
        <w:t>akumulátor</w:t>
      </w:r>
      <w:r w:rsidR="00601BB8" w:rsidRPr="004F4F2B">
        <w:rPr>
          <w:sz w:val="22"/>
          <w:szCs w:val="22"/>
        </w:rPr>
        <w:t>ů</w:t>
      </w:r>
      <w:r w:rsidR="00A01F97" w:rsidRPr="004F4F2B">
        <w:rPr>
          <w:sz w:val="22"/>
          <w:szCs w:val="22"/>
        </w:rPr>
        <w:t>).</w:t>
      </w:r>
      <w:r w:rsidR="00BB15A7" w:rsidRPr="004F4F2B">
        <w:rPr>
          <w:sz w:val="22"/>
          <w:szCs w:val="22"/>
        </w:rPr>
        <w:t xml:space="preserve"> </w:t>
      </w:r>
      <w:proofErr w:type="gramStart"/>
      <w:r w:rsidR="00BB15A7" w:rsidRPr="004F4F2B">
        <w:rPr>
          <w:sz w:val="22"/>
          <w:szCs w:val="22"/>
        </w:rPr>
        <w:t>Spíše</w:t>
      </w:r>
      <w:proofErr w:type="gramEnd"/>
      <w:r w:rsidR="00BB15A7" w:rsidRPr="004F4F2B">
        <w:rPr>
          <w:sz w:val="22"/>
          <w:szCs w:val="22"/>
        </w:rPr>
        <w:t xml:space="preserve"> než </w:t>
      </w:r>
      <w:r w:rsidR="00CB7342" w:rsidRPr="004F4F2B">
        <w:rPr>
          <w:sz w:val="22"/>
          <w:szCs w:val="22"/>
        </w:rPr>
        <w:t xml:space="preserve">vyšší pořizovací ceny </w:t>
      </w:r>
      <w:r w:rsidR="009A43ED" w:rsidRPr="004F4F2B">
        <w:rPr>
          <w:sz w:val="22"/>
          <w:szCs w:val="22"/>
        </w:rPr>
        <w:t xml:space="preserve">mohou </w:t>
      </w:r>
      <w:r w:rsidR="00CB7342" w:rsidRPr="004F4F2B">
        <w:rPr>
          <w:sz w:val="22"/>
          <w:szCs w:val="22"/>
        </w:rPr>
        <w:t xml:space="preserve">vlastníci </w:t>
      </w:r>
      <w:r w:rsidR="00D90C4F" w:rsidRPr="004F4F2B">
        <w:rPr>
          <w:sz w:val="22"/>
          <w:szCs w:val="22"/>
        </w:rPr>
        <w:t xml:space="preserve">(starších a velmi starých) </w:t>
      </w:r>
      <w:r w:rsidR="00CB7342" w:rsidRPr="004F4F2B">
        <w:rPr>
          <w:sz w:val="22"/>
          <w:szCs w:val="22"/>
        </w:rPr>
        <w:t xml:space="preserve">motocyklů </w:t>
      </w:r>
      <w:r w:rsidR="00D90C4F" w:rsidRPr="004F4F2B">
        <w:rPr>
          <w:sz w:val="22"/>
          <w:szCs w:val="22"/>
        </w:rPr>
        <w:t xml:space="preserve">negativně </w:t>
      </w:r>
      <w:r w:rsidR="00CB7342" w:rsidRPr="004F4F2B">
        <w:rPr>
          <w:sz w:val="22"/>
          <w:szCs w:val="22"/>
        </w:rPr>
        <w:t xml:space="preserve">vnímat </w:t>
      </w:r>
      <w:r>
        <w:rPr>
          <w:sz w:val="22"/>
          <w:szCs w:val="22"/>
        </w:rPr>
        <w:t xml:space="preserve">do budoucna toliko </w:t>
      </w:r>
      <w:r w:rsidR="00CB7342" w:rsidRPr="004F4F2B">
        <w:rPr>
          <w:sz w:val="22"/>
          <w:szCs w:val="22"/>
        </w:rPr>
        <w:t xml:space="preserve">nižší dostupnost </w:t>
      </w:r>
      <w:r w:rsidR="00D90C4F" w:rsidRPr="004F4F2B">
        <w:rPr>
          <w:sz w:val="22"/>
          <w:szCs w:val="22"/>
        </w:rPr>
        <w:t>alternativ ke konvenčním kyselinovým a</w:t>
      </w:r>
      <w:r w:rsidR="00CB7342" w:rsidRPr="004F4F2B">
        <w:rPr>
          <w:sz w:val="22"/>
          <w:szCs w:val="22"/>
        </w:rPr>
        <w:t>kumulátorů</w:t>
      </w:r>
      <w:r w:rsidR="00D90C4F" w:rsidRPr="004F4F2B">
        <w:rPr>
          <w:sz w:val="22"/>
          <w:szCs w:val="22"/>
        </w:rPr>
        <w:t>m se zaplavenými elektrodami</w:t>
      </w:r>
      <w:r w:rsidR="007E27C3" w:rsidRPr="004F4F2B">
        <w:rPr>
          <w:sz w:val="22"/>
          <w:szCs w:val="22"/>
        </w:rPr>
        <w:t xml:space="preserve"> </w:t>
      </w:r>
      <w:r w:rsidR="00CB7342" w:rsidRPr="004F4F2B">
        <w:rPr>
          <w:sz w:val="22"/>
          <w:szCs w:val="22"/>
        </w:rPr>
        <w:t>s napětím mezi elektrodami 6 V</w:t>
      </w:r>
      <w:r w:rsidR="007E27C3" w:rsidRPr="004F4F2B">
        <w:rPr>
          <w:sz w:val="22"/>
          <w:szCs w:val="22"/>
        </w:rPr>
        <w:t xml:space="preserve">. Podle konzultací však počet </w:t>
      </w:r>
      <w:r w:rsidR="00DC7721" w:rsidRPr="004F4F2B">
        <w:rPr>
          <w:sz w:val="22"/>
          <w:szCs w:val="22"/>
        </w:rPr>
        <w:t xml:space="preserve">těchto </w:t>
      </w:r>
      <w:r w:rsidR="007E27C3" w:rsidRPr="004F4F2B">
        <w:rPr>
          <w:sz w:val="22"/>
          <w:szCs w:val="22"/>
        </w:rPr>
        <w:t>prod</w:t>
      </w:r>
      <w:r w:rsidR="00002625" w:rsidRPr="004F4F2B">
        <w:rPr>
          <w:sz w:val="22"/>
          <w:szCs w:val="22"/>
        </w:rPr>
        <w:t xml:space="preserve">ávaných </w:t>
      </w:r>
      <w:r w:rsidR="007E27C3" w:rsidRPr="004F4F2B">
        <w:rPr>
          <w:sz w:val="22"/>
          <w:szCs w:val="22"/>
        </w:rPr>
        <w:t xml:space="preserve">nízkonapěťových konvenčních akumulátorů </w:t>
      </w:r>
      <w:r>
        <w:rPr>
          <w:sz w:val="22"/>
          <w:szCs w:val="22"/>
        </w:rPr>
        <w:t>není vysoký</w:t>
      </w:r>
      <w:r w:rsidR="00002625" w:rsidRPr="004F4F2B">
        <w:rPr>
          <w:sz w:val="22"/>
          <w:szCs w:val="22"/>
        </w:rPr>
        <w:t>.</w:t>
      </w:r>
    </w:p>
    <w:p w:rsidR="008E43A3" w:rsidRPr="004F4F2B" w:rsidRDefault="00E6036A" w:rsidP="00E40C96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V případě alternativy označené jako </w:t>
      </w:r>
      <w:r w:rsidR="00D24A12" w:rsidRPr="004F4F2B">
        <w:rPr>
          <w:sz w:val="22"/>
          <w:szCs w:val="22"/>
        </w:rPr>
        <w:t>„alternativní látky a směsi</w:t>
      </w:r>
      <w:r w:rsidR="002F5EDE">
        <w:rPr>
          <w:sz w:val="22"/>
          <w:szCs w:val="22"/>
        </w:rPr>
        <w:t>“</w:t>
      </w:r>
      <w:r w:rsidR="00D24A12" w:rsidRPr="004F4F2B">
        <w:rPr>
          <w:sz w:val="22"/>
          <w:szCs w:val="22"/>
        </w:rPr>
        <w:t xml:space="preserve"> (výrobky na bázi aktivního chlóru apod.)</w:t>
      </w:r>
      <w:r w:rsidR="002F5EDE">
        <w:rPr>
          <w:sz w:val="22"/>
          <w:szCs w:val="22"/>
        </w:rPr>
        <w:t>,</w:t>
      </w:r>
      <w:r w:rsidR="00D24A12" w:rsidRPr="004F4F2B">
        <w:rPr>
          <w:sz w:val="22"/>
          <w:szCs w:val="22"/>
        </w:rPr>
        <w:t xml:space="preserve"> </w:t>
      </w:r>
      <w:r w:rsidRPr="004F4F2B">
        <w:rPr>
          <w:sz w:val="22"/>
          <w:szCs w:val="22"/>
        </w:rPr>
        <w:t xml:space="preserve">lze předpokládat navýšení nákladů </w:t>
      </w:r>
      <w:r w:rsidR="008E43A3" w:rsidRPr="004F4F2B">
        <w:rPr>
          <w:sz w:val="22"/>
          <w:szCs w:val="22"/>
        </w:rPr>
        <w:t>jen v případě pořizování sofistikovaných a velmi nákladných zařízení</w:t>
      </w:r>
      <w:r w:rsidR="00DC4D85">
        <w:rPr>
          <w:sz w:val="22"/>
          <w:szCs w:val="22"/>
        </w:rPr>
        <w:t xml:space="preserve"> </w:t>
      </w:r>
      <w:r w:rsidR="008E43A3" w:rsidRPr="004F4F2B">
        <w:rPr>
          <w:sz w:val="22"/>
          <w:szCs w:val="22"/>
        </w:rPr>
        <w:t>pro alternativní úpravu vody, jako jsou zařízení pro elektrolýzu, ozonizaci apod. vody</w:t>
      </w:r>
      <w:r w:rsidR="00397472" w:rsidRPr="004F4F2B">
        <w:rPr>
          <w:sz w:val="22"/>
          <w:szCs w:val="22"/>
        </w:rPr>
        <w:t>. Drtivá většina vlastníků bazénů však nepochybně přejde, pokud ne ke zředěným roztokům peroxidu vodíků nepodléhaj</w:t>
      </w:r>
      <w:r w:rsidR="00CE50E1" w:rsidRPr="004F4F2B">
        <w:rPr>
          <w:sz w:val="22"/>
          <w:szCs w:val="22"/>
        </w:rPr>
        <w:t xml:space="preserve">ícím </w:t>
      </w:r>
      <w:r w:rsidR="00397472" w:rsidRPr="004F4F2B">
        <w:rPr>
          <w:sz w:val="22"/>
          <w:szCs w:val="22"/>
        </w:rPr>
        <w:t xml:space="preserve">regulaci, k alternativním výrobkům na bázi chlóru, resp. chlornanů, které jsou zpravidla dokonce cenově </w:t>
      </w:r>
      <w:r w:rsidR="00CE50E1" w:rsidRPr="004F4F2B">
        <w:rPr>
          <w:sz w:val="22"/>
          <w:szCs w:val="22"/>
        </w:rPr>
        <w:t>dostupnější</w:t>
      </w:r>
      <w:r w:rsidR="00397472" w:rsidRPr="004F4F2B">
        <w:rPr>
          <w:sz w:val="22"/>
          <w:szCs w:val="22"/>
        </w:rPr>
        <w:t xml:space="preserve"> než prostředky na bázi aktivního kyslíku.</w:t>
      </w:r>
    </w:p>
    <w:p w:rsidR="00B31957" w:rsidRDefault="00122B4D" w:rsidP="00E37165">
      <w:pPr>
        <w:spacing w:after="180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V případě alternativy označené jako </w:t>
      </w:r>
      <w:r w:rsidR="007B680B" w:rsidRPr="004F4F2B">
        <w:rPr>
          <w:sz w:val="22"/>
          <w:szCs w:val="22"/>
        </w:rPr>
        <w:t>„</w:t>
      </w:r>
      <w:r w:rsidRPr="004F4F2B">
        <w:rPr>
          <w:sz w:val="22"/>
          <w:szCs w:val="22"/>
        </w:rPr>
        <w:t xml:space="preserve">Alternativní modelářská paliva“ </w:t>
      </w:r>
      <w:r w:rsidR="001A424B" w:rsidRPr="004F4F2B">
        <w:rPr>
          <w:sz w:val="22"/>
          <w:szCs w:val="22"/>
        </w:rPr>
        <w:t xml:space="preserve">v některých případech </w:t>
      </w:r>
      <w:r w:rsidRPr="004F4F2B">
        <w:rPr>
          <w:sz w:val="22"/>
          <w:szCs w:val="22"/>
        </w:rPr>
        <w:t>lze</w:t>
      </w:r>
      <w:r w:rsidR="00B31957" w:rsidRPr="004F4F2B">
        <w:rPr>
          <w:sz w:val="22"/>
          <w:szCs w:val="22"/>
        </w:rPr>
        <w:t xml:space="preserve"> předpokládat zvýšení nákladů na straně osob z řad široké veřejnosti kvůli </w:t>
      </w:r>
      <w:r w:rsidR="00F25A6E" w:rsidRPr="004F4F2B">
        <w:rPr>
          <w:sz w:val="22"/>
          <w:szCs w:val="22"/>
        </w:rPr>
        <w:t>pořizování alternativ</w:t>
      </w:r>
      <w:r w:rsidR="001A424B" w:rsidRPr="004F4F2B">
        <w:rPr>
          <w:sz w:val="22"/>
          <w:szCs w:val="22"/>
        </w:rPr>
        <w:t xml:space="preserve">. Mezi alternativy </w:t>
      </w:r>
      <w:proofErr w:type="spellStart"/>
      <w:r w:rsidR="00432DB1" w:rsidRPr="004F4F2B">
        <w:rPr>
          <w:sz w:val="22"/>
          <w:szCs w:val="22"/>
        </w:rPr>
        <w:t>nitromethanu</w:t>
      </w:r>
      <w:proofErr w:type="spellEnd"/>
      <w:r w:rsidR="00432DB1" w:rsidRPr="004F4F2B">
        <w:rPr>
          <w:sz w:val="22"/>
          <w:szCs w:val="22"/>
        </w:rPr>
        <w:t xml:space="preserve"> </w:t>
      </w:r>
      <w:r w:rsidR="001A424B" w:rsidRPr="004F4F2B">
        <w:rPr>
          <w:sz w:val="22"/>
          <w:szCs w:val="22"/>
        </w:rPr>
        <w:t xml:space="preserve">lze </w:t>
      </w:r>
      <w:r w:rsidR="00F25A6E" w:rsidRPr="004F4F2B">
        <w:rPr>
          <w:sz w:val="22"/>
          <w:szCs w:val="22"/>
        </w:rPr>
        <w:t>zařadit</w:t>
      </w:r>
      <w:r w:rsidR="0064739F" w:rsidRPr="004F4F2B">
        <w:rPr>
          <w:rStyle w:val="Znakapoznpodarou"/>
          <w:sz w:val="22"/>
          <w:szCs w:val="22"/>
        </w:rPr>
        <w:footnoteReference w:customMarkFollows="1" w:id="4"/>
        <w:t>4)</w:t>
      </w:r>
      <w:r w:rsidR="00F25A6E" w:rsidRPr="004F4F2B">
        <w:rPr>
          <w:sz w:val="22"/>
          <w:szCs w:val="22"/>
        </w:rPr>
        <w:t xml:space="preserve"> např. 1</w:t>
      </w:r>
      <w:r w:rsidR="001A424B" w:rsidRPr="004F4F2B">
        <w:rPr>
          <w:sz w:val="22"/>
          <w:szCs w:val="22"/>
        </w:rPr>
        <w:noBreakHyphen/>
      </w:r>
      <w:r w:rsidR="00F25A6E" w:rsidRPr="004F4F2B">
        <w:rPr>
          <w:sz w:val="22"/>
          <w:szCs w:val="22"/>
        </w:rPr>
        <w:t>nitropropan</w:t>
      </w:r>
      <w:r w:rsidR="00DB2532" w:rsidRPr="004F4F2B">
        <w:rPr>
          <w:sz w:val="22"/>
          <w:szCs w:val="22"/>
        </w:rPr>
        <w:t xml:space="preserve"> nebo </w:t>
      </w:r>
      <w:proofErr w:type="spellStart"/>
      <w:r w:rsidR="0018485C" w:rsidRPr="004F4F2B">
        <w:rPr>
          <w:sz w:val="22"/>
          <w:szCs w:val="22"/>
        </w:rPr>
        <w:t>isopropylnitrát</w:t>
      </w:r>
      <w:proofErr w:type="spellEnd"/>
      <w:r w:rsidR="00566542" w:rsidRPr="004F4F2B">
        <w:rPr>
          <w:sz w:val="22"/>
          <w:szCs w:val="22"/>
        </w:rPr>
        <w:t>.</w:t>
      </w:r>
      <w:r w:rsidR="001A424B" w:rsidRPr="004F4F2B">
        <w:rPr>
          <w:sz w:val="22"/>
          <w:szCs w:val="22"/>
        </w:rPr>
        <w:t xml:space="preserve"> V případě 1</w:t>
      </w:r>
      <w:r w:rsidR="000C780D" w:rsidRPr="004F4F2B">
        <w:rPr>
          <w:sz w:val="22"/>
          <w:szCs w:val="22"/>
        </w:rPr>
        <w:noBreakHyphen/>
      </w:r>
      <w:r w:rsidR="001A424B" w:rsidRPr="004F4F2B">
        <w:rPr>
          <w:sz w:val="22"/>
          <w:szCs w:val="22"/>
        </w:rPr>
        <w:t xml:space="preserve">nitropropanu </w:t>
      </w:r>
      <w:r w:rsidR="00E65D3C">
        <w:rPr>
          <w:sz w:val="22"/>
          <w:szCs w:val="22"/>
        </w:rPr>
        <w:t>zvýšení ceny nehrozí</w:t>
      </w:r>
      <w:r w:rsidR="00DA38F2" w:rsidRPr="004F4F2B">
        <w:rPr>
          <w:sz w:val="22"/>
          <w:szCs w:val="22"/>
        </w:rPr>
        <w:t xml:space="preserve">, </w:t>
      </w:r>
      <w:r w:rsidR="00E65D3C">
        <w:rPr>
          <w:sz w:val="22"/>
          <w:szCs w:val="22"/>
        </w:rPr>
        <w:t>neboť</w:t>
      </w:r>
      <w:r w:rsidR="00DA38F2" w:rsidRPr="004F4F2B">
        <w:rPr>
          <w:sz w:val="22"/>
          <w:szCs w:val="22"/>
        </w:rPr>
        <w:t xml:space="preserve"> jde o vedlejší produkt výroby </w:t>
      </w:r>
      <w:proofErr w:type="spellStart"/>
      <w:r w:rsidR="00DA38F2" w:rsidRPr="004F4F2B">
        <w:rPr>
          <w:sz w:val="22"/>
          <w:szCs w:val="22"/>
        </w:rPr>
        <w:t>nitromethanu</w:t>
      </w:r>
      <w:proofErr w:type="spellEnd"/>
      <w:r w:rsidR="00DA38F2" w:rsidRPr="004F4F2B">
        <w:rPr>
          <w:sz w:val="22"/>
          <w:szCs w:val="22"/>
        </w:rPr>
        <w:t xml:space="preserve"> a jeho cena</w:t>
      </w:r>
      <w:r w:rsidR="00DE7871" w:rsidRPr="004F4F2B">
        <w:rPr>
          <w:sz w:val="22"/>
          <w:szCs w:val="22"/>
        </w:rPr>
        <w:t xml:space="preserve"> </w:t>
      </w:r>
      <w:r w:rsidR="00DA38F2" w:rsidRPr="004F4F2B">
        <w:rPr>
          <w:sz w:val="22"/>
          <w:szCs w:val="22"/>
        </w:rPr>
        <w:t xml:space="preserve">je </w:t>
      </w:r>
      <w:r w:rsidR="00D61FE9" w:rsidRPr="004F4F2B">
        <w:rPr>
          <w:sz w:val="22"/>
          <w:szCs w:val="22"/>
        </w:rPr>
        <w:t xml:space="preserve">jen o cca </w:t>
      </w:r>
      <w:r w:rsidR="00D61FE9" w:rsidRPr="004F4F2B">
        <w:rPr>
          <w:b/>
          <w:bCs/>
          <w:sz w:val="22"/>
          <w:szCs w:val="22"/>
        </w:rPr>
        <w:t>12 % vyšší</w:t>
      </w:r>
      <w:r w:rsidR="00D61FE9" w:rsidRPr="004F4F2B">
        <w:rPr>
          <w:sz w:val="22"/>
          <w:szCs w:val="22"/>
        </w:rPr>
        <w:t xml:space="preserve"> </w:t>
      </w:r>
      <w:r w:rsidR="00EC0CC7" w:rsidRPr="004F4F2B">
        <w:rPr>
          <w:sz w:val="22"/>
          <w:szCs w:val="22"/>
        </w:rPr>
        <w:t>(počítáno na jednotku hmotnosti</w:t>
      </w:r>
      <w:r w:rsidR="009B2639" w:rsidRPr="004F4F2B">
        <w:rPr>
          <w:sz w:val="22"/>
          <w:szCs w:val="22"/>
        </w:rPr>
        <w:t xml:space="preserve"> podle cen </w:t>
      </w:r>
      <w:r w:rsidR="00EC0CC7" w:rsidRPr="004F4F2B">
        <w:rPr>
          <w:sz w:val="22"/>
          <w:szCs w:val="22"/>
        </w:rPr>
        <w:t>dodavatelů laboratorních chemikálií)</w:t>
      </w:r>
      <w:r w:rsidR="00E65D3C" w:rsidRPr="004F4F2B">
        <w:rPr>
          <w:rStyle w:val="Znakapoznpodarou"/>
          <w:sz w:val="22"/>
          <w:szCs w:val="22"/>
        </w:rPr>
        <w:t xml:space="preserve"> </w:t>
      </w:r>
      <w:r w:rsidR="0064739F" w:rsidRPr="004F4F2B">
        <w:rPr>
          <w:rStyle w:val="Znakapoznpodarou"/>
          <w:sz w:val="22"/>
          <w:szCs w:val="22"/>
        </w:rPr>
        <w:footnoteReference w:customMarkFollows="1" w:id="5"/>
        <w:t>5)</w:t>
      </w:r>
      <w:r w:rsidR="00E65D3C" w:rsidRPr="00E65D3C">
        <w:rPr>
          <w:sz w:val="22"/>
          <w:szCs w:val="22"/>
        </w:rPr>
        <w:t xml:space="preserve"> </w:t>
      </w:r>
      <w:r w:rsidR="00E65D3C" w:rsidRPr="004F4F2B">
        <w:rPr>
          <w:sz w:val="22"/>
          <w:szCs w:val="22"/>
        </w:rPr>
        <w:t>.</w:t>
      </w:r>
      <w:r w:rsidR="00B154C6" w:rsidRPr="004F4F2B">
        <w:rPr>
          <w:sz w:val="22"/>
          <w:szCs w:val="22"/>
        </w:rPr>
        <w:t xml:space="preserve"> Vyšší cenu vykazuje </w:t>
      </w:r>
      <w:r w:rsidR="00E65D3C">
        <w:rPr>
          <w:sz w:val="22"/>
          <w:szCs w:val="22"/>
        </w:rPr>
        <w:t xml:space="preserve">toliko </w:t>
      </w:r>
      <w:proofErr w:type="spellStart"/>
      <w:r w:rsidR="00B154C6" w:rsidRPr="004F4F2B">
        <w:rPr>
          <w:sz w:val="22"/>
          <w:szCs w:val="22"/>
        </w:rPr>
        <w:t>isopropylnitrát</w:t>
      </w:r>
      <w:proofErr w:type="spellEnd"/>
      <w:r w:rsidR="00B154C6" w:rsidRPr="004F4F2B">
        <w:rPr>
          <w:sz w:val="22"/>
          <w:szCs w:val="22"/>
        </w:rPr>
        <w:t>, a</w:t>
      </w:r>
      <w:r w:rsidR="00563F2F" w:rsidRPr="004F4F2B">
        <w:rPr>
          <w:sz w:val="22"/>
          <w:szCs w:val="22"/>
        </w:rPr>
        <w:t> </w:t>
      </w:r>
      <w:r w:rsidR="00B154C6" w:rsidRPr="004F4F2B">
        <w:rPr>
          <w:sz w:val="22"/>
          <w:szCs w:val="22"/>
        </w:rPr>
        <w:t xml:space="preserve">to </w:t>
      </w:r>
      <w:r w:rsidR="00755ECB" w:rsidRPr="004F4F2B">
        <w:rPr>
          <w:sz w:val="22"/>
          <w:szCs w:val="22"/>
        </w:rPr>
        <w:t xml:space="preserve">kvůli nezanedbatelným cenám vstupního </w:t>
      </w:r>
      <w:proofErr w:type="spellStart"/>
      <w:r w:rsidR="00755ECB" w:rsidRPr="004F4F2B">
        <w:rPr>
          <w:sz w:val="22"/>
          <w:szCs w:val="22"/>
        </w:rPr>
        <w:t>isopropylalkoholu</w:t>
      </w:r>
      <w:proofErr w:type="spellEnd"/>
      <w:r w:rsidR="00755ECB" w:rsidRPr="004F4F2B">
        <w:rPr>
          <w:sz w:val="22"/>
          <w:szCs w:val="22"/>
        </w:rPr>
        <w:t xml:space="preserve"> pro výrobu a </w:t>
      </w:r>
      <w:r w:rsidR="00E65D3C">
        <w:rPr>
          <w:sz w:val="22"/>
          <w:szCs w:val="22"/>
        </w:rPr>
        <w:t>také</w:t>
      </w:r>
      <w:r w:rsidR="00755ECB" w:rsidRPr="004F4F2B">
        <w:rPr>
          <w:sz w:val="22"/>
          <w:szCs w:val="22"/>
        </w:rPr>
        <w:t xml:space="preserve"> kvůli </w:t>
      </w:r>
      <w:r w:rsidR="00E65D3C">
        <w:rPr>
          <w:sz w:val="22"/>
          <w:szCs w:val="22"/>
        </w:rPr>
        <w:t>omezením</w:t>
      </w:r>
      <w:r w:rsidR="00755ECB" w:rsidRPr="004F4F2B">
        <w:rPr>
          <w:sz w:val="22"/>
          <w:szCs w:val="22"/>
        </w:rPr>
        <w:t xml:space="preserve"> při</w:t>
      </w:r>
      <w:r w:rsidR="00E65D3C">
        <w:rPr>
          <w:sz w:val="22"/>
          <w:szCs w:val="22"/>
        </w:rPr>
        <w:t xml:space="preserve"> jeho</w:t>
      </w:r>
      <w:r w:rsidR="00755ECB" w:rsidRPr="004F4F2B">
        <w:rPr>
          <w:sz w:val="22"/>
          <w:szCs w:val="22"/>
        </w:rPr>
        <w:t xml:space="preserve"> výrobě.</w:t>
      </w:r>
      <w:r w:rsidR="008628BB" w:rsidRPr="004F4F2B">
        <w:rPr>
          <w:sz w:val="22"/>
          <w:szCs w:val="22"/>
        </w:rPr>
        <w:t xml:space="preserve"> </w:t>
      </w:r>
      <w:r w:rsidR="00E65D3C">
        <w:rPr>
          <w:sz w:val="22"/>
          <w:szCs w:val="22"/>
        </w:rPr>
        <w:t>I v</w:t>
      </w:r>
      <w:r w:rsidR="008628BB" w:rsidRPr="004F4F2B">
        <w:rPr>
          <w:sz w:val="22"/>
          <w:szCs w:val="22"/>
        </w:rPr>
        <w:t xml:space="preserve"> tom případě </w:t>
      </w:r>
      <w:r w:rsidR="00E65D3C">
        <w:rPr>
          <w:sz w:val="22"/>
          <w:szCs w:val="22"/>
        </w:rPr>
        <w:t>však</w:t>
      </w:r>
      <w:r w:rsidR="008628BB" w:rsidRPr="004F4F2B">
        <w:rPr>
          <w:sz w:val="22"/>
          <w:szCs w:val="22"/>
        </w:rPr>
        <w:t xml:space="preserve"> nárůst nákladů </w:t>
      </w:r>
      <w:r w:rsidR="00E65D3C">
        <w:rPr>
          <w:sz w:val="22"/>
          <w:szCs w:val="22"/>
        </w:rPr>
        <w:t>není extrémní</w:t>
      </w:r>
      <w:r w:rsidR="00F7050F" w:rsidRPr="004F4F2B">
        <w:rPr>
          <w:sz w:val="22"/>
          <w:szCs w:val="22"/>
        </w:rPr>
        <w:t>.</w:t>
      </w:r>
      <w:r w:rsidR="008628BB" w:rsidRPr="004F4F2B">
        <w:rPr>
          <w:sz w:val="22"/>
          <w:szCs w:val="22"/>
        </w:rPr>
        <w:t xml:space="preserve"> Údaje o cenách dodavatelů uvádí následující tabulka.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580"/>
        <w:gridCol w:w="2410"/>
        <w:gridCol w:w="1417"/>
        <w:gridCol w:w="1128"/>
      </w:tblGrid>
      <w:tr w:rsidR="00EF0E89" w:rsidRPr="004F4F2B" w:rsidTr="00E40C96">
        <w:trPr>
          <w:trHeight w:hRule="exact" w:val="454"/>
        </w:trPr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:rsidR="00EF0E89" w:rsidRPr="004F4F2B" w:rsidRDefault="00EF0E89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lastRenderedPageBreak/>
              <w:t>Látka</w:t>
            </w:r>
          </w:p>
        </w:tc>
        <w:tc>
          <w:tcPr>
            <w:tcW w:w="6407" w:type="dxa"/>
            <w:gridSpan w:val="3"/>
            <w:shd w:val="clear" w:color="auto" w:fill="D9D9D9" w:themeFill="background1" w:themeFillShade="D9"/>
            <w:vAlign w:val="center"/>
          </w:tcPr>
          <w:p w:rsidR="00EF0E89" w:rsidRPr="004F4F2B" w:rsidRDefault="00EF0E89" w:rsidP="00265FF5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 xml:space="preserve">Dodavatel, </w:t>
            </w:r>
            <w:r w:rsidR="00A42973" w:rsidRPr="004F4F2B">
              <w:rPr>
                <w:sz w:val="16"/>
                <w:szCs w:val="16"/>
              </w:rPr>
              <w:t xml:space="preserve">běžně </w:t>
            </w:r>
            <w:r w:rsidRPr="004F4F2B">
              <w:rPr>
                <w:sz w:val="16"/>
                <w:szCs w:val="16"/>
              </w:rPr>
              <w:t>největší dostupné balení a jeho cena</w:t>
            </w:r>
          </w:p>
          <w:p w:rsidR="00EF0E89" w:rsidRPr="004F4F2B" w:rsidRDefault="00EF0E89" w:rsidP="00265FF5">
            <w:pPr>
              <w:tabs>
                <w:tab w:val="left" w:pos="1843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(</w:t>
            </w:r>
            <w:r w:rsidR="00C74C43" w:rsidRPr="004F4F2B">
              <w:rPr>
                <w:i/>
                <w:iCs/>
                <w:sz w:val="16"/>
                <w:szCs w:val="16"/>
              </w:rPr>
              <w:t xml:space="preserve">v případě cizí měny </w:t>
            </w:r>
            <w:r w:rsidRPr="004F4F2B">
              <w:rPr>
                <w:i/>
                <w:iCs/>
                <w:sz w:val="16"/>
                <w:szCs w:val="16"/>
              </w:rPr>
              <w:t>přepočítáno na Kč podle kurzu devizového trhu ČNB)</w:t>
            </w:r>
          </w:p>
        </w:tc>
        <w:tc>
          <w:tcPr>
            <w:tcW w:w="1128" w:type="dxa"/>
            <w:vMerge w:val="restart"/>
            <w:shd w:val="clear" w:color="auto" w:fill="D9D9D9" w:themeFill="background1" w:themeFillShade="D9"/>
            <w:vAlign w:val="center"/>
          </w:tcPr>
          <w:p w:rsidR="00D46C88" w:rsidRPr="004F4F2B" w:rsidRDefault="00EF0E89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Střední cena</w:t>
            </w:r>
          </w:p>
          <w:p w:rsidR="00EF0E89" w:rsidRPr="004F4F2B" w:rsidRDefault="00EF0E89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za 1 kg</w:t>
            </w:r>
          </w:p>
          <w:p w:rsidR="009E7038" w:rsidRPr="004F4F2B" w:rsidRDefault="009E7038" w:rsidP="008B6FAC">
            <w:pPr>
              <w:tabs>
                <w:tab w:val="left" w:pos="1843"/>
              </w:tabs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(čisté látky)</w:t>
            </w:r>
          </w:p>
        </w:tc>
      </w:tr>
      <w:tr w:rsidR="00EF4DC2" w:rsidRPr="004F4F2B" w:rsidTr="00E40C96">
        <w:trPr>
          <w:trHeight w:hRule="exact" w:val="611"/>
        </w:trPr>
        <w:tc>
          <w:tcPr>
            <w:tcW w:w="1985" w:type="dxa"/>
            <w:vMerge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</w:p>
        </w:tc>
        <w:tc>
          <w:tcPr>
            <w:tcW w:w="2580" w:type="dxa"/>
            <w:shd w:val="clear" w:color="auto" w:fill="F2F2F2" w:themeFill="background1" w:themeFillShade="F2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proofErr w:type="spellStart"/>
            <w:r w:rsidRPr="004F4F2B">
              <w:rPr>
                <w:sz w:val="16"/>
                <w:szCs w:val="16"/>
              </w:rPr>
              <w:t>Merck</w:t>
            </w:r>
            <w:proofErr w:type="spellEnd"/>
            <w:r w:rsidRPr="004F4F2B">
              <w:rPr>
                <w:sz w:val="16"/>
                <w:szCs w:val="16"/>
              </w:rPr>
              <w:t> </w:t>
            </w:r>
            <w:proofErr w:type="spellStart"/>
            <w:r w:rsidRPr="004F4F2B">
              <w:rPr>
                <w:sz w:val="16"/>
                <w:szCs w:val="16"/>
              </w:rPr>
              <w:t>KGaA</w:t>
            </w:r>
            <w:proofErr w:type="spellEnd"/>
            <w:r w:rsidR="00410E0C" w:rsidRPr="004F4F2B">
              <w:rPr>
                <w:sz w:val="16"/>
                <w:szCs w:val="16"/>
              </w:rPr>
              <w:t>,</w:t>
            </w:r>
          </w:p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Sigma-</w:t>
            </w:r>
            <w:proofErr w:type="spellStart"/>
            <w:r w:rsidRPr="004F4F2B">
              <w:rPr>
                <w:sz w:val="16"/>
                <w:szCs w:val="16"/>
              </w:rPr>
              <w:t>Aldrich</w:t>
            </w:r>
            <w:proofErr w:type="spellEnd"/>
            <w:r w:rsidRPr="004F4F2B">
              <w:rPr>
                <w:sz w:val="16"/>
                <w:szCs w:val="16"/>
              </w:rPr>
              <w:t>, Inc.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proofErr w:type="spellStart"/>
            <w:r w:rsidRPr="004F4F2B">
              <w:rPr>
                <w:sz w:val="16"/>
                <w:szCs w:val="16"/>
              </w:rPr>
              <w:t>Thermo</w:t>
            </w:r>
            <w:proofErr w:type="spellEnd"/>
            <w:r w:rsidRPr="004F4F2B">
              <w:rPr>
                <w:sz w:val="16"/>
                <w:szCs w:val="16"/>
              </w:rPr>
              <w:t xml:space="preserve"> </w:t>
            </w:r>
            <w:proofErr w:type="spellStart"/>
            <w:r w:rsidRPr="004F4F2B">
              <w:rPr>
                <w:sz w:val="16"/>
                <w:szCs w:val="16"/>
              </w:rPr>
              <w:t>Fisher</w:t>
            </w:r>
            <w:proofErr w:type="spellEnd"/>
            <w:r w:rsidRPr="004F4F2B">
              <w:rPr>
                <w:sz w:val="16"/>
                <w:szCs w:val="16"/>
              </w:rPr>
              <w:t xml:space="preserve"> </w:t>
            </w:r>
            <w:proofErr w:type="spellStart"/>
            <w:r w:rsidRPr="004F4F2B">
              <w:rPr>
                <w:sz w:val="16"/>
                <w:szCs w:val="16"/>
              </w:rPr>
              <w:t>Scientific</w:t>
            </w:r>
            <w:proofErr w:type="spellEnd"/>
            <w:r w:rsidRPr="004F4F2B">
              <w:rPr>
                <w:sz w:val="16"/>
                <w:szCs w:val="16"/>
              </w:rPr>
              <w:t xml:space="preserve"> Inc.</w:t>
            </w:r>
            <w:r w:rsidR="00410E0C" w:rsidRPr="004F4F2B">
              <w:rPr>
                <w:sz w:val="16"/>
                <w:szCs w:val="16"/>
              </w:rPr>
              <w:t>,</w:t>
            </w:r>
          </w:p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proofErr w:type="spellStart"/>
            <w:r w:rsidRPr="004F4F2B">
              <w:rPr>
                <w:rFonts w:eastAsiaTheme="minorHAnsi"/>
                <w:sz w:val="16"/>
                <w:szCs w:val="16"/>
                <w:lang w:eastAsia="en-US"/>
              </w:rPr>
              <w:t>Acros</w:t>
            </w:r>
            <w:proofErr w:type="spellEnd"/>
            <w:r w:rsidRPr="004F4F2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F4F2B">
              <w:rPr>
                <w:rFonts w:eastAsiaTheme="minorHAnsi"/>
                <w:sz w:val="16"/>
                <w:szCs w:val="16"/>
                <w:lang w:eastAsia="en-US"/>
              </w:rPr>
              <w:t>Organics</w:t>
            </w:r>
            <w:proofErr w:type="spellEnd"/>
            <w:r w:rsidRPr="004F4F2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F4F2B">
              <w:rPr>
                <w:rFonts w:eastAsiaTheme="minorHAnsi"/>
                <w:sz w:val="16"/>
                <w:szCs w:val="16"/>
                <w:lang w:eastAsia="en-US"/>
              </w:rPr>
              <w:t>b.v.b.a</w:t>
            </w:r>
            <w:proofErr w:type="spellEnd"/>
            <w:r w:rsidRPr="004F4F2B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proofErr w:type="spellStart"/>
            <w:r w:rsidRPr="004F4F2B">
              <w:rPr>
                <w:sz w:val="16"/>
                <w:szCs w:val="16"/>
              </w:rPr>
              <w:t>abcr</w:t>
            </w:r>
            <w:proofErr w:type="spellEnd"/>
            <w:r w:rsidRPr="004F4F2B">
              <w:rPr>
                <w:sz w:val="16"/>
                <w:szCs w:val="16"/>
              </w:rPr>
              <w:t xml:space="preserve"> </w:t>
            </w:r>
            <w:proofErr w:type="spellStart"/>
            <w:r w:rsidRPr="004F4F2B">
              <w:rPr>
                <w:sz w:val="16"/>
                <w:szCs w:val="16"/>
              </w:rPr>
              <w:t>GmbH</w:t>
            </w:r>
            <w:proofErr w:type="spellEnd"/>
          </w:p>
        </w:tc>
        <w:tc>
          <w:tcPr>
            <w:tcW w:w="1128" w:type="dxa"/>
            <w:vMerge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</w:p>
        </w:tc>
      </w:tr>
      <w:tr w:rsidR="00EF4DC2" w:rsidRPr="004F4F2B" w:rsidTr="00E40C96">
        <w:trPr>
          <w:trHeight w:hRule="exact" w:val="454"/>
        </w:trPr>
        <w:tc>
          <w:tcPr>
            <w:tcW w:w="1985" w:type="dxa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proofErr w:type="spellStart"/>
            <w:r w:rsidRPr="004F4F2B">
              <w:rPr>
                <w:sz w:val="16"/>
                <w:szCs w:val="16"/>
              </w:rPr>
              <w:t>Nitromethan</w:t>
            </w:r>
            <w:proofErr w:type="spellEnd"/>
          </w:p>
        </w:tc>
        <w:tc>
          <w:tcPr>
            <w:tcW w:w="2580" w:type="dxa"/>
            <w:vAlign w:val="center"/>
          </w:tcPr>
          <w:p w:rsidR="00EF4DC2" w:rsidRPr="004F4F2B" w:rsidRDefault="00EF4DC2" w:rsidP="008401DD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98 %, 1 000 ml</w:t>
            </w:r>
          </w:p>
          <w:p w:rsidR="00EF4DC2" w:rsidRPr="004F4F2B" w:rsidRDefault="00EF4DC2" w:rsidP="008401DD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2 860 Kč</w:t>
            </w:r>
          </w:p>
        </w:tc>
        <w:tc>
          <w:tcPr>
            <w:tcW w:w="2410" w:type="dxa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98 %, 2 500 g</w:t>
            </w:r>
          </w:p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2 981 Kč</w:t>
            </w:r>
          </w:p>
        </w:tc>
        <w:tc>
          <w:tcPr>
            <w:tcW w:w="1417" w:type="dxa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98 %, 500 ml</w:t>
            </w:r>
          </w:p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1 703 Kč</w:t>
            </w:r>
          </w:p>
        </w:tc>
        <w:tc>
          <w:tcPr>
            <w:tcW w:w="1128" w:type="dxa"/>
            <w:vAlign w:val="center"/>
          </w:tcPr>
          <w:p w:rsidR="00EF4DC2" w:rsidRPr="004F4F2B" w:rsidRDefault="00EF4DC2" w:rsidP="009426A4">
            <w:pPr>
              <w:tabs>
                <w:tab w:val="left" w:pos="1843"/>
              </w:tabs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2 </w:t>
            </w:r>
            <w:r w:rsidR="00B7663B" w:rsidRPr="004F4F2B">
              <w:rPr>
                <w:sz w:val="16"/>
                <w:szCs w:val="16"/>
              </w:rPr>
              <w:t>2</w:t>
            </w:r>
            <w:r w:rsidRPr="004F4F2B">
              <w:rPr>
                <w:sz w:val="16"/>
                <w:szCs w:val="16"/>
              </w:rPr>
              <w:t>8</w:t>
            </w:r>
            <w:r w:rsidR="00275D7C" w:rsidRPr="004F4F2B">
              <w:rPr>
                <w:sz w:val="16"/>
                <w:szCs w:val="16"/>
              </w:rPr>
              <w:t>4</w:t>
            </w:r>
            <w:r w:rsidRPr="004F4F2B">
              <w:rPr>
                <w:sz w:val="16"/>
                <w:szCs w:val="16"/>
              </w:rPr>
              <w:t> Kč</w:t>
            </w:r>
          </w:p>
        </w:tc>
      </w:tr>
      <w:tr w:rsidR="00EF4DC2" w:rsidRPr="004F4F2B" w:rsidTr="00E40C96">
        <w:trPr>
          <w:trHeight w:hRule="exact" w:val="454"/>
        </w:trPr>
        <w:tc>
          <w:tcPr>
            <w:tcW w:w="1985" w:type="dxa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1-Nitropropan</w:t>
            </w:r>
          </w:p>
        </w:tc>
        <w:tc>
          <w:tcPr>
            <w:tcW w:w="2580" w:type="dxa"/>
            <w:vAlign w:val="center"/>
          </w:tcPr>
          <w:p w:rsidR="00EF4DC2" w:rsidRPr="004F4F2B" w:rsidRDefault="00EF4DC2" w:rsidP="00793B0D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98 %, 1 000 ml</w:t>
            </w:r>
          </w:p>
          <w:p w:rsidR="00EF4DC2" w:rsidRPr="004F4F2B" w:rsidRDefault="00EF4DC2" w:rsidP="00793B0D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2 500 Kč</w:t>
            </w:r>
          </w:p>
        </w:tc>
        <w:tc>
          <w:tcPr>
            <w:tcW w:w="2410" w:type="dxa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98 %, 500 g</w:t>
            </w:r>
          </w:p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1 623 Kč</w:t>
            </w:r>
          </w:p>
        </w:tc>
        <w:tc>
          <w:tcPr>
            <w:tcW w:w="1417" w:type="dxa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98 %, 500 g</w:t>
            </w:r>
          </w:p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890 Kč</w:t>
            </w:r>
          </w:p>
        </w:tc>
        <w:tc>
          <w:tcPr>
            <w:tcW w:w="1128" w:type="dxa"/>
            <w:vAlign w:val="center"/>
          </w:tcPr>
          <w:p w:rsidR="00EF4DC2" w:rsidRPr="004F4F2B" w:rsidRDefault="00EF4DC2" w:rsidP="009426A4">
            <w:pPr>
              <w:tabs>
                <w:tab w:val="left" w:pos="1843"/>
              </w:tabs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2 </w:t>
            </w:r>
            <w:r w:rsidR="00812E9E" w:rsidRPr="004F4F2B">
              <w:rPr>
                <w:sz w:val="16"/>
                <w:szCs w:val="16"/>
              </w:rPr>
              <w:t>56</w:t>
            </w:r>
            <w:r w:rsidR="00D61FE9" w:rsidRPr="004F4F2B">
              <w:rPr>
                <w:sz w:val="16"/>
                <w:szCs w:val="16"/>
              </w:rPr>
              <w:t>0</w:t>
            </w:r>
            <w:r w:rsidRPr="004F4F2B">
              <w:rPr>
                <w:sz w:val="16"/>
                <w:szCs w:val="16"/>
              </w:rPr>
              <w:t> Kč</w:t>
            </w:r>
          </w:p>
        </w:tc>
      </w:tr>
      <w:tr w:rsidR="00EF4DC2" w:rsidRPr="004F4F2B" w:rsidTr="00E40C96">
        <w:trPr>
          <w:trHeight w:hRule="exact" w:val="454"/>
        </w:trPr>
        <w:tc>
          <w:tcPr>
            <w:tcW w:w="1985" w:type="dxa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proofErr w:type="spellStart"/>
            <w:r w:rsidRPr="004F4F2B">
              <w:rPr>
                <w:sz w:val="16"/>
                <w:szCs w:val="16"/>
              </w:rPr>
              <w:t>Isopropylnitrát</w:t>
            </w:r>
            <w:proofErr w:type="spellEnd"/>
            <w:r w:rsidR="00F231BB" w:rsidRPr="004F4F2B">
              <w:rPr>
                <w:sz w:val="16"/>
                <w:szCs w:val="16"/>
              </w:rPr>
              <w:t>*</w:t>
            </w:r>
          </w:p>
        </w:tc>
        <w:tc>
          <w:tcPr>
            <w:tcW w:w="2580" w:type="dxa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98 %, 500 ml</w:t>
            </w:r>
          </w:p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1 602 Kč</w:t>
            </w:r>
          </w:p>
        </w:tc>
        <w:tc>
          <w:tcPr>
            <w:tcW w:w="2410" w:type="dxa"/>
            <w:vAlign w:val="center"/>
          </w:tcPr>
          <w:p w:rsidR="00EF4DC2" w:rsidRPr="004F4F2B" w:rsidRDefault="008F4ADD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1417" w:type="dxa"/>
            <w:vAlign w:val="center"/>
          </w:tcPr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98 %, 500 g</w:t>
            </w:r>
          </w:p>
          <w:p w:rsidR="00EF4DC2" w:rsidRPr="004F4F2B" w:rsidRDefault="00EF4DC2" w:rsidP="008B6FAC">
            <w:pPr>
              <w:tabs>
                <w:tab w:val="left" w:pos="184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4 032 Kč</w:t>
            </w:r>
          </w:p>
        </w:tc>
        <w:tc>
          <w:tcPr>
            <w:tcW w:w="1128" w:type="dxa"/>
            <w:vAlign w:val="center"/>
          </w:tcPr>
          <w:p w:rsidR="00EF4DC2" w:rsidRPr="004F4F2B" w:rsidRDefault="00EF4DC2" w:rsidP="009426A4">
            <w:pPr>
              <w:tabs>
                <w:tab w:val="left" w:pos="1843"/>
              </w:tabs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5 655 Kč</w:t>
            </w:r>
          </w:p>
        </w:tc>
      </w:tr>
    </w:tbl>
    <w:p w:rsidR="00E83754" w:rsidRPr="004F4F2B" w:rsidRDefault="00E83754" w:rsidP="00E40C96">
      <w:pPr>
        <w:tabs>
          <w:tab w:val="left" w:pos="567"/>
        </w:tabs>
        <w:spacing w:after="120"/>
        <w:jc w:val="both"/>
        <w:rPr>
          <w:sz w:val="16"/>
          <w:szCs w:val="16"/>
        </w:rPr>
      </w:pPr>
      <w:r w:rsidRPr="004F4F2B">
        <w:rPr>
          <w:sz w:val="16"/>
          <w:szCs w:val="16"/>
        </w:rPr>
        <w:t>*)</w:t>
      </w:r>
      <w:r w:rsidRPr="004F4F2B">
        <w:rPr>
          <w:sz w:val="16"/>
          <w:szCs w:val="16"/>
        </w:rPr>
        <w:tab/>
        <w:t xml:space="preserve">Jde o hypotetickou cenu pro účely srovnání; čistý </w:t>
      </w:r>
      <w:proofErr w:type="spellStart"/>
      <w:r w:rsidRPr="004F4F2B">
        <w:rPr>
          <w:sz w:val="16"/>
          <w:szCs w:val="16"/>
        </w:rPr>
        <w:t>isopropylnitrát</w:t>
      </w:r>
      <w:proofErr w:type="spellEnd"/>
      <w:r w:rsidRPr="004F4F2B">
        <w:rPr>
          <w:sz w:val="16"/>
          <w:szCs w:val="16"/>
        </w:rPr>
        <w:t xml:space="preserve"> </w:t>
      </w:r>
      <w:r w:rsidR="00A476AF" w:rsidRPr="004F4F2B">
        <w:rPr>
          <w:sz w:val="16"/>
          <w:szCs w:val="16"/>
        </w:rPr>
        <w:t xml:space="preserve">za určitých podmínek </w:t>
      </w:r>
      <w:r w:rsidRPr="004F4F2B">
        <w:rPr>
          <w:sz w:val="16"/>
          <w:szCs w:val="16"/>
        </w:rPr>
        <w:t>může spadat pod třídu 1 ve smyslu přílohy A k Evropské dohodě o mezinárodní silniční přepravě nebezpečných věcí a takto nemusí být k dispozici kvůli r</w:t>
      </w:r>
      <w:r w:rsidR="00E8018A">
        <w:rPr>
          <w:sz w:val="16"/>
          <w:szCs w:val="16"/>
        </w:rPr>
        <w:t>egulaci</w:t>
      </w:r>
      <w:r w:rsidR="00383894" w:rsidRPr="004F4F2B">
        <w:rPr>
          <w:sz w:val="16"/>
          <w:szCs w:val="16"/>
        </w:rPr>
        <w:t xml:space="preserve"> </w:t>
      </w:r>
      <w:r w:rsidR="00E8018A">
        <w:rPr>
          <w:sz w:val="16"/>
          <w:szCs w:val="16"/>
        </w:rPr>
        <w:t>stanovené na</w:t>
      </w:r>
      <w:r w:rsidR="00383894" w:rsidRPr="004F4F2B">
        <w:rPr>
          <w:sz w:val="16"/>
          <w:szCs w:val="16"/>
        </w:rPr>
        <w:t xml:space="preserve"> </w:t>
      </w:r>
      <w:r w:rsidR="00E8018A">
        <w:rPr>
          <w:sz w:val="16"/>
          <w:szCs w:val="16"/>
        </w:rPr>
        <w:t>všechny</w:t>
      </w:r>
      <w:r w:rsidR="00383894" w:rsidRPr="004F4F2B">
        <w:rPr>
          <w:sz w:val="16"/>
          <w:szCs w:val="16"/>
        </w:rPr>
        <w:t xml:space="preserve"> výbušniny.</w:t>
      </w:r>
    </w:p>
    <w:p w:rsidR="00923631" w:rsidRPr="004F4F2B" w:rsidRDefault="004F1E18" w:rsidP="00E40C96">
      <w:pPr>
        <w:spacing w:before="240"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Proti budoucímu používání </w:t>
      </w:r>
      <w:proofErr w:type="spellStart"/>
      <w:proofErr w:type="gramStart"/>
      <w:r w:rsidRPr="004F4F2B">
        <w:rPr>
          <w:sz w:val="22"/>
          <w:szCs w:val="22"/>
        </w:rPr>
        <w:t>nitromethanu</w:t>
      </w:r>
      <w:proofErr w:type="spellEnd"/>
      <w:proofErr w:type="gramEnd"/>
      <w:r w:rsidRPr="004F4F2B">
        <w:rPr>
          <w:sz w:val="22"/>
          <w:szCs w:val="22"/>
        </w:rPr>
        <w:t xml:space="preserve"> a naopak pro prodej alternativ nicméně hovoří</w:t>
      </w:r>
      <w:r w:rsidR="00913847">
        <w:rPr>
          <w:sz w:val="22"/>
          <w:szCs w:val="22"/>
        </w:rPr>
        <w:t xml:space="preserve"> z hlediska ekologie</w:t>
      </w:r>
      <w:r w:rsidRPr="004F4F2B">
        <w:rPr>
          <w:sz w:val="22"/>
          <w:szCs w:val="22"/>
        </w:rPr>
        <w:t xml:space="preserve"> i</w:t>
      </w:r>
      <w:r w:rsidR="00087D03">
        <w:rPr>
          <w:sz w:val="22"/>
          <w:szCs w:val="22"/>
        </w:rPr>
        <w:t> </w:t>
      </w:r>
      <w:r w:rsidRPr="004F4F2B">
        <w:rPr>
          <w:sz w:val="22"/>
          <w:szCs w:val="22"/>
        </w:rPr>
        <w:t>toxicita</w:t>
      </w:r>
      <w:r w:rsidR="00913847">
        <w:rPr>
          <w:sz w:val="22"/>
          <w:szCs w:val="22"/>
        </w:rPr>
        <w:t xml:space="preserve"> </w:t>
      </w:r>
      <w:proofErr w:type="spellStart"/>
      <w:r w:rsidR="00913847" w:rsidRPr="004F4F2B">
        <w:rPr>
          <w:sz w:val="22"/>
          <w:szCs w:val="22"/>
        </w:rPr>
        <w:t>nitromethanu</w:t>
      </w:r>
      <w:proofErr w:type="spellEnd"/>
      <w:r w:rsidRPr="004F4F2B">
        <w:rPr>
          <w:sz w:val="22"/>
          <w:szCs w:val="22"/>
        </w:rPr>
        <w:t>. Mezinárodní agentura pro výzkum rakoviny při Světové zdravotnické organizaci jej totiž již v roce 2000</w:t>
      </w:r>
      <w:r w:rsidR="00D71FC2" w:rsidRPr="004F4F2B">
        <w:rPr>
          <w:rStyle w:val="Znakapoznpodarou"/>
          <w:sz w:val="22"/>
          <w:szCs w:val="22"/>
        </w:rPr>
        <w:footnoteReference w:customMarkFollows="1" w:id="6"/>
        <w:t>6)</w:t>
      </w:r>
      <w:r w:rsidRPr="004F4F2B">
        <w:rPr>
          <w:sz w:val="22"/>
          <w:szCs w:val="22"/>
        </w:rPr>
        <w:t xml:space="preserve"> zařadila mezi potenciálně karcinogenní (kat. </w:t>
      </w:r>
      <w:proofErr w:type="gramStart"/>
      <w:r w:rsidRPr="004F4F2B">
        <w:rPr>
          <w:sz w:val="22"/>
          <w:szCs w:val="22"/>
        </w:rPr>
        <w:t>2B</w:t>
      </w:r>
      <w:proofErr w:type="gramEnd"/>
      <w:r w:rsidRPr="004F4F2B">
        <w:rPr>
          <w:sz w:val="22"/>
          <w:szCs w:val="22"/>
        </w:rPr>
        <w:t>).</w:t>
      </w:r>
      <w:r w:rsidR="00E65A7A" w:rsidRPr="004F4F2B">
        <w:rPr>
          <w:sz w:val="22"/>
          <w:szCs w:val="22"/>
        </w:rPr>
        <w:t xml:space="preserve"> </w:t>
      </w:r>
      <w:proofErr w:type="gramStart"/>
      <w:r w:rsidR="00E65A7A" w:rsidRPr="004F4F2B">
        <w:rPr>
          <w:sz w:val="22"/>
          <w:szCs w:val="22"/>
        </w:rPr>
        <w:t>Spíše</w:t>
      </w:r>
      <w:proofErr w:type="gramEnd"/>
      <w:r w:rsidR="00E65A7A" w:rsidRPr="004F4F2B">
        <w:rPr>
          <w:sz w:val="22"/>
          <w:szCs w:val="22"/>
        </w:rPr>
        <w:t xml:space="preserve"> než vyššími náklady se tedy budou osoby z řad široké veřejnosti potýkat s</w:t>
      </w:r>
      <w:r w:rsidR="005A7DEF" w:rsidRPr="004F4F2B">
        <w:rPr>
          <w:sz w:val="22"/>
          <w:szCs w:val="22"/>
        </w:rPr>
        <w:t xml:space="preserve"> případnými </w:t>
      </w:r>
      <w:r w:rsidR="00E65A7A" w:rsidRPr="004F4F2B">
        <w:rPr>
          <w:sz w:val="22"/>
          <w:szCs w:val="22"/>
        </w:rPr>
        <w:t>méně vhodnějšími vlastnostmi alternativ</w:t>
      </w:r>
      <w:r w:rsidR="00D71FC2" w:rsidRPr="004F4F2B">
        <w:rPr>
          <w:rStyle w:val="Znakapoznpodarou"/>
          <w:sz w:val="22"/>
          <w:szCs w:val="22"/>
        </w:rPr>
        <w:footnoteReference w:customMarkFollows="1" w:id="7"/>
        <w:t>7)</w:t>
      </w:r>
      <w:r w:rsidR="00913847" w:rsidRPr="00913847">
        <w:rPr>
          <w:sz w:val="22"/>
          <w:szCs w:val="22"/>
        </w:rPr>
        <w:t xml:space="preserve"> </w:t>
      </w:r>
      <w:r w:rsidR="00913847" w:rsidRPr="004F4F2B">
        <w:rPr>
          <w:sz w:val="22"/>
          <w:szCs w:val="22"/>
        </w:rPr>
        <w:t>,</w:t>
      </w:r>
      <w:r w:rsidR="00E65A7A" w:rsidRPr="004F4F2B">
        <w:rPr>
          <w:sz w:val="22"/>
          <w:szCs w:val="22"/>
        </w:rPr>
        <w:t xml:space="preserve"> </w:t>
      </w:r>
      <w:r w:rsidR="00DE4CB9" w:rsidRPr="004F4F2B">
        <w:rPr>
          <w:sz w:val="22"/>
          <w:szCs w:val="22"/>
        </w:rPr>
        <w:t xml:space="preserve">což </w:t>
      </w:r>
      <w:r w:rsidR="00913847">
        <w:rPr>
          <w:sz w:val="22"/>
          <w:szCs w:val="22"/>
        </w:rPr>
        <w:t>by však nemělo představovat</w:t>
      </w:r>
      <w:r w:rsidR="00DE4CB9" w:rsidRPr="004F4F2B">
        <w:rPr>
          <w:sz w:val="22"/>
          <w:szCs w:val="22"/>
        </w:rPr>
        <w:t xml:space="preserve"> </w:t>
      </w:r>
      <w:r w:rsidR="00913847">
        <w:rPr>
          <w:sz w:val="22"/>
          <w:szCs w:val="22"/>
        </w:rPr>
        <w:t>závažný</w:t>
      </w:r>
      <w:r w:rsidR="00DE4CB9" w:rsidRPr="004F4F2B">
        <w:rPr>
          <w:sz w:val="22"/>
          <w:szCs w:val="22"/>
        </w:rPr>
        <w:t xml:space="preserve"> problém.</w:t>
      </w:r>
    </w:p>
    <w:p w:rsidR="007868AF" w:rsidRPr="004F4F2B" w:rsidRDefault="007868AF" w:rsidP="00E40C96">
      <w:pPr>
        <w:spacing w:after="120"/>
        <w:jc w:val="both"/>
        <w:rPr>
          <w:sz w:val="22"/>
          <w:szCs w:val="22"/>
          <w:u w:val="single"/>
        </w:rPr>
      </w:pPr>
      <w:r w:rsidRPr="004F4F2B">
        <w:rPr>
          <w:sz w:val="22"/>
          <w:szCs w:val="22"/>
          <w:u w:val="single"/>
        </w:rPr>
        <w:t>Náklady varianty II</w:t>
      </w:r>
    </w:p>
    <w:p w:rsidR="00EB2F29" w:rsidRPr="004F4F2B" w:rsidRDefault="00EB2F29" w:rsidP="00E40C96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Varianta II přinese hospodářským subjektům náklady v podobě zvýšené administrativy spojené se zpřístupňováním prekurzorů výbušnin podléhajících omezení osobám z řad široké veřejnosti. Podle čl. 8 přímo použitelného nařízení 2019/1148 bud</w:t>
      </w:r>
      <w:r w:rsidR="007A1A64" w:rsidRPr="004F4F2B">
        <w:rPr>
          <w:sz w:val="22"/>
          <w:szCs w:val="22"/>
        </w:rPr>
        <w:t>ou</w:t>
      </w:r>
      <w:r w:rsidRPr="004F4F2B">
        <w:rPr>
          <w:sz w:val="22"/>
          <w:szCs w:val="22"/>
        </w:rPr>
        <w:t xml:space="preserve"> v prvé řadě muset ověřit totožnost nakupující osoby a ověřit </w:t>
      </w:r>
      <w:r w:rsidR="007A1A64" w:rsidRPr="004F4F2B">
        <w:rPr>
          <w:sz w:val="22"/>
          <w:szCs w:val="22"/>
        </w:rPr>
        <w:t xml:space="preserve">platnost </w:t>
      </w:r>
      <w:r w:rsidRPr="004F4F2B">
        <w:rPr>
          <w:sz w:val="22"/>
          <w:szCs w:val="22"/>
        </w:rPr>
        <w:t>povolení (lze předpokládat, že byt tak bylo činěno dotazem skrze online formulář na principu hit/no hit). Dále bud</w:t>
      </w:r>
      <w:r w:rsidR="00C86849" w:rsidRPr="004F4F2B">
        <w:rPr>
          <w:sz w:val="22"/>
          <w:szCs w:val="22"/>
        </w:rPr>
        <w:t>ou</w:t>
      </w:r>
      <w:r w:rsidRPr="004F4F2B">
        <w:rPr>
          <w:sz w:val="22"/>
          <w:szCs w:val="22"/>
        </w:rPr>
        <w:t xml:space="preserve"> muset </w:t>
      </w:r>
      <w:r w:rsidR="00DD5D85" w:rsidRPr="004F4F2B">
        <w:rPr>
          <w:sz w:val="22"/>
          <w:szCs w:val="22"/>
        </w:rPr>
        <w:t xml:space="preserve">v povolení této osoby zaznamenat </w:t>
      </w:r>
      <w:r w:rsidR="00E424E0" w:rsidRPr="004F4F2B">
        <w:rPr>
          <w:sz w:val="22"/>
          <w:szCs w:val="22"/>
        </w:rPr>
        <w:t xml:space="preserve">údaje o každém zpřístupnění </w:t>
      </w:r>
      <w:r w:rsidR="007C1ED8" w:rsidRPr="004F4F2B">
        <w:rPr>
          <w:sz w:val="22"/>
          <w:szCs w:val="22"/>
        </w:rPr>
        <w:t xml:space="preserve">prekurzoru výbušnin podléhajícího omezení </w:t>
      </w:r>
      <w:r w:rsidR="00E424E0" w:rsidRPr="004F4F2B">
        <w:rPr>
          <w:sz w:val="22"/>
          <w:szCs w:val="22"/>
        </w:rPr>
        <w:t xml:space="preserve">(tj. datum transakce, množství výrobku, místo prodeje apod.), </w:t>
      </w:r>
      <w:r w:rsidR="00382310" w:rsidRPr="004F4F2B">
        <w:rPr>
          <w:sz w:val="22"/>
          <w:szCs w:val="22"/>
        </w:rPr>
        <w:t>tytéž</w:t>
      </w:r>
      <w:r w:rsidR="00E424E0" w:rsidRPr="004F4F2B">
        <w:rPr>
          <w:sz w:val="22"/>
          <w:szCs w:val="22"/>
        </w:rPr>
        <w:t xml:space="preserve"> za</w:t>
      </w:r>
      <w:r w:rsidR="00CE7BDF" w:rsidRPr="004F4F2B">
        <w:rPr>
          <w:sz w:val="22"/>
          <w:szCs w:val="22"/>
        </w:rPr>
        <w:t>znamenat</w:t>
      </w:r>
      <w:r w:rsidR="00DC4D85">
        <w:rPr>
          <w:sz w:val="22"/>
          <w:szCs w:val="22"/>
        </w:rPr>
        <w:t xml:space="preserve"> </w:t>
      </w:r>
      <w:r w:rsidR="00CE7BDF" w:rsidRPr="004F4F2B">
        <w:rPr>
          <w:sz w:val="22"/>
          <w:szCs w:val="22"/>
        </w:rPr>
        <w:t>do vlastních registrů a tyto záznamy uchovávat po dobu 18 měsíců ode dne uskutečnění transakce.</w:t>
      </w:r>
      <w:r w:rsidR="00DC4D85">
        <w:rPr>
          <w:sz w:val="22"/>
          <w:szCs w:val="22"/>
        </w:rPr>
        <w:t xml:space="preserve"> </w:t>
      </w:r>
      <w:r w:rsidR="00CE7BDF" w:rsidRPr="004F4F2B">
        <w:rPr>
          <w:sz w:val="22"/>
          <w:szCs w:val="22"/>
        </w:rPr>
        <w:t>Při neuvažování nákladů na posledně zmíněné uchovávání záznamů</w:t>
      </w:r>
      <w:r w:rsidR="00382310" w:rsidRPr="004F4F2B">
        <w:rPr>
          <w:sz w:val="22"/>
          <w:szCs w:val="22"/>
        </w:rPr>
        <w:t xml:space="preserve"> </w:t>
      </w:r>
      <w:r w:rsidR="00CE7BDF" w:rsidRPr="004F4F2B">
        <w:rPr>
          <w:sz w:val="22"/>
          <w:szCs w:val="22"/>
        </w:rPr>
        <w:t xml:space="preserve">(typicky </w:t>
      </w:r>
      <w:r w:rsidR="00382310" w:rsidRPr="004F4F2B">
        <w:rPr>
          <w:sz w:val="22"/>
          <w:szCs w:val="22"/>
        </w:rPr>
        <w:t xml:space="preserve">v jednoduchém formátu v </w:t>
      </w:r>
      <w:r w:rsidR="00CE7BDF" w:rsidRPr="004F4F2B">
        <w:rPr>
          <w:sz w:val="22"/>
          <w:szCs w:val="22"/>
        </w:rPr>
        <w:t>listinné podobě)</w:t>
      </w:r>
      <w:r w:rsidR="00C86849" w:rsidRPr="004F4F2B">
        <w:rPr>
          <w:sz w:val="22"/>
          <w:szCs w:val="22"/>
        </w:rPr>
        <w:t xml:space="preserve"> </w:t>
      </w:r>
      <w:r w:rsidR="00B3778D" w:rsidRPr="004F4F2B">
        <w:rPr>
          <w:sz w:val="22"/>
          <w:szCs w:val="22"/>
        </w:rPr>
        <w:t xml:space="preserve">sumarizuje odhadované náklady hospodářských subjektů následující tabulka, přičemž pro zjednodušení </w:t>
      </w:r>
      <w:r w:rsidR="00C41845" w:rsidRPr="004F4F2B">
        <w:rPr>
          <w:sz w:val="22"/>
          <w:szCs w:val="22"/>
        </w:rPr>
        <w:t xml:space="preserve">byl uvažován </w:t>
      </w:r>
      <w:r w:rsidR="00A30A17" w:rsidRPr="004F4F2B">
        <w:rPr>
          <w:sz w:val="22"/>
          <w:szCs w:val="22"/>
        </w:rPr>
        <w:t xml:space="preserve">prodej </w:t>
      </w:r>
      <w:r w:rsidR="00C41845" w:rsidRPr="004F4F2B">
        <w:rPr>
          <w:sz w:val="22"/>
          <w:szCs w:val="22"/>
        </w:rPr>
        <w:t>nejčastěji nakupovan</w:t>
      </w:r>
      <w:r w:rsidR="00A30A17" w:rsidRPr="004F4F2B">
        <w:rPr>
          <w:sz w:val="22"/>
          <w:szCs w:val="22"/>
        </w:rPr>
        <w:t xml:space="preserve">ého </w:t>
      </w:r>
      <w:r w:rsidR="00C41845" w:rsidRPr="004F4F2B">
        <w:rPr>
          <w:sz w:val="22"/>
          <w:szCs w:val="22"/>
        </w:rPr>
        <w:t>prekurzor</w:t>
      </w:r>
      <w:r w:rsidR="00A30A17" w:rsidRPr="004F4F2B">
        <w:rPr>
          <w:sz w:val="22"/>
          <w:szCs w:val="22"/>
        </w:rPr>
        <w:t>u</w:t>
      </w:r>
      <w:r w:rsidR="00C41845" w:rsidRPr="004F4F2B">
        <w:rPr>
          <w:sz w:val="22"/>
          <w:szCs w:val="22"/>
        </w:rPr>
        <w:t xml:space="preserve"> výbušnin podléhající</w:t>
      </w:r>
      <w:r w:rsidR="00A30A17" w:rsidRPr="004F4F2B">
        <w:rPr>
          <w:sz w:val="22"/>
          <w:szCs w:val="22"/>
        </w:rPr>
        <w:t>ho</w:t>
      </w:r>
      <w:r w:rsidR="00C41845" w:rsidRPr="004F4F2B">
        <w:rPr>
          <w:sz w:val="22"/>
          <w:szCs w:val="22"/>
        </w:rPr>
        <w:t xml:space="preserve"> omezení</w:t>
      </w:r>
      <w:r w:rsidR="00382310" w:rsidRPr="004F4F2B">
        <w:rPr>
          <w:sz w:val="22"/>
          <w:szCs w:val="22"/>
        </w:rPr>
        <w:t>, tj. </w:t>
      </w:r>
      <w:r w:rsidR="00C41845" w:rsidRPr="004F4F2B">
        <w:rPr>
          <w:sz w:val="22"/>
          <w:szCs w:val="22"/>
        </w:rPr>
        <w:t>1 l</w:t>
      </w:r>
      <w:r w:rsidR="00382310" w:rsidRPr="004F4F2B">
        <w:rPr>
          <w:sz w:val="22"/>
          <w:szCs w:val="22"/>
        </w:rPr>
        <w:t> </w:t>
      </w:r>
      <w:r w:rsidR="00121394" w:rsidRPr="004F4F2B">
        <w:rPr>
          <w:sz w:val="22"/>
          <w:szCs w:val="22"/>
        </w:rPr>
        <w:t xml:space="preserve">30–35 % hm. </w:t>
      </w:r>
      <w:r w:rsidR="00C41845" w:rsidRPr="004F4F2B">
        <w:rPr>
          <w:sz w:val="22"/>
          <w:szCs w:val="22"/>
        </w:rPr>
        <w:t>peroxidu vodíku.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417"/>
        <w:gridCol w:w="1447"/>
        <w:gridCol w:w="1559"/>
        <w:gridCol w:w="1417"/>
      </w:tblGrid>
      <w:tr w:rsidR="009F4D22" w:rsidRPr="004F4F2B" w:rsidTr="00E40C96">
        <w:trPr>
          <w:trHeight w:hRule="exact"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9F4D22" w:rsidRPr="004F4F2B" w:rsidRDefault="009F4D22" w:rsidP="009F4D2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Úkon</w:t>
            </w:r>
          </w:p>
          <w:p w:rsidR="009F4D22" w:rsidRPr="004F4F2B" w:rsidRDefault="009F4D22" w:rsidP="009F4D2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 xml:space="preserve">(připadající na prodej </w:t>
            </w:r>
            <w:r w:rsidR="00BE180B" w:rsidRPr="004F4F2B">
              <w:rPr>
                <w:sz w:val="16"/>
                <w:szCs w:val="16"/>
              </w:rPr>
              <w:t xml:space="preserve">balení </w:t>
            </w:r>
            <w:r w:rsidRPr="004F4F2B">
              <w:rPr>
                <w:sz w:val="16"/>
                <w:szCs w:val="16"/>
              </w:rPr>
              <w:t xml:space="preserve">1 l peroxidu vodíku </w:t>
            </w:r>
            <w:r w:rsidR="007F0AE4" w:rsidRPr="004F4F2B">
              <w:rPr>
                <w:sz w:val="16"/>
                <w:szCs w:val="16"/>
              </w:rPr>
              <w:t>30-</w:t>
            </w:r>
            <w:r w:rsidRPr="004F4F2B">
              <w:rPr>
                <w:sz w:val="16"/>
                <w:szCs w:val="16"/>
              </w:rPr>
              <w:t>35 % hm.)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4D22" w:rsidRPr="004F4F2B" w:rsidRDefault="009F4D22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Hodinový tarif</w:t>
            </w:r>
            <w:r w:rsidR="0009118E" w:rsidRPr="004F4F2B">
              <w:rPr>
                <w:sz w:val="16"/>
                <w:szCs w:val="16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4D22" w:rsidRPr="004F4F2B" w:rsidRDefault="009F4D22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Potřebný čas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4D22" w:rsidRPr="004F4F2B" w:rsidRDefault="0026220D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N</w:t>
            </w:r>
            <w:r w:rsidR="009F4D22" w:rsidRPr="004F4F2B">
              <w:rPr>
                <w:sz w:val="16"/>
                <w:szCs w:val="16"/>
              </w:rPr>
              <w:t>áklady na úkon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4D22" w:rsidRPr="004F4F2B" w:rsidRDefault="009F4D22" w:rsidP="0045016B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Celk</w:t>
            </w:r>
            <w:r w:rsidR="0045016B" w:rsidRPr="004F4F2B">
              <w:rPr>
                <w:sz w:val="16"/>
                <w:szCs w:val="16"/>
              </w:rPr>
              <w:t>ové náklady</w:t>
            </w:r>
          </w:p>
        </w:tc>
      </w:tr>
      <w:tr w:rsidR="0009118E" w:rsidRPr="004F4F2B" w:rsidTr="00E40C96">
        <w:trPr>
          <w:trHeight w:hRule="exact" w:val="3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Ověření platnosti povolení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192D21" w:rsidP="00065C50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247 </w:t>
            </w:r>
            <w:r w:rsidR="0009118E" w:rsidRPr="004F4F2B">
              <w:rPr>
                <w:sz w:val="16"/>
                <w:szCs w:val="16"/>
              </w:rPr>
              <w:t>Kč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734449" w:rsidP="00C441AD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</w:t>
            </w:r>
            <w:r w:rsidR="0009118E" w:rsidRPr="004F4F2B">
              <w:rPr>
                <w:sz w:val="16"/>
                <w:szCs w:val="16"/>
              </w:rPr>
              <w:t> min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734449" w:rsidP="00065C50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8</w:t>
            </w:r>
            <w:r w:rsidR="0009118E" w:rsidRPr="004F4F2B">
              <w:rPr>
                <w:sz w:val="16"/>
                <w:szCs w:val="16"/>
              </w:rPr>
              <w:t> Kč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E27C39" w:rsidP="00065C50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36 </w:t>
            </w:r>
            <w:r w:rsidR="0009118E" w:rsidRPr="004F4F2B">
              <w:rPr>
                <w:sz w:val="16"/>
                <w:szCs w:val="16"/>
              </w:rPr>
              <w:t>Kč</w:t>
            </w:r>
          </w:p>
        </w:tc>
      </w:tr>
      <w:tr w:rsidR="0009118E" w:rsidRPr="004F4F2B" w:rsidTr="00E40C96">
        <w:trPr>
          <w:trHeight w:hRule="exact" w:val="3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Ověření totožnosti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065C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825636" w:rsidP="00C441AD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</w:t>
            </w:r>
            <w:r w:rsidR="0045016B" w:rsidRPr="004F4F2B">
              <w:rPr>
                <w:sz w:val="16"/>
                <w:szCs w:val="16"/>
              </w:rPr>
              <w:t> </w:t>
            </w:r>
            <w:r w:rsidR="0009118E" w:rsidRPr="004F4F2B">
              <w:rPr>
                <w:sz w:val="16"/>
                <w:szCs w:val="16"/>
              </w:rPr>
              <w:t>min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745A79" w:rsidP="00065C50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4</w:t>
            </w:r>
            <w:r w:rsidR="0009118E" w:rsidRPr="004F4F2B">
              <w:rPr>
                <w:sz w:val="16"/>
                <w:szCs w:val="16"/>
              </w:rPr>
              <w:t> Kč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065C50">
            <w:pPr>
              <w:jc w:val="right"/>
              <w:rPr>
                <w:sz w:val="16"/>
                <w:szCs w:val="16"/>
              </w:rPr>
            </w:pPr>
          </w:p>
        </w:tc>
      </w:tr>
      <w:tr w:rsidR="0009118E" w:rsidRPr="004F4F2B" w:rsidTr="00E40C96">
        <w:trPr>
          <w:trHeight w:hRule="exact"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Zaznamenání údajů o transakci do povolení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065C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E27C39" w:rsidP="00C441AD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3</w:t>
            </w:r>
            <w:r w:rsidR="0009118E" w:rsidRPr="004F4F2B">
              <w:rPr>
                <w:sz w:val="16"/>
                <w:szCs w:val="16"/>
              </w:rPr>
              <w:t> min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745A79" w:rsidP="00065C50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</w:t>
            </w:r>
            <w:r w:rsidR="00E27C39" w:rsidRPr="004F4F2B">
              <w:rPr>
                <w:sz w:val="16"/>
                <w:szCs w:val="16"/>
              </w:rPr>
              <w:t>2</w:t>
            </w:r>
            <w:r w:rsidR="0009118E" w:rsidRPr="004F4F2B">
              <w:rPr>
                <w:sz w:val="16"/>
                <w:szCs w:val="16"/>
              </w:rPr>
              <w:t> Kč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065C50">
            <w:pPr>
              <w:jc w:val="right"/>
              <w:rPr>
                <w:sz w:val="16"/>
                <w:szCs w:val="16"/>
              </w:rPr>
            </w:pPr>
          </w:p>
        </w:tc>
      </w:tr>
      <w:tr w:rsidR="0009118E" w:rsidRPr="004F4F2B" w:rsidTr="00E40C96">
        <w:trPr>
          <w:trHeight w:hRule="exact"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Zaznamenání údajů o transakci do vnitřních registrů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065C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E27C39" w:rsidP="00C441AD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3</w:t>
            </w:r>
            <w:r w:rsidR="0009118E" w:rsidRPr="004F4F2B">
              <w:rPr>
                <w:sz w:val="16"/>
                <w:szCs w:val="16"/>
              </w:rPr>
              <w:t> min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E27C39" w:rsidP="00065C50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12</w:t>
            </w:r>
            <w:r w:rsidR="0009118E" w:rsidRPr="004F4F2B">
              <w:rPr>
                <w:sz w:val="16"/>
                <w:szCs w:val="16"/>
              </w:rPr>
              <w:t> Kč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E" w:rsidRPr="004F4F2B" w:rsidRDefault="0009118E" w:rsidP="00065C50">
            <w:pPr>
              <w:jc w:val="right"/>
              <w:rPr>
                <w:sz w:val="16"/>
                <w:szCs w:val="16"/>
              </w:rPr>
            </w:pPr>
          </w:p>
        </w:tc>
      </w:tr>
    </w:tbl>
    <w:p w:rsidR="0009118E" w:rsidRPr="004F4F2B" w:rsidRDefault="00C441AD" w:rsidP="00E40C96">
      <w:pPr>
        <w:tabs>
          <w:tab w:val="left" w:pos="426"/>
        </w:tabs>
        <w:spacing w:after="240"/>
        <w:jc w:val="both"/>
        <w:rPr>
          <w:bCs/>
          <w:sz w:val="16"/>
          <w:szCs w:val="16"/>
        </w:rPr>
      </w:pPr>
      <w:r w:rsidRPr="004F4F2B">
        <w:rPr>
          <w:sz w:val="16"/>
          <w:szCs w:val="16"/>
        </w:rPr>
        <w:t>*)</w:t>
      </w:r>
      <w:r w:rsidR="0009118E" w:rsidRPr="004F4F2B">
        <w:rPr>
          <w:sz w:val="16"/>
          <w:szCs w:val="16"/>
        </w:rPr>
        <w:tab/>
        <w:t xml:space="preserve">Částka odpovídá průměrné měsíční mzdě v odvětví „velkoobchod a maloobchod“ </w:t>
      </w:r>
      <w:r w:rsidR="006143EB" w:rsidRPr="004F4F2B">
        <w:rPr>
          <w:sz w:val="16"/>
          <w:szCs w:val="16"/>
        </w:rPr>
        <w:t xml:space="preserve">(30 973 Kč) </w:t>
      </w:r>
      <w:r w:rsidR="0009118E" w:rsidRPr="004F4F2B">
        <w:rPr>
          <w:sz w:val="16"/>
          <w:szCs w:val="16"/>
        </w:rPr>
        <w:t xml:space="preserve">podle údajů Českého statistického úřadu </w:t>
      </w:r>
      <w:r w:rsidR="002D33F5" w:rsidRPr="004F4F2B">
        <w:rPr>
          <w:sz w:val="16"/>
          <w:szCs w:val="16"/>
        </w:rPr>
        <w:t>za 1. čtvrtletí 2019</w:t>
      </w:r>
      <w:r w:rsidR="002D33F5" w:rsidRPr="004F4F2B">
        <w:rPr>
          <w:bCs/>
          <w:sz w:val="16"/>
          <w:szCs w:val="16"/>
        </w:rPr>
        <w:t xml:space="preserve"> </w:t>
      </w:r>
      <w:r w:rsidR="0009118E" w:rsidRPr="004F4F2B">
        <w:rPr>
          <w:bCs/>
          <w:sz w:val="16"/>
          <w:szCs w:val="16"/>
        </w:rPr>
        <w:t>(</w:t>
      </w:r>
      <w:r w:rsidR="0009118E" w:rsidRPr="004F4F2B">
        <w:rPr>
          <w:sz w:val="16"/>
          <w:szCs w:val="16"/>
        </w:rPr>
        <w:t>https://vdb.czso.cz/vdbvo2</w:t>
      </w:r>
      <w:r w:rsidR="0009118E" w:rsidRPr="004F4F2B">
        <w:rPr>
          <w:bCs/>
          <w:sz w:val="16"/>
          <w:szCs w:val="16"/>
        </w:rPr>
        <w:t>), přepočítané na mzdové náklady při zohlednění 8hodinové pracovní dob</w:t>
      </w:r>
      <w:r w:rsidR="008C736C" w:rsidRPr="004F4F2B">
        <w:rPr>
          <w:bCs/>
          <w:sz w:val="16"/>
          <w:szCs w:val="16"/>
        </w:rPr>
        <w:t>y</w:t>
      </w:r>
      <w:r w:rsidR="0009118E" w:rsidRPr="004F4F2B">
        <w:rPr>
          <w:bCs/>
          <w:sz w:val="16"/>
          <w:szCs w:val="16"/>
        </w:rPr>
        <w:t xml:space="preserve"> a</w:t>
      </w:r>
      <w:r w:rsidR="006143EB" w:rsidRPr="004F4F2B">
        <w:rPr>
          <w:bCs/>
          <w:sz w:val="16"/>
          <w:szCs w:val="16"/>
        </w:rPr>
        <w:t> </w:t>
      </w:r>
      <w:r w:rsidR="0009118E" w:rsidRPr="004F4F2B">
        <w:rPr>
          <w:bCs/>
          <w:sz w:val="16"/>
          <w:szCs w:val="16"/>
        </w:rPr>
        <w:t>hypotetických 168 pracovních hodin v</w:t>
      </w:r>
      <w:r w:rsidR="006143EB" w:rsidRPr="004F4F2B">
        <w:rPr>
          <w:bCs/>
          <w:sz w:val="16"/>
          <w:szCs w:val="16"/>
        </w:rPr>
        <w:t> </w:t>
      </w:r>
      <w:r w:rsidR="0009118E" w:rsidRPr="004F4F2B">
        <w:rPr>
          <w:bCs/>
          <w:sz w:val="16"/>
          <w:szCs w:val="16"/>
        </w:rPr>
        <w:t>měsíci</w:t>
      </w:r>
      <w:r w:rsidR="006143EB" w:rsidRPr="004F4F2B">
        <w:rPr>
          <w:bCs/>
          <w:sz w:val="16"/>
          <w:szCs w:val="16"/>
        </w:rPr>
        <w:t xml:space="preserve"> (41 443 Kč)</w:t>
      </w:r>
      <w:r w:rsidR="00C610B4" w:rsidRPr="004F4F2B">
        <w:rPr>
          <w:bCs/>
          <w:sz w:val="16"/>
          <w:szCs w:val="16"/>
        </w:rPr>
        <w:t>.</w:t>
      </w:r>
    </w:p>
    <w:p w:rsidR="00EB2F29" w:rsidRPr="004F4F2B" w:rsidRDefault="00C441AD" w:rsidP="00E40C96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I když se výše odhadovaných nákladů zdá zanedbatelná, nutno si uvědomit </w:t>
      </w:r>
      <w:r w:rsidR="0094783B" w:rsidRPr="004F4F2B">
        <w:rPr>
          <w:sz w:val="22"/>
          <w:szCs w:val="22"/>
        </w:rPr>
        <w:t>že zpravidla převyšuje čistý zisk hospodářských subjektů z každého takového prodaného výrobku.</w:t>
      </w:r>
      <w:r w:rsidR="00662A23" w:rsidRPr="004F4F2B">
        <w:rPr>
          <w:sz w:val="22"/>
          <w:szCs w:val="22"/>
        </w:rPr>
        <w:t xml:space="preserve"> </w:t>
      </w:r>
      <w:r w:rsidR="00180241" w:rsidRPr="004F4F2B">
        <w:rPr>
          <w:sz w:val="22"/>
          <w:szCs w:val="22"/>
        </w:rPr>
        <w:t>Podle údajů EUROSTATu</w:t>
      </w:r>
      <w:r w:rsidR="00D71FC2" w:rsidRPr="004F4F2B">
        <w:rPr>
          <w:rStyle w:val="Znakapoznpodarou"/>
          <w:sz w:val="22"/>
          <w:szCs w:val="22"/>
        </w:rPr>
        <w:footnoteReference w:customMarkFollows="1" w:id="8"/>
        <w:t>8)</w:t>
      </w:r>
      <w:r w:rsidR="00180241" w:rsidRPr="004F4F2B">
        <w:rPr>
          <w:sz w:val="22"/>
          <w:szCs w:val="22"/>
        </w:rPr>
        <w:t xml:space="preserve"> bylo v kalendářním roce 2018 do České republiky dovezeno 18 000 890 kg</w:t>
      </w:r>
      <w:r w:rsidR="00C4561C" w:rsidRPr="004F4F2B">
        <w:rPr>
          <w:sz w:val="22"/>
          <w:szCs w:val="22"/>
        </w:rPr>
        <w:t xml:space="preserve"> peroxidu vodíku, vyrobeno 29 559 kg a vyvezeno 264 211 kg. </w:t>
      </w:r>
      <w:r w:rsidR="001B3355" w:rsidRPr="004F4F2B">
        <w:rPr>
          <w:sz w:val="22"/>
          <w:szCs w:val="22"/>
        </w:rPr>
        <w:t>Při zjednodušení (bez uvažování zásob) lze dovodit, že na území České republiky bylo spotřebováno (prodáno a použito) 17 766 238 kg</w:t>
      </w:r>
      <w:r w:rsidR="00134A55" w:rsidRPr="004F4F2B">
        <w:rPr>
          <w:sz w:val="22"/>
          <w:szCs w:val="22"/>
        </w:rPr>
        <w:t xml:space="preserve">. </w:t>
      </w:r>
      <w:r w:rsidR="00DE5448" w:rsidRPr="004F4F2B">
        <w:rPr>
          <w:sz w:val="22"/>
          <w:szCs w:val="22"/>
        </w:rPr>
        <w:t xml:space="preserve">Pokud budou použity uvedené odhady v </w:t>
      </w:r>
      <w:r w:rsidR="00DE5448" w:rsidRPr="004F4F2B">
        <w:rPr>
          <w:rFonts w:eastAsiaTheme="minorHAnsi"/>
          <w:sz w:val="22"/>
          <w:szCs w:val="22"/>
          <w:lang w:eastAsia="en-US"/>
        </w:rPr>
        <w:t xml:space="preserve">hodnocení dopadů k návrhu nařízení Evropského parlamentu a Rady o prekurzorech výbušnin, totiž že prodej peroxidu vodíku osobám z řad široké veřejnosti zaujímá </w:t>
      </w:r>
      <w:r w:rsidR="00CD50FC" w:rsidRPr="004F4F2B">
        <w:rPr>
          <w:rFonts w:eastAsiaTheme="minorHAnsi"/>
          <w:sz w:val="22"/>
          <w:szCs w:val="22"/>
          <w:lang w:eastAsia="en-US"/>
        </w:rPr>
        <w:t xml:space="preserve">do </w:t>
      </w:r>
      <w:r w:rsidR="00DE5448" w:rsidRPr="004F4F2B">
        <w:rPr>
          <w:rFonts w:eastAsiaTheme="minorHAnsi"/>
          <w:sz w:val="22"/>
          <w:szCs w:val="22"/>
          <w:lang w:eastAsia="en-US"/>
        </w:rPr>
        <w:t>2 % celkového použitého a prodaného množství</w:t>
      </w:r>
      <w:r w:rsidR="00CD50FC" w:rsidRPr="004F4F2B">
        <w:rPr>
          <w:rFonts w:eastAsiaTheme="minorHAnsi"/>
          <w:sz w:val="22"/>
          <w:szCs w:val="22"/>
          <w:lang w:eastAsia="en-US"/>
        </w:rPr>
        <w:t xml:space="preserve">, </w:t>
      </w:r>
      <w:r w:rsidR="00DE5448" w:rsidRPr="004F4F2B">
        <w:rPr>
          <w:rFonts w:eastAsiaTheme="minorHAnsi"/>
          <w:sz w:val="22"/>
          <w:szCs w:val="22"/>
          <w:lang w:eastAsia="en-US"/>
        </w:rPr>
        <w:t xml:space="preserve">pak lze dovodit, že </w:t>
      </w:r>
      <w:r w:rsidR="007D22E5" w:rsidRPr="004F4F2B">
        <w:rPr>
          <w:rFonts w:eastAsiaTheme="minorHAnsi"/>
          <w:sz w:val="22"/>
          <w:szCs w:val="22"/>
          <w:lang w:eastAsia="en-US"/>
        </w:rPr>
        <w:t xml:space="preserve">cca </w:t>
      </w:r>
      <w:r w:rsidR="00CD50FC" w:rsidRPr="004F4F2B">
        <w:rPr>
          <w:rFonts w:eastAsiaTheme="minorHAnsi"/>
          <w:sz w:val="22"/>
          <w:szCs w:val="22"/>
          <w:lang w:eastAsia="en-US"/>
        </w:rPr>
        <w:t>355 325 </w:t>
      </w:r>
      <w:r w:rsidR="0094042F" w:rsidRPr="004F4F2B">
        <w:rPr>
          <w:rFonts w:eastAsiaTheme="minorHAnsi"/>
          <w:sz w:val="22"/>
          <w:szCs w:val="22"/>
          <w:lang w:eastAsia="en-US"/>
        </w:rPr>
        <w:t xml:space="preserve">kg </w:t>
      </w:r>
      <w:r w:rsidR="007D22E5" w:rsidRPr="004F4F2B">
        <w:rPr>
          <w:rFonts w:eastAsiaTheme="minorHAnsi"/>
          <w:sz w:val="22"/>
          <w:szCs w:val="22"/>
          <w:lang w:eastAsia="en-US"/>
        </w:rPr>
        <w:t>j</w:t>
      </w:r>
      <w:r w:rsidR="00B84BC0" w:rsidRPr="004F4F2B">
        <w:rPr>
          <w:rFonts w:eastAsiaTheme="minorHAnsi"/>
          <w:sz w:val="22"/>
          <w:szCs w:val="22"/>
          <w:lang w:eastAsia="en-US"/>
        </w:rPr>
        <w:t xml:space="preserve">e zpřístupňováno </w:t>
      </w:r>
      <w:r w:rsidR="007D22E5" w:rsidRPr="004F4F2B">
        <w:rPr>
          <w:rFonts w:eastAsiaTheme="minorHAnsi"/>
          <w:sz w:val="22"/>
          <w:szCs w:val="22"/>
          <w:lang w:eastAsia="en-US"/>
        </w:rPr>
        <w:t xml:space="preserve">osobám z řad široké veřejnosti. </w:t>
      </w:r>
      <w:r w:rsidR="00B84BC0" w:rsidRPr="004F4F2B">
        <w:rPr>
          <w:rFonts w:eastAsiaTheme="minorHAnsi"/>
          <w:sz w:val="22"/>
          <w:szCs w:val="22"/>
          <w:lang w:eastAsia="en-US"/>
        </w:rPr>
        <w:t xml:space="preserve">Při zjednodušené úvaze, </w:t>
      </w:r>
      <w:r w:rsidR="0093632D" w:rsidRPr="004F4F2B">
        <w:rPr>
          <w:rFonts w:eastAsiaTheme="minorHAnsi"/>
          <w:sz w:val="22"/>
          <w:szCs w:val="22"/>
          <w:lang w:eastAsia="en-US"/>
        </w:rPr>
        <w:t xml:space="preserve">že dvě třetiny </w:t>
      </w:r>
      <w:r w:rsidR="0093632D" w:rsidRPr="004F4F2B">
        <w:rPr>
          <w:rFonts w:eastAsiaTheme="minorHAnsi"/>
          <w:sz w:val="22"/>
          <w:szCs w:val="22"/>
          <w:lang w:eastAsia="en-US"/>
        </w:rPr>
        <w:lastRenderedPageBreak/>
        <w:t xml:space="preserve">této hmotnosti je zpřístupňováno ve formě </w:t>
      </w:r>
      <w:r w:rsidR="00E2563C" w:rsidRPr="004F4F2B">
        <w:rPr>
          <w:rFonts w:eastAsiaTheme="minorHAnsi"/>
          <w:sz w:val="22"/>
          <w:szCs w:val="22"/>
          <w:lang w:eastAsia="en-US"/>
        </w:rPr>
        <w:t xml:space="preserve">roztoků o obsahu </w:t>
      </w:r>
      <w:r w:rsidR="00CA6F1B" w:rsidRPr="004F4F2B">
        <w:rPr>
          <w:rFonts w:eastAsiaTheme="minorHAnsi"/>
          <w:sz w:val="22"/>
          <w:szCs w:val="22"/>
          <w:lang w:eastAsia="en-US"/>
        </w:rPr>
        <w:t>35 % </w:t>
      </w:r>
      <w:r w:rsidR="00E2563C" w:rsidRPr="004F4F2B">
        <w:rPr>
          <w:rFonts w:eastAsiaTheme="minorHAnsi"/>
          <w:sz w:val="22"/>
          <w:szCs w:val="22"/>
          <w:lang w:eastAsia="en-US"/>
        </w:rPr>
        <w:t xml:space="preserve">hm., a to ve formě 1 000ml balení </w:t>
      </w:r>
      <w:r w:rsidR="00806744" w:rsidRPr="004F4F2B">
        <w:rPr>
          <w:rFonts w:eastAsiaTheme="minorHAnsi"/>
          <w:sz w:val="22"/>
          <w:szCs w:val="22"/>
          <w:lang w:eastAsia="en-US"/>
        </w:rPr>
        <w:t>(a jedna třetina ve formě 12% roztoků, které regulaci nepodléhají)</w:t>
      </w:r>
      <w:r w:rsidR="00AC21C1" w:rsidRPr="004F4F2B">
        <w:rPr>
          <w:rFonts w:eastAsiaTheme="minorHAnsi"/>
          <w:sz w:val="22"/>
          <w:szCs w:val="22"/>
          <w:lang w:eastAsia="en-US"/>
        </w:rPr>
        <w:t xml:space="preserve">, </w:t>
      </w:r>
      <w:r w:rsidR="009E2CBF" w:rsidRPr="004F4F2B">
        <w:rPr>
          <w:sz w:val="22"/>
          <w:szCs w:val="22"/>
        </w:rPr>
        <w:t xml:space="preserve">šlo by o prodej cca </w:t>
      </w:r>
      <w:r w:rsidR="00AC21C1" w:rsidRPr="004F4F2B">
        <w:rPr>
          <w:sz w:val="22"/>
          <w:szCs w:val="22"/>
        </w:rPr>
        <w:t xml:space="preserve">676 810 </w:t>
      </w:r>
      <w:r w:rsidR="00B64BE0" w:rsidRPr="004F4F2B">
        <w:rPr>
          <w:sz w:val="22"/>
          <w:szCs w:val="22"/>
        </w:rPr>
        <w:t>balení</w:t>
      </w:r>
      <w:r w:rsidR="00CD50FC" w:rsidRPr="004F4F2B">
        <w:rPr>
          <w:sz w:val="22"/>
          <w:szCs w:val="22"/>
        </w:rPr>
        <w:t xml:space="preserve">. Při odhadnutých administrativních nákladech 36 Kč by tedy náklady na podnikatelský sektor v případě prodeje peroxidu vodíku osobám z řad široké veřejnosti činil cca </w:t>
      </w:r>
      <w:r w:rsidR="00AC21C1" w:rsidRPr="004F4F2B">
        <w:rPr>
          <w:b/>
          <w:bCs/>
          <w:sz w:val="22"/>
          <w:szCs w:val="22"/>
        </w:rPr>
        <w:t>24</w:t>
      </w:r>
      <w:r w:rsidR="005D7010" w:rsidRPr="004F4F2B">
        <w:rPr>
          <w:b/>
          <w:bCs/>
          <w:sz w:val="22"/>
          <w:szCs w:val="22"/>
        </w:rPr>
        <w:t>,</w:t>
      </w:r>
      <w:r w:rsidR="00AC21C1" w:rsidRPr="004F4F2B">
        <w:rPr>
          <w:b/>
          <w:bCs/>
          <w:sz w:val="22"/>
          <w:szCs w:val="22"/>
        </w:rPr>
        <w:t>4</w:t>
      </w:r>
      <w:r w:rsidR="00CD50FC" w:rsidRPr="004F4F2B">
        <w:rPr>
          <w:b/>
          <w:bCs/>
          <w:sz w:val="22"/>
          <w:szCs w:val="22"/>
        </w:rPr>
        <w:t> mil. Kč</w:t>
      </w:r>
      <w:r w:rsidR="00AF7456" w:rsidRPr="004F4F2B">
        <w:rPr>
          <w:sz w:val="22"/>
          <w:szCs w:val="22"/>
        </w:rPr>
        <w:t xml:space="preserve"> ročně</w:t>
      </w:r>
      <w:r w:rsidR="00CD50FC" w:rsidRPr="004F4F2B">
        <w:rPr>
          <w:sz w:val="22"/>
          <w:szCs w:val="22"/>
        </w:rPr>
        <w:t>.</w:t>
      </w:r>
      <w:r w:rsidR="00AF1305" w:rsidRPr="004F4F2B">
        <w:rPr>
          <w:sz w:val="22"/>
          <w:szCs w:val="22"/>
        </w:rPr>
        <w:t xml:space="preserve"> </w:t>
      </w:r>
      <w:r w:rsidR="006F474E" w:rsidRPr="004F4F2B">
        <w:rPr>
          <w:sz w:val="22"/>
          <w:szCs w:val="22"/>
        </w:rPr>
        <w:t xml:space="preserve">Nezanedbatelné </w:t>
      </w:r>
      <w:r w:rsidR="00B26F13" w:rsidRPr="004F4F2B">
        <w:rPr>
          <w:sz w:val="22"/>
          <w:szCs w:val="22"/>
        </w:rPr>
        <w:t xml:space="preserve">náklady lze očekávat </w:t>
      </w:r>
      <w:r w:rsidR="006F474E" w:rsidRPr="004F4F2B">
        <w:rPr>
          <w:sz w:val="22"/>
          <w:szCs w:val="22"/>
        </w:rPr>
        <w:t xml:space="preserve">při </w:t>
      </w:r>
      <w:r w:rsidR="00B26F13" w:rsidRPr="004F4F2B">
        <w:rPr>
          <w:sz w:val="22"/>
          <w:szCs w:val="22"/>
        </w:rPr>
        <w:t>zpřístup</w:t>
      </w:r>
      <w:r w:rsidR="006F474E" w:rsidRPr="004F4F2B">
        <w:rPr>
          <w:sz w:val="22"/>
          <w:szCs w:val="22"/>
        </w:rPr>
        <w:t xml:space="preserve">ňování i ostatních </w:t>
      </w:r>
      <w:r w:rsidR="00B26F13" w:rsidRPr="004F4F2B">
        <w:rPr>
          <w:sz w:val="22"/>
          <w:szCs w:val="22"/>
        </w:rPr>
        <w:t>prekurzor</w:t>
      </w:r>
      <w:r w:rsidR="006F474E" w:rsidRPr="004F4F2B">
        <w:rPr>
          <w:sz w:val="22"/>
          <w:szCs w:val="22"/>
        </w:rPr>
        <w:t>ů</w:t>
      </w:r>
      <w:r w:rsidR="00B26F13" w:rsidRPr="004F4F2B">
        <w:rPr>
          <w:sz w:val="22"/>
          <w:szCs w:val="22"/>
        </w:rPr>
        <w:t xml:space="preserve"> výbušnin podléhají</w:t>
      </w:r>
      <w:r w:rsidR="006F474E" w:rsidRPr="004F4F2B">
        <w:rPr>
          <w:sz w:val="22"/>
          <w:szCs w:val="22"/>
        </w:rPr>
        <w:t>cí</w:t>
      </w:r>
      <w:r w:rsidR="00B26F13" w:rsidRPr="004F4F2B">
        <w:rPr>
          <w:sz w:val="22"/>
          <w:szCs w:val="22"/>
        </w:rPr>
        <w:t>ch omezení</w:t>
      </w:r>
      <w:r w:rsidR="006F474E" w:rsidRPr="004F4F2B">
        <w:rPr>
          <w:sz w:val="22"/>
          <w:szCs w:val="22"/>
        </w:rPr>
        <w:t>, konkrétní výši však nelze vyčíslit, jelikož EUROSTAT neklasifikuje ostatní látky a směsi obsažené v prekurzorech výbušnin podléhající</w:t>
      </w:r>
      <w:r w:rsidR="00917056" w:rsidRPr="004F4F2B">
        <w:rPr>
          <w:sz w:val="22"/>
          <w:szCs w:val="22"/>
        </w:rPr>
        <w:t>c</w:t>
      </w:r>
      <w:r w:rsidR="006F474E" w:rsidRPr="004F4F2B">
        <w:rPr>
          <w:sz w:val="22"/>
          <w:szCs w:val="22"/>
        </w:rPr>
        <w:t>h omezení dostatečně podrobně</w:t>
      </w:r>
      <w:r w:rsidR="00C123E5" w:rsidRPr="004F4F2B">
        <w:rPr>
          <w:sz w:val="22"/>
          <w:szCs w:val="22"/>
        </w:rPr>
        <w:t xml:space="preserve"> anebo vhodná data za poslední léta ne</w:t>
      </w:r>
      <w:r w:rsidR="00457A23" w:rsidRPr="004F4F2B">
        <w:rPr>
          <w:sz w:val="22"/>
          <w:szCs w:val="22"/>
        </w:rPr>
        <w:t>poskytuje</w:t>
      </w:r>
      <w:r w:rsidR="00C123E5" w:rsidRPr="004F4F2B">
        <w:rPr>
          <w:sz w:val="22"/>
          <w:szCs w:val="22"/>
        </w:rPr>
        <w:t>.</w:t>
      </w:r>
      <w:r w:rsidR="00AF1305" w:rsidRPr="004F4F2B">
        <w:rPr>
          <w:sz w:val="22"/>
          <w:szCs w:val="22"/>
        </w:rPr>
        <w:t xml:space="preserve"> </w:t>
      </w:r>
      <w:r w:rsidR="002220D6" w:rsidRPr="004F4F2B">
        <w:rPr>
          <w:sz w:val="22"/>
          <w:szCs w:val="22"/>
        </w:rPr>
        <w:t>Z</w:t>
      </w:r>
      <w:r w:rsidR="00B26F13" w:rsidRPr="004F4F2B">
        <w:rPr>
          <w:sz w:val="22"/>
          <w:szCs w:val="22"/>
        </w:rPr>
        <w:t xml:space="preserve">isk z prodeje </w:t>
      </w:r>
      <w:r w:rsidR="004E1DFC" w:rsidRPr="004F4F2B">
        <w:rPr>
          <w:sz w:val="22"/>
          <w:szCs w:val="22"/>
        </w:rPr>
        <w:t xml:space="preserve">by </w:t>
      </w:r>
      <w:r w:rsidR="00B26F13" w:rsidRPr="004F4F2B">
        <w:rPr>
          <w:sz w:val="22"/>
          <w:szCs w:val="22"/>
        </w:rPr>
        <w:t xml:space="preserve">náklady na administrativu </w:t>
      </w:r>
      <w:r w:rsidR="002220D6" w:rsidRPr="004F4F2B">
        <w:rPr>
          <w:sz w:val="22"/>
          <w:szCs w:val="22"/>
        </w:rPr>
        <w:t xml:space="preserve">tedy </w:t>
      </w:r>
      <w:r w:rsidR="004E1DFC" w:rsidRPr="004F4F2B">
        <w:rPr>
          <w:sz w:val="22"/>
          <w:szCs w:val="22"/>
        </w:rPr>
        <w:t xml:space="preserve">převýšil </w:t>
      </w:r>
      <w:r w:rsidR="00B26F13" w:rsidRPr="004F4F2B">
        <w:rPr>
          <w:sz w:val="22"/>
          <w:szCs w:val="22"/>
        </w:rPr>
        <w:t>patrně jen u</w:t>
      </w:r>
      <w:r w:rsidR="00DC612B" w:rsidRPr="004F4F2B">
        <w:rPr>
          <w:sz w:val="22"/>
          <w:szCs w:val="22"/>
        </w:rPr>
        <w:t> </w:t>
      </w:r>
      <w:r w:rsidR="00B26F13" w:rsidRPr="004F4F2B">
        <w:rPr>
          <w:sz w:val="22"/>
          <w:szCs w:val="22"/>
        </w:rPr>
        <w:t>výrobků s vyšší přidanou hodnotou</w:t>
      </w:r>
      <w:r w:rsidR="00D9412C" w:rsidRPr="004F4F2B">
        <w:rPr>
          <w:sz w:val="22"/>
          <w:szCs w:val="22"/>
        </w:rPr>
        <w:t xml:space="preserve"> (pa</w:t>
      </w:r>
      <w:r w:rsidR="00B26F13" w:rsidRPr="004F4F2B">
        <w:rPr>
          <w:sz w:val="22"/>
          <w:szCs w:val="22"/>
        </w:rPr>
        <w:t xml:space="preserve">trně </w:t>
      </w:r>
      <w:proofErr w:type="spellStart"/>
      <w:r w:rsidR="00B26F13" w:rsidRPr="004F4F2B">
        <w:rPr>
          <w:sz w:val="22"/>
          <w:szCs w:val="22"/>
        </w:rPr>
        <w:t>nitromethanu</w:t>
      </w:r>
      <w:proofErr w:type="spellEnd"/>
      <w:r w:rsidR="00D9412C" w:rsidRPr="004F4F2B">
        <w:rPr>
          <w:sz w:val="22"/>
          <w:szCs w:val="22"/>
        </w:rPr>
        <w:t>) nebo u</w:t>
      </w:r>
      <w:r w:rsidR="00C83B13">
        <w:rPr>
          <w:sz w:val="22"/>
          <w:szCs w:val="22"/>
        </w:rPr>
        <w:t> </w:t>
      </w:r>
      <w:r w:rsidR="00D9412C" w:rsidRPr="004F4F2B">
        <w:rPr>
          <w:sz w:val="22"/>
          <w:szCs w:val="22"/>
        </w:rPr>
        <w:t>látek či směsí s vysokým objemem a cenou</w:t>
      </w:r>
      <w:r w:rsidR="00B26F13" w:rsidRPr="004F4F2B">
        <w:rPr>
          <w:sz w:val="22"/>
          <w:szCs w:val="22"/>
        </w:rPr>
        <w:t>.</w:t>
      </w:r>
    </w:p>
    <w:p w:rsidR="001D22AE" w:rsidRPr="004F4F2B" w:rsidRDefault="0053680B" w:rsidP="00E40C96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Varianta II přinese osobám z řad široké veřejnosti náklady v podobě </w:t>
      </w:r>
      <w:r w:rsidR="00AC1D06" w:rsidRPr="004F4F2B">
        <w:rPr>
          <w:sz w:val="22"/>
          <w:szCs w:val="22"/>
        </w:rPr>
        <w:t>správních poplatků za podání žádosti</w:t>
      </w:r>
      <w:r w:rsidR="00DC4D85">
        <w:rPr>
          <w:sz w:val="22"/>
          <w:szCs w:val="22"/>
        </w:rPr>
        <w:t xml:space="preserve"> </w:t>
      </w:r>
      <w:r w:rsidR="00AC1D06" w:rsidRPr="004F4F2B">
        <w:rPr>
          <w:sz w:val="22"/>
          <w:szCs w:val="22"/>
        </w:rPr>
        <w:t>o</w:t>
      </w:r>
      <w:r w:rsidR="00DC4D85">
        <w:rPr>
          <w:sz w:val="22"/>
          <w:szCs w:val="22"/>
        </w:rPr>
        <w:t> </w:t>
      </w:r>
      <w:r w:rsidR="00AC1D06" w:rsidRPr="004F4F2B">
        <w:rPr>
          <w:sz w:val="22"/>
          <w:szCs w:val="22"/>
        </w:rPr>
        <w:t xml:space="preserve">vydání povolení k dovozu, držení a používání prekurzorů výbušnin. Byť je veřejná správa službou veřejnosti, nelze </w:t>
      </w:r>
      <w:r w:rsidR="004202C2" w:rsidRPr="004F4F2B">
        <w:rPr>
          <w:sz w:val="22"/>
          <w:szCs w:val="22"/>
        </w:rPr>
        <w:t xml:space="preserve">na veřejnou správu </w:t>
      </w:r>
      <w:r w:rsidR="003E3B10">
        <w:rPr>
          <w:sz w:val="22"/>
          <w:szCs w:val="22"/>
        </w:rPr>
        <w:t xml:space="preserve">zcela </w:t>
      </w:r>
      <w:r w:rsidR="004202C2" w:rsidRPr="004F4F2B">
        <w:rPr>
          <w:sz w:val="22"/>
          <w:szCs w:val="22"/>
        </w:rPr>
        <w:t>přenášet náklady vzešlé z administrativy vyvolané potřebou osob z řad široké veřejnosti, když lze tyto potřeby uspokojit jinak (</w:t>
      </w:r>
      <w:r w:rsidR="002059CA" w:rsidRPr="004F4F2B">
        <w:rPr>
          <w:sz w:val="22"/>
          <w:szCs w:val="22"/>
        </w:rPr>
        <w:t xml:space="preserve">zejména pořizováním alternativních výrobků nespadajících pod regulaci). </w:t>
      </w:r>
      <w:r w:rsidR="00D54A4F" w:rsidRPr="004F4F2B">
        <w:rPr>
          <w:sz w:val="22"/>
          <w:szCs w:val="22"/>
        </w:rPr>
        <w:t>Čl. 6 odst. 4 přímo použitelného nařízení 2019/1148 dokonce výslovně připouští vynucovat uhrazení poplatků za podání žádosti o vydání povolení, a to do výše nákladů na zpracování a vyřízení žádosti.</w:t>
      </w:r>
      <w:r w:rsidR="00133910" w:rsidRPr="004F4F2B">
        <w:rPr>
          <w:sz w:val="22"/>
          <w:szCs w:val="22"/>
        </w:rPr>
        <w:t xml:space="preserve"> Při nákladech, a tedy výši správního poplatku 2 000 Kč (srov. analýzy dále), by se jen v případě žádo</w:t>
      </w:r>
      <w:r w:rsidR="00113583" w:rsidRPr="004F4F2B">
        <w:rPr>
          <w:sz w:val="22"/>
          <w:szCs w:val="22"/>
        </w:rPr>
        <w:t>s</w:t>
      </w:r>
      <w:r w:rsidR="00133910" w:rsidRPr="004F4F2B">
        <w:rPr>
          <w:sz w:val="22"/>
          <w:szCs w:val="22"/>
        </w:rPr>
        <w:t>tí o</w:t>
      </w:r>
      <w:r w:rsidR="00BE6436">
        <w:rPr>
          <w:sz w:val="22"/>
          <w:szCs w:val="22"/>
        </w:rPr>
        <w:t> </w:t>
      </w:r>
      <w:r w:rsidR="00133910" w:rsidRPr="004F4F2B">
        <w:rPr>
          <w:sz w:val="22"/>
          <w:szCs w:val="22"/>
        </w:rPr>
        <w:t>povolení dovážet, držet a používat peroxid vodíku o hmotnostním obsahu 35 %</w:t>
      </w:r>
      <w:r w:rsidR="00822E6D" w:rsidRPr="004F4F2B">
        <w:rPr>
          <w:sz w:val="22"/>
          <w:szCs w:val="22"/>
        </w:rPr>
        <w:t xml:space="preserve"> (srov. analýzy dále)</w:t>
      </w:r>
      <w:r w:rsidR="00C8695C" w:rsidRPr="004F4F2B">
        <w:rPr>
          <w:sz w:val="22"/>
          <w:szCs w:val="22"/>
        </w:rPr>
        <w:t xml:space="preserve"> – </w:t>
      </w:r>
      <w:r w:rsidR="00A80E90" w:rsidRPr="004F4F2B">
        <w:rPr>
          <w:sz w:val="22"/>
          <w:szCs w:val="22"/>
        </w:rPr>
        <w:t xml:space="preserve">celkem </w:t>
      </w:r>
      <w:r w:rsidR="00C8695C" w:rsidRPr="004F4F2B">
        <w:rPr>
          <w:sz w:val="22"/>
          <w:szCs w:val="22"/>
        </w:rPr>
        <w:t>13</w:t>
      </w:r>
      <w:r w:rsidR="004E0C8D" w:rsidRPr="004F4F2B">
        <w:rPr>
          <w:sz w:val="22"/>
          <w:szCs w:val="22"/>
        </w:rPr>
        <w:t> </w:t>
      </w:r>
      <w:r w:rsidR="00C8695C" w:rsidRPr="004F4F2B">
        <w:rPr>
          <w:sz w:val="22"/>
          <w:szCs w:val="22"/>
        </w:rPr>
        <w:t>818</w:t>
      </w:r>
      <w:r w:rsidR="004E0C8D" w:rsidRPr="004F4F2B">
        <w:rPr>
          <w:sz w:val="22"/>
          <w:szCs w:val="22"/>
        </w:rPr>
        <w:t xml:space="preserve"> – jednalo </w:t>
      </w:r>
      <w:r w:rsidR="005D0A28">
        <w:rPr>
          <w:sz w:val="22"/>
          <w:szCs w:val="22"/>
        </w:rPr>
        <w:t xml:space="preserve">pro státní orgány </w:t>
      </w:r>
      <w:r w:rsidR="004E0C8D" w:rsidRPr="004F4F2B">
        <w:rPr>
          <w:sz w:val="22"/>
          <w:szCs w:val="22"/>
        </w:rPr>
        <w:t>o ná</w:t>
      </w:r>
      <w:r w:rsidR="00A80E90" w:rsidRPr="004F4F2B">
        <w:rPr>
          <w:sz w:val="22"/>
          <w:szCs w:val="22"/>
        </w:rPr>
        <w:t>k</w:t>
      </w:r>
      <w:r w:rsidR="004E0C8D" w:rsidRPr="004F4F2B">
        <w:rPr>
          <w:sz w:val="22"/>
          <w:szCs w:val="22"/>
        </w:rPr>
        <w:t xml:space="preserve">lady odpovídající cca </w:t>
      </w:r>
      <w:r w:rsidR="004E0C8D" w:rsidRPr="004F4F2B">
        <w:rPr>
          <w:b/>
          <w:bCs/>
          <w:sz w:val="22"/>
          <w:szCs w:val="22"/>
        </w:rPr>
        <w:t>27,6 mil. Kč</w:t>
      </w:r>
      <w:r w:rsidR="004639CF" w:rsidRPr="004F4F2B">
        <w:rPr>
          <w:sz w:val="22"/>
          <w:szCs w:val="22"/>
        </w:rPr>
        <w:t xml:space="preserve"> za </w:t>
      </w:r>
      <w:r w:rsidR="00DC67E9" w:rsidRPr="004F4F2B">
        <w:rPr>
          <w:sz w:val="22"/>
          <w:szCs w:val="22"/>
        </w:rPr>
        <w:t xml:space="preserve">každé 3 roky, </w:t>
      </w:r>
      <w:r w:rsidR="004639CF" w:rsidRPr="004F4F2B">
        <w:rPr>
          <w:sz w:val="22"/>
          <w:szCs w:val="22"/>
        </w:rPr>
        <w:t xml:space="preserve">což je nejdelší přípustná doba platnosti povolení podle </w:t>
      </w:r>
      <w:r w:rsidR="006F129B" w:rsidRPr="004F4F2B">
        <w:rPr>
          <w:sz w:val="22"/>
          <w:szCs w:val="22"/>
        </w:rPr>
        <w:t xml:space="preserve">čl. 6 odst. 3 </w:t>
      </w:r>
      <w:r w:rsidR="004639CF" w:rsidRPr="004F4F2B">
        <w:rPr>
          <w:sz w:val="22"/>
          <w:szCs w:val="22"/>
        </w:rPr>
        <w:t>přímo použitelného nařízení 2</w:t>
      </w:r>
      <w:r w:rsidR="00DC67E9" w:rsidRPr="004F4F2B">
        <w:rPr>
          <w:sz w:val="22"/>
          <w:szCs w:val="22"/>
        </w:rPr>
        <w:t>0</w:t>
      </w:r>
      <w:r w:rsidR="004639CF" w:rsidRPr="004F4F2B">
        <w:rPr>
          <w:sz w:val="22"/>
          <w:szCs w:val="22"/>
        </w:rPr>
        <w:t>19/1148.</w:t>
      </w:r>
      <w:r w:rsidR="0094174A" w:rsidRPr="004F4F2B">
        <w:rPr>
          <w:sz w:val="22"/>
          <w:szCs w:val="22"/>
        </w:rPr>
        <w:t xml:space="preserve"> </w:t>
      </w:r>
      <w:r w:rsidR="00E9124A" w:rsidRPr="004F4F2B">
        <w:rPr>
          <w:sz w:val="22"/>
          <w:szCs w:val="22"/>
        </w:rPr>
        <w:t xml:space="preserve">Nebudou-li náklady na vydání povoleny přeneseny na žadatele, </w:t>
      </w:r>
      <w:r w:rsidR="0038016B" w:rsidRPr="004F4F2B">
        <w:rPr>
          <w:sz w:val="22"/>
          <w:szCs w:val="22"/>
        </w:rPr>
        <w:t xml:space="preserve">přinese </w:t>
      </w:r>
      <w:r w:rsidR="00E9124A" w:rsidRPr="004F4F2B">
        <w:rPr>
          <w:sz w:val="22"/>
          <w:szCs w:val="22"/>
        </w:rPr>
        <w:t xml:space="preserve">varianta II státní správě </w:t>
      </w:r>
      <w:r w:rsidR="0038016B" w:rsidRPr="004F4F2B">
        <w:rPr>
          <w:sz w:val="22"/>
          <w:szCs w:val="22"/>
        </w:rPr>
        <w:t>enormní náklady spojené s vydáváním povolení</w:t>
      </w:r>
      <w:r w:rsidR="00013464" w:rsidRPr="004F4F2B">
        <w:rPr>
          <w:sz w:val="22"/>
          <w:szCs w:val="22"/>
        </w:rPr>
        <w:t>.</w:t>
      </w:r>
      <w:r w:rsidR="00B4086A" w:rsidRPr="004F4F2B">
        <w:rPr>
          <w:sz w:val="22"/>
          <w:szCs w:val="22"/>
        </w:rPr>
        <w:t xml:space="preserve"> </w:t>
      </w:r>
      <w:r w:rsidR="001D22AE" w:rsidRPr="004F4F2B">
        <w:rPr>
          <w:sz w:val="22"/>
          <w:szCs w:val="22"/>
        </w:rPr>
        <w:t>Pokud bude pozornost upřena na nejčastěji pořizovaný prekurzor výbušnin podléhající povolení (peroxid vodíku 30</w:t>
      </w:r>
      <w:r w:rsidR="001D22AE" w:rsidRPr="004F4F2B">
        <w:rPr>
          <w:sz w:val="22"/>
          <w:szCs w:val="22"/>
        </w:rPr>
        <w:noBreakHyphen/>
        <w:t xml:space="preserve">35 % hm.), konkrétní počty </w:t>
      </w:r>
      <w:r w:rsidR="00201686" w:rsidRPr="004F4F2B">
        <w:rPr>
          <w:sz w:val="22"/>
          <w:szCs w:val="22"/>
        </w:rPr>
        <w:t>žadatelů o povolení k držení apod. tohoto prekurzor</w:t>
      </w:r>
      <w:r w:rsidR="00013464" w:rsidRPr="004F4F2B">
        <w:rPr>
          <w:sz w:val="22"/>
          <w:szCs w:val="22"/>
        </w:rPr>
        <w:t>u</w:t>
      </w:r>
      <w:r w:rsidR="00201686" w:rsidRPr="004F4F2B">
        <w:rPr>
          <w:sz w:val="22"/>
          <w:szCs w:val="22"/>
        </w:rPr>
        <w:t xml:space="preserve"> výbušnin podléhajícího omezení </w:t>
      </w:r>
      <w:r w:rsidR="001D22AE" w:rsidRPr="004F4F2B">
        <w:rPr>
          <w:sz w:val="22"/>
          <w:szCs w:val="22"/>
        </w:rPr>
        <w:t xml:space="preserve">lze </w:t>
      </w:r>
      <w:r w:rsidR="00835D00" w:rsidRPr="004F4F2B">
        <w:rPr>
          <w:sz w:val="22"/>
          <w:szCs w:val="22"/>
        </w:rPr>
        <w:t xml:space="preserve">přibližně </w:t>
      </w:r>
      <w:r w:rsidR="001D22AE" w:rsidRPr="004F4F2B">
        <w:rPr>
          <w:sz w:val="22"/>
          <w:szCs w:val="22"/>
        </w:rPr>
        <w:t xml:space="preserve">dovodit </w:t>
      </w:r>
      <w:r w:rsidR="0021640E">
        <w:rPr>
          <w:sz w:val="22"/>
          <w:szCs w:val="22"/>
        </w:rPr>
        <w:t xml:space="preserve">z </w:t>
      </w:r>
      <w:r w:rsidR="00835D00" w:rsidRPr="004F4F2B">
        <w:rPr>
          <w:sz w:val="22"/>
          <w:szCs w:val="22"/>
        </w:rPr>
        <w:t>počt</w:t>
      </w:r>
      <w:r w:rsidR="0021640E">
        <w:rPr>
          <w:sz w:val="22"/>
          <w:szCs w:val="22"/>
        </w:rPr>
        <w:t>ů</w:t>
      </w:r>
      <w:r w:rsidR="00835D00" w:rsidRPr="004F4F2B">
        <w:rPr>
          <w:sz w:val="22"/>
          <w:szCs w:val="22"/>
        </w:rPr>
        <w:t xml:space="preserve"> trvalých bazénů v České republice.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7797"/>
        <w:gridCol w:w="1723"/>
      </w:tblGrid>
      <w:tr w:rsidR="0027084D" w:rsidRPr="004F4F2B" w:rsidTr="00E40C96">
        <w:tc>
          <w:tcPr>
            <w:tcW w:w="7797" w:type="dxa"/>
          </w:tcPr>
          <w:p w:rsidR="0027084D" w:rsidRPr="004F4F2B" w:rsidRDefault="00CB668A" w:rsidP="0027084D">
            <w:pPr>
              <w:jc w:val="both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Poměrný počet trvalých bazénů v ČR na 100 000 obyvatel</w:t>
            </w:r>
          </w:p>
          <w:p w:rsidR="00CB668A" w:rsidRPr="004F4F2B" w:rsidRDefault="00CB668A" w:rsidP="0027084D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i/>
                <w:iCs/>
                <w:color w:val="808080"/>
                <w:sz w:val="12"/>
                <w:szCs w:val="12"/>
              </w:rPr>
              <w:t xml:space="preserve">Stav k 2011; zdroj: </w:t>
            </w:r>
            <w:proofErr w:type="spellStart"/>
            <w:r w:rsidRPr="004F4F2B">
              <w:rPr>
                <w:i/>
                <w:iCs/>
                <w:color w:val="808080"/>
                <w:sz w:val="12"/>
                <w:szCs w:val="12"/>
              </w:rPr>
              <w:t>European</w:t>
            </w:r>
            <w:proofErr w:type="spellEnd"/>
            <w:r w:rsidRPr="004F4F2B">
              <w:rPr>
                <w:i/>
                <w:iCs/>
                <w:color w:val="808080"/>
                <w:sz w:val="12"/>
                <w:szCs w:val="12"/>
              </w:rPr>
              <w:t xml:space="preserve"> union </w:t>
            </w:r>
            <w:proofErr w:type="spellStart"/>
            <w:r w:rsidRPr="004F4F2B">
              <w:rPr>
                <w:i/>
                <w:iCs/>
                <w:color w:val="808080"/>
                <w:sz w:val="12"/>
                <w:szCs w:val="12"/>
              </w:rPr>
              <w:t>of</w:t>
            </w:r>
            <w:proofErr w:type="spellEnd"/>
            <w:r w:rsidRPr="004F4F2B">
              <w:rPr>
                <w:i/>
                <w:iCs/>
                <w:color w:val="808080"/>
                <w:sz w:val="12"/>
                <w:szCs w:val="12"/>
              </w:rPr>
              <w:t xml:space="preserve"> </w:t>
            </w:r>
            <w:proofErr w:type="spellStart"/>
            <w:r w:rsidRPr="004F4F2B">
              <w:rPr>
                <w:i/>
                <w:iCs/>
                <w:color w:val="808080"/>
                <w:sz w:val="12"/>
                <w:szCs w:val="12"/>
              </w:rPr>
              <w:t>swimming</w:t>
            </w:r>
            <w:proofErr w:type="spellEnd"/>
            <w:r w:rsidRPr="004F4F2B">
              <w:rPr>
                <w:i/>
                <w:iCs/>
                <w:color w:val="808080"/>
                <w:sz w:val="12"/>
                <w:szCs w:val="12"/>
              </w:rPr>
              <w:t xml:space="preserve"> pool and </w:t>
            </w:r>
            <w:proofErr w:type="spellStart"/>
            <w:r w:rsidRPr="004F4F2B">
              <w:rPr>
                <w:i/>
                <w:iCs/>
                <w:color w:val="808080"/>
                <w:sz w:val="12"/>
                <w:szCs w:val="12"/>
              </w:rPr>
              <w:t>spa</w:t>
            </w:r>
            <w:proofErr w:type="spellEnd"/>
            <w:r w:rsidRPr="004F4F2B">
              <w:rPr>
                <w:i/>
                <w:iCs/>
                <w:color w:val="808080"/>
                <w:sz w:val="12"/>
                <w:szCs w:val="12"/>
              </w:rPr>
              <w:t xml:space="preserve"> </w:t>
            </w:r>
            <w:proofErr w:type="spellStart"/>
            <w:r w:rsidRPr="004F4F2B">
              <w:rPr>
                <w:i/>
                <w:iCs/>
                <w:color w:val="808080"/>
                <w:sz w:val="12"/>
                <w:szCs w:val="12"/>
              </w:rPr>
              <w:t>associastions</w:t>
            </w:r>
            <w:proofErr w:type="spellEnd"/>
            <w:r w:rsidRPr="004F4F2B">
              <w:rPr>
                <w:i/>
                <w:iCs/>
                <w:color w:val="808080"/>
                <w:sz w:val="12"/>
                <w:szCs w:val="12"/>
              </w:rPr>
              <w:t xml:space="preserve"> a Hospodářské noviny, 13. 6. 2011</w:t>
            </w:r>
          </w:p>
        </w:tc>
        <w:tc>
          <w:tcPr>
            <w:tcW w:w="1723" w:type="dxa"/>
            <w:vAlign w:val="center"/>
          </w:tcPr>
          <w:p w:rsidR="0027084D" w:rsidRPr="004F4F2B" w:rsidRDefault="00CB668A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1 980</w:t>
            </w:r>
          </w:p>
        </w:tc>
      </w:tr>
      <w:tr w:rsidR="0027084D" w:rsidRPr="004F4F2B" w:rsidTr="00E40C96">
        <w:tc>
          <w:tcPr>
            <w:tcW w:w="7797" w:type="dxa"/>
          </w:tcPr>
          <w:p w:rsidR="0027084D" w:rsidRPr="004F4F2B" w:rsidRDefault="00CB668A" w:rsidP="0027084D">
            <w:pPr>
              <w:jc w:val="both"/>
              <w:rPr>
                <w:rStyle w:val="Zdraznn"/>
                <w:sz w:val="16"/>
                <w:szCs w:val="16"/>
                <w:shd w:val="clear" w:color="auto" w:fill="FFFFFF"/>
              </w:rPr>
            </w:pPr>
            <w:r w:rsidRPr="004F4F2B">
              <w:rPr>
                <w:rStyle w:val="Zdraznn"/>
                <w:sz w:val="16"/>
                <w:szCs w:val="16"/>
                <w:shd w:val="clear" w:color="auto" w:fill="FFFFFF"/>
              </w:rPr>
              <w:t>Počet obyvatel ČR</w:t>
            </w:r>
          </w:p>
          <w:p w:rsidR="00CB668A" w:rsidRPr="004F4F2B" w:rsidRDefault="00CB668A" w:rsidP="0027084D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rStyle w:val="Zdraznn"/>
                <w:color w:val="808080"/>
                <w:sz w:val="12"/>
                <w:szCs w:val="12"/>
                <w:shd w:val="clear" w:color="auto" w:fill="FFFFFF"/>
              </w:rPr>
              <w:t>Stav k 1. 1. 2012; zdroj: ČSÚ</w:t>
            </w:r>
          </w:p>
        </w:tc>
        <w:tc>
          <w:tcPr>
            <w:tcW w:w="1723" w:type="dxa"/>
            <w:vAlign w:val="center"/>
          </w:tcPr>
          <w:p w:rsidR="0027084D" w:rsidRPr="004F4F2B" w:rsidRDefault="00CB668A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rStyle w:val="Zdraznn"/>
                <w:sz w:val="16"/>
                <w:szCs w:val="16"/>
                <w:shd w:val="clear" w:color="auto" w:fill="FFFFFF"/>
              </w:rPr>
              <w:t>10 505 445</w:t>
            </w:r>
          </w:p>
        </w:tc>
      </w:tr>
      <w:tr w:rsidR="0027084D" w:rsidRPr="004F4F2B" w:rsidTr="00E40C96">
        <w:tc>
          <w:tcPr>
            <w:tcW w:w="7797" w:type="dxa"/>
          </w:tcPr>
          <w:p w:rsidR="0027084D" w:rsidRPr="004F4F2B" w:rsidRDefault="009D3BE0" w:rsidP="0027084D">
            <w:pPr>
              <w:jc w:val="both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Počet trvalých bazénů v ČR</w:t>
            </w:r>
          </w:p>
          <w:p w:rsidR="009D3BE0" w:rsidRPr="004F4F2B" w:rsidRDefault="009D3BE0" w:rsidP="0027084D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rStyle w:val="Zdraznn"/>
                <w:color w:val="808080"/>
                <w:sz w:val="12"/>
                <w:szCs w:val="12"/>
                <w:shd w:val="clear" w:color="auto" w:fill="FFFFFF"/>
              </w:rPr>
              <w:t>Stav k 2011; přepočet podle poměrného počtu a počtu obyvatel</w:t>
            </w:r>
          </w:p>
        </w:tc>
        <w:tc>
          <w:tcPr>
            <w:tcW w:w="1723" w:type="dxa"/>
            <w:vAlign w:val="center"/>
          </w:tcPr>
          <w:p w:rsidR="0027084D" w:rsidRPr="004F4F2B" w:rsidRDefault="009D3BE0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208 008</w:t>
            </w:r>
          </w:p>
        </w:tc>
      </w:tr>
      <w:tr w:rsidR="0027084D" w:rsidRPr="004F4F2B" w:rsidTr="00E40C96">
        <w:tc>
          <w:tcPr>
            <w:tcW w:w="7797" w:type="dxa"/>
          </w:tcPr>
          <w:p w:rsidR="0027084D" w:rsidRPr="004F4F2B" w:rsidRDefault="009D3BE0" w:rsidP="0027084D">
            <w:pPr>
              <w:jc w:val="both"/>
              <w:rPr>
                <w:rStyle w:val="Zdraznn"/>
                <w:sz w:val="16"/>
                <w:szCs w:val="16"/>
                <w:shd w:val="clear" w:color="auto" w:fill="FFFFFF"/>
              </w:rPr>
            </w:pPr>
            <w:r w:rsidRPr="004F4F2B">
              <w:rPr>
                <w:rStyle w:val="Zdraznn"/>
                <w:sz w:val="16"/>
                <w:szCs w:val="16"/>
                <w:shd w:val="clear" w:color="auto" w:fill="FFFFFF"/>
              </w:rPr>
              <w:t>Korekce o počet veřejných bazénů</w:t>
            </w:r>
          </w:p>
          <w:p w:rsidR="009D3BE0" w:rsidRPr="004F4F2B" w:rsidRDefault="009D3BE0" w:rsidP="0027084D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rStyle w:val="Zdraznn"/>
                <w:color w:val="808080"/>
                <w:sz w:val="12"/>
                <w:szCs w:val="12"/>
                <w:shd w:val="clear" w:color="auto" w:fill="FFFFFF"/>
              </w:rPr>
              <w:t>Stav k 2014; zdroj: Státní zdravotní ústav a e15.cz, 15. 2. 2018</w:t>
            </w:r>
          </w:p>
        </w:tc>
        <w:tc>
          <w:tcPr>
            <w:tcW w:w="1723" w:type="dxa"/>
            <w:vAlign w:val="center"/>
          </w:tcPr>
          <w:p w:rsidR="0027084D" w:rsidRPr="004F4F2B" w:rsidRDefault="009D3BE0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color w:val="222222"/>
                <w:sz w:val="16"/>
                <w:szCs w:val="16"/>
                <w:shd w:val="clear" w:color="auto" w:fill="FFFFFF"/>
              </w:rPr>
              <w:t>−</w:t>
            </w:r>
            <w:r w:rsidRPr="004F4F2B">
              <w:rPr>
                <w:i/>
                <w:iCs/>
                <w:sz w:val="16"/>
                <w:szCs w:val="16"/>
              </w:rPr>
              <w:t>957</w:t>
            </w:r>
          </w:p>
        </w:tc>
      </w:tr>
      <w:tr w:rsidR="0027084D" w:rsidRPr="004F4F2B" w:rsidTr="00E40C96">
        <w:tc>
          <w:tcPr>
            <w:tcW w:w="7797" w:type="dxa"/>
          </w:tcPr>
          <w:p w:rsidR="0027084D" w:rsidRPr="004F4F2B" w:rsidRDefault="009D3BE0" w:rsidP="0027084D">
            <w:pPr>
              <w:jc w:val="both"/>
              <w:rPr>
                <w:rStyle w:val="Zdraznn"/>
                <w:sz w:val="16"/>
                <w:szCs w:val="16"/>
                <w:shd w:val="clear" w:color="auto" w:fill="FFFFFF"/>
              </w:rPr>
            </w:pPr>
            <w:r w:rsidRPr="004F4F2B">
              <w:rPr>
                <w:rStyle w:val="Zdraznn"/>
                <w:sz w:val="16"/>
                <w:szCs w:val="16"/>
                <w:shd w:val="clear" w:color="auto" w:fill="FFFFFF"/>
              </w:rPr>
              <w:t>Předpokládaný počet trvalých bazénů v ČR u osob z řad široké veřejnosti</w:t>
            </w:r>
          </w:p>
          <w:p w:rsidR="009D3BE0" w:rsidRPr="004F4F2B" w:rsidRDefault="009D3BE0" w:rsidP="0027084D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rStyle w:val="Zdraznn"/>
                <w:color w:val="808080"/>
                <w:sz w:val="12"/>
                <w:szCs w:val="12"/>
                <w:shd w:val="clear" w:color="auto" w:fill="FFFFFF"/>
              </w:rPr>
              <w:t>Stav k 2011; zdroj: výše uvedené údaje a zdroje</w:t>
            </w:r>
          </w:p>
        </w:tc>
        <w:tc>
          <w:tcPr>
            <w:tcW w:w="1723" w:type="dxa"/>
            <w:vAlign w:val="center"/>
          </w:tcPr>
          <w:p w:rsidR="0027084D" w:rsidRPr="004F4F2B" w:rsidRDefault="009D3BE0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rStyle w:val="Zdraznn"/>
                <w:sz w:val="16"/>
                <w:szCs w:val="16"/>
                <w:shd w:val="clear" w:color="auto" w:fill="FFFFFF"/>
              </w:rPr>
              <w:t>207 051</w:t>
            </w:r>
          </w:p>
        </w:tc>
      </w:tr>
      <w:tr w:rsidR="0027084D" w:rsidRPr="004F4F2B" w:rsidTr="00E40C96">
        <w:tc>
          <w:tcPr>
            <w:tcW w:w="7797" w:type="dxa"/>
          </w:tcPr>
          <w:p w:rsidR="0027084D" w:rsidRPr="004F4F2B" w:rsidRDefault="009D3BE0" w:rsidP="0027084D">
            <w:pPr>
              <w:jc w:val="both"/>
              <w:rPr>
                <w:rStyle w:val="Zdraznn"/>
                <w:sz w:val="16"/>
                <w:szCs w:val="16"/>
                <w:shd w:val="clear" w:color="auto" w:fill="FFFFFF"/>
              </w:rPr>
            </w:pPr>
            <w:r w:rsidRPr="004F4F2B">
              <w:rPr>
                <w:rStyle w:val="Zdraznn"/>
                <w:sz w:val="16"/>
                <w:szCs w:val="16"/>
                <w:shd w:val="clear" w:color="auto" w:fill="FFFFFF"/>
              </w:rPr>
              <w:t>Předpokládaný roční nárůst počtu trvalých bazénů v ČR u osob z řad široké veřejnosti</w:t>
            </w:r>
          </w:p>
          <w:p w:rsidR="009D3BE0" w:rsidRPr="004F4F2B" w:rsidRDefault="009D3BE0" w:rsidP="0027084D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rStyle w:val="Zdraznn"/>
                <w:color w:val="808080"/>
                <w:sz w:val="12"/>
                <w:szCs w:val="12"/>
                <w:shd w:val="clear" w:color="auto" w:fill="FFFFFF"/>
              </w:rPr>
              <w:t>Zdroj: odhad podle marketingových údajů Mountfield a.s. a ALBIXON a.s. z denního tisku</w:t>
            </w:r>
          </w:p>
        </w:tc>
        <w:tc>
          <w:tcPr>
            <w:tcW w:w="1723" w:type="dxa"/>
            <w:vAlign w:val="center"/>
          </w:tcPr>
          <w:p w:rsidR="0027084D" w:rsidRPr="004F4F2B" w:rsidRDefault="00130929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 xml:space="preserve">5 % do roku 2015, poté </w:t>
            </w:r>
            <w:r w:rsidR="005D4A0A" w:rsidRPr="004F4F2B">
              <w:rPr>
                <w:i/>
                <w:iCs/>
                <w:sz w:val="16"/>
                <w:szCs w:val="16"/>
              </w:rPr>
              <w:t>10</w:t>
            </w:r>
            <w:r w:rsidR="009D3BE0" w:rsidRPr="004F4F2B">
              <w:rPr>
                <w:i/>
                <w:iCs/>
                <w:sz w:val="16"/>
                <w:szCs w:val="16"/>
              </w:rPr>
              <w:t> %</w:t>
            </w:r>
          </w:p>
        </w:tc>
      </w:tr>
      <w:tr w:rsidR="0027084D" w:rsidRPr="004F4F2B" w:rsidTr="00E40C96">
        <w:tc>
          <w:tcPr>
            <w:tcW w:w="7797" w:type="dxa"/>
          </w:tcPr>
          <w:p w:rsidR="0027084D" w:rsidRPr="004F4F2B" w:rsidRDefault="00A423A9" w:rsidP="0027084D">
            <w:pPr>
              <w:jc w:val="both"/>
              <w:rPr>
                <w:rStyle w:val="Zdraznn"/>
                <w:sz w:val="16"/>
                <w:szCs w:val="16"/>
                <w:shd w:val="clear" w:color="auto" w:fill="FFFFFF"/>
              </w:rPr>
            </w:pPr>
            <w:r w:rsidRPr="004F4F2B">
              <w:rPr>
                <w:rStyle w:val="Zdraznn"/>
                <w:sz w:val="16"/>
                <w:szCs w:val="16"/>
                <w:shd w:val="clear" w:color="auto" w:fill="FFFFFF"/>
              </w:rPr>
              <w:t>Předpokládaný současný počet trvalých bazénů v ČR u osob z řad široké veřejnosti</w:t>
            </w:r>
          </w:p>
          <w:p w:rsidR="00A423A9" w:rsidRPr="004F4F2B" w:rsidRDefault="00A423A9" w:rsidP="0027084D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rStyle w:val="Zdraznn"/>
                <w:color w:val="808080"/>
                <w:sz w:val="12"/>
                <w:szCs w:val="12"/>
                <w:shd w:val="clear" w:color="auto" w:fill="FFFFFF"/>
              </w:rPr>
              <w:t>Stav k 2019; zdroj: výše uvedené údaje a zdroje</w:t>
            </w:r>
          </w:p>
        </w:tc>
        <w:tc>
          <w:tcPr>
            <w:tcW w:w="1723" w:type="dxa"/>
            <w:vAlign w:val="center"/>
          </w:tcPr>
          <w:p w:rsidR="0027084D" w:rsidRPr="004F4F2B" w:rsidRDefault="009655B2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368 473</w:t>
            </w:r>
          </w:p>
        </w:tc>
      </w:tr>
      <w:tr w:rsidR="0027084D" w:rsidRPr="004F4F2B" w:rsidTr="00E40C96">
        <w:tc>
          <w:tcPr>
            <w:tcW w:w="7797" w:type="dxa"/>
          </w:tcPr>
          <w:p w:rsidR="0027084D" w:rsidRPr="004F4F2B" w:rsidRDefault="00DB0753" w:rsidP="0027084D">
            <w:pPr>
              <w:jc w:val="both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 xml:space="preserve">Předpokládaný poměr </w:t>
            </w:r>
            <w:r w:rsidR="00873274" w:rsidRPr="004F4F2B">
              <w:rPr>
                <w:i/>
                <w:iCs/>
                <w:sz w:val="16"/>
                <w:szCs w:val="16"/>
              </w:rPr>
              <w:t xml:space="preserve">trvalých </w:t>
            </w:r>
            <w:r w:rsidRPr="004F4F2B">
              <w:rPr>
                <w:i/>
                <w:iCs/>
                <w:sz w:val="16"/>
                <w:szCs w:val="16"/>
              </w:rPr>
              <w:t>bazénů s využíváním aktivního kyslíku z</w:t>
            </w:r>
            <w:r w:rsidR="00873274" w:rsidRPr="004F4F2B">
              <w:rPr>
                <w:i/>
                <w:iCs/>
                <w:sz w:val="16"/>
                <w:szCs w:val="16"/>
              </w:rPr>
              <w:t> </w:t>
            </w:r>
            <w:r w:rsidRPr="004F4F2B">
              <w:rPr>
                <w:i/>
                <w:iCs/>
                <w:sz w:val="16"/>
                <w:szCs w:val="16"/>
              </w:rPr>
              <w:t>peroxidu vodíku pro dezinfekci</w:t>
            </w:r>
          </w:p>
          <w:p w:rsidR="00FE11EE" w:rsidRPr="004F4F2B" w:rsidRDefault="00FE11EE" w:rsidP="0027084D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i/>
                <w:iCs/>
                <w:color w:val="808080"/>
                <w:sz w:val="12"/>
                <w:szCs w:val="12"/>
              </w:rPr>
              <w:t xml:space="preserve">Stav k 2019; zdroj: dotazování vzorku </w:t>
            </w:r>
            <w:r w:rsidR="002F463F" w:rsidRPr="004F4F2B">
              <w:rPr>
                <w:i/>
                <w:iCs/>
                <w:color w:val="808080"/>
                <w:sz w:val="12"/>
                <w:szCs w:val="12"/>
              </w:rPr>
              <w:t xml:space="preserve">20 </w:t>
            </w:r>
            <w:r w:rsidR="00EA1C40" w:rsidRPr="004F4F2B">
              <w:rPr>
                <w:i/>
                <w:iCs/>
                <w:color w:val="808080"/>
                <w:sz w:val="12"/>
                <w:szCs w:val="12"/>
              </w:rPr>
              <w:t>majitelů trvalých bazénů</w:t>
            </w:r>
          </w:p>
        </w:tc>
        <w:tc>
          <w:tcPr>
            <w:tcW w:w="1723" w:type="dxa"/>
            <w:vAlign w:val="center"/>
          </w:tcPr>
          <w:p w:rsidR="0027084D" w:rsidRPr="004F4F2B" w:rsidRDefault="00624A9F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5 %</w:t>
            </w:r>
          </w:p>
        </w:tc>
      </w:tr>
      <w:tr w:rsidR="0027084D" w:rsidRPr="004F4F2B" w:rsidTr="00E40C96">
        <w:tc>
          <w:tcPr>
            <w:tcW w:w="7797" w:type="dxa"/>
          </w:tcPr>
          <w:p w:rsidR="00335E53" w:rsidRPr="004F4F2B" w:rsidRDefault="00335E53" w:rsidP="00335E53">
            <w:pPr>
              <w:jc w:val="both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Předpokládaný poměr bazénů s využíváním aktivního kyslíku z peroxidu vodíku pro dezinfekci</w:t>
            </w:r>
            <w:r w:rsidR="00783652" w:rsidRPr="004F4F2B">
              <w:rPr>
                <w:i/>
                <w:iCs/>
                <w:sz w:val="16"/>
                <w:szCs w:val="16"/>
              </w:rPr>
              <w:t xml:space="preserve"> svépomoc</w:t>
            </w:r>
            <w:r w:rsidR="00106899" w:rsidRPr="004F4F2B">
              <w:rPr>
                <w:i/>
                <w:iCs/>
                <w:sz w:val="16"/>
                <w:szCs w:val="16"/>
              </w:rPr>
              <w:t>í</w:t>
            </w:r>
          </w:p>
          <w:p w:rsidR="0027084D" w:rsidRPr="004F4F2B" w:rsidRDefault="00335E53" w:rsidP="00335E53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i/>
                <w:iCs/>
                <w:color w:val="808080" w:themeColor="background1" w:themeShade="80"/>
                <w:sz w:val="12"/>
                <w:szCs w:val="12"/>
              </w:rPr>
              <w:t xml:space="preserve">Stav k 2019; zdroj: </w:t>
            </w:r>
            <w:r w:rsidRPr="004F4F2B">
              <w:rPr>
                <w:rStyle w:val="Zdraznn"/>
                <w:color w:val="808080" w:themeColor="background1" w:themeShade="80"/>
                <w:sz w:val="12"/>
                <w:szCs w:val="12"/>
                <w:shd w:val="clear" w:color="auto" w:fill="FFFFFF"/>
              </w:rPr>
              <w:t>výše uvedené údaje a zdroje</w:t>
            </w:r>
          </w:p>
        </w:tc>
        <w:tc>
          <w:tcPr>
            <w:tcW w:w="1723" w:type="dxa"/>
            <w:vAlign w:val="center"/>
          </w:tcPr>
          <w:p w:rsidR="0027084D" w:rsidRPr="004F4F2B" w:rsidRDefault="00A42449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18 424</w:t>
            </w:r>
          </w:p>
        </w:tc>
      </w:tr>
      <w:tr w:rsidR="0027084D" w:rsidRPr="004F4F2B" w:rsidTr="00E40C96">
        <w:tc>
          <w:tcPr>
            <w:tcW w:w="7797" w:type="dxa"/>
          </w:tcPr>
          <w:p w:rsidR="0027084D" w:rsidRPr="004F4F2B" w:rsidRDefault="00D90DC5" w:rsidP="0027084D">
            <w:pPr>
              <w:jc w:val="both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sz w:val="16"/>
                <w:szCs w:val="16"/>
              </w:rPr>
              <w:t>Úbytek žadatelů kvůli neochotě žádat o vydání povolení</w:t>
            </w:r>
          </w:p>
          <w:p w:rsidR="00D90DC5" w:rsidRPr="004F4F2B" w:rsidRDefault="00D90DC5" w:rsidP="0027084D">
            <w:pPr>
              <w:jc w:val="both"/>
              <w:rPr>
                <w:i/>
                <w:iCs/>
                <w:sz w:val="12"/>
                <w:szCs w:val="12"/>
              </w:rPr>
            </w:pPr>
            <w:r w:rsidRPr="004F4F2B">
              <w:rPr>
                <w:i/>
                <w:iCs/>
                <w:color w:val="808080" w:themeColor="background1" w:themeShade="80"/>
                <w:sz w:val="12"/>
                <w:szCs w:val="12"/>
              </w:rPr>
              <w:t>Zdroj: odhad</w:t>
            </w:r>
          </w:p>
        </w:tc>
        <w:tc>
          <w:tcPr>
            <w:tcW w:w="1723" w:type="dxa"/>
            <w:vAlign w:val="center"/>
          </w:tcPr>
          <w:p w:rsidR="0027084D" w:rsidRPr="004F4F2B" w:rsidRDefault="00607201" w:rsidP="005E02A6">
            <w:pPr>
              <w:jc w:val="right"/>
              <w:rPr>
                <w:i/>
                <w:iCs/>
                <w:sz w:val="16"/>
                <w:szCs w:val="16"/>
              </w:rPr>
            </w:pPr>
            <w:r w:rsidRPr="004F4F2B">
              <w:rPr>
                <w:i/>
                <w:iCs/>
                <w:color w:val="222222"/>
                <w:sz w:val="16"/>
                <w:szCs w:val="16"/>
                <w:shd w:val="clear" w:color="auto" w:fill="FFFFFF"/>
              </w:rPr>
              <w:t>−2</w:t>
            </w:r>
            <w:r w:rsidR="00105AE4" w:rsidRPr="004F4F2B">
              <w:rPr>
                <w:i/>
                <w:iCs/>
                <w:color w:val="222222"/>
                <w:sz w:val="16"/>
                <w:szCs w:val="16"/>
                <w:shd w:val="clear" w:color="auto" w:fill="FFFFFF"/>
              </w:rPr>
              <w:t>5</w:t>
            </w:r>
            <w:r w:rsidRPr="004F4F2B">
              <w:rPr>
                <w:i/>
                <w:iCs/>
                <w:color w:val="222222"/>
                <w:sz w:val="16"/>
                <w:szCs w:val="16"/>
                <w:shd w:val="clear" w:color="auto" w:fill="FFFFFF"/>
              </w:rPr>
              <w:t> %</w:t>
            </w:r>
          </w:p>
        </w:tc>
      </w:tr>
      <w:tr w:rsidR="0027084D" w:rsidRPr="004F4F2B" w:rsidTr="00E40C96">
        <w:tc>
          <w:tcPr>
            <w:tcW w:w="7797" w:type="dxa"/>
          </w:tcPr>
          <w:p w:rsidR="0027084D" w:rsidRPr="004F4F2B" w:rsidRDefault="00D90DC5" w:rsidP="0027084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F4F2B">
              <w:rPr>
                <w:b/>
                <w:bCs/>
                <w:i/>
                <w:iCs/>
                <w:sz w:val="16"/>
                <w:szCs w:val="16"/>
              </w:rPr>
              <w:t xml:space="preserve">Předpokládaný počet </w:t>
            </w:r>
            <w:r w:rsidR="0023385C" w:rsidRPr="004F4F2B">
              <w:rPr>
                <w:b/>
                <w:bCs/>
                <w:i/>
                <w:iCs/>
                <w:sz w:val="16"/>
                <w:szCs w:val="16"/>
              </w:rPr>
              <w:t>žadatelů o povolení k dovozu, nákupu, držení a používání peroxidu vodíku 30</w:t>
            </w:r>
            <w:r w:rsidR="0023385C" w:rsidRPr="004F4F2B">
              <w:rPr>
                <w:b/>
                <w:bCs/>
                <w:i/>
                <w:iCs/>
                <w:sz w:val="16"/>
                <w:szCs w:val="16"/>
              </w:rPr>
              <w:noBreakHyphen/>
              <w:t>35 % hm.</w:t>
            </w:r>
          </w:p>
        </w:tc>
        <w:tc>
          <w:tcPr>
            <w:tcW w:w="1723" w:type="dxa"/>
            <w:vAlign w:val="center"/>
          </w:tcPr>
          <w:p w:rsidR="0027084D" w:rsidRPr="004F4F2B" w:rsidRDefault="003F19BE" w:rsidP="005E02A6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F4F2B">
              <w:rPr>
                <w:b/>
                <w:bCs/>
                <w:i/>
                <w:iCs/>
                <w:sz w:val="16"/>
                <w:szCs w:val="16"/>
              </w:rPr>
              <w:t>13 818</w:t>
            </w:r>
          </w:p>
        </w:tc>
      </w:tr>
    </w:tbl>
    <w:p w:rsidR="0011703B" w:rsidRPr="00EC1FA5" w:rsidRDefault="00EC1FA5" w:rsidP="00E40C96">
      <w:pPr>
        <w:spacing w:before="120" w:after="24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V tabulce</w:t>
      </w:r>
      <w:r w:rsidR="0011703B" w:rsidRPr="00EC1FA5">
        <w:rPr>
          <w:iCs/>
          <w:sz w:val="22"/>
          <w:szCs w:val="22"/>
        </w:rPr>
        <w:t xml:space="preserve"> odhadnutý počet žadatelů o povolení je však </w:t>
      </w:r>
      <w:r>
        <w:rPr>
          <w:iCs/>
          <w:sz w:val="22"/>
          <w:szCs w:val="22"/>
        </w:rPr>
        <w:t>nižší,</w:t>
      </w:r>
      <w:r w:rsidR="0011703B" w:rsidRPr="00EC1FA5">
        <w:rPr>
          <w:iCs/>
          <w:sz w:val="22"/>
          <w:szCs w:val="22"/>
        </w:rPr>
        <w:t xml:space="preserve"> při spodní hranici očekávání, jelikož </w:t>
      </w:r>
      <w:r w:rsidR="001B1CC8" w:rsidRPr="00EC1FA5">
        <w:rPr>
          <w:iCs/>
          <w:sz w:val="22"/>
          <w:szCs w:val="22"/>
        </w:rPr>
        <w:t xml:space="preserve">vedle bazénů trvalých lze uvažovat rovněž s bazény přenosnými, </w:t>
      </w:r>
      <w:r w:rsidR="0011703B" w:rsidRPr="00EC1FA5">
        <w:rPr>
          <w:iCs/>
          <w:sz w:val="22"/>
          <w:szCs w:val="22"/>
        </w:rPr>
        <w:t xml:space="preserve">u nichž rovněž připadá v úvahu </w:t>
      </w:r>
      <w:r w:rsidR="00510A5F" w:rsidRPr="00EC1FA5">
        <w:rPr>
          <w:iCs/>
          <w:sz w:val="22"/>
          <w:szCs w:val="22"/>
        </w:rPr>
        <w:t>dezinfekce vody s využíváním aktivního kyslíku z peroxidu vodíku 30</w:t>
      </w:r>
      <w:r w:rsidR="00510A5F" w:rsidRPr="00EC1FA5">
        <w:rPr>
          <w:iCs/>
          <w:sz w:val="22"/>
          <w:szCs w:val="22"/>
        </w:rPr>
        <w:noBreakHyphen/>
        <w:t>35 % hm.</w:t>
      </w:r>
      <w:r w:rsidR="005E51F7" w:rsidRPr="00EC1FA5">
        <w:rPr>
          <w:iCs/>
          <w:sz w:val="22"/>
          <w:szCs w:val="22"/>
        </w:rPr>
        <w:t xml:space="preserve"> </w:t>
      </w:r>
      <w:r w:rsidR="005E144E" w:rsidRPr="00EC1FA5">
        <w:rPr>
          <w:iCs/>
          <w:sz w:val="22"/>
          <w:szCs w:val="22"/>
        </w:rPr>
        <w:t xml:space="preserve">Podle odhadů </w:t>
      </w:r>
      <w:r>
        <w:rPr>
          <w:iCs/>
          <w:sz w:val="22"/>
          <w:szCs w:val="22"/>
        </w:rPr>
        <w:t xml:space="preserve">společnosti </w:t>
      </w:r>
      <w:r w:rsidR="00A429D0" w:rsidRPr="00EC1FA5">
        <w:rPr>
          <w:iCs/>
          <w:sz w:val="22"/>
          <w:szCs w:val="22"/>
        </w:rPr>
        <w:t>Mountfield a.s.</w:t>
      </w:r>
      <w:r w:rsidR="00DC4D85">
        <w:rPr>
          <w:iCs/>
          <w:sz w:val="22"/>
          <w:szCs w:val="22"/>
        </w:rPr>
        <w:t xml:space="preserve"> </w:t>
      </w:r>
      <w:r w:rsidR="00A429D0" w:rsidRPr="00EC1FA5">
        <w:rPr>
          <w:iCs/>
          <w:sz w:val="22"/>
          <w:szCs w:val="22"/>
        </w:rPr>
        <w:t xml:space="preserve">na webu Info.cz (18. 7. 2017) a webu Tyden.cz (5. 7. 2015) </w:t>
      </w:r>
      <w:r w:rsidR="001B1CC8" w:rsidRPr="00EC1FA5">
        <w:rPr>
          <w:iCs/>
          <w:sz w:val="22"/>
          <w:szCs w:val="22"/>
        </w:rPr>
        <w:t xml:space="preserve">se </w:t>
      </w:r>
      <w:r w:rsidR="00A429D0" w:rsidRPr="00EC1FA5">
        <w:rPr>
          <w:iCs/>
          <w:sz w:val="22"/>
          <w:szCs w:val="22"/>
        </w:rPr>
        <w:t xml:space="preserve">jich </w:t>
      </w:r>
      <w:r w:rsidR="003F694D" w:rsidRPr="00EC1FA5">
        <w:rPr>
          <w:iCs/>
          <w:sz w:val="22"/>
          <w:szCs w:val="22"/>
        </w:rPr>
        <w:t xml:space="preserve">na území České republiky </w:t>
      </w:r>
      <w:r w:rsidR="00A429D0" w:rsidRPr="00EC1FA5">
        <w:rPr>
          <w:iCs/>
          <w:sz w:val="22"/>
          <w:szCs w:val="22"/>
        </w:rPr>
        <w:t xml:space="preserve">jen </w:t>
      </w:r>
      <w:r w:rsidR="003F694D" w:rsidRPr="00EC1FA5">
        <w:rPr>
          <w:iCs/>
          <w:sz w:val="22"/>
          <w:szCs w:val="22"/>
        </w:rPr>
        <w:t>v roce 2018 nacházelo cca 400</w:t>
      </w:r>
      <w:r w:rsidR="002B0FB0" w:rsidRPr="00EC1FA5">
        <w:rPr>
          <w:iCs/>
          <w:sz w:val="22"/>
          <w:szCs w:val="22"/>
        </w:rPr>
        <w:t> </w:t>
      </w:r>
      <w:r w:rsidR="003F694D" w:rsidRPr="00EC1FA5">
        <w:rPr>
          <w:iCs/>
          <w:sz w:val="22"/>
          <w:szCs w:val="22"/>
        </w:rPr>
        <w:t>000</w:t>
      </w:r>
      <w:r w:rsidR="002B0FB0" w:rsidRPr="00EC1FA5">
        <w:rPr>
          <w:iCs/>
          <w:sz w:val="22"/>
          <w:szCs w:val="22"/>
        </w:rPr>
        <w:t>, a pokud by byl tento počet akcept</w:t>
      </w:r>
      <w:r w:rsidR="002B7851" w:rsidRPr="00EC1FA5">
        <w:rPr>
          <w:iCs/>
          <w:sz w:val="22"/>
          <w:szCs w:val="22"/>
        </w:rPr>
        <w:t>o</w:t>
      </w:r>
      <w:r w:rsidR="002B0FB0" w:rsidRPr="00EC1FA5">
        <w:rPr>
          <w:iCs/>
          <w:sz w:val="22"/>
          <w:szCs w:val="22"/>
        </w:rPr>
        <w:t xml:space="preserve">ván i pro rok 2019 a poměr bazénů s využíváním aktivního kyslíku z peroxidu vodíku pro dezinfekci </w:t>
      </w:r>
      <w:r w:rsidR="001B1CC8" w:rsidRPr="00EC1FA5">
        <w:rPr>
          <w:iCs/>
          <w:sz w:val="22"/>
          <w:szCs w:val="22"/>
        </w:rPr>
        <w:t xml:space="preserve">byl </w:t>
      </w:r>
      <w:r w:rsidR="002B0FB0" w:rsidRPr="00EC1FA5">
        <w:rPr>
          <w:iCs/>
          <w:sz w:val="22"/>
          <w:szCs w:val="22"/>
        </w:rPr>
        <w:t xml:space="preserve">i jen desetinový oproti bazénům trvalým (tedy jen 0,5 %), znamenalo by to nárůst počtu žadatelů o povolení </w:t>
      </w:r>
      <w:r w:rsidR="00DF5CD5" w:rsidRPr="00EC1FA5">
        <w:rPr>
          <w:iCs/>
          <w:sz w:val="22"/>
          <w:szCs w:val="22"/>
        </w:rPr>
        <w:t xml:space="preserve">jen pro </w:t>
      </w:r>
      <w:r w:rsidRPr="00EC1FA5">
        <w:rPr>
          <w:iCs/>
          <w:sz w:val="22"/>
          <w:szCs w:val="22"/>
        </w:rPr>
        <w:t>koncentrovanější roztoky</w:t>
      </w:r>
      <w:r w:rsidR="00DF5CD5" w:rsidRPr="00EC1FA5">
        <w:rPr>
          <w:iCs/>
          <w:sz w:val="22"/>
          <w:szCs w:val="22"/>
        </w:rPr>
        <w:t xml:space="preserve"> peroxidu vodíku </w:t>
      </w:r>
      <w:r w:rsidR="002B0FB0" w:rsidRPr="00EC1FA5">
        <w:rPr>
          <w:iCs/>
          <w:sz w:val="22"/>
          <w:szCs w:val="22"/>
        </w:rPr>
        <w:t>o</w:t>
      </w:r>
      <w:r w:rsidR="0011012B">
        <w:rPr>
          <w:iCs/>
          <w:sz w:val="22"/>
          <w:szCs w:val="22"/>
        </w:rPr>
        <w:t> </w:t>
      </w:r>
      <w:r w:rsidR="002B0FB0" w:rsidRPr="00EC1FA5">
        <w:rPr>
          <w:iCs/>
          <w:sz w:val="22"/>
          <w:szCs w:val="22"/>
        </w:rPr>
        <w:t xml:space="preserve">dalších </w:t>
      </w:r>
      <w:r w:rsidR="00A93277" w:rsidRPr="00EC1FA5">
        <w:rPr>
          <w:iCs/>
          <w:sz w:val="22"/>
          <w:szCs w:val="22"/>
        </w:rPr>
        <w:t>2 000.</w:t>
      </w:r>
    </w:p>
    <w:p w:rsidR="008A7838" w:rsidRDefault="00206919" w:rsidP="002470B3">
      <w:pPr>
        <w:spacing w:after="120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Odhadované náklady orgánu státní správy na administraci jedn</w:t>
      </w:r>
      <w:r w:rsidR="00911062" w:rsidRPr="004F4F2B">
        <w:rPr>
          <w:sz w:val="22"/>
          <w:szCs w:val="22"/>
        </w:rPr>
        <w:t xml:space="preserve">é žádosti o vydání povolení k dovozu, nákupu, držení a používání prekurzorů výbušnin podléhajících omezení </w:t>
      </w:r>
      <w:r w:rsidRPr="004F4F2B">
        <w:rPr>
          <w:sz w:val="22"/>
          <w:szCs w:val="22"/>
        </w:rPr>
        <w:t>sumarizuje následující tabulka.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992"/>
        <w:gridCol w:w="1134"/>
        <w:gridCol w:w="1134"/>
        <w:gridCol w:w="992"/>
      </w:tblGrid>
      <w:tr w:rsidR="00BA4090" w:rsidRPr="004F4F2B" w:rsidTr="00B5458A">
        <w:trPr>
          <w:trHeight w:hRule="exact" w:val="5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A4090" w:rsidRPr="004F4F2B" w:rsidRDefault="00BA4090" w:rsidP="007A75E1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lastRenderedPageBreak/>
              <w:t>Úkon</w:t>
            </w:r>
            <w:r w:rsidR="00EE5676" w:rsidRPr="004F4F2B">
              <w:rPr>
                <w:sz w:val="16"/>
                <w:szCs w:val="16"/>
              </w:rPr>
              <w:t>/náklad</w:t>
            </w:r>
            <w:r w:rsidR="007A75E1" w:rsidRPr="004F4F2B">
              <w:rPr>
                <w:sz w:val="16"/>
                <w:szCs w:val="16"/>
              </w:rPr>
              <w:t xml:space="preserve"> v rámci administrace žádosti o povolení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4090" w:rsidRPr="004F4F2B" w:rsidRDefault="00BA4090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Hodinový tarif*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4090" w:rsidRPr="004F4F2B" w:rsidRDefault="00BA4090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Potřebný čas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4090" w:rsidRPr="004F4F2B" w:rsidRDefault="0026220D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N</w:t>
            </w:r>
            <w:r w:rsidR="00BA4090" w:rsidRPr="004F4F2B">
              <w:rPr>
                <w:sz w:val="16"/>
                <w:szCs w:val="16"/>
              </w:rPr>
              <w:t>áklady na</w:t>
            </w:r>
            <w:r w:rsidR="00C21DD3" w:rsidRPr="004F4F2B">
              <w:rPr>
                <w:sz w:val="16"/>
                <w:szCs w:val="16"/>
              </w:rPr>
              <w:t> </w:t>
            </w:r>
            <w:r w:rsidR="00BA4090" w:rsidRPr="004F4F2B">
              <w:rPr>
                <w:sz w:val="16"/>
                <w:szCs w:val="16"/>
              </w:rPr>
              <w:t>úkon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4090" w:rsidRPr="004F4F2B" w:rsidRDefault="00BA4090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Celkové náklady</w:t>
            </w:r>
          </w:p>
        </w:tc>
      </w:tr>
      <w:tr w:rsidR="00EE5676" w:rsidRPr="004F4F2B" w:rsidTr="00B5458A">
        <w:trPr>
          <w:trHeight w:hRule="exact" w:val="45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E5676" w:rsidRPr="004F4F2B" w:rsidRDefault="00BD63A6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</w:t>
            </w:r>
            <w:r w:rsidR="00EE5676" w:rsidRPr="004F4F2B">
              <w:rPr>
                <w:sz w:val="16"/>
                <w:szCs w:val="16"/>
              </w:rPr>
              <w:t>řijetí, evidence, př</w:t>
            </w:r>
            <w:r w:rsidR="00A712FE" w:rsidRPr="004F4F2B">
              <w:rPr>
                <w:sz w:val="16"/>
                <w:szCs w:val="16"/>
              </w:rPr>
              <w:t>idělení a př</w:t>
            </w:r>
            <w:r w:rsidR="00EE5676" w:rsidRPr="004F4F2B">
              <w:rPr>
                <w:sz w:val="16"/>
                <w:szCs w:val="16"/>
              </w:rPr>
              <w:t xml:space="preserve">edání </w:t>
            </w:r>
            <w:r w:rsidRPr="004F4F2B">
              <w:rPr>
                <w:sz w:val="16"/>
                <w:szCs w:val="16"/>
              </w:rPr>
              <w:t xml:space="preserve">žádosti </w:t>
            </w:r>
            <w:r w:rsidR="00EE5676" w:rsidRPr="004F4F2B">
              <w:rPr>
                <w:sz w:val="16"/>
                <w:szCs w:val="16"/>
              </w:rPr>
              <w:t>oprávněné úřední osobě k vyřízení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269 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3F59B8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</w:t>
            </w:r>
            <w:r w:rsidR="00B36362" w:rsidRPr="004F4F2B">
              <w:rPr>
                <w:sz w:val="16"/>
                <w:szCs w:val="16"/>
              </w:rPr>
              <w:t>,</w:t>
            </w:r>
            <w:r w:rsidRPr="004F4F2B">
              <w:rPr>
                <w:sz w:val="16"/>
                <w:szCs w:val="16"/>
              </w:rPr>
              <w:t>0</w:t>
            </w:r>
            <w:r w:rsidR="00B36362" w:rsidRPr="004F4F2B">
              <w:rPr>
                <w:sz w:val="16"/>
                <w:szCs w:val="16"/>
              </w:rPr>
              <w:t> 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D477AA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269</w:t>
            </w:r>
            <w:r w:rsidR="00A712FE" w:rsidRPr="004F4F2B">
              <w:rPr>
                <w:sz w:val="16"/>
                <w:szCs w:val="16"/>
              </w:rPr>
              <w:t> Kč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9A2728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</w:t>
            </w:r>
            <w:r w:rsidR="005F1E93" w:rsidRPr="004F4F2B">
              <w:rPr>
                <w:sz w:val="16"/>
                <w:szCs w:val="16"/>
              </w:rPr>
              <w:t> </w:t>
            </w:r>
            <w:r w:rsidRPr="004F4F2B">
              <w:rPr>
                <w:sz w:val="16"/>
                <w:szCs w:val="16"/>
              </w:rPr>
              <w:t>032</w:t>
            </w:r>
            <w:r w:rsidR="00EE5676" w:rsidRPr="004F4F2B">
              <w:rPr>
                <w:sz w:val="16"/>
                <w:szCs w:val="16"/>
              </w:rPr>
              <w:t> Kč</w:t>
            </w:r>
          </w:p>
        </w:tc>
      </w:tr>
      <w:tr w:rsidR="00EE5676" w:rsidRPr="004F4F2B" w:rsidTr="00B5458A">
        <w:trPr>
          <w:trHeight w:hRule="exact" w:val="45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Kontrola úplnosti žádosti</w:t>
            </w:r>
            <w:r w:rsidR="00B349BC" w:rsidRPr="004F4F2B">
              <w:rPr>
                <w:sz w:val="16"/>
                <w:szCs w:val="16"/>
              </w:rPr>
              <w:t xml:space="preserve">, ověřování </w:t>
            </w:r>
            <w:r w:rsidR="00594D89" w:rsidRPr="004F4F2B">
              <w:rPr>
                <w:sz w:val="16"/>
                <w:szCs w:val="16"/>
              </w:rPr>
              <w:t>osobních údajů žadatele, ověřování omezení svéprávnosti žadatele</w:t>
            </w:r>
          </w:p>
        </w:tc>
        <w:tc>
          <w:tcPr>
            <w:tcW w:w="9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97638E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0,</w:t>
            </w:r>
            <w:r w:rsidR="007B539A" w:rsidRPr="004F4F2B">
              <w:rPr>
                <w:sz w:val="16"/>
                <w:szCs w:val="16"/>
              </w:rPr>
              <w:t>3</w:t>
            </w:r>
            <w:r w:rsidRPr="004F4F2B">
              <w:rPr>
                <w:sz w:val="16"/>
                <w:szCs w:val="16"/>
              </w:rPr>
              <w:t> 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7B539A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81</w:t>
            </w:r>
            <w:r w:rsidR="00696A33" w:rsidRPr="004F4F2B">
              <w:rPr>
                <w:sz w:val="16"/>
                <w:szCs w:val="16"/>
              </w:rPr>
              <w:t> Kč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</w:tr>
      <w:tr w:rsidR="00EE5676" w:rsidRPr="004F4F2B" w:rsidTr="00B5458A">
        <w:trPr>
          <w:trHeight w:hRule="exact" w:val="45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Ověřování důvodnosti žádosti</w:t>
            </w:r>
            <w:r w:rsidR="00FD43A0" w:rsidRPr="004F4F2B">
              <w:rPr>
                <w:sz w:val="16"/>
                <w:szCs w:val="16"/>
              </w:rPr>
              <w:t xml:space="preserve">, ověřování navrženého způsobu </w:t>
            </w:r>
            <w:r w:rsidR="00920B28" w:rsidRPr="004F4F2B">
              <w:rPr>
                <w:sz w:val="16"/>
                <w:szCs w:val="16"/>
              </w:rPr>
              <w:t xml:space="preserve">skladování a </w:t>
            </w:r>
            <w:r w:rsidR="00FD43A0" w:rsidRPr="004F4F2B">
              <w:rPr>
                <w:sz w:val="16"/>
                <w:szCs w:val="16"/>
              </w:rPr>
              <w:t xml:space="preserve">zabezpečení </w:t>
            </w:r>
            <w:r w:rsidR="00920B28" w:rsidRPr="004F4F2B">
              <w:rPr>
                <w:sz w:val="16"/>
                <w:szCs w:val="16"/>
              </w:rPr>
              <w:t>atd.</w:t>
            </w:r>
          </w:p>
        </w:tc>
        <w:tc>
          <w:tcPr>
            <w:tcW w:w="9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66759B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</w:t>
            </w:r>
            <w:r w:rsidR="0097638E" w:rsidRPr="004F4F2B">
              <w:rPr>
                <w:sz w:val="16"/>
                <w:szCs w:val="16"/>
              </w:rPr>
              <w:t>,</w:t>
            </w:r>
            <w:r w:rsidRPr="004F4F2B">
              <w:rPr>
                <w:sz w:val="16"/>
                <w:szCs w:val="16"/>
              </w:rPr>
              <w:t>0</w:t>
            </w:r>
            <w:r w:rsidR="0097638E" w:rsidRPr="004F4F2B">
              <w:rPr>
                <w:sz w:val="16"/>
                <w:szCs w:val="16"/>
              </w:rPr>
              <w:t> 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2162C8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538</w:t>
            </w:r>
            <w:r w:rsidR="00696A33" w:rsidRPr="004F4F2B">
              <w:rPr>
                <w:sz w:val="16"/>
                <w:szCs w:val="16"/>
              </w:rPr>
              <w:t> Kč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</w:tr>
      <w:tr w:rsidR="00EE5676" w:rsidRPr="004F4F2B" w:rsidTr="00B5458A">
        <w:trPr>
          <w:trHeight w:hRule="exact" w:val="6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Vyžádání opisu z Rejstříku trestů</w:t>
            </w:r>
            <w:r w:rsidR="00574936" w:rsidRPr="004F4F2B">
              <w:rPr>
                <w:sz w:val="16"/>
                <w:szCs w:val="16"/>
              </w:rPr>
              <w:t xml:space="preserve">, opisu z Evidence přestupků Rejstříku trestů nebo výpisu z obdobné evidence a jeho vyhodnocení </w:t>
            </w:r>
          </w:p>
        </w:tc>
        <w:tc>
          <w:tcPr>
            <w:tcW w:w="9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B168E8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</w:t>
            </w:r>
            <w:r w:rsidR="0097638E" w:rsidRPr="004F4F2B">
              <w:rPr>
                <w:sz w:val="16"/>
                <w:szCs w:val="16"/>
              </w:rPr>
              <w:t>,</w:t>
            </w:r>
            <w:r w:rsidRPr="004F4F2B">
              <w:rPr>
                <w:sz w:val="16"/>
                <w:szCs w:val="16"/>
              </w:rPr>
              <w:t>0</w:t>
            </w:r>
            <w:r w:rsidR="0097638E" w:rsidRPr="004F4F2B">
              <w:rPr>
                <w:sz w:val="16"/>
                <w:szCs w:val="16"/>
              </w:rPr>
              <w:t> 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85382B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269</w:t>
            </w:r>
            <w:r w:rsidR="00624815" w:rsidRPr="004F4F2B">
              <w:rPr>
                <w:sz w:val="16"/>
                <w:szCs w:val="16"/>
              </w:rPr>
              <w:t xml:space="preserve"> Kč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</w:tr>
      <w:tr w:rsidR="00EE5676" w:rsidRPr="004F4F2B" w:rsidTr="00B5458A">
        <w:trPr>
          <w:trHeight w:hRule="exact" w:val="45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Vyhotovení rozhodnutí</w:t>
            </w:r>
            <w:r w:rsidR="00910EA9" w:rsidRPr="004F4F2B">
              <w:rPr>
                <w:sz w:val="16"/>
                <w:szCs w:val="16"/>
              </w:rPr>
              <w:t>, schválení rozhodnutí, vypravení rozhodnutí</w:t>
            </w:r>
          </w:p>
        </w:tc>
        <w:tc>
          <w:tcPr>
            <w:tcW w:w="99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C5058F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2</w:t>
            </w:r>
            <w:r w:rsidR="0097638E" w:rsidRPr="004F4F2B">
              <w:rPr>
                <w:sz w:val="16"/>
                <w:szCs w:val="16"/>
              </w:rPr>
              <w:t>,</w:t>
            </w:r>
            <w:r w:rsidRPr="004F4F2B">
              <w:rPr>
                <w:sz w:val="16"/>
                <w:szCs w:val="16"/>
              </w:rPr>
              <w:t>5</w:t>
            </w:r>
            <w:r w:rsidR="0097638E" w:rsidRPr="004F4F2B">
              <w:rPr>
                <w:sz w:val="16"/>
                <w:szCs w:val="16"/>
              </w:rPr>
              <w:t> 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F80DBB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673</w:t>
            </w:r>
            <w:r w:rsidR="00914C8F" w:rsidRPr="004F4F2B">
              <w:rPr>
                <w:sz w:val="16"/>
                <w:szCs w:val="16"/>
              </w:rPr>
              <w:t> Kč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</w:tr>
      <w:tr w:rsidR="00EE5676" w:rsidRPr="004F4F2B" w:rsidTr="00B5458A">
        <w:trPr>
          <w:trHeight w:hRule="exact" w:val="45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Úkony související s nabytím právní moci rozhodnutí (zanesení do evidencí, administrace spisu atd.)</w:t>
            </w: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97638E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0,5 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914C8F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135 Kč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676" w:rsidRPr="004F4F2B" w:rsidRDefault="00EE5676" w:rsidP="00AD4312">
            <w:pPr>
              <w:jc w:val="right"/>
              <w:rPr>
                <w:sz w:val="16"/>
                <w:szCs w:val="16"/>
              </w:rPr>
            </w:pPr>
          </w:p>
        </w:tc>
      </w:tr>
      <w:tr w:rsidR="008C1628" w:rsidRPr="004F4F2B" w:rsidTr="00B5458A">
        <w:trPr>
          <w:trHeight w:hRule="exact" w:val="3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628" w:rsidRPr="004F4F2B" w:rsidRDefault="008C1628" w:rsidP="00AD4312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Poštovní náklady</w:t>
            </w:r>
            <w:r w:rsidR="00773C71" w:rsidRPr="004F4F2B">
              <w:rPr>
                <w:sz w:val="16"/>
                <w:szCs w:val="16"/>
              </w:rPr>
              <w:t>*</w:t>
            </w:r>
            <w:r w:rsidR="007940AD" w:rsidRPr="004F4F2B">
              <w:rPr>
                <w:sz w:val="16"/>
                <w:szCs w:val="16"/>
              </w:rPr>
              <w:t>*</w:t>
            </w:r>
          </w:p>
        </w:tc>
        <w:tc>
          <w:tcPr>
            <w:tcW w:w="3260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28" w:rsidRPr="004F4F2B" w:rsidRDefault="00672B56" w:rsidP="00AD4312">
            <w:pPr>
              <w:jc w:val="right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67</w:t>
            </w:r>
            <w:r w:rsidR="00487E5E" w:rsidRPr="004F4F2B">
              <w:rPr>
                <w:sz w:val="16"/>
                <w:szCs w:val="16"/>
              </w:rPr>
              <w:t> Kč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28" w:rsidRPr="004F4F2B" w:rsidRDefault="008C1628" w:rsidP="00AD4312">
            <w:pPr>
              <w:jc w:val="right"/>
              <w:rPr>
                <w:sz w:val="16"/>
                <w:szCs w:val="16"/>
              </w:rPr>
            </w:pPr>
          </w:p>
        </w:tc>
      </w:tr>
    </w:tbl>
    <w:p w:rsidR="00206919" w:rsidRPr="004F4F2B" w:rsidRDefault="00206919" w:rsidP="00E40C96">
      <w:pPr>
        <w:tabs>
          <w:tab w:val="left" w:pos="567"/>
        </w:tabs>
        <w:jc w:val="both"/>
        <w:rPr>
          <w:bCs/>
          <w:sz w:val="16"/>
          <w:szCs w:val="16"/>
        </w:rPr>
      </w:pPr>
      <w:r w:rsidRPr="004F4F2B">
        <w:rPr>
          <w:sz w:val="16"/>
          <w:szCs w:val="16"/>
        </w:rPr>
        <w:t>*)</w:t>
      </w:r>
      <w:r w:rsidRPr="004F4F2B">
        <w:rPr>
          <w:sz w:val="16"/>
          <w:szCs w:val="16"/>
        </w:rPr>
        <w:tab/>
        <w:t>Částka odpovídá průměrné výši měsíčního platu podle návrhu státního závěrečného účtu za rok 2018, tj.</w:t>
      </w:r>
      <w:r w:rsidR="007A75E1" w:rsidRPr="004F4F2B">
        <w:rPr>
          <w:sz w:val="16"/>
          <w:szCs w:val="16"/>
        </w:rPr>
        <w:t> </w:t>
      </w:r>
      <w:r w:rsidRPr="004F4F2B">
        <w:rPr>
          <w:sz w:val="16"/>
          <w:szCs w:val="16"/>
        </w:rPr>
        <w:t>33 806 Kč</w:t>
      </w:r>
      <w:r w:rsidR="00B215A5" w:rsidRPr="004F4F2B">
        <w:rPr>
          <w:sz w:val="16"/>
          <w:szCs w:val="16"/>
        </w:rPr>
        <w:t xml:space="preserve">, </w:t>
      </w:r>
      <w:r w:rsidRPr="004F4F2B">
        <w:rPr>
          <w:bCs/>
          <w:sz w:val="16"/>
          <w:szCs w:val="16"/>
        </w:rPr>
        <w:t>přepočítané na mzdové náklady při zohlednění 8hodinové pracovní doby a hypotetických 168 pracovních hodin v měsíci (4</w:t>
      </w:r>
      <w:r w:rsidR="00CB5F47" w:rsidRPr="004F4F2B">
        <w:rPr>
          <w:bCs/>
          <w:sz w:val="16"/>
          <w:szCs w:val="16"/>
        </w:rPr>
        <w:t>5</w:t>
      </w:r>
      <w:r w:rsidRPr="004F4F2B">
        <w:rPr>
          <w:bCs/>
          <w:sz w:val="16"/>
          <w:szCs w:val="16"/>
        </w:rPr>
        <w:t> </w:t>
      </w:r>
      <w:r w:rsidR="00CB5F47" w:rsidRPr="004F4F2B">
        <w:rPr>
          <w:bCs/>
          <w:sz w:val="16"/>
          <w:szCs w:val="16"/>
        </w:rPr>
        <w:t>232</w:t>
      </w:r>
      <w:r w:rsidRPr="004F4F2B">
        <w:rPr>
          <w:bCs/>
          <w:sz w:val="16"/>
          <w:szCs w:val="16"/>
        </w:rPr>
        <w:t> Kč).</w:t>
      </w:r>
    </w:p>
    <w:p w:rsidR="003E53C4" w:rsidRPr="004F4F2B" w:rsidRDefault="00773C71" w:rsidP="00E40C96">
      <w:pPr>
        <w:tabs>
          <w:tab w:val="left" w:pos="567"/>
        </w:tabs>
        <w:spacing w:after="240"/>
        <w:jc w:val="both"/>
        <w:rPr>
          <w:sz w:val="16"/>
          <w:szCs w:val="16"/>
        </w:rPr>
      </w:pPr>
      <w:r w:rsidRPr="004F4F2B">
        <w:rPr>
          <w:sz w:val="16"/>
          <w:szCs w:val="16"/>
        </w:rPr>
        <w:t>**)</w:t>
      </w:r>
      <w:r w:rsidRPr="004F4F2B">
        <w:rPr>
          <w:sz w:val="16"/>
          <w:szCs w:val="16"/>
        </w:rPr>
        <w:tab/>
        <w:t xml:space="preserve">Částka odpovídá </w:t>
      </w:r>
      <w:r w:rsidR="00672B56" w:rsidRPr="004F4F2B">
        <w:rPr>
          <w:sz w:val="16"/>
          <w:szCs w:val="16"/>
        </w:rPr>
        <w:t xml:space="preserve">poplatku za </w:t>
      </w:r>
      <w:r w:rsidR="003E53C4" w:rsidRPr="004F4F2B">
        <w:rPr>
          <w:sz w:val="16"/>
          <w:szCs w:val="16"/>
        </w:rPr>
        <w:t xml:space="preserve">produkt „Doporučené psaní standard“ o váze do 50 g vč. dodání do vlastních rukou a dodejky, se zákaznickou slevou, podle ceníku poskytovatele poštovních služeb Česká pošta, </w:t>
      </w:r>
      <w:proofErr w:type="spellStart"/>
      <w:r w:rsidR="003E53C4" w:rsidRPr="004F4F2B">
        <w:rPr>
          <w:sz w:val="16"/>
          <w:szCs w:val="16"/>
        </w:rPr>
        <w:t>s.p</w:t>
      </w:r>
      <w:proofErr w:type="spellEnd"/>
      <w:r w:rsidR="003E53C4" w:rsidRPr="004F4F2B">
        <w:rPr>
          <w:sz w:val="16"/>
          <w:szCs w:val="16"/>
        </w:rPr>
        <w:t>.</w:t>
      </w:r>
    </w:p>
    <w:p w:rsidR="00916EF6" w:rsidRPr="004F4F2B" w:rsidRDefault="005C33DF" w:rsidP="00E40C96">
      <w:pPr>
        <w:spacing w:after="48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Celkov</w:t>
      </w:r>
      <w:r w:rsidR="002552F9" w:rsidRPr="004F4F2B">
        <w:rPr>
          <w:sz w:val="22"/>
          <w:szCs w:val="22"/>
        </w:rPr>
        <w:t>ě</w:t>
      </w:r>
      <w:r w:rsidRPr="004F4F2B">
        <w:rPr>
          <w:sz w:val="22"/>
          <w:szCs w:val="22"/>
        </w:rPr>
        <w:t xml:space="preserve"> lze tedy odhadovat náklady na straně orgán</w:t>
      </w:r>
      <w:r w:rsidR="00722564" w:rsidRPr="004F4F2B">
        <w:rPr>
          <w:sz w:val="22"/>
          <w:szCs w:val="22"/>
        </w:rPr>
        <w:t>ů</w:t>
      </w:r>
      <w:r w:rsidRPr="004F4F2B">
        <w:rPr>
          <w:sz w:val="22"/>
          <w:szCs w:val="22"/>
        </w:rPr>
        <w:t xml:space="preserve"> státní správy jen za vydávání povolení k dovozu, nákupu, držení a používání prekurzoru výbušnin</w:t>
      </w:r>
      <w:r w:rsidR="0007361B">
        <w:rPr>
          <w:sz w:val="22"/>
          <w:szCs w:val="22"/>
        </w:rPr>
        <w:t xml:space="preserve"> podle výše uvedeného nařízení EU</w:t>
      </w:r>
      <w:r w:rsidRPr="004F4F2B">
        <w:rPr>
          <w:sz w:val="22"/>
          <w:szCs w:val="22"/>
        </w:rPr>
        <w:t xml:space="preserve"> ve výši min. </w:t>
      </w:r>
      <w:r w:rsidR="00001FC6" w:rsidRPr="004F4F2B">
        <w:rPr>
          <w:sz w:val="22"/>
          <w:szCs w:val="22"/>
        </w:rPr>
        <w:t>2 032 </w:t>
      </w:r>
      <w:r w:rsidR="00CD5E28" w:rsidRPr="004F4F2B">
        <w:rPr>
          <w:sz w:val="22"/>
          <w:szCs w:val="22"/>
        </w:rPr>
        <w:t>Kč </w:t>
      </w:r>
      <w:r w:rsidR="00001FC6" w:rsidRPr="004F4F2B">
        <w:rPr>
          <w:rStyle w:val="st"/>
          <w:sz w:val="22"/>
          <w:szCs w:val="22"/>
        </w:rPr>
        <w:t>× </w:t>
      </w:r>
      <w:r w:rsidR="00CD5E28" w:rsidRPr="004F4F2B">
        <w:rPr>
          <w:rStyle w:val="st"/>
          <w:sz w:val="22"/>
          <w:szCs w:val="22"/>
        </w:rPr>
        <w:t>13 818 žadatelů, tedy min. </w:t>
      </w:r>
      <w:r w:rsidR="00CD5E28" w:rsidRPr="004F4F2B">
        <w:rPr>
          <w:b/>
          <w:bCs/>
          <w:sz w:val="22"/>
          <w:szCs w:val="22"/>
        </w:rPr>
        <w:t>28</w:t>
      </w:r>
      <w:r w:rsidR="00F60C35" w:rsidRPr="004F4F2B">
        <w:rPr>
          <w:b/>
          <w:bCs/>
          <w:sz w:val="22"/>
          <w:szCs w:val="22"/>
        </w:rPr>
        <w:t>,</w:t>
      </w:r>
      <w:r w:rsidR="00CD5E28" w:rsidRPr="004F4F2B">
        <w:rPr>
          <w:b/>
          <w:bCs/>
          <w:sz w:val="22"/>
          <w:szCs w:val="22"/>
        </w:rPr>
        <w:t>1</w:t>
      </w:r>
      <w:r w:rsidR="00F60C35" w:rsidRPr="004F4F2B">
        <w:rPr>
          <w:b/>
          <w:bCs/>
          <w:sz w:val="22"/>
          <w:szCs w:val="22"/>
        </w:rPr>
        <w:t xml:space="preserve"> mil. </w:t>
      </w:r>
      <w:r w:rsidRPr="004F4F2B">
        <w:rPr>
          <w:b/>
          <w:bCs/>
          <w:sz w:val="22"/>
          <w:szCs w:val="22"/>
        </w:rPr>
        <w:t>Kč</w:t>
      </w:r>
      <w:r w:rsidR="00264DDF" w:rsidRPr="004F4F2B">
        <w:rPr>
          <w:sz w:val="22"/>
          <w:szCs w:val="22"/>
        </w:rPr>
        <w:t xml:space="preserve"> </w:t>
      </w:r>
      <w:r w:rsidR="00DC67E9" w:rsidRPr="004F4F2B">
        <w:rPr>
          <w:sz w:val="22"/>
          <w:szCs w:val="22"/>
        </w:rPr>
        <w:t xml:space="preserve">za </w:t>
      </w:r>
      <w:r w:rsidR="00FB3FF5" w:rsidRPr="004F4F2B">
        <w:rPr>
          <w:sz w:val="22"/>
          <w:szCs w:val="22"/>
        </w:rPr>
        <w:t xml:space="preserve">každé </w:t>
      </w:r>
      <w:r w:rsidR="00DC67E9" w:rsidRPr="004F4F2B">
        <w:rPr>
          <w:sz w:val="22"/>
          <w:szCs w:val="22"/>
        </w:rPr>
        <w:t>3 roky</w:t>
      </w:r>
      <w:r w:rsidR="007B4CA3" w:rsidRPr="004F4F2B">
        <w:rPr>
          <w:sz w:val="22"/>
          <w:szCs w:val="22"/>
        </w:rPr>
        <w:t xml:space="preserve">. </w:t>
      </w:r>
      <w:r w:rsidR="00B829A1" w:rsidRPr="004F4F2B">
        <w:rPr>
          <w:sz w:val="22"/>
          <w:szCs w:val="22"/>
        </w:rPr>
        <w:t xml:space="preserve">Nutno však </w:t>
      </w:r>
      <w:r w:rsidR="0007361B">
        <w:rPr>
          <w:sz w:val="22"/>
          <w:szCs w:val="22"/>
        </w:rPr>
        <w:t>zdůraznit</w:t>
      </w:r>
      <w:r w:rsidR="00B829A1" w:rsidRPr="004F4F2B">
        <w:rPr>
          <w:sz w:val="22"/>
          <w:szCs w:val="22"/>
        </w:rPr>
        <w:t xml:space="preserve">, že jde o </w:t>
      </w:r>
      <w:r w:rsidR="00E45BB3" w:rsidRPr="004F4F2B">
        <w:rPr>
          <w:sz w:val="22"/>
          <w:szCs w:val="22"/>
        </w:rPr>
        <w:t xml:space="preserve">velmi </w:t>
      </w:r>
      <w:r w:rsidR="0007361B">
        <w:rPr>
          <w:sz w:val="22"/>
          <w:szCs w:val="22"/>
        </w:rPr>
        <w:t>nízké</w:t>
      </w:r>
      <w:r w:rsidR="00E45BB3" w:rsidRPr="004F4F2B">
        <w:rPr>
          <w:sz w:val="22"/>
          <w:szCs w:val="22"/>
        </w:rPr>
        <w:t xml:space="preserve"> </w:t>
      </w:r>
      <w:r w:rsidR="00B829A1" w:rsidRPr="004F4F2B">
        <w:rPr>
          <w:sz w:val="22"/>
          <w:szCs w:val="22"/>
        </w:rPr>
        <w:t>odhady</w:t>
      </w:r>
      <w:r w:rsidR="00E45BB3" w:rsidRPr="004F4F2B">
        <w:rPr>
          <w:sz w:val="22"/>
          <w:szCs w:val="22"/>
        </w:rPr>
        <w:t xml:space="preserve">, které navíc </w:t>
      </w:r>
      <w:r w:rsidR="00916EF6" w:rsidRPr="004F4F2B">
        <w:rPr>
          <w:sz w:val="22"/>
          <w:szCs w:val="22"/>
        </w:rPr>
        <w:t>nezahrnují náklady na případné opatřování údajů ze zahraničních rejstřík</w:t>
      </w:r>
      <w:r w:rsidR="0007361B">
        <w:rPr>
          <w:sz w:val="22"/>
          <w:szCs w:val="22"/>
        </w:rPr>
        <w:t>ů</w:t>
      </w:r>
      <w:r w:rsidR="00916EF6" w:rsidRPr="004F4F2B">
        <w:rPr>
          <w:sz w:val="22"/>
          <w:szCs w:val="22"/>
        </w:rPr>
        <w:t xml:space="preserve"> trestů,</w:t>
      </w:r>
      <w:r w:rsidR="0007361B">
        <w:rPr>
          <w:sz w:val="22"/>
          <w:szCs w:val="22"/>
        </w:rPr>
        <w:t xml:space="preserve"> resp. obdobných evidencí,</w:t>
      </w:r>
      <w:r w:rsidR="00916EF6" w:rsidRPr="004F4F2B">
        <w:rPr>
          <w:sz w:val="22"/>
          <w:szCs w:val="22"/>
        </w:rPr>
        <w:t xml:space="preserve"> pokud by žadatel pobýval mimo Českou republiku, úkony související s neuhrazením správního poplatku, s řízením o</w:t>
      </w:r>
      <w:r w:rsidR="000B40A1" w:rsidRPr="004F4F2B">
        <w:rPr>
          <w:sz w:val="22"/>
          <w:szCs w:val="22"/>
        </w:rPr>
        <w:t> </w:t>
      </w:r>
      <w:r w:rsidR="00916EF6" w:rsidRPr="004F4F2B">
        <w:rPr>
          <w:sz w:val="22"/>
          <w:szCs w:val="22"/>
        </w:rPr>
        <w:t>opravném prostředku,</w:t>
      </w:r>
      <w:r w:rsidR="0007361B">
        <w:rPr>
          <w:sz w:val="22"/>
          <w:szCs w:val="22"/>
        </w:rPr>
        <w:t xml:space="preserve"> vč. soudních přezkumů,</w:t>
      </w:r>
      <w:r w:rsidR="00916EF6" w:rsidRPr="004F4F2B">
        <w:rPr>
          <w:sz w:val="22"/>
          <w:szCs w:val="22"/>
        </w:rPr>
        <w:t xml:space="preserve"> s</w:t>
      </w:r>
      <w:r w:rsidR="00DC4D85">
        <w:rPr>
          <w:sz w:val="22"/>
          <w:szCs w:val="22"/>
        </w:rPr>
        <w:t> </w:t>
      </w:r>
      <w:r w:rsidR="00916EF6" w:rsidRPr="004F4F2B">
        <w:rPr>
          <w:sz w:val="22"/>
          <w:szCs w:val="22"/>
        </w:rPr>
        <w:t>řízením</w:t>
      </w:r>
      <w:r w:rsidR="00DC4D85">
        <w:rPr>
          <w:sz w:val="22"/>
          <w:szCs w:val="22"/>
        </w:rPr>
        <w:t xml:space="preserve"> </w:t>
      </w:r>
      <w:r w:rsidR="00916EF6" w:rsidRPr="004F4F2B">
        <w:rPr>
          <w:sz w:val="22"/>
          <w:szCs w:val="22"/>
        </w:rPr>
        <w:t xml:space="preserve">o odejmutí povolení v případě porušení právních předpisů nebo podmínek povolení atd., pořízení a správu informačního systému pro ověření platnosti povolení v reálném čase </w:t>
      </w:r>
      <w:r w:rsidR="00FA36EB" w:rsidRPr="004F4F2B">
        <w:rPr>
          <w:sz w:val="22"/>
          <w:szCs w:val="22"/>
        </w:rPr>
        <w:t xml:space="preserve">ze strany hospodářských subjektů </w:t>
      </w:r>
      <w:r w:rsidR="00916EF6" w:rsidRPr="004F4F2B">
        <w:rPr>
          <w:sz w:val="22"/>
          <w:szCs w:val="22"/>
        </w:rPr>
        <w:t>atd.</w:t>
      </w:r>
      <w:r w:rsidR="00FA36EB" w:rsidRPr="004F4F2B">
        <w:rPr>
          <w:sz w:val="22"/>
          <w:szCs w:val="22"/>
        </w:rPr>
        <w:t xml:space="preserve"> Výsledné náklady by tak mohly být i několikanásobně vyšší.</w:t>
      </w:r>
      <w:r w:rsidR="00CB37A5">
        <w:rPr>
          <w:sz w:val="22"/>
          <w:szCs w:val="22"/>
        </w:rPr>
        <w:t xml:space="preserve"> Z hlediska stávajících kapacit lidských zdrojů a</w:t>
      </w:r>
      <w:r w:rsidR="001F5874">
        <w:rPr>
          <w:sz w:val="22"/>
          <w:szCs w:val="22"/>
        </w:rPr>
        <w:t> </w:t>
      </w:r>
      <w:r w:rsidR="00CB37A5">
        <w:rPr>
          <w:sz w:val="22"/>
          <w:szCs w:val="22"/>
        </w:rPr>
        <w:t>předpokládaným požadavkům na správní činnost, které se s ohledem na nařízení, nelze vyhnout, bude nutné přijmout do státní služby další dvě osoby na Českém báňském úřadu, již výše vyčísleno náklady souhrnně 1,7 mil. ročně.</w:t>
      </w:r>
    </w:p>
    <w:p w:rsidR="00A569A5" w:rsidRPr="004F4F2B" w:rsidRDefault="00A569A5" w:rsidP="005C6DF7">
      <w:pPr>
        <w:tabs>
          <w:tab w:val="left" w:pos="1418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3.</w:t>
      </w:r>
      <w:r w:rsidR="0023576B" w:rsidRPr="004F4F2B">
        <w:rPr>
          <w:b/>
          <w:sz w:val="22"/>
          <w:szCs w:val="22"/>
        </w:rPr>
        <w:t>1</w:t>
      </w:r>
      <w:r w:rsidRPr="004F4F2B">
        <w:rPr>
          <w:b/>
          <w:sz w:val="22"/>
          <w:szCs w:val="22"/>
        </w:rPr>
        <w:t>.4</w:t>
      </w:r>
      <w:r w:rsidRPr="004F4F2B">
        <w:rPr>
          <w:b/>
          <w:sz w:val="22"/>
          <w:szCs w:val="22"/>
        </w:rPr>
        <w:tab/>
        <w:t>Vyhodnocení variant</w:t>
      </w:r>
    </w:p>
    <w:p w:rsidR="0094588D" w:rsidRPr="004F4F2B" w:rsidRDefault="00A569A5" w:rsidP="005C6DF7">
      <w:pPr>
        <w:spacing w:after="24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 xml:space="preserve">Varianta I (nulová) </w:t>
      </w:r>
      <w:r w:rsidR="00E64207" w:rsidRPr="004F4F2B">
        <w:rPr>
          <w:bCs/>
          <w:sz w:val="22"/>
          <w:szCs w:val="22"/>
        </w:rPr>
        <w:t xml:space="preserve">nevykazuje pro přímo dotčené subjekty </w:t>
      </w:r>
      <w:r w:rsidR="005B7FAA" w:rsidRPr="004F4F2B">
        <w:rPr>
          <w:bCs/>
          <w:sz w:val="22"/>
          <w:szCs w:val="22"/>
        </w:rPr>
        <w:t>žádné přínosy, pro nepřímo dotčené subjekty – tedy veřejnost – vykazuje značný přínos v podobě omezení dostupnosti chemických látek a směsí pro neoprávněnou výrobu výbušnin, čímž zákonitě klesne riziko neoprávněné</w:t>
      </w:r>
      <w:r w:rsidR="00722564" w:rsidRPr="004F4F2B">
        <w:rPr>
          <w:bCs/>
          <w:sz w:val="22"/>
          <w:szCs w:val="22"/>
        </w:rPr>
        <w:t xml:space="preserve"> výroby </w:t>
      </w:r>
      <w:r w:rsidR="005B7FAA" w:rsidRPr="004F4F2B">
        <w:rPr>
          <w:bCs/>
          <w:sz w:val="22"/>
          <w:szCs w:val="22"/>
        </w:rPr>
        <w:t>výbušnin, alespo</w:t>
      </w:r>
      <w:r w:rsidR="00A47E03" w:rsidRPr="004F4F2B">
        <w:rPr>
          <w:bCs/>
          <w:sz w:val="22"/>
          <w:szCs w:val="22"/>
        </w:rPr>
        <w:t>ň tedy u</w:t>
      </w:r>
      <w:r w:rsidR="001F5874">
        <w:rPr>
          <w:bCs/>
          <w:sz w:val="22"/>
          <w:szCs w:val="22"/>
        </w:rPr>
        <w:t> </w:t>
      </w:r>
      <w:r w:rsidR="00A47E03" w:rsidRPr="004F4F2B">
        <w:rPr>
          <w:bCs/>
          <w:sz w:val="22"/>
          <w:szCs w:val="22"/>
        </w:rPr>
        <w:t xml:space="preserve">osob, které by si nepořizovaly takové látky a směsi prostřednictvím nelegálních zdrojů. </w:t>
      </w:r>
      <w:r w:rsidR="0094588D" w:rsidRPr="004F4F2B">
        <w:rPr>
          <w:bCs/>
          <w:sz w:val="22"/>
          <w:szCs w:val="22"/>
        </w:rPr>
        <w:t xml:space="preserve">Přínosy </w:t>
      </w:r>
      <w:r w:rsidR="004E2E79" w:rsidRPr="004F4F2B">
        <w:rPr>
          <w:bCs/>
          <w:sz w:val="22"/>
          <w:szCs w:val="22"/>
        </w:rPr>
        <w:t>pro přímo dotčené subjekty nevykazuje ani varianta II, totéž platí o přínosech pro nepřímo dotčené subjekty – veřejnost.</w:t>
      </w:r>
    </w:p>
    <w:p w:rsidR="007D5ED8" w:rsidRPr="00B96C76" w:rsidRDefault="00591FD5" w:rsidP="007D5ED8">
      <w:pPr>
        <w:spacing w:after="24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 xml:space="preserve">Pokud jde o náklady, varianta I předpokládá </w:t>
      </w:r>
      <w:r w:rsidR="00094F1E" w:rsidRPr="004F4F2B">
        <w:rPr>
          <w:bCs/>
          <w:sz w:val="22"/>
          <w:szCs w:val="22"/>
        </w:rPr>
        <w:t xml:space="preserve">náklady pro </w:t>
      </w:r>
      <w:r w:rsidR="00A62FDE" w:rsidRPr="004F4F2B">
        <w:rPr>
          <w:bCs/>
          <w:sz w:val="22"/>
          <w:szCs w:val="22"/>
        </w:rPr>
        <w:t xml:space="preserve">osoby z řad široké veřejnosti </w:t>
      </w:r>
      <w:r w:rsidR="00094F1E" w:rsidRPr="004F4F2B">
        <w:rPr>
          <w:bCs/>
          <w:sz w:val="22"/>
          <w:szCs w:val="22"/>
        </w:rPr>
        <w:t>v podobě nákupu alternativních výrobků. Tyto náklady</w:t>
      </w:r>
      <w:r w:rsidR="00E54CCE" w:rsidRPr="004F4F2B">
        <w:rPr>
          <w:bCs/>
          <w:sz w:val="22"/>
          <w:szCs w:val="22"/>
        </w:rPr>
        <w:t xml:space="preserve"> bylo možné s ohledem na obrovské množství portfolia výrobků obsahujících prekurzory výbušnin podléhající omezení kvantifikovat jen relativně</w:t>
      </w:r>
      <w:r w:rsidR="002408A2" w:rsidRPr="004F4F2B">
        <w:rPr>
          <w:bCs/>
          <w:sz w:val="22"/>
          <w:szCs w:val="22"/>
        </w:rPr>
        <w:t xml:space="preserve">; pro ilustraci, v případě pořizování zředěnějších roztoků prekurzorů výbušnin podléhající omezení lze předpokládat nárůst nákladů do 10 %, v případě pořizování alternativních uzavřených akumulátorů namísto </w:t>
      </w:r>
      <w:r w:rsidR="001132D5" w:rsidRPr="004F4F2B">
        <w:rPr>
          <w:bCs/>
          <w:sz w:val="22"/>
          <w:szCs w:val="22"/>
        </w:rPr>
        <w:t xml:space="preserve">konvenčních </w:t>
      </w:r>
      <w:proofErr w:type="spellStart"/>
      <w:r w:rsidR="001132D5" w:rsidRPr="004F4F2B">
        <w:rPr>
          <w:bCs/>
          <w:sz w:val="22"/>
          <w:szCs w:val="22"/>
        </w:rPr>
        <w:t>zaplavitelných</w:t>
      </w:r>
      <w:proofErr w:type="spellEnd"/>
      <w:r w:rsidR="001132D5" w:rsidRPr="004F4F2B">
        <w:rPr>
          <w:bCs/>
          <w:sz w:val="22"/>
          <w:szCs w:val="22"/>
        </w:rPr>
        <w:t xml:space="preserve"> lze předpokládat zvýšení nákladů o 47</w:t>
      </w:r>
      <w:r w:rsidR="00C07263" w:rsidRPr="004F4F2B">
        <w:rPr>
          <w:bCs/>
          <w:sz w:val="22"/>
          <w:szCs w:val="22"/>
        </w:rPr>
        <w:t>–</w:t>
      </w:r>
      <w:r w:rsidR="001132D5" w:rsidRPr="004F4F2B">
        <w:rPr>
          <w:bCs/>
          <w:sz w:val="22"/>
          <w:szCs w:val="22"/>
        </w:rPr>
        <w:t xml:space="preserve">71 %, a v případě </w:t>
      </w:r>
      <w:r w:rsidR="00D277CA" w:rsidRPr="004F4F2B">
        <w:rPr>
          <w:bCs/>
          <w:sz w:val="22"/>
          <w:szCs w:val="22"/>
        </w:rPr>
        <w:t xml:space="preserve">pořizování alternativ koncentrovanějších roztoků </w:t>
      </w:r>
      <w:proofErr w:type="spellStart"/>
      <w:r w:rsidR="00D277CA" w:rsidRPr="004F4F2B">
        <w:rPr>
          <w:bCs/>
          <w:sz w:val="22"/>
          <w:szCs w:val="22"/>
        </w:rPr>
        <w:t>nitromethanu</w:t>
      </w:r>
      <w:proofErr w:type="spellEnd"/>
      <w:r w:rsidR="00D277CA" w:rsidRPr="004F4F2B">
        <w:rPr>
          <w:bCs/>
          <w:sz w:val="22"/>
          <w:szCs w:val="22"/>
        </w:rPr>
        <w:t xml:space="preserve"> lze předpokládat navýšení nákladů o 12</w:t>
      </w:r>
      <w:r w:rsidR="00C07263" w:rsidRPr="004F4F2B">
        <w:rPr>
          <w:bCs/>
          <w:sz w:val="22"/>
          <w:szCs w:val="22"/>
        </w:rPr>
        <w:t>–</w:t>
      </w:r>
      <w:r w:rsidR="00D277CA" w:rsidRPr="004F4F2B">
        <w:rPr>
          <w:bCs/>
          <w:sz w:val="22"/>
          <w:szCs w:val="22"/>
        </w:rPr>
        <w:t>148 %.</w:t>
      </w:r>
      <w:r w:rsidR="00294B88" w:rsidRPr="004F4F2B">
        <w:rPr>
          <w:bCs/>
          <w:sz w:val="22"/>
          <w:szCs w:val="22"/>
        </w:rPr>
        <w:t xml:space="preserve"> Stejně tak i varianta II předpokládá náklady pro přímo dotčené subjekty.</w:t>
      </w:r>
      <w:r w:rsidR="008E6AEC" w:rsidRPr="004F4F2B">
        <w:rPr>
          <w:bCs/>
          <w:sz w:val="22"/>
          <w:szCs w:val="22"/>
        </w:rPr>
        <w:t xml:space="preserve"> </w:t>
      </w:r>
      <w:r w:rsidR="00BB0B62" w:rsidRPr="004F4F2B">
        <w:rPr>
          <w:bCs/>
          <w:sz w:val="22"/>
          <w:szCs w:val="22"/>
        </w:rPr>
        <w:t xml:space="preserve">U hospodářských subjektů lze předpokládat náklady za prodej peroxidu vodíku osobám z řad široké veřejnosti cca 24,4 mil. Kč </w:t>
      </w:r>
      <w:r w:rsidR="006F129B" w:rsidRPr="004F4F2B">
        <w:rPr>
          <w:bCs/>
          <w:sz w:val="22"/>
          <w:szCs w:val="22"/>
        </w:rPr>
        <w:t xml:space="preserve">za tříleté období </w:t>
      </w:r>
      <w:r w:rsidR="00BB0B62" w:rsidRPr="004F4F2B">
        <w:rPr>
          <w:bCs/>
          <w:sz w:val="22"/>
          <w:szCs w:val="22"/>
        </w:rPr>
        <w:t>a</w:t>
      </w:r>
      <w:r w:rsidR="00194D2E" w:rsidRPr="004F4F2B">
        <w:rPr>
          <w:bCs/>
          <w:sz w:val="22"/>
          <w:szCs w:val="22"/>
        </w:rPr>
        <w:t> </w:t>
      </w:r>
      <w:r w:rsidR="00BB0B62" w:rsidRPr="004F4F2B">
        <w:rPr>
          <w:bCs/>
          <w:sz w:val="22"/>
          <w:szCs w:val="22"/>
        </w:rPr>
        <w:t>obdobně nezan</w:t>
      </w:r>
      <w:r w:rsidR="00194D2E" w:rsidRPr="004F4F2B">
        <w:rPr>
          <w:bCs/>
          <w:sz w:val="22"/>
          <w:szCs w:val="22"/>
        </w:rPr>
        <w:t>e</w:t>
      </w:r>
      <w:r w:rsidR="00BB0B62" w:rsidRPr="004F4F2B">
        <w:rPr>
          <w:bCs/>
          <w:sz w:val="22"/>
          <w:szCs w:val="22"/>
        </w:rPr>
        <w:t>dbatelné náklady</w:t>
      </w:r>
      <w:r w:rsidR="00DC4D85">
        <w:rPr>
          <w:bCs/>
          <w:sz w:val="22"/>
          <w:szCs w:val="22"/>
        </w:rPr>
        <w:t xml:space="preserve"> </w:t>
      </w:r>
      <w:r w:rsidR="00BB0B62" w:rsidRPr="004F4F2B">
        <w:rPr>
          <w:bCs/>
          <w:sz w:val="22"/>
          <w:szCs w:val="22"/>
        </w:rPr>
        <w:t xml:space="preserve">za prodej dalších prekurzorů výbušnin podléhajících omezení. </w:t>
      </w:r>
      <w:r w:rsidR="008F6C47" w:rsidRPr="004F4F2B">
        <w:rPr>
          <w:bCs/>
          <w:sz w:val="22"/>
          <w:szCs w:val="22"/>
        </w:rPr>
        <w:t>O</w:t>
      </w:r>
      <w:r w:rsidR="00BB0B62" w:rsidRPr="004F4F2B">
        <w:rPr>
          <w:bCs/>
          <w:sz w:val="22"/>
          <w:szCs w:val="22"/>
        </w:rPr>
        <w:t>sob</w:t>
      </w:r>
      <w:r w:rsidR="008F6C47" w:rsidRPr="004F4F2B">
        <w:rPr>
          <w:bCs/>
          <w:sz w:val="22"/>
          <w:szCs w:val="22"/>
        </w:rPr>
        <w:t xml:space="preserve">ám </w:t>
      </w:r>
      <w:r w:rsidR="00BB0B62" w:rsidRPr="004F4F2B">
        <w:rPr>
          <w:bCs/>
          <w:sz w:val="22"/>
          <w:szCs w:val="22"/>
        </w:rPr>
        <w:t xml:space="preserve">z řad široké veřejnosti </w:t>
      </w:r>
      <w:r w:rsidR="008F6C47" w:rsidRPr="004F4F2B">
        <w:rPr>
          <w:bCs/>
          <w:sz w:val="22"/>
          <w:szCs w:val="22"/>
        </w:rPr>
        <w:t xml:space="preserve">přinese varianta II </w:t>
      </w:r>
      <w:r w:rsidR="00F52716" w:rsidRPr="004F4F2B">
        <w:rPr>
          <w:bCs/>
          <w:sz w:val="22"/>
          <w:szCs w:val="22"/>
        </w:rPr>
        <w:t xml:space="preserve">náklady ve výši </w:t>
      </w:r>
      <w:r w:rsidR="008F6C47" w:rsidRPr="004F4F2B">
        <w:rPr>
          <w:bCs/>
          <w:sz w:val="22"/>
          <w:szCs w:val="22"/>
        </w:rPr>
        <w:t xml:space="preserve">cca 27,6 mil. Kč </w:t>
      </w:r>
      <w:r w:rsidR="006F129B" w:rsidRPr="004F4F2B">
        <w:rPr>
          <w:bCs/>
          <w:sz w:val="22"/>
          <w:szCs w:val="22"/>
        </w:rPr>
        <w:t xml:space="preserve">za tříleté období </w:t>
      </w:r>
      <w:r w:rsidR="008F6C47" w:rsidRPr="004F4F2B">
        <w:rPr>
          <w:bCs/>
          <w:sz w:val="22"/>
          <w:szCs w:val="22"/>
        </w:rPr>
        <w:t xml:space="preserve">za </w:t>
      </w:r>
      <w:r w:rsidR="00F52716" w:rsidRPr="004F4F2B">
        <w:rPr>
          <w:bCs/>
          <w:sz w:val="22"/>
          <w:szCs w:val="22"/>
        </w:rPr>
        <w:t xml:space="preserve">úhradu </w:t>
      </w:r>
      <w:r w:rsidR="008F6C47" w:rsidRPr="004F4F2B">
        <w:rPr>
          <w:bCs/>
          <w:sz w:val="22"/>
          <w:szCs w:val="22"/>
        </w:rPr>
        <w:t>správní</w:t>
      </w:r>
      <w:r w:rsidR="00F52716" w:rsidRPr="004F4F2B">
        <w:rPr>
          <w:bCs/>
          <w:sz w:val="22"/>
          <w:szCs w:val="22"/>
        </w:rPr>
        <w:t>ch</w:t>
      </w:r>
      <w:r w:rsidR="008F6C47" w:rsidRPr="004F4F2B">
        <w:rPr>
          <w:bCs/>
          <w:sz w:val="22"/>
          <w:szCs w:val="22"/>
        </w:rPr>
        <w:t xml:space="preserve"> poplatk</w:t>
      </w:r>
      <w:r w:rsidR="00F52716" w:rsidRPr="004F4F2B">
        <w:rPr>
          <w:bCs/>
          <w:sz w:val="22"/>
          <w:szCs w:val="22"/>
        </w:rPr>
        <w:t>ů</w:t>
      </w:r>
      <w:r w:rsidR="008F6C47" w:rsidRPr="004F4F2B">
        <w:rPr>
          <w:bCs/>
          <w:sz w:val="22"/>
          <w:szCs w:val="22"/>
        </w:rPr>
        <w:t xml:space="preserve"> za podání žádostí o povolení pro peroxid vodíku</w:t>
      </w:r>
      <w:r w:rsidR="006F129B" w:rsidRPr="004F4F2B">
        <w:rPr>
          <w:bCs/>
          <w:sz w:val="22"/>
          <w:szCs w:val="22"/>
        </w:rPr>
        <w:t xml:space="preserve"> </w:t>
      </w:r>
      <w:r w:rsidR="008F6C47" w:rsidRPr="004F4F2B">
        <w:rPr>
          <w:bCs/>
          <w:sz w:val="22"/>
          <w:szCs w:val="22"/>
        </w:rPr>
        <w:t>a další obdobně nezanedbatelné náklady za obdobná povolení pro další prekurzory výbušnin podléhající omezení, zejména pak kyselinu sírovou a</w:t>
      </w:r>
      <w:r w:rsidR="006F129B" w:rsidRPr="004F4F2B">
        <w:rPr>
          <w:bCs/>
          <w:sz w:val="22"/>
          <w:szCs w:val="22"/>
        </w:rPr>
        <w:t> </w:t>
      </w:r>
      <w:proofErr w:type="spellStart"/>
      <w:r w:rsidR="008F6C47" w:rsidRPr="004F4F2B">
        <w:rPr>
          <w:bCs/>
          <w:sz w:val="22"/>
          <w:szCs w:val="22"/>
        </w:rPr>
        <w:t>nitromethan</w:t>
      </w:r>
      <w:proofErr w:type="spellEnd"/>
      <w:r w:rsidR="008F6C47" w:rsidRPr="004F4F2B">
        <w:rPr>
          <w:bCs/>
          <w:sz w:val="22"/>
          <w:szCs w:val="22"/>
        </w:rPr>
        <w:t>.</w:t>
      </w:r>
      <w:r w:rsidR="004639CF" w:rsidRPr="004F4F2B">
        <w:rPr>
          <w:bCs/>
          <w:sz w:val="22"/>
          <w:szCs w:val="22"/>
        </w:rPr>
        <w:t xml:space="preserve"> Státní správ</w:t>
      </w:r>
      <w:r w:rsidR="006F129B" w:rsidRPr="004F4F2B">
        <w:rPr>
          <w:bCs/>
          <w:sz w:val="22"/>
          <w:szCs w:val="22"/>
        </w:rPr>
        <w:t>ě</w:t>
      </w:r>
      <w:r w:rsidR="004639CF" w:rsidRPr="004F4F2B">
        <w:rPr>
          <w:bCs/>
          <w:sz w:val="22"/>
          <w:szCs w:val="22"/>
        </w:rPr>
        <w:t xml:space="preserve"> pak varianta II přinese náklady min. 28,1 </w:t>
      </w:r>
      <w:r w:rsidR="006F129B" w:rsidRPr="004F4F2B">
        <w:rPr>
          <w:bCs/>
          <w:sz w:val="22"/>
          <w:szCs w:val="22"/>
        </w:rPr>
        <w:t>mil. Kč za tříleté období</w:t>
      </w:r>
      <w:r w:rsidR="0029354B" w:rsidRPr="004F4F2B">
        <w:rPr>
          <w:bCs/>
          <w:sz w:val="22"/>
          <w:szCs w:val="22"/>
        </w:rPr>
        <w:t>, nepřenese-li náklady za administraci povolení na žadatele.</w:t>
      </w:r>
      <w:r w:rsidR="007D5ED8">
        <w:rPr>
          <w:bCs/>
          <w:sz w:val="22"/>
          <w:szCs w:val="22"/>
        </w:rPr>
        <w:t xml:space="preserve"> </w:t>
      </w:r>
      <w:r w:rsidR="007D5ED8" w:rsidRPr="007D5ED8">
        <w:rPr>
          <w:bCs/>
          <w:sz w:val="22"/>
          <w:szCs w:val="22"/>
        </w:rPr>
        <w:t>Současně však ubyde administrace spojená s dosavadním registračním režimem</w:t>
      </w:r>
      <w:r w:rsidR="00AC3CCD">
        <w:rPr>
          <w:bCs/>
          <w:sz w:val="22"/>
          <w:szCs w:val="22"/>
        </w:rPr>
        <w:t xml:space="preserve">, kterou realizovaly jak osoby z řad široké </w:t>
      </w:r>
      <w:r w:rsidR="00AC3CCD">
        <w:rPr>
          <w:bCs/>
          <w:sz w:val="22"/>
          <w:szCs w:val="22"/>
        </w:rPr>
        <w:lastRenderedPageBreak/>
        <w:t>veřejnosti (nutnost prokázat se a záměr nabývání prekurzoru), tak zejména podnikatelské osoby, zpřístupňující prekurzory podléhající registraci osobám z řad široké veřejnosti</w:t>
      </w:r>
      <w:r w:rsidR="007D5ED8" w:rsidRPr="007D5ED8">
        <w:rPr>
          <w:bCs/>
          <w:sz w:val="22"/>
          <w:szCs w:val="22"/>
        </w:rPr>
        <w:t>.</w:t>
      </w:r>
    </w:p>
    <w:p w:rsidR="00A569A5" w:rsidRPr="004F4F2B" w:rsidRDefault="00A569A5" w:rsidP="005C6DF7">
      <w:pPr>
        <w:spacing w:after="480"/>
        <w:jc w:val="both"/>
        <w:rPr>
          <w:bCs/>
          <w:sz w:val="22"/>
          <w:szCs w:val="22"/>
        </w:rPr>
      </w:pPr>
      <w:bookmarkStart w:id="1" w:name="_Hlk495404922"/>
      <w:r w:rsidRPr="004F4F2B">
        <w:rPr>
          <w:sz w:val="22"/>
          <w:szCs w:val="22"/>
        </w:rPr>
        <w:t>Žádná z variant se nedotkne rovnosti mužů a žen, nebude mít dopady na životní prostředí, ani na osoby sociálně slabé a jiné specifické skupiny obyvatel</w:t>
      </w:r>
      <w:r w:rsidRPr="004F4F2B">
        <w:rPr>
          <w:bCs/>
          <w:sz w:val="22"/>
          <w:szCs w:val="22"/>
        </w:rPr>
        <w:t>.</w:t>
      </w:r>
    </w:p>
    <w:bookmarkEnd w:id="1"/>
    <w:p w:rsidR="00C967D2" w:rsidRPr="004F4F2B" w:rsidRDefault="00C967D2" w:rsidP="005C6DF7">
      <w:pPr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3.</w:t>
      </w:r>
      <w:r w:rsidR="0023576B" w:rsidRPr="004F4F2B">
        <w:rPr>
          <w:b/>
          <w:sz w:val="22"/>
          <w:szCs w:val="22"/>
        </w:rPr>
        <w:t>2</w:t>
      </w:r>
      <w:r w:rsidRPr="004F4F2B">
        <w:rPr>
          <w:b/>
          <w:sz w:val="22"/>
          <w:szCs w:val="22"/>
        </w:rPr>
        <w:tab/>
        <w:t>Cíl „Zavést nástroje pro vynucování povinností“</w:t>
      </w:r>
    </w:p>
    <w:p w:rsidR="005F7366" w:rsidRPr="004F4F2B" w:rsidRDefault="005F7366" w:rsidP="005C6DF7">
      <w:pPr>
        <w:tabs>
          <w:tab w:val="left" w:pos="1418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3.</w:t>
      </w:r>
      <w:r w:rsidR="0023576B" w:rsidRPr="004F4F2B">
        <w:rPr>
          <w:b/>
          <w:sz w:val="22"/>
          <w:szCs w:val="22"/>
        </w:rPr>
        <w:t>2</w:t>
      </w:r>
      <w:r w:rsidRPr="004F4F2B">
        <w:rPr>
          <w:b/>
          <w:sz w:val="22"/>
          <w:szCs w:val="22"/>
        </w:rPr>
        <w:t>.1</w:t>
      </w:r>
      <w:r w:rsidRPr="004F4F2B">
        <w:rPr>
          <w:b/>
          <w:sz w:val="22"/>
          <w:szCs w:val="22"/>
        </w:rPr>
        <w:tab/>
        <w:t>Identifikace přínosů a nákladů</w:t>
      </w:r>
    </w:p>
    <w:p w:rsidR="005F7366" w:rsidRPr="004F4F2B" w:rsidRDefault="005F7366" w:rsidP="005C6DF7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Přínosy a náklady jednotlivých variant věcného řešení podmínek pro vydání povolení identifikuje následující tabulka: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551"/>
        <w:gridCol w:w="3119"/>
        <w:gridCol w:w="3112"/>
      </w:tblGrid>
      <w:tr w:rsidR="00CD7CFD" w:rsidRPr="004F4F2B" w:rsidTr="00E65BB3">
        <w:trPr>
          <w:trHeight w:hRule="exact" w:val="880"/>
        </w:trPr>
        <w:tc>
          <w:tcPr>
            <w:tcW w:w="851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D7CFD" w:rsidRPr="004F4F2B" w:rsidRDefault="000B1E55" w:rsidP="002D4B05">
            <w:pPr>
              <w:ind w:left="113" w:right="113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Varianta</w:t>
            </w:r>
          </w:p>
        </w:tc>
        <w:tc>
          <w:tcPr>
            <w:tcW w:w="25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D7CFD" w:rsidRPr="004F4F2B" w:rsidRDefault="00DF0627" w:rsidP="005A5D38">
            <w:pPr>
              <w:rPr>
                <w:bCs/>
                <w:sz w:val="16"/>
                <w:szCs w:val="16"/>
              </w:rPr>
            </w:pPr>
            <w:r w:rsidRPr="004F4F2B">
              <w:rPr>
                <w:bCs/>
                <w:sz w:val="16"/>
                <w:szCs w:val="16"/>
              </w:rPr>
              <w:t>D</w:t>
            </w:r>
            <w:r w:rsidR="00CD7CFD" w:rsidRPr="004F4F2B">
              <w:rPr>
                <w:bCs/>
                <w:sz w:val="16"/>
                <w:szCs w:val="16"/>
              </w:rPr>
              <w:t>otčený subjekt</w:t>
            </w:r>
          </w:p>
        </w:tc>
        <w:tc>
          <w:tcPr>
            <w:tcW w:w="3119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D7CFD" w:rsidRPr="004F4F2B" w:rsidRDefault="00CD7CFD" w:rsidP="005A5D38">
            <w:pPr>
              <w:jc w:val="center"/>
              <w:rPr>
                <w:sz w:val="16"/>
                <w:szCs w:val="16"/>
              </w:rPr>
            </w:pPr>
            <w:r w:rsidRPr="004F4F2B">
              <w:rPr>
                <w:bCs/>
                <w:sz w:val="16"/>
                <w:szCs w:val="16"/>
              </w:rPr>
              <w:t>Přínosy</w:t>
            </w:r>
          </w:p>
        </w:tc>
        <w:tc>
          <w:tcPr>
            <w:tcW w:w="311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D7CFD" w:rsidRPr="004F4F2B" w:rsidRDefault="00CD7CFD" w:rsidP="005A5D38">
            <w:pPr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Náklady</w:t>
            </w:r>
          </w:p>
        </w:tc>
      </w:tr>
      <w:tr w:rsidR="00C67705" w:rsidRPr="004F4F2B" w:rsidTr="00E65BB3">
        <w:trPr>
          <w:trHeight w:hRule="exact" w:val="397"/>
        </w:trPr>
        <w:tc>
          <w:tcPr>
            <w:tcW w:w="851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7705" w:rsidRPr="004F4F2B" w:rsidRDefault="00C67705" w:rsidP="00C67705">
            <w:pPr>
              <w:ind w:left="113" w:right="113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Varianta I (nulová)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705" w:rsidRPr="004F4F2B" w:rsidRDefault="00C67705" w:rsidP="00C67705">
            <w:pPr>
              <w:tabs>
                <w:tab w:val="left" w:pos="21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Hospodářský subjekt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176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67705" w:rsidRPr="004F4F2B" w:rsidTr="00E65BB3">
        <w:trPr>
          <w:trHeight w:hRule="exact" w:val="39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7705" w:rsidRPr="004F4F2B" w:rsidRDefault="00C67705" w:rsidP="00C67705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C67705" w:rsidRPr="004F4F2B" w:rsidRDefault="00C67705" w:rsidP="00C6770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Profesionální uživatel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67705" w:rsidRPr="004F4F2B" w:rsidTr="00E65BB3">
        <w:trPr>
          <w:trHeight w:hRule="exact" w:val="39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7705" w:rsidRPr="004F4F2B" w:rsidRDefault="00C67705" w:rsidP="00C67705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705" w:rsidRPr="004F4F2B" w:rsidRDefault="00C67705" w:rsidP="00C6770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Osoba z řad široké veřejnosti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176"/>
              </w:tabs>
              <w:ind w:left="176" w:hanging="176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67705" w:rsidRPr="004F4F2B" w:rsidTr="00E65BB3">
        <w:trPr>
          <w:trHeight w:hRule="exact" w:val="38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7705" w:rsidRPr="004F4F2B" w:rsidRDefault="00C67705" w:rsidP="00C67705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705" w:rsidRPr="004F4F2B" w:rsidRDefault="00C67705" w:rsidP="00C6770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Orgán státní správy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176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67705" w:rsidRPr="004F4F2B" w:rsidTr="00E65BB3">
        <w:trPr>
          <w:trHeight w:hRule="exact" w:val="397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7705" w:rsidRPr="004F4F2B" w:rsidRDefault="00C67705" w:rsidP="00C67705">
            <w:pPr>
              <w:ind w:left="113" w:right="113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Varianta II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705" w:rsidRPr="004F4F2B" w:rsidRDefault="00C67705" w:rsidP="00C67705">
            <w:pPr>
              <w:tabs>
                <w:tab w:val="left" w:pos="21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Hospodářský subjekt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176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67705" w:rsidRPr="004F4F2B" w:rsidTr="00E65BB3">
        <w:trPr>
          <w:trHeight w:hRule="exact" w:val="397"/>
        </w:trPr>
        <w:tc>
          <w:tcPr>
            <w:tcW w:w="8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705" w:rsidRPr="004F4F2B" w:rsidRDefault="00C67705" w:rsidP="00C6770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Profesionální uživatel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176"/>
              </w:tabs>
              <w:ind w:left="176" w:hanging="142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176"/>
              </w:tabs>
              <w:ind w:left="176" w:hanging="176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67705" w:rsidRPr="004F4F2B" w:rsidTr="00E65BB3">
        <w:trPr>
          <w:trHeight w:hRule="exact" w:val="397"/>
        </w:trPr>
        <w:tc>
          <w:tcPr>
            <w:tcW w:w="8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705" w:rsidRPr="004F4F2B" w:rsidRDefault="00C67705" w:rsidP="00C67705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Osoba z řad široké veřejnosti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176"/>
              </w:tabs>
              <w:ind w:left="176" w:hanging="142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7705" w:rsidRPr="004F4F2B" w:rsidRDefault="00C67705" w:rsidP="00C67705">
            <w:pPr>
              <w:tabs>
                <w:tab w:val="left" w:pos="176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968F8" w:rsidRPr="004F4F2B" w:rsidTr="00E65BB3">
        <w:trPr>
          <w:trHeight w:hRule="exact" w:val="39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68F8" w:rsidRPr="004F4F2B" w:rsidRDefault="00C968F8" w:rsidP="00C968F8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Orgán státní správy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pStyle w:val="Odstavecseseznamem"/>
              <w:numPr>
                <w:ilvl w:val="0"/>
                <w:numId w:val="33"/>
              </w:numPr>
              <w:tabs>
                <w:tab w:val="left" w:pos="176"/>
              </w:tabs>
              <w:ind w:left="181" w:hanging="181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Kontrola a projednávání přestupků</w:t>
            </w:r>
          </w:p>
        </w:tc>
      </w:tr>
      <w:tr w:rsidR="00C968F8" w:rsidRPr="004F4F2B" w:rsidTr="00E65BB3">
        <w:trPr>
          <w:trHeight w:hRule="exact" w:val="397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968F8" w:rsidRPr="004F4F2B" w:rsidRDefault="00C968F8" w:rsidP="00C968F8">
            <w:pPr>
              <w:ind w:left="113" w:right="113"/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Varianta III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68F8" w:rsidRPr="004F4F2B" w:rsidRDefault="00C968F8" w:rsidP="00C968F8">
            <w:pPr>
              <w:tabs>
                <w:tab w:val="left" w:pos="213"/>
              </w:tabs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Hospodářský subjekt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968F8" w:rsidRPr="004F4F2B" w:rsidTr="00E65BB3">
        <w:trPr>
          <w:trHeight w:hRule="exact" w:val="39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68F8" w:rsidRPr="004F4F2B" w:rsidRDefault="00C968F8" w:rsidP="00C968F8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Profesionální uživatel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968F8" w:rsidRPr="004F4F2B" w:rsidTr="00E65BB3">
        <w:trPr>
          <w:trHeight w:hRule="exact" w:val="39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68F8" w:rsidRPr="004F4F2B" w:rsidRDefault="00C968F8" w:rsidP="00C968F8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Osoba z řad široké veřejnosti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</w:tr>
      <w:tr w:rsidR="00C968F8" w:rsidRPr="004F4F2B" w:rsidTr="00F74FCC">
        <w:trPr>
          <w:trHeight w:hRule="exact" w:val="524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C968F8" w:rsidRPr="004F4F2B" w:rsidRDefault="00C968F8" w:rsidP="00C968F8">
            <w:pPr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Orgán státní správy</w:t>
            </w:r>
          </w:p>
        </w:tc>
        <w:tc>
          <w:tcPr>
            <w:tcW w:w="311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tabs>
                <w:tab w:val="left" w:pos="742"/>
              </w:tabs>
              <w:jc w:val="center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---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68F8" w:rsidRPr="004F4F2B" w:rsidRDefault="00C968F8" w:rsidP="00C968F8">
            <w:pPr>
              <w:pStyle w:val="Odstavecseseznamem"/>
              <w:numPr>
                <w:ilvl w:val="0"/>
                <w:numId w:val="33"/>
              </w:numPr>
              <w:tabs>
                <w:tab w:val="left" w:pos="176"/>
              </w:tabs>
              <w:ind w:left="181" w:hanging="181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Kontrola a projednávání přestupků</w:t>
            </w:r>
          </w:p>
          <w:p w:rsidR="00C968F8" w:rsidRPr="004F4F2B" w:rsidRDefault="00C968F8" w:rsidP="00C968F8">
            <w:pPr>
              <w:pStyle w:val="Odstavecseseznamem"/>
              <w:numPr>
                <w:ilvl w:val="0"/>
                <w:numId w:val="33"/>
              </w:numPr>
              <w:tabs>
                <w:tab w:val="left" w:pos="176"/>
              </w:tabs>
              <w:ind w:left="181" w:hanging="181"/>
              <w:rPr>
                <w:sz w:val="16"/>
                <w:szCs w:val="16"/>
              </w:rPr>
            </w:pPr>
            <w:r w:rsidRPr="004F4F2B">
              <w:rPr>
                <w:sz w:val="16"/>
                <w:szCs w:val="16"/>
              </w:rPr>
              <w:t>Vedení trestních řízení</w:t>
            </w:r>
          </w:p>
        </w:tc>
      </w:tr>
    </w:tbl>
    <w:p w:rsidR="00960C76" w:rsidRPr="004F4F2B" w:rsidRDefault="00960C76" w:rsidP="005C6DF7">
      <w:pPr>
        <w:tabs>
          <w:tab w:val="left" w:pos="1418"/>
        </w:tabs>
        <w:spacing w:before="480"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3.</w:t>
      </w:r>
      <w:r w:rsidR="0023576B" w:rsidRPr="004F4F2B">
        <w:rPr>
          <w:b/>
          <w:sz w:val="22"/>
          <w:szCs w:val="22"/>
        </w:rPr>
        <w:t>2</w:t>
      </w:r>
      <w:r w:rsidRPr="004F4F2B">
        <w:rPr>
          <w:b/>
          <w:sz w:val="22"/>
          <w:szCs w:val="22"/>
        </w:rPr>
        <w:t>.2</w:t>
      </w:r>
      <w:r w:rsidRPr="004F4F2B">
        <w:rPr>
          <w:b/>
          <w:sz w:val="22"/>
          <w:szCs w:val="22"/>
        </w:rPr>
        <w:tab/>
        <w:t>Přínosy</w:t>
      </w:r>
    </w:p>
    <w:p w:rsidR="004E2916" w:rsidRPr="00450B5D" w:rsidRDefault="007D796B" w:rsidP="005C6DF7">
      <w:pPr>
        <w:spacing w:after="48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 xml:space="preserve">Žádná z variant </w:t>
      </w:r>
      <w:r w:rsidR="00C675F5" w:rsidRPr="004F4F2B">
        <w:rPr>
          <w:bCs/>
          <w:sz w:val="22"/>
          <w:szCs w:val="22"/>
        </w:rPr>
        <w:t>ne</w:t>
      </w:r>
      <w:r w:rsidR="000F765D" w:rsidRPr="004F4F2B">
        <w:rPr>
          <w:bCs/>
          <w:sz w:val="22"/>
          <w:szCs w:val="22"/>
        </w:rPr>
        <w:t>v</w:t>
      </w:r>
      <w:r w:rsidR="00FF6E68" w:rsidRPr="004F4F2B">
        <w:rPr>
          <w:bCs/>
          <w:sz w:val="22"/>
          <w:szCs w:val="22"/>
        </w:rPr>
        <w:t xml:space="preserve">ykazuje </w:t>
      </w:r>
      <w:r w:rsidR="000F765D" w:rsidRPr="004F4F2B">
        <w:rPr>
          <w:bCs/>
          <w:sz w:val="22"/>
          <w:szCs w:val="22"/>
        </w:rPr>
        <w:t xml:space="preserve">pro dotčené subjekty </w:t>
      </w:r>
      <w:r w:rsidR="00C675F5" w:rsidRPr="004F4F2B">
        <w:rPr>
          <w:bCs/>
          <w:sz w:val="22"/>
          <w:szCs w:val="22"/>
        </w:rPr>
        <w:t xml:space="preserve">nebo dotčené orgány státní správy </w:t>
      </w:r>
      <w:r w:rsidR="00FF6E68" w:rsidRPr="004F4F2B">
        <w:rPr>
          <w:bCs/>
          <w:sz w:val="22"/>
          <w:szCs w:val="22"/>
        </w:rPr>
        <w:t>přínosy</w:t>
      </w:r>
      <w:r w:rsidR="00C675F5" w:rsidRPr="004F4F2B">
        <w:rPr>
          <w:bCs/>
          <w:sz w:val="22"/>
          <w:szCs w:val="22"/>
        </w:rPr>
        <w:t xml:space="preserve">. Nepřímo dotčeným osobám však varianty II a III (zahrnující </w:t>
      </w:r>
      <w:r w:rsidR="004E2916" w:rsidRPr="004F4F2B">
        <w:rPr>
          <w:bCs/>
          <w:sz w:val="22"/>
          <w:szCs w:val="22"/>
        </w:rPr>
        <w:t>stanovení skutkových podstat přestupků a odpovídajících správních trestů a stanovení trestní odpovědnosti</w:t>
      </w:r>
      <w:r w:rsidR="00A36988" w:rsidRPr="004F4F2B">
        <w:rPr>
          <w:bCs/>
          <w:sz w:val="22"/>
          <w:szCs w:val="22"/>
        </w:rPr>
        <w:t xml:space="preserve"> za porušení povinností</w:t>
      </w:r>
      <w:r w:rsidR="004E2916" w:rsidRPr="004F4F2B">
        <w:rPr>
          <w:bCs/>
          <w:sz w:val="22"/>
          <w:szCs w:val="22"/>
        </w:rPr>
        <w:t xml:space="preserve">) přinesou vyšší míru bezpečnosti </w:t>
      </w:r>
      <w:r w:rsidR="004E2916" w:rsidRPr="00450B5D">
        <w:rPr>
          <w:bCs/>
          <w:sz w:val="22"/>
          <w:szCs w:val="22"/>
        </w:rPr>
        <w:t xml:space="preserve">v důsledku možného postihu osob za neoprávněný přístup k látkám a směsím zneužitelným </w:t>
      </w:r>
      <w:r w:rsidR="002403CC" w:rsidRPr="00450B5D">
        <w:rPr>
          <w:bCs/>
          <w:sz w:val="22"/>
          <w:szCs w:val="22"/>
        </w:rPr>
        <w:t>k nedovolené výrobě výbušnin.</w:t>
      </w:r>
    </w:p>
    <w:p w:rsidR="00960C76" w:rsidRPr="00450B5D" w:rsidRDefault="00960C76" w:rsidP="005C6DF7">
      <w:pPr>
        <w:tabs>
          <w:tab w:val="left" w:pos="1418"/>
        </w:tabs>
        <w:spacing w:after="240"/>
        <w:jc w:val="both"/>
        <w:rPr>
          <w:b/>
          <w:sz w:val="22"/>
          <w:szCs w:val="22"/>
        </w:rPr>
      </w:pPr>
      <w:r w:rsidRPr="00450B5D">
        <w:rPr>
          <w:b/>
          <w:sz w:val="22"/>
          <w:szCs w:val="22"/>
        </w:rPr>
        <w:t>3.</w:t>
      </w:r>
      <w:r w:rsidR="0023576B" w:rsidRPr="00450B5D">
        <w:rPr>
          <w:b/>
          <w:sz w:val="22"/>
          <w:szCs w:val="22"/>
        </w:rPr>
        <w:t>2</w:t>
      </w:r>
      <w:r w:rsidRPr="00450B5D">
        <w:rPr>
          <w:b/>
          <w:sz w:val="22"/>
          <w:szCs w:val="22"/>
        </w:rPr>
        <w:t>.3</w:t>
      </w:r>
      <w:r w:rsidRPr="00450B5D">
        <w:rPr>
          <w:b/>
          <w:sz w:val="22"/>
          <w:szCs w:val="22"/>
        </w:rPr>
        <w:tab/>
        <w:t>Náklady</w:t>
      </w:r>
    </w:p>
    <w:p w:rsidR="00450B5D" w:rsidRPr="00450B5D" w:rsidRDefault="00BA5FBA" w:rsidP="00001797">
      <w:pPr>
        <w:spacing w:after="240"/>
        <w:jc w:val="both"/>
        <w:rPr>
          <w:sz w:val="22"/>
          <w:szCs w:val="22"/>
        </w:rPr>
      </w:pPr>
      <w:r w:rsidRPr="00450B5D">
        <w:rPr>
          <w:bCs/>
          <w:sz w:val="22"/>
          <w:szCs w:val="22"/>
        </w:rPr>
        <w:t xml:space="preserve">Vzhledem k rozšíření povinností zejména hospodářských subjektů </w:t>
      </w:r>
      <w:r w:rsidR="00963327" w:rsidRPr="00450B5D">
        <w:rPr>
          <w:sz w:val="22"/>
          <w:szCs w:val="22"/>
        </w:rPr>
        <w:t xml:space="preserve">oproti přímo použitelnému nařízení č. 98/2013 </w:t>
      </w:r>
      <w:r w:rsidRPr="00450B5D">
        <w:rPr>
          <w:bCs/>
          <w:sz w:val="22"/>
          <w:szCs w:val="22"/>
        </w:rPr>
        <w:t xml:space="preserve">lze </w:t>
      </w:r>
      <w:r w:rsidR="00CD74AB" w:rsidRPr="00450B5D">
        <w:rPr>
          <w:bCs/>
          <w:sz w:val="22"/>
          <w:szCs w:val="22"/>
        </w:rPr>
        <w:t xml:space="preserve">předpokládat, že varianta II </w:t>
      </w:r>
      <w:r w:rsidR="00093F60" w:rsidRPr="00450B5D">
        <w:rPr>
          <w:bCs/>
          <w:sz w:val="22"/>
          <w:szCs w:val="22"/>
        </w:rPr>
        <w:t xml:space="preserve">přinese vyšší vytíženost </w:t>
      </w:r>
      <w:r w:rsidR="00CD74AB" w:rsidRPr="00450B5D">
        <w:rPr>
          <w:bCs/>
          <w:sz w:val="22"/>
          <w:szCs w:val="22"/>
        </w:rPr>
        <w:t>dotčených orgánů státní správy</w:t>
      </w:r>
      <w:r w:rsidR="00093F60" w:rsidRPr="00450B5D">
        <w:rPr>
          <w:bCs/>
          <w:sz w:val="22"/>
          <w:szCs w:val="22"/>
        </w:rPr>
        <w:t xml:space="preserve"> vykonávajících kontroly a projednávajících přestupky</w:t>
      </w:r>
      <w:r w:rsidR="00640149" w:rsidRPr="00450B5D">
        <w:rPr>
          <w:bCs/>
          <w:sz w:val="22"/>
          <w:szCs w:val="22"/>
        </w:rPr>
        <w:t xml:space="preserve"> – </w:t>
      </w:r>
      <w:r w:rsidR="00640149" w:rsidRPr="00450B5D">
        <w:rPr>
          <w:sz w:val="22"/>
          <w:szCs w:val="22"/>
        </w:rPr>
        <w:t>primárně orgánů státní báňské správy (rozsah kontrolní a sankční pravomoci České obchodní inspekce se totiž významněji nezmění)</w:t>
      </w:r>
      <w:r w:rsidR="00A06438" w:rsidRPr="00450B5D">
        <w:rPr>
          <w:sz w:val="22"/>
          <w:szCs w:val="22"/>
        </w:rPr>
        <w:t xml:space="preserve">. </w:t>
      </w:r>
      <w:r w:rsidR="00093F60" w:rsidRPr="00450B5D">
        <w:rPr>
          <w:bCs/>
          <w:sz w:val="22"/>
          <w:szCs w:val="22"/>
        </w:rPr>
        <w:t xml:space="preserve">Evropská komise identifikovala v hodnocení dopadů </w:t>
      </w:r>
      <w:r w:rsidR="00093F60" w:rsidRPr="00450B5D">
        <w:rPr>
          <w:sz w:val="22"/>
          <w:szCs w:val="22"/>
        </w:rPr>
        <w:t>SWD/2018/104 náklady na vynucování přímo použitelného nařízení 2019/1148 ve všech členských státech Evropské unie ve výši 8,1–18,2 mil. EUR (na cca 512,4 mil. obyvatel) ročně, z toho na kontrolní činnost 5,3</w:t>
      </w:r>
      <w:r w:rsidR="00963327" w:rsidRPr="00450B5D">
        <w:rPr>
          <w:sz w:val="22"/>
          <w:szCs w:val="22"/>
        </w:rPr>
        <w:noBreakHyphen/>
      </w:r>
      <w:r w:rsidR="00093F60" w:rsidRPr="00450B5D">
        <w:rPr>
          <w:sz w:val="22"/>
          <w:szCs w:val="22"/>
        </w:rPr>
        <w:t xml:space="preserve">10,3 mil. EUR. Po přepočtu na počet obyvatel České republiky (cca </w:t>
      </w:r>
      <w:r w:rsidR="00093F60" w:rsidRPr="00450B5D">
        <w:rPr>
          <w:sz w:val="22"/>
          <w:szCs w:val="22"/>
        </w:rPr>
        <w:lastRenderedPageBreak/>
        <w:t>10,5 mil.) to představuje (při hypotetickém kurzu 1 EUR = 25,50 Kč) částku ve výši 2,8</w:t>
      </w:r>
      <w:r w:rsidR="00093F60" w:rsidRPr="00450B5D">
        <w:rPr>
          <w:sz w:val="22"/>
          <w:szCs w:val="22"/>
        </w:rPr>
        <w:noBreakHyphen/>
        <w:t>5,4 mil. Kč ročně.</w:t>
      </w:r>
      <w:r w:rsidR="00640149" w:rsidRPr="00450B5D">
        <w:rPr>
          <w:sz w:val="22"/>
          <w:szCs w:val="22"/>
        </w:rPr>
        <w:t xml:space="preserve"> </w:t>
      </w:r>
      <w:r w:rsidR="00A06438" w:rsidRPr="00450B5D">
        <w:rPr>
          <w:sz w:val="22"/>
          <w:szCs w:val="22"/>
        </w:rPr>
        <w:t>I přesto se orgány státní báňské správy pokusí (vhodným stanovováním priorit) zvládnout nové pravomoci bez navýšení počtu systemizovaných míst oproti současnému stavu</w:t>
      </w:r>
      <w:r w:rsidR="00450B5D" w:rsidRPr="00450B5D">
        <w:rPr>
          <w:sz w:val="22"/>
          <w:szCs w:val="22"/>
        </w:rPr>
        <w:t>, resp. bez navýšení objemu prostředků na platy nad rámec limitu schváleného návrhu státního rozpočtu na rok 2020, resp. střednědobého výhledu rozpočtu na rok 2021 a 2022.</w:t>
      </w:r>
    </w:p>
    <w:p w:rsidR="007C3D59" w:rsidRPr="004F4F2B" w:rsidRDefault="007C0A7E" w:rsidP="005C6DF7">
      <w:pPr>
        <w:spacing w:after="360"/>
        <w:jc w:val="both"/>
        <w:rPr>
          <w:bCs/>
          <w:sz w:val="22"/>
          <w:szCs w:val="22"/>
        </w:rPr>
      </w:pPr>
      <w:r w:rsidRPr="004F4F2B">
        <w:rPr>
          <w:sz w:val="22"/>
          <w:szCs w:val="22"/>
        </w:rPr>
        <w:t>Variant</w:t>
      </w:r>
      <w:r w:rsidR="00A807C5">
        <w:rPr>
          <w:sz w:val="22"/>
          <w:szCs w:val="22"/>
        </w:rPr>
        <w:t xml:space="preserve">a </w:t>
      </w:r>
      <w:r w:rsidRPr="004F4F2B">
        <w:rPr>
          <w:sz w:val="22"/>
          <w:szCs w:val="22"/>
        </w:rPr>
        <w:t xml:space="preserve">III </w:t>
      </w:r>
      <w:r w:rsidR="00A807C5">
        <w:rPr>
          <w:sz w:val="22"/>
          <w:szCs w:val="22"/>
        </w:rPr>
        <w:t xml:space="preserve">dále nad rámec varianty II </w:t>
      </w:r>
      <w:r w:rsidRPr="004F4F2B">
        <w:rPr>
          <w:sz w:val="22"/>
          <w:szCs w:val="22"/>
        </w:rPr>
        <w:t>vykazuj</w:t>
      </w:r>
      <w:r w:rsidR="00A807C5">
        <w:rPr>
          <w:sz w:val="22"/>
          <w:szCs w:val="22"/>
        </w:rPr>
        <w:t>e</w:t>
      </w:r>
      <w:r w:rsidRPr="004F4F2B">
        <w:rPr>
          <w:sz w:val="22"/>
          <w:szCs w:val="22"/>
        </w:rPr>
        <w:t xml:space="preserve"> náklady v podobě </w:t>
      </w:r>
      <w:r w:rsidR="007C3D59" w:rsidRPr="004F4F2B">
        <w:rPr>
          <w:bCs/>
          <w:sz w:val="22"/>
          <w:szCs w:val="22"/>
        </w:rPr>
        <w:t>administrativní zátěže orgánů činných v trestním řízení za prošetřování případných trestných činů.</w:t>
      </w:r>
      <w:r w:rsidR="00DA6713" w:rsidRPr="004F4F2B">
        <w:rPr>
          <w:bCs/>
          <w:sz w:val="22"/>
          <w:szCs w:val="22"/>
        </w:rPr>
        <w:t xml:space="preserve"> </w:t>
      </w:r>
      <w:r w:rsidR="00127B75" w:rsidRPr="004F4F2B">
        <w:rPr>
          <w:bCs/>
          <w:sz w:val="22"/>
          <w:szCs w:val="22"/>
        </w:rPr>
        <w:t>T</w:t>
      </w:r>
      <w:r w:rsidR="00DA6713" w:rsidRPr="004F4F2B">
        <w:rPr>
          <w:bCs/>
          <w:sz w:val="22"/>
          <w:szCs w:val="22"/>
        </w:rPr>
        <w:t>yto náklady nicméně nelze dopředu kvantifikovat.</w:t>
      </w:r>
    </w:p>
    <w:p w:rsidR="00960C76" w:rsidRPr="004F4F2B" w:rsidRDefault="00960C76" w:rsidP="005C6DF7">
      <w:pPr>
        <w:tabs>
          <w:tab w:val="left" w:pos="1418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3.</w:t>
      </w:r>
      <w:r w:rsidR="0023576B" w:rsidRPr="004F4F2B">
        <w:rPr>
          <w:b/>
          <w:sz w:val="22"/>
          <w:szCs w:val="22"/>
        </w:rPr>
        <w:t>2</w:t>
      </w:r>
      <w:r w:rsidRPr="004F4F2B">
        <w:rPr>
          <w:b/>
          <w:sz w:val="22"/>
          <w:szCs w:val="22"/>
        </w:rPr>
        <w:t>.4</w:t>
      </w:r>
      <w:r w:rsidRPr="004F4F2B">
        <w:rPr>
          <w:b/>
          <w:sz w:val="22"/>
          <w:szCs w:val="22"/>
        </w:rPr>
        <w:tab/>
        <w:t>Vyhodnocení variant</w:t>
      </w:r>
    </w:p>
    <w:p w:rsidR="00902883" w:rsidRPr="004F4F2B" w:rsidRDefault="00E73F84" w:rsidP="009F1BE0">
      <w:pPr>
        <w:spacing w:after="24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>S</w:t>
      </w:r>
      <w:r w:rsidR="00EC625B" w:rsidRPr="004F4F2B">
        <w:rPr>
          <w:bCs/>
          <w:sz w:val="22"/>
          <w:szCs w:val="22"/>
        </w:rPr>
        <w:t> </w:t>
      </w:r>
      <w:r w:rsidRPr="004F4F2B">
        <w:rPr>
          <w:bCs/>
          <w:sz w:val="22"/>
          <w:szCs w:val="22"/>
        </w:rPr>
        <w:t>ohledem</w:t>
      </w:r>
      <w:r w:rsidR="00EC625B" w:rsidRPr="004F4F2B">
        <w:rPr>
          <w:bCs/>
          <w:sz w:val="22"/>
          <w:szCs w:val="22"/>
        </w:rPr>
        <w:t xml:space="preserve"> </w:t>
      </w:r>
      <w:r w:rsidR="009F1BE0">
        <w:rPr>
          <w:bCs/>
          <w:sz w:val="22"/>
          <w:szCs w:val="22"/>
        </w:rPr>
        <w:t xml:space="preserve">zejm. </w:t>
      </w:r>
      <w:r w:rsidR="00487EE9" w:rsidRPr="004F4F2B">
        <w:rPr>
          <w:bCs/>
          <w:sz w:val="22"/>
          <w:szCs w:val="22"/>
        </w:rPr>
        <w:t>na výsledky uskutečněných konzultací</w:t>
      </w:r>
      <w:r w:rsidR="009F1BE0">
        <w:rPr>
          <w:bCs/>
          <w:sz w:val="22"/>
          <w:szCs w:val="22"/>
        </w:rPr>
        <w:t>, se zohledněním</w:t>
      </w:r>
      <w:r w:rsidR="00487EE9" w:rsidRPr="004F4F2B">
        <w:rPr>
          <w:bCs/>
          <w:sz w:val="22"/>
          <w:szCs w:val="22"/>
        </w:rPr>
        <w:t xml:space="preserve"> vyhodnocení </w:t>
      </w:r>
      <w:r w:rsidR="00985665" w:rsidRPr="004F4F2B">
        <w:rPr>
          <w:bCs/>
          <w:sz w:val="22"/>
          <w:szCs w:val="22"/>
        </w:rPr>
        <w:t>přínos</w:t>
      </w:r>
      <w:r w:rsidR="00487EE9" w:rsidRPr="004F4F2B">
        <w:rPr>
          <w:bCs/>
          <w:sz w:val="22"/>
          <w:szCs w:val="22"/>
        </w:rPr>
        <w:t>ů</w:t>
      </w:r>
      <w:r w:rsidR="00985665" w:rsidRPr="004F4F2B">
        <w:rPr>
          <w:bCs/>
          <w:sz w:val="22"/>
          <w:szCs w:val="22"/>
        </w:rPr>
        <w:t xml:space="preserve"> a náklad</w:t>
      </w:r>
      <w:r w:rsidR="00487EE9" w:rsidRPr="004F4F2B">
        <w:rPr>
          <w:bCs/>
          <w:sz w:val="22"/>
          <w:szCs w:val="22"/>
        </w:rPr>
        <w:t>ů</w:t>
      </w:r>
      <w:r w:rsidR="00EC625B" w:rsidRPr="004F4F2B">
        <w:rPr>
          <w:bCs/>
          <w:sz w:val="22"/>
          <w:szCs w:val="22"/>
        </w:rPr>
        <w:t xml:space="preserve"> </w:t>
      </w:r>
      <w:r w:rsidR="00985665" w:rsidRPr="004F4F2B">
        <w:rPr>
          <w:bCs/>
          <w:sz w:val="22"/>
          <w:szCs w:val="22"/>
        </w:rPr>
        <w:t xml:space="preserve">se jako nejvhodnější jeví </w:t>
      </w:r>
      <w:r w:rsidR="007B5FB2" w:rsidRPr="004F4F2B">
        <w:rPr>
          <w:bCs/>
          <w:sz w:val="22"/>
          <w:szCs w:val="22"/>
        </w:rPr>
        <w:t>variant</w:t>
      </w:r>
      <w:r w:rsidR="00985665" w:rsidRPr="004F4F2B">
        <w:rPr>
          <w:bCs/>
          <w:sz w:val="22"/>
          <w:szCs w:val="22"/>
        </w:rPr>
        <w:t>a</w:t>
      </w:r>
      <w:r w:rsidR="007B5FB2" w:rsidRPr="004F4F2B">
        <w:rPr>
          <w:bCs/>
          <w:sz w:val="22"/>
          <w:szCs w:val="22"/>
        </w:rPr>
        <w:t xml:space="preserve"> II</w:t>
      </w:r>
      <w:r w:rsidR="00985665" w:rsidRPr="004F4F2B">
        <w:rPr>
          <w:bCs/>
          <w:sz w:val="22"/>
          <w:szCs w:val="22"/>
        </w:rPr>
        <w:t>, tedy stanovit skutkové podstaty přestupků společně s odpovídajícími správními tresty</w:t>
      </w:r>
      <w:r w:rsidR="00E12706" w:rsidRPr="004F4F2B">
        <w:rPr>
          <w:bCs/>
          <w:sz w:val="22"/>
          <w:szCs w:val="22"/>
        </w:rPr>
        <w:t>.</w:t>
      </w:r>
      <w:r w:rsidR="009F1BE0">
        <w:rPr>
          <w:bCs/>
          <w:sz w:val="22"/>
          <w:szCs w:val="22"/>
        </w:rPr>
        <w:t xml:space="preserve"> </w:t>
      </w:r>
      <w:r w:rsidR="00902883" w:rsidRPr="004F4F2B">
        <w:rPr>
          <w:sz w:val="22"/>
          <w:szCs w:val="22"/>
        </w:rPr>
        <w:t>Žádná z variant se nedotkne rovnosti mužů a žen, nebude mít dopady na životní prostředí, ani na osoby sociálně slabé a jiné specifické skupiny obyvatel</w:t>
      </w:r>
      <w:r w:rsidR="00902883" w:rsidRPr="004F4F2B">
        <w:rPr>
          <w:bCs/>
          <w:sz w:val="22"/>
          <w:szCs w:val="22"/>
        </w:rPr>
        <w:t>.</w:t>
      </w:r>
    </w:p>
    <w:p w:rsidR="00781CBF" w:rsidRPr="004F4F2B" w:rsidRDefault="00781CBF" w:rsidP="006061A2">
      <w:pPr>
        <w:tabs>
          <w:tab w:val="left" w:pos="426"/>
        </w:tabs>
        <w:spacing w:after="12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4</w:t>
      </w:r>
      <w:r w:rsidRPr="004F4F2B">
        <w:rPr>
          <w:b/>
          <w:sz w:val="22"/>
          <w:szCs w:val="22"/>
        </w:rPr>
        <w:tab/>
      </w:r>
      <w:r w:rsidR="00EF4432" w:rsidRPr="004F4F2B">
        <w:rPr>
          <w:b/>
          <w:sz w:val="22"/>
          <w:szCs w:val="22"/>
        </w:rPr>
        <w:t>Výběr nejvhodnějšího řešení</w:t>
      </w:r>
    </w:p>
    <w:p w:rsidR="00B17F93" w:rsidRPr="004F4F2B" w:rsidRDefault="0020683D" w:rsidP="005C6DF7">
      <w:pPr>
        <w:spacing w:after="12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Upřednostněné varianty </w:t>
      </w:r>
      <w:r w:rsidR="00960BB2" w:rsidRPr="004F4F2B">
        <w:rPr>
          <w:sz w:val="22"/>
          <w:szCs w:val="22"/>
        </w:rPr>
        <w:t xml:space="preserve">pro naplnění cílů pod písmeny a) a c) kapitoly </w:t>
      </w:r>
      <w:r w:rsidR="00BA3268" w:rsidRPr="004F4F2B">
        <w:rPr>
          <w:sz w:val="22"/>
          <w:szCs w:val="22"/>
        </w:rPr>
        <w:t>1.5</w:t>
      </w:r>
      <w:r w:rsidR="005C4059" w:rsidRPr="004F4F2B">
        <w:rPr>
          <w:sz w:val="22"/>
          <w:szCs w:val="22"/>
        </w:rPr>
        <w:t xml:space="preserve"> </w:t>
      </w:r>
      <w:r w:rsidR="002940B1" w:rsidRPr="004F4F2B">
        <w:rPr>
          <w:sz w:val="22"/>
          <w:szCs w:val="22"/>
        </w:rPr>
        <w:t xml:space="preserve">lze </w:t>
      </w:r>
      <w:r w:rsidR="00C11A00" w:rsidRPr="004F4F2B">
        <w:rPr>
          <w:sz w:val="22"/>
          <w:szCs w:val="22"/>
        </w:rPr>
        <w:t>sumarizovat následovně:</w:t>
      </w:r>
    </w:p>
    <w:p w:rsidR="0011655A" w:rsidRPr="004F4F2B" w:rsidRDefault="005D0C77" w:rsidP="005C6DF7">
      <w:pPr>
        <w:tabs>
          <w:tab w:val="left" w:pos="426"/>
        </w:tabs>
        <w:ind w:left="426" w:hanging="425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a)</w:t>
      </w:r>
      <w:r w:rsidRPr="004F4F2B">
        <w:rPr>
          <w:sz w:val="22"/>
          <w:szCs w:val="22"/>
        </w:rPr>
        <w:tab/>
      </w:r>
      <w:r w:rsidR="007969F1" w:rsidRPr="004F4F2B">
        <w:rPr>
          <w:sz w:val="22"/>
          <w:szCs w:val="22"/>
        </w:rPr>
        <w:t>c</w:t>
      </w:r>
      <w:r w:rsidR="00791640" w:rsidRPr="004F4F2B">
        <w:rPr>
          <w:sz w:val="22"/>
          <w:szCs w:val="22"/>
        </w:rPr>
        <w:t>íl </w:t>
      </w:r>
      <w:r w:rsidR="0011655A" w:rsidRPr="004F4F2B">
        <w:rPr>
          <w:sz w:val="22"/>
          <w:szCs w:val="22"/>
        </w:rPr>
        <w:t>„stanovit vhodný režim pro přístup osob z řad široké veřejnosti k prekurzorům výbušnin“:</w:t>
      </w:r>
    </w:p>
    <w:p w:rsidR="0011655A" w:rsidRPr="004F4F2B" w:rsidRDefault="003B50CB" w:rsidP="005C6DF7">
      <w:pPr>
        <w:tabs>
          <w:tab w:val="left" w:pos="426"/>
        </w:tabs>
        <w:ind w:left="426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Upřednostněná varianta: v</w:t>
      </w:r>
      <w:r w:rsidR="0011655A" w:rsidRPr="004F4F2B">
        <w:rPr>
          <w:sz w:val="22"/>
          <w:szCs w:val="22"/>
        </w:rPr>
        <w:t xml:space="preserve">arianta I (nulová) – tedy ponechání zákazu prodeje prekurzorů výbušnin </w:t>
      </w:r>
      <w:r w:rsidR="00CB63D0" w:rsidRPr="004F4F2B">
        <w:rPr>
          <w:sz w:val="22"/>
          <w:szCs w:val="22"/>
        </w:rPr>
        <w:t>osobám z řad široké veřejnosti.</w:t>
      </w:r>
    </w:p>
    <w:p w:rsidR="00CB63D0" w:rsidRPr="004F4F2B" w:rsidRDefault="00CB63D0" w:rsidP="005C6DF7">
      <w:pPr>
        <w:tabs>
          <w:tab w:val="left" w:pos="426"/>
        </w:tabs>
        <w:ind w:left="426"/>
        <w:jc w:val="both"/>
        <w:rPr>
          <w:i/>
          <w:iCs/>
          <w:sz w:val="22"/>
          <w:szCs w:val="22"/>
        </w:rPr>
      </w:pPr>
      <w:r w:rsidRPr="004F4F2B">
        <w:rPr>
          <w:i/>
          <w:iCs/>
          <w:sz w:val="22"/>
          <w:szCs w:val="22"/>
        </w:rPr>
        <w:t>Řešení spočívá v tom, že navrhovaná právní úprava pro forma výslovně proděj těchto rizikových látek a</w:t>
      </w:r>
      <w:r w:rsidR="005F7A25">
        <w:rPr>
          <w:i/>
          <w:iCs/>
          <w:sz w:val="22"/>
          <w:szCs w:val="22"/>
        </w:rPr>
        <w:t> </w:t>
      </w:r>
      <w:r w:rsidRPr="004F4F2B">
        <w:rPr>
          <w:i/>
          <w:iCs/>
          <w:sz w:val="22"/>
          <w:szCs w:val="22"/>
        </w:rPr>
        <w:t xml:space="preserve">směsí zakáže, a zakáže i jejich </w:t>
      </w:r>
      <w:r w:rsidR="00680AAB" w:rsidRPr="004F4F2B">
        <w:rPr>
          <w:i/>
          <w:iCs/>
          <w:sz w:val="22"/>
          <w:szCs w:val="22"/>
        </w:rPr>
        <w:t xml:space="preserve">dovoz, </w:t>
      </w:r>
      <w:r w:rsidRPr="004F4F2B">
        <w:rPr>
          <w:i/>
          <w:iCs/>
          <w:sz w:val="22"/>
          <w:szCs w:val="22"/>
        </w:rPr>
        <w:t>držení a používání.</w:t>
      </w:r>
    </w:p>
    <w:p w:rsidR="0011655A" w:rsidRPr="004F4F2B" w:rsidRDefault="003B50CB" w:rsidP="005C6DF7">
      <w:pPr>
        <w:tabs>
          <w:tab w:val="left" w:pos="426"/>
        </w:tabs>
        <w:ind w:left="426" w:hanging="425"/>
        <w:jc w:val="both"/>
        <w:rPr>
          <w:sz w:val="22"/>
          <w:szCs w:val="22"/>
        </w:rPr>
      </w:pPr>
      <w:r w:rsidRPr="004F4F2B">
        <w:rPr>
          <w:sz w:val="22"/>
          <w:szCs w:val="22"/>
        </w:rPr>
        <w:t>b)</w:t>
      </w:r>
      <w:r w:rsidRPr="004F4F2B">
        <w:rPr>
          <w:sz w:val="22"/>
          <w:szCs w:val="22"/>
        </w:rPr>
        <w:tab/>
        <w:t>cíl „</w:t>
      </w:r>
      <w:r w:rsidR="0011655A" w:rsidRPr="004F4F2B">
        <w:rPr>
          <w:sz w:val="22"/>
          <w:szCs w:val="22"/>
        </w:rPr>
        <w:t>zavést nástroje pro vynucování povinností</w:t>
      </w:r>
      <w:r w:rsidRPr="004F4F2B">
        <w:rPr>
          <w:sz w:val="22"/>
          <w:szCs w:val="22"/>
        </w:rPr>
        <w:t>“:</w:t>
      </w:r>
    </w:p>
    <w:p w:rsidR="0011655A" w:rsidRPr="004F4F2B" w:rsidRDefault="003B50CB" w:rsidP="005C6DF7">
      <w:pPr>
        <w:tabs>
          <w:tab w:val="left" w:pos="426"/>
        </w:tabs>
        <w:ind w:left="426"/>
        <w:jc w:val="both"/>
        <w:rPr>
          <w:bCs/>
          <w:sz w:val="22"/>
          <w:szCs w:val="22"/>
        </w:rPr>
      </w:pPr>
      <w:r w:rsidRPr="004F4F2B">
        <w:rPr>
          <w:sz w:val="22"/>
          <w:szCs w:val="22"/>
        </w:rPr>
        <w:t xml:space="preserve">Upřednostněná varianta: varianta </w:t>
      </w:r>
      <w:r w:rsidR="007704DF" w:rsidRPr="004F4F2B">
        <w:rPr>
          <w:sz w:val="22"/>
          <w:szCs w:val="22"/>
        </w:rPr>
        <w:t>I</w:t>
      </w:r>
      <w:r w:rsidR="007704DF" w:rsidRPr="004F4F2B">
        <w:rPr>
          <w:bCs/>
          <w:sz w:val="22"/>
          <w:szCs w:val="22"/>
        </w:rPr>
        <w:t>I – tedy</w:t>
      </w:r>
      <w:r w:rsidRPr="004F4F2B">
        <w:rPr>
          <w:bCs/>
          <w:sz w:val="22"/>
          <w:szCs w:val="22"/>
        </w:rPr>
        <w:t xml:space="preserve"> stanovit skutkové podstaty přestupků společně s odpovídajícími správními tresty.</w:t>
      </w:r>
    </w:p>
    <w:p w:rsidR="0011655A" w:rsidRPr="004F4F2B" w:rsidRDefault="00A034AA" w:rsidP="005C6DF7">
      <w:pPr>
        <w:tabs>
          <w:tab w:val="left" w:pos="426"/>
        </w:tabs>
        <w:spacing w:after="600"/>
        <w:ind w:left="426"/>
        <w:jc w:val="both"/>
        <w:rPr>
          <w:i/>
          <w:iCs/>
          <w:sz w:val="22"/>
          <w:szCs w:val="22"/>
        </w:rPr>
      </w:pPr>
      <w:r w:rsidRPr="004F4F2B">
        <w:rPr>
          <w:bCs/>
          <w:i/>
          <w:iCs/>
          <w:sz w:val="22"/>
          <w:szCs w:val="22"/>
        </w:rPr>
        <w:t xml:space="preserve">Řešení spočívá v tom, že navrhovaná právní úprava zavede konkrétní skutkové podstaty přestupků s ohledem na výslovné povinnosti podle </w:t>
      </w:r>
      <w:r w:rsidRPr="004F4F2B">
        <w:rPr>
          <w:rFonts w:eastAsiaTheme="minorHAnsi"/>
          <w:i/>
          <w:iCs/>
          <w:color w:val="000000"/>
          <w:sz w:val="22"/>
          <w:szCs w:val="22"/>
          <w:lang w:eastAsia="en-US"/>
        </w:rPr>
        <w:t>přímo použitelné nařízení 2019/1148, stanoví přiměřené správní tresty zohledňující závažnost protiprávního jednání a povahu a velikost případných pachatelů.</w:t>
      </w:r>
    </w:p>
    <w:p w:rsidR="00455204" w:rsidRPr="004F4F2B" w:rsidRDefault="00455204" w:rsidP="005C6DF7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4.1</w:t>
      </w:r>
      <w:r w:rsidR="00124C08" w:rsidRPr="004F4F2B">
        <w:rPr>
          <w:b/>
          <w:sz w:val="22"/>
          <w:szCs w:val="22"/>
        </w:rPr>
        <w:tab/>
      </w:r>
      <w:r w:rsidRPr="004F4F2B">
        <w:rPr>
          <w:b/>
          <w:sz w:val="22"/>
          <w:szCs w:val="22"/>
        </w:rPr>
        <w:t xml:space="preserve">Specifické dopady </w:t>
      </w:r>
      <w:r w:rsidR="00124C08" w:rsidRPr="004F4F2B">
        <w:rPr>
          <w:b/>
          <w:sz w:val="22"/>
          <w:szCs w:val="22"/>
        </w:rPr>
        <w:t>navrhovaného řešení</w:t>
      </w:r>
    </w:p>
    <w:p w:rsidR="003445A9" w:rsidRPr="00D84FB4" w:rsidRDefault="00576C14" w:rsidP="005C6DF7">
      <w:pPr>
        <w:spacing w:after="24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Navrhovaná právní úprava </w:t>
      </w:r>
      <w:r w:rsidR="00275475" w:rsidRPr="004F4F2B">
        <w:rPr>
          <w:sz w:val="22"/>
          <w:szCs w:val="22"/>
        </w:rPr>
        <w:t xml:space="preserve">se nedotkne rovnosti mužů a žen, </w:t>
      </w:r>
      <w:r w:rsidR="003445A9" w:rsidRPr="004F4F2B">
        <w:rPr>
          <w:sz w:val="22"/>
          <w:szCs w:val="22"/>
        </w:rPr>
        <w:t xml:space="preserve">nebude mít </w:t>
      </w:r>
      <w:r w:rsidR="00385F43" w:rsidRPr="004F4F2B">
        <w:rPr>
          <w:sz w:val="22"/>
          <w:szCs w:val="22"/>
        </w:rPr>
        <w:t xml:space="preserve">sociální dopady včetně dopadů na rodiny a na </w:t>
      </w:r>
      <w:r w:rsidR="00385F43" w:rsidRPr="004F4F2B">
        <w:rPr>
          <w:rFonts w:eastAsiaTheme="minorHAnsi"/>
          <w:sz w:val="22"/>
          <w:szCs w:val="22"/>
          <w:lang w:eastAsia="en-US"/>
        </w:rPr>
        <w:t xml:space="preserve">specifické skupiny obyvatel, zejména osoby sociálně slabé, osoby se zdravotním postižením </w:t>
      </w:r>
      <w:r w:rsidR="00385F43" w:rsidRPr="00D84FB4">
        <w:rPr>
          <w:rFonts w:eastAsiaTheme="minorHAnsi"/>
          <w:sz w:val="22"/>
          <w:szCs w:val="22"/>
          <w:lang w:eastAsia="en-US"/>
        </w:rPr>
        <w:t>a</w:t>
      </w:r>
      <w:r w:rsidR="00BC0A5B" w:rsidRPr="00D84FB4">
        <w:rPr>
          <w:rFonts w:eastAsiaTheme="minorHAnsi"/>
          <w:sz w:val="22"/>
          <w:szCs w:val="22"/>
          <w:lang w:eastAsia="en-US"/>
        </w:rPr>
        <w:t> </w:t>
      </w:r>
      <w:r w:rsidR="00385F43" w:rsidRPr="00D84FB4">
        <w:rPr>
          <w:rFonts w:eastAsiaTheme="minorHAnsi"/>
          <w:sz w:val="22"/>
          <w:szCs w:val="22"/>
          <w:lang w:eastAsia="en-US"/>
        </w:rPr>
        <w:t>národnostní menšiny.</w:t>
      </w:r>
      <w:r w:rsidR="004D697D" w:rsidRPr="00D84FB4">
        <w:rPr>
          <w:rFonts w:eastAsiaTheme="minorHAnsi"/>
          <w:sz w:val="22"/>
          <w:szCs w:val="22"/>
          <w:lang w:eastAsia="en-US"/>
        </w:rPr>
        <w:t xml:space="preserve"> Navrhovaná právní úprava </w:t>
      </w:r>
      <w:r w:rsidR="00275475" w:rsidRPr="00D84FB4">
        <w:rPr>
          <w:sz w:val="22"/>
          <w:szCs w:val="22"/>
        </w:rPr>
        <w:t>nebude mít dopady na životní prostředí</w:t>
      </w:r>
      <w:r w:rsidR="004D697D" w:rsidRPr="00D84FB4">
        <w:rPr>
          <w:sz w:val="22"/>
          <w:szCs w:val="22"/>
        </w:rPr>
        <w:t>.</w:t>
      </w:r>
    </w:p>
    <w:p w:rsidR="00113F10" w:rsidRPr="004F4F2B" w:rsidRDefault="00113F10" w:rsidP="00113F10">
      <w:pPr>
        <w:spacing w:after="240"/>
        <w:jc w:val="both"/>
        <w:rPr>
          <w:bCs/>
          <w:sz w:val="22"/>
          <w:szCs w:val="22"/>
        </w:rPr>
      </w:pPr>
      <w:bookmarkStart w:id="2" w:name="_Hlk37249781"/>
      <w:r w:rsidRPr="004F4F2B">
        <w:rPr>
          <w:bCs/>
          <w:sz w:val="22"/>
          <w:szCs w:val="22"/>
        </w:rPr>
        <w:t xml:space="preserve">Navrhovaná právní úprava </w:t>
      </w:r>
      <w:r w:rsidR="00D14A16">
        <w:rPr>
          <w:bCs/>
          <w:sz w:val="22"/>
          <w:szCs w:val="22"/>
        </w:rPr>
        <w:t>ne</w:t>
      </w:r>
      <w:r w:rsidRPr="004F4F2B">
        <w:rPr>
          <w:bCs/>
          <w:sz w:val="22"/>
          <w:szCs w:val="22"/>
        </w:rPr>
        <w:t xml:space="preserve">bude negativní </w:t>
      </w:r>
      <w:r w:rsidR="00B01E6B">
        <w:rPr>
          <w:bCs/>
          <w:sz w:val="22"/>
          <w:szCs w:val="22"/>
        </w:rPr>
        <w:t>dopad</w:t>
      </w:r>
      <w:r w:rsidRPr="004F4F2B">
        <w:rPr>
          <w:bCs/>
          <w:sz w:val="22"/>
          <w:szCs w:val="22"/>
        </w:rPr>
        <w:t xml:space="preserve"> na státní rozpočet. Veškeré agendy dotčených orgánů státní správy </w:t>
      </w:r>
      <w:r w:rsidR="00D14A16">
        <w:rPr>
          <w:bCs/>
          <w:sz w:val="22"/>
          <w:szCs w:val="22"/>
        </w:rPr>
        <w:t>budou vykonávány v mezích příslušných schválených rozpočtů</w:t>
      </w:r>
      <w:r w:rsidR="00276179">
        <w:rPr>
          <w:bCs/>
          <w:sz w:val="22"/>
          <w:szCs w:val="22"/>
        </w:rPr>
        <w:t xml:space="preserve">: </w:t>
      </w:r>
      <w:r w:rsidR="00D14A16">
        <w:rPr>
          <w:bCs/>
          <w:sz w:val="22"/>
          <w:szCs w:val="22"/>
        </w:rPr>
        <w:t xml:space="preserve">nárůst agendy kontrol a projednávání přestupků na straně orgánů státní báňské správy bude řešen </w:t>
      </w:r>
      <w:r w:rsidR="00276179">
        <w:rPr>
          <w:bCs/>
          <w:sz w:val="22"/>
          <w:szCs w:val="22"/>
        </w:rPr>
        <w:t xml:space="preserve">úpravou </w:t>
      </w:r>
      <w:r w:rsidR="00D14A16">
        <w:rPr>
          <w:bCs/>
          <w:sz w:val="22"/>
          <w:szCs w:val="22"/>
        </w:rPr>
        <w:t>priorit</w:t>
      </w:r>
      <w:r w:rsidR="00276179">
        <w:rPr>
          <w:bCs/>
          <w:sz w:val="22"/>
          <w:szCs w:val="22"/>
        </w:rPr>
        <w:t>; p</w:t>
      </w:r>
      <w:r w:rsidRPr="004F4F2B">
        <w:rPr>
          <w:bCs/>
          <w:sz w:val="22"/>
          <w:szCs w:val="22"/>
        </w:rPr>
        <w:t>okud jde o zvyšování povědomí dotčených podnikatelů o regulaci prodeje a držení prekurzorů výbušnin podle čl. 10 odst. 2 přímo použitelného nařízení 2019/1148, v minulosti se pro obdobné cíle vcelku osvědčila kombinace přednáškové činnosti (v rámci konferencí organizovaných spolky sdružujícími podnikatele v oboru obchodu s chemickými látkami a směsmi nebo organizovanými podnikateli zainteresovanými v problematice nakládání s nebezpečnými látkami), osvěty v rámci kontrolní činnosti a tiskového zpravodajství o obecných výsledcích kontrol a</w:t>
      </w:r>
      <w:r>
        <w:rPr>
          <w:bCs/>
          <w:sz w:val="22"/>
          <w:szCs w:val="22"/>
        </w:rPr>
        <w:t> </w:t>
      </w:r>
      <w:r w:rsidRPr="004F4F2B">
        <w:rPr>
          <w:bCs/>
          <w:sz w:val="22"/>
          <w:szCs w:val="22"/>
        </w:rPr>
        <w:t>poskytování informací veřejnosti na webových stránkách</w:t>
      </w:r>
      <w:r w:rsidR="009743DA">
        <w:rPr>
          <w:bCs/>
          <w:sz w:val="22"/>
          <w:szCs w:val="22"/>
        </w:rPr>
        <w:t xml:space="preserve">, a lze se </w:t>
      </w:r>
      <w:r w:rsidRPr="004F4F2B">
        <w:rPr>
          <w:bCs/>
          <w:sz w:val="22"/>
          <w:szCs w:val="22"/>
        </w:rPr>
        <w:t>důvodně domnívat, že obdobné úkony lze provádět i nadále, aniž by bylo nutné vynakládat na dané účely další prostředky ze státního rozpočtu. Totéž platí i pro zvyšování povědomí dotčených orgánů státní správy o</w:t>
      </w:r>
      <w:r w:rsidR="00B11F99">
        <w:rPr>
          <w:bCs/>
          <w:sz w:val="22"/>
          <w:szCs w:val="22"/>
        </w:rPr>
        <w:t> </w:t>
      </w:r>
      <w:r w:rsidRPr="004F4F2B">
        <w:rPr>
          <w:bCs/>
          <w:sz w:val="22"/>
          <w:szCs w:val="22"/>
        </w:rPr>
        <w:t>problematice prekurzorů výbušnin podle čl. 10 odst. 1 přímo použitelného nařízení 2019/1148: Český báňský úřad zpravidla každoročně organizoval setkání dotčených orgánů státní správy za účelem výměny aktuálních a relevantních informací, a i tento postup nepochybně lze uplatňovat i v budoucnu.</w:t>
      </w:r>
      <w:bookmarkEnd w:id="2"/>
    </w:p>
    <w:p w:rsidR="00ED3C48" w:rsidRPr="004F4F2B" w:rsidRDefault="004D3897" w:rsidP="005C6DF7">
      <w:pPr>
        <w:autoSpaceDE w:val="0"/>
        <w:autoSpaceDN w:val="0"/>
        <w:adjustRightInd w:val="0"/>
        <w:spacing w:after="240"/>
        <w:jc w:val="both"/>
        <w:rPr>
          <w:rFonts w:eastAsiaTheme="minorHAnsi"/>
          <w:sz w:val="22"/>
          <w:szCs w:val="22"/>
          <w:lang w:eastAsia="en-US"/>
        </w:rPr>
      </w:pPr>
      <w:r w:rsidRPr="004F4F2B">
        <w:rPr>
          <w:rFonts w:eastAsiaTheme="minorHAnsi"/>
          <w:sz w:val="22"/>
          <w:szCs w:val="22"/>
          <w:lang w:eastAsia="en-US"/>
        </w:rPr>
        <w:t>Navrhovaná právní úprava bude mít dopady na podnikatelské prostředí</w:t>
      </w:r>
      <w:r w:rsidR="00CA76A6" w:rsidRPr="004F4F2B">
        <w:rPr>
          <w:rFonts w:eastAsiaTheme="minorHAnsi"/>
          <w:sz w:val="22"/>
          <w:szCs w:val="22"/>
          <w:lang w:eastAsia="en-US"/>
        </w:rPr>
        <w:t xml:space="preserve">, avšak zanedbatelné. Konkrétně lze dopady očekávat ve formě zanedbatelného poklesu zisku </w:t>
      </w:r>
      <w:r w:rsidR="00EB6DC3" w:rsidRPr="004F4F2B">
        <w:rPr>
          <w:rFonts w:eastAsiaTheme="minorHAnsi"/>
          <w:sz w:val="22"/>
          <w:szCs w:val="22"/>
          <w:lang w:eastAsia="en-US"/>
        </w:rPr>
        <w:t xml:space="preserve">hospodářských subjektů </w:t>
      </w:r>
      <w:r w:rsidR="00CA76A6" w:rsidRPr="004F4F2B">
        <w:rPr>
          <w:rFonts w:eastAsiaTheme="minorHAnsi"/>
          <w:sz w:val="22"/>
          <w:szCs w:val="22"/>
          <w:lang w:eastAsia="en-US"/>
        </w:rPr>
        <w:t xml:space="preserve">v důsledku stažení </w:t>
      </w:r>
      <w:r w:rsidR="00CA76A6" w:rsidRPr="004F4F2B">
        <w:rPr>
          <w:rFonts w:eastAsiaTheme="minorHAnsi"/>
          <w:sz w:val="22"/>
          <w:szCs w:val="22"/>
          <w:lang w:eastAsia="en-US"/>
        </w:rPr>
        <w:lastRenderedPageBreak/>
        <w:t xml:space="preserve">prekurzorů výbušnin podléhajících omezení </w:t>
      </w:r>
      <w:r w:rsidR="00A837A4" w:rsidRPr="004F4F2B">
        <w:rPr>
          <w:rFonts w:eastAsiaTheme="minorHAnsi"/>
          <w:sz w:val="22"/>
          <w:szCs w:val="22"/>
          <w:lang w:eastAsia="en-US"/>
        </w:rPr>
        <w:t>z prodeje osobám z řad široké veřejnosti</w:t>
      </w:r>
      <w:r w:rsidR="00EB6DC3" w:rsidRPr="004F4F2B">
        <w:rPr>
          <w:rFonts w:eastAsiaTheme="minorHAnsi"/>
          <w:sz w:val="22"/>
          <w:szCs w:val="22"/>
          <w:lang w:eastAsia="en-US"/>
        </w:rPr>
        <w:t>, avšak jen v případě, že se tito prodejci neuchýlí k prodeji altern</w:t>
      </w:r>
      <w:r w:rsidR="00ED3C48" w:rsidRPr="004F4F2B">
        <w:rPr>
          <w:rFonts w:eastAsiaTheme="minorHAnsi"/>
          <w:sz w:val="22"/>
          <w:szCs w:val="22"/>
          <w:lang w:eastAsia="en-US"/>
        </w:rPr>
        <w:t>a</w:t>
      </w:r>
      <w:r w:rsidR="00EB6DC3" w:rsidRPr="004F4F2B">
        <w:rPr>
          <w:rFonts w:eastAsiaTheme="minorHAnsi"/>
          <w:sz w:val="22"/>
          <w:szCs w:val="22"/>
          <w:lang w:eastAsia="en-US"/>
        </w:rPr>
        <w:t>tivních náhrad prekurzorů výbušnin podléhajících omezení, které osoby z řad ši</w:t>
      </w:r>
      <w:r w:rsidR="00ED3C48" w:rsidRPr="004F4F2B">
        <w:rPr>
          <w:rFonts w:eastAsiaTheme="minorHAnsi"/>
          <w:sz w:val="22"/>
          <w:szCs w:val="22"/>
          <w:lang w:eastAsia="en-US"/>
        </w:rPr>
        <w:t xml:space="preserve">roké </w:t>
      </w:r>
      <w:r w:rsidR="00EB6DC3" w:rsidRPr="004F4F2B">
        <w:rPr>
          <w:rFonts w:eastAsiaTheme="minorHAnsi"/>
          <w:sz w:val="22"/>
          <w:szCs w:val="22"/>
          <w:lang w:eastAsia="en-US"/>
        </w:rPr>
        <w:t>veřejnosti nepochybně budou poptávat.</w:t>
      </w:r>
      <w:r w:rsidR="00ED3C48" w:rsidRPr="004F4F2B">
        <w:rPr>
          <w:rFonts w:eastAsiaTheme="minorHAnsi"/>
          <w:sz w:val="22"/>
          <w:szCs w:val="22"/>
          <w:lang w:eastAsia="en-US"/>
        </w:rPr>
        <w:t xml:space="preserve"> Negativní dopady na hospodářské subjekty v podobě finančních nákladů (souvisejících z pořizování a uchovávání údajů o prodejích prekurzorů výbušnin jiným hospodářským subjektům nebo profesionálním uživatelům, či souvisejících s nutným školením svého personálu) vyplývají již ze samotného přímo použitelného nařízení 2019/1148 a tyto náklady jsou blíže rozvedeny v návrhu nařízení (dokument </w:t>
      </w:r>
      <w:proofErr w:type="gramStart"/>
      <w:r w:rsidR="00ED3C48" w:rsidRPr="004F4F2B">
        <w:rPr>
          <w:rFonts w:eastAsiaTheme="minorHAnsi"/>
          <w:sz w:val="22"/>
          <w:szCs w:val="22"/>
          <w:lang w:eastAsia="en-US"/>
        </w:rPr>
        <w:t>COM(</w:t>
      </w:r>
      <w:proofErr w:type="gramEnd"/>
      <w:r w:rsidR="00ED3C48" w:rsidRPr="004F4F2B">
        <w:rPr>
          <w:rFonts w:eastAsiaTheme="minorHAnsi"/>
          <w:sz w:val="22"/>
          <w:szCs w:val="22"/>
          <w:lang w:eastAsia="en-US"/>
        </w:rPr>
        <w:t xml:space="preserve">2018) 209) a </w:t>
      </w:r>
      <w:r w:rsidR="006400D2" w:rsidRPr="004F4F2B">
        <w:rPr>
          <w:rFonts w:eastAsiaTheme="minorHAnsi"/>
          <w:sz w:val="22"/>
          <w:szCs w:val="22"/>
          <w:lang w:eastAsia="en-US"/>
        </w:rPr>
        <w:t xml:space="preserve">v </w:t>
      </w:r>
      <w:r w:rsidR="00ED3C48" w:rsidRPr="004F4F2B">
        <w:rPr>
          <w:rFonts w:eastAsiaTheme="minorHAnsi"/>
          <w:sz w:val="22"/>
          <w:szCs w:val="22"/>
          <w:lang w:eastAsia="en-US"/>
        </w:rPr>
        <w:t>průvodních dokument</w:t>
      </w:r>
      <w:r w:rsidR="006400D2" w:rsidRPr="004F4F2B">
        <w:rPr>
          <w:rFonts w:eastAsiaTheme="minorHAnsi"/>
          <w:sz w:val="22"/>
          <w:szCs w:val="22"/>
          <w:lang w:eastAsia="en-US"/>
        </w:rPr>
        <w:t>ech</w:t>
      </w:r>
      <w:r w:rsidR="00ED3C48" w:rsidRPr="004F4F2B">
        <w:rPr>
          <w:rFonts w:eastAsiaTheme="minorHAnsi"/>
          <w:sz w:val="22"/>
          <w:szCs w:val="22"/>
          <w:lang w:eastAsia="en-US"/>
        </w:rPr>
        <w:t xml:space="preserve"> (</w:t>
      </w:r>
      <w:r w:rsidR="00ED3C48" w:rsidRPr="004F4F2B">
        <w:rPr>
          <w:sz w:val="22"/>
          <w:szCs w:val="22"/>
        </w:rPr>
        <w:t>SWD/2018/104 a SWD/2018/105).</w:t>
      </w:r>
    </w:p>
    <w:p w:rsidR="0062794D" w:rsidRPr="004F4F2B" w:rsidRDefault="00101135" w:rsidP="005C6DF7">
      <w:pPr>
        <w:autoSpaceDE w:val="0"/>
        <w:autoSpaceDN w:val="0"/>
        <w:adjustRightInd w:val="0"/>
        <w:spacing w:after="240"/>
        <w:jc w:val="both"/>
        <w:rPr>
          <w:rFonts w:eastAsiaTheme="minorHAnsi"/>
          <w:sz w:val="22"/>
          <w:szCs w:val="22"/>
          <w:lang w:eastAsia="en-US"/>
        </w:rPr>
      </w:pPr>
      <w:r w:rsidRPr="004F4F2B">
        <w:rPr>
          <w:rFonts w:eastAsiaTheme="minorHAnsi"/>
          <w:sz w:val="22"/>
          <w:szCs w:val="22"/>
          <w:lang w:eastAsia="en-US"/>
        </w:rPr>
        <w:t>Navrhovaná právní úprava se dotýká ochrany soukromí a osobních údajů jen pokud jde o zpracovávání osobních údajů v rámci uchovávání údajů o nákupech prekurzorů výbušnin podléhajících omezení, případně při hlášení podezřelých transakcí kontaktnímu místu pro prekurzory výbušnin. Navrhovaná právní úprava podle názoru zpracovatele nekoliduje s n</w:t>
      </w:r>
      <w:r w:rsidRPr="004F4F2B">
        <w:rPr>
          <w:sz w:val="22"/>
          <w:szCs w:val="22"/>
        </w:rPr>
        <w:t xml:space="preserve">ařízením Evropského parlamentu a Rady (EU) 2016/679 o ochraně fyzických osob v souvislosti se zpracováním osobních údajů a o volném pohybu těchto údajů a o zrušení směrnice 95/46/ES (obecné nařízení o ochraně osobních údajů), a když </w:t>
      </w:r>
      <w:r w:rsidRPr="004F4F2B">
        <w:rPr>
          <w:rFonts w:eastAsiaTheme="minorHAnsi"/>
          <w:sz w:val="22"/>
          <w:szCs w:val="22"/>
          <w:lang w:eastAsia="en-US"/>
        </w:rPr>
        <w:t>rozsah nakládání s osobními údaji je přiměřené cílům sledovaným přímo použitelným nařízením 2019/1148.</w:t>
      </w:r>
    </w:p>
    <w:p w:rsidR="005F2DC2" w:rsidRPr="004F4F2B" w:rsidRDefault="008D6BD1" w:rsidP="005C6DF7">
      <w:pPr>
        <w:autoSpaceDE w:val="0"/>
        <w:autoSpaceDN w:val="0"/>
        <w:adjustRightInd w:val="0"/>
        <w:spacing w:after="240"/>
        <w:jc w:val="both"/>
        <w:rPr>
          <w:rFonts w:eastAsiaTheme="minorHAnsi"/>
          <w:sz w:val="22"/>
          <w:szCs w:val="22"/>
          <w:lang w:eastAsia="en-US"/>
        </w:rPr>
      </w:pPr>
      <w:r w:rsidRPr="004F4F2B">
        <w:rPr>
          <w:rFonts w:eastAsiaTheme="minorHAnsi"/>
          <w:sz w:val="22"/>
          <w:szCs w:val="22"/>
          <w:lang w:eastAsia="en-US"/>
        </w:rPr>
        <w:t>S výjimkou kontrolní pravomoci a pravomoc</w:t>
      </w:r>
      <w:r w:rsidR="00666796" w:rsidRPr="004F4F2B">
        <w:rPr>
          <w:rFonts w:eastAsiaTheme="minorHAnsi"/>
          <w:sz w:val="22"/>
          <w:szCs w:val="22"/>
          <w:lang w:eastAsia="en-US"/>
        </w:rPr>
        <w:t>i</w:t>
      </w:r>
      <w:r w:rsidRPr="004F4F2B">
        <w:rPr>
          <w:rFonts w:eastAsiaTheme="minorHAnsi"/>
          <w:sz w:val="22"/>
          <w:szCs w:val="22"/>
          <w:lang w:eastAsia="en-US"/>
        </w:rPr>
        <w:t xml:space="preserve"> správního trestání nezakládá n</w:t>
      </w:r>
      <w:r w:rsidR="00602608" w:rsidRPr="004F4F2B">
        <w:rPr>
          <w:rFonts w:eastAsiaTheme="minorHAnsi"/>
          <w:sz w:val="22"/>
          <w:szCs w:val="22"/>
          <w:lang w:eastAsia="en-US"/>
        </w:rPr>
        <w:t xml:space="preserve">avrhovaná právní úprava </w:t>
      </w:r>
      <w:r w:rsidRPr="004F4F2B">
        <w:rPr>
          <w:rFonts w:eastAsiaTheme="minorHAnsi"/>
          <w:sz w:val="22"/>
          <w:szCs w:val="22"/>
          <w:lang w:eastAsia="en-US"/>
        </w:rPr>
        <w:t xml:space="preserve">dotčeným orgánům státní správy žádné speciální kompetence, které by byly zdrojem potenciálních korupčních rizik. Kontrolní činnost i správní trestání </w:t>
      </w:r>
      <w:r w:rsidR="005F0492" w:rsidRPr="004F4F2B">
        <w:rPr>
          <w:rFonts w:eastAsiaTheme="minorHAnsi"/>
          <w:sz w:val="22"/>
          <w:szCs w:val="22"/>
          <w:lang w:eastAsia="en-US"/>
        </w:rPr>
        <w:t>se řídí jasnými pravidly</w:t>
      </w:r>
      <w:r w:rsidR="005F2DC2" w:rsidRPr="004F4F2B">
        <w:rPr>
          <w:rFonts w:eastAsiaTheme="minorHAnsi"/>
          <w:sz w:val="22"/>
          <w:szCs w:val="22"/>
          <w:lang w:eastAsia="en-US"/>
        </w:rPr>
        <w:t xml:space="preserve">; dotčené správní orgány mají organizačními pravidly a interními předpisy rozděleny pravomoci a odpovědnosti příslušných osob a </w:t>
      </w:r>
      <w:r w:rsidR="000B4C46" w:rsidRPr="004F4F2B">
        <w:rPr>
          <w:rFonts w:eastAsiaTheme="minorHAnsi"/>
          <w:sz w:val="22"/>
          <w:szCs w:val="22"/>
          <w:lang w:eastAsia="en-US"/>
        </w:rPr>
        <w:t xml:space="preserve">případné neoprávněné úkony lze postihovat. </w:t>
      </w:r>
      <w:r w:rsidR="005F2DC2" w:rsidRPr="004F4F2B">
        <w:rPr>
          <w:sz w:val="22"/>
          <w:szCs w:val="22"/>
        </w:rPr>
        <w:t>Přístup mj. veřejnosti k informacím o prováděných úkonech (s výjimkou zákonné povinnosti mlčenlivosti) není znemožněn, aby byla zajištěna též veřejná kontrola.</w:t>
      </w:r>
    </w:p>
    <w:p w:rsidR="002251A3" w:rsidRPr="004F4F2B" w:rsidRDefault="00C40690" w:rsidP="005C6DF7">
      <w:pPr>
        <w:spacing w:after="480"/>
        <w:jc w:val="both"/>
        <w:rPr>
          <w:rFonts w:eastAsiaTheme="minorHAnsi"/>
          <w:sz w:val="22"/>
          <w:szCs w:val="22"/>
          <w:lang w:eastAsia="en-US"/>
        </w:rPr>
      </w:pPr>
      <w:r w:rsidRPr="004F4F2B">
        <w:rPr>
          <w:rFonts w:eastAsiaTheme="minorHAnsi"/>
          <w:sz w:val="22"/>
          <w:szCs w:val="22"/>
          <w:lang w:eastAsia="en-US"/>
        </w:rPr>
        <w:t xml:space="preserve">Navrhovaná právní úprava </w:t>
      </w:r>
      <w:r w:rsidR="00791589" w:rsidRPr="004F4F2B">
        <w:rPr>
          <w:rFonts w:eastAsiaTheme="minorHAnsi"/>
          <w:sz w:val="22"/>
          <w:szCs w:val="22"/>
          <w:lang w:eastAsia="en-US"/>
        </w:rPr>
        <w:t xml:space="preserve">nebude mít dopady na výkon státní statistické služby a </w:t>
      </w:r>
      <w:r w:rsidR="002251A3" w:rsidRPr="004F4F2B">
        <w:rPr>
          <w:rFonts w:eastAsiaTheme="minorHAnsi"/>
          <w:sz w:val="22"/>
          <w:szCs w:val="22"/>
          <w:lang w:eastAsia="en-US"/>
        </w:rPr>
        <w:t>bude mít pozitivní vliv na bezpečnost státu, když omezuje přístup k látkám a směsím zneužitelným k nedovolené výrobě výbušnin.</w:t>
      </w:r>
    </w:p>
    <w:p w:rsidR="00781CBF" w:rsidRPr="004F4F2B" w:rsidRDefault="00781CBF" w:rsidP="00381A4D">
      <w:pPr>
        <w:tabs>
          <w:tab w:val="left" w:pos="426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5</w:t>
      </w:r>
      <w:r w:rsidRPr="004F4F2B">
        <w:rPr>
          <w:b/>
          <w:sz w:val="22"/>
          <w:szCs w:val="22"/>
        </w:rPr>
        <w:tab/>
        <w:t>Implementace doporučené varianty a vynucování</w:t>
      </w:r>
    </w:p>
    <w:p w:rsidR="005E00C2" w:rsidRPr="004F4F2B" w:rsidRDefault="005E00C2" w:rsidP="005C6DF7">
      <w:pPr>
        <w:spacing w:after="24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 xml:space="preserve">Působnost orgánů státní správy byla navržena tak, aby co nejvíce korespondovala se současnou působností na úseku prekurzorů výbušnin podle dosavadního zákona č. 259/2014 Sb., aby byl výkon státní </w:t>
      </w:r>
      <w:proofErr w:type="gramStart"/>
      <w:r w:rsidRPr="004F4F2B">
        <w:rPr>
          <w:bCs/>
          <w:sz w:val="22"/>
          <w:szCs w:val="22"/>
        </w:rPr>
        <w:t>správy</w:t>
      </w:r>
      <w:proofErr w:type="gramEnd"/>
      <w:r w:rsidRPr="004F4F2B">
        <w:rPr>
          <w:bCs/>
          <w:sz w:val="22"/>
          <w:szCs w:val="22"/>
        </w:rPr>
        <w:t xml:space="preserve"> pokud možno efektivní a neměl negativní dopady na státní rozpočet.</w:t>
      </w:r>
    </w:p>
    <w:p w:rsidR="0014188C" w:rsidRPr="004F4F2B" w:rsidRDefault="002E670D" w:rsidP="007D57CA">
      <w:pPr>
        <w:spacing w:after="48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>Povinnosti stanovené n</w:t>
      </w:r>
      <w:r w:rsidR="003C293F" w:rsidRPr="004F4F2B">
        <w:rPr>
          <w:bCs/>
          <w:sz w:val="22"/>
          <w:szCs w:val="22"/>
        </w:rPr>
        <w:t>avrhovan</w:t>
      </w:r>
      <w:r w:rsidRPr="004F4F2B">
        <w:rPr>
          <w:bCs/>
          <w:sz w:val="22"/>
          <w:szCs w:val="22"/>
        </w:rPr>
        <w:t xml:space="preserve">ou </w:t>
      </w:r>
      <w:r w:rsidR="003C293F" w:rsidRPr="004F4F2B">
        <w:rPr>
          <w:bCs/>
          <w:sz w:val="22"/>
          <w:szCs w:val="22"/>
        </w:rPr>
        <w:t>právní úprav</w:t>
      </w:r>
      <w:r w:rsidRPr="004F4F2B">
        <w:rPr>
          <w:bCs/>
          <w:sz w:val="22"/>
          <w:szCs w:val="22"/>
        </w:rPr>
        <w:t>ou bud</w:t>
      </w:r>
      <w:r w:rsidR="0014188C" w:rsidRPr="004F4F2B">
        <w:rPr>
          <w:bCs/>
          <w:sz w:val="22"/>
          <w:szCs w:val="22"/>
        </w:rPr>
        <w:t>ou</w:t>
      </w:r>
      <w:r w:rsidRPr="004F4F2B">
        <w:rPr>
          <w:bCs/>
          <w:sz w:val="22"/>
          <w:szCs w:val="22"/>
        </w:rPr>
        <w:t xml:space="preserve"> vynucovat </w:t>
      </w:r>
      <w:r w:rsidR="0014188C" w:rsidRPr="004F4F2B">
        <w:rPr>
          <w:bCs/>
          <w:sz w:val="22"/>
          <w:szCs w:val="22"/>
        </w:rPr>
        <w:t xml:space="preserve">obvodní báňské úřady, Česká obchodní inspekce a </w:t>
      </w:r>
      <w:r w:rsidR="00DA30A7">
        <w:rPr>
          <w:bCs/>
          <w:sz w:val="22"/>
          <w:szCs w:val="22"/>
        </w:rPr>
        <w:t xml:space="preserve">vybrané </w:t>
      </w:r>
      <w:r w:rsidR="0014188C" w:rsidRPr="004F4F2B">
        <w:rPr>
          <w:bCs/>
          <w:sz w:val="22"/>
          <w:szCs w:val="22"/>
        </w:rPr>
        <w:t xml:space="preserve">orgány Celní správy České republiky. </w:t>
      </w:r>
      <w:r w:rsidR="000825F0" w:rsidRPr="004F4F2B">
        <w:rPr>
          <w:bCs/>
          <w:sz w:val="22"/>
          <w:szCs w:val="22"/>
        </w:rPr>
        <w:t xml:space="preserve">Obvodní báňské úřady budou </w:t>
      </w:r>
      <w:r w:rsidR="00960568" w:rsidRPr="004F4F2B">
        <w:rPr>
          <w:bCs/>
          <w:sz w:val="22"/>
          <w:szCs w:val="22"/>
        </w:rPr>
        <w:t xml:space="preserve">vynucovat </w:t>
      </w:r>
      <w:r w:rsidR="00554D7A" w:rsidRPr="004F4F2B">
        <w:rPr>
          <w:bCs/>
          <w:sz w:val="22"/>
          <w:szCs w:val="22"/>
        </w:rPr>
        <w:t xml:space="preserve">zákaz držení prekurzorů výbušnin podléhajících omezení osobami z řad široké veřejnosti a hlášení podezřelých transakcí, </w:t>
      </w:r>
      <w:r w:rsidR="00592C2D" w:rsidRPr="004F4F2B">
        <w:rPr>
          <w:bCs/>
          <w:sz w:val="22"/>
          <w:szCs w:val="22"/>
        </w:rPr>
        <w:t xml:space="preserve">významných </w:t>
      </w:r>
      <w:r w:rsidR="00554D7A" w:rsidRPr="004F4F2B">
        <w:rPr>
          <w:bCs/>
          <w:sz w:val="22"/>
          <w:szCs w:val="22"/>
        </w:rPr>
        <w:t>z</w:t>
      </w:r>
      <w:r w:rsidR="00DF7AAE" w:rsidRPr="004F4F2B">
        <w:rPr>
          <w:bCs/>
          <w:sz w:val="22"/>
          <w:szCs w:val="22"/>
        </w:rPr>
        <w:t xml:space="preserve">mizení </w:t>
      </w:r>
      <w:r w:rsidR="00554D7A" w:rsidRPr="004F4F2B">
        <w:rPr>
          <w:bCs/>
          <w:sz w:val="22"/>
          <w:szCs w:val="22"/>
        </w:rPr>
        <w:t xml:space="preserve">a krádeží regulovaných prekurzorů výbušnin a povinností při zpřístupňování prekurzorů výbušnin podléhajících omezení </w:t>
      </w:r>
      <w:r w:rsidR="00D4788C" w:rsidRPr="004F4F2B">
        <w:rPr>
          <w:bCs/>
          <w:sz w:val="22"/>
          <w:szCs w:val="22"/>
        </w:rPr>
        <w:t xml:space="preserve">mezi </w:t>
      </w:r>
      <w:r w:rsidR="00FE1E0E" w:rsidRPr="004F4F2B">
        <w:rPr>
          <w:bCs/>
          <w:sz w:val="22"/>
          <w:szCs w:val="22"/>
        </w:rPr>
        <w:t>hospodářským</w:t>
      </w:r>
      <w:r w:rsidR="00D4788C" w:rsidRPr="004F4F2B">
        <w:rPr>
          <w:bCs/>
          <w:sz w:val="22"/>
          <w:szCs w:val="22"/>
        </w:rPr>
        <w:t>i</w:t>
      </w:r>
      <w:r w:rsidR="00FE1E0E" w:rsidRPr="004F4F2B">
        <w:rPr>
          <w:bCs/>
          <w:sz w:val="22"/>
          <w:szCs w:val="22"/>
        </w:rPr>
        <w:t xml:space="preserve"> subjekt</w:t>
      </w:r>
      <w:r w:rsidR="00D4788C" w:rsidRPr="004F4F2B">
        <w:rPr>
          <w:bCs/>
          <w:sz w:val="22"/>
          <w:szCs w:val="22"/>
        </w:rPr>
        <w:t>y a mezi hospodářskými subjekty a</w:t>
      </w:r>
      <w:r w:rsidR="00980F53">
        <w:rPr>
          <w:bCs/>
          <w:sz w:val="22"/>
          <w:szCs w:val="22"/>
        </w:rPr>
        <w:t> </w:t>
      </w:r>
      <w:r w:rsidR="00D4788C" w:rsidRPr="004F4F2B">
        <w:rPr>
          <w:bCs/>
          <w:sz w:val="22"/>
          <w:szCs w:val="22"/>
        </w:rPr>
        <w:t xml:space="preserve">profesionálními uživateli. </w:t>
      </w:r>
      <w:r w:rsidR="00554D7A" w:rsidRPr="004F4F2B">
        <w:rPr>
          <w:bCs/>
          <w:sz w:val="22"/>
          <w:szCs w:val="22"/>
        </w:rPr>
        <w:t xml:space="preserve">Česká obchodní inspekce </w:t>
      </w:r>
      <w:r w:rsidR="00FE1E0E" w:rsidRPr="004F4F2B">
        <w:rPr>
          <w:bCs/>
          <w:sz w:val="22"/>
          <w:szCs w:val="22"/>
        </w:rPr>
        <w:t xml:space="preserve">bude vynucovat </w:t>
      </w:r>
      <w:r w:rsidR="00554D7A" w:rsidRPr="004F4F2B">
        <w:rPr>
          <w:bCs/>
          <w:sz w:val="22"/>
          <w:szCs w:val="22"/>
        </w:rPr>
        <w:t xml:space="preserve">dodržování </w:t>
      </w:r>
      <w:r w:rsidR="00C67175" w:rsidRPr="004F4F2B">
        <w:rPr>
          <w:bCs/>
          <w:sz w:val="22"/>
          <w:szCs w:val="22"/>
        </w:rPr>
        <w:t xml:space="preserve">zákazu </w:t>
      </w:r>
      <w:r w:rsidR="00554D7A" w:rsidRPr="004F4F2B">
        <w:rPr>
          <w:bCs/>
          <w:sz w:val="22"/>
          <w:szCs w:val="22"/>
        </w:rPr>
        <w:t>prodej</w:t>
      </w:r>
      <w:r w:rsidR="00C67175" w:rsidRPr="004F4F2B">
        <w:rPr>
          <w:bCs/>
          <w:sz w:val="22"/>
          <w:szCs w:val="22"/>
        </w:rPr>
        <w:t>e</w:t>
      </w:r>
      <w:r w:rsidR="00554D7A" w:rsidRPr="004F4F2B">
        <w:rPr>
          <w:bCs/>
          <w:sz w:val="22"/>
          <w:szCs w:val="22"/>
        </w:rPr>
        <w:t xml:space="preserve"> prekurzorů výbušnin podléhajících omezení osobám z řad široké veřejnosti</w:t>
      </w:r>
      <w:r w:rsidR="00B91062" w:rsidRPr="004F4F2B">
        <w:rPr>
          <w:bCs/>
          <w:sz w:val="22"/>
          <w:szCs w:val="22"/>
        </w:rPr>
        <w:t xml:space="preserve">. </w:t>
      </w:r>
      <w:r w:rsidR="00DA30A7">
        <w:rPr>
          <w:bCs/>
          <w:sz w:val="22"/>
          <w:szCs w:val="22"/>
        </w:rPr>
        <w:t xml:space="preserve">Celní úřady </w:t>
      </w:r>
      <w:r w:rsidR="00A36C45" w:rsidRPr="004F4F2B">
        <w:rPr>
          <w:bCs/>
          <w:sz w:val="22"/>
          <w:szCs w:val="22"/>
        </w:rPr>
        <w:t>pak budou vy</w:t>
      </w:r>
      <w:r w:rsidR="006B1353" w:rsidRPr="004F4F2B">
        <w:rPr>
          <w:bCs/>
          <w:sz w:val="22"/>
          <w:szCs w:val="22"/>
        </w:rPr>
        <w:t xml:space="preserve">nucovat </w:t>
      </w:r>
      <w:r w:rsidR="00A36C45" w:rsidRPr="004F4F2B">
        <w:rPr>
          <w:bCs/>
          <w:sz w:val="22"/>
          <w:szCs w:val="22"/>
        </w:rPr>
        <w:t>plnění podmínek p</w:t>
      </w:r>
      <w:r w:rsidR="006B1353" w:rsidRPr="004F4F2B">
        <w:rPr>
          <w:bCs/>
          <w:sz w:val="22"/>
          <w:szCs w:val="22"/>
        </w:rPr>
        <w:t xml:space="preserve">ro </w:t>
      </w:r>
      <w:r w:rsidR="00A36C45" w:rsidRPr="004F4F2B">
        <w:rPr>
          <w:bCs/>
          <w:sz w:val="22"/>
          <w:szCs w:val="22"/>
        </w:rPr>
        <w:t xml:space="preserve">dovoz prekurzorů výbušnin podléhajících omezení ze třetích zemí a rovněž budou v rámci dělené správy vymáhat případné pokuty. </w:t>
      </w:r>
      <w:r w:rsidR="006571A0" w:rsidRPr="004F4F2B">
        <w:rPr>
          <w:bCs/>
          <w:sz w:val="22"/>
          <w:szCs w:val="22"/>
        </w:rPr>
        <w:t>Specifické postavení pak bude mít Policie České republiky, potažmo Národní centrála proti organizovanému zločinu Služby kriminální policie a</w:t>
      </w:r>
      <w:r w:rsidR="00C93364" w:rsidRPr="004F4F2B">
        <w:rPr>
          <w:bCs/>
          <w:sz w:val="22"/>
          <w:szCs w:val="22"/>
        </w:rPr>
        <w:t> </w:t>
      </w:r>
      <w:r w:rsidR="006571A0" w:rsidRPr="004F4F2B">
        <w:rPr>
          <w:bCs/>
          <w:sz w:val="22"/>
          <w:szCs w:val="22"/>
        </w:rPr>
        <w:t xml:space="preserve">vyšetřování, která bude </w:t>
      </w:r>
      <w:r w:rsidR="0014188C" w:rsidRPr="004F4F2B">
        <w:rPr>
          <w:bCs/>
          <w:sz w:val="22"/>
          <w:szCs w:val="22"/>
        </w:rPr>
        <w:t xml:space="preserve">přijímat hlášení dotčených subjektů o podezřelých nákupech, </w:t>
      </w:r>
      <w:r w:rsidR="00DF7AAE" w:rsidRPr="004F4F2B">
        <w:rPr>
          <w:bCs/>
          <w:sz w:val="22"/>
          <w:szCs w:val="22"/>
        </w:rPr>
        <w:t xml:space="preserve">významných </w:t>
      </w:r>
      <w:r w:rsidR="0014188C" w:rsidRPr="004F4F2B">
        <w:rPr>
          <w:bCs/>
          <w:sz w:val="22"/>
          <w:szCs w:val="22"/>
        </w:rPr>
        <w:t>z</w:t>
      </w:r>
      <w:r w:rsidR="00DF7AAE" w:rsidRPr="004F4F2B">
        <w:rPr>
          <w:bCs/>
          <w:sz w:val="22"/>
          <w:szCs w:val="22"/>
        </w:rPr>
        <w:t xml:space="preserve">mizeních a krádežích </w:t>
      </w:r>
      <w:r w:rsidR="0014188C" w:rsidRPr="004F4F2B">
        <w:rPr>
          <w:bCs/>
          <w:sz w:val="22"/>
          <w:szCs w:val="22"/>
        </w:rPr>
        <w:t xml:space="preserve">prekurzorů výbušnin a dále </w:t>
      </w:r>
      <w:r w:rsidR="00F93CA2" w:rsidRPr="004F4F2B">
        <w:rPr>
          <w:bCs/>
          <w:sz w:val="22"/>
          <w:szCs w:val="22"/>
        </w:rPr>
        <w:t xml:space="preserve">tato </w:t>
      </w:r>
      <w:r w:rsidR="0014188C" w:rsidRPr="004F4F2B">
        <w:rPr>
          <w:bCs/>
          <w:sz w:val="22"/>
          <w:szCs w:val="22"/>
        </w:rPr>
        <w:t xml:space="preserve">hlášení </w:t>
      </w:r>
      <w:r w:rsidR="00F93CA2" w:rsidRPr="004F4F2B">
        <w:rPr>
          <w:bCs/>
          <w:sz w:val="22"/>
          <w:szCs w:val="22"/>
        </w:rPr>
        <w:t xml:space="preserve">vyhodnocovat či vhodným způsobem </w:t>
      </w:r>
      <w:r w:rsidR="0014188C" w:rsidRPr="004F4F2B">
        <w:rPr>
          <w:bCs/>
          <w:sz w:val="22"/>
          <w:szCs w:val="22"/>
        </w:rPr>
        <w:t>prošetřovat.</w:t>
      </w:r>
    </w:p>
    <w:p w:rsidR="00781CBF" w:rsidRPr="004F4F2B" w:rsidRDefault="00781CBF" w:rsidP="00381A4D">
      <w:pPr>
        <w:tabs>
          <w:tab w:val="left" w:pos="426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6</w:t>
      </w:r>
      <w:r w:rsidRPr="004F4F2B">
        <w:rPr>
          <w:b/>
          <w:sz w:val="22"/>
          <w:szCs w:val="22"/>
        </w:rPr>
        <w:tab/>
        <w:t>Přezkum účinnosti regulace</w:t>
      </w:r>
    </w:p>
    <w:p w:rsidR="004B1A5C" w:rsidRDefault="00781CBF" w:rsidP="004B1A5C">
      <w:pPr>
        <w:spacing w:after="24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>Přezkum účinnosti regulace bude provádě</w:t>
      </w:r>
      <w:r w:rsidR="00C75012" w:rsidRPr="004F4F2B">
        <w:rPr>
          <w:bCs/>
          <w:sz w:val="22"/>
          <w:szCs w:val="22"/>
        </w:rPr>
        <w:t xml:space="preserve">t </w:t>
      </w:r>
      <w:r w:rsidRPr="004F4F2B">
        <w:rPr>
          <w:bCs/>
          <w:sz w:val="22"/>
          <w:szCs w:val="22"/>
        </w:rPr>
        <w:t>Č</w:t>
      </w:r>
      <w:r w:rsidR="00C75012" w:rsidRPr="004F4F2B">
        <w:rPr>
          <w:bCs/>
          <w:sz w:val="22"/>
          <w:szCs w:val="22"/>
        </w:rPr>
        <w:t>eský báňský úřad</w:t>
      </w:r>
      <w:r w:rsidR="00440B56" w:rsidRPr="004F4F2B">
        <w:rPr>
          <w:bCs/>
          <w:sz w:val="22"/>
          <w:szCs w:val="22"/>
        </w:rPr>
        <w:t xml:space="preserve"> jako gestor za </w:t>
      </w:r>
      <w:r w:rsidR="00122385" w:rsidRPr="004F4F2B">
        <w:rPr>
          <w:bCs/>
          <w:sz w:val="22"/>
          <w:szCs w:val="22"/>
        </w:rPr>
        <w:t xml:space="preserve">přímo použitelné </w:t>
      </w:r>
      <w:r w:rsidR="00440B56" w:rsidRPr="004F4F2B">
        <w:rPr>
          <w:bCs/>
          <w:sz w:val="22"/>
          <w:szCs w:val="22"/>
        </w:rPr>
        <w:t xml:space="preserve">nařízení </w:t>
      </w:r>
      <w:r w:rsidR="00384A38" w:rsidRPr="004F4F2B">
        <w:rPr>
          <w:bCs/>
          <w:sz w:val="22"/>
          <w:szCs w:val="22"/>
        </w:rPr>
        <w:t>2019/1148</w:t>
      </w:r>
      <w:r w:rsidR="00440B56" w:rsidRPr="004F4F2B">
        <w:rPr>
          <w:bCs/>
          <w:sz w:val="22"/>
          <w:szCs w:val="22"/>
        </w:rPr>
        <w:t>. Bude tak činit na základě výsledků kontrolní</w:t>
      </w:r>
      <w:r w:rsidR="00F02AF1" w:rsidRPr="004F4F2B">
        <w:rPr>
          <w:bCs/>
          <w:sz w:val="22"/>
          <w:szCs w:val="22"/>
        </w:rPr>
        <w:t xml:space="preserve">, správní a obdobné </w:t>
      </w:r>
      <w:r w:rsidR="00440B56" w:rsidRPr="004F4F2B">
        <w:rPr>
          <w:bCs/>
          <w:sz w:val="22"/>
          <w:szCs w:val="22"/>
        </w:rPr>
        <w:t>činnosti</w:t>
      </w:r>
      <w:r w:rsidR="00F02AF1" w:rsidRPr="004F4F2B">
        <w:rPr>
          <w:bCs/>
          <w:sz w:val="22"/>
          <w:szCs w:val="22"/>
        </w:rPr>
        <w:t xml:space="preserve"> prováděné</w:t>
      </w:r>
      <w:r w:rsidR="00A63F97" w:rsidRPr="004F4F2B">
        <w:rPr>
          <w:bCs/>
          <w:sz w:val="22"/>
          <w:szCs w:val="22"/>
        </w:rPr>
        <w:t xml:space="preserve"> svépomocí, a</w:t>
      </w:r>
      <w:r w:rsidR="00980F53">
        <w:rPr>
          <w:bCs/>
          <w:sz w:val="22"/>
          <w:szCs w:val="22"/>
        </w:rPr>
        <w:t> </w:t>
      </w:r>
      <w:r w:rsidR="00A63F97" w:rsidRPr="004F4F2B">
        <w:rPr>
          <w:bCs/>
          <w:sz w:val="22"/>
          <w:szCs w:val="22"/>
        </w:rPr>
        <w:t xml:space="preserve">dále </w:t>
      </w:r>
      <w:r w:rsidR="00C77214" w:rsidRPr="004F4F2B">
        <w:rPr>
          <w:bCs/>
          <w:sz w:val="22"/>
          <w:szCs w:val="22"/>
        </w:rPr>
        <w:t xml:space="preserve">prováděné </w:t>
      </w:r>
      <w:r w:rsidR="00F02AF1" w:rsidRPr="004F4F2B">
        <w:rPr>
          <w:bCs/>
          <w:sz w:val="22"/>
          <w:szCs w:val="22"/>
        </w:rPr>
        <w:t>obvodními báňskými úřady</w:t>
      </w:r>
      <w:r w:rsidR="00A63F97" w:rsidRPr="004F4F2B">
        <w:rPr>
          <w:bCs/>
          <w:sz w:val="22"/>
          <w:szCs w:val="22"/>
        </w:rPr>
        <w:t xml:space="preserve">, </w:t>
      </w:r>
      <w:r w:rsidR="00F02AF1" w:rsidRPr="004F4F2B">
        <w:rPr>
          <w:bCs/>
          <w:sz w:val="22"/>
          <w:szCs w:val="22"/>
        </w:rPr>
        <w:t>Českou obchodní inspekcí,</w:t>
      </w:r>
      <w:r w:rsidR="00C77214" w:rsidRPr="004F4F2B">
        <w:rPr>
          <w:bCs/>
          <w:sz w:val="22"/>
          <w:szCs w:val="22"/>
        </w:rPr>
        <w:t xml:space="preserve"> </w:t>
      </w:r>
      <w:r w:rsidR="00DA30A7">
        <w:rPr>
          <w:bCs/>
          <w:sz w:val="22"/>
          <w:szCs w:val="22"/>
        </w:rPr>
        <w:t>celními úřady</w:t>
      </w:r>
      <w:r w:rsidR="00F02AF1" w:rsidRPr="004F4F2B">
        <w:rPr>
          <w:bCs/>
          <w:sz w:val="22"/>
          <w:szCs w:val="22"/>
        </w:rPr>
        <w:t xml:space="preserve"> a </w:t>
      </w:r>
      <w:r w:rsidR="00640D26" w:rsidRPr="004F4F2B">
        <w:rPr>
          <w:bCs/>
          <w:sz w:val="22"/>
          <w:szCs w:val="22"/>
        </w:rPr>
        <w:t>Policií České republiky</w:t>
      </w:r>
      <w:r w:rsidR="00BB745C" w:rsidRPr="004F4F2B">
        <w:rPr>
          <w:bCs/>
          <w:sz w:val="22"/>
          <w:szCs w:val="22"/>
        </w:rPr>
        <w:t xml:space="preserve">. </w:t>
      </w:r>
      <w:r w:rsidR="0013177B" w:rsidRPr="004F4F2B">
        <w:rPr>
          <w:bCs/>
          <w:sz w:val="22"/>
          <w:szCs w:val="22"/>
        </w:rPr>
        <w:t xml:space="preserve">Účinnost regulace bude hodnotit </w:t>
      </w:r>
      <w:r w:rsidR="00801A7A">
        <w:rPr>
          <w:bCs/>
          <w:sz w:val="22"/>
          <w:szCs w:val="22"/>
        </w:rPr>
        <w:t xml:space="preserve">pravidelně </w:t>
      </w:r>
      <w:r w:rsidR="00CB6CF1">
        <w:rPr>
          <w:bCs/>
          <w:sz w:val="22"/>
          <w:szCs w:val="22"/>
        </w:rPr>
        <w:t xml:space="preserve">nejpozději </w:t>
      </w:r>
      <w:r w:rsidR="00801A7A">
        <w:rPr>
          <w:bCs/>
          <w:sz w:val="22"/>
          <w:szCs w:val="22"/>
        </w:rPr>
        <w:t xml:space="preserve">jednou </w:t>
      </w:r>
      <w:r w:rsidR="00CB6CF1">
        <w:rPr>
          <w:bCs/>
          <w:sz w:val="22"/>
          <w:szCs w:val="22"/>
        </w:rPr>
        <w:t xml:space="preserve">za </w:t>
      </w:r>
      <w:r w:rsidR="00801A7A">
        <w:rPr>
          <w:bCs/>
          <w:sz w:val="22"/>
          <w:szCs w:val="22"/>
        </w:rPr>
        <w:t xml:space="preserve">6 let v závislosti na vydání souhrnné zprávy Evropské komise v rámci monitorovací činnosti podle čl. 20 </w:t>
      </w:r>
      <w:r w:rsidR="00801A7A" w:rsidRPr="004F4F2B">
        <w:rPr>
          <w:bCs/>
          <w:sz w:val="22"/>
          <w:szCs w:val="22"/>
        </w:rPr>
        <w:t>přímo použitelného nařízení 2019/1148</w:t>
      </w:r>
      <w:r w:rsidR="00801A7A">
        <w:rPr>
          <w:bCs/>
          <w:sz w:val="22"/>
          <w:szCs w:val="22"/>
        </w:rPr>
        <w:t>.</w:t>
      </w:r>
    </w:p>
    <w:p w:rsidR="00A8278F" w:rsidRDefault="004B1A5C" w:rsidP="004B1A5C">
      <w:pPr>
        <w:spacing w:after="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P</w:t>
      </w:r>
      <w:r w:rsidR="00CB6CF1">
        <w:rPr>
          <w:bCs/>
          <w:sz w:val="22"/>
          <w:szCs w:val="22"/>
        </w:rPr>
        <w:t xml:space="preserve">řezkum účinnosti regulace </w:t>
      </w:r>
      <w:r>
        <w:rPr>
          <w:bCs/>
          <w:sz w:val="22"/>
          <w:szCs w:val="22"/>
        </w:rPr>
        <w:t>zohlední zejména:</w:t>
      </w:r>
    </w:p>
    <w:p w:rsidR="00926E63" w:rsidRDefault="004B1A5C" w:rsidP="0032117C">
      <w:pPr>
        <w:tabs>
          <w:tab w:val="left" w:pos="426"/>
        </w:tabs>
        <w:ind w:left="425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a)</w:t>
      </w:r>
      <w:r>
        <w:rPr>
          <w:bCs/>
          <w:sz w:val="22"/>
          <w:szCs w:val="22"/>
        </w:rPr>
        <w:tab/>
        <w:t>počty útoků s</w:t>
      </w:r>
      <w:r w:rsidR="00D31AF5">
        <w:rPr>
          <w:bCs/>
          <w:sz w:val="22"/>
          <w:szCs w:val="22"/>
        </w:rPr>
        <w:t> improvizovanými výbušninami v České republice a v dalších členských státech Evropské unie</w:t>
      </w:r>
      <w:r w:rsidR="00B4445D">
        <w:rPr>
          <w:bCs/>
          <w:sz w:val="22"/>
          <w:szCs w:val="22"/>
        </w:rPr>
        <w:t xml:space="preserve">, jakož i v dalších státech Evropy </w:t>
      </w:r>
      <w:r w:rsidR="00B97892">
        <w:rPr>
          <w:bCs/>
          <w:sz w:val="22"/>
          <w:szCs w:val="22"/>
        </w:rPr>
        <w:t xml:space="preserve">včetně </w:t>
      </w:r>
      <w:r w:rsidR="00B4445D">
        <w:rPr>
          <w:bCs/>
          <w:sz w:val="22"/>
          <w:szCs w:val="22"/>
        </w:rPr>
        <w:t>druh</w:t>
      </w:r>
      <w:r w:rsidR="00B97892">
        <w:rPr>
          <w:bCs/>
          <w:sz w:val="22"/>
          <w:szCs w:val="22"/>
        </w:rPr>
        <w:t>u</w:t>
      </w:r>
      <w:r w:rsidR="00B4445D">
        <w:rPr>
          <w:bCs/>
          <w:sz w:val="22"/>
          <w:szCs w:val="22"/>
        </w:rPr>
        <w:t xml:space="preserve"> zneužitých výbušnin</w:t>
      </w:r>
      <w:r w:rsidR="00926E63">
        <w:rPr>
          <w:bCs/>
          <w:sz w:val="22"/>
          <w:szCs w:val="22"/>
        </w:rPr>
        <w:t>, bude-li možné tyto údaje získat</w:t>
      </w:r>
      <w:r w:rsidR="00B4445D">
        <w:rPr>
          <w:bCs/>
          <w:sz w:val="22"/>
          <w:szCs w:val="22"/>
        </w:rPr>
        <w:t>;</w:t>
      </w:r>
    </w:p>
    <w:p w:rsidR="00976FE2" w:rsidRPr="0032117C" w:rsidRDefault="00976FE2" w:rsidP="00B06068">
      <w:pPr>
        <w:ind w:left="425"/>
        <w:jc w:val="both"/>
        <w:rPr>
          <w:bCs/>
          <w:i/>
          <w:iCs/>
          <w:sz w:val="22"/>
          <w:szCs w:val="22"/>
        </w:rPr>
      </w:pPr>
      <w:r w:rsidRPr="0032117C">
        <w:rPr>
          <w:bCs/>
          <w:i/>
          <w:iCs/>
          <w:sz w:val="22"/>
          <w:szCs w:val="22"/>
        </w:rPr>
        <w:t xml:space="preserve">tyto údaje umožní mj. posoudit, zda režim zpřístupňování prekurzorů výbušnin podléhajících omezení podle čl. 5 přímo použitelného nařízení 2019/1148 a navrhované právní úpravy je optimální, a zda spektrum </w:t>
      </w:r>
      <w:r w:rsidR="000E1788">
        <w:rPr>
          <w:bCs/>
          <w:i/>
          <w:iCs/>
          <w:sz w:val="22"/>
          <w:szCs w:val="22"/>
        </w:rPr>
        <w:t xml:space="preserve">zneužitelných </w:t>
      </w:r>
      <w:r w:rsidRPr="0032117C">
        <w:rPr>
          <w:bCs/>
          <w:i/>
          <w:iCs/>
          <w:sz w:val="22"/>
          <w:szCs w:val="22"/>
        </w:rPr>
        <w:t>látek a směsí, jejichž zpřístupňování a držení je omezeno, odpovídá cílům sledovaným navrhovanou oprávní úpravou</w:t>
      </w:r>
      <w:r w:rsidR="0032117C">
        <w:rPr>
          <w:bCs/>
          <w:i/>
          <w:iCs/>
          <w:sz w:val="22"/>
          <w:szCs w:val="22"/>
        </w:rPr>
        <w:t>;</w:t>
      </w:r>
    </w:p>
    <w:p w:rsidR="000D0CF5" w:rsidRDefault="000D0CF5" w:rsidP="00AE7105">
      <w:pPr>
        <w:tabs>
          <w:tab w:val="left" w:pos="426"/>
        </w:tabs>
        <w:ind w:left="425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b)</w:t>
      </w:r>
      <w:r>
        <w:rPr>
          <w:bCs/>
          <w:sz w:val="22"/>
          <w:szCs w:val="22"/>
        </w:rPr>
        <w:tab/>
        <w:t>počty odsouzených osob za trestné činy související s neoprávněným držením výbušnin</w:t>
      </w:r>
      <w:r w:rsidR="00AE7105">
        <w:rPr>
          <w:bCs/>
          <w:sz w:val="22"/>
          <w:szCs w:val="22"/>
        </w:rPr>
        <w:t xml:space="preserve"> včetně druhu držených výbušnin</w:t>
      </w:r>
      <w:r>
        <w:rPr>
          <w:bCs/>
          <w:sz w:val="22"/>
          <w:szCs w:val="22"/>
        </w:rPr>
        <w:t>, počty osob, u nichž byl projednán přestupek na úseku neoprávněného držení výbušnin</w:t>
      </w:r>
      <w:r w:rsidR="00AE7105">
        <w:rPr>
          <w:bCs/>
          <w:sz w:val="22"/>
          <w:szCs w:val="22"/>
        </w:rPr>
        <w:t xml:space="preserve"> nebo držení prekurzorů výbušnin podléhajících omezení včetně druhu výbušnin a druhů prekurzorů výbušnin podléhajících omezení;</w:t>
      </w:r>
    </w:p>
    <w:p w:rsidR="00AE7105" w:rsidRPr="0032117C" w:rsidRDefault="00AE7105" w:rsidP="00AE7105">
      <w:pPr>
        <w:ind w:left="425"/>
        <w:jc w:val="both"/>
        <w:rPr>
          <w:bCs/>
          <w:i/>
          <w:iCs/>
          <w:sz w:val="22"/>
          <w:szCs w:val="22"/>
        </w:rPr>
      </w:pPr>
      <w:r w:rsidRPr="0032117C">
        <w:rPr>
          <w:bCs/>
          <w:i/>
          <w:iCs/>
          <w:sz w:val="22"/>
          <w:szCs w:val="22"/>
        </w:rPr>
        <w:t xml:space="preserve">tyto údaje umožní mj. posoudit, zda režim zpřístupňování prekurzorů výbušnin podléhajících omezení podle čl. 5 přímo použitelného nařízení 2019/1148 a navrhované právní úpravy je optimální, a zda spektrum </w:t>
      </w:r>
      <w:r>
        <w:rPr>
          <w:bCs/>
          <w:i/>
          <w:iCs/>
          <w:sz w:val="22"/>
          <w:szCs w:val="22"/>
        </w:rPr>
        <w:t xml:space="preserve">zneužitelných </w:t>
      </w:r>
      <w:r w:rsidRPr="0032117C">
        <w:rPr>
          <w:bCs/>
          <w:i/>
          <w:iCs/>
          <w:sz w:val="22"/>
          <w:szCs w:val="22"/>
        </w:rPr>
        <w:t>látek a směsí, jejichž zpřístupňování a držení je omezeno, odpovídá cílům sledovaným navrhovanou oprávní úpravou</w:t>
      </w:r>
      <w:r>
        <w:rPr>
          <w:bCs/>
          <w:i/>
          <w:iCs/>
          <w:sz w:val="22"/>
          <w:szCs w:val="22"/>
        </w:rPr>
        <w:t>;</w:t>
      </w:r>
    </w:p>
    <w:p w:rsidR="003A525C" w:rsidRDefault="00310D49" w:rsidP="00FD2EC8">
      <w:pPr>
        <w:tabs>
          <w:tab w:val="left" w:pos="426"/>
        </w:tabs>
        <w:ind w:left="425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c</w:t>
      </w:r>
      <w:r w:rsidR="00F16BF2" w:rsidRPr="00FA2331">
        <w:rPr>
          <w:bCs/>
          <w:sz w:val="22"/>
          <w:szCs w:val="22"/>
        </w:rPr>
        <w:t>)</w:t>
      </w:r>
      <w:r w:rsidR="00F16BF2" w:rsidRPr="00FA2331">
        <w:rPr>
          <w:bCs/>
          <w:sz w:val="22"/>
          <w:szCs w:val="22"/>
        </w:rPr>
        <w:tab/>
      </w:r>
      <w:r w:rsidR="00F16BF2">
        <w:rPr>
          <w:bCs/>
          <w:sz w:val="22"/>
          <w:szCs w:val="22"/>
        </w:rPr>
        <w:t xml:space="preserve">nárůst zájmu </w:t>
      </w:r>
      <w:r w:rsidR="003A525C">
        <w:rPr>
          <w:bCs/>
          <w:sz w:val="22"/>
          <w:szCs w:val="22"/>
        </w:rPr>
        <w:t xml:space="preserve">osob o chemické látky a směsi </w:t>
      </w:r>
      <w:r w:rsidR="00FD2EC8">
        <w:rPr>
          <w:bCs/>
          <w:sz w:val="22"/>
          <w:szCs w:val="22"/>
        </w:rPr>
        <w:t xml:space="preserve">nepodléhající omezením </w:t>
      </w:r>
      <w:r w:rsidR="003A525C">
        <w:rPr>
          <w:bCs/>
          <w:sz w:val="22"/>
          <w:szCs w:val="22"/>
        </w:rPr>
        <w:t>patrný z diskuzních fór, k nimž bude mít gestor přístup</w:t>
      </w:r>
      <w:r w:rsidR="00FD2EC8">
        <w:rPr>
          <w:bCs/>
          <w:sz w:val="22"/>
          <w:szCs w:val="22"/>
        </w:rPr>
        <w:t>;</w:t>
      </w:r>
    </w:p>
    <w:p w:rsidR="00FD2EC8" w:rsidRPr="0032117C" w:rsidRDefault="00FD2EC8" w:rsidP="00FD2EC8">
      <w:pPr>
        <w:ind w:left="425"/>
        <w:jc w:val="both"/>
        <w:rPr>
          <w:bCs/>
          <w:i/>
          <w:iCs/>
          <w:sz w:val="22"/>
          <w:szCs w:val="22"/>
        </w:rPr>
      </w:pPr>
      <w:r w:rsidRPr="0032117C">
        <w:rPr>
          <w:bCs/>
          <w:i/>
          <w:iCs/>
          <w:sz w:val="22"/>
          <w:szCs w:val="22"/>
        </w:rPr>
        <w:t xml:space="preserve">tyto údaje umožní mj. posoudit, zda spektrum </w:t>
      </w:r>
      <w:r>
        <w:rPr>
          <w:bCs/>
          <w:i/>
          <w:iCs/>
          <w:sz w:val="22"/>
          <w:szCs w:val="22"/>
        </w:rPr>
        <w:t xml:space="preserve">zneužitelných </w:t>
      </w:r>
      <w:r w:rsidRPr="0032117C">
        <w:rPr>
          <w:bCs/>
          <w:i/>
          <w:iCs/>
          <w:sz w:val="22"/>
          <w:szCs w:val="22"/>
        </w:rPr>
        <w:t>látek a směsí, jejichž zpřístupňování a držení je omezeno, odpovídá cílům sledovaným navrhovanou oprávní úpravou</w:t>
      </w:r>
      <w:r>
        <w:rPr>
          <w:bCs/>
          <w:i/>
          <w:iCs/>
          <w:sz w:val="22"/>
          <w:szCs w:val="22"/>
        </w:rPr>
        <w:t>;</w:t>
      </w:r>
    </w:p>
    <w:p w:rsidR="00976FE2" w:rsidRDefault="00FD2EC8" w:rsidP="00FD2EC8">
      <w:pPr>
        <w:tabs>
          <w:tab w:val="left" w:pos="426"/>
        </w:tabs>
        <w:ind w:left="425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d)</w:t>
      </w:r>
      <w:r>
        <w:rPr>
          <w:bCs/>
          <w:sz w:val="22"/>
          <w:szCs w:val="22"/>
        </w:rPr>
        <w:tab/>
      </w:r>
      <w:r w:rsidR="00BB6D19">
        <w:rPr>
          <w:bCs/>
          <w:sz w:val="22"/>
          <w:szCs w:val="22"/>
        </w:rPr>
        <w:t xml:space="preserve">četnost porušení právních předpisů vážících se k prekurzorům výbušnin </w:t>
      </w:r>
      <w:r>
        <w:rPr>
          <w:bCs/>
          <w:sz w:val="22"/>
          <w:szCs w:val="22"/>
        </w:rPr>
        <w:t xml:space="preserve">ze strany hospodářských subjektů, </w:t>
      </w:r>
      <w:r w:rsidR="00E5470A">
        <w:rPr>
          <w:bCs/>
          <w:sz w:val="22"/>
          <w:szCs w:val="22"/>
        </w:rPr>
        <w:t xml:space="preserve">dovozená z výsledků kontrol </w:t>
      </w:r>
      <w:r w:rsidR="00976FE2">
        <w:rPr>
          <w:bCs/>
          <w:sz w:val="22"/>
          <w:szCs w:val="22"/>
        </w:rPr>
        <w:t>prováděných dotčenými orgány státní správy;</w:t>
      </w:r>
    </w:p>
    <w:p w:rsidR="00CD592D" w:rsidRDefault="00D7024A" w:rsidP="00275E41">
      <w:pPr>
        <w:ind w:left="425"/>
        <w:jc w:val="both"/>
        <w:rPr>
          <w:bCs/>
          <w:i/>
          <w:iCs/>
          <w:sz w:val="22"/>
          <w:szCs w:val="22"/>
        </w:rPr>
      </w:pPr>
      <w:r w:rsidRPr="00EB4A5C">
        <w:rPr>
          <w:bCs/>
          <w:i/>
          <w:iCs/>
          <w:sz w:val="22"/>
          <w:szCs w:val="22"/>
        </w:rPr>
        <w:t xml:space="preserve">tyto údaje </w:t>
      </w:r>
      <w:r w:rsidR="00CD592D" w:rsidRPr="00EB4A5C">
        <w:rPr>
          <w:bCs/>
          <w:i/>
          <w:iCs/>
          <w:sz w:val="22"/>
          <w:szCs w:val="22"/>
        </w:rPr>
        <w:t>umožní mj. posoudit, zda povědomí hospodářských subjektů o omezeních vážících se ke zpřístupňování prekurzorů výbušnin je vysoké, tj. zda činnost gestora podle čl.</w:t>
      </w:r>
      <w:r w:rsidR="00EB4A5C" w:rsidRPr="00EB4A5C">
        <w:rPr>
          <w:bCs/>
          <w:i/>
          <w:iCs/>
          <w:sz w:val="22"/>
          <w:szCs w:val="22"/>
        </w:rPr>
        <w:t> 10 odst. 2 a případně i </w:t>
      </w:r>
      <w:r w:rsidR="00CD592D" w:rsidRPr="00EB4A5C">
        <w:rPr>
          <w:bCs/>
          <w:i/>
          <w:iCs/>
          <w:sz w:val="22"/>
          <w:szCs w:val="22"/>
        </w:rPr>
        <w:t>čl. 14 odst. 4 a 5</w:t>
      </w:r>
      <w:r w:rsidR="00EB4A5C" w:rsidRPr="00EB4A5C">
        <w:rPr>
          <w:bCs/>
          <w:i/>
          <w:iCs/>
          <w:sz w:val="22"/>
          <w:szCs w:val="22"/>
        </w:rPr>
        <w:t xml:space="preserve"> přímo použitelného nařízení 2019/1148</w:t>
      </w:r>
      <w:r w:rsidR="00E90D6E">
        <w:rPr>
          <w:bCs/>
          <w:i/>
          <w:iCs/>
          <w:sz w:val="22"/>
          <w:szCs w:val="22"/>
        </w:rPr>
        <w:t xml:space="preserve"> pokrývá dostatečné spektrum dotčených subjektů, a zda sankce za porušení odpovídajících povinností nejsou příliš mírné nedostatečně odrazující od závadného jednání</w:t>
      </w:r>
      <w:r w:rsidR="00275E41">
        <w:rPr>
          <w:bCs/>
          <w:i/>
          <w:iCs/>
          <w:sz w:val="22"/>
          <w:szCs w:val="22"/>
        </w:rPr>
        <w:t>;</w:t>
      </w:r>
    </w:p>
    <w:p w:rsidR="00275E41" w:rsidRDefault="00275E41" w:rsidP="00C95BC2">
      <w:pPr>
        <w:tabs>
          <w:tab w:val="left" w:pos="426"/>
        </w:tabs>
        <w:ind w:left="425" w:hanging="425"/>
        <w:jc w:val="both"/>
        <w:rPr>
          <w:bCs/>
          <w:sz w:val="22"/>
          <w:szCs w:val="22"/>
        </w:rPr>
      </w:pPr>
      <w:r w:rsidRPr="00275E41">
        <w:rPr>
          <w:bCs/>
          <w:sz w:val="22"/>
          <w:szCs w:val="22"/>
        </w:rPr>
        <w:t>e)</w:t>
      </w:r>
      <w:r w:rsidRPr="00275E41">
        <w:rPr>
          <w:bCs/>
          <w:sz w:val="22"/>
          <w:szCs w:val="22"/>
        </w:rPr>
        <w:tab/>
        <w:t>počty oznámených podezřelých transakcí zahrnující regulované prekurzory výbušnin</w:t>
      </w:r>
      <w:r>
        <w:rPr>
          <w:bCs/>
          <w:sz w:val="22"/>
          <w:szCs w:val="22"/>
        </w:rPr>
        <w:t>;</w:t>
      </w:r>
    </w:p>
    <w:p w:rsidR="00275E41" w:rsidRPr="00C95BC2" w:rsidRDefault="00275E41" w:rsidP="00C95BC2">
      <w:pPr>
        <w:spacing w:after="480"/>
        <w:ind w:left="426"/>
        <w:jc w:val="both"/>
        <w:rPr>
          <w:bCs/>
          <w:i/>
          <w:iCs/>
          <w:sz w:val="22"/>
          <w:szCs w:val="22"/>
        </w:rPr>
      </w:pPr>
      <w:r w:rsidRPr="00C95BC2">
        <w:rPr>
          <w:bCs/>
          <w:i/>
          <w:iCs/>
          <w:sz w:val="22"/>
          <w:szCs w:val="22"/>
        </w:rPr>
        <w:t>tyto údaje umožní posoudit celou řadu skutečností</w:t>
      </w:r>
      <w:r w:rsidR="00C95BC2" w:rsidRPr="00C95BC2">
        <w:rPr>
          <w:bCs/>
          <w:i/>
          <w:iCs/>
          <w:sz w:val="22"/>
          <w:szCs w:val="22"/>
        </w:rPr>
        <w:t>.</w:t>
      </w:r>
    </w:p>
    <w:p w:rsidR="00781CBF" w:rsidRPr="004F4F2B" w:rsidRDefault="00781CBF" w:rsidP="00320956">
      <w:pPr>
        <w:tabs>
          <w:tab w:val="left" w:pos="426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7</w:t>
      </w:r>
      <w:r w:rsidRPr="004F4F2B">
        <w:rPr>
          <w:b/>
          <w:sz w:val="22"/>
          <w:szCs w:val="22"/>
        </w:rPr>
        <w:tab/>
        <w:t>Konzultace a zdroje dat</w:t>
      </w:r>
    </w:p>
    <w:p w:rsidR="00320956" w:rsidRPr="004F4F2B" w:rsidRDefault="00320956" w:rsidP="005C6DF7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7.1</w:t>
      </w:r>
      <w:r w:rsidRPr="004F4F2B">
        <w:rPr>
          <w:b/>
          <w:sz w:val="22"/>
          <w:szCs w:val="22"/>
        </w:rPr>
        <w:tab/>
        <w:t xml:space="preserve">Konzultace </w:t>
      </w:r>
      <w:r w:rsidR="00DD5C73" w:rsidRPr="004F4F2B">
        <w:rPr>
          <w:b/>
          <w:sz w:val="22"/>
          <w:szCs w:val="22"/>
        </w:rPr>
        <w:t xml:space="preserve">a zdroje dat </w:t>
      </w:r>
      <w:r w:rsidRPr="004F4F2B">
        <w:rPr>
          <w:b/>
          <w:sz w:val="22"/>
          <w:szCs w:val="22"/>
        </w:rPr>
        <w:t>k politice zpřístupňování prekurzorů výbušnin</w:t>
      </w:r>
    </w:p>
    <w:p w:rsidR="005328DB" w:rsidRPr="004F4F2B" w:rsidRDefault="00781CBF" w:rsidP="005C6DF7">
      <w:pPr>
        <w:spacing w:after="240"/>
        <w:jc w:val="both"/>
        <w:rPr>
          <w:noProof/>
          <w:sz w:val="22"/>
          <w:szCs w:val="22"/>
        </w:rPr>
      </w:pPr>
      <w:r w:rsidRPr="004F4F2B">
        <w:rPr>
          <w:bCs/>
          <w:sz w:val="22"/>
          <w:szCs w:val="22"/>
        </w:rPr>
        <w:t xml:space="preserve">Navrhovaná právní úprava byla </w:t>
      </w:r>
      <w:r w:rsidR="00173D15" w:rsidRPr="004F4F2B">
        <w:rPr>
          <w:bCs/>
          <w:sz w:val="22"/>
          <w:szCs w:val="22"/>
        </w:rPr>
        <w:t xml:space="preserve">před předložením k mezirezortnímu připomínkovému řízení </w:t>
      </w:r>
      <w:r w:rsidRPr="004F4F2B">
        <w:rPr>
          <w:bCs/>
          <w:sz w:val="22"/>
          <w:szCs w:val="22"/>
        </w:rPr>
        <w:t>konzultována s</w:t>
      </w:r>
      <w:r w:rsidR="007E77A1" w:rsidRPr="004F4F2B">
        <w:rPr>
          <w:bCs/>
          <w:sz w:val="22"/>
          <w:szCs w:val="22"/>
        </w:rPr>
        <w:t> vybranými o</w:t>
      </w:r>
      <w:r w:rsidR="0085460A" w:rsidRPr="004F4F2B">
        <w:rPr>
          <w:bCs/>
          <w:sz w:val="22"/>
          <w:szCs w:val="22"/>
        </w:rPr>
        <w:t>rgány státní správy</w:t>
      </w:r>
      <w:r w:rsidR="00EE14D2" w:rsidRPr="004F4F2B">
        <w:rPr>
          <w:bCs/>
          <w:sz w:val="22"/>
          <w:szCs w:val="22"/>
        </w:rPr>
        <w:t xml:space="preserve"> (</w:t>
      </w:r>
      <w:r w:rsidR="0085460A" w:rsidRPr="004F4F2B">
        <w:rPr>
          <w:bCs/>
          <w:sz w:val="22"/>
          <w:szCs w:val="22"/>
        </w:rPr>
        <w:t xml:space="preserve">s Ministerstvem vnitra, </w:t>
      </w:r>
      <w:r w:rsidR="00EE14D2" w:rsidRPr="004F4F2B">
        <w:rPr>
          <w:bCs/>
          <w:sz w:val="22"/>
          <w:szCs w:val="22"/>
        </w:rPr>
        <w:t xml:space="preserve">Ministerstvem průmyslu a obchodu, Ministerstvem životního prostředí, Ministerstvem zemědělství, </w:t>
      </w:r>
      <w:r w:rsidR="0085460A" w:rsidRPr="004F4F2B">
        <w:rPr>
          <w:bCs/>
          <w:sz w:val="22"/>
          <w:szCs w:val="22"/>
        </w:rPr>
        <w:t xml:space="preserve">Policií České republiky, </w:t>
      </w:r>
      <w:r w:rsidR="001C10F6" w:rsidRPr="004F4F2B">
        <w:rPr>
          <w:bCs/>
          <w:sz w:val="22"/>
          <w:szCs w:val="22"/>
        </w:rPr>
        <w:t xml:space="preserve">Generálním ředitelstvím cel, </w:t>
      </w:r>
      <w:r w:rsidR="0054148D" w:rsidRPr="004F4F2B">
        <w:rPr>
          <w:bCs/>
          <w:sz w:val="22"/>
          <w:szCs w:val="22"/>
        </w:rPr>
        <w:t>Českou obchodní inspekcí</w:t>
      </w:r>
      <w:r w:rsidR="001C10F6" w:rsidRPr="004F4F2B">
        <w:rPr>
          <w:bCs/>
          <w:sz w:val="22"/>
          <w:szCs w:val="22"/>
        </w:rPr>
        <w:t xml:space="preserve"> a </w:t>
      </w:r>
      <w:r w:rsidR="007E77A1" w:rsidRPr="004F4F2B">
        <w:rPr>
          <w:bCs/>
          <w:sz w:val="22"/>
          <w:szCs w:val="22"/>
        </w:rPr>
        <w:t>Českou inspekcí životního prostředí</w:t>
      </w:r>
      <w:r w:rsidR="001C10F6" w:rsidRPr="004F4F2B">
        <w:rPr>
          <w:bCs/>
          <w:sz w:val="22"/>
          <w:szCs w:val="22"/>
        </w:rPr>
        <w:t xml:space="preserve">) </w:t>
      </w:r>
      <w:r w:rsidR="00EE14D2" w:rsidRPr="004F4F2B">
        <w:rPr>
          <w:bCs/>
          <w:sz w:val="22"/>
          <w:szCs w:val="22"/>
        </w:rPr>
        <w:t>a rovněž se zainteresovaným spolkem (</w:t>
      </w:r>
      <w:r w:rsidR="00EE14D2" w:rsidRPr="004F4F2B">
        <w:rPr>
          <w:noProof/>
          <w:sz w:val="22"/>
          <w:szCs w:val="22"/>
        </w:rPr>
        <w:t>Svaz</w:t>
      </w:r>
      <w:r w:rsidR="00772CCD" w:rsidRPr="004F4F2B">
        <w:rPr>
          <w:noProof/>
          <w:sz w:val="22"/>
          <w:szCs w:val="22"/>
        </w:rPr>
        <w:t>em</w:t>
      </w:r>
      <w:r w:rsidR="00EE14D2" w:rsidRPr="004F4F2B">
        <w:rPr>
          <w:noProof/>
          <w:sz w:val="22"/>
          <w:szCs w:val="22"/>
        </w:rPr>
        <w:t xml:space="preserve"> chemického průmyslu České republiky</w:t>
      </w:r>
      <w:r w:rsidR="00772CCD" w:rsidRPr="004F4F2B">
        <w:rPr>
          <w:noProof/>
          <w:sz w:val="22"/>
          <w:szCs w:val="22"/>
        </w:rPr>
        <w:t>,</w:t>
      </w:r>
      <w:r w:rsidR="001F0EBF" w:rsidRPr="004F4F2B">
        <w:rPr>
          <w:noProof/>
          <w:sz w:val="22"/>
          <w:szCs w:val="22"/>
        </w:rPr>
        <w:t xml:space="preserve"> </w:t>
      </w:r>
      <w:r w:rsidR="00772CCD" w:rsidRPr="004F4F2B">
        <w:rPr>
          <w:noProof/>
          <w:sz w:val="22"/>
          <w:szCs w:val="22"/>
        </w:rPr>
        <w:t>z.s.</w:t>
      </w:r>
      <w:r w:rsidR="00EE14D2" w:rsidRPr="004F4F2B">
        <w:rPr>
          <w:noProof/>
          <w:sz w:val="22"/>
          <w:szCs w:val="22"/>
        </w:rPr>
        <w:t xml:space="preserve">). </w:t>
      </w:r>
      <w:r w:rsidR="00772CCD" w:rsidRPr="004F4F2B">
        <w:rPr>
          <w:noProof/>
          <w:sz w:val="22"/>
          <w:szCs w:val="22"/>
        </w:rPr>
        <w:t>Konzult</w:t>
      </w:r>
      <w:r w:rsidR="00593071" w:rsidRPr="004F4F2B">
        <w:rPr>
          <w:noProof/>
          <w:sz w:val="22"/>
          <w:szCs w:val="22"/>
        </w:rPr>
        <w:t>a</w:t>
      </w:r>
      <w:r w:rsidR="00772CCD" w:rsidRPr="004F4F2B">
        <w:rPr>
          <w:noProof/>
          <w:sz w:val="22"/>
          <w:szCs w:val="22"/>
        </w:rPr>
        <w:t>ce</w:t>
      </w:r>
      <w:r w:rsidR="00593071" w:rsidRPr="004F4F2B">
        <w:rPr>
          <w:noProof/>
          <w:sz w:val="22"/>
          <w:szCs w:val="22"/>
        </w:rPr>
        <w:t xml:space="preserve"> </w:t>
      </w:r>
      <w:r w:rsidR="00772CCD" w:rsidRPr="004F4F2B">
        <w:rPr>
          <w:noProof/>
          <w:sz w:val="22"/>
          <w:szCs w:val="22"/>
        </w:rPr>
        <w:t xml:space="preserve">probíhaly formou </w:t>
      </w:r>
      <w:r w:rsidR="007A3377" w:rsidRPr="004F4F2B">
        <w:rPr>
          <w:noProof/>
          <w:sz w:val="22"/>
          <w:szCs w:val="22"/>
        </w:rPr>
        <w:t xml:space="preserve">tří </w:t>
      </w:r>
      <w:r w:rsidR="00772CCD" w:rsidRPr="004F4F2B">
        <w:rPr>
          <w:noProof/>
          <w:sz w:val="22"/>
          <w:szCs w:val="22"/>
        </w:rPr>
        <w:t>jednání v průběhu druhé poloviny roku 2019.</w:t>
      </w:r>
    </w:p>
    <w:p w:rsidR="007A75F7" w:rsidRPr="004F4F2B" w:rsidRDefault="007E77A1" w:rsidP="005C6DF7">
      <w:pPr>
        <w:spacing w:after="240"/>
        <w:jc w:val="both"/>
        <w:rPr>
          <w:noProof/>
          <w:sz w:val="22"/>
          <w:szCs w:val="22"/>
        </w:rPr>
      </w:pPr>
      <w:r w:rsidRPr="004F4F2B">
        <w:rPr>
          <w:noProof/>
          <w:sz w:val="22"/>
          <w:szCs w:val="22"/>
        </w:rPr>
        <w:t xml:space="preserve">Oslovené </w:t>
      </w:r>
      <w:r w:rsidR="009B309A" w:rsidRPr="004F4F2B">
        <w:rPr>
          <w:noProof/>
          <w:sz w:val="22"/>
          <w:szCs w:val="22"/>
        </w:rPr>
        <w:t>orgány státní sp</w:t>
      </w:r>
      <w:r w:rsidR="00547E15" w:rsidRPr="004F4F2B">
        <w:rPr>
          <w:noProof/>
          <w:sz w:val="22"/>
          <w:szCs w:val="22"/>
        </w:rPr>
        <w:t>r</w:t>
      </w:r>
      <w:r w:rsidR="009B309A" w:rsidRPr="004F4F2B">
        <w:rPr>
          <w:noProof/>
          <w:sz w:val="22"/>
          <w:szCs w:val="22"/>
        </w:rPr>
        <w:t xml:space="preserve">ávy měly </w:t>
      </w:r>
      <w:r w:rsidR="00E35A5F" w:rsidRPr="004F4F2B">
        <w:rPr>
          <w:noProof/>
          <w:sz w:val="22"/>
          <w:szCs w:val="22"/>
        </w:rPr>
        <w:t xml:space="preserve">vcelku rozdílné </w:t>
      </w:r>
      <w:r w:rsidR="009B309A" w:rsidRPr="004F4F2B">
        <w:rPr>
          <w:noProof/>
          <w:sz w:val="22"/>
          <w:szCs w:val="22"/>
        </w:rPr>
        <w:t xml:space="preserve">preference </w:t>
      </w:r>
      <w:r w:rsidR="00E35A5F" w:rsidRPr="004F4F2B">
        <w:rPr>
          <w:noProof/>
          <w:sz w:val="22"/>
          <w:szCs w:val="22"/>
        </w:rPr>
        <w:t>polit</w:t>
      </w:r>
      <w:r w:rsidR="003A692B" w:rsidRPr="004F4F2B">
        <w:rPr>
          <w:noProof/>
          <w:sz w:val="22"/>
          <w:szCs w:val="22"/>
        </w:rPr>
        <w:t>i</w:t>
      </w:r>
      <w:r w:rsidR="00E35A5F" w:rsidRPr="004F4F2B">
        <w:rPr>
          <w:noProof/>
          <w:sz w:val="22"/>
          <w:szCs w:val="22"/>
        </w:rPr>
        <w:t xml:space="preserve">k zpřístupňování prekurzorů výbušnin </w:t>
      </w:r>
      <w:r w:rsidR="009B309A" w:rsidRPr="004F4F2B">
        <w:rPr>
          <w:noProof/>
          <w:sz w:val="22"/>
          <w:szCs w:val="22"/>
        </w:rPr>
        <w:t xml:space="preserve">podléhajících omezení </w:t>
      </w:r>
      <w:r w:rsidR="0014608C" w:rsidRPr="004F4F2B">
        <w:rPr>
          <w:noProof/>
          <w:sz w:val="22"/>
          <w:szCs w:val="22"/>
        </w:rPr>
        <w:t>osobám z řad široké veřejnosti</w:t>
      </w:r>
      <w:r w:rsidR="009B309A" w:rsidRPr="004F4F2B">
        <w:rPr>
          <w:noProof/>
          <w:sz w:val="22"/>
          <w:szCs w:val="22"/>
        </w:rPr>
        <w:t xml:space="preserve">, tedy </w:t>
      </w:r>
      <w:r w:rsidR="005328DB" w:rsidRPr="004F4F2B">
        <w:rPr>
          <w:noProof/>
          <w:sz w:val="22"/>
          <w:szCs w:val="22"/>
        </w:rPr>
        <w:t xml:space="preserve">zda se přiklonit k zákazu jejich prodeje nebo k prodeji na základě povolení k nákupu. </w:t>
      </w:r>
      <w:r w:rsidR="009B309A" w:rsidRPr="004F4F2B">
        <w:rPr>
          <w:noProof/>
          <w:sz w:val="22"/>
          <w:szCs w:val="22"/>
        </w:rPr>
        <w:t>Gestor se nakonec přiklonil</w:t>
      </w:r>
      <w:r w:rsidR="00CE2FB5" w:rsidRPr="004F4F2B">
        <w:rPr>
          <w:noProof/>
          <w:sz w:val="22"/>
          <w:szCs w:val="22"/>
        </w:rPr>
        <w:t xml:space="preserve"> k zákazu </w:t>
      </w:r>
      <w:r w:rsidR="005328DB" w:rsidRPr="004F4F2B">
        <w:rPr>
          <w:noProof/>
          <w:sz w:val="22"/>
          <w:szCs w:val="22"/>
        </w:rPr>
        <w:t>prodeje</w:t>
      </w:r>
      <w:r w:rsidR="00CE2FB5" w:rsidRPr="004F4F2B">
        <w:rPr>
          <w:noProof/>
          <w:sz w:val="22"/>
          <w:szCs w:val="22"/>
        </w:rPr>
        <w:t xml:space="preserve">. Vedly jej k tomu </w:t>
      </w:r>
      <w:r w:rsidR="007B5397" w:rsidRPr="004F4F2B">
        <w:rPr>
          <w:noProof/>
          <w:sz w:val="22"/>
          <w:szCs w:val="22"/>
        </w:rPr>
        <w:t>4</w:t>
      </w:r>
      <w:r w:rsidR="00326F8C" w:rsidRPr="004F4F2B">
        <w:rPr>
          <w:noProof/>
          <w:sz w:val="22"/>
          <w:szCs w:val="22"/>
        </w:rPr>
        <w:t xml:space="preserve"> výz</w:t>
      </w:r>
      <w:r w:rsidR="003A692B" w:rsidRPr="004F4F2B">
        <w:rPr>
          <w:noProof/>
          <w:sz w:val="22"/>
          <w:szCs w:val="22"/>
        </w:rPr>
        <w:t xml:space="preserve">namné </w:t>
      </w:r>
      <w:r w:rsidR="00326F8C" w:rsidRPr="004F4F2B">
        <w:rPr>
          <w:noProof/>
          <w:sz w:val="22"/>
          <w:szCs w:val="22"/>
        </w:rPr>
        <w:t xml:space="preserve">důvody: 1) </w:t>
      </w:r>
      <w:r w:rsidR="00A833AF" w:rsidRPr="004F4F2B">
        <w:rPr>
          <w:noProof/>
          <w:sz w:val="22"/>
          <w:szCs w:val="22"/>
        </w:rPr>
        <w:t xml:space="preserve">prekurzory výbušnin podléhající omezení jsou nadále </w:t>
      </w:r>
      <w:r w:rsidR="007B5397" w:rsidRPr="004F4F2B">
        <w:rPr>
          <w:noProof/>
          <w:sz w:val="22"/>
          <w:szCs w:val="22"/>
        </w:rPr>
        <w:t xml:space="preserve">snadno </w:t>
      </w:r>
      <w:r w:rsidR="00A833AF" w:rsidRPr="004F4F2B">
        <w:rPr>
          <w:noProof/>
          <w:sz w:val="22"/>
          <w:szCs w:val="22"/>
        </w:rPr>
        <w:t xml:space="preserve">zneužitelné k nedovolené výrobě </w:t>
      </w:r>
      <w:r w:rsidR="00236279" w:rsidRPr="004F4F2B">
        <w:rPr>
          <w:noProof/>
          <w:sz w:val="22"/>
          <w:szCs w:val="22"/>
        </w:rPr>
        <w:t>výbuš</w:t>
      </w:r>
      <w:r w:rsidR="003A692B" w:rsidRPr="004F4F2B">
        <w:rPr>
          <w:noProof/>
          <w:sz w:val="22"/>
          <w:szCs w:val="22"/>
        </w:rPr>
        <w:t>n</w:t>
      </w:r>
      <w:r w:rsidR="00236279" w:rsidRPr="004F4F2B">
        <w:rPr>
          <w:noProof/>
          <w:sz w:val="22"/>
          <w:szCs w:val="22"/>
        </w:rPr>
        <w:t>in</w:t>
      </w:r>
      <w:r w:rsidR="003A692B" w:rsidRPr="004F4F2B">
        <w:rPr>
          <w:noProof/>
          <w:sz w:val="22"/>
          <w:szCs w:val="22"/>
        </w:rPr>
        <w:t xml:space="preserve"> a nástražných výbušných systémů</w:t>
      </w:r>
      <w:r w:rsidR="007B5397" w:rsidRPr="004F4F2B">
        <w:rPr>
          <w:noProof/>
          <w:sz w:val="22"/>
          <w:szCs w:val="22"/>
        </w:rPr>
        <w:t>; 2) prekurzory výbuš</w:t>
      </w:r>
      <w:r w:rsidR="00481350" w:rsidRPr="004F4F2B">
        <w:rPr>
          <w:noProof/>
          <w:sz w:val="22"/>
          <w:szCs w:val="22"/>
        </w:rPr>
        <w:t>n</w:t>
      </w:r>
      <w:r w:rsidR="007B5397" w:rsidRPr="004F4F2B">
        <w:rPr>
          <w:noProof/>
          <w:sz w:val="22"/>
          <w:szCs w:val="22"/>
        </w:rPr>
        <w:t xml:space="preserve">in podléhající omezení </w:t>
      </w:r>
      <w:r w:rsidR="0014608C" w:rsidRPr="004F4F2B">
        <w:rPr>
          <w:noProof/>
          <w:sz w:val="22"/>
          <w:szCs w:val="22"/>
        </w:rPr>
        <w:t xml:space="preserve">legitimně využitelné osobami z řad široké veřejnosti </w:t>
      </w:r>
      <w:r w:rsidR="00D34418" w:rsidRPr="004F4F2B">
        <w:rPr>
          <w:noProof/>
          <w:sz w:val="22"/>
          <w:szCs w:val="22"/>
        </w:rPr>
        <w:t xml:space="preserve">zpravidla </w:t>
      </w:r>
      <w:r w:rsidR="0014608C" w:rsidRPr="004F4F2B">
        <w:rPr>
          <w:noProof/>
          <w:sz w:val="22"/>
          <w:szCs w:val="22"/>
        </w:rPr>
        <w:t xml:space="preserve">mají </w:t>
      </w:r>
      <w:r w:rsidR="00CE2FB5" w:rsidRPr="004F4F2B">
        <w:rPr>
          <w:noProof/>
          <w:sz w:val="22"/>
          <w:szCs w:val="22"/>
        </w:rPr>
        <w:t xml:space="preserve">své </w:t>
      </w:r>
      <w:r w:rsidR="00306534" w:rsidRPr="004F4F2B">
        <w:rPr>
          <w:noProof/>
          <w:sz w:val="22"/>
          <w:szCs w:val="22"/>
        </w:rPr>
        <w:t xml:space="preserve">plnohodnotné </w:t>
      </w:r>
      <w:r w:rsidR="00CE2FB5" w:rsidRPr="004F4F2B">
        <w:rPr>
          <w:noProof/>
          <w:sz w:val="22"/>
          <w:szCs w:val="22"/>
        </w:rPr>
        <w:t xml:space="preserve">alternativní </w:t>
      </w:r>
      <w:r w:rsidR="0014608C" w:rsidRPr="004F4F2B">
        <w:rPr>
          <w:noProof/>
          <w:sz w:val="22"/>
          <w:szCs w:val="22"/>
        </w:rPr>
        <w:t xml:space="preserve">náhrady </w:t>
      </w:r>
      <w:r w:rsidR="00CE2FB5" w:rsidRPr="004F4F2B">
        <w:rPr>
          <w:noProof/>
          <w:sz w:val="22"/>
          <w:szCs w:val="22"/>
        </w:rPr>
        <w:t>(ať již v</w:t>
      </w:r>
      <w:r w:rsidR="007B5397" w:rsidRPr="004F4F2B">
        <w:rPr>
          <w:noProof/>
          <w:sz w:val="22"/>
          <w:szCs w:val="22"/>
        </w:rPr>
        <w:t> </w:t>
      </w:r>
      <w:r w:rsidR="00CE2FB5" w:rsidRPr="004F4F2B">
        <w:rPr>
          <w:noProof/>
          <w:sz w:val="22"/>
          <w:szCs w:val="22"/>
        </w:rPr>
        <w:t>p</w:t>
      </w:r>
      <w:r w:rsidR="007B5397" w:rsidRPr="004F4F2B">
        <w:rPr>
          <w:noProof/>
          <w:sz w:val="22"/>
          <w:szCs w:val="22"/>
        </w:rPr>
        <w:t xml:space="preserve">odobě </w:t>
      </w:r>
      <w:r w:rsidR="0014608C" w:rsidRPr="004F4F2B">
        <w:rPr>
          <w:noProof/>
          <w:sz w:val="22"/>
          <w:szCs w:val="22"/>
        </w:rPr>
        <w:t xml:space="preserve">zředěných roztoků dotčených látek </w:t>
      </w:r>
      <w:r w:rsidR="00CE2FB5" w:rsidRPr="004F4F2B">
        <w:rPr>
          <w:noProof/>
          <w:sz w:val="22"/>
          <w:szCs w:val="22"/>
        </w:rPr>
        <w:t>nebo jiných látek a</w:t>
      </w:r>
      <w:r w:rsidR="007B5397" w:rsidRPr="004F4F2B">
        <w:rPr>
          <w:noProof/>
          <w:sz w:val="22"/>
          <w:szCs w:val="22"/>
        </w:rPr>
        <w:t> </w:t>
      </w:r>
      <w:r w:rsidR="00CE2FB5" w:rsidRPr="004F4F2B">
        <w:rPr>
          <w:noProof/>
          <w:sz w:val="22"/>
          <w:szCs w:val="22"/>
        </w:rPr>
        <w:t>směsí)</w:t>
      </w:r>
      <w:r w:rsidR="007B5397" w:rsidRPr="004F4F2B">
        <w:rPr>
          <w:noProof/>
          <w:sz w:val="22"/>
          <w:szCs w:val="22"/>
        </w:rPr>
        <w:t xml:space="preserve">; 3) </w:t>
      </w:r>
      <w:r w:rsidR="00A833AF" w:rsidRPr="004F4F2B">
        <w:rPr>
          <w:noProof/>
          <w:sz w:val="22"/>
          <w:szCs w:val="22"/>
        </w:rPr>
        <w:t xml:space="preserve">případný povolovací </w:t>
      </w:r>
      <w:r w:rsidR="00573741" w:rsidRPr="004F4F2B">
        <w:rPr>
          <w:noProof/>
          <w:sz w:val="22"/>
          <w:szCs w:val="22"/>
        </w:rPr>
        <w:t>režim</w:t>
      </w:r>
      <w:r w:rsidR="00A833AF" w:rsidRPr="004F4F2B">
        <w:rPr>
          <w:noProof/>
          <w:sz w:val="22"/>
          <w:szCs w:val="22"/>
        </w:rPr>
        <w:t xml:space="preserve"> by obnášel nárůst administrativy na straně hospodářských subjektů </w:t>
      </w:r>
      <w:r w:rsidR="00236279" w:rsidRPr="004F4F2B">
        <w:rPr>
          <w:noProof/>
          <w:sz w:val="22"/>
          <w:szCs w:val="22"/>
        </w:rPr>
        <w:t xml:space="preserve">spojený s ověřováním celé řady skutečností při </w:t>
      </w:r>
      <w:r w:rsidR="00135C4A" w:rsidRPr="004F4F2B">
        <w:rPr>
          <w:noProof/>
          <w:sz w:val="22"/>
          <w:szCs w:val="22"/>
        </w:rPr>
        <w:t xml:space="preserve">prodeji prekurzorů výbušnin podléhajících omezení </w:t>
      </w:r>
      <w:r w:rsidR="00236279" w:rsidRPr="004F4F2B">
        <w:rPr>
          <w:noProof/>
          <w:sz w:val="22"/>
          <w:szCs w:val="22"/>
        </w:rPr>
        <w:t>osobám z řad široké veřejnosti</w:t>
      </w:r>
      <w:r w:rsidR="008A617C" w:rsidRPr="004F4F2B">
        <w:rPr>
          <w:noProof/>
          <w:sz w:val="22"/>
          <w:szCs w:val="22"/>
        </w:rPr>
        <w:t xml:space="preserve">; 4) případná politika </w:t>
      </w:r>
      <w:r w:rsidR="00A91982" w:rsidRPr="004F4F2B">
        <w:rPr>
          <w:noProof/>
          <w:sz w:val="22"/>
          <w:szCs w:val="22"/>
        </w:rPr>
        <w:t>prodeje prekurzorů výbušnin podléhajících omezení osobám z řad široké</w:t>
      </w:r>
      <w:r w:rsidR="00761E2F" w:rsidRPr="004F4F2B">
        <w:rPr>
          <w:noProof/>
          <w:sz w:val="22"/>
          <w:szCs w:val="22"/>
        </w:rPr>
        <w:t xml:space="preserve"> </w:t>
      </w:r>
      <w:r w:rsidR="00A91982" w:rsidRPr="004F4F2B">
        <w:rPr>
          <w:noProof/>
          <w:sz w:val="22"/>
          <w:szCs w:val="22"/>
        </w:rPr>
        <w:t xml:space="preserve">veřejnosti na základě povolení by vedla </w:t>
      </w:r>
      <w:r w:rsidR="00236279" w:rsidRPr="004F4F2B">
        <w:rPr>
          <w:noProof/>
          <w:sz w:val="22"/>
          <w:szCs w:val="22"/>
        </w:rPr>
        <w:t>k enormnímu nárůstu administrativy na straně orgánů státní sp</w:t>
      </w:r>
      <w:r w:rsidR="00B1061B" w:rsidRPr="004F4F2B">
        <w:rPr>
          <w:noProof/>
          <w:sz w:val="22"/>
          <w:szCs w:val="22"/>
        </w:rPr>
        <w:t>r</w:t>
      </w:r>
      <w:r w:rsidR="00236279" w:rsidRPr="004F4F2B">
        <w:rPr>
          <w:noProof/>
          <w:sz w:val="22"/>
          <w:szCs w:val="22"/>
        </w:rPr>
        <w:t>ávy při vedení řízení o</w:t>
      </w:r>
      <w:r w:rsidR="009A6B24" w:rsidRPr="004F4F2B">
        <w:rPr>
          <w:noProof/>
          <w:sz w:val="22"/>
          <w:szCs w:val="22"/>
        </w:rPr>
        <w:t> </w:t>
      </w:r>
      <w:r w:rsidR="00236279" w:rsidRPr="004F4F2B">
        <w:rPr>
          <w:noProof/>
          <w:sz w:val="22"/>
          <w:szCs w:val="22"/>
        </w:rPr>
        <w:t>žádostech o</w:t>
      </w:r>
      <w:r w:rsidR="00980F53">
        <w:rPr>
          <w:noProof/>
          <w:sz w:val="22"/>
          <w:szCs w:val="22"/>
        </w:rPr>
        <w:t> </w:t>
      </w:r>
      <w:r w:rsidR="00236279" w:rsidRPr="004F4F2B">
        <w:rPr>
          <w:noProof/>
          <w:sz w:val="22"/>
          <w:szCs w:val="22"/>
        </w:rPr>
        <w:t>povolení.</w:t>
      </w:r>
    </w:p>
    <w:p w:rsidR="0042140A" w:rsidRPr="004F4F2B" w:rsidRDefault="00DC7E90" w:rsidP="005C6DF7">
      <w:pPr>
        <w:spacing w:after="240"/>
        <w:jc w:val="both"/>
        <w:rPr>
          <w:noProof/>
          <w:sz w:val="22"/>
          <w:szCs w:val="22"/>
        </w:rPr>
      </w:pPr>
      <w:r w:rsidRPr="004F4F2B">
        <w:rPr>
          <w:noProof/>
          <w:sz w:val="22"/>
          <w:szCs w:val="22"/>
        </w:rPr>
        <w:t xml:space="preserve">Pokud se zaměříme na stěžejní důvod č. 1, tedy </w:t>
      </w:r>
      <w:r w:rsidR="004545E4" w:rsidRPr="004F4F2B">
        <w:rPr>
          <w:noProof/>
          <w:sz w:val="22"/>
          <w:szCs w:val="22"/>
        </w:rPr>
        <w:t>zneužívání prekurzorů výbušnin podléhajících omezení</w:t>
      </w:r>
      <w:r w:rsidRPr="004F4F2B">
        <w:rPr>
          <w:noProof/>
          <w:sz w:val="22"/>
          <w:szCs w:val="22"/>
        </w:rPr>
        <w:t xml:space="preserve">, </w:t>
      </w:r>
      <w:r w:rsidR="004545E4" w:rsidRPr="004F4F2B">
        <w:rPr>
          <w:noProof/>
          <w:sz w:val="22"/>
          <w:szCs w:val="22"/>
        </w:rPr>
        <w:t xml:space="preserve">v České republice za účinnosti dosavadního zákona č. 259/2014 Sb. </w:t>
      </w:r>
      <w:r w:rsidRPr="004F4F2B">
        <w:rPr>
          <w:noProof/>
          <w:sz w:val="22"/>
          <w:szCs w:val="22"/>
        </w:rPr>
        <w:t xml:space="preserve">sice nebyla </w:t>
      </w:r>
      <w:r w:rsidR="004545E4" w:rsidRPr="004F4F2B">
        <w:rPr>
          <w:noProof/>
          <w:sz w:val="22"/>
          <w:szCs w:val="22"/>
        </w:rPr>
        <w:t xml:space="preserve">ohlášena jediná podezřelá </w:t>
      </w:r>
      <w:r w:rsidR="004545E4" w:rsidRPr="004F4F2B">
        <w:rPr>
          <w:noProof/>
          <w:sz w:val="22"/>
          <w:szCs w:val="22"/>
        </w:rPr>
        <w:lastRenderedPageBreak/>
        <w:t>transa</w:t>
      </w:r>
      <w:r w:rsidR="0046143A" w:rsidRPr="004F4F2B">
        <w:rPr>
          <w:noProof/>
          <w:sz w:val="22"/>
          <w:szCs w:val="22"/>
        </w:rPr>
        <w:t>k</w:t>
      </w:r>
      <w:r w:rsidR="004545E4" w:rsidRPr="004F4F2B">
        <w:rPr>
          <w:noProof/>
          <w:sz w:val="22"/>
          <w:szCs w:val="22"/>
        </w:rPr>
        <w:t>ce</w:t>
      </w:r>
      <w:r w:rsidRPr="004F4F2B">
        <w:rPr>
          <w:noProof/>
          <w:sz w:val="22"/>
          <w:szCs w:val="22"/>
        </w:rPr>
        <w:t xml:space="preserve"> (</w:t>
      </w:r>
      <w:r w:rsidR="004545E4" w:rsidRPr="004F4F2B">
        <w:rPr>
          <w:noProof/>
          <w:sz w:val="22"/>
          <w:szCs w:val="22"/>
        </w:rPr>
        <w:t xml:space="preserve">k čemuž však mohly přispět obavy prodejců z případných úkonů Policie České republiky </w:t>
      </w:r>
      <w:r w:rsidR="00233B52" w:rsidRPr="004F4F2B">
        <w:rPr>
          <w:noProof/>
          <w:sz w:val="22"/>
          <w:szCs w:val="22"/>
        </w:rPr>
        <w:t>p</w:t>
      </w:r>
      <w:r w:rsidR="00046653" w:rsidRPr="004F4F2B">
        <w:rPr>
          <w:noProof/>
          <w:sz w:val="22"/>
          <w:szCs w:val="22"/>
        </w:rPr>
        <w:t>ři</w:t>
      </w:r>
      <w:r w:rsidR="00233B52" w:rsidRPr="004F4F2B">
        <w:rPr>
          <w:noProof/>
          <w:sz w:val="22"/>
          <w:szCs w:val="22"/>
        </w:rPr>
        <w:t xml:space="preserve"> prošetřování oznámení</w:t>
      </w:r>
      <w:r w:rsidRPr="004F4F2B">
        <w:rPr>
          <w:noProof/>
          <w:sz w:val="22"/>
          <w:szCs w:val="22"/>
        </w:rPr>
        <w:t>), n</w:t>
      </w:r>
      <w:r w:rsidR="00DE7D7F" w:rsidRPr="004F4F2B">
        <w:rPr>
          <w:noProof/>
          <w:sz w:val="22"/>
          <w:szCs w:val="22"/>
        </w:rPr>
        <w:t xml:space="preserve">a druhé straně však počet </w:t>
      </w:r>
      <w:r w:rsidR="009D2297" w:rsidRPr="004F4F2B">
        <w:rPr>
          <w:noProof/>
          <w:sz w:val="22"/>
          <w:szCs w:val="22"/>
        </w:rPr>
        <w:t>závadných jednání v souvislosti s neoprávněným držením výbušnin není nulový. Kon</w:t>
      </w:r>
      <w:r w:rsidR="00794E67" w:rsidRPr="004F4F2B">
        <w:rPr>
          <w:noProof/>
          <w:sz w:val="22"/>
          <w:szCs w:val="22"/>
        </w:rPr>
        <w:t>k</w:t>
      </w:r>
      <w:r w:rsidR="009D2297" w:rsidRPr="004F4F2B">
        <w:rPr>
          <w:noProof/>
          <w:sz w:val="22"/>
          <w:szCs w:val="22"/>
        </w:rPr>
        <w:t xml:space="preserve">rétně, </w:t>
      </w:r>
      <w:r w:rsidR="00512BE7" w:rsidRPr="004F4F2B">
        <w:rPr>
          <w:noProof/>
          <w:sz w:val="22"/>
          <w:szCs w:val="22"/>
        </w:rPr>
        <w:t xml:space="preserve">podle </w:t>
      </w:r>
      <w:r w:rsidR="00402818" w:rsidRPr="004F4F2B">
        <w:rPr>
          <w:noProof/>
          <w:sz w:val="22"/>
          <w:szCs w:val="22"/>
        </w:rPr>
        <w:t>údaj</w:t>
      </w:r>
      <w:r w:rsidR="00BE23D5" w:rsidRPr="004F4F2B">
        <w:rPr>
          <w:noProof/>
          <w:sz w:val="22"/>
          <w:szCs w:val="22"/>
        </w:rPr>
        <w:t xml:space="preserve">ů </w:t>
      </w:r>
      <w:r w:rsidR="00402818" w:rsidRPr="004F4F2B">
        <w:rPr>
          <w:noProof/>
          <w:sz w:val="22"/>
          <w:szCs w:val="22"/>
        </w:rPr>
        <w:t>Minister</w:t>
      </w:r>
      <w:r w:rsidR="00622326" w:rsidRPr="004F4F2B">
        <w:rPr>
          <w:noProof/>
          <w:sz w:val="22"/>
          <w:szCs w:val="22"/>
        </w:rPr>
        <w:t>s</w:t>
      </w:r>
      <w:r w:rsidR="00402818" w:rsidRPr="004F4F2B">
        <w:rPr>
          <w:noProof/>
          <w:sz w:val="22"/>
          <w:szCs w:val="22"/>
        </w:rPr>
        <w:t>tva spravedlnosti</w:t>
      </w:r>
      <w:r w:rsidR="00BE23D5" w:rsidRPr="004F4F2B">
        <w:rPr>
          <w:noProof/>
          <w:sz w:val="22"/>
          <w:szCs w:val="22"/>
        </w:rPr>
        <w:t xml:space="preserve"> </w:t>
      </w:r>
      <w:r w:rsidR="00402818" w:rsidRPr="004F4F2B">
        <w:rPr>
          <w:noProof/>
          <w:sz w:val="22"/>
          <w:szCs w:val="22"/>
        </w:rPr>
        <w:t xml:space="preserve">bylo v předchozích </w:t>
      </w:r>
      <w:r w:rsidR="00E439ED" w:rsidRPr="004F4F2B">
        <w:rPr>
          <w:noProof/>
          <w:sz w:val="22"/>
          <w:szCs w:val="22"/>
        </w:rPr>
        <w:t xml:space="preserve">5 kalendářních letech pravomocně odsouzeno za trestné činy nedovoleného ozbrojování </w:t>
      </w:r>
      <w:r w:rsidR="00DD584E" w:rsidRPr="004F4F2B">
        <w:rPr>
          <w:noProof/>
          <w:sz w:val="22"/>
          <w:szCs w:val="22"/>
        </w:rPr>
        <w:t xml:space="preserve">podle </w:t>
      </w:r>
      <w:r w:rsidR="00E439ED" w:rsidRPr="004F4F2B">
        <w:rPr>
          <w:noProof/>
          <w:sz w:val="22"/>
          <w:szCs w:val="22"/>
        </w:rPr>
        <w:t xml:space="preserve">§ 279 </w:t>
      </w:r>
      <w:r w:rsidR="00B905AE" w:rsidRPr="004F4F2B">
        <w:rPr>
          <w:noProof/>
          <w:sz w:val="22"/>
          <w:szCs w:val="22"/>
        </w:rPr>
        <w:t xml:space="preserve">celkem 841 osob, z nichž podle § 279 </w:t>
      </w:r>
      <w:r w:rsidR="00402818" w:rsidRPr="004F4F2B">
        <w:rPr>
          <w:noProof/>
          <w:sz w:val="22"/>
          <w:szCs w:val="22"/>
        </w:rPr>
        <w:t>odst. 3 a</w:t>
      </w:r>
      <w:r w:rsidR="00BE23D5" w:rsidRPr="004F4F2B">
        <w:rPr>
          <w:noProof/>
          <w:sz w:val="22"/>
          <w:szCs w:val="22"/>
        </w:rPr>
        <w:t> </w:t>
      </w:r>
      <w:r w:rsidR="002C145D" w:rsidRPr="004F4F2B">
        <w:rPr>
          <w:noProof/>
          <w:sz w:val="22"/>
          <w:szCs w:val="22"/>
        </w:rPr>
        <w:t xml:space="preserve">nebo </w:t>
      </w:r>
      <w:r w:rsidR="00402818" w:rsidRPr="004F4F2B">
        <w:rPr>
          <w:noProof/>
          <w:sz w:val="22"/>
          <w:szCs w:val="22"/>
        </w:rPr>
        <w:t xml:space="preserve">4 </w:t>
      </w:r>
      <w:r w:rsidR="00E439ED" w:rsidRPr="004F4F2B">
        <w:rPr>
          <w:noProof/>
          <w:sz w:val="22"/>
          <w:szCs w:val="22"/>
        </w:rPr>
        <w:t xml:space="preserve">trestního zákoníku </w:t>
      </w:r>
      <w:r w:rsidR="002C145D" w:rsidRPr="004F4F2B">
        <w:rPr>
          <w:noProof/>
          <w:sz w:val="22"/>
          <w:szCs w:val="22"/>
        </w:rPr>
        <w:t xml:space="preserve">odsouzeno </w:t>
      </w:r>
      <w:r w:rsidR="00B905AE" w:rsidRPr="004F4F2B">
        <w:rPr>
          <w:noProof/>
          <w:sz w:val="22"/>
          <w:szCs w:val="22"/>
        </w:rPr>
        <w:t xml:space="preserve">celkem </w:t>
      </w:r>
      <w:r w:rsidR="002C145D" w:rsidRPr="004F4F2B">
        <w:rPr>
          <w:noProof/>
          <w:sz w:val="22"/>
          <w:szCs w:val="22"/>
        </w:rPr>
        <w:t>171 osob</w:t>
      </w:r>
      <w:r w:rsidR="00B905AE" w:rsidRPr="004F4F2B">
        <w:rPr>
          <w:noProof/>
          <w:sz w:val="22"/>
          <w:szCs w:val="22"/>
        </w:rPr>
        <w:t>, jak uvádí následujícíc graf.</w:t>
      </w:r>
    </w:p>
    <w:p w:rsidR="0042140A" w:rsidRPr="004F4F2B" w:rsidRDefault="00E17B6E" w:rsidP="005C6DF7">
      <w:pPr>
        <w:spacing w:after="240"/>
        <w:jc w:val="center"/>
        <w:rPr>
          <w:noProof/>
          <w:sz w:val="22"/>
          <w:szCs w:val="22"/>
        </w:rPr>
      </w:pPr>
      <w:r w:rsidRPr="004F4F2B">
        <w:rPr>
          <w:noProof/>
          <w:sz w:val="22"/>
          <w:szCs w:val="22"/>
        </w:rPr>
        <w:drawing>
          <wp:inline distT="0" distB="0" distL="0" distR="0" wp14:anchorId="118A995F" wp14:editId="0D2A8A2A">
            <wp:extent cx="5088835" cy="2028281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392" cy="2043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1252" w:rsidRPr="004F4F2B" w:rsidRDefault="00E4137D" w:rsidP="00513F47">
      <w:pPr>
        <w:spacing w:after="120"/>
        <w:jc w:val="both"/>
        <w:rPr>
          <w:sz w:val="22"/>
          <w:szCs w:val="22"/>
        </w:rPr>
      </w:pPr>
      <w:r w:rsidRPr="004F4F2B">
        <w:rPr>
          <w:noProof/>
          <w:sz w:val="22"/>
          <w:szCs w:val="22"/>
        </w:rPr>
        <w:t xml:space="preserve">Z trestných činů podle § 279 odst. 3 a 4 trestního zákoníku přitom činy s </w:t>
      </w:r>
      <w:r w:rsidR="00FA03C3" w:rsidRPr="004F4F2B">
        <w:rPr>
          <w:noProof/>
          <w:sz w:val="22"/>
          <w:szCs w:val="22"/>
        </w:rPr>
        <w:t>neoprávněně drženými výbušninami</w:t>
      </w:r>
      <w:r w:rsidRPr="004F4F2B">
        <w:rPr>
          <w:noProof/>
          <w:sz w:val="22"/>
          <w:szCs w:val="22"/>
        </w:rPr>
        <w:t xml:space="preserve"> tvoří </w:t>
      </w:r>
      <w:r w:rsidR="0067534D" w:rsidRPr="004F4F2B">
        <w:rPr>
          <w:noProof/>
          <w:sz w:val="22"/>
          <w:szCs w:val="22"/>
        </w:rPr>
        <w:t xml:space="preserve">podle studia jednotlivých rozsudků resp. trestních příkazů </w:t>
      </w:r>
      <w:r w:rsidR="00FF4AA8" w:rsidRPr="004F4F2B">
        <w:rPr>
          <w:noProof/>
          <w:sz w:val="22"/>
          <w:szCs w:val="22"/>
        </w:rPr>
        <w:t>3</w:t>
      </w:r>
      <w:r w:rsidR="000012FE" w:rsidRPr="004F4F2B">
        <w:rPr>
          <w:noProof/>
          <w:sz w:val="22"/>
          <w:szCs w:val="22"/>
        </w:rPr>
        <w:t>2</w:t>
      </w:r>
      <w:r w:rsidR="00FF4AA8" w:rsidRPr="004F4F2B">
        <w:rPr>
          <w:noProof/>
          <w:sz w:val="22"/>
          <w:szCs w:val="22"/>
        </w:rPr>
        <w:t> %</w:t>
      </w:r>
      <w:r w:rsidR="00FA03C3" w:rsidRPr="004F4F2B">
        <w:rPr>
          <w:noProof/>
          <w:sz w:val="22"/>
          <w:szCs w:val="22"/>
        </w:rPr>
        <w:t xml:space="preserve">. </w:t>
      </w:r>
      <w:r w:rsidR="002B08DB" w:rsidRPr="004F4F2B">
        <w:rPr>
          <w:noProof/>
          <w:sz w:val="22"/>
          <w:szCs w:val="22"/>
        </w:rPr>
        <w:t>Velmi zjednodušeně (po</w:t>
      </w:r>
      <w:r w:rsidR="00BE23D5" w:rsidRPr="004F4F2B">
        <w:rPr>
          <w:noProof/>
          <w:sz w:val="22"/>
          <w:szCs w:val="22"/>
        </w:rPr>
        <w:t xml:space="preserve">miňme, že data </w:t>
      </w:r>
      <w:r w:rsidR="00F74829" w:rsidRPr="004F4F2B">
        <w:rPr>
          <w:noProof/>
          <w:sz w:val="22"/>
          <w:szCs w:val="22"/>
        </w:rPr>
        <w:t xml:space="preserve">nabytí </w:t>
      </w:r>
      <w:r w:rsidR="00BE23D5" w:rsidRPr="004F4F2B">
        <w:rPr>
          <w:noProof/>
          <w:sz w:val="22"/>
          <w:szCs w:val="22"/>
        </w:rPr>
        <w:t>právní moci rozsudků nemusí vypodívat o</w:t>
      </w:r>
      <w:r w:rsidR="009C5ED6" w:rsidRPr="004F4F2B">
        <w:rPr>
          <w:noProof/>
          <w:sz w:val="22"/>
          <w:szCs w:val="22"/>
        </w:rPr>
        <w:t> </w:t>
      </w:r>
      <w:r w:rsidR="00BE23D5" w:rsidRPr="004F4F2B">
        <w:rPr>
          <w:noProof/>
          <w:sz w:val="22"/>
          <w:szCs w:val="22"/>
        </w:rPr>
        <w:t>roce, kdy byl čin spáchán)</w:t>
      </w:r>
      <w:r w:rsidR="00FA03C3" w:rsidRPr="004F4F2B">
        <w:rPr>
          <w:noProof/>
          <w:sz w:val="22"/>
          <w:szCs w:val="22"/>
        </w:rPr>
        <w:t xml:space="preserve"> to odpovídá okolo 1</w:t>
      </w:r>
      <w:r w:rsidR="002D653D" w:rsidRPr="004F4F2B">
        <w:rPr>
          <w:noProof/>
          <w:sz w:val="22"/>
          <w:szCs w:val="22"/>
        </w:rPr>
        <w:t>0</w:t>
      </w:r>
      <w:r w:rsidR="00FA03C3" w:rsidRPr="004F4F2B">
        <w:rPr>
          <w:noProof/>
          <w:sz w:val="22"/>
          <w:szCs w:val="22"/>
        </w:rPr>
        <w:t>–</w:t>
      </w:r>
      <w:r w:rsidR="00FF4AA8" w:rsidRPr="004F4F2B">
        <w:rPr>
          <w:noProof/>
          <w:sz w:val="22"/>
          <w:szCs w:val="22"/>
        </w:rPr>
        <w:t>1</w:t>
      </w:r>
      <w:r w:rsidR="002D653D" w:rsidRPr="004F4F2B">
        <w:rPr>
          <w:noProof/>
          <w:sz w:val="22"/>
          <w:szCs w:val="22"/>
        </w:rPr>
        <w:t>1</w:t>
      </w:r>
      <w:r w:rsidR="00FA03C3" w:rsidRPr="004F4F2B">
        <w:rPr>
          <w:noProof/>
          <w:sz w:val="22"/>
          <w:szCs w:val="22"/>
        </w:rPr>
        <w:t xml:space="preserve"> trestný</w:t>
      </w:r>
      <w:r w:rsidR="00BE23D5" w:rsidRPr="004F4F2B">
        <w:rPr>
          <w:noProof/>
          <w:sz w:val="22"/>
          <w:szCs w:val="22"/>
        </w:rPr>
        <w:t>m</w:t>
      </w:r>
      <w:r w:rsidR="00FA03C3" w:rsidRPr="004F4F2B">
        <w:rPr>
          <w:noProof/>
          <w:sz w:val="22"/>
          <w:szCs w:val="22"/>
        </w:rPr>
        <w:t xml:space="preserve"> činů mající</w:t>
      </w:r>
      <w:r w:rsidR="00BE23D5" w:rsidRPr="004F4F2B">
        <w:rPr>
          <w:noProof/>
          <w:sz w:val="22"/>
          <w:szCs w:val="22"/>
        </w:rPr>
        <w:t>m</w:t>
      </w:r>
      <w:r w:rsidR="00FA03C3" w:rsidRPr="004F4F2B">
        <w:rPr>
          <w:noProof/>
          <w:sz w:val="22"/>
          <w:szCs w:val="22"/>
        </w:rPr>
        <w:t xml:space="preserve"> souvislost s neoprávněným držením výbušnin ročně.</w:t>
      </w:r>
      <w:r w:rsidR="007E092E" w:rsidRPr="004F4F2B">
        <w:rPr>
          <w:noProof/>
          <w:sz w:val="22"/>
          <w:szCs w:val="22"/>
        </w:rPr>
        <w:t xml:space="preserve"> </w:t>
      </w:r>
      <w:r w:rsidR="00A811D2" w:rsidRPr="004F4F2B">
        <w:rPr>
          <w:noProof/>
          <w:sz w:val="22"/>
          <w:szCs w:val="22"/>
        </w:rPr>
        <w:t xml:space="preserve">Podle evidence přestupků Českého báňského úřadu </w:t>
      </w:r>
      <w:r w:rsidR="00354D99" w:rsidRPr="004F4F2B">
        <w:rPr>
          <w:noProof/>
          <w:sz w:val="22"/>
          <w:szCs w:val="22"/>
        </w:rPr>
        <w:t>pak byly za p</w:t>
      </w:r>
      <w:r w:rsidR="00BD3DD2" w:rsidRPr="004F4F2B">
        <w:rPr>
          <w:noProof/>
          <w:sz w:val="22"/>
          <w:szCs w:val="22"/>
        </w:rPr>
        <w:t xml:space="preserve">ředchozích </w:t>
      </w:r>
      <w:r w:rsidR="00354D99" w:rsidRPr="004F4F2B">
        <w:rPr>
          <w:noProof/>
          <w:sz w:val="22"/>
          <w:szCs w:val="22"/>
        </w:rPr>
        <w:t>5 kalendářních let projednány přestupky na úseku neoprávněného nakládání s výbušninami podle § 44 odst. 1 písm. c) nebo d) zákona č. 61/1988 Sb. u celkem 16 pachatelů</w:t>
      </w:r>
      <w:r w:rsidR="00DC1B44" w:rsidRPr="004F4F2B">
        <w:rPr>
          <w:noProof/>
          <w:sz w:val="22"/>
          <w:szCs w:val="22"/>
        </w:rPr>
        <w:t>, tedy velmi zjed</w:t>
      </w:r>
      <w:r w:rsidR="00B14828" w:rsidRPr="004F4F2B">
        <w:rPr>
          <w:noProof/>
          <w:sz w:val="22"/>
          <w:szCs w:val="22"/>
        </w:rPr>
        <w:t>n</w:t>
      </w:r>
      <w:r w:rsidR="00DC1B44" w:rsidRPr="004F4F2B">
        <w:rPr>
          <w:noProof/>
          <w:sz w:val="22"/>
          <w:szCs w:val="22"/>
        </w:rPr>
        <w:t>odušeně 3–4 ročně.</w:t>
      </w:r>
      <w:r w:rsidR="00FA1252" w:rsidRPr="004F4F2B">
        <w:rPr>
          <w:noProof/>
          <w:sz w:val="22"/>
          <w:szCs w:val="22"/>
        </w:rPr>
        <w:t xml:space="preserve"> </w:t>
      </w:r>
      <w:r w:rsidR="00363CB3" w:rsidRPr="004F4F2B">
        <w:rPr>
          <w:noProof/>
          <w:sz w:val="22"/>
          <w:szCs w:val="22"/>
        </w:rPr>
        <w:t>Celkem lze tedy zjedodušeně předpokládat okolo 1</w:t>
      </w:r>
      <w:r w:rsidR="002D653D" w:rsidRPr="004F4F2B">
        <w:rPr>
          <w:noProof/>
          <w:sz w:val="22"/>
          <w:szCs w:val="22"/>
        </w:rPr>
        <w:t>3</w:t>
      </w:r>
      <w:r w:rsidR="00363CB3" w:rsidRPr="004F4F2B">
        <w:rPr>
          <w:noProof/>
          <w:sz w:val="22"/>
          <w:szCs w:val="22"/>
        </w:rPr>
        <w:t>–1</w:t>
      </w:r>
      <w:r w:rsidR="002D653D" w:rsidRPr="004F4F2B">
        <w:rPr>
          <w:noProof/>
          <w:sz w:val="22"/>
          <w:szCs w:val="22"/>
        </w:rPr>
        <w:t>5</w:t>
      </w:r>
      <w:r w:rsidR="00363CB3" w:rsidRPr="004F4F2B">
        <w:rPr>
          <w:noProof/>
          <w:sz w:val="22"/>
          <w:szCs w:val="22"/>
        </w:rPr>
        <w:t xml:space="preserve"> závadných jednání s výbušninami ročně</w:t>
      </w:r>
      <w:r w:rsidR="00FE15C3" w:rsidRPr="004F4F2B">
        <w:rPr>
          <w:noProof/>
          <w:sz w:val="22"/>
          <w:szCs w:val="22"/>
        </w:rPr>
        <w:t xml:space="preserve">; jde přitom o předpoklad </w:t>
      </w:r>
      <w:r w:rsidR="00214D31" w:rsidRPr="004F4F2B">
        <w:rPr>
          <w:noProof/>
          <w:sz w:val="22"/>
          <w:szCs w:val="22"/>
        </w:rPr>
        <w:t>ne</w:t>
      </w:r>
      <w:r w:rsidR="00FE15C3" w:rsidRPr="004F4F2B">
        <w:rPr>
          <w:noProof/>
          <w:sz w:val="22"/>
          <w:szCs w:val="22"/>
        </w:rPr>
        <w:t>z</w:t>
      </w:r>
      <w:r w:rsidR="00214D31" w:rsidRPr="004F4F2B">
        <w:rPr>
          <w:noProof/>
          <w:sz w:val="22"/>
          <w:szCs w:val="22"/>
        </w:rPr>
        <w:t>o</w:t>
      </w:r>
      <w:r w:rsidR="00FE15C3" w:rsidRPr="004F4F2B">
        <w:rPr>
          <w:noProof/>
          <w:sz w:val="22"/>
          <w:szCs w:val="22"/>
        </w:rPr>
        <w:t>hledňující neo</w:t>
      </w:r>
      <w:r w:rsidR="00214D31" w:rsidRPr="004F4F2B">
        <w:rPr>
          <w:noProof/>
          <w:sz w:val="22"/>
          <w:szCs w:val="22"/>
        </w:rPr>
        <w:t>d</w:t>
      </w:r>
      <w:r w:rsidR="00FE15C3" w:rsidRPr="004F4F2B">
        <w:rPr>
          <w:noProof/>
          <w:sz w:val="22"/>
          <w:szCs w:val="22"/>
        </w:rPr>
        <w:t xml:space="preserve">halená závadná jednání, ani odhalená závadná jednání s výbušninami </w:t>
      </w:r>
      <w:r w:rsidR="003063CB" w:rsidRPr="004F4F2B">
        <w:rPr>
          <w:noProof/>
          <w:sz w:val="22"/>
          <w:szCs w:val="22"/>
        </w:rPr>
        <w:t xml:space="preserve">postihovaná </w:t>
      </w:r>
      <w:r w:rsidR="008638C8" w:rsidRPr="004F4F2B">
        <w:rPr>
          <w:noProof/>
          <w:sz w:val="22"/>
          <w:szCs w:val="22"/>
        </w:rPr>
        <w:t xml:space="preserve">jako trestný čin obecného ohrožení podle § 272 trestního zákoníku. </w:t>
      </w:r>
      <w:r w:rsidR="00C92FE0" w:rsidRPr="004F4F2B">
        <w:rPr>
          <w:noProof/>
          <w:sz w:val="22"/>
          <w:szCs w:val="22"/>
        </w:rPr>
        <w:t xml:space="preserve">Mezi neoprávněně výrobenými výbušninami v posledních letech zpravidla figurovaly </w:t>
      </w:r>
      <w:r w:rsidR="00FA1252" w:rsidRPr="004F4F2B">
        <w:rPr>
          <w:noProof/>
          <w:sz w:val="22"/>
          <w:szCs w:val="22"/>
        </w:rPr>
        <w:t xml:space="preserve">pyrotechnické slože </w:t>
      </w:r>
      <w:r w:rsidR="006232F3" w:rsidRPr="004F4F2B">
        <w:rPr>
          <w:noProof/>
          <w:sz w:val="22"/>
          <w:szCs w:val="22"/>
        </w:rPr>
        <w:t xml:space="preserve">na bázi </w:t>
      </w:r>
      <w:r w:rsidR="002B7D04" w:rsidRPr="004F4F2B">
        <w:rPr>
          <w:noProof/>
          <w:sz w:val="22"/>
          <w:szCs w:val="22"/>
        </w:rPr>
        <w:t xml:space="preserve">práškových kovů a anorganických oxidovadel </w:t>
      </w:r>
      <w:r w:rsidR="00BC6E51" w:rsidRPr="004F4F2B">
        <w:rPr>
          <w:noProof/>
          <w:sz w:val="22"/>
          <w:szCs w:val="22"/>
        </w:rPr>
        <w:t>nebo</w:t>
      </w:r>
      <w:r w:rsidR="00FA1252" w:rsidRPr="004F4F2B">
        <w:rPr>
          <w:noProof/>
          <w:sz w:val="22"/>
          <w:szCs w:val="22"/>
        </w:rPr>
        <w:t xml:space="preserve"> organické peroxidy (</w:t>
      </w:r>
      <w:r w:rsidR="00F30041" w:rsidRPr="004F4F2B">
        <w:rPr>
          <w:noProof/>
          <w:sz w:val="22"/>
          <w:szCs w:val="22"/>
        </w:rPr>
        <w:t>HMTD [</w:t>
      </w:r>
      <w:r w:rsidR="00FA1252" w:rsidRPr="004F4F2B">
        <w:rPr>
          <w:noProof/>
          <w:sz w:val="22"/>
          <w:szCs w:val="22"/>
        </w:rPr>
        <w:t>h</w:t>
      </w:r>
      <w:proofErr w:type="spellStart"/>
      <w:r w:rsidR="00FA1252" w:rsidRPr="004F4F2B">
        <w:rPr>
          <w:bCs/>
          <w:sz w:val="22"/>
          <w:szCs w:val="22"/>
        </w:rPr>
        <w:t>examethylentriperoxiddiamin</w:t>
      </w:r>
      <w:proofErr w:type="spellEnd"/>
      <w:r w:rsidR="00F30041" w:rsidRPr="004F4F2B">
        <w:rPr>
          <w:bCs/>
          <w:sz w:val="22"/>
          <w:szCs w:val="22"/>
        </w:rPr>
        <w:t>]</w:t>
      </w:r>
      <w:r w:rsidR="00FA1252" w:rsidRPr="004F4F2B">
        <w:rPr>
          <w:bCs/>
          <w:sz w:val="22"/>
          <w:szCs w:val="22"/>
        </w:rPr>
        <w:t xml:space="preserve"> a</w:t>
      </w:r>
      <w:r w:rsidR="00363CB3" w:rsidRPr="004F4F2B">
        <w:rPr>
          <w:bCs/>
          <w:sz w:val="22"/>
          <w:szCs w:val="22"/>
        </w:rPr>
        <w:t> </w:t>
      </w:r>
      <w:r w:rsidR="00F30041" w:rsidRPr="004F4F2B">
        <w:rPr>
          <w:bCs/>
          <w:sz w:val="22"/>
          <w:szCs w:val="22"/>
        </w:rPr>
        <w:t>TATP [</w:t>
      </w:r>
      <w:r w:rsidR="00FA1252" w:rsidRPr="004F4F2B">
        <w:rPr>
          <w:sz w:val="22"/>
          <w:szCs w:val="22"/>
        </w:rPr>
        <w:t>3,3,6,6,9,9-hexamethyl-1,2,4,5,7,8-hexaoxacyklononan</w:t>
      </w:r>
      <w:r w:rsidR="00F30041" w:rsidRPr="004F4F2B">
        <w:rPr>
          <w:sz w:val="22"/>
          <w:szCs w:val="22"/>
        </w:rPr>
        <w:t>]</w:t>
      </w:r>
      <w:r w:rsidR="00BC6E51" w:rsidRPr="004F4F2B">
        <w:rPr>
          <w:sz w:val="22"/>
          <w:szCs w:val="22"/>
        </w:rPr>
        <w:t xml:space="preserve"> či jeho analogy</w:t>
      </w:r>
      <w:r w:rsidR="00FA1252" w:rsidRPr="004F4F2B">
        <w:rPr>
          <w:sz w:val="22"/>
          <w:szCs w:val="22"/>
        </w:rPr>
        <w:t>)</w:t>
      </w:r>
      <w:r w:rsidR="00FD7CEC" w:rsidRPr="004F4F2B">
        <w:rPr>
          <w:sz w:val="22"/>
          <w:szCs w:val="22"/>
        </w:rPr>
        <w:t>.</w:t>
      </w:r>
    </w:p>
    <w:p w:rsidR="00AA4391" w:rsidRDefault="008F4E97" w:rsidP="005C6DF7">
      <w:pPr>
        <w:spacing w:after="240"/>
        <w:jc w:val="both"/>
        <w:rPr>
          <w:rFonts w:eastAsiaTheme="minorHAnsi"/>
          <w:sz w:val="22"/>
          <w:szCs w:val="22"/>
          <w:lang w:eastAsia="en-US"/>
        </w:rPr>
      </w:pPr>
      <w:r w:rsidRPr="004F4F2B">
        <w:rPr>
          <w:noProof/>
          <w:sz w:val="22"/>
          <w:szCs w:val="22"/>
        </w:rPr>
        <w:t xml:space="preserve">Byť tedy </w:t>
      </w:r>
      <w:r w:rsidR="009F3DD2" w:rsidRPr="004F4F2B">
        <w:rPr>
          <w:noProof/>
          <w:sz w:val="22"/>
          <w:szCs w:val="22"/>
        </w:rPr>
        <w:t>situace v České republice není prozatím kritická, jistá ostražitost i přísnost je rozhodně na místě</w:t>
      </w:r>
      <w:r w:rsidRPr="004F4F2B">
        <w:rPr>
          <w:noProof/>
          <w:sz w:val="22"/>
          <w:szCs w:val="22"/>
        </w:rPr>
        <w:t>, a to i s ohledem na situaci v za</w:t>
      </w:r>
      <w:r w:rsidR="007F5CAA" w:rsidRPr="004F4F2B">
        <w:rPr>
          <w:noProof/>
          <w:sz w:val="22"/>
          <w:szCs w:val="22"/>
        </w:rPr>
        <w:t>h</w:t>
      </w:r>
      <w:r w:rsidRPr="004F4F2B">
        <w:rPr>
          <w:noProof/>
          <w:sz w:val="22"/>
          <w:szCs w:val="22"/>
        </w:rPr>
        <w:t xml:space="preserve">raničí. </w:t>
      </w:r>
      <w:r w:rsidR="007D7F83" w:rsidRPr="004F4F2B">
        <w:rPr>
          <w:noProof/>
          <w:sz w:val="22"/>
          <w:szCs w:val="22"/>
        </w:rPr>
        <w:t xml:space="preserve">V </w:t>
      </w:r>
      <w:r w:rsidR="00E90D2A" w:rsidRPr="004F4F2B">
        <w:rPr>
          <w:rFonts w:eastAsiaTheme="minorHAnsi"/>
          <w:sz w:val="22"/>
          <w:szCs w:val="22"/>
          <w:lang w:eastAsia="en-US"/>
        </w:rPr>
        <w:t xml:space="preserve">letech 2012-2015 </w:t>
      </w:r>
      <w:r w:rsidR="007D7F83" w:rsidRPr="004F4F2B">
        <w:rPr>
          <w:rFonts w:eastAsiaTheme="minorHAnsi"/>
          <w:sz w:val="22"/>
          <w:szCs w:val="22"/>
          <w:lang w:eastAsia="en-US"/>
        </w:rPr>
        <w:t xml:space="preserve">bylo </w:t>
      </w:r>
      <w:r w:rsidR="00E90D2A" w:rsidRPr="004F4F2B">
        <w:rPr>
          <w:rFonts w:eastAsiaTheme="minorHAnsi"/>
          <w:sz w:val="22"/>
          <w:szCs w:val="22"/>
          <w:lang w:eastAsia="en-US"/>
        </w:rPr>
        <w:t>na území členských států Evropské unie p</w:t>
      </w:r>
      <w:r w:rsidRPr="004F4F2B">
        <w:rPr>
          <w:noProof/>
          <w:sz w:val="22"/>
          <w:szCs w:val="22"/>
        </w:rPr>
        <w:t xml:space="preserve">odle </w:t>
      </w:r>
      <w:r w:rsidR="00662EAB" w:rsidRPr="004F4F2B">
        <w:rPr>
          <w:noProof/>
          <w:sz w:val="22"/>
          <w:szCs w:val="22"/>
        </w:rPr>
        <w:t>analýzy IHS Consulting</w:t>
      </w:r>
      <w:r w:rsidR="001E1418" w:rsidRPr="004F4F2B">
        <w:rPr>
          <w:rStyle w:val="Znakapoznpodarou"/>
          <w:rFonts w:eastAsiaTheme="minorHAnsi"/>
          <w:sz w:val="22"/>
          <w:szCs w:val="22"/>
          <w:lang w:eastAsia="en-US"/>
        </w:rPr>
        <w:footnoteReference w:customMarkFollows="1" w:id="9"/>
        <w:t>9)</w:t>
      </w:r>
      <w:r w:rsidRPr="004F4F2B">
        <w:rPr>
          <w:rFonts w:eastAsiaTheme="minorHAnsi"/>
          <w:sz w:val="22"/>
          <w:szCs w:val="22"/>
          <w:lang w:eastAsia="en-US"/>
        </w:rPr>
        <w:t xml:space="preserve"> </w:t>
      </w:r>
      <w:r w:rsidR="00CB7387" w:rsidRPr="004F4F2B">
        <w:rPr>
          <w:rFonts w:eastAsiaTheme="minorHAnsi"/>
          <w:sz w:val="22"/>
          <w:szCs w:val="22"/>
          <w:lang w:eastAsia="en-US"/>
        </w:rPr>
        <w:t xml:space="preserve">registrováno 570 </w:t>
      </w:r>
      <w:r w:rsidR="000E2F50" w:rsidRPr="004F4F2B">
        <w:rPr>
          <w:rFonts w:eastAsiaTheme="minorHAnsi"/>
          <w:sz w:val="22"/>
          <w:szCs w:val="22"/>
          <w:lang w:eastAsia="en-US"/>
        </w:rPr>
        <w:t xml:space="preserve">teroristických </w:t>
      </w:r>
      <w:r w:rsidR="00CB7387" w:rsidRPr="004F4F2B">
        <w:rPr>
          <w:rFonts w:eastAsiaTheme="minorHAnsi"/>
          <w:sz w:val="22"/>
          <w:szCs w:val="22"/>
          <w:lang w:eastAsia="en-US"/>
        </w:rPr>
        <w:t>útoků</w:t>
      </w:r>
      <w:r w:rsidR="000E2F50" w:rsidRPr="004F4F2B">
        <w:rPr>
          <w:rFonts w:eastAsiaTheme="minorHAnsi"/>
          <w:sz w:val="22"/>
          <w:szCs w:val="22"/>
          <w:lang w:eastAsia="en-US"/>
        </w:rPr>
        <w:t xml:space="preserve">, z nichž převážená většina </w:t>
      </w:r>
      <w:r w:rsidR="005A79EA" w:rsidRPr="004F4F2B">
        <w:rPr>
          <w:rFonts w:eastAsiaTheme="minorHAnsi"/>
          <w:sz w:val="22"/>
          <w:szCs w:val="22"/>
          <w:lang w:eastAsia="en-US"/>
        </w:rPr>
        <w:t xml:space="preserve">zahrnovala použití nedovoleně vyrobené nebo </w:t>
      </w:r>
      <w:r w:rsidR="007D7F83" w:rsidRPr="004F4F2B">
        <w:rPr>
          <w:rFonts w:eastAsiaTheme="minorHAnsi"/>
          <w:sz w:val="22"/>
          <w:szCs w:val="22"/>
          <w:lang w:eastAsia="en-US"/>
        </w:rPr>
        <w:t xml:space="preserve">jinak </w:t>
      </w:r>
      <w:r w:rsidR="005A79EA" w:rsidRPr="004F4F2B">
        <w:rPr>
          <w:rFonts w:eastAsiaTheme="minorHAnsi"/>
          <w:sz w:val="22"/>
          <w:szCs w:val="22"/>
          <w:lang w:eastAsia="en-US"/>
        </w:rPr>
        <w:t>opatřen</w:t>
      </w:r>
      <w:r w:rsidR="007D7F83" w:rsidRPr="004F4F2B">
        <w:rPr>
          <w:rFonts w:eastAsiaTheme="minorHAnsi"/>
          <w:sz w:val="22"/>
          <w:szCs w:val="22"/>
          <w:lang w:eastAsia="en-US"/>
        </w:rPr>
        <w:t xml:space="preserve">é </w:t>
      </w:r>
      <w:r w:rsidR="005A79EA" w:rsidRPr="004F4F2B">
        <w:rPr>
          <w:rFonts w:eastAsiaTheme="minorHAnsi"/>
          <w:sz w:val="22"/>
          <w:szCs w:val="22"/>
          <w:lang w:eastAsia="en-US"/>
        </w:rPr>
        <w:t>výbušniny</w:t>
      </w:r>
      <w:r w:rsidR="00CF65F5" w:rsidRPr="004F4F2B">
        <w:rPr>
          <w:rFonts w:eastAsiaTheme="minorHAnsi"/>
          <w:sz w:val="22"/>
          <w:szCs w:val="22"/>
          <w:lang w:eastAsia="en-US"/>
        </w:rPr>
        <w:t>.</w:t>
      </w:r>
      <w:r w:rsidR="00AA4391" w:rsidRPr="004F4F2B">
        <w:rPr>
          <w:rFonts w:eastAsiaTheme="minorHAnsi"/>
          <w:sz w:val="22"/>
          <w:szCs w:val="22"/>
          <w:lang w:eastAsia="en-US"/>
        </w:rPr>
        <w:t xml:space="preserve"> Konkrétnější data </w:t>
      </w:r>
      <w:r w:rsidR="006B5818" w:rsidRPr="004F4F2B">
        <w:rPr>
          <w:rFonts w:eastAsiaTheme="minorHAnsi"/>
          <w:sz w:val="22"/>
          <w:szCs w:val="22"/>
          <w:lang w:eastAsia="en-US"/>
        </w:rPr>
        <w:t>o</w:t>
      </w:r>
      <w:r w:rsidR="00AA4391" w:rsidRPr="004F4F2B">
        <w:rPr>
          <w:rFonts w:eastAsiaTheme="minorHAnsi"/>
          <w:sz w:val="22"/>
          <w:szCs w:val="22"/>
          <w:lang w:eastAsia="en-US"/>
        </w:rPr>
        <w:t xml:space="preserve"> útocích s použitím výbušnin za léta 1970-2016 uvádí hodnocení dopadů k návrhu nařízení Evropského parlamentu a</w:t>
      </w:r>
      <w:r w:rsidR="007D7F83" w:rsidRPr="004F4F2B">
        <w:rPr>
          <w:rFonts w:eastAsiaTheme="minorHAnsi"/>
          <w:sz w:val="22"/>
          <w:szCs w:val="22"/>
          <w:lang w:eastAsia="en-US"/>
        </w:rPr>
        <w:t> </w:t>
      </w:r>
      <w:r w:rsidR="00AA4391" w:rsidRPr="004F4F2B">
        <w:rPr>
          <w:rFonts w:eastAsiaTheme="minorHAnsi"/>
          <w:sz w:val="22"/>
          <w:szCs w:val="22"/>
          <w:lang w:eastAsia="en-US"/>
        </w:rPr>
        <w:t>Rady o</w:t>
      </w:r>
      <w:r w:rsidR="006B5818" w:rsidRPr="004F4F2B">
        <w:rPr>
          <w:rFonts w:eastAsiaTheme="minorHAnsi"/>
          <w:sz w:val="22"/>
          <w:szCs w:val="22"/>
          <w:lang w:eastAsia="en-US"/>
        </w:rPr>
        <w:t> </w:t>
      </w:r>
      <w:r w:rsidR="00AA4391" w:rsidRPr="004F4F2B">
        <w:rPr>
          <w:rFonts w:eastAsiaTheme="minorHAnsi"/>
          <w:sz w:val="22"/>
          <w:szCs w:val="22"/>
          <w:lang w:eastAsia="en-US"/>
        </w:rPr>
        <w:t>prekurzorech výbušnin</w:t>
      </w:r>
      <w:r w:rsidR="00DB4A8D" w:rsidRPr="004F4F2B">
        <w:rPr>
          <w:rFonts w:eastAsiaTheme="minorHAnsi"/>
          <w:sz w:val="22"/>
          <w:szCs w:val="22"/>
          <w:lang w:eastAsia="en-US"/>
        </w:rPr>
        <w:t xml:space="preserve"> </w:t>
      </w:r>
      <w:proofErr w:type="gramStart"/>
      <w:r w:rsidR="00DB4A8D" w:rsidRPr="004F4F2B">
        <w:rPr>
          <w:rFonts w:eastAsiaTheme="minorHAnsi"/>
          <w:sz w:val="22"/>
          <w:szCs w:val="22"/>
          <w:lang w:eastAsia="en-US"/>
        </w:rPr>
        <w:t>SWD(</w:t>
      </w:r>
      <w:proofErr w:type="gramEnd"/>
      <w:r w:rsidR="00DB4A8D" w:rsidRPr="004F4F2B">
        <w:rPr>
          <w:rFonts w:eastAsiaTheme="minorHAnsi"/>
          <w:sz w:val="22"/>
          <w:szCs w:val="22"/>
          <w:lang w:eastAsia="en-US"/>
        </w:rPr>
        <w:t xml:space="preserve">2018) 104 </w:t>
      </w:r>
      <w:proofErr w:type="spellStart"/>
      <w:r w:rsidR="00DB4A8D" w:rsidRPr="004F4F2B">
        <w:rPr>
          <w:rFonts w:eastAsiaTheme="minorHAnsi"/>
          <w:sz w:val="22"/>
          <w:szCs w:val="22"/>
          <w:lang w:eastAsia="en-US"/>
        </w:rPr>
        <w:t>final</w:t>
      </w:r>
      <w:proofErr w:type="spellEnd"/>
      <w:r w:rsidR="00C56774" w:rsidRPr="004F4F2B">
        <w:rPr>
          <w:rFonts w:eastAsiaTheme="minorHAnsi"/>
          <w:sz w:val="22"/>
          <w:szCs w:val="22"/>
          <w:lang w:eastAsia="en-US"/>
        </w:rPr>
        <w:t>.</w:t>
      </w:r>
    </w:p>
    <w:p w:rsidR="00C56774" w:rsidRPr="004F4F2B" w:rsidRDefault="00C56774" w:rsidP="00C56774">
      <w:pPr>
        <w:ind w:left="851"/>
        <w:jc w:val="center"/>
        <w:rPr>
          <w:rFonts w:eastAsiaTheme="minorHAnsi"/>
          <w:color w:val="808080" w:themeColor="background1" w:themeShade="80"/>
          <w:sz w:val="16"/>
          <w:szCs w:val="16"/>
          <w:lang w:eastAsia="en-US"/>
        </w:rPr>
      </w:pPr>
      <w:r w:rsidRPr="004F4F2B">
        <w:rPr>
          <w:rFonts w:eastAsiaTheme="minorHAnsi"/>
          <w:color w:val="808080" w:themeColor="background1" w:themeShade="80"/>
          <w:sz w:val="16"/>
          <w:szCs w:val="16"/>
          <w:lang w:eastAsia="en-US"/>
        </w:rPr>
        <w:t>Počet teroristických útoků s použitím výbušnin v letech 1970-2016</w:t>
      </w:r>
    </w:p>
    <w:p w:rsidR="00AA4391" w:rsidRPr="004F4F2B" w:rsidRDefault="00F85073" w:rsidP="005C6DF7">
      <w:pPr>
        <w:spacing w:after="240"/>
        <w:jc w:val="center"/>
        <w:rPr>
          <w:rFonts w:eastAsiaTheme="minorHAnsi"/>
          <w:sz w:val="22"/>
          <w:szCs w:val="22"/>
          <w:lang w:eastAsia="en-US"/>
        </w:rPr>
      </w:pPr>
      <w:r w:rsidRPr="004F4F2B">
        <w:rPr>
          <w:rFonts w:eastAsiaTheme="minorHAnsi"/>
          <w:noProof/>
          <w:sz w:val="22"/>
          <w:szCs w:val="22"/>
        </w:rPr>
        <w:drawing>
          <wp:inline distT="0" distB="0" distL="0" distR="0" wp14:anchorId="34031DAA" wp14:editId="7695C345">
            <wp:extent cx="4941953" cy="1558455"/>
            <wp:effectExtent l="0" t="0" r="0" b="38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034" cy="162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231" w:rsidRPr="004F4F2B" w:rsidRDefault="00527642" w:rsidP="005C6DF7">
      <w:pPr>
        <w:spacing w:after="240"/>
        <w:jc w:val="both"/>
        <w:rPr>
          <w:rFonts w:eastAsiaTheme="minorHAnsi"/>
          <w:sz w:val="22"/>
          <w:szCs w:val="22"/>
          <w:lang w:eastAsia="en-US"/>
        </w:rPr>
      </w:pPr>
      <w:r w:rsidRPr="004F4F2B">
        <w:rPr>
          <w:rFonts w:eastAsiaTheme="minorHAnsi"/>
          <w:sz w:val="22"/>
          <w:szCs w:val="22"/>
          <w:lang w:eastAsia="en-US"/>
        </w:rPr>
        <w:t xml:space="preserve">Ačkoliv lze pozorovat od zavedení restrikcí (2014) </w:t>
      </w:r>
      <w:r w:rsidRPr="004F4F2B">
        <w:rPr>
          <w:sz w:val="22"/>
          <w:szCs w:val="22"/>
        </w:rPr>
        <w:t>přímo použitelným nařízením č. 98/2013 mírný pokles počtu útoků s použitím výbušnin</w:t>
      </w:r>
      <w:r w:rsidR="00693FB7" w:rsidRPr="004F4F2B">
        <w:rPr>
          <w:sz w:val="22"/>
          <w:szCs w:val="22"/>
        </w:rPr>
        <w:t>, hodnocení dopadů upozorňuje na vzrůstající fatalitu útoků (s alespoň jedním úm</w:t>
      </w:r>
      <w:r w:rsidR="00E163C2" w:rsidRPr="004F4F2B">
        <w:rPr>
          <w:sz w:val="22"/>
          <w:szCs w:val="22"/>
        </w:rPr>
        <w:t>r</w:t>
      </w:r>
      <w:r w:rsidR="00693FB7" w:rsidRPr="004F4F2B">
        <w:rPr>
          <w:sz w:val="22"/>
          <w:szCs w:val="22"/>
        </w:rPr>
        <w:t>tím)</w:t>
      </w:r>
      <w:r w:rsidR="00E163C2" w:rsidRPr="004F4F2B">
        <w:rPr>
          <w:sz w:val="22"/>
          <w:szCs w:val="22"/>
        </w:rPr>
        <w:t xml:space="preserve"> </w:t>
      </w:r>
      <w:r w:rsidR="00693FB7" w:rsidRPr="004F4F2B">
        <w:rPr>
          <w:sz w:val="22"/>
          <w:szCs w:val="22"/>
        </w:rPr>
        <w:t xml:space="preserve">s tím, že od roku 2000 se </w:t>
      </w:r>
      <w:r w:rsidR="00E163C2" w:rsidRPr="004F4F2B">
        <w:rPr>
          <w:sz w:val="22"/>
          <w:szCs w:val="22"/>
        </w:rPr>
        <w:t xml:space="preserve">neustále </w:t>
      </w:r>
      <w:r w:rsidR="00693FB7" w:rsidRPr="004F4F2B">
        <w:rPr>
          <w:sz w:val="22"/>
          <w:szCs w:val="22"/>
        </w:rPr>
        <w:t>blíží nebo je rovna 100 %.</w:t>
      </w:r>
      <w:r w:rsidR="00DD38D4" w:rsidRPr="004F4F2B">
        <w:rPr>
          <w:sz w:val="22"/>
          <w:szCs w:val="22"/>
        </w:rPr>
        <w:t xml:space="preserve"> </w:t>
      </w:r>
      <w:r w:rsidR="00D66796" w:rsidRPr="004F4F2B">
        <w:rPr>
          <w:rFonts w:eastAsiaTheme="minorHAnsi"/>
          <w:sz w:val="22"/>
          <w:szCs w:val="22"/>
          <w:lang w:eastAsia="en-US"/>
        </w:rPr>
        <w:t xml:space="preserve">Novější </w:t>
      </w:r>
      <w:r w:rsidR="005431F3" w:rsidRPr="004F4F2B">
        <w:rPr>
          <w:rFonts w:eastAsiaTheme="minorHAnsi"/>
          <w:sz w:val="22"/>
          <w:szCs w:val="22"/>
          <w:lang w:eastAsia="en-US"/>
        </w:rPr>
        <w:t xml:space="preserve">a konkrétnější </w:t>
      </w:r>
      <w:r w:rsidR="00D66796" w:rsidRPr="004F4F2B">
        <w:rPr>
          <w:rFonts w:eastAsiaTheme="minorHAnsi"/>
          <w:sz w:val="22"/>
          <w:szCs w:val="22"/>
          <w:lang w:eastAsia="en-US"/>
        </w:rPr>
        <w:t xml:space="preserve">údaje pak </w:t>
      </w:r>
      <w:r w:rsidR="00D66796" w:rsidRPr="004F4F2B">
        <w:rPr>
          <w:rFonts w:eastAsiaTheme="minorHAnsi"/>
          <w:sz w:val="22"/>
          <w:szCs w:val="22"/>
          <w:lang w:eastAsia="en-US"/>
        </w:rPr>
        <w:lastRenderedPageBreak/>
        <w:t>vyplývají z</w:t>
      </w:r>
      <w:r w:rsidR="001F3745" w:rsidRPr="004F4F2B">
        <w:rPr>
          <w:rFonts w:eastAsiaTheme="minorHAnsi"/>
          <w:sz w:val="22"/>
          <w:szCs w:val="22"/>
          <w:lang w:eastAsia="en-US"/>
        </w:rPr>
        <w:t xml:space="preserve"> každoročních </w:t>
      </w:r>
      <w:r w:rsidR="0039089D" w:rsidRPr="004F4F2B">
        <w:rPr>
          <w:rFonts w:eastAsiaTheme="minorHAnsi"/>
          <w:sz w:val="22"/>
          <w:szCs w:val="22"/>
          <w:lang w:eastAsia="en-US"/>
        </w:rPr>
        <w:t xml:space="preserve">zpráv </w:t>
      </w:r>
      <w:proofErr w:type="spellStart"/>
      <w:r w:rsidR="0039089D" w:rsidRPr="004F4F2B">
        <w:rPr>
          <w:rFonts w:eastAsiaTheme="minorHAnsi"/>
          <w:sz w:val="22"/>
          <w:szCs w:val="22"/>
          <w:lang w:eastAsia="en-US"/>
        </w:rPr>
        <w:t>EUROPOLu</w:t>
      </w:r>
      <w:proofErr w:type="spellEnd"/>
      <w:r w:rsidR="00D37303" w:rsidRPr="004F4F2B">
        <w:rPr>
          <w:rFonts w:eastAsiaTheme="minorHAnsi"/>
          <w:sz w:val="22"/>
          <w:szCs w:val="22"/>
          <w:lang w:eastAsia="en-US"/>
        </w:rPr>
        <w:t xml:space="preserve"> </w:t>
      </w:r>
      <w:r w:rsidR="001F3745" w:rsidRPr="004F4F2B">
        <w:rPr>
          <w:rFonts w:eastAsiaTheme="minorHAnsi"/>
          <w:sz w:val="22"/>
          <w:szCs w:val="22"/>
          <w:lang w:eastAsia="en-US"/>
        </w:rPr>
        <w:t>věnujících se terorismu</w:t>
      </w:r>
      <w:r w:rsidR="0039089D" w:rsidRPr="004F4F2B">
        <w:rPr>
          <w:rFonts w:eastAsiaTheme="minorHAnsi"/>
          <w:sz w:val="22"/>
          <w:szCs w:val="22"/>
          <w:lang w:eastAsia="en-US"/>
        </w:rPr>
        <w:t>,</w:t>
      </w:r>
      <w:r w:rsidR="0015468E" w:rsidRPr="004F4F2B">
        <w:rPr>
          <w:rStyle w:val="Znakapoznpodarou"/>
          <w:rFonts w:eastAsiaTheme="minorHAnsi"/>
          <w:sz w:val="22"/>
          <w:szCs w:val="22"/>
          <w:lang w:eastAsia="en-US"/>
        </w:rPr>
        <w:footnoteReference w:customMarkFollows="1" w:id="10"/>
        <w:t>10)</w:t>
      </w:r>
      <w:r w:rsidR="0039089D" w:rsidRPr="004F4F2B">
        <w:rPr>
          <w:rFonts w:eastAsiaTheme="minorHAnsi"/>
          <w:sz w:val="22"/>
          <w:szCs w:val="22"/>
          <w:lang w:eastAsia="en-US"/>
        </w:rPr>
        <w:t xml:space="preserve"> </w:t>
      </w:r>
      <w:r w:rsidR="00104943" w:rsidRPr="004F4F2B">
        <w:rPr>
          <w:rFonts w:eastAsiaTheme="minorHAnsi"/>
          <w:sz w:val="22"/>
          <w:szCs w:val="22"/>
          <w:lang w:eastAsia="en-US"/>
        </w:rPr>
        <w:t>jimiž uváděné počty teroristických útoků vč. útoků nezdařených nebo zmařených v kalendářních letech 2016</w:t>
      </w:r>
      <w:r w:rsidR="00104943" w:rsidRPr="004F4F2B">
        <w:rPr>
          <w:rFonts w:eastAsiaTheme="minorHAnsi"/>
          <w:sz w:val="22"/>
          <w:szCs w:val="22"/>
          <w:lang w:eastAsia="en-US"/>
        </w:rPr>
        <w:noBreakHyphen/>
        <w:t xml:space="preserve">2018 </w:t>
      </w:r>
      <w:r w:rsidR="00927231" w:rsidRPr="004F4F2B">
        <w:rPr>
          <w:rFonts w:eastAsiaTheme="minorHAnsi"/>
          <w:sz w:val="22"/>
          <w:szCs w:val="22"/>
          <w:lang w:eastAsia="en-US"/>
        </w:rPr>
        <w:t>sumarizuje následující graf</w:t>
      </w:r>
      <w:r w:rsidR="00005A2E" w:rsidRPr="004F4F2B">
        <w:rPr>
          <w:rFonts w:eastAsiaTheme="minorHAnsi"/>
          <w:sz w:val="22"/>
          <w:szCs w:val="22"/>
          <w:lang w:eastAsia="en-US"/>
        </w:rPr>
        <w:t xml:space="preserve"> (údaje o</w:t>
      </w:r>
      <w:r w:rsidR="005431F3" w:rsidRPr="004F4F2B">
        <w:rPr>
          <w:rFonts w:eastAsiaTheme="minorHAnsi"/>
          <w:sz w:val="22"/>
          <w:szCs w:val="22"/>
          <w:lang w:eastAsia="en-US"/>
        </w:rPr>
        <w:t> </w:t>
      </w:r>
      <w:r w:rsidR="00005A2E" w:rsidRPr="004F4F2B">
        <w:rPr>
          <w:rFonts w:eastAsiaTheme="minorHAnsi"/>
          <w:sz w:val="22"/>
          <w:szCs w:val="22"/>
          <w:lang w:eastAsia="en-US"/>
        </w:rPr>
        <w:t>útocích s použitím výbušnin za rok 2018 chybí)</w:t>
      </w:r>
      <w:r w:rsidR="00927231" w:rsidRPr="004F4F2B">
        <w:rPr>
          <w:rFonts w:eastAsiaTheme="minorHAnsi"/>
          <w:sz w:val="22"/>
          <w:szCs w:val="22"/>
          <w:lang w:eastAsia="en-US"/>
        </w:rPr>
        <w:t>.</w:t>
      </w:r>
    </w:p>
    <w:p w:rsidR="000D3C45" w:rsidRPr="004F4F2B" w:rsidRDefault="003B0791" w:rsidP="005C6DF7">
      <w:pPr>
        <w:spacing w:after="120"/>
        <w:jc w:val="center"/>
        <w:rPr>
          <w:rFonts w:eastAsiaTheme="minorHAnsi"/>
          <w:sz w:val="22"/>
          <w:szCs w:val="22"/>
          <w:lang w:eastAsia="en-US"/>
        </w:rPr>
      </w:pPr>
      <w:r w:rsidRPr="004F4F2B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7116F7" wp14:editId="0F8AE6F6">
                <wp:simplePos x="0" y="0"/>
                <wp:positionH relativeFrom="column">
                  <wp:posOffset>4759021</wp:posOffset>
                </wp:positionH>
                <wp:positionV relativeFrom="paragraph">
                  <wp:posOffset>1427149</wp:posOffset>
                </wp:positionV>
                <wp:extent cx="365920" cy="401102"/>
                <wp:effectExtent l="0" t="0" r="15240" b="1841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920" cy="4011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ED0B84" w:rsidRPr="007106B7" w:rsidRDefault="00ED0B84" w:rsidP="003B0791">
                            <w:pPr>
                              <w:ind w:left="-142" w:right="-146"/>
                              <w:jc w:val="center"/>
                              <w:rPr>
                                <w:rFonts w:ascii="Arial" w:hAnsi="Arial" w:cs="Arial"/>
                                <w:color w:val="2F5496" w:themeColor="accent1" w:themeShade="BF"/>
                                <w:sz w:val="12"/>
                                <w:szCs w:val="12"/>
                              </w:rPr>
                            </w:pPr>
                            <w:r w:rsidRPr="007106B7">
                              <w:rPr>
                                <w:rFonts w:ascii="Arial" w:hAnsi="Arial" w:cs="Arial"/>
                                <w:color w:val="2F5496" w:themeColor="accent1" w:themeShade="BF"/>
                                <w:sz w:val="12"/>
                                <w:szCs w:val="12"/>
                              </w:rPr>
                              <w:t>Údaje nejsou k dispozici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6A7116F7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374.75pt;margin-top:112.35pt;width:28.8pt;height:3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" fillcolor="white [3201]" strokecolor="#2f5496 [2404]" strokeweight=".5pt">
                <v:textbox>
                  <w:txbxContent>
                    <w:p w:rsidR="00ED0B84" w:rsidRPr="007106B7" w:rsidRDefault="00ED0B84" w:rsidP="003B0791">
                      <w:pPr>
                        <w:ind w:left="-142" w:right="-146"/>
                        <w:jc w:val="center"/>
                        <w:rPr>
                          <w:rFonts w:ascii="Arial" w:hAnsi="Arial" w:cs="Arial"/>
                          <w:color w:val="2F5496" w:themeColor="accent1" w:themeShade="BF"/>
                          <w:sz w:val="12"/>
                          <w:szCs w:val="12"/>
                        </w:rPr>
                      </w:pPr>
                      <w:r w:rsidRPr="007106B7">
                        <w:rPr>
                          <w:rFonts w:ascii="Arial" w:hAnsi="Arial" w:cs="Arial"/>
                          <w:color w:val="2F5496" w:themeColor="accent1" w:themeShade="BF"/>
                          <w:sz w:val="12"/>
                          <w:szCs w:val="12"/>
                        </w:rPr>
                        <w:t>Údaje nejsou k dispozici</w:t>
                      </w:r>
                    </w:p>
                  </w:txbxContent>
                </v:textbox>
              </v:shape>
            </w:pict>
          </mc:Fallback>
        </mc:AlternateContent>
      </w:r>
      <w:r w:rsidR="007106B7" w:rsidRPr="004F4F2B">
        <w:rPr>
          <w:rFonts w:eastAsiaTheme="minorHAnsi"/>
          <w:noProof/>
          <w:sz w:val="22"/>
          <w:szCs w:val="22"/>
        </w:rPr>
        <w:drawing>
          <wp:inline distT="0" distB="0" distL="0" distR="0" wp14:anchorId="5ECB2E0D" wp14:editId="33B29BE3">
            <wp:extent cx="4890052" cy="2032944"/>
            <wp:effectExtent l="0" t="0" r="635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924" cy="20561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7231" w:rsidRPr="004F4F2B" w:rsidRDefault="00D86B14" w:rsidP="005C6DF7">
      <w:pPr>
        <w:spacing w:after="240"/>
        <w:jc w:val="both"/>
        <w:rPr>
          <w:rFonts w:eastAsiaTheme="minorHAnsi"/>
          <w:sz w:val="22"/>
          <w:szCs w:val="22"/>
          <w:lang w:eastAsia="en-US"/>
        </w:rPr>
      </w:pPr>
      <w:r w:rsidRPr="004F4F2B">
        <w:rPr>
          <w:rFonts w:eastAsiaTheme="minorHAnsi"/>
          <w:sz w:val="22"/>
          <w:szCs w:val="22"/>
          <w:lang w:eastAsia="en-US"/>
        </w:rPr>
        <w:t>EUROPOL přitom uvádí, že v případě, kdy při útoku byl</w:t>
      </w:r>
      <w:r w:rsidR="00F872EE" w:rsidRPr="004F4F2B">
        <w:rPr>
          <w:rFonts w:eastAsiaTheme="minorHAnsi"/>
          <w:sz w:val="22"/>
          <w:szCs w:val="22"/>
          <w:lang w:eastAsia="en-US"/>
        </w:rPr>
        <w:t>y</w:t>
      </w:r>
      <w:r w:rsidRPr="004F4F2B">
        <w:rPr>
          <w:rFonts w:eastAsiaTheme="minorHAnsi"/>
          <w:sz w:val="22"/>
          <w:szCs w:val="22"/>
          <w:lang w:eastAsia="en-US"/>
        </w:rPr>
        <w:t xml:space="preserve"> nebo měl</w:t>
      </w:r>
      <w:r w:rsidR="00F872EE" w:rsidRPr="004F4F2B">
        <w:rPr>
          <w:rFonts w:eastAsiaTheme="minorHAnsi"/>
          <w:sz w:val="22"/>
          <w:szCs w:val="22"/>
          <w:lang w:eastAsia="en-US"/>
        </w:rPr>
        <w:t>y</w:t>
      </w:r>
      <w:r w:rsidRPr="004F4F2B">
        <w:rPr>
          <w:rFonts w:eastAsiaTheme="minorHAnsi"/>
          <w:sz w:val="22"/>
          <w:szCs w:val="22"/>
          <w:lang w:eastAsia="en-US"/>
        </w:rPr>
        <w:t xml:space="preserve"> být použity výbušniny, </w:t>
      </w:r>
      <w:r w:rsidR="00467221" w:rsidRPr="004F4F2B">
        <w:rPr>
          <w:rFonts w:eastAsiaTheme="minorHAnsi"/>
          <w:sz w:val="22"/>
          <w:szCs w:val="22"/>
          <w:lang w:eastAsia="en-US"/>
        </w:rPr>
        <w:t>byl</w:t>
      </w:r>
      <w:r w:rsidR="00F872EE" w:rsidRPr="004F4F2B">
        <w:rPr>
          <w:rFonts w:eastAsiaTheme="minorHAnsi"/>
          <w:sz w:val="22"/>
          <w:szCs w:val="22"/>
          <w:lang w:eastAsia="en-US"/>
        </w:rPr>
        <w:t xml:space="preserve">y </w:t>
      </w:r>
      <w:r w:rsidR="00467221" w:rsidRPr="004F4F2B">
        <w:rPr>
          <w:rFonts w:eastAsiaTheme="minorHAnsi"/>
          <w:sz w:val="22"/>
          <w:szCs w:val="22"/>
          <w:lang w:eastAsia="en-US"/>
        </w:rPr>
        <w:t>zneužit</w:t>
      </w:r>
      <w:r w:rsidR="00F872EE" w:rsidRPr="004F4F2B">
        <w:rPr>
          <w:rFonts w:eastAsiaTheme="minorHAnsi"/>
          <w:sz w:val="22"/>
          <w:szCs w:val="22"/>
          <w:lang w:eastAsia="en-US"/>
        </w:rPr>
        <w:t xml:space="preserve">y </w:t>
      </w:r>
      <w:r w:rsidR="00467221" w:rsidRPr="004F4F2B">
        <w:rPr>
          <w:rFonts w:eastAsiaTheme="minorHAnsi"/>
          <w:sz w:val="22"/>
          <w:szCs w:val="22"/>
          <w:lang w:eastAsia="en-US"/>
        </w:rPr>
        <w:t xml:space="preserve">právě </w:t>
      </w:r>
      <w:r w:rsidR="00F872EE" w:rsidRPr="004F4F2B">
        <w:rPr>
          <w:rFonts w:eastAsiaTheme="minorHAnsi"/>
          <w:sz w:val="22"/>
          <w:szCs w:val="22"/>
          <w:lang w:eastAsia="en-US"/>
        </w:rPr>
        <w:t xml:space="preserve">ty </w:t>
      </w:r>
      <w:r w:rsidR="006E14D4" w:rsidRPr="004F4F2B">
        <w:rPr>
          <w:rFonts w:eastAsiaTheme="minorHAnsi"/>
          <w:sz w:val="22"/>
          <w:szCs w:val="22"/>
          <w:lang w:eastAsia="en-US"/>
        </w:rPr>
        <w:t>podomácku připraven</w:t>
      </w:r>
      <w:r w:rsidR="00F872EE" w:rsidRPr="004F4F2B">
        <w:rPr>
          <w:rFonts w:eastAsiaTheme="minorHAnsi"/>
          <w:sz w:val="22"/>
          <w:szCs w:val="22"/>
          <w:lang w:eastAsia="en-US"/>
        </w:rPr>
        <w:t>é</w:t>
      </w:r>
      <w:r w:rsidR="006E14D4" w:rsidRPr="004F4F2B">
        <w:rPr>
          <w:rFonts w:eastAsiaTheme="minorHAnsi"/>
          <w:sz w:val="22"/>
          <w:szCs w:val="22"/>
          <w:lang w:eastAsia="en-US"/>
        </w:rPr>
        <w:t>, zejména TATP</w:t>
      </w:r>
      <w:r w:rsidR="00CA3615" w:rsidRPr="004F4F2B">
        <w:rPr>
          <w:rFonts w:eastAsiaTheme="minorHAnsi"/>
          <w:sz w:val="22"/>
          <w:szCs w:val="22"/>
          <w:lang w:eastAsia="en-US"/>
        </w:rPr>
        <w:t xml:space="preserve"> (</w:t>
      </w:r>
      <w:r w:rsidR="00467221" w:rsidRPr="004F4F2B">
        <w:rPr>
          <w:rFonts w:eastAsiaTheme="minorHAnsi"/>
          <w:sz w:val="22"/>
          <w:szCs w:val="22"/>
          <w:lang w:eastAsia="en-US"/>
        </w:rPr>
        <w:t>připraviteln</w:t>
      </w:r>
      <w:r w:rsidRPr="004F4F2B">
        <w:rPr>
          <w:rFonts w:eastAsiaTheme="minorHAnsi"/>
          <w:sz w:val="22"/>
          <w:szCs w:val="22"/>
          <w:lang w:eastAsia="en-US"/>
        </w:rPr>
        <w:t xml:space="preserve">ého </w:t>
      </w:r>
      <w:r w:rsidR="00467221" w:rsidRPr="004F4F2B">
        <w:rPr>
          <w:rFonts w:eastAsiaTheme="minorHAnsi"/>
          <w:sz w:val="22"/>
          <w:szCs w:val="22"/>
          <w:lang w:eastAsia="en-US"/>
        </w:rPr>
        <w:t>z peroxidu vodíku, jenž je dosud i v České republice dostupný o obsahu nepřevyšujícím 35 % hm., byť na základě registračního principu</w:t>
      </w:r>
      <w:r w:rsidR="00CA3615" w:rsidRPr="004F4F2B">
        <w:rPr>
          <w:rFonts w:eastAsiaTheme="minorHAnsi"/>
          <w:sz w:val="22"/>
          <w:szCs w:val="22"/>
          <w:lang w:eastAsia="en-US"/>
        </w:rPr>
        <w:t>)</w:t>
      </w:r>
      <w:r w:rsidR="00493965" w:rsidRPr="004F4F2B">
        <w:rPr>
          <w:rFonts w:eastAsiaTheme="minorHAnsi"/>
          <w:sz w:val="22"/>
          <w:szCs w:val="22"/>
          <w:lang w:eastAsia="en-US"/>
        </w:rPr>
        <w:t xml:space="preserve"> a trhavin na bázi dusičnanu amonného nebo chlorečnanů.</w:t>
      </w:r>
      <w:r w:rsidR="00982E09" w:rsidRPr="004F4F2B">
        <w:rPr>
          <w:rFonts w:eastAsiaTheme="minorHAnsi"/>
          <w:sz w:val="22"/>
          <w:szCs w:val="22"/>
          <w:lang w:eastAsia="en-US"/>
        </w:rPr>
        <w:t xml:space="preserve"> </w:t>
      </w:r>
      <w:r w:rsidRPr="004F4F2B">
        <w:rPr>
          <w:rFonts w:eastAsiaTheme="minorHAnsi"/>
          <w:sz w:val="22"/>
          <w:szCs w:val="22"/>
          <w:lang w:eastAsia="en-US"/>
        </w:rPr>
        <w:t xml:space="preserve">EUROPOL </w:t>
      </w:r>
      <w:r w:rsidR="00CA3615" w:rsidRPr="004F4F2B">
        <w:rPr>
          <w:rFonts w:eastAsiaTheme="minorHAnsi"/>
          <w:sz w:val="22"/>
          <w:szCs w:val="22"/>
          <w:lang w:eastAsia="en-US"/>
        </w:rPr>
        <w:t xml:space="preserve">rovněž </w:t>
      </w:r>
      <w:r w:rsidRPr="004F4F2B">
        <w:rPr>
          <w:rFonts w:eastAsiaTheme="minorHAnsi"/>
          <w:sz w:val="22"/>
          <w:szCs w:val="22"/>
          <w:lang w:eastAsia="en-US"/>
        </w:rPr>
        <w:t>pozoruje nárůst improvizovaných výbušných zařízení připravených z pyrotechnických složí získaných z dostupných pyrotechnických výrobků a</w:t>
      </w:r>
      <w:r w:rsidR="00054235" w:rsidRPr="004F4F2B">
        <w:rPr>
          <w:rFonts w:eastAsiaTheme="minorHAnsi"/>
          <w:sz w:val="22"/>
          <w:szCs w:val="22"/>
          <w:lang w:eastAsia="en-US"/>
        </w:rPr>
        <w:t> </w:t>
      </w:r>
      <w:r w:rsidRPr="004F4F2B">
        <w:rPr>
          <w:rFonts w:eastAsiaTheme="minorHAnsi"/>
          <w:sz w:val="22"/>
          <w:szCs w:val="22"/>
          <w:lang w:eastAsia="en-US"/>
        </w:rPr>
        <w:t>improvizovaných výbušných zařízení kombinujících pyrotechnické výrobky.</w:t>
      </w:r>
      <w:r w:rsidR="00AD3987" w:rsidRPr="004F4F2B">
        <w:rPr>
          <w:rFonts w:eastAsiaTheme="minorHAnsi"/>
          <w:sz w:val="22"/>
          <w:szCs w:val="22"/>
          <w:lang w:eastAsia="en-US"/>
        </w:rPr>
        <w:t xml:space="preserve"> Stálý výbor Evropské </w:t>
      </w:r>
      <w:r w:rsidR="00927865" w:rsidRPr="004F4F2B">
        <w:rPr>
          <w:rFonts w:eastAsiaTheme="minorHAnsi"/>
          <w:sz w:val="22"/>
          <w:szCs w:val="22"/>
          <w:lang w:eastAsia="en-US"/>
        </w:rPr>
        <w:t xml:space="preserve">komise </w:t>
      </w:r>
      <w:r w:rsidR="00AD3987" w:rsidRPr="004F4F2B">
        <w:rPr>
          <w:rFonts w:eastAsiaTheme="minorHAnsi"/>
          <w:sz w:val="22"/>
          <w:szCs w:val="22"/>
          <w:lang w:eastAsia="en-US"/>
        </w:rPr>
        <w:t xml:space="preserve">pro prekurzory výbušnin pak </w:t>
      </w:r>
      <w:r w:rsidR="00E551C4" w:rsidRPr="004F4F2B">
        <w:rPr>
          <w:rFonts w:eastAsiaTheme="minorHAnsi"/>
          <w:sz w:val="22"/>
          <w:szCs w:val="22"/>
          <w:lang w:eastAsia="en-US"/>
        </w:rPr>
        <w:t xml:space="preserve">nadále </w:t>
      </w:r>
      <w:r w:rsidR="00045882" w:rsidRPr="004F4F2B">
        <w:rPr>
          <w:rFonts w:eastAsiaTheme="minorHAnsi"/>
          <w:sz w:val="22"/>
          <w:szCs w:val="22"/>
          <w:lang w:eastAsia="en-US"/>
        </w:rPr>
        <w:t xml:space="preserve">eviduje enormní </w:t>
      </w:r>
      <w:r w:rsidR="00AD3987" w:rsidRPr="004F4F2B">
        <w:rPr>
          <w:rFonts w:eastAsiaTheme="minorHAnsi"/>
          <w:sz w:val="22"/>
          <w:szCs w:val="22"/>
          <w:lang w:eastAsia="en-US"/>
        </w:rPr>
        <w:t>množství incidentů s improvizovanými výbušninami v</w:t>
      </w:r>
      <w:r w:rsidR="005F4114" w:rsidRPr="004F4F2B">
        <w:rPr>
          <w:rFonts w:eastAsiaTheme="minorHAnsi"/>
          <w:sz w:val="22"/>
          <w:szCs w:val="22"/>
          <w:lang w:eastAsia="en-US"/>
        </w:rPr>
        <w:t> </w:t>
      </w:r>
      <w:r w:rsidR="00AD3987" w:rsidRPr="004F4F2B">
        <w:rPr>
          <w:rFonts w:eastAsiaTheme="minorHAnsi"/>
          <w:sz w:val="22"/>
          <w:szCs w:val="22"/>
          <w:lang w:eastAsia="en-US"/>
        </w:rPr>
        <w:t>členských</w:t>
      </w:r>
      <w:r w:rsidR="005F4114" w:rsidRPr="004F4F2B">
        <w:rPr>
          <w:rFonts w:eastAsiaTheme="minorHAnsi"/>
          <w:sz w:val="22"/>
          <w:szCs w:val="22"/>
          <w:lang w:eastAsia="en-US"/>
        </w:rPr>
        <w:t xml:space="preserve"> </w:t>
      </w:r>
      <w:r w:rsidR="00AD3987" w:rsidRPr="004F4F2B">
        <w:rPr>
          <w:rFonts w:eastAsiaTheme="minorHAnsi"/>
          <w:sz w:val="22"/>
          <w:szCs w:val="22"/>
          <w:lang w:eastAsia="en-US"/>
        </w:rPr>
        <w:t>státech Evropské unie</w:t>
      </w:r>
      <w:r w:rsidR="005F4114" w:rsidRPr="004F4F2B">
        <w:rPr>
          <w:rFonts w:eastAsiaTheme="minorHAnsi"/>
          <w:sz w:val="22"/>
          <w:szCs w:val="22"/>
          <w:lang w:eastAsia="en-US"/>
        </w:rPr>
        <w:t xml:space="preserve"> i v posledních letech 2018 a 2019</w:t>
      </w:r>
      <w:r w:rsidR="00E551C4" w:rsidRPr="004F4F2B">
        <w:rPr>
          <w:rFonts w:eastAsiaTheme="minorHAnsi"/>
          <w:sz w:val="22"/>
          <w:szCs w:val="22"/>
          <w:lang w:eastAsia="en-US"/>
        </w:rPr>
        <w:t>.</w:t>
      </w:r>
    </w:p>
    <w:p w:rsidR="006666DB" w:rsidRPr="004F4F2B" w:rsidRDefault="006666DB" w:rsidP="005C6DF7">
      <w:pPr>
        <w:spacing w:after="480"/>
        <w:jc w:val="both"/>
        <w:rPr>
          <w:sz w:val="22"/>
          <w:szCs w:val="22"/>
        </w:rPr>
      </w:pPr>
      <w:r w:rsidRPr="004F4F2B">
        <w:rPr>
          <w:bCs/>
          <w:sz w:val="22"/>
          <w:szCs w:val="22"/>
        </w:rPr>
        <w:t>Hodnocení dopadů jednotlivých variant přístupu osob z řad šir</w:t>
      </w:r>
      <w:r w:rsidR="000722ED" w:rsidRPr="004F4F2B">
        <w:rPr>
          <w:bCs/>
          <w:sz w:val="22"/>
          <w:szCs w:val="22"/>
        </w:rPr>
        <w:t>o</w:t>
      </w:r>
      <w:r w:rsidRPr="004F4F2B">
        <w:rPr>
          <w:bCs/>
          <w:sz w:val="22"/>
          <w:szCs w:val="22"/>
        </w:rPr>
        <w:t>ké veřejnosti k prekurz</w:t>
      </w:r>
      <w:r w:rsidR="00DB7237" w:rsidRPr="004F4F2B">
        <w:rPr>
          <w:bCs/>
          <w:sz w:val="22"/>
          <w:szCs w:val="22"/>
        </w:rPr>
        <w:t>or</w:t>
      </w:r>
      <w:r w:rsidRPr="004F4F2B">
        <w:rPr>
          <w:bCs/>
          <w:sz w:val="22"/>
          <w:szCs w:val="22"/>
        </w:rPr>
        <w:t>ům výbušnin podléhající</w:t>
      </w:r>
      <w:r w:rsidR="00161D41" w:rsidRPr="004F4F2B">
        <w:rPr>
          <w:bCs/>
          <w:sz w:val="22"/>
          <w:szCs w:val="22"/>
        </w:rPr>
        <w:t>m</w:t>
      </w:r>
      <w:r w:rsidRPr="004F4F2B">
        <w:rPr>
          <w:bCs/>
          <w:sz w:val="22"/>
          <w:szCs w:val="22"/>
        </w:rPr>
        <w:t xml:space="preserve"> omezení byl</w:t>
      </w:r>
      <w:r w:rsidR="00582492" w:rsidRPr="004F4F2B">
        <w:rPr>
          <w:bCs/>
          <w:sz w:val="22"/>
          <w:szCs w:val="22"/>
        </w:rPr>
        <w:t>o</w:t>
      </w:r>
      <w:r w:rsidRPr="004F4F2B">
        <w:rPr>
          <w:bCs/>
          <w:sz w:val="22"/>
          <w:szCs w:val="22"/>
        </w:rPr>
        <w:t xml:space="preserve"> konzultován</w:t>
      </w:r>
      <w:r w:rsidR="00582492" w:rsidRPr="004F4F2B">
        <w:rPr>
          <w:bCs/>
          <w:sz w:val="22"/>
          <w:szCs w:val="22"/>
        </w:rPr>
        <w:t>o</w:t>
      </w:r>
      <w:r w:rsidRPr="004F4F2B">
        <w:rPr>
          <w:bCs/>
          <w:sz w:val="22"/>
          <w:szCs w:val="22"/>
        </w:rPr>
        <w:t xml:space="preserve"> s</w:t>
      </w:r>
      <w:r w:rsidR="008E1C6A" w:rsidRPr="004F4F2B">
        <w:rPr>
          <w:bCs/>
          <w:sz w:val="22"/>
          <w:szCs w:val="22"/>
        </w:rPr>
        <w:t> vybranými hospodářskými subjekty</w:t>
      </w:r>
      <w:r w:rsidR="009D6564" w:rsidRPr="004F4F2B">
        <w:rPr>
          <w:bCs/>
          <w:sz w:val="22"/>
          <w:szCs w:val="22"/>
        </w:rPr>
        <w:t xml:space="preserve"> a s</w:t>
      </w:r>
      <w:r w:rsidR="00457157" w:rsidRPr="004F4F2B">
        <w:rPr>
          <w:bCs/>
          <w:sz w:val="22"/>
          <w:szCs w:val="22"/>
        </w:rPr>
        <w:t xml:space="preserve"> vybranými </w:t>
      </w:r>
      <w:r w:rsidR="009D6564" w:rsidRPr="004F4F2B">
        <w:rPr>
          <w:bCs/>
          <w:sz w:val="22"/>
          <w:szCs w:val="22"/>
        </w:rPr>
        <w:t xml:space="preserve">osobami z řad široké veřejnosti věnující se myslivosti a </w:t>
      </w:r>
      <w:r w:rsidR="00341EB3" w:rsidRPr="004F4F2B">
        <w:rPr>
          <w:bCs/>
          <w:sz w:val="22"/>
          <w:szCs w:val="22"/>
        </w:rPr>
        <w:t>provozující domácí bazény.</w:t>
      </w:r>
    </w:p>
    <w:p w:rsidR="00BA5DF8" w:rsidRPr="004F4F2B" w:rsidRDefault="00BA5DF8" w:rsidP="005C6DF7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7.2</w:t>
      </w:r>
      <w:r w:rsidRPr="004F4F2B">
        <w:rPr>
          <w:b/>
          <w:sz w:val="22"/>
          <w:szCs w:val="22"/>
        </w:rPr>
        <w:tab/>
        <w:t>Konzultace k vymezení pravomocí orgánů státní sp</w:t>
      </w:r>
      <w:r w:rsidR="007D756D" w:rsidRPr="004F4F2B">
        <w:rPr>
          <w:b/>
          <w:sz w:val="22"/>
          <w:szCs w:val="22"/>
        </w:rPr>
        <w:t>r</w:t>
      </w:r>
      <w:r w:rsidRPr="004F4F2B">
        <w:rPr>
          <w:b/>
          <w:sz w:val="22"/>
          <w:szCs w:val="22"/>
        </w:rPr>
        <w:t>ávy</w:t>
      </w:r>
    </w:p>
    <w:p w:rsidR="007E77A1" w:rsidRPr="004F4F2B" w:rsidRDefault="008A11D6" w:rsidP="005C6DF7">
      <w:pPr>
        <w:spacing w:after="480"/>
        <w:jc w:val="both"/>
        <w:rPr>
          <w:bCs/>
          <w:sz w:val="22"/>
          <w:szCs w:val="22"/>
        </w:rPr>
      </w:pPr>
      <w:r w:rsidRPr="004F4F2B">
        <w:rPr>
          <w:noProof/>
          <w:sz w:val="22"/>
          <w:szCs w:val="22"/>
        </w:rPr>
        <w:t>Ko</w:t>
      </w:r>
      <w:r w:rsidR="006322FF" w:rsidRPr="004F4F2B">
        <w:rPr>
          <w:noProof/>
          <w:sz w:val="22"/>
          <w:szCs w:val="22"/>
        </w:rPr>
        <w:t>n</w:t>
      </w:r>
      <w:r w:rsidRPr="004F4F2B">
        <w:rPr>
          <w:noProof/>
          <w:sz w:val="22"/>
          <w:szCs w:val="22"/>
        </w:rPr>
        <w:t xml:space="preserve">zultace </w:t>
      </w:r>
      <w:r w:rsidR="00BA5DF8" w:rsidRPr="004F4F2B">
        <w:rPr>
          <w:noProof/>
          <w:sz w:val="22"/>
          <w:szCs w:val="22"/>
        </w:rPr>
        <w:t xml:space="preserve">zmíněné v úvodu kapitoly 7.1 rovněž </w:t>
      </w:r>
      <w:r w:rsidRPr="004F4F2B">
        <w:rPr>
          <w:noProof/>
          <w:sz w:val="22"/>
          <w:szCs w:val="22"/>
        </w:rPr>
        <w:t xml:space="preserve">sloužily k vymezení </w:t>
      </w:r>
      <w:r w:rsidR="00302103" w:rsidRPr="004F4F2B">
        <w:rPr>
          <w:noProof/>
          <w:sz w:val="22"/>
          <w:szCs w:val="22"/>
        </w:rPr>
        <w:t>pravomocí orgánů státní správy</w:t>
      </w:r>
      <w:r w:rsidR="00EC482B" w:rsidRPr="004F4F2B">
        <w:rPr>
          <w:noProof/>
          <w:sz w:val="22"/>
          <w:szCs w:val="22"/>
        </w:rPr>
        <w:t xml:space="preserve">. </w:t>
      </w:r>
      <w:r w:rsidR="00E962E3" w:rsidRPr="004F4F2B">
        <w:rPr>
          <w:noProof/>
          <w:sz w:val="22"/>
          <w:szCs w:val="22"/>
        </w:rPr>
        <w:t>O</w:t>
      </w:r>
      <w:r w:rsidR="0086034F" w:rsidRPr="004F4F2B">
        <w:rPr>
          <w:noProof/>
          <w:sz w:val="22"/>
          <w:szCs w:val="22"/>
        </w:rPr>
        <w:t>sloven</w:t>
      </w:r>
      <w:r w:rsidR="00E962E3" w:rsidRPr="004F4F2B">
        <w:rPr>
          <w:noProof/>
          <w:sz w:val="22"/>
          <w:szCs w:val="22"/>
        </w:rPr>
        <w:t xml:space="preserve">é </w:t>
      </w:r>
      <w:r w:rsidR="00C7362D" w:rsidRPr="004F4F2B">
        <w:rPr>
          <w:noProof/>
          <w:sz w:val="22"/>
          <w:szCs w:val="22"/>
        </w:rPr>
        <w:t>orgán</w:t>
      </w:r>
      <w:r w:rsidR="00E962E3" w:rsidRPr="004F4F2B">
        <w:rPr>
          <w:noProof/>
          <w:sz w:val="22"/>
          <w:szCs w:val="22"/>
        </w:rPr>
        <w:t>y</w:t>
      </w:r>
      <w:r w:rsidR="00C7362D" w:rsidRPr="004F4F2B">
        <w:rPr>
          <w:noProof/>
          <w:sz w:val="22"/>
          <w:szCs w:val="22"/>
        </w:rPr>
        <w:t xml:space="preserve"> státní správy </w:t>
      </w:r>
      <w:r w:rsidR="00A4284D" w:rsidRPr="004F4F2B">
        <w:rPr>
          <w:noProof/>
          <w:sz w:val="22"/>
          <w:szCs w:val="22"/>
        </w:rPr>
        <w:t>se nehodlal</w:t>
      </w:r>
      <w:r w:rsidR="00E962E3" w:rsidRPr="004F4F2B">
        <w:rPr>
          <w:noProof/>
          <w:sz w:val="22"/>
          <w:szCs w:val="22"/>
        </w:rPr>
        <w:t>y</w:t>
      </w:r>
      <w:r w:rsidR="00A4284D" w:rsidRPr="004F4F2B">
        <w:rPr>
          <w:noProof/>
          <w:sz w:val="22"/>
          <w:szCs w:val="22"/>
        </w:rPr>
        <w:t xml:space="preserve"> zhostit </w:t>
      </w:r>
      <w:r w:rsidR="00F47D19" w:rsidRPr="004F4F2B">
        <w:rPr>
          <w:noProof/>
          <w:sz w:val="22"/>
          <w:szCs w:val="22"/>
        </w:rPr>
        <w:t>nových kompetencí nad rámec stavu podle dosavadního zákona č. 259/2014 Sb.</w:t>
      </w:r>
      <w:r w:rsidR="00B96D30" w:rsidRPr="004F4F2B">
        <w:rPr>
          <w:noProof/>
          <w:sz w:val="22"/>
          <w:szCs w:val="22"/>
        </w:rPr>
        <w:t xml:space="preserve"> – zejména pak ve vztahu </w:t>
      </w:r>
      <w:r w:rsidR="00B96D30" w:rsidRPr="004F4F2B">
        <w:rPr>
          <w:bCs/>
          <w:sz w:val="22"/>
          <w:szCs w:val="22"/>
        </w:rPr>
        <w:t>k hospodářským subjektům</w:t>
      </w:r>
      <w:r w:rsidR="00285469" w:rsidRPr="004F4F2B">
        <w:rPr>
          <w:bCs/>
          <w:sz w:val="22"/>
          <w:szCs w:val="22"/>
        </w:rPr>
        <w:t xml:space="preserve"> a ve vztahu k fyzickým podnikajícím a právnickým osobám ze skupiny osob z řad široké veřejnosti (</w:t>
      </w:r>
      <w:r w:rsidR="00C733E7" w:rsidRPr="004F4F2B">
        <w:rPr>
          <w:bCs/>
          <w:sz w:val="22"/>
          <w:szCs w:val="22"/>
        </w:rPr>
        <w:t xml:space="preserve">kontroly fyzických nepodnikajících osob ze skupiny osob z řad široké veřejnosti jsou běžně neproveditelné, jelikož </w:t>
      </w:r>
      <w:r w:rsidR="009C22AA" w:rsidRPr="004F4F2B">
        <w:rPr>
          <w:bCs/>
          <w:sz w:val="22"/>
          <w:szCs w:val="22"/>
        </w:rPr>
        <w:t xml:space="preserve">nedotknutelnost </w:t>
      </w:r>
      <w:r w:rsidR="00C733E7" w:rsidRPr="004F4F2B">
        <w:rPr>
          <w:bCs/>
          <w:sz w:val="22"/>
          <w:szCs w:val="22"/>
        </w:rPr>
        <w:t xml:space="preserve">jejich </w:t>
      </w:r>
      <w:r w:rsidR="009C22AA" w:rsidRPr="004F4F2B">
        <w:rPr>
          <w:bCs/>
          <w:sz w:val="22"/>
          <w:szCs w:val="22"/>
        </w:rPr>
        <w:t xml:space="preserve">obydlí </w:t>
      </w:r>
      <w:r w:rsidR="00F66FB5" w:rsidRPr="004F4F2B">
        <w:rPr>
          <w:bCs/>
          <w:sz w:val="22"/>
          <w:szCs w:val="22"/>
        </w:rPr>
        <w:t>j</w:t>
      </w:r>
      <w:r w:rsidR="00F66FB5" w:rsidRPr="004F4F2B">
        <w:rPr>
          <w:sz w:val="22"/>
          <w:szCs w:val="22"/>
        </w:rPr>
        <w:t>e chráněna mj. Listinou základních práv a svobod</w:t>
      </w:r>
      <w:r w:rsidR="009C22AA" w:rsidRPr="004F4F2B">
        <w:rPr>
          <w:sz w:val="22"/>
          <w:szCs w:val="22"/>
        </w:rPr>
        <w:t>).</w:t>
      </w:r>
      <w:r w:rsidR="00AC30AE" w:rsidRPr="004F4F2B">
        <w:rPr>
          <w:sz w:val="22"/>
          <w:szCs w:val="22"/>
        </w:rPr>
        <w:t xml:space="preserve"> Důvodem odmítání nových kompetencí byla </w:t>
      </w:r>
      <w:r w:rsidR="00A4284D" w:rsidRPr="004F4F2B">
        <w:rPr>
          <w:noProof/>
          <w:sz w:val="22"/>
          <w:szCs w:val="22"/>
        </w:rPr>
        <w:t xml:space="preserve">zpravidla </w:t>
      </w:r>
      <w:r w:rsidR="00A72499" w:rsidRPr="004F4F2B">
        <w:rPr>
          <w:noProof/>
          <w:sz w:val="22"/>
          <w:szCs w:val="22"/>
        </w:rPr>
        <w:t>personální vytíženost</w:t>
      </w:r>
      <w:r w:rsidR="003E56C7" w:rsidRPr="004F4F2B">
        <w:rPr>
          <w:noProof/>
          <w:sz w:val="22"/>
          <w:szCs w:val="22"/>
        </w:rPr>
        <w:t xml:space="preserve">. </w:t>
      </w:r>
      <w:r w:rsidR="00812280" w:rsidRPr="004F4F2B">
        <w:rPr>
          <w:noProof/>
          <w:sz w:val="22"/>
          <w:szCs w:val="22"/>
        </w:rPr>
        <w:t xml:space="preserve">Argumenty, že </w:t>
      </w:r>
      <w:r w:rsidR="000E21CA" w:rsidRPr="004F4F2B">
        <w:rPr>
          <w:noProof/>
          <w:sz w:val="22"/>
          <w:szCs w:val="22"/>
        </w:rPr>
        <w:t xml:space="preserve">některé </w:t>
      </w:r>
      <w:r w:rsidR="00812280" w:rsidRPr="004F4F2B">
        <w:rPr>
          <w:noProof/>
          <w:sz w:val="22"/>
          <w:szCs w:val="22"/>
        </w:rPr>
        <w:t xml:space="preserve">oslovené </w:t>
      </w:r>
      <w:r w:rsidR="000E21CA" w:rsidRPr="004F4F2B">
        <w:rPr>
          <w:noProof/>
          <w:sz w:val="22"/>
          <w:szCs w:val="22"/>
        </w:rPr>
        <w:t xml:space="preserve">kontrolní orgány již nyní kontrolují prodej chemických </w:t>
      </w:r>
      <w:r w:rsidR="003E56C7" w:rsidRPr="004F4F2B">
        <w:rPr>
          <w:noProof/>
          <w:sz w:val="22"/>
          <w:szCs w:val="22"/>
        </w:rPr>
        <w:t xml:space="preserve">látek, směsí </w:t>
      </w:r>
      <w:r w:rsidR="001B4CB3" w:rsidRPr="004F4F2B">
        <w:rPr>
          <w:noProof/>
          <w:sz w:val="22"/>
          <w:szCs w:val="22"/>
        </w:rPr>
        <w:t>a</w:t>
      </w:r>
      <w:r w:rsidR="003E56C7" w:rsidRPr="004F4F2B">
        <w:rPr>
          <w:noProof/>
          <w:sz w:val="22"/>
          <w:szCs w:val="22"/>
        </w:rPr>
        <w:t xml:space="preserve"> předmětů, ať již podle </w:t>
      </w:r>
      <w:r w:rsidR="003E56C7" w:rsidRPr="004F4F2B">
        <w:rPr>
          <w:bCs/>
          <w:sz w:val="22"/>
          <w:szCs w:val="22"/>
        </w:rPr>
        <w:t>nařízení Evropského parlamentu a Rady (ES) č. 1907/2006 a</w:t>
      </w:r>
      <w:r w:rsidR="00812280" w:rsidRPr="004F4F2B">
        <w:rPr>
          <w:bCs/>
          <w:sz w:val="22"/>
          <w:szCs w:val="22"/>
        </w:rPr>
        <w:t> </w:t>
      </w:r>
      <w:r w:rsidR="003E56C7" w:rsidRPr="004F4F2B">
        <w:rPr>
          <w:bCs/>
          <w:sz w:val="22"/>
          <w:szCs w:val="22"/>
        </w:rPr>
        <w:t>č. 1272/2008, či jiných právních předpisů, a dílčí nové kontrolní pravomoci by</w:t>
      </w:r>
      <w:r w:rsidR="00812280" w:rsidRPr="004F4F2B">
        <w:rPr>
          <w:bCs/>
          <w:sz w:val="22"/>
          <w:szCs w:val="22"/>
        </w:rPr>
        <w:t xml:space="preserve"> </w:t>
      </w:r>
      <w:r w:rsidR="003E56C7" w:rsidRPr="004F4F2B">
        <w:rPr>
          <w:bCs/>
          <w:sz w:val="22"/>
          <w:szCs w:val="22"/>
        </w:rPr>
        <w:t>mohly být vykonávány souběžně s dosud vykonávanými kontrolními pravomocemi</w:t>
      </w:r>
      <w:r w:rsidR="00812280" w:rsidRPr="004F4F2B">
        <w:rPr>
          <w:bCs/>
          <w:sz w:val="22"/>
          <w:szCs w:val="22"/>
        </w:rPr>
        <w:t>, nebyly vyslyšeny.</w:t>
      </w:r>
    </w:p>
    <w:p w:rsidR="00335D59" w:rsidRPr="004F4F2B" w:rsidRDefault="00335D59" w:rsidP="005C6DF7">
      <w:pPr>
        <w:tabs>
          <w:tab w:val="left" w:pos="851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7.3</w:t>
      </w:r>
      <w:r w:rsidRPr="004F4F2B">
        <w:rPr>
          <w:b/>
          <w:sz w:val="22"/>
          <w:szCs w:val="22"/>
        </w:rPr>
        <w:tab/>
        <w:t>Konzultace k</w:t>
      </w:r>
      <w:r w:rsidR="00DC6019" w:rsidRPr="004F4F2B">
        <w:rPr>
          <w:b/>
          <w:sz w:val="22"/>
          <w:szCs w:val="22"/>
        </w:rPr>
        <w:t> postihu případných trestných činů</w:t>
      </w:r>
    </w:p>
    <w:p w:rsidR="00D469FA" w:rsidRPr="004F4F2B" w:rsidRDefault="00772CCD" w:rsidP="005C6DF7">
      <w:pPr>
        <w:spacing w:after="480"/>
        <w:jc w:val="both"/>
        <w:rPr>
          <w:bCs/>
          <w:sz w:val="22"/>
          <w:szCs w:val="22"/>
        </w:rPr>
      </w:pPr>
      <w:r w:rsidRPr="004F4F2B">
        <w:rPr>
          <w:bCs/>
          <w:sz w:val="22"/>
          <w:szCs w:val="22"/>
        </w:rPr>
        <w:t xml:space="preserve">Navrhovaná právní úprava byla </w:t>
      </w:r>
      <w:r w:rsidR="002915C5" w:rsidRPr="004F4F2B">
        <w:rPr>
          <w:bCs/>
          <w:sz w:val="22"/>
          <w:szCs w:val="22"/>
        </w:rPr>
        <w:t xml:space="preserve">před předložením do mezirezortního připomínkového řízení </w:t>
      </w:r>
      <w:r w:rsidRPr="004F4F2B">
        <w:rPr>
          <w:bCs/>
          <w:sz w:val="22"/>
          <w:szCs w:val="22"/>
        </w:rPr>
        <w:t>rovněž konzultována s</w:t>
      </w:r>
      <w:r w:rsidR="00E962E3" w:rsidRPr="004F4F2B">
        <w:rPr>
          <w:bCs/>
          <w:sz w:val="22"/>
          <w:szCs w:val="22"/>
        </w:rPr>
        <w:t xml:space="preserve"> Nejvyšším soudem, </w:t>
      </w:r>
      <w:r w:rsidRPr="004F4F2B">
        <w:rPr>
          <w:bCs/>
          <w:sz w:val="22"/>
          <w:szCs w:val="22"/>
        </w:rPr>
        <w:t xml:space="preserve">Ministerstvem </w:t>
      </w:r>
      <w:r w:rsidR="0000648A" w:rsidRPr="004F4F2B">
        <w:rPr>
          <w:bCs/>
          <w:sz w:val="22"/>
          <w:szCs w:val="22"/>
        </w:rPr>
        <w:t>spravedlnosti</w:t>
      </w:r>
      <w:r w:rsidR="00D469FA" w:rsidRPr="004F4F2B">
        <w:rPr>
          <w:bCs/>
          <w:sz w:val="22"/>
          <w:szCs w:val="22"/>
        </w:rPr>
        <w:t xml:space="preserve">, </w:t>
      </w:r>
      <w:r w:rsidR="009469B3" w:rsidRPr="004F4F2B">
        <w:rPr>
          <w:bCs/>
          <w:sz w:val="22"/>
          <w:szCs w:val="22"/>
        </w:rPr>
        <w:t>Nejvyšším státním zastupitelstvím</w:t>
      </w:r>
      <w:r w:rsidR="00D469FA" w:rsidRPr="004F4F2B">
        <w:rPr>
          <w:bCs/>
          <w:sz w:val="22"/>
          <w:szCs w:val="22"/>
        </w:rPr>
        <w:t xml:space="preserve"> a Policí České republiky</w:t>
      </w:r>
      <w:r w:rsidR="007E2976" w:rsidRPr="004F4F2B">
        <w:rPr>
          <w:bCs/>
          <w:sz w:val="22"/>
          <w:szCs w:val="22"/>
        </w:rPr>
        <w:t xml:space="preserve">, pokud jde o případnou změnu trestního zákoníku. </w:t>
      </w:r>
      <w:r w:rsidR="00BD697A" w:rsidRPr="004F4F2B">
        <w:rPr>
          <w:bCs/>
          <w:sz w:val="22"/>
          <w:szCs w:val="22"/>
        </w:rPr>
        <w:t xml:space="preserve">Český báňský úřad </w:t>
      </w:r>
      <w:r w:rsidR="00D469FA" w:rsidRPr="004F4F2B">
        <w:rPr>
          <w:bCs/>
          <w:sz w:val="22"/>
          <w:szCs w:val="22"/>
        </w:rPr>
        <w:t xml:space="preserve">původně </w:t>
      </w:r>
      <w:r w:rsidR="00BD697A" w:rsidRPr="004F4F2B">
        <w:rPr>
          <w:bCs/>
          <w:sz w:val="22"/>
          <w:szCs w:val="22"/>
        </w:rPr>
        <w:t xml:space="preserve">navrhoval rozšíření </w:t>
      </w:r>
      <w:r w:rsidR="007E2976" w:rsidRPr="004F4F2B">
        <w:rPr>
          <w:bCs/>
          <w:sz w:val="22"/>
          <w:szCs w:val="22"/>
        </w:rPr>
        <w:t>skutkové podstaty trestného činu nedovoleného ozbrojování o neoprávněné držení prekurzorů výbušnin podléhajících omezení</w:t>
      </w:r>
      <w:r w:rsidR="002915C5" w:rsidRPr="004F4F2B">
        <w:rPr>
          <w:bCs/>
          <w:sz w:val="22"/>
          <w:szCs w:val="22"/>
        </w:rPr>
        <w:t>.</w:t>
      </w:r>
      <w:r w:rsidR="00E962E3" w:rsidRPr="004F4F2B">
        <w:rPr>
          <w:bCs/>
          <w:sz w:val="22"/>
          <w:szCs w:val="22"/>
        </w:rPr>
        <w:t xml:space="preserve"> Z konzultací nicméně vyplynulo, že byť </w:t>
      </w:r>
      <w:r w:rsidR="002F0474" w:rsidRPr="004F4F2B">
        <w:rPr>
          <w:bCs/>
          <w:sz w:val="22"/>
          <w:szCs w:val="22"/>
        </w:rPr>
        <w:t>současné znění trestního zákoníku neuvádí skutkovou podstatu trestného činu neoprávněného držení prekurzorů výbušnin</w:t>
      </w:r>
      <w:r w:rsidR="00C87F03" w:rsidRPr="004F4F2B">
        <w:rPr>
          <w:bCs/>
          <w:sz w:val="22"/>
          <w:szCs w:val="22"/>
        </w:rPr>
        <w:t>,</w:t>
      </w:r>
      <w:r w:rsidR="0078559D" w:rsidRPr="004F4F2B">
        <w:rPr>
          <w:bCs/>
          <w:sz w:val="22"/>
          <w:szCs w:val="22"/>
        </w:rPr>
        <w:t xml:space="preserve"> a</w:t>
      </w:r>
      <w:r w:rsidR="00D469FA" w:rsidRPr="004F4F2B">
        <w:rPr>
          <w:bCs/>
          <w:sz w:val="22"/>
          <w:szCs w:val="22"/>
        </w:rPr>
        <w:t xml:space="preserve"> umožňuje tedy </w:t>
      </w:r>
      <w:r w:rsidR="00D469FA" w:rsidRPr="004F4F2B">
        <w:rPr>
          <w:bCs/>
          <w:sz w:val="22"/>
          <w:szCs w:val="22"/>
        </w:rPr>
        <w:lastRenderedPageBreak/>
        <w:t xml:space="preserve">postihovat </w:t>
      </w:r>
      <w:r w:rsidR="00C87F03" w:rsidRPr="004F4F2B">
        <w:rPr>
          <w:bCs/>
          <w:sz w:val="22"/>
          <w:szCs w:val="22"/>
        </w:rPr>
        <w:t>spíše jen nejzávažnější formy protiprávního držení prekurzorů výbušnin podléhajících omezení</w:t>
      </w:r>
      <w:r w:rsidR="008F4AAF" w:rsidRPr="004F4F2B">
        <w:rPr>
          <w:bCs/>
          <w:sz w:val="22"/>
          <w:szCs w:val="22"/>
        </w:rPr>
        <w:t xml:space="preserve"> (zejm. v souvislosti s terorismem nebo formou obecného ohrožení),</w:t>
      </w:r>
      <w:r w:rsidR="003B3F62" w:rsidRPr="004F4F2B">
        <w:rPr>
          <w:bCs/>
          <w:sz w:val="22"/>
          <w:szCs w:val="22"/>
        </w:rPr>
        <w:t xml:space="preserve"> </w:t>
      </w:r>
      <w:r w:rsidR="00E47A38" w:rsidRPr="004F4F2B">
        <w:rPr>
          <w:bCs/>
          <w:sz w:val="22"/>
          <w:szCs w:val="22"/>
        </w:rPr>
        <w:t xml:space="preserve">mohlo by zavedením této skutkové podstaty trestného činu docházet ke zbytečné kriminalizaci jednání bez subjektivní stránky věci, resp. bez úmyslu neoprávněně vyrábět výbušniny. Vzhledem k možnosti (a schůdnosti) </w:t>
      </w:r>
      <w:r w:rsidR="00AA73EE" w:rsidRPr="004F4F2B">
        <w:rPr>
          <w:bCs/>
          <w:sz w:val="22"/>
          <w:szCs w:val="22"/>
        </w:rPr>
        <w:t xml:space="preserve">trestat </w:t>
      </w:r>
      <w:r w:rsidR="00E47A38" w:rsidRPr="004F4F2B">
        <w:rPr>
          <w:bCs/>
          <w:sz w:val="22"/>
          <w:szCs w:val="22"/>
        </w:rPr>
        <w:t>neoprávněné držení prekurzorů výbušnin podléhajících omezení správním způsobem bylo proto od změny trestního zákoníku upuštěno.</w:t>
      </w:r>
    </w:p>
    <w:p w:rsidR="00781CBF" w:rsidRPr="004F4F2B" w:rsidRDefault="00781CBF" w:rsidP="00866203">
      <w:pPr>
        <w:tabs>
          <w:tab w:val="left" w:pos="426"/>
        </w:tabs>
        <w:spacing w:after="240"/>
        <w:jc w:val="both"/>
        <w:rPr>
          <w:b/>
          <w:sz w:val="22"/>
          <w:szCs w:val="22"/>
        </w:rPr>
      </w:pPr>
      <w:r w:rsidRPr="004F4F2B">
        <w:rPr>
          <w:b/>
          <w:sz w:val="22"/>
          <w:szCs w:val="22"/>
        </w:rPr>
        <w:t>8</w:t>
      </w:r>
      <w:r w:rsidRPr="004F4F2B">
        <w:rPr>
          <w:b/>
          <w:sz w:val="22"/>
          <w:szCs w:val="22"/>
        </w:rPr>
        <w:tab/>
        <w:t>Kontakt na zpracovatele RIA</w:t>
      </w:r>
    </w:p>
    <w:p w:rsidR="00781CBF" w:rsidRPr="004F4F2B" w:rsidRDefault="00096871" w:rsidP="005C6DF7">
      <w:pPr>
        <w:spacing w:after="360"/>
        <w:jc w:val="both"/>
        <w:rPr>
          <w:sz w:val="22"/>
          <w:szCs w:val="22"/>
        </w:rPr>
      </w:pPr>
      <w:r w:rsidRPr="004F4F2B">
        <w:rPr>
          <w:sz w:val="22"/>
          <w:szCs w:val="22"/>
        </w:rPr>
        <w:t xml:space="preserve">Dopady regulace vyhodnotil a zprávu z hodnocení </w:t>
      </w:r>
      <w:r w:rsidR="0091608C" w:rsidRPr="004F4F2B">
        <w:rPr>
          <w:sz w:val="22"/>
          <w:szCs w:val="22"/>
        </w:rPr>
        <w:t xml:space="preserve">zpracoval </w:t>
      </w:r>
      <w:r w:rsidR="00781CBF" w:rsidRPr="004F4F2B">
        <w:rPr>
          <w:sz w:val="22"/>
          <w:szCs w:val="22"/>
        </w:rPr>
        <w:t>Michal Roháč</w:t>
      </w:r>
      <w:r w:rsidR="007A74FD">
        <w:rPr>
          <w:sz w:val="22"/>
          <w:szCs w:val="22"/>
        </w:rPr>
        <w:t xml:space="preserve">, </w:t>
      </w:r>
      <w:r w:rsidR="00781CBF" w:rsidRPr="004F4F2B">
        <w:rPr>
          <w:sz w:val="22"/>
          <w:szCs w:val="22"/>
        </w:rPr>
        <w:t>Č</w:t>
      </w:r>
      <w:r w:rsidR="006A7E05" w:rsidRPr="004F4F2B">
        <w:rPr>
          <w:sz w:val="22"/>
          <w:szCs w:val="22"/>
        </w:rPr>
        <w:t>eský</w:t>
      </w:r>
      <w:r w:rsidR="008637AD" w:rsidRPr="004F4F2B">
        <w:rPr>
          <w:sz w:val="22"/>
          <w:szCs w:val="22"/>
        </w:rPr>
        <w:t xml:space="preserve"> </w:t>
      </w:r>
      <w:r w:rsidR="006A7E05" w:rsidRPr="004F4F2B">
        <w:rPr>
          <w:sz w:val="22"/>
          <w:szCs w:val="22"/>
        </w:rPr>
        <w:t>báňský úřad</w:t>
      </w:r>
      <w:r w:rsidR="008637AD" w:rsidRPr="004F4F2B">
        <w:rPr>
          <w:sz w:val="22"/>
          <w:szCs w:val="22"/>
        </w:rPr>
        <w:t>, oddělení výbušnin</w:t>
      </w:r>
      <w:r w:rsidR="0091608C" w:rsidRPr="004F4F2B">
        <w:rPr>
          <w:sz w:val="22"/>
          <w:szCs w:val="22"/>
        </w:rPr>
        <w:t xml:space="preserve"> (</w:t>
      </w:r>
      <w:r w:rsidR="008637AD" w:rsidRPr="004F4F2B">
        <w:rPr>
          <w:sz w:val="22"/>
          <w:szCs w:val="22"/>
        </w:rPr>
        <w:t>e</w:t>
      </w:r>
      <w:r w:rsidR="008637AD" w:rsidRPr="004F4F2B">
        <w:rPr>
          <w:sz w:val="22"/>
          <w:szCs w:val="22"/>
        </w:rPr>
        <w:noBreakHyphen/>
        <w:t xml:space="preserve">mail: </w:t>
      </w:r>
      <w:r w:rsidR="00FB34CD" w:rsidRPr="004F4F2B">
        <w:rPr>
          <w:sz w:val="22"/>
          <w:szCs w:val="22"/>
        </w:rPr>
        <w:t>m</w:t>
      </w:r>
      <w:r w:rsidR="00781CBF" w:rsidRPr="004F4F2B">
        <w:rPr>
          <w:sz w:val="22"/>
          <w:szCs w:val="22"/>
        </w:rPr>
        <w:t>ichal.</w:t>
      </w:r>
      <w:r w:rsidR="00FB34CD" w:rsidRPr="004F4F2B">
        <w:rPr>
          <w:sz w:val="22"/>
          <w:szCs w:val="22"/>
        </w:rPr>
        <w:t>r</w:t>
      </w:r>
      <w:r w:rsidR="00781CBF" w:rsidRPr="004F4F2B">
        <w:rPr>
          <w:sz w:val="22"/>
          <w:szCs w:val="22"/>
        </w:rPr>
        <w:t>ohac@cbusbs.cz, tel.: </w:t>
      </w:r>
      <w:r w:rsidR="0010238F" w:rsidRPr="004F4F2B">
        <w:rPr>
          <w:sz w:val="22"/>
          <w:szCs w:val="22"/>
        </w:rPr>
        <w:t>+420 </w:t>
      </w:r>
      <w:r w:rsidR="00781CBF" w:rsidRPr="004F4F2B">
        <w:rPr>
          <w:sz w:val="22"/>
          <w:szCs w:val="22"/>
        </w:rPr>
        <w:t>221 775</w:t>
      </w:r>
      <w:r w:rsidR="0091608C" w:rsidRPr="004F4F2B">
        <w:rPr>
          <w:sz w:val="22"/>
          <w:szCs w:val="22"/>
        </w:rPr>
        <w:t> </w:t>
      </w:r>
      <w:r w:rsidR="00781CBF" w:rsidRPr="004F4F2B">
        <w:rPr>
          <w:sz w:val="22"/>
          <w:szCs w:val="22"/>
        </w:rPr>
        <w:t>3</w:t>
      </w:r>
      <w:r w:rsidR="007A74FD">
        <w:rPr>
          <w:sz w:val="22"/>
          <w:szCs w:val="22"/>
        </w:rPr>
        <w:t>33</w:t>
      </w:r>
      <w:r w:rsidR="0091608C" w:rsidRPr="004F4F2B">
        <w:rPr>
          <w:sz w:val="22"/>
          <w:szCs w:val="22"/>
        </w:rPr>
        <w:t>)</w:t>
      </w:r>
      <w:r w:rsidR="00FB34CD" w:rsidRPr="004F4F2B">
        <w:rPr>
          <w:sz w:val="22"/>
          <w:szCs w:val="22"/>
        </w:rPr>
        <w:t>.</w:t>
      </w:r>
    </w:p>
    <w:sectPr w:rsidR="00781CBF" w:rsidRPr="004F4F2B" w:rsidSect="005253CE">
      <w:footerReference w:type="default" r:id="rId11"/>
      <w:footerReference w:type="first" r:id="rId12"/>
      <w:pgSz w:w="11906" w:h="16838" w:code="9"/>
      <w:pgMar w:top="1418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F40" w:rsidRDefault="00741F40" w:rsidP="00781CBF">
      <w:r>
        <w:separator/>
      </w:r>
    </w:p>
  </w:endnote>
  <w:endnote w:type="continuationSeparator" w:id="0">
    <w:p w:rsidR="00741F40" w:rsidRDefault="00741F40" w:rsidP="00781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808080" w:themeColor="background1" w:themeShade="80"/>
        <w:sz w:val="16"/>
        <w:szCs w:val="16"/>
      </w:rPr>
      <w:id w:val="-1687590370"/>
      <w:docPartObj>
        <w:docPartGallery w:val="Page Numbers (Bottom of Page)"/>
        <w:docPartUnique/>
      </w:docPartObj>
    </w:sdtPr>
    <w:sdtEndPr/>
    <w:sdtContent>
      <w:p w:rsidR="00ED0B84" w:rsidRPr="001E65AA" w:rsidRDefault="00ED0B84">
        <w:pPr>
          <w:pStyle w:val="Zpat"/>
          <w:jc w:val="center"/>
          <w:rPr>
            <w:color w:val="808080" w:themeColor="background1" w:themeShade="80"/>
            <w:sz w:val="16"/>
            <w:szCs w:val="16"/>
          </w:rPr>
        </w:pPr>
        <w:r w:rsidRPr="001E65AA">
          <w:rPr>
            <w:color w:val="808080" w:themeColor="background1" w:themeShade="80"/>
            <w:sz w:val="16"/>
            <w:szCs w:val="16"/>
          </w:rPr>
          <w:fldChar w:fldCharType="begin"/>
        </w:r>
        <w:r w:rsidRPr="001E65AA">
          <w:rPr>
            <w:color w:val="808080" w:themeColor="background1" w:themeShade="80"/>
            <w:sz w:val="16"/>
            <w:szCs w:val="16"/>
          </w:rPr>
          <w:instrText>PAGE   \* MERGEFORMAT</w:instrText>
        </w:r>
        <w:r w:rsidRPr="001E65AA">
          <w:rPr>
            <w:color w:val="808080" w:themeColor="background1" w:themeShade="80"/>
            <w:sz w:val="16"/>
            <w:szCs w:val="16"/>
          </w:rPr>
          <w:fldChar w:fldCharType="separate"/>
        </w:r>
        <w:r w:rsidRPr="001E65AA">
          <w:rPr>
            <w:noProof/>
            <w:color w:val="808080" w:themeColor="background1" w:themeShade="80"/>
            <w:sz w:val="16"/>
            <w:szCs w:val="16"/>
          </w:rPr>
          <w:t>19</w:t>
        </w:r>
        <w:r w:rsidRPr="001E65AA">
          <w:rPr>
            <w:color w:val="808080" w:themeColor="background1" w:themeShade="80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008923"/>
      <w:docPartObj>
        <w:docPartGallery w:val="Page Numbers (Bottom of Page)"/>
        <w:docPartUnique/>
      </w:docPartObj>
    </w:sdtPr>
    <w:sdtEndPr/>
    <w:sdtContent>
      <w:p w:rsidR="00ED0B84" w:rsidRDefault="00ED0B84">
        <w:pPr>
          <w:pStyle w:val="Zpat"/>
          <w:jc w:val="center"/>
        </w:pPr>
        <w:r w:rsidRPr="004E10EF">
          <w:rPr>
            <w:color w:val="808080" w:themeColor="background1" w:themeShade="80"/>
            <w:sz w:val="16"/>
            <w:szCs w:val="16"/>
          </w:rPr>
          <w:fldChar w:fldCharType="begin"/>
        </w:r>
        <w:r w:rsidRPr="004E10EF">
          <w:rPr>
            <w:color w:val="808080" w:themeColor="background1" w:themeShade="80"/>
            <w:sz w:val="16"/>
            <w:szCs w:val="16"/>
          </w:rPr>
          <w:instrText>PAGE   \* MERGEFORMAT</w:instrText>
        </w:r>
        <w:r w:rsidRPr="004E10EF">
          <w:rPr>
            <w:color w:val="808080" w:themeColor="background1" w:themeShade="80"/>
            <w:sz w:val="16"/>
            <w:szCs w:val="16"/>
          </w:rPr>
          <w:fldChar w:fldCharType="separate"/>
        </w:r>
        <w:r w:rsidRPr="004E10EF">
          <w:rPr>
            <w:color w:val="808080" w:themeColor="background1" w:themeShade="80"/>
            <w:sz w:val="16"/>
            <w:szCs w:val="16"/>
          </w:rPr>
          <w:t>2</w:t>
        </w:r>
        <w:r w:rsidRPr="004E10EF">
          <w:rPr>
            <w:color w:val="808080" w:themeColor="background1" w:themeShade="80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F40" w:rsidRDefault="00741F40" w:rsidP="00781CBF">
      <w:r>
        <w:separator/>
      </w:r>
    </w:p>
  </w:footnote>
  <w:footnote w:type="continuationSeparator" w:id="0">
    <w:p w:rsidR="00741F40" w:rsidRDefault="00741F40" w:rsidP="00781CBF">
      <w:r>
        <w:continuationSeparator/>
      </w:r>
    </w:p>
  </w:footnote>
  <w:footnote w:id="1">
    <w:p w:rsidR="00ED0B84" w:rsidRPr="00FD5B41" w:rsidRDefault="00ED0B84" w:rsidP="003558A4">
      <w:pPr>
        <w:pStyle w:val="Textpoznpodarou"/>
        <w:tabs>
          <w:tab w:val="left" w:pos="426"/>
        </w:tabs>
        <w:ind w:left="426" w:hanging="426"/>
        <w:jc w:val="both"/>
        <w:rPr>
          <w:color w:val="808080" w:themeColor="background1" w:themeShade="80"/>
          <w:sz w:val="16"/>
          <w:szCs w:val="16"/>
        </w:rPr>
      </w:pPr>
      <w:r w:rsidRPr="007D2D15">
        <w:rPr>
          <w:rStyle w:val="Znakapoznpodarou"/>
          <w:color w:val="808080" w:themeColor="background1" w:themeShade="80"/>
          <w:sz w:val="16"/>
          <w:szCs w:val="16"/>
        </w:rPr>
        <w:t>1)</w:t>
      </w:r>
      <w:r w:rsidRPr="007D2D15">
        <w:rPr>
          <w:color w:val="808080" w:themeColor="background1" w:themeShade="80"/>
          <w:sz w:val="16"/>
          <w:szCs w:val="16"/>
        </w:rPr>
        <w:tab/>
      </w:r>
      <w:r w:rsidRPr="007D2D15">
        <w:rPr>
          <w:rFonts w:eastAsiaTheme="minorHAnsi"/>
          <w:color w:val="808080" w:themeColor="background1" w:themeShade="80"/>
          <w:sz w:val="16"/>
          <w:szCs w:val="16"/>
        </w:rPr>
        <w:t>Klasifikace ekonomických činností není vždy konzistentní (u výrobců shodných látek není vedena v </w:t>
      </w:r>
      <w:r w:rsidRPr="007D2D15">
        <w:rPr>
          <w:color w:val="808080" w:themeColor="background1" w:themeShade="80"/>
          <w:sz w:val="16"/>
          <w:szCs w:val="16"/>
        </w:rPr>
        <w:t>Registru ekonomických subjektů</w:t>
      </w:r>
      <w:r w:rsidRPr="007D2D15">
        <w:rPr>
          <w:rFonts w:eastAsiaTheme="minorHAnsi"/>
          <w:color w:val="808080" w:themeColor="background1" w:themeShade="80"/>
          <w:sz w:val="16"/>
          <w:szCs w:val="16"/>
        </w:rPr>
        <w:t>, resp. </w:t>
      </w:r>
      <w:r w:rsidRPr="007D2D15">
        <w:rPr>
          <w:color w:val="808080" w:themeColor="background1" w:themeShade="80"/>
          <w:sz w:val="16"/>
          <w:szCs w:val="16"/>
        </w:rPr>
        <w:t xml:space="preserve">Administrativním registru ekonomických subjektů, táž </w:t>
      </w:r>
      <w:r w:rsidRPr="007D2D15">
        <w:rPr>
          <w:rFonts w:eastAsiaTheme="minorHAnsi"/>
          <w:color w:val="808080" w:themeColor="background1" w:themeShade="80"/>
          <w:sz w:val="16"/>
          <w:szCs w:val="16"/>
        </w:rPr>
        <w:t xml:space="preserve">ekonomická činnost), klasifikace ekonomických činností se překrývá. Podnikatelé vyrábějící tytéž látky a směsi mohou disponovat různou živností ve smyslu zákona č. 455/1991 Sb. - živností volnou s oborem činnosti „Výroba chemických látek a chemických směsí nebo předmětů a kosmetických přípravků“ nebo živností vázanou s předmětem podnikání </w:t>
      </w:r>
      <w:r w:rsidRPr="007D2D15">
        <w:rPr>
          <w:color w:val="808080" w:themeColor="background1" w:themeShade="80"/>
          <w:sz w:val="16"/>
          <w:szCs w:val="16"/>
        </w:rPr>
        <w:t>„Výroba nebezpečných látek a nebezpečných chemických směsí a prodej chemických látek a chemických směsí klasifikovaných jako vysoce toxické</w:t>
      </w:r>
      <w:r w:rsidRPr="00FD5B41">
        <w:rPr>
          <w:color w:val="808080" w:themeColor="background1" w:themeShade="80"/>
          <w:sz w:val="16"/>
          <w:szCs w:val="16"/>
        </w:rPr>
        <w:t xml:space="preserve"> a</w:t>
      </w:r>
      <w:r>
        <w:rPr>
          <w:color w:val="808080" w:themeColor="background1" w:themeShade="80"/>
          <w:sz w:val="16"/>
          <w:szCs w:val="16"/>
        </w:rPr>
        <w:t> </w:t>
      </w:r>
      <w:r w:rsidRPr="00FD5B41">
        <w:rPr>
          <w:color w:val="808080" w:themeColor="background1" w:themeShade="80"/>
          <w:sz w:val="16"/>
          <w:szCs w:val="16"/>
        </w:rPr>
        <w:t>toxické“</w:t>
      </w:r>
      <w:r>
        <w:rPr>
          <w:color w:val="808080" w:themeColor="background1" w:themeShade="80"/>
          <w:sz w:val="16"/>
          <w:szCs w:val="16"/>
        </w:rPr>
        <w:t>.</w:t>
      </w:r>
      <w:r w:rsidRPr="00FD5B4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D</w:t>
      </w:r>
      <w:r w:rsidRPr="00FD5B41">
        <w:rPr>
          <w:color w:val="808080" w:themeColor="background1" w:themeShade="80"/>
          <w:sz w:val="16"/>
          <w:szCs w:val="16"/>
        </w:rPr>
        <w:t>alších řádově několik s</w:t>
      </w:r>
      <w:r>
        <w:rPr>
          <w:color w:val="808080" w:themeColor="background1" w:themeShade="80"/>
          <w:sz w:val="16"/>
          <w:szCs w:val="16"/>
        </w:rPr>
        <w:t>e</w:t>
      </w:r>
      <w:r w:rsidRPr="00FD5B41">
        <w:rPr>
          <w:color w:val="808080" w:themeColor="background1" w:themeShade="80"/>
          <w:sz w:val="16"/>
          <w:szCs w:val="16"/>
        </w:rPr>
        <w:t>t podnikatelů disponuje živností volnou s oborem činnosti „</w:t>
      </w:r>
      <w:r w:rsidRPr="00FD5B41">
        <w:rPr>
          <w:rFonts w:eastAsiaTheme="minorHAnsi"/>
          <w:color w:val="808080" w:themeColor="background1" w:themeShade="80"/>
          <w:sz w:val="16"/>
          <w:szCs w:val="16"/>
          <w:lang w:eastAsia="en-US"/>
        </w:rPr>
        <w:t xml:space="preserve">Velkoobchod a maloobchod“, </w:t>
      </w:r>
      <w:r>
        <w:rPr>
          <w:rFonts w:eastAsiaTheme="minorHAnsi"/>
          <w:color w:val="808080" w:themeColor="background1" w:themeShade="80"/>
          <w:sz w:val="16"/>
          <w:szCs w:val="16"/>
          <w:lang w:eastAsia="en-US"/>
        </w:rPr>
        <w:t>přičemž</w:t>
      </w:r>
      <w:r w:rsidRPr="00FD5B41">
        <w:rPr>
          <w:rFonts w:eastAsiaTheme="minorHAnsi"/>
          <w:color w:val="808080" w:themeColor="background1" w:themeShade="80"/>
          <w:sz w:val="16"/>
          <w:szCs w:val="16"/>
          <w:lang w:eastAsia="en-US"/>
        </w:rPr>
        <w:t xml:space="preserve"> podnikatelé s </w:t>
      </w:r>
      <w:r w:rsidRPr="00FD5B41">
        <w:rPr>
          <w:color w:val="808080" w:themeColor="background1" w:themeShade="80"/>
          <w:sz w:val="16"/>
          <w:szCs w:val="16"/>
        </w:rPr>
        <w:t>živnostenským oprávněním k výkonu živnosti volné mohou vykonávat všechny obory činnosti uvedené v příloz</w:t>
      </w:r>
      <w:r>
        <w:rPr>
          <w:color w:val="808080" w:themeColor="background1" w:themeShade="80"/>
          <w:sz w:val="16"/>
          <w:szCs w:val="16"/>
        </w:rPr>
        <w:t>e č. 4 k zákonu č. 455/1991 Sb.</w:t>
      </w:r>
      <w:r w:rsidRPr="00FD5B4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Navíc nelze bez</w:t>
      </w:r>
      <w:r w:rsidRPr="00FD5B41">
        <w:rPr>
          <w:color w:val="808080" w:themeColor="background1" w:themeShade="80"/>
          <w:sz w:val="16"/>
          <w:szCs w:val="16"/>
        </w:rPr>
        <w:t xml:space="preserve"> dalšího </w:t>
      </w:r>
      <w:r>
        <w:rPr>
          <w:color w:val="808080" w:themeColor="background1" w:themeShade="80"/>
          <w:sz w:val="16"/>
          <w:szCs w:val="16"/>
        </w:rPr>
        <w:t>uzavřít</w:t>
      </w:r>
      <w:r w:rsidRPr="00FD5B41">
        <w:rPr>
          <w:color w:val="808080" w:themeColor="background1" w:themeShade="80"/>
          <w:sz w:val="16"/>
          <w:szCs w:val="16"/>
        </w:rPr>
        <w:t xml:space="preserve">, že </w:t>
      </w:r>
      <w:r w:rsidRPr="00FD5B41">
        <w:rPr>
          <w:rFonts w:eastAsiaTheme="minorHAnsi"/>
          <w:color w:val="808080" w:themeColor="background1" w:themeShade="80"/>
          <w:sz w:val="16"/>
          <w:szCs w:val="16"/>
        </w:rPr>
        <w:t xml:space="preserve">každý podnikatel s relevantním živnostenským oprávněním s přiřazenou klasifikovanou činností </w:t>
      </w:r>
      <w:r>
        <w:rPr>
          <w:rFonts w:eastAsiaTheme="minorHAnsi"/>
          <w:color w:val="808080" w:themeColor="background1" w:themeShade="80"/>
          <w:sz w:val="16"/>
          <w:szCs w:val="16"/>
        </w:rPr>
        <w:t xml:space="preserve">reálně </w:t>
      </w:r>
      <w:r w:rsidRPr="00FD5B41">
        <w:rPr>
          <w:rFonts w:eastAsiaTheme="minorHAnsi"/>
          <w:color w:val="808080" w:themeColor="background1" w:themeShade="80"/>
          <w:sz w:val="16"/>
          <w:szCs w:val="16"/>
        </w:rPr>
        <w:t>zpřístupňuje prekurzory výbušnin podléhající omezení.</w:t>
      </w:r>
    </w:p>
  </w:footnote>
  <w:footnote w:id="2">
    <w:p w:rsidR="00ED0B84" w:rsidRPr="00D93895" w:rsidRDefault="00ED0B84" w:rsidP="0064739F">
      <w:pPr>
        <w:pStyle w:val="Textpoznpodarou"/>
        <w:tabs>
          <w:tab w:val="left" w:pos="426"/>
        </w:tabs>
        <w:rPr>
          <w:color w:val="808080" w:themeColor="background1" w:themeShade="80"/>
          <w:sz w:val="16"/>
          <w:szCs w:val="16"/>
        </w:rPr>
      </w:pPr>
      <w:r w:rsidRPr="00D93895">
        <w:rPr>
          <w:rStyle w:val="Znakapoznpodarou"/>
          <w:color w:val="808080" w:themeColor="background1" w:themeShade="80"/>
          <w:sz w:val="16"/>
          <w:szCs w:val="16"/>
        </w:rPr>
        <w:t>2)</w:t>
      </w:r>
      <w:r w:rsidRPr="00D93895">
        <w:rPr>
          <w:color w:val="808080" w:themeColor="background1" w:themeShade="80"/>
          <w:sz w:val="16"/>
          <w:szCs w:val="16"/>
        </w:rPr>
        <w:tab/>
        <w:t>Skutečnost při hustotě 35% roztoku 1,12 g·cm</w:t>
      </w:r>
      <w:r w:rsidRPr="00D93895">
        <w:rPr>
          <w:color w:val="808080" w:themeColor="background1" w:themeShade="80"/>
          <w:sz w:val="16"/>
          <w:szCs w:val="16"/>
          <w:vertAlign w:val="superscript"/>
        </w:rPr>
        <w:t>−3</w:t>
      </w:r>
      <w:r w:rsidRPr="00D93895">
        <w:rPr>
          <w:color w:val="808080" w:themeColor="background1" w:themeShade="80"/>
          <w:sz w:val="16"/>
          <w:szCs w:val="16"/>
        </w:rPr>
        <w:t>, resp. při hustotě 12% roztoku 1,05 g·cm</w:t>
      </w:r>
      <w:r w:rsidRPr="00D93895">
        <w:rPr>
          <w:color w:val="808080" w:themeColor="background1" w:themeShade="80"/>
          <w:sz w:val="16"/>
          <w:szCs w:val="16"/>
          <w:vertAlign w:val="superscript"/>
        </w:rPr>
        <w:t>−3</w:t>
      </w:r>
      <w:r w:rsidRPr="00D93895">
        <w:rPr>
          <w:color w:val="808080" w:themeColor="background1" w:themeShade="80"/>
          <w:sz w:val="16"/>
          <w:szCs w:val="16"/>
        </w:rPr>
        <w:t>.</w:t>
      </w:r>
    </w:p>
  </w:footnote>
  <w:footnote w:id="3">
    <w:p w:rsidR="00ED0B84" w:rsidRPr="00D93895" w:rsidRDefault="00ED0B84" w:rsidP="002830D9">
      <w:pPr>
        <w:pStyle w:val="Textpoznpodarou"/>
        <w:tabs>
          <w:tab w:val="left" w:pos="426"/>
        </w:tabs>
        <w:rPr>
          <w:color w:val="808080" w:themeColor="background1" w:themeShade="80"/>
          <w:sz w:val="16"/>
          <w:szCs w:val="16"/>
        </w:rPr>
      </w:pPr>
      <w:r w:rsidRPr="00D93895">
        <w:rPr>
          <w:rStyle w:val="Znakapoznpodarou"/>
          <w:color w:val="808080" w:themeColor="background1" w:themeShade="80"/>
          <w:sz w:val="16"/>
          <w:szCs w:val="16"/>
        </w:rPr>
        <w:t>3)</w:t>
      </w:r>
      <w:r w:rsidRPr="00D93895">
        <w:rPr>
          <w:color w:val="808080" w:themeColor="background1" w:themeShade="80"/>
          <w:sz w:val="16"/>
          <w:szCs w:val="16"/>
        </w:rPr>
        <w:t xml:space="preserve"> </w:t>
      </w:r>
      <w:r w:rsidRPr="00D93895">
        <w:rPr>
          <w:color w:val="808080" w:themeColor="background1" w:themeShade="80"/>
          <w:sz w:val="16"/>
          <w:szCs w:val="16"/>
        </w:rPr>
        <w:tab/>
        <w:t xml:space="preserve">Evropská komise; </w:t>
      </w:r>
      <w:r w:rsidRPr="00D93895">
        <w:rPr>
          <w:rFonts w:eastAsiaTheme="minorHAnsi"/>
          <w:color w:val="808080" w:themeColor="background1" w:themeShade="80"/>
          <w:sz w:val="16"/>
          <w:szCs w:val="16"/>
          <w:lang w:eastAsia="en-US"/>
        </w:rPr>
        <w:t>SWD(2018) 104 final ze dne 17. dubna 2019.</w:t>
      </w:r>
    </w:p>
  </w:footnote>
  <w:footnote w:id="4">
    <w:p w:rsidR="00ED0B84" w:rsidRPr="00FD5B41" w:rsidRDefault="00ED0B84" w:rsidP="00CB02C1">
      <w:pPr>
        <w:pStyle w:val="Textpoznpodarou"/>
        <w:tabs>
          <w:tab w:val="left" w:pos="426"/>
        </w:tabs>
        <w:ind w:left="426" w:hanging="426"/>
        <w:rPr>
          <w:color w:val="808080" w:themeColor="background1" w:themeShade="80"/>
          <w:sz w:val="16"/>
          <w:szCs w:val="16"/>
        </w:rPr>
      </w:pPr>
      <w:r w:rsidRPr="00FD5B41">
        <w:rPr>
          <w:rStyle w:val="Znakapoznpodarou"/>
          <w:color w:val="808080" w:themeColor="background1" w:themeShade="80"/>
          <w:sz w:val="16"/>
          <w:szCs w:val="16"/>
        </w:rPr>
        <w:t>4)</w:t>
      </w:r>
      <w:r w:rsidRPr="00FD5B41">
        <w:rPr>
          <w:color w:val="808080" w:themeColor="background1" w:themeShade="80"/>
          <w:sz w:val="16"/>
          <w:szCs w:val="16"/>
        </w:rPr>
        <w:t xml:space="preserve"> </w:t>
      </w:r>
      <w:r w:rsidRPr="00FD5B41">
        <w:rPr>
          <w:color w:val="808080" w:themeColor="background1" w:themeShade="80"/>
          <w:sz w:val="16"/>
          <w:szCs w:val="16"/>
        </w:rPr>
        <w:tab/>
        <w:t>Hartman J.; Supercharging Performance Handbook; 2011.</w:t>
      </w:r>
    </w:p>
    <w:p w:rsidR="00ED0B84" w:rsidRPr="00FD5B41" w:rsidRDefault="00ED0B84" w:rsidP="00CB02C1">
      <w:pPr>
        <w:pStyle w:val="Textpoznpodarou"/>
        <w:ind w:left="426"/>
        <w:rPr>
          <w:color w:val="808080" w:themeColor="background1" w:themeShade="80"/>
          <w:sz w:val="16"/>
          <w:szCs w:val="16"/>
        </w:rPr>
      </w:pPr>
      <w:r w:rsidRPr="00FD5B41">
        <w:rPr>
          <w:color w:val="808080" w:themeColor="background1" w:themeShade="80"/>
          <w:sz w:val="16"/>
          <w:szCs w:val="16"/>
          <w:lang w:val="en-GB"/>
        </w:rPr>
        <w:t>Starkman E. S.; Nitroparaffins as Potential Engine Fuel; Industrial and Engineering Chemistry</w:t>
      </w:r>
      <w:r w:rsidRPr="00FD5B41">
        <w:rPr>
          <w:color w:val="808080" w:themeColor="background1" w:themeShade="80"/>
          <w:sz w:val="16"/>
          <w:szCs w:val="16"/>
        </w:rPr>
        <w:t xml:space="preserve"> 51(12), 1959, </w:t>
      </w:r>
      <w:r w:rsidRPr="00FD5B41">
        <w:rPr>
          <w:rStyle w:val="issue-itempage-range"/>
          <w:color w:val="808080" w:themeColor="background1" w:themeShade="80"/>
          <w:sz w:val="16"/>
          <w:szCs w:val="16"/>
        </w:rPr>
        <w:t>1477-1480</w:t>
      </w:r>
      <w:r w:rsidRPr="00FD5B41">
        <w:rPr>
          <w:color w:val="808080" w:themeColor="background1" w:themeShade="80"/>
          <w:sz w:val="16"/>
          <w:szCs w:val="16"/>
        </w:rPr>
        <w:t>.</w:t>
      </w:r>
    </w:p>
  </w:footnote>
  <w:footnote w:id="5">
    <w:p w:rsidR="00ED0B84" w:rsidRPr="00FD5B41" w:rsidRDefault="00ED0B84" w:rsidP="005C3821">
      <w:pPr>
        <w:pStyle w:val="Nadpis3"/>
        <w:spacing w:before="0"/>
        <w:ind w:left="425" w:hanging="425"/>
        <w:rPr>
          <w:rFonts w:ascii="Times New Roman" w:hAnsi="Times New Roman" w:cs="Times New Roman"/>
          <w:color w:val="808080" w:themeColor="background1" w:themeShade="80"/>
          <w:sz w:val="16"/>
          <w:szCs w:val="16"/>
        </w:rPr>
      </w:pPr>
      <w:r w:rsidRPr="00FD5B41">
        <w:rPr>
          <w:rStyle w:val="Znakapoznpodarou"/>
          <w:rFonts w:ascii="Times New Roman" w:eastAsia="Times New Roman" w:hAnsi="Times New Roman" w:cs="Times New Roman"/>
          <w:color w:val="808080" w:themeColor="background1" w:themeShade="80"/>
          <w:sz w:val="16"/>
          <w:szCs w:val="16"/>
        </w:rPr>
        <w:t>5)</w:t>
      </w:r>
      <w:r w:rsidRPr="00FD5B41">
        <w:rPr>
          <w:rFonts w:ascii="Times New Roman" w:eastAsia="Times New Roman" w:hAnsi="Times New Roman" w:cs="Times New Roman"/>
          <w:color w:val="808080" w:themeColor="background1" w:themeShade="80"/>
          <w:sz w:val="16"/>
          <w:szCs w:val="16"/>
        </w:rPr>
        <w:t xml:space="preserve"> </w:t>
      </w:r>
      <w:r w:rsidRPr="00FD5B41">
        <w:rPr>
          <w:rFonts w:ascii="Times New Roman" w:hAnsi="Times New Roman" w:cs="Times New Roman"/>
          <w:color w:val="808080" w:themeColor="background1" w:themeShade="80"/>
          <w:sz w:val="16"/>
          <w:szCs w:val="16"/>
        </w:rPr>
        <w:tab/>
        <w:t>Katalogy Merck KGaA/Sigma-Aldrich, Inc., Thermo Fisher Scientific Inc./</w:t>
      </w:r>
      <w:r w:rsidRPr="00FD5B41">
        <w:rPr>
          <w:rFonts w:ascii="Times New Roman" w:eastAsiaTheme="minorHAnsi" w:hAnsi="Times New Roman" w:cs="Times New Roman"/>
          <w:color w:val="808080" w:themeColor="background1" w:themeShade="80"/>
          <w:sz w:val="16"/>
          <w:szCs w:val="16"/>
          <w:lang w:eastAsia="en-US"/>
        </w:rPr>
        <w:t xml:space="preserve">Acros Organics b.v.b.a. </w:t>
      </w:r>
      <w:r w:rsidRPr="00FD5B41">
        <w:rPr>
          <w:rFonts w:ascii="Times New Roman" w:hAnsi="Times New Roman" w:cs="Times New Roman"/>
          <w:color w:val="808080" w:themeColor="background1" w:themeShade="80"/>
          <w:sz w:val="16"/>
          <w:szCs w:val="16"/>
        </w:rPr>
        <w:t>a abcr GmbH; ceny platné ke dni 13. září 2019; bez ceny dopravy.</w:t>
      </w:r>
    </w:p>
  </w:footnote>
  <w:footnote w:id="6">
    <w:p w:rsidR="00ED0B84" w:rsidRPr="00FD5B41" w:rsidRDefault="00ED0B84" w:rsidP="004F1E18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color w:val="808080" w:themeColor="background1" w:themeShade="80"/>
          <w:sz w:val="16"/>
          <w:szCs w:val="16"/>
          <w:lang w:val="en-GB"/>
        </w:rPr>
      </w:pPr>
      <w:r w:rsidRPr="00FD5B41">
        <w:rPr>
          <w:rStyle w:val="Znakapoznpodarou"/>
          <w:color w:val="808080" w:themeColor="background1" w:themeShade="80"/>
          <w:sz w:val="16"/>
          <w:szCs w:val="16"/>
        </w:rPr>
        <w:t>6)</w:t>
      </w:r>
      <w:r w:rsidRPr="00FD5B41">
        <w:rPr>
          <w:color w:val="808080" w:themeColor="background1" w:themeShade="80"/>
          <w:sz w:val="16"/>
          <w:szCs w:val="16"/>
        </w:rPr>
        <w:t xml:space="preserve"> </w:t>
      </w:r>
      <w:r w:rsidRPr="00FD5B41">
        <w:rPr>
          <w:color w:val="808080" w:themeColor="background1" w:themeShade="80"/>
          <w:sz w:val="16"/>
          <w:szCs w:val="16"/>
          <w:lang w:val="en-GB"/>
        </w:rPr>
        <w:tab/>
        <w:t xml:space="preserve">World Health Organization, International Agency for Research on Cancer; </w:t>
      </w:r>
      <w:r w:rsidRPr="00FD5B41">
        <w:rPr>
          <w:rFonts w:eastAsiaTheme="minorHAnsi"/>
          <w:color w:val="808080" w:themeColor="background1" w:themeShade="80"/>
          <w:sz w:val="16"/>
          <w:szCs w:val="16"/>
          <w:lang w:val="en-GB" w:eastAsia="en-US"/>
        </w:rPr>
        <w:t>IARC MONOGRAPHS ON THE EVALUATION OF CARCINOGENIC RISKS TO HUMANS, vol. 77; Lyon, 2000; ISBN: 92-832-1277-0.</w:t>
      </w:r>
    </w:p>
  </w:footnote>
  <w:footnote w:id="7">
    <w:p w:rsidR="00ED0B84" w:rsidRPr="00FD5B41" w:rsidRDefault="00ED0B84" w:rsidP="00734482">
      <w:pPr>
        <w:pStyle w:val="Textpoznpodarou"/>
        <w:ind w:left="426" w:hanging="426"/>
        <w:jc w:val="both"/>
        <w:rPr>
          <w:color w:val="808080" w:themeColor="background1" w:themeShade="80"/>
          <w:sz w:val="16"/>
          <w:szCs w:val="16"/>
        </w:rPr>
      </w:pPr>
      <w:r w:rsidRPr="00FD5B41">
        <w:rPr>
          <w:rStyle w:val="Znakapoznpodarou"/>
          <w:color w:val="808080" w:themeColor="background1" w:themeShade="80"/>
          <w:sz w:val="16"/>
          <w:szCs w:val="16"/>
        </w:rPr>
        <w:t>7)</w:t>
      </w:r>
      <w:r w:rsidRPr="00FD5B41">
        <w:rPr>
          <w:color w:val="808080" w:themeColor="background1" w:themeShade="80"/>
          <w:sz w:val="16"/>
          <w:szCs w:val="16"/>
        </w:rPr>
        <w:t xml:space="preserve"> </w:t>
      </w:r>
      <w:r w:rsidRPr="00FD5B41">
        <w:rPr>
          <w:color w:val="808080" w:themeColor="background1" w:themeShade="80"/>
          <w:sz w:val="16"/>
          <w:szCs w:val="16"/>
        </w:rPr>
        <w:tab/>
        <w:t>Týká se to např. 1</w:t>
      </w:r>
      <w:r w:rsidRPr="00FD5B41">
        <w:rPr>
          <w:color w:val="808080" w:themeColor="background1" w:themeShade="80"/>
          <w:sz w:val="16"/>
          <w:szCs w:val="16"/>
        </w:rPr>
        <w:noBreakHyphen/>
        <w:t>nitropropanu, který oproti nitromethanu vykazuje negativnější kyslíkovou bilanci (−39,3 % vs. −134,7 %; počítáno na CO</w:t>
      </w:r>
      <w:r w:rsidRPr="00FD5B41">
        <w:rPr>
          <w:color w:val="808080" w:themeColor="background1" w:themeShade="80"/>
          <w:sz w:val="16"/>
          <w:szCs w:val="16"/>
          <w:vertAlign w:val="subscript"/>
        </w:rPr>
        <w:t>2</w:t>
      </w:r>
      <w:r w:rsidRPr="00FD5B41">
        <w:rPr>
          <w:color w:val="808080" w:themeColor="background1" w:themeShade="80"/>
          <w:sz w:val="16"/>
          <w:szCs w:val="16"/>
        </w:rPr>
        <w:t xml:space="preserve"> a</w:t>
      </w:r>
      <w:r>
        <w:rPr>
          <w:color w:val="808080" w:themeColor="background1" w:themeShade="80"/>
          <w:sz w:val="16"/>
          <w:szCs w:val="16"/>
        </w:rPr>
        <w:t> </w:t>
      </w:r>
      <w:r w:rsidRPr="00FD5B41">
        <w:rPr>
          <w:color w:val="808080" w:themeColor="background1" w:themeShade="80"/>
          <w:sz w:val="16"/>
          <w:szCs w:val="16"/>
        </w:rPr>
        <w:t>H</w:t>
      </w:r>
      <w:r w:rsidRPr="00FD5B41">
        <w:rPr>
          <w:color w:val="808080" w:themeColor="background1" w:themeShade="80"/>
          <w:sz w:val="16"/>
          <w:szCs w:val="16"/>
          <w:vertAlign w:val="subscript"/>
        </w:rPr>
        <w:t>2</w:t>
      </w:r>
      <w:r w:rsidRPr="00FD5B41">
        <w:rPr>
          <w:color w:val="808080" w:themeColor="background1" w:themeShade="80"/>
          <w:sz w:val="16"/>
          <w:szCs w:val="16"/>
        </w:rPr>
        <w:t>O).</w:t>
      </w:r>
    </w:p>
  </w:footnote>
  <w:footnote w:id="8">
    <w:p w:rsidR="00ED0B84" w:rsidRPr="00FD5B41" w:rsidRDefault="00ED0B84" w:rsidP="00180241">
      <w:pPr>
        <w:pStyle w:val="Textpoznpodarou"/>
        <w:tabs>
          <w:tab w:val="left" w:pos="426"/>
        </w:tabs>
        <w:rPr>
          <w:color w:val="808080" w:themeColor="background1" w:themeShade="80"/>
          <w:sz w:val="16"/>
          <w:szCs w:val="16"/>
        </w:rPr>
      </w:pPr>
      <w:r w:rsidRPr="00FD5B41">
        <w:rPr>
          <w:rStyle w:val="Znakapoznpodarou"/>
          <w:color w:val="808080" w:themeColor="background1" w:themeShade="80"/>
          <w:sz w:val="16"/>
          <w:szCs w:val="16"/>
        </w:rPr>
        <w:t>8)</w:t>
      </w:r>
      <w:r w:rsidRPr="00FD5B41">
        <w:rPr>
          <w:color w:val="808080" w:themeColor="background1" w:themeShade="80"/>
          <w:sz w:val="16"/>
          <w:szCs w:val="16"/>
        </w:rPr>
        <w:t xml:space="preserve"> </w:t>
      </w:r>
      <w:r w:rsidRPr="00FD5B41">
        <w:rPr>
          <w:color w:val="808080" w:themeColor="background1" w:themeShade="80"/>
          <w:sz w:val="16"/>
          <w:szCs w:val="16"/>
        </w:rPr>
        <w:tab/>
        <w:t>Evropská komise, EUROSTAT; https://ec.europa.eu/eurostat/web/prodcom/data/database.</w:t>
      </w:r>
    </w:p>
  </w:footnote>
  <w:footnote w:id="9">
    <w:p w:rsidR="00ED0B84" w:rsidRPr="00FD5B41" w:rsidRDefault="00ED0B84" w:rsidP="009F0FD6">
      <w:pPr>
        <w:pStyle w:val="Default"/>
        <w:tabs>
          <w:tab w:val="left" w:pos="426"/>
        </w:tabs>
        <w:rPr>
          <w:rFonts w:ascii="Times New Roman" w:hAnsi="Times New Roman" w:cs="Times New Roman"/>
          <w:color w:val="808080" w:themeColor="background1" w:themeShade="80"/>
          <w:sz w:val="16"/>
          <w:szCs w:val="16"/>
        </w:rPr>
      </w:pPr>
      <w:r w:rsidRPr="00FD5B41">
        <w:rPr>
          <w:rStyle w:val="Znakapoznpodarou"/>
          <w:rFonts w:ascii="Times New Roman" w:hAnsi="Times New Roman" w:cs="Times New Roman"/>
          <w:color w:val="808080" w:themeColor="background1" w:themeShade="80"/>
          <w:sz w:val="16"/>
          <w:szCs w:val="16"/>
        </w:rPr>
        <w:t>9)</w:t>
      </w:r>
      <w:r w:rsidRPr="00FD5B41">
        <w:rPr>
          <w:rFonts w:ascii="Times New Roman" w:hAnsi="Times New Roman" w:cs="Times New Roman"/>
          <w:color w:val="808080" w:themeColor="background1" w:themeShade="80"/>
          <w:sz w:val="16"/>
          <w:szCs w:val="16"/>
        </w:rPr>
        <w:t xml:space="preserve"> </w:t>
      </w:r>
      <w:r w:rsidRPr="00FD5B41">
        <w:rPr>
          <w:rFonts w:ascii="Times New Roman" w:hAnsi="Times New Roman" w:cs="Times New Roman"/>
          <w:color w:val="808080" w:themeColor="background1" w:themeShade="80"/>
          <w:sz w:val="16"/>
          <w:szCs w:val="16"/>
        </w:rPr>
        <w:tab/>
      </w:r>
      <w:r w:rsidRPr="00FD5B41">
        <w:rPr>
          <w:rFonts w:ascii="Times New Roman" w:hAnsi="Times New Roman" w:cs="Times New Roman"/>
          <w:color w:val="808080" w:themeColor="background1" w:themeShade="80"/>
          <w:sz w:val="16"/>
          <w:szCs w:val="16"/>
          <w:lang w:val="en-GB"/>
        </w:rPr>
        <w:t xml:space="preserve">Smith D., IHS Consulting; </w:t>
      </w:r>
      <w:r w:rsidRPr="00FD5B41">
        <w:rPr>
          <w:rFonts w:ascii="Times New Roman" w:eastAsiaTheme="minorHAnsi" w:hAnsi="Times New Roman" w:cs="Times New Roman"/>
          <w:color w:val="808080" w:themeColor="background1" w:themeShade="80"/>
          <w:sz w:val="16"/>
          <w:szCs w:val="16"/>
          <w:lang w:val="en-GB" w:eastAsia="en-US"/>
        </w:rPr>
        <w:t>Explosive precursors incident analysis; 2016</w:t>
      </w:r>
      <w:r w:rsidRPr="00FD5B41">
        <w:rPr>
          <w:rFonts w:ascii="Times New Roman" w:eastAsiaTheme="minorHAnsi" w:hAnsi="Times New Roman" w:cs="Times New Roman"/>
          <w:color w:val="808080" w:themeColor="background1" w:themeShade="80"/>
          <w:sz w:val="16"/>
          <w:szCs w:val="16"/>
          <w:lang w:eastAsia="en-US"/>
        </w:rPr>
        <w:t>.</w:t>
      </w:r>
    </w:p>
  </w:footnote>
  <w:footnote w:id="10">
    <w:p w:rsidR="00ED0B84" w:rsidRPr="00FD5B41" w:rsidRDefault="00ED0B84" w:rsidP="009F0FD6">
      <w:pPr>
        <w:pStyle w:val="Nadpis1"/>
        <w:tabs>
          <w:tab w:val="left" w:pos="426"/>
        </w:tabs>
        <w:spacing w:before="0" w:beforeAutospacing="0" w:after="0" w:afterAutospacing="0"/>
        <w:rPr>
          <w:b w:val="0"/>
          <w:bCs w:val="0"/>
          <w:color w:val="808080" w:themeColor="background1" w:themeShade="80"/>
          <w:sz w:val="16"/>
          <w:szCs w:val="16"/>
        </w:rPr>
      </w:pPr>
      <w:r w:rsidRPr="00FD5B41">
        <w:rPr>
          <w:rStyle w:val="Znakapoznpodarou"/>
          <w:b w:val="0"/>
          <w:bCs w:val="0"/>
          <w:color w:val="808080" w:themeColor="background1" w:themeShade="80"/>
          <w:kern w:val="0"/>
          <w:sz w:val="16"/>
          <w:szCs w:val="16"/>
        </w:rPr>
        <w:t>10)</w:t>
      </w:r>
      <w:r w:rsidRPr="00FD5B41">
        <w:rPr>
          <w:b w:val="0"/>
          <w:bCs w:val="0"/>
          <w:color w:val="808080" w:themeColor="background1" w:themeShade="80"/>
          <w:kern w:val="0"/>
          <w:sz w:val="16"/>
          <w:szCs w:val="16"/>
        </w:rPr>
        <w:t xml:space="preserve"> </w:t>
      </w:r>
      <w:r w:rsidRPr="00FD5B41">
        <w:rPr>
          <w:b w:val="0"/>
          <w:bCs w:val="0"/>
          <w:color w:val="808080" w:themeColor="background1" w:themeShade="80"/>
          <w:sz w:val="16"/>
          <w:szCs w:val="16"/>
        </w:rPr>
        <w:tab/>
        <w:t xml:space="preserve">EUROPOL; European Union Terrorism Situation and Trend Report 2017; Haag, 2017; ISNB: </w:t>
      </w:r>
      <w:r w:rsidRPr="00FD5B41">
        <w:rPr>
          <w:rFonts w:eastAsiaTheme="minorHAnsi"/>
          <w:b w:val="0"/>
          <w:bCs w:val="0"/>
          <w:color w:val="808080" w:themeColor="background1" w:themeShade="80"/>
          <w:sz w:val="16"/>
          <w:szCs w:val="16"/>
          <w:lang w:eastAsia="en-US"/>
        </w:rPr>
        <w:t>978-92-95200-79-1.</w:t>
      </w:r>
    </w:p>
    <w:p w:rsidR="00ED0B84" w:rsidRPr="00FD5B41" w:rsidRDefault="00ED0B84" w:rsidP="009F0FD6">
      <w:pPr>
        <w:pStyle w:val="Nadpis1"/>
        <w:spacing w:before="0" w:beforeAutospacing="0" w:after="0" w:afterAutospacing="0"/>
        <w:ind w:left="426"/>
        <w:rPr>
          <w:b w:val="0"/>
          <w:bCs w:val="0"/>
          <w:color w:val="808080" w:themeColor="background1" w:themeShade="80"/>
          <w:sz w:val="16"/>
          <w:szCs w:val="16"/>
        </w:rPr>
      </w:pPr>
      <w:r w:rsidRPr="00FD5B41">
        <w:rPr>
          <w:b w:val="0"/>
          <w:bCs w:val="0"/>
          <w:color w:val="808080" w:themeColor="background1" w:themeShade="80"/>
          <w:sz w:val="16"/>
          <w:szCs w:val="16"/>
        </w:rPr>
        <w:t xml:space="preserve">EUROPOL; European Union Terrorism Situation and Trend Report 2018; Haag, 2018; ISBN: </w:t>
      </w:r>
      <w:r w:rsidRPr="00FD5B41">
        <w:rPr>
          <w:rFonts w:eastAsiaTheme="minorHAnsi"/>
          <w:b w:val="0"/>
          <w:bCs w:val="0"/>
          <w:color w:val="808080" w:themeColor="background1" w:themeShade="80"/>
          <w:sz w:val="16"/>
          <w:szCs w:val="16"/>
          <w:lang w:eastAsia="en-US"/>
        </w:rPr>
        <w:t>978-92-95200-91-3.</w:t>
      </w:r>
    </w:p>
    <w:p w:rsidR="00ED0B84" w:rsidRPr="00FD5B41" w:rsidRDefault="00ED0B84" w:rsidP="001C4648">
      <w:pPr>
        <w:pStyle w:val="Nadpis1"/>
        <w:spacing w:before="0" w:beforeAutospacing="0" w:after="0" w:afterAutospacing="0"/>
        <w:ind w:left="426"/>
        <w:rPr>
          <w:color w:val="808080" w:themeColor="background1" w:themeShade="80"/>
          <w:sz w:val="16"/>
          <w:szCs w:val="16"/>
        </w:rPr>
      </w:pPr>
      <w:r w:rsidRPr="00FD5B41">
        <w:rPr>
          <w:b w:val="0"/>
          <w:bCs w:val="0"/>
          <w:color w:val="808080" w:themeColor="background1" w:themeShade="80"/>
          <w:sz w:val="16"/>
          <w:szCs w:val="16"/>
        </w:rPr>
        <w:t xml:space="preserve">EUROPOL; European Union Terrorism Situation and Trend Report 2019; Haag, 2019; ISBN: </w:t>
      </w:r>
      <w:r w:rsidRPr="00FD5B41">
        <w:rPr>
          <w:rFonts w:eastAsiaTheme="minorHAnsi"/>
          <w:b w:val="0"/>
          <w:bCs w:val="0"/>
          <w:color w:val="808080" w:themeColor="background1" w:themeShade="80"/>
          <w:sz w:val="16"/>
          <w:szCs w:val="16"/>
          <w:lang w:eastAsia="en-US"/>
        </w:rPr>
        <w:t>978-92-95209-76-3.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F1E27"/>
    <w:multiLevelType w:val="hybridMultilevel"/>
    <w:tmpl w:val="C53C32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61CAD"/>
    <w:multiLevelType w:val="multilevel"/>
    <w:tmpl w:val="C1206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9D4584"/>
    <w:multiLevelType w:val="multilevel"/>
    <w:tmpl w:val="4246D2C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2347FB1"/>
    <w:multiLevelType w:val="multilevel"/>
    <w:tmpl w:val="F1E8E03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2E33B83"/>
    <w:multiLevelType w:val="multilevel"/>
    <w:tmpl w:val="ABA4399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9368E1"/>
    <w:multiLevelType w:val="hybridMultilevel"/>
    <w:tmpl w:val="84F2AAAE"/>
    <w:lvl w:ilvl="0" w:tplc="53B2268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66B29"/>
    <w:multiLevelType w:val="multilevel"/>
    <w:tmpl w:val="A4D61C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CBA3B90"/>
    <w:multiLevelType w:val="hybridMultilevel"/>
    <w:tmpl w:val="9F4470A0"/>
    <w:lvl w:ilvl="0" w:tplc="882A4F10">
      <w:start w:val="1"/>
      <w:numFmt w:val="upperLetter"/>
      <w:pStyle w:val="a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345A8"/>
    <w:multiLevelType w:val="multilevel"/>
    <w:tmpl w:val="4B7ADCDE"/>
    <w:lvl w:ilvl="0">
      <w:start w:val="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1781DF8"/>
    <w:multiLevelType w:val="multilevel"/>
    <w:tmpl w:val="DB84F74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1F3397"/>
    <w:multiLevelType w:val="multilevel"/>
    <w:tmpl w:val="D4BCC9E0"/>
    <w:lvl w:ilvl="0">
      <w:start w:val="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9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213"/>
        </w:tabs>
        <w:ind w:left="1213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2"/>
        </w:tabs>
        <w:ind w:left="1422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16"/>
        </w:tabs>
        <w:ind w:left="1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25"/>
        </w:tabs>
        <w:ind w:left="2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94"/>
        </w:tabs>
        <w:ind w:left="2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03"/>
        </w:tabs>
        <w:ind w:left="29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72"/>
        </w:tabs>
        <w:ind w:left="3472" w:hanging="1800"/>
      </w:pPr>
      <w:rPr>
        <w:rFonts w:hint="default"/>
      </w:rPr>
    </w:lvl>
  </w:abstractNum>
  <w:abstractNum w:abstractNumId="11" w15:restartNumberingAfterBreak="0">
    <w:nsid w:val="22276073"/>
    <w:multiLevelType w:val="multilevel"/>
    <w:tmpl w:val="631E0C4C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1050BE"/>
    <w:multiLevelType w:val="multilevel"/>
    <w:tmpl w:val="AE8CA5E0"/>
    <w:lvl w:ilvl="0">
      <w:start w:val="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7715176"/>
    <w:multiLevelType w:val="multilevel"/>
    <w:tmpl w:val="F8E04C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</w:abstractNum>
  <w:abstractNum w:abstractNumId="14" w15:restartNumberingAfterBreak="0">
    <w:nsid w:val="28226A32"/>
    <w:multiLevelType w:val="hybridMultilevel"/>
    <w:tmpl w:val="B44A2AD4"/>
    <w:lvl w:ilvl="0" w:tplc="BDEA4B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61156"/>
    <w:multiLevelType w:val="multilevel"/>
    <w:tmpl w:val="927ADD3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A6B0CF0"/>
    <w:multiLevelType w:val="multilevel"/>
    <w:tmpl w:val="0264010C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35"/>
        </w:tabs>
        <w:ind w:left="1235" w:hanging="11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30"/>
        </w:tabs>
        <w:ind w:left="133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15"/>
        </w:tabs>
        <w:ind w:left="1615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05"/>
        </w:tabs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0"/>
        </w:tabs>
        <w:ind w:left="2560" w:hanging="1800"/>
      </w:pPr>
      <w:rPr>
        <w:rFonts w:hint="default"/>
      </w:rPr>
    </w:lvl>
  </w:abstractNum>
  <w:abstractNum w:abstractNumId="17" w15:restartNumberingAfterBreak="0">
    <w:nsid w:val="2A6F192D"/>
    <w:multiLevelType w:val="hybridMultilevel"/>
    <w:tmpl w:val="C64E4CCC"/>
    <w:lvl w:ilvl="0" w:tplc="8380599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E6E392">
      <w:numFmt w:val="none"/>
      <w:lvlText w:val=""/>
      <w:lvlJc w:val="left"/>
      <w:pPr>
        <w:tabs>
          <w:tab w:val="num" w:pos="360"/>
        </w:tabs>
      </w:pPr>
    </w:lvl>
    <w:lvl w:ilvl="2" w:tplc="EA64931E">
      <w:numFmt w:val="none"/>
      <w:lvlText w:val=""/>
      <w:lvlJc w:val="left"/>
      <w:pPr>
        <w:tabs>
          <w:tab w:val="num" w:pos="360"/>
        </w:tabs>
      </w:pPr>
    </w:lvl>
    <w:lvl w:ilvl="3" w:tplc="6CFC6D80">
      <w:numFmt w:val="none"/>
      <w:lvlText w:val=""/>
      <w:lvlJc w:val="left"/>
      <w:pPr>
        <w:tabs>
          <w:tab w:val="num" w:pos="360"/>
        </w:tabs>
      </w:pPr>
    </w:lvl>
    <w:lvl w:ilvl="4" w:tplc="58D08382">
      <w:numFmt w:val="none"/>
      <w:lvlText w:val=""/>
      <w:lvlJc w:val="left"/>
      <w:pPr>
        <w:tabs>
          <w:tab w:val="num" w:pos="360"/>
        </w:tabs>
      </w:pPr>
    </w:lvl>
    <w:lvl w:ilvl="5" w:tplc="8F60FBDE">
      <w:numFmt w:val="none"/>
      <w:lvlText w:val=""/>
      <w:lvlJc w:val="left"/>
      <w:pPr>
        <w:tabs>
          <w:tab w:val="num" w:pos="360"/>
        </w:tabs>
      </w:pPr>
    </w:lvl>
    <w:lvl w:ilvl="6" w:tplc="3B14B898">
      <w:numFmt w:val="none"/>
      <w:lvlText w:val=""/>
      <w:lvlJc w:val="left"/>
      <w:pPr>
        <w:tabs>
          <w:tab w:val="num" w:pos="360"/>
        </w:tabs>
      </w:pPr>
    </w:lvl>
    <w:lvl w:ilvl="7" w:tplc="1DAE02E4">
      <w:numFmt w:val="none"/>
      <w:lvlText w:val=""/>
      <w:lvlJc w:val="left"/>
      <w:pPr>
        <w:tabs>
          <w:tab w:val="num" w:pos="360"/>
        </w:tabs>
      </w:pPr>
    </w:lvl>
    <w:lvl w:ilvl="8" w:tplc="2C4CE122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ADF59EE"/>
    <w:multiLevelType w:val="multilevel"/>
    <w:tmpl w:val="0598D2E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2E0941D0"/>
    <w:multiLevelType w:val="hybridMultilevel"/>
    <w:tmpl w:val="13B2D3E0"/>
    <w:lvl w:ilvl="0" w:tplc="E8BE52A4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F7130F"/>
    <w:multiLevelType w:val="multilevel"/>
    <w:tmpl w:val="A574FD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</w:abstractNum>
  <w:abstractNum w:abstractNumId="21" w15:restartNumberingAfterBreak="0">
    <w:nsid w:val="3C762C54"/>
    <w:multiLevelType w:val="hybridMultilevel"/>
    <w:tmpl w:val="CCEC15DE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2" w15:restartNumberingAfterBreak="0">
    <w:nsid w:val="41A50C30"/>
    <w:multiLevelType w:val="multilevel"/>
    <w:tmpl w:val="2E8AF1E2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ED5BC4"/>
    <w:multiLevelType w:val="hybridMultilevel"/>
    <w:tmpl w:val="F2C8951C"/>
    <w:lvl w:ilvl="0" w:tplc="E8E663C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E7D6902"/>
    <w:multiLevelType w:val="hybridMultilevel"/>
    <w:tmpl w:val="21DC5532"/>
    <w:lvl w:ilvl="0" w:tplc="0A68B06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51654D4F"/>
    <w:multiLevelType w:val="hybridMultilevel"/>
    <w:tmpl w:val="05C835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16616"/>
    <w:multiLevelType w:val="multilevel"/>
    <w:tmpl w:val="4B7ADCDE"/>
    <w:lvl w:ilvl="0">
      <w:start w:val="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928015C"/>
    <w:multiLevelType w:val="multilevel"/>
    <w:tmpl w:val="C808611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FE56D7D"/>
    <w:multiLevelType w:val="hybridMultilevel"/>
    <w:tmpl w:val="C3A2D3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C05623"/>
    <w:multiLevelType w:val="hybridMultilevel"/>
    <w:tmpl w:val="656A22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D45B3"/>
    <w:multiLevelType w:val="multilevel"/>
    <w:tmpl w:val="631E0C4C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2847E30"/>
    <w:multiLevelType w:val="multilevel"/>
    <w:tmpl w:val="C53C3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563"/>
    <w:multiLevelType w:val="hybridMultilevel"/>
    <w:tmpl w:val="3C58543A"/>
    <w:lvl w:ilvl="0" w:tplc="6250137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 w15:restartNumberingAfterBreak="0">
    <w:nsid w:val="7BA2557A"/>
    <w:multiLevelType w:val="multilevel"/>
    <w:tmpl w:val="E6A49CF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EDF12A0"/>
    <w:multiLevelType w:val="multilevel"/>
    <w:tmpl w:val="631E0C4C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17"/>
  </w:num>
  <w:num w:numId="3">
    <w:abstractNumId w:val="30"/>
  </w:num>
  <w:num w:numId="4">
    <w:abstractNumId w:val="9"/>
  </w:num>
  <w:num w:numId="5">
    <w:abstractNumId w:val="13"/>
  </w:num>
  <w:num w:numId="6">
    <w:abstractNumId w:val="20"/>
  </w:num>
  <w:num w:numId="7">
    <w:abstractNumId w:val="6"/>
  </w:num>
  <w:num w:numId="8">
    <w:abstractNumId w:val="3"/>
  </w:num>
  <w:num w:numId="9">
    <w:abstractNumId w:val="34"/>
  </w:num>
  <w:num w:numId="10">
    <w:abstractNumId w:val="22"/>
  </w:num>
  <w:num w:numId="11">
    <w:abstractNumId w:val="16"/>
  </w:num>
  <w:num w:numId="12">
    <w:abstractNumId w:val="12"/>
  </w:num>
  <w:num w:numId="13">
    <w:abstractNumId w:val="10"/>
  </w:num>
  <w:num w:numId="14">
    <w:abstractNumId w:val="4"/>
  </w:num>
  <w:num w:numId="15">
    <w:abstractNumId w:val="15"/>
  </w:num>
  <w:num w:numId="16">
    <w:abstractNumId w:val="27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8"/>
  </w:num>
  <w:num w:numId="22">
    <w:abstractNumId w:val="33"/>
  </w:num>
  <w:num w:numId="23">
    <w:abstractNumId w:val="0"/>
  </w:num>
  <w:num w:numId="24">
    <w:abstractNumId w:val="31"/>
  </w:num>
  <w:num w:numId="25">
    <w:abstractNumId w:val="25"/>
  </w:num>
  <w:num w:numId="26">
    <w:abstractNumId w:val="32"/>
  </w:num>
  <w:num w:numId="27">
    <w:abstractNumId w:val="7"/>
  </w:num>
  <w:num w:numId="28">
    <w:abstractNumId w:val="1"/>
  </w:num>
  <w:num w:numId="29">
    <w:abstractNumId w:val="23"/>
  </w:num>
  <w:num w:numId="30">
    <w:abstractNumId w:val="14"/>
  </w:num>
  <w:num w:numId="31">
    <w:abstractNumId w:val="29"/>
  </w:num>
  <w:num w:numId="32">
    <w:abstractNumId w:val="5"/>
  </w:num>
  <w:num w:numId="33">
    <w:abstractNumId w:val="21"/>
  </w:num>
  <w:num w:numId="34">
    <w:abstractNumId w:val="19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CBF"/>
    <w:rsid w:val="000012FE"/>
    <w:rsid w:val="00001797"/>
    <w:rsid w:val="00001FC6"/>
    <w:rsid w:val="00002625"/>
    <w:rsid w:val="0000282C"/>
    <w:rsid w:val="00005384"/>
    <w:rsid w:val="00005822"/>
    <w:rsid w:val="00005A2E"/>
    <w:rsid w:val="00005FFE"/>
    <w:rsid w:val="0000648A"/>
    <w:rsid w:val="00006618"/>
    <w:rsid w:val="00006703"/>
    <w:rsid w:val="00007B2A"/>
    <w:rsid w:val="000112C0"/>
    <w:rsid w:val="000117EB"/>
    <w:rsid w:val="0001284A"/>
    <w:rsid w:val="00012B84"/>
    <w:rsid w:val="000132E7"/>
    <w:rsid w:val="00013464"/>
    <w:rsid w:val="00013B76"/>
    <w:rsid w:val="00013EAF"/>
    <w:rsid w:val="00014073"/>
    <w:rsid w:val="0001445A"/>
    <w:rsid w:val="000145BC"/>
    <w:rsid w:val="00015647"/>
    <w:rsid w:val="00015A5F"/>
    <w:rsid w:val="00015D4D"/>
    <w:rsid w:val="00016AD8"/>
    <w:rsid w:val="00016DCE"/>
    <w:rsid w:val="000173A9"/>
    <w:rsid w:val="00017583"/>
    <w:rsid w:val="000204E1"/>
    <w:rsid w:val="00020C6A"/>
    <w:rsid w:val="00020E05"/>
    <w:rsid w:val="00023040"/>
    <w:rsid w:val="00023408"/>
    <w:rsid w:val="0002340F"/>
    <w:rsid w:val="00023C67"/>
    <w:rsid w:val="00023E81"/>
    <w:rsid w:val="00024242"/>
    <w:rsid w:val="00024F03"/>
    <w:rsid w:val="00026428"/>
    <w:rsid w:val="00026CCF"/>
    <w:rsid w:val="000277E3"/>
    <w:rsid w:val="000279A9"/>
    <w:rsid w:val="00027C84"/>
    <w:rsid w:val="000306B0"/>
    <w:rsid w:val="00031ED6"/>
    <w:rsid w:val="00032804"/>
    <w:rsid w:val="0003340B"/>
    <w:rsid w:val="0003557A"/>
    <w:rsid w:val="000362FF"/>
    <w:rsid w:val="00036483"/>
    <w:rsid w:val="000367E9"/>
    <w:rsid w:val="00037B0C"/>
    <w:rsid w:val="000401B4"/>
    <w:rsid w:val="00041FC9"/>
    <w:rsid w:val="00042446"/>
    <w:rsid w:val="00043452"/>
    <w:rsid w:val="000438D1"/>
    <w:rsid w:val="000440BB"/>
    <w:rsid w:val="00044316"/>
    <w:rsid w:val="0004435D"/>
    <w:rsid w:val="00044CEF"/>
    <w:rsid w:val="00045882"/>
    <w:rsid w:val="00046653"/>
    <w:rsid w:val="00046AD7"/>
    <w:rsid w:val="00046DFB"/>
    <w:rsid w:val="000474CC"/>
    <w:rsid w:val="000474D3"/>
    <w:rsid w:val="00051720"/>
    <w:rsid w:val="0005188A"/>
    <w:rsid w:val="00051A1A"/>
    <w:rsid w:val="000528B4"/>
    <w:rsid w:val="00052FFC"/>
    <w:rsid w:val="00054235"/>
    <w:rsid w:val="000546C1"/>
    <w:rsid w:val="00054789"/>
    <w:rsid w:val="000553D9"/>
    <w:rsid w:val="00057EB6"/>
    <w:rsid w:val="000605CD"/>
    <w:rsid w:val="000608A0"/>
    <w:rsid w:val="00061863"/>
    <w:rsid w:val="00062299"/>
    <w:rsid w:val="00063365"/>
    <w:rsid w:val="0006374D"/>
    <w:rsid w:val="0006384C"/>
    <w:rsid w:val="00063C40"/>
    <w:rsid w:val="000651C6"/>
    <w:rsid w:val="00065C2E"/>
    <w:rsid w:val="00065C50"/>
    <w:rsid w:val="00067254"/>
    <w:rsid w:val="00067A2D"/>
    <w:rsid w:val="0007005C"/>
    <w:rsid w:val="0007018F"/>
    <w:rsid w:val="00070249"/>
    <w:rsid w:val="00070420"/>
    <w:rsid w:val="00070708"/>
    <w:rsid w:val="00070990"/>
    <w:rsid w:val="0007117B"/>
    <w:rsid w:val="00071A9C"/>
    <w:rsid w:val="00071F36"/>
    <w:rsid w:val="000722ED"/>
    <w:rsid w:val="00072A72"/>
    <w:rsid w:val="00073170"/>
    <w:rsid w:val="0007361B"/>
    <w:rsid w:val="00073F01"/>
    <w:rsid w:val="000759D6"/>
    <w:rsid w:val="00076E78"/>
    <w:rsid w:val="00077AA6"/>
    <w:rsid w:val="00077D81"/>
    <w:rsid w:val="00077F00"/>
    <w:rsid w:val="00080AD9"/>
    <w:rsid w:val="00080DF1"/>
    <w:rsid w:val="000825F0"/>
    <w:rsid w:val="000829D1"/>
    <w:rsid w:val="000839A7"/>
    <w:rsid w:val="00083E16"/>
    <w:rsid w:val="00084545"/>
    <w:rsid w:val="00085E66"/>
    <w:rsid w:val="00086271"/>
    <w:rsid w:val="000864D1"/>
    <w:rsid w:val="000865D7"/>
    <w:rsid w:val="00086D36"/>
    <w:rsid w:val="000878D0"/>
    <w:rsid w:val="00087D03"/>
    <w:rsid w:val="0009071A"/>
    <w:rsid w:val="0009118E"/>
    <w:rsid w:val="0009164B"/>
    <w:rsid w:val="000917E3"/>
    <w:rsid w:val="00092F25"/>
    <w:rsid w:val="0009395B"/>
    <w:rsid w:val="00093C86"/>
    <w:rsid w:val="00093F60"/>
    <w:rsid w:val="00094F1E"/>
    <w:rsid w:val="00095693"/>
    <w:rsid w:val="0009617F"/>
    <w:rsid w:val="0009673E"/>
    <w:rsid w:val="00096871"/>
    <w:rsid w:val="00097252"/>
    <w:rsid w:val="000973ED"/>
    <w:rsid w:val="000A07D6"/>
    <w:rsid w:val="000A0F43"/>
    <w:rsid w:val="000A1F14"/>
    <w:rsid w:val="000A38A6"/>
    <w:rsid w:val="000A3F37"/>
    <w:rsid w:val="000A4008"/>
    <w:rsid w:val="000A610A"/>
    <w:rsid w:val="000A7061"/>
    <w:rsid w:val="000B035F"/>
    <w:rsid w:val="000B0B46"/>
    <w:rsid w:val="000B1226"/>
    <w:rsid w:val="000B13E4"/>
    <w:rsid w:val="000B14EE"/>
    <w:rsid w:val="000B15E1"/>
    <w:rsid w:val="000B19AA"/>
    <w:rsid w:val="000B1E55"/>
    <w:rsid w:val="000B25A1"/>
    <w:rsid w:val="000B3019"/>
    <w:rsid w:val="000B3ABB"/>
    <w:rsid w:val="000B40A1"/>
    <w:rsid w:val="000B425E"/>
    <w:rsid w:val="000B4A71"/>
    <w:rsid w:val="000B4C46"/>
    <w:rsid w:val="000B51FB"/>
    <w:rsid w:val="000B6920"/>
    <w:rsid w:val="000B6DC9"/>
    <w:rsid w:val="000B6F62"/>
    <w:rsid w:val="000B6FE3"/>
    <w:rsid w:val="000B7534"/>
    <w:rsid w:val="000B7A5E"/>
    <w:rsid w:val="000C055A"/>
    <w:rsid w:val="000C07BC"/>
    <w:rsid w:val="000C1DBE"/>
    <w:rsid w:val="000C20EE"/>
    <w:rsid w:val="000C2E8C"/>
    <w:rsid w:val="000C363C"/>
    <w:rsid w:val="000C38CD"/>
    <w:rsid w:val="000C3CA4"/>
    <w:rsid w:val="000C3EA4"/>
    <w:rsid w:val="000C4496"/>
    <w:rsid w:val="000C67A5"/>
    <w:rsid w:val="000C6BCA"/>
    <w:rsid w:val="000C6F32"/>
    <w:rsid w:val="000C780D"/>
    <w:rsid w:val="000C7EE9"/>
    <w:rsid w:val="000D06C5"/>
    <w:rsid w:val="000D0CF5"/>
    <w:rsid w:val="000D0D2D"/>
    <w:rsid w:val="000D0DDC"/>
    <w:rsid w:val="000D2D3A"/>
    <w:rsid w:val="000D3C45"/>
    <w:rsid w:val="000D542F"/>
    <w:rsid w:val="000D5716"/>
    <w:rsid w:val="000D608F"/>
    <w:rsid w:val="000D663D"/>
    <w:rsid w:val="000D6F27"/>
    <w:rsid w:val="000D6FE3"/>
    <w:rsid w:val="000D780B"/>
    <w:rsid w:val="000D7EC2"/>
    <w:rsid w:val="000E0B74"/>
    <w:rsid w:val="000E167C"/>
    <w:rsid w:val="000E1788"/>
    <w:rsid w:val="000E1A25"/>
    <w:rsid w:val="000E21CA"/>
    <w:rsid w:val="000E2203"/>
    <w:rsid w:val="000E2F50"/>
    <w:rsid w:val="000E3CF9"/>
    <w:rsid w:val="000E43CC"/>
    <w:rsid w:val="000E4546"/>
    <w:rsid w:val="000E477C"/>
    <w:rsid w:val="000E4869"/>
    <w:rsid w:val="000E55D1"/>
    <w:rsid w:val="000E5992"/>
    <w:rsid w:val="000E5DB7"/>
    <w:rsid w:val="000E77BC"/>
    <w:rsid w:val="000F1DB6"/>
    <w:rsid w:val="000F211D"/>
    <w:rsid w:val="000F30A8"/>
    <w:rsid w:val="000F41C6"/>
    <w:rsid w:val="000F5019"/>
    <w:rsid w:val="000F6C2F"/>
    <w:rsid w:val="000F7090"/>
    <w:rsid w:val="000F765D"/>
    <w:rsid w:val="00101135"/>
    <w:rsid w:val="0010198C"/>
    <w:rsid w:val="00102371"/>
    <w:rsid w:val="0010238F"/>
    <w:rsid w:val="00104943"/>
    <w:rsid w:val="00105AE4"/>
    <w:rsid w:val="00105D2A"/>
    <w:rsid w:val="001060AC"/>
    <w:rsid w:val="001061CB"/>
    <w:rsid w:val="00106899"/>
    <w:rsid w:val="0011012B"/>
    <w:rsid w:val="001102F0"/>
    <w:rsid w:val="00110407"/>
    <w:rsid w:val="00110573"/>
    <w:rsid w:val="001108B0"/>
    <w:rsid w:val="00111DE6"/>
    <w:rsid w:val="00111F68"/>
    <w:rsid w:val="00112704"/>
    <w:rsid w:val="00112A12"/>
    <w:rsid w:val="00112C07"/>
    <w:rsid w:val="001132D5"/>
    <w:rsid w:val="00113583"/>
    <w:rsid w:val="00113F10"/>
    <w:rsid w:val="001140D8"/>
    <w:rsid w:val="00114BBC"/>
    <w:rsid w:val="00115257"/>
    <w:rsid w:val="0011535C"/>
    <w:rsid w:val="00115C11"/>
    <w:rsid w:val="00116495"/>
    <w:rsid w:val="0011655A"/>
    <w:rsid w:val="00116B6D"/>
    <w:rsid w:val="0011703B"/>
    <w:rsid w:val="00121394"/>
    <w:rsid w:val="00121AE0"/>
    <w:rsid w:val="00122385"/>
    <w:rsid w:val="00122412"/>
    <w:rsid w:val="001228B8"/>
    <w:rsid w:val="001228E9"/>
    <w:rsid w:val="00122B4D"/>
    <w:rsid w:val="0012332A"/>
    <w:rsid w:val="00124C08"/>
    <w:rsid w:val="00124D7E"/>
    <w:rsid w:val="00125135"/>
    <w:rsid w:val="0012682D"/>
    <w:rsid w:val="00126F27"/>
    <w:rsid w:val="00127B75"/>
    <w:rsid w:val="00127BA5"/>
    <w:rsid w:val="00127C83"/>
    <w:rsid w:val="0013019F"/>
    <w:rsid w:val="00130929"/>
    <w:rsid w:val="00130F77"/>
    <w:rsid w:val="0013177B"/>
    <w:rsid w:val="00131EBC"/>
    <w:rsid w:val="00132692"/>
    <w:rsid w:val="001326E4"/>
    <w:rsid w:val="00132FB0"/>
    <w:rsid w:val="0013320E"/>
    <w:rsid w:val="00133910"/>
    <w:rsid w:val="00133FC5"/>
    <w:rsid w:val="0013461E"/>
    <w:rsid w:val="00134A55"/>
    <w:rsid w:val="00134BBC"/>
    <w:rsid w:val="001357D9"/>
    <w:rsid w:val="00135C4A"/>
    <w:rsid w:val="001365A1"/>
    <w:rsid w:val="00136DF7"/>
    <w:rsid w:val="00137A9D"/>
    <w:rsid w:val="00137D97"/>
    <w:rsid w:val="00140737"/>
    <w:rsid w:val="001414CE"/>
    <w:rsid w:val="0014188C"/>
    <w:rsid w:val="00141F1E"/>
    <w:rsid w:val="001433D0"/>
    <w:rsid w:val="00145274"/>
    <w:rsid w:val="00145F49"/>
    <w:rsid w:val="0014608C"/>
    <w:rsid w:val="00147909"/>
    <w:rsid w:val="00147DA2"/>
    <w:rsid w:val="00150655"/>
    <w:rsid w:val="0015070D"/>
    <w:rsid w:val="00151E75"/>
    <w:rsid w:val="0015238F"/>
    <w:rsid w:val="00152ADE"/>
    <w:rsid w:val="00152DF5"/>
    <w:rsid w:val="0015324A"/>
    <w:rsid w:val="00153837"/>
    <w:rsid w:val="00153B41"/>
    <w:rsid w:val="00153BDF"/>
    <w:rsid w:val="0015468E"/>
    <w:rsid w:val="001546AE"/>
    <w:rsid w:val="00154E96"/>
    <w:rsid w:val="00155C39"/>
    <w:rsid w:val="00156321"/>
    <w:rsid w:val="00156EAA"/>
    <w:rsid w:val="001601FD"/>
    <w:rsid w:val="00161C6F"/>
    <w:rsid w:val="00161D41"/>
    <w:rsid w:val="001624C5"/>
    <w:rsid w:val="0016296D"/>
    <w:rsid w:val="00162F45"/>
    <w:rsid w:val="00163A16"/>
    <w:rsid w:val="00163A6F"/>
    <w:rsid w:val="00163C9A"/>
    <w:rsid w:val="001649F4"/>
    <w:rsid w:val="001709C8"/>
    <w:rsid w:val="00170BBE"/>
    <w:rsid w:val="00170F36"/>
    <w:rsid w:val="001719BD"/>
    <w:rsid w:val="0017316E"/>
    <w:rsid w:val="001739B4"/>
    <w:rsid w:val="00173D15"/>
    <w:rsid w:val="001741BD"/>
    <w:rsid w:val="0017461D"/>
    <w:rsid w:val="00174E71"/>
    <w:rsid w:val="001756F5"/>
    <w:rsid w:val="00175D11"/>
    <w:rsid w:val="00175DF4"/>
    <w:rsid w:val="001762EC"/>
    <w:rsid w:val="00176CF2"/>
    <w:rsid w:val="001777F9"/>
    <w:rsid w:val="00180241"/>
    <w:rsid w:val="00182574"/>
    <w:rsid w:val="001826FA"/>
    <w:rsid w:val="00182CD4"/>
    <w:rsid w:val="00182FCD"/>
    <w:rsid w:val="00183251"/>
    <w:rsid w:val="00183BDE"/>
    <w:rsid w:val="0018415E"/>
    <w:rsid w:val="0018485C"/>
    <w:rsid w:val="00185336"/>
    <w:rsid w:val="001868EF"/>
    <w:rsid w:val="00186B87"/>
    <w:rsid w:val="001901F9"/>
    <w:rsid w:val="0019025A"/>
    <w:rsid w:val="00190FAA"/>
    <w:rsid w:val="001914EF"/>
    <w:rsid w:val="00191A00"/>
    <w:rsid w:val="00191BF4"/>
    <w:rsid w:val="00192347"/>
    <w:rsid w:val="00192372"/>
    <w:rsid w:val="00192454"/>
    <w:rsid w:val="00192D21"/>
    <w:rsid w:val="001936E6"/>
    <w:rsid w:val="0019370D"/>
    <w:rsid w:val="00193A56"/>
    <w:rsid w:val="00193EB8"/>
    <w:rsid w:val="00194B36"/>
    <w:rsid w:val="00194D2E"/>
    <w:rsid w:val="00195A62"/>
    <w:rsid w:val="00196F1E"/>
    <w:rsid w:val="00197045"/>
    <w:rsid w:val="001970A5"/>
    <w:rsid w:val="001A0D83"/>
    <w:rsid w:val="001A10E5"/>
    <w:rsid w:val="001A1118"/>
    <w:rsid w:val="001A2CB4"/>
    <w:rsid w:val="001A2E29"/>
    <w:rsid w:val="001A424B"/>
    <w:rsid w:val="001A4938"/>
    <w:rsid w:val="001A4BC9"/>
    <w:rsid w:val="001B0D78"/>
    <w:rsid w:val="001B1CC8"/>
    <w:rsid w:val="001B1E58"/>
    <w:rsid w:val="001B247B"/>
    <w:rsid w:val="001B2C42"/>
    <w:rsid w:val="001B3355"/>
    <w:rsid w:val="001B346C"/>
    <w:rsid w:val="001B44BA"/>
    <w:rsid w:val="001B46CA"/>
    <w:rsid w:val="001B48DA"/>
    <w:rsid w:val="001B4C23"/>
    <w:rsid w:val="001B4CB3"/>
    <w:rsid w:val="001B57BD"/>
    <w:rsid w:val="001B5B0C"/>
    <w:rsid w:val="001B614C"/>
    <w:rsid w:val="001B6BF0"/>
    <w:rsid w:val="001B6F3D"/>
    <w:rsid w:val="001B7372"/>
    <w:rsid w:val="001B7C4E"/>
    <w:rsid w:val="001B7E2F"/>
    <w:rsid w:val="001C08E6"/>
    <w:rsid w:val="001C0B1F"/>
    <w:rsid w:val="001C10F6"/>
    <w:rsid w:val="001C2A1B"/>
    <w:rsid w:val="001C3410"/>
    <w:rsid w:val="001C3C79"/>
    <w:rsid w:val="001C4648"/>
    <w:rsid w:val="001C4A5B"/>
    <w:rsid w:val="001C4D77"/>
    <w:rsid w:val="001C5038"/>
    <w:rsid w:val="001C555E"/>
    <w:rsid w:val="001C55EF"/>
    <w:rsid w:val="001C5B11"/>
    <w:rsid w:val="001C6121"/>
    <w:rsid w:val="001C7736"/>
    <w:rsid w:val="001C777A"/>
    <w:rsid w:val="001D0BFC"/>
    <w:rsid w:val="001D2038"/>
    <w:rsid w:val="001D2081"/>
    <w:rsid w:val="001D22AE"/>
    <w:rsid w:val="001D3860"/>
    <w:rsid w:val="001D5CB1"/>
    <w:rsid w:val="001D5D68"/>
    <w:rsid w:val="001D5EED"/>
    <w:rsid w:val="001D6280"/>
    <w:rsid w:val="001D662D"/>
    <w:rsid w:val="001D6A85"/>
    <w:rsid w:val="001D7106"/>
    <w:rsid w:val="001E05AC"/>
    <w:rsid w:val="001E1418"/>
    <w:rsid w:val="001E1962"/>
    <w:rsid w:val="001E1AEA"/>
    <w:rsid w:val="001E1C8A"/>
    <w:rsid w:val="001E2017"/>
    <w:rsid w:val="001E235B"/>
    <w:rsid w:val="001E2D4B"/>
    <w:rsid w:val="001E4BDB"/>
    <w:rsid w:val="001E4E54"/>
    <w:rsid w:val="001E5B2B"/>
    <w:rsid w:val="001E65AA"/>
    <w:rsid w:val="001E6F37"/>
    <w:rsid w:val="001F058F"/>
    <w:rsid w:val="001F08C2"/>
    <w:rsid w:val="001F0EBF"/>
    <w:rsid w:val="001F0F4E"/>
    <w:rsid w:val="001F101A"/>
    <w:rsid w:val="001F1315"/>
    <w:rsid w:val="001F14EA"/>
    <w:rsid w:val="001F2467"/>
    <w:rsid w:val="001F2948"/>
    <w:rsid w:val="001F3267"/>
    <w:rsid w:val="001F34B1"/>
    <w:rsid w:val="001F36EE"/>
    <w:rsid w:val="001F3745"/>
    <w:rsid w:val="001F4CEC"/>
    <w:rsid w:val="001F5874"/>
    <w:rsid w:val="001F5912"/>
    <w:rsid w:val="001F7A37"/>
    <w:rsid w:val="00200641"/>
    <w:rsid w:val="00200F4B"/>
    <w:rsid w:val="002012D2"/>
    <w:rsid w:val="002015F6"/>
    <w:rsid w:val="00201686"/>
    <w:rsid w:val="0020219A"/>
    <w:rsid w:val="0020224F"/>
    <w:rsid w:val="00202920"/>
    <w:rsid w:val="002031B4"/>
    <w:rsid w:val="00203A7C"/>
    <w:rsid w:val="00203D20"/>
    <w:rsid w:val="0020503C"/>
    <w:rsid w:val="002059CA"/>
    <w:rsid w:val="00205AFA"/>
    <w:rsid w:val="0020683D"/>
    <w:rsid w:val="00206919"/>
    <w:rsid w:val="00207099"/>
    <w:rsid w:val="002071EB"/>
    <w:rsid w:val="002105F1"/>
    <w:rsid w:val="00211050"/>
    <w:rsid w:val="00211B63"/>
    <w:rsid w:val="00212FF2"/>
    <w:rsid w:val="00213C81"/>
    <w:rsid w:val="0021480F"/>
    <w:rsid w:val="00214D31"/>
    <w:rsid w:val="00214FFE"/>
    <w:rsid w:val="00215F93"/>
    <w:rsid w:val="002162C8"/>
    <w:rsid w:val="0021640E"/>
    <w:rsid w:val="00216AF4"/>
    <w:rsid w:val="002170E8"/>
    <w:rsid w:val="00217E10"/>
    <w:rsid w:val="00217F8E"/>
    <w:rsid w:val="00220325"/>
    <w:rsid w:val="002206FD"/>
    <w:rsid w:val="002220D6"/>
    <w:rsid w:val="002228BB"/>
    <w:rsid w:val="002229BD"/>
    <w:rsid w:val="002229FE"/>
    <w:rsid w:val="00224ABC"/>
    <w:rsid w:val="002251A3"/>
    <w:rsid w:val="00225800"/>
    <w:rsid w:val="00225852"/>
    <w:rsid w:val="00225E42"/>
    <w:rsid w:val="0022681D"/>
    <w:rsid w:val="002271BD"/>
    <w:rsid w:val="00227BE6"/>
    <w:rsid w:val="00230EC7"/>
    <w:rsid w:val="00230F68"/>
    <w:rsid w:val="00231038"/>
    <w:rsid w:val="002327DF"/>
    <w:rsid w:val="0023294B"/>
    <w:rsid w:val="00232CF6"/>
    <w:rsid w:val="002337C6"/>
    <w:rsid w:val="0023385C"/>
    <w:rsid w:val="00233B52"/>
    <w:rsid w:val="0023576B"/>
    <w:rsid w:val="00236279"/>
    <w:rsid w:val="00237C38"/>
    <w:rsid w:val="002403CC"/>
    <w:rsid w:val="002408A2"/>
    <w:rsid w:val="00240DCF"/>
    <w:rsid w:val="00242B6E"/>
    <w:rsid w:val="0024511B"/>
    <w:rsid w:val="00245C2D"/>
    <w:rsid w:val="00245FFA"/>
    <w:rsid w:val="002470B3"/>
    <w:rsid w:val="0024774F"/>
    <w:rsid w:val="00250804"/>
    <w:rsid w:val="00251280"/>
    <w:rsid w:val="0025195B"/>
    <w:rsid w:val="00252C11"/>
    <w:rsid w:val="00252D6D"/>
    <w:rsid w:val="00253F2D"/>
    <w:rsid w:val="00254EA1"/>
    <w:rsid w:val="002552F9"/>
    <w:rsid w:val="00255361"/>
    <w:rsid w:val="002559FA"/>
    <w:rsid w:val="00256FC1"/>
    <w:rsid w:val="002570D0"/>
    <w:rsid w:val="00257CE6"/>
    <w:rsid w:val="00257D8F"/>
    <w:rsid w:val="00257EC0"/>
    <w:rsid w:val="00260C0D"/>
    <w:rsid w:val="00262188"/>
    <w:rsid w:val="0026220D"/>
    <w:rsid w:val="00262225"/>
    <w:rsid w:val="0026242C"/>
    <w:rsid w:val="00264CB4"/>
    <w:rsid w:val="00264DDF"/>
    <w:rsid w:val="00265FF5"/>
    <w:rsid w:val="0026612E"/>
    <w:rsid w:val="00266251"/>
    <w:rsid w:val="0026646E"/>
    <w:rsid w:val="0026680A"/>
    <w:rsid w:val="00266DA3"/>
    <w:rsid w:val="002702BB"/>
    <w:rsid w:val="0027084D"/>
    <w:rsid w:val="00270851"/>
    <w:rsid w:val="002715B2"/>
    <w:rsid w:val="002721BA"/>
    <w:rsid w:val="00273261"/>
    <w:rsid w:val="0027430B"/>
    <w:rsid w:val="00274EB3"/>
    <w:rsid w:val="00274ED6"/>
    <w:rsid w:val="0027535A"/>
    <w:rsid w:val="00275475"/>
    <w:rsid w:val="00275D7C"/>
    <w:rsid w:val="00275E41"/>
    <w:rsid w:val="00276179"/>
    <w:rsid w:val="00276C7B"/>
    <w:rsid w:val="0027735C"/>
    <w:rsid w:val="00277460"/>
    <w:rsid w:val="002811AE"/>
    <w:rsid w:val="0028168D"/>
    <w:rsid w:val="002816F2"/>
    <w:rsid w:val="00281F40"/>
    <w:rsid w:val="0028204C"/>
    <w:rsid w:val="002830D9"/>
    <w:rsid w:val="00284ABF"/>
    <w:rsid w:val="00284D5A"/>
    <w:rsid w:val="00284D72"/>
    <w:rsid w:val="00285469"/>
    <w:rsid w:val="0028674B"/>
    <w:rsid w:val="00286C17"/>
    <w:rsid w:val="00286F56"/>
    <w:rsid w:val="00287E6B"/>
    <w:rsid w:val="0029005C"/>
    <w:rsid w:val="002903C6"/>
    <w:rsid w:val="002904C2"/>
    <w:rsid w:val="002908F4"/>
    <w:rsid w:val="002910F6"/>
    <w:rsid w:val="002915C5"/>
    <w:rsid w:val="00291762"/>
    <w:rsid w:val="00291819"/>
    <w:rsid w:val="00292060"/>
    <w:rsid w:val="002922D6"/>
    <w:rsid w:val="00292345"/>
    <w:rsid w:val="002932EA"/>
    <w:rsid w:val="0029354B"/>
    <w:rsid w:val="002939CF"/>
    <w:rsid w:val="00293D54"/>
    <w:rsid w:val="002940B1"/>
    <w:rsid w:val="0029418F"/>
    <w:rsid w:val="002942A5"/>
    <w:rsid w:val="00294B88"/>
    <w:rsid w:val="002951EA"/>
    <w:rsid w:val="00295440"/>
    <w:rsid w:val="002957BE"/>
    <w:rsid w:val="002973FB"/>
    <w:rsid w:val="002A0766"/>
    <w:rsid w:val="002A078E"/>
    <w:rsid w:val="002A1319"/>
    <w:rsid w:val="002A1DE5"/>
    <w:rsid w:val="002A258A"/>
    <w:rsid w:val="002A2794"/>
    <w:rsid w:val="002A36BC"/>
    <w:rsid w:val="002A409A"/>
    <w:rsid w:val="002A4891"/>
    <w:rsid w:val="002A4B50"/>
    <w:rsid w:val="002A4D89"/>
    <w:rsid w:val="002A539A"/>
    <w:rsid w:val="002A66CC"/>
    <w:rsid w:val="002A7AF7"/>
    <w:rsid w:val="002B08DB"/>
    <w:rsid w:val="002B0FB0"/>
    <w:rsid w:val="002B1019"/>
    <w:rsid w:val="002B2057"/>
    <w:rsid w:val="002B2222"/>
    <w:rsid w:val="002B3344"/>
    <w:rsid w:val="002B573D"/>
    <w:rsid w:val="002B5FEB"/>
    <w:rsid w:val="002B6819"/>
    <w:rsid w:val="002B69AA"/>
    <w:rsid w:val="002B6B8D"/>
    <w:rsid w:val="002B6D06"/>
    <w:rsid w:val="002B6DB6"/>
    <w:rsid w:val="002B7851"/>
    <w:rsid w:val="002B7A55"/>
    <w:rsid w:val="002B7BE7"/>
    <w:rsid w:val="002B7D04"/>
    <w:rsid w:val="002C145D"/>
    <w:rsid w:val="002C1B40"/>
    <w:rsid w:val="002C1FEC"/>
    <w:rsid w:val="002C31F2"/>
    <w:rsid w:val="002C331E"/>
    <w:rsid w:val="002C3C6A"/>
    <w:rsid w:val="002C3E34"/>
    <w:rsid w:val="002C4549"/>
    <w:rsid w:val="002C5AE9"/>
    <w:rsid w:val="002C6498"/>
    <w:rsid w:val="002C7A3E"/>
    <w:rsid w:val="002D0A1A"/>
    <w:rsid w:val="002D0BDB"/>
    <w:rsid w:val="002D0D60"/>
    <w:rsid w:val="002D1921"/>
    <w:rsid w:val="002D2C86"/>
    <w:rsid w:val="002D2DC9"/>
    <w:rsid w:val="002D327E"/>
    <w:rsid w:val="002D33F5"/>
    <w:rsid w:val="002D3A87"/>
    <w:rsid w:val="002D4B05"/>
    <w:rsid w:val="002D4ECB"/>
    <w:rsid w:val="002D5059"/>
    <w:rsid w:val="002D51C3"/>
    <w:rsid w:val="002D57F5"/>
    <w:rsid w:val="002D62AA"/>
    <w:rsid w:val="002D653D"/>
    <w:rsid w:val="002D6FD1"/>
    <w:rsid w:val="002D798C"/>
    <w:rsid w:val="002E0345"/>
    <w:rsid w:val="002E0E66"/>
    <w:rsid w:val="002E290F"/>
    <w:rsid w:val="002E3BE8"/>
    <w:rsid w:val="002E42B5"/>
    <w:rsid w:val="002E4420"/>
    <w:rsid w:val="002E461B"/>
    <w:rsid w:val="002E51AD"/>
    <w:rsid w:val="002E5FAB"/>
    <w:rsid w:val="002E629E"/>
    <w:rsid w:val="002E65A8"/>
    <w:rsid w:val="002E670D"/>
    <w:rsid w:val="002E6902"/>
    <w:rsid w:val="002E6BAD"/>
    <w:rsid w:val="002E6E88"/>
    <w:rsid w:val="002E73E9"/>
    <w:rsid w:val="002E761A"/>
    <w:rsid w:val="002E7657"/>
    <w:rsid w:val="002E7983"/>
    <w:rsid w:val="002F0474"/>
    <w:rsid w:val="002F225E"/>
    <w:rsid w:val="002F254B"/>
    <w:rsid w:val="002F3DBE"/>
    <w:rsid w:val="002F463F"/>
    <w:rsid w:val="002F47D0"/>
    <w:rsid w:val="002F5EDE"/>
    <w:rsid w:val="002F7825"/>
    <w:rsid w:val="003004FF"/>
    <w:rsid w:val="003006E2"/>
    <w:rsid w:val="003007FB"/>
    <w:rsid w:val="00300944"/>
    <w:rsid w:val="00302103"/>
    <w:rsid w:val="00303D21"/>
    <w:rsid w:val="00303E4A"/>
    <w:rsid w:val="003043C1"/>
    <w:rsid w:val="0030565E"/>
    <w:rsid w:val="00305C7F"/>
    <w:rsid w:val="00305CB4"/>
    <w:rsid w:val="003063CB"/>
    <w:rsid w:val="00306534"/>
    <w:rsid w:val="00306546"/>
    <w:rsid w:val="00307753"/>
    <w:rsid w:val="003078B4"/>
    <w:rsid w:val="00310D49"/>
    <w:rsid w:val="00313DE7"/>
    <w:rsid w:val="003148FD"/>
    <w:rsid w:val="003153CD"/>
    <w:rsid w:val="003155F3"/>
    <w:rsid w:val="00316070"/>
    <w:rsid w:val="00316DA5"/>
    <w:rsid w:val="003177F9"/>
    <w:rsid w:val="00320742"/>
    <w:rsid w:val="003208C3"/>
    <w:rsid w:val="00320956"/>
    <w:rsid w:val="0032117C"/>
    <w:rsid w:val="003213FF"/>
    <w:rsid w:val="003215CF"/>
    <w:rsid w:val="00322017"/>
    <w:rsid w:val="003221EF"/>
    <w:rsid w:val="003268F9"/>
    <w:rsid w:val="00326F8C"/>
    <w:rsid w:val="00327971"/>
    <w:rsid w:val="0033036D"/>
    <w:rsid w:val="0033074A"/>
    <w:rsid w:val="00330BBB"/>
    <w:rsid w:val="003311F2"/>
    <w:rsid w:val="003317E4"/>
    <w:rsid w:val="00332009"/>
    <w:rsid w:val="003327DF"/>
    <w:rsid w:val="0033361D"/>
    <w:rsid w:val="003344C7"/>
    <w:rsid w:val="003346F2"/>
    <w:rsid w:val="00334CD9"/>
    <w:rsid w:val="00335227"/>
    <w:rsid w:val="00335D59"/>
    <w:rsid w:val="00335E53"/>
    <w:rsid w:val="00337113"/>
    <w:rsid w:val="0033711C"/>
    <w:rsid w:val="00337124"/>
    <w:rsid w:val="003379E1"/>
    <w:rsid w:val="00340C7E"/>
    <w:rsid w:val="00341C7E"/>
    <w:rsid w:val="00341EB3"/>
    <w:rsid w:val="0034294C"/>
    <w:rsid w:val="00342BAF"/>
    <w:rsid w:val="00343049"/>
    <w:rsid w:val="00343ACC"/>
    <w:rsid w:val="00343DA2"/>
    <w:rsid w:val="00344019"/>
    <w:rsid w:val="003445A9"/>
    <w:rsid w:val="0034492C"/>
    <w:rsid w:val="00345260"/>
    <w:rsid w:val="003453B4"/>
    <w:rsid w:val="003454B0"/>
    <w:rsid w:val="0034581B"/>
    <w:rsid w:val="003458F6"/>
    <w:rsid w:val="00346482"/>
    <w:rsid w:val="00347172"/>
    <w:rsid w:val="00347349"/>
    <w:rsid w:val="00350B72"/>
    <w:rsid w:val="00350C85"/>
    <w:rsid w:val="00350D0F"/>
    <w:rsid w:val="00350EAD"/>
    <w:rsid w:val="003511F6"/>
    <w:rsid w:val="00351BE3"/>
    <w:rsid w:val="00352A80"/>
    <w:rsid w:val="00354459"/>
    <w:rsid w:val="003545B1"/>
    <w:rsid w:val="0035488B"/>
    <w:rsid w:val="00354A04"/>
    <w:rsid w:val="00354B27"/>
    <w:rsid w:val="00354D99"/>
    <w:rsid w:val="003558A4"/>
    <w:rsid w:val="00356BCC"/>
    <w:rsid w:val="00356F11"/>
    <w:rsid w:val="00360B63"/>
    <w:rsid w:val="00360F98"/>
    <w:rsid w:val="00361AFC"/>
    <w:rsid w:val="00361DB2"/>
    <w:rsid w:val="00361E3C"/>
    <w:rsid w:val="0036294C"/>
    <w:rsid w:val="00363904"/>
    <w:rsid w:val="00363CB3"/>
    <w:rsid w:val="00364AAD"/>
    <w:rsid w:val="003701C3"/>
    <w:rsid w:val="00371954"/>
    <w:rsid w:val="00371B98"/>
    <w:rsid w:val="0037211C"/>
    <w:rsid w:val="00373084"/>
    <w:rsid w:val="00373EE3"/>
    <w:rsid w:val="00373EF2"/>
    <w:rsid w:val="0037403D"/>
    <w:rsid w:val="00377578"/>
    <w:rsid w:val="00377A2D"/>
    <w:rsid w:val="0038016B"/>
    <w:rsid w:val="00381075"/>
    <w:rsid w:val="00381856"/>
    <w:rsid w:val="00381A4D"/>
    <w:rsid w:val="00382310"/>
    <w:rsid w:val="00382412"/>
    <w:rsid w:val="00383223"/>
    <w:rsid w:val="003832AC"/>
    <w:rsid w:val="0038358E"/>
    <w:rsid w:val="00383894"/>
    <w:rsid w:val="00384A38"/>
    <w:rsid w:val="00384CBE"/>
    <w:rsid w:val="00384DA3"/>
    <w:rsid w:val="00385227"/>
    <w:rsid w:val="00385F43"/>
    <w:rsid w:val="00386477"/>
    <w:rsid w:val="00386589"/>
    <w:rsid w:val="003869B8"/>
    <w:rsid w:val="00386F64"/>
    <w:rsid w:val="0039089D"/>
    <w:rsid w:val="00391B20"/>
    <w:rsid w:val="003925D0"/>
    <w:rsid w:val="00392647"/>
    <w:rsid w:val="0039284A"/>
    <w:rsid w:val="003929D1"/>
    <w:rsid w:val="003936B9"/>
    <w:rsid w:val="00394143"/>
    <w:rsid w:val="0039443A"/>
    <w:rsid w:val="00394D04"/>
    <w:rsid w:val="00395236"/>
    <w:rsid w:val="003954AA"/>
    <w:rsid w:val="00395AEA"/>
    <w:rsid w:val="00395B9C"/>
    <w:rsid w:val="00396157"/>
    <w:rsid w:val="00396841"/>
    <w:rsid w:val="00397472"/>
    <w:rsid w:val="003A1723"/>
    <w:rsid w:val="003A1899"/>
    <w:rsid w:val="003A30B2"/>
    <w:rsid w:val="003A3CF4"/>
    <w:rsid w:val="003A46A7"/>
    <w:rsid w:val="003A50EC"/>
    <w:rsid w:val="003A525C"/>
    <w:rsid w:val="003A532B"/>
    <w:rsid w:val="003A5FA4"/>
    <w:rsid w:val="003A62F9"/>
    <w:rsid w:val="003A63BC"/>
    <w:rsid w:val="003A6641"/>
    <w:rsid w:val="003A692B"/>
    <w:rsid w:val="003A7F88"/>
    <w:rsid w:val="003B0768"/>
    <w:rsid w:val="003B0791"/>
    <w:rsid w:val="003B1172"/>
    <w:rsid w:val="003B13A0"/>
    <w:rsid w:val="003B1EF6"/>
    <w:rsid w:val="003B3E89"/>
    <w:rsid w:val="003B3F62"/>
    <w:rsid w:val="003B4F12"/>
    <w:rsid w:val="003B50CB"/>
    <w:rsid w:val="003B696F"/>
    <w:rsid w:val="003B6FDE"/>
    <w:rsid w:val="003B7325"/>
    <w:rsid w:val="003B755C"/>
    <w:rsid w:val="003C09EC"/>
    <w:rsid w:val="003C196F"/>
    <w:rsid w:val="003C293F"/>
    <w:rsid w:val="003C2F19"/>
    <w:rsid w:val="003C4EB3"/>
    <w:rsid w:val="003C5077"/>
    <w:rsid w:val="003C52DA"/>
    <w:rsid w:val="003C52F3"/>
    <w:rsid w:val="003C5344"/>
    <w:rsid w:val="003C5E51"/>
    <w:rsid w:val="003C60B8"/>
    <w:rsid w:val="003C6403"/>
    <w:rsid w:val="003C7C4C"/>
    <w:rsid w:val="003C7FC4"/>
    <w:rsid w:val="003D0F4D"/>
    <w:rsid w:val="003D1260"/>
    <w:rsid w:val="003D1489"/>
    <w:rsid w:val="003D1FDE"/>
    <w:rsid w:val="003D2765"/>
    <w:rsid w:val="003D358C"/>
    <w:rsid w:val="003D57DB"/>
    <w:rsid w:val="003D6969"/>
    <w:rsid w:val="003D6AB0"/>
    <w:rsid w:val="003D6C79"/>
    <w:rsid w:val="003D7E47"/>
    <w:rsid w:val="003D7F73"/>
    <w:rsid w:val="003D7FDF"/>
    <w:rsid w:val="003D7FF5"/>
    <w:rsid w:val="003E007C"/>
    <w:rsid w:val="003E01E2"/>
    <w:rsid w:val="003E0CBF"/>
    <w:rsid w:val="003E16C2"/>
    <w:rsid w:val="003E2922"/>
    <w:rsid w:val="003E2C49"/>
    <w:rsid w:val="003E3B10"/>
    <w:rsid w:val="003E53C4"/>
    <w:rsid w:val="003E544A"/>
    <w:rsid w:val="003E56C7"/>
    <w:rsid w:val="003E5E6F"/>
    <w:rsid w:val="003E64DE"/>
    <w:rsid w:val="003E72D0"/>
    <w:rsid w:val="003E7BB7"/>
    <w:rsid w:val="003F0410"/>
    <w:rsid w:val="003F0C7B"/>
    <w:rsid w:val="003F14BE"/>
    <w:rsid w:val="003F16E3"/>
    <w:rsid w:val="003F19BE"/>
    <w:rsid w:val="003F1B87"/>
    <w:rsid w:val="003F1C9B"/>
    <w:rsid w:val="003F45FA"/>
    <w:rsid w:val="003F47D2"/>
    <w:rsid w:val="003F4CFF"/>
    <w:rsid w:val="003F4EEB"/>
    <w:rsid w:val="003F565F"/>
    <w:rsid w:val="003F5674"/>
    <w:rsid w:val="003F59B8"/>
    <w:rsid w:val="003F6069"/>
    <w:rsid w:val="003F694D"/>
    <w:rsid w:val="003F7BFD"/>
    <w:rsid w:val="003F7D04"/>
    <w:rsid w:val="00402768"/>
    <w:rsid w:val="00402818"/>
    <w:rsid w:val="00402EB8"/>
    <w:rsid w:val="004033B9"/>
    <w:rsid w:val="00403701"/>
    <w:rsid w:val="004043DD"/>
    <w:rsid w:val="0040540F"/>
    <w:rsid w:val="00405835"/>
    <w:rsid w:val="00405AEA"/>
    <w:rsid w:val="00405BB5"/>
    <w:rsid w:val="00406015"/>
    <w:rsid w:val="004068CA"/>
    <w:rsid w:val="0041080F"/>
    <w:rsid w:val="00410E0C"/>
    <w:rsid w:val="004120EC"/>
    <w:rsid w:val="004129A7"/>
    <w:rsid w:val="00413C6F"/>
    <w:rsid w:val="00413DC6"/>
    <w:rsid w:val="004143B8"/>
    <w:rsid w:val="00414AFF"/>
    <w:rsid w:val="00414C0B"/>
    <w:rsid w:val="00415A7A"/>
    <w:rsid w:val="0041603A"/>
    <w:rsid w:val="00417C67"/>
    <w:rsid w:val="00417F55"/>
    <w:rsid w:val="004202C2"/>
    <w:rsid w:val="00420DB2"/>
    <w:rsid w:val="0042140A"/>
    <w:rsid w:val="00421840"/>
    <w:rsid w:val="0042248F"/>
    <w:rsid w:val="00422B91"/>
    <w:rsid w:val="00423294"/>
    <w:rsid w:val="00423653"/>
    <w:rsid w:val="004239BF"/>
    <w:rsid w:val="004239E5"/>
    <w:rsid w:val="004240C1"/>
    <w:rsid w:val="00425BB1"/>
    <w:rsid w:val="0042711F"/>
    <w:rsid w:val="0043007C"/>
    <w:rsid w:val="004300E9"/>
    <w:rsid w:val="004306C8"/>
    <w:rsid w:val="004307D8"/>
    <w:rsid w:val="00430AC2"/>
    <w:rsid w:val="00430AC4"/>
    <w:rsid w:val="00430F43"/>
    <w:rsid w:val="00431004"/>
    <w:rsid w:val="00432DB1"/>
    <w:rsid w:val="00433389"/>
    <w:rsid w:val="00433AD6"/>
    <w:rsid w:val="00434225"/>
    <w:rsid w:val="00434643"/>
    <w:rsid w:val="00434866"/>
    <w:rsid w:val="00434CDA"/>
    <w:rsid w:val="00435152"/>
    <w:rsid w:val="004358E6"/>
    <w:rsid w:val="004367FD"/>
    <w:rsid w:val="00436B82"/>
    <w:rsid w:val="00436C13"/>
    <w:rsid w:val="00440494"/>
    <w:rsid w:val="00440AD2"/>
    <w:rsid w:val="00440B56"/>
    <w:rsid w:val="004410B0"/>
    <w:rsid w:val="0044156A"/>
    <w:rsid w:val="00441708"/>
    <w:rsid w:val="00441A2E"/>
    <w:rsid w:val="00441C77"/>
    <w:rsid w:val="00442DD3"/>
    <w:rsid w:val="00443C98"/>
    <w:rsid w:val="00443D26"/>
    <w:rsid w:val="004443C4"/>
    <w:rsid w:val="0044440C"/>
    <w:rsid w:val="00445A6F"/>
    <w:rsid w:val="0044742A"/>
    <w:rsid w:val="00447718"/>
    <w:rsid w:val="0045016B"/>
    <w:rsid w:val="00450B5D"/>
    <w:rsid w:val="00452FE1"/>
    <w:rsid w:val="004534AA"/>
    <w:rsid w:val="00453C65"/>
    <w:rsid w:val="004545E4"/>
    <w:rsid w:val="00455204"/>
    <w:rsid w:val="004554A1"/>
    <w:rsid w:val="00456335"/>
    <w:rsid w:val="00457157"/>
    <w:rsid w:val="00457A23"/>
    <w:rsid w:val="004609C7"/>
    <w:rsid w:val="0046143A"/>
    <w:rsid w:val="00461903"/>
    <w:rsid w:val="00462470"/>
    <w:rsid w:val="0046250A"/>
    <w:rsid w:val="004635C1"/>
    <w:rsid w:val="004639CF"/>
    <w:rsid w:val="00463AFA"/>
    <w:rsid w:val="00464649"/>
    <w:rsid w:val="0046478B"/>
    <w:rsid w:val="0046495E"/>
    <w:rsid w:val="00464B58"/>
    <w:rsid w:val="00465FA5"/>
    <w:rsid w:val="00466CA5"/>
    <w:rsid w:val="0046714B"/>
    <w:rsid w:val="00467221"/>
    <w:rsid w:val="00467D33"/>
    <w:rsid w:val="00470D79"/>
    <w:rsid w:val="004714FE"/>
    <w:rsid w:val="00471BCC"/>
    <w:rsid w:val="00471C84"/>
    <w:rsid w:val="00472365"/>
    <w:rsid w:val="00473673"/>
    <w:rsid w:val="004737FA"/>
    <w:rsid w:val="004750B4"/>
    <w:rsid w:val="00476105"/>
    <w:rsid w:val="00476355"/>
    <w:rsid w:val="00476427"/>
    <w:rsid w:val="004766F9"/>
    <w:rsid w:val="004802C8"/>
    <w:rsid w:val="00480AAF"/>
    <w:rsid w:val="00480FB9"/>
    <w:rsid w:val="00481286"/>
    <w:rsid w:val="00481350"/>
    <w:rsid w:val="004813B8"/>
    <w:rsid w:val="00481886"/>
    <w:rsid w:val="00481A84"/>
    <w:rsid w:val="00482B0D"/>
    <w:rsid w:val="00483AD7"/>
    <w:rsid w:val="00483B92"/>
    <w:rsid w:val="004843D7"/>
    <w:rsid w:val="00484A18"/>
    <w:rsid w:val="00484E07"/>
    <w:rsid w:val="0048524D"/>
    <w:rsid w:val="00485FE9"/>
    <w:rsid w:val="0048628F"/>
    <w:rsid w:val="00486724"/>
    <w:rsid w:val="00486F4E"/>
    <w:rsid w:val="00487641"/>
    <w:rsid w:val="00487E5E"/>
    <w:rsid w:val="00487EE9"/>
    <w:rsid w:val="0049001C"/>
    <w:rsid w:val="00490A75"/>
    <w:rsid w:val="0049106C"/>
    <w:rsid w:val="00491F62"/>
    <w:rsid w:val="00493965"/>
    <w:rsid w:val="00493BED"/>
    <w:rsid w:val="00493ECE"/>
    <w:rsid w:val="004949EB"/>
    <w:rsid w:val="00494B3D"/>
    <w:rsid w:val="004962E5"/>
    <w:rsid w:val="00497D6F"/>
    <w:rsid w:val="004A1187"/>
    <w:rsid w:val="004A154F"/>
    <w:rsid w:val="004A163C"/>
    <w:rsid w:val="004A1D1F"/>
    <w:rsid w:val="004A27A5"/>
    <w:rsid w:val="004A288F"/>
    <w:rsid w:val="004A2989"/>
    <w:rsid w:val="004A3211"/>
    <w:rsid w:val="004A47EA"/>
    <w:rsid w:val="004A750B"/>
    <w:rsid w:val="004A7E2A"/>
    <w:rsid w:val="004B046E"/>
    <w:rsid w:val="004B10A0"/>
    <w:rsid w:val="004B1130"/>
    <w:rsid w:val="004B181B"/>
    <w:rsid w:val="004B1A5C"/>
    <w:rsid w:val="004B1BED"/>
    <w:rsid w:val="004B1C74"/>
    <w:rsid w:val="004B1DE9"/>
    <w:rsid w:val="004B2F80"/>
    <w:rsid w:val="004B30A7"/>
    <w:rsid w:val="004B3BB9"/>
    <w:rsid w:val="004B68CD"/>
    <w:rsid w:val="004B6C40"/>
    <w:rsid w:val="004B7874"/>
    <w:rsid w:val="004B7E74"/>
    <w:rsid w:val="004C007F"/>
    <w:rsid w:val="004C06D4"/>
    <w:rsid w:val="004C16C2"/>
    <w:rsid w:val="004C1D53"/>
    <w:rsid w:val="004C24A0"/>
    <w:rsid w:val="004C2BA9"/>
    <w:rsid w:val="004C3334"/>
    <w:rsid w:val="004C422F"/>
    <w:rsid w:val="004C50C9"/>
    <w:rsid w:val="004C5366"/>
    <w:rsid w:val="004C5EF5"/>
    <w:rsid w:val="004C68FC"/>
    <w:rsid w:val="004C74AE"/>
    <w:rsid w:val="004C7BCB"/>
    <w:rsid w:val="004D0A79"/>
    <w:rsid w:val="004D129B"/>
    <w:rsid w:val="004D2926"/>
    <w:rsid w:val="004D29AD"/>
    <w:rsid w:val="004D3897"/>
    <w:rsid w:val="004D43F9"/>
    <w:rsid w:val="004D4F1B"/>
    <w:rsid w:val="004D5886"/>
    <w:rsid w:val="004D6280"/>
    <w:rsid w:val="004D697D"/>
    <w:rsid w:val="004D6A1C"/>
    <w:rsid w:val="004D6A3E"/>
    <w:rsid w:val="004D7210"/>
    <w:rsid w:val="004D7ECA"/>
    <w:rsid w:val="004E04CB"/>
    <w:rsid w:val="004E0C8D"/>
    <w:rsid w:val="004E10EF"/>
    <w:rsid w:val="004E1427"/>
    <w:rsid w:val="004E1ADB"/>
    <w:rsid w:val="004E1DFC"/>
    <w:rsid w:val="004E24D9"/>
    <w:rsid w:val="004E2916"/>
    <w:rsid w:val="004E2E79"/>
    <w:rsid w:val="004E3021"/>
    <w:rsid w:val="004E3936"/>
    <w:rsid w:val="004E3B46"/>
    <w:rsid w:val="004E3C0C"/>
    <w:rsid w:val="004E3F2A"/>
    <w:rsid w:val="004E6065"/>
    <w:rsid w:val="004E6836"/>
    <w:rsid w:val="004E6EF4"/>
    <w:rsid w:val="004E771B"/>
    <w:rsid w:val="004F09C2"/>
    <w:rsid w:val="004F0E80"/>
    <w:rsid w:val="004F11BB"/>
    <w:rsid w:val="004F123B"/>
    <w:rsid w:val="004F1630"/>
    <w:rsid w:val="004F1E18"/>
    <w:rsid w:val="004F4F2B"/>
    <w:rsid w:val="004F6B29"/>
    <w:rsid w:val="00500BC8"/>
    <w:rsid w:val="005018E3"/>
    <w:rsid w:val="005022DF"/>
    <w:rsid w:val="00502F1D"/>
    <w:rsid w:val="005043A4"/>
    <w:rsid w:val="005044FE"/>
    <w:rsid w:val="0050477B"/>
    <w:rsid w:val="00504C23"/>
    <w:rsid w:val="005051FF"/>
    <w:rsid w:val="00505914"/>
    <w:rsid w:val="00505AAA"/>
    <w:rsid w:val="00505BEF"/>
    <w:rsid w:val="00506AC1"/>
    <w:rsid w:val="0050745B"/>
    <w:rsid w:val="00507CF8"/>
    <w:rsid w:val="00510695"/>
    <w:rsid w:val="00510A5F"/>
    <w:rsid w:val="00512407"/>
    <w:rsid w:val="00512BE7"/>
    <w:rsid w:val="00512DBF"/>
    <w:rsid w:val="00513687"/>
    <w:rsid w:val="00513874"/>
    <w:rsid w:val="00513F47"/>
    <w:rsid w:val="0051449F"/>
    <w:rsid w:val="0051485C"/>
    <w:rsid w:val="00514F78"/>
    <w:rsid w:val="00514FE3"/>
    <w:rsid w:val="005175B3"/>
    <w:rsid w:val="00517E1D"/>
    <w:rsid w:val="005206AE"/>
    <w:rsid w:val="0052118C"/>
    <w:rsid w:val="00522760"/>
    <w:rsid w:val="00525341"/>
    <w:rsid w:val="005253CE"/>
    <w:rsid w:val="00525BBA"/>
    <w:rsid w:val="00526E91"/>
    <w:rsid w:val="00526F27"/>
    <w:rsid w:val="005275A4"/>
    <w:rsid w:val="00527642"/>
    <w:rsid w:val="0052764E"/>
    <w:rsid w:val="00527B3F"/>
    <w:rsid w:val="00530B69"/>
    <w:rsid w:val="00530B81"/>
    <w:rsid w:val="00531147"/>
    <w:rsid w:val="00531FC1"/>
    <w:rsid w:val="00532140"/>
    <w:rsid w:val="0053215D"/>
    <w:rsid w:val="00532425"/>
    <w:rsid w:val="005327A5"/>
    <w:rsid w:val="005328DB"/>
    <w:rsid w:val="0053290E"/>
    <w:rsid w:val="00533B3C"/>
    <w:rsid w:val="00534181"/>
    <w:rsid w:val="005342B9"/>
    <w:rsid w:val="005362C7"/>
    <w:rsid w:val="0053680B"/>
    <w:rsid w:val="00536BCB"/>
    <w:rsid w:val="005370FA"/>
    <w:rsid w:val="005403AF"/>
    <w:rsid w:val="005410BF"/>
    <w:rsid w:val="0054148D"/>
    <w:rsid w:val="00541E9D"/>
    <w:rsid w:val="00543186"/>
    <w:rsid w:val="005431F3"/>
    <w:rsid w:val="005434BF"/>
    <w:rsid w:val="00543665"/>
    <w:rsid w:val="005441AB"/>
    <w:rsid w:val="0054422A"/>
    <w:rsid w:val="005450F4"/>
    <w:rsid w:val="0054586A"/>
    <w:rsid w:val="005468FF"/>
    <w:rsid w:val="00547A8D"/>
    <w:rsid w:val="00547E15"/>
    <w:rsid w:val="00547FCA"/>
    <w:rsid w:val="00550163"/>
    <w:rsid w:val="00553248"/>
    <w:rsid w:val="005537CA"/>
    <w:rsid w:val="00553D34"/>
    <w:rsid w:val="00554D7A"/>
    <w:rsid w:val="00554FEC"/>
    <w:rsid w:val="00557252"/>
    <w:rsid w:val="00557388"/>
    <w:rsid w:val="00557640"/>
    <w:rsid w:val="00557845"/>
    <w:rsid w:val="0056026F"/>
    <w:rsid w:val="005614B6"/>
    <w:rsid w:val="00561F19"/>
    <w:rsid w:val="00562356"/>
    <w:rsid w:val="0056296A"/>
    <w:rsid w:val="00563158"/>
    <w:rsid w:val="00563E65"/>
    <w:rsid w:val="00563F2F"/>
    <w:rsid w:val="005651EB"/>
    <w:rsid w:val="00566542"/>
    <w:rsid w:val="00570CBD"/>
    <w:rsid w:val="00571310"/>
    <w:rsid w:val="00571360"/>
    <w:rsid w:val="00571BED"/>
    <w:rsid w:val="00571C39"/>
    <w:rsid w:val="00572478"/>
    <w:rsid w:val="00572479"/>
    <w:rsid w:val="00572BE9"/>
    <w:rsid w:val="00572CC9"/>
    <w:rsid w:val="00573741"/>
    <w:rsid w:val="005739E9"/>
    <w:rsid w:val="00574936"/>
    <w:rsid w:val="00575796"/>
    <w:rsid w:val="005757C2"/>
    <w:rsid w:val="005766FF"/>
    <w:rsid w:val="00576C14"/>
    <w:rsid w:val="00577503"/>
    <w:rsid w:val="00577550"/>
    <w:rsid w:val="00577949"/>
    <w:rsid w:val="00580CB7"/>
    <w:rsid w:val="005812CA"/>
    <w:rsid w:val="00582492"/>
    <w:rsid w:val="005824EB"/>
    <w:rsid w:val="00582AEC"/>
    <w:rsid w:val="00582C85"/>
    <w:rsid w:val="005844A0"/>
    <w:rsid w:val="00585A84"/>
    <w:rsid w:val="00585C76"/>
    <w:rsid w:val="00585CA9"/>
    <w:rsid w:val="00585E92"/>
    <w:rsid w:val="00586E20"/>
    <w:rsid w:val="00587A84"/>
    <w:rsid w:val="00591FD5"/>
    <w:rsid w:val="00592C2D"/>
    <w:rsid w:val="00593071"/>
    <w:rsid w:val="0059368B"/>
    <w:rsid w:val="00593CD2"/>
    <w:rsid w:val="00593CFD"/>
    <w:rsid w:val="00593E46"/>
    <w:rsid w:val="00594D89"/>
    <w:rsid w:val="00594DF6"/>
    <w:rsid w:val="00594F49"/>
    <w:rsid w:val="005954F2"/>
    <w:rsid w:val="0059636F"/>
    <w:rsid w:val="005967E0"/>
    <w:rsid w:val="00596F3A"/>
    <w:rsid w:val="00597360"/>
    <w:rsid w:val="00597697"/>
    <w:rsid w:val="00597B5E"/>
    <w:rsid w:val="005A1456"/>
    <w:rsid w:val="005A165E"/>
    <w:rsid w:val="005A4713"/>
    <w:rsid w:val="005A5805"/>
    <w:rsid w:val="005A5D38"/>
    <w:rsid w:val="005A6D70"/>
    <w:rsid w:val="005A777C"/>
    <w:rsid w:val="005A79EA"/>
    <w:rsid w:val="005A7AE7"/>
    <w:rsid w:val="005A7DEF"/>
    <w:rsid w:val="005B0955"/>
    <w:rsid w:val="005B09C1"/>
    <w:rsid w:val="005B11DF"/>
    <w:rsid w:val="005B17E7"/>
    <w:rsid w:val="005B1DEE"/>
    <w:rsid w:val="005B22A2"/>
    <w:rsid w:val="005B2751"/>
    <w:rsid w:val="005B28F3"/>
    <w:rsid w:val="005B4188"/>
    <w:rsid w:val="005B4EE0"/>
    <w:rsid w:val="005B58B1"/>
    <w:rsid w:val="005B5DA3"/>
    <w:rsid w:val="005B6CA7"/>
    <w:rsid w:val="005B7A14"/>
    <w:rsid w:val="005B7E86"/>
    <w:rsid w:val="005B7FAA"/>
    <w:rsid w:val="005C0D54"/>
    <w:rsid w:val="005C10EF"/>
    <w:rsid w:val="005C1B8A"/>
    <w:rsid w:val="005C20BC"/>
    <w:rsid w:val="005C21A9"/>
    <w:rsid w:val="005C286D"/>
    <w:rsid w:val="005C29A4"/>
    <w:rsid w:val="005C2EA9"/>
    <w:rsid w:val="005C33DF"/>
    <w:rsid w:val="005C3821"/>
    <w:rsid w:val="005C3A68"/>
    <w:rsid w:val="005C3B4B"/>
    <w:rsid w:val="005C3DB4"/>
    <w:rsid w:val="005C4059"/>
    <w:rsid w:val="005C4164"/>
    <w:rsid w:val="005C5346"/>
    <w:rsid w:val="005C6C9C"/>
    <w:rsid w:val="005C6DF7"/>
    <w:rsid w:val="005C7FDB"/>
    <w:rsid w:val="005D0A28"/>
    <w:rsid w:val="005D0B69"/>
    <w:rsid w:val="005D0C77"/>
    <w:rsid w:val="005D0C91"/>
    <w:rsid w:val="005D1E7D"/>
    <w:rsid w:val="005D1FFC"/>
    <w:rsid w:val="005D22C7"/>
    <w:rsid w:val="005D4309"/>
    <w:rsid w:val="005D4403"/>
    <w:rsid w:val="005D4A0A"/>
    <w:rsid w:val="005D7010"/>
    <w:rsid w:val="005D7670"/>
    <w:rsid w:val="005E0020"/>
    <w:rsid w:val="005E0067"/>
    <w:rsid w:val="005E00C2"/>
    <w:rsid w:val="005E02A6"/>
    <w:rsid w:val="005E0732"/>
    <w:rsid w:val="005E144E"/>
    <w:rsid w:val="005E2251"/>
    <w:rsid w:val="005E2CB5"/>
    <w:rsid w:val="005E314D"/>
    <w:rsid w:val="005E51DE"/>
    <w:rsid w:val="005E51F7"/>
    <w:rsid w:val="005E565A"/>
    <w:rsid w:val="005E762C"/>
    <w:rsid w:val="005E7A4E"/>
    <w:rsid w:val="005E7A75"/>
    <w:rsid w:val="005E7C24"/>
    <w:rsid w:val="005E7E24"/>
    <w:rsid w:val="005E7F25"/>
    <w:rsid w:val="005F0492"/>
    <w:rsid w:val="005F06A3"/>
    <w:rsid w:val="005F15F0"/>
    <w:rsid w:val="005F170F"/>
    <w:rsid w:val="005F1820"/>
    <w:rsid w:val="005F18D0"/>
    <w:rsid w:val="005F1E93"/>
    <w:rsid w:val="005F2646"/>
    <w:rsid w:val="005F2BCC"/>
    <w:rsid w:val="005F2DC2"/>
    <w:rsid w:val="005F332C"/>
    <w:rsid w:val="005F3A41"/>
    <w:rsid w:val="005F3CEC"/>
    <w:rsid w:val="005F4114"/>
    <w:rsid w:val="005F56F5"/>
    <w:rsid w:val="005F64C7"/>
    <w:rsid w:val="005F7366"/>
    <w:rsid w:val="005F758F"/>
    <w:rsid w:val="005F7A25"/>
    <w:rsid w:val="006001EF"/>
    <w:rsid w:val="00601420"/>
    <w:rsid w:val="00601818"/>
    <w:rsid w:val="00601BB8"/>
    <w:rsid w:val="00602608"/>
    <w:rsid w:val="00604256"/>
    <w:rsid w:val="006061A2"/>
    <w:rsid w:val="00606625"/>
    <w:rsid w:val="0060712A"/>
    <w:rsid w:val="00607201"/>
    <w:rsid w:val="00607853"/>
    <w:rsid w:val="00607B54"/>
    <w:rsid w:val="006102F0"/>
    <w:rsid w:val="006106B4"/>
    <w:rsid w:val="006109AE"/>
    <w:rsid w:val="00611301"/>
    <w:rsid w:val="00611BA3"/>
    <w:rsid w:val="00611EC2"/>
    <w:rsid w:val="006120C3"/>
    <w:rsid w:val="006143EB"/>
    <w:rsid w:val="00615AAB"/>
    <w:rsid w:val="00615BC0"/>
    <w:rsid w:val="00616127"/>
    <w:rsid w:val="00616371"/>
    <w:rsid w:val="006172E8"/>
    <w:rsid w:val="006177E9"/>
    <w:rsid w:val="00617C44"/>
    <w:rsid w:val="006206A5"/>
    <w:rsid w:val="00620C9D"/>
    <w:rsid w:val="00620CA9"/>
    <w:rsid w:val="00622326"/>
    <w:rsid w:val="006232F3"/>
    <w:rsid w:val="00624815"/>
    <w:rsid w:val="00624A9F"/>
    <w:rsid w:val="00627636"/>
    <w:rsid w:val="00627752"/>
    <w:rsid w:val="0062794D"/>
    <w:rsid w:val="00627B4E"/>
    <w:rsid w:val="00627CAC"/>
    <w:rsid w:val="00627CD2"/>
    <w:rsid w:val="0063077B"/>
    <w:rsid w:val="006315C9"/>
    <w:rsid w:val="006322FF"/>
    <w:rsid w:val="00632925"/>
    <w:rsid w:val="00633987"/>
    <w:rsid w:val="00634456"/>
    <w:rsid w:val="00634F60"/>
    <w:rsid w:val="0063670E"/>
    <w:rsid w:val="006369B1"/>
    <w:rsid w:val="006375EC"/>
    <w:rsid w:val="00637B78"/>
    <w:rsid w:val="006400D2"/>
    <w:rsid w:val="00640149"/>
    <w:rsid w:val="00640738"/>
    <w:rsid w:val="00640D26"/>
    <w:rsid w:val="0064145B"/>
    <w:rsid w:val="00642330"/>
    <w:rsid w:val="00643BF6"/>
    <w:rsid w:val="006446F0"/>
    <w:rsid w:val="00646508"/>
    <w:rsid w:val="0064739F"/>
    <w:rsid w:val="006505DF"/>
    <w:rsid w:val="00650B1A"/>
    <w:rsid w:val="00651E7A"/>
    <w:rsid w:val="00651F39"/>
    <w:rsid w:val="00652B13"/>
    <w:rsid w:val="00652FDD"/>
    <w:rsid w:val="00653083"/>
    <w:rsid w:val="00653D94"/>
    <w:rsid w:val="00653EC9"/>
    <w:rsid w:val="00656321"/>
    <w:rsid w:val="0065633B"/>
    <w:rsid w:val="006563EA"/>
    <w:rsid w:val="006564EF"/>
    <w:rsid w:val="006571A0"/>
    <w:rsid w:val="00657298"/>
    <w:rsid w:val="006603CD"/>
    <w:rsid w:val="00660FDD"/>
    <w:rsid w:val="0066126B"/>
    <w:rsid w:val="0066204E"/>
    <w:rsid w:val="00662A23"/>
    <w:rsid w:val="00662EAB"/>
    <w:rsid w:val="00662F5E"/>
    <w:rsid w:val="0066375E"/>
    <w:rsid w:val="00663D25"/>
    <w:rsid w:val="00663DA7"/>
    <w:rsid w:val="00663E7F"/>
    <w:rsid w:val="006644FF"/>
    <w:rsid w:val="006666DB"/>
    <w:rsid w:val="00666796"/>
    <w:rsid w:val="0066727A"/>
    <w:rsid w:val="0066759B"/>
    <w:rsid w:val="00670E1B"/>
    <w:rsid w:val="00671556"/>
    <w:rsid w:val="0067177A"/>
    <w:rsid w:val="006718C1"/>
    <w:rsid w:val="006720DA"/>
    <w:rsid w:val="00672B56"/>
    <w:rsid w:val="006733E2"/>
    <w:rsid w:val="00673F4D"/>
    <w:rsid w:val="00674C95"/>
    <w:rsid w:val="00674FAC"/>
    <w:rsid w:val="0067534D"/>
    <w:rsid w:val="00676E50"/>
    <w:rsid w:val="00677A82"/>
    <w:rsid w:val="00680AAB"/>
    <w:rsid w:val="00684E01"/>
    <w:rsid w:val="00685318"/>
    <w:rsid w:val="00686195"/>
    <w:rsid w:val="006864EB"/>
    <w:rsid w:val="006879FA"/>
    <w:rsid w:val="00691AC6"/>
    <w:rsid w:val="00692808"/>
    <w:rsid w:val="00693FB7"/>
    <w:rsid w:val="00693FF7"/>
    <w:rsid w:val="0069498E"/>
    <w:rsid w:val="00694B5B"/>
    <w:rsid w:val="00695659"/>
    <w:rsid w:val="00695D17"/>
    <w:rsid w:val="0069632A"/>
    <w:rsid w:val="006965F8"/>
    <w:rsid w:val="00696A33"/>
    <w:rsid w:val="00696C91"/>
    <w:rsid w:val="006A1166"/>
    <w:rsid w:val="006A2626"/>
    <w:rsid w:val="006A2BC4"/>
    <w:rsid w:val="006A2ED4"/>
    <w:rsid w:val="006A31E7"/>
    <w:rsid w:val="006A3542"/>
    <w:rsid w:val="006A3548"/>
    <w:rsid w:val="006A45EF"/>
    <w:rsid w:val="006A51B8"/>
    <w:rsid w:val="006A58A3"/>
    <w:rsid w:val="006A6204"/>
    <w:rsid w:val="006A629B"/>
    <w:rsid w:val="006A6421"/>
    <w:rsid w:val="006A6568"/>
    <w:rsid w:val="006A66A1"/>
    <w:rsid w:val="006A780B"/>
    <w:rsid w:val="006A7E05"/>
    <w:rsid w:val="006B01B8"/>
    <w:rsid w:val="006B02A7"/>
    <w:rsid w:val="006B0AEE"/>
    <w:rsid w:val="006B1353"/>
    <w:rsid w:val="006B1689"/>
    <w:rsid w:val="006B2664"/>
    <w:rsid w:val="006B2DA7"/>
    <w:rsid w:val="006B3017"/>
    <w:rsid w:val="006B3F1C"/>
    <w:rsid w:val="006B480A"/>
    <w:rsid w:val="006B4A90"/>
    <w:rsid w:val="006B5818"/>
    <w:rsid w:val="006B6024"/>
    <w:rsid w:val="006B68C4"/>
    <w:rsid w:val="006B7D1C"/>
    <w:rsid w:val="006C015B"/>
    <w:rsid w:val="006C023A"/>
    <w:rsid w:val="006C057D"/>
    <w:rsid w:val="006C0F59"/>
    <w:rsid w:val="006C0FE3"/>
    <w:rsid w:val="006C16CA"/>
    <w:rsid w:val="006C23F9"/>
    <w:rsid w:val="006C262E"/>
    <w:rsid w:val="006C28CC"/>
    <w:rsid w:val="006C2BF1"/>
    <w:rsid w:val="006C3664"/>
    <w:rsid w:val="006C3975"/>
    <w:rsid w:val="006C4472"/>
    <w:rsid w:val="006C4F57"/>
    <w:rsid w:val="006C79CD"/>
    <w:rsid w:val="006D02E2"/>
    <w:rsid w:val="006D043A"/>
    <w:rsid w:val="006D0555"/>
    <w:rsid w:val="006D0984"/>
    <w:rsid w:val="006D0B0F"/>
    <w:rsid w:val="006D0E73"/>
    <w:rsid w:val="006D18FC"/>
    <w:rsid w:val="006D2CE4"/>
    <w:rsid w:val="006D2F7A"/>
    <w:rsid w:val="006D4EA5"/>
    <w:rsid w:val="006D53B3"/>
    <w:rsid w:val="006D58D2"/>
    <w:rsid w:val="006D5B77"/>
    <w:rsid w:val="006D6544"/>
    <w:rsid w:val="006D6DE4"/>
    <w:rsid w:val="006D710C"/>
    <w:rsid w:val="006E0455"/>
    <w:rsid w:val="006E0C7F"/>
    <w:rsid w:val="006E14D4"/>
    <w:rsid w:val="006E1ADE"/>
    <w:rsid w:val="006E1D88"/>
    <w:rsid w:val="006E20FD"/>
    <w:rsid w:val="006E2726"/>
    <w:rsid w:val="006E2DC1"/>
    <w:rsid w:val="006E49C9"/>
    <w:rsid w:val="006E60E0"/>
    <w:rsid w:val="006E6AA1"/>
    <w:rsid w:val="006F0AFD"/>
    <w:rsid w:val="006F0DC7"/>
    <w:rsid w:val="006F129B"/>
    <w:rsid w:val="006F13C4"/>
    <w:rsid w:val="006F2471"/>
    <w:rsid w:val="006F285F"/>
    <w:rsid w:val="006F2E32"/>
    <w:rsid w:val="006F474E"/>
    <w:rsid w:val="006F4AE1"/>
    <w:rsid w:val="006F4E98"/>
    <w:rsid w:val="006F540F"/>
    <w:rsid w:val="006F6D40"/>
    <w:rsid w:val="00700D7D"/>
    <w:rsid w:val="00702B9D"/>
    <w:rsid w:val="0070306F"/>
    <w:rsid w:val="00703F29"/>
    <w:rsid w:val="007051A5"/>
    <w:rsid w:val="00705922"/>
    <w:rsid w:val="007077B6"/>
    <w:rsid w:val="00710146"/>
    <w:rsid w:val="007106B7"/>
    <w:rsid w:val="00710934"/>
    <w:rsid w:val="00710BF7"/>
    <w:rsid w:val="00710D2A"/>
    <w:rsid w:val="00711ABD"/>
    <w:rsid w:val="0071238E"/>
    <w:rsid w:val="00713D83"/>
    <w:rsid w:val="00714800"/>
    <w:rsid w:val="00714CFD"/>
    <w:rsid w:val="00715AD3"/>
    <w:rsid w:val="00715DB2"/>
    <w:rsid w:val="00722100"/>
    <w:rsid w:val="00722564"/>
    <w:rsid w:val="00722703"/>
    <w:rsid w:val="007229BC"/>
    <w:rsid w:val="00722F0A"/>
    <w:rsid w:val="00723A97"/>
    <w:rsid w:val="00723D39"/>
    <w:rsid w:val="00724022"/>
    <w:rsid w:val="00724555"/>
    <w:rsid w:val="00725B95"/>
    <w:rsid w:val="00725CD0"/>
    <w:rsid w:val="00725D03"/>
    <w:rsid w:val="00726475"/>
    <w:rsid w:val="00726A77"/>
    <w:rsid w:val="00727B4C"/>
    <w:rsid w:val="00727B62"/>
    <w:rsid w:val="007303D8"/>
    <w:rsid w:val="00731F26"/>
    <w:rsid w:val="00732797"/>
    <w:rsid w:val="00732D5E"/>
    <w:rsid w:val="007341AA"/>
    <w:rsid w:val="00734449"/>
    <w:rsid w:val="00734482"/>
    <w:rsid w:val="0073488D"/>
    <w:rsid w:val="00735684"/>
    <w:rsid w:val="00735A6F"/>
    <w:rsid w:val="00735BB9"/>
    <w:rsid w:val="007364DA"/>
    <w:rsid w:val="00737A2F"/>
    <w:rsid w:val="00737D44"/>
    <w:rsid w:val="00740BB9"/>
    <w:rsid w:val="00741BCA"/>
    <w:rsid w:val="00741DB5"/>
    <w:rsid w:val="00741F40"/>
    <w:rsid w:val="007421B3"/>
    <w:rsid w:val="00742971"/>
    <w:rsid w:val="00742E74"/>
    <w:rsid w:val="00743C50"/>
    <w:rsid w:val="00744AB2"/>
    <w:rsid w:val="00745192"/>
    <w:rsid w:val="00745A79"/>
    <w:rsid w:val="00745ABE"/>
    <w:rsid w:val="007474FD"/>
    <w:rsid w:val="00750140"/>
    <w:rsid w:val="0075024F"/>
    <w:rsid w:val="0075034A"/>
    <w:rsid w:val="007505F6"/>
    <w:rsid w:val="007516FB"/>
    <w:rsid w:val="00751972"/>
    <w:rsid w:val="007519FC"/>
    <w:rsid w:val="00751E48"/>
    <w:rsid w:val="00751FB3"/>
    <w:rsid w:val="00752A45"/>
    <w:rsid w:val="007532A3"/>
    <w:rsid w:val="00753A51"/>
    <w:rsid w:val="00753DF3"/>
    <w:rsid w:val="0075462E"/>
    <w:rsid w:val="007546B6"/>
    <w:rsid w:val="00755ECB"/>
    <w:rsid w:val="00760159"/>
    <w:rsid w:val="00760731"/>
    <w:rsid w:val="00760A91"/>
    <w:rsid w:val="00760DCD"/>
    <w:rsid w:val="0076101A"/>
    <w:rsid w:val="0076160E"/>
    <w:rsid w:val="00761DBB"/>
    <w:rsid w:val="00761DD3"/>
    <w:rsid w:val="00761E2F"/>
    <w:rsid w:val="00762E5F"/>
    <w:rsid w:val="007631A0"/>
    <w:rsid w:val="00763A5A"/>
    <w:rsid w:val="00764CE2"/>
    <w:rsid w:val="007667B8"/>
    <w:rsid w:val="007670DF"/>
    <w:rsid w:val="007670E5"/>
    <w:rsid w:val="007671B4"/>
    <w:rsid w:val="0076796B"/>
    <w:rsid w:val="00770492"/>
    <w:rsid w:val="007704DF"/>
    <w:rsid w:val="007712A4"/>
    <w:rsid w:val="00771819"/>
    <w:rsid w:val="007720B9"/>
    <w:rsid w:val="00772CCD"/>
    <w:rsid w:val="00773C71"/>
    <w:rsid w:val="00774324"/>
    <w:rsid w:val="00774677"/>
    <w:rsid w:val="0077521E"/>
    <w:rsid w:val="00775500"/>
    <w:rsid w:val="0077552E"/>
    <w:rsid w:val="00776409"/>
    <w:rsid w:val="00780255"/>
    <w:rsid w:val="00780548"/>
    <w:rsid w:val="00780BC1"/>
    <w:rsid w:val="007811CB"/>
    <w:rsid w:val="007819CD"/>
    <w:rsid w:val="00781CBF"/>
    <w:rsid w:val="007825AF"/>
    <w:rsid w:val="00783652"/>
    <w:rsid w:val="0078417E"/>
    <w:rsid w:val="00784880"/>
    <w:rsid w:val="0078559D"/>
    <w:rsid w:val="007868AF"/>
    <w:rsid w:val="0078779C"/>
    <w:rsid w:val="00787D3B"/>
    <w:rsid w:val="00790702"/>
    <w:rsid w:val="00791589"/>
    <w:rsid w:val="00791640"/>
    <w:rsid w:val="00791C55"/>
    <w:rsid w:val="007935A0"/>
    <w:rsid w:val="00793B0D"/>
    <w:rsid w:val="007940AD"/>
    <w:rsid w:val="00794629"/>
    <w:rsid w:val="00794733"/>
    <w:rsid w:val="00794E67"/>
    <w:rsid w:val="00795019"/>
    <w:rsid w:val="007960E1"/>
    <w:rsid w:val="0079698F"/>
    <w:rsid w:val="007969F1"/>
    <w:rsid w:val="00796CBA"/>
    <w:rsid w:val="007A0714"/>
    <w:rsid w:val="007A18A9"/>
    <w:rsid w:val="007A1948"/>
    <w:rsid w:val="007A1A64"/>
    <w:rsid w:val="007A3377"/>
    <w:rsid w:val="007A349F"/>
    <w:rsid w:val="007A4EB2"/>
    <w:rsid w:val="007A61BD"/>
    <w:rsid w:val="007A74FD"/>
    <w:rsid w:val="007A75E1"/>
    <w:rsid w:val="007A75F7"/>
    <w:rsid w:val="007A7A0A"/>
    <w:rsid w:val="007B0669"/>
    <w:rsid w:val="007B06E2"/>
    <w:rsid w:val="007B0A32"/>
    <w:rsid w:val="007B0C29"/>
    <w:rsid w:val="007B1858"/>
    <w:rsid w:val="007B21FB"/>
    <w:rsid w:val="007B2373"/>
    <w:rsid w:val="007B276E"/>
    <w:rsid w:val="007B446C"/>
    <w:rsid w:val="007B479C"/>
    <w:rsid w:val="007B4CA3"/>
    <w:rsid w:val="007B5015"/>
    <w:rsid w:val="007B5397"/>
    <w:rsid w:val="007B539A"/>
    <w:rsid w:val="007B57E3"/>
    <w:rsid w:val="007B5FB2"/>
    <w:rsid w:val="007B680B"/>
    <w:rsid w:val="007B723B"/>
    <w:rsid w:val="007B7BC2"/>
    <w:rsid w:val="007C010E"/>
    <w:rsid w:val="007C0402"/>
    <w:rsid w:val="007C0A7E"/>
    <w:rsid w:val="007C17AD"/>
    <w:rsid w:val="007C1BBB"/>
    <w:rsid w:val="007C1ED8"/>
    <w:rsid w:val="007C2078"/>
    <w:rsid w:val="007C276F"/>
    <w:rsid w:val="007C34D1"/>
    <w:rsid w:val="007C3D43"/>
    <w:rsid w:val="007C3D59"/>
    <w:rsid w:val="007C40B4"/>
    <w:rsid w:val="007C6B4D"/>
    <w:rsid w:val="007C71CB"/>
    <w:rsid w:val="007C72E7"/>
    <w:rsid w:val="007C7DB6"/>
    <w:rsid w:val="007D22E5"/>
    <w:rsid w:val="007D2689"/>
    <w:rsid w:val="007D2D15"/>
    <w:rsid w:val="007D2E1A"/>
    <w:rsid w:val="007D4496"/>
    <w:rsid w:val="007D47F8"/>
    <w:rsid w:val="007D57CA"/>
    <w:rsid w:val="007D5ED8"/>
    <w:rsid w:val="007D7005"/>
    <w:rsid w:val="007D72F5"/>
    <w:rsid w:val="007D7407"/>
    <w:rsid w:val="007D756D"/>
    <w:rsid w:val="007D796B"/>
    <w:rsid w:val="007D7F83"/>
    <w:rsid w:val="007E01F2"/>
    <w:rsid w:val="007E0254"/>
    <w:rsid w:val="007E05D6"/>
    <w:rsid w:val="007E08A3"/>
    <w:rsid w:val="007E092E"/>
    <w:rsid w:val="007E0CE3"/>
    <w:rsid w:val="007E227D"/>
    <w:rsid w:val="007E22A8"/>
    <w:rsid w:val="007E240E"/>
    <w:rsid w:val="007E27C3"/>
    <w:rsid w:val="007E2976"/>
    <w:rsid w:val="007E311D"/>
    <w:rsid w:val="007E32AF"/>
    <w:rsid w:val="007E3858"/>
    <w:rsid w:val="007E3CFF"/>
    <w:rsid w:val="007E3E22"/>
    <w:rsid w:val="007E520B"/>
    <w:rsid w:val="007E526C"/>
    <w:rsid w:val="007E6629"/>
    <w:rsid w:val="007E77A1"/>
    <w:rsid w:val="007E7FF7"/>
    <w:rsid w:val="007F0AE4"/>
    <w:rsid w:val="007F0DA0"/>
    <w:rsid w:val="007F149C"/>
    <w:rsid w:val="007F1690"/>
    <w:rsid w:val="007F2040"/>
    <w:rsid w:val="007F26EE"/>
    <w:rsid w:val="007F317F"/>
    <w:rsid w:val="007F33C5"/>
    <w:rsid w:val="007F3465"/>
    <w:rsid w:val="007F349D"/>
    <w:rsid w:val="007F354F"/>
    <w:rsid w:val="007F40BA"/>
    <w:rsid w:val="007F4368"/>
    <w:rsid w:val="007F4941"/>
    <w:rsid w:val="007F49FB"/>
    <w:rsid w:val="007F5A00"/>
    <w:rsid w:val="007F5CAA"/>
    <w:rsid w:val="007F62C4"/>
    <w:rsid w:val="007F67C4"/>
    <w:rsid w:val="007F76DC"/>
    <w:rsid w:val="007F79F2"/>
    <w:rsid w:val="007F7ABE"/>
    <w:rsid w:val="008000CD"/>
    <w:rsid w:val="008000E3"/>
    <w:rsid w:val="00800185"/>
    <w:rsid w:val="00801A7A"/>
    <w:rsid w:val="00803918"/>
    <w:rsid w:val="0080426B"/>
    <w:rsid w:val="00804BB9"/>
    <w:rsid w:val="00804C7D"/>
    <w:rsid w:val="00805606"/>
    <w:rsid w:val="00805CB7"/>
    <w:rsid w:val="0080603D"/>
    <w:rsid w:val="00806744"/>
    <w:rsid w:val="00806B18"/>
    <w:rsid w:val="00807A63"/>
    <w:rsid w:val="00810343"/>
    <w:rsid w:val="00810FAB"/>
    <w:rsid w:val="00811203"/>
    <w:rsid w:val="00811328"/>
    <w:rsid w:val="00811C3C"/>
    <w:rsid w:val="00811F8D"/>
    <w:rsid w:val="00812280"/>
    <w:rsid w:val="00812337"/>
    <w:rsid w:val="00812436"/>
    <w:rsid w:val="008126E3"/>
    <w:rsid w:val="00812E9E"/>
    <w:rsid w:val="00813352"/>
    <w:rsid w:val="008140A3"/>
    <w:rsid w:val="0081551A"/>
    <w:rsid w:val="00815573"/>
    <w:rsid w:val="00817139"/>
    <w:rsid w:val="00817BFC"/>
    <w:rsid w:val="008206C8"/>
    <w:rsid w:val="00820DD3"/>
    <w:rsid w:val="00821C2B"/>
    <w:rsid w:val="00822B77"/>
    <w:rsid w:val="00822E6D"/>
    <w:rsid w:val="008237C8"/>
    <w:rsid w:val="0082385F"/>
    <w:rsid w:val="00823AB4"/>
    <w:rsid w:val="00823F0F"/>
    <w:rsid w:val="0082406C"/>
    <w:rsid w:val="0082539E"/>
    <w:rsid w:val="00825636"/>
    <w:rsid w:val="008258A9"/>
    <w:rsid w:val="00825E1E"/>
    <w:rsid w:val="0082745B"/>
    <w:rsid w:val="00827AA6"/>
    <w:rsid w:val="00830671"/>
    <w:rsid w:val="00832B9D"/>
    <w:rsid w:val="008334C7"/>
    <w:rsid w:val="008349F0"/>
    <w:rsid w:val="00834F5D"/>
    <w:rsid w:val="00835535"/>
    <w:rsid w:val="00835D00"/>
    <w:rsid w:val="00837440"/>
    <w:rsid w:val="00837FCC"/>
    <w:rsid w:val="008401DD"/>
    <w:rsid w:val="00840B17"/>
    <w:rsid w:val="00840CFA"/>
    <w:rsid w:val="00841774"/>
    <w:rsid w:val="00843A56"/>
    <w:rsid w:val="00843DCD"/>
    <w:rsid w:val="00844DDE"/>
    <w:rsid w:val="00844F6C"/>
    <w:rsid w:val="008450AE"/>
    <w:rsid w:val="0084737C"/>
    <w:rsid w:val="0084754C"/>
    <w:rsid w:val="00847882"/>
    <w:rsid w:val="008479B3"/>
    <w:rsid w:val="00850BAD"/>
    <w:rsid w:val="00850CFF"/>
    <w:rsid w:val="008518E5"/>
    <w:rsid w:val="00851F34"/>
    <w:rsid w:val="008530DC"/>
    <w:rsid w:val="0085382B"/>
    <w:rsid w:val="00853D17"/>
    <w:rsid w:val="0085460A"/>
    <w:rsid w:val="00854665"/>
    <w:rsid w:val="00854788"/>
    <w:rsid w:val="008558D8"/>
    <w:rsid w:val="00855ADE"/>
    <w:rsid w:val="00856AFC"/>
    <w:rsid w:val="00856CD4"/>
    <w:rsid w:val="0086034F"/>
    <w:rsid w:val="0086070C"/>
    <w:rsid w:val="00860DBA"/>
    <w:rsid w:val="00860E0C"/>
    <w:rsid w:val="00861395"/>
    <w:rsid w:val="00862717"/>
    <w:rsid w:val="008627A9"/>
    <w:rsid w:val="008628BB"/>
    <w:rsid w:val="00862DFE"/>
    <w:rsid w:val="00863583"/>
    <w:rsid w:val="008637AD"/>
    <w:rsid w:val="008638C8"/>
    <w:rsid w:val="008656D0"/>
    <w:rsid w:val="00865CD8"/>
    <w:rsid w:val="00866203"/>
    <w:rsid w:val="008662BB"/>
    <w:rsid w:val="00866631"/>
    <w:rsid w:val="00866809"/>
    <w:rsid w:val="0086696F"/>
    <w:rsid w:val="0086710B"/>
    <w:rsid w:val="0086796A"/>
    <w:rsid w:val="008679FD"/>
    <w:rsid w:val="00867E97"/>
    <w:rsid w:val="00867FC0"/>
    <w:rsid w:val="00870983"/>
    <w:rsid w:val="00871665"/>
    <w:rsid w:val="00871A99"/>
    <w:rsid w:val="00871C29"/>
    <w:rsid w:val="00872497"/>
    <w:rsid w:val="00872786"/>
    <w:rsid w:val="00873274"/>
    <w:rsid w:val="008745B5"/>
    <w:rsid w:val="008756BC"/>
    <w:rsid w:val="0087583A"/>
    <w:rsid w:val="00875E32"/>
    <w:rsid w:val="008800CB"/>
    <w:rsid w:val="008805BB"/>
    <w:rsid w:val="00880884"/>
    <w:rsid w:val="0088140F"/>
    <w:rsid w:val="00883068"/>
    <w:rsid w:val="00883153"/>
    <w:rsid w:val="0088372A"/>
    <w:rsid w:val="008838C4"/>
    <w:rsid w:val="00885AA7"/>
    <w:rsid w:val="00885DDF"/>
    <w:rsid w:val="00886EDF"/>
    <w:rsid w:val="0088759F"/>
    <w:rsid w:val="00887C8F"/>
    <w:rsid w:val="00890696"/>
    <w:rsid w:val="008909C8"/>
    <w:rsid w:val="00890E1A"/>
    <w:rsid w:val="008935AF"/>
    <w:rsid w:val="00893D6C"/>
    <w:rsid w:val="00894AC6"/>
    <w:rsid w:val="00896AAD"/>
    <w:rsid w:val="008972E8"/>
    <w:rsid w:val="008975C2"/>
    <w:rsid w:val="008975EC"/>
    <w:rsid w:val="0089799B"/>
    <w:rsid w:val="00897A50"/>
    <w:rsid w:val="00897D97"/>
    <w:rsid w:val="008A11D6"/>
    <w:rsid w:val="008A1DE7"/>
    <w:rsid w:val="008A2603"/>
    <w:rsid w:val="008A2CCA"/>
    <w:rsid w:val="008A2E8B"/>
    <w:rsid w:val="008A42AA"/>
    <w:rsid w:val="008A42D6"/>
    <w:rsid w:val="008A4857"/>
    <w:rsid w:val="008A5015"/>
    <w:rsid w:val="008A617C"/>
    <w:rsid w:val="008A683B"/>
    <w:rsid w:val="008A6AC5"/>
    <w:rsid w:val="008A72EE"/>
    <w:rsid w:val="008A7838"/>
    <w:rsid w:val="008A79A6"/>
    <w:rsid w:val="008B2794"/>
    <w:rsid w:val="008B3D5E"/>
    <w:rsid w:val="008B4922"/>
    <w:rsid w:val="008B53B1"/>
    <w:rsid w:val="008B556C"/>
    <w:rsid w:val="008B68A8"/>
    <w:rsid w:val="008B6FAC"/>
    <w:rsid w:val="008B74C0"/>
    <w:rsid w:val="008B7536"/>
    <w:rsid w:val="008C1628"/>
    <w:rsid w:val="008C3EFE"/>
    <w:rsid w:val="008C42D9"/>
    <w:rsid w:val="008C4D03"/>
    <w:rsid w:val="008C736C"/>
    <w:rsid w:val="008C7D76"/>
    <w:rsid w:val="008D0F74"/>
    <w:rsid w:val="008D1AA5"/>
    <w:rsid w:val="008D2BD6"/>
    <w:rsid w:val="008D354B"/>
    <w:rsid w:val="008D4BCA"/>
    <w:rsid w:val="008D5686"/>
    <w:rsid w:val="008D6BD1"/>
    <w:rsid w:val="008D6F56"/>
    <w:rsid w:val="008E141E"/>
    <w:rsid w:val="008E1807"/>
    <w:rsid w:val="008E1B2A"/>
    <w:rsid w:val="008E1C6A"/>
    <w:rsid w:val="008E2570"/>
    <w:rsid w:val="008E3F92"/>
    <w:rsid w:val="008E43A3"/>
    <w:rsid w:val="008E4756"/>
    <w:rsid w:val="008E4F26"/>
    <w:rsid w:val="008E6389"/>
    <w:rsid w:val="008E6AEC"/>
    <w:rsid w:val="008E7134"/>
    <w:rsid w:val="008E74CD"/>
    <w:rsid w:val="008E7616"/>
    <w:rsid w:val="008E7FB0"/>
    <w:rsid w:val="008F1518"/>
    <w:rsid w:val="008F1BDF"/>
    <w:rsid w:val="008F1EFF"/>
    <w:rsid w:val="008F220A"/>
    <w:rsid w:val="008F2F50"/>
    <w:rsid w:val="008F3408"/>
    <w:rsid w:val="008F3574"/>
    <w:rsid w:val="008F38E5"/>
    <w:rsid w:val="008F3B2C"/>
    <w:rsid w:val="008F3D25"/>
    <w:rsid w:val="008F4671"/>
    <w:rsid w:val="008F4AAF"/>
    <w:rsid w:val="008F4ADD"/>
    <w:rsid w:val="008F4D66"/>
    <w:rsid w:val="008F4E97"/>
    <w:rsid w:val="008F6C47"/>
    <w:rsid w:val="008F72A4"/>
    <w:rsid w:val="008F7DD3"/>
    <w:rsid w:val="008F7DE3"/>
    <w:rsid w:val="00900683"/>
    <w:rsid w:val="00900EDD"/>
    <w:rsid w:val="00900F42"/>
    <w:rsid w:val="00902729"/>
    <w:rsid w:val="00902883"/>
    <w:rsid w:val="00902922"/>
    <w:rsid w:val="00902C1C"/>
    <w:rsid w:val="009044C2"/>
    <w:rsid w:val="00904828"/>
    <w:rsid w:val="009048DE"/>
    <w:rsid w:val="009058BA"/>
    <w:rsid w:val="00905A04"/>
    <w:rsid w:val="00906A6A"/>
    <w:rsid w:val="00906ADB"/>
    <w:rsid w:val="00906BF1"/>
    <w:rsid w:val="00906F79"/>
    <w:rsid w:val="00906F9B"/>
    <w:rsid w:val="00907AD4"/>
    <w:rsid w:val="00910CDD"/>
    <w:rsid w:val="00910EA9"/>
    <w:rsid w:val="00911053"/>
    <w:rsid w:val="00911062"/>
    <w:rsid w:val="00913376"/>
    <w:rsid w:val="00913847"/>
    <w:rsid w:val="009139A9"/>
    <w:rsid w:val="00914A34"/>
    <w:rsid w:val="00914C8F"/>
    <w:rsid w:val="00914E99"/>
    <w:rsid w:val="00915F72"/>
    <w:rsid w:val="0091608C"/>
    <w:rsid w:val="00916EF6"/>
    <w:rsid w:val="00917056"/>
    <w:rsid w:val="0091722C"/>
    <w:rsid w:val="0091733E"/>
    <w:rsid w:val="00917FD4"/>
    <w:rsid w:val="00920B28"/>
    <w:rsid w:val="00920C6F"/>
    <w:rsid w:val="00921115"/>
    <w:rsid w:val="00921D44"/>
    <w:rsid w:val="00922863"/>
    <w:rsid w:val="00922CCE"/>
    <w:rsid w:val="009230A8"/>
    <w:rsid w:val="009231A3"/>
    <w:rsid w:val="00923631"/>
    <w:rsid w:val="0092400E"/>
    <w:rsid w:val="00924BE4"/>
    <w:rsid w:val="0092607E"/>
    <w:rsid w:val="00926E63"/>
    <w:rsid w:val="00927231"/>
    <w:rsid w:val="00927865"/>
    <w:rsid w:val="00930091"/>
    <w:rsid w:val="00930A52"/>
    <w:rsid w:val="00930C37"/>
    <w:rsid w:val="00930F1C"/>
    <w:rsid w:val="009319C2"/>
    <w:rsid w:val="009320C6"/>
    <w:rsid w:val="00932AA3"/>
    <w:rsid w:val="00933A84"/>
    <w:rsid w:val="00933F90"/>
    <w:rsid w:val="00934175"/>
    <w:rsid w:val="00934681"/>
    <w:rsid w:val="00934749"/>
    <w:rsid w:val="00934CCA"/>
    <w:rsid w:val="00934D17"/>
    <w:rsid w:val="00935ADE"/>
    <w:rsid w:val="00935CFF"/>
    <w:rsid w:val="0093632D"/>
    <w:rsid w:val="0093693A"/>
    <w:rsid w:val="00936B22"/>
    <w:rsid w:val="00936CA0"/>
    <w:rsid w:val="00937023"/>
    <w:rsid w:val="00937264"/>
    <w:rsid w:val="00937AC4"/>
    <w:rsid w:val="0094042F"/>
    <w:rsid w:val="00940D89"/>
    <w:rsid w:val="0094174A"/>
    <w:rsid w:val="00941974"/>
    <w:rsid w:val="00941F43"/>
    <w:rsid w:val="009426A4"/>
    <w:rsid w:val="00943D1F"/>
    <w:rsid w:val="009445BD"/>
    <w:rsid w:val="009450DA"/>
    <w:rsid w:val="0094512F"/>
    <w:rsid w:val="0094588D"/>
    <w:rsid w:val="009469B3"/>
    <w:rsid w:val="00947467"/>
    <w:rsid w:val="0094783B"/>
    <w:rsid w:val="0094788E"/>
    <w:rsid w:val="00950AFE"/>
    <w:rsid w:val="00950DF4"/>
    <w:rsid w:val="00950E08"/>
    <w:rsid w:val="00951E56"/>
    <w:rsid w:val="009525E3"/>
    <w:rsid w:val="00952A7B"/>
    <w:rsid w:val="0095461E"/>
    <w:rsid w:val="00954BD4"/>
    <w:rsid w:val="00954F8A"/>
    <w:rsid w:val="0095542E"/>
    <w:rsid w:val="00955561"/>
    <w:rsid w:val="00956D9B"/>
    <w:rsid w:val="00957471"/>
    <w:rsid w:val="00957841"/>
    <w:rsid w:val="00960057"/>
    <w:rsid w:val="00960286"/>
    <w:rsid w:val="009602CA"/>
    <w:rsid w:val="00960568"/>
    <w:rsid w:val="00960573"/>
    <w:rsid w:val="0096093F"/>
    <w:rsid w:val="00960BB2"/>
    <w:rsid w:val="00960C76"/>
    <w:rsid w:val="00960FE9"/>
    <w:rsid w:val="009612C6"/>
    <w:rsid w:val="009613D2"/>
    <w:rsid w:val="00961D50"/>
    <w:rsid w:val="00962629"/>
    <w:rsid w:val="0096269B"/>
    <w:rsid w:val="00963327"/>
    <w:rsid w:val="00963705"/>
    <w:rsid w:val="009637B8"/>
    <w:rsid w:val="00963854"/>
    <w:rsid w:val="009638DF"/>
    <w:rsid w:val="00963E69"/>
    <w:rsid w:val="00964B30"/>
    <w:rsid w:val="009655B2"/>
    <w:rsid w:val="00965DA2"/>
    <w:rsid w:val="00965EA5"/>
    <w:rsid w:val="009666F3"/>
    <w:rsid w:val="00966BF4"/>
    <w:rsid w:val="00967F6C"/>
    <w:rsid w:val="00970582"/>
    <w:rsid w:val="00970E9B"/>
    <w:rsid w:val="00971281"/>
    <w:rsid w:val="00972167"/>
    <w:rsid w:val="00972DD4"/>
    <w:rsid w:val="009743DA"/>
    <w:rsid w:val="00974CE2"/>
    <w:rsid w:val="00975097"/>
    <w:rsid w:val="0097579A"/>
    <w:rsid w:val="00975A27"/>
    <w:rsid w:val="0097638E"/>
    <w:rsid w:val="00976FE2"/>
    <w:rsid w:val="00977835"/>
    <w:rsid w:val="00977966"/>
    <w:rsid w:val="00977B94"/>
    <w:rsid w:val="009808C8"/>
    <w:rsid w:val="00980F53"/>
    <w:rsid w:val="0098126D"/>
    <w:rsid w:val="00981584"/>
    <w:rsid w:val="00981690"/>
    <w:rsid w:val="00982B7F"/>
    <w:rsid w:val="00982E09"/>
    <w:rsid w:val="00983B4F"/>
    <w:rsid w:val="009842B9"/>
    <w:rsid w:val="00984390"/>
    <w:rsid w:val="009846EA"/>
    <w:rsid w:val="00984CE7"/>
    <w:rsid w:val="00984E50"/>
    <w:rsid w:val="00985665"/>
    <w:rsid w:val="009864CD"/>
    <w:rsid w:val="0098694E"/>
    <w:rsid w:val="00986FE2"/>
    <w:rsid w:val="00987698"/>
    <w:rsid w:val="00987C59"/>
    <w:rsid w:val="00991976"/>
    <w:rsid w:val="00993438"/>
    <w:rsid w:val="00993EC6"/>
    <w:rsid w:val="009946E9"/>
    <w:rsid w:val="00996707"/>
    <w:rsid w:val="00997AB9"/>
    <w:rsid w:val="009A07F4"/>
    <w:rsid w:val="009A149E"/>
    <w:rsid w:val="009A2728"/>
    <w:rsid w:val="009A2CF5"/>
    <w:rsid w:val="009A38AD"/>
    <w:rsid w:val="009A3E4A"/>
    <w:rsid w:val="009A3F38"/>
    <w:rsid w:val="009A43ED"/>
    <w:rsid w:val="009A4651"/>
    <w:rsid w:val="009A474A"/>
    <w:rsid w:val="009A4E1E"/>
    <w:rsid w:val="009A4FA9"/>
    <w:rsid w:val="009A650A"/>
    <w:rsid w:val="009A6B24"/>
    <w:rsid w:val="009A730A"/>
    <w:rsid w:val="009A7776"/>
    <w:rsid w:val="009B1012"/>
    <w:rsid w:val="009B1A15"/>
    <w:rsid w:val="009B1FCC"/>
    <w:rsid w:val="009B200B"/>
    <w:rsid w:val="009B2639"/>
    <w:rsid w:val="009B3047"/>
    <w:rsid w:val="009B309A"/>
    <w:rsid w:val="009B3D1F"/>
    <w:rsid w:val="009B42B9"/>
    <w:rsid w:val="009B4751"/>
    <w:rsid w:val="009B595A"/>
    <w:rsid w:val="009B6787"/>
    <w:rsid w:val="009B7DC5"/>
    <w:rsid w:val="009C05A1"/>
    <w:rsid w:val="009C138B"/>
    <w:rsid w:val="009C2299"/>
    <w:rsid w:val="009C22AA"/>
    <w:rsid w:val="009C2385"/>
    <w:rsid w:val="009C3478"/>
    <w:rsid w:val="009C3669"/>
    <w:rsid w:val="009C4186"/>
    <w:rsid w:val="009C42B3"/>
    <w:rsid w:val="009C4637"/>
    <w:rsid w:val="009C4EAB"/>
    <w:rsid w:val="009C5700"/>
    <w:rsid w:val="009C5ED6"/>
    <w:rsid w:val="009C6615"/>
    <w:rsid w:val="009C6999"/>
    <w:rsid w:val="009C7DD0"/>
    <w:rsid w:val="009D06B3"/>
    <w:rsid w:val="009D0891"/>
    <w:rsid w:val="009D0ACF"/>
    <w:rsid w:val="009D14FC"/>
    <w:rsid w:val="009D2297"/>
    <w:rsid w:val="009D24E2"/>
    <w:rsid w:val="009D304B"/>
    <w:rsid w:val="009D3437"/>
    <w:rsid w:val="009D3BE0"/>
    <w:rsid w:val="009D3BF4"/>
    <w:rsid w:val="009D5F09"/>
    <w:rsid w:val="009D6564"/>
    <w:rsid w:val="009D69C7"/>
    <w:rsid w:val="009D7E53"/>
    <w:rsid w:val="009E0664"/>
    <w:rsid w:val="009E2B4D"/>
    <w:rsid w:val="009E2CBF"/>
    <w:rsid w:val="009E4912"/>
    <w:rsid w:val="009E4E46"/>
    <w:rsid w:val="009E5E3A"/>
    <w:rsid w:val="009E6540"/>
    <w:rsid w:val="009E6759"/>
    <w:rsid w:val="009E6DDC"/>
    <w:rsid w:val="009E7038"/>
    <w:rsid w:val="009E70C3"/>
    <w:rsid w:val="009F0131"/>
    <w:rsid w:val="009F0FD6"/>
    <w:rsid w:val="009F19BB"/>
    <w:rsid w:val="009F19CB"/>
    <w:rsid w:val="009F1BE0"/>
    <w:rsid w:val="009F262B"/>
    <w:rsid w:val="009F36FA"/>
    <w:rsid w:val="009F3DD2"/>
    <w:rsid w:val="009F3DE5"/>
    <w:rsid w:val="009F49AA"/>
    <w:rsid w:val="009F4D22"/>
    <w:rsid w:val="009F5801"/>
    <w:rsid w:val="009F6531"/>
    <w:rsid w:val="009F6A1F"/>
    <w:rsid w:val="009F6F51"/>
    <w:rsid w:val="009F6F5F"/>
    <w:rsid w:val="009F76B1"/>
    <w:rsid w:val="009F79BA"/>
    <w:rsid w:val="00A00BB8"/>
    <w:rsid w:val="00A01735"/>
    <w:rsid w:val="00A01F97"/>
    <w:rsid w:val="00A0262B"/>
    <w:rsid w:val="00A0293B"/>
    <w:rsid w:val="00A02B9C"/>
    <w:rsid w:val="00A02C1A"/>
    <w:rsid w:val="00A02DF8"/>
    <w:rsid w:val="00A034AA"/>
    <w:rsid w:val="00A0379E"/>
    <w:rsid w:val="00A04217"/>
    <w:rsid w:val="00A0578F"/>
    <w:rsid w:val="00A05AC9"/>
    <w:rsid w:val="00A06322"/>
    <w:rsid w:val="00A06438"/>
    <w:rsid w:val="00A064CF"/>
    <w:rsid w:val="00A06E08"/>
    <w:rsid w:val="00A07470"/>
    <w:rsid w:val="00A104F2"/>
    <w:rsid w:val="00A117FE"/>
    <w:rsid w:val="00A1203A"/>
    <w:rsid w:val="00A121EE"/>
    <w:rsid w:val="00A13F60"/>
    <w:rsid w:val="00A1549D"/>
    <w:rsid w:val="00A15525"/>
    <w:rsid w:val="00A15ED3"/>
    <w:rsid w:val="00A16E63"/>
    <w:rsid w:val="00A17046"/>
    <w:rsid w:val="00A21794"/>
    <w:rsid w:val="00A22B5B"/>
    <w:rsid w:val="00A24168"/>
    <w:rsid w:val="00A2475C"/>
    <w:rsid w:val="00A2493D"/>
    <w:rsid w:val="00A24D0D"/>
    <w:rsid w:val="00A25127"/>
    <w:rsid w:val="00A25B02"/>
    <w:rsid w:val="00A265B6"/>
    <w:rsid w:val="00A26764"/>
    <w:rsid w:val="00A27711"/>
    <w:rsid w:val="00A30A17"/>
    <w:rsid w:val="00A31662"/>
    <w:rsid w:val="00A31A8E"/>
    <w:rsid w:val="00A31E8B"/>
    <w:rsid w:val="00A3228D"/>
    <w:rsid w:val="00A32A58"/>
    <w:rsid w:val="00A33510"/>
    <w:rsid w:val="00A337AB"/>
    <w:rsid w:val="00A34145"/>
    <w:rsid w:val="00A34895"/>
    <w:rsid w:val="00A35F31"/>
    <w:rsid w:val="00A36928"/>
    <w:rsid w:val="00A36988"/>
    <w:rsid w:val="00A36C45"/>
    <w:rsid w:val="00A41A22"/>
    <w:rsid w:val="00A42148"/>
    <w:rsid w:val="00A423A9"/>
    <w:rsid w:val="00A42449"/>
    <w:rsid w:val="00A4284D"/>
    <w:rsid w:val="00A42973"/>
    <w:rsid w:val="00A429D0"/>
    <w:rsid w:val="00A44A13"/>
    <w:rsid w:val="00A44BA5"/>
    <w:rsid w:val="00A45AA7"/>
    <w:rsid w:val="00A46922"/>
    <w:rsid w:val="00A469C2"/>
    <w:rsid w:val="00A46C29"/>
    <w:rsid w:val="00A47049"/>
    <w:rsid w:val="00A4709D"/>
    <w:rsid w:val="00A476AF"/>
    <w:rsid w:val="00A47E03"/>
    <w:rsid w:val="00A50417"/>
    <w:rsid w:val="00A52E0F"/>
    <w:rsid w:val="00A53214"/>
    <w:rsid w:val="00A55E2A"/>
    <w:rsid w:val="00A569A5"/>
    <w:rsid w:val="00A6069F"/>
    <w:rsid w:val="00A6077C"/>
    <w:rsid w:val="00A60AA2"/>
    <w:rsid w:val="00A6109B"/>
    <w:rsid w:val="00A61932"/>
    <w:rsid w:val="00A61C3C"/>
    <w:rsid w:val="00A61F55"/>
    <w:rsid w:val="00A62FDE"/>
    <w:rsid w:val="00A6334E"/>
    <w:rsid w:val="00A63F97"/>
    <w:rsid w:val="00A63FFB"/>
    <w:rsid w:val="00A65B9A"/>
    <w:rsid w:val="00A65BB4"/>
    <w:rsid w:val="00A6612F"/>
    <w:rsid w:val="00A6736F"/>
    <w:rsid w:val="00A712FE"/>
    <w:rsid w:val="00A71A1F"/>
    <w:rsid w:val="00A72499"/>
    <w:rsid w:val="00A73158"/>
    <w:rsid w:val="00A74AE3"/>
    <w:rsid w:val="00A7553C"/>
    <w:rsid w:val="00A76382"/>
    <w:rsid w:val="00A76C72"/>
    <w:rsid w:val="00A80593"/>
    <w:rsid w:val="00A807C5"/>
    <w:rsid w:val="00A80E90"/>
    <w:rsid w:val="00A811D2"/>
    <w:rsid w:val="00A81364"/>
    <w:rsid w:val="00A8278F"/>
    <w:rsid w:val="00A827FA"/>
    <w:rsid w:val="00A82BB7"/>
    <w:rsid w:val="00A833AF"/>
    <w:rsid w:val="00A83403"/>
    <w:rsid w:val="00A83769"/>
    <w:rsid w:val="00A837A4"/>
    <w:rsid w:val="00A84C31"/>
    <w:rsid w:val="00A868BC"/>
    <w:rsid w:val="00A870C8"/>
    <w:rsid w:val="00A872D4"/>
    <w:rsid w:val="00A907DE"/>
    <w:rsid w:val="00A9089F"/>
    <w:rsid w:val="00A91494"/>
    <w:rsid w:val="00A91783"/>
    <w:rsid w:val="00A91982"/>
    <w:rsid w:val="00A91F63"/>
    <w:rsid w:val="00A92B05"/>
    <w:rsid w:val="00A93277"/>
    <w:rsid w:val="00A93604"/>
    <w:rsid w:val="00A93C50"/>
    <w:rsid w:val="00A94036"/>
    <w:rsid w:val="00A94A53"/>
    <w:rsid w:val="00A95293"/>
    <w:rsid w:val="00A95612"/>
    <w:rsid w:val="00A95780"/>
    <w:rsid w:val="00A95C5C"/>
    <w:rsid w:val="00A95DB8"/>
    <w:rsid w:val="00A96690"/>
    <w:rsid w:val="00A970C9"/>
    <w:rsid w:val="00A9721B"/>
    <w:rsid w:val="00AA1D35"/>
    <w:rsid w:val="00AA27FA"/>
    <w:rsid w:val="00AA2AA2"/>
    <w:rsid w:val="00AA2EDA"/>
    <w:rsid w:val="00AA33B4"/>
    <w:rsid w:val="00AA349C"/>
    <w:rsid w:val="00AA436F"/>
    <w:rsid w:val="00AA4391"/>
    <w:rsid w:val="00AA45EA"/>
    <w:rsid w:val="00AA472C"/>
    <w:rsid w:val="00AA52DE"/>
    <w:rsid w:val="00AA5C6A"/>
    <w:rsid w:val="00AA6983"/>
    <w:rsid w:val="00AA6A82"/>
    <w:rsid w:val="00AA6AB2"/>
    <w:rsid w:val="00AA6FF9"/>
    <w:rsid w:val="00AA73EE"/>
    <w:rsid w:val="00AA7756"/>
    <w:rsid w:val="00AA7A20"/>
    <w:rsid w:val="00AB011E"/>
    <w:rsid w:val="00AB0304"/>
    <w:rsid w:val="00AB0635"/>
    <w:rsid w:val="00AB0B1A"/>
    <w:rsid w:val="00AB0C7B"/>
    <w:rsid w:val="00AB16FA"/>
    <w:rsid w:val="00AB1D38"/>
    <w:rsid w:val="00AB2981"/>
    <w:rsid w:val="00AB3860"/>
    <w:rsid w:val="00AB3F03"/>
    <w:rsid w:val="00AB4480"/>
    <w:rsid w:val="00AB47A3"/>
    <w:rsid w:val="00AB4F3D"/>
    <w:rsid w:val="00AB5EF5"/>
    <w:rsid w:val="00AB6746"/>
    <w:rsid w:val="00AC0119"/>
    <w:rsid w:val="00AC0378"/>
    <w:rsid w:val="00AC07C3"/>
    <w:rsid w:val="00AC0A7F"/>
    <w:rsid w:val="00AC1822"/>
    <w:rsid w:val="00AC1A3E"/>
    <w:rsid w:val="00AC1B3E"/>
    <w:rsid w:val="00AC1D06"/>
    <w:rsid w:val="00AC21C1"/>
    <w:rsid w:val="00AC2C0F"/>
    <w:rsid w:val="00AC30AE"/>
    <w:rsid w:val="00AC3962"/>
    <w:rsid w:val="00AC3CCD"/>
    <w:rsid w:val="00AC4FE5"/>
    <w:rsid w:val="00AC5508"/>
    <w:rsid w:val="00AC5737"/>
    <w:rsid w:val="00AC58D9"/>
    <w:rsid w:val="00AC58F2"/>
    <w:rsid w:val="00AC5FD6"/>
    <w:rsid w:val="00AC6212"/>
    <w:rsid w:val="00AC70C5"/>
    <w:rsid w:val="00AC72FC"/>
    <w:rsid w:val="00AC7D89"/>
    <w:rsid w:val="00AD00CF"/>
    <w:rsid w:val="00AD1F38"/>
    <w:rsid w:val="00AD29AF"/>
    <w:rsid w:val="00AD2B1B"/>
    <w:rsid w:val="00AD321A"/>
    <w:rsid w:val="00AD3899"/>
    <w:rsid w:val="00AD3987"/>
    <w:rsid w:val="00AD4312"/>
    <w:rsid w:val="00AD4729"/>
    <w:rsid w:val="00AD4F60"/>
    <w:rsid w:val="00AD50E5"/>
    <w:rsid w:val="00AD557C"/>
    <w:rsid w:val="00AD695C"/>
    <w:rsid w:val="00AD7125"/>
    <w:rsid w:val="00AD7219"/>
    <w:rsid w:val="00AE055B"/>
    <w:rsid w:val="00AE16AF"/>
    <w:rsid w:val="00AE182E"/>
    <w:rsid w:val="00AE256B"/>
    <w:rsid w:val="00AE4407"/>
    <w:rsid w:val="00AE4F51"/>
    <w:rsid w:val="00AE4F90"/>
    <w:rsid w:val="00AE6A32"/>
    <w:rsid w:val="00AE7105"/>
    <w:rsid w:val="00AE7865"/>
    <w:rsid w:val="00AE7A9A"/>
    <w:rsid w:val="00AE7C09"/>
    <w:rsid w:val="00AF00BD"/>
    <w:rsid w:val="00AF0BEA"/>
    <w:rsid w:val="00AF1305"/>
    <w:rsid w:val="00AF1B33"/>
    <w:rsid w:val="00AF1C80"/>
    <w:rsid w:val="00AF3429"/>
    <w:rsid w:val="00AF3C2C"/>
    <w:rsid w:val="00AF3CFE"/>
    <w:rsid w:val="00AF5130"/>
    <w:rsid w:val="00AF5C73"/>
    <w:rsid w:val="00AF7456"/>
    <w:rsid w:val="00AF7676"/>
    <w:rsid w:val="00B00170"/>
    <w:rsid w:val="00B00AEB"/>
    <w:rsid w:val="00B01E6B"/>
    <w:rsid w:val="00B032BA"/>
    <w:rsid w:val="00B041D6"/>
    <w:rsid w:val="00B041F4"/>
    <w:rsid w:val="00B0450A"/>
    <w:rsid w:val="00B06068"/>
    <w:rsid w:val="00B0607C"/>
    <w:rsid w:val="00B0775A"/>
    <w:rsid w:val="00B07978"/>
    <w:rsid w:val="00B07CFC"/>
    <w:rsid w:val="00B1061B"/>
    <w:rsid w:val="00B108A6"/>
    <w:rsid w:val="00B118BC"/>
    <w:rsid w:val="00B11F99"/>
    <w:rsid w:val="00B12C98"/>
    <w:rsid w:val="00B13222"/>
    <w:rsid w:val="00B13764"/>
    <w:rsid w:val="00B14087"/>
    <w:rsid w:val="00B14499"/>
    <w:rsid w:val="00B14828"/>
    <w:rsid w:val="00B14947"/>
    <w:rsid w:val="00B152C4"/>
    <w:rsid w:val="00B154C6"/>
    <w:rsid w:val="00B1563B"/>
    <w:rsid w:val="00B1599C"/>
    <w:rsid w:val="00B15ACF"/>
    <w:rsid w:val="00B168E8"/>
    <w:rsid w:val="00B17F93"/>
    <w:rsid w:val="00B215A5"/>
    <w:rsid w:val="00B21DC8"/>
    <w:rsid w:val="00B21DE2"/>
    <w:rsid w:val="00B22157"/>
    <w:rsid w:val="00B222C0"/>
    <w:rsid w:val="00B22628"/>
    <w:rsid w:val="00B22CF4"/>
    <w:rsid w:val="00B22F60"/>
    <w:rsid w:val="00B24C02"/>
    <w:rsid w:val="00B25676"/>
    <w:rsid w:val="00B2664C"/>
    <w:rsid w:val="00B26F13"/>
    <w:rsid w:val="00B277E4"/>
    <w:rsid w:val="00B31957"/>
    <w:rsid w:val="00B3389A"/>
    <w:rsid w:val="00B34520"/>
    <w:rsid w:val="00B349BC"/>
    <w:rsid w:val="00B34EB5"/>
    <w:rsid w:val="00B35D9F"/>
    <w:rsid w:val="00B36362"/>
    <w:rsid w:val="00B36BA3"/>
    <w:rsid w:val="00B3773C"/>
    <w:rsid w:val="00B3778D"/>
    <w:rsid w:val="00B37B56"/>
    <w:rsid w:val="00B4086A"/>
    <w:rsid w:val="00B41130"/>
    <w:rsid w:val="00B417DC"/>
    <w:rsid w:val="00B4197F"/>
    <w:rsid w:val="00B4290B"/>
    <w:rsid w:val="00B429FE"/>
    <w:rsid w:val="00B438DB"/>
    <w:rsid w:val="00B44068"/>
    <w:rsid w:val="00B4445D"/>
    <w:rsid w:val="00B447D2"/>
    <w:rsid w:val="00B44CC1"/>
    <w:rsid w:val="00B45EA3"/>
    <w:rsid w:val="00B47AFC"/>
    <w:rsid w:val="00B47F47"/>
    <w:rsid w:val="00B51127"/>
    <w:rsid w:val="00B5172B"/>
    <w:rsid w:val="00B517CC"/>
    <w:rsid w:val="00B51F1C"/>
    <w:rsid w:val="00B52D46"/>
    <w:rsid w:val="00B5319D"/>
    <w:rsid w:val="00B5363B"/>
    <w:rsid w:val="00B5458A"/>
    <w:rsid w:val="00B5467E"/>
    <w:rsid w:val="00B55D89"/>
    <w:rsid w:val="00B5705E"/>
    <w:rsid w:val="00B57A5F"/>
    <w:rsid w:val="00B60C3B"/>
    <w:rsid w:val="00B61216"/>
    <w:rsid w:val="00B6181E"/>
    <w:rsid w:val="00B61834"/>
    <w:rsid w:val="00B628A1"/>
    <w:rsid w:val="00B637DD"/>
    <w:rsid w:val="00B643F1"/>
    <w:rsid w:val="00B6440B"/>
    <w:rsid w:val="00B645CC"/>
    <w:rsid w:val="00B64BE0"/>
    <w:rsid w:val="00B656B6"/>
    <w:rsid w:val="00B65991"/>
    <w:rsid w:val="00B65FDA"/>
    <w:rsid w:val="00B663E1"/>
    <w:rsid w:val="00B66514"/>
    <w:rsid w:val="00B66A8C"/>
    <w:rsid w:val="00B66B12"/>
    <w:rsid w:val="00B678C0"/>
    <w:rsid w:val="00B70292"/>
    <w:rsid w:val="00B722CC"/>
    <w:rsid w:val="00B7281E"/>
    <w:rsid w:val="00B72C2D"/>
    <w:rsid w:val="00B7328C"/>
    <w:rsid w:val="00B73380"/>
    <w:rsid w:val="00B7355B"/>
    <w:rsid w:val="00B73B57"/>
    <w:rsid w:val="00B742EB"/>
    <w:rsid w:val="00B743E6"/>
    <w:rsid w:val="00B74A93"/>
    <w:rsid w:val="00B7530A"/>
    <w:rsid w:val="00B76154"/>
    <w:rsid w:val="00B7663B"/>
    <w:rsid w:val="00B769FE"/>
    <w:rsid w:val="00B76C09"/>
    <w:rsid w:val="00B77B99"/>
    <w:rsid w:val="00B80474"/>
    <w:rsid w:val="00B80D2B"/>
    <w:rsid w:val="00B819AE"/>
    <w:rsid w:val="00B82332"/>
    <w:rsid w:val="00B829A1"/>
    <w:rsid w:val="00B82E33"/>
    <w:rsid w:val="00B83252"/>
    <w:rsid w:val="00B83B00"/>
    <w:rsid w:val="00B83C66"/>
    <w:rsid w:val="00B84679"/>
    <w:rsid w:val="00B84BC0"/>
    <w:rsid w:val="00B8796F"/>
    <w:rsid w:val="00B87BD2"/>
    <w:rsid w:val="00B87E39"/>
    <w:rsid w:val="00B905AE"/>
    <w:rsid w:val="00B9065A"/>
    <w:rsid w:val="00B91062"/>
    <w:rsid w:val="00B9127A"/>
    <w:rsid w:val="00B9137F"/>
    <w:rsid w:val="00B91879"/>
    <w:rsid w:val="00B937E7"/>
    <w:rsid w:val="00B9475F"/>
    <w:rsid w:val="00B94D62"/>
    <w:rsid w:val="00B95522"/>
    <w:rsid w:val="00B9573C"/>
    <w:rsid w:val="00B96044"/>
    <w:rsid w:val="00B96C76"/>
    <w:rsid w:val="00B96D30"/>
    <w:rsid w:val="00B9711B"/>
    <w:rsid w:val="00B976D5"/>
    <w:rsid w:val="00B97892"/>
    <w:rsid w:val="00B9793F"/>
    <w:rsid w:val="00B97EFB"/>
    <w:rsid w:val="00BA033B"/>
    <w:rsid w:val="00BA11E6"/>
    <w:rsid w:val="00BA139D"/>
    <w:rsid w:val="00BA14F8"/>
    <w:rsid w:val="00BA1B1E"/>
    <w:rsid w:val="00BA1D4B"/>
    <w:rsid w:val="00BA1E58"/>
    <w:rsid w:val="00BA2032"/>
    <w:rsid w:val="00BA2085"/>
    <w:rsid w:val="00BA239D"/>
    <w:rsid w:val="00BA3268"/>
    <w:rsid w:val="00BA369B"/>
    <w:rsid w:val="00BA392F"/>
    <w:rsid w:val="00BA4090"/>
    <w:rsid w:val="00BA40E5"/>
    <w:rsid w:val="00BA4700"/>
    <w:rsid w:val="00BA4BA3"/>
    <w:rsid w:val="00BA5DF8"/>
    <w:rsid w:val="00BA5FBA"/>
    <w:rsid w:val="00BA6A96"/>
    <w:rsid w:val="00BB0017"/>
    <w:rsid w:val="00BB0433"/>
    <w:rsid w:val="00BB04A5"/>
    <w:rsid w:val="00BB0B62"/>
    <w:rsid w:val="00BB0FA9"/>
    <w:rsid w:val="00BB15A7"/>
    <w:rsid w:val="00BB1CF9"/>
    <w:rsid w:val="00BB2F86"/>
    <w:rsid w:val="00BB4B1B"/>
    <w:rsid w:val="00BB6D19"/>
    <w:rsid w:val="00BB7383"/>
    <w:rsid w:val="00BB745C"/>
    <w:rsid w:val="00BB79B9"/>
    <w:rsid w:val="00BB79F3"/>
    <w:rsid w:val="00BB7A35"/>
    <w:rsid w:val="00BB7B46"/>
    <w:rsid w:val="00BB7BA4"/>
    <w:rsid w:val="00BC0A5B"/>
    <w:rsid w:val="00BC0CAB"/>
    <w:rsid w:val="00BC11D2"/>
    <w:rsid w:val="00BC1203"/>
    <w:rsid w:val="00BC121F"/>
    <w:rsid w:val="00BC1FA7"/>
    <w:rsid w:val="00BC2899"/>
    <w:rsid w:val="00BC44DA"/>
    <w:rsid w:val="00BC62E6"/>
    <w:rsid w:val="00BC6E51"/>
    <w:rsid w:val="00BC6E56"/>
    <w:rsid w:val="00BC6E9B"/>
    <w:rsid w:val="00BC6F9C"/>
    <w:rsid w:val="00BC7E98"/>
    <w:rsid w:val="00BC7FF3"/>
    <w:rsid w:val="00BD1635"/>
    <w:rsid w:val="00BD3753"/>
    <w:rsid w:val="00BD3DBF"/>
    <w:rsid w:val="00BD3DD2"/>
    <w:rsid w:val="00BD4192"/>
    <w:rsid w:val="00BD447C"/>
    <w:rsid w:val="00BD44D9"/>
    <w:rsid w:val="00BD4987"/>
    <w:rsid w:val="00BD54C8"/>
    <w:rsid w:val="00BD564D"/>
    <w:rsid w:val="00BD58F8"/>
    <w:rsid w:val="00BD63A6"/>
    <w:rsid w:val="00BD697A"/>
    <w:rsid w:val="00BE046E"/>
    <w:rsid w:val="00BE0B11"/>
    <w:rsid w:val="00BE180B"/>
    <w:rsid w:val="00BE1FE2"/>
    <w:rsid w:val="00BE23D5"/>
    <w:rsid w:val="00BE2F1E"/>
    <w:rsid w:val="00BE2F5F"/>
    <w:rsid w:val="00BE5A89"/>
    <w:rsid w:val="00BE5C5C"/>
    <w:rsid w:val="00BE6436"/>
    <w:rsid w:val="00BE7948"/>
    <w:rsid w:val="00BF1927"/>
    <w:rsid w:val="00BF1B4A"/>
    <w:rsid w:val="00BF3183"/>
    <w:rsid w:val="00BF41E2"/>
    <w:rsid w:val="00BF5E9A"/>
    <w:rsid w:val="00BF5ECA"/>
    <w:rsid w:val="00BF78B1"/>
    <w:rsid w:val="00BF7F32"/>
    <w:rsid w:val="00C006D4"/>
    <w:rsid w:val="00C00A2B"/>
    <w:rsid w:val="00C0132E"/>
    <w:rsid w:val="00C01E6F"/>
    <w:rsid w:val="00C02511"/>
    <w:rsid w:val="00C04F93"/>
    <w:rsid w:val="00C051CF"/>
    <w:rsid w:val="00C05246"/>
    <w:rsid w:val="00C06AE2"/>
    <w:rsid w:val="00C07263"/>
    <w:rsid w:val="00C0764C"/>
    <w:rsid w:val="00C11A00"/>
    <w:rsid w:val="00C11D55"/>
    <w:rsid w:val="00C1214D"/>
    <w:rsid w:val="00C123E5"/>
    <w:rsid w:val="00C12545"/>
    <w:rsid w:val="00C125AD"/>
    <w:rsid w:val="00C138B7"/>
    <w:rsid w:val="00C145ED"/>
    <w:rsid w:val="00C14C81"/>
    <w:rsid w:val="00C15473"/>
    <w:rsid w:val="00C1554D"/>
    <w:rsid w:val="00C15960"/>
    <w:rsid w:val="00C15DAE"/>
    <w:rsid w:val="00C17216"/>
    <w:rsid w:val="00C178F7"/>
    <w:rsid w:val="00C20EB3"/>
    <w:rsid w:val="00C215A9"/>
    <w:rsid w:val="00C215C3"/>
    <w:rsid w:val="00C216F8"/>
    <w:rsid w:val="00C21DD3"/>
    <w:rsid w:val="00C2267C"/>
    <w:rsid w:val="00C22696"/>
    <w:rsid w:val="00C22771"/>
    <w:rsid w:val="00C2336C"/>
    <w:rsid w:val="00C245C3"/>
    <w:rsid w:val="00C247FB"/>
    <w:rsid w:val="00C24F9A"/>
    <w:rsid w:val="00C256EC"/>
    <w:rsid w:val="00C27ABF"/>
    <w:rsid w:val="00C30818"/>
    <w:rsid w:val="00C31419"/>
    <w:rsid w:val="00C31459"/>
    <w:rsid w:val="00C322AF"/>
    <w:rsid w:val="00C32346"/>
    <w:rsid w:val="00C33496"/>
    <w:rsid w:val="00C35115"/>
    <w:rsid w:val="00C35D4A"/>
    <w:rsid w:val="00C36D1A"/>
    <w:rsid w:val="00C40690"/>
    <w:rsid w:val="00C40938"/>
    <w:rsid w:val="00C41693"/>
    <w:rsid w:val="00C41845"/>
    <w:rsid w:val="00C426E0"/>
    <w:rsid w:val="00C432F5"/>
    <w:rsid w:val="00C439D0"/>
    <w:rsid w:val="00C441AD"/>
    <w:rsid w:val="00C44517"/>
    <w:rsid w:val="00C448EB"/>
    <w:rsid w:val="00C452F3"/>
    <w:rsid w:val="00C45376"/>
    <w:rsid w:val="00C4561C"/>
    <w:rsid w:val="00C45670"/>
    <w:rsid w:val="00C4596C"/>
    <w:rsid w:val="00C47673"/>
    <w:rsid w:val="00C476B4"/>
    <w:rsid w:val="00C5058F"/>
    <w:rsid w:val="00C50B00"/>
    <w:rsid w:val="00C51F95"/>
    <w:rsid w:val="00C521C5"/>
    <w:rsid w:val="00C52649"/>
    <w:rsid w:val="00C52CDB"/>
    <w:rsid w:val="00C53222"/>
    <w:rsid w:val="00C53540"/>
    <w:rsid w:val="00C54B7C"/>
    <w:rsid w:val="00C54F24"/>
    <w:rsid w:val="00C553BF"/>
    <w:rsid w:val="00C55DE7"/>
    <w:rsid w:val="00C5603A"/>
    <w:rsid w:val="00C56774"/>
    <w:rsid w:val="00C57121"/>
    <w:rsid w:val="00C6045C"/>
    <w:rsid w:val="00C606FE"/>
    <w:rsid w:val="00C60B19"/>
    <w:rsid w:val="00C610B4"/>
    <w:rsid w:val="00C613BA"/>
    <w:rsid w:val="00C61A4E"/>
    <w:rsid w:val="00C61BB2"/>
    <w:rsid w:val="00C622E2"/>
    <w:rsid w:val="00C62B18"/>
    <w:rsid w:val="00C63160"/>
    <w:rsid w:val="00C634D5"/>
    <w:rsid w:val="00C63615"/>
    <w:rsid w:val="00C63B01"/>
    <w:rsid w:val="00C65895"/>
    <w:rsid w:val="00C65B37"/>
    <w:rsid w:val="00C65D1E"/>
    <w:rsid w:val="00C665D2"/>
    <w:rsid w:val="00C66862"/>
    <w:rsid w:val="00C67175"/>
    <w:rsid w:val="00C675F5"/>
    <w:rsid w:val="00C67705"/>
    <w:rsid w:val="00C6788E"/>
    <w:rsid w:val="00C70357"/>
    <w:rsid w:val="00C71A13"/>
    <w:rsid w:val="00C733E7"/>
    <w:rsid w:val="00C7362D"/>
    <w:rsid w:val="00C73717"/>
    <w:rsid w:val="00C74AA4"/>
    <w:rsid w:val="00C74C43"/>
    <w:rsid w:val="00C75012"/>
    <w:rsid w:val="00C75716"/>
    <w:rsid w:val="00C762B0"/>
    <w:rsid w:val="00C76A73"/>
    <w:rsid w:val="00C77214"/>
    <w:rsid w:val="00C77662"/>
    <w:rsid w:val="00C800C8"/>
    <w:rsid w:val="00C80A3D"/>
    <w:rsid w:val="00C8156C"/>
    <w:rsid w:val="00C8169B"/>
    <w:rsid w:val="00C83B13"/>
    <w:rsid w:val="00C83E8D"/>
    <w:rsid w:val="00C85DAE"/>
    <w:rsid w:val="00C85F2F"/>
    <w:rsid w:val="00C866DC"/>
    <w:rsid w:val="00C86849"/>
    <w:rsid w:val="00C8695C"/>
    <w:rsid w:val="00C86A91"/>
    <w:rsid w:val="00C86C44"/>
    <w:rsid w:val="00C86CE6"/>
    <w:rsid w:val="00C8720D"/>
    <w:rsid w:val="00C87F03"/>
    <w:rsid w:val="00C9010B"/>
    <w:rsid w:val="00C90A8A"/>
    <w:rsid w:val="00C922E8"/>
    <w:rsid w:val="00C92FE0"/>
    <w:rsid w:val="00C93364"/>
    <w:rsid w:val="00C93EB5"/>
    <w:rsid w:val="00C9455C"/>
    <w:rsid w:val="00C946AE"/>
    <w:rsid w:val="00C953D2"/>
    <w:rsid w:val="00C959FC"/>
    <w:rsid w:val="00C95B36"/>
    <w:rsid w:val="00C95BC2"/>
    <w:rsid w:val="00C95F32"/>
    <w:rsid w:val="00C96019"/>
    <w:rsid w:val="00C967D2"/>
    <w:rsid w:val="00C968F8"/>
    <w:rsid w:val="00C97833"/>
    <w:rsid w:val="00C97C90"/>
    <w:rsid w:val="00CA08E3"/>
    <w:rsid w:val="00CA09C1"/>
    <w:rsid w:val="00CA134B"/>
    <w:rsid w:val="00CA14DC"/>
    <w:rsid w:val="00CA1A13"/>
    <w:rsid w:val="00CA1AD5"/>
    <w:rsid w:val="00CA1B9E"/>
    <w:rsid w:val="00CA21C0"/>
    <w:rsid w:val="00CA2438"/>
    <w:rsid w:val="00CA2919"/>
    <w:rsid w:val="00CA3615"/>
    <w:rsid w:val="00CA3815"/>
    <w:rsid w:val="00CA3ACE"/>
    <w:rsid w:val="00CA3F76"/>
    <w:rsid w:val="00CA3FC4"/>
    <w:rsid w:val="00CA5829"/>
    <w:rsid w:val="00CA6F1B"/>
    <w:rsid w:val="00CA719F"/>
    <w:rsid w:val="00CA76A6"/>
    <w:rsid w:val="00CB02C1"/>
    <w:rsid w:val="00CB0D65"/>
    <w:rsid w:val="00CB11D6"/>
    <w:rsid w:val="00CB3205"/>
    <w:rsid w:val="00CB35C2"/>
    <w:rsid w:val="00CB37A5"/>
    <w:rsid w:val="00CB4B60"/>
    <w:rsid w:val="00CB4FB4"/>
    <w:rsid w:val="00CB5C2E"/>
    <w:rsid w:val="00CB5F47"/>
    <w:rsid w:val="00CB63D0"/>
    <w:rsid w:val="00CB668A"/>
    <w:rsid w:val="00CB66D7"/>
    <w:rsid w:val="00CB69B3"/>
    <w:rsid w:val="00CB6CF1"/>
    <w:rsid w:val="00CB6DB2"/>
    <w:rsid w:val="00CB7342"/>
    <w:rsid w:val="00CB7387"/>
    <w:rsid w:val="00CC04DA"/>
    <w:rsid w:val="00CC06E0"/>
    <w:rsid w:val="00CC1E5A"/>
    <w:rsid w:val="00CC231B"/>
    <w:rsid w:val="00CC3DAA"/>
    <w:rsid w:val="00CC460C"/>
    <w:rsid w:val="00CC523A"/>
    <w:rsid w:val="00CC5A19"/>
    <w:rsid w:val="00CC74D4"/>
    <w:rsid w:val="00CC7F36"/>
    <w:rsid w:val="00CD02DB"/>
    <w:rsid w:val="00CD12C0"/>
    <w:rsid w:val="00CD19F3"/>
    <w:rsid w:val="00CD3652"/>
    <w:rsid w:val="00CD41E3"/>
    <w:rsid w:val="00CD4C0F"/>
    <w:rsid w:val="00CD50FC"/>
    <w:rsid w:val="00CD592D"/>
    <w:rsid w:val="00CD5E28"/>
    <w:rsid w:val="00CD6137"/>
    <w:rsid w:val="00CD63D7"/>
    <w:rsid w:val="00CD64EA"/>
    <w:rsid w:val="00CD70C9"/>
    <w:rsid w:val="00CD74AB"/>
    <w:rsid w:val="00CD7ADC"/>
    <w:rsid w:val="00CD7CFD"/>
    <w:rsid w:val="00CE0627"/>
    <w:rsid w:val="00CE0ABB"/>
    <w:rsid w:val="00CE1314"/>
    <w:rsid w:val="00CE2FB5"/>
    <w:rsid w:val="00CE331E"/>
    <w:rsid w:val="00CE3985"/>
    <w:rsid w:val="00CE4585"/>
    <w:rsid w:val="00CE47A6"/>
    <w:rsid w:val="00CE50E1"/>
    <w:rsid w:val="00CE5656"/>
    <w:rsid w:val="00CE56A4"/>
    <w:rsid w:val="00CE5B2D"/>
    <w:rsid w:val="00CE6C55"/>
    <w:rsid w:val="00CE7BDF"/>
    <w:rsid w:val="00CF05A2"/>
    <w:rsid w:val="00CF0939"/>
    <w:rsid w:val="00CF0FF4"/>
    <w:rsid w:val="00CF103D"/>
    <w:rsid w:val="00CF1479"/>
    <w:rsid w:val="00CF2BAD"/>
    <w:rsid w:val="00CF2BCD"/>
    <w:rsid w:val="00CF3587"/>
    <w:rsid w:val="00CF3D55"/>
    <w:rsid w:val="00CF4F56"/>
    <w:rsid w:val="00CF5319"/>
    <w:rsid w:val="00CF53DC"/>
    <w:rsid w:val="00CF5650"/>
    <w:rsid w:val="00CF59DE"/>
    <w:rsid w:val="00CF6248"/>
    <w:rsid w:val="00CF65F5"/>
    <w:rsid w:val="00CF723B"/>
    <w:rsid w:val="00CF7505"/>
    <w:rsid w:val="00D00BA4"/>
    <w:rsid w:val="00D00E60"/>
    <w:rsid w:val="00D00F87"/>
    <w:rsid w:val="00D01769"/>
    <w:rsid w:val="00D0229F"/>
    <w:rsid w:val="00D0312A"/>
    <w:rsid w:val="00D0321C"/>
    <w:rsid w:val="00D03D39"/>
    <w:rsid w:val="00D04955"/>
    <w:rsid w:val="00D04BBB"/>
    <w:rsid w:val="00D0509E"/>
    <w:rsid w:val="00D05B7C"/>
    <w:rsid w:val="00D06A88"/>
    <w:rsid w:val="00D06C3F"/>
    <w:rsid w:val="00D06D6F"/>
    <w:rsid w:val="00D10527"/>
    <w:rsid w:val="00D10EF6"/>
    <w:rsid w:val="00D11C72"/>
    <w:rsid w:val="00D11E33"/>
    <w:rsid w:val="00D125E3"/>
    <w:rsid w:val="00D128CB"/>
    <w:rsid w:val="00D128EE"/>
    <w:rsid w:val="00D12EE5"/>
    <w:rsid w:val="00D13778"/>
    <w:rsid w:val="00D13D45"/>
    <w:rsid w:val="00D14A16"/>
    <w:rsid w:val="00D15382"/>
    <w:rsid w:val="00D15A25"/>
    <w:rsid w:val="00D15EA4"/>
    <w:rsid w:val="00D15F54"/>
    <w:rsid w:val="00D15FB1"/>
    <w:rsid w:val="00D1610D"/>
    <w:rsid w:val="00D20822"/>
    <w:rsid w:val="00D22067"/>
    <w:rsid w:val="00D231EB"/>
    <w:rsid w:val="00D23C7B"/>
    <w:rsid w:val="00D248C5"/>
    <w:rsid w:val="00D24A12"/>
    <w:rsid w:val="00D256A7"/>
    <w:rsid w:val="00D25D05"/>
    <w:rsid w:val="00D26D13"/>
    <w:rsid w:val="00D277CA"/>
    <w:rsid w:val="00D316A3"/>
    <w:rsid w:val="00D31AF5"/>
    <w:rsid w:val="00D32136"/>
    <w:rsid w:val="00D32869"/>
    <w:rsid w:val="00D32D3E"/>
    <w:rsid w:val="00D332E3"/>
    <w:rsid w:val="00D33E10"/>
    <w:rsid w:val="00D34418"/>
    <w:rsid w:val="00D346D7"/>
    <w:rsid w:val="00D356AC"/>
    <w:rsid w:val="00D36172"/>
    <w:rsid w:val="00D3657D"/>
    <w:rsid w:val="00D36F87"/>
    <w:rsid w:val="00D370A7"/>
    <w:rsid w:val="00D370FB"/>
    <w:rsid w:val="00D37303"/>
    <w:rsid w:val="00D37F39"/>
    <w:rsid w:val="00D40B34"/>
    <w:rsid w:val="00D40C13"/>
    <w:rsid w:val="00D41337"/>
    <w:rsid w:val="00D4250E"/>
    <w:rsid w:val="00D42A40"/>
    <w:rsid w:val="00D434B5"/>
    <w:rsid w:val="00D443CA"/>
    <w:rsid w:val="00D44BFB"/>
    <w:rsid w:val="00D44D22"/>
    <w:rsid w:val="00D460D2"/>
    <w:rsid w:val="00D467B5"/>
    <w:rsid w:val="00D469FA"/>
    <w:rsid w:val="00D46C88"/>
    <w:rsid w:val="00D477AA"/>
    <w:rsid w:val="00D4788C"/>
    <w:rsid w:val="00D479F4"/>
    <w:rsid w:val="00D5132F"/>
    <w:rsid w:val="00D52379"/>
    <w:rsid w:val="00D5369B"/>
    <w:rsid w:val="00D53B62"/>
    <w:rsid w:val="00D53E3F"/>
    <w:rsid w:val="00D53FBE"/>
    <w:rsid w:val="00D54184"/>
    <w:rsid w:val="00D54275"/>
    <w:rsid w:val="00D549AC"/>
    <w:rsid w:val="00D54A4F"/>
    <w:rsid w:val="00D54F69"/>
    <w:rsid w:val="00D55F51"/>
    <w:rsid w:val="00D60A26"/>
    <w:rsid w:val="00D60E1E"/>
    <w:rsid w:val="00D617E9"/>
    <w:rsid w:val="00D61A5B"/>
    <w:rsid w:val="00D61CC9"/>
    <w:rsid w:val="00D61FE9"/>
    <w:rsid w:val="00D6363D"/>
    <w:rsid w:val="00D636D7"/>
    <w:rsid w:val="00D63C16"/>
    <w:rsid w:val="00D63EE9"/>
    <w:rsid w:val="00D65AD7"/>
    <w:rsid w:val="00D65B11"/>
    <w:rsid w:val="00D66292"/>
    <w:rsid w:val="00D66796"/>
    <w:rsid w:val="00D67034"/>
    <w:rsid w:val="00D678B0"/>
    <w:rsid w:val="00D7024A"/>
    <w:rsid w:val="00D71115"/>
    <w:rsid w:val="00D712A5"/>
    <w:rsid w:val="00D71F99"/>
    <w:rsid w:val="00D71FC2"/>
    <w:rsid w:val="00D72B36"/>
    <w:rsid w:val="00D72BE6"/>
    <w:rsid w:val="00D73175"/>
    <w:rsid w:val="00D73778"/>
    <w:rsid w:val="00D740C2"/>
    <w:rsid w:val="00D74610"/>
    <w:rsid w:val="00D74B58"/>
    <w:rsid w:val="00D75168"/>
    <w:rsid w:val="00D75655"/>
    <w:rsid w:val="00D75AFD"/>
    <w:rsid w:val="00D76BC7"/>
    <w:rsid w:val="00D81ED3"/>
    <w:rsid w:val="00D82CF5"/>
    <w:rsid w:val="00D838CE"/>
    <w:rsid w:val="00D84003"/>
    <w:rsid w:val="00D84CE5"/>
    <w:rsid w:val="00D84D73"/>
    <w:rsid w:val="00D84FB4"/>
    <w:rsid w:val="00D8550C"/>
    <w:rsid w:val="00D8668F"/>
    <w:rsid w:val="00D86908"/>
    <w:rsid w:val="00D86B14"/>
    <w:rsid w:val="00D9097A"/>
    <w:rsid w:val="00D90C4F"/>
    <w:rsid w:val="00D90D91"/>
    <w:rsid w:val="00D90DC5"/>
    <w:rsid w:val="00D92109"/>
    <w:rsid w:val="00D93115"/>
    <w:rsid w:val="00D93857"/>
    <w:rsid w:val="00D93895"/>
    <w:rsid w:val="00D93950"/>
    <w:rsid w:val="00D939BF"/>
    <w:rsid w:val="00D9412C"/>
    <w:rsid w:val="00D94FB5"/>
    <w:rsid w:val="00D9574F"/>
    <w:rsid w:val="00D95C3D"/>
    <w:rsid w:val="00D9707A"/>
    <w:rsid w:val="00D975D4"/>
    <w:rsid w:val="00DA01CC"/>
    <w:rsid w:val="00DA0E38"/>
    <w:rsid w:val="00DA1CC3"/>
    <w:rsid w:val="00DA210E"/>
    <w:rsid w:val="00DA2B00"/>
    <w:rsid w:val="00DA3089"/>
    <w:rsid w:val="00DA30A7"/>
    <w:rsid w:val="00DA360D"/>
    <w:rsid w:val="00DA38F2"/>
    <w:rsid w:val="00DA3ACB"/>
    <w:rsid w:val="00DA402F"/>
    <w:rsid w:val="00DA445B"/>
    <w:rsid w:val="00DA447C"/>
    <w:rsid w:val="00DA47FB"/>
    <w:rsid w:val="00DA4919"/>
    <w:rsid w:val="00DA544D"/>
    <w:rsid w:val="00DA54D9"/>
    <w:rsid w:val="00DA55AB"/>
    <w:rsid w:val="00DA5CD2"/>
    <w:rsid w:val="00DA5EDF"/>
    <w:rsid w:val="00DA6713"/>
    <w:rsid w:val="00DA7717"/>
    <w:rsid w:val="00DA77CA"/>
    <w:rsid w:val="00DA7906"/>
    <w:rsid w:val="00DA7E3D"/>
    <w:rsid w:val="00DB0753"/>
    <w:rsid w:val="00DB07F2"/>
    <w:rsid w:val="00DB0B21"/>
    <w:rsid w:val="00DB1CA7"/>
    <w:rsid w:val="00DB20D5"/>
    <w:rsid w:val="00DB2127"/>
    <w:rsid w:val="00DB2532"/>
    <w:rsid w:val="00DB2628"/>
    <w:rsid w:val="00DB3395"/>
    <w:rsid w:val="00DB3B70"/>
    <w:rsid w:val="00DB418F"/>
    <w:rsid w:val="00DB4A8D"/>
    <w:rsid w:val="00DB6C17"/>
    <w:rsid w:val="00DB6FA3"/>
    <w:rsid w:val="00DB7237"/>
    <w:rsid w:val="00DB759A"/>
    <w:rsid w:val="00DC11DB"/>
    <w:rsid w:val="00DC1B44"/>
    <w:rsid w:val="00DC30B2"/>
    <w:rsid w:val="00DC3DC9"/>
    <w:rsid w:val="00DC4D85"/>
    <w:rsid w:val="00DC55FF"/>
    <w:rsid w:val="00DC5CA6"/>
    <w:rsid w:val="00DC6019"/>
    <w:rsid w:val="00DC612B"/>
    <w:rsid w:val="00DC67E9"/>
    <w:rsid w:val="00DC7721"/>
    <w:rsid w:val="00DC7E90"/>
    <w:rsid w:val="00DD0D70"/>
    <w:rsid w:val="00DD1902"/>
    <w:rsid w:val="00DD1FFC"/>
    <w:rsid w:val="00DD2387"/>
    <w:rsid w:val="00DD23EC"/>
    <w:rsid w:val="00DD3378"/>
    <w:rsid w:val="00DD38D4"/>
    <w:rsid w:val="00DD3EAF"/>
    <w:rsid w:val="00DD439C"/>
    <w:rsid w:val="00DD4514"/>
    <w:rsid w:val="00DD5383"/>
    <w:rsid w:val="00DD56F2"/>
    <w:rsid w:val="00DD584E"/>
    <w:rsid w:val="00DD58AB"/>
    <w:rsid w:val="00DD5C73"/>
    <w:rsid w:val="00DD5D85"/>
    <w:rsid w:val="00DD6022"/>
    <w:rsid w:val="00DD60C0"/>
    <w:rsid w:val="00DD7343"/>
    <w:rsid w:val="00DD7B1F"/>
    <w:rsid w:val="00DD7FDB"/>
    <w:rsid w:val="00DE0690"/>
    <w:rsid w:val="00DE0CFE"/>
    <w:rsid w:val="00DE110F"/>
    <w:rsid w:val="00DE2C50"/>
    <w:rsid w:val="00DE3412"/>
    <w:rsid w:val="00DE4304"/>
    <w:rsid w:val="00DE4367"/>
    <w:rsid w:val="00DE4CB9"/>
    <w:rsid w:val="00DE5448"/>
    <w:rsid w:val="00DE6080"/>
    <w:rsid w:val="00DE6301"/>
    <w:rsid w:val="00DE6DE6"/>
    <w:rsid w:val="00DE778C"/>
    <w:rsid w:val="00DE7871"/>
    <w:rsid w:val="00DE7D7F"/>
    <w:rsid w:val="00DF0627"/>
    <w:rsid w:val="00DF09E5"/>
    <w:rsid w:val="00DF2FE0"/>
    <w:rsid w:val="00DF3E89"/>
    <w:rsid w:val="00DF3F79"/>
    <w:rsid w:val="00DF4336"/>
    <w:rsid w:val="00DF4586"/>
    <w:rsid w:val="00DF48E5"/>
    <w:rsid w:val="00DF5CD5"/>
    <w:rsid w:val="00DF6424"/>
    <w:rsid w:val="00DF6979"/>
    <w:rsid w:val="00DF7AAE"/>
    <w:rsid w:val="00E002C8"/>
    <w:rsid w:val="00E00FE7"/>
    <w:rsid w:val="00E01083"/>
    <w:rsid w:val="00E025C1"/>
    <w:rsid w:val="00E02C12"/>
    <w:rsid w:val="00E0365D"/>
    <w:rsid w:val="00E04788"/>
    <w:rsid w:val="00E047E8"/>
    <w:rsid w:val="00E04C3E"/>
    <w:rsid w:val="00E070E0"/>
    <w:rsid w:val="00E071AD"/>
    <w:rsid w:val="00E0791B"/>
    <w:rsid w:val="00E07B42"/>
    <w:rsid w:val="00E10F02"/>
    <w:rsid w:val="00E11F30"/>
    <w:rsid w:val="00E12706"/>
    <w:rsid w:val="00E14045"/>
    <w:rsid w:val="00E157CD"/>
    <w:rsid w:val="00E163C2"/>
    <w:rsid w:val="00E16B8F"/>
    <w:rsid w:val="00E17207"/>
    <w:rsid w:val="00E17368"/>
    <w:rsid w:val="00E17B6E"/>
    <w:rsid w:val="00E17C6F"/>
    <w:rsid w:val="00E20014"/>
    <w:rsid w:val="00E2002A"/>
    <w:rsid w:val="00E202E4"/>
    <w:rsid w:val="00E20616"/>
    <w:rsid w:val="00E20692"/>
    <w:rsid w:val="00E206A9"/>
    <w:rsid w:val="00E2087D"/>
    <w:rsid w:val="00E20AC9"/>
    <w:rsid w:val="00E20EAE"/>
    <w:rsid w:val="00E2294B"/>
    <w:rsid w:val="00E23273"/>
    <w:rsid w:val="00E246CD"/>
    <w:rsid w:val="00E24FAB"/>
    <w:rsid w:val="00E2555B"/>
    <w:rsid w:val="00E2563C"/>
    <w:rsid w:val="00E25B8F"/>
    <w:rsid w:val="00E25D70"/>
    <w:rsid w:val="00E26370"/>
    <w:rsid w:val="00E266E6"/>
    <w:rsid w:val="00E2698A"/>
    <w:rsid w:val="00E26D4C"/>
    <w:rsid w:val="00E27454"/>
    <w:rsid w:val="00E2776C"/>
    <w:rsid w:val="00E27C39"/>
    <w:rsid w:val="00E27EE5"/>
    <w:rsid w:val="00E309F5"/>
    <w:rsid w:val="00E30A19"/>
    <w:rsid w:val="00E318FF"/>
    <w:rsid w:val="00E3198D"/>
    <w:rsid w:val="00E31FE4"/>
    <w:rsid w:val="00E3312F"/>
    <w:rsid w:val="00E33440"/>
    <w:rsid w:val="00E34FBA"/>
    <w:rsid w:val="00E35A5F"/>
    <w:rsid w:val="00E36B05"/>
    <w:rsid w:val="00E36F42"/>
    <w:rsid w:val="00E36F73"/>
    <w:rsid w:val="00E36FD9"/>
    <w:rsid w:val="00E37162"/>
    <w:rsid w:val="00E37165"/>
    <w:rsid w:val="00E37920"/>
    <w:rsid w:val="00E37BB5"/>
    <w:rsid w:val="00E37C16"/>
    <w:rsid w:val="00E37D60"/>
    <w:rsid w:val="00E40C96"/>
    <w:rsid w:val="00E41238"/>
    <w:rsid w:val="00E4137D"/>
    <w:rsid w:val="00E41467"/>
    <w:rsid w:val="00E41C46"/>
    <w:rsid w:val="00E424E0"/>
    <w:rsid w:val="00E43423"/>
    <w:rsid w:val="00E439ED"/>
    <w:rsid w:val="00E43D92"/>
    <w:rsid w:val="00E44ECC"/>
    <w:rsid w:val="00E45950"/>
    <w:rsid w:val="00E45BB3"/>
    <w:rsid w:val="00E45E1C"/>
    <w:rsid w:val="00E46467"/>
    <w:rsid w:val="00E47918"/>
    <w:rsid w:val="00E479C9"/>
    <w:rsid w:val="00E47A38"/>
    <w:rsid w:val="00E5027A"/>
    <w:rsid w:val="00E504D6"/>
    <w:rsid w:val="00E50BB7"/>
    <w:rsid w:val="00E5157D"/>
    <w:rsid w:val="00E51B15"/>
    <w:rsid w:val="00E51CFC"/>
    <w:rsid w:val="00E51EA5"/>
    <w:rsid w:val="00E52CF1"/>
    <w:rsid w:val="00E539B1"/>
    <w:rsid w:val="00E5408C"/>
    <w:rsid w:val="00E54480"/>
    <w:rsid w:val="00E5470A"/>
    <w:rsid w:val="00E54CCE"/>
    <w:rsid w:val="00E551C4"/>
    <w:rsid w:val="00E55403"/>
    <w:rsid w:val="00E5589B"/>
    <w:rsid w:val="00E558B6"/>
    <w:rsid w:val="00E5591D"/>
    <w:rsid w:val="00E5599F"/>
    <w:rsid w:val="00E56315"/>
    <w:rsid w:val="00E56CA3"/>
    <w:rsid w:val="00E574F0"/>
    <w:rsid w:val="00E6036A"/>
    <w:rsid w:val="00E60524"/>
    <w:rsid w:val="00E6193E"/>
    <w:rsid w:val="00E622B0"/>
    <w:rsid w:val="00E6315E"/>
    <w:rsid w:val="00E632D0"/>
    <w:rsid w:val="00E63C30"/>
    <w:rsid w:val="00E63D5E"/>
    <w:rsid w:val="00E64207"/>
    <w:rsid w:val="00E6492D"/>
    <w:rsid w:val="00E64BDE"/>
    <w:rsid w:val="00E653FE"/>
    <w:rsid w:val="00E65854"/>
    <w:rsid w:val="00E65A7A"/>
    <w:rsid w:val="00E65BB3"/>
    <w:rsid w:val="00E65D3C"/>
    <w:rsid w:val="00E66B57"/>
    <w:rsid w:val="00E66D4E"/>
    <w:rsid w:val="00E674F9"/>
    <w:rsid w:val="00E67F8F"/>
    <w:rsid w:val="00E70151"/>
    <w:rsid w:val="00E70EEE"/>
    <w:rsid w:val="00E71315"/>
    <w:rsid w:val="00E726E8"/>
    <w:rsid w:val="00E72B48"/>
    <w:rsid w:val="00E72F45"/>
    <w:rsid w:val="00E73582"/>
    <w:rsid w:val="00E73F84"/>
    <w:rsid w:val="00E7572D"/>
    <w:rsid w:val="00E758B7"/>
    <w:rsid w:val="00E76A77"/>
    <w:rsid w:val="00E77049"/>
    <w:rsid w:val="00E77E58"/>
    <w:rsid w:val="00E8018A"/>
    <w:rsid w:val="00E808B1"/>
    <w:rsid w:val="00E80A58"/>
    <w:rsid w:val="00E81B06"/>
    <w:rsid w:val="00E81C61"/>
    <w:rsid w:val="00E81E3D"/>
    <w:rsid w:val="00E82CB2"/>
    <w:rsid w:val="00E83754"/>
    <w:rsid w:val="00E8408A"/>
    <w:rsid w:val="00E844EE"/>
    <w:rsid w:val="00E846AF"/>
    <w:rsid w:val="00E84D37"/>
    <w:rsid w:val="00E87806"/>
    <w:rsid w:val="00E87873"/>
    <w:rsid w:val="00E87E97"/>
    <w:rsid w:val="00E90D2A"/>
    <w:rsid w:val="00E90D6E"/>
    <w:rsid w:val="00E910D6"/>
    <w:rsid w:val="00E9124A"/>
    <w:rsid w:val="00E9140F"/>
    <w:rsid w:val="00E91596"/>
    <w:rsid w:val="00E92CD5"/>
    <w:rsid w:val="00E930D9"/>
    <w:rsid w:val="00E93ACF"/>
    <w:rsid w:val="00E942C8"/>
    <w:rsid w:val="00E94505"/>
    <w:rsid w:val="00E947D7"/>
    <w:rsid w:val="00E94E52"/>
    <w:rsid w:val="00E94F9F"/>
    <w:rsid w:val="00E95E7F"/>
    <w:rsid w:val="00E9603F"/>
    <w:rsid w:val="00E962E3"/>
    <w:rsid w:val="00EA1C40"/>
    <w:rsid w:val="00EA3503"/>
    <w:rsid w:val="00EA3A1A"/>
    <w:rsid w:val="00EA3D9B"/>
    <w:rsid w:val="00EA3E16"/>
    <w:rsid w:val="00EA4975"/>
    <w:rsid w:val="00EA4ECF"/>
    <w:rsid w:val="00EA5A31"/>
    <w:rsid w:val="00EA65AD"/>
    <w:rsid w:val="00EA6F37"/>
    <w:rsid w:val="00EA7748"/>
    <w:rsid w:val="00EA7C5A"/>
    <w:rsid w:val="00EB1E6C"/>
    <w:rsid w:val="00EB2C9B"/>
    <w:rsid w:val="00EB2F29"/>
    <w:rsid w:val="00EB2FE3"/>
    <w:rsid w:val="00EB3D80"/>
    <w:rsid w:val="00EB3F61"/>
    <w:rsid w:val="00EB40FD"/>
    <w:rsid w:val="00EB4A34"/>
    <w:rsid w:val="00EB4A5C"/>
    <w:rsid w:val="00EB4CC4"/>
    <w:rsid w:val="00EB4CE7"/>
    <w:rsid w:val="00EB51ED"/>
    <w:rsid w:val="00EB5E12"/>
    <w:rsid w:val="00EB6649"/>
    <w:rsid w:val="00EB6DC3"/>
    <w:rsid w:val="00EB710A"/>
    <w:rsid w:val="00EC05DB"/>
    <w:rsid w:val="00EC0A33"/>
    <w:rsid w:val="00EC0C1F"/>
    <w:rsid w:val="00EC0CC7"/>
    <w:rsid w:val="00EC1155"/>
    <w:rsid w:val="00EC1FA5"/>
    <w:rsid w:val="00EC23E4"/>
    <w:rsid w:val="00EC242B"/>
    <w:rsid w:val="00EC3C51"/>
    <w:rsid w:val="00EC468D"/>
    <w:rsid w:val="00EC482B"/>
    <w:rsid w:val="00EC4DCD"/>
    <w:rsid w:val="00EC5966"/>
    <w:rsid w:val="00EC6018"/>
    <w:rsid w:val="00EC625B"/>
    <w:rsid w:val="00EC6906"/>
    <w:rsid w:val="00EC69F2"/>
    <w:rsid w:val="00EC7146"/>
    <w:rsid w:val="00EC7DE8"/>
    <w:rsid w:val="00EC7F2C"/>
    <w:rsid w:val="00ED0B84"/>
    <w:rsid w:val="00ED2262"/>
    <w:rsid w:val="00ED2335"/>
    <w:rsid w:val="00ED2584"/>
    <w:rsid w:val="00ED2AFF"/>
    <w:rsid w:val="00ED39D3"/>
    <w:rsid w:val="00ED3C48"/>
    <w:rsid w:val="00ED4067"/>
    <w:rsid w:val="00ED5784"/>
    <w:rsid w:val="00ED5A68"/>
    <w:rsid w:val="00ED5D13"/>
    <w:rsid w:val="00EE0821"/>
    <w:rsid w:val="00EE0B6F"/>
    <w:rsid w:val="00EE0C88"/>
    <w:rsid w:val="00EE14D2"/>
    <w:rsid w:val="00EE15B8"/>
    <w:rsid w:val="00EE2119"/>
    <w:rsid w:val="00EE2606"/>
    <w:rsid w:val="00EE285C"/>
    <w:rsid w:val="00EE28F8"/>
    <w:rsid w:val="00EE2CFB"/>
    <w:rsid w:val="00EE3F9E"/>
    <w:rsid w:val="00EE3FC3"/>
    <w:rsid w:val="00EE451F"/>
    <w:rsid w:val="00EE47FB"/>
    <w:rsid w:val="00EE4E95"/>
    <w:rsid w:val="00EE53C6"/>
    <w:rsid w:val="00EE54A5"/>
    <w:rsid w:val="00EE55D6"/>
    <w:rsid w:val="00EE55DB"/>
    <w:rsid w:val="00EE5676"/>
    <w:rsid w:val="00EE587E"/>
    <w:rsid w:val="00EE5B34"/>
    <w:rsid w:val="00EE769B"/>
    <w:rsid w:val="00EF0E89"/>
    <w:rsid w:val="00EF1C34"/>
    <w:rsid w:val="00EF209E"/>
    <w:rsid w:val="00EF3E98"/>
    <w:rsid w:val="00EF4117"/>
    <w:rsid w:val="00EF4432"/>
    <w:rsid w:val="00EF4D27"/>
    <w:rsid w:val="00EF4DC2"/>
    <w:rsid w:val="00F00A47"/>
    <w:rsid w:val="00F02AF1"/>
    <w:rsid w:val="00F038EA"/>
    <w:rsid w:val="00F043EB"/>
    <w:rsid w:val="00F05189"/>
    <w:rsid w:val="00F05B53"/>
    <w:rsid w:val="00F05ED1"/>
    <w:rsid w:val="00F07055"/>
    <w:rsid w:val="00F075BA"/>
    <w:rsid w:val="00F079AF"/>
    <w:rsid w:val="00F07D8B"/>
    <w:rsid w:val="00F109A7"/>
    <w:rsid w:val="00F11256"/>
    <w:rsid w:val="00F11396"/>
    <w:rsid w:val="00F124A7"/>
    <w:rsid w:val="00F12B44"/>
    <w:rsid w:val="00F132E2"/>
    <w:rsid w:val="00F135A3"/>
    <w:rsid w:val="00F1444D"/>
    <w:rsid w:val="00F146FA"/>
    <w:rsid w:val="00F14FE5"/>
    <w:rsid w:val="00F151EC"/>
    <w:rsid w:val="00F15829"/>
    <w:rsid w:val="00F15F83"/>
    <w:rsid w:val="00F16BF2"/>
    <w:rsid w:val="00F16D62"/>
    <w:rsid w:val="00F20659"/>
    <w:rsid w:val="00F21D6B"/>
    <w:rsid w:val="00F22966"/>
    <w:rsid w:val="00F231BB"/>
    <w:rsid w:val="00F25A6E"/>
    <w:rsid w:val="00F25AEE"/>
    <w:rsid w:val="00F26F38"/>
    <w:rsid w:val="00F270B0"/>
    <w:rsid w:val="00F271A4"/>
    <w:rsid w:val="00F30041"/>
    <w:rsid w:val="00F303E5"/>
    <w:rsid w:val="00F31316"/>
    <w:rsid w:val="00F31D96"/>
    <w:rsid w:val="00F32325"/>
    <w:rsid w:val="00F32993"/>
    <w:rsid w:val="00F33DB5"/>
    <w:rsid w:val="00F34722"/>
    <w:rsid w:val="00F34916"/>
    <w:rsid w:val="00F34EFC"/>
    <w:rsid w:val="00F353E8"/>
    <w:rsid w:val="00F35E31"/>
    <w:rsid w:val="00F364A5"/>
    <w:rsid w:val="00F37C46"/>
    <w:rsid w:val="00F37D5A"/>
    <w:rsid w:val="00F41A56"/>
    <w:rsid w:val="00F4232F"/>
    <w:rsid w:val="00F4312E"/>
    <w:rsid w:val="00F43B31"/>
    <w:rsid w:val="00F44624"/>
    <w:rsid w:val="00F447AB"/>
    <w:rsid w:val="00F4497A"/>
    <w:rsid w:val="00F45EDD"/>
    <w:rsid w:val="00F45FD8"/>
    <w:rsid w:val="00F46B0E"/>
    <w:rsid w:val="00F47D19"/>
    <w:rsid w:val="00F501C9"/>
    <w:rsid w:val="00F502F6"/>
    <w:rsid w:val="00F50329"/>
    <w:rsid w:val="00F50D01"/>
    <w:rsid w:val="00F513DA"/>
    <w:rsid w:val="00F523E1"/>
    <w:rsid w:val="00F52716"/>
    <w:rsid w:val="00F52BCF"/>
    <w:rsid w:val="00F53DE8"/>
    <w:rsid w:val="00F559D0"/>
    <w:rsid w:val="00F564F7"/>
    <w:rsid w:val="00F566CF"/>
    <w:rsid w:val="00F568FD"/>
    <w:rsid w:val="00F57011"/>
    <w:rsid w:val="00F570AC"/>
    <w:rsid w:val="00F572BF"/>
    <w:rsid w:val="00F5732C"/>
    <w:rsid w:val="00F579E5"/>
    <w:rsid w:val="00F600E7"/>
    <w:rsid w:val="00F60575"/>
    <w:rsid w:val="00F60C35"/>
    <w:rsid w:val="00F61AEA"/>
    <w:rsid w:val="00F6233F"/>
    <w:rsid w:val="00F62BEB"/>
    <w:rsid w:val="00F63A33"/>
    <w:rsid w:val="00F65143"/>
    <w:rsid w:val="00F66144"/>
    <w:rsid w:val="00F6642F"/>
    <w:rsid w:val="00F66FB5"/>
    <w:rsid w:val="00F7009E"/>
    <w:rsid w:val="00F701E3"/>
    <w:rsid w:val="00F7050F"/>
    <w:rsid w:val="00F718AE"/>
    <w:rsid w:val="00F71F53"/>
    <w:rsid w:val="00F728BD"/>
    <w:rsid w:val="00F72FCC"/>
    <w:rsid w:val="00F73250"/>
    <w:rsid w:val="00F73390"/>
    <w:rsid w:val="00F7481A"/>
    <w:rsid w:val="00F74829"/>
    <w:rsid w:val="00F74FCC"/>
    <w:rsid w:val="00F75ABF"/>
    <w:rsid w:val="00F76665"/>
    <w:rsid w:val="00F770EB"/>
    <w:rsid w:val="00F77214"/>
    <w:rsid w:val="00F772CF"/>
    <w:rsid w:val="00F77AC9"/>
    <w:rsid w:val="00F80799"/>
    <w:rsid w:val="00F80DBB"/>
    <w:rsid w:val="00F81F7B"/>
    <w:rsid w:val="00F82740"/>
    <w:rsid w:val="00F83AF9"/>
    <w:rsid w:val="00F84BE1"/>
    <w:rsid w:val="00F85073"/>
    <w:rsid w:val="00F85E17"/>
    <w:rsid w:val="00F86432"/>
    <w:rsid w:val="00F86888"/>
    <w:rsid w:val="00F86FD2"/>
    <w:rsid w:val="00F872EE"/>
    <w:rsid w:val="00F8778C"/>
    <w:rsid w:val="00F910FC"/>
    <w:rsid w:val="00F919D6"/>
    <w:rsid w:val="00F919D8"/>
    <w:rsid w:val="00F933E0"/>
    <w:rsid w:val="00F93B6A"/>
    <w:rsid w:val="00F93CA2"/>
    <w:rsid w:val="00F949BB"/>
    <w:rsid w:val="00F95935"/>
    <w:rsid w:val="00F95BE5"/>
    <w:rsid w:val="00F95F99"/>
    <w:rsid w:val="00F963C8"/>
    <w:rsid w:val="00F964C3"/>
    <w:rsid w:val="00F967AC"/>
    <w:rsid w:val="00F968FE"/>
    <w:rsid w:val="00F9737E"/>
    <w:rsid w:val="00F975E8"/>
    <w:rsid w:val="00F97852"/>
    <w:rsid w:val="00F97A31"/>
    <w:rsid w:val="00FA03C3"/>
    <w:rsid w:val="00FA06E1"/>
    <w:rsid w:val="00FA1252"/>
    <w:rsid w:val="00FA1841"/>
    <w:rsid w:val="00FA22F9"/>
    <w:rsid w:val="00FA2331"/>
    <w:rsid w:val="00FA2BF9"/>
    <w:rsid w:val="00FA34D2"/>
    <w:rsid w:val="00FA36EB"/>
    <w:rsid w:val="00FA3CFE"/>
    <w:rsid w:val="00FA3DB5"/>
    <w:rsid w:val="00FA3E92"/>
    <w:rsid w:val="00FA42EE"/>
    <w:rsid w:val="00FA4667"/>
    <w:rsid w:val="00FA48FC"/>
    <w:rsid w:val="00FA5C76"/>
    <w:rsid w:val="00FA6017"/>
    <w:rsid w:val="00FA6E21"/>
    <w:rsid w:val="00FA7006"/>
    <w:rsid w:val="00FB25C2"/>
    <w:rsid w:val="00FB34CD"/>
    <w:rsid w:val="00FB3B45"/>
    <w:rsid w:val="00FB3FF5"/>
    <w:rsid w:val="00FB455B"/>
    <w:rsid w:val="00FB4660"/>
    <w:rsid w:val="00FB4679"/>
    <w:rsid w:val="00FB4E78"/>
    <w:rsid w:val="00FB58E5"/>
    <w:rsid w:val="00FB5D37"/>
    <w:rsid w:val="00FB5EC2"/>
    <w:rsid w:val="00FB6374"/>
    <w:rsid w:val="00FB7AB1"/>
    <w:rsid w:val="00FC032D"/>
    <w:rsid w:val="00FC0B0F"/>
    <w:rsid w:val="00FC10EC"/>
    <w:rsid w:val="00FC13BE"/>
    <w:rsid w:val="00FC1598"/>
    <w:rsid w:val="00FC1600"/>
    <w:rsid w:val="00FC2BE6"/>
    <w:rsid w:val="00FC303F"/>
    <w:rsid w:val="00FC4E80"/>
    <w:rsid w:val="00FC51B2"/>
    <w:rsid w:val="00FC5C94"/>
    <w:rsid w:val="00FC725E"/>
    <w:rsid w:val="00FC7CF4"/>
    <w:rsid w:val="00FD02BD"/>
    <w:rsid w:val="00FD0536"/>
    <w:rsid w:val="00FD2790"/>
    <w:rsid w:val="00FD27C4"/>
    <w:rsid w:val="00FD2A6D"/>
    <w:rsid w:val="00FD2EC8"/>
    <w:rsid w:val="00FD3A05"/>
    <w:rsid w:val="00FD43A0"/>
    <w:rsid w:val="00FD45D6"/>
    <w:rsid w:val="00FD48DB"/>
    <w:rsid w:val="00FD4FC0"/>
    <w:rsid w:val="00FD51C6"/>
    <w:rsid w:val="00FD5B41"/>
    <w:rsid w:val="00FD6ABD"/>
    <w:rsid w:val="00FD78D4"/>
    <w:rsid w:val="00FD7CEC"/>
    <w:rsid w:val="00FE00EB"/>
    <w:rsid w:val="00FE11EE"/>
    <w:rsid w:val="00FE15C3"/>
    <w:rsid w:val="00FE1E0E"/>
    <w:rsid w:val="00FE1F2F"/>
    <w:rsid w:val="00FE2479"/>
    <w:rsid w:val="00FE300D"/>
    <w:rsid w:val="00FE4B68"/>
    <w:rsid w:val="00FE4F79"/>
    <w:rsid w:val="00FE4FE7"/>
    <w:rsid w:val="00FE531B"/>
    <w:rsid w:val="00FE5DD8"/>
    <w:rsid w:val="00FE5E51"/>
    <w:rsid w:val="00FE780B"/>
    <w:rsid w:val="00FE7C6D"/>
    <w:rsid w:val="00FE7F7B"/>
    <w:rsid w:val="00FF0547"/>
    <w:rsid w:val="00FF088C"/>
    <w:rsid w:val="00FF15BA"/>
    <w:rsid w:val="00FF1DCD"/>
    <w:rsid w:val="00FF2D35"/>
    <w:rsid w:val="00FF30B3"/>
    <w:rsid w:val="00FF35BE"/>
    <w:rsid w:val="00FF45A8"/>
    <w:rsid w:val="00FF4AA8"/>
    <w:rsid w:val="00FF4C72"/>
    <w:rsid w:val="00FF51C7"/>
    <w:rsid w:val="00FF5A41"/>
    <w:rsid w:val="00FF617D"/>
    <w:rsid w:val="00FF6A12"/>
    <w:rsid w:val="00FF6E68"/>
    <w:rsid w:val="00FF7242"/>
    <w:rsid w:val="00FF7674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C510381-0958-44BB-89B6-6B51C578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81C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781C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E78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77A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81CB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Zpat">
    <w:name w:val="footer"/>
    <w:basedOn w:val="Normln"/>
    <w:link w:val="ZpatChar"/>
    <w:uiPriority w:val="99"/>
    <w:rsid w:val="00781C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1C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781CBF"/>
  </w:style>
  <w:style w:type="paragraph" w:styleId="Zhlav">
    <w:name w:val="header"/>
    <w:basedOn w:val="Normln"/>
    <w:link w:val="ZhlavChar"/>
    <w:rsid w:val="00781C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81C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781CBF"/>
    <w:rPr>
      <w:b/>
      <w:bCs/>
    </w:rPr>
  </w:style>
  <w:style w:type="paragraph" w:customStyle="1" w:styleId="Char">
    <w:name w:val="Char"/>
    <w:basedOn w:val="Normln"/>
    <w:rsid w:val="00781CB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styleId="Hypertextovodkaz">
    <w:name w:val="Hyperlink"/>
    <w:rsid w:val="00781CBF"/>
    <w:rPr>
      <w:color w:val="0000FF"/>
      <w:u w:val="single"/>
    </w:rPr>
  </w:style>
  <w:style w:type="table" w:styleId="Mkatabulky">
    <w:name w:val="Table Grid"/>
    <w:basedOn w:val="Normlntabulka"/>
    <w:uiPriority w:val="59"/>
    <w:rsid w:val="00781CBF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ln"/>
    <w:next w:val="Normln"/>
    <w:uiPriority w:val="99"/>
    <w:rsid w:val="00781CBF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ln"/>
    <w:next w:val="Normln"/>
    <w:uiPriority w:val="99"/>
    <w:rsid w:val="00781CBF"/>
    <w:pPr>
      <w:autoSpaceDE w:val="0"/>
      <w:autoSpaceDN w:val="0"/>
      <w:adjustRightInd w:val="0"/>
    </w:pPr>
    <w:rPr>
      <w:rFonts w:ascii="EUAlbertina" w:hAnsi="EUAlbertina"/>
    </w:rPr>
  </w:style>
  <w:style w:type="paragraph" w:styleId="Textbubliny">
    <w:name w:val="Balloon Text"/>
    <w:basedOn w:val="Normln"/>
    <w:link w:val="TextbublinyChar"/>
    <w:semiHidden/>
    <w:rsid w:val="00781C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81CB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rmal2">
    <w:name w:val="normal2"/>
    <w:basedOn w:val="Normln"/>
    <w:rsid w:val="00781CBF"/>
    <w:pPr>
      <w:spacing w:before="120" w:line="312" w:lineRule="atLeast"/>
      <w:jc w:val="both"/>
    </w:p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781CB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a">
    <w:uiPriority w:val="20"/>
    <w:qFormat/>
    <w:rsid w:val="00781CBF"/>
    <w:pPr>
      <w:numPr>
        <w:numId w:val="27"/>
      </w:numPr>
      <w:spacing w:before="240" w:after="120" w:line="276" w:lineRule="auto"/>
      <w:jc w:val="both"/>
      <w:outlineLvl w:val="1"/>
    </w:pPr>
    <w:rPr>
      <w:rFonts w:ascii="Times New Roman" w:eastAsia="Times New Roman" w:hAnsi="Times New Roman" w:cs="Cambria"/>
      <w:b/>
      <w:sz w:val="24"/>
      <w:szCs w:val="24"/>
    </w:rPr>
  </w:style>
  <w:style w:type="character" w:customStyle="1" w:styleId="PodnadpisChar1">
    <w:name w:val="Podnadpis Char1"/>
    <w:link w:val="Podnadpis"/>
    <w:uiPriority w:val="11"/>
    <w:rsid w:val="00781CBF"/>
    <w:rPr>
      <w:rFonts w:cs="Cambria"/>
      <w:b/>
      <w:sz w:val="24"/>
      <w:szCs w:val="24"/>
      <w:lang w:eastAsia="en-US"/>
    </w:rPr>
  </w:style>
  <w:style w:type="paragraph" w:customStyle="1" w:styleId="Default">
    <w:name w:val="Default"/>
    <w:rsid w:val="00781CBF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character" w:customStyle="1" w:styleId="nowrap">
    <w:name w:val="nowrap"/>
    <w:rsid w:val="00781CBF"/>
  </w:style>
  <w:style w:type="paragraph" w:styleId="Textpoznpodarou">
    <w:name w:val="footnote text"/>
    <w:basedOn w:val="Normln"/>
    <w:link w:val="TextpoznpodarouChar"/>
    <w:rsid w:val="00781CB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81CB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81CBF"/>
    <w:rPr>
      <w:vertAlign w:val="superscript"/>
    </w:rPr>
  </w:style>
  <w:style w:type="character" w:customStyle="1" w:styleId="h1a">
    <w:name w:val="h1a"/>
    <w:rsid w:val="00781CBF"/>
  </w:style>
  <w:style w:type="paragraph" w:styleId="Odstavecseseznamem">
    <w:name w:val="List Paragraph"/>
    <w:basedOn w:val="Normln"/>
    <w:uiPriority w:val="99"/>
    <w:qFormat/>
    <w:rsid w:val="00781CBF"/>
    <w:pPr>
      <w:ind w:left="720"/>
      <w:contextualSpacing/>
    </w:pPr>
  </w:style>
  <w:style w:type="paragraph" w:styleId="Podnadpis">
    <w:name w:val="Subtitle"/>
    <w:basedOn w:val="Normln"/>
    <w:next w:val="Normln"/>
    <w:link w:val="PodnadpisChar1"/>
    <w:uiPriority w:val="11"/>
    <w:qFormat/>
    <w:rsid w:val="00781CBF"/>
    <w:pPr>
      <w:numPr>
        <w:ilvl w:val="1"/>
      </w:numPr>
      <w:spacing w:after="160"/>
    </w:pPr>
    <w:rPr>
      <w:rFonts w:asciiTheme="minorHAnsi" w:eastAsiaTheme="minorHAnsi" w:hAnsiTheme="minorHAnsi" w:cs="Cambria"/>
      <w:b/>
      <w:lang w:eastAsia="en-US"/>
    </w:rPr>
  </w:style>
  <w:style w:type="character" w:customStyle="1" w:styleId="PodnadpisChar">
    <w:name w:val="Podnadpis Char"/>
    <w:basedOn w:val="Standardnpsmoodstavce"/>
    <w:uiPriority w:val="11"/>
    <w:rsid w:val="00781CBF"/>
    <w:rPr>
      <w:rFonts w:eastAsiaTheme="minorEastAsia"/>
      <w:color w:val="5A5A5A" w:themeColor="text1" w:themeTint="A5"/>
      <w:spacing w:val="15"/>
      <w:lang w:eastAsia="cs-CZ"/>
    </w:rPr>
  </w:style>
  <w:style w:type="character" w:styleId="Zdraznn">
    <w:name w:val="Emphasis"/>
    <w:basedOn w:val="Standardnpsmoodstavce"/>
    <w:uiPriority w:val="20"/>
    <w:qFormat/>
    <w:rsid w:val="00781CBF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F36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36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6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532A3"/>
    <w:rPr>
      <w:color w:val="808080"/>
      <w:shd w:val="clear" w:color="auto" w:fill="E6E6E6"/>
    </w:rPr>
  </w:style>
  <w:style w:type="character" w:customStyle="1" w:styleId="preformatted">
    <w:name w:val="preformatted"/>
    <w:basedOn w:val="Standardnpsmoodstavce"/>
    <w:rsid w:val="0024774F"/>
  </w:style>
  <w:style w:type="paragraph" w:customStyle="1" w:styleId="doc-ti">
    <w:name w:val="doc-ti"/>
    <w:basedOn w:val="Normln"/>
    <w:rsid w:val="007631A0"/>
    <w:pPr>
      <w:spacing w:before="100" w:beforeAutospacing="1" w:after="100" w:afterAutospacing="1"/>
    </w:pPr>
  </w:style>
  <w:style w:type="character" w:customStyle="1" w:styleId="poznamka">
    <w:name w:val="poznamka"/>
    <w:basedOn w:val="Standardnpsmoodstavce"/>
    <w:rsid w:val="0009118E"/>
  </w:style>
  <w:style w:type="paragraph" w:customStyle="1" w:styleId="dateleft">
    <w:name w:val="date left"/>
    <w:basedOn w:val="Normln"/>
    <w:rsid w:val="00201686"/>
    <w:pPr>
      <w:spacing w:before="100" w:beforeAutospacing="1" w:after="100" w:afterAutospacing="1"/>
    </w:pPr>
    <w:rPr>
      <w:rFonts w:eastAsia="SimSun"/>
      <w:lang w:val="en-US" w:eastAsia="zh-CN"/>
    </w:rPr>
  </w:style>
  <w:style w:type="character" w:customStyle="1" w:styleId="tbold">
    <w:name w:val="tbold"/>
    <w:basedOn w:val="Standardnpsmoodstavce"/>
    <w:rsid w:val="00D36172"/>
  </w:style>
  <w:style w:type="character" w:styleId="Sledovanodkaz">
    <w:name w:val="FollowedHyperlink"/>
    <w:basedOn w:val="Standardnpsmoodstavce"/>
    <w:uiPriority w:val="99"/>
    <w:semiHidden/>
    <w:unhideWhenUsed/>
    <w:rsid w:val="00741BCA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77A8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character" w:customStyle="1" w:styleId="st">
    <w:name w:val="st"/>
    <w:basedOn w:val="Standardnpsmoodstavce"/>
    <w:rsid w:val="00C73717"/>
  </w:style>
  <w:style w:type="character" w:customStyle="1" w:styleId="chemf">
    <w:name w:val="chemf"/>
    <w:basedOn w:val="Standardnpsmoodstavce"/>
    <w:rsid w:val="00281F40"/>
  </w:style>
  <w:style w:type="character" w:customStyle="1" w:styleId="mw-redirectedfrom">
    <w:name w:val="mw-redirectedfrom"/>
    <w:basedOn w:val="Standardnpsmoodstavce"/>
    <w:rsid w:val="004C1D53"/>
  </w:style>
  <w:style w:type="character" w:customStyle="1" w:styleId="issue-itempage-range">
    <w:name w:val="issue-item_page-range"/>
    <w:basedOn w:val="Standardnpsmoodstavce"/>
    <w:rsid w:val="008C42D9"/>
  </w:style>
  <w:style w:type="character" w:customStyle="1" w:styleId="Nadpis3Char">
    <w:name w:val="Nadpis 3 Char"/>
    <w:basedOn w:val="Standardnpsmoodstavce"/>
    <w:link w:val="Nadpis3"/>
    <w:uiPriority w:val="9"/>
    <w:rsid w:val="00DE787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1B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42869-037E-40EC-8AA0-06708FEA5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331D65EC.dotm</Template>
  <TotalTime>163</TotalTime>
  <Pages>19</Pages>
  <Words>9226</Words>
  <Characters>54440</Characters>
  <Application>Microsoft Office Word</Application>
  <DocSecurity>0</DocSecurity>
  <Lines>453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RIA</vt:lpstr>
    </vt:vector>
  </TitlesOfParts>
  <Company/>
  <LinksUpToDate>false</LinksUpToDate>
  <CharactersWithSpaces>63539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RIA</dc:title>
  <dc:subject/>
  <dc:creator>Roháč Michal</dc:creator>
  <cp:keywords/>
  <dc:description/>
  <cp:lastModifiedBy>Vacek Jan</cp:lastModifiedBy>
  <cp:revision>156</cp:revision>
  <cp:lastPrinted>2020-06-23T13:42:00Z</cp:lastPrinted>
  <dcterms:created xsi:type="dcterms:W3CDTF">2020-02-05T15:02:00Z</dcterms:created>
  <dcterms:modified xsi:type="dcterms:W3CDTF">2020-06-23T13:58:00Z</dcterms:modified>
</cp:coreProperties>
</file>