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A0" w:rsidRDefault="00B176A0">
      <w:pPr>
        <w:keepNext/>
        <w:jc w:val="center"/>
      </w:pPr>
      <w:bookmarkStart w:id="0" w:name="_GoBack"/>
      <w:bookmarkEnd w:id="0"/>
      <w:r>
        <w:rPr>
          <w:b/>
          <w:sz w:val="28"/>
          <w:szCs w:val="24"/>
        </w:rPr>
        <w:t xml:space="preserve">Text vybraného ustanovení zákona </w:t>
      </w:r>
      <w:r w:rsidR="00BD35CD">
        <w:rPr>
          <w:b/>
          <w:sz w:val="28"/>
          <w:szCs w:val="24"/>
        </w:rPr>
        <w:t xml:space="preserve">č. 219/2000 Sb., </w:t>
      </w:r>
      <w:r>
        <w:rPr>
          <w:b/>
          <w:sz w:val="28"/>
          <w:szCs w:val="24"/>
        </w:rPr>
        <w:t>o majetku České republiky a jejím vystupování v právních vztazích</w:t>
      </w:r>
      <w:r w:rsidR="00BD35CD">
        <w:rPr>
          <w:b/>
          <w:sz w:val="28"/>
          <w:szCs w:val="24"/>
        </w:rPr>
        <w:t>,</w:t>
      </w:r>
      <w:r>
        <w:rPr>
          <w:b/>
          <w:sz w:val="28"/>
          <w:szCs w:val="24"/>
        </w:rPr>
        <w:t xml:space="preserve"> v platném znění s vyznačením navrhovaných změn </w:t>
      </w:r>
    </w:p>
    <w:p w:rsidR="00B176A0" w:rsidRDefault="00B176A0">
      <w:pPr>
        <w:keepNext/>
        <w:jc w:val="center"/>
      </w:pPr>
    </w:p>
    <w:p w:rsidR="00B176A0" w:rsidRDefault="00B176A0">
      <w:pPr>
        <w:keepNext/>
        <w:jc w:val="center"/>
        <w:rPr>
          <w:rFonts w:cs="font298"/>
          <w:szCs w:val="24"/>
        </w:rPr>
      </w:pPr>
      <w:r>
        <w:rPr>
          <w:rFonts w:cs="font298"/>
          <w:szCs w:val="24"/>
        </w:rPr>
        <w:t xml:space="preserve">§ 11 </w:t>
      </w:r>
    </w:p>
    <w:p w:rsidR="00B176A0" w:rsidRDefault="00B176A0">
      <w:pPr>
        <w:keepNext/>
        <w:jc w:val="left"/>
        <w:rPr>
          <w:rFonts w:cs="font298"/>
          <w:szCs w:val="24"/>
        </w:rPr>
      </w:pPr>
    </w:p>
    <w:p w:rsidR="00B176A0" w:rsidRDefault="00B176A0">
      <w:pPr>
        <w:keepNext/>
        <w:rPr>
          <w:rFonts w:cs="font298"/>
          <w:szCs w:val="24"/>
        </w:rPr>
      </w:pPr>
      <w:r>
        <w:rPr>
          <w:rFonts w:cs="font298"/>
          <w:szCs w:val="24"/>
        </w:rPr>
        <w:tab/>
        <w:t xml:space="preserve">(1) Hospodaření </w:t>
      </w:r>
    </w:p>
    <w:p w:rsidR="00B176A0" w:rsidRDefault="00B176A0">
      <w:pPr>
        <w:keepNext/>
        <w:rPr>
          <w:rFonts w:cs="font298"/>
          <w:szCs w:val="24"/>
        </w:rPr>
      </w:pPr>
    </w:p>
    <w:p w:rsidR="00B176A0" w:rsidRDefault="00B176A0">
      <w:pPr>
        <w:keepNext/>
        <w:rPr>
          <w:rFonts w:cs="font298"/>
          <w:szCs w:val="24"/>
        </w:rPr>
      </w:pPr>
      <w:r>
        <w:rPr>
          <w:rFonts w:cs="font298"/>
          <w:szCs w:val="24"/>
        </w:rPr>
        <w:t xml:space="preserve">a) přísluší Generálnímu ředitelství cel, jedná-li se o majetek, který připadl státu </w:t>
      </w:r>
    </w:p>
    <w:p w:rsidR="00B176A0" w:rsidRDefault="00B176A0">
      <w:pPr>
        <w:keepNext/>
        <w:ind w:left="284"/>
        <w:rPr>
          <w:rFonts w:cs="font298"/>
          <w:szCs w:val="24"/>
        </w:rPr>
      </w:pPr>
      <w:r>
        <w:rPr>
          <w:rFonts w:cs="font298"/>
          <w:szCs w:val="24"/>
        </w:rPr>
        <w:t xml:space="preserve">1. v souvislosti s porušením celních předpisů anebo na základě těchto předpisů, </w:t>
      </w:r>
    </w:p>
    <w:p w:rsidR="00B176A0" w:rsidRDefault="00B176A0">
      <w:pPr>
        <w:keepNext/>
        <w:ind w:left="567" w:hanging="283"/>
        <w:rPr>
          <w:rFonts w:cs="font298"/>
          <w:szCs w:val="24"/>
        </w:rPr>
      </w:pPr>
      <w:r>
        <w:rPr>
          <w:rFonts w:cs="font298"/>
          <w:szCs w:val="24"/>
        </w:rPr>
        <w:t xml:space="preserve">2. v souvislosti s porušením právních předpisů upravujících správu spotřebních daní anebo na základě těchto předpisů, </w:t>
      </w:r>
    </w:p>
    <w:p w:rsidR="00B176A0" w:rsidRDefault="00B176A0">
      <w:pPr>
        <w:keepNext/>
        <w:ind w:left="284"/>
        <w:rPr>
          <w:rFonts w:cs="font298"/>
          <w:szCs w:val="24"/>
        </w:rPr>
      </w:pPr>
      <w:r>
        <w:rPr>
          <w:rFonts w:cs="font298"/>
          <w:szCs w:val="24"/>
        </w:rPr>
        <w:t xml:space="preserve">3. propadnutím nebo zabráním výrobku, který je předmětem spotřební daně, </w:t>
      </w:r>
    </w:p>
    <w:p w:rsidR="00B176A0" w:rsidRDefault="00B176A0">
      <w:pPr>
        <w:keepNext/>
        <w:ind w:left="284"/>
        <w:rPr>
          <w:rFonts w:cs="font298"/>
          <w:szCs w:val="24"/>
        </w:rPr>
      </w:pPr>
      <w:r>
        <w:rPr>
          <w:rFonts w:cs="font298"/>
          <w:szCs w:val="24"/>
        </w:rPr>
        <w:t xml:space="preserve">4. na základě rozhodnutí orgánu Celní správy České republiky, </w:t>
      </w:r>
    </w:p>
    <w:p w:rsidR="00B176A0" w:rsidRDefault="00B176A0">
      <w:pPr>
        <w:keepNext/>
        <w:ind w:left="284" w:hanging="284"/>
        <w:rPr>
          <w:rFonts w:cs="font298"/>
          <w:szCs w:val="24"/>
        </w:rPr>
      </w:pPr>
      <w:r>
        <w:rPr>
          <w:rFonts w:cs="font298"/>
          <w:szCs w:val="24"/>
        </w:rPr>
        <w:t xml:space="preserve">b) s radioaktivními odpady a zdroji ionizujícího záření přísluší Správě úložišť radioaktivních odpadů, </w:t>
      </w:r>
    </w:p>
    <w:p w:rsidR="00B176A0" w:rsidRDefault="00B176A0">
      <w:pPr>
        <w:keepNext/>
        <w:ind w:left="284" w:hanging="284"/>
        <w:rPr>
          <w:rFonts w:cs="font298"/>
          <w:szCs w:val="24"/>
        </w:rPr>
      </w:pPr>
      <w:r>
        <w:rPr>
          <w:rFonts w:cs="font298"/>
          <w:szCs w:val="24"/>
        </w:rPr>
        <w:t xml:space="preserve">c) s věcmi propadlými nebo zabranými z rozhodnutí orgánu Finanční správy České republiky přísluší Generálnímu finančnímu ředitelství, </w:t>
      </w:r>
    </w:p>
    <w:p w:rsidR="00B176A0" w:rsidRDefault="00B176A0">
      <w:pPr>
        <w:keepNext/>
        <w:ind w:left="284" w:hanging="284"/>
        <w:rPr>
          <w:rFonts w:cs="font298"/>
          <w:szCs w:val="24"/>
        </w:rPr>
      </w:pPr>
      <w:r>
        <w:rPr>
          <w:rFonts w:cs="font298"/>
          <w:szCs w:val="24"/>
        </w:rPr>
        <w:t>d) s exempláři rostlin a živočichů, regulovanými kožešinami, výrobky z tuleňů a jinými jedinci chráněnými podle zákona o obchodování s ohroženými druhy a jedinci zvláště chráněných druhů rostlin a živočichů a volně žijících ptáků chráněnými podle zákona</w:t>
      </w:r>
      <w:r>
        <w:rPr>
          <w:rFonts w:cs="font298"/>
          <w:szCs w:val="24"/>
        </w:rPr>
        <w:br/>
        <w:t xml:space="preserve">o ochraně přírody a krajiny, jež připadly státu, přísluší Ministerstvu životního prostředí, </w:t>
      </w:r>
    </w:p>
    <w:p w:rsidR="00B176A0" w:rsidRDefault="00B176A0">
      <w:pPr>
        <w:keepNext/>
        <w:ind w:left="284" w:hanging="284"/>
        <w:rPr>
          <w:rFonts w:cs="font298"/>
          <w:b/>
          <w:szCs w:val="24"/>
        </w:rPr>
      </w:pPr>
      <w:r>
        <w:rPr>
          <w:rFonts w:cs="font298"/>
          <w:szCs w:val="24"/>
        </w:rPr>
        <w:t>e) s telekomunikační a radiokomunikační technikou, záznamovou technikou, výpočetní technikou a dopravními prostředky, propadlými nebo zabranými v trestním, přestupkovém a jiném obdobném řízení, jakož i s veškerými zbraněmi, střelivem, municí a výbušninami, s návykovými látkami a prekursory</w:t>
      </w:r>
      <w:r>
        <w:rPr>
          <w:rFonts w:cs="font298"/>
          <w:szCs w:val="24"/>
          <w:vertAlign w:val="superscript"/>
        </w:rPr>
        <w:t>88)</w:t>
      </w:r>
      <w:r>
        <w:rPr>
          <w:rFonts w:cs="font298"/>
          <w:szCs w:val="24"/>
        </w:rPr>
        <w:t xml:space="preserve"> včetně zařízení k jejich výrobě, s přípravky obsahujícími návykové látky a s jinými nebezpečnými látkami</w:t>
      </w:r>
      <w:r>
        <w:rPr>
          <w:rFonts w:cs="font298"/>
          <w:szCs w:val="24"/>
          <w:vertAlign w:val="superscript"/>
        </w:rPr>
        <w:t>89)</w:t>
      </w:r>
      <w:r>
        <w:rPr>
          <w:rFonts w:cs="font298"/>
          <w:szCs w:val="24"/>
        </w:rPr>
        <w:t xml:space="preserve"> přísluší krajskému ředitelství policie</w:t>
      </w:r>
      <w:r>
        <w:rPr>
          <w:rFonts w:cs="font298"/>
          <w:szCs w:val="24"/>
          <w:vertAlign w:val="superscript"/>
        </w:rPr>
        <w:t>9a)</w:t>
      </w:r>
      <w:r>
        <w:rPr>
          <w:rFonts w:cs="font298"/>
          <w:szCs w:val="24"/>
        </w:rPr>
        <w:t>, v jehož působnosti se nachází sídlo orgánu, jenž o propadnutí nebo zabrání rozhodl; není-li takového orgánu, přísluší tomu krajskému ředitelství policie</w:t>
      </w:r>
      <w:r>
        <w:rPr>
          <w:rFonts w:cs="font298"/>
          <w:szCs w:val="24"/>
          <w:vertAlign w:val="superscript"/>
        </w:rPr>
        <w:t>9a)</w:t>
      </w:r>
      <w:r>
        <w:rPr>
          <w:rFonts w:cs="font298"/>
          <w:szCs w:val="24"/>
        </w:rPr>
        <w:t>,</w:t>
      </w:r>
      <w:r>
        <w:rPr>
          <w:rFonts w:cs="font298"/>
          <w:szCs w:val="24"/>
        </w:rPr>
        <w:br/>
        <w:t>v jehož územní působnosti se věc nachází</w:t>
      </w:r>
      <w:r>
        <w:rPr>
          <w:rFonts w:cs="font298"/>
          <w:strike/>
          <w:szCs w:val="24"/>
        </w:rPr>
        <w:t>.</w:t>
      </w:r>
      <w:r>
        <w:rPr>
          <w:rFonts w:cs="font298"/>
          <w:b/>
          <w:szCs w:val="24"/>
        </w:rPr>
        <w:t>,</w:t>
      </w:r>
    </w:p>
    <w:p w:rsidR="00B176A0" w:rsidRDefault="00B176A0">
      <w:pPr>
        <w:keepNext/>
        <w:ind w:left="284" w:hanging="284"/>
        <w:rPr>
          <w:rFonts w:cs="font298"/>
          <w:szCs w:val="24"/>
        </w:rPr>
      </w:pPr>
      <w:r>
        <w:rPr>
          <w:rFonts w:cs="font298"/>
          <w:b/>
          <w:szCs w:val="24"/>
        </w:rPr>
        <w:t xml:space="preserve">f) </w:t>
      </w:r>
      <w:r>
        <w:rPr>
          <w:rFonts w:eastAsia="Calibri"/>
          <w:b/>
        </w:rPr>
        <w:t>s kulturními statky, jejichž vlastníkem se stal stát podle zákona o vstupu a dovozu některých kulturních statků na celní území Evropské unie, přísluší Ministerstvu kultury.</w:t>
      </w:r>
    </w:p>
    <w:p w:rsidR="00B176A0" w:rsidRDefault="00B176A0">
      <w:pPr>
        <w:keepNext/>
        <w:rPr>
          <w:rFonts w:cs="font298"/>
          <w:szCs w:val="24"/>
        </w:rPr>
      </w:pPr>
    </w:p>
    <w:p w:rsidR="00B176A0" w:rsidRDefault="00B176A0">
      <w:pPr>
        <w:keepNext/>
        <w:rPr>
          <w:rFonts w:cs="font298"/>
          <w:szCs w:val="24"/>
        </w:rPr>
      </w:pPr>
      <w:r>
        <w:rPr>
          <w:rFonts w:cs="font298"/>
          <w:szCs w:val="24"/>
        </w:rPr>
        <w:tab/>
        <w:t>(2) V ostatních případech s majetkem uvedeným v ustanovení § 10 hospodaří Úřad pro zastupování státu ve věcech majetkových (dále jen „Úřad“).</w:t>
      </w:r>
      <w:r>
        <w:rPr>
          <w:rFonts w:cs="font298"/>
          <w:szCs w:val="24"/>
          <w:vertAlign w:val="superscript"/>
        </w:rPr>
        <w:t>15a)</w:t>
      </w:r>
      <w:r>
        <w:rPr>
          <w:rFonts w:cs="font298"/>
          <w:szCs w:val="24"/>
        </w:rPr>
        <w:t xml:space="preserve"> Zjistí-li organizační složka uvedená v odstavci 1, že není příslušná hospodařit s určitým majetkem uvedeným</w:t>
      </w:r>
      <w:r>
        <w:rPr>
          <w:rFonts w:cs="font298"/>
          <w:szCs w:val="24"/>
        </w:rPr>
        <w:br/>
        <w:t>v ustanovení § 10, vyrozumí o takovém majetku jinou organizační složku uvedenou</w:t>
      </w:r>
      <w:r>
        <w:rPr>
          <w:rFonts w:cs="font298"/>
          <w:szCs w:val="24"/>
        </w:rPr>
        <w:br/>
        <w:t xml:space="preserve">v odstavci 1 nebo Úřad. Zjistí-li Úřad, že v případě určitého majetku uvedeného v ustanovení § 10 přísluší hospodaření organizační složce uvedené v odstavci 1, vyrozumí o takovém majetku tuto organizační složku. </w:t>
      </w:r>
    </w:p>
    <w:p w:rsidR="00B176A0" w:rsidRDefault="00B176A0">
      <w:pPr>
        <w:keepNext/>
        <w:jc w:val="left"/>
        <w:rPr>
          <w:rFonts w:cs="font298"/>
          <w:szCs w:val="24"/>
        </w:rPr>
      </w:pPr>
    </w:p>
    <w:p w:rsidR="00B176A0" w:rsidRDefault="00B176A0">
      <w:pPr>
        <w:keepNext/>
        <w:rPr>
          <w:rFonts w:cs="font298"/>
          <w:szCs w:val="24"/>
        </w:rPr>
      </w:pPr>
      <w:r>
        <w:rPr>
          <w:rFonts w:cs="font298"/>
          <w:szCs w:val="24"/>
        </w:rPr>
        <w:tab/>
        <w:t>(3) Pokud nelze příslušnost podle předchozích odstavců určit anebo budou-li</w:t>
      </w:r>
      <w:r>
        <w:rPr>
          <w:rFonts w:cs="font298"/>
          <w:szCs w:val="24"/>
        </w:rPr>
        <w:br/>
        <w:t xml:space="preserve">v jednotlivém případě dány závažné důvody pro změnu příslušnosti organizačních složek uvedených v odstavci 1 nebo 2, určí, popřípadě změní příslušnost Ministerstvo financí na žádost anebo z vlastního podnětu svým opatřením (§ 20); ve výjimečném případě může být takto založena příslušnost i organizační složce neuvedené v odstavci 1 nebo 2. Ustanovení § 9 odst. 2 a 3 zde platí obdobně. </w:t>
      </w:r>
    </w:p>
    <w:p w:rsidR="00B176A0" w:rsidRDefault="00B176A0">
      <w:pPr>
        <w:keepNext/>
        <w:jc w:val="left"/>
        <w:rPr>
          <w:rFonts w:cs="font298"/>
          <w:szCs w:val="24"/>
          <w:vertAlign w:val="superscript"/>
        </w:rPr>
      </w:pPr>
      <w:r>
        <w:rPr>
          <w:rFonts w:cs="font298"/>
          <w:szCs w:val="24"/>
        </w:rPr>
        <w:t>____________________</w:t>
      </w:r>
    </w:p>
    <w:p w:rsidR="00B176A0" w:rsidRPr="00913E5A" w:rsidRDefault="00B176A0">
      <w:pPr>
        <w:keepNext/>
        <w:rPr>
          <w:rFonts w:cs="font298"/>
          <w:sz w:val="20"/>
          <w:szCs w:val="24"/>
        </w:rPr>
      </w:pPr>
      <w:r w:rsidRPr="001F6A00">
        <w:rPr>
          <w:rFonts w:cs="font298"/>
          <w:sz w:val="20"/>
          <w:szCs w:val="24"/>
          <w:vertAlign w:val="superscript"/>
        </w:rPr>
        <w:t>9a)</w:t>
      </w:r>
      <w:r w:rsidRPr="001F6A00">
        <w:rPr>
          <w:rFonts w:cs="font298"/>
          <w:sz w:val="20"/>
          <w:szCs w:val="24"/>
        </w:rPr>
        <w:t xml:space="preserve"> § 8 odst. 1 zákona č. 273/2008 </w:t>
      </w:r>
      <w:r w:rsidR="00913E5A">
        <w:rPr>
          <w:rFonts w:cs="font298"/>
          <w:sz w:val="20"/>
          <w:szCs w:val="24"/>
        </w:rPr>
        <w:t>Sb., o Policii České republiky.</w:t>
      </w:r>
    </w:p>
    <w:p w:rsidR="00B176A0" w:rsidRPr="000C2FEA" w:rsidRDefault="00B176A0">
      <w:pPr>
        <w:keepNext/>
        <w:rPr>
          <w:rFonts w:cs="font298"/>
          <w:sz w:val="20"/>
          <w:szCs w:val="24"/>
        </w:rPr>
      </w:pPr>
      <w:r w:rsidRPr="001F6A00">
        <w:rPr>
          <w:rFonts w:cs="font298"/>
          <w:sz w:val="20"/>
          <w:szCs w:val="24"/>
          <w:vertAlign w:val="superscript"/>
        </w:rPr>
        <w:lastRenderedPageBreak/>
        <w:t>15a)</w:t>
      </w:r>
      <w:r w:rsidRPr="001F6A00">
        <w:rPr>
          <w:rFonts w:cs="font298"/>
          <w:sz w:val="20"/>
          <w:szCs w:val="24"/>
        </w:rPr>
        <w:t xml:space="preserve"> Zákon č. 201/2002 Sb., o Úřadu pro zastupová</w:t>
      </w:r>
      <w:r w:rsidR="000C2FEA">
        <w:rPr>
          <w:rFonts w:cs="font298"/>
          <w:sz w:val="20"/>
          <w:szCs w:val="24"/>
        </w:rPr>
        <w:t>ní státu ve věcech majetkových.</w:t>
      </w:r>
    </w:p>
    <w:p w:rsidR="000C2FEA" w:rsidRDefault="00B176A0" w:rsidP="000C2FEA">
      <w:pPr>
        <w:keepNext/>
        <w:ind w:left="284" w:hanging="284"/>
        <w:rPr>
          <w:rFonts w:cs="font298"/>
          <w:sz w:val="20"/>
          <w:szCs w:val="24"/>
        </w:rPr>
      </w:pPr>
      <w:r w:rsidRPr="001F6A00">
        <w:rPr>
          <w:rFonts w:cs="font298"/>
          <w:sz w:val="20"/>
          <w:szCs w:val="24"/>
          <w:vertAlign w:val="superscript"/>
        </w:rPr>
        <w:t>88)</w:t>
      </w:r>
      <w:r w:rsidRPr="001F6A00">
        <w:rPr>
          <w:rFonts w:cs="font298"/>
          <w:sz w:val="20"/>
          <w:szCs w:val="24"/>
        </w:rPr>
        <w:t xml:space="preserve"> Zákon č. 167/1998 Sb., o návykových látkách a o změně některých dalších zákonů, </w:t>
      </w:r>
      <w:r w:rsidRPr="001F6A00">
        <w:rPr>
          <w:rFonts w:cs="font298"/>
          <w:sz w:val="20"/>
          <w:szCs w:val="24"/>
        </w:rPr>
        <w:br/>
        <w:t xml:space="preserve">ve znění pozdějších předpisů. </w:t>
      </w:r>
    </w:p>
    <w:p w:rsidR="00B176A0" w:rsidRPr="001F6A00" w:rsidRDefault="00B176A0" w:rsidP="000C2FEA">
      <w:pPr>
        <w:keepNext/>
        <w:ind w:left="284" w:hanging="284"/>
        <w:rPr>
          <w:sz w:val="20"/>
        </w:rPr>
      </w:pPr>
      <w:r w:rsidRPr="001F6A00">
        <w:rPr>
          <w:rFonts w:cs="font298"/>
          <w:sz w:val="20"/>
          <w:szCs w:val="24"/>
          <w:vertAlign w:val="superscript"/>
        </w:rPr>
        <w:t>89)</w:t>
      </w:r>
      <w:r w:rsidRPr="001F6A00">
        <w:rPr>
          <w:rFonts w:cs="font298"/>
          <w:sz w:val="20"/>
          <w:szCs w:val="24"/>
        </w:rPr>
        <w:t xml:space="preserve"> § 38 odst. 2 zákona č. 273/2008 Sb., o Policii České republiky.</w:t>
      </w:r>
    </w:p>
    <w:p w:rsidR="00B176A0" w:rsidRDefault="00B176A0"/>
    <w:sectPr w:rsidR="00B176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A0" w:rsidRDefault="00B176A0">
      <w:pPr>
        <w:spacing w:line="240" w:lineRule="auto"/>
      </w:pPr>
      <w:r>
        <w:separator/>
      </w:r>
    </w:p>
  </w:endnote>
  <w:endnote w:type="continuationSeparator" w:id="0">
    <w:p w:rsidR="00B176A0" w:rsidRDefault="00B17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ont298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A0" w:rsidRDefault="00B176A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70BF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A0" w:rsidRDefault="00B176A0">
      <w:pPr>
        <w:spacing w:line="240" w:lineRule="auto"/>
      </w:pPr>
      <w:r>
        <w:separator/>
      </w:r>
    </w:p>
  </w:footnote>
  <w:footnote w:type="continuationSeparator" w:id="0">
    <w:p w:rsidR="00B176A0" w:rsidRDefault="00B176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33"/>
    <w:rsid w:val="000C2FEA"/>
    <w:rsid w:val="001728BF"/>
    <w:rsid w:val="001F6A00"/>
    <w:rsid w:val="00270BF4"/>
    <w:rsid w:val="0038457F"/>
    <w:rsid w:val="00913E5A"/>
    <w:rsid w:val="00992571"/>
    <w:rsid w:val="00B176A0"/>
    <w:rsid w:val="00BD35CD"/>
    <w:rsid w:val="00DF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line="100" w:lineRule="atLeast"/>
      <w:jc w:val="both"/>
    </w:pPr>
    <w:rPr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ZpatChar">
    <w:name w:val="Zápatí Char"/>
    <w:rPr>
      <w:rFonts w:ascii="Times New Roman" w:eastAsia="Times New Roman" w:hAnsi="Times New Roman" w:cs="Times New Roman"/>
      <w:sz w:val="24"/>
      <w:szCs w:val="20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line="100" w:lineRule="atLeast"/>
      <w:jc w:val="both"/>
    </w:pPr>
    <w:rPr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ZpatChar">
    <w:name w:val="Zápatí Char"/>
    <w:rPr>
      <w:rFonts w:ascii="Times New Roman" w:eastAsia="Times New Roman" w:hAnsi="Times New Roman" w:cs="Times New Roman"/>
      <w:sz w:val="24"/>
      <w:szCs w:val="20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Vilhelmová Renata JUDr.</dc:creator>
  <cp:lastModifiedBy>Lenka Houdková</cp:lastModifiedBy>
  <cp:revision>2</cp:revision>
  <cp:lastPrinted>1900-12-31T22:00:00Z</cp:lastPrinted>
  <dcterms:created xsi:type="dcterms:W3CDTF">2020-06-16T06:20:00Z</dcterms:created>
  <dcterms:modified xsi:type="dcterms:W3CDTF">2020-06-16T06:20:00Z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Ministerstvo financí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