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A2F" w:rsidRPr="004B7894" w:rsidRDefault="00654A2F" w:rsidP="00E41603">
      <w:pPr>
        <w:pStyle w:val="Nzev"/>
        <w:spacing w:line="360" w:lineRule="auto"/>
        <w:rPr>
          <w:rFonts w:ascii="Arial" w:hAnsi="Arial" w:cs="Arial"/>
          <w:sz w:val="22"/>
          <w:szCs w:val="22"/>
        </w:rPr>
      </w:pPr>
    </w:p>
    <w:p w:rsidR="00654A2F" w:rsidRPr="004B7894" w:rsidRDefault="00654A2F" w:rsidP="00F17673">
      <w:pPr>
        <w:pStyle w:val="Nzev"/>
        <w:spacing w:line="360" w:lineRule="auto"/>
        <w:jc w:val="center"/>
        <w:rPr>
          <w:rFonts w:ascii="Arial" w:hAnsi="Arial" w:cs="Arial"/>
          <w:sz w:val="22"/>
          <w:szCs w:val="22"/>
        </w:rPr>
      </w:pPr>
    </w:p>
    <w:p w:rsidR="00654A2F" w:rsidRPr="004B7894" w:rsidRDefault="00654A2F" w:rsidP="00F17673">
      <w:pPr>
        <w:pStyle w:val="Nzev"/>
        <w:spacing w:line="360" w:lineRule="auto"/>
        <w:jc w:val="center"/>
        <w:rPr>
          <w:rFonts w:ascii="Arial" w:hAnsi="Arial" w:cs="Arial"/>
          <w:sz w:val="22"/>
          <w:szCs w:val="22"/>
        </w:rPr>
      </w:pPr>
    </w:p>
    <w:p w:rsidR="00654A2F" w:rsidRPr="004B7894" w:rsidRDefault="00654A2F" w:rsidP="00F17673">
      <w:pPr>
        <w:pStyle w:val="Nzev"/>
        <w:spacing w:line="360" w:lineRule="auto"/>
        <w:jc w:val="center"/>
        <w:rPr>
          <w:rFonts w:ascii="Arial" w:hAnsi="Arial" w:cs="Arial"/>
          <w:sz w:val="22"/>
          <w:szCs w:val="22"/>
        </w:rPr>
      </w:pPr>
    </w:p>
    <w:p w:rsidR="00654A2F" w:rsidRPr="004B7894" w:rsidRDefault="00654A2F" w:rsidP="00F17673">
      <w:pPr>
        <w:pStyle w:val="Nzev"/>
        <w:spacing w:line="360" w:lineRule="auto"/>
        <w:jc w:val="center"/>
        <w:rPr>
          <w:rFonts w:ascii="Arial" w:hAnsi="Arial" w:cs="Arial"/>
          <w:sz w:val="22"/>
          <w:szCs w:val="22"/>
        </w:rPr>
      </w:pPr>
    </w:p>
    <w:p w:rsidR="00654A2F" w:rsidRPr="004B7894" w:rsidRDefault="00654A2F" w:rsidP="00F17673">
      <w:pPr>
        <w:pStyle w:val="Nzev"/>
        <w:spacing w:line="360" w:lineRule="auto"/>
        <w:jc w:val="center"/>
        <w:rPr>
          <w:rFonts w:ascii="Arial" w:hAnsi="Arial" w:cs="Arial"/>
          <w:sz w:val="22"/>
          <w:szCs w:val="22"/>
        </w:rPr>
      </w:pPr>
    </w:p>
    <w:p w:rsidR="00654A2F" w:rsidRPr="004B7894" w:rsidRDefault="00654A2F" w:rsidP="00F17673">
      <w:pPr>
        <w:pStyle w:val="Nzev"/>
        <w:spacing w:line="360" w:lineRule="auto"/>
        <w:jc w:val="center"/>
        <w:rPr>
          <w:rFonts w:ascii="Arial" w:hAnsi="Arial" w:cs="Arial"/>
          <w:sz w:val="22"/>
          <w:szCs w:val="22"/>
        </w:rPr>
      </w:pPr>
    </w:p>
    <w:p w:rsidR="00654A2F" w:rsidRPr="004B7894" w:rsidRDefault="00654A2F" w:rsidP="00F17673">
      <w:pPr>
        <w:pStyle w:val="Nzev"/>
        <w:spacing w:line="360" w:lineRule="auto"/>
        <w:jc w:val="center"/>
        <w:rPr>
          <w:rFonts w:ascii="Arial" w:hAnsi="Arial" w:cs="Arial"/>
          <w:sz w:val="22"/>
          <w:szCs w:val="22"/>
        </w:rPr>
      </w:pPr>
    </w:p>
    <w:p w:rsidR="00654A2F" w:rsidRPr="004B7894" w:rsidRDefault="00654A2F" w:rsidP="00F17673">
      <w:pPr>
        <w:spacing w:line="360" w:lineRule="auto"/>
        <w:rPr>
          <w:rFonts w:ascii="Arial" w:hAnsi="Arial" w:cs="Arial"/>
          <w:b/>
        </w:rPr>
      </w:pPr>
    </w:p>
    <w:p w:rsidR="00654A2F" w:rsidRPr="004B7894" w:rsidRDefault="00654A2F" w:rsidP="00F17673">
      <w:pPr>
        <w:spacing w:line="360" w:lineRule="auto"/>
        <w:rPr>
          <w:rFonts w:ascii="Arial" w:hAnsi="Arial" w:cs="Arial"/>
          <w:b/>
        </w:rPr>
      </w:pPr>
    </w:p>
    <w:p w:rsidR="0028058E" w:rsidRPr="004B7894" w:rsidRDefault="00231807" w:rsidP="00E41603">
      <w:pPr>
        <w:spacing w:line="360" w:lineRule="auto"/>
        <w:jc w:val="center"/>
        <w:rPr>
          <w:b/>
        </w:rPr>
      </w:pPr>
      <w:r w:rsidRPr="004B7894">
        <w:rPr>
          <w:rFonts w:ascii="Arial" w:hAnsi="Arial" w:cs="Arial"/>
          <w:b/>
          <w:sz w:val="36"/>
          <w:szCs w:val="36"/>
        </w:rPr>
        <w:t>Finanční závazky státu obsažené v</w:t>
      </w:r>
      <w:r w:rsidRPr="004B7894">
        <w:rPr>
          <w:rFonts w:cs="Arial"/>
          <w:b/>
          <w:bCs/>
          <w:sz w:val="24"/>
        </w:rPr>
        <w:t xml:space="preserve"> </w:t>
      </w:r>
      <w:r w:rsidRPr="004B7894">
        <w:rPr>
          <w:rFonts w:ascii="Arial" w:hAnsi="Arial" w:cs="Arial"/>
          <w:b/>
          <w:sz w:val="36"/>
          <w:szCs w:val="36"/>
        </w:rPr>
        <w:t>koncesionářské smlouvě na „Projektování, výstavbu, financování, provozování a údržbu dálnice D4 v úseku Háje – Mirotice a provozování a údržbu existujících přiléhajících úseků Skalka – Háje a Mirotice – Krašovice, projekt PPP“.</w:t>
      </w:r>
      <w:r w:rsidRPr="004B7894">
        <w:rPr>
          <w:b/>
        </w:rPr>
        <w:t xml:space="preserve"> </w:t>
      </w:r>
    </w:p>
    <w:p w:rsidR="00D04C75" w:rsidRPr="004B7894" w:rsidRDefault="00231807" w:rsidP="00E41603">
      <w:pPr>
        <w:spacing w:line="360" w:lineRule="auto"/>
        <w:jc w:val="center"/>
        <w:rPr>
          <w:rFonts w:ascii="Arial" w:hAnsi="Arial" w:cs="Arial"/>
          <w:b/>
          <w:sz w:val="48"/>
          <w:szCs w:val="48"/>
        </w:rPr>
      </w:pPr>
      <w:r w:rsidRPr="004B7894">
        <w:t>Zadavatel: Česká republika – Ministerstvo dopravy, se sídlem nábřeží Ludvíka Svobody 1222/12, 110</w:t>
      </w:r>
      <w:r w:rsidR="00816C4A" w:rsidRPr="004B7894">
        <w:t> </w:t>
      </w:r>
      <w:r w:rsidRPr="004B7894">
        <w:t>15 Praha 1, IČO 66003008; Evidenční číslo zakázky ve Věstníku veřejných zakázek: Z2018-008731 (dále jen „zadávací řízení“).</w:t>
      </w:r>
    </w:p>
    <w:p w:rsidR="00654A2F" w:rsidRPr="004B7894" w:rsidRDefault="00654A2F" w:rsidP="00F17673">
      <w:pPr>
        <w:spacing w:line="360" w:lineRule="auto"/>
        <w:rPr>
          <w:rFonts w:ascii="Arial" w:hAnsi="Arial" w:cs="Arial"/>
          <w:b/>
          <w:sz w:val="36"/>
          <w:szCs w:val="36"/>
        </w:rPr>
      </w:pPr>
    </w:p>
    <w:p w:rsidR="00654A2F" w:rsidRPr="004B7894" w:rsidRDefault="00654A2F" w:rsidP="00F17673">
      <w:pPr>
        <w:spacing w:line="360" w:lineRule="auto"/>
        <w:rPr>
          <w:rFonts w:ascii="Arial" w:hAnsi="Arial" w:cs="Arial"/>
          <w:b/>
        </w:rPr>
      </w:pPr>
    </w:p>
    <w:p w:rsidR="00654A2F" w:rsidRPr="004B7894" w:rsidRDefault="00654A2F" w:rsidP="00F17673">
      <w:pPr>
        <w:spacing w:line="360" w:lineRule="auto"/>
        <w:rPr>
          <w:rFonts w:ascii="Arial" w:hAnsi="Arial" w:cs="Arial"/>
          <w:b/>
        </w:rPr>
      </w:pPr>
    </w:p>
    <w:p w:rsidR="00654A2F" w:rsidRPr="004B7894" w:rsidRDefault="00654A2F" w:rsidP="00F17673">
      <w:pPr>
        <w:spacing w:line="360" w:lineRule="auto"/>
        <w:jc w:val="both"/>
        <w:rPr>
          <w:rFonts w:ascii="Arial" w:hAnsi="Arial" w:cs="Arial"/>
        </w:rPr>
      </w:pPr>
    </w:p>
    <w:p w:rsidR="00654A2F" w:rsidRPr="004B7894" w:rsidRDefault="00654A2F" w:rsidP="00F17673">
      <w:pPr>
        <w:spacing w:line="360" w:lineRule="auto"/>
        <w:jc w:val="both"/>
        <w:rPr>
          <w:rFonts w:ascii="Arial" w:hAnsi="Arial" w:cs="Arial"/>
        </w:rPr>
      </w:pPr>
    </w:p>
    <w:p w:rsidR="00654A2F" w:rsidRPr="004B7894" w:rsidRDefault="00654A2F" w:rsidP="00F17673">
      <w:pPr>
        <w:spacing w:line="360" w:lineRule="auto"/>
        <w:jc w:val="both"/>
        <w:rPr>
          <w:rFonts w:ascii="Arial" w:hAnsi="Arial" w:cs="Arial"/>
        </w:rPr>
      </w:pPr>
    </w:p>
    <w:p w:rsidR="00E41603" w:rsidRPr="004B7894" w:rsidRDefault="00E41603" w:rsidP="00F17673">
      <w:pPr>
        <w:spacing w:line="360" w:lineRule="auto"/>
        <w:jc w:val="both"/>
        <w:rPr>
          <w:rFonts w:ascii="Arial" w:hAnsi="Arial" w:cs="Arial"/>
          <w:sz w:val="28"/>
          <w:szCs w:val="28"/>
        </w:rPr>
      </w:pPr>
    </w:p>
    <w:p w:rsidR="00E41603" w:rsidRPr="004B7894" w:rsidRDefault="00E41603" w:rsidP="00F17673">
      <w:pPr>
        <w:spacing w:line="360" w:lineRule="auto"/>
        <w:jc w:val="both"/>
        <w:rPr>
          <w:rFonts w:ascii="Arial" w:hAnsi="Arial" w:cs="Arial"/>
          <w:sz w:val="28"/>
          <w:szCs w:val="28"/>
        </w:rPr>
      </w:pPr>
    </w:p>
    <w:p w:rsidR="00E41603" w:rsidRPr="004B7894" w:rsidRDefault="00231807" w:rsidP="007B1220">
      <w:pPr>
        <w:pStyle w:val="Nadpis1"/>
      </w:pPr>
      <w:r w:rsidRPr="004B7894">
        <w:lastRenderedPageBreak/>
        <w:t>Úvod - důvody předložení materiálu</w:t>
      </w:r>
    </w:p>
    <w:p w:rsidR="002513A5" w:rsidRPr="004B7894" w:rsidRDefault="00231807" w:rsidP="00F17673">
      <w:pPr>
        <w:pStyle w:val="Normlnweb"/>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sz w:val="22"/>
          <w:szCs w:val="22"/>
        </w:rPr>
        <w:t xml:space="preserve">Projekt </w:t>
      </w:r>
      <w:r w:rsidR="00861225" w:rsidRPr="004B7894">
        <w:rPr>
          <w:rFonts w:ascii="Arial" w:hAnsi="Arial" w:cs="Arial"/>
          <w:sz w:val="22"/>
          <w:szCs w:val="22"/>
        </w:rPr>
        <w:t>„</w:t>
      </w:r>
      <w:r w:rsidRPr="004B7894">
        <w:rPr>
          <w:rFonts w:ascii="Arial" w:hAnsi="Arial" w:cs="Arial"/>
          <w:sz w:val="22"/>
          <w:szCs w:val="22"/>
        </w:rPr>
        <w:t>PPP D4</w:t>
      </w:r>
      <w:r w:rsidR="00861225" w:rsidRPr="004B7894">
        <w:rPr>
          <w:rFonts w:ascii="Arial" w:hAnsi="Arial" w:cs="Arial"/>
          <w:sz w:val="22"/>
          <w:szCs w:val="22"/>
        </w:rPr>
        <w:t>“</w:t>
      </w:r>
      <w:r w:rsidRPr="004B7894">
        <w:rPr>
          <w:rFonts w:ascii="Arial" w:hAnsi="Arial" w:cs="Arial"/>
          <w:sz w:val="22"/>
          <w:szCs w:val="22"/>
        </w:rPr>
        <w:t xml:space="preserve"> spočívá v projektování, </w:t>
      </w:r>
      <w:r w:rsidR="00A6068F" w:rsidRPr="004B7894">
        <w:rPr>
          <w:rFonts w:ascii="Arial" w:hAnsi="Arial" w:cs="Arial"/>
          <w:sz w:val="22"/>
          <w:szCs w:val="22"/>
        </w:rPr>
        <w:t>výstavbě</w:t>
      </w:r>
      <w:r w:rsidRPr="004B7894">
        <w:rPr>
          <w:rFonts w:ascii="Arial" w:hAnsi="Arial" w:cs="Arial"/>
          <w:sz w:val="22"/>
          <w:szCs w:val="22"/>
        </w:rPr>
        <w:t xml:space="preserve">, financování, provozování a údržbě 48 km </w:t>
      </w:r>
      <w:r w:rsidR="00A6068F" w:rsidRPr="004B7894">
        <w:rPr>
          <w:rFonts w:ascii="Arial" w:hAnsi="Arial" w:cs="Arial"/>
          <w:sz w:val="22"/>
          <w:szCs w:val="22"/>
        </w:rPr>
        <w:t xml:space="preserve">dálnice </w:t>
      </w:r>
      <w:r w:rsidRPr="004B7894">
        <w:rPr>
          <w:rFonts w:ascii="Arial" w:hAnsi="Arial" w:cs="Arial"/>
          <w:sz w:val="22"/>
          <w:szCs w:val="22"/>
        </w:rPr>
        <w:t xml:space="preserve">D4 mezi </w:t>
      </w:r>
      <w:r w:rsidR="003E2226" w:rsidRPr="004B7894">
        <w:rPr>
          <w:rFonts w:ascii="Arial" w:hAnsi="Arial" w:cs="Arial"/>
          <w:sz w:val="22"/>
          <w:szCs w:val="22"/>
        </w:rPr>
        <w:t xml:space="preserve">Příbramí a Pískem. Projekt se skládá z pěti zcela nových úseků </w:t>
      </w:r>
      <w:r w:rsidR="00A6068F" w:rsidRPr="004B7894">
        <w:rPr>
          <w:rFonts w:ascii="Arial" w:hAnsi="Arial" w:cs="Arial"/>
          <w:sz w:val="22"/>
          <w:szCs w:val="22"/>
        </w:rPr>
        <w:t>(32</w:t>
      </w:r>
      <w:r w:rsidR="00E41603" w:rsidRPr="004B7894">
        <w:rPr>
          <w:rFonts w:ascii="Arial" w:hAnsi="Arial" w:cs="Arial"/>
          <w:sz w:val="22"/>
          <w:szCs w:val="22"/>
        </w:rPr>
        <w:t> </w:t>
      </w:r>
      <w:r w:rsidR="00A6068F" w:rsidRPr="004B7894">
        <w:rPr>
          <w:rFonts w:ascii="Arial" w:hAnsi="Arial" w:cs="Arial"/>
          <w:sz w:val="22"/>
          <w:szCs w:val="22"/>
        </w:rPr>
        <w:t xml:space="preserve">km) </w:t>
      </w:r>
      <w:r w:rsidR="00C13F53" w:rsidRPr="004B7894">
        <w:rPr>
          <w:rFonts w:ascii="Arial" w:hAnsi="Arial" w:cs="Arial"/>
          <w:sz w:val="22"/>
          <w:szCs w:val="22"/>
        </w:rPr>
        <w:t>a</w:t>
      </w:r>
      <w:r w:rsidR="003E2226" w:rsidRPr="004B7894">
        <w:rPr>
          <w:rFonts w:ascii="Arial" w:hAnsi="Arial" w:cs="Arial"/>
          <w:sz w:val="22"/>
          <w:szCs w:val="22"/>
        </w:rPr>
        <w:t xml:space="preserve"> ze čtyř stávajících úseků</w:t>
      </w:r>
      <w:r w:rsidR="00A6068F" w:rsidRPr="004B7894">
        <w:rPr>
          <w:rFonts w:ascii="Arial" w:hAnsi="Arial" w:cs="Arial"/>
          <w:sz w:val="22"/>
          <w:szCs w:val="22"/>
        </w:rPr>
        <w:t xml:space="preserve"> (</w:t>
      </w:r>
      <w:r w:rsidR="00C13F53" w:rsidRPr="004B7894">
        <w:rPr>
          <w:rFonts w:ascii="Arial" w:hAnsi="Arial" w:cs="Arial"/>
          <w:sz w:val="22"/>
          <w:szCs w:val="22"/>
        </w:rPr>
        <w:t>1</w:t>
      </w:r>
      <w:r w:rsidRPr="004B7894">
        <w:rPr>
          <w:rFonts w:ascii="Arial" w:hAnsi="Arial" w:cs="Arial"/>
          <w:sz w:val="22"/>
          <w:szCs w:val="22"/>
        </w:rPr>
        <w:t>6</w:t>
      </w:r>
      <w:r w:rsidR="00C13F53" w:rsidRPr="004B7894">
        <w:rPr>
          <w:rFonts w:ascii="Arial" w:hAnsi="Arial" w:cs="Arial"/>
          <w:sz w:val="22"/>
          <w:szCs w:val="22"/>
        </w:rPr>
        <w:t xml:space="preserve"> km</w:t>
      </w:r>
      <w:r w:rsidR="00A6068F" w:rsidRPr="004B7894">
        <w:rPr>
          <w:rFonts w:ascii="Arial" w:hAnsi="Arial" w:cs="Arial"/>
          <w:sz w:val="22"/>
          <w:szCs w:val="22"/>
        </w:rPr>
        <w:t>)</w:t>
      </w:r>
      <w:r w:rsidR="003E2226" w:rsidRPr="004B7894">
        <w:rPr>
          <w:rFonts w:ascii="Arial" w:hAnsi="Arial" w:cs="Arial"/>
          <w:sz w:val="22"/>
          <w:szCs w:val="22"/>
        </w:rPr>
        <w:t xml:space="preserve">. </w:t>
      </w:r>
      <w:r w:rsidRPr="004B7894">
        <w:rPr>
          <w:rFonts w:ascii="Arial" w:hAnsi="Arial" w:cs="Arial"/>
          <w:sz w:val="22"/>
          <w:szCs w:val="22"/>
        </w:rPr>
        <w:t xml:space="preserve">Zajištění dostavby a následného provozování dálnice D4 formou PPP </w:t>
      </w:r>
      <w:r w:rsidR="00425374" w:rsidRPr="004B7894">
        <w:rPr>
          <w:rFonts w:ascii="Arial" w:hAnsi="Arial" w:cs="Arial"/>
          <w:sz w:val="22"/>
          <w:szCs w:val="22"/>
        </w:rPr>
        <w:t>(Partnerství veřejného a sou</w:t>
      </w:r>
      <w:r w:rsidR="009D53FC" w:rsidRPr="004B7894">
        <w:rPr>
          <w:rFonts w:ascii="Arial" w:hAnsi="Arial" w:cs="Arial"/>
          <w:sz w:val="22"/>
          <w:szCs w:val="22"/>
        </w:rPr>
        <w:t>kromého sektoru, neboli Public–P</w:t>
      </w:r>
      <w:r w:rsidR="00425374" w:rsidRPr="004B7894">
        <w:rPr>
          <w:rFonts w:ascii="Arial" w:hAnsi="Arial" w:cs="Arial"/>
          <w:sz w:val="22"/>
          <w:szCs w:val="22"/>
        </w:rPr>
        <w:t xml:space="preserve">rivate </w:t>
      </w:r>
      <w:r w:rsidR="009D53FC" w:rsidRPr="004B7894">
        <w:rPr>
          <w:rFonts w:ascii="Arial" w:hAnsi="Arial" w:cs="Arial"/>
          <w:sz w:val="22"/>
          <w:szCs w:val="22"/>
        </w:rPr>
        <w:t>P</w:t>
      </w:r>
      <w:r w:rsidR="00425374" w:rsidRPr="004B7894">
        <w:rPr>
          <w:rFonts w:ascii="Arial" w:hAnsi="Arial" w:cs="Arial"/>
          <w:sz w:val="22"/>
          <w:szCs w:val="22"/>
        </w:rPr>
        <w:t xml:space="preserve">artnership) </w:t>
      </w:r>
      <w:r w:rsidRPr="004B7894">
        <w:rPr>
          <w:rFonts w:ascii="Arial" w:hAnsi="Arial" w:cs="Arial"/>
          <w:sz w:val="22"/>
          <w:szCs w:val="22"/>
        </w:rPr>
        <w:t>ve výše zmíněném úseku schválila vláda ČR svým usnesením č. 4 ze dne 13.</w:t>
      </w:r>
      <w:r w:rsidR="00CB288A" w:rsidRPr="004B7894">
        <w:rPr>
          <w:rFonts w:ascii="Arial" w:hAnsi="Arial" w:cs="Arial"/>
          <w:sz w:val="22"/>
          <w:szCs w:val="22"/>
        </w:rPr>
        <w:t> </w:t>
      </w:r>
      <w:r w:rsidR="00DC7116" w:rsidRPr="004B7894">
        <w:rPr>
          <w:rFonts w:ascii="Arial" w:hAnsi="Arial" w:cs="Arial"/>
          <w:sz w:val="22"/>
          <w:szCs w:val="22"/>
        </w:rPr>
        <w:t>ledna</w:t>
      </w:r>
      <w:r w:rsidR="00CB288A" w:rsidRPr="004B7894">
        <w:rPr>
          <w:rFonts w:ascii="Arial" w:hAnsi="Arial" w:cs="Arial"/>
          <w:sz w:val="22"/>
          <w:szCs w:val="22"/>
        </w:rPr>
        <w:t> </w:t>
      </w:r>
      <w:r w:rsidRPr="004B7894">
        <w:rPr>
          <w:rFonts w:ascii="Arial" w:hAnsi="Arial" w:cs="Arial"/>
          <w:sz w:val="22"/>
          <w:szCs w:val="22"/>
        </w:rPr>
        <w:t>2016. Záměr realizovat dostavbu dálnice D4 je též explicitně obsažen v Programovém prohlášení vlády ČR</w:t>
      </w:r>
      <w:r w:rsidR="00DC7116" w:rsidRPr="004B7894">
        <w:rPr>
          <w:rFonts w:ascii="Arial" w:hAnsi="Arial" w:cs="Arial"/>
          <w:sz w:val="22"/>
          <w:szCs w:val="22"/>
        </w:rPr>
        <w:t xml:space="preserve"> ze dne 27. června 2018</w:t>
      </w:r>
      <w:r w:rsidRPr="004B7894">
        <w:rPr>
          <w:rFonts w:ascii="Arial" w:hAnsi="Arial" w:cs="Arial"/>
          <w:sz w:val="22"/>
          <w:szCs w:val="22"/>
        </w:rPr>
        <w:t>.</w:t>
      </w:r>
      <w:r w:rsidR="00930EA9" w:rsidRPr="004B7894">
        <w:rPr>
          <w:rFonts w:ascii="Arial" w:hAnsi="Arial" w:cs="Arial"/>
          <w:sz w:val="22"/>
          <w:szCs w:val="22"/>
        </w:rPr>
        <w:t xml:space="preserve"> Koncesionářskou smlouvu schválila vláda v souladu s ustanovením § 18c zákona č. 13/1997 Sb., o </w:t>
      </w:r>
      <w:r w:rsidR="00930EA9" w:rsidRPr="002B3BEA">
        <w:rPr>
          <w:rFonts w:ascii="Arial" w:hAnsi="Arial" w:cs="Arial"/>
          <w:sz w:val="22"/>
          <w:szCs w:val="22"/>
        </w:rPr>
        <w:t>pozemních komunikacích, ve znění pozdějších předpisů (dále jen „</w:t>
      </w:r>
      <w:r w:rsidR="00930EA9" w:rsidRPr="002B3BEA">
        <w:rPr>
          <w:rFonts w:ascii="Arial" w:hAnsi="Arial" w:cs="Arial"/>
          <w:b/>
          <w:sz w:val="22"/>
          <w:szCs w:val="22"/>
        </w:rPr>
        <w:t>Zákon o pozemních komunikacích</w:t>
      </w:r>
      <w:r w:rsidR="00930EA9" w:rsidRPr="002B3BEA">
        <w:rPr>
          <w:rFonts w:ascii="Arial" w:hAnsi="Arial" w:cs="Arial"/>
          <w:sz w:val="22"/>
          <w:szCs w:val="22"/>
        </w:rPr>
        <w:t xml:space="preserve">“) </w:t>
      </w:r>
      <w:r w:rsidR="005C6D54" w:rsidRPr="002B3BEA">
        <w:rPr>
          <w:rFonts w:ascii="Arial" w:hAnsi="Arial" w:cs="Arial"/>
          <w:sz w:val="22"/>
          <w:szCs w:val="22"/>
        </w:rPr>
        <w:t xml:space="preserve">dne </w:t>
      </w:r>
      <w:r w:rsidR="002B3BEA" w:rsidRPr="002B3BEA">
        <w:rPr>
          <w:rFonts w:ascii="Arial" w:hAnsi="Arial" w:cs="Arial"/>
          <w:sz w:val="22"/>
          <w:szCs w:val="22"/>
        </w:rPr>
        <w:t>4</w:t>
      </w:r>
      <w:r w:rsidR="00930EA9" w:rsidRPr="002B3BEA">
        <w:rPr>
          <w:rFonts w:ascii="Arial" w:hAnsi="Arial" w:cs="Arial"/>
          <w:sz w:val="22"/>
          <w:szCs w:val="22"/>
        </w:rPr>
        <w:t>.</w:t>
      </w:r>
      <w:r w:rsidR="005C6D54" w:rsidRPr="002B3BEA">
        <w:rPr>
          <w:rFonts w:ascii="Arial" w:hAnsi="Arial" w:cs="Arial"/>
          <w:sz w:val="22"/>
          <w:szCs w:val="22"/>
        </w:rPr>
        <w:t> ledna</w:t>
      </w:r>
      <w:r w:rsidR="00930EA9" w:rsidRPr="002B3BEA">
        <w:rPr>
          <w:rFonts w:ascii="Arial" w:hAnsi="Arial" w:cs="Arial"/>
          <w:sz w:val="22"/>
          <w:szCs w:val="22"/>
        </w:rPr>
        <w:t>.202</w:t>
      </w:r>
      <w:r w:rsidR="005C6D54" w:rsidRPr="002B3BEA">
        <w:rPr>
          <w:rFonts w:ascii="Arial" w:hAnsi="Arial" w:cs="Arial"/>
          <w:sz w:val="22"/>
          <w:szCs w:val="22"/>
        </w:rPr>
        <w:t>1</w:t>
      </w:r>
      <w:r w:rsidR="00930EA9" w:rsidRPr="002B3BEA">
        <w:rPr>
          <w:rFonts w:ascii="Arial" w:hAnsi="Arial" w:cs="Arial"/>
          <w:sz w:val="22"/>
          <w:szCs w:val="22"/>
        </w:rPr>
        <w:t>.</w:t>
      </w:r>
    </w:p>
    <w:p w:rsidR="00816C4A" w:rsidRPr="004B7894" w:rsidRDefault="00231807" w:rsidP="00F17673">
      <w:pPr>
        <w:pStyle w:val="Normlnweb"/>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sz w:val="22"/>
          <w:szCs w:val="22"/>
        </w:rPr>
        <w:t xml:space="preserve">Zadávací řízení, realizované Ministerstvem dopravy ČR coby zadavatelem v souladu se </w:t>
      </w:r>
      <w:r w:rsidR="008E7FE7" w:rsidRPr="004B7894">
        <w:rPr>
          <w:rFonts w:ascii="Arial" w:hAnsi="Arial" w:cs="Arial"/>
          <w:sz w:val="22"/>
          <w:szCs w:val="22"/>
        </w:rPr>
        <w:t>zákonem č. 134/2016 Sb., o zadávání veřejných zakázek, ve znění pozdějších předpisů (dále jen „</w:t>
      </w:r>
      <w:r w:rsidRPr="004B7894">
        <w:rPr>
          <w:rFonts w:ascii="Arial" w:hAnsi="Arial" w:cs="Arial"/>
          <w:b/>
          <w:sz w:val="22"/>
          <w:szCs w:val="22"/>
        </w:rPr>
        <w:t>Zákon o zadávání veřejných zakázek</w:t>
      </w:r>
      <w:r w:rsidR="008E7FE7" w:rsidRPr="004B7894">
        <w:rPr>
          <w:rFonts w:ascii="Arial" w:hAnsi="Arial" w:cs="Arial"/>
          <w:sz w:val="22"/>
          <w:szCs w:val="22"/>
        </w:rPr>
        <w:t>“)</w:t>
      </w:r>
      <w:r w:rsidR="00DC7116" w:rsidRPr="004B7894">
        <w:rPr>
          <w:rFonts w:ascii="Arial" w:hAnsi="Arial" w:cs="Arial"/>
          <w:sz w:val="22"/>
          <w:szCs w:val="22"/>
        </w:rPr>
        <w:t>,</w:t>
      </w:r>
      <w:r w:rsidR="00930EA9" w:rsidRPr="004B7894">
        <w:rPr>
          <w:rFonts w:ascii="Arial" w:hAnsi="Arial" w:cs="Arial"/>
          <w:sz w:val="22"/>
          <w:szCs w:val="22"/>
        </w:rPr>
        <w:t xml:space="preserve"> resp. v souladu </w:t>
      </w:r>
      <w:r w:rsidRPr="004B7894">
        <w:rPr>
          <w:rFonts w:ascii="Arial" w:hAnsi="Arial" w:cs="Arial"/>
          <w:sz w:val="22"/>
          <w:szCs w:val="22"/>
        </w:rPr>
        <w:t>Zákon</w:t>
      </w:r>
      <w:r w:rsidR="00930EA9" w:rsidRPr="004B7894">
        <w:rPr>
          <w:rFonts w:ascii="Arial" w:hAnsi="Arial" w:cs="Arial"/>
          <w:sz w:val="22"/>
          <w:szCs w:val="22"/>
        </w:rPr>
        <w:t>em</w:t>
      </w:r>
      <w:r w:rsidRPr="004B7894">
        <w:rPr>
          <w:rFonts w:ascii="Arial" w:hAnsi="Arial" w:cs="Arial"/>
          <w:sz w:val="22"/>
          <w:szCs w:val="22"/>
        </w:rPr>
        <w:t xml:space="preserve"> o pozemních komunikacích</w:t>
      </w:r>
      <w:r w:rsidR="00DC7116" w:rsidRPr="004B7894">
        <w:rPr>
          <w:rFonts w:ascii="Arial" w:hAnsi="Arial" w:cs="Arial"/>
          <w:sz w:val="22"/>
          <w:szCs w:val="22"/>
        </w:rPr>
        <w:t>,</w:t>
      </w:r>
      <w:r w:rsidRPr="004B7894">
        <w:rPr>
          <w:rFonts w:ascii="Arial" w:hAnsi="Arial" w:cs="Arial"/>
          <w:sz w:val="22"/>
          <w:szCs w:val="22"/>
        </w:rPr>
        <w:t xml:space="preserve"> dospělo do své závěrečné fáze. </w:t>
      </w:r>
      <w:r w:rsidRPr="004B7894">
        <w:rPr>
          <w:rFonts w:ascii="Arial" w:hAnsi="Arial" w:cs="Arial"/>
          <w:b/>
          <w:sz w:val="22"/>
          <w:szCs w:val="22"/>
        </w:rPr>
        <w:t>Dne 17. září 2020 došlo k</w:t>
      </w:r>
      <w:r w:rsidR="00294816" w:rsidRPr="004B7894">
        <w:rPr>
          <w:rFonts w:ascii="Arial" w:hAnsi="Arial" w:cs="Arial"/>
          <w:b/>
          <w:sz w:val="22"/>
          <w:szCs w:val="22"/>
        </w:rPr>
        <w:t xml:space="preserve"> otevření podaných </w:t>
      </w:r>
      <w:r w:rsidRPr="004B7894">
        <w:rPr>
          <w:rFonts w:ascii="Arial" w:hAnsi="Arial" w:cs="Arial"/>
          <w:b/>
          <w:sz w:val="22"/>
          <w:szCs w:val="22"/>
        </w:rPr>
        <w:t xml:space="preserve">nabídek na realizaci </w:t>
      </w:r>
      <w:r w:rsidR="00AE4A07" w:rsidRPr="004B7894">
        <w:rPr>
          <w:rFonts w:ascii="Arial" w:hAnsi="Arial" w:cs="Arial"/>
          <w:b/>
          <w:sz w:val="22"/>
          <w:szCs w:val="22"/>
        </w:rPr>
        <w:t>P</w:t>
      </w:r>
      <w:r w:rsidRPr="004B7894">
        <w:rPr>
          <w:rFonts w:ascii="Arial" w:hAnsi="Arial" w:cs="Arial"/>
          <w:b/>
          <w:sz w:val="22"/>
          <w:szCs w:val="22"/>
        </w:rPr>
        <w:t>rojektu</w:t>
      </w:r>
      <w:r w:rsidRPr="004B7894">
        <w:rPr>
          <w:rFonts w:ascii="Arial" w:hAnsi="Arial" w:cs="Arial"/>
          <w:sz w:val="22"/>
          <w:szCs w:val="22"/>
        </w:rPr>
        <w:t xml:space="preserve"> v souladu s Koncesionářskou smlouvou, jejíž obsah byl s účastníky zadávacího řízení podrobně diskutován v rámci zadávacího řízení se soutěžním dialogem.</w:t>
      </w:r>
    </w:p>
    <w:p w:rsidR="002513A5" w:rsidRPr="004B7894" w:rsidRDefault="00231807" w:rsidP="00F17673">
      <w:pPr>
        <w:pStyle w:val="Normlnweb"/>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b/>
          <w:sz w:val="22"/>
          <w:szCs w:val="22"/>
        </w:rPr>
        <w:t xml:space="preserve">Podmínkou pro uzavření Koncesionářské smlouvy </w:t>
      </w:r>
      <w:r w:rsidR="00861225" w:rsidRPr="004B7894">
        <w:rPr>
          <w:rFonts w:ascii="Arial" w:hAnsi="Arial" w:cs="Arial"/>
          <w:b/>
          <w:sz w:val="22"/>
          <w:szCs w:val="22"/>
        </w:rPr>
        <w:t>s vybraným</w:t>
      </w:r>
      <w:r w:rsidR="00406A2B" w:rsidRPr="004B7894">
        <w:rPr>
          <w:rFonts w:ascii="Arial" w:hAnsi="Arial" w:cs="Arial"/>
          <w:b/>
          <w:sz w:val="22"/>
          <w:szCs w:val="22"/>
        </w:rPr>
        <w:t xml:space="preserve"> </w:t>
      </w:r>
      <w:r w:rsidR="009E694E" w:rsidRPr="004B7894">
        <w:rPr>
          <w:rFonts w:ascii="Arial" w:hAnsi="Arial" w:cs="Arial"/>
          <w:b/>
          <w:sz w:val="22"/>
          <w:szCs w:val="22"/>
        </w:rPr>
        <w:t>dodavatelem</w:t>
      </w:r>
      <w:r w:rsidR="00406A2B" w:rsidRPr="004B7894">
        <w:rPr>
          <w:rFonts w:ascii="Arial" w:hAnsi="Arial" w:cs="Arial"/>
          <w:b/>
          <w:sz w:val="22"/>
          <w:szCs w:val="22"/>
        </w:rPr>
        <w:t xml:space="preserve"> (dále jen „</w:t>
      </w:r>
      <w:r w:rsidR="00861225" w:rsidRPr="004B7894">
        <w:rPr>
          <w:rFonts w:ascii="Arial" w:hAnsi="Arial" w:cs="Arial"/>
          <w:b/>
          <w:sz w:val="22"/>
          <w:szCs w:val="22"/>
        </w:rPr>
        <w:t>Koncesionář</w:t>
      </w:r>
      <w:r w:rsidR="00406A2B" w:rsidRPr="004B7894">
        <w:rPr>
          <w:rFonts w:ascii="Arial" w:hAnsi="Arial" w:cs="Arial"/>
          <w:b/>
          <w:sz w:val="22"/>
          <w:szCs w:val="22"/>
        </w:rPr>
        <w:t>“)</w:t>
      </w:r>
      <w:r w:rsidR="00861225" w:rsidRPr="004B7894">
        <w:rPr>
          <w:rFonts w:ascii="Arial" w:hAnsi="Arial" w:cs="Arial"/>
          <w:b/>
          <w:sz w:val="22"/>
          <w:szCs w:val="22"/>
        </w:rPr>
        <w:t xml:space="preserve"> ze strany Ministerstva dopravy je </w:t>
      </w:r>
      <w:r w:rsidRPr="004B7894">
        <w:rPr>
          <w:rFonts w:ascii="Arial" w:hAnsi="Arial" w:cs="Arial"/>
          <w:b/>
          <w:sz w:val="22"/>
          <w:szCs w:val="22"/>
        </w:rPr>
        <w:t>dle §</w:t>
      </w:r>
      <w:r w:rsidR="00406A2B" w:rsidRPr="004B7894">
        <w:rPr>
          <w:rFonts w:ascii="Arial" w:hAnsi="Arial" w:cs="Arial"/>
          <w:b/>
          <w:sz w:val="22"/>
          <w:szCs w:val="22"/>
        </w:rPr>
        <w:t xml:space="preserve"> </w:t>
      </w:r>
      <w:r w:rsidRPr="004B7894">
        <w:rPr>
          <w:rFonts w:ascii="Arial" w:hAnsi="Arial" w:cs="Arial"/>
          <w:b/>
          <w:sz w:val="22"/>
          <w:szCs w:val="22"/>
        </w:rPr>
        <w:t xml:space="preserve">18c Zákona o pozemních komunikacích </w:t>
      </w:r>
      <w:r w:rsidR="00861225" w:rsidRPr="004B7894">
        <w:rPr>
          <w:rFonts w:ascii="Arial" w:hAnsi="Arial" w:cs="Arial"/>
          <w:b/>
          <w:sz w:val="22"/>
          <w:szCs w:val="22"/>
        </w:rPr>
        <w:t xml:space="preserve">předchozí schválení koncesionářské smlouvy vládou a získání souhlasu Poslanecké sněmovny s údaji vyjadřujícími finanční závazky státu vůči </w:t>
      </w:r>
      <w:r w:rsidR="00B6792F" w:rsidRPr="004B7894">
        <w:rPr>
          <w:rFonts w:ascii="Arial" w:hAnsi="Arial" w:cs="Arial"/>
          <w:b/>
          <w:sz w:val="22"/>
          <w:szCs w:val="22"/>
        </w:rPr>
        <w:t>K</w:t>
      </w:r>
      <w:r w:rsidR="00861225" w:rsidRPr="004B7894">
        <w:rPr>
          <w:rFonts w:ascii="Arial" w:hAnsi="Arial" w:cs="Arial"/>
          <w:b/>
          <w:sz w:val="22"/>
          <w:szCs w:val="22"/>
        </w:rPr>
        <w:t>oncesionáři obsaženými v návrhu smlouvy Poslaneckou sněmovnou.</w:t>
      </w:r>
      <w:r w:rsidR="00861225" w:rsidRPr="004B7894">
        <w:rPr>
          <w:rFonts w:ascii="Arial" w:hAnsi="Arial" w:cs="Arial"/>
          <w:sz w:val="22"/>
          <w:szCs w:val="22"/>
        </w:rPr>
        <w:t xml:space="preserve"> V souladu se závěry jednání Hospodářského výboru Poslanecké sněmovny ze dne 6. února 2019 </w:t>
      </w:r>
      <w:r w:rsidR="00930EA9" w:rsidRPr="004B7894">
        <w:rPr>
          <w:rFonts w:ascii="Arial" w:hAnsi="Arial" w:cs="Arial"/>
          <w:sz w:val="22"/>
          <w:szCs w:val="22"/>
        </w:rPr>
        <w:t>bylo přednostně přistoupeno ke</w:t>
      </w:r>
      <w:r w:rsidR="00861225" w:rsidRPr="004B7894">
        <w:rPr>
          <w:rFonts w:ascii="Arial" w:hAnsi="Arial" w:cs="Arial"/>
          <w:sz w:val="22"/>
          <w:szCs w:val="22"/>
        </w:rPr>
        <w:t xml:space="preserve"> schválení Koncesionářské smlouvy vládou s následným předložením materiálu vyjadřujícího finanční závazky státu do Poslanecké sněmovny.</w:t>
      </w:r>
      <w:r w:rsidR="00D025EF" w:rsidRPr="004B7894">
        <w:rPr>
          <w:rFonts w:ascii="Arial" w:hAnsi="Arial" w:cs="Arial"/>
          <w:sz w:val="22"/>
          <w:szCs w:val="22"/>
        </w:rPr>
        <w:t xml:space="preserve"> Názvosloví obsažené v tomto materiálu počínající velkým písmenem má význam dle Přílohy č. 1 Koncesionářské smlouvy – Definice.</w:t>
      </w:r>
    </w:p>
    <w:p w:rsidR="000166BF" w:rsidRPr="004B7894" w:rsidRDefault="000166BF" w:rsidP="00F17673">
      <w:pPr>
        <w:pStyle w:val="Normlnweb"/>
        <w:shd w:val="clear" w:color="auto" w:fill="FFFFFF"/>
        <w:spacing w:before="0" w:beforeAutospacing="0" w:after="0" w:afterAutospacing="0" w:line="360" w:lineRule="auto"/>
        <w:jc w:val="both"/>
        <w:rPr>
          <w:rFonts w:ascii="Arial" w:hAnsi="Arial" w:cs="Arial"/>
          <w:sz w:val="22"/>
          <w:szCs w:val="22"/>
        </w:rPr>
      </w:pPr>
    </w:p>
    <w:p w:rsidR="00930EA9" w:rsidRPr="004B7894" w:rsidRDefault="00231807">
      <w:pPr>
        <w:rPr>
          <w:rFonts w:ascii="Arial" w:eastAsia="Times New Roman" w:hAnsi="Arial" w:cs="Arial"/>
          <w:lang w:eastAsia="cs-CZ"/>
        </w:rPr>
      </w:pPr>
      <w:r w:rsidRPr="004B7894">
        <w:rPr>
          <w:rFonts w:ascii="Arial" w:hAnsi="Arial" w:cs="Arial"/>
        </w:rPr>
        <w:br w:type="page"/>
      </w:r>
    </w:p>
    <w:p w:rsidR="000166BF" w:rsidRPr="004B7894" w:rsidRDefault="00231807" w:rsidP="00F17673">
      <w:pPr>
        <w:pStyle w:val="Normlnweb"/>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noProof/>
          <w:sz w:val="22"/>
          <w:szCs w:val="22"/>
        </w:rPr>
        <w:lastRenderedPageBreak/>
        <w:drawing>
          <wp:anchor distT="0" distB="0" distL="114300" distR="114300" simplePos="0" relativeHeight="251658240" behindDoc="0" locked="0" layoutInCell="1" allowOverlap="1">
            <wp:simplePos x="0" y="0"/>
            <wp:positionH relativeFrom="margin">
              <wp:align>right</wp:align>
            </wp:positionH>
            <wp:positionV relativeFrom="paragraph">
              <wp:posOffset>12700</wp:posOffset>
            </wp:positionV>
            <wp:extent cx="2105025" cy="2828925"/>
            <wp:effectExtent l="0" t="0" r="9525" b="9525"/>
            <wp:wrapNone/>
            <wp:docPr id="1" name="Picture 10" descr="C:\Users\lcech001\AppData\Local\Temp\notesF3B52A\~31126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087684" name="Picture 3" descr="C:\Users\lcech001\AppData\Local\Temp\notesF3B52A\~3112658.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05025" cy="2828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B7894">
        <w:rPr>
          <w:rFonts w:ascii="Arial" w:hAnsi="Arial" w:cs="Arial"/>
          <w:sz w:val="22"/>
          <w:szCs w:val="22"/>
        </w:rPr>
        <w:t xml:space="preserve">Úseky </w:t>
      </w:r>
      <w:r w:rsidR="00F65BCC" w:rsidRPr="004B7894">
        <w:rPr>
          <w:rFonts w:ascii="Arial" w:hAnsi="Arial" w:cs="Arial"/>
          <w:sz w:val="22"/>
          <w:szCs w:val="22"/>
        </w:rPr>
        <w:t xml:space="preserve">zahrnující </w:t>
      </w:r>
      <w:r w:rsidRPr="004B7894">
        <w:rPr>
          <w:rFonts w:ascii="Arial" w:hAnsi="Arial" w:cs="Arial"/>
          <w:color w:val="FFC000"/>
          <w:sz w:val="22"/>
          <w:szCs w:val="22"/>
        </w:rPr>
        <w:t>výstavbu nových částí dálnice</w:t>
      </w:r>
      <w:r w:rsidR="002513A5" w:rsidRPr="004B7894">
        <w:rPr>
          <w:rFonts w:ascii="Arial" w:hAnsi="Arial" w:cs="Arial"/>
          <w:color w:val="FFC000"/>
          <w:sz w:val="22"/>
          <w:szCs w:val="22"/>
        </w:rPr>
        <w:t xml:space="preserve"> D4</w:t>
      </w:r>
      <w:r w:rsidRPr="004B7894">
        <w:rPr>
          <w:rFonts w:ascii="Arial" w:hAnsi="Arial" w:cs="Arial"/>
          <w:color w:val="FFC000"/>
          <w:sz w:val="22"/>
          <w:szCs w:val="22"/>
        </w:rPr>
        <w:t>:</w:t>
      </w:r>
    </w:p>
    <w:p w:rsidR="000166BF" w:rsidRPr="004B7894" w:rsidRDefault="00231807" w:rsidP="00F17673">
      <w:pPr>
        <w:pStyle w:val="Odstavecseseznamem"/>
        <w:numPr>
          <w:ilvl w:val="0"/>
          <w:numId w:val="7"/>
        </w:numPr>
        <w:spacing w:line="360" w:lineRule="auto"/>
        <w:ind w:left="720"/>
        <w:rPr>
          <w:rFonts w:ascii="Arial" w:hAnsi="Arial" w:cs="Arial"/>
        </w:rPr>
      </w:pPr>
      <w:r w:rsidRPr="004B7894">
        <w:rPr>
          <w:rFonts w:ascii="Arial" w:hAnsi="Arial" w:cs="Arial"/>
        </w:rPr>
        <w:t>D4 Háje – Milín: 5</w:t>
      </w:r>
      <w:r w:rsidR="00D55970" w:rsidRPr="004B7894">
        <w:rPr>
          <w:rFonts w:ascii="Arial" w:hAnsi="Arial" w:cs="Arial"/>
        </w:rPr>
        <w:t>,6</w:t>
      </w:r>
      <w:r w:rsidRPr="004B7894">
        <w:rPr>
          <w:rFonts w:ascii="Arial" w:hAnsi="Arial" w:cs="Arial"/>
        </w:rPr>
        <w:t xml:space="preserve"> km</w:t>
      </w:r>
    </w:p>
    <w:p w:rsidR="000166BF" w:rsidRPr="004B7894" w:rsidRDefault="00231807" w:rsidP="00F17673">
      <w:pPr>
        <w:pStyle w:val="Odstavecseseznamem"/>
        <w:numPr>
          <w:ilvl w:val="0"/>
          <w:numId w:val="7"/>
        </w:numPr>
        <w:spacing w:line="360" w:lineRule="auto"/>
        <w:ind w:left="720"/>
        <w:rPr>
          <w:rFonts w:ascii="Arial" w:hAnsi="Arial" w:cs="Arial"/>
        </w:rPr>
      </w:pPr>
      <w:r w:rsidRPr="004B7894">
        <w:rPr>
          <w:rFonts w:ascii="Arial" w:hAnsi="Arial" w:cs="Arial"/>
        </w:rPr>
        <w:t>D4 Milín – Lety: 11</w:t>
      </w:r>
      <w:r w:rsidR="00D55970" w:rsidRPr="004B7894">
        <w:rPr>
          <w:rFonts w:ascii="Arial" w:hAnsi="Arial" w:cs="Arial"/>
        </w:rPr>
        <w:t>,</w:t>
      </w:r>
      <w:r w:rsidRPr="004B7894">
        <w:rPr>
          <w:rFonts w:ascii="Arial" w:hAnsi="Arial" w:cs="Arial"/>
        </w:rPr>
        <w:t xml:space="preserve">6 km </w:t>
      </w:r>
    </w:p>
    <w:p w:rsidR="000166BF" w:rsidRPr="004B7894" w:rsidRDefault="00231807" w:rsidP="00F17673">
      <w:pPr>
        <w:pStyle w:val="Odstavecseseznamem"/>
        <w:numPr>
          <w:ilvl w:val="0"/>
          <w:numId w:val="7"/>
        </w:numPr>
        <w:spacing w:line="360" w:lineRule="auto"/>
        <w:ind w:left="720"/>
        <w:rPr>
          <w:rFonts w:ascii="Arial" w:hAnsi="Arial" w:cs="Arial"/>
        </w:rPr>
      </w:pPr>
      <w:r w:rsidRPr="004B7894">
        <w:rPr>
          <w:rFonts w:ascii="Arial" w:hAnsi="Arial" w:cs="Arial"/>
        </w:rPr>
        <w:t>D4 Lety – Čimelice: 2</w:t>
      </w:r>
      <w:r w:rsidR="00D55970" w:rsidRPr="004B7894">
        <w:rPr>
          <w:rFonts w:ascii="Arial" w:hAnsi="Arial" w:cs="Arial"/>
        </w:rPr>
        <w:t>,</w:t>
      </w:r>
      <w:r w:rsidRPr="004B7894">
        <w:rPr>
          <w:rFonts w:ascii="Arial" w:hAnsi="Arial" w:cs="Arial"/>
        </w:rPr>
        <w:t xml:space="preserve">6 km </w:t>
      </w:r>
    </w:p>
    <w:p w:rsidR="000166BF" w:rsidRPr="004B7894" w:rsidRDefault="00231807" w:rsidP="00F17673">
      <w:pPr>
        <w:pStyle w:val="Odstavecseseznamem"/>
        <w:numPr>
          <w:ilvl w:val="0"/>
          <w:numId w:val="7"/>
        </w:numPr>
        <w:spacing w:line="360" w:lineRule="auto"/>
        <w:ind w:left="720"/>
        <w:rPr>
          <w:rFonts w:ascii="Arial" w:hAnsi="Arial" w:cs="Arial"/>
        </w:rPr>
      </w:pPr>
      <w:r w:rsidRPr="004B7894">
        <w:rPr>
          <w:rFonts w:ascii="Arial" w:hAnsi="Arial" w:cs="Arial"/>
        </w:rPr>
        <w:t>D4 Čimelice – Mirotice: 8</w:t>
      </w:r>
      <w:r w:rsidR="00D55970" w:rsidRPr="004B7894">
        <w:rPr>
          <w:rFonts w:ascii="Arial" w:hAnsi="Arial" w:cs="Arial"/>
        </w:rPr>
        <w:t>,</w:t>
      </w:r>
      <w:r w:rsidRPr="004B7894">
        <w:rPr>
          <w:rFonts w:ascii="Arial" w:hAnsi="Arial" w:cs="Arial"/>
        </w:rPr>
        <w:t xml:space="preserve">5 km </w:t>
      </w:r>
    </w:p>
    <w:p w:rsidR="000166BF" w:rsidRPr="004B7894" w:rsidRDefault="00231807" w:rsidP="00F17673">
      <w:pPr>
        <w:pStyle w:val="Odstavecseseznamem"/>
        <w:numPr>
          <w:ilvl w:val="0"/>
          <w:numId w:val="7"/>
        </w:numPr>
        <w:spacing w:line="360" w:lineRule="auto"/>
        <w:ind w:left="720"/>
        <w:rPr>
          <w:rFonts w:ascii="Arial" w:hAnsi="Arial" w:cs="Arial"/>
        </w:rPr>
      </w:pPr>
      <w:r w:rsidRPr="004B7894">
        <w:rPr>
          <w:rFonts w:ascii="Arial" w:hAnsi="Arial" w:cs="Arial"/>
        </w:rPr>
        <w:t>D4 Mirotice</w:t>
      </w:r>
      <w:r w:rsidR="00E41603" w:rsidRPr="004B7894">
        <w:rPr>
          <w:rFonts w:ascii="Arial" w:hAnsi="Arial" w:cs="Arial"/>
        </w:rPr>
        <w:t>,</w:t>
      </w:r>
      <w:r w:rsidR="00D55970" w:rsidRPr="004B7894">
        <w:rPr>
          <w:rFonts w:ascii="Arial" w:hAnsi="Arial" w:cs="Arial"/>
        </w:rPr>
        <w:t xml:space="preserve"> rozšíření</w:t>
      </w:r>
      <w:r w:rsidRPr="004B7894">
        <w:rPr>
          <w:rFonts w:ascii="Arial" w:hAnsi="Arial" w:cs="Arial"/>
        </w:rPr>
        <w:t>: 3</w:t>
      </w:r>
      <w:r w:rsidR="00D55970" w:rsidRPr="004B7894">
        <w:rPr>
          <w:rFonts w:ascii="Arial" w:hAnsi="Arial" w:cs="Arial"/>
        </w:rPr>
        <w:t>,</w:t>
      </w:r>
      <w:r w:rsidRPr="004B7894">
        <w:rPr>
          <w:rFonts w:ascii="Arial" w:hAnsi="Arial" w:cs="Arial"/>
        </w:rPr>
        <w:t xml:space="preserve">6 km </w:t>
      </w:r>
    </w:p>
    <w:p w:rsidR="000166BF" w:rsidRPr="004B7894" w:rsidRDefault="00231807" w:rsidP="00F17673">
      <w:pPr>
        <w:pStyle w:val="Normlnweb"/>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sz w:val="22"/>
          <w:szCs w:val="22"/>
        </w:rPr>
        <w:t xml:space="preserve">Úseky </w:t>
      </w:r>
      <w:r w:rsidR="00F65BCC" w:rsidRPr="004B7894">
        <w:rPr>
          <w:rFonts w:ascii="Arial" w:hAnsi="Arial" w:cs="Arial"/>
          <w:sz w:val="22"/>
          <w:szCs w:val="22"/>
        </w:rPr>
        <w:t xml:space="preserve">zahrnující </w:t>
      </w:r>
      <w:r w:rsidR="003725AC" w:rsidRPr="004B7894">
        <w:rPr>
          <w:rFonts w:ascii="Arial" w:hAnsi="Arial" w:cs="Arial"/>
          <w:sz w:val="22"/>
          <w:szCs w:val="22"/>
        </w:rPr>
        <w:t xml:space="preserve">úpravu a </w:t>
      </w:r>
      <w:r w:rsidR="00F65BCC" w:rsidRPr="004B7894">
        <w:rPr>
          <w:rFonts w:ascii="Arial" w:hAnsi="Arial" w:cs="Arial"/>
          <w:color w:val="FF0000"/>
          <w:sz w:val="22"/>
          <w:szCs w:val="22"/>
        </w:rPr>
        <w:t>provozování</w:t>
      </w:r>
      <w:r w:rsidRPr="004B7894">
        <w:rPr>
          <w:rFonts w:ascii="Arial" w:hAnsi="Arial" w:cs="Arial"/>
          <w:color w:val="FF0000"/>
          <w:sz w:val="22"/>
          <w:szCs w:val="22"/>
        </w:rPr>
        <w:t xml:space="preserve"> stávající</w:t>
      </w:r>
      <w:r w:rsidR="009E694E" w:rsidRPr="004B7894">
        <w:rPr>
          <w:rFonts w:ascii="Arial" w:hAnsi="Arial" w:cs="Arial"/>
          <w:color w:val="FF0000"/>
          <w:sz w:val="22"/>
          <w:szCs w:val="22"/>
        </w:rPr>
        <w:t>ch úseků</w:t>
      </w:r>
      <w:r w:rsidR="00F65BCC" w:rsidRPr="004B7894">
        <w:rPr>
          <w:rFonts w:ascii="Arial" w:hAnsi="Arial" w:cs="Arial"/>
          <w:color w:val="FF0000"/>
          <w:sz w:val="22"/>
          <w:szCs w:val="22"/>
        </w:rPr>
        <w:t>:</w:t>
      </w:r>
    </w:p>
    <w:p w:rsidR="000166BF" w:rsidRPr="004B7894" w:rsidRDefault="00231807" w:rsidP="00F17673">
      <w:pPr>
        <w:pStyle w:val="Odstavecseseznamem"/>
        <w:numPr>
          <w:ilvl w:val="0"/>
          <w:numId w:val="7"/>
        </w:numPr>
        <w:spacing w:line="360" w:lineRule="auto"/>
        <w:ind w:left="720"/>
        <w:rPr>
          <w:rFonts w:ascii="Arial" w:hAnsi="Arial" w:cs="Arial"/>
        </w:rPr>
      </w:pPr>
      <w:r w:rsidRPr="004B7894">
        <w:rPr>
          <w:rFonts w:ascii="Arial" w:hAnsi="Arial" w:cs="Arial"/>
        </w:rPr>
        <w:t>D4 Skalka – Háje</w:t>
      </w:r>
      <w:r w:rsidR="00E41603" w:rsidRPr="004B7894">
        <w:rPr>
          <w:rFonts w:ascii="Arial" w:hAnsi="Arial" w:cs="Arial"/>
        </w:rPr>
        <w:t>:</w:t>
      </w:r>
      <w:r w:rsidRPr="004B7894">
        <w:rPr>
          <w:rFonts w:ascii="Arial" w:hAnsi="Arial" w:cs="Arial"/>
        </w:rPr>
        <w:t xml:space="preserve"> 4,8 km </w:t>
      </w:r>
    </w:p>
    <w:p w:rsidR="000166BF" w:rsidRPr="004B7894" w:rsidRDefault="00231807" w:rsidP="00F17673">
      <w:pPr>
        <w:pStyle w:val="Odstavecseseznamem"/>
        <w:numPr>
          <w:ilvl w:val="0"/>
          <w:numId w:val="7"/>
        </w:numPr>
        <w:spacing w:line="360" w:lineRule="auto"/>
        <w:ind w:left="720"/>
        <w:rPr>
          <w:rFonts w:ascii="Arial" w:hAnsi="Arial" w:cs="Arial"/>
        </w:rPr>
      </w:pPr>
      <w:r w:rsidRPr="004B7894">
        <w:rPr>
          <w:rFonts w:ascii="Arial" w:hAnsi="Arial" w:cs="Arial"/>
        </w:rPr>
        <w:t>D4 Mirotice – Třebkov</w:t>
      </w:r>
      <w:r w:rsidR="00E41603" w:rsidRPr="004B7894">
        <w:rPr>
          <w:rFonts w:ascii="Arial" w:hAnsi="Arial" w:cs="Arial"/>
        </w:rPr>
        <w:t>:</w:t>
      </w:r>
      <w:r w:rsidRPr="004B7894">
        <w:rPr>
          <w:rFonts w:ascii="Arial" w:hAnsi="Arial" w:cs="Arial"/>
        </w:rPr>
        <w:t xml:space="preserve"> 5,9 km</w:t>
      </w:r>
    </w:p>
    <w:p w:rsidR="000166BF" w:rsidRPr="004B7894" w:rsidRDefault="00231807" w:rsidP="00F17673">
      <w:pPr>
        <w:pStyle w:val="Odstavecseseznamem"/>
        <w:numPr>
          <w:ilvl w:val="0"/>
          <w:numId w:val="7"/>
        </w:numPr>
        <w:spacing w:line="360" w:lineRule="auto"/>
        <w:ind w:left="720"/>
        <w:rPr>
          <w:rFonts w:ascii="Arial" w:hAnsi="Arial" w:cs="Arial"/>
        </w:rPr>
      </w:pPr>
      <w:r w:rsidRPr="004B7894">
        <w:rPr>
          <w:rFonts w:ascii="Arial" w:hAnsi="Arial" w:cs="Arial"/>
        </w:rPr>
        <w:t>D4 Křižovatka Nová Hospoda</w:t>
      </w:r>
      <w:r w:rsidR="00D55970" w:rsidRPr="004B7894">
        <w:rPr>
          <w:rFonts w:ascii="Arial" w:hAnsi="Arial" w:cs="Arial"/>
        </w:rPr>
        <w:t xml:space="preserve"> s I/20</w:t>
      </w:r>
      <w:r w:rsidR="00E41603" w:rsidRPr="004B7894">
        <w:rPr>
          <w:rFonts w:ascii="Arial" w:hAnsi="Arial" w:cs="Arial"/>
        </w:rPr>
        <w:t>:</w:t>
      </w:r>
      <w:r w:rsidRPr="004B7894">
        <w:rPr>
          <w:rFonts w:ascii="Arial" w:hAnsi="Arial" w:cs="Arial"/>
        </w:rPr>
        <w:t xml:space="preserve"> </w:t>
      </w:r>
      <w:r w:rsidR="00861225" w:rsidRPr="004B7894">
        <w:rPr>
          <w:rFonts w:ascii="Arial" w:hAnsi="Arial" w:cs="Arial"/>
        </w:rPr>
        <w:t>0</w:t>
      </w:r>
      <w:r w:rsidR="00D55970" w:rsidRPr="004B7894">
        <w:rPr>
          <w:rFonts w:ascii="Arial" w:hAnsi="Arial" w:cs="Arial"/>
        </w:rPr>
        <w:t>,</w:t>
      </w:r>
      <w:r w:rsidR="00861225" w:rsidRPr="004B7894">
        <w:rPr>
          <w:rFonts w:ascii="Arial" w:hAnsi="Arial" w:cs="Arial"/>
        </w:rPr>
        <w:t>8</w:t>
      </w:r>
      <w:r w:rsidRPr="004B7894">
        <w:rPr>
          <w:rFonts w:ascii="Arial" w:hAnsi="Arial" w:cs="Arial"/>
        </w:rPr>
        <w:t xml:space="preserve"> km</w:t>
      </w:r>
    </w:p>
    <w:p w:rsidR="000166BF" w:rsidRPr="004B7894" w:rsidRDefault="00231807" w:rsidP="00F17673">
      <w:pPr>
        <w:pStyle w:val="Odstavecseseznamem"/>
        <w:numPr>
          <w:ilvl w:val="0"/>
          <w:numId w:val="7"/>
        </w:numPr>
        <w:spacing w:line="360" w:lineRule="auto"/>
        <w:ind w:left="720"/>
        <w:rPr>
          <w:rFonts w:ascii="Arial" w:hAnsi="Arial" w:cs="Arial"/>
        </w:rPr>
      </w:pPr>
      <w:r w:rsidRPr="004B7894">
        <w:rPr>
          <w:rFonts w:ascii="Arial" w:hAnsi="Arial" w:cs="Arial"/>
        </w:rPr>
        <w:t xml:space="preserve">I/20 Nová Hospoda – </w:t>
      </w:r>
      <w:r w:rsidR="00D55970" w:rsidRPr="004B7894">
        <w:rPr>
          <w:rFonts w:ascii="Arial" w:hAnsi="Arial" w:cs="Arial"/>
        </w:rPr>
        <w:t>Krašovice</w:t>
      </w:r>
      <w:r w:rsidR="00E41603" w:rsidRPr="004B7894">
        <w:rPr>
          <w:rFonts w:ascii="Arial" w:hAnsi="Arial" w:cs="Arial"/>
        </w:rPr>
        <w:t>:</w:t>
      </w:r>
      <w:r w:rsidRPr="004B7894">
        <w:rPr>
          <w:rFonts w:ascii="Arial" w:hAnsi="Arial" w:cs="Arial"/>
        </w:rPr>
        <w:t xml:space="preserve"> </w:t>
      </w:r>
      <w:r w:rsidR="00D55970" w:rsidRPr="004B7894">
        <w:rPr>
          <w:rFonts w:ascii="Arial" w:hAnsi="Arial" w:cs="Arial"/>
        </w:rPr>
        <w:t>3,</w:t>
      </w:r>
      <w:r w:rsidR="00861225" w:rsidRPr="004B7894">
        <w:rPr>
          <w:rFonts w:ascii="Arial" w:hAnsi="Arial" w:cs="Arial"/>
        </w:rPr>
        <w:t>7</w:t>
      </w:r>
      <w:r w:rsidR="00EF5F90" w:rsidRPr="004B7894">
        <w:rPr>
          <w:rFonts w:ascii="Arial" w:hAnsi="Arial" w:cs="Arial"/>
        </w:rPr>
        <w:t xml:space="preserve"> km</w:t>
      </w:r>
    </w:p>
    <w:p w:rsidR="00AA4837" w:rsidRPr="004B7894" w:rsidRDefault="00231807" w:rsidP="003E002A">
      <w:pPr>
        <w:pStyle w:val="Nadpis1"/>
      </w:pPr>
      <w:r w:rsidRPr="004B7894">
        <w:t>Přehled učiněných kroků v zadávacím řízení</w:t>
      </w:r>
      <w:r w:rsidR="003725AC" w:rsidRPr="004B7894">
        <w:t xml:space="preserve"> se soutěžním dialogem</w:t>
      </w:r>
    </w:p>
    <w:p w:rsidR="00744F4F" w:rsidRPr="004B7894" w:rsidRDefault="00231807" w:rsidP="003E002A">
      <w:pPr>
        <w:pStyle w:val="Normlnweb"/>
        <w:numPr>
          <w:ilvl w:val="0"/>
          <w:numId w:val="17"/>
        </w:numPr>
        <w:shd w:val="clear" w:color="auto" w:fill="FFFFFF"/>
        <w:spacing w:before="0" w:beforeAutospacing="0" w:after="0" w:afterAutospacing="0" w:line="360" w:lineRule="auto"/>
        <w:ind w:left="426"/>
        <w:jc w:val="both"/>
        <w:rPr>
          <w:rFonts w:ascii="Arial" w:hAnsi="Arial" w:cs="Arial"/>
          <w:b/>
          <w:sz w:val="22"/>
          <w:szCs w:val="22"/>
        </w:rPr>
      </w:pPr>
      <w:r w:rsidRPr="004B7894">
        <w:rPr>
          <w:rFonts w:ascii="Arial" w:hAnsi="Arial" w:cs="Arial"/>
          <w:b/>
          <w:sz w:val="22"/>
          <w:szCs w:val="22"/>
        </w:rPr>
        <w:t>Kvalifikační fáze</w:t>
      </w:r>
    </w:p>
    <w:p w:rsidR="00744F4F" w:rsidRPr="004B7894" w:rsidRDefault="00231807" w:rsidP="003E002A">
      <w:pPr>
        <w:pStyle w:val="Normlnweb"/>
        <w:numPr>
          <w:ilvl w:val="1"/>
          <w:numId w:val="17"/>
        </w:numPr>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sz w:val="22"/>
          <w:szCs w:val="22"/>
        </w:rPr>
        <w:t>Zahájení zadávacího řízení: 9.</w:t>
      </w:r>
      <w:r w:rsidR="00DD72EB" w:rsidRPr="004B7894">
        <w:rPr>
          <w:rFonts w:ascii="Arial" w:hAnsi="Arial" w:cs="Arial"/>
          <w:sz w:val="22"/>
          <w:szCs w:val="22"/>
        </w:rPr>
        <w:t xml:space="preserve"> května </w:t>
      </w:r>
      <w:r w:rsidRPr="004B7894">
        <w:rPr>
          <w:rFonts w:ascii="Arial" w:hAnsi="Arial" w:cs="Arial"/>
          <w:sz w:val="22"/>
          <w:szCs w:val="22"/>
        </w:rPr>
        <w:t>2018</w:t>
      </w:r>
    </w:p>
    <w:p w:rsidR="00744F4F" w:rsidRPr="004B7894" w:rsidRDefault="00231807" w:rsidP="003E002A">
      <w:pPr>
        <w:pStyle w:val="Normlnweb"/>
        <w:numPr>
          <w:ilvl w:val="1"/>
          <w:numId w:val="17"/>
        </w:numPr>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sz w:val="22"/>
          <w:szCs w:val="22"/>
        </w:rPr>
        <w:t>Lhůta pro podání žádostí o účast: 19.</w:t>
      </w:r>
      <w:r w:rsidR="00DD72EB" w:rsidRPr="004B7894">
        <w:rPr>
          <w:rFonts w:ascii="Arial" w:hAnsi="Arial" w:cs="Arial"/>
          <w:sz w:val="22"/>
          <w:szCs w:val="22"/>
        </w:rPr>
        <w:t xml:space="preserve"> července </w:t>
      </w:r>
      <w:r w:rsidRPr="004B7894">
        <w:rPr>
          <w:rFonts w:ascii="Arial" w:hAnsi="Arial" w:cs="Arial"/>
          <w:sz w:val="22"/>
          <w:szCs w:val="22"/>
        </w:rPr>
        <w:t>2018</w:t>
      </w:r>
    </w:p>
    <w:p w:rsidR="00744F4F" w:rsidRPr="004B7894" w:rsidRDefault="00231807" w:rsidP="003E002A">
      <w:pPr>
        <w:pStyle w:val="Normlnweb"/>
        <w:numPr>
          <w:ilvl w:val="1"/>
          <w:numId w:val="17"/>
        </w:numPr>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sz w:val="22"/>
          <w:szCs w:val="22"/>
        </w:rPr>
        <w:t xml:space="preserve">Rozhodnutí o </w:t>
      </w:r>
      <w:r w:rsidR="007416B9" w:rsidRPr="004B7894">
        <w:rPr>
          <w:rFonts w:ascii="Arial" w:hAnsi="Arial" w:cs="Arial"/>
          <w:sz w:val="22"/>
          <w:szCs w:val="22"/>
        </w:rPr>
        <w:t>snížení počtu účastníků</w:t>
      </w:r>
      <w:r w:rsidR="00334323" w:rsidRPr="004B7894">
        <w:rPr>
          <w:rFonts w:ascii="Arial" w:hAnsi="Arial" w:cs="Arial"/>
          <w:sz w:val="22"/>
          <w:szCs w:val="22"/>
        </w:rPr>
        <w:t xml:space="preserve"> zadávacího řízení</w:t>
      </w:r>
      <w:r w:rsidRPr="004B7894">
        <w:rPr>
          <w:rFonts w:ascii="Arial" w:hAnsi="Arial" w:cs="Arial"/>
          <w:sz w:val="22"/>
          <w:szCs w:val="22"/>
        </w:rPr>
        <w:t>: 9.</w:t>
      </w:r>
      <w:r w:rsidR="00DD72EB" w:rsidRPr="004B7894">
        <w:rPr>
          <w:rFonts w:ascii="Arial" w:hAnsi="Arial" w:cs="Arial"/>
          <w:sz w:val="22"/>
          <w:szCs w:val="22"/>
        </w:rPr>
        <w:t xml:space="preserve"> listopadu </w:t>
      </w:r>
      <w:r w:rsidRPr="004B7894">
        <w:rPr>
          <w:rFonts w:ascii="Arial" w:hAnsi="Arial" w:cs="Arial"/>
          <w:sz w:val="22"/>
          <w:szCs w:val="22"/>
        </w:rPr>
        <w:t>2018</w:t>
      </w:r>
    </w:p>
    <w:p w:rsidR="00744F4F" w:rsidRPr="004B7894" w:rsidRDefault="00231807" w:rsidP="003E002A">
      <w:pPr>
        <w:pStyle w:val="Normlnweb"/>
        <w:numPr>
          <w:ilvl w:val="0"/>
          <w:numId w:val="17"/>
        </w:numPr>
        <w:shd w:val="clear" w:color="auto" w:fill="FFFFFF"/>
        <w:spacing w:before="0" w:beforeAutospacing="0" w:after="0" w:afterAutospacing="0" w:line="360" w:lineRule="auto"/>
        <w:ind w:left="426"/>
        <w:jc w:val="both"/>
        <w:rPr>
          <w:rFonts w:ascii="Arial" w:hAnsi="Arial" w:cs="Arial"/>
          <w:b/>
          <w:sz w:val="22"/>
          <w:szCs w:val="22"/>
        </w:rPr>
      </w:pPr>
      <w:r w:rsidRPr="004B7894">
        <w:rPr>
          <w:rFonts w:ascii="Arial" w:hAnsi="Arial" w:cs="Arial"/>
          <w:b/>
          <w:sz w:val="22"/>
          <w:szCs w:val="22"/>
        </w:rPr>
        <w:t>Fáze vyjednávání o Koncesionářské smlouvě</w:t>
      </w:r>
      <w:r w:rsidR="000A6BCF" w:rsidRPr="004B7894">
        <w:rPr>
          <w:rFonts w:ascii="Arial" w:hAnsi="Arial" w:cs="Arial"/>
          <w:b/>
          <w:sz w:val="22"/>
          <w:szCs w:val="22"/>
        </w:rPr>
        <w:t xml:space="preserve"> a podmínkách veřejné zakázky (soutěžní dialog)</w:t>
      </w:r>
    </w:p>
    <w:p w:rsidR="00744F4F" w:rsidRPr="004B7894" w:rsidRDefault="00231807" w:rsidP="003E002A">
      <w:pPr>
        <w:pStyle w:val="Normlnweb"/>
        <w:numPr>
          <w:ilvl w:val="1"/>
          <w:numId w:val="17"/>
        </w:numPr>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sz w:val="22"/>
          <w:szCs w:val="22"/>
        </w:rPr>
        <w:t>Odeslání výzvy k účasti v soutěžním dialogu: 12.</w:t>
      </w:r>
      <w:r w:rsidR="00DD72EB" w:rsidRPr="004B7894">
        <w:rPr>
          <w:rFonts w:ascii="Arial" w:hAnsi="Arial" w:cs="Arial"/>
          <w:sz w:val="22"/>
          <w:szCs w:val="22"/>
        </w:rPr>
        <w:t xml:space="preserve"> února </w:t>
      </w:r>
      <w:r w:rsidRPr="004B7894">
        <w:rPr>
          <w:rFonts w:ascii="Arial" w:hAnsi="Arial" w:cs="Arial"/>
          <w:sz w:val="22"/>
          <w:szCs w:val="22"/>
        </w:rPr>
        <w:t>2019</w:t>
      </w:r>
    </w:p>
    <w:p w:rsidR="00744F4F" w:rsidRPr="004B7894" w:rsidRDefault="00231807" w:rsidP="003E002A">
      <w:pPr>
        <w:pStyle w:val="Normlnweb"/>
        <w:numPr>
          <w:ilvl w:val="1"/>
          <w:numId w:val="17"/>
        </w:numPr>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sz w:val="22"/>
          <w:szCs w:val="22"/>
        </w:rPr>
        <w:t>První kolo soutěžního dialogu: 2.</w:t>
      </w:r>
      <w:r w:rsidR="00DD72EB" w:rsidRPr="004B7894">
        <w:rPr>
          <w:rFonts w:ascii="Arial" w:hAnsi="Arial" w:cs="Arial"/>
          <w:sz w:val="22"/>
          <w:szCs w:val="22"/>
        </w:rPr>
        <w:t xml:space="preserve"> dubna </w:t>
      </w:r>
      <w:r w:rsidRPr="004B7894">
        <w:rPr>
          <w:rFonts w:ascii="Arial" w:hAnsi="Arial" w:cs="Arial"/>
          <w:sz w:val="22"/>
          <w:szCs w:val="22"/>
        </w:rPr>
        <w:t>2019 – 3.</w:t>
      </w:r>
      <w:r w:rsidR="00DD72EB" w:rsidRPr="004B7894">
        <w:rPr>
          <w:rFonts w:ascii="Arial" w:hAnsi="Arial" w:cs="Arial"/>
          <w:sz w:val="22"/>
          <w:szCs w:val="22"/>
        </w:rPr>
        <w:t xml:space="preserve"> dubna </w:t>
      </w:r>
      <w:r w:rsidRPr="004B7894">
        <w:rPr>
          <w:rFonts w:ascii="Arial" w:hAnsi="Arial" w:cs="Arial"/>
          <w:sz w:val="22"/>
          <w:szCs w:val="22"/>
        </w:rPr>
        <w:t>2019</w:t>
      </w:r>
      <w:r w:rsidR="003E002A" w:rsidRPr="004B7894">
        <w:rPr>
          <w:rFonts w:ascii="Arial" w:hAnsi="Arial" w:cs="Arial"/>
          <w:sz w:val="22"/>
          <w:szCs w:val="22"/>
        </w:rPr>
        <w:t xml:space="preserve"> (</w:t>
      </w:r>
      <w:r w:rsidR="006E635D" w:rsidRPr="004B7894">
        <w:rPr>
          <w:rFonts w:ascii="Arial" w:hAnsi="Arial" w:cs="Arial"/>
          <w:sz w:val="22"/>
          <w:szCs w:val="22"/>
        </w:rPr>
        <w:t>4 hodiny</w:t>
      </w:r>
      <w:r w:rsidR="003E002A" w:rsidRPr="004B7894">
        <w:rPr>
          <w:rFonts w:ascii="Arial" w:hAnsi="Arial" w:cs="Arial"/>
          <w:sz w:val="22"/>
          <w:szCs w:val="22"/>
        </w:rPr>
        <w:t xml:space="preserve"> na účastníka)</w:t>
      </w:r>
    </w:p>
    <w:p w:rsidR="00744F4F" w:rsidRPr="004B7894" w:rsidRDefault="00231807" w:rsidP="003E002A">
      <w:pPr>
        <w:pStyle w:val="Normlnweb"/>
        <w:numPr>
          <w:ilvl w:val="1"/>
          <w:numId w:val="17"/>
        </w:numPr>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sz w:val="22"/>
          <w:szCs w:val="22"/>
        </w:rPr>
        <w:t>Druhé kolo soutěžního dialogu: 14.</w:t>
      </w:r>
      <w:r w:rsidR="00DD72EB" w:rsidRPr="004B7894">
        <w:rPr>
          <w:rFonts w:ascii="Arial" w:hAnsi="Arial" w:cs="Arial"/>
          <w:sz w:val="22"/>
          <w:szCs w:val="22"/>
        </w:rPr>
        <w:t xml:space="preserve"> června </w:t>
      </w:r>
      <w:r w:rsidRPr="004B7894">
        <w:rPr>
          <w:rFonts w:ascii="Arial" w:hAnsi="Arial" w:cs="Arial"/>
          <w:sz w:val="22"/>
          <w:szCs w:val="22"/>
        </w:rPr>
        <w:t xml:space="preserve">2019 – </w:t>
      </w:r>
      <w:r w:rsidR="00AA49B0" w:rsidRPr="004B7894">
        <w:rPr>
          <w:rFonts w:ascii="Arial" w:hAnsi="Arial" w:cs="Arial"/>
          <w:sz w:val="22"/>
          <w:szCs w:val="22"/>
        </w:rPr>
        <w:t>19. června</w:t>
      </w:r>
      <w:r w:rsidR="00DD72EB" w:rsidRPr="004B7894">
        <w:rPr>
          <w:rFonts w:ascii="Arial" w:hAnsi="Arial" w:cs="Arial"/>
          <w:sz w:val="22"/>
          <w:szCs w:val="22"/>
        </w:rPr>
        <w:t xml:space="preserve"> </w:t>
      </w:r>
      <w:r w:rsidRPr="004B7894">
        <w:rPr>
          <w:rFonts w:ascii="Arial" w:hAnsi="Arial" w:cs="Arial"/>
          <w:sz w:val="22"/>
          <w:szCs w:val="22"/>
        </w:rPr>
        <w:t>2019</w:t>
      </w:r>
      <w:r w:rsidR="003E002A" w:rsidRPr="004B7894">
        <w:rPr>
          <w:rFonts w:ascii="Arial" w:hAnsi="Arial" w:cs="Arial"/>
          <w:sz w:val="22"/>
          <w:szCs w:val="22"/>
        </w:rPr>
        <w:t xml:space="preserve"> (1 den na účastníka)</w:t>
      </w:r>
    </w:p>
    <w:p w:rsidR="00744F4F" w:rsidRPr="004B7894" w:rsidRDefault="00231807" w:rsidP="003E002A">
      <w:pPr>
        <w:pStyle w:val="Normlnweb"/>
        <w:numPr>
          <w:ilvl w:val="1"/>
          <w:numId w:val="17"/>
        </w:numPr>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sz w:val="22"/>
          <w:szCs w:val="22"/>
        </w:rPr>
        <w:t xml:space="preserve">Třetí kolo soutěžního dialogu: </w:t>
      </w:r>
      <w:r w:rsidR="00AA49B0" w:rsidRPr="004B7894">
        <w:rPr>
          <w:rFonts w:ascii="Arial" w:hAnsi="Arial" w:cs="Arial"/>
          <w:sz w:val="22"/>
          <w:szCs w:val="22"/>
        </w:rPr>
        <w:t>23. září</w:t>
      </w:r>
      <w:r w:rsidR="00DD72EB" w:rsidRPr="004B7894">
        <w:rPr>
          <w:rFonts w:ascii="Arial" w:hAnsi="Arial" w:cs="Arial"/>
          <w:sz w:val="22"/>
          <w:szCs w:val="22"/>
        </w:rPr>
        <w:t xml:space="preserve"> </w:t>
      </w:r>
      <w:r w:rsidR="003E002A" w:rsidRPr="004B7894">
        <w:rPr>
          <w:rFonts w:ascii="Arial" w:hAnsi="Arial" w:cs="Arial"/>
          <w:sz w:val="22"/>
          <w:szCs w:val="22"/>
        </w:rPr>
        <w:t>2019 – 1.</w:t>
      </w:r>
      <w:r w:rsidR="00DD72EB" w:rsidRPr="004B7894">
        <w:rPr>
          <w:rFonts w:ascii="Arial" w:hAnsi="Arial" w:cs="Arial"/>
          <w:sz w:val="22"/>
          <w:szCs w:val="22"/>
        </w:rPr>
        <w:t xml:space="preserve"> října </w:t>
      </w:r>
      <w:r w:rsidR="003E002A" w:rsidRPr="004B7894">
        <w:rPr>
          <w:rFonts w:ascii="Arial" w:hAnsi="Arial" w:cs="Arial"/>
          <w:sz w:val="22"/>
          <w:szCs w:val="22"/>
        </w:rPr>
        <w:t>2019 (2 dny na účastníka)</w:t>
      </w:r>
    </w:p>
    <w:p w:rsidR="003E002A" w:rsidRPr="004B7894" w:rsidRDefault="00231807" w:rsidP="003E002A">
      <w:pPr>
        <w:pStyle w:val="Normlnweb"/>
        <w:numPr>
          <w:ilvl w:val="1"/>
          <w:numId w:val="17"/>
        </w:numPr>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sz w:val="22"/>
          <w:szCs w:val="22"/>
        </w:rPr>
        <w:t>Čtvrté kolo soutěžního dialogu: 13.</w:t>
      </w:r>
      <w:r w:rsidR="00DD72EB" w:rsidRPr="004B7894">
        <w:rPr>
          <w:rFonts w:ascii="Arial" w:hAnsi="Arial" w:cs="Arial"/>
          <w:sz w:val="22"/>
          <w:szCs w:val="22"/>
        </w:rPr>
        <w:t xml:space="preserve"> ledna </w:t>
      </w:r>
      <w:r w:rsidRPr="004B7894">
        <w:rPr>
          <w:rFonts w:ascii="Arial" w:hAnsi="Arial" w:cs="Arial"/>
          <w:sz w:val="22"/>
          <w:szCs w:val="22"/>
        </w:rPr>
        <w:t>2020 – 24.</w:t>
      </w:r>
      <w:r w:rsidR="00DD72EB" w:rsidRPr="004B7894">
        <w:rPr>
          <w:rFonts w:ascii="Arial" w:hAnsi="Arial" w:cs="Arial"/>
          <w:sz w:val="22"/>
          <w:szCs w:val="22"/>
        </w:rPr>
        <w:t xml:space="preserve"> ledna </w:t>
      </w:r>
      <w:r w:rsidRPr="004B7894">
        <w:rPr>
          <w:rFonts w:ascii="Arial" w:hAnsi="Arial" w:cs="Arial"/>
          <w:sz w:val="22"/>
          <w:szCs w:val="22"/>
        </w:rPr>
        <w:t>2020 (2 dny na účastníka)</w:t>
      </w:r>
    </w:p>
    <w:p w:rsidR="003E002A" w:rsidRPr="004B7894" w:rsidRDefault="00231807" w:rsidP="003E002A">
      <w:pPr>
        <w:pStyle w:val="Normlnweb"/>
        <w:numPr>
          <w:ilvl w:val="0"/>
          <w:numId w:val="17"/>
        </w:numPr>
        <w:shd w:val="clear" w:color="auto" w:fill="FFFFFF"/>
        <w:spacing w:before="0" w:beforeAutospacing="0" w:after="0" w:afterAutospacing="0" w:line="360" w:lineRule="auto"/>
        <w:ind w:left="426"/>
        <w:jc w:val="both"/>
        <w:rPr>
          <w:rFonts w:ascii="Arial" w:hAnsi="Arial" w:cs="Arial"/>
          <w:b/>
          <w:sz w:val="22"/>
          <w:szCs w:val="22"/>
        </w:rPr>
      </w:pPr>
      <w:r w:rsidRPr="004B7894">
        <w:rPr>
          <w:rFonts w:ascii="Arial" w:hAnsi="Arial" w:cs="Arial"/>
          <w:b/>
          <w:sz w:val="22"/>
          <w:szCs w:val="22"/>
        </w:rPr>
        <w:t>Fáze přípravy nabídek</w:t>
      </w:r>
    </w:p>
    <w:p w:rsidR="003E002A" w:rsidRPr="004B7894" w:rsidRDefault="00231807" w:rsidP="003E002A">
      <w:pPr>
        <w:pStyle w:val="Normlnweb"/>
        <w:numPr>
          <w:ilvl w:val="1"/>
          <w:numId w:val="17"/>
        </w:numPr>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sz w:val="22"/>
          <w:szCs w:val="22"/>
        </w:rPr>
        <w:t>Výzva k </w:t>
      </w:r>
      <w:r w:rsidR="004A0739" w:rsidRPr="004B7894">
        <w:rPr>
          <w:rFonts w:ascii="Arial" w:hAnsi="Arial" w:cs="Arial"/>
          <w:sz w:val="22"/>
          <w:szCs w:val="22"/>
        </w:rPr>
        <w:t xml:space="preserve">podání </w:t>
      </w:r>
      <w:r w:rsidRPr="004B7894">
        <w:rPr>
          <w:rFonts w:ascii="Arial" w:hAnsi="Arial" w:cs="Arial"/>
          <w:sz w:val="22"/>
          <w:szCs w:val="22"/>
        </w:rPr>
        <w:t>nabídek: 2.</w:t>
      </w:r>
      <w:r w:rsidR="00DD72EB" w:rsidRPr="004B7894">
        <w:rPr>
          <w:rFonts w:ascii="Arial" w:hAnsi="Arial" w:cs="Arial"/>
          <w:sz w:val="22"/>
          <w:szCs w:val="22"/>
        </w:rPr>
        <w:t xml:space="preserve"> března </w:t>
      </w:r>
      <w:r w:rsidRPr="004B7894">
        <w:rPr>
          <w:rFonts w:ascii="Arial" w:hAnsi="Arial" w:cs="Arial"/>
          <w:sz w:val="22"/>
          <w:szCs w:val="22"/>
        </w:rPr>
        <w:t>2020</w:t>
      </w:r>
    </w:p>
    <w:p w:rsidR="003E002A" w:rsidRPr="004B7894" w:rsidRDefault="00231807" w:rsidP="003E002A">
      <w:pPr>
        <w:pStyle w:val="Normlnweb"/>
        <w:numPr>
          <w:ilvl w:val="1"/>
          <w:numId w:val="17"/>
        </w:numPr>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sz w:val="22"/>
          <w:szCs w:val="22"/>
        </w:rPr>
        <w:t xml:space="preserve">Původní termín pro </w:t>
      </w:r>
      <w:r w:rsidR="008F6805" w:rsidRPr="004B7894">
        <w:rPr>
          <w:rFonts w:ascii="Arial" w:hAnsi="Arial" w:cs="Arial"/>
          <w:sz w:val="22"/>
          <w:szCs w:val="22"/>
        </w:rPr>
        <w:t xml:space="preserve">podání </w:t>
      </w:r>
      <w:r w:rsidRPr="004B7894">
        <w:rPr>
          <w:rFonts w:ascii="Arial" w:hAnsi="Arial" w:cs="Arial"/>
          <w:sz w:val="22"/>
          <w:szCs w:val="22"/>
        </w:rPr>
        <w:t>nabídek: 26.</w:t>
      </w:r>
      <w:r w:rsidR="00DD72EB" w:rsidRPr="004B7894">
        <w:rPr>
          <w:rFonts w:ascii="Arial" w:hAnsi="Arial" w:cs="Arial"/>
          <w:sz w:val="22"/>
          <w:szCs w:val="22"/>
        </w:rPr>
        <w:t xml:space="preserve"> května </w:t>
      </w:r>
      <w:r w:rsidRPr="004B7894">
        <w:rPr>
          <w:rFonts w:ascii="Arial" w:hAnsi="Arial" w:cs="Arial"/>
          <w:sz w:val="22"/>
          <w:szCs w:val="22"/>
        </w:rPr>
        <w:t>2020</w:t>
      </w:r>
    </w:p>
    <w:p w:rsidR="003E002A" w:rsidRPr="004B7894" w:rsidRDefault="00231807" w:rsidP="003E002A">
      <w:pPr>
        <w:pStyle w:val="Normlnweb"/>
        <w:numPr>
          <w:ilvl w:val="1"/>
          <w:numId w:val="17"/>
        </w:numPr>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sz w:val="22"/>
          <w:szCs w:val="22"/>
        </w:rPr>
        <w:t xml:space="preserve">Konečný termín pro </w:t>
      </w:r>
      <w:r w:rsidR="008F6805" w:rsidRPr="004B7894">
        <w:rPr>
          <w:rFonts w:ascii="Arial" w:hAnsi="Arial" w:cs="Arial"/>
          <w:sz w:val="22"/>
          <w:szCs w:val="22"/>
        </w:rPr>
        <w:t xml:space="preserve">podání </w:t>
      </w:r>
      <w:r w:rsidRPr="004B7894">
        <w:rPr>
          <w:rFonts w:ascii="Arial" w:hAnsi="Arial" w:cs="Arial"/>
          <w:sz w:val="22"/>
          <w:szCs w:val="22"/>
        </w:rPr>
        <w:t>nabídek: 17.</w:t>
      </w:r>
      <w:r w:rsidR="00DD72EB" w:rsidRPr="004B7894">
        <w:rPr>
          <w:rFonts w:ascii="Arial" w:hAnsi="Arial" w:cs="Arial"/>
          <w:sz w:val="22"/>
          <w:szCs w:val="22"/>
        </w:rPr>
        <w:t xml:space="preserve"> září </w:t>
      </w:r>
      <w:r w:rsidRPr="004B7894">
        <w:rPr>
          <w:rFonts w:ascii="Arial" w:hAnsi="Arial" w:cs="Arial"/>
          <w:sz w:val="22"/>
          <w:szCs w:val="22"/>
        </w:rPr>
        <w:t>2020</w:t>
      </w:r>
    </w:p>
    <w:p w:rsidR="003E002A" w:rsidRPr="004B7894" w:rsidRDefault="00231807" w:rsidP="003E002A">
      <w:pPr>
        <w:pStyle w:val="Normlnweb"/>
        <w:numPr>
          <w:ilvl w:val="0"/>
          <w:numId w:val="17"/>
        </w:numPr>
        <w:shd w:val="clear" w:color="auto" w:fill="FFFFFF"/>
        <w:spacing w:before="0" w:beforeAutospacing="0" w:after="0" w:afterAutospacing="0" w:line="360" w:lineRule="auto"/>
        <w:ind w:left="426"/>
        <w:jc w:val="both"/>
        <w:rPr>
          <w:rFonts w:ascii="Arial" w:hAnsi="Arial" w:cs="Arial"/>
          <w:b/>
          <w:sz w:val="22"/>
          <w:szCs w:val="22"/>
        </w:rPr>
      </w:pPr>
      <w:r w:rsidRPr="004B7894">
        <w:rPr>
          <w:rFonts w:ascii="Arial" w:hAnsi="Arial" w:cs="Arial"/>
          <w:b/>
          <w:sz w:val="22"/>
          <w:szCs w:val="22"/>
        </w:rPr>
        <w:t>Fáze hodnocení a posouzení nabídek:</w:t>
      </w:r>
    </w:p>
    <w:p w:rsidR="003E002A" w:rsidRPr="004B7894" w:rsidRDefault="00231807" w:rsidP="003E002A">
      <w:pPr>
        <w:pStyle w:val="Normlnweb"/>
        <w:numPr>
          <w:ilvl w:val="1"/>
          <w:numId w:val="17"/>
        </w:numPr>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sz w:val="22"/>
          <w:szCs w:val="22"/>
        </w:rPr>
        <w:t xml:space="preserve">Posouzení souladu </w:t>
      </w:r>
      <w:r w:rsidR="002E3FAE" w:rsidRPr="004B7894">
        <w:rPr>
          <w:rFonts w:ascii="Arial" w:hAnsi="Arial" w:cs="Arial"/>
          <w:sz w:val="22"/>
          <w:szCs w:val="22"/>
        </w:rPr>
        <w:t xml:space="preserve">podaných </w:t>
      </w:r>
      <w:r w:rsidRPr="004B7894">
        <w:rPr>
          <w:rFonts w:ascii="Arial" w:hAnsi="Arial" w:cs="Arial"/>
          <w:sz w:val="22"/>
          <w:szCs w:val="22"/>
        </w:rPr>
        <w:t>nabídek s</w:t>
      </w:r>
      <w:r w:rsidR="002E3FAE" w:rsidRPr="004B7894">
        <w:rPr>
          <w:rFonts w:ascii="Arial" w:hAnsi="Arial" w:cs="Arial"/>
          <w:sz w:val="22"/>
          <w:szCs w:val="22"/>
        </w:rPr>
        <w:t>e zadávacími</w:t>
      </w:r>
      <w:r w:rsidRPr="004B7894">
        <w:rPr>
          <w:rFonts w:ascii="Arial" w:hAnsi="Arial" w:cs="Arial"/>
          <w:sz w:val="22"/>
          <w:szCs w:val="22"/>
        </w:rPr>
        <w:t> podmínkami</w:t>
      </w:r>
      <w:r w:rsidR="00A426CE" w:rsidRPr="004B7894">
        <w:rPr>
          <w:rFonts w:ascii="Arial" w:hAnsi="Arial" w:cs="Arial"/>
          <w:sz w:val="22"/>
          <w:szCs w:val="22"/>
        </w:rPr>
        <w:t xml:space="preserve"> a hodnocení nabídek</w:t>
      </w:r>
      <w:r w:rsidRPr="004B7894">
        <w:rPr>
          <w:rFonts w:ascii="Arial" w:hAnsi="Arial" w:cs="Arial"/>
          <w:sz w:val="22"/>
          <w:szCs w:val="22"/>
        </w:rPr>
        <w:t>: 17.</w:t>
      </w:r>
      <w:r w:rsidR="00425374" w:rsidRPr="004B7894">
        <w:rPr>
          <w:rFonts w:ascii="Arial" w:hAnsi="Arial" w:cs="Arial"/>
          <w:sz w:val="22"/>
          <w:szCs w:val="22"/>
        </w:rPr>
        <w:t xml:space="preserve"> září </w:t>
      </w:r>
      <w:r w:rsidRPr="004B7894">
        <w:rPr>
          <w:rFonts w:ascii="Arial" w:hAnsi="Arial" w:cs="Arial"/>
          <w:sz w:val="22"/>
          <w:szCs w:val="22"/>
        </w:rPr>
        <w:t xml:space="preserve">2020 – </w:t>
      </w:r>
      <w:r w:rsidR="004B7894">
        <w:rPr>
          <w:rFonts w:ascii="Arial" w:hAnsi="Arial" w:cs="Arial"/>
          <w:sz w:val="22"/>
          <w:szCs w:val="22"/>
        </w:rPr>
        <w:t>15</w:t>
      </w:r>
      <w:r w:rsidR="004B7894" w:rsidRPr="004B7894">
        <w:rPr>
          <w:rFonts w:ascii="Arial" w:hAnsi="Arial" w:cs="Arial"/>
          <w:sz w:val="22"/>
          <w:szCs w:val="22"/>
        </w:rPr>
        <w:t>. listopadu</w:t>
      </w:r>
      <w:r w:rsidR="00930EA9" w:rsidRPr="004B7894">
        <w:rPr>
          <w:rFonts w:ascii="Arial" w:hAnsi="Arial" w:cs="Arial"/>
          <w:sz w:val="22"/>
          <w:szCs w:val="22"/>
        </w:rPr>
        <w:t xml:space="preserve"> </w:t>
      </w:r>
      <w:r w:rsidR="004B7894" w:rsidRPr="004B7894">
        <w:rPr>
          <w:rFonts w:ascii="Arial" w:hAnsi="Arial" w:cs="Arial"/>
          <w:sz w:val="22"/>
          <w:szCs w:val="22"/>
        </w:rPr>
        <w:t>2020</w:t>
      </w:r>
    </w:p>
    <w:p w:rsidR="003E002A" w:rsidRPr="004B7894" w:rsidRDefault="00231807" w:rsidP="003E002A">
      <w:pPr>
        <w:pStyle w:val="Normlnweb"/>
        <w:numPr>
          <w:ilvl w:val="1"/>
          <w:numId w:val="17"/>
        </w:numPr>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sz w:val="22"/>
          <w:szCs w:val="22"/>
        </w:rPr>
        <w:t xml:space="preserve">Oznámení o výběru </w:t>
      </w:r>
      <w:r w:rsidR="00336FF0" w:rsidRPr="004B7894">
        <w:rPr>
          <w:rFonts w:ascii="Arial" w:hAnsi="Arial" w:cs="Arial"/>
          <w:sz w:val="22"/>
          <w:szCs w:val="22"/>
        </w:rPr>
        <w:t>dodavatele</w:t>
      </w:r>
      <w:r w:rsidRPr="004B7894">
        <w:rPr>
          <w:rFonts w:ascii="Arial" w:hAnsi="Arial" w:cs="Arial"/>
          <w:sz w:val="22"/>
          <w:szCs w:val="22"/>
        </w:rPr>
        <w:t xml:space="preserve">: </w:t>
      </w:r>
      <w:r w:rsidR="004B7894" w:rsidRPr="004B7894">
        <w:rPr>
          <w:rFonts w:ascii="Arial" w:hAnsi="Arial" w:cs="Arial"/>
          <w:sz w:val="22"/>
          <w:szCs w:val="22"/>
        </w:rPr>
        <w:t>4</w:t>
      </w:r>
      <w:r w:rsidR="00930EA9" w:rsidRPr="004B7894">
        <w:rPr>
          <w:rFonts w:ascii="Arial" w:hAnsi="Arial" w:cs="Arial"/>
          <w:sz w:val="22"/>
          <w:szCs w:val="22"/>
        </w:rPr>
        <w:t>.</w:t>
      </w:r>
      <w:r w:rsidR="004B7894" w:rsidRPr="004B7894">
        <w:rPr>
          <w:rFonts w:ascii="Arial" w:hAnsi="Arial" w:cs="Arial"/>
          <w:sz w:val="22"/>
          <w:szCs w:val="22"/>
        </w:rPr>
        <w:t xml:space="preserve"> prosince </w:t>
      </w:r>
      <w:r w:rsidR="00930EA9" w:rsidRPr="004B7894">
        <w:rPr>
          <w:rFonts w:ascii="Arial" w:hAnsi="Arial" w:cs="Arial"/>
          <w:sz w:val="22"/>
          <w:szCs w:val="22"/>
        </w:rPr>
        <w:t>2020</w:t>
      </w:r>
    </w:p>
    <w:p w:rsidR="00930EA9" w:rsidRPr="004B7894" w:rsidRDefault="00231807" w:rsidP="003E002A">
      <w:pPr>
        <w:pStyle w:val="Normlnweb"/>
        <w:numPr>
          <w:ilvl w:val="1"/>
          <w:numId w:val="17"/>
        </w:numPr>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sz w:val="22"/>
          <w:szCs w:val="22"/>
        </w:rPr>
        <w:t xml:space="preserve">Možnost podání námitek: </w:t>
      </w:r>
      <w:r>
        <w:rPr>
          <w:rFonts w:ascii="Arial" w:hAnsi="Arial" w:cs="Arial"/>
          <w:sz w:val="22"/>
          <w:szCs w:val="22"/>
        </w:rPr>
        <w:t>21. prosince 2020</w:t>
      </w:r>
    </w:p>
    <w:p w:rsidR="003E002A" w:rsidRPr="004B7894" w:rsidRDefault="003E002A" w:rsidP="00F17673">
      <w:pPr>
        <w:pStyle w:val="Normlnweb"/>
        <w:shd w:val="clear" w:color="auto" w:fill="FFFFFF"/>
        <w:spacing w:before="0" w:beforeAutospacing="0" w:after="0" w:afterAutospacing="0" w:line="360" w:lineRule="auto"/>
        <w:jc w:val="both"/>
        <w:rPr>
          <w:rFonts w:ascii="Arial" w:hAnsi="Arial" w:cs="Arial"/>
          <w:sz w:val="22"/>
          <w:szCs w:val="22"/>
        </w:rPr>
      </w:pPr>
    </w:p>
    <w:p w:rsidR="00AA4837" w:rsidRPr="004B7894" w:rsidRDefault="00231807" w:rsidP="00F17673">
      <w:pPr>
        <w:pStyle w:val="Normlnweb"/>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b/>
          <w:sz w:val="22"/>
          <w:szCs w:val="22"/>
        </w:rPr>
        <w:t xml:space="preserve">Žádost o účast </w:t>
      </w:r>
      <w:r w:rsidR="00336FF0" w:rsidRPr="004B7894">
        <w:rPr>
          <w:rFonts w:ascii="Arial" w:hAnsi="Arial" w:cs="Arial"/>
          <w:b/>
          <w:sz w:val="22"/>
          <w:szCs w:val="22"/>
        </w:rPr>
        <w:t xml:space="preserve">podalo </w:t>
      </w:r>
      <w:r w:rsidRPr="004B7894">
        <w:rPr>
          <w:rFonts w:ascii="Arial" w:hAnsi="Arial" w:cs="Arial"/>
          <w:b/>
          <w:sz w:val="22"/>
          <w:szCs w:val="22"/>
        </w:rPr>
        <w:t>7 subjektů</w:t>
      </w:r>
      <w:r w:rsidRPr="004B7894">
        <w:rPr>
          <w:rFonts w:ascii="Arial" w:hAnsi="Arial" w:cs="Arial"/>
          <w:sz w:val="22"/>
          <w:szCs w:val="22"/>
        </w:rPr>
        <w:t xml:space="preserve">. Na základě </w:t>
      </w:r>
      <w:r w:rsidR="002305D6" w:rsidRPr="004B7894">
        <w:rPr>
          <w:rFonts w:ascii="Arial" w:hAnsi="Arial" w:cs="Arial"/>
          <w:sz w:val="22"/>
          <w:szCs w:val="22"/>
        </w:rPr>
        <w:t xml:space="preserve">provedeného snížení počtu účastníků </w:t>
      </w:r>
      <w:r w:rsidR="003875A2" w:rsidRPr="004B7894">
        <w:rPr>
          <w:rFonts w:ascii="Arial" w:hAnsi="Arial" w:cs="Arial"/>
          <w:sz w:val="22"/>
          <w:szCs w:val="22"/>
        </w:rPr>
        <w:t xml:space="preserve">zadávacího řízení </w:t>
      </w:r>
      <w:r w:rsidR="002305D6" w:rsidRPr="004B7894">
        <w:rPr>
          <w:rFonts w:ascii="Arial" w:hAnsi="Arial" w:cs="Arial"/>
          <w:sz w:val="22"/>
          <w:szCs w:val="22"/>
        </w:rPr>
        <w:t xml:space="preserve">podle míry naplnění úrovně kritérií pro snížení počtu účastníků </w:t>
      </w:r>
      <w:r w:rsidRPr="004B7894">
        <w:rPr>
          <w:rFonts w:ascii="Arial" w:hAnsi="Arial" w:cs="Arial"/>
          <w:sz w:val="22"/>
          <w:szCs w:val="22"/>
        </w:rPr>
        <w:t>byli k</w:t>
      </w:r>
      <w:r w:rsidR="00FA0110" w:rsidRPr="004B7894">
        <w:rPr>
          <w:rFonts w:ascii="Arial" w:hAnsi="Arial" w:cs="Arial"/>
          <w:sz w:val="22"/>
          <w:szCs w:val="22"/>
        </w:rPr>
        <w:t xml:space="preserve"> účasti v soutěžním dialogu </w:t>
      </w:r>
      <w:r w:rsidR="003875A2" w:rsidRPr="004B7894">
        <w:rPr>
          <w:rFonts w:ascii="Arial" w:hAnsi="Arial" w:cs="Arial"/>
          <w:sz w:val="22"/>
          <w:szCs w:val="22"/>
        </w:rPr>
        <w:t xml:space="preserve">vyzváni </w:t>
      </w:r>
      <w:r w:rsidR="00FA0110" w:rsidRPr="004B7894">
        <w:rPr>
          <w:rFonts w:ascii="Arial" w:hAnsi="Arial" w:cs="Arial"/>
          <w:sz w:val="22"/>
          <w:szCs w:val="22"/>
        </w:rPr>
        <w:t xml:space="preserve">tito </w:t>
      </w:r>
      <w:r w:rsidR="006F4684" w:rsidRPr="004B7894">
        <w:rPr>
          <w:rFonts w:ascii="Arial" w:hAnsi="Arial" w:cs="Arial"/>
          <w:b/>
          <w:sz w:val="22"/>
          <w:szCs w:val="22"/>
        </w:rPr>
        <w:t xml:space="preserve">čtyři </w:t>
      </w:r>
      <w:r w:rsidR="00FA0110" w:rsidRPr="004B7894">
        <w:rPr>
          <w:rFonts w:ascii="Arial" w:hAnsi="Arial" w:cs="Arial"/>
          <w:b/>
          <w:sz w:val="22"/>
          <w:szCs w:val="22"/>
        </w:rPr>
        <w:t>účastníci</w:t>
      </w:r>
      <w:r w:rsidRPr="004B7894">
        <w:rPr>
          <w:rFonts w:ascii="Arial" w:hAnsi="Arial" w:cs="Arial"/>
          <w:b/>
          <w:sz w:val="22"/>
          <w:szCs w:val="22"/>
        </w:rPr>
        <w:t>:</w:t>
      </w:r>
    </w:p>
    <w:p w:rsidR="00E41603" w:rsidRPr="004B7894" w:rsidRDefault="00E41603" w:rsidP="00F17673">
      <w:pPr>
        <w:pStyle w:val="Normlnweb"/>
        <w:shd w:val="clear" w:color="auto" w:fill="FFFFFF"/>
        <w:spacing w:before="0" w:beforeAutospacing="0" w:after="0" w:afterAutospacing="0" w:line="360" w:lineRule="auto"/>
        <w:jc w:val="both"/>
        <w:rPr>
          <w:rFonts w:ascii="Arial" w:hAnsi="Arial" w:cs="Arial"/>
          <w:sz w:val="22"/>
          <w:szCs w:val="22"/>
        </w:rPr>
      </w:pPr>
    </w:p>
    <w:p w:rsidR="00AA4837" w:rsidRPr="004B7894" w:rsidRDefault="00231807" w:rsidP="0050695F">
      <w:pPr>
        <w:pStyle w:val="Normlnweb"/>
        <w:numPr>
          <w:ilvl w:val="0"/>
          <w:numId w:val="14"/>
        </w:numPr>
        <w:shd w:val="clear" w:color="auto" w:fill="FFFFFF"/>
        <w:spacing w:before="0" w:beforeAutospacing="0" w:after="0" w:afterAutospacing="0" w:line="360" w:lineRule="auto"/>
        <w:ind w:left="426"/>
        <w:jc w:val="both"/>
        <w:rPr>
          <w:rFonts w:ascii="Arial" w:hAnsi="Arial" w:cs="Arial"/>
          <w:sz w:val="22"/>
          <w:szCs w:val="22"/>
        </w:rPr>
      </w:pPr>
      <w:r w:rsidRPr="004B7894">
        <w:rPr>
          <w:rFonts w:ascii="Arial" w:hAnsi="Arial" w:cs="Arial"/>
          <w:sz w:val="22"/>
          <w:szCs w:val="22"/>
        </w:rPr>
        <w:t>PPP D4 DAJL (tvořený společnostmi DIF Infra 5 Participations 1 B.V., Acciona Concesiones S.L. a John Laing Investments Ltd.)</w:t>
      </w:r>
    </w:p>
    <w:p w:rsidR="00AA4837" w:rsidRPr="004B7894" w:rsidRDefault="00231807" w:rsidP="0050695F">
      <w:pPr>
        <w:pStyle w:val="Normlnweb"/>
        <w:numPr>
          <w:ilvl w:val="0"/>
          <w:numId w:val="14"/>
        </w:numPr>
        <w:shd w:val="clear" w:color="auto" w:fill="FFFFFF"/>
        <w:spacing w:before="0" w:beforeAutospacing="0" w:after="0" w:afterAutospacing="0" w:line="360" w:lineRule="auto"/>
        <w:ind w:left="426"/>
        <w:jc w:val="both"/>
        <w:rPr>
          <w:rFonts w:ascii="Arial" w:hAnsi="Arial" w:cs="Arial"/>
          <w:sz w:val="22"/>
          <w:szCs w:val="22"/>
        </w:rPr>
      </w:pPr>
      <w:r w:rsidRPr="004B7894">
        <w:rPr>
          <w:rFonts w:ascii="Arial" w:hAnsi="Arial" w:cs="Arial"/>
          <w:sz w:val="22"/>
          <w:szCs w:val="22"/>
        </w:rPr>
        <w:t>DIVia (tvořený společnostmi VINCI Highways SAS, VINCI Concessions SAS a Meridiam Investments SAS)</w:t>
      </w:r>
    </w:p>
    <w:p w:rsidR="00AA4837" w:rsidRPr="004B7894" w:rsidRDefault="00231807" w:rsidP="0050695F">
      <w:pPr>
        <w:pStyle w:val="Normlnweb"/>
        <w:numPr>
          <w:ilvl w:val="0"/>
          <w:numId w:val="14"/>
        </w:numPr>
        <w:shd w:val="clear" w:color="auto" w:fill="FFFFFF"/>
        <w:spacing w:before="0" w:beforeAutospacing="0" w:after="0" w:afterAutospacing="0" w:line="360" w:lineRule="auto"/>
        <w:ind w:left="426"/>
        <w:jc w:val="both"/>
        <w:rPr>
          <w:rFonts w:ascii="Arial" w:hAnsi="Arial" w:cs="Arial"/>
          <w:sz w:val="22"/>
          <w:szCs w:val="22"/>
        </w:rPr>
      </w:pPr>
      <w:r w:rsidRPr="004B7894">
        <w:rPr>
          <w:rFonts w:ascii="Arial" w:hAnsi="Arial" w:cs="Arial"/>
          <w:sz w:val="22"/>
          <w:szCs w:val="22"/>
        </w:rPr>
        <w:t>HO-ST South Bohemian Link (tvořený společnostmi HOCHTIEF PPP Solutions GmbH a STRABAG AG)</w:t>
      </w:r>
    </w:p>
    <w:p w:rsidR="00AA4837" w:rsidRPr="004B7894" w:rsidRDefault="00231807" w:rsidP="0050695F">
      <w:pPr>
        <w:pStyle w:val="Normlnweb"/>
        <w:numPr>
          <w:ilvl w:val="0"/>
          <w:numId w:val="14"/>
        </w:numPr>
        <w:shd w:val="clear" w:color="auto" w:fill="FFFFFF"/>
        <w:spacing w:before="0" w:beforeAutospacing="0" w:after="0" w:afterAutospacing="0" w:line="360" w:lineRule="auto"/>
        <w:ind w:left="426"/>
        <w:jc w:val="both"/>
        <w:rPr>
          <w:rFonts w:ascii="Arial" w:hAnsi="Arial" w:cs="Arial"/>
          <w:sz w:val="22"/>
          <w:szCs w:val="22"/>
        </w:rPr>
      </w:pPr>
      <w:r w:rsidRPr="004B7894">
        <w:rPr>
          <w:rFonts w:ascii="Arial" w:hAnsi="Arial" w:cs="Arial"/>
          <w:sz w:val="22"/>
          <w:szCs w:val="22"/>
        </w:rPr>
        <w:t>Via 4 - jižní spojení (tvořený společnostmi PORR Beteiligungen und Management GmbH, Macquarie Corporate Holdings Pty Limited (UK Branch), Obrascon Huarte Lain, S.A. a Egis Projects S.A.)</w:t>
      </w:r>
    </w:p>
    <w:p w:rsidR="00C60859" w:rsidRPr="004B7894" w:rsidRDefault="00C60859" w:rsidP="00F17673">
      <w:pPr>
        <w:pStyle w:val="Normlnweb"/>
        <w:shd w:val="clear" w:color="auto" w:fill="FFFFFF"/>
        <w:spacing w:before="0" w:beforeAutospacing="0" w:after="0" w:afterAutospacing="0" w:line="360" w:lineRule="auto"/>
        <w:jc w:val="both"/>
        <w:rPr>
          <w:rFonts w:ascii="Arial" w:hAnsi="Arial" w:cs="Arial"/>
          <w:sz w:val="22"/>
          <w:szCs w:val="22"/>
        </w:rPr>
      </w:pPr>
    </w:p>
    <w:p w:rsidR="004F0088" w:rsidRPr="004B7894" w:rsidRDefault="00231807" w:rsidP="003875A2">
      <w:pPr>
        <w:pStyle w:val="Normlnweb"/>
        <w:keepNext/>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sz w:val="22"/>
          <w:szCs w:val="22"/>
        </w:rPr>
        <w:t xml:space="preserve">Z důvodu </w:t>
      </w:r>
      <w:r w:rsidR="001F14F4">
        <w:rPr>
          <w:rFonts w:ascii="Arial" w:hAnsi="Arial" w:cs="Arial"/>
          <w:sz w:val="22"/>
          <w:szCs w:val="22"/>
        </w:rPr>
        <w:t xml:space="preserve">nastavených pravidel pro </w:t>
      </w:r>
      <w:r w:rsidRPr="004B7894">
        <w:rPr>
          <w:rFonts w:ascii="Arial" w:hAnsi="Arial" w:cs="Arial"/>
          <w:sz w:val="22"/>
          <w:szCs w:val="22"/>
        </w:rPr>
        <w:t xml:space="preserve">snížení počtu účastníků </w:t>
      </w:r>
      <w:r w:rsidR="001F14F4">
        <w:rPr>
          <w:rFonts w:ascii="Arial" w:hAnsi="Arial" w:cs="Arial"/>
          <w:sz w:val="22"/>
          <w:szCs w:val="22"/>
        </w:rPr>
        <w:t>nepostoupili</w:t>
      </w:r>
      <w:r w:rsidRPr="004B7894">
        <w:rPr>
          <w:rFonts w:ascii="Arial" w:hAnsi="Arial" w:cs="Arial"/>
          <w:sz w:val="22"/>
          <w:szCs w:val="22"/>
        </w:rPr>
        <w:t xml:space="preserve"> tito účastníci:</w:t>
      </w:r>
    </w:p>
    <w:p w:rsidR="00E41603" w:rsidRPr="004B7894" w:rsidRDefault="00E41603" w:rsidP="003875A2">
      <w:pPr>
        <w:pStyle w:val="Normlnweb"/>
        <w:keepNext/>
        <w:shd w:val="clear" w:color="auto" w:fill="FFFFFF"/>
        <w:spacing w:before="0" w:beforeAutospacing="0" w:after="0" w:afterAutospacing="0" w:line="360" w:lineRule="auto"/>
        <w:jc w:val="both"/>
        <w:rPr>
          <w:rFonts w:ascii="Arial" w:hAnsi="Arial" w:cs="Arial"/>
          <w:sz w:val="22"/>
          <w:szCs w:val="22"/>
        </w:rPr>
      </w:pPr>
    </w:p>
    <w:p w:rsidR="004F0088" w:rsidRPr="004B7894" w:rsidRDefault="00231807" w:rsidP="003875A2">
      <w:pPr>
        <w:pStyle w:val="Normlnweb"/>
        <w:keepNext/>
        <w:numPr>
          <w:ilvl w:val="0"/>
          <w:numId w:val="15"/>
        </w:numPr>
        <w:shd w:val="clear" w:color="auto" w:fill="FFFFFF"/>
        <w:spacing w:before="0" w:beforeAutospacing="0" w:after="0" w:afterAutospacing="0" w:line="360" w:lineRule="auto"/>
        <w:ind w:left="426"/>
        <w:jc w:val="both"/>
        <w:rPr>
          <w:rFonts w:ascii="Arial" w:hAnsi="Arial" w:cs="Arial"/>
          <w:sz w:val="22"/>
          <w:szCs w:val="22"/>
        </w:rPr>
      </w:pPr>
      <w:r w:rsidRPr="004B7894">
        <w:rPr>
          <w:rFonts w:ascii="Arial" w:hAnsi="Arial" w:cs="Arial"/>
          <w:sz w:val="22"/>
          <w:szCs w:val="22"/>
        </w:rPr>
        <w:t xml:space="preserve">IC Içtaş Inşaat Sanayi ve Ticaret A.Ş., ASTALDI S.p.A, Intertoll Infrastructure Developments B.V., BBGI PPP Investment S.à.r.l. a TIIC 2 S.C.A., SICAR </w:t>
      </w:r>
    </w:p>
    <w:p w:rsidR="004F0088" w:rsidRPr="004B7894" w:rsidRDefault="00231807" w:rsidP="003875A2">
      <w:pPr>
        <w:pStyle w:val="Normlnweb"/>
        <w:keepNext/>
        <w:numPr>
          <w:ilvl w:val="0"/>
          <w:numId w:val="15"/>
        </w:numPr>
        <w:shd w:val="clear" w:color="auto" w:fill="FFFFFF"/>
        <w:spacing w:before="0" w:beforeAutospacing="0" w:after="0" w:afterAutospacing="0" w:line="360" w:lineRule="auto"/>
        <w:ind w:left="426"/>
        <w:jc w:val="both"/>
        <w:rPr>
          <w:rFonts w:ascii="Arial" w:hAnsi="Arial" w:cs="Arial"/>
          <w:sz w:val="22"/>
          <w:szCs w:val="22"/>
        </w:rPr>
      </w:pPr>
      <w:r w:rsidRPr="004B7894">
        <w:rPr>
          <w:rFonts w:ascii="Arial" w:hAnsi="Arial" w:cs="Arial"/>
          <w:sz w:val="22"/>
          <w:szCs w:val="22"/>
        </w:rPr>
        <w:t>FCC Concesiones, S.L.</w:t>
      </w:r>
    </w:p>
    <w:p w:rsidR="004F0088" w:rsidRPr="004B7894" w:rsidRDefault="00231807" w:rsidP="003875A2">
      <w:pPr>
        <w:pStyle w:val="Normlnweb"/>
        <w:keepNext/>
        <w:numPr>
          <w:ilvl w:val="0"/>
          <w:numId w:val="15"/>
        </w:numPr>
        <w:shd w:val="clear" w:color="auto" w:fill="FFFFFF"/>
        <w:spacing w:before="0" w:beforeAutospacing="0" w:after="0" w:afterAutospacing="0" w:line="360" w:lineRule="auto"/>
        <w:ind w:left="426"/>
        <w:jc w:val="both"/>
        <w:rPr>
          <w:rFonts w:ascii="Arial" w:hAnsi="Arial" w:cs="Arial"/>
          <w:sz w:val="22"/>
          <w:szCs w:val="22"/>
        </w:rPr>
      </w:pPr>
      <w:r w:rsidRPr="004B7894">
        <w:rPr>
          <w:rFonts w:ascii="Arial" w:hAnsi="Arial" w:cs="Arial"/>
          <w:sz w:val="22"/>
          <w:szCs w:val="22"/>
        </w:rPr>
        <w:t xml:space="preserve">PAN – MEDITERRANEAN ENGINEERING COMPANY LTD </w:t>
      </w:r>
    </w:p>
    <w:p w:rsidR="00C60859" w:rsidRPr="004B7894" w:rsidRDefault="00C60859" w:rsidP="004F0088">
      <w:pPr>
        <w:pStyle w:val="Normlnweb"/>
        <w:shd w:val="clear" w:color="auto" w:fill="FFFFFF"/>
        <w:spacing w:before="0" w:beforeAutospacing="0" w:after="0" w:afterAutospacing="0" w:line="360" w:lineRule="auto"/>
        <w:jc w:val="both"/>
        <w:rPr>
          <w:rFonts w:ascii="Arial" w:hAnsi="Arial" w:cs="Arial"/>
          <w:sz w:val="22"/>
          <w:szCs w:val="22"/>
        </w:rPr>
      </w:pPr>
    </w:p>
    <w:p w:rsidR="00E41603" w:rsidRPr="004B7894" w:rsidRDefault="00231807" w:rsidP="004F0088">
      <w:pPr>
        <w:pStyle w:val="Normlnweb"/>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sz w:val="22"/>
          <w:szCs w:val="22"/>
        </w:rPr>
        <w:t>Dne 13.</w:t>
      </w:r>
      <w:r w:rsidR="000A6BCF" w:rsidRPr="004B7894">
        <w:rPr>
          <w:rFonts w:ascii="Arial" w:hAnsi="Arial" w:cs="Arial"/>
          <w:sz w:val="22"/>
          <w:szCs w:val="22"/>
        </w:rPr>
        <w:t xml:space="preserve"> března </w:t>
      </w:r>
      <w:r w:rsidRPr="004B7894">
        <w:rPr>
          <w:rFonts w:ascii="Arial" w:hAnsi="Arial" w:cs="Arial"/>
          <w:sz w:val="22"/>
          <w:szCs w:val="22"/>
        </w:rPr>
        <w:t xml:space="preserve">2019 oznámil účastník „PPP D4 DAJL“ </w:t>
      </w:r>
      <w:r w:rsidR="00AA74F4" w:rsidRPr="004B7894">
        <w:rPr>
          <w:rFonts w:ascii="Arial" w:hAnsi="Arial" w:cs="Arial"/>
          <w:sz w:val="22"/>
          <w:szCs w:val="22"/>
        </w:rPr>
        <w:t>Z</w:t>
      </w:r>
      <w:r w:rsidRPr="004B7894">
        <w:rPr>
          <w:rFonts w:ascii="Arial" w:hAnsi="Arial" w:cs="Arial"/>
          <w:sz w:val="22"/>
          <w:szCs w:val="22"/>
        </w:rPr>
        <w:t>adavateli své rozhodnutí o odstoupení ze zadávacího řízení.</w:t>
      </w:r>
      <w:r w:rsidR="00E0502D" w:rsidRPr="004B7894">
        <w:rPr>
          <w:rFonts w:ascii="Arial" w:hAnsi="Arial" w:cs="Arial"/>
          <w:sz w:val="22"/>
          <w:szCs w:val="22"/>
        </w:rPr>
        <w:t xml:space="preserve"> </w:t>
      </w:r>
      <w:r w:rsidR="00E0502D" w:rsidRPr="004B7894">
        <w:rPr>
          <w:rFonts w:ascii="Arial" w:hAnsi="Arial" w:cs="Arial"/>
          <w:b/>
          <w:sz w:val="22"/>
          <w:szCs w:val="22"/>
        </w:rPr>
        <w:t xml:space="preserve">Samotný soutěžní dialog pak byl </w:t>
      </w:r>
      <w:r w:rsidR="006F4684" w:rsidRPr="004B7894">
        <w:rPr>
          <w:rFonts w:ascii="Arial" w:hAnsi="Arial" w:cs="Arial"/>
          <w:b/>
          <w:sz w:val="22"/>
          <w:szCs w:val="22"/>
        </w:rPr>
        <w:t xml:space="preserve">od počátku </w:t>
      </w:r>
      <w:r w:rsidR="00E0502D" w:rsidRPr="004B7894">
        <w:rPr>
          <w:rFonts w:ascii="Arial" w:hAnsi="Arial" w:cs="Arial"/>
          <w:b/>
          <w:sz w:val="22"/>
          <w:szCs w:val="22"/>
        </w:rPr>
        <w:t xml:space="preserve">veden se třemi </w:t>
      </w:r>
      <w:r w:rsidR="006F4684" w:rsidRPr="004B7894">
        <w:rPr>
          <w:rFonts w:ascii="Arial" w:hAnsi="Arial" w:cs="Arial"/>
          <w:b/>
          <w:sz w:val="22"/>
          <w:szCs w:val="22"/>
        </w:rPr>
        <w:t>účastníky</w:t>
      </w:r>
      <w:r w:rsidR="00E0502D" w:rsidRPr="004B7894">
        <w:rPr>
          <w:rFonts w:ascii="Arial" w:hAnsi="Arial" w:cs="Arial"/>
          <w:b/>
          <w:sz w:val="22"/>
          <w:szCs w:val="22"/>
        </w:rPr>
        <w:t>.</w:t>
      </w:r>
    </w:p>
    <w:p w:rsidR="00E41603" w:rsidRPr="004B7894" w:rsidRDefault="00E41603" w:rsidP="004F0088">
      <w:pPr>
        <w:pStyle w:val="Normlnweb"/>
        <w:shd w:val="clear" w:color="auto" w:fill="FFFFFF"/>
        <w:spacing w:before="0" w:beforeAutospacing="0" w:after="0" w:afterAutospacing="0" w:line="360" w:lineRule="auto"/>
        <w:jc w:val="both"/>
        <w:rPr>
          <w:rFonts w:ascii="Arial" w:hAnsi="Arial" w:cs="Arial"/>
          <w:sz w:val="22"/>
          <w:szCs w:val="22"/>
        </w:rPr>
      </w:pPr>
    </w:p>
    <w:p w:rsidR="006F4684" w:rsidRPr="004B7894" w:rsidRDefault="00231807" w:rsidP="006F4684">
      <w:pPr>
        <w:pStyle w:val="Normlnweb"/>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b/>
          <w:sz w:val="22"/>
          <w:szCs w:val="22"/>
        </w:rPr>
        <w:t>Jako ekonomicky nejvýhodnější nabídka byla vyhodnocena nabídka účastníka DIVia</w:t>
      </w:r>
      <w:r w:rsidRPr="004B7894">
        <w:rPr>
          <w:rFonts w:ascii="Arial" w:hAnsi="Arial" w:cs="Arial"/>
          <w:sz w:val="22"/>
          <w:szCs w:val="22"/>
        </w:rPr>
        <w:t xml:space="preserve"> tvořeného společnostmi VINCI Highways SAS, VINCI Concessions SAS a Meridiam Investments SAS.</w:t>
      </w:r>
      <w:r w:rsidR="00594ACA" w:rsidRPr="004B7894">
        <w:rPr>
          <w:rFonts w:ascii="Arial" w:hAnsi="Arial" w:cs="Arial"/>
          <w:sz w:val="22"/>
          <w:szCs w:val="22"/>
        </w:rPr>
        <w:t xml:space="preserve"> Koncesionářskou smlouvu je navrženo uzavřít s tímto účastníkem (resp. následně vzniklým subjektem (s.r.o.), jehož </w:t>
      </w:r>
      <w:r w:rsidR="009E0D1B" w:rsidRPr="004B7894">
        <w:rPr>
          <w:rFonts w:ascii="Arial" w:hAnsi="Arial" w:cs="Arial"/>
          <w:sz w:val="22"/>
          <w:szCs w:val="22"/>
        </w:rPr>
        <w:t xml:space="preserve">společníky </w:t>
      </w:r>
      <w:r w:rsidR="00594ACA" w:rsidRPr="004B7894">
        <w:rPr>
          <w:rFonts w:ascii="Arial" w:hAnsi="Arial" w:cs="Arial"/>
          <w:sz w:val="22"/>
          <w:szCs w:val="22"/>
        </w:rPr>
        <w:t xml:space="preserve">budou </w:t>
      </w:r>
      <w:r w:rsidR="009E0D1B" w:rsidRPr="004B7894">
        <w:rPr>
          <w:rFonts w:ascii="Arial" w:hAnsi="Arial" w:cs="Arial"/>
          <w:sz w:val="22"/>
          <w:szCs w:val="22"/>
        </w:rPr>
        <w:t>společnosti</w:t>
      </w:r>
      <w:r w:rsidR="00594ACA" w:rsidRPr="004B7894">
        <w:rPr>
          <w:rFonts w:ascii="Arial" w:hAnsi="Arial" w:cs="Arial"/>
          <w:sz w:val="22"/>
          <w:szCs w:val="22"/>
        </w:rPr>
        <w:t xml:space="preserve">, </w:t>
      </w:r>
      <w:r w:rsidR="009E0D1B" w:rsidRPr="004B7894">
        <w:rPr>
          <w:rFonts w:ascii="Arial" w:hAnsi="Arial" w:cs="Arial"/>
          <w:sz w:val="22"/>
          <w:szCs w:val="22"/>
        </w:rPr>
        <w:t>které tvoří</w:t>
      </w:r>
      <w:r w:rsidR="00594ACA" w:rsidRPr="004B7894">
        <w:rPr>
          <w:rFonts w:ascii="Arial" w:hAnsi="Arial" w:cs="Arial"/>
          <w:sz w:val="22"/>
          <w:szCs w:val="22"/>
        </w:rPr>
        <w:t xml:space="preserve"> účastník</w:t>
      </w:r>
      <w:r w:rsidR="009E0D1B" w:rsidRPr="004B7894">
        <w:rPr>
          <w:rFonts w:ascii="Arial" w:hAnsi="Arial" w:cs="Arial"/>
          <w:sz w:val="22"/>
          <w:szCs w:val="22"/>
        </w:rPr>
        <w:t>a</w:t>
      </w:r>
      <w:r w:rsidR="00594ACA" w:rsidRPr="004B7894">
        <w:rPr>
          <w:rFonts w:ascii="Arial" w:hAnsi="Arial" w:cs="Arial"/>
          <w:sz w:val="22"/>
          <w:szCs w:val="22"/>
        </w:rPr>
        <w:t>).</w:t>
      </w:r>
    </w:p>
    <w:p w:rsidR="00594ACA" w:rsidRPr="004B7894" w:rsidRDefault="00231807" w:rsidP="00594ACA">
      <w:pPr>
        <w:pStyle w:val="Nadpis1"/>
      </w:pPr>
      <w:r w:rsidRPr="004B7894">
        <w:t>Harmonogram následujících kroků</w:t>
      </w:r>
    </w:p>
    <w:p w:rsidR="00594ACA" w:rsidRPr="004B7894" w:rsidRDefault="00231807" w:rsidP="00594ACA">
      <w:pPr>
        <w:pStyle w:val="Normlnweb"/>
        <w:numPr>
          <w:ilvl w:val="0"/>
          <w:numId w:val="18"/>
        </w:numPr>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sz w:val="22"/>
          <w:szCs w:val="22"/>
        </w:rPr>
        <w:t xml:space="preserve">Vyslovení souhlasu PSP s finančními závazky: </w:t>
      </w:r>
      <w:r w:rsidR="009E694E" w:rsidRPr="004B7894">
        <w:rPr>
          <w:rFonts w:ascii="Arial" w:hAnsi="Arial" w:cs="Arial"/>
          <w:sz w:val="22"/>
          <w:szCs w:val="22"/>
        </w:rPr>
        <w:t>0</w:t>
      </w:r>
      <w:r w:rsidR="00930EA9" w:rsidRPr="004B7894">
        <w:rPr>
          <w:rFonts w:ascii="Arial" w:hAnsi="Arial" w:cs="Arial"/>
          <w:sz w:val="22"/>
          <w:szCs w:val="22"/>
        </w:rPr>
        <w:t>2</w:t>
      </w:r>
      <w:r w:rsidRPr="004B7894">
        <w:rPr>
          <w:rFonts w:ascii="Arial" w:hAnsi="Arial" w:cs="Arial"/>
          <w:sz w:val="22"/>
          <w:szCs w:val="22"/>
        </w:rPr>
        <w:t>/202</w:t>
      </w:r>
      <w:r w:rsidR="009E694E" w:rsidRPr="004B7894">
        <w:rPr>
          <w:rFonts w:ascii="Arial" w:hAnsi="Arial" w:cs="Arial"/>
          <w:sz w:val="22"/>
          <w:szCs w:val="22"/>
        </w:rPr>
        <w:t>1</w:t>
      </w:r>
    </w:p>
    <w:p w:rsidR="00594ACA" w:rsidRPr="004B7894" w:rsidRDefault="00231807" w:rsidP="00594ACA">
      <w:pPr>
        <w:pStyle w:val="Normlnweb"/>
        <w:numPr>
          <w:ilvl w:val="0"/>
          <w:numId w:val="18"/>
        </w:numPr>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sz w:val="22"/>
          <w:szCs w:val="22"/>
        </w:rPr>
        <w:t xml:space="preserve">Uzavření </w:t>
      </w:r>
      <w:r w:rsidR="00A32EEB" w:rsidRPr="004B7894">
        <w:rPr>
          <w:rFonts w:ascii="Arial" w:hAnsi="Arial" w:cs="Arial"/>
          <w:sz w:val="22"/>
          <w:szCs w:val="22"/>
        </w:rPr>
        <w:t xml:space="preserve">Koncesionářské </w:t>
      </w:r>
      <w:r w:rsidRPr="004B7894">
        <w:rPr>
          <w:rFonts w:ascii="Arial" w:hAnsi="Arial" w:cs="Arial"/>
          <w:sz w:val="22"/>
          <w:szCs w:val="22"/>
        </w:rPr>
        <w:t xml:space="preserve">smlouvy: </w:t>
      </w:r>
      <w:r w:rsidR="009E694E" w:rsidRPr="004B7894">
        <w:rPr>
          <w:rFonts w:ascii="Arial" w:hAnsi="Arial" w:cs="Arial"/>
          <w:sz w:val="22"/>
          <w:szCs w:val="22"/>
        </w:rPr>
        <w:t>konec 0</w:t>
      </w:r>
      <w:r w:rsidR="00930EA9" w:rsidRPr="004B7894">
        <w:rPr>
          <w:rFonts w:ascii="Arial" w:hAnsi="Arial" w:cs="Arial"/>
          <w:sz w:val="22"/>
          <w:szCs w:val="22"/>
        </w:rPr>
        <w:t>2</w:t>
      </w:r>
      <w:r w:rsidRPr="004B7894">
        <w:rPr>
          <w:rFonts w:ascii="Arial" w:hAnsi="Arial" w:cs="Arial"/>
          <w:sz w:val="22"/>
          <w:szCs w:val="22"/>
        </w:rPr>
        <w:t>/202</w:t>
      </w:r>
      <w:r w:rsidR="009E694E" w:rsidRPr="004B7894">
        <w:rPr>
          <w:rFonts w:ascii="Arial" w:hAnsi="Arial" w:cs="Arial"/>
          <w:sz w:val="22"/>
          <w:szCs w:val="22"/>
        </w:rPr>
        <w:t>1</w:t>
      </w:r>
    </w:p>
    <w:p w:rsidR="00594ACA" w:rsidRPr="004B7894" w:rsidRDefault="00231807" w:rsidP="00594ACA">
      <w:pPr>
        <w:pStyle w:val="Normlnweb"/>
        <w:numPr>
          <w:ilvl w:val="0"/>
          <w:numId w:val="18"/>
        </w:numPr>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sz w:val="22"/>
          <w:szCs w:val="22"/>
        </w:rPr>
        <w:t xml:space="preserve">Splnění odkládacích podmínek (především dosažení </w:t>
      </w:r>
      <w:r w:rsidR="00C951CE" w:rsidRPr="004B7894">
        <w:rPr>
          <w:rFonts w:ascii="Arial" w:hAnsi="Arial" w:cs="Arial"/>
          <w:sz w:val="22"/>
          <w:szCs w:val="22"/>
        </w:rPr>
        <w:t xml:space="preserve">Finančního </w:t>
      </w:r>
      <w:r w:rsidRPr="004B7894">
        <w:rPr>
          <w:rFonts w:ascii="Arial" w:hAnsi="Arial" w:cs="Arial"/>
          <w:sz w:val="22"/>
          <w:szCs w:val="22"/>
        </w:rPr>
        <w:t>uzavření): 0</w:t>
      </w:r>
      <w:r w:rsidR="002B3BEA">
        <w:rPr>
          <w:rFonts w:ascii="Arial" w:hAnsi="Arial" w:cs="Arial"/>
          <w:sz w:val="22"/>
          <w:szCs w:val="22"/>
        </w:rPr>
        <w:t>3</w:t>
      </w:r>
      <w:r w:rsidRPr="004B7894">
        <w:rPr>
          <w:rFonts w:ascii="Arial" w:hAnsi="Arial" w:cs="Arial"/>
          <w:sz w:val="22"/>
          <w:szCs w:val="22"/>
        </w:rPr>
        <w:t>/2021</w:t>
      </w:r>
    </w:p>
    <w:p w:rsidR="00594ACA" w:rsidRPr="004B7894" w:rsidRDefault="00231807" w:rsidP="00594ACA">
      <w:pPr>
        <w:pStyle w:val="Normlnweb"/>
        <w:numPr>
          <w:ilvl w:val="0"/>
          <w:numId w:val="18"/>
        </w:numPr>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sz w:val="22"/>
          <w:szCs w:val="22"/>
        </w:rPr>
        <w:lastRenderedPageBreak/>
        <w:t>Zahájení prací Koncesionářem: 0</w:t>
      </w:r>
      <w:r w:rsidR="002B3BEA">
        <w:rPr>
          <w:rFonts w:ascii="Arial" w:hAnsi="Arial" w:cs="Arial"/>
          <w:sz w:val="22"/>
          <w:szCs w:val="22"/>
        </w:rPr>
        <w:t>3</w:t>
      </w:r>
      <w:r w:rsidRPr="004B7894">
        <w:rPr>
          <w:rFonts w:ascii="Arial" w:hAnsi="Arial" w:cs="Arial"/>
          <w:sz w:val="22"/>
          <w:szCs w:val="22"/>
        </w:rPr>
        <w:t>/2021</w:t>
      </w:r>
    </w:p>
    <w:p w:rsidR="00594ACA" w:rsidRPr="004B7894" w:rsidRDefault="00231807" w:rsidP="00594ACA">
      <w:pPr>
        <w:pStyle w:val="Normlnweb"/>
        <w:numPr>
          <w:ilvl w:val="0"/>
          <w:numId w:val="18"/>
        </w:numPr>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sz w:val="22"/>
          <w:szCs w:val="22"/>
        </w:rPr>
        <w:t xml:space="preserve">Dodání </w:t>
      </w:r>
      <w:r w:rsidR="00A32EEB" w:rsidRPr="004B7894">
        <w:rPr>
          <w:rFonts w:ascii="Arial" w:hAnsi="Arial" w:cs="Arial"/>
          <w:sz w:val="22"/>
          <w:szCs w:val="22"/>
        </w:rPr>
        <w:t xml:space="preserve">stanovených </w:t>
      </w:r>
      <w:r w:rsidRPr="004B7894">
        <w:rPr>
          <w:rFonts w:ascii="Arial" w:hAnsi="Arial" w:cs="Arial"/>
          <w:sz w:val="22"/>
          <w:szCs w:val="22"/>
        </w:rPr>
        <w:t>Stavebních povolení</w:t>
      </w:r>
      <w:r>
        <w:rPr>
          <w:rStyle w:val="Znakapoznpodarou"/>
          <w:rFonts w:ascii="Arial" w:hAnsi="Arial" w:cs="Arial"/>
          <w:sz w:val="22"/>
          <w:szCs w:val="22"/>
        </w:rPr>
        <w:footnoteReference w:id="1"/>
      </w:r>
      <w:r w:rsidRPr="004B7894">
        <w:rPr>
          <w:rFonts w:ascii="Arial" w:hAnsi="Arial" w:cs="Arial"/>
          <w:sz w:val="22"/>
          <w:szCs w:val="22"/>
        </w:rPr>
        <w:t xml:space="preserve"> </w:t>
      </w:r>
      <w:r w:rsidR="00AA74F4" w:rsidRPr="004B7894">
        <w:rPr>
          <w:rFonts w:ascii="Arial" w:hAnsi="Arial" w:cs="Arial"/>
          <w:sz w:val="22"/>
          <w:szCs w:val="22"/>
        </w:rPr>
        <w:t>Z</w:t>
      </w:r>
      <w:r w:rsidRPr="004B7894">
        <w:rPr>
          <w:rFonts w:ascii="Arial" w:hAnsi="Arial" w:cs="Arial"/>
          <w:sz w:val="22"/>
          <w:szCs w:val="22"/>
        </w:rPr>
        <w:t>adavatelem: 30.</w:t>
      </w:r>
      <w:r w:rsidR="00125A94" w:rsidRPr="004B7894">
        <w:rPr>
          <w:rFonts w:ascii="Arial" w:hAnsi="Arial" w:cs="Arial"/>
          <w:sz w:val="22"/>
          <w:szCs w:val="22"/>
        </w:rPr>
        <w:t xml:space="preserve"> června </w:t>
      </w:r>
      <w:r w:rsidRPr="004B7894">
        <w:rPr>
          <w:rFonts w:ascii="Arial" w:hAnsi="Arial" w:cs="Arial"/>
          <w:sz w:val="22"/>
          <w:szCs w:val="22"/>
        </w:rPr>
        <w:t>2021</w:t>
      </w:r>
    </w:p>
    <w:p w:rsidR="00D04C75" w:rsidRPr="004B7894" w:rsidRDefault="00231807" w:rsidP="00594ACA">
      <w:pPr>
        <w:pStyle w:val="Normlnweb"/>
        <w:numPr>
          <w:ilvl w:val="0"/>
          <w:numId w:val="18"/>
        </w:numPr>
        <w:shd w:val="clear" w:color="auto" w:fill="FFFFFF"/>
        <w:spacing w:before="0" w:beforeAutospacing="0" w:after="0" w:afterAutospacing="0" w:line="360" w:lineRule="auto"/>
        <w:jc w:val="both"/>
        <w:rPr>
          <w:rFonts w:ascii="Arial" w:hAnsi="Arial" w:cs="Arial"/>
          <w:sz w:val="22"/>
          <w:szCs w:val="22"/>
        </w:rPr>
      </w:pPr>
      <w:r w:rsidRPr="004B7894">
        <w:rPr>
          <w:rFonts w:ascii="Arial" w:hAnsi="Arial" w:cs="Arial"/>
          <w:sz w:val="22"/>
          <w:szCs w:val="22"/>
        </w:rPr>
        <w:t>Smluvní termín zprovoznění: 10/2024</w:t>
      </w:r>
      <w:r w:rsidR="00624598" w:rsidRPr="004B7894">
        <w:rPr>
          <w:rFonts w:ascii="Arial" w:hAnsi="Arial" w:cs="Arial"/>
          <w:sz w:val="22"/>
          <w:szCs w:val="22"/>
        </w:rPr>
        <w:t xml:space="preserve"> </w:t>
      </w:r>
    </w:p>
    <w:p w:rsidR="007669B4" w:rsidRPr="004B7894" w:rsidRDefault="00231807" w:rsidP="0050695F">
      <w:pPr>
        <w:pStyle w:val="Nadpis1"/>
      </w:pPr>
      <w:r w:rsidRPr="004B7894">
        <w:t>Struktura Koncesionářské smlouvy</w:t>
      </w:r>
    </w:p>
    <w:p w:rsidR="007669B4" w:rsidRPr="004B7894" w:rsidRDefault="00231807" w:rsidP="00F17673">
      <w:pPr>
        <w:spacing w:line="360" w:lineRule="auto"/>
        <w:jc w:val="both"/>
        <w:rPr>
          <w:rFonts w:ascii="Arial" w:hAnsi="Arial" w:cs="Arial"/>
        </w:rPr>
      </w:pPr>
      <w:r w:rsidRPr="004B7894">
        <w:rPr>
          <w:rFonts w:ascii="Arial" w:hAnsi="Arial" w:cs="Arial"/>
        </w:rPr>
        <w:t xml:space="preserve">Souhrn smluvních dohod, který </w:t>
      </w:r>
      <w:r w:rsidR="009947B4" w:rsidRPr="004B7894">
        <w:rPr>
          <w:rFonts w:ascii="Arial" w:hAnsi="Arial" w:cs="Arial"/>
        </w:rPr>
        <w:t>byl vládou schválen</w:t>
      </w:r>
      <w:r w:rsidR="0050695F" w:rsidRPr="004B7894">
        <w:rPr>
          <w:rFonts w:ascii="Arial" w:hAnsi="Arial" w:cs="Arial"/>
        </w:rPr>
        <w:t>,</w:t>
      </w:r>
      <w:r w:rsidRPr="004B7894">
        <w:rPr>
          <w:rFonts w:ascii="Arial" w:hAnsi="Arial" w:cs="Arial"/>
        </w:rPr>
        <w:t xml:space="preserve"> sestává z následujících smluvních dokumentů</w:t>
      </w:r>
      <w:r w:rsidR="00966131" w:rsidRPr="004B7894">
        <w:rPr>
          <w:rFonts w:ascii="Arial" w:hAnsi="Arial" w:cs="Arial"/>
        </w:rPr>
        <w:t>, které tvoří organický celek a pouze jako celek představují funkční mechanismus pro zajištění realizace Projektu</w:t>
      </w:r>
      <w:r w:rsidRPr="004B7894">
        <w:rPr>
          <w:rFonts w:ascii="Arial" w:hAnsi="Arial" w:cs="Arial"/>
        </w:rPr>
        <w:t>:</w:t>
      </w:r>
    </w:p>
    <w:p w:rsidR="007669B4" w:rsidRPr="004B7894" w:rsidRDefault="00231807" w:rsidP="0050695F">
      <w:pPr>
        <w:pStyle w:val="Odstavecseseznamem"/>
        <w:numPr>
          <w:ilvl w:val="0"/>
          <w:numId w:val="19"/>
        </w:numPr>
        <w:spacing w:line="360" w:lineRule="auto"/>
        <w:ind w:left="426"/>
        <w:jc w:val="both"/>
        <w:rPr>
          <w:rFonts w:ascii="Arial" w:hAnsi="Arial" w:cs="Arial"/>
          <w:b/>
        </w:rPr>
      </w:pPr>
      <w:r w:rsidRPr="004B7894">
        <w:rPr>
          <w:rFonts w:ascii="Arial" w:hAnsi="Arial" w:cs="Arial"/>
          <w:b/>
        </w:rPr>
        <w:t>Koncesionářská smlouva</w:t>
      </w:r>
      <w:r w:rsidR="00C951CE" w:rsidRPr="004B7894">
        <w:rPr>
          <w:rFonts w:ascii="Arial" w:hAnsi="Arial" w:cs="Arial"/>
          <w:b/>
        </w:rPr>
        <w:t xml:space="preserve"> a její přílohy:</w:t>
      </w:r>
    </w:p>
    <w:p w:rsidR="007669B4" w:rsidRPr="004B7894" w:rsidRDefault="00231807" w:rsidP="00BE3216">
      <w:pPr>
        <w:pStyle w:val="Odstavecseseznamem"/>
        <w:numPr>
          <w:ilvl w:val="1"/>
          <w:numId w:val="19"/>
        </w:numPr>
        <w:spacing w:line="360" w:lineRule="auto"/>
        <w:ind w:left="851"/>
        <w:jc w:val="both"/>
        <w:rPr>
          <w:rFonts w:ascii="Arial" w:hAnsi="Arial" w:cs="Arial"/>
        </w:rPr>
      </w:pPr>
      <w:r w:rsidRPr="004B7894">
        <w:rPr>
          <w:rFonts w:ascii="Arial" w:hAnsi="Arial" w:cs="Arial"/>
        </w:rPr>
        <w:t>Příloha č. 1 – Definice</w:t>
      </w:r>
    </w:p>
    <w:p w:rsidR="007669B4" w:rsidRPr="004B7894" w:rsidRDefault="00231807" w:rsidP="00BE3216">
      <w:pPr>
        <w:pStyle w:val="Odstavecseseznamem"/>
        <w:numPr>
          <w:ilvl w:val="1"/>
          <w:numId w:val="19"/>
        </w:numPr>
        <w:spacing w:line="360" w:lineRule="auto"/>
        <w:ind w:left="851"/>
        <w:jc w:val="both"/>
        <w:rPr>
          <w:rFonts w:ascii="Arial" w:hAnsi="Arial" w:cs="Arial"/>
        </w:rPr>
      </w:pPr>
      <w:r w:rsidRPr="004B7894">
        <w:rPr>
          <w:rFonts w:ascii="Arial" w:hAnsi="Arial" w:cs="Arial"/>
        </w:rPr>
        <w:t xml:space="preserve">Příloha č. 2 – Minimální technické požadavky </w:t>
      </w:r>
    </w:p>
    <w:p w:rsidR="007669B4" w:rsidRPr="004B7894" w:rsidRDefault="00231807" w:rsidP="00BE3216">
      <w:pPr>
        <w:pStyle w:val="Odstavecseseznamem"/>
        <w:numPr>
          <w:ilvl w:val="1"/>
          <w:numId w:val="19"/>
        </w:numPr>
        <w:spacing w:line="360" w:lineRule="auto"/>
        <w:ind w:left="851"/>
        <w:jc w:val="both"/>
        <w:rPr>
          <w:rFonts w:ascii="Arial" w:hAnsi="Arial" w:cs="Arial"/>
        </w:rPr>
      </w:pPr>
      <w:r w:rsidRPr="004B7894">
        <w:rPr>
          <w:rFonts w:ascii="Arial" w:hAnsi="Arial" w:cs="Arial"/>
        </w:rPr>
        <w:t>Příloha č. 3 – Požadavky Zadavatele na Práce – Nové úseky</w:t>
      </w:r>
    </w:p>
    <w:p w:rsidR="007669B4" w:rsidRPr="004B7894" w:rsidRDefault="00231807" w:rsidP="00BE3216">
      <w:pPr>
        <w:pStyle w:val="Odstavecseseznamem"/>
        <w:numPr>
          <w:ilvl w:val="1"/>
          <w:numId w:val="19"/>
        </w:numPr>
        <w:spacing w:line="360" w:lineRule="auto"/>
        <w:ind w:left="851"/>
        <w:jc w:val="both"/>
        <w:rPr>
          <w:rFonts w:ascii="Arial" w:hAnsi="Arial" w:cs="Arial"/>
        </w:rPr>
      </w:pPr>
      <w:r w:rsidRPr="004B7894">
        <w:rPr>
          <w:rFonts w:ascii="Arial" w:hAnsi="Arial" w:cs="Arial"/>
        </w:rPr>
        <w:t>Příloha č. 4 – Požadavky Zadavatele na Práce – Stávající úseky</w:t>
      </w:r>
    </w:p>
    <w:p w:rsidR="007669B4" w:rsidRPr="004B7894" w:rsidRDefault="00231807" w:rsidP="00BE3216">
      <w:pPr>
        <w:pStyle w:val="Odstavecseseznamem"/>
        <w:numPr>
          <w:ilvl w:val="1"/>
          <w:numId w:val="19"/>
        </w:numPr>
        <w:spacing w:line="360" w:lineRule="auto"/>
        <w:ind w:left="851"/>
        <w:jc w:val="both"/>
        <w:rPr>
          <w:rFonts w:ascii="Arial" w:hAnsi="Arial" w:cs="Arial"/>
        </w:rPr>
      </w:pPr>
      <w:r w:rsidRPr="004B7894">
        <w:rPr>
          <w:rFonts w:ascii="Arial" w:hAnsi="Arial" w:cs="Arial"/>
        </w:rPr>
        <w:t>Příloha č. 5 – Návrhy Koncesionáře</w:t>
      </w:r>
    </w:p>
    <w:p w:rsidR="007669B4" w:rsidRPr="004B7894" w:rsidRDefault="00231807" w:rsidP="00BE3216">
      <w:pPr>
        <w:pStyle w:val="Odstavecseseznamem"/>
        <w:numPr>
          <w:ilvl w:val="1"/>
          <w:numId w:val="19"/>
        </w:numPr>
        <w:spacing w:line="360" w:lineRule="auto"/>
        <w:ind w:left="851"/>
        <w:jc w:val="both"/>
        <w:rPr>
          <w:rFonts w:ascii="Arial" w:hAnsi="Arial" w:cs="Arial"/>
        </w:rPr>
      </w:pPr>
      <w:r w:rsidRPr="004B7894">
        <w:rPr>
          <w:rFonts w:ascii="Arial" w:hAnsi="Arial" w:cs="Arial"/>
        </w:rPr>
        <w:t>Příloha č. 6 – Harmonogram</w:t>
      </w:r>
    </w:p>
    <w:p w:rsidR="007669B4" w:rsidRPr="004B7894" w:rsidRDefault="00231807" w:rsidP="00BE3216">
      <w:pPr>
        <w:pStyle w:val="Odstavecseseznamem"/>
        <w:numPr>
          <w:ilvl w:val="1"/>
          <w:numId w:val="19"/>
        </w:numPr>
        <w:spacing w:line="360" w:lineRule="auto"/>
        <w:ind w:left="851"/>
        <w:jc w:val="both"/>
        <w:rPr>
          <w:rFonts w:ascii="Arial" w:hAnsi="Arial" w:cs="Arial"/>
        </w:rPr>
      </w:pPr>
      <w:r w:rsidRPr="004B7894">
        <w:rPr>
          <w:rFonts w:ascii="Arial" w:hAnsi="Arial" w:cs="Arial"/>
        </w:rPr>
        <w:t>Příloha č. 7 – Řízení kvality a BOZP</w:t>
      </w:r>
    </w:p>
    <w:p w:rsidR="007669B4" w:rsidRPr="004B7894" w:rsidRDefault="00231807" w:rsidP="00BE3216">
      <w:pPr>
        <w:pStyle w:val="Odstavecseseznamem"/>
        <w:numPr>
          <w:ilvl w:val="1"/>
          <w:numId w:val="19"/>
        </w:numPr>
        <w:spacing w:line="360" w:lineRule="auto"/>
        <w:ind w:left="851"/>
        <w:jc w:val="both"/>
        <w:rPr>
          <w:rFonts w:ascii="Arial" w:hAnsi="Arial" w:cs="Arial"/>
        </w:rPr>
      </w:pPr>
      <w:r w:rsidRPr="004B7894">
        <w:rPr>
          <w:rFonts w:ascii="Arial" w:hAnsi="Arial" w:cs="Arial"/>
        </w:rPr>
        <w:t>Příloha č. 8 – Proces návrhu a schvalování</w:t>
      </w:r>
    </w:p>
    <w:p w:rsidR="007669B4" w:rsidRPr="004B7894" w:rsidRDefault="00231807" w:rsidP="00BE3216">
      <w:pPr>
        <w:pStyle w:val="Odstavecseseznamem"/>
        <w:numPr>
          <w:ilvl w:val="1"/>
          <w:numId w:val="19"/>
        </w:numPr>
        <w:spacing w:line="360" w:lineRule="auto"/>
        <w:ind w:left="851"/>
        <w:jc w:val="both"/>
        <w:rPr>
          <w:rFonts w:ascii="Arial" w:hAnsi="Arial" w:cs="Arial"/>
        </w:rPr>
      </w:pPr>
      <w:r w:rsidRPr="004B7894">
        <w:rPr>
          <w:rFonts w:ascii="Arial" w:hAnsi="Arial" w:cs="Arial"/>
        </w:rPr>
        <w:t xml:space="preserve">Příloha č. 9 – Požadavky na </w:t>
      </w:r>
      <w:r w:rsidR="00C51803" w:rsidRPr="004B7894">
        <w:rPr>
          <w:rFonts w:ascii="Arial" w:hAnsi="Arial" w:cs="Arial"/>
        </w:rPr>
        <w:t>S</w:t>
      </w:r>
      <w:r w:rsidRPr="004B7894">
        <w:rPr>
          <w:rFonts w:ascii="Arial" w:hAnsi="Arial" w:cs="Arial"/>
        </w:rPr>
        <w:t>lužby</w:t>
      </w:r>
    </w:p>
    <w:p w:rsidR="007669B4" w:rsidRPr="004B7894" w:rsidRDefault="00231807" w:rsidP="00BE3216">
      <w:pPr>
        <w:pStyle w:val="Odstavecseseznamem"/>
        <w:numPr>
          <w:ilvl w:val="1"/>
          <w:numId w:val="19"/>
        </w:numPr>
        <w:spacing w:line="360" w:lineRule="auto"/>
        <w:ind w:left="851"/>
        <w:jc w:val="both"/>
        <w:rPr>
          <w:rFonts w:ascii="Arial" w:hAnsi="Arial" w:cs="Arial"/>
        </w:rPr>
      </w:pPr>
      <w:r w:rsidRPr="004B7894">
        <w:rPr>
          <w:rFonts w:ascii="Arial" w:hAnsi="Arial" w:cs="Arial"/>
        </w:rPr>
        <w:t>Příloha č. 10 – Zprávy a záznamy</w:t>
      </w:r>
    </w:p>
    <w:p w:rsidR="007669B4" w:rsidRPr="004B7894" w:rsidRDefault="00231807" w:rsidP="00BE3216">
      <w:pPr>
        <w:pStyle w:val="Odstavecseseznamem"/>
        <w:numPr>
          <w:ilvl w:val="1"/>
          <w:numId w:val="19"/>
        </w:numPr>
        <w:spacing w:line="360" w:lineRule="auto"/>
        <w:ind w:left="851"/>
        <w:jc w:val="both"/>
        <w:rPr>
          <w:rFonts w:ascii="Arial" w:hAnsi="Arial" w:cs="Arial"/>
        </w:rPr>
      </w:pPr>
      <w:r w:rsidRPr="004B7894">
        <w:rPr>
          <w:rFonts w:ascii="Arial" w:hAnsi="Arial" w:cs="Arial"/>
        </w:rPr>
        <w:t>Příloha č. 11 – Platební mechanismus</w:t>
      </w:r>
    </w:p>
    <w:p w:rsidR="00A674F5" w:rsidRPr="004B7894" w:rsidRDefault="00231807" w:rsidP="00BE3216">
      <w:pPr>
        <w:pStyle w:val="Odstavecseseznamem"/>
        <w:numPr>
          <w:ilvl w:val="1"/>
          <w:numId w:val="19"/>
        </w:numPr>
        <w:spacing w:line="360" w:lineRule="auto"/>
        <w:ind w:left="851"/>
        <w:jc w:val="both"/>
        <w:rPr>
          <w:rFonts w:ascii="Arial" w:hAnsi="Arial" w:cs="Arial"/>
        </w:rPr>
      </w:pPr>
      <w:r w:rsidRPr="004B7894">
        <w:rPr>
          <w:rFonts w:ascii="Arial" w:hAnsi="Arial" w:cs="Arial"/>
        </w:rPr>
        <w:t>Příloha č. 12 – Finanční model</w:t>
      </w:r>
    </w:p>
    <w:p w:rsidR="00A674F5" w:rsidRPr="004B7894" w:rsidRDefault="00231807" w:rsidP="00BE3216">
      <w:pPr>
        <w:pStyle w:val="Odstavecseseznamem"/>
        <w:numPr>
          <w:ilvl w:val="1"/>
          <w:numId w:val="19"/>
        </w:numPr>
        <w:spacing w:line="360" w:lineRule="auto"/>
        <w:ind w:left="851"/>
        <w:jc w:val="both"/>
        <w:rPr>
          <w:rFonts w:ascii="Arial" w:hAnsi="Arial" w:cs="Arial"/>
        </w:rPr>
      </w:pPr>
      <w:r w:rsidRPr="004B7894">
        <w:rPr>
          <w:rFonts w:ascii="Arial" w:hAnsi="Arial" w:cs="Arial"/>
        </w:rPr>
        <w:t>Příloha č. 13 – Požadovaná pojištění</w:t>
      </w:r>
    </w:p>
    <w:p w:rsidR="007669B4" w:rsidRPr="004B7894" w:rsidRDefault="00231807" w:rsidP="00BE3216">
      <w:pPr>
        <w:pStyle w:val="Odstavecseseznamem"/>
        <w:numPr>
          <w:ilvl w:val="1"/>
          <w:numId w:val="19"/>
        </w:numPr>
        <w:spacing w:line="360" w:lineRule="auto"/>
        <w:ind w:left="851"/>
        <w:jc w:val="both"/>
        <w:rPr>
          <w:rFonts w:ascii="Arial" w:hAnsi="Arial" w:cs="Arial"/>
        </w:rPr>
      </w:pPr>
      <w:r w:rsidRPr="004B7894">
        <w:rPr>
          <w:rFonts w:ascii="Arial" w:hAnsi="Arial" w:cs="Arial"/>
        </w:rPr>
        <w:t>Příloha č. 14 – Podmínky zpětného předání</w:t>
      </w:r>
    </w:p>
    <w:p w:rsidR="00A674F5" w:rsidRPr="004B7894" w:rsidRDefault="00231807" w:rsidP="00BE3216">
      <w:pPr>
        <w:pStyle w:val="Odstavecseseznamem"/>
        <w:numPr>
          <w:ilvl w:val="1"/>
          <w:numId w:val="19"/>
        </w:numPr>
        <w:spacing w:line="360" w:lineRule="auto"/>
        <w:ind w:left="851"/>
        <w:jc w:val="both"/>
        <w:rPr>
          <w:rFonts w:ascii="Arial" w:hAnsi="Arial" w:cs="Arial"/>
        </w:rPr>
      </w:pPr>
      <w:r w:rsidRPr="004B7894">
        <w:rPr>
          <w:rFonts w:ascii="Arial" w:hAnsi="Arial" w:cs="Arial"/>
        </w:rPr>
        <w:t xml:space="preserve">Příloha č. 15 – </w:t>
      </w:r>
      <w:r w:rsidR="00C51803" w:rsidRPr="004B7894">
        <w:rPr>
          <w:rFonts w:ascii="Arial" w:hAnsi="Arial" w:cs="Arial"/>
        </w:rPr>
        <w:t>Platba za dostupnost</w:t>
      </w:r>
    </w:p>
    <w:p w:rsidR="0050695F" w:rsidRPr="004B7894" w:rsidRDefault="00231807" w:rsidP="00BE3216">
      <w:pPr>
        <w:pStyle w:val="Odstavecseseznamem"/>
        <w:numPr>
          <w:ilvl w:val="1"/>
          <w:numId w:val="19"/>
        </w:numPr>
        <w:spacing w:line="360" w:lineRule="auto"/>
        <w:ind w:left="851"/>
        <w:jc w:val="both"/>
        <w:rPr>
          <w:rFonts w:ascii="Arial" w:hAnsi="Arial" w:cs="Arial"/>
        </w:rPr>
      </w:pPr>
      <w:r w:rsidRPr="004B7894">
        <w:rPr>
          <w:rFonts w:ascii="Arial" w:hAnsi="Arial" w:cs="Arial"/>
        </w:rPr>
        <w:t>Příloha č. 16 – Struktura financování</w:t>
      </w:r>
    </w:p>
    <w:p w:rsidR="0050695F" w:rsidRPr="004B7894" w:rsidRDefault="00231807" w:rsidP="00BE3216">
      <w:pPr>
        <w:pStyle w:val="Odstavecseseznamem"/>
        <w:numPr>
          <w:ilvl w:val="1"/>
          <w:numId w:val="19"/>
        </w:numPr>
        <w:spacing w:line="360" w:lineRule="auto"/>
        <w:ind w:left="851"/>
        <w:jc w:val="both"/>
        <w:rPr>
          <w:rFonts w:ascii="Arial" w:hAnsi="Arial" w:cs="Arial"/>
        </w:rPr>
      </w:pPr>
      <w:r w:rsidRPr="004B7894">
        <w:rPr>
          <w:rFonts w:ascii="Arial" w:hAnsi="Arial" w:cs="Arial"/>
        </w:rPr>
        <w:t>Příloha č. 17 – Společnosti zajišťující investorskou přípravu pro Zadavatele</w:t>
      </w:r>
    </w:p>
    <w:p w:rsidR="0050695F" w:rsidRPr="004B7894" w:rsidRDefault="00231807" w:rsidP="00BE3216">
      <w:pPr>
        <w:pStyle w:val="Odstavecseseznamem"/>
        <w:numPr>
          <w:ilvl w:val="1"/>
          <w:numId w:val="19"/>
        </w:numPr>
        <w:spacing w:line="360" w:lineRule="auto"/>
        <w:ind w:left="851"/>
        <w:jc w:val="both"/>
        <w:rPr>
          <w:rFonts w:ascii="Arial" w:hAnsi="Arial" w:cs="Arial"/>
          <w:b/>
        </w:rPr>
      </w:pPr>
      <w:r w:rsidRPr="004B7894">
        <w:rPr>
          <w:rFonts w:ascii="Arial" w:hAnsi="Arial" w:cs="Arial"/>
        </w:rPr>
        <w:t>Příloha č. 18 – Požadavky na BIM</w:t>
      </w:r>
    </w:p>
    <w:p w:rsidR="00BE3216" w:rsidRPr="004B7894" w:rsidRDefault="00231807" w:rsidP="0050695F">
      <w:pPr>
        <w:pStyle w:val="Odstavecseseznamem"/>
        <w:numPr>
          <w:ilvl w:val="0"/>
          <w:numId w:val="19"/>
        </w:numPr>
        <w:spacing w:line="360" w:lineRule="auto"/>
        <w:ind w:left="426"/>
        <w:jc w:val="both"/>
        <w:rPr>
          <w:rFonts w:ascii="Arial" w:hAnsi="Arial" w:cs="Arial"/>
          <w:b/>
        </w:rPr>
      </w:pPr>
      <w:r w:rsidRPr="004B7894">
        <w:rPr>
          <w:rFonts w:ascii="Arial" w:hAnsi="Arial" w:cs="Arial"/>
          <w:b/>
        </w:rPr>
        <w:t>Přímá smlouva s financujícími institucemi</w:t>
      </w:r>
    </w:p>
    <w:p w:rsidR="00BE3216" w:rsidRPr="004B7894" w:rsidRDefault="00231807" w:rsidP="0050695F">
      <w:pPr>
        <w:pStyle w:val="Odstavecseseznamem"/>
        <w:numPr>
          <w:ilvl w:val="0"/>
          <w:numId w:val="19"/>
        </w:numPr>
        <w:spacing w:line="360" w:lineRule="auto"/>
        <w:ind w:left="426"/>
        <w:jc w:val="both"/>
        <w:rPr>
          <w:rFonts w:ascii="Arial" w:hAnsi="Arial" w:cs="Arial"/>
          <w:b/>
        </w:rPr>
      </w:pPr>
      <w:r w:rsidRPr="004B7894">
        <w:rPr>
          <w:rFonts w:ascii="Arial" w:hAnsi="Arial" w:cs="Arial"/>
          <w:b/>
        </w:rPr>
        <w:t>Smlouva o nezávislém dozoru</w:t>
      </w:r>
    </w:p>
    <w:p w:rsidR="00966131" w:rsidRPr="004B7894" w:rsidRDefault="00231807" w:rsidP="00966131">
      <w:pPr>
        <w:pStyle w:val="Odstavecseseznamem"/>
        <w:numPr>
          <w:ilvl w:val="0"/>
          <w:numId w:val="19"/>
        </w:numPr>
        <w:spacing w:line="360" w:lineRule="auto"/>
        <w:ind w:left="426"/>
        <w:jc w:val="both"/>
        <w:rPr>
          <w:rFonts w:ascii="Arial" w:hAnsi="Arial" w:cs="Arial"/>
          <w:b/>
        </w:rPr>
      </w:pPr>
      <w:r w:rsidRPr="004B7894">
        <w:rPr>
          <w:rFonts w:ascii="Arial" w:hAnsi="Arial" w:cs="Arial"/>
          <w:b/>
        </w:rPr>
        <w:t>Rámcová smlouva o financování úhrad Koncesionáři projektu PPP D4</w:t>
      </w:r>
      <w:r w:rsidR="003165B7" w:rsidRPr="004B7894">
        <w:rPr>
          <w:rFonts w:ascii="Arial" w:hAnsi="Arial" w:cs="Arial"/>
          <w:b/>
        </w:rPr>
        <w:t xml:space="preserve"> ze SFDI</w:t>
      </w:r>
    </w:p>
    <w:p w:rsidR="003165B7" w:rsidRPr="004B7894" w:rsidRDefault="00231807" w:rsidP="00966131">
      <w:pPr>
        <w:pStyle w:val="Odstavecseseznamem"/>
        <w:numPr>
          <w:ilvl w:val="0"/>
          <w:numId w:val="19"/>
        </w:numPr>
        <w:spacing w:line="360" w:lineRule="auto"/>
        <w:ind w:left="426"/>
        <w:jc w:val="both"/>
        <w:rPr>
          <w:rFonts w:ascii="Arial" w:hAnsi="Arial" w:cs="Arial"/>
          <w:b/>
        </w:rPr>
      </w:pPr>
      <w:r w:rsidRPr="004B7894">
        <w:rPr>
          <w:rFonts w:ascii="Arial" w:hAnsi="Arial" w:cs="Arial"/>
          <w:b/>
        </w:rPr>
        <w:t>Smlouva o převodu práv a povinností stavebníka z ŘSD ČR na Koncesionáře</w:t>
      </w:r>
    </w:p>
    <w:p w:rsidR="007669B4" w:rsidRPr="004B7894" w:rsidRDefault="00231807" w:rsidP="007669B4">
      <w:pPr>
        <w:pStyle w:val="Nadpis1"/>
      </w:pPr>
      <w:r w:rsidRPr="004B7894">
        <w:lastRenderedPageBreak/>
        <w:t xml:space="preserve">Základní principy realizace </w:t>
      </w:r>
      <w:r w:rsidR="00B170C1" w:rsidRPr="004B7894">
        <w:t>P</w:t>
      </w:r>
      <w:r w:rsidRPr="004B7894">
        <w:t>rojektu dle Koncesionářské smlouvy a platby Koncesionáři</w:t>
      </w:r>
    </w:p>
    <w:p w:rsidR="00633ACA" w:rsidRPr="004B7894" w:rsidRDefault="00231807" w:rsidP="00F17673">
      <w:pPr>
        <w:spacing w:line="360" w:lineRule="auto"/>
        <w:jc w:val="both"/>
        <w:rPr>
          <w:rFonts w:ascii="Arial" w:hAnsi="Arial" w:cs="Arial"/>
        </w:rPr>
      </w:pPr>
      <w:r w:rsidRPr="004B7894">
        <w:rPr>
          <w:rFonts w:ascii="Arial" w:hAnsi="Arial" w:cs="Arial"/>
        </w:rPr>
        <w:t xml:space="preserve">Uzavření </w:t>
      </w:r>
      <w:r w:rsidR="00966131" w:rsidRPr="004B7894">
        <w:rPr>
          <w:rFonts w:ascii="Arial" w:hAnsi="Arial" w:cs="Arial"/>
        </w:rPr>
        <w:t>Koncesionářsk</w:t>
      </w:r>
      <w:r w:rsidRPr="004B7894">
        <w:rPr>
          <w:rFonts w:ascii="Arial" w:hAnsi="Arial" w:cs="Arial"/>
        </w:rPr>
        <w:t>é</w:t>
      </w:r>
      <w:r w:rsidR="00966131" w:rsidRPr="004B7894">
        <w:rPr>
          <w:rFonts w:ascii="Arial" w:hAnsi="Arial" w:cs="Arial"/>
        </w:rPr>
        <w:t xml:space="preserve"> smlouv</w:t>
      </w:r>
      <w:r w:rsidRPr="004B7894">
        <w:rPr>
          <w:rFonts w:ascii="Arial" w:hAnsi="Arial" w:cs="Arial"/>
        </w:rPr>
        <w:t>y</w:t>
      </w:r>
      <w:r w:rsidR="00966131" w:rsidRPr="004B7894">
        <w:rPr>
          <w:rFonts w:ascii="Arial" w:hAnsi="Arial" w:cs="Arial"/>
        </w:rPr>
        <w:t xml:space="preserve"> </w:t>
      </w:r>
      <w:r w:rsidRPr="004B7894">
        <w:rPr>
          <w:rFonts w:ascii="Arial" w:hAnsi="Arial" w:cs="Arial"/>
        </w:rPr>
        <w:t xml:space="preserve">je předpokládáno </w:t>
      </w:r>
      <w:r w:rsidR="00966131" w:rsidRPr="004B7894">
        <w:rPr>
          <w:rFonts w:ascii="Arial" w:hAnsi="Arial" w:cs="Arial"/>
        </w:rPr>
        <w:t>Zákon</w:t>
      </w:r>
      <w:r w:rsidR="0080098C" w:rsidRPr="004B7894">
        <w:rPr>
          <w:rFonts w:ascii="Arial" w:hAnsi="Arial" w:cs="Arial"/>
        </w:rPr>
        <w:t>em</w:t>
      </w:r>
      <w:r w:rsidR="00966131" w:rsidRPr="004B7894">
        <w:rPr>
          <w:rFonts w:ascii="Arial" w:hAnsi="Arial" w:cs="Arial"/>
        </w:rPr>
        <w:t xml:space="preserve"> o pozemních komunikacích. </w:t>
      </w:r>
      <w:r w:rsidRPr="004B7894">
        <w:rPr>
          <w:rFonts w:ascii="Arial" w:hAnsi="Arial" w:cs="Arial"/>
        </w:rPr>
        <w:t xml:space="preserve">Znění </w:t>
      </w:r>
      <w:r w:rsidR="00966131" w:rsidRPr="004B7894">
        <w:rPr>
          <w:rFonts w:ascii="Arial" w:hAnsi="Arial" w:cs="Arial"/>
        </w:rPr>
        <w:t xml:space="preserve">Koncesionářské smlouvy tak, jak </w:t>
      </w:r>
      <w:r w:rsidR="00FE394F" w:rsidRPr="004B7894">
        <w:rPr>
          <w:rFonts w:ascii="Arial" w:hAnsi="Arial" w:cs="Arial"/>
        </w:rPr>
        <w:t>bylo schváleno vládou</w:t>
      </w:r>
      <w:r w:rsidR="0020693E" w:rsidRPr="004B7894">
        <w:rPr>
          <w:rFonts w:ascii="Arial" w:hAnsi="Arial" w:cs="Arial"/>
        </w:rPr>
        <w:t>,</w:t>
      </w:r>
      <w:r w:rsidR="00966131" w:rsidRPr="004B7894">
        <w:rPr>
          <w:rFonts w:ascii="Arial" w:hAnsi="Arial" w:cs="Arial"/>
        </w:rPr>
        <w:t xml:space="preserve"> je výsledkem </w:t>
      </w:r>
      <w:r w:rsidRPr="004B7894">
        <w:rPr>
          <w:rFonts w:ascii="Arial" w:hAnsi="Arial" w:cs="Arial"/>
        </w:rPr>
        <w:t xml:space="preserve">komplexního </w:t>
      </w:r>
      <w:r w:rsidR="00966131" w:rsidRPr="004B7894">
        <w:rPr>
          <w:rFonts w:ascii="Arial" w:hAnsi="Arial" w:cs="Arial"/>
        </w:rPr>
        <w:t>vyjednávání v řízení se soutěžním dialogem dle Zákona o zadávání veřejných zakázek</w:t>
      </w:r>
      <w:r w:rsidR="009E4949" w:rsidRPr="004B7894">
        <w:rPr>
          <w:rFonts w:ascii="Arial" w:hAnsi="Arial" w:cs="Arial"/>
        </w:rPr>
        <w:t>.</w:t>
      </w:r>
      <w:r w:rsidR="00966131" w:rsidRPr="004B7894">
        <w:rPr>
          <w:rFonts w:ascii="Arial" w:hAnsi="Arial" w:cs="Arial"/>
        </w:rPr>
        <w:t> </w:t>
      </w:r>
      <w:r w:rsidR="009E4949" w:rsidRPr="004B7894">
        <w:rPr>
          <w:rFonts w:ascii="Arial" w:hAnsi="Arial" w:cs="Arial"/>
        </w:rPr>
        <w:t xml:space="preserve">S </w:t>
      </w:r>
      <w:r w:rsidR="00966131" w:rsidRPr="004B7894">
        <w:rPr>
          <w:rFonts w:ascii="Arial" w:hAnsi="Arial" w:cs="Arial"/>
        </w:rPr>
        <w:t xml:space="preserve">ohledem na tuto skutečnost </w:t>
      </w:r>
      <w:r w:rsidR="009E4949" w:rsidRPr="004B7894">
        <w:rPr>
          <w:rFonts w:ascii="Arial" w:hAnsi="Arial" w:cs="Arial"/>
        </w:rPr>
        <w:t xml:space="preserve">je </w:t>
      </w:r>
      <w:r w:rsidR="00966131" w:rsidRPr="004B7894">
        <w:rPr>
          <w:rFonts w:ascii="Arial" w:hAnsi="Arial" w:cs="Arial"/>
        </w:rPr>
        <w:t>v této fázi neměnná</w:t>
      </w:r>
      <w:r w:rsidR="009E4949" w:rsidRPr="004B7894">
        <w:rPr>
          <w:rFonts w:ascii="Arial" w:hAnsi="Arial" w:cs="Arial"/>
        </w:rPr>
        <w:t xml:space="preserve"> z hlediska</w:t>
      </w:r>
      <w:r w:rsidR="00966131" w:rsidRPr="004B7894">
        <w:rPr>
          <w:rFonts w:ascii="Arial" w:hAnsi="Arial" w:cs="Arial"/>
        </w:rPr>
        <w:t xml:space="preserve"> rozložení jednotlivých rizik </w:t>
      </w:r>
      <w:r w:rsidR="00AA74F4" w:rsidRPr="004B7894">
        <w:rPr>
          <w:rFonts w:ascii="Arial" w:hAnsi="Arial" w:cs="Arial"/>
        </w:rPr>
        <w:t>P</w:t>
      </w:r>
      <w:r w:rsidR="00966131" w:rsidRPr="004B7894">
        <w:rPr>
          <w:rFonts w:ascii="Arial" w:hAnsi="Arial" w:cs="Arial"/>
        </w:rPr>
        <w:t>rojektu mezi Zadavatele a Koncesionáře. Zadavatel se Koncesionářskou smlouvou zavazuje odevzdat Koncesionáři všechna potřebná stavební povolení tak, jak vyplývají z dokumentací pro stavební povolení pro jednotlivé Nové úseky</w:t>
      </w:r>
      <w:r w:rsidR="006F3F42" w:rsidRPr="004B7894">
        <w:rPr>
          <w:rFonts w:ascii="Arial" w:hAnsi="Arial" w:cs="Arial"/>
        </w:rPr>
        <w:t xml:space="preserve"> (</w:t>
      </w:r>
      <w:r w:rsidR="009245A4" w:rsidRPr="004B7894">
        <w:rPr>
          <w:rFonts w:ascii="Arial" w:hAnsi="Arial" w:cs="Arial"/>
        </w:rPr>
        <w:t>konkretizovaný</w:t>
      </w:r>
      <w:r w:rsidR="006F3F42" w:rsidRPr="004B7894">
        <w:rPr>
          <w:rFonts w:ascii="Arial" w:hAnsi="Arial" w:cs="Arial"/>
        </w:rPr>
        <w:t xml:space="preserve"> seznam stavebních povolení je součástí Poskytnutých údajů)</w:t>
      </w:r>
      <w:r w:rsidR="00966131" w:rsidRPr="004B7894">
        <w:rPr>
          <w:rFonts w:ascii="Arial" w:hAnsi="Arial" w:cs="Arial"/>
        </w:rPr>
        <w:t xml:space="preserve">. Koncesionář se zavazuje </w:t>
      </w:r>
      <w:r w:rsidR="009245A4" w:rsidRPr="004B7894">
        <w:rPr>
          <w:rFonts w:ascii="Arial" w:hAnsi="Arial" w:cs="Arial"/>
        </w:rPr>
        <w:t xml:space="preserve">zajistit změnu </w:t>
      </w:r>
      <w:r w:rsidR="00966131" w:rsidRPr="004B7894">
        <w:rPr>
          <w:rFonts w:ascii="Arial" w:hAnsi="Arial" w:cs="Arial"/>
        </w:rPr>
        <w:t>ta</w:t>
      </w:r>
      <w:r w:rsidR="009245A4" w:rsidRPr="004B7894">
        <w:rPr>
          <w:rFonts w:ascii="Arial" w:hAnsi="Arial" w:cs="Arial"/>
        </w:rPr>
        <w:t>k</w:t>
      </w:r>
      <w:r w:rsidR="00966131" w:rsidRPr="004B7894">
        <w:rPr>
          <w:rFonts w:ascii="Arial" w:hAnsi="Arial" w:cs="Arial"/>
        </w:rPr>
        <w:t xml:space="preserve">to </w:t>
      </w:r>
      <w:r w:rsidR="009245A4" w:rsidRPr="004B7894">
        <w:rPr>
          <w:rFonts w:ascii="Arial" w:hAnsi="Arial" w:cs="Arial"/>
        </w:rPr>
        <w:t xml:space="preserve">předaných </w:t>
      </w:r>
      <w:r w:rsidR="00966131" w:rsidRPr="004B7894">
        <w:rPr>
          <w:rFonts w:ascii="Arial" w:hAnsi="Arial" w:cs="Arial"/>
        </w:rPr>
        <w:t>stavební</w:t>
      </w:r>
      <w:r w:rsidR="00AA74F4" w:rsidRPr="004B7894">
        <w:rPr>
          <w:rFonts w:ascii="Arial" w:hAnsi="Arial" w:cs="Arial"/>
        </w:rPr>
        <w:t>ch</w:t>
      </w:r>
      <w:r w:rsidR="00966131" w:rsidRPr="004B7894">
        <w:rPr>
          <w:rFonts w:ascii="Arial" w:hAnsi="Arial" w:cs="Arial"/>
        </w:rPr>
        <w:t xml:space="preserve"> povolení tak, aby Projekt vyhov</w:t>
      </w:r>
      <w:r w:rsidR="00ED789C" w:rsidRPr="004B7894">
        <w:rPr>
          <w:rFonts w:ascii="Arial" w:hAnsi="Arial" w:cs="Arial"/>
        </w:rPr>
        <w:t>ěl</w:t>
      </w:r>
      <w:r w:rsidR="00966131" w:rsidRPr="004B7894">
        <w:rPr>
          <w:rFonts w:ascii="Arial" w:hAnsi="Arial" w:cs="Arial"/>
        </w:rPr>
        <w:t xml:space="preserve"> Minimálním technickým požadavkům Zadavatele</w:t>
      </w:r>
      <w:r w:rsidR="00AA74F4" w:rsidRPr="004B7894">
        <w:rPr>
          <w:rFonts w:ascii="Arial" w:hAnsi="Arial" w:cs="Arial"/>
        </w:rPr>
        <w:t>,</w:t>
      </w:r>
      <w:r w:rsidR="00966131" w:rsidRPr="004B7894">
        <w:rPr>
          <w:rFonts w:ascii="Arial" w:hAnsi="Arial" w:cs="Arial"/>
        </w:rPr>
        <w:t xml:space="preserve"> Požadavkům Zadavatele na Práce</w:t>
      </w:r>
      <w:r w:rsidR="00ED789C" w:rsidRPr="004B7894">
        <w:rPr>
          <w:rFonts w:ascii="Arial" w:hAnsi="Arial" w:cs="Arial"/>
        </w:rPr>
        <w:t xml:space="preserve"> a návrhu Koncesionáře</w:t>
      </w:r>
      <w:r w:rsidR="00966131" w:rsidRPr="004B7894">
        <w:rPr>
          <w:rFonts w:ascii="Arial" w:hAnsi="Arial" w:cs="Arial"/>
        </w:rPr>
        <w:t xml:space="preserve">. </w:t>
      </w:r>
      <w:r w:rsidR="00302F58" w:rsidRPr="004B7894">
        <w:rPr>
          <w:rFonts w:ascii="Arial" w:hAnsi="Arial" w:cs="Arial"/>
          <w:b/>
        </w:rPr>
        <w:t xml:space="preserve">Platba </w:t>
      </w:r>
      <w:r w:rsidR="00966131" w:rsidRPr="004B7894">
        <w:rPr>
          <w:rFonts w:ascii="Arial" w:hAnsi="Arial" w:cs="Arial"/>
          <w:b/>
        </w:rPr>
        <w:t>Koncesionáři bude realizována až po zprovoznění prvníh</w:t>
      </w:r>
      <w:r w:rsidR="008A5564" w:rsidRPr="004B7894">
        <w:rPr>
          <w:rFonts w:ascii="Arial" w:hAnsi="Arial" w:cs="Arial"/>
          <w:b/>
        </w:rPr>
        <w:t>o</w:t>
      </w:r>
      <w:r w:rsidR="00966131" w:rsidRPr="004B7894">
        <w:rPr>
          <w:rFonts w:ascii="Arial" w:hAnsi="Arial" w:cs="Arial"/>
          <w:b/>
        </w:rPr>
        <w:t xml:space="preserve"> Nov</w:t>
      </w:r>
      <w:r w:rsidR="008A5564" w:rsidRPr="004B7894">
        <w:rPr>
          <w:rFonts w:ascii="Arial" w:hAnsi="Arial" w:cs="Arial"/>
          <w:b/>
        </w:rPr>
        <w:t>ého</w:t>
      </w:r>
      <w:r w:rsidR="00966131" w:rsidRPr="004B7894">
        <w:rPr>
          <w:rFonts w:ascii="Arial" w:hAnsi="Arial" w:cs="Arial"/>
          <w:b/>
        </w:rPr>
        <w:t xml:space="preserve"> úsek</w:t>
      </w:r>
      <w:r w:rsidR="008A5564" w:rsidRPr="004B7894">
        <w:rPr>
          <w:rFonts w:ascii="Arial" w:hAnsi="Arial" w:cs="Arial"/>
          <w:b/>
        </w:rPr>
        <w:t>u</w:t>
      </w:r>
      <w:r w:rsidR="0020693E" w:rsidRPr="004B7894">
        <w:rPr>
          <w:rFonts w:ascii="Arial" w:hAnsi="Arial" w:cs="Arial"/>
          <w:b/>
        </w:rPr>
        <w:t xml:space="preserve"> formou tzv. platby za dostupnost</w:t>
      </w:r>
      <w:r w:rsidR="00966131" w:rsidRPr="004B7894">
        <w:rPr>
          <w:rFonts w:ascii="Arial" w:hAnsi="Arial" w:cs="Arial"/>
        </w:rPr>
        <w:t xml:space="preserve">. </w:t>
      </w:r>
      <w:r w:rsidR="009E4949" w:rsidRPr="004B7894">
        <w:rPr>
          <w:rFonts w:ascii="Arial" w:hAnsi="Arial" w:cs="Arial"/>
        </w:rPr>
        <w:t xml:space="preserve">Do té doby je financování výstavby zajištěno </w:t>
      </w:r>
      <w:r w:rsidR="00A51CFA" w:rsidRPr="004B7894">
        <w:rPr>
          <w:rFonts w:ascii="Arial" w:hAnsi="Arial" w:cs="Arial"/>
        </w:rPr>
        <w:t xml:space="preserve">Koncesionářem, konkrétně </w:t>
      </w:r>
      <w:r w:rsidR="009E4949" w:rsidRPr="004B7894">
        <w:rPr>
          <w:rFonts w:ascii="Arial" w:hAnsi="Arial" w:cs="Arial"/>
        </w:rPr>
        <w:t>čerpáním dluhu přijatého Koncesionářem v kombinaci s vlastním kapitálem. Platba za dostupnost bude vyplácena na měsíční bázi z prostředků SFDI, jak předpokládá ustanovení §</w:t>
      </w:r>
      <w:r w:rsidR="000279E9" w:rsidRPr="004B7894">
        <w:rPr>
          <w:rFonts w:ascii="Arial" w:hAnsi="Arial" w:cs="Arial"/>
        </w:rPr>
        <w:t> </w:t>
      </w:r>
      <w:r w:rsidR="009E4949" w:rsidRPr="004B7894">
        <w:rPr>
          <w:rFonts w:ascii="Arial" w:hAnsi="Arial" w:cs="Arial"/>
        </w:rPr>
        <w:t>18b Zákona o</w:t>
      </w:r>
      <w:r w:rsidR="000279E9" w:rsidRPr="004B7894">
        <w:rPr>
          <w:rFonts w:ascii="Arial" w:hAnsi="Arial" w:cs="Arial"/>
        </w:rPr>
        <w:t> </w:t>
      </w:r>
      <w:r w:rsidR="009E4949" w:rsidRPr="004B7894">
        <w:rPr>
          <w:rFonts w:ascii="Arial" w:hAnsi="Arial" w:cs="Arial"/>
        </w:rPr>
        <w:t>pozemních komunikacích v kombinaci s ustanovením §</w:t>
      </w:r>
      <w:r w:rsidR="000279E9" w:rsidRPr="004B7894">
        <w:rPr>
          <w:rFonts w:ascii="Arial" w:hAnsi="Arial" w:cs="Arial"/>
        </w:rPr>
        <w:t> </w:t>
      </w:r>
      <w:r w:rsidR="009E4949" w:rsidRPr="004B7894">
        <w:rPr>
          <w:rFonts w:ascii="Arial" w:hAnsi="Arial" w:cs="Arial"/>
        </w:rPr>
        <w:t>2 odst. 1. písm. h)</w:t>
      </w:r>
      <w:r w:rsidR="000D4987" w:rsidRPr="004B7894">
        <w:rPr>
          <w:rFonts w:ascii="Arial" w:hAnsi="Arial" w:cs="Arial"/>
        </w:rPr>
        <w:t xml:space="preserve"> zákona č. 104/2000 Sb., o Státním fondu dopravní infrastruktury, ve znění pozdějších předpisů (dále jen „</w:t>
      </w:r>
      <w:r w:rsidR="000D4987" w:rsidRPr="004B7894">
        <w:rPr>
          <w:rFonts w:ascii="Arial" w:hAnsi="Arial" w:cs="Arial"/>
          <w:b/>
        </w:rPr>
        <w:t>Zákon o SFDI</w:t>
      </w:r>
      <w:r w:rsidR="000D4987" w:rsidRPr="004B7894">
        <w:rPr>
          <w:rFonts w:ascii="Arial" w:hAnsi="Arial" w:cs="Arial"/>
        </w:rPr>
        <w:t>“)</w:t>
      </w:r>
      <w:r w:rsidR="009E4949" w:rsidRPr="004B7894">
        <w:rPr>
          <w:rFonts w:ascii="Arial" w:hAnsi="Arial" w:cs="Arial"/>
        </w:rPr>
        <w:t xml:space="preserve">. </w:t>
      </w:r>
      <w:r w:rsidR="006F3F42" w:rsidRPr="004B7894">
        <w:rPr>
          <w:rFonts w:ascii="Arial" w:hAnsi="Arial" w:cs="Arial"/>
        </w:rPr>
        <w:t xml:space="preserve">Za tímto účelem je součástí </w:t>
      </w:r>
      <w:r w:rsidR="00FE394F" w:rsidRPr="004B7894">
        <w:rPr>
          <w:rFonts w:ascii="Arial" w:hAnsi="Arial" w:cs="Arial"/>
        </w:rPr>
        <w:t>vládou schváleného</w:t>
      </w:r>
      <w:r w:rsidR="006F3F42" w:rsidRPr="004B7894">
        <w:rPr>
          <w:rFonts w:ascii="Arial" w:hAnsi="Arial" w:cs="Arial"/>
        </w:rPr>
        <w:t xml:space="preserve"> souhrnu smluvních dohod též „Rámcová smlouva o financování úhrad Koncesionáři projektu PPP D4“. </w:t>
      </w:r>
      <w:r w:rsidR="009E4949" w:rsidRPr="004B7894">
        <w:rPr>
          <w:rFonts w:ascii="Arial" w:hAnsi="Arial" w:cs="Arial"/>
          <w:b/>
        </w:rPr>
        <w:t>Platba za dostupnost je složena z neindexované části a indexovan</w:t>
      </w:r>
      <w:r w:rsidR="0020693E" w:rsidRPr="004B7894">
        <w:rPr>
          <w:rFonts w:ascii="Arial" w:hAnsi="Arial" w:cs="Arial"/>
          <w:b/>
        </w:rPr>
        <w:t>é</w:t>
      </w:r>
      <w:r w:rsidR="009E4949" w:rsidRPr="004B7894">
        <w:rPr>
          <w:rFonts w:ascii="Arial" w:hAnsi="Arial" w:cs="Arial"/>
          <w:b/>
        </w:rPr>
        <w:t xml:space="preserve"> části, která bude předmětem úprav dle skutečného vývoje inflace.</w:t>
      </w:r>
      <w:r w:rsidR="009E4949" w:rsidRPr="004B7894">
        <w:rPr>
          <w:rFonts w:ascii="Arial" w:hAnsi="Arial" w:cs="Arial"/>
        </w:rPr>
        <w:t xml:space="preserve"> Pravidla pro výpočet úhrad v návaznosti na kvalitu poskytovaných služeb jsou obsažena v Příloze č. 11 Koncesionářské smlouvy. Výchozí výše úhrad tak, jak je obsažena v nabídce </w:t>
      </w:r>
      <w:r w:rsidR="002705B5" w:rsidRPr="004B7894">
        <w:rPr>
          <w:rFonts w:ascii="Arial" w:hAnsi="Arial" w:cs="Arial"/>
        </w:rPr>
        <w:t>vybraného dodavatele</w:t>
      </w:r>
      <w:r w:rsidR="009E4949" w:rsidRPr="004B7894">
        <w:rPr>
          <w:rFonts w:ascii="Arial" w:hAnsi="Arial" w:cs="Arial"/>
        </w:rPr>
        <w:t>, je obsahem Přílohy č. 15 Koncesionářské smlouvy, přičemž zde uvedené údaje se budou upravovat dle výpočtových vzorců</w:t>
      </w:r>
      <w:r w:rsidR="002705B5" w:rsidRPr="004B7894">
        <w:rPr>
          <w:rFonts w:ascii="Arial" w:hAnsi="Arial" w:cs="Arial"/>
        </w:rPr>
        <w:t xml:space="preserve"> uvedených v</w:t>
      </w:r>
      <w:r w:rsidR="009E4949" w:rsidRPr="004B7894">
        <w:rPr>
          <w:rFonts w:ascii="Arial" w:hAnsi="Arial" w:cs="Arial"/>
        </w:rPr>
        <w:t xml:space="preserve"> Přílo</w:t>
      </w:r>
      <w:r w:rsidR="002705B5" w:rsidRPr="004B7894">
        <w:rPr>
          <w:rFonts w:ascii="Arial" w:hAnsi="Arial" w:cs="Arial"/>
        </w:rPr>
        <w:t>ze</w:t>
      </w:r>
      <w:r w:rsidR="009E4949" w:rsidRPr="004B7894">
        <w:rPr>
          <w:rFonts w:ascii="Arial" w:hAnsi="Arial" w:cs="Arial"/>
        </w:rPr>
        <w:t xml:space="preserve"> č. 11 Koncesionářské smlouvy. Z výpočtového mechanismu Přílohy č. 11 přitom vyplývá, že nezajištění dostupnosti dálnice </w:t>
      </w:r>
      <w:r w:rsidR="000D65F6" w:rsidRPr="004B7894">
        <w:rPr>
          <w:rFonts w:ascii="Arial" w:hAnsi="Arial" w:cs="Arial"/>
        </w:rPr>
        <w:t xml:space="preserve">může vést </w:t>
      </w:r>
      <w:r w:rsidR="009E4949" w:rsidRPr="004B7894">
        <w:rPr>
          <w:rFonts w:ascii="Arial" w:hAnsi="Arial" w:cs="Arial"/>
        </w:rPr>
        <w:t>až k nulovým platbám Koncesionáři</w:t>
      </w:r>
      <w:r w:rsidR="0020693E" w:rsidRPr="004B7894">
        <w:rPr>
          <w:rFonts w:ascii="Arial" w:hAnsi="Arial" w:cs="Arial"/>
        </w:rPr>
        <w:t>. Na</w:t>
      </w:r>
      <w:r w:rsidR="000279E9" w:rsidRPr="004B7894">
        <w:rPr>
          <w:rFonts w:ascii="Arial" w:hAnsi="Arial" w:cs="Arial"/>
        </w:rPr>
        <w:t>d</w:t>
      </w:r>
      <w:r w:rsidR="0020693E" w:rsidRPr="004B7894">
        <w:rPr>
          <w:rFonts w:ascii="Arial" w:hAnsi="Arial" w:cs="Arial"/>
        </w:rPr>
        <w:t xml:space="preserve"> rámec nedostupnosti bude </w:t>
      </w:r>
      <w:r w:rsidR="000D65F6" w:rsidRPr="004B7894">
        <w:rPr>
          <w:rFonts w:ascii="Arial" w:hAnsi="Arial" w:cs="Arial"/>
        </w:rPr>
        <w:t>K</w:t>
      </w:r>
      <w:r w:rsidR="0020693E" w:rsidRPr="004B7894">
        <w:rPr>
          <w:rFonts w:ascii="Arial" w:hAnsi="Arial" w:cs="Arial"/>
        </w:rPr>
        <w:t xml:space="preserve">oncesionář penalizován též za </w:t>
      </w:r>
      <w:r w:rsidR="00317B1A" w:rsidRPr="004B7894">
        <w:rPr>
          <w:rFonts w:ascii="Arial" w:hAnsi="Arial" w:cs="Arial"/>
        </w:rPr>
        <w:t>nesplnění kvalitativních parametrů</w:t>
      </w:r>
      <w:r w:rsidR="0020693E" w:rsidRPr="004B7894">
        <w:rPr>
          <w:rFonts w:ascii="Arial" w:hAnsi="Arial" w:cs="Arial"/>
        </w:rPr>
        <w:t xml:space="preserve">. I provádění plánované těžké údržby bude považováno za nedostupnost, aby byla maximalizována motivace Koncesionáře k zajištění plynulého provozu. </w:t>
      </w:r>
      <w:r w:rsidR="002705B5" w:rsidRPr="004B7894">
        <w:rPr>
          <w:rFonts w:ascii="Arial" w:hAnsi="Arial" w:cs="Arial"/>
        </w:rPr>
        <w:t>Vzhledem k</w:t>
      </w:r>
      <w:r w:rsidR="0020693E" w:rsidRPr="004B7894">
        <w:rPr>
          <w:rFonts w:ascii="Arial" w:hAnsi="Arial" w:cs="Arial"/>
        </w:rPr>
        <w:t xml:space="preserve"> této skutečnosti </w:t>
      </w:r>
      <w:r w:rsidR="0020693E" w:rsidRPr="004B7894">
        <w:rPr>
          <w:rFonts w:ascii="Arial" w:hAnsi="Arial" w:cs="Arial"/>
          <w:b/>
        </w:rPr>
        <w:t xml:space="preserve">představují nabízené Platby za dostupnost </w:t>
      </w:r>
      <w:r w:rsidR="000D65F6" w:rsidRPr="004B7894">
        <w:rPr>
          <w:rFonts w:ascii="Arial" w:hAnsi="Arial" w:cs="Arial"/>
          <w:b/>
        </w:rPr>
        <w:t>jen maximální možn</w:t>
      </w:r>
      <w:r w:rsidR="00317B1A" w:rsidRPr="004B7894">
        <w:rPr>
          <w:rFonts w:ascii="Arial" w:hAnsi="Arial" w:cs="Arial"/>
          <w:b/>
        </w:rPr>
        <w:t>ou</w:t>
      </w:r>
      <w:r w:rsidR="0020693E" w:rsidRPr="004B7894">
        <w:rPr>
          <w:rFonts w:ascii="Arial" w:hAnsi="Arial" w:cs="Arial"/>
          <w:b/>
        </w:rPr>
        <w:t xml:space="preserve"> hranici, která </w:t>
      </w:r>
      <w:r w:rsidR="00317B1A" w:rsidRPr="004B7894">
        <w:rPr>
          <w:rFonts w:ascii="Arial" w:hAnsi="Arial" w:cs="Arial"/>
          <w:b/>
        </w:rPr>
        <w:t xml:space="preserve">nicméně bude snižována </w:t>
      </w:r>
      <w:r w:rsidR="0020693E" w:rsidRPr="004B7894">
        <w:rPr>
          <w:rFonts w:ascii="Arial" w:hAnsi="Arial" w:cs="Arial"/>
          <w:b/>
        </w:rPr>
        <w:t>o srážky za pravidelnou údržbu</w:t>
      </w:r>
      <w:r w:rsidR="00317B1A" w:rsidRPr="004B7894">
        <w:rPr>
          <w:rFonts w:ascii="Arial" w:hAnsi="Arial" w:cs="Arial"/>
          <w:b/>
        </w:rPr>
        <w:t>, příp. další srážky</w:t>
      </w:r>
      <w:r w:rsidR="0020693E" w:rsidRPr="004B7894">
        <w:rPr>
          <w:rFonts w:ascii="Arial" w:hAnsi="Arial" w:cs="Arial"/>
          <w:b/>
        </w:rPr>
        <w:t>.</w:t>
      </w:r>
      <w:r w:rsidR="009E4949" w:rsidRPr="004B7894">
        <w:rPr>
          <w:rFonts w:ascii="Arial" w:hAnsi="Arial" w:cs="Arial"/>
        </w:rPr>
        <w:t xml:space="preserve"> Koncesionářská smlouva samozřejmě </w:t>
      </w:r>
      <w:r w:rsidR="0020693E" w:rsidRPr="004B7894">
        <w:rPr>
          <w:rFonts w:ascii="Arial" w:hAnsi="Arial" w:cs="Arial"/>
        </w:rPr>
        <w:t xml:space="preserve">obsahuje </w:t>
      </w:r>
      <w:r w:rsidR="009E4949" w:rsidRPr="004B7894">
        <w:rPr>
          <w:rFonts w:ascii="Arial" w:hAnsi="Arial" w:cs="Arial"/>
        </w:rPr>
        <w:t>též ustanovení, na základě kterých vzniká v případě porušení povinností na straně státu nárok Koncesionáře na kompenzaci. Tato kompenzace může představovat nároky finanční a časové. Mezi nejvýznamnější riziko, které si stát ponechává</w:t>
      </w:r>
      <w:r w:rsidR="005A535E" w:rsidRPr="004B7894">
        <w:rPr>
          <w:rFonts w:ascii="Arial" w:hAnsi="Arial" w:cs="Arial"/>
        </w:rPr>
        <w:t>,</w:t>
      </w:r>
      <w:r w:rsidR="009E4949" w:rsidRPr="004B7894">
        <w:rPr>
          <w:rFonts w:ascii="Arial" w:hAnsi="Arial" w:cs="Arial"/>
        </w:rPr>
        <w:t xml:space="preserve"> je riziko zajištění stavebních povolení a riziko </w:t>
      </w:r>
      <w:r w:rsidR="00D55955" w:rsidRPr="004B7894">
        <w:rPr>
          <w:rFonts w:ascii="Arial" w:hAnsi="Arial" w:cs="Arial"/>
        </w:rPr>
        <w:lastRenderedPageBreak/>
        <w:t xml:space="preserve">předání </w:t>
      </w:r>
      <w:r w:rsidR="009E4949" w:rsidRPr="004B7894">
        <w:rPr>
          <w:rFonts w:ascii="Arial" w:hAnsi="Arial" w:cs="Arial"/>
        </w:rPr>
        <w:t>potřebných pozemků, včetně věcných břemen.</w:t>
      </w:r>
      <w:r w:rsidR="000B3482" w:rsidRPr="004B7894">
        <w:rPr>
          <w:rFonts w:ascii="Arial" w:hAnsi="Arial" w:cs="Arial"/>
        </w:rPr>
        <w:t xml:space="preserve"> Většina stavebních povolení, stejně jako většina potřebných pozemků</w:t>
      </w:r>
      <w:r w:rsidR="00B74706" w:rsidRPr="004B7894">
        <w:rPr>
          <w:rFonts w:ascii="Arial" w:hAnsi="Arial" w:cs="Arial"/>
        </w:rPr>
        <w:t>,</w:t>
      </w:r>
      <w:r w:rsidR="000B3482" w:rsidRPr="004B7894">
        <w:rPr>
          <w:rFonts w:ascii="Arial" w:hAnsi="Arial" w:cs="Arial"/>
        </w:rPr>
        <w:t xml:space="preserve"> je v okamžiku přípravy tohoto materiálu již zajištěná a </w:t>
      </w:r>
      <w:r w:rsidR="00BF451B" w:rsidRPr="004B7894">
        <w:rPr>
          <w:rFonts w:ascii="Arial" w:hAnsi="Arial" w:cs="Arial"/>
        </w:rPr>
        <w:t xml:space="preserve">s ohledem na zbývající čas do Finančního uzavření </w:t>
      </w:r>
      <w:r w:rsidR="004C29D0" w:rsidRPr="004B7894">
        <w:rPr>
          <w:rFonts w:ascii="Arial" w:hAnsi="Arial" w:cs="Arial"/>
        </w:rPr>
        <w:t>lze konstatovat, že</w:t>
      </w:r>
      <w:r w:rsidR="00BF451B" w:rsidRPr="004B7894">
        <w:rPr>
          <w:rFonts w:ascii="Arial" w:hAnsi="Arial" w:cs="Arial"/>
        </w:rPr>
        <w:t xml:space="preserve"> riziko finančních kompenzací Koncesionáři </w:t>
      </w:r>
      <w:r w:rsidR="004C29D0" w:rsidRPr="004B7894">
        <w:rPr>
          <w:rFonts w:ascii="Arial" w:hAnsi="Arial" w:cs="Arial"/>
        </w:rPr>
        <w:t>je sníženo na přijatelnou úroveň</w:t>
      </w:r>
      <w:r w:rsidR="00BF451B" w:rsidRPr="004B7894">
        <w:rPr>
          <w:rFonts w:ascii="Arial" w:hAnsi="Arial" w:cs="Arial"/>
        </w:rPr>
        <w:t>.</w:t>
      </w:r>
      <w:r w:rsidR="000B3482" w:rsidRPr="004B7894">
        <w:rPr>
          <w:rFonts w:ascii="Arial" w:hAnsi="Arial" w:cs="Arial"/>
        </w:rPr>
        <w:t xml:space="preserve"> Součástí </w:t>
      </w:r>
      <w:r w:rsidR="005A535E" w:rsidRPr="004B7894">
        <w:rPr>
          <w:rFonts w:ascii="Arial" w:hAnsi="Arial" w:cs="Arial"/>
        </w:rPr>
        <w:t xml:space="preserve">přípravných </w:t>
      </w:r>
      <w:r w:rsidR="000B3482" w:rsidRPr="004B7894">
        <w:rPr>
          <w:rFonts w:ascii="Arial" w:hAnsi="Arial" w:cs="Arial"/>
        </w:rPr>
        <w:t xml:space="preserve">prací na Projektu bylo též ověření tzv. hodnoty za peníze, tj. ověření, zda realizace </w:t>
      </w:r>
      <w:r w:rsidR="00AE4A07" w:rsidRPr="004B7894">
        <w:rPr>
          <w:rFonts w:ascii="Arial" w:hAnsi="Arial" w:cs="Arial"/>
        </w:rPr>
        <w:t>P</w:t>
      </w:r>
      <w:r w:rsidR="000B3482" w:rsidRPr="004B7894">
        <w:rPr>
          <w:rFonts w:ascii="Arial" w:hAnsi="Arial" w:cs="Arial"/>
        </w:rPr>
        <w:t>rojektu formou PPP</w:t>
      </w:r>
      <w:r w:rsidR="00B74706" w:rsidRPr="004B7894">
        <w:rPr>
          <w:rFonts w:ascii="Arial" w:hAnsi="Arial" w:cs="Arial"/>
        </w:rPr>
        <w:t xml:space="preserve"> </w:t>
      </w:r>
      <w:r w:rsidR="005A535E" w:rsidRPr="004B7894">
        <w:rPr>
          <w:rFonts w:ascii="Arial" w:hAnsi="Arial" w:cs="Arial"/>
        </w:rPr>
        <w:t xml:space="preserve">by byla </w:t>
      </w:r>
      <w:r w:rsidR="000B3482" w:rsidRPr="004B7894">
        <w:rPr>
          <w:rFonts w:ascii="Arial" w:hAnsi="Arial" w:cs="Arial"/>
        </w:rPr>
        <w:t xml:space="preserve">pro Zadavatele výhodnější ve srovnání se standardním způsobem zajištění výstavby, provozu a údržby prostřednictvím jednotlivých samostatných veřejných zakázek. Ještě před termínem </w:t>
      </w:r>
      <w:r w:rsidR="009C531F" w:rsidRPr="004B7894">
        <w:rPr>
          <w:rFonts w:ascii="Arial" w:hAnsi="Arial" w:cs="Arial"/>
        </w:rPr>
        <w:t>uplynutí lhůty pro podání</w:t>
      </w:r>
      <w:r w:rsidR="000B3482" w:rsidRPr="004B7894">
        <w:rPr>
          <w:rFonts w:ascii="Arial" w:hAnsi="Arial" w:cs="Arial"/>
        </w:rPr>
        <w:t xml:space="preserve"> nabídek Zadavatel připravil </w:t>
      </w:r>
      <w:r w:rsidR="005A535E" w:rsidRPr="004B7894">
        <w:rPr>
          <w:rFonts w:ascii="Arial" w:hAnsi="Arial" w:cs="Arial"/>
        </w:rPr>
        <w:t xml:space="preserve">výpočet </w:t>
      </w:r>
      <w:r w:rsidR="000B3482" w:rsidRPr="004B7894">
        <w:rPr>
          <w:rFonts w:ascii="Arial" w:hAnsi="Arial" w:cs="Arial"/>
        </w:rPr>
        <w:t xml:space="preserve">čisté současné hodnoty budoucích plateb za dostupnost, ze které vyplynulo, že nabídky na realizaci Projektu formou PPP budou při daném rozdělení rizik pro Zadavatele výhodnější tehdy, jestliže čistá současná hodnota budoucích plateb za dostupnost </w:t>
      </w:r>
      <w:r w:rsidR="009C531F" w:rsidRPr="004B7894">
        <w:rPr>
          <w:rFonts w:ascii="Arial" w:hAnsi="Arial" w:cs="Arial"/>
        </w:rPr>
        <w:t xml:space="preserve">obsažená v </w:t>
      </w:r>
      <w:r w:rsidR="005A535E" w:rsidRPr="004B7894">
        <w:rPr>
          <w:rFonts w:ascii="Arial" w:hAnsi="Arial" w:cs="Arial"/>
        </w:rPr>
        <w:t>nabídk</w:t>
      </w:r>
      <w:r w:rsidR="009C531F" w:rsidRPr="004B7894">
        <w:rPr>
          <w:rFonts w:ascii="Arial" w:hAnsi="Arial" w:cs="Arial"/>
        </w:rPr>
        <w:t>ách</w:t>
      </w:r>
      <w:r w:rsidR="005A535E" w:rsidRPr="004B7894">
        <w:rPr>
          <w:rFonts w:ascii="Arial" w:hAnsi="Arial" w:cs="Arial"/>
        </w:rPr>
        <w:t xml:space="preserve"> účastníků </w:t>
      </w:r>
      <w:r w:rsidR="000B3482" w:rsidRPr="004B7894">
        <w:rPr>
          <w:rFonts w:ascii="Arial" w:hAnsi="Arial" w:cs="Arial"/>
        </w:rPr>
        <w:t xml:space="preserve">bude nižší než 23,667 mld. Kč. Čistá současná hodnota budoucích plateb za dostupnost zároveň byla hlavním </w:t>
      </w:r>
      <w:r w:rsidR="005A535E" w:rsidRPr="004B7894">
        <w:rPr>
          <w:rFonts w:ascii="Arial" w:hAnsi="Arial" w:cs="Arial"/>
        </w:rPr>
        <w:t xml:space="preserve">dílčím </w:t>
      </w:r>
      <w:r w:rsidR="000B3482" w:rsidRPr="004B7894">
        <w:rPr>
          <w:rFonts w:ascii="Arial" w:hAnsi="Arial" w:cs="Arial"/>
        </w:rPr>
        <w:t xml:space="preserve">hodnotícím kritériem pro hodnocení </w:t>
      </w:r>
      <w:r w:rsidR="00397339" w:rsidRPr="004B7894">
        <w:rPr>
          <w:rFonts w:ascii="Arial" w:hAnsi="Arial" w:cs="Arial"/>
        </w:rPr>
        <w:t xml:space="preserve">podaných </w:t>
      </w:r>
      <w:r w:rsidR="000B3482" w:rsidRPr="004B7894">
        <w:rPr>
          <w:rFonts w:ascii="Arial" w:hAnsi="Arial" w:cs="Arial"/>
        </w:rPr>
        <w:t>nabídek</w:t>
      </w:r>
      <w:r w:rsidR="00125FAE" w:rsidRPr="004B7894">
        <w:rPr>
          <w:rFonts w:ascii="Arial" w:hAnsi="Arial" w:cs="Arial"/>
        </w:rPr>
        <w:t xml:space="preserve"> s váhou 99 %</w:t>
      </w:r>
      <w:r w:rsidR="000B3482" w:rsidRPr="004B7894">
        <w:rPr>
          <w:rFonts w:ascii="Arial" w:hAnsi="Arial" w:cs="Arial"/>
        </w:rPr>
        <w:t xml:space="preserve">. S ohledem na to, že </w:t>
      </w:r>
      <w:r w:rsidR="00836AD1" w:rsidRPr="004B7894">
        <w:rPr>
          <w:rFonts w:ascii="Arial" w:hAnsi="Arial" w:cs="Arial"/>
        </w:rPr>
        <w:t>vybraný dodavatel</w:t>
      </w:r>
      <w:r w:rsidR="000B3482" w:rsidRPr="004B7894">
        <w:rPr>
          <w:rFonts w:ascii="Arial" w:hAnsi="Arial" w:cs="Arial"/>
        </w:rPr>
        <w:t xml:space="preserve"> </w:t>
      </w:r>
      <w:r w:rsidR="00397339" w:rsidRPr="004B7894">
        <w:rPr>
          <w:rFonts w:ascii="Arial" w:hAnsi="Arial" w:cs="Arial"/>
        </w:rPr>
        <w:t xml:space="preserve">podal </w:t>
      </w:r>
      <w:r w:rsidR="000B3482" w:rsidRPr="004B7894">
        <w:rPr>
          <w:rFonts w:ascii="Arial" w:hAnsi="Arial" w:cs="Arial"/>
        </w:rPr>
        <w:t>nabídku, z jejíchž parametrů vyplývá čistá současná hodnota plateb za dostupnost ve výši 16,554 mld. Kč</w:t>
      </w:r>
      <w:r w:rsidR="00125FAE" w:rsidRPr="004B7894">
        <w:rPr>
          <w:rFonts w:ascii="Arial" w:hAnsi="Arial" w:cs="Arial"/>
        </w:rPr>
        <w:t>,</w:t>
      </w:r>
      <w:r w:rsidR="000B3482" w:rsidRPr="004B7894">
        <w:rPr>
          <w:rFonts w:ascii="Arial" w:hAnsi="Arial" w:cs="Arial"/>
        </w:rPr>
        <w:t xml:space="preserve"> je zřejmé, že realizace </w:t>
      </w:r>
      <w:r w:rsidR="00836AD1" w:rsidRPr="004B7894">
        <w:rPr>
          <w:rFonts w:ascii="Arial" w:hAnsi="Arial" w:cs="Arial"/>
        </w:rPr>
        <w:t>P</w:t>
      </w:r>
      <w:r w:rsidR="000B3482" w:rsidRPr="004B7894">
        <w:rPr>
          <w:rFonts w:ascii="Arial" w:hAnsi="Arial" w:cs="Arial"/>
        </w:rPr>
        <w:t xml:space="preserve">rojektu formou PPP by měla být z hlediska dosahované hodnoty za peníze pro </w:t>
      </w:r>
      <w:r w:rsidR="00836AD1" w:rsidRPr="004B7894">
        <w:rPr>
          <w:rFonts w:ascii="Arial" w:hAnsi="Arial" w:cs="Arial"/>
        </w:rPr>
        <w:t>Z</w:t>
      </w:r>
      <w:r w:rsidR="000B3482" w:rsidRPr="004B7894">
        <w:rPr>
          <w:rFonts w:ascii="Arial" w:hAnsi="Arial" w:cs="Arial"/>
        </w:rPr>
        <w:t xml:space="preserve">adavatele výhodná. </w:t>
      </w:r>
      <w:r w:rsidR="00DF3D64" w:rsidRPr="004B7894">
        <w:rPr>
          <w:rFonts w:ascii="Arial" w:hAnsi="Arial" w:cs="Arial"/>
        </w:rPr>
        <w:t xml:space="preserve">Z hlediska dlouhodobé udržitelnosti dosahované hodnoty za peníze je vhodné zmínit, že </w:t>
      </w:r>
      <w:r w:rsidR="00DF3D64" w:rsidRPr="004B7894">
        <w:rPr>
          <w:rFonts w:ascii="Arial" w:hAnsi="Arial" w:cs="Arial"/>
          <w:b/>
        </w:rPr>
        <w:t xml:space="preserve">všechny dlouhodobé úvěry přijímané Koncesionářem budou v rámci </w:t>
      </w:r>
      <w:r w:rsidR="00E50773" w:rsidRPr="004B7894">
        <w:rPr>
          <w:rFonts w:ascii="Arial" w:hAnsi="Arial" w:cs="Arial"/>
          <w:b/>
        </w:rPr>
        <w:t>F</w:t>
      </w:r>
      <w:r w:rsidR="00DF3D64" w:rsidRPr="004B7894">
        <w:rPr>
          <w:rFonts w:ascii="Arial" w:hAnsi="Arial" w:cs="Arial"/>
          <w:b/>
        </w:rPr>
        <w:t>inančního uzavření sjednávány s fixní sazbou</w:t>
      </w:r>
      <w:r w:rsidR="00E64297" w:rsidRPr="004B7894">
        <w:rPr>
          <w:rFonts w:ascii="Arial" w:hAnsi="Arial" w:cs="Arial"/>
          <w:b/>
        </w:rPr>
        <w:t xml:space="preserve"> a </w:t>
      </w:r>
      <w:r w:rsidR="00DF3D64" w:rsidRPr="004B7894">
        <w:rPr>
          <w:rFonts w:ascii="Arial" w:hAnsi="Arial" w:cs="Arial"/>
          <w:b/>
        </w:rPr>
        <w:t xml:space="preserve">fixována </w:t>
      </w:r>
      <w:r w:rsidR="00E64297" w:rsidRPr="004B7894">
        <w:rPr>
          <w:rFonts w:ascii="Arial" w:hAnsi="Arial" w:cs="Arial"/>
          <w:b/>
        </w:rPr>
        <w:t xml:space="preserve">je </w:t>
      </w:r>
      <w:r w:rsidR="00DF3D64" w:rsidRPr="004B7894">
        <w:rPr>
          <w:rFonts w:ascii="Arial" w:hAnsi="Arial" w:cs="Arial"/>
          <w:b/>
        </w:rPr>
        <w:t>i požadovaná výnosnost vlastního kapitálu Koncesionáře.</w:t>
      </w:r>
      <w:r w:rsidR="00DF3D64" w:rsidRPr="004B7894">
        <w:rPr>
          <w:rFonts w:ascii="Arial" w:hAnsi="Arial" w:cs="Arial"/>
        </w:rPr>
        <w:t xml:space="preserve"> Dle principů obsažených ve Výzvě k podání nabídek, která tvoří přílohu tohoto materiálu, bude </w:t>
      </w:r>
      <w:r w:rsidR="00DF3D64" w:rsidRPr="004B7894">
        <w:rPr>
          <w:rFonts w:ascii="Arial" w:hAnsi="Arial" w:cs="Arial"/>
          <w:b/>
        </w:rPr>
        <w:t xml:space="preserve">výsledná úroková míra přijatých úvěrů </w:t>
      </w:r>
      <w:r w:rsidR="00917BE7" w:rsidRPr="004B7894">
        <w:rPr>
          <w:rFonts w:ascii="Arial" w:hAnsi="Arial" w:cs="Arial"/>
          <w:b/>
        </w:rPr>
        <w:t xml:space="preserve">tvořena součtem </w:t>
      </w:r>
      <w:r w:rsidR="00E50773" w:rsidRPr="004B7894">
        <w:rPr>
          <w:rFonts w:ascii="Arial" w:hAnsi="Arial" w:cs="Arial"/>
          <w:b/>
        </w:rPr>
        <w:t xml:space="preserve">(i) tržní </w:t>
      </w:r>
      <w:r w:rsidR="00DF3D64" w:rsidRPr="004B7894">
        <w:rPr>
          <w:rFonts w:ascii="Arial" w:hAnsi="Arial" w:cs="Arial"/>
          <w:b/>
        </w:rPr>
        <w:t xml:space="preserve">úrokové míry dle situace </w:t>
      </w:r>
      <w:r w:rsidR="00E50773" w:rsidRPr="004B7894">
        <w:rPr>
          <w:rFonts w:ascii="Arial" w:hAnsi="Arial" w:cs="Arial"/>
          <w:b/>
        </w:rPr>
        <w:t xml:space="preserve"> ke dni Finančního </w:t>
      </w:r>
      <w:r w:rsidR="00DF3D64" w:rsidRPr="004B7894">
        <w:rPr>
          <w:rFonts w:ascii="Arial" w:hAnsi="Arial" w:cs="Arial"/>
          <w:b/>
        </w:rPr>
        <w:t xml:space="preserve">uzavření a </w:t>
      </w:r>
      <w:r w:rsidR="00E50773" w:rsidRPr="004B7894">
        <w:rPr>
          <w:rFonts w:ascii="Arial" w:hAnsi="Arial" w:cs="Arial"/>
          <w:b/>
        </w:rPr>
        <w:t>(ii)</w:t>
      </w:r>
      <w:r w:rsidR="00DF3D64" w:rsidRPr="004B7894">
        <w:rPr>
          <w:rFonts w:ascii="Arial" w:hAnsi="Arial" w:cs="Arial"/>
          <w:b/>
        </w:rPr>
        <w:t xml:space="preserve"> marže, </w:t>
      </w:r>
      <w:r w:rsidR="00917BE7" w:rsidRPr="004B7894">
        <w:rPr>
          <w:rFonts w:ascii="Arial" w:hAnsi="Arial" w:cs="Arial"/>
          <w:b/>
        </w:rPr>
        <w:t xml:space="preserve">jejíž výše </w:t>
      </w:r>
      <w:r w:rsidR="001132FB" w:rsidRPr="004B7894">
        <w:rPr>
          <w:rFonts w:ascii="Arial" w:hAnsi="Arial" w:cs="Arial"/>
          <w:b/>
        </w:rPr>
        <w:t xml:space="preserve">je </w:t>
      </w:r>
      <w:r w:rsidR="00917BE7" w:rsidRPr="004B7894">
        <w:rPr>
          <w:rFonts w:ascii="Arial" w:hAnsi="Arial" w:cs="Arial"/>
          <w:b/>
        </w:rPr>
        <w:t xml:space="preserve">předmětem </w:t>
      </w:r>
      <w:r w:rsidR="00397339" w:rsidRPr="004B7894">
        <w:rPr>
          <w:rFonts w:ascii="Arial" w:hAnsi="Arial" w:cs="Arial"/>
          <w:b/>
        </w:rPr>
        <w:t xml:space="preserve">podané </w:t>
      </w:r>
      <w:r w:rsidR="00DF3D64" w:rsidRPr="004B7894">
        <w:rPr>
          <w:rFonts w:ascii="Arial" w:hAnsi="Arial" w:cs="Arial"/>
          <w:b/>
        </w:rPr>
        <w:t xml:space="preserve">nabídky, resp. obsahem závazných příslibů </w:t>
      </w:r>
      <w:r w:rsidR="001132FB" w:rsidRPr="004B7894">
        <w:rPr>
          <w:rFonts w:ascii="Arial" w:hAnsi="Arial" w:cs="Arial"/>
          <w:b/>
        </w:rPr>
        <w:t xml:space="preserve">financování od </w:t>
      </w:r>
      <w:r w:rsidR="00DF3D64" w:rsidRPr="004B7894">
        <w:rPr>
          <w:rFonts w:ascii="Arial" w:hAnsi="Arial" w:cs="Arial"/>
          <w:b/>
        </w:rPr>
        <w:t>financujících institucí.</w:t>
      </w:r>
      <w:r w:rsidR="000B3482" w:rsidRPr="004B7894">
        <w:rPr>
          <w:rFonts w:ascii="Arial" w:hAnsi="Arial" w:cs="Arial"/>
        </w:rPr>
        <w:t xml:space="preserve"> </w:t>
      </w:r>
      <w:r w:rsidR="00DF3D64" w:rsidRPr="004B7894">
        <w:rPr>
          <w:rFonts w:ascii="Arial" w:hAnsi="Arial" w:cs="Arial"/>
        </w:rPr>
        <w:t xml:space="preserve">Zadavatel též připustil, aby část Platby za dostupnost byla hrazena v CZK a část v EUR, čehož bylo </w:t>
      </w:r>
      <w:r w:rsidR="00BF7346" w:rsidRPr="004B7894">
        <w:rPr>
          <w:rFonts w:ascii="Arial" w:hAnsi="Arial" w:cs="Arial"/>
        </w:rPr>
        <w:t xml:space="preserve">využito v </w:t>
      </w:r>
      <w:r w:rsidR="00DF3D64" w:rsidRPr="004B7894">
        <w:rPr>
          <w:rFonts w:ascii="Arial" w:hAnsi="Arial" w:cs="Arial"/>
        </w:rPr>
        <w:t>nabídce</w:t>
      </w:r>
      <w:r w:rsidR="00453688" w:rsidRPr="004B7894">
        <w:rPr>
          <w:rFonts w:ascii="Arial" w:hAnsi="Arial" w:cs="Arial"/>
        </w:rPr>
        <w:t xml:space="preserve"> vybraného dodavatele, která byla vyhodnocena jako ekonomicky nejvýhodnější</w:t>
      </w:r>
      <w:r w:rsidR="00D1629C" w:rsidRPr="004B7894">
        <w:rPr>
          <w:rFonts w:ascii="Arial" w:hAnsi="Arial" w:cs="Arial"/>
        </w:rPr>
        <w:t xml:space="preserve">; příslušný poměr je uveden v </w:t>
      </w:r>
      <w:r w:rsidR="00DF3D64" w:rsidRPr="004B7894">
        <w:rPr>
          <w:rFonts w:ascii="Arial" w:hAnsi="Arial" w:cs="Arial"/>
        </w:rPr>
        <w:t>Přílo</w:t>
      </w:r>
      <w:r w:rsidR="00D1629C" w:rsidRPr="004B7894">
        <w:rPr>
          <w:rFonts w:ascii="Arial" w:hAnsi="Arial" w:cs="Arial"/>
        </w:rPr>
        <w:t>ze</w:t>
      </w:r>
      <w:r w:rsidR="00DF3D64" w:rsidRPr="004B7894">
        <w:rPr>
          <w:rFonts w:ascii="Arial" w:hAnsi="Arial" w:cs="Arial"/>
        </w:rPr>
        <w:t xml:space="preserve"> </w:t>
      </w:r>
      <w:r w:rsidR="00453688" w:rsidRPr="004B7894">
        <w:rPr>
          <w:rFonts w:ascii="Arial" w:hAnsi="Arial" w:cs="Arial"/>
        </w:rPr>
        <w:t xml:space="preserve">č. </w:t>
      </w:r>
      <w:r w:rsidR="00DF3D64" w:rsidRPr="004B7894">
        <w:rPr>
          <w:rFonts w:ascii="Arial" w:hAnsi="Arial" w:cs="Arial"/>
        </w:rPr>
        <w:t>15 Koncesionářské smlouvy.</w:t>
      </w:r>
      <w:r w:rsidR="00973D04" w:rsidRPr="004B7894">
        <w:rPr>
          <w:rFonts w:ascii="Arial" w:hAnsi="Arial" w:cs="Arial"/>
        </w:rPr>
        <w:t xml:space="preserve"> Zadavatel stanovil čist</w:t>
      </w:r>
      <w:r w:rsidR="003C56BD" w:rsidRPr="004B7894">
        <w:rPr>
          <w:rFonts w:ascii="Arial" w:hAnsi="Arial" w:cs="Arial"/>
        </w:rPr>
        <w:t>ou</w:t>
      </w:r>
      <w:r w:rsidR="00973D04" w:rsidRPr="004B7894">
        <w:rPr>
          <w:rFonts w:ascii="Arial" w:hAnsi="Arial" w:cs="Arial"/>
        </w:rPr>
        <w:t xml:space="preserve"> současn</w:t>
      </w:r>
      <w:r w:rsidR="003C56BD" w:rsidRPr="004B7894">
        <w:rPr>
          <w:rFonts w:ascii="Arial" w:hAnsi="Arial" w:cs="Arial"/>
        </w:rPr>
        <w:t>ou</w:t>
      </w:r>
      <w:r w:rsidR="00973D04" w:rsidRPr="004B7894">
        <w:rPr>
          <w:rFonts w:ascii="Arial" w:hAnsi="Arial" w:cs="Arial"/>
        </w:rPr>
        <w:t xml:space="preserve"> hodnot</w:t>
      </w:r>
      <w:r w:rsidR="003C56BD" w:rsidRPr="004B7894">
        <w:rPr>
          <w:rFonts w:ascii="Arial" w:hAnsi="Arial" w:cs="Arial"/>
        </w:rPr>
        <w:t>u</w:t>
      </w:r>
      <w:r w:rsidRPr="004B7894">
        <w:rPr>
          <w:rFonts w:ascii="Arial" w:hAnsi="Arial" w:cs="Arial"/>
        </w:rPr>
        <w:t xml:space="preserve"> plateb za dostupnost vyjádřen</w:t>
      </w:r>
      <w:r w:rsidR="003C56BD" w:rsidRPr="004B7894">
        <w:rPr>
          <w:rFonts w:ascii="Arial" w:hAnsi="Arial" w:cs="Arial"/>
        </w:rPr>
        <w:t>ou</w:t>
      </w:r>
      <w:r w:rsidRPr="004B7894">
        <w:rPr>
          <w:rFonts w:ascii="Arial" w:hAnsi="Arial" w:cs="Arial"/>
        </w:rPr>
        <w:t xml:space="preserve"> v</w:t>
      </w:r>
      <w:r w:rsidR="003C56BD" w:rsidRPr="004B7894">
        <w:rPr>
          <w:rFonts w:ascii="Arial" w:hAnsi="Arial" w:cs="Arial"/>
        </w:rPr>
        <w:t> </w:t>
      </w:r>
      <w:r w:rsidRPr="004B7894">
        <w:rPr>
          <w:rFonts w:ascii="Arial" w:hAnsi="Arial" w:cs="Arial"/>
        </w:rPr>
        <w:t>CZK</w:t>
      </w:r>
      <w:r w:rsidR="003C56BD" w:rsidRPr="004B7894">
        <w:rPr>
          <w:rFonts w:ascii="Arial" w:hAnsi="Arial" w:cs="Arial"/>
        </w:rPr>
        <w:t xml:space="preserve"> jako </w:t>
      </w:r>
      <w:r w:rsidR="00D86702" w:rsidRPr="004B7894">
        <w:rPr>
          <w:rFonts w:ascii="Arial" w:hAnsi="Arial" w:cs="Arial"/>
        </w:rPr>
        <w:t xml:space="preserve">dílčí </w:t>
      </w:r>
      <w:r w:rsidR="00973D04" w:rsidRPr="004B7894">
        <w:rPr>
          <w:rFonts w:ascii="Arial" w:hAnsi="Arial" w:cs="Arial"/>
        </w:rPr>
        <w:t>hodnotící kritéri</w:t>
      </w:r>
      <w:r w:rsidR="003C56BD" w:rsidRPr="004B7894">
        <w:rPr>
          <w:rFonts w:ascii="Arial" w:hAnsi="Arial" w:cs="Arial"/>
        </w:rPr>
        <w:t>um</w:t>
      </w:r>
      <w:r w:rsidR="00973D04" w:rsidRPr="004B7894">
        <w:rPr>
          <w:rFonts w:ascii="Arial" w:hAnsi="Arial" w:cs="Arial"/>
        </w:rPr>
        <w:t xml:space="preserve"> </w:t>
      </w:r>
      <w:r w:rsidR="00D86702" w:rsidRPr="004B7894">
        <w:rPr>
          <w:rFonts w:ascii="Arial" w:hAnsi="Arial" w:cs="Arial"/>
        </w:rPr>
        <w:t>s nejvyšší v</w:t>
      </w:r>
      <w:r w:rsidR="003C56BD" w:rsidRPr="004B7894">
        <w:rPr>
          <w:rFonts w:ascii="Arial" w:hAnsi="Arial" w:cs="Arial"/>
        </w:rPr>
        <w:t>á</w:t>
      </w:r>
      <w:r w:rsidR="00D86702" w:rsidRPr="004B7894">
        <w:rPr>
          <w:rFonts w:ascii="Arial" w:hAnsi="Arial" w:cs="Arial"/>
        </w:rPr>
        <w:t>hou</w:t>
      </w:r>
      <w:r w:rsidR="00760EFD" w:rsidRPr="004B7894">
        <w:rPr>
          <w:rFonts w:ascii="Arial" w:hAnsi="Arial" w:cs="Arial"/>
        </w:rPr>
        <w:t>. Pro přepočet částí plateb za dostupnost v EUR na CZK byl využit postupně oslabující kurz, který reflektuje tržní ocenění rizika změny kurzu CZK / EUR pro jednotlivé roky.</w:t>
      </w:r>
      <w:r w:rsidR="00973D04" w:rsidRPr="004B7894">
        <w:rPr>
          <w:rFonts w:ascii="Arial" w:hAnsi="Arial" w:cs="Arial"/>
        </w:rPr>
        <w:t xml:space="preserve"> </w:t>
      </w:r>
      <w:r w:rsidRPr="004B7894">
        <w:rPr>
          <w:rFonts w:ascii="Arial" w:hAnsi="Arial" w:cs="Arial"/>
        </w:rPr>
        <w:t xml:space="preserve">Využité směnné kurzy v jednotlivých letech byly vypočteny z dat finančního trhu k Základnímu datu a odpovídají směnným kurzům, za které by si teoreticky stát mohl budoucí směny CZK na EUR </w:t>
      </w:r>
      <w:r w:rsidR="003C56BD" w:rsidRPr="004B7894">
        <w:rPr>
          <w:rFonts w:ascii="Arial" w:hAnsi="Arial" w:cs="Arial"/>
        </w:rPr>
        <w:t xml:space="preserve">na finančním trhu </w:t>
      </w:r>
      <w:r w:rsidRPr="004B7894">
        <w:rPr>
          <w:rFonts w:ascii="Arial" w:hAnsi="Arial" w:cs="Arial"/>
        </w:rPr>
        <w:t>zajistit (předpokládan</w:t>
      </w:r>
      <w:r w:rsidR="003C56BD" w:rsidRPr="004B7894">
        <w:rPr>
          <w:rFonts w:ascii="Arial" w:hAnsi="Arial" w:cs="Arial"/>
        </w:rPr>
        <w:t>á</w:t>
      </w:r>
      <w:r w:rsidRPr="004B7894">
        <w:rPr>
          <w:rFonts w:ascii="Arial" w:hAnsi="Arial" w:cs="Arial"/>
        </w:rPr>
        <w:t xml:space="preserve"> tržní cena takového zajištění).</w:t>
      </w:r>
      <w:r w:rsidR="00760EFD" w:rsidRPr="004B7894">
        <w:rPr>
          <w:rFonts w:ascii="Arial" w:hAnsi="Arial" w:cs="Arial"/>
        </w:rPr>
        <w:t xml:space="preserve"> Koncesionář tak byl motivován, aby vy</w:t>
      </w:r>
      <w:r>
        <w:rPr>
          <w:rFonts w:ascii="Arial" w:hAnsi="Arial" w:cs="Arial"/>
        </w:rPr>
        <w:t>u</w:t>
      </w:r>
      <w:r w:rsidR="00760EFD" w:rsidRPr="004B7894">
        <w:rPr>
          <w:rFonts w:ascii="Arial" w:hAnsi="Arial" w:cs="Arial"/>
        </w:rPr>
        <w:t>žil úvěru v měně EUR pouze v případě, že náklady spojené s tímto úvěrem byly natolik výhodné, že pokryly naceněnou rizikovou prémii (oslabující kurz) a stále ještě oproti úvěru v CZK představovaly nákladovou úsporu a tím i nižší nabídkovou cenu pro Zadavatele.</w:t>
      </w:r>
    </w:p>
    <w:p w:rsidR="00633ACA" w:rsidRPr="004B7894" w:rsidRDefault="00231807" w:rsidP="00F17673">
      <w:pPr>
        <w:spacing w:line="360" w:lineRule="auto"/>
        <w:jc w:val="both"/>
        <w:rPr>
          <w:rFonts w:ascii="Arial" w:hAnsi="Arial" w:cs="Arial"/>
        </w:rPr>
      </w:pPr>
      <w:r w:rsidRPr="004B7894">
        <w:rPr>
          <w:rFonts w:ascii="Arial" w:hAnsi="Arial" w:cs="Arial"/>
        </w:rPr>
        <w:t xml:space="preserve"> </w:t>
      </w:r>
    </w:p>
    <w:p w:rsidR="006D799D" w:rsidRPr="004B7894" w:rsidRDefault="00231807" w:rsidP="00A11EC7">
      <w:pPr>
        <w:pStyle w:val="Nadpis1"/>
      </w:pPr>
      <w:r w:rsidRPr="004B7894">
        <w:lastRenderedPageBreak/>
        <w:t xml:space="preserve">Shrnutí základních parametrů </w:t>
      </w:r>
      <w:r w:rsidR="00453688" w:rsidRPr="004B7894">
        <w:t>P</w:t>
      </w:r>
      <w:r w:rsidRPr="004B7894">
        <w:t xml:space="preserve">rojektu </w:t>
      </w:r>
    </w:p>
    <w:p w:rsidR="00142C69" w:rsidRPr="004B7894" w:rsidRDefault="00231807" w:rsidP="00142C69">
      <w:pPr>
        <w:spacing w:line="360" w:lineRule="auto"/>
        <w:jc w:val="both"/>
        <w:rPr>
          <w:rFonts w:ascii="Arial" w:hAnsi="Arial" w:cs="Arial"/>
        </w:rPr>
      </w:pPr>
      <w:r w:rsidRPr="004B7894">
        <w:rPr>
          <w:rFonts w:ascii="Arial" w:hAnsi="Arial" w:cs="Arial"/>
        </w:rPr>
        <w:t xml:space="preserve">Níže </w:t>
      </w:r>
      <w:r w:rsidR="00A11EC7" w:rsidRPr="004B7894">
        <w:rPr>
          <w:rFonts w:ascii="Arial" w:hAnsi="Arial" w:cs="Arial"/>
        </w:rPr>
        <w:t xml:space="preserve">jsou </w:t>
      </w:r>
      <w:r w:rsidR="0062491C" w:rsidRPr="004B7894">
        <w:rPr>
          <w:rFonts w:ascii="Arial" w:hAnsi="Arial" w:cs="Arial"/>
        </w:rPr>
        <w:t>shrnuty</w:t>
      </w:r>
      <w:r w:rsidRPr="004B7894">
        <w:rPr>
          <w:rFonts w:ascii="Arial" w:hAnsi="Arial" w:cs="Arial"/>
        </w:rPr>
        <w:t xml:space="preserve"> </w:t>
      </w:r>
      <w:r w:rsidR="0062491C" w:rsidRPr="004B7894">
        <w:rPr>
          <w:rFonts w:ascii="Arial" w:hAnsi="Arial" w:cs="Arial"/>
        </w:rPr>
        <w:t xml:space="preserve">základní parametry </w:t>
      </w:r>
      <w:r w:rsidR="00A11EC7" w:rsidRPr="004B7894">
        <w:rPr>
          <w:rFonts w:ascii="Arial" w:hAnsi="Arial" w:cs="Arial"/>
        </w:rPr>
        <w:t>Koncesionářské smlouvy v tabelární formě tak, jak jsou v ní obsaženy coby výsledek soutěžního dialogu.</w:t>
      </w:r>
      <w:r w:rsidR="0062491C" w:rsidRPr="004B7894">
        <w:rPr>
          <w:rFonts w:ascii="Arial" w:hAnsi="Arial" w:cs="Arial"/>
        </w:rPr>
        <w:t xml:space="preserve"> Shrnuty jsou ty základní parametry Koncesionářské smlouvy, které Zadavatel považuje za důležité pro </w:t>
      </w:r>
      <w:r w:rsidR="00FE394F" w:rsidRPr="004B7894">
        <w:rPr>
          <w:rFonts w:ascii="Arial" w:hAnsi="Arial" w:cs="Arial"/>
        </w:rPr>
        <w:t>vyslovení souhlasu Poslanecké sněmovny s finančními závazky státu vůči koncesionáři obsaženými v</w:t>
      </w:r>
      <w:r w:rsidR="00D81FF4" w:rsidRPr="004B7894">
        <w:rPr>
          <w:rFonts w:ascii="Arial" w:hAnsi="Arial" w:cs="Arial"/>
        </w:rPr>
        <w:t> </w:t>
      </w:r>
      <w:r w:rsidR="00FE394F" w:rsidRPr="004B7894">
        <w:rPr>
          <w:rFonts w:ascii="Arial" w:hAnsi="Arial" w:cs="Arial"/>
        </w:rPr>
        <w:t>Koncesionářské smlouvě a další parametry důležité z hlediska smluvního rozložení rizik.</w:t>
      </w:r>
    </w:p>
    <w:tbl>
      <w:tblPr>
        <w:tblStyle w:val="Svtlmkatabulky1"/>
        <w:tblW w:w="0" w:type="auto"/>
        <w:tblLook w:val="04A0" w:firstRow="1" w:lastRow="0" w:firstColumn="1" w:lastColumn="0" w:noHBand="0" w:noVBand="1"/>
      </w:tblPr>
      <w:tblGrid>
        <w:gridCol w:w="2972"/>
        <w:gridCol w:w="6090"/>
      </w:tblGrid>
      <w:tr w:rsidR="002F614C" w:rsidTr="001A3409">
        <w:tc>
          <w:tcPr>
            <w:tcW w:w="2972" w:type="dxa"/>
          </w:tcPr>
          <w:p w:rsidR="001A3409" w:rsidRPr="004B7894" w:rsidRDefault="00231807" w:rsidP="00F17673">
            <w:pPr>
              <w:spacing w:line="360" w:lineRule="auto"/>
              <w:rPr>
                <w:rFonts w:ascii="Arial" w:hAnsi="Arial" w:cs="Arial"/>
              </w:rPr>
            </w:pPr>
            <w:r w:rsidRPr="004B7894">
              <w:rPr>
                <w:rFonts w:ascii="Arial" w:hAnsi="Arial" w:cs="Arial"/>
              </w:rPr>
              <w:t>Majetkoprávní vypořádání pozemků a investorská příprava ve formě</w:t>
            </w:r>
            <w:r w:rsidR="00072210" w:rsidRPr="004B7894">
              <w:rPr>
                <w:rFonts w:ascii="Arial" w:hAnsi="Arial" w:cs="Arial"/>
              </w:rPr>
              <w:t xml:space="preserve"> získání územních rozhodnutí a </w:t>
            </w:r>
            <w:r w:rsidRPr="004B7894">
              <w:rPr>
                <w:rFonts w:ascii="Arial" w:hAnsi="Arial" w:cs="Arial"/>
              </w:rPr>
              <w:t xml:space="preserve">stavebních povolení </w:t>
            </w:r>
          </w:p>
          <w:p w:rsidR="001A3409" w:rsidRPr="004B7894" w:rsidRDefault="001A3409" w:rsidP="00F17673">
            <w:pPr>
              <w:spacing w:line="360" w:lineRule="auto"/>
              <w:rPr>
                <w:rFonts w:ascii="Arial" w:hAnsi="Arial" w:cs="Arial"/>
              </w:rPr>
            </w:pPr>
          </w:p>
        </w:tc>
        <w:tc>
          <w:tcPr>
            <w:tcW w:w="6090" w:type="dxa"/>
          </w:tcPr>
          <w:p w:rsidR="001A3409" w:rsidRPr="004B7894" w:rsidRDefault="00231807" w:rsidP="00B248EF">
            <w:pPr>
              <w:spacing w:line="360" w:lineRule="auto"/>
              <w:jc w:val="both"/>
              <w:rPr>
                <w:rFonts w:ascii="Arial" w:hAnsi="Arial" w:cs="Arial"/>
              </w:rPr>
            </w:pPr>
            <w:r w:rsidRPr="004B7894">
              <w:rPr>
                <w:rFonts w:ascii="Arial" w:hAnsi="Arial" w:cs="Arial"/>
              </w:rPr>
              <w:t xml:space="preserve">Zadavatel </w:t>
            </w:r>
            <w:r w:rsidR="0062491C" w:rsidRPr="004B7894">
              <w:rPr>
                <w:rFonts w:ascii="Arial" w:hAnsi="Arial" w:cs="Arial"/>
              </w:rPr>
              <w:t xml:space="preserve">dosud </w:t>
            </w:r>
            <w:r w:rsidRPr="004B7894">
              <w:rPr>
                <w:rFonts w:ascii="Arial" w:hAnsi="Arial" w:cs="Arial"/>
              </w:rPr>
              <w:t>získ</w:t>
            </w:r>
            <w:r w:rsidR="0062491C" w:rsidRPr="004B7894">
              <w:rPr>
                <w:rFonts w:ascii="Arial" w:hAnsi="Arial" w:cs="Arial"/>
              </w:rPr>
              <w:t>al</w:t>
            </w:r>
            <w:r w:rsidRPr="004B7894">
              <w:rPr>
                <w:rFonts w:ascii="Arial" w:hAnsi="Arial" w:cs="Arial"/>
              </w:rPr>
              <w:t xml:space="preserve"> </w:t>
            </w:r>
            <w:r w:rsidR="0062491C" w:rsidRPr="004B7894">
              <w:rPr>
                <w:rFonts w:ascii="Arial" w:hAnsi="Arial" w:cs="Arial"/>
              </w:rPr>
              <w:t xml:space="preserve">pravomocná </w:t>
            </w:r>
            <w:r w:rsidR="00803C7A" w:rsidRPr="004B7894">
              <w:rPr>
                <w:rFonts w:ascii="Arial" w:hAnsi="Arial" w:cs="Arial"/>
              </w:rPr>
              <w:t xml:space="preserve">územní rozhodnutí a </w:t>
            </w:r>
            <w:r w:rsidR="0062491C" w:rsidRPr="004B7894">
              <w:rPr>
                <w:rFonts w:ascii="Arial" w:hAnsi="Arial" w:cs="Arial"/>
              </w:rPr>
              <w:t>větší</w:t>
            </w:r>
            <w:r w:rsidR="00FB400B" w:rsidRPr="004B7894">
              <w:rPr>
                <w:rFonts w:ascii="Arial" w:hAnsi="Arial" w:cs="Arial"/>
              </w:rPr>
              <w:t xml:space="preserve"> </w:t>
            </w:r>
            <w:r w:rsidR="0062491C" w:rsidRPr="004B7894">
              <w:rPr>
                <w:rFonts w:ascii="Arial" w:hAnsi="Arial" w:cs="Arial"/>
              </w:rPr>
              <w:t xml:space="preserve">část </w:t>
            </w:r>
            <w:r w:rsidRPr="004B7894">
              <w:rPr>
                <w:rFonts w:ascii="Arial" w:hAnsi="Arial" w:cs="Arial"/>
              </w:rPr>
              <w:t>stavební</w:t>
            </w:r>
            <w:r w:rsidR="00FB400B" w:rsidRPr="004B7894">
              <w:rPr>
                <w:rFonts w:ascii="Arial" w:hAnsi="Arial" w:cs="Arial"/>
              </w:rPr>
              <w:t>ch</w:t>
            </w:r>
            <w:r w:rsidRPr="004B7894">
              <w:rPr>
                <w:rFonts w:ascii="Arial" w:hAnsi="Arial" w:cs="Arial"/>
              </w:rPr>
              <w:t xml:space="preserve"> povolení pro všechny </w:t>
            </w:r>
            <w:r w:rsidR="0062491C" w:rsidRPr="004B7894">
              <w:rPr>
                <w:rFonts w:ascii="Arial" w:hAnsi="Arial" w:cs="Arial"/>
              </w:rPr>
              <w:t>Nové</w:t>
            </w:r>
            <w:r w:rsidRPr="004B7894">
              <w:rPr>
                <w:rFonts w:ascii="Arial" w:hAnsi="Arial" w:cs="Arial"/>
              </w:rPr>
              <w:t xml:space="preserve"> úseky</w:t>
            </w:r>
            <w:r w:rsidR="005A230C" w:rsidRPr="004B7894">
              <w:rPr>
                <w:rFonts w:ascii="Arial" w:hAnsi="Arial" w:cs="Arial"/>
              </w:rPr>
              <w:t xml:space="preserve"> a </w:t>
            </w:r>
            <w:r w:rsidR="00072210" w:rsidRPr="004B7894">
              <w:rPr>
                <w:rFonts w:ascii="Arial" w:hAnsi="Arial" w:cs="Arial"/>
              </w:rPr>
              <w:t>zaji</w:t>
            </w:r>
            <w:r w:rsidR="0062491C" w:rsidRPr="004B7894">
              <w:rPr>
                <w:rFonts w:ascii="Arial" w:hAnsi="Arial" w:cs="Arial"/>
              </w:rPr>
              <w:t>šťuje</w:t>
            </w:r>
            <w:r w:rsidR="00072210" w:rsidRPr="004B7894">
              <w:rPr>
                <w:rFonts w:ascii="Arial" w:hAnsi="Arial" w:cs="Arial"/>
              </w:rPr>
              <w:t xml:space="preserve"> </w:t>
            </w:r>
            <w:r w:rsidR="0062491C" w:rsidRPr="004B7894">
              <w:rPr>
                <w:rFonts w:ascii="Arial" w:hAnsi="Arial" w:cs="Arial"/>
              </w:rPr>
              <w:t xml:space="preserve">dokončení </w:t>
            </w:r>
            <w:r w:rsidR="00072210" w:rsidRPr="004B7894">
              <w:rPr>
                <w:rFonts w:ascii="Arial" w:hAnsi="Arial" w:cs="Arial"/>
              </w:rPr>
              <w:t>majetkoprávní</w:t>
            </w:r>
            <w:r w:rsidR="0062491C" w:rsidRPr="004B7894">
              <w:rPr>
                <w:rFonts w:ascii="Arial" w:hAnsi="Arial" w:cs="Arial"/>
              </w:rPr>
              <w:t>ho</w:t>
            </w:r>
            <w:r w:rsidR="00072210" w:rsidRPr="004B7894">
              <w:rPr>
                <w:rFonts w:ascii="Arial" w:hAnsi="Arial" w:cs="Arial"/>
              </w:rPr>
              <w:t xml:space="preserve"> vypořádání</w:t>
            </w:r>
            <w:r w:rsidR="005A230C" w:rsidRPr="004B7894">
              <w:rPr>
                <w:rFonts w:ascii="Arial" w:hAnsi="Arial" w:cs="Arial"/>
              </w:rPr>
              <w:t xml:space="preserve"> všech pozemků</w:t>
            </w:r>
            <w:r w:rsidR="0062491C" w:rsidRPr="004B7894">
              <w:rPr>
                <w:rFonts w:ascii="Arial" w:hAnsi="Arial" w:cs="Arial"/>
              </w:rPr>
              <w:t>. Koncesionářská smlouva stanoví Zadavateli povinnost předat všechna Stavební povolení do 30.</w:t>
            </w:r>
            <w:r w:rsidR="009D53FC" w:rsidRPr="004B7894">
              <w:rPr>
                <w:rFonts w:ascii="Arial" w:hAnsi="Arial" w:cs="Arial"/>
              </w:rPr>
              <w:t xml:space="preserve"> června </w:t>
            </w:r>
            <w:r w:rsidR="0062491C" w:rsidRPr="004B7894">
              <w:rPr>
                <w:rFonts w:ascii="Arial" w:hAnsi="Arial" w:cs="Arial"/>
              </w:rPr>
              <w:t xml:space="preserve">2021 </w:t>
            </w:r>
            <w:r w:rsidR="009D7F16" w:rsidRPr="004B7894">
              <w:rPr>
                <w:rFonts w:ascii="Arial" w:hAnsi="Arial" w:cs="Arial"/>
              </w:rPr>
              <w:t xml:space="preserve">(s výjimkou stavebního povolení pro SO 130 na Úseku č. 5, u kterého se předpokládá předání až 28. února 2022) </w:t>
            </w:r>
            <w:r w:rsidR="0062491C" w:rsidRPr="004B7894">
              <w:rPr>
                <w:rFonts w:ascii="Arial" w:hAnsi="Arial" w:cs="Arial"/>
              </w:rPr>
              <w:t>a všechny Potřebné pozemky do 31.</w:t>
            </w:r>
            <w:r w:rsidR="009D53FC" w:rsidRPr="004B7894">
              <w:rPr>
                <w:rFonts w:ascii="Arial" w:hAnsi="Arial" w:cs="Arial"/>
              </w:rPr>
              <w:t xml:space="preserve"> prosince </w:t>
            </w:r>
            <w:r w:rsidR="0062491C" w:rsidRPr="004B7894">
              <w:rPr>
                <w:rFonts w:ascii="Arial" w:hAnsi="Arial" w:cs="Arial"/>
              </w:rPr>
              <w:t>2021</w:t>
            </w:r>
            <w:r w:rsidR="005A230C" w:rsidRPr="004B7894">
              <w:rPr>
                <w:rFonts w:ascii="Arial" w:hAnsi="Arial" w:cs="Arial"/>
              </w:rPr>
              <w:t xml:space="preserve">. </w:t>
            </w:r>
            <w:r w:rsidR="0062491C" w:rsidRPr="004B7894">
              <w:rPr>
                <w:rFonts w:ascii="Arial" w:hAnsi="Arial" w:cs="Arial"/>
              </w:rPr>
              <w:t xml:space="preserve">V případě včasného nedodání Stavebních povolení je v Koncesionářské smlouvě zakomponován speciální kompenzační mechanismus spočívající v povinnosti </w:t>
            </w:r>
            <w:r w:rsidR="00CE3F9F" w:rsidRPr="004B7894">
              <w:rPr>
                <w:rFonts w:ascii="Arial" w:hAnsi="Arial" w:cs="Arial"/>
              </w:rPr>
              <w:t>Z</w:t>
            </w:r>
            <w:r w:rsidR="0062491C" w:rsidRPr="004B7894">
              <w:rPr>
                <w:rFonts w:ascii="Arial" w:hAnsi="Arial" w:cs="Arial"/>
              </w:rPr>
              <w:t>adavatele hradit částku odpovídající dluhové službě v situaci, kdy by včasným nedodáním Stavební</w:t>
            </w:r>
            <w:r w:rsidR="00E64297" w:rsidRPr="004B7894">
              <w:rPr>
                <w:rFonts w:ascii="Arial" w:hAnsi="Arial" w:cs="Arial"/>
              </w:rPr>
              <w:t>ho</w:t>
            </w:r>
            <w:r w:rsidR="0062491C" w:rsidRPr="004B7894">
              <w:rPr>
                <w:rFonts w:ascii="Arial" w:hAnsi="Arial" w:cs="Arial"/>
              </w:rPr>
              <w:t xml:space="preserve"> povolení byl opožděn předpokládaný termín zprovoznění daného Úseku (podrobně viz článek 14.5 Koncesionářské smlouvy). Včasné nedodání všech Potřebných pozemků zakládá nárok na obecný kompenzační mechanismus, jehož hlavním principem je povinnost Koncesionáře mitigovat daný dopad a kompenzace je uznatelná výhradně v případě, že by na daných pozemcích bylo potřeba realizovat </w:t>
            </w:r>
            <w:r w:rsidR="00423436" w:rsidRPr="004B7894">
              <w:rPr>
                <w:rFonts w:ascii="Arial" w:hAnsi="Arial" w:cs="Arial"/>
              </w:rPr>
              <w:t>P</w:t>
            </w:r>
            <w:r w:rsidR="0062491C" w:rsidRPr="004B7894">
              <w:rPr>
                <w:rFonts w:ascii="Arial" w:hAnsi="Arial" w:cs="Arial"/>
              </w:rPr>
              <w:t>ráce, které jsou na kritické cestě realizace Projektu. S ohledem na harmonogram realizace Prací a s ohledem na skutečnost, že již v současné době je zajištěno přes 97 % Potřebných pozemků</w:t>
            </w:r>
            <w:r w:rsidR="00E64297" w:rsidRPr="004B7894">
              <w:rPr>
                <w:rFonts w:ascii="Arial" w:hAnsi="Arial" w:cs="Arial"/>
              </w:rPr>
              <w:t>,</w:t>
            </w:r>
            <w:r w:rsidR="001A03E9" w:rsidRPr="004B7894">
              <w:rPr>
                <w:rFonts w:ascii="Arial" w:hAnsi="Arial" w:cs="Arial"/>
              </w:rPr>
              <w:t xml:space="preserve"> což však představuje více než 99 % ploch potřebných pro výstavbu</w:t>
            </w:r>
            <w:r w:rsidR="00B248EF" w:rsidRPr="004B7894">
              <w:rPr>
                <w:rFonts w:ascii="Arial" w:hAnsi="Arial" w:cs="Arial"/>
              </w:rPr>
              <w:t>, j</w:t>
            </w:r>
            <w:r w:rsidR="0062491C" w:rsidRPr="004B7894">
              <w:rPr>
                <w:rFonts w:ascii="Arial" w:hAnsi="Arial" w:cs="Arial"/>
              </w:rPr>
              <w:t xml:space="preserve">e </w:t>
            </w:r>
            <w:r w:rsidR="001A03E9" w:rsidRPr="004B7894">
              <w:rPr>
                <w:rFonts w:ascii="Arial" w:hAnsi="Arial" w:cs="Arial"/>
              </w:rPr>
              <w:t xml:space="preserve">tak </w:t>
            </w:r>
            <w:r w:rsidR="00D47CAD" w:rsidRPr="004B7894">
              <w:rPr>
                <w:rFonts w:ascii="Arial" w:hAnsi="Arial" w:cs="Arial"/>
              </w:rPr>
              <w:t>možné předpokládat, že se ve smluvně definovaných termínech podaří vypořádat chybějící pozemky</w:t>
            </w:r>
            <w:r w:rsidR="001A03E9" w:rsidRPr="004B7894">
              <w:rPr>
                <w:rFonts w:ascii="Arial" w:hAnsi="Arial" w:cs="Arial"/>
              </w:rPr>
              <w:t xml:space="preserve"> a riziko kompenzací je v tomto ohledu sníženo na minimum</w:t>
            </w:r>
            <w:r w:rsidR="00D47CAD" w:rsidRPr="004B7894">
              <w:rPr>
                <w:rFonts w:ascii="Arial" w:hAnsi="Arial" w:cs="Arial"/>
              </w:rPr>
              <w:t xml:space="preserve">. </w:t>
            </w:r>
            <w:r w:rsidR="0062491C" w:rsidRPr="004B7894">
              <w:rPr>
                <w:rFonts w:ascii="Arial" w:hAnsi="Arial" w:cs="Arial"/>
              </w:rPr>
              <w:t>Koncesionář je ve vztahu k předaným Stavebním povolení</w:t>
            </w:r>
            <w:r w:rsidR="007A6EB8" w:rsidRPr="004B7894">
              <w:rPr>
                <w:rFonts w:ascii="Arial" w:hAnsi="Arial" w:cs="Arial"/>
              </w:rPr>
              <w:t>m</w:t>
            </w:r>
            <w:r w:rsidR="0062491C" w:rsidRPr="004B7894">
              <w:rPr>
                <w:rFonts w:ascii="Arial" w:hAnsi="Arial" w:cs="Arial"/>
              </w:rPr>
              <w:t xml:space="preserve"> povinen zajistit změnu stavby před dokončením tak, aby mohl realizovat Práce v rozsahu </w:t>
            </w:r>
            <w:r w:rsidR="0062491C" w:rsidRPr="004B7894">
              <w:rPr>
                <w:rFonts w:ascii="Arial" w:hAnsi="Arial" w:cs="Arial"/>
              </w:rPr>
              <w:lastRenderedPageBreak/>
              <w:t>požadovaném Koncesionářskou smlouv</w:t>
            </w:r>
            <w:r w:rsidR="00C55413" w:rsidRPr="004B7894">
              <w:rPr>
                <w:rFonts w:ascii="Arial" w:hAnsi="Arial" w:cs="Arial"/>
              </w:rPr>
              <w:t>o</w:t>
            </w:r>
            <w:r w:rsidR="0062491C" w:rsidRPr="004B7894">
              <w:rPr>
                <w:rFonts w:ascii="Arial" w:hAnsi="Arial" w:cs="Arial"/>
              </w:rPr>
              <w:t>u. Především budou procesovány změny spočívající v doplnění Dálniční technologie</w:t>
            </w:r>
            <w:r w:rsidR="00550921" w:rsidRPr="004B7894">
              <w:rPr>
                <w:rFonts w:ascii="Arial" w:hAnsi="Arial" w:cs="Arial"/>
              </w:rPr>
              <w:t xml:space="preserve"> (sloužící mj. pro monitoring výkonu Koncesionáře)</w:t>
            </w:r>
            <w:r w:rsidR="0062491C" w:rsidRPr="004B7894">
              <w:rPr>
                <w:rFonts w:ascii="Arial" w:hAnsi="Arial" w:cs="Arial"/>
              </w:rPr>
              <w:t>, doplnění bezpečnostních zálivů na Stávajících úsecích, výstavba Střediska správy a údržby Koncesionáře v Letech u Písku</w:t>
            </w:r>
            <w:r w:rsidR="00550921" w:rsidRPr="004B7894">
              <w:rPr>
                <w:rFonts w:ascii="Arial" w:hAnsi="Arial" w:cs="Arial"/>
              </w:rPr>
              <w:t xml:space="preserve">, oboustranná </w:t>
            </w:r>
            <w:r w:rsidR="001A03E9" w:rsidRPr="004B7894">
              <w:rPr>
                <w:rFonts w:ascii="Arial" w:hAnsi="Arial" w:cs="Arial"/>
              </w:rPr>
              <w:t>o</w:t>
            </w:r>
            <w:r w:rsidR="00550921" w:rsidRPr="004B7894">
              <w:rPr>
                <w:rFonts w:ascii="Arial" w:hAnsi="Arial" w:cs="Arial"/>
              </w:rPr>
              <w:t>dpočívka u</w:t>
            </w:r>
            <w:r w:rsidR="003D5453" w:rsidRPr="004B7894">
              <w:rPr>
                <w:rFonts w:ascii="Arial" w:hAnsi="Arial" w:cs="Arial"/>
              </w:rPr>
              <w:t xml:space="preserve"> </w:t>
            </w:r>
            <w:r w:rsidR="007A6EB8" w:rsidRPr="004B7894">
              <w:rPr>
                <w:rFonts w:ascii="Arial" w:hAnsi="Arial" w:cs="Arial"/>
              </w:rPr>
              <w:t> </w:t>
            </w:r>
            <w:r w:rsidR="00550921" w:rsidRPr="004B7894">
              <w:rPr>
                <w:rFonts w:ascii="Arial" w:hAnsi="Arial" w:cs="Arial"/>
              </w:rPr>
              <w:t>Krsic</w:t>
            </w:r>
            <w:r w:rsidR="0062491C" w:rsidRPr="004B7894">
              <w:rPr>
                <w:rFonts w:ascii="Arial" w:hAnsi="Arial" w:cs="Arial"/>
              </w:rPr>
              <w:t xml:space="preserve"> a dílčí optimalizace Mostních objektů a doprovodných komunikací (více viz Příloha č. 5 Koncesionářské smlouvy v kombinaci s Přílohou č. 2, č. 3 a č. 4). </w:t>
            </w:r>
            <w:r w:rsidR="006F3F42" w:rsidRPr="004B7894">
              <w:rPr>
                <w:rFonts w:ascii="Arial" w:hAnsi="Arial" w:cs="Arial"/>
              </w:rPr>
              <w:t xml:space="preserve">Koncesionář se na základě Smlouvy o převedení práv a povinností stavebníka, která tvoří součást </w:t>
            </w:r>
            <w:r w:rsidR="00D025EF" w:rsidRPr="004B7894">
              <w:rPr>
                <w:rFonts w:ascii="Arial" w:hAnsi="Arial" w:cs="Arial"/>
              </w:rPr>
              <w:t xml:space="preserve">předkládaného </w:t>
            </w:r>
            <w:r w:rsidR="006F3F42" w:rsidRPr="004B7894">
              <w:rPr>
                <w:rFonts w:ascii="Arial" w:hAnsi="Arial" w:cs="Arial"/>
              </w:rPr>
              <w:t>souhrnu smluvních dohod</w:t>
            </w:r>
            <w:r w:rsidR="00D025EF" w:rsidRPr="004B7894">
              <w:rPr>
                <w:rFonts w:ascii="Arial" w:hAnsi="Arial" w:cs="Arial"/>
              </w:rPr>
              <w:t>,</w:t>
            </w:r>
            <w:r w:rsidR="006F3F42" w:rsidRPr="004B7894">
              <w:rPr>
                <w:rFonts w:ascii="Arial" w:hAnsi="Arial" w:cs="Arial"/>
              </w:rPr>
              <w:t xml:space="preserve"> stane stavebníkem Projektu ve smyslu všech práv a povinností, </w:t>
            </w:r>
            <w:r w:rsidR="00F21388" w:rsidRPr="004B7894">
              <w:rPr>
                <w:rFonts w:ascii="Arial" w:hAnsi="Arial" w:cs="Arial"/>
              </w:rPr>
              <w:t xml:space="preserve">která </w:t>
            </w:r>
            <w:r w:rsidR="006F3F42" w:rsidRPr="004B7894">
              <w:rPr>
                <w:rFonts w:ascii="Arial" w:hAnsi="Arial" w:cs="Arial"/>
              </w:rPr>
              <w:t>pro stavebníka stanoví Stavební zákon.</w:t>
            </w:r>
          </w:p>
        </w:tc>
      </w:tr>
      <w:tr w:rsidR="002F614C" w:rsidTr="009E5D0F">
        <w:tc>
          <w:tcPr>
            <w:tcW w:w="2972" w:type="dxa"/>
          </w:tcPr>
          <w:p w:rsidR="001A3409" w:rsidRPr="004B7894" w:rsidRDefault="00231807" w:rsidP="00F17673">
            <w:pPr>
              <w:spacing w:line="360" w:lineRule="auto"/>
              <w:rPr>
                <w:rFonts w:ascii="Arial" w:hAnsi="Arial" w:cs="Arial"/>
              </w:rPr>
            </w:pPr>
            <w:r w:rsidRPr="004B7894">
              <w:rPr>
                <w:rFonts w:ascii="Arial" w:hAnsi="Arial" w:cs="Arial"/>
              </w:rPr>
              <w:lastRenderedPageBreak/>
              <w:t>Stavební práce a navazující údržba a provoz</w:t>
            </w:r>
            <w:r w:rsidR="00803C7A" w:rsidRPr="004B7894">
              <w:rPr>
                <w:rFonts w:ascii="Arial" w:hAnsi="Arial" w:cs="Arial"/>
              </w:rPr>
              <w:t>ování</w:t>
            </w:r>
          </w:p>
          <w:p w:rsidR="001A3409" w:rsidRPr="004B7894" w:rsidRDefault="001A3409" w:rsidP="00F17673">
            <w:pPr>
              <w:spacing w:line="360" w:lineRule="auto"/>
              <w:rPr>
                <w:rFonts w:ascii="Arial" w:hAnsi="Arial" w:cs="Arial"/>
              </w:rPr>
            </w:pPr>
          </w:p>
        </w:tc>
        <w:tc>
          <w:tcPr>
            <w:tcW w:w="6090" w:type="dxa"/>
          </w:tcPr>
          <w:p w:rsidR="001A3409" w:rsidRPr="004B7894" w:rsidRDefault="00231807">
            <w:pPr>
              <w:spacing w:line="360" w:lineRule="auto"/>
              <w:jc w:val="both"/>
              <w:rPr>
                <w:rFonts w:ascii="Arial" w:hAnsi="Arial" w:cs="Arial"/>
              </w:rPr>
            </w:pPr>
            <w:r w:rsidRPr="004B7894">
              <w:rPr>
                <w:rFonts w:ascii="Arial" w:hAnsi="Arial" w:cs="Arial"/>
              </w:rPr>
              <w:t xml:space="preserve">Jedním z hlavních přínosů realizace </w:t>
            </w:r>
            <w:r w:rsidR="00AE4A07" w:rsidRPr="004B7894">
              <w:rPr>
                <w:rFonts w:ascii="Arial" w:hAnsi="Arial" w:cs="Arial"/>
              </w:rPr>
              <w:t>P</w:t>
            </w:r>
            <w:r w:rsidRPr="004B7894">
              <w:rPr>
                <w:rFonts w:ascii="Arial" w:hAnsi="Arial" w:cs="Arial"/>
              </w:rPr>
              <w:t xml:space="preserve">rojektu formou PPP je propojení stavební a </w:t>
            </w:r>
            <w:r w:rsidR="00FB400B" w:rsidRPr="004B7894">
              <w:rPr>
                <w:rFonts w:ascii="Arial" w:hAnsi="Arial" w:cs="Arial"/>
              </w:rPr>
              <w:t xml:space="preserve">provozní / </w:t>
            </w:r>
            <w:r w:rsidRPr="004B7894">
              <w:rPr>
                <w:rFonts w:ascii="Arial" w:hAnsi="Arial" w:cs="Arial"/>
              </w:rPr>
              <w:t xml:space="preserve">udržovací fáze </w:t>
            </w:r>
            <w:r w:rsidR="00C55413" w:rsidRPr="004B7894">
              <w:rPr>
                <w:rFonts w:ascii="Arial" w:hAnsi="Arial" w:cs="Arial"/>
              </w:rPr>
              <w:t>P</w:t>
            </w:r>
            <w:r w:rsidRPr="004B7894">
              <w:rPr>
                <w:rFonts w:ascii="Arial" w:hAnsi="Arial" w:cs="Arial"/>
              </w:rPr>
              <w:t xml:space="preserve">rojektu. Od </w:t>
            </w:r>
            <w:r w:rsidR="00CE3F9F" w:rsidRPr="004B7894">
              <w:rPr>
                <w:rFonts w:ascii="Arial" w:hAnsi="Arial" w:cs="Arial"/>
              </w:rPr>
              <w:t>K</w:t>
            </w:r>
            <w:r w:rsidRPr="004B7894">
              <w:rPr>
                <w:rFonts w:ascii="Arial" w:hAnsi="Arial" w:cs="Arial"/>
              </w:rPr>
              <w:t xml:space="preserve">oncesionáře se očekává, že bude schopen sladit úvodní stavební fázi s navazujícími cykly údržby, </w:t>
            </w:r>
            <w:r w:rsidR="00803C7A" w:rsidRPr="004B7894">
              <w:rPr>
                <w:rFonts w:ascii="Arial" w:hAnsi="Arial" w:cs="Arial"/>
              </w:rPr>
              <w:t>čímž</w:t>
            </w:r>
            <w:r w:rsidRPr="004B7894">
              <w:rPr>
                <w:rFonts w:ascii="Arial" w:hAnsi="Arial" w:cs="Arial"/>
              </w:rPr>
              <w:t xml:space="preserve"> zabezpečí </w:t>
            </w:r>
            <w:r w:rsidR="006F583A" w:rsidRPr="004B7894">
              <w:rPr>
                <w:rFonts w:ascii="Arial" w:hAnsi="Arial" w:cs="Arial"/>
              </w:rPr>
              <w:t xml:space="preserve">odpovídající </w:t>
            </w:r>
            <w:r w:rsidRPr="004B7894">
              <w:rPr>
                <w:rFonts w:ascii="Arial" w:hAnsi="Arial" w:cs="Arial"/>
              </w:rPr>
              <w:t xml:space="preserve">kvalitu povrchů a minimalizuje </w:t>
            </w:r>
            <w:r w:rsidR="006F583A" w:rsidRPr="004B7894">
              <w:rPr>
                <w:rFonts w:ascii="Arial" w:hAnsi="Arial" w:cs="Arial"/>
              </w:rPr>
              <w:t xml:space="preserve">omezení dostupnosti dálnice </w:t>
            </w:r>
            <w:r w:rsidRPr="004B7894">
              <w:rPr>
                <w:rFonts w:ascii="Arial" w:hAnsi="Arial" w:cs="Arial"/>
              </w:rPr>
              <w:t xml:space="preserve">při provádění udržovacích prací. </w:t>
            </w:r>
            <w:r w:rsidR="00550921" w:rsidRPr="004B7894">
              <w:rPr>
                <w:rFonts w:ascii="Arial" w:hAnsi="Arial" w:cs="Arial"/>
              </w:rPr>
              <w:t xml:space="preserve">Koncesionářská smlouva stanoví povinnost, aby </w:t>
            </w:r>
            <w:r w:rsidR="005C2B0A" w:rsidRPr="004B7894">
              <w:rPr>
                <w:rFonts w:ascii="Arial" w:hAnsi="Arial" w:cs="Arial"/>
              </w:rPr>
              <w:t xml:space="preserve">v rámci </w:t>
            </w:r>
            <w:r w:rsidR="00550921" w:rsidRPr="004B7894">
              <w:rPr>
                <w:rFonts w:ascii="Arial" w:hAnsi="Arial" w:cs="Arial"/>
              </w:rPr>
              <w:t>S</w:t>
            </w:r>
            <w:r w:rsidR="00EF2C31" w:rsidRPr="004B7894">
              <w:rPr>
                <w:rFonts w:ascii="Arial" w:hAnsi="Arial" w:cs="Arial"/>
              </w:rPr>
              <w:t>távající</w:t>
            </w:r>
            <w:r w:rsidR="005C2B0A" w:rsidRPr="004B7894">
              <w:rPr>
                <w:rFonts w:ascii="Arial" w:hAnsi="Arial" w:cs="Arial"/>
              </w:rPr>
              <w:t>ch</w:t>
            </w:r>
            <w:r w:rsidR="00427BB9" w:rsidRPr="004B7894">
              <w:rPr>
                <w:rFonts w:ascii="Arial" w:hAnsi="Arial" w:cs="Arial"/>
              </w:rPr>
              <w:t xml:space="preserve"> úsek</w:t>
            </w:r>
            <w:r w:rsidR="005C2B0A" w:rsidRPr="004B7894">
              <w:rPr>
                <w:rFonts w:ascii="Arial" w:hAnsi="Arial" w:cs="Arial"/>
              </w:rPr>
              <w:t>ů</w:t>
            </w:r>
            <w:r w:rsidR="00EF2C31" w:rsidRPr="004B7894">
              <w:rPr>
                <w:rFonts w:ascii="Arial" w:hAnsi="Arial" w:cs="Arial"/>
              </w:rPr>
              <w:t xml:space="preserve"> </w:t>
            </w:r>
            <w:r w:rsidR="00550921" w:rsidRPr="004B7894">
              <w:rPr>
                <w:rFonts w:ascii="Arial" w:hAnsi="Arial" w:cs="Arial"/>
              </w:rPr>
              <w:t>K</w:t>
            </w:r>
            <w:r w:rsidR="00427BB9" w:rsidRPr="004B7894">
              <w:rPr>
                <w:rFonts w:ascii="Arial" w:hAnsi="Arial" w:cs="Arial"/>
              </w:rPr>
              <w:t xml:space="preserve">oncesionář </w:t>
            </w:r>
            <w:r w:rsidR="005C2B0A" w:rsidRPr="004B7894">
              <w:rPr>
                <w:rFonts w:ascii="Arial" w:hAnsi="Arial" w:cs="Arial"/>
              </w:rPr>
              <w:t xml:space="preserve">realizoval vybrané SO na Stávajících úsecích a aby je provozoval ve srovnatelné kvalitě s Novými úseky. </w:t>
            </w:r>
            <w:r w:rsidR="00550921" w:rsidRPr="004B7894">
              <w:rPr>
                <w:rFonts w:ascii="Arial" w:hAnsi="Arial" w:cs="Arial"/>
              </w:rPr>
              <w:t>K</w:t>
            </w:r>
            <w:r w:rsidR="007E5AFF" w:rsidRPr="004B7894">
              <w:rPr>
                <w:rFonts w:ascii="Arial" w:hAnsi="Arial" w:cs="Arial"/>
              </w:rPr>
              <w:t>oncesionář pře</w:t>
            </w:r>
            <w:r w:rsidR="00550921" w:rsidRPr="004B7894">
              <w:rPr>
                <w:rFonts w:ascii="Arial" w:hAnsi="Arial" w:cs="Arial"/>
              </w:rPr>
              <w:t>bírá</w:t>
            </w:r>
            <w:r w:rsidR="007E5AFF" w:rsidRPr="004B7894">
              <w:rPr>
                <w:rFonts w:ascii="Arial" w:hAnsi="Arial" w:cs="Arial"/>
              </w:rPr>
              <w:t xml:space="preserve"> i zodpovědnost za zajištění provedení plošných archeologických průzkumů tak, aby jejich postup a způsob jejich provádění v koordinaci s plánem organizace výstavby </w:t>
            </w:r>
            <w:r w:rsidR="003E30E9" w:rsidRPr="004B7894">
              <w:rPr>
                <w:rFonts w:ascii="Arial" w:hAnsi="Arial" w:cs="Arial"/>
              </w:rPr>
              <w:t>K</w:t>
            </w:r>
            <w:r w:rsidR="007E5AFF" w:rsidRPr="004B7894">
              <w:rPr>
                <w:rFonts w:ascii="Arial" w:hAnsi="Arial" w:cs="Arial"/>
              </w:rPr>
              <w:t>oncesionáře nebyl rizikem státu.</w:t>
            </w:r>
            <w:r w:rsidR="00397186" w:rsidRPr="004B7894">
              <w:rPr>
                <w:rFonts w:ascii="Arial" w:hAnsi="Arial" w:cs="Arial"/>
              </w:rPr>
              <w:t xml:space="preserve"> V rámci </w:t>
            </w:r>
            <w:r w:rsidR="00C55413" w:rsidRPr="004B7894">
              <w:rPr>
                <w:rFonts w:ascii="Arial" w:hAnsi="Arial" w:cs="Arial"/>
              </w:rPr>
              <w:t xml:space="preserve">dílčích </w:t>
            </w:r>
            <w:r w:rsidR="00550921" w:rsidRPr="004B7894">
              <w:rPr>
                <w:rFonts w:ascii="Arial" w:hAnsi="Arial" w:cs="Arial"/>
              </w:rPr>
              <w:t xml:space="preserve">hodnotících kritérií byly obsaženy též kvalitativní parametry dálnice v okamžiku </w:t>
            </w:r>
            <w:r w:rsidR="00352366" w:rsidRPr="004B7894">
              <w:rPr>
                <w:rFonts w:ascii="Arial" w:hAnsi="Arial" w:cs="Arial"/>
              </w:rPr>
              <w:t>jejího</w:t>
            </w:r>
            <w:r w:rsidR="00550921" w:rsidRPr="004B7894">
              <w:rPr>
                <w:rFonts w:ascii="Arial" w:hAnsi="Arial" w:cs="Arial"/>
              </w:rPr>
              <w:t xml:space="preserve"> </w:t>
            </w:r>
            <w:r w:rsidR="00DB66B9" w:rsidRPr="004B7894">
              <w:rPr>
                <w:rFonts w:ascii="Arial" w:hAnsi="Arial" w:cs="Arial"/>
              </w:rPr>
              <w:t>Z</w:t>
            </w:r>
            <w:r w:rsidR="00550921" w:rsidRPr="004B7894">
              <w:rPr>
                <w:rFonts w:ascii="Arial" w:hAnsi="Arial" w:cs="Arial"/>
              </w:rPr>
              <w:t xml:space="preserve">pětného </w:t>
            </w:r>
            <w:r w:rsidR="00DB66B9" w:rsidRPr="004B7894">
              <w:rPr>
                <w:rFonts w:ascii="Arial" w:hAnsi="Arial" w:cs="Arial"/>
              </w:rPr>
              <w:t>předání</w:t>
            </w:r>
            <w:r w:rsidR="00550921" w:rsidRPr="004B7894">
              <w:rPr>
                <w:rFonts w:ascii="Arial" w:hAnsi="Arial" w:cs="Arial"/>
              </w:rPr>
              <w:t xml:space="preserve">, přičemž nabídka </w:t>
            </w:r>
            <w:r w:rsidR="00DB66B9" w:rsidRPr="004B7894">
              <w:rPr>
                <w:rFonts w:ascii="Arial" w:hAnsi="Arial" w:cs="Arial"/>
              </w:rPr>
              <w:t>vybraného dodavatele</w:t>
            </w:r>
            <w:r w:rsidR="00550921" w:rsidRPr="004B7894">
              <w:rPr>
                <w:rFonts w:ascii="Arial" w:hAnsi="Arial" w:cs="Arial"/>
              </w:rPr>
              <w:t xml:space="preserve"> obsahuje</w:t>
            </w:r>
            <w:r w:rsidR="00AE305F" w:rsidRPr="004B7894">
              <w:rPr>
                <w:rFonts w:ascii="Arial" w:hAnsi="Arial" w:cs="Arial"/>
              </w:rPr>
              <w:t xml:space="preserve"> nejlepší</w:t>
            </w:r>
            <w:r w:rsidR="00550921" w:rsidRPr="004B7894">
              <w:rPr>
                <w:rFonts w:ascii="Arial" w:hAnsi="Arial" w:cs="Arial"/>
              </w:rPr>
              <w:t xml:space="preserve"> </w:t>
            </w:r>
            <w:r w:rsidR="006E23EF" w:rsidRPr="004B7894">
              <w:rPr>
                <w:rFonts w:ascii="Arial" w:hAnsi="Arial" w:cs="Arial"/>
              </w:rPr>
              <w:t xml:space="preserve">možné </w:t>
            </w:r>
            <w:r w:rsidR="00550921" w:rsidRPr="004B7894">
              <w:rPr>
                <w:rFonts w:ascii="Arial" w:hAnsi="Arial" w:cs="Arial"/>
              </w:rPr>
              <w:t>hodnoty kvality povrchu</w:t>
            </w:r>
            <w:r w:rsidR="006E23EF" w:rsidRPr="004B7894">
              <w:rPr>
                <w:rFonts w:ascii="Arial" w:hAnsi="Arial" w:cs="Arial"/>
              </w:rPr>
              <w:t xml:space="preserve"> (parametry I</w:t>
            </w:r>
            <w:r w:rsidR="00026A57" w:rsidRPr="004B7894">
              <w:rPr>
                <w:rFonts w:ascii="Arial" w:hAnsi="Arial" w:cs="Arial"/>
              </w:rPr>
              <w:t>RI</w:t>
            </w:r>
            <w:r w:rsidR="006E23EF" w:rsidRPr="004B7894">
              <w:rPr>
                <w:rFonts w:ascii="Arial" w:hAnsi="Arial" w:cs="Arial"/>
              </w:rPr>
              <w:t xml:space="preserve"> a </w:t>
            </w:r>
            <w:r w:rsidR="00026A57" w:rsidRPr="004B7894">
              <w:rPr>
                <w:rFonts w:ascii="Arial" w:hAnsi="Arial" w:cs="Arial"/>
              </w:rPr>
              <w:t>hloubka vyježděných kolejí</w:t>
            </w:r>
            <w:r w:rsidR="006E23EF" w:rsidRPr="004B7894">
              <w:rPr>
                <w:rFonts w:ascii="Arial" w:hAnsi="Arial" w:cs="Arial"/>
              </w:rPr>
              <w:t>)</w:t>
            </w:r>
            <w:r w:rsidR="00550921" w:rsidRPr="004B7894">
              <w:rPr>
                <w:rFonts w:ascii="Arial" w:hAnsi="Arial" w:cs="Arial"/>
              </w:rPr>
              <w:t>, které Zadavatel připouštěl. Tím je zaručeno, že dálnice bude po konci Koncesní lhůty předána státu v parametrech umožňující</w:t>
            </w:r>
            <w:r w:rsidR="00E73C24" w:rsidRPr="004B7894">
              <w:rPr>
                <w:rFonts w:ascii="Arial" w:hAnsi="Arial" w:cs="Arial"/>
              </w:rPr>
              <w:t>ch</w:t>
            </w:r>
            <w:r w:rsidR="00550921" w:rsidRPr="004B7894">
              <w:rPr>
                <w:rFonts w:ascii="Arial" w:hAnsi="Arial" w:cs="Arial"/>
              </w:rPr>
              <w:t xml:space="preserve"> její další dlouhodobé provozování bez nutnosti realizace jednorázových výdajů na její obnovu </w:t>
            </w:r>
            <w:r w:rsidR="00397186" w:rsidRPr="004B7894">
              <w:rPr>
                <w:rFonts w:ascii="Arial" w:hAnsi="Arial" w:cs="Arial"/>
              </w:rPr>
              <w:t>(</w:t>
            </w:r>
            <w:r w:rsidR="00550921" w:rsidRPr="004B7894">
              <w:rPr>
                <w:rFonts w:ascii="Arial" w:hAnsi="Arial" w:cs="Arial"/>
              </w:rPr>
              <w:t xml:space="preserve">podrobně viz </w:t>
            </w:r>
            <w:r w:rsidR="00397186" w:rsidRPr="004B7894">
              <w:rPr>
                <w:rFonts w:ascii="Arial" w:hAnsi="Arial" w:cs="Arial"/>
              </w:rPr>
              <w:t xml:space="preserve">Příloha č. </w:t>
            </w:r>
            <w:r w:rsidR="00397186" w:rsidRPr="004B7894">
              <w:rPr>
                <w:rFonts w:ascii="Arial" w:hAnsi="Arial" w:cs="Arial"/>
              </w:rPr>
              <w:lastRenderedPageBreak/>
              <w:t xml:space="preserve">14 Koncesionářské smlouvy </w:t>
            </w:r>
            <w:r w:rsidR="00550921" w:rsidRPr="004B7894">
              <w:rPr>
                <w:rFonts w:ascii="Arial" w:hAnsi="Arial" w:cs="Arial"/>
              </w:rPr>
              <w:t>– Požadavky na zpětné předání).</w:t>
            </w:r>
          </w:p>
        </w:tc>
      </w:tr>
      <w:tr w:rsidR="002F614C" w:rsidTr="00CC5E2F">
        <w:tc>
          <w:tcPr>
            <w:tcW w:w="2972" w:type="dxa"/>
          </w:tcPr>
          <w:p w:rsidR="00CC5E2F" w:rsidRPr="004B7894" w:rsidRDefault="00231807" w:rsidP="00C15A73">
            <w:pPr>
              <w:spacing w:line="360" w:lineRule="auto"/>
              <w:rPr>
                <w:rFonts w:ascii="Arial" w:hAnsi="Arial" w:cs="Arial"/>
              </w:rPr>
            </w:pPr>
            <w:r w:rsidRPr="004B7894">
              <w:rPr>
                <w:rFonts w:ascii="Arial" w:hAnsi="Arial" w:cs="Arial"/>
              </w:rPr>
              <w:lastRenderedPageBreak/>
              <w:t xml:space="preserve">Finanční parametry </w:t>
            </w:r>
            <w:r w:rsidR="00C15A73" w:rsidRPr="004B7894">
              <w:rPr>
                <w:rFonts w:ascii="Arial" w:hAnsi="Arial" w:cs="Arial"/>
              </w:rPr>
              <w:t>P</w:t>
            </w:r>
            <w:r w:rsidRPr="004B7894">
              <w:rPr>
                <w:rFonts w:ascii="Arial" w:hAnsi="Arial" w:cs="Arial"/>
              </w:rPr>
              <w:t xml:space="preserve">rojektu </w:t>
            </w:r>
          </w:p>
        </w:tc>
        <w:tc>
          <w:tcPr>
            <w:tcW w:w="6090" w:type="dxa"/>
          </w:tcPr>
          <w:p w:rsidR="00C9351F" w:rsidRPr="004B7894" w:rsidRDefault="00231807" w:rsidP="00AC7436">
            <w:pPr>
              <w:spacing w:line="360" w:lineRule="auto"/>
              <w:jc w:val="both"/>
              <w:rPr>
                <w:rFonts w:ascii="Arial" w:hAnsi="Arial" w:cs="Arial"/>
              </w:rPr>
            </w:pPr>
            <w:r w:rsidRPr="004B7894">
              <w:rPr>
                <w:rFonts w:ascii="Arial" w:hAnsi="Arial" w:cs="Arial"/>
              </w:rPr>
              <w:t xml:space="preserve">Viz kapitola Základní principy realizace </w:t>
            </w:r>
            <w:r w:rsidR="00C15A73" w:rsidRPr="004B7894">
              <w:rPr>
                <w:rFonts w:ascii="Arial" w:hAnsi="Arial" w:cs="Arial"/>
              </w:rPr>
              <w:t>P</w:t>
            </w:r>
            <w:r w:rsidRPr="004B7894">
              <w:rPr>
                <w:rFonts w:ascii="Arial" w:hAnsi="Arial" w:cs="Arial"/>
              </w:rPr>
              <w:t xml:space="preserve">rojektu dle Koncesionářské smlouvy a platby Koncesionáři tohoto materiálu, resp. Přílohy č. </w:t>
            </w:r>
            <w:r w:rsidR="003E30E9" w:rsidRPr="004B7894">
              <w:rPr>
                <w:rFonts w:ascii="Arial" w:hAnsi="Arial" w:cs="Arial"/>
              </w:rPr>
              <w:t xml:space="preserve">11, č. 12, č. </w:t>
            </w:r>
            <w:r w:rsidRPr="004B7894">
              <w:rPr>
                <w:rFonts w:ascii="Arial" w:hAnsi="Arial" w:cs="Arial"/>
              </w:rPr>
              <w:t>15</w:t>
            </w:r>
            <w:r w:rsidR="003E30E9" w:rsidRPr="004B7894">
              <w:rPr>
                <w:rFonts w:ascii="Arial" w:hAnsi="Arial" w:cs="Arial"/>
              </w:rPr>
              <w:t xml:space="preserve"> a</w:t>
            </w:r>
            <w:r w:rsidRPr="004B7894">
              <w:rPr>
                <w:rFonts w:ascii="Arial" w:hAnsi="Arial" w:cs="Arial"/>
              </w:rPr>
              <w:t xml:space="preserve"> č. 16 Koncesionářské smlouvy a k nim relevantní ustanovení Koncesionářské smlouvy.</w:t>
            </w:r>
          </w:p>
          <w:p w:rsidR="00CC5E2F" w:rsidRPr="004B7894" w:rsidRDefault="00CC5E2F" w:rsidP="00AC7436">
            <w:pPr>
              <w:spacing w:line="360" w:lineRule="auto"/>
              <w:jc w:val="both"/>
              <w:rPr>
                <w:rFonts w:ascii="Arial" w:hAnsi="Arial" w:cs="Arial"/>
              </w:rPr>
            </w:pPr>
          </w:p>
        </w:tc>
      </w:tr>
      <w:tr w:rsidR="002F614C" w:rsidTr="000166BF">
        <w:tc>
          <w:tcPr>
            <w:tcW w:w="2972" w:type="dxa"/>
          </w:tcPr>
          <w:p w:rsidR="000166BF" w:rsidRPr="004B7894" w:rsidRDefault="00231807" w:rsidP="00F17673">
            <w:pPr>
              <w:spacing w:line="360" w:lineRule="auto"/>
              <w:rPr>
                <w:rFonts w:ascii="Arial" w:hAnsi="Arial" w:cs="Arial"/>
              </w:rPr>
            </w:pPr>
            <w:r w:rsidRPr="004B7894">
              <w:rPr>
                <w:rFonts w:ascii="Arial" w:hAnsi="Arial" w:cs="Arial"/>
              </w:rPr>
              <w:t xml:space="preserve">Délka smluvního vztahu </w:t>
            </w:r>
          </w:p>
        </w:tc>
        <w:tc>
          <w:tcPr>
            <w:tcW w:w="6090" w:type="dxa"/>
          </w:tcPr>
          <w:p w:rsidR="000166BF" w:rsidRPr="004B7894" w:rsidRDefault="00231807" w:rsidP="00AC7436">
            <w:pPr>
              <w:spacing w:line="360" w:lineRule="auto"/>
              <w:jc w:val="both"/>
              <w:rPr>
                <w:rFonts w:ascii="Arial" w:hAnsi="Arial" w:cs="Arial"/>
              </w:rPr>
            </w:pPr>
            <w:r w:rsidRPr="004B7894">
              <w:rPr>
                <w:rFonts w:ascii="Arial" w:hAnsi="Arial" w:cs="Arial"/>
              </w:rPr>
              <w:t xml:space="preserve">Celková délka smluvního vztahu </w:t>
            </w:r>
            <w:r w:rsidR="00FB400B" w:rsidRPr="004B7894">
              <w:rPr>
                <w:rFonts w:ascii="Arial" w:hAnsi="Arial" w:cs="Arial"/>
              </w:rPr>
              <w:t xml:space="preserve">je fixně stanovena na </w:t>
            </w:r>
            <w:r w:rsidR="00427BB9" w:rsidRPr="004B7894">
              <w:rPr>
                <w:rFonts w:ascii="Arial" w:hAnsi="Arial" w:cs="Arial"/>
              </w:rPr>
              <w:t>2</w:t>
            </w:r>
            <w:r w:rsidR="00223734" w:rsidRPr="004B7894">
              <w:rPr>
                <w:rFonts w:ascii="Arial" w:hAnsi="Arial" w:cs="Arial"/>
              </w:rPr>
              <w:t>8</w:t>
            </w:r>
            <w:r w:rsidR="00427BB9" w:rsidRPr="004B7894">
              <w:rPr>
                <w:rFonts w:ascii="Arial" w:hAnsi="Arial" w:cs="Arial"/>
              </w:rPr>
              <w:t xml:space="preserve"> </w:t>
            </w:r>
            <w:r w:rsidRPr="004B7894">
              <w:rPr>
                <w:rFonts w:ascii="Arial" w:hAnsi="Arial" w:cs="Arial"/>
              </w:rPr>
              <w:t>let, z</w:t>
            </w:r>
            <w:r w:rsidR="00F076F1" w:rsidRPr="004B7894">
              <w:rPr>
                <w:rFonts w:ascii="Arial" w:hAnsi="Arial" w:cs="Arial"/>
              </w:rPr>
              <w:t> </w:t>
            </w:r>
            <w:r w:rsidRPr="004B7894">
              <w:rPr>
                <w:rFonts w:ascii="Arial" w:hAnsi="Arial" w:cs="Arial"/>
              </w:rPr>
              <w:t>toho</w:t>
            </w:r>
            <w:r w:rsidR="00F076F1" w:rsidRPr="004B7894">
              <w:rPr>
                <w:rFonts w:ascii="Arial" w:hAnsi="Arial" w:cs="Arial"/>
              </w:rPr>
              <w:t xml:space="preserve"> je</w:t>
            </w:r>
            <w:r w:rsidR="00FB400B" w:rsidRPr="004B7894">
              <w:rPr>
                <w:rFonts w:ascii="Arial" w:hAnsi="Arial" w:cs="Arial"/>
              </w:rPr>
              <w:t xml:space="preserve"> </w:t>
            </w:r>
            <w:r w:rsidR="00F076F1" w:rsidRPr="004B7894">
              <w:rPr>
                <w:rFonts w:ascii="Arial" w:hAnsi="Arial" w:cs="Arial"/>
              </w:rPr>
              <w:t>dle nabídky</w:t>
            </w:r>
            <w:r w:rsidR="00C64E71" w:rsidRPr="004B7894">
              <w:rPr>
                <w:rFonts w:ascii="Arial" w:hAnsi="Arial" w:cs="Arial"/>
              </w:rPr>
              <w:t xml:space="preserve"> vybraného dodavatele</w:t>
            </w:r>
            <w:r w:rsidR="00F076F1" w:rsidRPr="004B7894">
              <w:rPr>
                <w:rFonts w:ascii="Arial" w:hAnsi="Arial" w:cs="Arial"/>
              </w:rPr>
              <w:t xml:space="preserve"> 44 měsíců</w:t>
            </w:r>
            <w:r w:rsidR="00427BB9" w:rsidRPr="004B7894">
              <w:rPr>
                <w:rFonts w:ascii="Arial" w:hAnsi="Arial" w:cs="Arial"/>
              </w:rPr>
              <w:t xml:space="preserve"> </w:t>
            </w:r>
            <w:r w:rsidR="00F076F1" w:rsidRPr="004B7894">
              <w:rPr>
                <w:rFonts w:ascii="Arial" w:hAnsi="Arial" w:cs="Arial"/>
              </w:rPr>
              <w:t>(</w:t>
            </w:r>
            <w:r w:rsidR="00C64E71" w:rsidRPr="004B7894">
              <w:rPr>
                <w:rFonts w:ascii="Arial" w:hAnsi="Arial" w:cs="Arial"/>
              </w:rPr>
              <w:t xml:space="preserve">tj. </w:t>
            </w:r>
            <w:r w:rsidR="00F076F1" w:rsidRPr="004B7894">
              <w:rPr>
                <w:rFonts w:ascii="Arial" w:hAnsi="Arial" w:cs="Arial"/>
              </w:rPr>
              <w:t xml:space="preserve">3 roky a 8 měsíců) </w:t>
            </w:r>
            <w:r w:rsidRPr="004B7894">
              <w:rPr>
                <w:rFonts w:ascii="Arial" w:hAnsi="Arial" w:cs="Arial"/>
              </w:rPr>
              <w:t xml:space="preserve">projektová a stavební </w:t>
            </w:r>
            <w:r w:rsidR="00C9351F" w:rsidRPr="004B7894">
              <w:rPr>
                <w:rFonts w:ascii="Arial" w:hAnsi="Arial" w:cs="Arial"/>
              </w:rPr>
              <w:t xml:space="preserve">fáze </w:t>
            </w:r>
            <w:r w:rsidRPr="004B7894">
              <w:rPr>
                <w:rFonts w:ascii="Arial" w:hAnsi="Arial" w:cs="Arial"/>
              </w:rPr>
              <w:t>a 2</w:t>
            </w:r>
            <w:r w:rsidR="00F076F1" w:rsidRPr="004B7894">
              <w:rPr>
                <w:rFonts w:ascii="Arial" w:hAnsi="Arial" w:cs="Arial"/>
              </w:rPr>
              <w:t>92 měsíců</w:t>
            </w:r>
            <w:r w:rsidRPr="004B7894">
              <w:rPr>
                <w:rFonts w:ascii="Arial" w:hAnsi="Arial" w:cs="Arial"/>
              </w:rPr>
              <w:t xml:space="preserve"> </w:t>
            </w:r>
            <w:r w:rsidR="00F076F1" w:rsidRPr="004B7894">
              <w:rPr>
                <w:rFonts w:ascii="Arial" w:hAnsi="Arial" w:cs="Arial"/>
              </w:rPr>
              <w:t>(</w:t>
            </w:r>
            <w:r w:rsidR="00C64E71" w:rsidRPr="004B7894">
              <w:rPr>
                <w:rFonts w:ascii="Arial" w:hAnsi="Arial" w:cs="Arial"/>
              </w:rPr>
              <w:t xml:space="preserve">tj. </w:t>
            </w:r>
            <w:r w:rsidR="00F076F1" w:rsidRPr="004B7894">
              <w:rPr>
                <w:rFonts w:ascii="Arial" w:hAnsi="Arial" w:cs="Arial"/>
              </w:rPr>
              <w:t xml:space="preserve">24 let a 4 měsíce) </w:t>
            </w:r>
            <w:r w:rsidR="00B25860" w:rsidRPr="004B7894">
              <w:rPr>
                <w:rFonts w:ascii="Arial" w:hAnsi="Arial" w:cs="Arial"/>
              </w:rPr>
              <w:t xml:space="preserve">fáze </w:t>
            </w:r>
            <w:r w:rsidRPr="004B7894">
              <w:rPr>
                <w:rFonts w:ascii="Arial" w:hAnsi="Arial" w:cs="Arial"/>
              </w:rPr>
              <w:t>provo</w:t>
            </w:r>
            <w:r w:rsidR="00097AE4" w:rsidRPr="004B7894">
              <w:rPr>
                <w:rFonts w:ascii="Arial" w:hAnsi="Arial" w:cs="Arial"/>
              </w:rPr>
              <w:t>z</w:t>
            </w:r>
            <w:r w:rsidR="00B25860" w:rsidRPr="004B7894">
              <w:rPr>
                <w:rFonts w:ascii="Arial" w:hAnsi="Arial" w:cs="Arial"/>
              </w:rPr>
              <w:t>ování</w:t>
            </w:r>
            <w:r w:rsidR="00097AE4" w:rsidRPr="004B7894">
              <w:rPr>
                <w:rFonts w:ascii="Arial" w:hAnsi="Arial" w:cs="Arial"/>
              </w:rPr>
              <w:t xml:space="preserve"> a údržby</w:t>
            </w:r>
            <w:r w:rsidR="000476A8" w:rsidRPr="004B7894">
              <w:rPr>
                <w:rFonts w:ascii="Arial" w:hAnsi="Arial" w:cs="Arial"/>
              </w:rPr>
              <w:t>.</w:t>
            </w:r>
          </w:p>
          <w:p w:rsidR="000166BF" w:rsidRPr="004B7894" w:rsidRDefault="000166BF" w:rsidP="00AC7436">
            <w:pPr>
              <w:spacing w:line="360" w:lineRule="auto"/>
              <w:jc w:val="both"/>
              <w:rPr>
                <w:rFonts w:ascii="Arial" w:hAnsi="Arial" w:cs="Arial"/>
              </w:rPr>
            </w:pPr>
          </w:p>
        </w:tc>
      </w:tr>
      <w:tr w:rsidR="002F614C" w:rsidTr="000166BF">
        <w:tc>
          <w:tcPr>
            <w:tcW w:w="2972" w:type="dxa"/>
          </w:tcPr>
          <w:p w:rsidR="000166BF" w:rsidRPr="004B7894" w:rsidRDefault="00231807" w:rsidP="00F17673">
            <w:pPr>
              <w:spacing w:line="360" w:lineRule="auto"/>
              <w:rPr>
                <w:rFonts w:ascii="Arial" w:hAnsi="Arial" w:cs="Arial"/>
              </w:rPr>
            </w:pPr>
            <w:r w:rsidRPr="004B7894">
              <w:rPr>
                <w:rFonts w:ascii="Arial" w:hAnsi="Arial" w:cs="Arial"/>
              </w:rPr>
              <w:t xml:space="preserve">Platební mechanismus </w:t>
            </w:r>
          </w:p>
        </w:tc>
        <w:tc>
          <w:tcPr>
            <w:tcW w:w="6090" w:type="dxa"/>
          </w:tcPr>
          <w:p w:rsidR="00427BB9" w:rsidRPr="004B7894" w:rsidRDefault="00231807" w:rsidP="00F17673">
            <w:pPr>
              <w:spacing w:line="360" w:lineRule="auto"/>
              <w:jc w:val="both"/>
              <w:rPr>
                <w:rFonts w:ascii="Arial" w:hAnsi="Arial" w:cs="Arial"/>
              </w:rPr>
            </w:pPr>
            <w:r w:rsidRPr="004B7894">
              <w:rPr>
                <w:rFonts w:ascii="Arial" w:hAnsi="Arial" w:cs="Arial"/>
              </w:rPr>
              <w:t xml:space="preserve">Platba za dostupnost je rozdělená </w:t>
            </w:r>
            <w:r w:rsidR="00EA21D6" w:rsidRPr="004B7894">
              <w:rPr>
                <w:rFonts w:ascii="Arial" w:hAnsi="Arial" w:cs="Arial"/>
              </w:rPr>
              <w:t>pom</w:t>
            </w:r>
            <w:r w:rsidR="002877F9" w:rsidRPr="004B7894">
              <w:rPr>
                <w:rFonts w:ascii="Arial" w:hAnsi="Arial" w:cs="Arial"/>
              </w:rPr>
              <w:t>ě</w:t>
            </w:r>
            <w:r w:rsidR="00EA21D6" w:rsidRPr="004B7894">
              <w:rPr>
                <w:rFonts w:ascii="Arial" w:hAnsi="Arial" w:cs="Arial"/>
              </w:rPr>
              <w:t xml:space="preserve">rně </w:t>
            </w:r>
            <w:r w:rsidR="002877F9" w:rsidRPr="004B7894">
              <w:rPr>
                <w:rFonts w:ascii="Arial" w:hAnsi="Arial" w:cs="Arial"/>
              </w:rPr>
              <w:t xml:space="preserve">na jednotlivé úseky </w:t>
            </w:r>
            <w:r w:rsidR="003579B0" w:rsidRPr="004B7894">
              <w:rPr>
                <w:rFonts w:ascii="Arial" w:hAnsi="Arial" w:cs="Arial"/>
              </w:rPr>
              <w:t xml:space="preserve">dle jejich délky a </w:t>
            </w:r>
            <w:r w:rsidR="00EA21D6" w:rsidRPr="004B7894">
              <w:rPr>
                <w:rFonts w:ascii="Arial" w:hAnsi="Arial" w:cs="Arial"/>
              </w:rPr>
              <w:t>výš</w:t>
            </w:r>
            <w:r w:rsidR="003579B0" w:rsidRPr="004B7894">
              <w:rPr>
                <w:rFonts w:ascii="Arial" w:hAnsi="Arial" w:cs="Arial"/>
              </w:rPr>
              <w:t>e</w:t>
            </w:r>
            <w:r w:rsidR="00EA21D6" w:rsidRPr="004B7894">
              <w:rPr>
                <w:rFonts w:ascii="Arial" w:hAnsi="Arial" w:cs="Arial"/>
              </w:rPr>
              <w:t xml:space="preserve"> pr</w:t>
            </w:r>
            <w:r w:rsidR="00C64E71" w:rsidRPr="004B7894">
              <w:rPr>
                <w:rFonts w:ascii="Arial" w:hAnsi="Arial" w:cs="Arial"/>
              </w:rPr>
              <w:t>o</w:t>
            </w:r>
            <w:r w:rsidR="00EA21D6" w:rsidRPr="004B7894">
              <w:rPr>
                <w:rFonts w:ascii="Arial" w:hAnsi="Arial" w:cs="Arial"/>
              </w:rPr>
              <w:t>investovaných CAPEX</w:t>
            </w:r>
            <w:r w:rsidR="00FF4934" w:rsidRPr="004B7894">
              <w:rPr>
                <w:rFonts w:ascii="Arial" w:hAnsi="Arial" w:cs="Arial"/>
              </w:rPr>
              <w:t>, př</w:t>
            </w:r>
            <w:r w:rsidR="00B3184D" w:rsidRPr="004B7894">
              <w:rPr>
                <w:rFonts w:ascii="Arial" w:hAnsi="Arial" w:cs="Arial"/>
              </w:rPr>
              <w:t>ič</w:t>
            </w:r>
            <w:r w:rsidR="008821D1" w:rsidRPr="004B7894">
              <w:rPr>
                <w:rFonts w:ascii="Arial" w:hAnsi="Arial" w:cs="Arial"/>
              </w:rPr>
              <w:t>e</w:t>
            </w:r>
            <w:r w:rsidR="00B3184D" w:rsidRPr="004B7894">
              <w:rPr>
                <w:rFonts w:ascii="Arial" w:hAnsi="Arial" w:cs="Arial"/>
              </w:rPr>
              <w:t>mž</w:t>
            </w:r>
            <w:r w:rsidR="002877F9" w:rsidRPr="004B7894">
              <w:rPr>
                <w:rFonts w:ascii="Arial" w:hAnsi="Arial" w:cs="Arial"/>
              </w:rPr>
              <w:t xml:space="preserve"> </w:t>
            </w:r>
            <w:r w:rsidR="008821D1" w:rsidRPr="004B7894">
              <w:rPr>
                <w:rFonts w:ascii="Arial" w:hAnsi="Arial" w:cs="Arial"/>
              </w:rPr>
              <w:t>P</w:t>
            </w:r>
            <w:r w:rsidR="002877F9" w:rsidRPr="004B7894">
              <w:rPr>
                <w:rFonts w:ascii="Arial" w:hAnsi="Arial" w:cs="Arial"/>
              </w:rPr>
              <w:t>latba za dostupnost ve vztahu ke Stávajícím úsekům bude vypl</w:t>
            </w:r>
            <w:r w:rsidR="0066703B" w:rsidRPr="004B7894">
              <w:rPr>
                <w:rFonts w:ascii="Arial" w:hAnsi="Arial" w:cs="Arial"/>
              </w:rPr>
              <w:t>á</w:t>
            </w:r>
            <w:r w:rsidR="002877F9" w:rsidRPr="004B7894">
              <w:rPr>
                <w:rFonts w:ascii="Arial" w:hAnsi="Arial" w:cs="Arial"/>
              </w:rPr>
              <w:t>cen</w:t>
            </w:r>
            <w:r w:rsidR="00C64E71" w:rsidRPr="004B7894">
              <w:rPr>
                <w:rFonts w:ascii="Arial" w:hAnsi="Arial" w:cs="Arial"/>
              </w:rPr>
              <w:t>a</w:t>
            </w:r>
            <w:r w:rsidR="002877F9" w:rsidRPr="004B7894">
              <w:rPr>
                <w:rFonts w:ascii="Arial" w:hAnsi="Arial" w:cs="Arial"/>
              </w:rPr>
              <w:t xml:space="preserve"> </w:t>
            </w:r>
            <w:r w:rsidR="006F583A" w:rsidRPr="004B7894">
              <w:rPr>
                <w:rFonts w:ascii="Arial" w:hAnsi="Arial" w:cs="Arial"/>
              </w:rPr>
              <w:t>až p</w:t>
            </w:r>
            <w:r w:rsidR="009A2B20" w:rsidRPr="004B7894">
              <w:rPr>
                <w:rFonts w:ascii="Arial" w:hAnsi="Arial" w:cs="Arial"/>
              </w:rPr>
              <w:t xml:space="preserve">o uvedení </w:t>
            </w:r>
            <w:r w:rsidR="002877F9" w:rsidRPr="004B7894">
              <w:rPr>
                <w:rFonts w:ascii="Arial" w:hAnsi="Arial" w:cs="Arial"/>
              </w:rPr>
              <w:t>prvníh</w:t>
            </w:r>
            <w:r w:rsidR="00FF4D5D" w:rsidRPr="004B7894">
              <w:rPr>
                <w:rFonts w:ascii="Arial" w:hAnsi="Arial" w:cs="Arial"/>
              </w:rPr>
              <w:t>o</w:t>
            </w:r>
            <w:r w:rsidR="002877F9" w:rsidRPr="004B7894">
              <w:rPr>
                <w:rFonts w:ascii="Arial" w:hAnsi="Arial" w:cs="Arial"/>
              </w:rPr>
              <w:t xml:space="preserve"> </w:t>
            </w:r>
            <w:r w:rsidR="00C64E71" w:rsidRPr="004B7894">
              <w:rPr>
                <w:rFonts w:ascii="Arial" w:hAnsi="Arial" w:cs="Arial"/>
              </w:rPr>
              <w:t>N</w:t>
            </w:r>
            <w:r w:rsidR="00C11B28" w:rsidRPr="004B7894">
              <w:rPr>
                <w:rFonts w:ascii="Arial" w:hAnsi="Arial" w:cs="Arial"/>
              </w:rPr>
              <w:t>ov</w:t>
            </w:r>
            <w:r w:rsidR="00FF4D5D" w:rsidRPr="004B7894">
              <w:rPr>
                <w:rFonts w:ascii="Arial" w:hAnsi="Arial" w:cs="Arial"/>
              </w:rPr>
              <w:t>é</w:t>
            </w:r>
            <w:r w:rsidR="00C11B28" w:rsidRPr="004B7894">
              <w:rPr>
                <w:rFonts w:ascii="Arial" w:hAnsi="Arial" w:cs="Arial"/>
              </w:rPr>
              <w:t>h</w:t>
            </w:r>
            <w:r w:rsidR="00FF4D5D" w:rsidRPr="004B7894">
              <w:rPr>
                <w:rFonts w:ascii="Arial" w:hAnsi="Arial" w:cs="Arial"/>
              </w:rPr>
              <w:t>o</w:t>
            </w:r>
            <w:r w:rsidR="00A377D1" w:rsidRPr="004B7894">
              <w:rPr>
                <w:rFonts w:ascii="Arial" w:hAnsi="Arial" w:cs="Arial"/>
              </w:rPr>
              <w:t xml:space="preserve"> </w:t>
            </w:r>
            <w:r w:rsidR="00FF4D5D" w:rsidRPr="004B7894">
              <w:rPr>
                <w:rFonts w:ascii="Arial" w:hAnsi="Arial" w:cs="Arial"/>
              </w:rPr>
              <w:t xml:space="preserve">úseku </w:t>
            </w:r>
            <w:r w:rsidR="009A2B20" w:rsidRPr="004B7894">
              <w:rPr>
                <w:rFonts w:ascii="Arial" w:hAnsi="Arial" w:cs="Arial"/>
              </w:rPr>
              <w:t>dálnice D4 do provozu</w:t>
            </w:r>
            <w:r w:rsidR="00B3184D" w:rsidRPr="004B7894">
              <w:rPr>
                <w:rFonts w:ascii="Arial" w:hAnsi="Arial" w:cs="Arial"/>
              </w:rPr>
              <w:t xml:space="preserve">. </w:t>
            </w:r>
            <w:r w:rsidR="00F076F1" w:rsidRPr="004B7894">
              <w:rPr>
                <w:rFonts w:ascii="Arial" w:hAnsi="Arial" w:cs="Arial"/>
                <w:b/>
              </w:rPr>
              <w:t>První</w:t>
            </w:r>
            <w:r w:rsidR="00B3184D" w:rsidRPr="004B7894">
              <w:rPr>
                <w:rFonts w:ascii="Arial" w:hAnsi="Arial" w:cs="Arial"/>
                <w:b/>
              </w:rPr>
              <w:t xml:space="preserve"> měsíční</w:t>
            </w:r>
            <w:r w:rsidR="00F076F1" w:rsidRPr="004B7894">
              <w:rPr>
                <w:rFonts w:ascii="Arial" w:hAnsi="Arial" w:cs="Arial"/>
                <w:b/>
              </w:rPr>
              <w:t xml:space="preserve"> </w:t>
            </w:r>
            <w:r w:rsidR="008821D1" w:rsidRPr="004B7894">
              <w:rPr>
                <w:rFonts w:ascii="Arial" w:hAnsi="Arial" w:cs="Arial"/>
                <w:b/>
              </w:rPr>
              <w:t>P</w:t>
            </w:r>
            <w:r w:rsidR="00F076F1" w:rsidRPr="004B7894">
              <w:rPr>
                <w:rFonts w:ascii="Arial" w:hAnsi="Arial" w:cs="Arial"/>
                <w:b/>
              </w:rPr>
              <w:t>latb</w:t>
            </w:r>
            <w:r w:rsidR="000D4987" w:rsidRPr="004B7894">
              <w:rPr>
                <w:rFonts w:ascii="Arial" w:hAnsi="Arial" w:cs="Arial"/>
                <w:b/>
              </w:rPr>
              <w:t>u</w:t>
            </w:r>
            <w:r w:rsidR="00F076F1" w:rsidRPr="004B7894">
              <w:rPr>
                <w:rFonts w:ascii="Arial" w:hAnsi="Arial" w:cs="Arial"/>
                <w:b/>
              </w:rPr>
              <w:t xml:space="preserve"> za dostupnost se předpokládá hradit od 1</w:t>
            </w:r>
            <w:r w:rsidR="001A03E9" w:rsidRPr="004B7894">
              <w:rPr>
                <w:rFonts w:ascii="Arial" w:hAnsi="Arial" w:cs="Arial"/>
                <w:b/>
              </w:rPr>
              <w:t>1</w:t>
            </w:r>
            <w:r w:rsidR="00F076F1" w:rsidRPr="004B7894">
              <w:rPr>
                <w:rFonts w:ascii="Arial" w:hAnsi="Arial" w:cs="Arial"/>
                <w:b/>
              </w:rPr>
              <w:t>/2024</w:t>
            </w:r>
            <w:r w:rsidR="00F076F1" w:rsidRPr="004B7894">
              <w:rPr>
                <w:rFonts w:ascii="Arial" w:hAnsi="Arial" w:cs="Arial"/>
              </w:rPr>
              <w:t xml:space="preserve"> </w:t>
            </w:r>
            <w:r w:rsidR="00B3184D" w:rsidRPr="004B7894">
              <w:rPr>
                <w:rFonts w:ascii="Arial" w:hAnsi="Arial" w:cs="Arial"/>
              </w:rPr>
              <w:t xml:space="preserve">za předpokladu </w:t>
            </w:r>
            <w:r w:rsidR="00F076F1" w:rsidRPr="004B7894">
              <w:rPr>
                <w:rFonts w:ascii="Arial" w:hAnsi="Arial" w:cs="Arial"/>
              </w:rPr>
              <w:t xml:space="preserve">uvedení do provozu </w:t>
            </w:r>
            <w:r w:rsidR="00DC4568" w:rsidRPr="004B7894">
              <w:rPr>
                <w:rFonts w:ascii="Arial" w:hAnsi="Arial" w:cs="Arial"/>
              </w:rPr>
              <w:t xml:space="preserve">alespoň jednoho Nového </w:t>
            </w:r>
            <w:r w:rsidR="00F076F1" w:rsidRPr="004B7894">
              <w:rPr>
                <w:rFonts w:ascii="Arial" w:hAnsi="Arial" w:cs="Arial"/>
              </w:rPr>
              <w:t>úsek</w:t>
            </w:r>
            <w:r w:rsidR="00DC4568" w:rsidRPr="004B7894">
              <w:rPr>
                <w:rFonts w:ascii="Arial" w:hAnsi="Arial" w:cs="Arial"/>
              </w:rPr>
              <w:t>u</w:t>
            </w:r>
            <w:r w:rsidR="00F076F1" w:rsidRPr="004B7894">
              <w:rPr>
                <w:rFonts w:ascii="Arial" w:hAnsi="Arial" w:cs="Arial"/>
              </w:rPr>
              <w:t xml:space="preserve"> k</w:t>
            </w:r>
            <w:r w:rsidR="001A03E9" w:rsidRPr="004B7894">
              <w:rPr>
                <w:rFonts w:ascii="Arial" w:hAnsi="Arial" w:cs="Arial"/>
              </w:rPr>
              <w:t> 31. </w:t>
            </w:r>
            <w:r w:rsidR="00F076F1" w:rsidRPr="004B7894">
              <w:rPr>
                <w:rFonts w:ascii="Arial" w:hAnsi="Arial" w:cs="Arial"/>
              </w:rPr>
              <w:t>10</w:t>
            </w:r>
            <w:r w:rsidR="001A03E9" w:rsidRPr="004B7894">
              <w:rPr>
                <w:rFonts w:ascii="Arial" w:hAnsi="Arial" w:cs="Arial"/>
              </w:rPr>
              <w:t>. </w:t>
            </w:r>
            <w:r w:rsidR="00F076F1" w:rsidRPr="004B7894">
              <w:rPr>
                <w:rFonts w:ascii="Arial" w:hAnsi="Arial" w:cs="Arial"/>
              </w:rPr>
              <w:t>2024</w:t>
            </w:r>
            <w:r w:rsidR="001A03E9" w:rsidRPr="004B7894">
              <w:rPr>
                <w:rFonts w:ascii="Arial" w:hAnsi="Arial" w:cs="Arial"/>
              </w:rPr>
              <w:t xml:space="preserve"> jak vyplývá z Úvodního harmonogramu vybraného dodavatele</w:t>
            </w:r>
            <w:r w:rsidR="00F076F1" w:rsidRPr="004B7894">
              <w:rPr>
                <w:rFonts w:ascii="Arial" w:hAnsi="Arial" w:cs="Arial"/>
              </w:rPr>
              <w:t xml:space="preserve">. </w:t>
            </w:r>
            <w:r w:rsidR="006F583A" w:rsidRPr="004B7894">
              <w:rPr>
                <w:rFonts w:ascii="Arial" w:hAnsi="Arial" w:cs="Arial"/>
              </w:rPr>
              <w:t xml:space="preserve">Výše </w:t>
            </w:r>
            <w:r w:rsidR="00FF4D5D" w:rsidRPr="004B7894">
              <w:rPr>
                <w:rFonts w:ascii="Arial" w:hAnsi="Arial" w:cs="Arial"/>
              </w:rPr>
              <w:t>P</w:t>
            </w:r>
            <w:r w:rsidR="006F583A" w:rsidRPr="004B7894">
              <w:rPr>
                <w:rFonts w:ascii="Arial" w:hAnsi="Arial" w:cs="Arial"/>
              </w:rPr>
              <w:t>latby za dostupnost</w:t>
            </w:r>
            <w:r w:rsidR="00B25860" w:rsidRPr="004B7894">
              <w:rPr>
                <w:rFonts w:ascii="Arial" w:hAnsi="Arial" w:cs="Arial"/>
              </w:rPr>
              <w:t xml:space="preserve"> </w:t>
            </w:r>
            <w:r w:rsidR="00112F8B" w:rsidRPr="004B7894">
              <w:rPr>
                <w:rFonts w:ascii="Arial" w:hAnsi="Arial" w:cs="Arial"/>
              </w:rPr>
              <w:t xml:space="preserve">je </w:t>
            </w:r>
            <w:r w:rsidR="00B25860" w:rsidRPr="004B7894">
              <w:rPr>
                <w:rFonts w:ascii="Arial" w:hAnsi="Arial" w:cs="Arial"/>
              </w:rPr>
              <w:t xml:space="preserve">vázána </w:t>
            </w:r>
            <w:r w:rsidR="000166BF" w:rsidRPr="004B7894">
              <w:rPr>
                <w:rFonts w:ascii="Arial" w:hAnsi="Arial" w:cs="Arial"/>
              </w:rPr>
              <w:t xml:space="preserve">na </w:t>
            </w:r>
            <w:r w:rsidR="000476A8" w:rsidRPr="004B7894">
              <w:rPr>
                <w:rFonts w:ascii="Arial" w:hAnsi="Arial" w:cs="Arial"/>
              </w:rPr>
              <w:t xml:space="preserve">dodržování dohodnutých kritérií </w:t>
            </w:r>
            <w:r w:rsidR="000166BF" w:rsidRPr="004B7894">
              <w:rPr>
                <w:rFonts w:ascii="Arial" w:hAnsi="Arial" w:cs="Arial"/>
              </w:rPr>
              <w:t>kvalit</w:t>
            </w:r>
            <w:r w:rsidR="000476A8" w:rsidRPr="004B7894">
              <w:rPr>
                <w:rFonts w:ascii="Arial" w:hAnsi="Arial" w:cs="Arial"/>
              </w:rPr>
              <w:t>y</w:t>
            </w:r>
            <w:r w:rsidR="000166BF" w:rsidRPr="004B7894">
              <w:rPr>
                <w:rFonts w:ascii="Arial" w:hAnsi="Arial" w:cs="Arial"/>
              </w:rPr>
              <w:t xml:space="preserve"> a dostupnost</w:t>
            </w:r>
            <w:r w:rsidR="000476A8" w:rsidRPr="004B7894">
              <w:rPr>
                <w:rFonts w:ascii="Arial" w:hAnsi="Arial" w:cs="Arial"/>
              </w:rPr>
              <w:t>i</w:t>
            </w:r>
            <w:r w:rsidR="000166BF" w:rsidRPr="004B7894">
              <w:rPr>
                <w:rFonts w:ascii="Arial" w:hAnsi="Arial" w:cs="Arial"/>
              </w:rPr>
              <w:t xml:space="preserve"> </w:t>
            </w:r>
            <w:r w:rsidR="006D799D" w:rsidRPr="004B7894">
              <w:rPr>
                <w:rFonts w:ascii="Arial" w:hAnsi="Arial" w:cs="Arial"/>
              </w:rPr>
              <w:t xml:space="preserve">jednotlivých úseků </w:t>
            </w:r>
            <w:r w:rsidR="000166BF" w:rsidRPr="004B7894">
              <w:rPr>
                <w:rFonts w:ascii="Arial" w:hAnsi="Arial" w:cs="Arial"/>
              </w:rPr>
              <w:t xml:space="preserve">dálnice. Platební mechanismus </w:t>
            </w:r>
            <w:r w:rsidR="00112F8B" w:rsidRPr="004B7894">
              <w:rPr>
                <w:rFonts w:ascii="Arial" w:hAnsi="Arial" w:cs="Arial"/>
              </w:rPr>
              <w:t xml:space="preserve">vyžaduje </w:t>
            </w:r>
            <w:r w:rsidR="000166BF" w:rsidRPr="004B7894">
              <w:rPr>
                <w:rFonts w:ascii="Arial" w:hAnsi="Arial" w:cs="Arial"/>
              </w:rPr>
              <w:t>pravidelný systém kontroly kvality a dostupnosti</w:t>
            </w:r>
            <w:r w:rsidR="004541A5" w:rsidRPr="004B7894">
              <w:rPr>
                <w:rFonts w:ascii="Arial" w:hAnsi="Arial" w:cs="Arial"/>
              </w:rPr>
              <w:t xml:space="preserve"> ze strany SFDI (</w:t>
            </w:r>
            <w:r w:rsidR="006F583A" w:rsidRPr="004B7894">
              <w:rPr>
                <w:rFonts w:ascii="Arial" w:hAnsi="Arial" w:cs="Arial"/>
              </w:rPr>
              <w:t xml:space="preserve">subjekt, z jehož zdrojů budou platby za dostupnost vypláceny v souladu s § 2 odst. 1 písm. h) </w:t>
            </w:r>
            <w:r w:rsidR="000D4987" w:rsidRPr="004B7894">
              <w:rPr>
                <w:rFonts w:ascii="Arial" w:hAnsi="Arial" w:cs="Arial"/>
              </w:rPr>
              <w:t>Z</w:t>
            </w:r>
            <w:r w:rsidR="006F583A" w:rsidRPr="004B7894">
              <w:rPr>
                <w:rFonts w:ascii="Arial" w:hAnsi="Arial" w:cs="Arial"/>
              </w:rPr>
              <w:t>ákona o SFDI</w:t>
            </w:r>
            <w:r w:rsidR="004541A5" w:rsidRPr="004B7894">
              <w:rPr>
                <w:rFonts w:ascii="Arial" w:hAnsi="Arial" w:cs="Arial"/>
              </w:rPr>
              <w:t>)</w:t>
            </w:r>
            <w:r w:rsidR="002912FF" w:rsidRPr="004B7894">
              <w:rPr>
                <w:rFonts w:ascii="Arial" w:hAnsi="Arial" w:cs="Arial"/>
              </w:rPr>
              <w:t xml:space="preserve"> a Ministerstva dopravy. Robustní systém monitoringu </w:t>
            </w:r>
            <w:r w:rsidR="00F076F1" w:rsidRPr="004B7894">
              <w:rPr>
                <w:rFonts w:ascii="Arial" w:hAnsi="Arial" w:cs="Arial"/>
              </w:rPr>
              <w:t>K</w:t>
            </w:r>
            <w:r w:rsidR="002912FF" w:rsidRPr="004B7894">
              <w:rPr>
                <w:rFonts w:ascii="Arial" w:hAnsi="Arial" w:cs="Arial"/>
              </w:rPr>
              <w:t>oncesionáře</w:t>
            </w:r>
            <w:r w:rsidR="000166BF" w:rsidRPr="004B7894">
              <w:rPr>
                <w:rFonts w:ascii="Arial" w:hAnsi="Arial" w:cs="Arial"/>
              </w:rPr>
              <w:t xml:space="preserve"> zabezpečí </w:t>
            </w:r>
            <w:r w:rsidR="002912FF" w:rsidRPr="004B7894">
              <w:rPr>
                <w:rFonts w:ascii="Arial" w:hAnsi="Arial" w:cs="Arial"/>
              </w:rPr>
              <w:t xml:space="preserve">jeho </w:t>
            </w:r>
            <w:r w:rsidR="000166BF" w:rsidRPr="004B7894">
              <w:rPr>
                <w:rFonts w:ascii="Arial" w:hAnsi="Arial" w:cs="Arial"/>
              </w:rPr>
              <w:t xml:space="preserve">dostatečnou motivaci v dlouhodobém časovém horizontu. </w:t>
            </w:r>
            <w:r w:rsidRPr="004B7894">
              <w:rPr>
                <w:rFonts w:ascii="Arial" w:hAnsi="Arial" w:cs="Arial"/>
              </w:rPr>
              <w:t xml:space="preserve">V případě nedostupnosti nebo nedostatečné kvality </w:t>
            </w:r>
            <w:r w:rsidR="00F076F1" w:rsidRPr="004B7894">
              <w:rPr>
                <w:rFonts w:ascii="Arial" w:hAnsi="Arial" w:cs="Arial"/>
              </w:rPr>
              <w:t xml:space="preserve">poskytovaných </w:t>
            </w:r>
            <w:r w:rsidR="005E0090" w:rsidRPr="004B7894">
              <w:rPr>
                <w:rFonts w:ascii="Arial" w:hAnsi="Arial" w:cs="Arial"/>
              </w:rPr>
              <w:t>S</w:t>
            </w:r>
            <w:r w:rsidR="00F076F1" w:rsidRPr="004B7894">
              <w:rPr>
                <w:rFonts w:ascii="Arial" w:hAnsi="Arial" w:cs="Arial"/>
              </w:rPr>
              <w:t xml:space="preserve">lužeb (požadavky na Služby viz Příloha č. 9) </w:t>
            </w:r>
            <w:r w:rsidRPr="004B7894">
              <w:rPr>
                <w:rFonts w:ascii="Arial" w:hAnsi="Arial" w:cs="Arial"/>
              </w:rPr>
              <w:t xml:space="preserve">budou </w:t>
            </w:r>
            <w:r w:rsidR="009E5D0F" w:rsidRPr="004B7894">
              <w:rPr>
                <w:rFonts w:ascii="Arial" w:hAnsi="Arial" w:cs="Arial"/>
              </w:rPr>
              <w:t>na</w:t>
            </w:r>
            <w:r w:rsidRPr="004B7894">
              <w:rPr>
                <w:rFonts w:ascii="Arial" w:hAnsi="Arial" w:cs="Arial"/>
              </w:rPr>
              <w:t> platb</w:t>
            </w:r>
            <w:r w:rsidR="009E5D0F" w:rsidRPr="004B7894">
              <w:rPr>
                <w:rFonts w:ascii="Arial" w:hAnsi="Arial" w:cs="Arial"/>
              </w:rPr>
              <w:t>u</w:t>
            </w:r>
            <w:r w:rsidRPr="004B7894">
              <w:rPr>
                <w:rFonts w:ascii="Arial" w:hAnsi="Arial" w:cs="Arial"/>
              </w:rPr>
              <w:t xml:space="preserve"> za dostupnost aplikovány smluvně definované srážky</w:t>
            </w:r>
            <w:r w:rsidR="00F076F1" w:rsidRPr="004B7894">
              <w:rPr>
                <w:rFonts w:ascii="Arial" w:hAnsi="Arial" w:cs="Arial"/>
              </w:rPr>
              <w:t xml:space="preserve"> (Příloha č.</w:t>
            </w:r>
            <w:r w:rsidR="0026237B" w:rsidRPr="004B7894">
              <w:rPr>
                <w:rFonts w:ascii="Arial" w:hAnsi="Arial" w:cs="Arial"/>
              </w:rPr>
              <w:t> </w:t>
            </w:r>
            <w:r w:rsidR="00F076F1" w:rsidRPr="004B7894">
              <w:rPr>
                <w:rFonts w:ascii="Arial" w:hAnsi="Arial" w:cs="Arial"/>
              </w:rPr>
              <w:t>9 v kombinaci s Přílohou č. 11)</w:t>
            </w:r>
            <w:r w:rsidRPr="004B7894">
              <w:rPr>
                <w:rFonts w:ascii="Arial" w:hAnsi="Arial" w:cs="Arial"/>
              </w:rPr>
              <w:t>.</w:t>
            </w:r>
            <w:r w:rsidR="00145808" w:rsidRPr="004B7894">
              <w:rPr>
                <w:rFonts w:ascii="Arial" w:hAnsi="Arial" w:cs="Arial"/>
              </w:rPr>
              <w:t xml:space="preserve"> </w:t>
            </w:r>
            <w:r w:rsidRPr="004B7894">
              <w:rPr>
                <w:rFonts w:ascii="Arial" w:hAnsi="Arial" w:cs="Arial"/>
              </w:rPr>
              <w:t xml:space="preserve">Do </w:t>
            </w:r>
            <w:r w:rsidR="0026237B" w:rsidRPr="004B7894">
              <w:rPr>
                <w:rFonts w:ascii="Arial" w:hAnsi="Arial" w:cs="Arial"/>
              </w:rPr>
              <w:t xml:space="preserve">uvedení do provozu prvního Nového úseku </w:t>
            </w:r>
            <w:r w:rsidRPr="004B7894">
              <w:rPr>
                <w:rFonts w:ascii="Arial" w:hAnsi="Arial" w:cs="Arial"/>
              </w:rPr>
              <w:t xml:space="preserve">bude </w:t>
            </w:r>
            <w:r w:rsidR="00F076F1" w:rsidRPr="004B7894">
              <w:rPr>
                <w:rFonts w:ascii="Arial" w:hAnsi="Arial" w:cs="Arial"/>
              </w:rPr>
              <w:t>K</w:t>
            </w:r>
            <w:r w:rsidRPr="004B7894">
              <w:rPr>
                <w:rFonts w:ascii="Arial" w:hAnsi="Arial" w:cs="Arial"/>
              </w:rPr>
              <w:t>oncesionář odpovědn</w:t>
            </w:r>
            <w:r w:rsidR="009E5D0F" w:rsidRPr="004B7894">
              <w:rPr>
                <w:rFonts w:ascii="Arial" w:hAnsi="Arial" w:cs="Arial"/>
              </w:rPr>
              <w:t>ý</w:t>
            </w:r>
            <w:r w:rsidRPr="004B7894">
              <w:rPr>
                <w:rFonts w:ascii="Arial" w:hAnsi="Arial" w:cs="Arial"/>
              </w:rPr>
              <w:t xml:space="preserve"> za provoz</w:t>
            </w:r>
            <w:r w:rsidR="009E5D0F" w:rsidRPr="004B7894">
              <w:rPr>
                <w:rFonts w:ascii="Arial" w:hAnsi="Arial" w:cs="Arial"/>
              </w:rPr>
              <w:t>ování</w:t>
            </w:r>
            <w:r w:rsidRPr="004B7894">
              <w:rPr>
                <w:rFonts w:ascii="Arial" w:hAnsi="Arial" w:cs="Arial"/>
              </w:rPr>
              <w:t xml:space="preserve"> a údržbu </w:t>
            </w:r>
            <w:r w:rsidR="00F076F1" w:rsidRPr="004B7894">
              <w:rPr>
                <w:rFonts w:ascii="Arial" w:hAnsi="Arial" w:cs="Arial"/>
              </w:rPr>
              <w:t>Stávajících</w:t>
            </w:r>
            <w:r w:rsidR="009E5D0F" w:rsidRPr="004B7894">
              <w:rPr>
                <w:rFonts w:ascii="Arial" w:hAnsi="Arial" w:cs="Arial"/>
              </w:rPr>
              <w:t xml:space="preserve"> </w:t>
            </w:r>
            <w:r w:rsidRPr="004B7894">
              <w:rPr>
                <w:rFonts w:ascii="Arial" w:hAnsi="Arial" w:cs="Arial"/>
              </w:rPr>
              <w:t xml:space="preserve">úseků, </w:t>
            </w:r>
            <w:r w:rsidR="00F076F1" w:rsidRPr="004B7894">
              <w:rPr>
                <w:rFonts w:ascii="Arial" w:hAnsi="Arial" w:cs="Arial"/>
              </w:rPr>
              <w:t>přičemž nezbytné náklady na tuto činnost jsou zahrnuty do investičních nákladů</w:t>
            </w:r>
            <w:r w:rsidR="00C11B28" w:rsidRPr="004B7894">
              <w:rPr>
                <w:rFonts w:ascii="Arial" w:hAnsi="Arial" w:cs="Arial"/>
              </w:rPr>
              <w:t xml:space="preserve"> </w:t>
            </w:r>
            <w:r w:rsidR="00F076F1" w:rsidRPr="004B7894">
              <w:rPr>
                <w:rFonts w:ascii="Arial" w:hAnsi="Arial" w:cs="Arial"/>
              </w:rPr>
              <w:lastRenderedPageBreak/>
              <w:t>a nebudou Koncesionáři hrazeny samostatně před zahájením Provozního období.</w:t>
            </w:r>
          </w:p>
          <w:p w:rsidR="008D02EA" w:rsidRPr="004B7894" w:rsidRDefault="00231807" w:rsidP="00231807">
            <w:pPr>
              <w:spacing w:line="360" w:lineRule="auto"/>
              <w:jc w:val="both"/>
              <w:rPr>
                <w:rFonts w:ascii="Arial" w:hAnsi="Arial" w:cs="Arial"/>
              </w:rPr>
            </w:pPr>
            <w:r w:rsidRPr="004B7894">
              <w:rPr>
                <w:rFonts w:ascii="Arial" w:hAnsi="Arial" w:cs="Arial"/>
              </w:rPr>
              <w:t>Platba</w:t>
            </w:r>
            <w:r w:rsidR="00145808" w:rsidRPr="004B7894">
              <w:rPr>
                <w:rFonts w:ascii="Arial" w:hAnsi="Arial" w:cs="Arial"/>
              </w:rPr>
              <w:t xml:space="preserve"> za dostupnost </w:t>
            </w:r>
            <w:r w:rsidR="00F076F1" w:rsidRPr="004B7894">
              <w:rPr>
                <w:rFonts w:ascii="Arial" w:hAnsi="Arial" w:cs="Arial"/>
              </w:rPr>
              <w:t>r</w:t>
            </w:r>
            <w:r w:rsidR="00145808" w:rsidRPr="004B7894">
              <w:rPr>
                <w:rFonts w:ascii="Arial" w:hAnsi="Arial" w:cs="Arial"/>
              </w:rPr>
              <w:t>espekt</w:t>
            </w:r>
            <w:r w:rsidR="00F076F1" w:rsidRPr="004B7894">
              <w:rPr>
                <w:rFonts w:ascii="Arial" w:hAnsi="Arial" w:cs="Arial"/>
              </w:rPr>
              <w:t>uje</w:t>
            </w:r>
            <w:r w:rsidR="00145808" w:rsidRPr="004B7894">
              <w:rPr>
                <w:rFonts w:ascii="Arial" w:hAnsi="Arial" w:cs="Arial"/>
              </w:rPr>
              <w:t xml:space="preserve"> princip proporcionality. Teoreticky tedy budou </w:t>
            </w:r>
            <w:r w:rsidR="00F076F1" w:rsidRPr="004B7894">
              <w:rPr>
                <w:rFonts w:ascii="Arial" w:hAnsi="Arial" w:cs="Arial"/>
              </w:rPr>
              <w:t xml:space="preserve">Platby za dostupnost </w:t>
            </w:r>
            <w:r w:rsidR="00145808" w:rsidRPr="004B7894">
              <w:rPr>
                <w:rFonts w:ascii="Arial" w:hAnsi="Arial" w:cs="Arial"/>
              </w:rPr>
              <w:t xml:space="preserve">moci </w:t>
            </w:r>
            <w:r w:rsidR="00F076F1" w:rsidRPr="004B7894">
              <w:rPr>
                <w:rFonts w:ascii="Arial" w:hAnsi="Arial" w:cs="Arial"/>
              </w:rPr>
              <w:t xml:space="preserve">být </w:t>
            </w:r>
            <w:r w:rsidR="00145808" w:rsidRPr="004B7894">
              <w:rPr>
                <w:rFonts w:ascii="Arial" w:hAnsi="Arial" w:cs="Arial"/>
              </w:rPr>
              <w:t>při nulové dostupnosti sníž</w:t>
            </w:r>
            <w:r w:rsidR="00F076F1" w:rsidRPr="004B7894">
              <w:rPr>
                <w:rFonts w:ascii="Arial" w:hAnsi="Arial" w:cs="Arial"/>
              </w:rPr>
              <w:t>eny</w:t>
            </w:r>
            <w:r w:rsidR="00145808" w:rsidRPr="004B7894">
              <w:rPr>
                <w:rFonts w:ascii="Arial" w:hAnsi="Arial" w:cs="Arial"/>
              </w:rPr>
              <w:t xml:space="preserve"> až na nulu.</w:t>
            </w:r>
          </w:p>
        </w:tc>
      </w:tr>
      <w:tr w:rsidR="00231807" w:rsidRPr="0008136C" w:rsidTr="006842DE">
        <w:tc>
          <w:tcPr>
            <w:tcW w:w="2972" w:type="dxa"/>
          </w:tcPr>
          <w:p w:rsidR="00231807" w:rsidRPr="0008136C" w:rsidRDefault="00231807" w:rsidP="006842DE">
            <w:pPr>
              <w:spacing w:line="360" w:lineRule="auto"/>
              <w:rPr>
                <w:rFonts w:ascii="Arial" w:hAnsi="Arial" w:cs="Arial"/>
              </w:rPr>
            </w:pPr>
            <w:r>
              <w:rPr>
                <w:rFonts w:ascii="Arial" w:hAnsi="Arial" w:cs="Arial"/>
              </w:rPr>
              <w:lastRenderedPageBreak/>
              <w:t>Personální zabezpečení</w:t>
            </w:r>
          </w:p>
        </w:tc>
        <w:tc>
          <w:tcPr>
            <w:tcW w:w="6090" w:type="dxa"/>
          </w:tcPr>
          <w:p w:rsidR="00231807" w:rsidRDefault="00231807" w:rsidP="006842DE">
            <w:pPr>
              <w:spacing w:line="360" w:lineRule="auto"/>
              <w:jc w:val="both"/>
              <w:rPr>
                <w:rFonts w:ascii="Arial" w:hAnsi="Arial" w:cs="Arial"/>
              </w:rPr>
            </w:pPr>
            <w:r w:rsidRPr="0008136C">
              <w:rPr>
                <w:rFonts w:ascii="Arial" w:hAnsi="Arial" w:cs="Arial"/>
              </w:rPr>
              <w:t xml:space="preserve">S ohledem na </w:t>
            </w:r>
            <w:r>
              <w:rPr>
                <w:rFonts w:ascii="Arial" w:hAnsi="Arial" w:cs="Arial"/>
              </w:rPr>
              <w:t xml:space="preserve">komplexnost Koncesionářské smlouvy a </w:t>
            </w:r>
            <w:r w:rsidRPr="0008136C">
              <w:rPr>
                <w:rFonts w:ascii="Arial" w:hAnsi="Arial" w:cs="Arial"/>
              </w:rPr>
              <w:t>principy platebního mechanismu je nutné předpokládat každodenní zapojení zaměstnanc</w:t>
            </w:r>
            <w:r>
              <w:rPr>
                <w:rFonts w:ascii="Arial" w:hAnsi="Arial" w:cs="Arial"/>
              </w:rPr>
              <w:t>ů</w:t>
            </w:r>
            <w:r w:rsidRPr="0008136C">
              <w:rPr>
                <w:rFonts w:ascii="Arial" w:hAnsi="Arial" w:cs="Arial"/>
              </w:rPr>
              <w:t xml:space="preserve"> Ministerstva dopravy</w:t>
            </w:r>
            <w:r>
              <w:rPr>
                <w:rFonts w:ascii="Arial" w:hAnsi="Arial" w:cs="Arial"/>
              </w:rPr>
              <w:t xml:space="preserve"> do činností spojených s projektem PPP</w:t>
            </w:r>
            <w:r w:rsidRPr="0008136C">
              <w:rPr>
                <w:rFonts w:ascii="Arial" w:hAnsi="Arial" w:cs="Arial"/>
              </w:rPr>
              <w:t xml:space="preserve">. Ministerstvo dopravy v současnosti předpokládá, </w:t>
            </w:r>
            <w:r>
              <w:rPr>
                <w:rFonts w:ascii="Arial" w:hAnsi="Arial" w:cs="Arial"/>
              </w:rPr>
              <w:t xml:space="preserve">na základě vytěžení zkušeností pracovníků Ministerstva dopravy a výstavby SR, </w:t>
            </w:r>
            <w:r w:rsidRPr="0008136C">
              <w:rPr>
                <w:rFonts w:ascii="Arial" w:hAnsi="Arial" w:cs="Arial"/>
              </w:rPr>
              <w:t xml:space="preserve">že pro efektivní plnění </w:t>
            </w:r>
            <w:r>
              <w:rPr>
                <w:rFonts w:ascii="Arial" w:hAnsi="Arial" w:cs="Arial"/>
              </w:rPr>
              <w:t xml:space="preserve">povinností zadavatele, v průběhu plnění </w:t>
            </w:r>
            <w:r w:rsidRPr="0008136C">
              <w:rPr>
                <w:rFonts w:ascii="Arial" w:hAnsi="Arial" w:cs="Arial"/>
              </w:rPr>
              <w:t xml:space="preserve">Koncesionářské smlouvy bude </w:t>
            </w:r>
            <w:r w:rsidRPr="00125482">
              <w:rPr>
                <w:rFonts w:ascii="Arial" w:hAnsi="Arial" w:cs="Arial"/>
              </w:rPr>
              <w:t>nezbytné</w:t>
            </w:r>
            <w:r>
              <w:rPr>
                <w:rFonts w:ascii="Arial" w:hAnsi="Arial" w:cs="Arial"/>
              </w:rPr>
              <w:t xml:space="preserve"> zřídit v rámci existující organizační struktury oddělení PPP</w:t>
            </w:r>
            <w:r w:rsidR="005C6D54">
              <w:rPr>
                <w:rFonts w:ascii="Arial" w:hAnsi="Arial" w:cs="Arial"/>
              </w:rPr>
              <w:t>,</w:t>
            </w:r>
            <w:r>
              <w:rPr>
                <w:rFonts w:ascii="Arial" w:hAnsi="Arial" w:cs="Arial"/>
              </w:rPr>
              <w:t xml:space="preserve"> jehož zaměstnanci se budou </w:t>
            </w:r>
            <w:r w:rsidRPr="0008136C">
              <w:rPr>
                <w:rFonts w:ascii="Arial" w:hAnsi="Arial" w:cs="Arial"/>
              </w:rPr>
              <w:t>na 100 % úvazku věnovat</w:t>
            </w:r>
            <w:r>
              <w:rPr>
                <w:rFonts w:ascii="Arial" w:hAnsi="Arial" w:cs="Arial"/>
              </w:rPr>
              <w:t xml:space="preserve"> problematice PPP</w:t>
            </w:r>
            <w:r w:rsidRPr="0008136C">
              <w:rPr>
                <w:rFonts w:ascii="Arial" w:hAnsi="Arial" w:cs="Arial"/>
              </w:rPr>
              <w:t xml:space="preserve">, přičemž pro určité fáze předpokládáme zapojení externích </w:t>
            </w:r>
            <w:r w:rsidRPr="00F61498">
              <w:rPr>
                <w:rFonts w:ascii="Arial" w:hAnsi="Arial" w:cs="Arial"/>
              </w:rPr>
              <w:t xml:space="preserve">právních, technických či finančních </w:t>
            </w:r>
            <w:r w:rsidRPr="0008136C">
              <w:rPr>
                <w:rFonts w:ascii="Arial" w:hAnsi="Arial" w:cs="Arial"/>
              </w:rPr>
              <w:t xml:space="preserve">poradců (zejména ve fázích uplatňování nároků Koncesionářem či řešení sporů). Ministerstvo dopravy současně </w:t>
            </w:r>
            <w:r>
              <w:rPr>
                <w:rFonts w:ascii="Arial" w:hAnsi="Arial" w:cs="Arial"/>
              </w:rPr>
              <w:t xml:space="preserve">uvádí, opět na základě slovenských zkušeností, </w:t>
            </w:r>
            <w:r w:rsidRPr="0008136C">
              <w:rPr>
                <w:rFonts w:ascii="Arial" w:hAnsi="Arial" w:cs="Arial"/>
              </w:rPr>
              <w:t xml:space="preserve">že náklady na </w:t>
            </w:r>
            <w:r>
              <w:rPr>
                <w:rFonts w:ascii="Arial" w:hAnsi="Arial" w:cs="Arial"/>
              </w:rPr>
              <w:t xml:space="preserve">platy těchto </w:t>
            </w:r>
            <w:r w:rsidRPr="0008136C">
              <w:rPr>
                <w:rFonts w:ascii="Arial" w:hAnsi="Arial" w:cs="Arial"/>
              </w:rPr>
              <w:t>zaměstnanc</w:t>
            </w:r>
            <w:r>
              <w:rPr>
                <w:rFonts w:ascii="Arial" w:hAnsi="Arial" w:cs="Arial"/>
              </w:rPr>
              <w:t>ů</w:t>
            </w:r>
            <w:r w:rsidRPr="0008136C">
              <w:rPr>
                <w:rFonts w:ascii="Arial" w:hAnsi="Arial" w:cs="Arial"/>
              </w:rPr>
              <w:t xml:space="preserve"> </w:t>
            </w:r>
            <w:r>
              <w:rPr>
                <w:rFonts w:ascii="Arial" w:hAnsi="Arial" w:cs="Arial"/>
              </w:rPr>
              <w:t>a náklady na externí poradenské služby byly</w:t>
            </w:r>
            <w:r w:rsidRPr="0008136C">
              <w:rPr>
                <w:rFonts w:ascii="Arial" w:hAnsi="Arial" w:cs="Arial"/>
              </w:rPr>
              <w:t xml:space="preserve"> nižší, než částky jimi identifikovaných a vypočtených srážek uplatněných na Koncesionáři</w:t>
            </w:r>
            <w:r w:rsidRPr="00125482">
              <w:rPr>
                <w:rFonts w:ascii="Arial" w:hAnsi="Arial" w:cs="Arial"/>
              </w:rPr>
              <w:t>,</w:t>
            </w:r>
            <w:r>
              <w:rPr>
                <w:rFonts w:ascii="Arial" w:hAnsi="Arial" w:cs="Arial"/>
              </w:rPr>
              <w:t xml:space="preserve"> resp. nižší než úspora, které bude dosaženo </w:t>
            </w:r>
            <w:r w:rsidRPr="00125482">
              <w:rPr>
                <w:rFonts w:ascii="Arial" w:hAnsi="Arial" w:cs="Arial"/>
              </w:rPr>
              <w:t>minimalizací</w:t>
            </w:r>
            <w:r>
              <w:rPr>
                <w:rFonts w:ascii="Arial" w:hAnsi="Arial" w:cs="Arial"/>
              </w:rPr>
              <w:t xml:space="preserve"> rizik, které z Koncesionářské smlouvy pro zadavatele vyplývají</w:t>
            </w:r>
            <w:r w:rsidRPr="0008136C">
              <w:rPr>
                <w:rFonts w:ascii="Arial" w:hAnsi="Arial" w:cs="Arial"/>
              </w:rPr>
              <w:t>.</w:t>
            </w:r>
            <w:r>
              <w:rPr>
                <w:rFonts w:ascii="Arial" w:hAnsi="Arial" w:cs="Arial"/>
              </w:rPr>
              <w:t xml:space="preserve"> V rámci systemizace SFDI se nepředpokládá potřeba zřízení nových systemizovaných míst v případě, že bude zřízeno výše uvedené oddělení PPP v rámci Ministerstva dopravy. Činnosti, které bude SFDI muset ve vztahu ke Koncesionářské smlouvě vykonávat, budou moci být v takovém případě zajištěny v rámci současné systemizace. Potřeba navyšování pracovníků se nepředpokládá ani v rámci Ředitelství silnic a dálnic ČR, kde by naopak navýšení počtu pracovníků bylo nezbytné, pokud by projekt měl být realizován jinou formou než PPP.</w:t>
            </w:r>
          </w:p>
          <w:p w:rsidR="00231807" w:rsidRPr="0008136C" w:rsidRDefault="00231807" w:rsidP="006842DE">
            <w:pPr>
              <w:spacing w:line="360" w:lineRule="auto"/>
              <w:jc w:val="both"/>
              <w:rPr>
                <w:rFonts w:ascii="Arial" w:hAnsi="Arial" w:cs="Arial"/>
              </w:rPr>
            </w:pPr>
            <w:r>
              <w:rPr>
                <w:rFonts w:ascii="Arial" w:hAnsi="Arial" w:cs="Arial"/>
              </w:rPr>
              <w:t xml:space="preserve">Pouze pro srovnání uvádíme, že </w:t>
            </w:r>
            <w:r w:rsidRPr="00742A18">
              <w:rPr>
                <w:rFonts w:ascii="Arial" w:hAnsi="Arial" w:cs="Arial"/>
              </w:rPr>
              <w:t xml:space="preserve">Slovenská republika v současné době disponuje jedním dlouhodobě </w:t>
            </w:r>
            <w:r w:rsidRPr="00742A18">
              <w:rPr>
                <w:rFonts w:ascii="Arial" w:hAnsi="Arial" w:cs="Arial"/>
              </w:rPr>
              <w:lastRenderedPageBreak/>
              <w:t>provozovaným projektem (projekt PPP R1) v rozsahu 45,9</w:t>
            </w:r>
            <w:r w:rsidRPr="00A74F36">
              <w:rPr>
                <w:rFonts w:ascii="Arial" w:hAnsi="Arial" w:cs="Arial"/>
              </w:rPr>
              <w:t> </w:t>
            </w:r>
            <w:r w:rsidRPr="00742A18">
              <w:rPr>
                <w:rFonts w:ascii="Arial" w:hAnsi="Arial" w:cs="Arial"/>
              </w:rPr>
              <w:t xml:space="preserve"> km dálnice a 5,7 km silnice I. třídy. Projekt je v provozu od roku 2011. Dalším projektem, který je nyní v pokročilé fázi realizace, je projekt PPP D4/R7 o délce 27 km na D4 a 32 km na R7.</w:t>
            </w:r>
            <w:r>
              <w:rPr>
                <w:rFonts w:ascii="Arial" w:hAnsi="Arial" w:cs="Arial"/>
              </w:rPr>
              <w:t xml:space="preserve"> V rámci Ministerstva dopravy a </w:t>
            </w:r>
            <w:r w:rsidRPr="00671B41">
              <w:rPr>
                <w:rFonts w:ascii="Arial" w:hAnsi="Arial" w:cs="Arial"/>
              </w:rPr>
              <w:t>výstavby SR je pro agendu PPP zřízena samostatná sekce, která celkově čítá 13 osob</w:t>
            </w:r>
            <w:r w:rsidRPr="00A74F36">
              <w:rPr>
                <w:rFonts w:ascii="Arial" w:hAnsi="Arial" w:cs="Arial"/>
              </w:rPr>
              <w:t xml:space="preserve"> na plný úvazek.</w:t>
            </w:r>
            <w:r w:rsidRPr="00671B41">
              <w:rPr>
                <w:rFonts w:ascii="Arial" w:hAnsi="Arial" w:cs="Arial"/>
              </w:rPr>
              <w:t>. V souvislosti se zahájením provozu PPP D4/R7 v celém rozsahu se připravuje posílení minimálně o další 3</w:t>
            </w:r>
            <w:r>
              <w:rPr>
                <w:rFonts w:ascii="Arial" w:hAnsi="Arial" w:cs="Arial"/>
              </w:rPr>
              <w:t> </w:t>
            </w:r>
            <w:r w:rsidRPr="00671B41">
              <w:rPr>
                <w:rFonts w:ascii="Arial" w:hAnsi="Arial" w:cs="Arial"/>
              </w:rPr>
              <w:t>osoby</w:t>
            </w:r>
            <w:r w:rsidRPr="00A74F36">
              <w:rPr>
                <w:rFonts w:ascii="Arial" w:hAnsi="Arial" w:cs="Arial"/>
              </w:rPr>
              <w:t xml:space="preserve"> na plný úvazek.</w:t>
            </w:r>
            <w:r w:rsidRPr="00671B41">
              <w:rPr>
                <w:rFonts w:ascii="Arial" w:hAnsi="Arial" w:cs="Arial"/>
              </w:rPr>
              <w:t xml:space="preserve">. I přes tuto skutečnost jsou, resp. byly, především v průběhu přípravy a výstavby využívány u obou PPP projektů externí poradenské služby a to především v souvislosti s vedením sporové agendy. Pro ilustraci lze uvést, že za 9 let provozu projektu PPP R1 se vlastní činností zaměstnanců Ministerstva dopravy a výstavby SR podařilo dosáhnout navíc, nad srážky přiznané Koncesionářem, </w:t>
            </w:r>
            <w:r w:rsidRPr="00A74F36">
              <w:rPr>
                <w:rFonts w:ascii="Arial" w:hAnsi="Arial" w:cs="Arial"/>
              </w:rPr>
              <w:t>dodatečn</w:t>
            </w:r>
            <w:r>
              <w:rPr>
                <w:rFonts w:ascii="Arial" w:hAnsi="Arial" w:cs="Arial"/>
              </w:rPr>
              <w:t>é úspory</w:t>
            </w:r>
            <w:r w:rsidRPr="00671B41">
              <w:rPr>
                <w:rFonts w:ascii="Arial" w:hAnsi="Arial" w:cs="Arial"/>
              </w:rPr>
              <w:t xml:space="preserve"> ve výši 3,4 mil. EUR. Je tedy zjevně přínosné, aby se výkonu agendy PPP projektu věnovali vlastní zaměstnanci i v rámci činnosti Ministerstva dopravy a aby bylo připuštěno využívání externích poradenských služeb.</w:t>
            </w:r>
          </w:p>
        </w:tc>
      </w:tr>
      <w:tr w:rsidR="002F614C" w:rsidTr="000166BF">
        <w:tc>
          <w:tcPr>
            <w:tcW w:w="2972" w:type="dxa"/>
          </w:tcPr>
          <w:p w:rsidR="00CC5E2F" w:rsidRPr="004B7894" w:rsidRDefault="00231807" w:rsidP="00F17673">
            <w:pPr>
              <w:spacing w:line="360" w:lineRule="auto"/>
              <w:rPr>
                <w:rFonts w:ascii="Arial" w:hAnsi="Arial" w:cs="Arial"/>
              </w:rPr>
            </w:pPr>
            <w:r w:rsidRPr="004B7894">
              <w:rPr>
                <w:rFonts w:ascii="Arial" w:hAnsi="Arial" w:cs="Arial"/>
              </w:rPr>
              <w:lastRenderedPageBreak/>
              <w:t>Vlastnictví</w:t>
            </w:r>
          </w:p>
          <w:p w:rsidR="00CC5E2F" w:rsidRPr="004B7894" w:rsidRDefault="00CC5E2F" w:rsidP="00F17673">
            <w:pPr>
              <w:spacing w:line="360" w:lineRule="auto"/>
              <w:rPr>
                <w:rFonts w:ascii="Arial" w:hAnsi="Arial" w:cs="Arial"/>
              </w:rPr>
            </w:pPr>
          </w:p>
        </w:tc>
        <w:tc>
          <w:tcPr>
            <w:tcW w:w="6090" w:type="dxa"/>
          </w:tcPr>
          <w:p w:rsidR="00CC5E2F" w:rsidRPr="004B7894" w:rsidRDefault="00231807" w:rsidP="00C11B28">
            <w:pPr>
              <w:spacing w:line="360" w:lineRule="auto"/>
              <w:jc w:val="both"/>
              <w:rPr>
                <w:rFonts w:ascii="Arial" w:hAnsi="Arial" w:cs="Arial"/>
              </w:rPr>
            </w:pPr>
            <w:r w:rsidRPr="004B7894">
              <w:rPr>
                <w:rFonts w:ascii="Arial" w:hAnsi="Arial" w:cs="Arial"/>
                <w:b/>
              </w:rPr>
              <w:t>Nově vzniklá i modernizovaná aktiva budou po celou dobu smluvního vztahu</w:t>
            </w:r>
            <w:r w:rsidR="009E5D0F" w:rsidRPr="004B7894">
              <w:rPr>
                <w:rFonts w:ascii="Arial" w:hAnsi="Arial" w:cs="Arial"/>
                <w:b/>
              </w:rPr>
              <w:t>, i po jeho ukončení,</w:t>
            </w:r>
            <w:r w:rsidRPr="004B7894">
              <w:rPr>
                <w:rFonts w:ascii="Arial" w:hAnsi="Arial" w:cs="Arial"/>
                <w:b/>
              </w:rPr>
              <w:t xml:space="preserve"> ve vlastnictví státu</w:t>
            </w:r>
            <w:r w:rsidR="00C11B28" w:rsidRPr="004B7894">
              <w:rPr>
                <w:rFonts w:ascii="Arial" w:hAnsi="Arial" w:cs="Arial"/>
              </w:rPr>
              <w:t xml:space="preserve"> (jinou variantu ani </w:t>
            </w:r>
            <w:r w:rsidR="005E0090" w:rsidRPr="004B7894">
              <w:rPr>
                <w:rFonts w:ascii="Arial" w:hAnsi="Arial" w:cs="Arial"/>
              </w:rPr>
              <w:t>Z</w:t>
            </w:r>
            <w:r w:rsidR="00C11B28" w:rsidRPr="004B7894">
              <w:rPr>
                <w:rFonts w:ascii="Arial" w:hAnsi="Arial" w:cs="Arial"/>
              </w:rPr>
              <w:t xml:space="preserve">ákon </w:t>
            </w:r>
            <w:r w:rsidR="005E0090" w:rsidRPr="004B7894">
              <w:rPr>
                <w:rFonts w:ascii="Arial" w:hAnsi="Arial" w:cs="Arial"/>
              </w:rPr>
              <w:t>o pozemních komunikacích</w:t>
            </w:r>
            <w:r w:rsidR="00C11B28" w:rsidRPr="004B7894">
              <w:rPr>
                <w:rFonts w:ascii="Arial" w:hAnsi="Arial" w:cs="Arial"/>
              </w:rPr>
              <w:t xml:space="preserve"> nepřipouští)</w:t>
            </w:r>
            <w:r w:rsidRPr="004B7894">
              <w:rPr>
                <w:rFonts w:ascii="Arial" w:hAnsi="Arial" w:cs="Arial"/>
              </w:rPr>
              <w:t>.</w:t>
            </w:r>
            <w:r w:rsidR="00C11B28" w:rsidRPr="004B7894">
              <w:rPr>
                <w:rFonts w:ascii="Arial" w:hAnsi="Arial" w:cs="Arial"/>
              </w:rPr>
              <w:t xml:space="preserve"> Ekonomické vlastnictví (právo a povinnost provozovat a udržovat a brát užitky v podobě </w:t>
            </w:r>
            <w:r w:rsidR="002C3579" w:rsidRPr="004B7894">
              <w:rPr>
                <w:rFonts w:ascii="Arial" w:hAnsi="Arial" w:cs="Arial"/>
              </w:rPr>
              <w:t>P</w:t>
            </w:r>
            <w:r w:rsidR="00C11B28" w:rsidRPr="004B7894">
              <w:rPr>
                <w:rFonts w:ascii="Arial" w:hAnsi="Arial" w:cs="Arial"/>
              </w:rPr>
              <w:t xml:space="preserve">latby za dostupnost) bude na </w:t>
            </w:r>
            <w:r w:rsidR="004A626E" w:rsidRPr="004B7894">
              <w:rPr>
                <w:rFonts w:ascii="Arial" w:hAnsi="Arial" w:cs="Arial"/>
              </w:rPr>
              <w:t>K</w:t>
            </w:r>
            <w:r w:rsidR="00C11B28" w:rsidRPr="004B7894">
              <w:rPr>
                <w:rFonts w:ascii="Arial" w:hAnsi="Arial" w:cs="Arial"/>
              </w:rPr>
              <w:t xml:space="preserve">oncesionáři (souvislost s dále rozvedenou problematikou okamžiku vzniku daňové povinnosti k úhradě DPH). Příjmy z výkonového a časového zpoplatnění budou standardně příjmem SFDI a výnosnost z těchto poplatků žádným způsobem </w:t>
            </w:r>
            <w:r w:rsidR="00F076F1" w:rsidRPr="004B7894">
              <w:rPr>
                <w:rFonts w:ascii="Arial" w:hAnsi="Arial" w:cs="Arial"/>
              </w:rPr>
              <w:t>nevstupuje</w:t>
            </w:r>
            <w:r w:rsidR="00C11B28" w:rsidRPr="004B7894">
              <w:rPr>
                <w:rFonts w:ascii="Arial" w:hAnsi="Arial" w:cs="Arial"/>
              </w:rPr>
              <w:t xml:space="preserve"> do nastaveného platebního mechanismu.</w:t>
            </w:r>
            <w:r w:rsidRPr="004B7894">
              <w:rPr>
                <w:rFonts w:ascii="Arial" w:hAnsi="Arial" w:cs="Arial"/>
              </w:rPr>
              <w:t xml:space="preserve"> </w:t>
            </w:r>
          </w:p>
          <w:p w:rsidR="00CC5E2F" w:rsidRPr="004B7894" w:rsidRDefault="00CC5E2F" w:rsidP="00F17673">
            <w:pPr>
              <w:spacing w:line="360" w:lineRule="auto"/>
              <w:rPr>
                <w:rFonts w:ascii="Arial" w:hAnsi="Arial" w:cs="Arial"/>
              </w:rPr>
            </w:pPr>
          </w:p>
        </w:tc>
      </w:tr>
      <w:tr w:rsidR="002F614C" w:rsidTr="000166BF">
        <w:tc>
          <w:tcPr>
            <w:tcW w:w="2972" w:type="dxa"/>
          </w:tcPr>
          <w:p w:rsidR="000166BF" w:rsidRPr="004B7894" w:rsidRDefault="00231807" w:rsidP="00F17673">
            <w:pPr>
              <w:spacing w:line="360" w:lineRule="auto"/>
              <w:rPr>
                <w:rFonts w:ascii="Arial" w:hAnsi="Arial" w:cs="Arial"/>
              </w:rPr>
            </w:pPr>
            <w:r w:rsidRPr="004B7894">
              <w:rPr>
                <w:rFonts w:ascii="Arial" w:hAnsi="Arial" w:cs="Arial"/>
              </w:rPr>
              <w:t xml:space="preserve">Vykazování </w:t>
            </w:r>
            <w:r w:rsidR="00AE4A07" w:rsidRPr="004B7894">
              <w:rPr>
                <w:rFonts w:ascii="Arial" w:hAnsi="Arial" w:cs="Arial"/>
              </w:rPr>
              <w:t>P</w:t>
            </w:r>
            <w:r w:rsidRPr="004B7894">
              <w:rPr>
                <w:rFonts w:ascii="Arial" w:hAnsi="Arial" w:cs="Arial"/>
              </w:rPr>
              <w:t xml:space="preserve">rojektu v rámci </w:t>
            </w:r>
            <w:r w:rsidR="00772200" w:rsidRPr="004B7894">
              <w:rPr>
                <w:rFonts w:ascii="Arial" w:hAnsi="Arial" w:cs="Arial"/>
              </w:rPr>
              <w:t xml:space="preserve">pravidel </w:t>
            </w:r>
            <w:r w:rsidRPr="004B7894">
              <w:rPr>
                <w:rFonts w:ascii="Arial" w:hAnsi="Arial" w:cs="Arial"/>
              </w:rPr>
              <w:t>ESA 2010</w:t>
            </w:r>
          </w:p>
          <w:p w:rsidR="00C9351F" w:rsidRPr="004B7894" w:rsidRDefault="00C9351F" w:rsidP="00F17673">
            <w:pPr>
              <w:spacing w:line="360" w:lineRule="auto"/>
              <w:rPr>
                <w:rFonts w:ascii="Arial" w:hAnsi="Arial" w:cs="Arial"/>
              </w:rPr>
            </w:pPr>
          </w:p>
        </w:tc>
        <w:tc>
          <w:tcPr>
            <w:tcW w:w="6090" w:type="dxa"/>
          </w:tcPr>
          <w:p w:rsidR="000166BF" w:rsidRPr="004B7894" w:rsidRDefault="00231807" w:rsidP="005B0B13">
            <w:pPr>
              <w:spacing w:line="360" w:lineRule="auto"/>
              <w:jc w:val="both"/>
              <w:rPr>
                <w:rFonts w:ascii="Arial" w:hAnsi="Arial" w:cs="Arial"/>
              </w:rPr>
            </w:pPr>
            <w:r w:rsidRPr="004B7894">
              <w:rPr>
                <w:rFonts w:ascii="Arial" w:hAnsi="Arial" w:cs="Arial"/>
              </w:rPr>
              <w:t>Z</w:t>
            </w:r>
            <w:r w:rsidR="00EA07E7" w:rsidRPr="004B7894">
              <w:rPr>
                <w:rFonts w:ascii="Arial" w:hAnsi="Arial" w:cs="Arial"/>
              </w:rPr>
              <w:t xml:space="preserve">adavatel </w:t>
            </w:r>
            <w:r w:rsidRPr="004B7894">
              <w:rPr>
                <w:rFonts w:ascii="Arial" w:hAnsi="Arial" w:cs="Arial"/>
              </w:rPr>
              <w:t>struktur</w:t>
            </w:r>
            <w:r w:rsidR="00970160" w:rsidRPr="004B7894">
              <w:rPr>
                <w:rFonts w:ascii="Arial" w:hAnsi="Arial" w:cs="Arial"/>
              </w:rPr>
              <w:t>oval</w:t>
            </w:r>
            <w:r w:rsidRPr="004B7894">
              <w:rPr>
                <w:rFonts w:ascii="Arial" w:hAnsi="Arial" w:cs="Arial"/>
              </w:rPr>
              <w:t xml:space="preserve"> </w:t>
            </w:r>
            <w:r w:rsidR="00AE4A07" w:rsidRPr="004B7894">
              <w:rPr>
                <w:rFonts w:ascii="Arial" w:hAnsi="Arial" w:cs="Arial"/>
              </w:rPr>
              <w:t>P</w:t>
            </w:r>
            <w:r w:rsidR="00EA07E7" w:rsidRPr="004B7894">
              <w:rPr>
                <w:rFonts w:ascii="Arial" w:hAnsi="Arial" w:cs="Arial"/>
              </w:rPr>
              <w:t xml:space="preserve">rojekt </w:t>
            </w:r>
            <w:r w:rsidR="00C9351F" w:rsidRPr="004B7894">
              <w:rPr>
                <w:rFonts w:ascii="Arial" w:hAnsi="Arial" w:cs="Arial"/>
              </w:rPr>
              <w:t>dle metodiky ESA 2010</w:t>
            </w:r>
            <w:r w:rsidR="00EA07E7" w:rsidRPr="004B7894">
              <w:rPr>
                <w:rFonts w:ascii="Arial" w:hAnsi="Arial" w:cs="Arial"/>
              </w:rPr>
              <w:t xml:space="preserve"> tak</w:t>
            </w:r>
            <w:r w:rsidR="001A3409" w:rsidRPr="004B7894">
              <w:rPr>
                <w:rFonts w:ascii="Arial" w:hAnsi="Arial" w:cs="Arial"/>
              </w:rPr>
              <w:t>,</w:t>
            </w:r>
            <w:r w:rsidR="00EA07E7" w:rsidRPr="004B7894">
              <w:rPr>
                <w:rFonts w:ascii="Arial" w:hAnsi="Arial" w:cs="Arial"/>
              </w:rPr>
              <w:t xml:space="preserve"> aby</w:t>
            </w:r>
            <w:r w:rsidR="00C03D6B" w:rsidRPr="004B7894">
              <w:rPr>
                <w:rFonts w:ascii="Arial" w:hAnsi="Arial" w:cs="Arial"/>
              </w:rPr>
              <w:t xml:space="preserve"> mohl</w:t>
            </w:r>
            <w:r w:rsidR="00697464" w:rsidRPr="004B7894">
              <w:rPr>
                <w:rFonts w:ascii="Arial" w:hAnsi="Arial" w:cs="Arial"/>
              </w:rPr>
              <w:t>a</w:t>
            </w:r>
            <w:r w:rsidR="00C03D6B" w:rsidRPr="004B7894">
              <w:rPr>
                <w:rFonts w:ascii="Arial" w:hAnsi="Arial" w:cs="Arial"/>
              </w:rPr>
              <w:t xml:space="preserve"> být</w:t>
            </w:r>
            <w:r w:rsidR="00EA07E7" w:rsidRPr="004B7894">
              <w:rPr>
                <w:rFonts w:ascii="Arial" w:hAnsi="Arial" w:cs="Arial"/>
              </w:rPr>
              <w:t xml:space="preserve"> </w:t>
            </w:r>
            <w:r w:rsidR="00697464" w:rsidRPr="004B7894">
              <w:rPr>
                <w:rFonts w:ascii="Arial" w:hAnsi="Arial" w:cs="Arial"/>
              </w:rPr>
              <w:t xml:space="preserve">co největší část Projektu </w:t>
            </w:r>
            <w:r w:rsidR="00EA07E7" w:rsidRPr="004B7894">
              <w:rPr>
                <w:rFonts w:ascii="Arial" w:hAnsi="Arial" w:cs="Arial"/>
              </w:rPr>
              <w:t>vůči Eurostatu vykazován</w:t>
            </w:r>
            <w:r w:rsidR="00697464" w:rsidRPr="004B7894">
              <w:rPr>
                <w:rFonts w:ascii="Arial" w:hAnsi="Arial" w:cs="Arial"/>
              </w:rPr>
              <w:t>a</w:t>
            </w:r>
            <w:r w:rsidR="00EA07E7" w:rsidRPr="004B7894">
              <w:rPr>
                <w:rFonts w:ascii="Arial" w:hAnsi="Arial" w:cs="Arial"/>
              </w:rPr>
              <w:t xml:space="preserve"> mimo dluh </w:t>
            </w:r>
            <w:r w:rsidR="005B0B13">
              <w:rPr>
                <w:rFonts w:ascii="Arial" w:hAnsi="Arial" w:cs="Arial"/>
              </w:rPr>
              <w:t xml:space="preserve">sektoru vládních institucí </w:t>
            </w:r>
            <w:r w:rsidR="00EA07E7" w:rsidRPr="004B7894">
              <w:rPr>
                <w:rFonts w:ascii="Arial" w:hAnsi="Arial" w:cs="Arial"/>
              </w:rPr>
              <w:t>ČR</w:t>
            </w:r>
            <w:r w:rsidR="001A3409" w:rsidRPr="004B7894">
              <w:rPr>
                <w:rFonts w:ascii="Arial" w:hAnsi="Arial" w:cs="Arial"/>
              </w:rPr>
              <w:t xml:space="preserve">. </w:t>
            </w:r>
            <w:r w:rsidR="00EA07E7" w:rsidRPr="004B7894">
              <w:rPr>
                <w:rFonts w:ascii="Arial" w:hAnsi="Arial" w:cs="Arial"/>
              </w:rPr>
              <w:t>T</w:t>
            </w:r>
            <w:r w:rsidR="00970160" w:rsidRPr="004B7894">
              <w:rPr>
                <w:rFonts w:ascii="Arial" w:hAnsi="Arial" w:cs="Arial"/>
              </w:rPr>
              <w:t>a</w:t>
            </w:r>
            <w:r w:rsidR="00EA07E7" w:rsidRPr="004B7894">
              <w:rPr>
                <w:rFonts w:ascii="Arial" w:hAnsi="Arial" w:cs="Arial"/>
              </w:rPr>
              <w:t xml:space="preserve">to </w:t>
            </w:r>
            <w:r w:rsidR="002C3579" w:rsidRPr="004B7894">
              <w:rPr>
                <w:rFonts w:ascii="Arial" w:hAnsi="Arial" w:cs="Arial"/>
              </w:rPr>
              <w:t xml:space="preserve">podmínka </w:t>
            </w:r>
            <w:r w:rsidR="00EA07E7" w:rsidRPr="004B7894">
              <w:rPr>
                <w:rFonts w:ascii="Arial" w:hAnsi="Arial" w:cs="Arial"/>
              </w:rPr>
              <w:t xml:space="preserve">klade na obsah a strukturu </w:t>
            </w:r>
            <w:r w:rsidR="00970160" w:rsidRPr="004B7894">
              <w:rPr>
                <w:rFonts w:ascii="Arial" w:hAnsi="Arial" w:cs="Arial"/>
              </w:rPr>
              <w:t>K</w:t>
            </w:r>
            <w:r w:rsidR="00EA07E7" w:rsidRPr="004B7894">
              <w:rPr>
                <w:rFonts w:ascii="Arial" w:hAnsi="Arial" w:cs="Arial"/>
              </w:rPr>
              <w:t xml:space="preserve">oncesionářské smlouvy poměrně striktní požadavky, kdy </w:t>
            </w:r>
            <w:r w:rsidR="00970160" w:rsidRPr="004B7894">
              <w:rPr>
                <w:rFonts w:ascii="Arial" w:hAnsi="Arial" w:cs="Arial"/>
              </w:rPr>
              <w:t>K</w:t>
            </w:r>
            <w:r w:rsidR="00EA07E7" w:rsidRPr="004B7894">
              <w:rPr>
                <w:rFonts w:ascii="Arial" w:hAnsi="Arial" w:cs="Arial"/>
              </w:rPr>
              <w:t>oncesionář</w:t>
            </w:r>
            <w:r w:rsidR="00C03D6B" w:rsidRPr="004B7894">
              <w:rPr>
                <w:rFonts w:ascii="Arial" w:hAnsi="Arial" w:cs="Arial"/>
              </w:rPr>
              <w:t xml:space="preserve"> musí </w:t>
            </w:r>
            <w:r w:rsidR="00C03D6B" w:rsidRPr="004B7894">
              <w:rPr>
                <w:rFonts w:ascii="Arial" w:hAnsi="Arial" w:cs="Arial"/>
              </w:rPr>
              <w:lastRenderedPageBreak/>
              <w:t>nést většinu klíčových rizik</w:t>
            </w:r>
            <w:r w:rsidR="00EA07E7" w:rsidRPr="004B7894">
              <w:rPr>
                <w:rFonts w:ascii="Arial" w:hAnsi="Arial" w:cs="Arial"/>
              </w:rPr>
              <w:t xml:space="preserve">. </w:t>
            </w:r>
            <w:r w:rsidR="00C9351F" w:rsidRPr="004B7894">
              <w:rPr>
                <w:rFonts w:ascii="Arial" w:hAnsi="Arial" w:cs="Arial"/>
              </w:rPr>
              <w:t>Pro dosažení tohoto cíle probíh</w:t>
            </w:r>
            <w:r w:rsidR="00970160" w:rsidRPr="004B7894">
              <w:rPr>
                <w:rFonts w:ascii="Arial" w:hAnsi="Arial" w:cs="Arial"/>
              </w:rPr>
              <w:t>aly</w:t>
            </w:r>
            <w:r w:rsidR="00C9351F" w:rsidRPr="004B7894">
              <w:rPr>
                <w:rFonts w:ascii="Arial" w:hAnsi="Arial" w:cs="Arial"/>
              </w:rPr>
              <w:t xml:space="preserve"> průběžné konzultace </w:t>
            </w:r>
            <w:r w:rsidR="004A626E" w:rsidRPr="004B7894">
              <w:rPr>
                <w:rFonts w:ascii="Arial" w:hAnsi="Arial" w:cs="Arial"/>
              </w:rPr>
              <w:t>Z</w:t>
            </w:r>
            <w:r w:rsidR="00C9351F" w:rsidRPr="004B7894">
              <w:rPr>
                <w:rFonts w:ascii="Arial" w:hAnsi="Arial" w:cs="Arial"/>
              </w:rPr>
              <w:t>adavatele</w:t>
            </w:r>
            <w:r w:rsidR="00EA07E7" w:rsidRPr="004B7894">
              <w:rPr>
                <w:rFonts w:ascii="Arial" w:hAnsi="Arial" w:cs="Arial"/>
              </w:rPr>
              <w:t xml:space="preserve"> a jeho </w:t>
            </w:r>
            <w:r w:rsidR="00C9351F" w:rsidRPr="004B7894">
              <w:rPr>
                <w:rFonts w:ascii="Arial" w:hAnsi="Arial" w:cs="Arial"/>
              </w:rPr>
              <w:t>poradenského týmu</w:t>
            </w:r>
            <w:r w:rsidR="00EA07E7" w:rsidRPr="004B7894">
              <w:rPr>
                <w:rFonts w:ascii="Arial" w:hAnsi="Arial" w:cs="Arial"/>
              </w:rPr>
              <w:t xml:space="preserve"> s Č</w:t>
            </w:r>
            <w:r w:rsidR="00C03D6B" w:rsidRPr="004B7894">
              <w:rPr>
                <w:rFonts w:ascii="Arial" w:hAnsi="Arial" w:cs="Arial"/>
              </w:rPr>
              <w:t>eským statistickým úřadem. V</w:t>
            </w:r>
            <w:r w:rsidR="00C9351F" w:rsidRPr="004B7894">
              <w:rPr>
                <w:rFonts w:ascii="Arial" w:hAnsi="Arial" w:cs="Arial"/>
              </w:rPr>
              <w:t> </w:t>
            </w:r>
            <w:r w:rsidR="001155AA" w:rsidRPr="004B7894">
              <w:rPr>
                <w:rFonts w:ascii="Arial" w:hAnsi="Arial" w:cs="Arial"/>
              </w:rPr>
              <w:t>průběhu</w:t>
            </w:r>
            <w:r w:rsidR="00C9351F" w:rsidRPr="004B7894">
              <w:rPr>
                <w:rFonts w:ascii="Arial" w:hAnsi="Arial" w:cs="Arial"/>
              </w:rPr>
              <w:t xml:space="preserve"> </w:t>
            </w:r>
            <w:r w:rsidR="00C03D6B" w:rsidRPr="004B7894">
              <w:rPr>
                <w:rFonts w:ascii="Arial" w:hAnsi="Arial" w:cs="Arial"/>
              </w:rPr>
              <w:t xml:space="preserve">zadávacího </w:t>
            </w:r>
            <w:r w:rsidR="00276E9B" w:rsidRPr="004B7894">
              <w:rPr>
                <w:rFonts w:ascii="Arial" w:hAnsi="Arial" w:cs="Arial"/>
              </w:rPr>
              <w:t>řízení</w:t>
            </w:r>
            <w:r w:rsidR="00EA07E7" w:rsidRPr="004B7894">
              <w:rPr>
                <w:rFonts w:ascii="Arial" w:hAnsi="Arial" w:cs="Arial"/>
              </w:rPr>
              <w:t xml:space="preserve"> </w:t>
            </w:r>
            <w:r w:rsidR="00C03D6B" w:rsidRPr="004B7894">
              <w:rPr>
                <w:rFonts w:ascii="Arial" w:hAnsi="Arial" w:cs="Arial"/>
              </w:rPr>
              <w:t>b</w:t>
            </w:r>
            <w:r w:rsidR="00970160" w:rsidRPr="004B7894">
              <w:rPr>
                <w:rFonts w:ascii="Arial" w:hAnsi="Arial" w:cs="Arial"/>
              </w:rPr>
              <w:t xml:space="preserve">yl přístup k vykazování </w:t>
            </w:r>
            <w:r w:rsidR="00A129B3" w:rsidRPr="004B7894">
              <w:rPr>
                <w:rFonts w:ascii="Arial" w:hAnsi="Arial" w:cs="Arial"/>
              </w:rPr>
              <w:t>P</w:t>
            </w:r>
            <w:r w:rsidR="00970160" w:rsidRPr="004B7894">
              <w:rPr>
                <w:rFonts w:ascii="Arial" w:hAnsi="Arial" w:cs="Arial"/>
              </w:rPr>
              <w:t xml:space="preserve">rojektu </w:t>
            </w:r>
            <w:r w:rsidR="00C03D6B" w:rsidRPr="004B7894">
              <w:rPr>
                <w:rFonts w:ascii="Arial" w:hAnsi="Arial" w:cs="Arial"/>
              </w:rPr>
              <w:t>konzultován</w:t>
            </w:r>
            <w:r w:rsidR="00EA07E7" w:rsidRPr="004B7894">
              <w:rPr>
                <w:rFonts w:ascii="Arial" w:hAnsi="Arial" w:cs="Arial"/>
              </w:rPr>
              <w:t xml:space="preserve"> </w:t>
            </w:r>
            <w:r w:rsidR="00C9351F" w:rsidRPr="004B7894">
              <w:rPr>
                <w:rFonts w:ascii="Arial" w:hAnsi="Arial" w:cs="Arial"/>
              </w:rPr>
              <w:t>i</w:t>
            </w:r>
            <w:r w:rsidR="00EA07E7" w:rsidRPr="004B7894">
              <w:rPr>
                <w:rFonts w:ascii="Arial" w:hAnsi="Arial" w:cs="Arial"/>
              </w:rPr>
              <w:t xml:space="preserve"> </w:t>
            </w:r>
            <w:r w:rsidR="00304241" w:rsidRPr="004B7894">
              <w:rPr>
                <w:rFonts w:ascii="Arial" w:hAnsi="Arial" w:cs="Arial"/>
              </w:rPr>
              <w:t xml:space="preserve">přímo </w:t>
            </w:r>
            <w:r w:rsidR="00970160" w:rsidRPr="004B7894">
              <w:rPr>
                <w:rFonts w:ascii="Arial" w:hAnsi="Arial" w:cs="Arial"/>
              </w:rPr>
              <w:t xml:space="preserve">s </w:t>
            </w:r>
            <w:r w:rsidR="00C9351F" w:rsidRPr="004B7894">
              <w:rPr>
                <w:rFonts w:ascii="Arial" w:hAnsi="Arial" w:cs="Arial"/>
              </w:rPr>
              <w:t>Eurost</w:t>
            </w:r>
            <w:r w:rsidR="00EA07E7" w:rsidRPr="004B7894">
              <w:rPr>
                <w:rFonts w:ascii="Arial" w:hAnsi="Arial" w:cs="Arial"/>
              </w:rPr>
              <w:t>at</w:t>
            </w:r>
            <w:r w:rsidR="00970160" w:rsidRPr="004B7894">
              <w:rPr>
                <w:rFonts w:ascii="Arial" w:hAnsi="Arial" w:cs="Arial"/>
              </w:rPr>
              <w:t>em</w:t>
            </w:r>
            <w:r w:rsidR="00EA07E7" w:rsidRPr="004B7894">
              <w:rPr>
                <w:rFonts w:ascii="Arial" w:hAnsi="Arial" w:cs="Arial"/>
              </w:rPr>
              <w:t xml:space="preserve"> (prostřednictvím </w:t>
            </w:r>
            <w:r w:rsidR="001155AA" w:rsidRPr="004B7894">
              <w:rPr>
                <w:rFonts w:ascii="Arial" w:hAnsi="Arial" w:cs="Arial"/>
              </w:rPr>
              <w:t>ČSÚ</w:t>
            </w:r>
            <w:r w:rsidR="00EA07E7" w:rsidRPr="004B7894">
              <w:rPr>
                <w:rFonts w:ascii="Arial" w:hAnsi="Arial" w:cs="Arial"/>
              </w:rPr>
              <w:t>)</w:t>
            </w:r>
            <w:r w:rsidR="00C9351F" w:rsidRPr="004B7894">
              <w:rPr>
                <w:rFonts w:ascii="Arial" w:hAnsi="Arial" w:cs="Arial"/>
              </w:rPr>
              <w:t>.</w:t>
            </w:r>
            <w:r w:rsidR="00970160" w:rsidRPr="004B7894">
              <w:rPr>
                <w:rFonts w:ascii="Arial" w:hAnsi="Arial" w:cs="Arial"/>
              </w:rPr>
              <w:t xml:space="preserve"> Na základě posouzení obsahu Koncesionářské smlouvy ze strany ČSÚ existuje oprávněný předpoklad, že </w:t>
            </w:r>
            <w:r w:rsidR="00970160" w:rsidRPr="004B7894">
              <w:rPr>
                <w:rFonts w:ascii="Arial" w:hAnsi="Arial" w:cs="Arial"/>
                <w:b/>
              </w:rPr>
              <w:t xml:space="preserve">závazky státu vztažené k souhrnné předpokládané Platbě za dostupnost za Nové úseky budou moci být vykázány mimo </w:t>
            </w:r>
            <w:r w:rsidR="0095726E" w:rsidRPr="004B7894">
              <w:rPr>
                <w:rFonts w:ascii="Arial" w:hAnsi="Arial" w:cs="Arial"/>
                <w:b/>
              </w:rPr>
              <w:t>bilanci sektoru vládních institucí, tj. nebudou součástí dluhu sektoru vládních institucí</w:t>
            </w:r>
            <w:r w:rsidR="004B7894">
              <w:rPr>
                <w:rFonts w:ascii="Arial" w:hAnsi="Arial" w:cs="Arial"/>
                <w:b/>
              </w:rPr>
              <w:t xml:space="preserve">, </w:t>
            </w:r>
            <w:r w:rsidR="00970160" w:rsidRPr="004B7894">
              <w:rPr>
                <w:rFonts w:ascii="Arial" w:hAnsi="Arial" w:cs="Arial"/>
                <w:b/>
              </w:rPr>
              <w:t>přičemž však závazky státu vztažené k souhrnné předpokládané</w:t>
            </w:r>
            <w:r w:rsidR="00687855" w:rsidRPr="004B7894">
              <w:rPr>
                <w:rFonts w:ascii="Arial" w:hAnsi="Arial" w:cs="Arial"/>
                <w:b/>
              </w:rPr>
              <w:t xml:space="preserve"> Platbě</w:t>
            </w:r>
            <w:r w:rsidR="00970160" w:rsidRPr="004B7894">
              <w:rPr>
                <w:rFonts w:ascii="Arial" w:hAnsi="Arial" w:cs="Arial"/>
                <w:b/>
              </w:rPr>
              <w:t xml:space="preserve"> za dostupnost za Stávající úseky budou muset být vykázány v rámci </w:t>
            </w:r>
            <w:r w:rsidR="0095726E" w:rsidRPr="004B7894">
              <w:rPr>
                <w:rFonts w:ascii="Arial" w:hAnsi="Arial" w:cs="Arial"/>
                <w:b/>
              </w:rPr>
              <w:t xml:space="preserve">bilance sektoru vládních institucí, tj. budou součástí dluhu sektoru </w:t>
            </w:r>
            <w:r w:rsidR="00970160" w:rsidRPr="004B7894">
              <w:rPr>
                <w:rFonts w:ascii="Arial" w:hAnsi="Arial" w:cs="Arial"/>
                <w:b/>
              </w:rPr>
              <w:t>vládní</w:t>
            </w:r>
            <w:r w:rsidR="0095726E" w:rsidRPr="004B7894">
              <w:rPr>
                <w:rFonts w:ascii="Arial" w:hAnsi="Arial" w:cs="Arial"/>
                <w:b/>
              </w:rPr>
              <w:t>c</w:t>
            </w:r>
            <w:r w:rsidR="00970160" w:rsidRPr="004B7894">
              <w:rPr>
                <w:rFonts w:ascii="Arial" w:hAnsi="Arial" w:cs="Arial"/>
                <w:b/>
              </w:rPr>
              <w:t>h</w:t>
            </w:r>
            <w:r w:rsidR="0095726E" w:rsidRPr="004B7894">
              <w:rPr>
                <w:rFonts w:ascii="Arial" w:hAnsi="Arial" w:cs="Arial"/>
                <w:b/>
              </w:rPr>
              <w:t xml:space="preserve"> institucí</w:t>
            </w:r>
            <w:r w:rsidR="00970160" w:rsidRPr="004B7894">
              <w:rPr>
                <w:rFonts w:ascii="Arial" w:hAnsi="Arial" w:cs="Arial"/>
                <w:b/>
              </w:rPr>
              <w:t>.</w:t>
            </w:r>
            <w:r w:rsidR="00970160" w:rsidRPr="004B7894">
              <w:rPr>
                <w:rFonts w:ascii="Arial" w:hAnsi="Arial" w:cs="Arial"/>
              </w:rPr>
              <w:t xml:space="preserve"> </w:t>
            </w:r>
            <w:r w:rsidR="00FD05FD" w:rsidRPr="004B7894">
              <w:rPr>
                <w:rFonts w:ascii="Arial" w:hAnsi="Arial" w:cs="Arial"/>
              </w:rPr>
              <w:t>Úhrnná výše předpokládaných Plateb za dostupnost v nominálních hodnotách budoucích let (tj. až do roku 2049) při současně velmi pesimistickém (velmi konzervativním) vývoji směnného kurzu CZK/EUR (depreciace postupně až k 31,86 CZK/EUR</w:t>
            </w:r>
            <w:r>
              <w:rPr>
                <w:rStyle w:val="Znakapoznpodarou"/>
                <w:rFonts w:ascii="Arial" w:hAnsi="Arial" w:cs="Arial"/>
              </w:rPr>
              <w:footnoteReference w:id="2"/>
            </w:r>
            <w:r w:rsidR="00601DE9" w:rsidRPr="004B7894">
              <w:rPr>
                <w:rFonts w:ascii="Arial" w:hAnsi="Arial" w:cs="Arial"/>
              </w:rPr>
              <w:t>)</w:t>
            </w:r>
            <w:r w:rsidR="00FD05FD" w:rsidRPr="004B7894">
              <w:rPr>
                <w:rFonts w:ascii="Arial" w:hAnsi="Arial" w:cs="Arial"/>
              </w:rPr>
              <w:t xml:space="preserve"> za Stávající úseky je 4,767 113 313 mld. Kč a za Nové úseky 27,178 654 295 mld. Kč dle Přílohy č. 12. Tyto hodnoty však budou upravovány dle skutečného vývoje směnného kurzu CZK/EUR a dle skutečného vývoje inflace. Pro účely statistického vykazování je oprávněným předpokladem zanesení výše dluhu přímo v měně EUR</w:t>
            </w:r>
            <w:r w:rsidR="004D621C" w:rsidRPr="004B7894">
              <w:rPr>
                <w:rFonts w:ascii="Arial" w:hAnsi="Arial" w:cs="Arial"/>
              </w:rPr>
              <w:t>.</w:t>
            </w:r>
            <w:r w:rsidR="006803D8" w:rsidRPr="004B7894">
              <w:rPr>
                <w:rFonts w:ascii="Arial" w:hAnsi="Arial" w:cs="Arial"/>
              </w:rPr>
              <w:t xml:space="preserve"> S ohledem na to, že </w:t>
            </w:r>
            <w:r w:rsidR="006803D8" w:rsidRPr="004B7894">
              <w:rPr>
                <w:rFonts w:ascii="Arial" w:hAnsi="Arial" w:cs="Arial"/>
                <w:b/>
              </w:rPr>
              <w:t xml:space="preserve">přijímané finanční závazky státu jsou přijímány </w:t>
            </w:r>
            <w:r w:rsidR="00AD17AF" w:rsidRPr="004B7894">
              <w:rPr>
                <w:rFonts w:ascii="Arial" w:hAnsi="Arial" w:cs="Arial"/>
                <w:b/>
              </w:rPr>
              <w:t>jak v</w:t>
            </w:r>
            <w:r w:rsidR="00296C11" w:rsidRPr="004B7894">
              <w:rPr>
                <w:rFonts w:ascii="Arial" w:hAnsi="Arial" w:cs="Arial"/>
                <w:b/>
              </w:rPr>
              <w:t> </w:t>
            </w:r>
            <w:r w:rsidR="00AD17AF" w:rsidRPr="004B7894">
              <w:rPr>
                <w:rFonts w:ascii="Arial" w:hAnsi="Arial" w:cs="Arial"/>
                <w:b/>
              </w:rPr>
              <w:t>CZK</w:t>
            </w:r>
            <w:r w:rsidR="00296C11" w:rsidRPr="004B7894">
              <w:rPr>
                <w:rFonts w:ascii="Arial" w:hAnsi="Arial" w:cs="Arial"/>
                <w:b/>
              </w:rPr>
              <w:t>,</w:t>
            </w:r>
            <w:r w:rsidR="00AD17AF" w:rsidRPr="004B7894">
              <w:rPr>
                <w:rFonts w:ascii="Arial" w:hAnsi="Arial" w:cs="Arial"/>
                <w:b/>
              </w:rPr>
              <w:t xml:space="preserve"> tak v EUR, navrhuje se schválení těchto závazků v </w:t>
            </w:r>
            <w:r w:rsidR="00601DE9" w:rsidRPr="004B7894">
              <w:rPr>
                <w:rFonts w:ascii="Arial" w:hAnsi="Arial" w:cs="Arial"/>
                <w:b/>
              </w:rPr>
              <w:t>jejich</w:t>
            </w:r>
            <w:r w:rsidR="00AD17AF" w:rsidRPr="004B7894">
              <w:rPr>
                <w:rFonts w:ascii="Arial" w:hAnsi="Arial" w:cs="Arial"/>
                <w:b/>
              </w:rPr>
              <w:t xml:space="preserve"> </w:t>
            </w:r>
            <w:r w:rsidR="00601DE9" w:rsidRPr="004B7894">
              <w:rPr>
                <w:rFonts w:ascii="Arial" w:hAnsi="Arial" w:cs="Arial"/>
                <w:b/>
              </w:rPr>
              <w:t xml:space="preserve">původní měně (CZK/EUR), </w:t>
            </w:r>
            <w:r w:rsidR="00601DE9" w:rsidRPr="004B7894">
              <w:rPr>
                <w:rFonts w:ascii="Arial" w:hAnsi="Arial" w:cs="Arial"/>
              </w:rPr>
              <w:t>nikoliv jejich hodnoty jednorázově převedené na CZK</w:t>
            </w:r>
            <w:r w:rsidR="00AD17AF" w:rsidRPr="004B7894">
              <w:rPr>
                <w:rFonts w:ascii="Arial" w:hAnsi="Arial" w:cs="Arial"/>
              </w:rPr>
              <w:t>.</w:t>
            </w:r>
            <w:r w:rsidR="00687855" w:rsidRPr="004B7894">
              <w:rPr>
                <w:rFonts w:ascii="Arial" w:hAnsi="Arial" w:cs="Arial"/>
                <w:highlight w:val="yellow"/>
              </w:rPr>
              <w:t xml:space="preserve"> </w:t>
            </w:r>
          </w:p>
        </w:tc>
      </w:tr>
      <w:tr w:rsidR="002F614C" w:rsidTr="000166BF">
        <w:tc>
          <w:tcPr>
            <w:tcW w:w="2972" w:type="dxa"/>
          </w:tcPr>
          <w:p w:rsidR="005F4C47" w:rsidRPr="004B7894" w:rsidRDefault="00231807" w:rsidP="00F17673">
            <w:pPr>
              <w:spacing w:line="360" w:lineRule="auto"/>
              <w:rPr>
                <w:rFonts w:ascii="Arial" w:hAnsi="Arial" w:cs="Arial"/>
              </w:rPr>
            </w:pPr>
            <w:r w:rsidRPr="004B7894">
              <w:rPr>
                <w:rFonts w:ascii="Arial" w:hAnsi="Arial" w:cs="Arial"/>
              </w:rPr>
              <w:lastRenderedPageBreak/>
              <w:t>Příslib</w:t>
            </w:r>
            <w:r w:rsidR="00F17673" w:rsidRPr="004B7894">
              <w:rPr>
                <w:rFonts w:ascii="Arial" w:hAnsi="Arial" w:cs="Arial"/>
              </w:rPr>
              <w:t xml:space="preserve"> financování při podání nabídek</w:t>
            </w:r>
          </w:p>
          <w:p w:rsidR="005F4C47" w:rsidRPr="004B7894" w:rsidRDefault="005F4C47" w:rsidP="00F17673">
            <w:pPr>
              <w:spacing w:line="360" w:lineRule="auto"/>
              <w:rPr>
                <w:rFonts w:ascii="Arial" w:hAnsi="Arial" w:cs="Arial"/>
              </w:rPr>
            </w:pPr>
          </w:p>
          <w:p w:rsidR="005F4C47" w:rsidRPr="004B7894" w:rsidRDefault="005F4C47" w:rsidP="00F17673">
            <w:pPr>
              <w:spacing w:line="360" w:lineRule="auto"/>
              <w:rPr>
                <w:rFonts w:ascii="Arial" w:hAnsi="Arial" w:cs="Arial"/>
              </w:rPr>
            </w:pPr>
          </w:p>
        </w:tc>
        <w:tc>
          <w:tcPr>
            <w:tcW w:w="6090" w:type="dxa"/>
          </w:tcPr>
          <w:p w:rsidR="00B148FC" w:rsidRPr="004B7894" w:rsidRDefault="00231807" w:rsidP="000B7D56">
            <w:pPr>
              <w:spacing w:line="360" w:lineRule="auto"/>
              <w:jc w:val="both"/>
              <w:rPr>
                <w:rFonts w:ascii="Arial" w:hAnsi="Arial" w:cs="Arial"/>
              </w:rPr>
            </w:pPr>
            <w:r w:rsidRPr="004B7894">
              <w:rPr>
                <w:rFonts w:ascii="Arial" w:hAnsi="Arial" w:cs="Arial"/>
              </w:rPr>
              <w:t xml:space="preserve">Zadavatel </w:t>
            </w:r>
            <w:r w:rsidR="00687855" w:rsidRPr="004B7894">
              <w:rPr>
                <w:rFonts w:ascii="Arial" w:hAnsi="Arial" w:cs="Arial"/>
              </w:rPr>
              <w:t>ve Výzvě k podání nabídek</w:t>
            </w:r>
            <w:r w:rsidRPr="004B7894">
              <w:rPr>
                <w:rFonts w:ascii="Arial" w:hAnsi="Arial" w:cs="Arial"/>
              </w:rPr>
              <w:t xml:space="preserve"> </w:t>
            </w:r>
            <w:r w:rsidR="00687855" w:rsidRPr="004B7894">
              <w:rPr>
                <w:rFonts w:ascii="Arial" w:hAnsi="Arial" w:cs="Arial"/>
              </w:rPr>
              <w:t xml:space="preserve">po </w:t>
            </w:r>
            <w:r w:rsidR="006E53CB" w:rsidRPr="004B7894">
              <w:rPr>
                <w:rFonts w:ascii="Arial" w:hAnsi="Arial" w:cs="Arial"/>
              </w:rPr>
              <w:t>účastnících požadova</w:t>
            </w:r>
            <w:r w:rsidR="00687855" w:rsidRPr="004B7894">
              <w:rPr>
                <w:rFonts w:ascii="Arial" w:hAnsi="Arial" w:cs="Arial"/>
              </w:rPr>
              <w:t>l</w:t>
            </w:r>
            <w:r w:rsidR="006E53CB" w:rsidRPr="004B7894">
              <w:rPr>
                <w:rFonts w:ascii="Arial" w:hAnsi="Arial" w:cs="Arial"/>
              </w:rPr>
              <w:t xml:space="preserve"> </w:t>
            </w:r>
            <w:r w:rsidRPr="004B7894">
              <w:rPr>
                <w:rFonts w:ascii="Arial" w:hAnsi="Arial" w:cs="Arial"/>
              </w:rPr>
              <w:t xml:space="preserve">předložení závazného příslibu financování </w:t>
            </w:r>
            <w:r w:rsidR="00F17673" w:rsidRPr="004B7894">
              <w:rPr>
                <w:rFonts w:ascii="Arial" w:hAnsi="Arial" w:cs="Arial"/>
              </w:rPr>
              <w:t xml:space="preserve">na </w:t>
            </w:r>
            <w:r w:rsidR="00687855" w:rsidRPr="004B7894">
              <w:rPr>
                <w:rFonts w:ascii="Arial" w:hAnsi="Arial" w:cs="Arial"/>
              </w:rPr>
              <w:t>celý objem</w:t>
            </w:r>
            <w:r w:rsidR="00F17673" w:rsidRPr="004B7894">
              <w:rPr>
                <w:rFonts w:ascii="Arial" w:hAnsi="Arial" w:cs="Arial"/>
              </w:rPr>
              <w:t xml:space="preserve"> </w:t>
            </w:r>
            <w:r w:rsidR="004A626E" w:rsidRPr="004B7894">
              <w:rPr>
                <w:rFonts w:ascii="Arial" w:hAnsi="Arial" w:cs="Arial"/>
              </w:rPr>
              <w:t xml:space="preserve">potřebných </w:t>
            </w:r>
            <w:r w:rsidR="004D621C" w:rsidRPr="004B7894">
              <w:rPr>
                <w:rFonts w:ascii="Arial" w:hAnsi="Arial" w:cs="Arial"/>
              </w:rPr>
              <w:t xml:space="preserve">zdrojů pro </w:t>
            </w:r>
            <w:r w:rsidR="00D167EA" w:rsidRPr="004B7894">
              <w:rPr>
                <w:rFonts w:ascii="Arial" w:hAnsi="Arial" w:cs="Arial"/>
              </w:rPr>
              <w:t>Dobu</w:t>
            </w:r>
            <w:r w:rsidR="004D621C" w:rsidRPr="004B7894">
              <w:rPr>
                <w:rFonts w:ascii="Arial" w:hAnsi="Arial" w:cs="Arial"/>
              </w:rPr>
              <w:t xml:space="preserve"> výstavby (</w:t>
            </w:r>
            <w:r w:rsidR="00F17673" w:rsidRPr="004B7894">
              <w:rPr>
                <w:rFonts w:ascii="Arial" w:hAnsi="Arial" w:cs="Arial"/>
              </w:rPr>
              <w:t>dluhu</w:t>
            </w:r>
            <w:r w:rsidR="004D621C" w:rsidRPr="004B7894">
              <w:rPr>
                <w:rFonts w:ascii="Arial" w:hAnsi="Arial" w:cs="Arial"/>
              </w:rPr>
              <w:t xml:space="preserve"> i vlastního kapitálu)</w:t>
            </w:r>
            <w:r w:rsidR="00F17673" w:rsidRPr="004B7894">
              <w:rPr>
                <w:rFonts w:ascii="Arial" w:hAnsi="Arial" w:cs="Arial"/>
              </w:rPr>
              <w:t xml:space="preserve">. </w:t>
            </w:r>
          </w:p>
          <w:p w:rsidR="00EF59DC" w:rsidRPr="004B7894" w:rsidRDefault="00EF59DC" w:rsidP="000B7D56">
            <w:pPr>
              <w:spacing w:line="360" w:lineRule="auto"/>
              <w:jc w:val="both"/>
              <w:rPr>
                <w:rFonts w:ascii="Arial" w:hAnsi="Arial" w:cs="Arial"/>
              </w:rPr>
            </w:pPr>
          </w:p>
          <w:p w:rsidR="00687855" w:rsidRPr="004B7894" w:rsidRDefault="00231807" w:rsidP="00687855">
            <w:pPr>
              <w:spacing w:line="360" w:lineRule="auto"/>
              <w:jc w:val="both"/>
              <w:rPr>
                <w:rFonts w:ascii="Arial" w:hAnsi="Arial" w:cs="Arial"/>
              </w:rPr>
            </w:pPr>
            <w:r w:rsidRPr="004B7894">
              <w:rPr>
                <w:rFonts w:ascii="Arial" w:hAnsi="Arial" w:cs="Arial"/>
              </w:rPr>
              <w:lastRenderedPageBreak/>
              <w:t xml:space="preserve">V případě dluhu </w:t>
            </w:r>
            <w:r w:rsidR="00F17673" w:rsidRPr="004B7894">
              <w:rPr>
                <w:rFonts w:ascii="Arial" w:hAnsi="Arial" w:cs="Arial"/>
              </w:rPr>
              <w:t xml:space="preserve">Zadavatel nese riziko změny základních </w:t>
            </w:r>
            <w:r w:rsidR="008945AD" w:rsidRPr="004B7894">
              <w:rPr>
                <w:rFonts w:ascii="Arial" w:hAnsi="Arial" w:cs="Arial"/>
              </w:rPr>
              <w:t xml:space="preserve">fixních </w:t>
            </w:r>
            <w:r w:rsidR="00F17673" w:rsidRPr="004B7894">
              <w:rPr>
                <w:rFonts w:ascii="Arial" w:hAnsi="Arial" w:cs="Arial"/>
              </w:rPr>
              <w:t>sazeb</w:t>
            </w:r>
            <w:r w:rsidR="00B148FC" w:rsidRPr="004B7894">
              <w:rPr>
                <w:rFonts w:ascii="Arial" w:hAnsi="Arial" w:cs="Arial"/>
              </w:rPr>
              <w:t xml:space="preserve"> (IRS)</w:t>
            </w:r>
            <w:r w:rsidR="00F17673" w:rsidRPr="004B7894">
              <w:rPr>
                <w:rFonts w:ascii="Arial" w:hAnsi="Arial" w:cs="Arial"/>
              </w:rPr>
              <w:t xml:space="preserve"> od</w:t>
            </w:r>
            <w:r w:rsidR="00B148FC" w:rsidRPr="004B7894">
              <w:rPr>
                <w:rFonts w:ascii="Arial" w:hAnsi="Arial" w:cs="Arial"/>
              </w:rPr>
              <w:t xml:space="preserve"> </w:t>
            </w:r>
            <w:r w:rsidRPr="004B7894">
              <w:rPr>
                <w:rFonts w:ascii="Arial" w:hAnsi="Arial" w:cs="Arial"/>
              </w:rPr>
              <w:t>Základního data (4.</w:t>
            </w:r>
            <w:r w:rsidR="00A129B3" w:rsidRPr="004B7894">
              <w:rPr>
                <w:rFonts w:ascii="Arial" w:hAnsi="Arial" w:cs="Arial"/>
              </w:rPr>
              <w:t xml:space="preserve"> srpna </w:t>
            </w:r>
            <w:r w:rsidRPr="004B7894">
              <w:rPr>
                <w:rFonts w:ascii="Arial" w:hAnsi="Arial" w:cs="Arial"/>
              </w:rPr>
              <w:t>2020)</w:t>
            </w:r>
            <w:r w:rsidR="00F17673" w:rsidRPr="004B7894">
              <w:rPr>
                <w:rFonts w:ascii="Arial" w:hAnsi="Arial" w:cs="Arial"/>
              </w:rPr>
              <w:t xml:space="preserve"> do </w:t>
            </w:r>
            <w:r w:rsidR="00A129B3" w:rsidRPr="004B7894">
              <w:rPr>
                <w:rFonts w:ascii="Arial" w:hAnsi="Arial" w:cs="Arial"/>
              </w:rPr>
              <w:t>F</w:t>
            </w:r>
            <w:r w:rsidR="00F17673" w:rsidRPr="004B7894">
              <w:rPr>
                <w:rFonts w:ascii="Arial" w:hAnsi="Arial" w:cs="Arial"/>
              </w:rPr>
              <w:t xml:space="preserve">inančního uzavření. </w:t>
            </w:r>
            <w:r w:rsidR="00A129B3" w:rsidRPr="004B7894">
              <w:rPr>
                <w:rFonts w:ascii="Arial" w:hAnsi="Arial" w:cs="Arial"/>
              </w:rPr>
              <w:t>Vybraný dodavatel</w:t>
            </w:r>
            <w:r w:rsidR="006E53CB" w:rsidRPr="004B7894">
              <w:rPr>
                <w:rFonts w:ascii="Arial" w:hAnsi="Arial" w:cs="Arial"/>
              </w:rPr>
              <w:t xml:space="preserve"> </w:t>
            </w:r>
            <w:r w:rsidR="001A2B19" w:rsidRPr="004B7894">
              <w:rPr>
                <w:rFonts w:ascii="Arial" w:hAnsi="Arial" w:cs="Arial"/>
              </w:rPr>
              <w:t xml:space="preserve">po tuto dobu </w:t>
            </w:r>
            <w:r w:rsidR="00F17673" w:rsidRPr="004B7894">
              <w:rPr>
                <w:rFonts w:ascii="Arial" w:hAnsi="Arial" w:cs="Arial"/>
              </w:rPr>
              <w:t>nes</w:t>
            </w:r>
            <w:r w:rsidRPr="004B7894">
              <w:rPr>
                <w:rFonts w:ascii="Arial" w:hAnsi="Arial" w:cs="Arial"/>
              </w:rPr>
              <w:t>e</w:t>
            </w:r>
            <w:r w:rsidR="00F17673" w:rsidRPr="004B7894">
              <w:rPr>
                <w:rFonts w:ascii="Arial" w:hAnsi="Arial" w:cs="Arial"/>
              </w:rPr>
              <w:t xml:space="preserve"> riziko změny úrokových marží.</w:t>
            </w:r>
            <w:r w:rsidR="000B7D56" w:rsidRPr="004B7894">
              <w:rPr>
                <w:rFonts w:ascii="Arial" w:hAnsi="Arial" w:cs="Arial"/>
              </w:rPr>
              <w:t xml:space="preserve"> V případě IRS pro dlouhodobé úvěry v CZK není český trh dostatečně </w:t>
            </w:r>
            <w:r w:rsidR="00053116" w:rsidRPr="004B7894">
              <w:rPr>
                <w:rFonts w:ascii="Arial" w:hAnsi="Arial" w:cs="Arial"/>
              </w:rPr>
              <w:t xml:space="preserve">likvidní, a tak zveřejněné základní sazby dostatečně věrně neodrážejí tržní cenu a proto nejsou </w:t>
            </w:r>
            <w:r w:rsidR="000B7D56" w:rsidRPr="004B7894">
              <w:rPr>
                <w:rFonts w:ascii="Arial" w:hAnsi="Arial" w:cs="Arial"/>
              </w:rPr>
              <w:t xml:space="preserve">relevantní pro možnost nesení rizika změny IRS </w:t>
            </w:r>
            <w:r w:rsidR="004A626E" w:rsidRPr="004B7894">
              <w:rPr>
                <w:rFonts w:ascii="Arial" w:hAnsi="Arial" w:cs="Arial"/>
              </w:rPr>
              <w:t>Z</w:t>
            </w:r>
            <w:r w:rsidR="000B7D56" w:rsidRPr="004B7894">
              <w:rPr>
                <w:rFonts w:ascii="Arial" w:hAnsi="Arial" w:cs="Arial"/>
              </w:rPr>
              <w:t xml:space="preserve">adavatelem v plné míře. Proto </w:t>
            </w:r>
            <w:r w:rsidRPr="004B7894">
              <w:rPr>
                <w:rFonts w:ascii="Arial" w:hAnsi="Arial" w:cs="Arial"/>
              </w:rPr>
              <w:t>byl stanoven přístup</w:t>
            </w:r>
            <w:r w:rsidR="00053116" w:rsidRPr="004B7894">
              <w:rPr>
                <w:rFonts w:ascii="Arial" w:hAnsi="Arial" w:cs="Arial"/>
              </w:rPr>
              <w:t xml:space="preserve"> k </w:t>
            </w:r>
            <w:r w:rsidRPr="004B7894">
              <w:rPr>
                <w:rFonts w:ascii="Arial" w:hAnsi="Arial" w:cs="Arial"/>
              </w:rPr>
              <w:t>odvození dlouhodob</w:t>
            </w:r>
            <w:r w:rsidR="00053116" w:rsidRPr="004B7894">
              <w:rPr>
                <w:rFonts w:ascii="Arial" w:hAnsi="Arial" w:cs="Arial"/>
              </w:rPr>
              <w:t>ých</w:t>
            </w:r>
            <w:r w:rsidRPr="004B7894">
              <w:rPr>
                <w:rFonts w:ascii="Arial" w:hAnsi="Arial" w:cs="Arial"/>
              </w:rPr>
              <w:t xml:space="preserve"> IRS v CZK nad 10 let od </w:t>
            </w:r>
            <w:r w:rsidR="00053116" w:rsidRPr="004B7894">
              <w:rPr>
                <w:rFonts w:ascii="Arial" w:hAnsi="Arial" w:cs="Arial"/>
              </w:rPr>
              <w:t xml:space="preserve">pohybu </w:t>
            </w:r>
            <w:r w:rsidRPr="004B7894">
              <w:rPr>
                <w:rFonts w:ascii="Arial" w:hAnsi="Arial" w:cs="Arial"/>
              </w:rPr>
              <w:t>dlouhodobých sazeb IRS v EUR dle tzv. syntetické křivky (podrobněji viz Výzva k podání nabídek).</w:t>
            </w:r>
          </w:p>
          <w:p w:rsidR="00F17673" w:rsidRPr="004B7894" w:rsidRDefault="00F17673" w:rsidP="007B7C69">
            <w:pPr>
              <w:spacing w:line="360" w:lineRule="auto"/>
              <w:jc w:val="both"/>
              <w:rPr>
                <w:rFonts w:ascii="Arial" w:hAnsi="Arial" w:cs="Arial"/>
              </w:rPr>
            </w:pPr>
          </w:p>
          <w:p w:rsidR="004D621C" w:rsidRPr="004B7894" w:rsidRDefault="00231807" w:rsidP="007B7C69">
            <w:pPr>
              <w:spacing w:line="360" w:lineRule="auto"/>
              <w:jc w:val="both"/>
              <w:rPr>
                <w:rFonts w:ascii="Arial" w:hAnsi="Arial" w:cs="Arial"/>
              </w:rPr>
            </w:pPr>
            <w:r w:rsidRPr="004B7894">
              <w:rPr>
                <w:rFonts w:ascii="Arial" w:hAnsi="Arial" w:cs="Arial"/>
              </w:rPr>
              <w:t xml:space="preserve">Jelikož </w:t>
            </w:r>
            <w:r w:rsidR="00825F8C" w:rsidRPr="004B7894">
              <w:rPr>
                <w:rFonts w:ascii="Arial" w:hAnsi="Arial" w:cs="Arial"/>
              </w:rPr>
              <w:t>K</w:t>
            </w:r>
            <w:r w:rsidRPr="004B7894">
              <w:rPr>
                <w:rFonts w:ascii="Arial" w:hAnsi="Arial" w:cs="Arial"/>
              </w:rPr>
              <w:t>oncesionář bude čerpat úvěr v EUR a smlouvy s </w:t>
            </w:r>
            <w:r w:rsidR="007A7820" w:rsidRPr="004B7894">
              <w:rPr>
                <w:rFonts w:ascii="Arial" w:hAnsi="Arial" w:cs="Arial"/>
              </w:rPr>
              <w:t>Pod</w:t>
            </w:r>
            <w:r w:rsidRPr="004B7894">
              <w:rPr>
                <w:rFonts w:ascii="Arial" w:hAnsi="Arial" w:cs="Arial"/>
              </w:rPr>
              <w:t xml:space="preserve">dodavatelem výstavby má navrhované v měně CZK, Zadavatel požadoval, aby se </w:t>
            </w:r>
            <w:r w:rsidR="00825F8C" w:rsidRPr="004B7894">
              <w:rPr>
                <w:rFonts w:ascii="Arial" w:hAnsi="Arial" w:cs="Arial"/>
              </w:rPr>
              <w:t>K</w:t>
            </w:r>
            <w:r w:rsidRPr="004B7894">
              <w:rPr>
                <w:rFonts w:ascii="Arial" w:hAnsi="Arial" w:cs="Arial"/>
              </w:rPr>
              <w:t xml:space="preserve">oncesionář proti změně směnného kurzu po </w:t>
            </w:r>
            <w:r w:rsidR="007A7820" w:rsidRPr="004B7894">
              <w:rPr>
                <w:rFonts w:ascii="Arial" w:hAnsi="Arial" w:cs="Arial"/>
              </w:rPr>
              <w:t>D</w:t>
            </w:r>
            <w:r w:rsidRPr="004B7894">
              <w:rPr>
                <w:rFonts w:ascii="Arial" w:hAnsi="Arial" w:cs="Arial"/>
              </w:rPr>
              <w:t>ob</w:t>
            </w:r>
            <w:r w:rsidR="007A7820" w:rsidRPr="004B7894">
              <w:rPr>
                <w:rFonts w:ascii="Arial" w:hAnsi="Arial" w:cs="Arial"/>
              </w:rPr>
              <w:t>u</w:t>
            </w:r>
            <w:r w:rsidRPr="004B7894">
              <w:rPr>
                <w:rFonts w:ascii="Arial" w:hAnsi="Arial" w:cs="Arial"/>
              </w:rPr>
              <w:t xml:space="preserve"> výstavby zajistil (FX Par Forward). Zadavatel v tomto případě nese riziko změny základní tržní sazby FX ParForward bez jakýchkoliv marží v období od Základního data do </w:t>
            </w:r>
            <w:r w:rsidR="00825F8C" w:rsidRPr="004B7894">
              <w:rPr>
                <w:rFonts w:ascii="Arial" w:hAnsi="Arial" w:cs="Arial"/>
              </w:rPr>
              <w:t>F</w:t>
            </w:r>
            <w:r w:rsidRPr="004B7894">
              <w:rPr>
                <w:rFonts w:ascii="Arial" w:hAnsi="Arial" w:cs="Arial"/>
              </w:rPr>
              <w:t xml:space="preserve">inančního uzavření. </w:t>
            </w:r>
          </w:p>
          <w:p w:rsidR="004D621C" w:rsidRPr="004B7894" w:rsidRDefault="004D621C" w:rsidP="007B7C69">
            <w:pPr>
              <w:spacing w:line="360" w:lineRule="auto"/>
              <w:jc w:val="both"/>
              <w:rPr>
                <w:rFonts w:ascii="Arial" w:hAnsi="Arial" w:cs="Arial"/>
              </w:rPr>
            </w:pPr>
          </w:p>
          <w:p w:rsidR="004D621C" w:rsidRPr="004B7894" w:rsidRDefault="004D621C" w:rsidP="007B7C69">
            <w:pPr>
              <w:spacing w:line="360" w:lineRule="auto"/>
              <w:jc w:val="both"/>
              <w:rPr>
                <w:rFonts w:ascii="Arial" w:hAnsi="Arial" w:cs="Arial"/>
              </w:rPr>
            </w:pPr>
          </w:p>
        </w:tc>
      </w:tr>
      <w:tr w:rsidR="002F614C" w:rsidTr="005338F3">
        <w:trPr>
          <w:cantSplit/>
        </w:trPr>
        <w:tc>
          <w:tcPr>
            <w:tcW w:w="2972" w:type="dxa"/>
          </w:tcPr>
          <w:p w:rsidR="00241570" w:rsidRPr="004B7894" w:rsidRDefault="00231807" w:rsidP="00B148FC">
            <w:pPr>
              <w:spacing w:line="360" w:lineRule="auto"/>
              <w:rPr>
                <w:rFonts w:ascii="Arial" w:hAnsi="Arial" w:cs="Arial"/>
                <w:b/>
              </w:rPr>
            </w:pPr>
            <w:r w:rsidRPr="004B7894">
              <w:rPr>
                <w:rFonts w:ascii="Arial" w:hAnsi="Arial" w:cs="Arial"/>
              </w:rPr>
              <w:lastRenderedPageBreak/>
              <w:t xml:space="preserve">Kompenzace při předčasném ukončení </w:t>
            </w:r>
          </w:p>
        </w:tc>
        <w:tc>
          <w:tcPr>
            <w:tcW w:w="6090" w:type="dxa"/>
          </w:tcPr>
          <w:p w:rsidR="00A33C37" w:rsidRPr="004B7894" w:rsidRDefault="00231807" w:rsidP="00F17673">
            <w:pPr>
              <w:spacing w:line="360" w:lineRule="auto"/>
              <w:jc w:val="both"/>
              <w:rPr>
                <w:rFonts w:ascii="Arial" w:hAnsi="Arial" w:cs="Arial"/>
              </w:rPr>
            </w:pPr>
            <w:r w:rsidRPr="004B7894">
              <w:rPr>
                <w:rFonts w:ascii="Arial" w:hAnsi="Arial" w:cs="Arial"/>
              </w:rPr>
              <w:t xml:space="preserve">S ohledem na požadavky metodiky ESA 2010 pro mimobilanční klasifikaci </w:t>
            </w:r>
            <w:r w:rsidR="0042475A" w:rsidRPr="004B7894">
              <w:rPr>
                <w:rFonts w:ascii="Arial" w:hAnsi="Arial" w:cs="Arial"/>
              </w:rPr>
              <w:t xml:space="preserve">Projektu </w:t>
            </w:r>
            <w:r w:rsidR="00256440" w:rsidRPr="004B7894">
              <w:rPr>
                <w:rFonts w:ascii="Arial" w:hAnsi="Arial" w:cs="Arial"/>
              </w:rPr>
              <w:t>jsou</w:t>
            </w:r>
            <w:r w:rsidRPr="004B7894">
              <w:rPr>
                <w:rFonts w:ascii="Arial" w:hAnsi="Arial" w:cs="Arial"/>
              </w:rPr>
              <w:t xml:space="preserve"> využity následující</w:t>
            </w:r>
            <w:r w:rsidR="00601CDB" w:rsidRPr="004B7894">
              <w:rPr>
                <w:rFonts w:ascii="Arial" w:hAnsi="Arial" w:cs="Arial"/>
              </w:rPr>
              <w:t xml:space="preserve"> mechanismy</w:t>
            </w:r>
            <w:r w:rsidR="00921922" w:rsidRPr="004B7894">
              <w:rPr>
                <w:rFonts w:ascii="Arial" w:hAnsi="Arial" w:cs="Arial"/>
              </w:rPr>
              <w:t xml:space="preserve"> stanovení</w:t>
            </w:r>
            <w:r w:rsidRPr="004B7894">
              <w:rPr>
                <w:rFonts w:ascii="Arial" w:hAnsi="Arial" w:cs="Arial"/>
              </w:rPr>
              <w:t xml:space="preserve"> kompenzace při předčasném ukončení</w:t>
            </w:r>
            <w:r w:rsidR="000652C7" w:rsidRPr="004B7894">
              <w:rPr>
                <w:rFonts w:ascii="Arial" w:hAnsi="Arial" w:cs="Arial"/>
              </w:rPr>
              <w:t xml:space="preserve"> </w:t>
            </w:r>
            <w:r w:rsidR="00825F8C" w:rsidRPr="004B7894">
              <w:rPr>
                <w:rFonts w:ascii="Arial" w:hAnsi="Arial" w:cs="Arial"/>
              </w:rPr>
              <w:t>K</w:t>
            </w:r>
            <w:r w:rsidR="000652C7" w:rsidRPr="004B7894">
              <w:rPr>
                <w:rFonts w:ascii="Arial" w:hAnsi="Arial" w:cs="Arial"/>
              </w:rPr>
              <w:t>oncesionářské smlouvy</w:t>
            </w:r>
            <w:r w:rsidRPr="004B7894">
              <w:rPr>
                <w:rFonts w:ascii="Arial" w:hAnsi="Arial" w:cs="Arial"/>
              </w:rPr>
              <w:t>:</w:t>
            </w:r>
          </w:p>
          <w:p w:rsidR="00241570" w:rsidRPr="004B7894" w:rsidRDefault="00231807" w:rsidP="00F17673">
            <w:pPr>
              <w:pStyle w:val="Odstavecseseznamem"/>
              <w:numPr>
                <w:ilvl w:val="0"/>
                <w:numId w:val="10"/>
              </w:numPr>
              <w:spacing w:line="360" w:lineRule="auto"/>
              <w:jc w:val="both"/>
              <w:rPr>
                <w:rFonts w:ascii="Arial" w:hAnsi="Arial" w:cs="Arial"/>
              </w:rPr>
            </w:pPr>
            <w:r w:rsidRPr="004B7894">
              <w:rPr>
                <w:rFonts w:ascii="Arial" w:hAnsi="Arial" w:cs="Arial"/>
              </w:rPr>
              <w:t>P</w:t>
            </w:r>
            <w:r w:rsidR="00601CDB" w:rsidRPr="004B7894">
              <w:rPr>
                <w:rFonts w:ascii="Arial" w:hAnsi="Arial" w:cs="Arial"/>
              </w:rPr>
              <w:t>ři</w:t>
            </w:r>
            <w:r w:rsidRPr="004B7894">
              <w:rPr>
                <w:rFonts w:ascii="Arial" w:hAnsi="Arial" w:cs="Arial"/>
              </w:rPr>
              <w:t xml:space="preserve"> selhání </w:t>
            </w:r>
            <w:r w:rsidR="00825F8C" w:rsidRPr="004B7894">
              <w:rPr>
                <w:rFonts w:ascii="Arial" w:hAnsi="Arial" w:cs="Arial"/>
              </w:rPr>
              <w:t>Z</w:t>
            </w:r>
            <w:r w:rsidRPr="004B7894">
              <w:rPr>
                <w:rFonts w:ascii="Arial" w:hAnsi="Arial" w:cs="Arial"/>
              </w:rPr>
              <w:t>adavatele</w:t>
            </w:r>
            <w:r w:rsidR="00B148FC" w:rsidRPr="004B7894">
              <w:rPr>
                <w:rFonts w:ascii="Arial" w:hAnsi="Arial" w:cs="Arial"/>
              </w:rPr>
              <w:t xml:space="preserve"> (nebo z vůle </w:t>
            </w:r>
            <w:r w:rsidR="00825F8C" w:rsidRPr="004B7894">
              <w:rPr>
                <w:rFonts w:ascii="Arial" w:hAnsi="Arial" w:cs="Arial"/>
              </w:rPr>
              <w:t>Z</w:t>
            </w:r>
            <w:r w:rsidR="00B148FC" w:rsidRPr="004B7894">
              <w:rPr>
                <w:rFonts w:ascii="Arial" w:hAnsi="Arial" w:cs="Arial"/>
              </w:rPr>
              <w:t>adavatele)</w:t>
            </w:r>
            <w:r w:rsidR="00B613B0" w:rsidRPr="004B7894">
              <w:rPr>
                <w:rFonts w:ascii="Arial" w:hAnsi="Arial" w:cs="Arial"/>
              </w:rPr>
              <w:t xml:space="preserve"> bude kompenzace stanovena jako </w:t>
            </w:r>
            <w:r w:rsidRPr="004B7894">
              <w:rPr>
                <w:rFonts w:ascii="Arial" w:hAnsi="Arial" w:cs="Arial"/>
              </w:rPr>
              <w:t xml:space="preserve">aktuální zůstatek dluhové služby </w:t>
            </w:r>
            <w:r w:rsidR="005F4F18" w:rsidRPr="004B7894">
              <w:rPr>
                <w:rFonts w:ascii="Arial" w:hAnsi="Arial" w:cs="Arial"/>
              </w:rPr>
              <w:t>(</w:t>
            </w:r>
            <w:r w:rsidRPr="004B7894">
              <w:rPr>
                <w:rFonts w:ascii="Arial" w:hAnsi="Arial" w:cs="Arial"/>
              </w:rPr>
              <w:t xml:space="preserve">včetně </w:t>
            </w:r>
            <w:r w:rsidR="005F4F18" w:rsidRPr="004B7894">
              <w:rPr>
                <w:rFonts w:ascii="Arial" w:hAnsi="Arial" w:cs="Arial"/>
              </w:rPr>
              <w:t>souvisejících poplatků a pokut)</w:t>
            </w:r>
            <w:r w:rsidR="00B148FC" w:rsidRPr="004B7894">
              <w:rPr>
                <w:rFonts w:ascii="Arial" w:hAnsi="Arial" w:cs="Arial"/>
              </w:rPr>
              <w:t xml:space="preserve"> a ušlý zisk.</w:t>
            </w:r>
          </w:p>
          <w:p w:rsidR="00A33C37" w:rsidRPr="004B7894" w:rsidRDefault="00231807" w:rsidP="00D5160D">
            <w:pPr>
              <w:pStyle w:val="Odstavecseseznamem"/>
              <w:numPr>
                <w:ilvl w:val="0"/>
                <w:numId w:val="10"/>
              </w:numPr>
              <w:spacing w:line="360" w:lineRule="auto"/>
              <w:jc w:val="both"/>
              <w:rPr>
                <w:rFonts w:ascii="Arial" w:hAnsi="Arial" w:cs="Arial"/>
              </w:rPr>
            </w:pPr>
            <w:r w:rsidRPr="004B7894">
              <w:rPr>
                <w:rFonts w:ascii="Arial" w:hAnsi="Arial" w:cs="Arial"/>
              </w:rPr>
              <w:t>P</w:t>
            </w:r>
            <w:r w:rsidR="00601CDB" w:rsidRPr="004B7894">
              <w:rPr>
                <w:rFonts w:ascii="Arial" w:hAnsi="Arial" w:cs="Arial"/>
              </w:rPr>
              <w:t>ři</w:t>
            </w:r>
            <w:r w:rsidRPr="004B7894">
              <w:rPr>
                <w:rFonts w:ascii="Arial" w:hAnsi="Arial" w:cs="Arial"/>
              </w:rPr>
              <w:t xml:space="preserve"> přetrvávající </w:t>
            </w:r>
            <w:r w:rsidR="00875B0B" w:rsidRPr="004B7894">
              <w:rPr>
                <w:rFonts w:ascii="Arial" w:hAnsi="Arial" w:cs="Arial"/>
              </w:rPr>
              <w:t xml:space="preserve">negativní </w:t>
            </w:r>
            <w:r w:rsidRPr="004B7894">
              <w:rPr>
                <w:rFonts w:ascii="Arial" w:hAnsi="Arial" w:cs="Arial"/>
              </w:rPr>
              <w:t>vnější událost</w:t>
            </w:r>
            <w:r w:rsidR="00875B0B" w:rsidRPr="004B7894">
              <w:rPr>
                <w:rFonts w:ascii="Arial" w:hAnsi="Arial" w:cs="Arial"/>
              </w:rPr>
              <w:t>i</w:t>
            </w:r>
            <w:r w:rsidR="00B613B0" w:rsidRPr="004B7894">
              <w:rPr>
                <w:rFonts w:ascii="Arial" w:hAnsi="Arial" w:cs="Arial"/>
              </w:rPr>
              <w:t xml:space="preserve"> bude</w:t>
            </w:r>
            <w:r w:rsidRPr="004B7894">
              <w:rPr>
                <w:rFonts w:ascii="Arial" w:hAnsi="Arial" w:cs="Arial"/>
              </w:rPr>
              <w:t xml:space="preserve"> </w:t>
            </w:r>
            <w:r w:rsidR="00B613B0" w:rsidRPr="004B7894">
              <w:rPr>
                <w:rFonts w:ascii="Arial" w:hAnsi="Arial" w:cs="Arial"/>
              </w:rPr>
              <w:t>kompenzace stanovena jako</w:t>
            </w:r>
            <w:r w:rsidRPr="004B7894">
              <w:rPr>
                <w:rFonts w:ascii="Arial" w:hAnsi="Arial" w:cs="Arial"/>
              </w:rPr>
              <w:t xml:space="preserve"> aktuální zůstatek dluh</w:t>
            </w:r>
            <w:r w:rsidR="00F17673" w:rsidRPr="004B7894">
              <w:rPr>
                <w:rFonts w:ascii="Arial" w:hAnsi="Arial" w:cs="Arial"/>
              </w:rPr>
              <w:t xml:space="preserve">ové služby </w:t>
            </w:r>
            <w:r w:rsidR="005F4F18" w:rsidRPr="004B7894">
              <w:rPr>
                <w:rFonts w:ascii="Arial" w:hAnsi="Arial" w:cs="Arial"/>
              </w:rPr>
              <w:t xml:space="preserve">(včetně souvisejících poplatků a pokut) </w:t>
            </w:r>
            <w:r w:rsidR="00B148FC" w:rsidRPr="004B7894">
              <w:rPr>
                <w:rFonts w:ascii="Arial" w:hAnsi="Arial" w:cs="Arial"/>
              </w:rPr>
              <w:t>a nominální hodnot</w:t>
            </w:r>
            <w:r w:rsidR="00D5160D" w:rsidRPr="004B7894">
              <w:rPr>
                <w:rFonts w:ascii="Arial" w:hAnsi="Arial" w:cs="Arial"/>
              </w:rPr>
              <w:t>a</w:t>
            </w:r>
            <w:r w:rsidR="00B148FC" w:rsidRPr="004B7894">
              <w:rPr>
                <w:rFonts w:ascii="Arial" w:hAnsi="Arial" w:cs="Arial"/>
              </w:rPr>
              <w:t xml:space="preserve"> vložených vlastních zdrojů </w:t>
            </w:r>
            <w:r w:rsidR="00825F8C" w:rsidRPr="004B7894">
              <w:rPr>
                <w:rFonts w:ascii="Arial" w:hAnsi="Arial" w:cs="Arial"/>
              </w:rPr>
              <w:t>K</w:t>
            </w:r>
            <w:r w:rsidR="005F4F18" w:rsidRPr="004B7894">
              <w:rPr>
                <w:rFonts w:ascii="Arial" w:hAnsi="Arial" w:cs="Arial"/>
              </w:rPr>
              <w:t xml:space="preserve">oncesionáře </w:t>
            </w:r>
            <w:r w:rsidR="00B148FC" w:rsidRPr="004B7894">
              <w:rPr>
                <w:rFonts w:ascii="Arial" w:hAnsi="Arial" w:cs="Arial"/>
              </w:rPr>
              <w:t>snížen</w:t>
            </w:r>
            <w:r w:rsidR="00D5160D" w:rsidRPr="004B7894">
              <w:rPr>
                <w:rFonts w:ascii="Arial" w:hAnsi="Arial" w:cs="Arial"/>
              </w:rPr>
              <w:t>á</w:t>
            </w:r>
            <w:r w:rsidR="00B148FC" w:rsidRPr="004B7894">
              <w:rPr>
                <w:rFonts w:ascii="Arial" w:hAnsi="Arial" w:cs="Arial"/>
              </w:rPr>
              <w:t xml:space="preserve"> o všechny výplaty </w:t>
            </w:r>
            <w:r w:rsidR="002C7CA1" w:rsidRPr="004B7894">
              <w:rPr>
                <w:rFonts w:ascii="Arial" w:hAnsi="Arial" w:cs="Arial"/>
              </w:rPr>
              <w:t xml:space="preserve">společníkům </w:t>
            </w:r>
            <w:r w:rsidR="00825F8C" w:rsidRPr="004B7894">
              <w:rPr>
                <w:rFonts w:ascii="Arial" w:hAnsi="Arial" w:cs="Arial"/>
              </w:rPr>
              <w:t>K</w:t>
            </w:r>
            <w:r w:rsidR="00B613B0" w:rsidRPr="004B7894">
              <w:rPr>
                <w:rFonts w:ascii="Arial" w:hAnsi="Arial" w:cs="Arial"/>
              </w:rPr>
              <w:t xml:space="preserve">oncesionáře </w:t>
            </w:r>
            <w:r w:rsidR="00B148FC" w:rsidRPr="004B7894">
              <w:rPr>
                <w:rFonts w:ascii="Arial" w:hAnsi="Arial" w:cs="Arial"/>
              </w:rPr>
              <w:t>jakoukoliv formou</w:t>
            </w:r>
            <w:r w:rsidR="00F17673" w:rsidRPr="004B7894">
              <w:rPr>
                <w:rFonts w:ascii="Arial" w:hAnsi="Arial" w:cs="Arial"/>
              </w:rPr>
              <w:t>.</w:t>
            </w:r>
          </w:p>
          <w:p w:rsidR="00F17673" w:rsidRPr="004B7894" w:rsidRDefault="00231807" w:rsidP="00256440">
            <w:pPr>
              <w:pStyle w:val="Odstavecseseznamem"/>
              <w:numPr>
                <w:ilvl w:val="0"/>
                <w:numId w:val="10"/>
              </w:numPr>
              <w:spacing w:line="360" w:lineRule="auto"/>
              <w:jc w:val="both"/>
              <w:rPr>
                <w:rFonts w:ascii="Arial" w:hAnsi="Arial" w:cs="Arial"/>
              </w:rPr>
            </w:pPr>
            <w:r w:rsidRPr="004B7894">
              <w:rPr>
                <w:rFonts w:ascii="Arial" w:hAnsi="Arial" w:cs="Arial"/>
              </w:rPr>
              <w:t>P</w:t>
            </w:r>
            <w:r w:rsidR="002C7CA1" w:rsidRPr="004B7894">
              <w:rPr>
                <w:rFonts w:ascii="Arial" w:hAnsi="Arial" w:cs="Arial"/>
              </w:rPr>
              <w:t>ři</w:t>
            </w:r>
            <w:r w:rsidRPr="004B7894">
              <w:rPr>
                <w:rFonts w:ascii="Arial" w:hAnsi="Arial" w:cs="Arial"/>
              </w:rPr>
              <w:t xml:space="preserve"> selhání </w:t>
            </w:r>
            <w:r w:rsidR="00825F8C" w:rsidRPr="004B7894">
              <w:rPr>
                <w:rFonts w:ascii="Arial" w:hAnsi="Arial" w:cs="Arial"/>
              </w:rPr>
              <w:t>K</w:t>
            </w:r>
            <w:r w:rsidRPr="004B7894">
              <w:rPr>
                <w:rFonts w:ascii="Arial" w:hAnsi="Arial" w:cs="Arial"/>
              </w:rPr>
              <w:t>oncesionáře</w:t>
            </w:r>
            <w:r w:rsidR="00B613B0" w:rsidRPr="004B7894">
              <w:rPr>
                <w:rFonts w:ascii="Arial" w:hAnsi="Arial" w:cs="Arial"/>
              </w:rPr>
              <w:t xml:space="preserve"> bude</w:t>
            </w:r>
            <w:r w:rsidRPr="004B7894">
              <w:rPr>
                <w:rFonts w:ascii="Arial" w:hAnsi="Arial" w:cs="Arial"/>
              </w:rPr>
              <w:t xml:space="preserve"> </w:t>
            </w:r>
            <w:r w:rsidR="00B148FC" w:rsidRPr="004B7894">
              <w:rPr>
                <w:rFonts w:ascii="Arial" w:hAnsi="Arial" w:cs="Arial"/>
              </w:rPr>
              <w:t xml:space="preserve">kompenzace </w:t>
            </w:r>
            <w:r w:rsidR="005F4F18" w:rsidRPr="004B7894">
              <w:rPr>
                <w:rFonts w:ascii="Arial" w:hAnsi="Arial" w:cs="Arial"/>
              </w:rPr>
              <w:t xml:space="preserve">stanovena </w:t>
            </w:r>
            <w:r w:rsidR="002C7CA1" w:rsidRPr="004B7894">
              <w:rPr>
                <w:rFonts w:ascii="Arial" w:hAnsi="Arial" w:cs="Arial"/>
              </w:rPr>
              <w:t>jako</w:t>
            </w:r>
            <w:r w:rsidR="00B148FC" w:rsidRPr="004B7894">
              <w:rPr>
                <w:rFonts w:ascii="Arial" w:hAnsi="Arial" w:cs="Arial"/>
              </w:rPr>
              <w:t xml:space="preserve"> tržní zůstatkov</w:t>
            </w:r>
            <w:r w:rsidR="002C7CA1" w:rsidRPr="004B7894">
              <w:rPr>
                <w:rFonts w:ascii="Arial" w:hAnsi="Arial" w:cs="Arial"/>
              </w:rPr>
              <w:t>á</w:t>
            </w:r>
            <w:r w:rsidR="00B148FC" w:rsidRPr="004B7894">
              <w:rPr>
                <w:rFonts w:ascii="Arial" w:hAnsi="Arial" w:cs="Arial"/>
              </w:rPr>
              <w:t xml:space="preserve"> cen</w:t>
            </w:r>
            <w:r w:rsidR="002C7CA1" w:rsidRPr="004B7894">
              <w:rPr>
                <w:rFonts w:ascii="Arial" w:hAnsi="Arial" w:cs="Arial"/>
              </w:rPr>
              <w:t>a</w:t>
            </w:r>
            <w:r w:rsidR="00B148FC" w:rsidRPr="004B7894">
              <w:rPr>
                <w:rFonts w:ascii="Arial" w:hAnsi="Arial" w:cs="Arial"/>
              </w:rPr>
              <w:t xml:space="preserve"> </w:t>
            </w:r>
            <w:r w:rsidR="00825F8C" w:rsidRPr="004B7894">
              <w:rPr>
                <w:rFonts w:ascii="Arial" w:hAnsi="Arial" w:cs="Arial"/>
              </w:rPr>
              <w:t>K</w:t>
            </w:r>
            <w:r w:rsidR="00B148FC" w:rsidRPr="004B7894">
              <w:rPr>
                <w:rFonts w:ascii="Arial" w:hAnsi="Arial" w:cs="Arial"/>
              </w:rPr>
              <w:t>oncesionářské smlouvy</w:t>
            </w:r>
            <w:r w:rsidR="005F4F18" w:rsidRPr="004B7894">
              <w:rPr>
                <w:rFonts w:ascii="Arial" w:hAnsi="Arial" w:cs="Arial"/>
              </w:rPr>
              <w:t xml:space="preserve">. </w:t>
            </w:r>
            <w:r w:rsidR="002C7CA1" w:rsidRPr="004B7894">
              <w:rPr>
                <w:rFonts w:ascii="Arial" w:hAnsi="Arial" w:cs="Arial"/>
              </w:rPr>
              <w:t>Ne</w:t>
            </w:r>
            <w:r w:rsidR="00256440" w:rsidRPr="004B7894">
              <w:rPr>
                <w:rFonts w:ascii="Arial" w:hAnsi="Arial" w:cs="Arial"/>
              </w:rPr>
              <w:t>ní</w:t>
            </w:r>
            <w:r w:rsidR="002C7CA1" w:rsidRPr="004B7894">
              <w:rPr>
                <w:rFonts w:ascii="Arial" w:hAnsi="Arial" w:cs="Arial"/>
              </w:rPr>
              <w:t xml:space="preserve"> </w:t>
            </w:r>
            <w:r w:rsidR="005F4F18" w:rsidRPr="004B7894">
              <w:rPr>
                <w:rFonts w:ascii="Arial" w:hAnsi="Arial" w:cs="Arial"/>
              </w:rPr>
              <w:t>definov</w:t>
            </w:r>
            <w:r w:rsidR="002C7CA1" w:rsidRPr="004B7894">
              <w:rPr>
                <w:rFonts w:ascii="Arial" w:hAnsi="Arial" w:cs="Arial"/>
              </w:rPr>
              <w:t>ána</w:t>
            </w:r>
            <w:r w:rsidR="00B148FC" w:rsidRPr="004B7894">
              <w:rPr>
                <w:rFonts w:ascii="Arial" w:hAnsi="Arial" w:cs="Arial"/>
              </w:rPr>
              <w:t xml:space="preserve"> </w:t>
            </w:r>
            <w:r w:rsidRPr="004B7894">
              <w:rPr>
                <w:rFonts w:ascii="Arial" w:hAnsi="Arial" w:cs="Arial"/>
              </w:rPr>
              <w:t>žádná vazba na zůstatek dluhové služby</w:t>
            </w:r>
            <w:r w:rsidR="00B148FC" w:rsidRPr="004B7894">
              <w:rPr>
                <w:rFonts w:ascii="Arial" w:hAnsi="Arial" w:cs="Arial"/>
              </w:rPr>
              <w:t xml:space="preserve"> či vlastní kapitál. </w:t>
            </w:r>
            <w:r w:rsidR="00930CB0" w:rsidRPr="004B7894">
              <w:rPr>
                <w:rFonts w:ascii="Arial" w:hAnsi="Arial" w:cs="Arial"/>
              </w:rPr>
              <w:t xml:space="preserve">V případě záporné zůstatkové ceny bude platit </w:t>
            </w:r>
            <w:r w:rsidR="00825F8C" w:rsidRPr="004B7894">
              <w:rPr>
                <w:rFonts w:ascii="Arial" w:hAnsi="Arial" w:cs="Arial"/>
              </w:rPr>
              <w:t>K</w:t>
            </w:r>
            <w:r w:rsidR="00930CB0" w:rsidRPr="004B7894">
              <w:rPr>
                <w:rFonts w:ascii="Arial" w:hAnsi="Arial" w:cs="Arial"/>
              </w:rPr>
              <w:t xml:space="preserve">oncesionář tuto sumu </w:t>
            </w:r>
            <w:r w:rsidR="00825F8C" w:rsidRPr="004B7894">
              <w:rPr>
                <w:rFonts w:ascii="Arial" w:hAnsi="Arial" w:cs="Arial"/>
              </w:rPr>
              <w:t>Z</w:t>
            </w:r>
            <w:r w:rsidR="00930CB0" w:rsidRPr="004B7894">
              <w:rPr>
                <w:rFonts w:ascii="Arial" w:hAnsi="Arial" w:cs="Arial"/>
              </w:rPr>
              <w:t>adavateli.</w:t>
            </w:r>
          </w:p>
        </w:tc>
      </w:tr>
      <w:tr w:rsidR="002F614C" w:rsidTr="005338F3">
        <w:trPr>
          <w:cantSplit/>
        </w:trPr>
        <w:tc>
          <w:tcPr>
            <w:tcW w:w="2972" w:type="dxa"/>
          </w:tcPr>
          <w:p w:rsidR="00A33C37" w:rsidRPr="004B7894" w:rsidRDefault="00231807" w:rsidP="00DA6555">
            <w:pPr>
              <w:spacing w:line="360" w:lineRule="auto"/>
              <w:rPr>
                <w:rFonts w:ascii="Arial" w:hAnsi="Arial" w:cs="Arial"/>
                <w:b/>
              </w:rPr>
            </w:pPr>
            <w:r w:rsidRPr="004B7894">
              <w:rPr>
                <w:rFonts w:ascii="Arial" w:hAnsi="Arial" w:cs="Arial"/>
              </w:rPr>
              <w:t>Srážky z p</w:t>
            </w:r>
            <w:r w:rsidR="00DA6555" w:rsidRPr="004B7894">
              <w:rPr>
                <w:rFonts w:ascii="Arial" w:hAnsi="Arial" w:cs="Arial"/>
              </w:rPr>
              <w:t>latby</w:t>
            </w:r>
            <w:r w:rsidRPr="004B7894">
              <w:rPr>
                <w:rFonts w:ascii="Arial" w:hAnsi="Arial" w:cs="Arial"/>
              </w:rPr>
              <w:t xml:space="preserve"> za dostupnost</w:t>
            </w:r>
          </w:p>
        </w:tc>
        <w:tc>
          <w:tcPr>
            <w:tcW w:w="6090" w:type="dxa"/>
          </w:tcPr>
          <w:p w:rsidR="00DA6555" w:rsidRPr="004B7894" w:rsidRDefault="00231807" w:rsidP="00F17673">
            <w:pPr>
              <w:spacing w:line="360" w:lineRule="auto"/>
              <w:jc w:val="both"/>
              <w:rPr>
                <w:rFonts w:ascii="Arial" w:hAnsi="Arial" w:cs="Arial"/>
              </w:rPr>
            </w:pPr>
            <w:r w:rsidRPr="004B7894">
              <w:rPr>
                <w:rFonts w:ascii="Arial" w:hAnsi="Arial" w:cs="Arial"/>
              </w:rPr>
              <w:t xml:space="preserve">Aktuální výše </w:t>
            </w:r>
            <w:r w:rsidR="00F647BF" w:rsidRPr="004B7894">
              <w:rPr>
                <w:rFonts w:ascii="Arial" w:hAnsi="Arial" w:cs="Arial"/>
              </w:rPr>
              <w:t>P</w:t>
            </w:r>
            <w:r w:rsidRPr="004B7894">
              <w:rPr>
                <w:rFonts w:ascii="Arial" w:hAnsi="Arial" w:cs="Arial"/>
              </w:rPr>
              <w:t xml:space="preserve">latby za dostupnost bude přímo závislá na kvalitě poskytovaných služeb a dostupnosti dálnice. </w:t>
            </w:r>
            <w:r w:rsidRPr="004B7894">
              <w:rPr>
                <w:rFonts w:ascii="Arial" w:hAnsi="Arial" w:cs="Arial"/>
                <w:b/>
              </w:rPr>
              <w:t xml:space="preserve">V případě nekvality a / nebo nedostupnosti </w:t>
            </w:r>
            <w:r w:rsidR="000B7D56" w:rsidRPr="004B7894">
              <w:rPr>
                <w:rFonts w:ascii="Arial" w:hAnsi="Arial" w:cs="Arial"/>
                <w:b/>
              </w:rPr>
              <w:t xml:space="preserve">jízdních pruhů </w:t>
            </w:r>
            <w:r w:rsidRPr="004B7894">
              <w:rPr>
                <w:rFonts w:ascii="Arial" w:hAnsi="Arial" w:cs="Arial"/>
                <w:b/>
              </w:rPr>
              <w:t>budou aplikovány smluvně definované srážky.</w:t>
            </w:r>
            <w:r w:rsidRPr="004B7894">
              <w:rPr>
                <w:rFonts w:ascii="Arial" w:hAnsi="Arial" w:cs="Arial"/>
              </w:rPr>
              <w:t xml:space="preserve"> </w:t>
            </w:r>
            <w:r w:rsidR="004A6EBD" w:rsidRPr="004B7894">
              <w:rPr>
                <w:rFonts w:ascii="Arial" w:hAnsi="Arial" w:cs="Arial"/>
              </w:rPr>
              <w:t xml:space="preserve">Uzavírky v případě provádění plánované údržby jsou </w:t>
            </w:r>
            <w:r w:rsidR="00FD05FD" w:rsidRPr="004B7894">
              <w:rPr>
                <w:rFonts w:ascii="Arial" w:hAnsi="Arial" w:cs="Arial"/>
              </w:rPr>
              <w:t xml:space="preserve">po vyčerpání od srážek osvobozených hodin v každém měsíci </w:t>
            </w:r>
            <w:r w:rsidR="004A6EBD" w:rsidRPr="004B7894">
              <w:rPr>
                <w:rFonts w:ascii="Arial" w:hAnsi="Arial" w:cs="Arial"/>
              </w:rPr>
              <w:t xml:space="preserve">považovány </w:t>
            </w:r>
            <w:r w:rsidR="00F647BF" w:rsidRPr="004B7894">
              <w:rPr>
                <w:rFonts w:ascii="Arial" w:hAnsi="Arial" w:cs="Arial"/>
              </w:rPr>
              <w:t>také</w:t>
            </w:r>
            <w:r w:rsidR="004A6EBD" w:rsidRPr="004B7894">
              <w:rPr>
                <w:rFonts w:ascii="Arial" w:hAnsi="Arial" w:cs="Arial"/>
              </w:rPr>
              <w:t xml:space="preserve"> za nedostupnost.</w:t>
            </w:r>
          </w:p>
          <w:p w:rsidR="00F17673" w:rsidRPr="004B7894" w:rsidRDefault="00231807" w:rsidP="00053116">
            <w:pPr>
              <w:spacing w:line="360" w:lineRule="auto"/>
              <w:jc w:val="both"/>
              <w:rPr>
                <w:rFonts w:ascii="Arial" w:hAnsi="Arial" w:cs="Arial"/>
              </w:rPr>
            </w:pPr>
            <w:r w:rsidRPr="004B7894">
              <w:rPr>
                <w:rFonts w:ascii="Arial" w:hAnsi="Arial" w:cs="Arial"/>
              </w:rPr>
              <w:t xml:space="preserve">Výše Platby za dostupnost je vázána na dodržování dohodnutých kritérií kvality a dostupnosti jednotlivých úseků dálnice </w:t>
            </w:r>
            <w:r w:rsidR="00687855" w:rsidRPr="004B7894">
              <w:rPr>
                <w:rFonts w:ascii="Arial" w:hAnsi="Arial" w:cs="Arial"/>
              </w:rPr>
              <w:t>Platby za dostupnost</w:t>
            </w:r>
            <w:r w:rsidR="001B1960" w:rsidRPr="004B7894">
              <w:rPr>
                <w:rFonts w:ascii="Arial" w:hAnsi="Arial" w:cs="Arial"/>
              </w:rPr>
              <w:t xml:space="preserve"> tedy </w:t>
            </w:r>
            <w:r w:rsidR="0089218E" w:rsidRPr="004B7894">
              <w:rPr>
                <w:rFonts w:ascii="Arial" w:hAnsi="Arial" w:cs="Arial"/>
              </w:rPr>
              <w:t xml:space="preserve">mohou být </w:t>
            </w:r>
            <w:r w:rsidR="001B1960" w:rsidRPr="004B7894">
              <w:rPr>
                <w:rFonts w:ascii="Arial" w:hAnsi="Arial" w:cs="Arial"/>
              </w:rPr>
              <w:t xml:space="preserve">při nulové dostupnosti </w:t>
            </w:r>
            <w:r w:rsidR="00687855" w:rsidRPr="004B7894">
              <w:rPr>
                <w:rFonts w:ascii="Arial" w:hAnsi="Arial" w:cs="Arial"/>
              </w:rPr>
              <w:t>sníženy</w:t>
            </w:r>
            <w:r w:rsidR="001B1960" w:rsidRPr="004B7894">
              <w:rPr>
                <w:rFonts w:ascii="Arial" w:hAnsi="Arial" w:cs="Arial"/>
              </w:rPr>
              <w:t xml:space="preserve"> až na nulu.</w:t>
            </w:r>
          </w:p>
        </w:tc>
      </w:tr>
      <w:tr w:rsidR="002F614C" w:rsidTr="005338F3">
        <w:trPr>
          <w:cantSplit/>
        </w:trPr>
        <w:tc>
          <w:tcPr>
            <w:tcW w:w="2972" w:type="dxa"/>
          </w:tcPr>
          <w:p w:rsidR="00DF2B79" w:rsidRPr="004B7894" w:rsidRDefault="00231807" w:rsidP="00B24AC7">
            <w:pPr>
              <w:spacing w:line="360" w:lineRule="auto"/>
              <w:rPr>
                <w:rFonts w:ascii="Arial" w:hAnsi="Arial" w:cs="Arial"/>
              </w:rPr>
            </w:pPr>
            <w:r w:rsidRPr="004B7894">
              <w:rPr>
                <w:rFonts w:ascii="Arial" w:hAnsi="Arial" w:cs="Arial"/>
              </w:rPr>
              <w:lastRenderedPageBreak/>
              <w:t>Možné převzetí práv a povinností vyplývajících z </w:t>
            </w:r>
            <w:r w:rsidR="00825F8C" w:rsidRPr="004B7894">
              <w:rPr>
                <w:rFonts w:ascii="Arial" w:hAnsi="Arial" w:cs="Arial"/>
              </w:rPr>
              <w:t>K</w:t>
            </w:r>
            <w:r w:rsidRPr="004B7894">
              <w:rPr>
                <w:rFonts w:ascii="Arial" w:hAnsi="Arial" w:cs="Arial"/>
              </w:rPr>
              <w:t>oncesionářské smlouvy</w:t>
            </w:r>
            <w:r w:rsidR="00B24AC7" w:rsidRPr="004B7894">
              <w:rPr>
                <w:rFonts w:ascii="Arial" w:hAnsi="Arial" w:cs="Arial"/>
              </w:rPr>
              <w:t xml:space="preserve"> Věřitelem</w:t>
            </w:r>
            <w:r w:rsidR="005F4F18" w:rsidRPr="004B7894">
              <w:rPr>
                <w:rFonts w:ascii="Arial" w:hAnsi="Arial" w:cs="Arial"/>
              </w:rPr>
              <w:t xml:space="preserve"> (s</w:t>
            </w:r>
            <w:r w:rsidRPr="004B7894">
              <w:rPr>
                <w:rFonts w:ascii="Arial" w:hAnsi="Arial" w:cs="Arial"/>
              </w:rPr>
              <w:t>tep-in rights</w:t>
            </w:r>
            <w:r w:rsidR="005F4F18" w:rsidRPr="004B7894">
              <w:rPr>
                <w:rFonts w:ascii="Arial" w:hAnsi="Arial" w:cs="Arial"/>
              </w:rPr>
              <w:t>)</w:t>
            </w:r>
          </w:p>
        </w:tc>
        <w:tc>
          <w:tcPr>
            <w:tcW w:w="6090" w:type="dxa"/>
          </w:tcPr>
          <w:p w:rsidR="00F17673" w:rsidRPr="004B7894" w:rsidRDefault="00231807" w:rsidP="00DA6555">
            <w:pPr>
              <w:spacing w:line="360" w:lineRule="auto"/>
              <w:jc w:val="both"/>
              <w:rPr>
                <w:rFonts w:ascii="Arial" w:hAnsi="Arial" w:cs="Arial"/>
              </w:rPr>
            </w:pPr>
            <w:r w:rsidRPr="004B7894">
              <w:rPr>
                <w:rFonts w:ascii="Arial" w:hAnsi="Arial" w:cs="Arial"/>
              </w:rPr>
              <w:t>V</w:t>
            </w:r>
            <w:r w:rsidR="00DF2B79" w:rsidRPr="004B7894">
              <w:rPr>
                <w:rFonts w:ascii="Arial" w:hAnsi="Arial" w:cs="Arial"/>
              </w:rPr>
              <w:t xml:space="preserve">ěřitelé </w:t>
            </w:r>
            <w:r w:rsidR="0042475A" w:rsidRPr="004B7894">
              <w:rPr>
                <w:rFonts w:ascii="Arial" w:hAnsi="Arial" w:cs="Arial"/>
              </w:rPr>
              <w:t>k</w:t>
            </w:r>
            <w:r w:rsidR="00F647BF" w:rsidRPr="004B7894">
              <w:rPr>
                <w:rFonts w:ascii="Arial" w:hAnsi="Arial" w:cs="Arial"/>
              </w:rPr>
              <w:t xml:space="preserve">oncesionáře </w:t>
            </w:r>
            <w:r w:rsidRPr="004B7894">
              <w:rPr>
                <w:rFonts w:ascii="Arial" w:hAnsi="Arial" w:cs="Arial"/>
              </w:rPr>
              <w:t>v PPP projektech obdobné struktury vyžadují</w:t>
            </w:r>
            <w:r w:rsidR="00DF2B79" w:rsidRPr="004B7894">
              <w:rPr>
                <w:rFonts w:ascii="Arial" w:hAnsi="Arial" w:cs="Arial"/>
              </w:rPr>
              <w:t xml:space="preserve"> právo vstoupit do projektu </w:t>
            </w:r>
            <w:r w:rsidR="00B24AC7" w:rsidRPr="004B7894">
              <w:rPr>
                <w:rFonts w:ascii="Arial" w:hAnsi="Arial" w:cs="Arial"/>
              </w:rPr>
              <w:t xml:space="preserve">v případě neplnění povinností </w:t>
            </w:r>
            <w:r w:rsidR="0042475A" w:rsidRPr="004B7894">
              <w:rPr>
                <w:rFonts w:ascii="Arial" w:hAnsi="Arial" w:cs="Arial"/>
              </w:rPr>
              <w:t>k</w:t>
            </w:r>
            <w:r w:rsidR="00B24AC7" w:rsidRPr="004B7894">
              <w:rPr>
                <w:rFonts w:ascii="Arial" w:hAnsi="Arial" w:cs="Arial"/>
              </w:rPr>
              <w:t>oncesionářem</w:t>
            </w:r>
            <w:r w:rsidR="00DF2B79" w:rsidRPr="004B7894">
              <w:rPr>
                <w:rFonts w:ascii="Arial" w:hAnsi="Arial" w:cs="Arial"/>
              </w:rPr>
              <w:t xml:space="preserve"> </w:t>
            </w:r>
            <w:r w:rsidR="005F4F18" w:rsidRPr="004B7894">
              <w:rPr>
                <w:rFonts w:ascii="Arial" w:hAnsi="Arial" w:cs="Arial"/>
              </w:rPr>
              <w:t xml:space="preserve">ve snaze zabránit jeho </w:t>
            </w:r>
            <w:r w:rsidR="001307A8" w:rsidRPr="004B7894">
              <w:rPr>
                <w:rFonts w:ascii="Arial" w:hAnsi="Arial" w:cs="Arial"/>
              </w:rPr>
              <w:t xml:space="preserve">insolvenci </w:t>
            </w:r>
            <w:r w:rsidR="005F4F18" w:rsidRPr="004B7894">
              <w:rPr>
                <w:rFonts w:ascii="Arial" w:hAnsi="Arial" w:cs="Arial"/>
              </w:rPr>
              <w:t>a ztrátě svých vložených prostředků (</w:t>
            </w:r>
            <w:r w:rsidR="00B24AC7" w:rsidRPr="004B7894">
              <w:rPr>
                <w:rFonts w:ascii="Arial" w:hAnsi="Arial" w:cs="Arial"/>
              </w:rPr>
              <w:t>dluh</w:t>
            </w:r>
            <w:r w:rsidR="005F4F18" w:rsidRPr="004B7894">
              <w:rPr>
                <w:rFonts w:ascii="Arial" w:hAnsi="Arial" w:cs="Arial"/>
              </w:rPr>
              <w:t>)</w:t>
            </w:r>
            <w:r w:rsidR="00DF2B79" w:rsidRPr="004B7894">
              <w:rPr>
                <w:rFonts w:ascii="Arial" w:hAnsi="Arial" w:cs="Arial"/>
              </w:rPr>
              <w:t xml:space="preserve">. </w:t>
            </w:r>
            <w:r w:rsidR="000B7D56" w:rsidRPr="004B7894">
              <w:rPr>
                <w:rFonts w:ascii="Arial" w:hAnsi="Arial" w:cs="Arial"/>
              </w:rPr>
              <w:t>Tato ustanovení jsou v rámci PPP projektů standardizována.</w:t>
            </w:r>
            <w:r w:rsidRPr="004B7894">
              <w:rPr>
                <w:rFonts w:ascii="Arial" w:hAnsi="Arial" w:cs="Arial"/>
              </w:rPr>
              <w:t xml:space="preserve"> Za tímto účelem je uzavírána tzv. Přímá smlouva mezi Zadavatelem, Koncesionářem a </w:t>
            </w:r>
            <w:r w:rsidR="00B24AC7" w:rsidRPr="004B7894">
              <w:rPr>
                <w:rFonts w:ascii="Arial" w:hAnsi="Arial" w:cs="Arial"/>
              </w:rPr>
              <w:t>zástupci Věřitelů</w:t>
            </w:r>
            <w:r w:rsidR="00FD05FD" w:rsidRPr="004B7894">
              <w:rPr>
                <w:rFonts w:ascii="Arial" w:hAnsi="Arial" w:cs="Arial"/>
              </w:rPr>
              <w:t xml:space="preserve"> (Agent pro zajištění)</w:t>
            </w:r>
            <w:r w:rsidRPr="004B7894">
              <w:rPr>
                <w:rFonts w:ascii="Arial" w:hAnsi="Arial" w:cs="Arial"/>
              </w:rPr>
              <w:t>.</w:t>
            </w:r>
          </w:p>
          <w:p w:rsidR="00DA6555" w:rsidRPr="004B7894" w:rsidRDefault="00DA6555" w:rsidP="00DA6555">
            <w:pPr>
              <w:spacing w:line="360" w:lineRule="auto"/>
              <w:jc w:val="both"/>
              <w:rPr>
                <w:rFonts w:ascii="Arial" w:hAnsi="Arial" w:cs="Arial"/>
              </w:rPr>
            </w:pPr>
          </w:p>
        </w:tc>
      </w:tr>
      <w:tr w:rsidR="002F614C" w:rsidTr="005338F3">
        <w:trPr>
          <w:cantSplit/>
        </w:trPr>
        <w:tc>
          <w:tcPr>
            <w:tcW w:w="2972" w:type="dxa"/>
          </w:tcPr>
          <w:p w:rsidR="00DF2B79" w:rsidRPr="004B7894" w:rsidRDefault="00231807" w:rsidP="00F17673">
            <w:pPr>
              <w:spacing w:line="360" w:lineRule="auto"/>
              <w:rPr>
                <w:rFonts w:ascii="Arial" w:hAnsi="Arial" w:cs="Arial"/>
              </w:rPr>
            </w:pPr>
            <w:r w:rsidRPr="004B7894">
              <w:rPr>
                <w:rFonts w:ascii="Arial" w:hAnsi="Arial" w:cs="Arial"/>
              </w:rPr>
              <w:t xml:space="preserve">Úhrada DPH </w:t>
            </w:r>
          </w:p>
          <w:p w:rsidR="00DF2B79" w:rsidRPr="004B7894" w:rsidRDefault="00DF2B79" w:rsidP="00F17673">
            <w:pPr>
              <w:spacing w:line="360" w:lineRule="auto"/>
              <w:rPr>
                <w:rFonts w:ascii="Arial" w:hAnsi="Arial" w:cs="Arial"/>
                <w:b/>
              </w:rPr>
            </w:pPr>
          </w:p>
        </w:tc>
        <w:tc>
          <w:tcPr>
            <w:tcW w:w="6090" w:type="dxa"/>
          </w:tcPr>
          <w:p w:rsidR="00DF2B79" w:rsidRPr="004B7894" w:rsidRDefault="00231807" w:rsidP="00F17673">
            <w:pPr>
              <w:spacing w:line="360" w:lineRule="auto"/>
              <w:jc w:val="both"/>
              <w:rPr>
                <w:rFonts w:ascii="Arial" w:hAnsi="Arial" w:cs="Arial"/>
              </w:rPr>
            </w:pPr>
            <w:r w:rsidRPr="004B7894">
              <w:rPr>
                <w:rFonts w:ascii="Arial" w:hAnsi="Arial" w:cs="Arial"/>
              </w:rPr>
              <w:t xml:space="preserve">Ministerstvo dopravy </w:t>
            </w:r>
            <w:r w:rsidR="00397186" w:rsidRPr="004B7894">
              <w:rPr>
                <w:rFonts w:ascii="Arial" w:hAnsi="Arial" w:cs="Arial"/>
              </w:rPr>
              <w:t>řešilo</w:t>
            </w:r>
            <w:r w:rsidRPr="004B7894">
              <w:rPr>
                <w:rFonts w:ascii="Arial" w:hAnsi="Arial" w:cs="Arial"/>
              </w:rPr>
              <w:t xml:space="preserve"> s Ministerstvem financí a Generálním finančním ředitelstvím otázku okamžiku vzniku daňové povinnosti k odvodu DPH</w:t>
            </w:r>
            <w:r w:rsidR="00397186" w:rsidRPr="004B7894">
              <w:rPr>
                <w:rFonts w:ascii="Arial" w:hAnsi="Arial" w:cs="Arial"/>
              </w:rPr>
              <w:t xml:space="preserve">. Ministerstvem dopravy preferované </w:t>
            </w:r>
            <w:r w:rsidRPr="004B7894">
              <w:rPr>
                <w:rFonts w:ascii="Arial" w:hAnsi="Arial" w:cs="Arial"/>
              </w:rPr>
              <w:t xml:space="preserve">řešení </w:t>
            </w:r>
            <w:r w:rsidR="00687855" w:rsidRPr="004B7894">
              <w:rPr>
                <w:rFonts w:ascii="Arial" w:hAnsi="Arial" w:cs="Arial"/>
              </w:rPr>
              <w:t>je</w:t>
            </w:r>
            <w:r w:rsidRPr="004B7894">
              <w:rPr>
                <w:rFonts w:ascii="Arial" w:hAnsi="Arial" w:cs="Arial"/>
              </w:rPr>
              <w:t xml:space="preserve"> hradit DPH z jednotlivých </w:t>
            </w:r>
            <w:r w:rsidR="0042475A" w:rsidRPr="004B7894">
              <w:rPr>
                <w:rFonts w:ascii="Arial" w:hAnsi="Arial" w:cs="Arial"/>
              </w:rPr>
              <w:t>P</w:t>
            </w:r>
            <w:r w:rsidRPr="004B7894">
              <w:rPr>
                <w:rFonts w:ascii="Arial" w:hAnsi="Arial" w:cs="Arial"/>
              </w:rPr>
              <w:t xml:space="preserve">lateb za dostupnost s ohledem na to, že charakterem poskytovaného plnění jsou služby, pro jejichž řádné poskytování je nezbytné vybudování samotné pozemní komunikace. </w:t>
            </w:r>
            <w:r w:rsidR="00687855" w:rsidRPr="004B7894">
              <w:rPr>
                <w:rFonts w:ascii="Arial" w:hAnsi="Arial" w:cs="Arial"/>
              </w:rPr>
              <w:t>Ministerstvo financí ve svém dopise č.j. MF-7836/2019/1801-2 připustilo při splnění určitých předpokladů režim DPH preferovaný Ministerstvem dopravy.</w:t>
            </w:r>
            <w:r w:rsidR="009E2114" w:rsidRPr="004B7894">
              <w:rPr>
                <w:rFonts w:ascii="Arial" w:hAnsi="Arial" w:cs="Arial"/>
              </w:rPr>
              <w:t xml:space="preserve"> </w:t>
            </w:r>
            <w:r w:rsidR="00687855" w:rsidRPr="004B7894">
              <w:rPr>
                <w:rFonts w:ascii="Arial" w:hAnsi="Arial" w:cs="Arial"/>
              </w:rPr>
              <w:t>Toto řešení je zároveň významně méně riziko</w:t>
            </w:r>
            <w:r w:rsidR="009E2114" w:rsidRPr="004B7894">
              <w:rPr>
                <w:rFonts w:ascii="Arial" w:hAnsi="Arial" w:cs="Arial"/>
              </w:rPr>
              <w:t>vé</w:t>
            </w:r>
            <w:r w:rsidR="00687855" w:rsidRPr="004B7894">
              <w:rPr>
                <w:rFonts w:ascii="Arial" w:hAnsi="Arial" w:cs="Arial"/>
              </w:rPr>
              <w:t xml:space="preserve"> z hlediska možnosti mimobilančního vykázání v rámci ESA 2010. </w:t>
            </w:r>
            <w:r w:rsidR="00397186" w:rsidRPr="004B7894">
              <w:rPr>
                <w:rFonts w:ascii="Arial" w:hAnsi="Arial" w:cs="Arial"/>
              </w:rPr>
              <w:t xml:space="preserve">Toto bude mít vliv i na výši </w:t>
            </w:r>
            <w:r w:rsidR="00C7271D" w:rsidRPr="004B7894">
              <w:rPr>
                <w:rFonts w:ascii="Arial" w:hAnsi="Arial" w:cs="Arial"/>
              </w:rPr>
              <w:t>P</w:t>
            </w:r>
            <w:r w:rsidR="00397186" w:rsidRPr="004B7894">
              <w:rPr>
                <w:rFonts w:ascii="Arial" w:hAnsi="Arial" w:cs="Arial"/>
              </w:rPr>
              <w:t>lateb za dostupnost, ke kterým bude přičítáno DPH v okamžiku jejich úhrady.</w:t>
            </w:r>
            <w:r w:rsidR="00256440" w:rsidRPr="004B7894">
              <w:rPr>
                <w:rFonts w:ascii="Arial" w:hAnsi="Arial" w:cs="Arial"/>
              </w:rPr>
              <w:t xml:space="preserve"> </w:t>
            </w:r>
            <w:r w:rsidR="00DA72AE" w:rsidRPr="004B7894">
              <w:rPr>
                <w:rFonts w:ascii="Arial" w:hAnsi="Arial" w:cs="Arial"/>
              </w:rPr>
              <w:t xml:space="preserve">Z pohledu státu bude však navýšení o DPH výdajově neutrální, protože </w:t>
            </w:r>
            <w:r w:rsidR="00256440" w:rsidRPr="004B7894">
              <w:rPr>
                <w:rFonts w:ascii="Arial" w:hAnsi="Arial" w:cs="Arial"/>
              </w:rPr>
              <w:t>Koncesionář bude plátcem DPH</w:t>
            </w:r>
            <w:r w:rsidR="00DA72AE" w:rsidRPr="004B7894">
              <w:rPr>
                <w:rFonts w:ascii="Arial" w:hAnsi="Arial" w:cs="Arial"/>
              </w:rPr>
              <w:t xml:space="preserve"> a příslušné DPH</w:t>
            </w:r>
            <w:r w:rsidR="00256440" w:rsidRPr="004B7894">
              <w:rPr>
                <w:rFonts w:ascii="Arial" w:hAnsi="Arial" w:cs="Arial"/>
              </w:rPr>
              <w:t xml:space="preserve"> obratem odvede</w:t>
            </w:r>
            <w:r w:rsidR="00DA72AE" w:rsidRPr="004B7894">
              <w:rPr>
                <w:rFonts w:ascii="Arial" w:hAnsi="Arial" w:cs="Arial"/>
              </w:rPr>
              <w:t xml:space="preserve"> zpět do </w:t>
            </w:r>
            <w:r w:rsidR="00256440" w:rsidRPr="004B7894">
              <w:rPr>
                <w:rFonts w:ascii="Arial" w:hAnsi="Arial" w:cs="Arial"/>
              </w:rPr>
              <w:t>státního rozpočtu.</w:t>
            </w:r>
          </w:p>
          <w:p w:rsidR="00D04C75" w:rsidRPr="004B7894" w:rsidRDefault="00D04C75" w:rsidP="00F17673">
            <w:pPr>
              <w:pStyle w:val="Odstavecseseznamem"/>
              <w:spacing w:line="360" w:lineRule="auto"/>
              <w:ind w:left="360"/>
              <w:jc w:val="both"/>
              <w:rPr>
                <w:rFonts w:ascii="Arial" w:hAnsi="Arial" w:cs="Arial"/>
              </w:rPr>
            </w:pPr>
          </w:p>
        </w:tc>
      </w:tr>
      <w:tr w:rsidR="002F614C" w:rsidTr="005338F3">
        <w:trPr>
          <w:cantSplit/>
        </w:trPr>
        <w:tc>
          <w:tcPr>
            <w:tcW w:w="2972" w:type="dxa"/>
          </w:tcPr>
          <w:p w:rsidR="00DF2B79" w:rsidRPr="004B7894" w:rsidRDefault="00231807" w:rsidP="00F17673">
            <w:pPr>
              <w:spacing w:line="360" w:lineRule="auto"/>
              <w:rPr>
                <w:rFonts w:ascii="Arial" w:hAnsi="Arial" w:cs="Arial"/>
              </w:rPr>
            </w:pPr>
            <w:r w:rsidRPr="004B7894">
              <w:rPr>
                <w:rFonts w:ascii="Arial" w:hAnsi="Arial" w:cs="Arial"/>
              </w:rPr>
              <w:lastRenderedPageBreak/>
              <w:t>Riziko změn</w:t>
            </w:r>
            <w:r w:rsidR="006C0E54" w:rsidRPr="004B7894">
              <w:rPr>
                <w:rFonts w:ascii="Arial" w:hAnsi="Arial" w:cs="Arial"/>
              </w:rPr>
              <w:t>y</w:t>
            </w:r>
            <w:r w:rsidRPr="004B7894">
              <w:rPr>
                <w:rFonts w:ascii="Arial" w:hAnsi="Arial" w:cs="Arial"/>
              </w:rPr>
              <w:t xml:space="preserve"> měnového kurzu</w:t>
            </w:r>
          </w:p>
          <w:p w:rsidR="00DF2B79" w:rsidRPr="004B7894" w:rsidRDefault="00DF2B79" w:rsidP="00F17673">
            <w:pPr>
              <w:spacing w:line="360" w:lineRule="auto"/>
              <w:rPr>
                <w:rFonts w:ascii="Arial" w:hAnsi="Arial" w:cs="Arial"/>
                <w:b/>
              </w:rPr>
            </w:pPr>
          </w:p>
        </w:tc>
        <w:tc>
          <w:tcPr>
            <w:tcW w:w="6090" w:type="dxa"/>
          </w:tcPr>
          <w:p w:rsidR="009E2114" w:rsidRPr="004B7894" w:rsidRDefault="00231807" w:rsidP="009E2114">
            <w:pPr>
              <w:spacing w:line="360" w:lineRule="auto"/>
              <w:jc w:val="both"/>
              <w:rPr>
                <w:rFonts w:ascii="Arial" w:hAnsi="Arial" w:cs="Arial"/>
              </w:rPr>
            </w:pPr>
            <w:r w:rsidRPr="004B7894">
              <w:rPr>
                <w:rFonts w:ascii="Arial" w:hAnsi="Arial" w:cs="Arial"/>
              </w:rPr>
              <w:t xml:space="preserve">Nabídka </w:t>
            </w:r>
            <w:r w:rsidR="00C7271D" w:rsidRPr="004B7894">
              <w:rPr>
                <w:rFonts w:ascii="Arial" w:hAnsi="Arial" w:cs="Arial"/>
              </w:rPr>
              <w:t>vybraného dodavatele</w:t>
            </w:r>
            <w:r w:rsidRPr="004B7894">
              <w:rPr>
                <w:rFonts w:ascii="Arial" w:hAnsi="Arial" w:cs="Arial"/>
              </w:rPr>
              <w:t xml:space="preserve"> obsahuje č</w:t>
            </w:r>
            <w:r w:rsidR="00DA6555" w:rsidRPr="004B7894">
              <w:rPr>
                <w:rFonts w:ascii="Arial" w:hAnsi="Arial" w:cs="Arial"/>
              </w:rPr>
              <w:t xml:space="preserve">ást </w:t>
            </w:r>
            <w:r w:rsidRPr="004B7894">
              <w:rPr>
                <w:rFonts w:ascii="Arial" w:hAnsi="Arial" w:cs="Arial"/>
              </w:rPr>
              <w:t xml:space="preserve">požadované </w:t>
            </w:r>
            <w:r w:rsidR="00D51955" w:rsidRPr="004B7894">
              <w:rPr>
                <w:rFonts w:ascii="Arial" w:hAnsi="Arial" w:cs="Arial"/>
              </w:rPr>
              <w:t>P</w:t>
            </w:r>
            <w:r w:rsidR="00DA6555" w:rsidRPr="004B7894">
              <w:rPr>
                <w:rFonts w:ascii="Arial" w:hAnsi="Arial" w:cs="Arial"/>
              </w:rPr>
              <w:t>latby za dostupnost v</w:t>
            </w:r>
            <w:r w:rsidRPr="004B7894">
              <w:rPr>
                <w:rFonts w:ascii="Arial" w:hAnsi="Arial" w:cs="Arial"/>
              </w:rPr>
              <w:t> </w:t>
            </w:r>
            <w:r w:rsidR="00DA6555" w:rsidRPr="004B7894">
              <w:rPr>
                <w:rFonts w:ascii="Arial" w:hAnsi="Arial" w:cs="Arial"/>
              </w:rPr>
              <w:t>EUR</w:t>
            </w:r>
            <w:r w:rsidRPr="004B7894">
              <w:rPr>
                <w:rFonts w:ascii="Arial" w:hAnsi="Arial" w:cs="Arial"/>
              </w:rPr>
              <w:t xml:space="preserve">. Tím </w:t>
            </w:r>
            <w:r w:rsidR="00825F8C" w:rsidRPr="004B7894">
              <w:rPr>
                <w:rFonts w:ascii="Arial" w:hAnsi="Arial" w:cs="Arial"/>
              </w:rPr>
              <w:t>Z</w:t>
            </w:r>
            <w:r w:rsidRPr="004B7894">
              <w:rPr>
                <w:rFonts w:ascii="Arial" w:hAnsi="Arial" w:cs="Arial"/>
              </w:rPr>
              <w:t>adavatel mimo jiné</w:t>
            </w:r>
            <w:r w:rsidR="0036416B" w:rsidRPr="004B7894">
              <w:rPr>
                <w:rFonts w:ascii="Arial" w:hAnsi="Arial" w:cs="Arial"/>
              </w:rPr>
              <w:t xml:space="preserve"> benefit</w:t>
            </w:r>
            <w:r w:rsidRPr="004B7894">
              <w:rPr>
                <w:rFonts w:ascii="Arial" w:hAnsi="Arial" w:cs="Arial"/>
              </w:rPr>
              <w:t>uje</w:t>
            </w:r>
            <w:r w:rsidR="0036416B" w:rsidRPr="004B7894">
              <w:rPr>
                <w:rFonts w:ascii="Arial" w:hAnsi="Arial" w:cs="Arial"/>
              </w:rPr>
              <w:t xml:space="preserve"> </w:t>
            </w:r>
            <w:r w:rsidR="007B7C69" w:rsidRPr="004B7894">
              <w:rPr>
                <w:rFonts w:ascii="Arial" w:hAnsi="Arial" w:cs="Arial"/>
              </w:rPr>
              <w:t xml:space="preserve">při současných podmínkách na finančním trhu </w:t>
            </w:r>
            <w:r w:rsidR="0036416B" w:rsidRPr="004B7894">
              <w:rPr>
                <w:rFonts w:ascii="Arial" w:hAnsi="Arial" w:cs="Arial"/>
              </w:rPr>
              <w:t xml:space="preserve">z výhodnějších podmínek </w:t>
            </w:r>
            <w:r w:rsidR="00C7271D" w:rsidRPr="004B7894">
              <w:rPr>
                <w:rFonts w:ascii="Arial" w:hAnsi="Arial" w:cs="Arial"/>
              </w:rPr>
              <w:t>eur</w:t>
            </w:r>
            <w:r w:rsidR="00B24AC7" w:rsidRPr="004B7894">
              <w:rPr>
                <w:rFonts w:ascii="Arial" w:hAnsi="Arial" w:cs="Arial"/>
              </w:rPr>
              <w:t xml:space="preserve">ového </w:t>
            </w:r>
            <w:r w:rsidR="0036416B" w:rsidRPr="004B7894">
              <w:rPr>
                <w:rFonts w:ascii="Arial" w:hAnsi="Arial" w:cs="Arial"/>
              </w:rPr>
              <w:t xml:space="preserve">financování (nižší ceny </w:t>
            </w:r>
            <w:r w:rsidR="006C0E54" w:rsidRPr="004B7894">
              <w:rPr>
                <w:rFonts w:ascii="Arial" w:hAnsi="Arial" w:cs="Arial"/>
              </w:rPr>
              <w:t>úvěru a v důsledku toho i</w:t>
            </w:r>
            <w:r w:rsidR="0036416B" w:rsidRPr="004B7894">
              <w:rPr>
                <w:rFonts w:ascii="Arial" w:hAnsi="Arial" w:cs="Arial"/>
              </w:rPr>
              <w:t xml:space="preserve"> nižší </w:t>
            </w:r>
            <w:r w:rsidR="00C7271D" w:rsidRPr="004B7894">
              <w:rPr>
                <w:rFonts w:ascii="Arial" w:hAnsi="Arial" w:cs="Arial"/>
              </w:rPr>
              <w:t>P</w:t>
            </w:r>
            <w:r w:rsidR="0036416B" w:rsidRPr="004B7894">
              <w:rPr>
                <w:rFonts w:ascii="Arial" w:hAnsi="Arial" w:cs="Arial"/>
              </w:rPr>
              <w:t>latby za dostupnost)</w:t>
            </w:r>
            <w:r w:rsidR="003E29BA" w:rsidRPr="004B7894">
              <w:rPr>
                <w:rFonts w:ascii="Arial" w:hAnsi="Arial" w:cs="Arial"/>
              </w:rPr>
              <w:t xml:space="preserve"> oproti financování dostupném v CZK</w:t>
            </w:r>
            <w:r w:rsidR="003C56BD" w:rsidRPr="004B7894">
              <w:rPr>
                <w:rFonts w:ascii="Arial" w:hAnsi="Arial" w:cs="Arial"/>
              </w:rPr>
              <w:t xml:space="preserve">. </w:t>
            </w:r>
            <w:r w:rsidR="003E29BA" w:rsidRPr="004B7894">
              <w:rPr>
                <w:rFonts w:ascii="Arial" w:hAnsi="Arial" w:cs="Arial"/>
              </w:rPr>
              <w:t>Splátky úvěru v EUR jsou promítnuty do částí Platby za dostupnost v EUR</w:t>
            </w:r>
            <w:r w:rsidR="0036416B" w:rsidRPr="004B7894">
              <w:rPr>
                <w:rFonts w:ascii="Arial" w:hAnsi="Arial" w:cs="Arial"/>
              </w:rPr>
              <w:t xml:space="preserve"> </w:t>
            </w:r>
            <w:r w:rsidR="003E29BA" w:rsidRPr="004B7894">
              <w:rPr>
                <w:rFonts w:ascii="Arial" w:hAnsi="Arial" w:cs="Arial"/>
              </w:rPr>
              <w:t xml:space="preserve">a </w:t>
            </w:r>
            <w:r w:rsidR="00D04870" w:rsidRPr="004B7894">
              <w:rPr>
                <w:rFonts w:ascii="Arial" w:hAnsi="Arial" w:cs="Arial"/>
              </w:rPr>
              <w:t xml:space="preserve">v rozsahu </w:t>
            </w:r>
            <w:r w:rsidR="0036416B" w:rsidRPr="004B7894">
              <w:rPr>
                <w:rFonts w:ascii="Arial" w:hAnsi="Arial" w:cs="Arial"/>
              </w:rPr>
              <w:t xml:space="preserve">této části platby ponese </w:t>
            </w:r>
            <w:r w:rsidR="00825F8C" w:rsidRPr="004B7894">
              <w:rPr>
                <w:rFonts w:ascii="Arial" w:hAnsi="Arial" w:cs="Arial"/>
              </w:rPr>
              <w:t>Z</w:t>
            </w:r>
            <w:r w:rsidR="00B875E4" w:rsidRPr="004B7894">
              <w:rPr>
                <w:rFonts w:ascii="Arial" w:hAnsi="Arial" w:cs="Arial"/>
              </w:rPr>
              <w:t xml:space="preserve">adavatel </w:t>
            </w:r>
            <w:r w:rsidR="0036416B" w:rsidRPr="004B7894">
              <w:rPr>
                <w:rFonts w:ascii="Arial" w:hAnsi="Arial" w:cs="Arial"/>
              </w:rPr>
              <w:t>riziko změny měnového kurzu</w:t>
            </w:r>
            <w:r w:rsidR="00256440" w:rsidRPr="004B7894">
              <w:rPr>
                <w:rFonts w:ascii="Arial" w:hAnsi="Arial" w:cs="Arial"/>
              </w:rPr>
              <w:t xml:space="preserve">, </w:t>
            </w:r>
            <w:r w:rsidR="003E29BA" w:rsidRPr="004B7894">
              <w:rPr>
                <w:rFonts w:ascii="Arial" w:hAnsi="Arial" w:cs="Arial"/>
              </w:rPr>
              <w:t xml:space="preserve">protože </w:t>
            </w:r>
            <w:r w:rsidR="00256440" w:rsidRPr="004B7894">
              <w:rPr>
                <w:rFonts w:ascii="Arial" w:hAnsi="Arial" w:cs="Arial"/>
              </w:rPr>
              <w:t>předmětná část platby za dostupnost bude hrazena přímo v</w:t>
            </w:r>
            <w:r w:rsidR="003E29BA" w:rsidRPr="004B7894">
              <w:rPr>
                <w:rFonts w:ascii="Arial" w:hAnsi="Arial" w:cs="Arial"/>
              </w:rPr>
              <w:t xml:space="preserve"> měně </w:t>
            </w:r>
            <w:r w:rsidR="00256440" w:rsidRPr="004B7894">
              <w:rPr>
                <w:rFonts w:ascii="Arial" w:hAnsi="Arial" w:cs="Arial"/>
              </w:rPr>
              <w:t>EUR</w:t>
            </w:r>
            <w:r w:rsidR="0036416B" w:rsidRPr="004B7894">
              <w:rPr>
                <w:rFonts w:ascii="Arial" w:hAnsi="Arial" w:cs="Arial"/>
              </w:rPr>
              <w:t>.</w:t>
            </w:r>
            <w:r w:rsidR="00256440" w:rsidRPr="004B7894">
              <w:rPr>
                <w:rFonts w:ascii="Arial" w:hAnsi="Arial" w:cs="Arial"/>
              </w:rPr>
              <w:t xml:space="preserve"> </w:t>
            </w:r>
          </w:p>
          <w:p w:rsidR="00241570" w:rsidRPr="004B7894" w:rsidRDefault="00231807">
            <w:pPr>
              <w:spacing w:line="360" w:lineRule="auto"/>
              <w:jc w:val="both"/>
              <w:rPr>
                <w:rFonts w:ascii="Arial" w:hAnsi="Arial" w:cs="Arial"/>
              </w:rPr>
            </w:pPr>
            <w:r w:rsidRPr="004B7894">
              <w:rPr>
                <w:rFonts w:ascii="Arial" w:hAnsi="Arial" w:cs="Arial"/>
              </w:rPr>
              <w:t>Výhody v</w:t>
            </w:r>
            <w:r w:rsidR="003E29BA" w:rsidRPr="004B7894">
              <w:rPr>
                <w:rFonts w:ascii="Arial" w:hAnsi="Arial" w:cs="Arial"/>
              </w:rPr>
              <w:t>yužit</w:t>
            </w:r>
            <w:r w:rsidRPr="004B7894">
              <w:rPr>
                <w:rFonts w:ascii="Arial" w:hAnsi="Arial" w:cs="Arial"/>
              </w:rPr>
              <w:t>ého</w:t>
            </w:r>
            <w:r w:rsidR="003E29BA" w:rsidRPr="004B7894">
              <w:rPr>
                <w:rFonts w:ascii="Arial" w:hAnsi="Arial" w:cs="Arial"/>
              </w:rPr>
              <w:t xml:space="preserve"> úvěr</w:t>
            </w:r>
            <w:r w:rsidRPr="004B7894">
              <w:rPr>
                <w:rFonts w:ascii="Arial" w:hAnsi="Arial" w:cs="Arial"/>
              </w:rPr>
              <w:t>u</w:t>
            </w:r>
            <w:r w:rsidR="003E29BA" w:rsidRPr="004B7894">
              <w:rPr>
                <w:rFonts w:ascii="Arial" w:hAnsi="Arial" w:cs="Arial"/>
              </w:rPr>
              <w:t xml:space="preserve"> v EUR tak pokrýv</w:t>
            </w:r>
            <w:r w:rsidRPr="004B7894">
              <w:rPr>
                <w:rFonts w:ascii="Arial" w:hAnsi="Arial" w:cs="Arial"/>
              </w:rPr>
              <w:t>ají</w:t>
            </w:r>
            <w:r w:rsidR="003E29BA" w:rsidRPr="004B7894">
              <w:rPr>
                <w:rFonts w:ascii="Arial" w:hAnsi="Arial" w:cs="Arial"/>
              </w:rPr>
              <w:t xml:space="preserve"> i rizikovou prémii promítnutou do směnného kurzu pro výpočet nabídkové ceny (více </w:t>
            </w:r>
            <w:r w:rsidRPr="004B7894">
              <w:rPr>
                <w:rFonts w:ascii="Arial" w:hAnsi="Arial" w:cs="Arial"/>
              </w:rPr>
              <w:t xml:space="preserve">výše v </w:t>
            </w:r>
            <w:r w:rsidR="003E29BA" w:rsidRPr="004B7894">
              <w:rPr>
                <w:rFonts w:ascii="Arial" w:hAnsi="Arial" w:cs="Arial"/>
              </w:rPr>
              <w:t>kapitol</w:t>
            </w:r>
            <w:r w:rsidRPr="004B7894">
              <w:rPr>
                <w:rFonts w:ascii="Arial" w:hAnsi="Arial" w:cs="Arial"/>
              </w:rPr>
              <w:t>e</w:t>
            </w:r>
            <w:r w:rsidR="003E29BA" w:rsidRPr="004B7894">
              <w:rPr>
                <w:rFonts w:ascii="Arial" w:hAnsi="Arial" w:cs="Arial"/>
              </w:rPr>
              <w:t xml:space="preserve"> Základní principy realizace Projektu dle Koncesionářské smlouvy a platby Koncesionáři).</w:t>
            </w:r>
          </w:p>
          <w:p w:rsidR="003E29BA" w:rsidRPr="004B7894" w:rsidRDefault="00231807" w:rsidP="003E29BA">
            <w:pPr>
              <w:spacing w:line="360" w:lineRule="auto"/>
              <w:jc w:val="both"/>
              <w:rPr>
                <w:rFonts w:ascii="Arial" w:hAnsi="Arial" w:cs="Arial"/>
              </w:rPr>
            </w:pPr>
            <w:r w:rsidRPr="004B7894">
              <w:rPr>
                <w:rFonts w:ascii="Arial" w:hAnsi="Arial" w:cs="Arial"/>
              </w:rPr>
              <w:t>Skutečná míra rizika bude dále z pohledu státu záviset na skutečných příjmech státu v EUR, které by mohly být na úhradu Plateb za dostupnost v EUR využity a kurzové riziko by tak v tomto rozsahu stát nenesl.</w:t>
            </w:r>
          </w:p>
        </w:tc>
      </w:tr>
      <w:tr w:rsidR="002F614C" w:rsidTr="005338F3">
        <w:trPr>
          <w:cantSplit/>
        </w:trPr>
        <w:tc>
          <w:tcPr>
            <w:tcW w:w="2972" w:type="dxa"/>
          </w:tcPr>
          <w:p w:rsidR="00DF2B79" w:rsidRPr="004B7894" w:rsidRDefault="00231807" w:rsidP="00F17673">
            <w:pPr>
              <w:spacing w:line="360" w:lineRule="auto"/>
              <w:rPr>
                <w:rFonts w:ascii="Arial" w:hAnsi="Arial" w:cs="Arial"/>
              </w:rPr>
            </w:pPr>
            <w:r w:rsidRPr="004B7894">
              <w:rPr>
                <w:rFonts w:ascii="Arial" w:hAnsi="Arial" w:cs="Arial"/>
              </w:rPr>
              <w:t xml:space="preserve">Financování výstavby </w:t>
            </w:r>
            <w:r w:rsidR="00C7271D" w:rsidRPr="004B7894">
              <w:rPr>
                <w:rFonts w:ascii="Arial" w:hAnsi="Arial" w:cs="Arial"/>
              </w:rPr>
              <w:t>Z</w:t>
            </w:r>
            <w:r w:rsidRPr="004B7894">
              <w:rPr>
                <w:rFonts w:ascii="Arial" w:hAnsi="Arial" w:cs="Arial"/>
              </w:rPr>
              <w:t>adavatelem</w:t>
            </w:r>
          </w:p>
          <w:p w:rsidR="00DF2B79" w:rsidRPr="004B7894" w:rsidRDefault="00DF2B79" w:rsidP="00F17673">
            <w:pPr>
              <w:spacing w:line="360" w:lineRule="auto"/>
              <w:rPr>
                <w:rFonts w:ascii="Arial" w:hAnsi="Arial" w:cs="Arial"/>
                <w:b/>
              </w:rPr>
            </w:pPr>
          </w:p>
        </w:tc>
        <w:tc>
          <w:tcPr>
            <w:tcW w:w="6090" w:type="dxa"/>
          </w:tcPr>
          <w:p w:rsidR="00DF2B79" w:rsidRPr="004B7894" w:rsidRDefault="00231807" w:rsidP="00BA0E15">
            <w:pPr>
              <w:spacing w:line="360" w:lineRule="auto"/>
              <w:jc w:val="both"/>
              <w:rPr>
                <w:rFonts w:ascii="Arial" w:hAnsi="Arial" w:cs="Arial"/>
              </w:rPr>
            </w:pPr>
            <w:r w:rsidRPr="004B7894">
              <w:rPr>
                <w:rFonts w:ascii="Arial" w:hAnsi="Arial" w:cs="Arial"/>
              </w:rPr>
              <w:t xml:space="preserve">Vzhledem k požadavku na mimobilanční klasifikaci </w:t>
            </w:r>
            <w:r w:rsidR="00162DB3" w:rsidRPr="004B7894">
              <w:rPr>
                <w:rFonts w:ascii="Arial" w:hAnsi="Arial" w:cs="Arial"/>
              </w:rPr>
              <w:t>P</w:t>
            </w:r>
            <w:r w:rsidRPr="004B7894">
              <w:rPr>
                <w:rFonts w:ascii="Arial" w:hAnsi="Arial" w:cs="Arial"/>
              </w:rPr>
              <w:t xml:space="preserve">rojektu není uvažováno o částečném financování výstavby </w:t>
            </w:r>
            <w:r w:rsidR="00162DB3" w:rsidRPr="004B7894">
              <w:rPr>
                <w:rFonts w:ascii="Arial" w:hAnsi="Arial" w:cs="Arial"/>
              </w:rPr>
              <w:t>P</w:t>
            </w:r>
            <w:r w:rsidRPr="004B7894">
              <w:rPr>
                <w:rFonts w:ascii="Arial" w:hAnsi="Arial" w:cs="Arial"/>
              </w:rPr>
              <w:t xml:space="preserve">rojektu ze strany </w:t>
            </w:r>
            <w:r w:rsidR="00825F8C" w:rsidRPr="004B7894">
              <w:rPr>
                <w:rFonts w:ascii="Arial" w:hAnsi="Arial" w:cs="Arial"/>
              </w:rPr>
              <w:t>Z</w:t>
            </w:r>
            <w:r w:rsidRPr="004B7894">
              <w:rPr>
                <w:rFonts w:ascii="Arial" w:hAnsi="Arial" w:cs="Arial"/>
              </w:rPr>
              <w:t>adavatele</w:t>
            </w:r>
            <w:r w:rsidR="00875B0B" w:rsidRPr="004B7894">
              <w:rPr>
                <w:rFonts w:ascii="Arial" w:hAnsi="Arial" w:cs="Arial"/>
              </w:rPr>
              <w:t xml:space="preserve"> z vlastních zdrojů či zdrojů EU</w:t>
            </w:r>
            <w:r w:rsidRPr="004B7894">
              <w:rPr>
                <w:rFonts w:ascii="Arial" w:hAnsi="Arial" w:cs="Arial"/>
              </w:rPr>
              <w:t xml:space="preserve">. </w:t>
            </w:r>
          </w:p>
          <w:p w:rsidR="00BA0E15" w:rsidRPr="004B7894" w:rsidRDefault="00231807" w:rsidP="00B93F15">
            <w:pPr>
              <w:spacing w:line="360" w:lineRule="auto"/>
              <w:jc w:val="both"/>
              <w:rPr>
                <w:rFonts w:ascii="Arial" w:hAnsi="Arial" w:cs="Arial"/>
              </w:rPr>
            </w:pPr>
            <w:r w:rsidRPr="004B7894">
              <w:rPr>
                <w:rFonts w:ascii="Arial" w:hAnsi="Arial" w:cs="Arial"/>
              </w:rPr>
              <w:t>Zadavatel komunikoval pravidelně s EIB ohledně možnos</w:t>
            </w:r>
            <w:r w:rsidR="00266735" w:rsidRPr="004B7894">
              <w:rPr>
                <w:rFonts w:ascii="Arial" w:hAnsi="Arial" w:cs="Arial"/>
              </w:rPr>
              <w:t>tí</w:t>
            </w:r>
            <w:r w:rsidRPr="004B7894">
              <w:rPr>
                <w:rFonts w:ascii="Arial" w:hAnsi="Arial" w:cs="Arial"/>
              </w:rPr>
              <w:t xml:space="preserve"> zapojení</w:t>
            </w:r>
            <w:r w:rsidR="00266735" w:rsidRPr="004B7894">
              <w:rPr>
                <w:rFonts w:ascii="Arial" w:hAnsi="Arial" w:cs="Arial"/>
              </w:rPr>
              <w:t xml:space="preserve"> při financování</w:t>
            </w:r>
            <w:r w:rsidRPr="004B7894">
              <w:rPr>
                <w:rFonts w:ascii="Arial" w:hAnsi="Arial" w:cs="Arial"/>
              </w:rPr>
              <w:t xml:space="preserve">, nicméně EIB nakonec nepotvrdila </w:t>
            </w:r>
            <w:r w:rsidR="00266735" w:rsidRPr="004B7894">
              <w:rPr>
                <w:rFonts w:ascii="Arial" w:hAnsi="Arial" w:cs="Arial"/>
              </w:rPr>
              <w:t xml:space="preserve">úvodní </w:t>
            </w:r>
            <w:r w:rsidRPr="004B7894">
              <w:rPr>
                <w:rFonts w:ascii="Arial" w:hAnsi="Arial" w:cs="Arial"/>
              </w:rPr>
              <w:t>zájem účastnit se Projektu.</w:t>
            </w:r>
          </w:p>
        </w:tc>
      </w:tr>
      <w:tr w:rsidR="002F614C" w:rsidTr="00A674F5">
        <w:tc>
          <w:tcPr>
            <w:tcW w:w="2972" w:type="dxa"/>
          </w:tcPr>
          <w:p w:rsidR="00566C12" w:rsidRPr="004B7894" w:rsidRDefault="00231807" w:rsidP="00A674F5">
            <w:pPr>
              <w:spacing w:line="360" w:lineRule="auto"/>
              <w:jc w:val="both"/>
              <w:rPr>
                <w:rFonts w:ascii="Arial" w:hAnsi="Arial" w:cs="Arial"/>
              </w:rPr>
            </w:pPr>
            <w:r w:rsidRPr="004B7894">
              <w:rPr>
                <w:rFonts w:ascii="Arial" w:hAnsi="Arial" w:cs="Arial"/>
              </w:rPr>
              <w:t>Řešení sporů</w:t>
            </w:r>
          </w:p>
        </w:tc>
        <w:tc>
          <w:tcPr>
            <w:tcW w:w="6090" w:type="dxa"/>
          </w:tcPr>
          <w:p w:rsidR="00FB5DCB" w:rsidRPr="004B7894" w:rsidRDefault="00231807" w:rsidP="00B24AC7">
            <w:pPr>
              <w:spacing w:line="360" w:lineRule="auto"/>
              <w:jc w:val="both"/>
              <w:rPr>
                <w:rFonts w:ascii="Arial" w:hAnsi="Arial" w:cs="Arial"/>
              </w:rPr>
            </w:pPr>
            <w:r w:rsidRPr="004B7894">
              <w:rPr>
                <w:rFonts w:ascii="Arial" w:hAnsi="Arial" w:cs="Arial"/>
              </w:rPr>
              <w:t xml:space="preserve">Návrh </w:t>
            </w:r>
            <w:r w:rsidR="00825F8C" w:rsidRPr="004B7894">
              <w:rPr>
                <w:rFonts w:ascii="Arial" w:hAnsi="Arial" w:cs="Arial"/>
              </w:rPr>
              <w:t>K</w:t>
            </w:r>
            <w:r w:rsidRPr="004B7894">
              <w:rPr>
                <w:rFonts w:ascii="Arial" w:hAnsi="Arial" w:cs="Arial"/>
              </w:rPr>
              <w:t xml:space="preserve">oncesionářské smlouvy musí z hlediska dlouhodobosti jejího trvání předjímat i způsob řešení sporů, které v době jejího trvání vzniknou či mohou vzniknout. Pro účely předcházení sporům a pro účely dozorování nad plněním povinností </w:t>
            </w:r>
            <w:r w:rsidR="00C7271D" w:rsidRPr="004B7894">
              <w:rPr>
                <w:rFonts w:ascii="Arial" w:hAnsi="Arial" w:cs="Arial"/>
              </w:rPr>
              <w:t>S</w:t>
            </w:r>
            <w:r w:rsidRPr="004B7894">
              <w:rPr>
                <w:rFonts w:ascii="Arial" w:hAnsi="Arial" w:cs="Arial"/>
              </w:rPr>
              <w:t>mluvních stran je v </w:t>
            </w:r>
            <w:r w:rsidR="009E2114" w:rsidRPr="004B7894">
              <w:rPr>
                <w:rFonts w:ascii="Arial" w:hAnsi="Arial" w:cs="Arial"/>
              </w:rPr>
              <w:t>Koncesionářské smlouvě</w:t>
            </w:r>
            <w:r w:rsidRPr="004B7894">
              <w:rPr>
                <w:rFonts w:ascii="Arial" w:hAnsi="Arial" w:cs="Arial"/>
              </w:rPr>
              <w:t xml:space="preserve"> obsažena funkce tzv. Nezávislého dozoru, což je externí subjekt </w:t>
            </w:r>
            <w:r w:rsidR="008A2522" w:rsidRPr="004B7894">
              <w:rPr>
                <w:rFonts w:ascii="Arial" w:hAnsi="Arial" w:cs="Arial"/>
              </w:rPr>
              <w:t>rozhodující v</w:t>
            </w:r>
            <w:r w:rsidR="0087379E" w:rsidRPr="004B7894">
              <w:rPr>
                <w:rFonts w:ascii="Arial" w:hAnsi="Arial" w:cs="Arial"/>
              </w:rPr>
              <w:t xml:space="preserve"> prvním stupni </w:t>
            </w:r>
            <w:r w:rsidR="008A2522" w:rsidRPr="004B7894">
              <w:rPr>
                <w:rFonts w:ascii="Arial" w:hAnsi="Arial" w:cs="Arial"/>
              </w:rPr>
              <w:t xml:space="preserve">spory převážně </w:t>
            </w:r>
            <w:r w:rsidR="0087379E" w:rsidRPr="004B7894">
              <w:rPr>
                <w:rFonts w:ascii="Arial" w:hAnsi="Arial" w:cs="Arial"/>
              </w:rPr>
              <w:t>technického charakteru</w:t>
            </w:r>
            <w:r w:rsidRPr="004B7894">
              <w:rPr>
                <w:rFonts w:ascii="Arial" w:hAnsi="Arial" w:cs="Arial"/>
              </w:rPr>
              <w:t xml:space="preserve">. </w:t>
            </w:r>
            <w:r w:rsidR="009E2114" w:rsidRPr="004B7894">
              <w:rPr>
                <w:rFonts w:ascii="Arial" w:hAnsi="Arial" w:cs="Arial"/>
              </w:rPr>
              <w:t>N</w:t>
            </w:r>
            <w:r w:rsidRPr="004B7894">
              <w:rPr>
                <w:rFonts w:ascii="Arial" w:hAnsi="Arial" w:cs="Arial"/>
              </w:rPr>
              <w:t xml:space="preserve">ezávislý dozor bude jmenován z portfolia </w:t>
            </w:r>
            <w:r w:rsidR="009E2114" w:rsidRPr="004B7894">
              <w:rPr>
                <w:rFonts w:ascii="Arial" w:hAnsi="Arial" w:cs="Arial"/>
              </w:rPr>
              <w:t xml:space="preserve">tří předkvalifikovaných společností, které předložil </w:t>
            </w:r>
            <w:r w:rsidR="005C7122" w:rsidRPr="004B7894">
              <w:rPr>
                <w:rFonts w:ascii="Arial" w:hAnsi="Arial" w:cs="Arial"/>
              </w:rPr>
              <w:t>vybraný dodavatel</w:t>
            </w:r>
            <w:r w:rsidR="009E2114" w:rsidRPr="004B7894">
              <w:rPr>
                <w:rFonts w:ascii="Arial" w:hAnsi="Arial" w:cs="Arial"/>
              </w:rPr>
              <w:t xml:space="preserve"> v průběhu zadávacího řízení. </w:t>
            </w:r>
            <w:r w:rsidRPr="004B7894">
              <w:rPr>
                <w:rFonts w:ascii="Arial" w:hAnsi="Arial" w:cs="Arial"/>
              </w:rPr>
              <w:t xml:space="preserve">Úhrada za činnost Nezávislého dozoru je hrazena v rámci </w:t>
            </w:r>
            <w:r w:rsidR="008712DB" w:rsidRPr="004B7894">
              <w:rPr>
                <w:rFonts w:ascii="Arial" w:hAnsi="Arial" w:cs="Arial"/>
              </w:rPr>
              <w:t>P</w:t>
            </w:r>
            <w:r w:rsidRPr="004B7894">
              <w:rPr>
                <w:rFonts w:ascii="Arial" w:hAnsi="Arial" w:cs="Arial"/>
              </w:rPr>
              <w:t>latby za dostupnost. V souladu s </w:t>
            </w:r>
            <w:r w:rsidR="009E2114" w:rsidRPr="004B7894">
              <w:rPr>
                <w:rFonts w:ascii="Arial" w:hAnsi="Arial" w:cs="Arial"/>
              </w:rPr>
              <w:t>K</w:t>
            </w:r>
            <w:r w:rsidRPr="004B7894">
              <w:rPr>
                <w:rFonts w:ascii="Arial" w:hAnsi="Arial" w:cs="Arial"/>
              </w:rPr>
              <w:t xml:space="preserve">oncesionářskou smlouvou může </w:t>
            </w:r>
            <w:r w:rsidRPr="004B7894">
              <w:rPr>
                <w:rFonts w:ascii="Arial" w:hAnsi="Arial" w:cs="Arial"/>
              </w:rPr>
              <w:lastRenderedPageBreak/>
              <w:t xml:space="preserve">být každý </w:t>
            </w:r>
            <w:r w:rsidR="009E2114" w:rsidRPr="004B7894">
              <w:rPr>
                <w:rFonts w:ascii="Arial" w:hAnsi="Arial" w:cs="Arial"/>
              </w:rPr>
              <w:t>S</w:t>
            </w:r>
            <w:r w:rsidRPr="004B7894">
              <w:rPr>
                <w:rFonts w:ascii="Arial" w:hAnsi="Arial" w:cs="Arial"/>
              </w:rPr>
              <w:t xml:space="preserve">por, kde jedna ze </w:t>
            </w:r>
            <w:r w:rsidR="005C7122" w:rsidRPr="004B7894">
              <w:rPr>
                <w:rFonts w:ascii="Arial" w:hAnsi="Arial" w:cs="Arial"/>
              </w:rPr>
              <w:t>S</w:t>
            </w:r>
            <w:r w:rsidRPr="004B7894">
              <w:rPr>
                <w:rFonts w:ascii="Arial" w:hAnsi="Arial" w:cs="Arial"/>
              </w:rPr>
              <w:t xml:space="preserve">mluvních stran nesouhlasí s návrhem řešení dle </w:t>
            </w:r>
            <w:r w:rsidR="009E2114" w:rsidRPr="004B7894">
              <w:rPr>
                <w:rFonts w:ascii="Arial" w:hAnsi="Arial" w:cs="Arial"/>
              </w:rPr>
              <w:t>N</w:t>
            </w:r>
            <w:r w:rsidRPr="004B7894">
              <w:rPr>
                <w:rFonts w:ascii="Arial" w:hAnsi="Arial" w:cs="Arial"/>
              </w:rPr>
              <w:t>ezávislého dozoru</w:t>
            </w:r>
            <w:r w:rsidR="00256440" w:rsidRPr="004B7894">
              <w:rPr>
                <w:rFonts w:ascii="Arial" w:hAnsi="Arial" w:cs="Arial"/>
              </w:rPr>
              <w:t>,</w:t>
            </w:r>
            <w:r w:rsidRPr="004B7894">
              <w:rPr>
                <w:rFonts w:ascii="Arial" w:hAnsi="Arial" w:cs="Arial"/>
              </w:rPr>
              <w:t xml:space="preserve"> eskalován na úroveň řešení přímo mezi </w:t>
            </w:r>
            <w:r w:rsidR="009E2114" w:rsidRPr="004B7894">
              <w:rPr>
                <w:rFonts w:ascii="Arial" w:hAnsi="Arial" w:cs="Arial"/>
              </w:rPr>
              <w:t>S</w:t>
            </w:r>
            <w:r w:rsidRPr="004B7894">
              <w:rPr>
                <w:rFonts w:ascii="Arial" w:hAnsi="Arial" w:cs="Arial"/>
              </w:rPr>
              <w:t xml:space="preserve">mluvními stranami. V případě nedohody </w:t>
            </w:r>
            <w:r w:rsidR="009E2114" w:rsidRPr="004B7894">
              <w:rPr>
                <w:rFonts w:ascii="Arial" w:hAnsi="Arial" w:cs="Arial"/>
              </w:rPr>
              <w:t>S</w:t>
            </w:r>
            <w:r w:rsidRPr="004B7894">
              <w:rPr>
                <w:rFonts w:ascii="Arial" w:hAnsi="Arial" w:cs="Arial"/>
              </w:rPr>
              <w:t xml:space="preserve">mluvních stran může potom kterákoliv </w:t>
            </w:r>
            <w:r w:rsidR="009E2114" w:rsidRPr="004B7894">
              <w:rPr>
                <w:rFonts w:ascii="Arial" w:hAnsi="Arial" w:cs="Arial"/>
              </w:rPr>
              <w:t>S</w:t>
            </w:r>
            <w:r w:rsidRPr="004B7894">
              <w:rPr>
                <w:rFonts w:ascii="Arial" w:hAnsi="Arial" w:cs="Arial"/>
              </w:rPr>
              <w:t xml:space="preserve">mluvní strana </w:t>
            </w:r>
            <w:r w:rsidR="009E2114" w:rsidRPr="004B7894">
              <w:rPr>
                <w:rFonts w:ascii="Arial" w:hAnsi="Arial" w:cs="Arial"/>
              </w:rPr>
              <w:t>S</w:t>
            </w:r>
            <w:r w:rsidRPr="004B7894">
              <w:rPr>
                <w:rFonts w:ascii="Arial" w:hAnsi="Arial" w:cs="Arial"/>
              </w:rPr>
              <w:t xml:space="preserve">por postoupit k řešení rozhodčímu tribunálu, který bude rozhodovat podle pravidel Mezinárodní obchodní komory pro rozhodčí řízení, </w:t>
            </w:r>
            <w:r w:rsidR="0074028E" w:rsidRPr="004B7894">
              <w:rPr>
                <w:rFonts w:ascii="Arial" w:hAnsi="Arial" w:cs="Arial"/>
              </w:rPr>
              <w:t>a bude ustanoven podle pravidel uvedených v Konces</w:t>
            </w:r>
            <w:r w:rsidR="008712DB" w:rsidRPr="004B7894">
              <w:rPr>
                <w:rFonts w:ascii="Arial" w:hAnsi="Arial" w:cs="Arial"/>
              </w:rPr>
              <w:t>ionářské</w:t>
            </w:r>
            <w:r w:rsidR="0074028E" w:rsidRPr="004B7894">
              <w:rPr>
                <w:rFonts w:ascii="Arial" w:hAnsi="Arial" w:cs="Arial"/>
              </w:rPr>
              <w:t xml:space="preserve"> smlouvě, s místem rozhodčího řízení v</w:t>
            </w:r>
            <w:r w:rsidR="008712DB" w:rsidRPr="004B7894">
              <w:rPr>
                <w:rFonts w:ascii="Arial" w:hAnsi="Arial" w:cs="Arial"/>
              </w:rPr>
              <w:t> </w:t>
            </w:r>
            <w:r w:rsidR="0074028E" w:rsidRPr="004B7894">
              <w:rPr>
                <w:rFonts w:ascii="Arial" w:hAnsi="Arial" w:cs="Arial"/>
              </w:rPr>
              <w:t>Praze</w:t>
            </w:r>
            <w:r w:rsidRPr="004B7894">
              <w:rPr>
                <w:rFonts w:ascii="Arial" w:hAnsi="Arial" w:cs="Arial"/>
              </w:rPr>
              <w:t>.</w:t>
            </w:r>
          </w:p>
          <w:p w:rsidR="00FB5DCB" w:rsidRPr="004B7894" w:rsidRDefault="00FB5DCB" w:rsidP="00B24AC7">
            <w:pPr>
              <w:spacing w:line="360" w:lineRule="auto"/>
              <w:jc w:val="both"/>
              <w:rPr>
                <w:rFonts w:ascii="Arial" w:hAnsi="Arial" w:cs="Arial"/>
              </w:rPr>
            </w:pPr>
          </w:p>
          <w:p w:rsidR="00566C12" w:rsidRPr="004B7894" w:rsidRDefault="00231807">
            <w:pPr>
              <w:spacing w:line="360" w:lineRule="auto"/>
              <w:jc w:val="both"/>
              <w:rPr>
                <w:rFonts w:ascii="Arial" w:hAnsi="Arial" w:cs="Arial"/>
              </w:rPr>
            </w:pPr>
            <w:r w:rsidRPr="004B7894">
              <w:rPr>
                <w:rFonts w:ascii="Arial" w:hAnsi="Arial" w:cs="Arial"/>
              </w:rPr>
              <w:t xml:space="preserve">K vyloučení obecných soudů bylo nutno přistoupit z důvodů zajištění efektivního a rychlého rozhodování a je současně v souladu s mezinárodní praxí u PPP projektů (aplikace řešení sporů u obecných soudů by </w:t>
            </w:r>
            <w:r w:rsidR="009E2114" w:rsidRPr="004B7894">
              <w:rPr>
                <w:rFonts w:ascii="Arial" w:hAnsi="Arial" w:cs="Arial"/>
              </w:rPr>
              <w:t xml:space="preserve">pro </w:t>
            </w:r>
            <w:r w:rsidRPr="004B7894">
              <w:rPr>
                <w:rFonts w:ascii="Arial" w:hAnsi="Arial" w:cs="Arial"/>
              </w:rPr>
              <w:t>účastníky nebyla akceptovatelná a mohla by vést až k nepodání nabídek</w:t>
            </w:r>
            <w:r w:rsidR="00FA301D" w:rsidRPr="004B7894">
              <w:rPr>
                <w:rFonts w:ascii="Arial" w:hAnsi="Arial" w:cs="Arial"/>
              </w:rPr>
              <w:t>, neboť obecné soudy jsou vnímány jako subjekty na straně domovského státu</w:t>
            </w:r>
            <w:r w:rsidRPr="004B7894">
              <w:rPr>
                <w:rFonts w:ascii="Arial" w:hAnsi="Arial" w:cs="Arial"/>
              </w:rPr>
              <w:t>).</w:t>
            </w:r>
          </w:p>
        </w:tc>
      </w:tr>
      <w:tr w:rsidR="002F614C" w:rsidTr="00A674F5">
        <w:tc>
          <w:tcPr>
            <w:tcW w:w="2972" w:type="dxa"/>
          </w:tcPr>
          <w:p w:rsidR="00101BF7" w:rsidRPr="004B7894" w:rsidRDefault="00231807" w:rsidP="008720B8">
            <w:pPr>
              <w:spacing w:line="360" w:lineRule="auto"/>
              <w:rPr>
                <w:rFonts w:ascii="Arial" w:hAnsi="Arial" w:cs="Arial"/>
              </w:rPr>
            </w:pPr>
            <w:r w:rsidRPr="004B7894">
              <w:rPr>
                <w:rFonts w:ascii="Arial" w:hAnsi="Arial" w:cs="Arial"/>
              </w:rPr>
              <w:lastRenderedPageBreak/>
              <w:t>Vyloučení rizika nedovolené veřejné podpory</w:t>
            </w:r>
          </w:p>
        </w:tc>
        <w:tc>
          <w:tcPr>
            <w:tcW w:w="6090" w:type="dxa"/>
          </w:tcPr>
          <w:p w:rsidR="00101BF7" w:rsidRPr="004B7894" w:rsidRDefault="00231807" w:rsidP="00496088">
            <w:pPr>
              <w:pStyle w:val="Default"/>
              <w:spacing w:line="360" w:lineRule="auto"/>
              <w:jc w:val="both"/>
              <w:rPr>
                <w:rFonts w:ascii="Arial" w:hAnsi="Arial" w:cs="Arial"/>
                <w:color w:val="auto"/>
                <w:sz w:val="22"/>
                <w:szCs w:val="22"/>
              </w:rPr>
            </w:pPr>
            <w:r w:rsidRPr="004B7894">
              <w:rPr>
                <w:rFonts w:ascii="Arial" w:hAnsi="Arial" w:cs="Arial"/>
                <w:color w:val="auto"/>
                <w:sz w:val="22"/>
                <w:szCs w:val="22"/>
              </w:rPr>
              <w:t>Aspekty veřejné podpory ve vztahu k projektu mají dvě roviny (i) riziko nedovolené veřejné podpory v rámci Projektu</w:t>
            </w:r>
            <w:r w:rsidR="00915994" w:rsidRPr="004B7894">
              <w:rPr>
                <w:rFonts w:ascii="Arial" w:hAnsi="Arial" w:cs="Arial"/>
                <w:color w:val="auto"/>
                <w:sz w:val="22"/>
                <w:szCs w:val="22"/>
              </w:rPr>
              <w:t>, a</w:t>
            </w:r>
            <w:r w:rsidRPr="004B7894">
              <w:rPr>
                <w:rFonts w:ascii="Arial" w:hAnsi="Arial" w:cs="Arial"/>
                <w:color w:val="auto"/>
                <w:sz w:val="22"/>
                <w:szCs w:val="22"/>
              </w:rPr>
              <w:t xml:space="preserve"> (ii) riziko nedovolené veřejné podpory při financování výstavby a provozu pozemních komunikací v gesci ŘSD ČR (bez ohledu na jeho právní formu).</w:t>
            </w:r>
          </w:p>
          <w:p w:rsidR="00101BF7" w:rsidRPr="004B7894" w:rsidRDefault="00231807" w:rsidP="00496088">
            <w:pPr>
              <w:pStyle w:val="Default"/>
              <w:spacing w:line="360" w:lineRule="auto"/>
              <w:jc w:val="both"/>
              <w:rPr>
                <w:rFonts w:ascii="Arial" w:hAnsi="Arial" w:cs="Arial"/>
                <w:color w:val="auto"/>
                <w:sz w:val="22"/>
                <w:szCs w:val="22"/>
              </w:rPr>
            </w:pPr>
            <w:r w:rsidRPr="004B7894">
              <w:rPr>
                <w:rFonts w:ascii="Arial" w:hAnsi="Arial" w:cs="Arial"/>
                <w:color w:val="auto"/>
                <w:sz w:val="22"/>
                <w:szCs w:val="22"/>
              </w:rPr>
              <w:t xml:space="preserve">Ad (i) riziko je eliminováno skutečností, že výběr koncesionáře probíhal </w:t>
            </w:r>
            <w:r w:rsidR="003B64F2" w:rsidRPr="004B7894">
              <w:rPr>
                <w:rFonts w:ascii="Arial" w:hAnsi="Arial" w:cs="Arial"/>
                <w:color w:val="auto"/>
                <w:sz w:val="22"/>
                <w:szCs w:val="22"/>
              </w:rPr>
              <w:t xml:space="preserve">v </w:t>
            </w:r>
            <w:r w:rsidRPr="004B7894">
              <w:rPr>
                <w:rFonts w:ascii="Arial" w:hAnsi="Arial" w:cs="Arial"/>
                <w:color w:val="auto"/>
                <w:sz w:val="22"/>
                <w:szCs w:val="22"/>
              </w:rPr>
              <w:t>otevřeném nadlimitním zadávacím řízení na stavební práce</w:t>
            </w:r>
            <w:r w:rsidR="003B64F2" w:rsidRPr="004B7894">
              <w:rPr>
                <w:rFonts w:ascii="Arial" w:hAnsi="Arial" w:cs="Arial"/>
                <w:color w:val="auto"/>
                <w:sz w:val="22"/>
                <w:szCs w:val="22"/>
              </w:rPr>
              <w:t>, problematika byla prostřednictvím ÚOHS konzultována s DG COMPET EU.</w:t>
            </w:r>
          </w:p>
          <w:p w:rsidR="00101BF7" w:rsidRPr="004B7894" w:rsidRDefault="00231807" w:rsidP="00915994">
            <w:pPr>
              <w:pStyle w:val="Default"/>
              <w:spacing w:line="360" w:lineRule="auto"/>
              <w:jc w:val="both"/>
              <w:rPr>
                <w:rFonts w:ascii="Arial" w:hAnsi="Arial" w:cs="Arial"/>
                <w:color w:val="auto"/>
                <w:sz w:val="22"/>
                <w:szCs w:val="22"/>
              </w:rPr>
            </w:pPr>
            <w:r w:rsidRPr="004B7894">
              <w:rPr>
                <w:rFonts w:ascii="Arial" w:hAnsi="Arial" w:cs="Arial"/>
                <w:color w:val="auto"/>
                <w:sz w:val="22"/>
                <w:szCs w:val="22"/>
              </w:rPr>
              <w:t xml:space="preserve">Ad (ii) </w:t>
            </w:r>
            <w:r w:rsidR="001E570D" w:rsidRPr="004B7894">
              <w:rPr>
                <w:rFonts w:ascii="Arial" w:hAnsi="Arial" w:cs="Arial"/>
                <w:color w:val="auto"/>
                <w:sz w:val="22"/>
                <w:szCs w:val="22"/>
              </w:rPr>
              <w:t>Při zohlednění analytického materiálu Evropské komise (Infrastructure Analytical Grid for Roads, Bridges, Tunnels and Inland Waterways) lze konstatovat, že riziko nedovolené veřejné podpory lze vyloučit ve vztahu k financování provozu a údržby dálnic a silnic I. třídy vůči ŘSD ČR (bez ohledu na jeho právní formu) ze SFDI několika způsoby. Nejlogičtějším postupem je udržet postavení ŘSD ČR</w:t>
            </w:r>
            <w:r w:rsidR="00D92EC8" w:rsidRPr="004B7894">
              <w:rPr>
                <w:rFonts w:ascii="Arial" w:hAnsi="Arial" w:cs="Arial"/>
                <w:color w:val="auto"/>
                <w:sz w:val="22"/>
                <w:szCs w:val="22"/>
              </w:rPr>
              <w:t xml:space="preserve"> </w:t>
            </w:r>
            <w:r w:rsidR="00256440" w:rsidRPr="004B7894">
              <w:rPr>
                <w:rFonts w:ascii="Arial" w:hAnsi="Arial" w:cs="Arial"/>
                <w:color w:val="auto"/>
                <w:sz w:val="22"/>
                <w:szCs w:val="22"/>
              </w:rPr>
              <w:t xml:space="preserve">coby </w:t>
            </w:r>
            <w:r w:rsidR="001E570D" w:rsidRPr="004B7894">
              <w:rPr>
                <w:rFonts w:ascii="Arial" w:hAnsi="Arial" w:cs="Arial"/>
                <w:color w:val="auto"/>
                <w:sz w:val="22"/>
                <w:szCs w:val="22"/>
              </w:rPr>
              <w:t>monopolisty ve vztahu k výkonu práv a povinností správce dálnic a silnic I. třídy na území ČR ve smyslu § 9 odst. 3</w:t>
            </w:r>
            <w:r w:rsidR="00D92EC8" w:rsidRPr="004B7894">
              <w:rPr>
                <w:rFonts w:ascii="Arial" w:hAnsi="Arial" w:cs="Arial"/>
                <w:color w:val="auto"/>
                <w:sz w:val="22"/>
                <w:szCs w:val="22"/>
              </w:rPr>
              <w:t xml:space="preserve"> Zákona o pozemních komunikacích. Realizací Projektu není ohrožována pozice ŘSD ČR coby právního </w:t>
            </w:r>
            <w:r w:rsidR="00D92EC8" w:rsidRPr="004B7894">
              <w:rPr>
                <w:rFonts w:ascii="Arial" w:hAnsi="Arial" w:cs="Arial"/>
                <w:color w:val="auto"/>
                <w:sz w:val="22"/>
                <w:szCs w:val="22"/>
              </w:rPr>
              <w:lastRenderedPageBreak/>
              <w:t>monopolisty na trhu provozování dálnic a silnic I. třídy neboť Koncesionářská smlouva v souladu s částí čtvrtou Zákona o</w:t>
            </w:r>
            <w:r w:rsidR="00915994" w:rsidRPr="004B7894">
              <w:rPr>
                <w:rFonts w:ascii="Arial" w:hAnsi="Arial" w:cs="Arial"/>
                <w:color w:val="auto"/>
                <w:sz w:val="22"/>
                <w:szCs w:val="22"/>
              </w:rPr>
              <w:t> </w:t>
            </w:r>
            <w:r w:rsidR="00D92EC8" w:rsidRPr="004B7894">
              <w:rPr>
                <w:rFonts w:ascii="Arial" w:hAnsi="Arial" w:cs="Arial"/>
                <w:color w:val="auto"/>
                <w:sz w:val="22"/>
                <w:szCs w:val="22"/>
              </w:rPr>
              <w:t>pozemních komunikacích převádí na Koncesionáře pouze některá práva a povinnosti státu coby vlastníka pozemní komunikace, přičemž role správce ve smyslu § 9 Z</w:t>
            </w:r>
            <w:r w:rsidR="00256440" w:rsidRPr="004B7894">
              <w:rPr>
                <w:rFonts w:ascii="Arial" w:hAnsi="Arial" w:cs="Arial"/>
                <w:color w:val="auto"/>
                <w:sz w:val="22"/>
                <w:szCs w:val="22"/>
              </w:rPr>
              <w:t>ákona o</w:t>
            </w:r>
            <w:r w:rsidR="00915994" w:rsidRPr="004B7894">
              <w:rPr>
                <w:rFonts w:ascii="Arial" w:hAnsi="Arial" w:cs="Arial"/>
                <w:color w:val="auto"/>
                <w:sz w:val="22"/>
                <w:szCs w:val="22"/>
              </w:rPr>
              <w:t> </w:t>
            </w:r>
            <w:r w:rsidR="00256440" w:rsidRPr="004B7894">
              <w:rPr>
                <w:rFonts w:ascii="Arial" w:hAnsi="Arial" w:cs="Arial"/>
                <w:color w:val="auto"/>
                <w:sz w:val="22"/>
                <w:szCs w:val="22"/>
              </w:rPr>
              <w:t>pozemních komunikacích</w:t>
            </w:r>
            <w:r w:rsidR="00D92EC8" w:rsidRPr="004B7894">
              <w:rPr>
                <w:rFonts w:ascii="Arial" w:hAnsi="Arial" w:cs="Arial"/>
                <w:color w:val="auto"/>
                <w:sz w:val="22"/>
                <w:szCs w:val="22"/>
              </w:rPr>
              <w:t xml:space="preserve"> zůstává po celou dobu trvání Koncesionářské smlouvy ŘSD ČR – viz k tomuto článek 11 Koncesionářské smlouvy. Koncesionář tak není správcem ani vlastníkem pozemní komunikace, což ostatně ani dle Zákona o pozemních komunikacích být nemůže. Role monopolisty tak ŘSD ČR v oblasti správy dálnic a silnic I.</w:t>
            </w:r>
            <w:r w:rsidR="00256440" w:rsidRPr="004B7894">
              <w:rPr>
                <w:rFonts w:ascii="Arial" w:hAnsi="Arial" w:cs="Arial"/>
                <w:color w:val="auto"/>
                <w:sz w:val="22"/>
                <w:szCs w:val="22"/>
              </w:rPr>
              <w:t> </w:t>
            </w:r>
            <w:r w:rsidR="00D92EC8" w:rsidRPr="004B7894">
              <w:rPr>
                <w:rFonts w:ascii="Arial" w:hAnsi="Arial" w:cs="Arial"/>
                <w:color w:val="auto"/>
                <w:sz w:val="22"/>
                <w:szCs w:val="22"/>
              </w:rPr>
              <w:t>třídy zůstává. Situaci s uzavřením komplexní koncesionářské smlouvy lze fakticky připodobnit situaci, kdy ŘSD ČR si v rámci výkonu funkce správce najímá na jednotlivé činnosti provozování a údržby externí subjekty, které pro něj zajišťují jednotlivé činnosti, ať už se jedná o běžnou údržbu, zimní údržbu, provozování služeb na odpočívkách atp., přičemž tato situace je u ŘSD ČR zcela běžná. Rozdílem u Koncesionářské smlouvy je pak to, že tyto běžně outsourcované činnosti zadávané v běžném pojetí ŘSD ČR jednotlivými veřejnými zakázkami jsou v případě Projektu outsourcovány jednou veřejnou zakázkou s dlouhodobým trváním.</w:t>
            </w:r>
          </w:p>
        </w:tc>
      </w:tr>
      <w:tr w:rsidR="002F614C" w:rsidTr="00A674F5">
        <w:tc>
          <w:tcPr>
            <w:tcW w:w="2972" w:type="dxa"/>
          </w:tcPr>
          <w:p w:rsidR="00496088" w:rsidRPr="004B7894" w:rsidRDefault="00231807" w:rsidP="008720B8">
            <w:pPr>
              <w:spacing w:line="360" w:lineRule="auto"/>
              <w:rPr>
                <w:rFonts w:ascii="Arial" w:hAnsi="Arial" w:cs="Arial"/>
              </w:rPr>
            </w:pPr>
            <w:r w:rsidRPr="004B7894">
              <w:rPr>
                <w:rFonts w:ascii="Arial" w:hAnsi="Arial" w:cs="Arial"/>
              </w:rPr>
              <w:lastRenderedPageBreak/>
              <w:t>Building Information Modelling</w:t>
            </w:r>
          </w:p>
        </w:tc>
        <w:tc>
          <w:tcPr>
            <w:tcW w:w="6090" w:type="dxa"/>
          </w:tcPr>
          <w:p w:rsidR="00496088" w:rsidRPr="004B7894" w:rsidRDefault="00231807" w:rsidP="00496088">
            <w:pPr>
              <w:pStyle w:val="Default"/>
              <w:spacing w:line="360" w:lineRule="auto"/>
              <w:jc w:val="both"/>
              <w:rPr>
                <w:rFonts w:ascii="Arial" w:hAnsi="Arial" w:cs="Arial"/>
                <w:sz w:val="22"/>
                <w:szCs w:val="22"/>
              </w:rPr>
            </w:pPr>
            <w:r w:rsidRPr="004B7894">
              <w:rPr>
                <w:rFonts w:ascii="Arial" w:hAnsi="Arial" w:cs="Arial"/>
                <w:color w:val="auto"/>
                <w:sz w:val="22"/>
                <w:szCs w:val="22"/>
              </w:rPr>
              <w:t>Zadavatel předpokládá s ohledem na dlouhodobý charakter Projektu požadavek na správu celého Projektu v rámci BIM (Building Information Modelling) a to především za účelem jednoznačné dokladovatelnosti všech kroků a postupů Koncesionáře, Zadavatele i Zúčastněných stran, které s realizací Projektu souvisí. Zadavatel připravil dokumenty související s umožněním aplikace metody BIM do praxe - EIR (Employer’s Information Requirements) a BEP (BIM Execution Plan). Před zahájením realizace Projektu dojde k nastavení CDE (Common Data Environment - společné datového prostředí) a spuštění celého BIM řešení. Implementace BIM do tohoto Projektu pomůže výrazně zvýšit know-how Zadavatele o tomto způsobu správy dat u projektů dopravní infrastruktury obdobného typu, přičemž toto know-</w:t>
            </w:r>
            <w:r w:rsidRPr="004B7894">
              <w:rPr>
                <w:rFonts w:ascii="Arial" w:hAnsi="Arial" w:cs="Arial"/>
                <w:color w:val="auto"/>
                <w:sz w:val="22"/>
                <w:szCs w:val="22"/>
              </w:rPr>
              <w:lastRenderedPageBreak/>
              <w:t>how může být následně využitelné v rámci standardizace BIM v prostředí ČR.</w:t>
            </w:r>
          </w:p>
        </w:tc>
      </w:tr>
      <w:tr w:rsidR="002F614C" w:rsidTr="00A674F5">
        <w:tc>
          <w:tcPr>
            <w:tcW w:w="2972" w:type="dxa"/>
          </w:tcPr>
          <w:p w:rsidR="00496088" w:rsidRPr="004B7894" w:rsidRDefault="00231807" w:rsidP="00496088">
            <w:pPr>
              <w:spacing w:line="360" w:lineRule="auto"/>
              <w:jc w:val="both"/>
              <w:rPr>
                <w:rFonts w:ascii="Arial" w:hAnsi="Arial" w:cs="Arial"/>
              </w:rPr>
            </w:pPr>
            <w:r w:rsidRPr="004B7894">
              <w:rPr>
                <w:rFonts w:ascii="Arial" w:hAnsi="Arial" w:cs="Arial"/>
              </w:rPr>
              <w:lastRenderedPageBreak/>
              <w:t>Dálniční technologie a BIM</w:t>
            </w:r>
          </w:p>
        </w:tc>
        <w:tc>
          <w:tcPr>
            <w:tcW w:w="6090" w:type="dxa"/>
          </w:tcPr>
          <w:p w:rsidR="00496088" w:rsidRPr="004B7894" w:rsidRDefault="00231807" w:rsidP="00496088">
            <w:pPr>
              <w:pStyle w:val="Default"/>
              <w:spacing w:line="360" w:lineRule="auto"/>
              <w:jc w:val="both"/>
              <w:rPr>
                <w:rFonts w:ascii="Arial" w:hAnsi="Arial" w:cs="Arial"/>
                <w:sz w:val="22"/>
                <w:szCs w:val="22"/>
              </w:rPr>
            </w:pPr>
            <w:r w:rsidRPr="004B7894">
              <w:rPr>
                <w:rFonts w:ascii="Arial" w:hAnsi="Arial" w:cs="Arial"/>
                <w:sz w:val="22"/>
                <w:szCs w:val="22"/>
              </w:rPr>
              <w:t xml:space="preserve">Jak již bylo uvedeno v předchozích odstavcích, </w:t>
            </w:r>
            <w:r w:rsidRPr="004B7894">
              <w:rPr>
                <w:rFonts w:ascii="Arial" w:hAnsi="Arial" w:cs="Arial"/>
                <w:color w:val="auto"/>
                <w:sz w:val="22"/>
                <w:szCs w:val="22"/>
              </w:rPr>
              <w:t>součástí Projektu je též vybavení dálnice D4 Dálniční technologií a správa celého Projektu je realizována s využitím BIM řešení. Z jistého úhlu pohledu je tedy součástí Projektu i dodání informačních a komunikačních technologií a Platba za dostupnost v sobě obsahuje i výdaje související s implementací těchto systémů.</w:t>
            </w:r>
            <w:r w:rsidRPr="004B7894">
              <w:rPr>
                <w:rFonts w:ascii="Arial" w:hAnsi="Arial" w:cs="Arial"/>
                <w:sz w:val="22"/>
                <w:szCs w:val="22"/>
              </w:rPr>
              <w:t xml:space="preserve"> Zadávací řízení na Projekt bylo zahájeno před lednem 2020, kdy bylo přijato usnesení vlády č. 86. Zároveň detailní obsah řešení BIM i Dálniční technologie je součástí řešení „design &amp; build“, tj. součástí dodávky Koncesionáře. Ministerstvo dopravy je připraveno detailnější návrh BIM řešení (post-contract BEP) a detailní řešení Dálniční technologie (dopracovaný Návrh Koncesionáře) konzultovat s útvarem Hlavního architekta eGovernmentu v případě, že by se toto projednání ukazovalo jako potřebné a účelné. Součástí nabídky vybraného dodavatele je též tzv. Plán kybernetické bezpečnosti vztažený k Dálniční technologii.</w:t>
            </w:r>
          </w:p>
        </w:tc>
      </w:tr>
    </w:tbl>
    <w:p w:rsidR="00DF2B79" w:rsidRPr="004B7894" w:rsidRDefault="00DF2B79" w:rsidP="00F17673">
      <w:pPr>
        <w:spacing w:line="360" w:lineRule="auto"/>
        <w:rPr>
          <w:rFonts w:ascii="Arial" w:hAnsi="Arial" w:cs="Arial"/>
        </w:rPr>
      </w:pPr>
    </w:p>
    <w:p w:rsidR="00231807" w:rsidRDefault="00231807">
      <w:pPr>
        <w:rPr>
          <w:rStyle w:val="Nadpis1Char"/>
        </w:rPr>
      </w:pPr>
      <w:r>
        <w:rPr>
          <w:rStyle w:val="Nadpis1Char"/>
        </w:rPr>
        <w:br w:type="page"/>
      </w:r>
    </w:p>
    <w:p w:rsidR="007669B4" w:rsidRPr="004B7894" w:rsidRDefault="00231807" w:rsidP="007669B4">
      <w:pPr>
        <w:spacing w:line="360" w:lineRule="auto"/>
        <w:jc w:val="both"/>
        <w:rPr>
          <w:rFonts w:ascii="Arial" w:hAnsi="Arial" w:cs="Arial"/>
        </w:rPr>
      </w:pPr>
      <w:r w:rsidRPr="004B7894">
        <w:rPr>
          <w:rStyle w:val="Nadpis1Char"/>
        </w:rPr>
        <w:lastRenderedPageBreak/>
        <w:t xml:space="preserve">Parametry nejvýhodnější nabídky a </w:t>
      </w:r>
      <w:r w:rsidR="005E624E" w:rsidRPr="004B7894">
        <w:rPr>
          <w:rStyle w:val="Nadpis1Char"/>
        </w:rPr>
        <w:t>vyhrazené změny před dosažením F</w:t>
      </w:r>
      <w:r w:rsidRPr="004B7894">
        <w:rPr>
          <w:rStyle w:val="Nadpis1Char"/>
        </w:rPr>
        <w:t>inančního uzavření</w:t>
      </w:r>
    </w:p>
    <w:p w:rsidR="007669B4" w:rsidRPr="004B7894" w:rsidRDefault="00231807" w:rsidP="005E624E">
      <w:pPr>
        <w:spacing w:line="360" w:lineRule="auto"/>
        <w:jc w:val="both"/>
        <w:rPr>
          <w:rFonts w:ascii="Arial" w:hAnsi="Arial" w:cs="Arial"/>
        </w:rPr>
      </w:pPr>
      <w:r w:rsidRPr="004B7894">
        <w:rPr>
          <w:rFonts w:ascii="Arial" w:hAnsi="Arial" w:cs="Arial"/>
        </w:rPr>
        <w:t xml:space="preserve">Vládě </w:t>
      </w:r>
      <w:r w:rsidR="00256440" w:rsidRPr="004B7894">
        <w:rPr>
          <w:rFonts w:ascii="Arial" w:hAnsi="Arial" w:cs="Arial"/>
        </w:rPr>
        <w:t>byla</w:t>
      </w:r>
      <w:r w:rsidRPr="004B7894">
        <w:rPr>
          <w:rFonts w:ascii="Arial" w:hAnsi="Arial" w:cs="Arial"/>
        </w:rPr>
        <w:t xml:space="preserve"> ke schválení před</w:t>
      </w:r>
      <w:r w:rsidR="00256440" w:rsidRPr="004B7894">
        <w:rPr>
          <w:rFonts w:ascii="Arial" w:hAnsi="Arial" w:cs="Arial"/>
        </w:rPr>
        <w:t>ložena</w:t>
      </w:r>
      <w:r w:rsidRPr="004B7894">
        <w:rPr>
          <w:rFonts w:ascii="Arial" w:hAnsi="Arial" w:cs="Arial"/>
        </w:rPr>
        <w:t xml:space="preserve"> Koncesionářská smlouva v podobě odpovídající podané a Zadavatelem řádně vyhodnocené nejv</w:t>
      </w:r>
      <w:r w:rsidR="00B2596E" w:rsidRPr="004B7894">
        <w:rPr>
          <w:rFonts w:ascii="Arial" w:hAnsi="Arial" w:cs="Arial"/>
        </w:rPr>
        <w:t>ý</w:t>
      </w:r>
      <w:r w:rsidRPr="004B7894">
        <w:rPr>
          <w:rFonts w:ascii="Arial" w:hAnsi="Arial" w:cs="Arial"/>
        </w:rPr>
        <w:t xml:space="preserve">hodnější nabídce </w:t>
      </w:r>
      <w:r w:rsidR="00B2596E" w:rsidRPr="004B7894">
        <w:rPr>
          <w:rFonts w:ascii="Arial" w:hAnsi="Arial" w:cs="Arial"/>
        </w:rPr>
        <w:t xml:space="preserve">od </w:t>
      </w:r>
      <w:r w:rsidRPr="004B7894">
        <w:rPr>
          <w:rFonts w:ascii="Arial" w:hAnsi="Arial" w:cs="Arial"/>
        </w:rPr>
        <w:t xml:space="preserve">účastníka DIVia. </w:t>
      </w:r>
      <w:r w:rsidR="00256440" w:rsidRPr="004B7894">
        <w:rPr>
          <w:rFonts w:ascii="Arial" w:hAnsi="Arial" w:cs="Arial"/>
        </w:rPr>
        <w:t xml:space="preserve">Ve shodné podobě jsou Poslanecké sněmovně Parlamentu ČR předkládány finanční závazky státu obsažené v návrhu smlouvou před jejím uzavřením. </w:t>
      </w:r>
      <w:r w:rsidRPr="004B7894">
        <w:rPr>
          <w:rFonts w:ascii="Arial" w:hAnsi="Arial" w:cs="Arial"/>
        </w:rPr>
        <w:t>Zadavatel si v souladu s ustanovením §</w:t>
      </w:r>
      <w:r w:rsidR="00256440" w:rsidRPr="004B7894">
        <w:rPr>
          <w:rFonts w:ascii="Arial" w:hAnsi="Arial" w:cs="Arial"/>
        </w:rPr>
        <w:t> </w:t>
      </w:r>
      <w:r w:rsidRPr="004B7894">
        <w:rPr>
          <w:rFonts w:ascii="Arial" w:hAnsi="Arial" w:cs="Arial"/>
        </w:rPr>
        <w:t xml:space="preserve">69 odst. 8 Zákona o zadávání veřejných zakázek vyhradil ve Výzvě k podání nabídek, která tvoří </w:t>
      </w:r>
      <w:r w:rsidR="002B3BEA">
        <w:rPr>
          <w:rFonts w:ascii="Arial" w:hAnsi="Arial" w:cs="Arial"/>
        </w:rPr>
        <w:t xml:space="preserve">elektronickou </w:t>
      </w:r>
      <w:r w:rsidRPr="004B7894">
        <w:rPr>
          <w:rFonts w:ascii="Arial" w:hAnsi="Arial" w:cs="Arial"/>
        </w:rPr>
        <w:t>přílohu tohoto materiálu</w:t>
      </w:r>
      <w:r w:rsidR="005E624E" w:rsidRPr="004B7894">
        <w:rPr>
          <w:rFonts w:ascii="Arial" w:hAnsi="Arial" w:cs="Arial"/>
        </w:rPr>
        <w:t>,</w:t>
      </w:r>
      <w:r w:rsidRPr="004B7894">
        <w:rPr>
          <w:rFonts w:ascii="Arial" w:hAnsi="Arial" w:cs="Arial"/>
        </w:rPr>
        <w:t xml:space="preserve"> právo na změny dílčích částí K</w:t>
      </w:r>
      <w:r w:rsidR="005E624E" w:rsidRPr="004B7894">
        <w:rPr>
          <w:rFonts w:ascii="Arial" w:hAnsi="Arial" w:cs="Arial"/>
        </w:rPr>
        <w:t>oncesionářské smlouvy.</w:t>
      </w:r>
      <w:r w:rsidRPr="004B7894">
        <w:rPr>
          <w:rFonts w:ascii="Arial" w:hAnsi="Arial" w:cs="Arial"/>
        </w:rPr>
        <w:t xml:space="preserve"> </w:t>
      </w:r>
      <w:r w:rsidR="005E624E" w:rsidRPr="004B7894">
        <w:rPr>
          <w:rFonts w:ascii="Arial" w:hAnsi="Arial" w:cs="Arial"/>
        </w:rPr>
        <w:t>B</w:t>
      </w:r>
      <w:r w:rsidRPr="004B7894">
        <w:rPr>
          <w:rFonts w:ascii="Arial" w:hAnsi="Arial" w:cs="Arial"/>
        </w:rPr>
        <w:t>ude se však jednat výhradně o změny, které vyplynou z vývoj</w:t>
      </w:r>
      <w:r w:rsidR="005E624E" w:rsidRPr="004B7894">
        <w:rPr>
          <w:rFonts w:ascii="Arial" w:hAnsi="Arial" w:cs="Arial"/>
        </w:rPr>
        <w:t>e</w:t>
      </w:r>
      <w:r w:rsidRPr="004B7894">
        <w:rPr>
          <w:rFonts w:ascii="Arial" w:hAnsi="Arial" w:cs="Arial"/>
        </w:rPr>
        <w:t xml:space="preserve"> základních úrokových sazeb </w:t>
      </w:r>
      <w:r w:rsidR="005E624E" w:rsidRPr="004B7894">
        <w:rPr>
          <w:rFonts w:ascii="Arial" w:hAnsi="Arial" w:cs="Arial"/>
        </w:rPr>
        <w:t xml:space="preserve">(IRS) </w:t>
      </w:r>
      <w:r w:rsidRPr="004B7894">
        <w:rPr>
          <w:rFonts w:ascii="Arial" w:hAnsi="Arial" w:cs="Arial"/>
        </w:rPr>
        <w:t xml:space="preserve">před </w:t>
      </w:r>
      <w:r w:rsidR="005E624E" w:rsidRPr="004B7894">
        <w:rPr>
          <w:rFonts w:ascii="Arial" w:hAnsi="Arial" w:cs="Arial"/>
        </w:rPr>
        <w:t>F</w:t>
      </w:r>
      <w:r w:rsidRPr="004B7894">
        <w:rPr>
          <w:rFonts w:ascii="Arial" w:hAnsi="Arial" w:cs="Arial"/>
        </w:rPr>
        <w:t>inančním uzavřením</w:t>
      </w:r>
      <w:r w:rsidR="00081D1F" w:rsidRPr="004B7894">
        <w:rPr>
          <w:rFonts w:ascii="Arial" w:hAnsi="Arial" w:cs="Arial"/>
        </w:rPr>
        <w:t>,</w:t>
      </w:r>
      <w:r w:rsidRPr="004B7894">
        <w:rPr>
          <w:rFonts w:ascii="Arial" w:hAnsi="Arial" w:cs="Arial"/>
        </w:rPr>
        <w:t xml:space="preserve"> resp. o drobné změny, které představují upřesnění smluvních podmínek, pokud to nepovede ke změně základních parametrů nabídky nebo zadávacích podmínek a tyto změny by neohrozily hospodářskou soutěž nebo by neměly diskriminační účinky.</w:t>
      </w:r>
      <w:r w:rsidR="00F93DD4" w:rsidRPr="004B7894">
        <w:rPr>
          <w:rFonts w:ascii="Arial" w:hAnsi="Arial" w:cs="Arial"/>
        </w:rPr>
        <w:t xml:space="preserve"> Výsledné finanční závazky státu po dosažení Finančního uzavření tak mohou být mírně odlišné od finančních závazků státu schválených na základě předložené nabídky – toto je nicméně plně v souladu s ustanovením §18c Zákona o pozemních komunikacích, který hovoří o vyslovení souhlasu s údaji vyjadřujícími finanční závazky státu vůči koncesionáři obsaženými v návrhu smlouvy Poslaneckou sněmovnou. Předmětné ustanovení tak explicitně počítá s možností dílčích změn v</w:t>
      </w:r>
      <w:r w:rsidR="007C17FC" w:rsidRPr="004B7894">
        <w:rPr>
          <w:rFonts w:ascii="Arial" w:hAnsi="Arial" w:cs="Arial"/>
        </w:rPr>
        <w:t> rámci procesu směřujícího k dosažení Finančního uzavření.</w:t>
      </w:r>
    </w:p>
    <w:p w:rsidR="00231807" w:rsidRDefault="00231807">
      <w:pPr>
        <w:rPr>
          <w:rFonts w:asciiTheme="majorHAnsi" w:eastAsiaTheme="majorEastAsia" w:hAnsiTheme="majorHAnsi" w:cstheme="majorBidi"/>
          <w:color w:val="2E74B5" w:themeColor="accent1" w:themeShade="BF"/>
          <w:sz w:val="32"/>
          <w:szCs w:val="32"/>
        </w:rPr>
      </w:pPr>
      <w:r>
        <w:br w:type="page"/>
      </w:r>
    </w:p>
    <w:p w:rsidR="006B1B4C" w:rsidRPr="004B7894" w:rsidRDefault="00231807" w:rsidP="004E094C">
      <w:pPr>
        <w:pStyle w:val="Nadpis1"/>
        <w:jc w:val="both"/>
      </w:pPr>
      <w:r w:rsidRPr="004B7894">
        <w:lastRenderedPageBreak/>
        <w:t>Úhrady plateb za dostupnost v nominálních hodnotách</w:t>
      </w:r>
      <w:r>
        <w:rPr>
          <w:rStyle w:val="Znakapoznpodarou"/>
        </w:rPr>
        <w:footnoteReference w:id="3"/>
      </w:r>
    </w:p>
    <w:tbl>
      <w:tblPr>
        <w:tblStyle w:val="Mkatabulky"/>
        <w:tblW w:w="0" w:type="auto"/>
        <w:tblLayout w:type="fixed"/>
        <w:tblLook w:val="04A0" w:firstRow="1" w:lastRow="0" w:firstColumn="1" w:lastColumn="0" w:noHBand="0" w:noVBand="1"/>
      </w:tblPr>
      <w:tblGrid>
        <w:gridCol w:w="1817"/>
        <w:gridCol w:w="1720"/>
        <w:gridCol w:w="1987"/>
        <w:gridCol w:w="1511"/>
        <w:gridCol w:w="2027"/>
      </w:tblGrid>
      <w:tr w:rsidR="002F614C" w:rsidTr="004E094C">
        <w:tc>
          <w:tcPr>
            <w:tcW w:w="1817" w:type="dxa"/>
          </w:tcPr>
          <w:p w:rsidR="007E0E1F" w:rsidRPr="004B7894" w:rsidRDefault="00231807" w:rsidP="004E094C">
            <w:pPr>
              <w:spacing w:line="360" w:lineRule="auto"/>
              <w:jc w:val="center"/>
              <w:rPr>
                <w:rFonts w:ascii="Arial" w:hAnsi="Arial" w:cs="Arial"/>
                <w:b/>
              </w:rPr>
            </w:pPr>
            <w:r w:rsidRPr="004B7894">
              <w:rPr>
                <w:rFonts w:ascii="Arial" w:hAnsi="Arial" w:cs="Arial"/>
                <w:b/>
              </w:rPr>
              <w:t>Rok</w:t>
            </w:r>
          </w:p>
        </w:tc>
        <w:tc>
          <w:tcPr>
            <w:tcW w:w="1720" w:type="dxa"/>
          </w:tcPr>
          <w:p w:rsidR="007E0E1F" w:rsidRPr="004B7894" w:rsidRDefault="00231807" w:rsidP="004E094C">
            <w:pPr>
              <w:spacing w:line="360" w:lineRule="auto"/>
              <w:jc w:val="center"/>
              <w:rPr>
                <w:rFonts w:ascii="Arial" w:hAnsi="Arial" w:cs="Arial"/>
                <w:b/>
              </w:rPr>
            </w:pPr>
            <w:r w:rsidRPr="004B7894">
              <w:rPr>
                <w:rFonts w:ascii="Arial" w:hAnsi="Arial" w:cs="Arial"/>
                <w:b/>
              </w:rPr>
              <w:t>Fixní část [CZK]</w:t>
            </w:r>
          </w:p>
        </w:tc>
        <w:tc>
          <w:tcPr>
            <w:tcW w:w="1987" w:type="dxa"/>
          </w:tcPr>
          <w:p w:rsidR="007E0E1F" w:rsidRPr="004B7894" w:rsidRDefault="00231807" w:rsidP="004E094C">
            <w:pPr>
              <w:spacing w:line="360" w:lineRule="auto"/>
              <w:jc w:val="center"/>
              <w:rPr>
                <w:rFonts w:ascii="Arial" w:hAnsi="Arial" w:cs="Arial"/>
                <w:b/>
              </w:rPr>
            </w:pPr>
            <w:r w:rsidRPr="004B7894">
              <w:rPr>
                <w:rFonts w:ascii="Arial" w:hAnsi="Arial" w:cs="Arial"/>
                <w:b/>
              </w:rPr>
              <w:t>Indexovaná část</w:t>
            </w:r>
            <w:r>
              <w:rPr>
                <w:rStyle w:val="Znakapoznpodarou"/>
                <w:rFonts w:ascii="Arial" w:hAnsi="Arial" w:cs="Arial"/>
                <w:b/>
              </w:rPr>
              <w:footnoteReference w:id="4"/>
            </w:r>
            <w:r w:rsidRPr="004B7894">
              <w:rPr>
                <w:rFonts w:ascii="Arial" w:hAnsi="Arial" w:cs="Arial"/>
                <w:b/>
              </w:rPr>
              <w:t xml:space="preserve"> [CZK]</w:t>
            </w:r>
          </w:p>
        </w:tc>
        <w:tc>
          <w:tcPr>
            <w:tcW w:w="1511" w:type="dxa"/>
          </w:tcPr>
          <w:p w:rsidR="007E0E1F" w:rsidRPr="004B7894" w:rsidRDefault="00231807" w:rsidP="004E094C">
            <w:pPr>
              <w:spacing w:line="360" w:lineRule="auto"/>
              <w:jc w:val="center"/>
              <w:rPr>
                <w:rFonts w:ascii="Arial" w:hAnsi="Arial" w:cs="Arial"/>
                <w:b/>
              </w:rPr>
            </w:pPr>
            <w:r w:rsidRPr="004B7894">
              <w:rPr>
                <w:rFonts w:ascii="Arial" w:hAnsi="Arial" w:cs="Arial"/>
                <w:b/>
              </w:rPr>
              <w:t>Fixní část [EUR]</w:t>
            </w:r>
          </w:p>
        </w:tc>
        <w:tc>
          <w:tcPr>
            <w:tcW w:w="2027" w:type="dxa"/>
          </w:tcPr>
          <w:p w:rsidR="007E0E1F" w:rsidRPr="004B7894" w:rsidRDefault="00231807" w:rsidP="004E094C">
            <w:pPr>
              <w:spacing w:line="360" w:lineRule="auto"/>
              <w:jc w:val="center"/>
              <w:rPr>
                <w:rFonts w:ascii="Arial" w:hAnsi="Arial" w:cs="Arial"/>
                <w:b/>
              </w:rPr>
            </w:pPr>
            <w:r w:rsidRPr="004B7894">
              <w:rPr>
                <w:rFonts w:ascii="Arial" w:hAnsi="Arial" w:cs="Arial"/>
                <w:b/>
              </w:rPr>
              <w:t>Indexovaná část [EUR]</w:t>
            </w:r>
            <w:r>
              <w:rPr>
                <w:rStyle w:val="Znakapoznpodarou"/>
                <w:rFonts w:ascii="Arial" w:hAnsi="Arial" w:cs="Arial"/>
                <w:b/>
              </w:rPr>
              <w:footnoteReference w:id="5"/>
            </w:r>
          </w:p>
        </w:tc>
      </w:tr>
      <w:tr w:rsidR="002F614C" w:rsidTr="004E094C">
        <w:tc>
          <w:tcPr>
            <w:tcW w:w="181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2024</w:t>
            </w:r>
          </w:p>
        </w:tc>
        <w:tc>
          <w:tcPr>
            <w:tcW w:w="1720"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64 986 137</w:t>
            </w:r>
          </w:p>
        </w:tc>
        <w:tc>
          <w:tcPr>
            <w:tcW w:w="1987"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49 147 685</w:t>
            </w:r>
          </w:p>
        </w:tc>
        <w:tc>
          <w:tcPr>
            <w:tcW w:w="1511"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3 033 378</w:t>
            </w:r>
          </w:p>
        </w:tc>
        <w:tc>
          <w:tcPr>
            <w:tcW w:w="202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18 329</w:t>
            </w:r>
          </w:p>
        </w:tc>
      </w:tr>
      <w:tr w:rsidR="002F614C" w:rsidTr="004E094C">
        <w:tc>
          <w:tcPr>
            <w:tcW w:w="181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2025</w:t>
            </w:r>
          </w:p>
        </w:tc>
        <w:tc>
          <w:tcPr>
            <w:tcW w:w="1720"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389 916 822</w:t>
            </w:r>
          </w:p>
        </w:tc>
        <w:tc>
          <w:tcPr>
            <w:tcW w:w="1987"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300 783 834</w:t>
            </w:r>
          </w:p>
        </w:tc>
        <w:tc>
          <w:tcPr>
            <w:tcW w:w="1511"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18 200 266</w:t>
            </w:r>
          </w:p>
        </w:tc>
        <w:tc>
          <w:tcPr>
            <w:tcW w:w="202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112 170</w:t>
            </w:r>
          </w:p>
        </w:tc>
      </w:tr>
      <w:tr w:rsidR="002F614C" w:rsidTr="004E094C">
        <w:tc>
          <w:tcPr>
            <w:tcW w:w="181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2026</w:t>
            </w:r>
          </w:p>
        </w:tc>
        <w:tc>
          <w:tcPr>
            <w:tcW w:w="1720"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389 916 822</w:t>
            </w:r>
          </w:p>
        </w:tc>
        <w:tc>
          <w:tcPr>
            <w:tcW w:w="1987"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306 799 511</w:t>
            </w:r>
          </w:p>
        </w:tc>
        <w:tc>
          <w:tcPr>
            <w:tcW w:w="1511"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18 200 266</w:t>
            </w:r>
          </w:p>
        </w:tc>
        <w:tc>
          <w:tcPr>
            <w:tcW w:w="202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114 414</w:t>
            </w:r>
          </w:p>
        </w:tc>
      </w:tr>
      <w:tr w:rsidR="002F614C" w:rsidTr="004E094C">
        <w:tc>
          <w:tcPr>
            <w:tcW w:w="181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2027</w:t>
            </w:r>
          </w:p>
        </w:tc>
        <w:tc>
          <w:tcPr>
            <w:tcW w:w="1720"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389 916 822</w:t>
            </w:r>
          </w:p>
        </w:tc>
        <w:tc>
          <w:tcPr>
            <w:tcW w:w="1987"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312 935 501</w:t>
            </w:r>
          </w:p>
        </w:tc>
        <w:tc>
          <w:tcPr>
            <w:tcW w:w="1511"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18 200 266</w:t>
            </w:r>
          </w:p>
        </w:tc>
        <w:tc>
          <w:tcPr>
            <w:tcW w:w="202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116 702</w:t>
            </w:r>
          </w:p>
        </w:tc>
      </w:tr>
      <w:tr w:rsidR="002F614C" w:rsidTr="004E094C">
        <w:tc>
          <w:tcPr>
            <w:tcW w:w="181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2028</w:t>
            </w:r>
          </w:p>
        </w:tc>
        <w:tc>
          <w:tcPr>
            <w:tcW w:w="1720"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389 916 822</w:t>
            </w:r>
          </w:p>
        </w:tc>
        <w:tc>
          <w:tcPr>
            <w:tcW w:w="1987"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319 194 211</w:t>
            </w:r>
          </w:p>
        </w:tc>
        <w:tc>
          <w:tcPr>
            <w:tcW w:w="1511"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18 200 266</w:t>
            </w:r>
          </w:p>
        </w:tc>
        <w:tc>
          <w:tcPr>
            <w:tcW w:w="202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119 036</w:t>
            </w:r>
          </w:p>
        </w:tc>
      </w:tr>
      <w:tr w:rsidR="002F614C" w:rsidTr="004E094C">
        <w:tc>
          <w:tcPr>
            <w:tcW w:w="181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2029</w:t>
            </w:r>
          </w:p>
        </w:tc>
        <w:tc>
          <w:tcPr>
            <w:tcW w:w="1720"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389 916 822</w:t>
            </w:r>
          </w:p>
        </w:tc>
        <w:tc>
          <w:tcPr>
            <w:tcW w:w="1987"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325 578 096</w:t>
            </w:r>
          </w:p>
        </w:tc>
        <w:tc>
          <w:tcPr>
            <w:tcW w:w="1511"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18 200 266</w:t>
            </w:r>
          </w:p>
        </w:tc>
        <w:tc>
          <w:tcPr>
            <w:tcW w:w="202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121 417</w:t>
            </w:r>
          </w:p>
        </w:tc>
      </w:tr>
      <w:tr w:rsidR="002F614C" w:rsidTr="004E094C">
        <w:tc>
          <w:tcPr>
            <w:tcW w:w="181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2030</w:t>
            </w:r>
          </w:p>
        </w:tc>
        <w:tc>
          <w:tcPr>
            <w:tcW w:w="1720"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389 916 822</w:t>
            </w:r>
          </w:p>
        </w:tc>
        <w:tc>
          <w:tcPr>
            <w:tcW w:w="1987"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332 089 657</w:t>
            </w:r>
          </w:p>
        </w:tc>
        <w:tc>
          <w:tcPr>
            <w:tcW w:w="1511"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18 200 266</w:t>
            </w:r>
          </w:p>
        </w:tc>
        <w:tc>
          <w:tcPr>
            <w:tcW w:w="202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123 845</w:t>
            </w:r>
          </w:p>
        </w:tc>
      </w:tr>
      <w:tr w:rsidR="002F614C" w:rsidTr="004E094C">
        <w:tc>
          <w:tcPr>
            <w:tcW w:w="181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2031</w:t>
            </w:r>
          </w:p>
        </w:tc>
        <w:tc>
          <w:tcPr>
            <w:tcW w:w="1720"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389 916 822</w:t>
            </w:r>
          </w:p>
        </w:tc>
        <w:tc>
          <w:tcPr>
            <w:tcW w:w="1987"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338 731 451</w:t>
            </w:r>
          </w:p>
        </w:tc>
        <w:tc>
          <w:tcPr>
            <w:tcW w:w="1511"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18 200 266</w:t>
            </w:r>
          </w:p>
        </w:tc>
        <w:tc>
          <w:tcPr>
            <w:tcW w:w="202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126 322</w:t>
            </w:r>
          </w:p>
        </w:tc>
      </w:tr>
      <w:tr w:rsidR="002F614C" w:rsidTr="004E094C">
        <w:tc>
          <w:tcPr>
            <w:tcW w:w="181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2032</w:t>
            </w:r>
          </w:p>
        </w:tc>
        <w:tc>
          <w:tcPr>
            <w:tcW w:w="1720"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389 916 822</w:t>
            </w:r>
          </w:p>
        </w:tc>
        <w:tc>
          <w:tcPr>
            <w:tcW w:w="1987"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345 506 080</w:t>
            </w:r>
          </w:p>
        </w:tc>
        <w:tc>
          <w:tcPr>
            <w:tcW w:w="1511"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18 200 266</w:t>
            </w:r>
          </w:p>
        </w:tc>
        <w:tc>
          <w:tcPr>
            <w:tcW w:w="202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128 849</w:t>
            </w:r>
          </w:p>
        </w:tc>
      </w:tr>
      <w:tr w:rsidR="002F614C" w:rsidTr="004E094C">
        <w:tc>
          <w:tcPr>
            <w:tcW w:w="181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2033</w:t>
            </w:r>
          </w:p>
        </w:tc>
        <w:tc>
          <w:tcPr>
            <w:tcW w:w="1720"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389 916 822</w:t>
            </w:r>
          </w:p>
        </w:tc>
        <w:tc>
          <w:tcPr>
            <w:tcW w:w="1987"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352 416 201</w:t>
            </w:r>
          </w:p>
        </w:tc>
        <w:tc>
          <w:tcPr>
            <w:tcW w:w="1511"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18 200 266</w:t>
            </w:r>
          </w:p>
        </w:tc>
        <w:tc>
          <w:tcPr>
            <w:tcW w:w="202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131 426</w:t>
            </w:r>
          </w:p>
        </w:tc>
      </w:tr>
      <w:tr w:rsidR="002F614C" w:rsidTr="004E094C">
        <w:tc>
          <w:tcPr>
            <w:tcW w:w="181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2034</w:t>
            </w:r>
          </w:p>
        </w:tc>
        <w:tc>
          <w:tcPr>
            <w:tcW w:w="1720"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389 916 822</w:t>
            </w:r>
          </w:p>
        </w:tc>
        <w:tc>
          <w:tcPr>
            <w:tcW w:w="1987"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359 464 525</w:t>
            </w:r>
          </w:p>
        </w:tc>
        <w:tc>
          <w:tcPr>
            <w:tcW w:w="1511"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18 200 266</w:t>
            </w:r>
          </w:p>
        </w:tc>
        <w:tc>
          <w:tcPr>
            <w:tcW w:w="202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134 054</w:t>
            </w:r>
          </w:p>
        </w:tc>
      </w:tr>
      <w:tr w:rsidR="002F614C" w:rsidTr="004E094C">
        <w:tc>
          <w:tcPr>
            <w:tcW w:w="181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2035</w:t>
            </w:r>
          </w:p>
        </w:tc>
        <w:tc>
          <w:tcPr>
            <w:tcW w:w="1720"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389 916 822</w:t>
            </w:r>
          </w:p>
        </w:tc>
        <w:tc>
          <w:tcPr>
            <w:tcW w:w="1987"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366 653 816</w:t>
            </w:r>
          </w:p>
        </w:tc>
        <w:tc>
          <w:tcPr>
            <w:tcW w:w="1511"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18 200 266</w:t>
            </w:r>
          </w:p>
        </w:tc>
        <w:tc>
          <w:tcPr>
            <w:tcW w:w="202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136 735</w:t>
            </w:r>
          </w:p>
        </w:tc>
      </w:tr>
      <w:tr w:rsidR="002F614C" w:rsidTr="004E094C">
        <w:tc>
          <w:tcPr>
            <w:tcW w:w="181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2036</w:t>
            </w:r>
          </w:p>
        </w:tc>
        <w:tc>
          <w:tcPr>
            <w:tcW w:w="1720"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389 916 822</w:t>
            </w:r>
          </w:p>
        </w:tc>
        <w:tc>
          <w:tcPr>
            <w:tcW w:w="1987"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373 986 892</w:t>
            </w:r>
          </w:p>
        </w:tc>
        <w:tc>
          <w:tcPr>
            <w:tcW w:w="1511"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18 200 266</w:t>
            </w:r>
          </w:p>
        </w:tc>
        <w:tc>
          <w:tcPr>
            <w:tcW w:w="202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139 470</w:t>
            </w:r>
          </w:p>
        </w:tc>
      </w:tr>
      <w:tr w:rsidR="002F614C" w:rsidTr="004E094C">
        <w:tc>
          <w:tcPr>
            <w:tcW w:w="181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2037</w:t>
            </w:r>
          </w:p>
        </w:tc>
        <w:tc>
          <w:tcPr>
            <w:tcW w:w="1720"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389 916 822</w:t>
            </w:r>
          </w:p>
        </w:tc>
        <w:tc>
          <w:tcPr>
            <w:tcW w:w="1987"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381 466 630</w:t>
            </w:r>
          </w:p>
        </w:tc>
        <w:tc>
          <w:tcPr>
            <w:tcW w:w="1511"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18 200 266</w:t>
            </w:r>
          </w:p>
        </w:tc>
        <w:tc>
          <w:tcPr>
            <w:tcW w:w="202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142 259</w:t>
            </w:r>
          </w:p>
        </w:tc>
      </w:tr>
      <w:tr w:rsidR="002F614C" w:rsidTr="004E094C">
        <w:tc>
          <w:tcPr>
            <w:tcW w:w="181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2038</w:t>
            </w:r>
          </w:p>
        </w:tc>
        <w:tc>
          <w:tcPr>
            <w:tcW w:w="1720"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389 916 822</w:t>
            </w:r>
          </w:p>
        </w:tc>
        <w:tc>
          <w:tcPr>
            <w:tcW w:w="1987"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389 095 962</w:t>
            </w:r>
          </w:p>
        </w:tc>
        <w:tc>
          <w:tcPr>
            <w:tcW w:w="1511"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18 200 266</w:t>
            </w:r>
          </w:p>
        </w:tc>
        <w:tc>
          <w:tcPr>
            <w:tcW w:w="202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145 104</w:t>
            </w:r>
          </w:p>
        </w:tc>
      </w:tr>
      <w:tr w:rsidR="002F614C" w:rsidTr="004E094C">
        <w:tc>
          <w:tcPr>
            <w:tcW w:w="181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2039</w:t>
            </w:r>
          </w:p>
        </w:tc>
        <w:tc>
          <w:tcPr>
            <w:tcW w:w="1720"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389 916 822</w:t>
            </w:r>
          </w:p>
        </w:tc>
        <w:tc>
          <w:tcPr>
            <w:tcW w:w="1987"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396 877 882</w:t>
            </w:r>
          </w:p>
        </w:tc>
        <w:tc>
          <w:tcPr>
            <w:tcW w:w="1511"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18 200 266</w:t>
            </w:r>
          </w:p>
        </w:tc>
        <w:tc>
          <w:tcPr>
            <w:tcW w:w="202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148 007</w:t>
            </w:r>
          </w:p>
        </w:tc>
      </w:tr>
      <w:tr w:rsidR="002F614C" w:rsidTr="004E094C">
        <w:tc>
          <w:tcPr>
            <w:tcW w:w="181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2040</w:t>
            </w:r>
          </w:p>
        </w:tc>
        <w:tc>
          <w:tcPr>
            <w:tcW w:w="1720"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389 916 822</w:t>
            </w:r>
          </w:p>
        </w:tc>
        <w:tc>
          <w:tcPr>
            <w:tcW w:w="1987"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404 815 439</w:t>
            </w:r>
          </w:p>
        </w:tc>
        <w:tc>
          <w:tcPr>
            <w:tcW w:w="1511"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18 200 266</w:t>
            </w:r>
          </w:p>
        </w:tc>
        <w:tc>
          <w:tcPr>
            <w:tcW w:w="202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150 967</w:t>
            </w:r>
          </w:p>
        </w:tc>
      </w:tr>
      <w:tr w:rsidR="002F614C" w:rsidTr="004E094C">
        <w:tc>
          <w:tcPr>
            <w:tcW w:w="181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2041</w:t>
            </w:r>
          </w:p>
        </w:tc>
        <w:tc>
          <w:tcPr>
            <w:tcW w:w="1720"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389 916 822</w:t>
            </w:r>
          </w:p>
        </w:tc>
        <w:tc>
          <w:tcPr>
            <w:tcW w:w="1987"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412 911 748</w:t>
            </w:r>
          </w:p>
        </w:tc>
        <w:tc>
          <w:tcPr>
            <w:tcW w:w="1511"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18 200 266</w:t>
            </w:r>
          </w:p>
        </w:tc>
        <w:tc>
          <w:tcPr>
            <w:tcW w:w="202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153 986</w:t>
            </w:r>
          </w:p>
        </w:tc>
      </w:tr>
      <w:tr w:rsidR="002F614C" w:rsidTr="004E094C">
        <w:tc>
          <w:tcPr>
            <w:tcW w:w="181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2042</w:t>
            </w:r>
          </w:p>
        </w:tc>
        <w:tc>
          <w:tcPr>
            <w:tcW w:w="1720"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389 916 822</w:t>
            </w:r>
          </w:p>
        </w:tc>
        <w:tc>
          <w:tcPr>
            <w:tcW w:w="1987"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421 169 983</w:t>
            </w:r>
          </w:p>
        </w:tc>
        <w:tc>
          <w:tcPr>
            <w:tcW w:w="1511"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18 200 266</w:t>
            </w:r>
          </w:p>
        </w:tc>
        <w:tc>
          <w:tcPr>
            <w:tcW w:w="202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157 066</w:t>
            </w:r>
          </w:p>
        </w:tc>
      </w:tr>
      <w:tr w:rsidR="002F614C" w:rsidTr="004E094C">
        <w:tc>
          <w:tcPr>
            <w:tcW w:w="181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2043</w:t>
            </w:r>
          </w:p>
        </w:tc>
        <w:tc>
          <w:tcPr>
            <w:tcW w:w="1720"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389 916 822</w:t>
            </w:r>
          </w:p>
        </w:tc>
        <w:tc>
          <w:tcPr>
            <w:tcW w:w="1987"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429 593 383</w:t>
            </w:r>
          </w:p>
        </w:tc>
        <w:tc>
          <w:tcPr>
            <w:tcW w:w="1511"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18 200 266</w:t>
            </w:r>
          </w:p>
        </w:tc>
        <w:tc>
          <w:tcPr>
            <w:tcW w:w="202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160 207</w:t>
            </w:r>
          </w:p>
        </w:tc>
      </w:tr>
      <w:tr w:rsidR="002F614C" w:rsidTr="004E094C">
        <w:tc>
          <w:tcPr>
            <w:tcW w:w="181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2044</w:t>
            </w:r>
          </w:p>
        </w:tc>
        <w:tc>
          <w:tcPr>
            <w:tcW w:w="1720"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389 916 822</w:t>
            </w:r>
          </w:p>
        </w:tc>
        <w:tc>
          <w:tcPr>
            <w:tcW w:w="1987"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438 185 250</w:t>
            </w:r>
          </w:p>
        </w:tc>
        <w:tc>
          <w:tcPr>
            <w:tcW w:w="1511"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18 200 266</w:t>
            </w:r>
          </w:p>
        </w:tc>
        <w:tc>
          <w:tcPr>
            <w:tcW w:w="202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163 411</w:t>
            </w:r>
          </w:p>
        </w:tc>
      </w:tr>
      <w:tr w:rsidR="002F614C" w:rsidTr="004E094C">
        <w:tc>
          <w:tcPr>
            <w:tcW w:w="181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2045</w:t>
            </w:r>
          </w:p>
        </w:tc>
        <w:tc>
          <w:tcPr>
            <w:tcW w:w="1720"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389 916 822</w:t>
            </w:r>
          </w:p>
        </w:tc>
        <w:tc>
          <w:tcPr>
            <w:tcW w:w="1987"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446 948 955</w:t>
            </w:r>
          </w:p>
        </w:tc>
        <w:tc>
          <w:tcPr>
            <w:tcW w:w="1511"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18 200 266</w:t>
            </w:r>
          </w:p>
        </w:tc>
        <w:tc>
          <w:tcPr>
            <w:tcW w:w="202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166 679</w:t>
            </w:r>
          </w:p>
        </w:tc>
      </w:tr>
      <w:tr w:rsidR="002F614C" w:rsidTr="004E094C">
        <w:tc>
          <w:tcPr>
            <w:tcW w:w="181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2046</w:t>
            </w:r>
          </w:p>
        </w:tc>
        <w:tc>
          <w:tcPr>
            <w:tcW w:w="1720"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389 916 822</w:t>
            </w:r>
          </w:p>
        </w:tc>
        <w:tc>
          <w:tcPr>
            <w:tcW w:w="1987"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455 887 935</w:t>
            </w:r>
          </w:p>
        </w:tc>
        <w:tc>
          <w:tcPr>
            <w:tcW w:w="1511"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18 200 266</w:t>
            </w:r>
          </w:p>
        </w:tc>
        <w:tc>
          <w:tcPr>
            <w:tcW w:w="202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170 013</w:t>
            </w:r>
          </w:p>
        </w:tc>
      </w:tr>
      <w:tr w:rsidR="002F614C" w:rsidTr="004E094C">
        <w:tc>
          <w:tcPr>
            <w:tcW w:w="1817" w:type="dxa"/>
          </w:tcPr>
          <w:p w:rsidR="007E0E1F" w:rsidRPr="004B7894" w:rsidRDefault="00231807" w:rsidP="004E094C">
            <w:pPr>
              <w:spacing w:line="360" w:lineRule="auto"/>
              <w:jc w:val="center"/>
              <w:rPr>
                <w:rFonts w:ascii="Arial" w:hAnsi="Arial" w:cs="Arial"/>
              </w:rPr>
            </w:pPr>
            <w:r w:rsidRPr="004B7894">
              <w:rPr>
                <w:rFonts w:ascii="Arial" w:hAnsi="Arial" w:cs="Arial"/>
              </w:rPr>
              <w:t>2047</w:t>
            </w:r>
          </w:p>
        </w:tc>
        <w:tc>
          <w:tcPr>
            <w:tcW w:w="1720"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389 916 822</w:t>
            </w:r>
          </w:p>
        </w:tc>
        <w:tc>
          <w:tcPr>
            <w:tcW w:w="1987"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465 005 693</w:t>
            </w:r>
          </w:p>
        </w:tc>
        <w:tc>
          <w:tcPr>
            <w:tcW w:w="1511"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18 200 266</w:t>
            </w:r>
          </w:p>
        </w:tc>
        <w:tc>
          <w:tcPr>
            <w:tcW w:w="202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173 413</w:t>
            </w:r>
          </w:p>
        </w:tc>
      </w:tr>
      <w:tr w:rsidR="002F614C" w:rsidTr="004E094C">
        <w:tc>
          <w:tcPr>
            <w:tcW w:w="1817" w:type="dxa"/>
          </w:tcPr>
          <w:p w:rsidR="007E0E1F" w:rsidRPr="004B7894" w:rsidRDefault="00231807" w:rsidP="004E094C">
            <w:pPr>
              <w:spacing w:line="360" w:lineRule="auto"/>
              <w:jc w:val="center"/>
              <w:rPr>
                <w:rFonts w:ascii="Arial" w:hAnsi="Arial" w:cs="Arial"/>
              </w:rPr>
            </w:pPr>
            <w:r w:rsidRPr="004B7894">
              <w:rPr>
                <w:rFonts w:ascii="Arial" w:hAnsi="Arial" w:cs="Arial"/>
              </w:rPr>
              <w:t>2048</w:t>
            </w:r>
          </w:p>
        </w:tc>
        <w:tc>
          <w:tcPr>
            <w:tcW w:w="1720"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389 916 822</w:t>
            </w:r>
          </w:p>
        </w:tc>
        <w:tc>
          <w:tcPr>
            <w:tcW w:w="1987"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474 305 807</w:t>
            </w:r>
          </w:p>
        </w:tc>
        <w:tc>
          <w:tcPr>
            <w:tcW w:w="1511"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18 200 266</w:t>
            </w:r>
          </w:p>
        </w:tc>
        <w:tc>
          <w:tcPr>
            <w:tcW w:w="202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176 882</w:t>
            </w:r>
          </w:p>
        </w:tc>
      </w:tr>
      <w:tr w:rsidR="002F614C" w:rsidTr="004E094C">
        <w:tc>
          <w:tcPr>
            <w:tcW w:w="1817" w:type="dxa"/>
          </w:tcPr>
          <w:p w:rsidR="007E0E1F" w:rsidRPr="004B7894" w:rsidRDefault="00231807" w:rsidP="004E094C">
            <w:pPr>
              <w:spacing w:line="360" w:lineRule="auto"/>
              <w:jc w:val="center"/>
              <w:rPr>
                <w:rFonts w:ascii="Arial" w:hAnsi="Arial" w:cs="Arial"/>
              </w:rPr>
            </w:pPr>
            <w:r w:rsidRPr="004B7894">
              <w:rPr>
                <w:rFonts w:ascii="Arial" w:hAnsi="Arial" w:cs="Arial"/>
              </w:rPr>
              <w:t>2049</w:t>
            </w:r>
          </w:p>
        </w:tc>
        <w:tc>
          <w:tcPr>
            <w:tcW w:w="1720"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61 959 385</w:t>
            </w:r>
          </w:p>
        </w:tc>
        <w:tc>
          <w:tcPr>
            <w:tcW w:w="1987"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76 876 525</w:t>
            </w:r>
          </w:p>
        </w:tc>
        <w:tc>
          <w:tcPr>
            <w:tcW w:w="1511"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2 892 097</w:t>
            </w:r>
          </w:p>
        </w:tc>
        <w:tc>
          <w:tcPr>
            <w:tcW w:w="202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28 669</w:t>
            </w:r>
          </w:p>
        </w:tc>
      </w:tr>
      <w:tr w:rsidR="002F614C" w:rsidTr="004E094C">
        <w:tc>
          <w:tcPr>
            <w:tcW w:w="1817" w:type="dxa"/>
          </w:tcPr>
          <w:p w:rsidR="007E0E1F" w:rsidRPr="004B7894" w:rsidRDefault="00231807" w:rsidP="004E094C">
            <w:pPr>
              <w:spacing w:line="360" w:lineRule="auto"/>
              <w:jc w:val="center"/>
              <w:rPr>
                <w:rFonts w:ascii="Arial" w:hAnsi="Arial" w:cs="Arial"/>
              </w:rPr>
            </w:pPr>
            <w:r w:rsidRPr="004B7894">
              <w:rPr>
                <w:rFonts w:ascii="Arial" w:hAnsi="Arial" w:cs="Arial"/>
              </w:rPr>
              <w:t>Celkem</w:t>
            </w:r>
          </w:p>
        </w:tc>
        <w:tc>
          <w:tcPr>
            <w:tcW w:w="1720"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9 276 428 653</w:t>
            </w:r>
          </w:p>
        </w:tc>
        <w:tc>
          <w:tcPr>
            <w:tcW w:w="1987"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9 484 949 259</w:t>
            </w:r>
          </w:p>
        </w:tc>
        <w:tc>
          <w:tcPr>
            <w:tcW w:w="1511" w:type="dxa"/>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color w:val="000000"/>
              </w:rPr>
              <w:t>3 459 433</w:t>
            </w:r>
          </w:p>
        </w:tc>
        <w:tc>
          <w:tcPr>
            <w:tcW w:w="2027" w:type="dxa"/>
            <w:vAlign w:val="bottom"/>
          </w:tcPr>
          <w:p w:rsidR="007E0E1F" w:rsidRPr="004B7894" w:rsidRDefault="00231807" w:rsidP="004E094C">
            <w:pPr>
              <w:spacing w:line="360" w:lineRule="auto"/>
              <w:jc w:val="center"/>
              <w:rPr>
                <w:rFonts w:ascii="Arial" w:hAnsi="Arial" w:cs="Arial"/>
              </w:rPr>
            </w:pPr>
            <w:r w:rsidRPr="004B7894">
              <w:rPr>
                <w:rFonts w:ascii="Arial" w:hAnsi="Arial" w:cs="Arial"/>
                <w:color w:val="000000"/>
              </w:rPr>
              <w:t>442 731 864</w:t>
            </w:r>
          </w:p>
        </w:tc>
      </w:tr>
      <w:tr w:rsidR="002F614C" w:rsidTr="004E094C">
        <w:tc>
          <w:tcPr>
            <w:tcW w:w="1817" w:type="dxa"/>
          </w:tcPr>
          <w:p w:rsidR="007E0E1F" w:rsidRPr="004B7894" w:rsidRDefault="00231807" w:rsidP="004E094C">
            <w:pPr>
              <w:spacing w:line="360" w:lineRule="auto"/>
              <w:jc w:val="center"/>
              <w:rPr>
                <w:rFonts w:ascii="Arial" w:hAnsi="Arial" w:cs="Arial"/>
              </w:rPr>
            </w:pPr>
            <w:r w:rsidRPr="004B7894">
              <w:rPr>
                <w:rFonts w:ascii="Arial" w:hAnsi="Arial" w:cs="Arial"/>
              </w:rPr>
              <w:t>Spolu CZK/EUR</w:t>
            </w:r>
          </w:p>
        </w:tc>
        <w:tc>
          <w:tcPr>
            <w:tcW w:w="3707" w:type="dxa"/>
            <w:gridSpan w:val="2"/>
            <w:vAlign w:val="bottom"/>
          </w:tcPr>
          <w:p w:rsidR="007E0E1F" w:rsidRPr="004B7894" w:rsidRDefault="00231807" w:rsidP="004E094C">
            <w:pPr>
              <w:spacing w:line="360" w:lineRule="auto"/>
              <w:jc w:val="center"/>
              <w:rPr>
                <w:rFonts w:ascii="Arial" w:hAnsi="Arial" w:cs="Arial"/>
                <w:color w:val="000000"/>
              </w:rPr>
            </w:pPr>
            <w:r w:rsidRPr="004B7894">
              <w:rPr>
                <w:rFonts w:ascii="Arial" w:hAnsi="Arial" w:cs="Arial"/>
                <w:b/>
              </w:rPr>
              <w:t>18 761 377 912 Kč</w:t>
            </w:r>
          </w:p>
        </w:tc>
        <w:tc>
          <w:tcPr>
            <w:tcW w:w="3538" w:type="dxa"/>
            <w:gridSpan w:val="2"/>
            <w:vAlign w:val="bottom"/>
          </w:tcPr>
          <w:p w:rsidR="007E0E1F" w:rsidRPr="004B7894" w:rsidRDefault="00231807" w:rsidP="004E094C">
            <w:pPr>
              <w:spacing w:line="360" w:lineRule="auto"/>
              <w:jc w:val="center"/>
              <w:rPr>
                <w:rFonts w:ascii="Arial" w:hAnsi="Arial" w:cs="Arial"/>
              </w:rPr>
            </w:pPr>
            <w:r w:rsidRPr="004B7894">
              <w:rPr>
                <w:rFonts w:ascii="Arial" w:hAnsi="Arial" w:cs="Arial"/>
                <w:b/>
              </w:rPr>
              <w:t>446 191 297 EUR</w:t>
            </w:r>
          </w:p>
        </w:tc>
      </w:tr>
    </w:tbl>
    <w:p w:rsidR="004E094C" w:rsidRPr="004B7894" w:rsidRDefault="00231807" w:rsidP="004E094C">
      <w:pPr>
        <w:pStyle w:val="Nadpis1"/>
      </w:pPr>
      <w:r w:rsidRPr="004B7894">
        <w:lastRenderedPageBreak/>
        <w:t>Závěr</w:t>
      </w:r>
    </w:p>
    <w:p w:rsidR="004E094C" w:rsidRPr="004B7894" w:rsidRDefault="00231807" w:rsidP="004E094C">
      <w:pPr>
        <w:spacing w:line="360" w:lineRule="auto"/>
        <w:jc w:val="both"/>
        <w:rPr>
          <w:rFonts w:ascii="Arial" w:hAnsi="Arial" w:cs="Arial"/>
        </w:rPr>
      </w:pPr>
      <w:r w:rsidRPr="004B7894">
        <w:rPr>
          <w:rFonts w:ascii="Arial" w:hAnsi="Arial" w:cs="Arial"/>
        </w:rPr>
        <w:t>Vláda ČR žádá Poslaneckou sněmovnu Parlamentu ČR, aby v souladu s § 18c Zákona o</w:t>
      </w:r>
      <w:r w:rsidR="001E62DC" w:rsidRPr="004B7894">
        <w:rPr>
          <w:rFonts w:ascii="Arial" w:hAnsi="Arial" w:cs="Arial"/>
        </w:rPr>
        <w:t> </w:t>
      </w:r>
      <w:r w:rsidRPr="004B7894">
        <w:rPr>
          <w:rFonts w:ascii="Arial" w:hAnsi="Arial" w:cs="Arial"/>
        </w:rPr>
        <w:t>pozemních komunikacích vyslovila svůj souhlas s údaji vyjadřujícími finanční závazky státu vůči koncesionáři obsaženými v návrhu Koncesionářské smlouvy tak, jak je navrženo v návrhu usnesení, který doprovází tento materiál.</w:t>
      </w:r>
    </w:p>
    <w:p w:rsidR="004E094C" w:rsidRPr="004B7894" w:rsidRDefault="00231807" w:rsidP="004E094C">
      <w:pPr>
        <w:spacing w:line="360" w:lineRule="auto"/>
        <w:jc w:val="both"/>
        <w:rPr>
          <w:rFonts w:ascii="Arial" w:hAnsi="Arial" w:cs="Arial"/>
        </w:rPr>
      </w:pPr>
      <w:r w:rsidRPr="004B7894">
        <w:rPr>
          <w:rFonts w:ascii="Arial" w:hAnsi="Arial" w:cs="Arial"/>
        </w:rPr>
        <w:t>Vyslovení souhlasu Poslanecké sněmovny je posledním úkonem, který je třeba učinit pro možnost uzavření Koncesionářské smlouvy, přičemž po uzavření Koncesionářské smlouvy budou následovat kroky směřující k dosažení Finančního uzavření, čímž se smlouva stane v celém svém rozsahu účinnou a bude tak možné v jarních měsících roku 2021 přistoupit k zahájení prací v celém rozsahu nedostavěné části dálnice D4, čímž vznikne v rámci ČR ojedinělý rozsah uceleného dálničního staveniště a výrazně se tak zrychlí tempo směřující k dokončení dálniční sítě ČR.</w:t>
      </w:r>
    </w:p>
    <w:p w:rsidR="006B1B4C" w:rsidRPr="004B7894" w:rsidRDefault="00231807" w:rsidP="005E624E">
      <w:pPr>
        <w:spacing w:line="360" w:lineRule="auto"/>
        <w:jc w:val="both"/>
        <w:rPr>
          <w:rFonts w:ascii="Arial" w:hAnsi="Arial" w:cs="Arial"/>
        </w:rPr>
      </w:pPr>
      <w:r w:rsidRPr="004B7894">
        <w:rPr>
          <w:rFonts w:ascii="Arial" w:hAnsi="Arial" w:cs="Arial"/>
        </w:rPr>
        <w:t>V této souvislosti je žádoucí zmínit, že alternativa projektu PPP spočívající v zajištění dostavby dálnice D4 standardní</w:t>
      </w:r>
      <w:r w:rsidR="00815B15">
        <w:rPr>
          <w:rFonts w:ascii="Arial" w:hAnsi="Arial" w:cs="Arial"/>
        </w:rPr>
        <w:t>m</w:t>
      </w:r>
      <w:r w:rsidRPr="004B7894">
        <w:rPr>
          <w:rFonts w:ascii="Arial" w:hAnsi="Arial" w:cs="Arial"/>
        </w:rPr>
        <w:t xml:space="preserve"> </w:t>
      </w:r>
      <w:r w:rsidR="00815B15">
        <w:rPr>
          <w:rFonts w:ascii="Arial" w:hAnsi="Arial" w:cs="Arial"/>
        </w:rPr>
        <w:t xml:space="preserve">modelem </w:t>
      </w:r>
      <w:r w:rsidRPr="004B7894">
        <w:rPr>
          <w:rFonts w:ascii="Arial" w:hAnsi="Arial" w:cs="Arial"/>
        </w:rPr>
        <w:t>prostřednictvím ŘSD ČR není rozpočtově kryta v roce 2021, ani v letech střednědobého výhledu, přičemž ostatní akce, v rozpočtu SFDI zařazené, již sami o</w:t>
      </w:r>
      <w:r w:rsidR="001E62DC" w:rsidRPr="004B7894">
        <w:rPr>
          <w:rFonts w:ascii="Arial" w:hAnsi="Arial" w:cs="Arial"/>
        </w:rPr>
        <w:t> </w:t>
      </w:r>
      <w:r w:rsidRPr="004B7894">
        <w:rPr>
          <w:rFonts w:ascii="Arial" w:hAnsi="Arial" w:cs="Arial"/>
        </w:rPr>
        <w:t>sobě vytváří přetlak na zdrojovou stránku nejen v roce 2021, ale i letech následujících. Zároveň současné personální kapacity ŘSD ČR nepočítají s realizací tohoto projektu standardní cestou. Realizace projektu standardní formou by tak zcela jistě, bez ohledu na rozpočtové možnosti, přinesla zdržení zahájení realizačních prací na projektu o více než 1,5 roku.</w:t>
      </w:r>
      <w:bookmarkStart w:id="0" w:name="_GoBack"/>
      <w:bookmarkEnd w:id="0"/>
    </w:p>
    <w:sectPr w:rsidR="006B1B4C" w:rsidRPr="004B7894" w:rsidSect="004E094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276"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29D8" w:rsidRDefault="00231807">
      <w:pPr>
        <w:spacing w:after="0" w:line="240" w:lineRule="auto"/>
      </w:pPr>
      <w:r>
        <w:separator/>
      </w:r>
    </w:p>
  </w:endnote>
  <w:endnote w:type="continuationSeparator" w:id="0">
    <w:p w:rsidR="00F529D8" w:rsidRDefault="00231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6BC" w:rsidRDefault="005406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934" w:rsidRDefault="00C12FFD" w:rsidP="00002DD5">
    <w:pPr>
      <w:pStyle w:val="Zpat"/>
      <w:jc w:val="center"/>
    </w:pPr>
    <w:sdt>
      <w:sdtPr>
        <w:id w:val="-1007514578"/>
        <w:docPartObj>
          <w:docPartGallery w:val="Page Numbers (Bottom of Page)"/>
          <w:docPartUnique/>
        </w:docPartObj>
      </w:sdtPr>
      <w:sdtEndPr/>
      <w:sdtContent>
        <w:r w:rsidR="00231807">
          <w:fldChar w:fldCharType="begin"/>
        </w:r>
        <w:r w:rsidR="00231807">
          <w:instrText>PAGE   \* MERGEFORMAT</w:instrText>
        </w:r>
        <w:r w:rsidR="00231807">
          <w:fldChar w:fldCharType="separate"/>
        </w:r>
        <w:r>
          <w:rPr>
            <w:noProof/>
          </w:rPr>
          <w:t>23</w:t>
        </w:r>
        <w:r w:rsidR="00231807">
          <w:fldChar w:fldCharType="end"/>
        </w:r>
      </w:sdtContent>
    </w:sdt>
    <w:r w:rsidR="00231807">
      <w:t xml:space="preserve"> / </w:t>
    </w:r>
    <w:sdt>
      <w:sdtPr>
        <w:id w:val="371892608"/>
        <w:docPartObj>
          <w:docPartGallery w:val="Page Numbers (Bottom of Page)"/>
          <w:docPartUnique/>
        </w:docPartObj>
      </w:sdtPr>
      <w:sdtEndPr/>
      <w:sdtContent>
        <w:r w:rsidR="00231807">
          <w:rPr>
            <w:noProof/>
          </w:rPr>
          <w:fldChar w:fldCharType="begin"/>
        </w:r>
        <w:r w:rsidR="00231807">
          <w:rPr>
            <w:noProof/>
          </w:rPr>
          <w:instrText xml:space="preserve"> NUMPAGES   \* MERGEFORMAT </w:instrText>
        </w:r>
        <w:r w:rsidR="00231807">
          <w:rPr>
            <w:noProof/>
          </w:rPr>
          <w:fldChar w:fldCharType="separate"/>
        </w:r>
        <w:r>
          <w:rPr>
            <w:noProof/>
          </w:rPr>
          <w:t>23</w:t>
        </w:r>
        <w:r w:rsidR="00231807">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6BC" w:rsidRDefault="005406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EBE" w:rsidRDefault="00231807" w:rsidP="00002DD5">
      <w:pPr>
        <w:spacing w:after="0" w:line="240" w:lineRule="auto"/>
      </w:pPr>
      <w:r>
        <w:separator/>
      </w:r>
    </w:p>
  </w:footnote>
  <w:footnote w:type="continuationSeparator" w:id="0">
    <w:p w:rsidR="00F97EBE" w:rsidRDefault="00231807" w:rsidP="00002DD5">
      <w:pPr>
        <w:spacing w:after="0" w:line="240" w:lineRule="auto"/>
      </w:pPr>
      <w:r>
        <w:continuationSeparator/>
      </w:r>
    </w:p>
  </w:footnote>
  <w:footnote w:id="1">
    <w:p w:rsidR="009E694E" w:rsidRDefault="00231807">
      <w:pPr>
        <w:pStyle w:val="Textpoznpodarou"/>
      </w:pPr>
      <w:r>
        <w:rPr>
          <w:rStyle w:val="Znakapoznpodarou"/>
        </w:rPr>
        <w:footnoteRef/>
      </w:r>
      <w:r>
        <w:t xml:space="preserve"> </w:t>
      </w:r>
      <w:r w:rsidRPr="009E694E">
        <w:rPr>
          <w:rFonts w:ascii="Arial" w:hAnsi="Arial" w:cs="Arial"/>
          <w:sz w:val="16"/>
          <w:szCs w:val="16"/>
        </w:rPr>
        <w:t>s výjimkou stavebního povolení SO 130 na Úseku č. 5, která bude mít termín dodání 28.2.2022</w:t>
      </w:r>
    </w:p>
  </w:footnote>
  <w:footnote w:id="2">
    <w:p w:rsidR="00601DE9" w:rsidRDefault="00231807">
      <w:pPr>
        <w:pStyle w:val="Textpoznpodarou"/>
      </w:pPr>
      <w:r>
        <w:rPr>
          <w:rStyle w:val="Znakapoznpodarou"/>
        </w:rPr>
        <w:footnoteRef/>
      </w:r>
      <w:r>
        <w:t xml:space="preserve"> Odvozeno z dat finančního trhu k Základnímu datu jako hypotetická cena zajištění směnného kurzu na příslušnou dobu</w:t>
      </w:r>
    </w:p>
  </w:footnote>
  <w:footnote w:id="3">
    <w:p w:rsidR="003A1381" w:rsidRDefault="00231807">
      <w:pPr>
        <w:pStyle w:val="Textpoznpodarou"/>
      </w:pPr>
      <w:r>
        <w:rPr>
          <w:rStyle w:val="Znakapoznpodarou"/>
        </w:rPr>
        <w:footnoteRef/>
      </w:r>
      <w:r>
        <w:t xml:space="preserve"> Jedná se o </w:t>
      </w:r>
      <w:r w:rsidR="00061799">
        <w:t xml:space="preserve">předpokládaný </w:t>
      </w:r>
      <w:r>
        <w:t xml:space="preserve">horní limit plateb, </w:t>
      </w:r>
      <w:r w:rsidR="00061799">
        <w:t xml:space="preserve">na který budou dále aplikovány srážky za nedostupnost a nekvalitu. </w:t>
      </w:r>
    </w:p>
  </w:footnote>
  <w:footnote w:id="4">
    <w:p w:rsidR="004E094C" w:rsidRDefault="00231807">
      <w:pPr>
        <w:pStyle w:val="Textpoznpodarou"/>
      </w:pPr>
      <w:r>
        <w:rPr>
          <w:rStyle w:val="Znakapoznpodarou"/>
        </w:rPr>
        <w:footnoteRef/>
      </w:r>
      <w:r>
        <w:t xml:space="preserve"> Předpoklad inflace dle predikce </w:t>
      </w:r>
      <w:r w:rsidR="003A1381">
        <w:t>ČNB</w:t>
      </w:r>
      <w:r>
        <w:t xml:space="preserve"> v krátkodobém horizontu a v dlouhodobém horizontu dle inflačního cíle ČNB, tj. ve výši 2</w:t>
      </w:r>
      <w:r w:rsidR="001E62DC">
        <w:t> </w:t>
      </w:r>
      <w:r>
        <w:t>% p.a.</w:t>
      </w:r>
    </w:p>
  </w:footnote>
  <w:footnote w:id="5">
    <w:p w:rsidR="003A1381" w:rsidRDefault="00231807">
      <w:pPr>
        <w:pStyle w:val="Textpoznpodarou"/>
      </w:pPr>
      <w:r>
        <w:rPr>
          <w:rStyle w:val="Znakapoznpodarou"/>
        </w:rPr>
        <w:footnoteRef/>
      </w:r>
      <w:r>
        <w:t xml:space="preserve"> Předpoklad inflace dle predikce ECB v krátkodobém horizontu a v dlouhodobém horizontu dle inflačního cíle ECB, tj. ve výši 2</w:t>
      </w:r>
      <w:r w:rsidR="001E62DC">
        <w:t> </w:t>
      </w:r>
      <w:r>
        <w:t>% p.a.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6BC" w:rsidRDefault="005406B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934" w:rsidRPr="001C17E5" w:rsidRDefault="00231807" w:rsidP="001C17E5">
    <w:pPr>
      <w:pStyle w:val="Zhlav"/>
      <w:jc w:val="right"/>
      <w:rPr>
        <w:color w:val="BFBFBF" w:themeColor="background1" w:themeShade="BF"/>
      </w:rPr>
    </w:pPr>
    <w:r>
      <w:rPr>
        <w:color w:val="BFBFBF" w:themeColor="background1" w:themeShade="BF"/>
      </w:rPr>
      <w:t>Č.j. 12/2020-520-PPP/</w:t>
    </w:r>
  </w:p>
  <w:p w:rsidR="00FF4934" w:rsidRDefault="00FF493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934" w:rsidRPr="001C17E5" w:rsidRDefault="00231807" w:rsidP="001C17E5">
    <w:pPr>
      <w:pStyle w:val="Zhlav"/>
      <w:jc w:val="right"/>
      <w:rPr>
        <w:color w:val="BFBFBF" w:themeColor="background1" w:themeShade="BF"/>
      </w:rPr>
    </w:pPr>
    <w:r w:rsidRPr="001C17E5">
      <w:rPr>
        <w:color w:val="BFBFBF" w:themeColor="background1" w:themeShade="BF"/>
      </w:rPr>
      <w:t xml:space="preserve">Č.j. </w:t>
    </w:r>
    <w:r w:rsidR="00930EA9">
      <w:rPr>
        <w:color w:val="BFBFBF" w:themeColor="background1" w:themeShade="BF"/>
      </w:rPr>
      <w:t>12</w:t>
    </w:r>
    <w:r>
      <w:rPr>
        <w:color w:val="BFBFBF" w:themeColor="background1" w:themeShade="BF"/>
      </w:rPr>
      <w:t>/2020-520-PPP/</w:t>
    </w:r>
  </w:p>
  <w:p w:rsidR="00FF4934" w:rsidRDefault="00FF493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30509"/>
    <w:multiLevelType w:val="hybridMultilevel"/>
    <w:tmpl w:val="B56A59F0"/>
    <w:lvl w:ilvl="0" w:tplc="89449DEE">
      <w:start w:val="1"/>
      <w:numFmt w:val="bullet"/>
      <w:lvlText w:val=""/>
      <w:lvlJc w:val="left"/>
      <w:pPr>
        <w:ind w:left="783" w:hanging="360"/>
      </w:pPr>
      <w:rPr>
        <w:rFonts w:ascii="Symbol" w:hAnsi="Symbol" w:hint="default"/>
      </w:rPr>
    </w:lvl>
    <w:lvl w:ilvl="1" w:tplc="3AF64764" w:tentative="1">
      <w:start w:val="1"/>
      <w:numFmt w:val="bullet"/>
      <w:lvlText w:val="o"/>
      <w:lvlJc w:val="left"/>
      <w:pPr>
        <w:ind w:left="1503" w:hanging="360"/>
      </w:pPr>
      <w:rPr>
        <w:rFonts w:ascii="Courier New" w:hAnsi="Courier New" w:cs="Courier New" w:hint="default"/>
      </w:rPr>
    </w:lvl>
    <w:lvl w:ilvl="2" w:tplc="16B6A24C" w:tentative="1">
      <w:start w:val="1"/>
      <w:numFmt w:val="bullet"/>
      <w:lvlText w:val=""/>
      <w:lvlJc w:val="left"/>
      <w:pPr>
        <w:ind w:left="2223" w:hanging="360"/>
      </w:pPr>
      <w:rPr>
        <w:rFonts w:ascii="Wingdings" w:hAnsi="Wingdings" w:hint="default"/>
      </w:rPr>
    </w:lvl>
    <w:lvl w:ilvl="3" w:tplc="AE6C0982" w:tentative="1">
      <w:start w:val="1"/>
      <w:numFmt w:val="bullet"/>
      <w:lvlText w:val=""/>
      <w:lvlJc w:val="left"/>
      <w:pPr>
        <w:ind w:left="2943" w:hanging="360"/>
      </w:pPr>
      <w:rPr>
        <w:rFonts w:ascii="Symbol" w:hAnsi="Symbol" w:hint="default"/>
      </w:rPr>
    </w:lvl>
    <w:lvl w:ilvl="4" w:tplc="156047AA" w:tentative="1">
      <w:start w:val="1"/>
      <w:numFmt w:val="bullet"/>
      <w:lvlText w:val="o"/>
      <w:lvlJc w:val="left"/>
      <w:pPr>
        <w:ind w:left="3663" w:hanging="360"/>
      </w:pPr>
      <w:rPr>
        <w:rFonts w:ascii="Courier New" w:hAnsi="Courier New" w:cs="Courier New" w:hint="default"/>
      </w:rPr>
    </w:lvl>
    <w:lvl w:ilvl="5" w:tplc="CD4A047C" w:tentative="1">
      <w:start w:val="1"/>
      <w:numFmt w:val="bullet"/>
      <w:lvlText w:val=""/>
      <w:lvlJc w:val="left"/>
      <w:pPr>
        <w:ind w:left="4383" w:hanging="360"/>
      </w:pPr>
      <w:rPr>
        <w:rFonts w:ascii="Wingdings" w:hAnsi="Wingdings" w:hint="default"/>
      </w:rPr>
    </w:lvl>
    <w:lvl w:ilvl="6" w:tplc="80C20F7E" w:tentative="1">
      <w:start w:val="1"/>
      <w:numFmt w:val="bullet"/>
      <w:lvlText w:val=""/>
      <w:lvlJc w:val="left"/>
      <w:pPr>
        <w:ind w:left="5103" w:hanging="360"/>
      </w:pPr>
      <w:rPr>
        <w:rFonts w:ascii="Symbol" w:hAnsi="Symbol" w:hint="default"/>
      </w:rPr>
    </w:lvl>
    <w:lvl w:ilvl="7" w:tplc="AFFE4D14" w:tentative="1">
      <w:start w:val="1"/>
      <w:numFmt w:val="bullet"/>
      <w:lvlText w:val="o"/>
      <w:lvlJc w:val="left"/>
      <w:pPr>
        <w:ind w:left="5823" w:hanging="360"/>
      </w:pPr>
      <w:rPr>
        <w:rFonts w:ascii="Courier New" w:hAnsi="Courier New" w:cs="Courier New" w:hint="default"/>
      </w:rPr>
    </w:lvl>
    <w:lvl w:ilvl="8" w:tplc="590A5A4E" w:tentative="1">
      <w:start w:val="1"/>
      <w:numFmt w:val="bullet"/>
      <w:lvlText w:val=""/>
      <w:lvlJc w:val="left"/>
      <w:pPr>
        <w:ind w:left="6543" w:hanging="360"/>
      </w:pPr>
      <w:rPr>
        <w:rFonts w:ascii="Wingdings" w:hAnsi="Wingdings" w:hint="default"/>
      </w:rPr>
    </w:lvl>
  </w:abstractNum>
  <w:abstractNum w:abstractNumId="1" w15:restartNumberingAfterBreak="0">
    <w:nsid w:val="0C7F16D0"/>
    <w:multiLevelType w:val="hybridMultilevel"/>
    <w:tmpl w:val="B4048672"/>
    <w:lvl w:ilvl="0" w:tplc="541ACECC">
      <w:start w:val="1"/>
      <w:numFmt w:val="bullet"/>
      <w:lvlText w:val=""/>
      <w:lvlJc w:val="left"/>
      <w:pPr>
        <w:ind w:left="720" w:hanging="360"/>
      </w:pPr>
      <w:rPr>
        <w:rFonts w:ascii="Symbol" w:hAnsi="Symbol" w:hint="default"/>
      </w:rPr>
    </w:lvl>
    <w:lvl w:ilvl="1" w:tplc="1298C4B2" w:tentative="1">
      <w:start w:val="1"/>
      <w:numFmt w:val="bullet"/>
      <w:lvlText w:val="o"/>
      <w:lvlJc w:val="left"/>
      <w:pPr>
        <w:ind w:left="1440" w:hanging="360"/>
      </w:pPr>
      <w:rPr>
        <w:rFonts w:ascii="Courier New" w:hAnsi="Courier New" w:cs="Courier New" w:hint="default"/>
      </w:rPr>
    </w:lvl>
    <w:lvl w:ilvl="2" w:tplc="566E473E" w:tentative="1">
      <w:start w:val="1"/>
      <w:numFmt w:val="bullet"/>
      <w:lvlText w:val=""/>
      <w:lvlJc w:val="left"/>
      <w:pPr>
        <w:ind w:left="2160" w:hanging="360"/>
      </w:pPr>
      <w:rPr>
        <w:rFonts w:ascii="Wingdings" w:hAnsi="Wingdings" w:hint="default"/>
      </w:rPr>
    </w:lvl>
    <w:lvl w:ilvl="3" w:tplc="998E40F2" w:tentative="1">
      <w:start w:val="1"/>
      <w:numFmt w:val="bullet"/>
      <w:lvlText w:val=""/>
      <w:lvlJc w:val="left"/>
      <w:pPr>
        <w:ind w:left="2880" w:hanging="360"/>
      </w:pPr>
      <w:rPr>
        <w:rFonts w:ascii="Symbol" w:hAnsi="Symbol" w:hint="default"/>
      </w:rPr>
    </w:lvl>
    <w:lvl w:ilvl="4" w:tplc="0830580E" w:tentative="1">
      <w:start w:val="1"/>
      <w:numFmt w:val="bullet"/>
      <w:lvlText w:val="o"/>
      <w:lvlJc w:val="left"/>
      <w:pPr>
        <w:ind w:left="3600" w:hanging="360"/>
      </w:pPr>
      <w:rPr>
        <w:rFonts w:ascii="Courier New" w:hAnsi="Courier New" w:cs="Courier New" w:hint="default"/>
      </w:rPr>
    </w:lvl>
    <w:lvl w:ilvl="5" w:tplc="9C805C12" w:tentative="1">
      <w:start w:val="1"/>
      <w:numFmt w:val="bullet"/>
      <w:lvlText w:val=""/>
      <w:lvlJc w:val="left"/>
      <w:pPr>
        <w:ind w:left="4320" w:hanging="360"/>
      </w:pPr>
      <w:rPr>
        <w:rFonts w:ascii="Wingdings" w:hAnsi="Wingdings" w:hint="default"/>
      </w:rPr>
    </w:lvl>
    <w:lvl w:ilvl="6" w:tplc="91B8E8F0" w:tentative="1">
      <w:start w:val="1"/>
      <w:numFmt w:val="bullet"/>
      <w:lvlText w:val=""/>
      <w:lvlJc w:val="left"/>
      <w:pPr>
        <w:ind w:left="5040" w:hanging="360"/>
      </w:pPr>
      <w:rPr>
        <w:rFonts w:ascii="Symbol" w:hAnsi="Symbol" w:hint="default"/>
      </w:rPr>
    </w:lvl>
    <w:lvl w:ilvl="7" w:tplc="F7484C22" w:tentative="1">
      <w:start w:val="1"/>
      <w:numFmt w:val="bullet"/>
      <w:lvlText w:val="o"/>
      <w:lvlJc w:val="left"/>
      <w:pPr>
        <w:ind w:left="5760" w:hanging="360"/>
      </w:pPr>
      <w:rPr>
        <w:rFonts w:ascii="Courier New" w:hAnsi="Courier New" w:cs="Courier New" w:hint="default"/>
      </w:rPr>
    </w:lvl>
    <w:lvl w:ilvl="8" w:tplc="256017D4" w:tentative="1">
      <w:start w:val="1"/>
      <w:numFmt w:val="bullet"/>
      <w:lvlText w:val=""/>
      <w:lvlJc w:val="left"/>
      <w:pPr>
        <w:ind w:left="6480" w:hanging="360"/>
      </w:pPr>
      <w:rPr>
        <w:rFonts w:ascii="Wingdings" w:hAnsi="Wingdings" w:hint="default"/>
      </w:rPr>
    </w:lvl>
  </w:abstractNum>
  <w:abstractNum w:abstractNumId="2" w15:restartNumberingAfterBreak="0">
    <w:nsid w:val="130427A1"/>
    <w:multiLevelType w:val="hybridMultilevel"/>
    <w:tmpl w:val="05781DEA"/>
    <w:lvl w:ilvl="0" w:tplc="0346EA4E">
      <w:start w:val="1"/>
      <w:numFmt w:val="bullet"/>
      <w:lvlText w:val=""/>
      <w:lvlJc w:val="left"/>
      <w:pPr>
        <w:ind w:left="360" w:hanging="360"/>
      </w:pPr>
      <w:rPr>
        <w:rFonts w:ascii="Symbol" w:hAnsi="Symbol" w:hint="default"/>
      </w:rPr>
    </w:lvl>
    <w:lvl w:ilvl="1" w:tplc="46B4FCF2" w:tentative="1">
      <w:start w:val="1"/>
      <w:numFmt w:val="bullet"/>
      <w:lvlText w:val="o"/>
      <w:lvlJc w:val="left"/>
      <w:pPr>
        <w:ind w:left="1080" w:hanging="360"/>
      </w:pPr>
      <w:rPr>
        <w:rFonts w:ascii="Courier New" w:hAnsi="Courier New" w:cs="Courier New" w:hint="default"/>
      </w:rPr>
    </w:lvl>
    <w:lvl w:ilvl="2" w:tplc="5E58E570" w:tentative="1">
      <w:start w:val="1"/>
      <w:numFmt w:val="bullet"/>
      <w:lvlText w:val=""/>
      <w:lvlJc w:val="left"/>
      <w:pPr>
        <w:ind w:left="1800" w:hanging="360"/>
      </w:pPr>
      <w:rPr>
        <w:rFonts w:ascii="Wingdings" w:hAnsi="Wingdings" w:hint="default"/>
      </w:rPr>
    </w:lvl>
    <w:lvl w:ilvl="3" w:tplc="BF94244A" w:tentative="1">
      <w:start w:val="1"/>
      <w:numFmt w:val="bullet"/>
      <w:lvlText w:val=""/>
      <w:lvlJc w:val="left"/>
      <w:pPr>
        <w:ind w:left="2520" w:hanging="360"/>
      </w:pPr>
      <w:rPr>
        <w:rFonts w:ascii="Symbol" w:hAnsi="Symbol" w:hint="default"/>
      </w:rPr>
    </w:lvl>
    <w:lvl w:ilvl="4" w:tplc="9626AFEC" w:tentative="1">
      <w:start w:val="1"/>
      <w:numFmt w:val="bullet"/>
      <w:lvlText w:val="o"/>
      <w:lvlJc w:val="left"/>
      <w:pPr>
        <w:ind w:left="3240" w:hanging="360"/>
      </w:pPr>
      <w:rPr>
        <w:rFonts w:ascii="Courier New" w:hAnsi="Courier New" w:cs="Courier New" w:hint="default"/>
      </w:rPr>
    </w:lvl>
    <w:lvl w:ilvl="5" w:tplc="80F25A60" w:tentative="1">
      <w:start w:val="1"/>
      <w:numFmt w:val="bullet"/>
      <w:lvlText w:val=""/>
      <w:lvlJc w:val="left"/>
      <w:pPr>
        <w:ind w:left="3960" w:hanging="360"/>
      </w:pPr>
      <w:rPr>
        <w:rFonts w:ascii="Wingdings" w:hAnsi="Wingdings" w:hint="default"/>
      </w:rPr>
    </w:lvl>
    <w:lvl w:ilvl="6" w:tplc="A6467ECA" w:tentative="1">
      <w:start w:val="1"/>
      <w:numFmt w:val="bullet"/>
      <w:lvlText w:val=""/>
      <w:lvlJc w:val="left"/>
      <w:pPr>
        <w:ind w:left="4680" w:hanging="360"/>
      </w:pPr>
      <w:rPr>
        <w:rFonts w:ascii="Symbol" w:hAnsi="Symbol" w:hint="default"/>
      </w:rPr>
    </w:lvl>
    <w:lvl w:ilvl="7" w:tplc="898091EC" w:tentative="1">
      <w:start w:val="1"/>
      <w:numFmt w:val="bullet"/>
      <w:lvlText w:val="o"/>
      <w:lvlJc w:val="left"/>
      <w:pPr>
        <w:ind w:left="5400" w:hanging="360"/>
      </w:pPr>
      <w:rPr>
        <w:rFonts w:ascii="Courier New" w:hAnsi="Courier New" w:cs="Courier New" w:hint="default"/>
      </w:rPr>
    </w:lvl>
    <w:lvl w:ilvl="8" w:tplc="87204B56" w:tentative="1">
      <w:start w:val="1"/>
      <w:numFmt w:val="bullet"/>
      <w:lvlText w:val=""/>
      <w:lvlJc w:val="left"/>
      <w:pPr>
        <w:ind w:left="6120" w:hanging="360"/>
      </w:pPr>
      <w:rPr>
        <w:rFonts w:ascii="Wingdings" w:hAnsi="Wingdings" w:hint="default"/>
      </w:rPr>
    </w:lvl>
  </w:abstractNum>
  <w:abstractNum w:abstractNumId="3" w15:restartNumberingAfterBreak="0">
    <w:nsid w:val="1D6E4638"/>
    <w:multiLevelType w:val="hybridMultilevel"/>
    <w:tmpl w:val="451CB3A4"/>
    <w:lvl w:ilvl="0" w:tplc="12E8C40A">
      <w:start w:val="1"/>
      <w:numFmt w:val="bullet"/>
      <w:lvlText w:val=""/>
      <w:lvlJc w:val="left"/>
      <w:pPr>
        <w:ind w:left="720" w:hanging="360"/>
      </w:pPr>
      <w:rPr>
        <w:rFonts w:ascii="Symbol" w:hAnsi="Symbol" w:hint="default"/>
      </w:rPr>
    </w:lvl>
    <w:lvl w:ilvl="1" w:tplc="3A540FB6">
      <w:start w:val="1"/>
      <w:numFmt w:val="bullet"/>
      <w:lvlText w:val="o"/>
      <w:lvlJc w:val="left"/>
      <w:pPr>
        <w:ind w:left="1440" w:hanging="360"/>
      </w:pPr>
      <w:rPr>
        <w:rFonts w:ascii="Courier New" w:hAnsi="Courier New" w:cs="Courier New" w:hint="default"/>
      </w:rPr>
    </w:lvl>
    <w:lvl w:ilvl="2" w:tplc="3D24FA48" w:tentative="1">
      <w:start w:val="1"/>
      <w:numFmt w:val="bullet"/>
      <w:lvlText w:val=""/>
      <w:lvlJc w:val="left"/>
      <w:pPr>
        <w:ind w:left="2160" w:hanging="360"/>
      </w:pPr>
      <w:rPr>
        <w:rFonts w:ascii="Wingdings" w:hAnsi="Wingdings" w:hint="default"/>
      </w:rPr>
    </w:lvl>
    <w:lvl w:ilvl="3" w:tplc="675A437C" w:tentative="1">
      <w:start w:val="1"/>
      <w:numFmt w:val="bullet"/>
      <w:lvlText w:val=""/>
      <w:lvlJc w:val="left"/>
      <w:pPr>
        <w:ind w:left="2880" w:hanging="360"/>
      </w:pPr>
      <w:rPr>
        <w:rFonts w:ascii="Symbol" w:hAnsi="Symbol" w:hint="default"/>
      </w:rPr>
    </w:lvl>
    <w:lvl w:ilvl="4" w:tplc="81B0AD82" w:tentative="1">
      <w:start w:val="1"/>
      <w:numFmt w:val="bullet"/>
      <w:lvlText w:val="o"/>
      <w:lvlJc w:val="left"/>
      <w:pPr>
        <w:ind w:left="3600" w:hanging="360"/>
      </w:pPr>
      <w:rPr>
        <w:rFonts w:ascii="Courier New" w:hAnsi="Courier New" w:cs="Courier New" w:hint="default"/>
      </w:rPr>
    </w:lvl>
    <w:lvl w:ilvl="5" w:tplc="E85CB2D0" w:tentative="1">
      <w:start w:val="1"/>
      <w:numFmt w:val="bullet"/>
      <w:lvlText w:val=""/>
      <w:lvlJc w:val="left"/>
      <w:pPr>
        <w:ind w:left="4320" w:hanging="360"/>
      </w:pPr>
      <w:rPr>
        <w:rFonts w:ascii="Wingdings" w:hAnsi="Wingdings" w:hint="default"/>
      </w:rPr>
    </w:lvl>
    <w:lvl w:ilvl="6" w:tplc="57F838CA" w:tentative="1">
      <w:start w:val="1"/>
      <w:numFmt w:val="bullet"/>
      <w:lvlText w:val=""/>
      <w:lvlJc w:val="left"/>
      <w:pPr>
        <w:ind w:left="5040" w:hanging="360"/>
      </w:pPr>
      <w:rPr>
        <w:rFonts w:ascii="Symbol" w:hAnsi="Symbol" w:hint="default"/>
      </w:rPr>
    </w:lvl>
    <w:lvl w:ilvl="7" w:tplc="1AE889D8" w:tentative="1">
      <w:start w:val="1"/>
      <w:numFmt w:val="bullet"/>
      <w:lvlText w:val="o"/>
      <w:lvlJc w:val="left"/>
      <w:pPr>
        <w:ind w:left="5760" w:hanging="360"/>
      </w:pPr>
      <w:rPr>
        <w:rFonts w:ascii="Courier New" w:hAnsi="Courier New" w:cs="Courier New" w:hint="default"/>
      </w:rPr>
    </w:lvl>
    <w:lvl w:ilvl="8" w:tplc="B1DCB65A" w:tentative="1">
      <w:start w:val="1"/>
      <w:numFmt w:val="bullet"/>
      <w:lvlText w:val=""/>
      <w:lvlJc w:val="left"/>
      <w:pPr>
        <w:ind w:left="6480" w:hanging="360"/>
      </w:pPr>
      <w:rPr>
        <w:rFonts w:ascii="Wingdings" w:hAnsi="Wingdings" w:hint="default"/>
      </w:rPr>
    </w:lvl>
  </w:abstractNum>
  <w:abstractNum w:abstractNumId="4" w15:restartNumberingAfterBreak="0">
    <w:nsid w:val="243548A3"/>
    <w:multiLevelType w:val="hybridMultilevel"/>
    <w:tmpl w:val="D3DC510E"/>
    <w:lvl w:ilvl="0" w:tplc="07B64C70">
      <w:start w:val="1"/>
      <w:numFmt w:val="bullet"/>
      <w:lvlText w:val=""/>
      <w:lvlJc w:val="left"/>
      <w:pPr>
        <w:ind w:left="720" w:hanging="360"/>
      </w:pPr>
      <w:rPr>
        <w:rFonts w:ascii="Symbol" w:hAnsi="Symbol" w:hint="default"/>
      </w:rPr>
    </w:lvl>
    <w:lvl w:ilvl="1" w:tplc="E4508E96" w:tentative="1">
      <w:start w:val="1"/>
      <w:numFmt w:val="bullet"/>
      <w:lvlText w:val="o"/>
      <w:lvlJc w:val="left"/>
      <w:pPr>
        <w:ind w:left="1440" w:hanging="360"/>
      </w:pPr>
      <w:rPr>
        <w:rFonts w:ascii="Courier New" w:hAnsi="Courier New" w:cs="Courier New" w:hint="default"/>
      </w:rPr>
    </w:lvl>
    <w:lvl w:ilvl="2" w:tplc="B7B420AC" w:tentative="1">
      <w:start w:val="1"/>
      <w:numFmt w:val="bullet"/>
      <w:lvlText w:val=""/>
      <w:lvlJc w:val="left"/>
      <w:pPr>
        <w:ind w:left="2160" w:hanging="360"/>
      </w:pPr>
      <w:rPr>
        <w:rFonts w:ascii="Wingdings" w:hAnsi="Wingdings" w:hint="default"/>
      </w:rPr>
    </w:lvl>
    <w:lvl w:ilvl="3" w:tplc="E8D8474C" w:tentative="1">
      <w:start w:val="1"/>
      <w:numFmt w:val="bullet"/>
      <w:lvlText w:val=""/>
      <w:lvlJc w:val="left"/>
      <w:pPr>
        <w:ind w:left="2880" w:hanging="360"/>
      </w:pPr>
      <w:rPr>
        <w:rFonts w:ascii="Symbol" w:hAnsi="Symbol" w:hint="default"/>
      </w:rPr>
    </w:lvl>
    <w:lvl w:ilvl="4" w:tplc="8CBA52C4" w:tentative="1">
      <w:start w:val="1"/>
      <w:numFmt w:val="bullet"/>
      <w:lvlText w:val="o"/>
      <w:lvlJc w:val="left"/>
      <w:pPr>
        <w:ind w:left="3600" w:hanging="360"/>
      </w:pPr>
      <w:rPr>
        <w:rFonts w:ascii="Courier New" w:hAnsi="Courier New" w:cs="Courier New" w:hint="default"/>
      </w:rPr>
    </w:lvl>
    <w:lvl w:ilvl="5" w:tplc="7C80DCDC" w:tentative="1">
      <w:start w:val="1"/>
      <w:numFmt w:val="bullet"/>
      <w:lvlText w:val=""/>
      <w:lvlJc w:val="left"/>
      <w:pPr>
        <w:ind w:left="4320" w:hanging="360"/>
      </w:pPr>
      <w:rPr>
        <w:rFonts w:ascii="Wingdings" w:hAnsi="Wingdings" w:hint="default"/>
      </w:rPr>
    </w:lvl>
    <w:lvl w:ilvl="6" w:tplc="841EF47C" w:tentative="1">
      <w:start w:val="1"/>
      <w:numFmt w:val="bullet"/>
      <w:lvlText w:val=""/>
      <w:lvlJc w:val="left"/>
      <w:pPr>
        <w:ind w:left="5040" w:hanging="360"/>
      </w:pPr>
      <w:rPr>
        <w:rFonts w:ascii="Symbol" w:hAnsi="Symbol" w:hint="default"/>
      </w:rPr>
    </w:lvl>
    <w:lvl w:ilvl="7" w:tplc="00CE299C" w:tentative="1">
      <w:start w:val="1"/>
      <w:numFmt w:val="bullet"/>
      <w:lvlText w:val="o"/>
      <w:lvlJc w:val="left"/>
      <w:pPr>
        <w:ind w:left="5760" w:hanging="360"/>
      </w:pPr>
      <w:rPr>
        <w:rFonts w:ascii="Courier New" w:hAnsi="Courier New" w:cs="Courier New" w:hint="default"/>
      </w:rPr>
    </w:lvl>
    <w:lvl w:ilvl="8" w:tplc="BA6C54EC" w:tentative="1">
      <w:start w:val="1"/>
      <w:numFmt w:val="bullet"/>
      <w:lvlText w:val=""/>
      <w:lvlJc w:val="left"/>
      <w:pPr>
        <w:ind w:left="6480" w:hanging="360"/>
      </w:pPr>
      <w:rPr>
        <w:rFonts w:ascii="Wingdings" w:hAnsi="Wingdings" w:hint="default"/>
      </w:rPr>
    </w:lvl>
  </w:abstractNum>
  <w:abstractNum w:abstractNumId="5" w15:restartNumberingAfterBreak="0">
    <w:nsid w:val="2BCF6938"/>
    <w:multiLevelType w:val="hybridMultilevel"/>
    <w:tmpl w:val="BEF09222"/>
    <w:lvl w:ilvl="0" w:tplc="EA2638E6">
      <w:start w:val="1"/>
      <w:numFmt w:val="bullet"/>
      <w:lvlText w:val=""/>
      <w:lvlJc w:val="left"/>
      <w:pPr>
        <w:ind w:left="720" w:hanging="360"/>
      </w:pPr>
      <w:rPr>
        <w:rFonts w:ascii="Symbol" w:hAnsi="Symbol" w:hint="default"/>
      </w:rPr>
    </w:lvl>
    <w:lvl w:ilvl="1" w:tplc="4628F8D0" w:tentative="1">
      <w:start w:val="1"/>
      <w:numFmt w:val="bullet"/>
      <w:lvlText w:val="o"/>
      <w:lvlJc w:val="left"/>
      <w:pPr>
        <w:ind w:left="1440" w:hanging="360"/>
      </w:pPr>
      <w:rPr>
        <w:rFonts w:ascii="Courier New" w:hAnsi="Courier New" w:cs="Courier New" w:hint="default"/>
      </w:rPr>
    </w:lvl>
    <w:lvl w:ilvl="2" w:tplc="081C7CB2" w:tentative="1">
      <w:start w:val="1"/>
      <w:numFmt w:val="bullet"/>
      <w:lvlText w:val=""/>
      <w:lvlJc w:val="left"/>
      <w:pPr>
        <w:ind w:left="2160" w:hanging="360"/>
      </w:pPr>
      <w:rPr>
        <w:rFonts w:ascii="Wingdings" w:hAnsi="Wingdings" w:hint="default"/>
      </w:rPr>
    </w:lvl>
    <w:lvl w:ilvl="3" w:tplc="51D24B5A" w:tentative="1">
      <w:start w:val="1"/>
      <w:numFmt w:val="bullet"/>
      <w:lvlText w:val=""/>
      <w:lvlJc w:val="left"/>
      <w:pPr>
        <w:ind w:left="2880" w:hanging="360"/>
      </w:pPr>
      <w:rPr>
        <w:rFonts w:ascii="Symbol" w:hAnsi="Symbol" w:hint="default"/>
      </w:rPr>
    </w:lvl>
    <w:lvl w:ilvl="4" w:tplc="194022CC" w:tentative="1">
      <w:start w:val="1"/>
      <w:numFmt w:val="bullet"/>
      <w:lvlText w:val="o"/>
      <w:lvlJc w:val="left"/>
      <w:pPr>
        <w:ind w:left="3600" w:hanging="360"/>
      </w:pPr>
      <w:rPr>
        <w:rFonts w:ascii="Courier New" w:hAnsi="Courier New" w:cs="Courier New" w:hint="default"/>
      </w:rPr>
    </w:lvl>
    <w:lvl w:ilvl="5" w:tplc="4978EFCA" w:tentative="1">
      <w:start w:val="1"/>
      <w:numFmt w:val="bullet"/>
      <w:lvlText w:val=""/>
      <w:lvlJc w:val="left"/>
      <w:pPr>
        <w:ind w:left="4320" w:hanging="360"/>
      </w:pPr>
      <w:rPr>
        <w:rFonts w:ascii="Wingdings" w:hAnsi="Wingdings" w:hint="default"/>
      </w:rPr>
    </w:lvl>
    <w:lvl w:ilvl="6" w:tplc="C7766EB0" w:tentative="1">
      <w:start w:val="1"/>
      <w:numFmt w:val="bullet"/>
      <w:lvlText w:val=""/>
      <w:lvlJc w:val="left"/>
      <w:pPr>
        <w:ind w:left="5040" w:hanging="360"/>
      </w:pPr>
      <w:rPr>
        <w:rFonts w:ascii="Symbol" w:hAnsi="Symbol" w:hint="default"/>
      </w:rPr>
    </w:lvl>
    <w:lvl w:ilvl="7" w:tplc="EF005D32" w:tentative="1">
      <w:start w:val="1"/>
      <w:numFmt w:val="bullet"/>
      <w:lvlText w:val="o"/>
      <w:lvlJc w:val="left"/>
      <w:pPr>
        <w:ind w:left="5760" w:hanging="360"/>
      </w:pPr>
      <w:rPr>
        <w:rFonts w:ascii="Courier New" w:hAnsi="Courier New" w:cs="Courier New" w:hint="default"/>
      </w:rPr>
    </w:lvl>
    <w:lvl w:ilvl="8" w:tplc="D682F4F4" w:tentative="1">
      <w:start w:val="1"/>
      <w:numFmt w:val="bullet"/>
      <w:lvlText w:val=""/>
      <w:lvlJc w:val="left"/>
      <w:pPr>
        <w:ind w:left="6480" w:hanging="360"/>
      </w:pPr>
      <w:rPr>
        <w:rFonts w:ascii="Wingdings" w:hAnsi="Wingdings" w:hint="default"/>
      </w:rPr>
    </w:lvl>
  </w:abstractNum>
  <w:abstractNum w:abstractNumId="6" w15:restartNumberingAfterBreak="0">
    <w:nsid w:val="33435101"/>
    <w:multiLevelType w:val="hybridMultilevel"/>
    <w:tmpl w:val="371C7710"/>
    <w:lvl w:ilvl="0" w:tplc="CAE670EC">
      <w:numFmt w:val="bullet"/>
      <w:lvlText w:val="•"/>
      <w:lvlJc w:val="left"/>
      <w:pPr>
        <w:ind w:left="1413" w:hanging="705"/>
      </w:pPr>
      <w:rPr>
        <w:rFonts w:ascii="Arial" w:eastAsiaTheme="minorHAnsi" w:hAnsi="Arial" w:cs="Arial" w:hint="default"/>
      </w:rPr>
    </w:lvl>
    <w:lvl w:ilvl="1" w:tplc="757EBDA0" w:tentative="1">
      <w:start w:val="1"/>
      <w:numFmt w:val="bullet"/>
      <w:lvlText w:val="o"/>
      <w:lvlJc w:val="left"/>
      <w:pPr>
        <w:ind w:left="1788" w:hanging="360"/>
      </w:pPr>
      <w:rPr>
        <w:rFonts w:ascii="Courier New" w:hAnsi="Courier New" w:cs="Courier New" w:hint="default"/>
      </w:rPr>
    </w:lvl>
    <w:lvl w:ilvl="2" w:tplc="2E5E4E3E" w:tentative="1">
      <w:start w:val="1"/>
      <w:numFmt w:val="bullet"/>
      <w:lvlText w:val=""/>
      <w:lvlJc w:val="left"/>
      <w:pPr>
        <w:ind w:left="2508" w:hanging="360"/>
      </w:pPr>
      <w:rPr>
        <w:rFonts w:ascii="Wingdings" w:hAnsi="Wingdings" w:hint="default"/>
      </w:rPr>
    </w:lvl>
    <w:lvl w:ilvl="3" w:tplc="FD786FA8" w:tentative="1">
      <w:start w:val="1"/>
      <w:numFmt w:val="bullet"/>
      <w:lvlText w:val=""/>
      <w:lvlJc w:val="left"/>
      <w:pPr>
        <w:ind w:left="3228" w:hanging="360"/>
      </w:pPr>
      <w:rPr>
        <w:rFonts w:ascii="Symbol" w:hAnsi="Symbol" w:hint="default"/>
      </w:rPr>
    </w:lvl>
    <w:lvl w:ilvl="4" w:tplc="1A14F72E" w:tentative="1">
      <w:start w:val="1"/>
      <w:numFmt w:val="bullet"/>
      <w:lvlText w:val="o"/>
      <w:lvlJc w:val="left"/>
      <w:pPr>
        <w:ind w:left="3948" w:hanging="360"/>
      </w:pPr>
      <w:rPr>
        <w:rFonts w:ascii="Courier New" w:hAnsi="Courier New" w:cs="Courier New" w:hint="default"/>
      </w:rPr>
    </w:lvl>
    <w:lvl w:ilvl="5" w:tplc="2EC0D5D2" w:tentative="1">
      <w:start w:val="1"/>
      <w:numFmt w:val="bullet"/>
      <w:lvlText w:val=""/>
      <w:lvlJc w:val="left"/>
      <w:pPr>
        <w:ind w:left="4668" w:hanging="360"/>
      </w:pPr>
      <w:rPr>
        <w:rFonts w:ascii="Wingdings" w:hAnsi="Wingdings" w:hint="default"/>
      </w:rPr>
    </w:lvl>
    <w:lvl w:ilvl="6" w:tplc="9B42C7BE" w:tentative="1">
      <w:start w:val="1"/>
      <w:numFmt w:val="bullet"/>
      <w:lvlText w:val=""/>
      <w:lvlJc w:val="left"/>
      <w:pPr>
        <w:ind w:left="5388" w:hanging="360"/>
      </w:pPr>
      <w:rPr>
        <w:rFonts w:ascii="Symbol" w:hAnsi="Symbol" w:hint="default"/>
      </w:rPr>
    </w:lvl>
    <w:lvl w:ilvl="7" w:tplc="3C6C4374" w:tentative="1">
      <w:start w:val="1"/>
      <w:numFmt w:val="bullet"/>
      <w:lvlText w:val="o"/>
      <w:lvlJc w:val="left"/>
      <w:pPr>
        <w:ind w:left="6108" w:hanging="360"/>
      </w:pPr>
      <w:rPr>
        <w:rFonts w:ascii="Courier New" w:hAnsi="Courier New" w:cs="Courier New" w:hint="default"/>
      </w:rPr>
    </w:lvl>
    <w:lvl w:ilvl="8" w:tplc="3E909CC4" w:tentative="1">
      <w:start w:val="1"/>
      <w:numFmt w:val="bullet"/>
      <w:lvlText w:val=""/>
      <w:lvlJc w:val="left"/>
      <w:pPr>
        <w:ind w:left="6828" w:hanging="360"/>
      </w:pPr>
      <w:rPr>
        <w:rFonts w:ascii="Wingdings" w:hAnsi="Wingdings" w:hint="default"/>
      </w:rPr>
    </w:lvl>
  </w:abstractNum>
  <w:abstractNum w:abstractNumId="7" w15:restartNumberingAfterBreak="0">
    <w:nsid w:val="41A3519D"/>
    <w:multiLevelType w:val="hybridMultilevel"/>
    <w:tmpl w:val="56F2F3E0"/>
    <w:lvl w:ilvl="0" w:tplc="892CE526">
      <w:start w:val="1"/>
      <w:numFmt w:val="bullet"/>
      <w:lvlText w:val=""/>
      <w:lvlJc w:val="left"/>
      <w:pPr>
        <w:ind w:left="360" w:hanging="360"/>
      </w:pPr>
      <w:rPr>
        <w:rFonts w:ascii="Symbol" w:hAnsi="Symbol" w:hint="default"/>
      </w:rPr>
    </w:lvl>
    <w:lvl w:ilvl="1" w:tplc="7DE0A286">
      <w:start w:val="1"/>
      <w:numFmt w:val="bullet"/>
      <w:lvlText w:val="o"/>
      <w:lvlJc w:val="left"/>
      <w:pPr>
        <w:ind w:left="1080" w:hanging="360"/>
      </w:pPr>
      <w:rPr>
        <w:rFonts w:ascii="Courier New" w:hAnsi="Courier New" w:cs="Courier New" w:hint="default"/>
      </w:rPr>
    </w:lvl>
    <w:lvl w:ilvl="2" w:tplc="6A8CD688" w:tentative="1">
      <w:start w:val="1"/>
      <w:numFmt w:val="bullet"/>
      <w:lvlText w:val=""/>
      <w:lvlJc w:val="left"/>
      <w:pPr>
        <w:ind w:left="1800" w:hanging="360"/>
      </w:pPr>
      <w:rPr>
        <w:rFonts w:ascii="Wingdings" w:hAnsi="Wingdings" w:hint="default"/>
      </w:rPr>
    </w:lvl>
    <w:lvl w:ilvl="3" w:tplc="DF8C97C2" w:tentative="1">
      <w:start w:val="1"/>
      <w:numFmt w:val="bullet"/>
      <w:lvlText w:val=""/>
      <w:lvlJc w:val="left"/>
      <w:pPr>
        <w:ind w:left="2520" w:hanging="360"/>
      </w:pPr>
      <w:rPr>
        <w:rFonts w:ascii="Symbol" w:hAnsi="Symbol" w:hint="default"/>
      </w:rPr>
    </w:lvl>
    <w:lvl w:ilvl="4" w:tplc="54081F90" w:tentative="1">
      <w:start w:val="1"/>
      <w:numFmt w:val="bullet"/>
      <w:lvlText w:val="o"/>
      <w:lvlJc w:val="left"/>
      <w:pPr>
        <w:ind w:left="3240" w:hanging="360"/>
      </w:pPr>
      <w:rPr>
        <w:rFonts w:ascii="Courier New" w:hAnsi="Courier New" w:cs="Courier New" w:hint="default"/>
      </w:rPr>
    </w:lvl>
    <w:lvl w:ilvl="5" w:tplc="2878CA12" w:tentative="1">
      <w:start w:val="1"/>
      <w:numFmt w:val="bullet"/>
      <w:lvlText w:val=""/>
      <w:lvlJc w:val="left"/>
      <w:pPr>
        <w:ind w:left="3960" w:hanging="360"/>
      </w:pPr>
      <w:rPr>
        <w:rFonts w:ascii="Wingdings" w:hAnsi="Wingdings" w:hint="default"/>
      </w:rPr>
    </w:lvl>
    <w:lvl w:ilvl="6" w:tplc="B3F0A236" w:tentative="1">
      <w:start w:val="1"/>
      <w:numFmt w:val="bullet"/>
      <w:lvlText w:val=""/>
      <w:lvlJc w:val="left"/>
      <w:pPr>
        <w:ind w:left="4680" w:hanging="360"/>
      </w:pPr>
      <w:rPr>
        <w:rFonts w:ascii="Symbol" w:hAnsi="Symbol" w:hint="default"/>
      </w:rPr>
    </w:lvl>
    <w:lvl w:ilvl="7" w:tplc="81DEC76C" w:tentative="1">
      <w:start w:val="1"/>
      <w:numFmt w:val="bullet"/>
      <w:lvlText w:val="o"/>
      <w:lvlJc w:val="left"/>
      <w:pPr>
        <w:ind w:left="5400" w:hanging="360"/>
      </w:pPr>
      <w:rPr>
        <w:rFonts w:ascii="Courier New" w:hAnsi="Courier New" w:cs="Courier New" w:hint="default"/>
      </w:rPr>
    </w:lvl>
    <w:lvl w:ilvl="8" w:tplc="2A5ED0A6" w:tentative="1">
      <w:start w:val="1"/>
      <w:numFmt w:val="bullet"/>
      <w:lvlText w:val=""/>
      <w:lvlJc w:val="left"/>
      <w:pPr>
        <w:ind w:left="6120" w:hanging="360"/>
      </w:pPr>
      <w:rPr>
        <w:rFonts w:ascii="Wingdings" w:hAnsi="Wingdings" w:hint="default"/>
      </w:rPr>
    </w:lvl>
  </w:abstractNum>
  <w:abstractNum w:abstractNumId="8" w15:restartNumberingAfterBreak="0">
    <w:nsid w:val="462E120F"/>
    <w:multiLevelType w:val="hybridMultilevel"/>
    <w:tmpl w:val="DA2C7EE6"/>
    <w:lvl w:ilvl="0" w:tplc="8B26C976">
      <w:start w:val="1"/>
      <w:numFmt w:val="bullet"/>
      <w:lvlText w:val=""/>
      <w:lvlJc w:val="left"/>
      <w:pPr>
        <w:ind w:left="360" w:hanging="360"/>
      </w:pPr>
      <w:rPr>
        <w:rFonts w:ascii="Symbol" w:hAnsi="Symbol" w:hint="default"/>
      </w:rPr>
    </w:lvl>
    <w:lvl w:ilvl="1" w:tplc="342ABCA4" w:tentative="1">
      <w:start w:val="1"/>
      <w:numFmt w:val="bullet"/>
      <w:lvlText w:val="o"/>
      <w:lvlJc w:val="left"/>
      <w:pPr>
        <w:ind w:left="1080" w:hanging="360"/>
      </w:pPr>
      <w:rPr>
        <w:rFonts w:ascii="Courier New" w:hAnsi="Courier New" w:cs="Courier New" w:hint="default"/>
      </w:rPr>
    </w:lvl>
    <w:lvl w:ilvl="2" w:tplc="921841E0" w:tentative="1">
      <w:start w:val="1"/>
      <w:numFmt w:val="bullet"/>
      <w:lvlText w:val=""/>
      <w:lvlJc w:val="left"/>
      <w:pPr>
        <w:ind w:left="1800" w:hanging="360"/>
      </w:pPr>
      <w:rPr>
        <w:rFonts w:ascii="Wingdings" w:hAnsi="Wingdings" w:hint="default"/>
      </w:rPr>
    </w:lvl>
    <w:lvl w:ilvl="3" w:tplc="7982E422" w:tentative="1">
      <w:start w:val="1"/>
      <w:numFmt w:val="bullet"/>
      <w:lvlText w:val=""/>
      <w:lvlJc w:val="left"/>
      <w:pPr>
        <w:ind w:left="2520" w:hanging="360"/>
      </w:pPr>
      <w:rPr>
        <w:rFonts w:ascii="Symbol" w:hAnsi="Symbol" w:hint="default"/>
      </w:rPr>
    </w:lvl>
    <w:lvl w:ilvl="4" w:tplc="764E2488" w:tentative="1">
      <w:start w:val="1"/>
      <w:numFmt w:val="bullet"/>
      <w:lvlText w:val="o"/>
      <w:lvlJc w:val="left"/>
      <w:pPr>
        <w:ind w:left="3240" w:hanging="360"/>
      </w:pPr>
      <w:rPr>
        <w:rFonts w:ascii="Courier New" w:hAnsi="Courier New" w:cs="Courier New" w:hint="default"/>
      </w:rPr>
    </w:lvl>
    <w:lvl w:ilvl="5" w:tplc="C5E0941A" w:tentative="1">
      <w:start w:val="1"/>
      <w:numFmt w:val="bullet"/>
      <w:lvlText w:val=""/>
      <w:lvlJc w:val="left"/>
      <w:pPr>
        <w:ind w:left="3960" w:hanging="360"/>
      </w:pPr>
      <w:rPr>
        <w:rFonts w:ascii="Wingdings" w:hAnsi="Wingdings" w:hint="default"/>
      </w:rPr>
    </w:lvl>
    <w:lvl w:ilvl="6" w:tplc="38B62598" w:tentative="1">
      <w:start w:val="1"/>
      <w:numFmt w:val="bullet"/>
      <w:lvlText w:val=""/>
      <w:lvlJc w:val="left"/>
      <w:pPr>
        <w:ind w:left="4680" w:hanging="360"/>
      </w:pPr>
      <w:rPr>
        <w:rFonts w:ascii="Symbol" w:hAnsi="Symbol" w:hint="default"/>
      </w:rPr>
    </w:lvl>
    <w:lvl w:ilvl="7" w:tplc="B1440B3C" w:tentative="1">
      <w:start w:val="1"/>
      <w:numFmt w:val="bullet"/>
      <w:lvlText w:val="o"/>
      <w:lvlJc w:val="left"/>
      <w:pPr>
        <w:ind w:left="5400" w:hanging="360"/>
      </w:pPr>
      <w:rPr>
        <w:rFonts w:ascii="Courier New" w:hAnsi="Courier New" w:cs="Courier New" w:hint="default"/>
      </w:rPr>
    </w:lvl>
    <w:lvl w:ilvl="8" w:tplc="43903E22" w:tentative="1">
      <w:start w:val="1"/>
      <w:numFmt w:val="bullet"/>
      <w:lvlText w:val=""/>
      <w:lvlJc w:val="left"/>
      <w:pPr>
        <w:ind w:left="6120" w:hanging="360"/>
      </w:pPr>
      <w:rPr>
        <w:rFonts w:ascii="Wingdings" w:hAnsi="Wingdings" w:hint="default"/>
      </w:rPr>
    </w:lvl>
  </w:abstractNum>
  <w:abstractNum w:abstractNumId="9" w15:restartNumberingAfterBreak="0">
    <w:nsid w:val="4BC7513D"/>
    <w:multiLevelType w:val="hybridMultilevel"/>
    <w:tmpl w:val="8EDC0630"/>
    <w:lvl w:ilvl="0" w:tplc="3A542D7A">
      <w:start w:val="1"/>
      <w:numFmt w:val="bullet"/>
      <w:lvlText w:val=""/>
      <w:lvlJc w:val="left"/>
      <w:pPr>
        <w:ind w:left="360" w:hanging="360"/>
      </w:pPr>
      <w:rPr>
        <w:rFonts w:ascii="Symbol" w:hAnsi="Symbol" w:hint="default"/>
      </w:rPr>
    </w:lvl>
    <w:lvl w:ilvl="1" w:tplc="F3689BF0" w:tentative="1">
      <w:start w:val="1"/>
      <w:numFmt w:val="bullet"/>
      <w:lvlText w:val="o"/>
      <w:lvlJc w:val="left"/>
      <w:pPr>
        <w:ind w:left="1080" w:hanging="360"/>
      </w:pPr>
      <w:rPr>
        <w:rFonts w:ascii="Courier New" w:hAnsi="Courier New" w:cs="Courier New" w:hint="default"/>
      </w:rPr>
    </w:lvl>
    <w:lvl w:ilvl="2" w:tplc="AD589546" w:tentative="1">
      <w:start w:val="1"/>
      <w:numFmt w:val="bullet"/>
      <w:lvlText w:val=""/>
      <w:lvlJc w:val="left"/>
      <w:pPr>
        <w:ind w:left="1800" w:hanging="360"/>
      </w:pPr>
      <w:rPr>
        <w:rFonts w:ascii="Wingdings" w:hAnsi="Wingdings" w:hint="default"/>
      </w:rPr>
    </w:lvl>
    <w:lvl w:ilvl="3" w:tplc="3FDC32DC" w:tentative="1">
      <w:start w:val="1"/>
      <w:numFmt w:val="bullet"/>
      <w:lvlText w:val=""/>
      <w:lvlJc w:val="left"/>
      <w:pPr>
        <w:ind w:left="2520" w:hanging="360"/>
      </w:pPr>
      <w:rPr>
        <w:rFonts w:ascii="Symbol" w:hAnsi="Symbol" w:hint="default"/>
      </w:rPr>
    </w:lvl>
    <w:lvl w:ilvl="4" w:tplc="AE8E00D4" w:tentative="1">
      <w:start w:val="1"/>
      <w:numFmt w:val="bullet"/>
      <w:lvlText w:val="o"/>
      <w:lvlJc w:val="left"/>
      <w:pPr>
        <w:ind w:left="3240" w:hanging="360"/>
      </w:pPr>
      <w:rPr>
        <w:rFonts w:ascii="Courier New" w:hAnsi="Courier New" w:cs="Courier New" w:hint="default"/>
      </w:rPr>
    </w:lvl>
    <w:lvl w:ilvl="5" w:tplc="21BC9098" w:tentative="1">
      <w:start w:val="1"/>
      <w:numFmt w:val="bullet"/>
      <w:lvlText w:val=""/>
      <w:lvlJc w:val="left"/>
      <w:pPr>
        <w:ind w:left="3960" w:hanging="360"/>
      </w:pPr>
      <w:rPr>
        <w:rFonts w:ascii="Wingdings" w:hAnsi="Wingdings" w:hint="default"/>
      </w:rPr>
    </w:lvl>
    <w:lvl w:ilvl="6" w:tplc="B9961F7E" w:tentative="1">
      <w:start w:val="1"/>
      <w:numFmt w:val="bullet"/>
      <w:lvlText w:val=""/>
      <w:lvlJc w:val="left"/>
      <w:pPr>
        <w:ind w:left="4680" w:hanging="360"/>
      </w:pPr>
      <w:rPr>
        <w:rFonts w:ascii="Symbol" w:hAnsi="Symbol" w:hint="default"/>
      </w:rPr>
    </w:lvl>
    <w:lvl w:ilvl="7" w:tplc="A9E2BB1C" w:tentative="1">
      <w:start w:val="1"/>
      <w:numFmt w:val="bullet"/>
      <w:lvlText w:val="o"/>
      <w:lvlJc w:val="left"/>
      <w:pPr>
        <w:ind w:left="5400" w:hanging="360"/>
      </w:pPr>
      <w:rPr>
        <w:rFonts w:ascii="Courier New" w:hAnsi="Courier New" w:cs="Courier New" w:hint="default"/>
      </w:rPr>
    </w:lvl>
    <w:lvl w:ilvl="8" w:tplc="D50CCFC6" w:tentative="1">
      <w:start w:val="1"/>
      <w:numFmt w:val="bullet"/>
      <w:lvlText w:val=""/>
      <w:lvlJc w:val="left"/>
      <w:pPr>
        <w:ind w:left="6120" w:hanging="360"/>
      </w:pPr>
      <w:rPr>
        <w:rFonts w:ascii="Wingdings" w:hAnsi="Wingdings" w:hint="default"/>
      </w:rPr>
    </w:lvl>
  </w:abstractNum>
  <w:abstractNum w:abstractNumId="10" w15:restartNumberingAfterBreak="0">
    <w:nsid w:val="4E5C66C5"/>
    <w:multiLevelType w:val="hybridMultilevel"/>
    <w:tmpl w:val="BADE4D8C"/>
    <w:lvl w:ilvl="0" w:tplc="6428D55A">
      <w:start w:val="1"/>
      <w:numFmt w:val="bullet"/>
      <w:lvlText w:val=""/>
      <w:lvlJc w:val="left"/>
      <w:pPr>
        <w:ind w:left="720" w:hanging="360"/>
      </w:pPr>
      <w:rPr>
        <w:rFonts w:ascii="Symbol" w:hAnsi="Symbol" w:hint="default"/>
      </w:rPr>
    </w:lvl>
    <w:lvl w:ilvl="1" w:tplc="583ED2B0" w:tentative="1">
      <w:start w:val="1"/>
      <w:numFmt w:val="bullet"/>
      <w:lvlText w:val="o"/>
      <w:lvlJc w:val="left"/>
      <w:pPr>
        <w:ind w:left="1440" w:hanging="360"/>
      </w:pPr>
      <w:rPr>
        <w:rFonts w:ascii="Courier New" w:hAnsi="Courier New" w:cs="Courier New" w:hint="default"/>
      </w:rPr>
    </w:lvl>
    <w:lvl w:ilvl="2" w:tplc="5DFE3FBE" w:tentative="1">
      <w:start w:val="1"/>
      <w:numFmt w:val="bullet"/>
      <w:lvlText w:val=""/>
      <w:lvlJc w:val="left"/>
      <w:pPr>
        <w:ind w:left="2160" w:hanging="360"/>
      </w:pPr>
      <w:rPr>
        <w:rFonts w:ascii="Wingdings" w:hAnsi="Wingdings" w:hint="default"/>
      </w:rPr>
    </w:lvl>
    <w:lvl w:ilvl="3" w:tplc="A77845D8" w:tentative="1">
      <w:start w:val="1"/>
      <w:numFmt w:val="bullet"/>
      <w:lvlText w:val=""/>
      <w:lvlJc w:val="left"/>
      <w:pPr>
        <w:ind w:left="2880" w:hanging="360"/>
      </w:pPr>
      <w:rPr>
        <w:rFonts w:ascii="Symbol" w:hAnsi="Symbol" w:hint="default"/>
      </w:rPr>
    </w:lvl>
    <w:lvl w:ilvl="4" w:tplc="E51ACA2C" w:tentative="1">
      <w:start w:val="1"/>
      <w:numFmt w:val="bullet"/>
      <w:lvlText w:val="o"/>
      <w:lvlJc w:val="left"/>
      <w:pPr>
        <w:ind w:left="3600" w:hanging="360"/>
      </w:pPr>
      <w:rPr>
        <w:rFonts w:ascii="Courier New" w:hAnsi="Courier New" w:cs="Courier New" w:hint="default"/>
      </w:rPr>
    </w:lvl>
    <w:lvl w:ilvl="5" w:tplc="B5CA8750" w:tentative="1">
      <w:start w:val="1"/>
      <w:numFmt w:val="bullet"/>
      <w:lvlText w:val=""/>
      <w:lvlJc w:val="left"/>
      <w:pPr>
        <w:ind w:left="4320" w:hanging="360"/>
      </w:pPr>
      <w:rPr>
        <w:rFonts w:ascii="Wingdings" w:hAnsi="Wingdings" w:hint="default"/>
      </w:rPr>
    </w:lvl>
    <w:lvl w:ilvl="6" w:tplc="775EC9D2" w:tentative="1">
      <w:start w:val="1"/>
      <w:numFmt w:val="bullet"/>
      <w:lvlText w:val=""/>
      <w:lvlJc w:val="left"/>
      <w:pPr>
        <w:ind w:left="5040" w:hanging="360"/>
      </w:pPr>
      <w:rPr>
        <w:rFonts w:ascii="Symbol" w:hAnsi="Symbol" w:hint="default"/>
      </w:rPr>
    </w:lvl>
    <w:lvl w:ilvl="7" w:tplc="304061A2" w:tentative="1">
      <w:start w:val="1"/>
      <w:numFmt w:val="bullet"/>
      <w:lvlText w:val="o"/>
      <w:lvlJc w:val="left"/>
      <w:pPr>
        <w:ind w:left="5760" w:hanging="360"/>
      </w:pPr>
      <w:rPr>
        <w:rFonts w:ascii="Courier New" w:hAnsi="Courier New" w:cs="Courier New" w:hint="default"/>
      </w:rPr>
    </w:lvl>
    <w:lvl w:ilvl="8" w:tplc="02082A3C" w:tentative="1">
      <w:start w:val="1"/>
      <w:numFmt w:val="bullet"/>
      <w:lvlText w:val=""/>
      <w:lvlJc w:val="left"/>
      <w:pPr>
        <w:ind w:left="6480" w:hanging="360"/>
      </w:pPr>
      <w:rPr>
        <w:rFonts w:ascii="Wingdings" w:hAnsi="Wingdings" w:hint="default"/>
      </w:rPr>
    </w:lvl>
  </w:abstractNum>
  <w:abstractNum w:abstractNumId="11" w15:restartNumberingAfterBreak="0">
    <w:nsid w:val="52C21871"/>
    <w:multiLevelType w:val="hybridMultilevel"/>
    <w:tmpl w:val="948665C8"/>
    <w:lvl w:ilvl="0" w:tplc="CABE9A70">
      <w:start w:val="1"/>
      <w:numFmt w:val="bullet"/>
      <w:lvlText w:val=""/>
      <w:lvlJc w:val="left"/>
      <w:pPr>
        <w:ind w:left="720" w:hanging="360"/>
      </w:pPr>
      <w:rPr>
        <w:rFonts w:ascii="Symbol" w:hAnsi="Symbol" w:hint="default"/>
      </w:rPr>
    </w:lvl>
    <w:lvl w:ilvl="1" w:tplc="24F4F542" w:tentative="1">
      <w:start w:val="1"/>
      <w:numFmt w:val="bullet"/>
      <w:lvlText w:val="o"/>
      <w:lvlJc w:val="left"/>
      <w:pPr>
        <w:ind w:left="1440" w:hanging="360"/>
      </w:pPr>
      <w:rPr>
        <w:rFonts w:ascii="Courier New" w:hAnsi="Courier New" w:cs="Courier New" w:hint="default"/>
      </w:rPr>
    </w:lvl>
    <w:lvl w:ilvl="2" w:tplc="74E05054" w:tentative="1">
      <w:start w:val="1"/>
      <w:numFmt w:val="bullet"/>
      <w:lvlText w:val=""/>
      <w:lvlJc w:val="left"/>
      <w:pPr>
        <w:ind w:left="2160" w:hanging="360"/>
      </w:pPr>
      <w:rPr>
        <w:rFonts w:ascii="Wingdings" w:hAnsi="Wingdings" w:hint="default"/>
      </w:rPr>
    </w:lvl>
    <w:lvl w:ilvl="3" w:tplc="333A847E" w:tentative="1">
      <w:start w:val="1"/>
      <w:numFmt w:val="bullet"/>
      <w:lvlText w:val=""/>
      <w:lvlJc w:val="left"/>
      <w:pPr>
        <w:ind w:left="2880" w:hanging="360"/>
      </w:pPr>
      <w:rPr>
        <w:rFonts w:ascii="Symbol" w:hAnsi="Symbol" w:hint="default"/>
      </w:rPr>
    </w:lvl>
    <w:lvl w:ilvl="4" w:tplc="4D3457F0" w:tentative="1">
      <w:start w:val="1"/>
      <w:numFmt w:val="bullet"/>
      <w:lvlText w:val="o"/>
      <w:lvlJc w:val="left"/>
      <w:pPr>
        <w:ind w:left="3600" w:hanging="360"/>
      </w:pPr>
      <w:rPr>
        <w:rFonts w:ascii="Courier New" w:hAnsi="Courier New" w:cs="Courier New" w:hint="default"/>
      </w:rPr>
    </w:lvl>
    <w:lvl w:ilvl="5" w:tplc="F670CE66" w:tentative="1">
      <w:start w:val="1"/>
      <w:numFmt w:val="bullet"/>
      <w:lvlText w:val=""/>
      <w:lvlJc w:val="left"/>
      <w:pPr>
        <w:ind w:left="4320" w:hanging="360"/>
      </w:pPr>
      <w:rPr>
        <w:rFonts w:ascii="Wingdings" w:hAnsi="Wingdings" w:hint="default"/>
      </w:rPr>
    </w:lvl>
    <w:lvl w:ilvl="6" w:tplc="B358AC02" w:tentative="1">
      <w:start w:val="1"/>
      <w:numFmt w:val="bullet"/>
      <w:lvlText w:val=""/>
      <w:lvlJc w:val="left"/>
      <w:pPr>
        <w:ind w:left="5040" w:hanging="360"/>
      </w:pPr>
      <w:rPr>
        <w:rFonts w:ascii="Symbol" w:hAnsi="Symbol" w:hint="default"/>
      </w:rPr>
    </w:lvl>
    <w:lvl w:ilvl="7" w:tplc="3FD896CA" w:tentative="1">
      <w:start w:val="1"/>
      <w:numFmt w:val="bullet"/>
      <w:lvlText w:val="o"/>
      <w:lvlJc w:val="left"/>
      <w:pPr>
        <w:ind w:left="5760" w:hanging="360"/>
      </w:pPr>
      <w:rPr>
        <w:rFonts w:ascii="Courier New" w:hAnsi="Courier New" w:cs="Courier New" w:hint="default"/>
      </w:rPr>
    </w:lvl>
    <w:lvl w:ilvl="8" w:tplc="53D0DF3C" w:tentative="1">
      <w:start w:val="1"/>
      <w:numFmt w:val="bullet"/>
      <w:lvlText w:val=""/>
      <w:lvlJc w:val="left"/>
      <w:pPr>
        <w:ind w:left="6480" w:hanging="360"/>
      </w:pPr>
      <w:rPr>
        <w:rFonts w:ascii="Wingdings" w:hAnsi="Wingdings" w:hint="default"/>
      </w:rPr>
    </w:lvl>
  </w:abstractNum>
  <w:abstractNum w:abstractNumId="12" w15:restartNumberingAfterBreak="0">
    <w:nsid w:val="55A86451"/>
    <w:multiLevelType w:val="hybridMultilevel"/>
    <w:tmpl w:val="7FAC68C6"/>
    <w:lvl w:ilvl="0" w:tplc="9732DA32">
      <w:start w:val="1"/>
      <w:numFmt w:val="bullet"/>
      <w:lvlText w:val=""/>
      <w:lvlJc w:val="left"/>
      <w:pPr>
        <w:ind w:left="720" w:hanging="360"/>
      </w:pPr>
      <w:rPr>
        <w:rFonts w:ascii="Symbol" w:hAnsi="Symbol" w:hint="default"/>
      </w:rPr>
    </w:lvl>
    <w:lvl w:ilvl="1" w:tplc="6BE4A9D6" w:tentative="1">
      <w:start w:val="1"/>
      <w:numFmt w:val="bullet"/>
      <w:lvlText w:val="o"/>
      <w:lvlJc w:val="left"/>
      <w:pPr>
        <w:ind w:left="1440" w:hanging="360"/>
      </w:pPr>
      <w:rPr>
        <w:rFonts w:ascii="Courier New" w:hAnsi="Courier New" w:cs="Courier New" w:hint="default"/>
      </w:rPr>
    </w:lvl>
    <w:lvl w:ilvl="2" w:tplc="FDE878BA" w:tentative="1">
      <w:start w:val="1"/>
      <w:numFmt w:val="bullet"/>
      <w:lvlText w:val=""/>
      <w:lvlJc w:val="left"/>
      <w:pPr>
        <w:ind w:left="2160" w:hanging="360"/>
      </w:pPr>
      <w:rPr>
        <w:rFonts w:ascii="Wingdings" w:hAnsi="Wingdings" w:hint="default"/>
      </w:rPr>
    </w:lvl>
    <w:lvl w:ilvl="3" w:tplc="E36EB168" w:tentative="1">
      <w:start w:val="1"/>
      <w:numFmt w:val="bullet"/>
      <w:lvlText w:val=""/>
      <w:lvlJc w:val="left"/>
      <w:pPr>
        <w:ind w:left="2880" w:hanging="360"/>
      </w:pPr>
      <w:rPr>
        <w:rFonts w:ascii="Symbol" w:hAnsi="Symbol" w:hint="default"/>
      </w:rPr>
    </w:lvl>
    <w:lvl w:ilvl="4" w:tplc="6372682A" w:tentative="1">
      <w:start w:val="1"/>
      <w:numFmt w:val="bullet"/>
      <w:lvlText w:val="o"/>
      <w:lvlJc w:val="left"/>
      <w:pPr>
        <w:ind w:left="3600" w:hanging="360"/>
      </w:pPr>
      <w:rPr>
        <w:rFonts w:ascii="Courier New" w:hAnsi="Courier New" w:cs="Courier New" w:hint="default"/>
      </w:rPr>
    </w:lvl>
    <w:lvl w:ilvl="5" w:tplc="B2329C40" w:tentative="1">
      <w:start w:val="1"/>
      <w:numFmt w:val="bullet"/>
      <w:lvlText w:val=""/>
      <w:lvlJc w:val="left"/>
      <w:pPr>
        <w:ind w:left="4320" w:hanging="360"/>
      </w:pPr>
      <w:rPr>
        <w:rFonts w:ascii="Wingdings" w:hAnsi="Wingdings" w:hint="default"/>
      </w:rPr>
    </w:lvl>
    <w:lvl w:ilvl="6" w:tplc="DFF0873A" w:tentative="1">
      <w:start w:val="1"/>
      <w:numFmt w:val="bullet"/>
      <w:lvlText w:val=""/>
      <w:lvlJc w:val="left"/>
      <w:pPr>
        <w:ind w:left="5040" w:hanging="360"/>
      </w:pPr>
      <w:rPr>
        <w:rFonts w:ascii="Symbol" w:hAnsi="Symbol" w:hint="default"/>
      </w:rPr>
    </w:lvl>
    <w:lvl w:ilvl="7" w:tplc="212CE280" w:tentative="1">
      <w:start w:val="1"/>
      <w:numFmt w:val="bullet"/>
      <w:lvlText w:val="o"/>
      <w:lvlJc w:val="left"/>
      <w:pPr>
        <w:ind w:left="5760" w:hanging="360"/>
      </w:pPr>
      <w:rPr>
        <w:rFonts w:ascii="Courier New" w:hAnsi="Courier New" w:cs="Courier New" w:hint="default"/>
      </w:rPr>
    </w:lvl>
    <w:lvl w:ilvl="8" w:tplc="CB2E366C" w:tentative="1">
      <w:start w:val="1"/>
      <w:numFmt w:val="bullet"/>
      <w:lvlText w:val=""/>
      <w:lvlJc w:val="left"/>
      <w:pPr>
        <w:ind w:left="6480" w:hanging="360"/>
      </w:pPr>
      <w:rPr>
        <w:rFonts w:ascii="Wingdings" w:hAnsi="Wingdings" w:hint="default"/>
      </w:rPr>
    </w:lvl>
  </w:abstractNum>
  <w:abstractNum w:abstractNumId="13" w15:restartNumberingAfterBreak="0">
    <w:nsid w:val="5C3A55CC"/>
    <w:multiLevelType w:val="hybridMultilevel"/>
    <w:tmpl w:val="550E95D8"/>
    <w:lvl w:ilvl="0" w:tplc="F3EA0A60">
      <w:start w:val="1"/>
      <w:numFmt w:val="bullet"/>
      <w:lvlText w:val=""/>
      <w:lvlJc w:val="left"/>
      <w:pPr>
        <w:ind w:left="720" w:hanging="360"/>
      </w:pPr>
      <w:rPr>
        <w:rFonts w:ascii="Symbol" w:hAnsi="Symbol" w:hint="default"/>
      </w:rPr>
    </w:lvl>
    <w:lvl w:ilvl="1" w:tplc="5E7C480E" w:tentative="1">
      <w:start w:val="1"/>
      <w:numFmt w:val="bullet"/>
      <w:lvlText w:val="o"/>
      <w:lvlJc w:val="left"/>
      <w:pPr>
        <w:ind w:left="1440" w:hanging="360"/>
      </w:pPr>
      <w:rPr>
        <w:rFonts w:ascii="Courier New" w:hAnsi="Courier New" w:cs="Courier New" w:hint="default"/>
      </w:rPr>
    </w:lvl>
    <w:lvl w:ilvl="2" w:tplc="9E3E2AB2" w:tentative="1">
      <w:start w:val="1"/>
      <w:numFmt w:val="bullet"/>
      <w:lvlText w:val=""/>
      <w:lvlJc w:val="left"/>
      <w:pPr>
        <w:ind w:left="2160" w:hanging="360"/>
      </w:pPr>
      <w:rPr>
        <w:rFonts w:ascii="Wingdings" w:hAnsi="Wingdings" w:hint="default"/>
      </w:rPr>
    </w:lvl>
    <w:lvl w:ilvl="3" w:tplc="77B01FB2" w:tentative="1">
      <w:start w:val="1"/>
      <w:numFmt w:val="bullet"/>
      <w:lvlText w:val=""/>
      <w:lvlJc w:val="left"/>
      <w:pPr>
        <w:ind w:left="2880" w:hanging="360"/>
      </w:pPr>
      <w:rPr>
        <w:rFonts w:ascii="Symbol" w:hAnsi="Symbol" w:hint="default"/>
      </w:rPr>
    </w:lvl>
    <w:lvl w:ilvl="4" w:tplc="2FAC44D6" w:tentative="1">
      <w:start w:val="1"/>
      <w:numFmt w:val="bullet"/>
      <w:lvlText w:val="o"/>
      <w:lvlJc w:val="left"/>
      <w:pPr>
        <w:ind w:left="3600" w:hanging="360"/>
      </w:pPr>
      <w:rPr>
        <w:rFonts w:ascii="Courier New" w:hAnsi="Courier New" w:cs="Courier New" w:hint="default"/>
      </w:rPr>
    </w:lvl>
    <w:lvl w:ilvl="5" w:tplc="2A183C0A" w:tentative="1">
      <w:start w:val="1"/>
      <w:numFmt w:val="bullet"/>
      <w:lvlText w:val=""/>
      <w:lvlJc w:val="left"/>
      <w:pPr>
        <w:ind w:left="4320" w:hanging="360"/>
      </w:pPr>
      <w:rPr>
        <w:rFonts w:ascii="Wingdings" w:hAnsi="Wingdings" w:hint="default"/>
      </w:rPr>
    </w:lvl>
    <w:lvl w:ilvl="6" w:tplc="94C84764" w:tentative="1">
      <w:start w:val="1"/>
      <w:numFmt w:val="bullet"/>
      <w:lvlText w:val=""/>
      <w:lvlJc w:val="left"/>
      <w:pPr>
        <w:ind w:left="5040" w:hanging="360"/>
      </w:pPr>
      <w:rPr>
        <w:rFonts w:ascii="Symbol" w:hAnsi="Symbol" w:hint="default"/>
      </w:rPr>
    </w:lvl>
    <w:lvl w:ilvl="7" w:tplc="48CAF6BC" w:tentative="1">
      <w:start w:val="1"/>
      <w:numFmt w:val="bullet"/>
      <w:lvlText w:val="o"/>
      <w:lvlJc w:val="left"/>
      <w:pPr>
        <w:ind w:left="5760" w:hanging="360"/>
      </w:pPr>
      <w:rPr>
        <w:rFonts w:ascii="Courier New" w:hAnsi="Courier New" w:cs="Courier New" w:hint="default"/>
      </w:rPr>
    </w:lvl>
    <w:lvl w:ilvl="8" w:tplc="49A8308E" w:tentative="1">
      <w:start w:val="1"/>
      <w:numFmt w:val="bullet"/>
      <w:lvlText w:val=""/>
      <w:lvlJc w:val="left"/>
      <w:pPr>
        <w:ind w:left="6480" w:hanging="360"/>
      </w:pPr>
      <w:rPr>
        <w:rFonts w:ascii="Wingdings" w:hAnsi="Wingdings" w:hint="default"/>
      </w:rPr>
    </w:lvl>
  </w:abstractNum>
  <w:abstractNum w:abstractNumId="14" w15:restartNumberingAfterBreak="0">
    <w:nsid w:val="68D33A39"/>
    <w:multiLevelType w:val="hybridMultilevel"/>
    <w:tmpl w:val="D9C640D4"/>
    <w:lvl w:ilvl="0" w:tplc="DA50BA02">
      <w:start w:val="1"/>
      <w:numFmt w:val="bullet"/>
      <w:lvlText w:val=""/>
      <w:lvlJc w:val="left"/>
      <w:pPr>
        <w:ind w:left="720" w:hanging="360"/>
      </w:pPr>
      <w:rPr>
        <w:rFonts w:ascii="Symbol" w:hAnsi="Symbol" w:hint="default"/>
      </w:rPr>
    </w:lvl>
    <w:lvl w:ilvl="1" w:tplc="7C3C77BA">
      <w:start w:val="1"/>
      <w:numFmt w:val="bullet"/>
      <w:lvlText w:val="o"/>
      <w:lvlJc w:val="left"/>
      <w:pPr>
        <w:ind w:left="1440" w:hanging="360"/>
      </w:pPr>
      <w:rPr>
        <w:rFonts w:ascii="Courier New" w:hAnsi="Courier New" w:cs="Courier New" w:hint="default"/>
      </w:rPr>
    </w:lvl>
    <w:lvl w:ilvl="2" w:tplc="B6EC0FD2" w:tentative="1">
      <w:start w:val="1"/>
      <w:numFmt w:val="bullet"/>
      <w:lvlText w:val=""/>
      <w:lvlJc w:val="left"/>
      <w:pPr>
        <w:ind w:left="2160" w:hanging="360"/>
      </w:pPr>
      <w:rPr>
        <w:rFonts w:ascii="Wingdings" w:hAnsi="Wingdings" w:hint="default"/>
      </w:rPr>
    </w:lvl>
    <w:lvl w:ilvl="3" w:tplc="54F0CC7C" w:tentative="1">
      <w:start w:val="1"/>
      <w:numFmt w:val="bullet"/>
      <w:lvlText w:val=""/>
      <w:lvlJc w:val="left"/>
      <w:pPr>
        <w:ind w:left="2880" w:hanging="360"/>
      </w:pPr>
      <w:rPr>
        <w:rFonts w:ascii="Symbol" w:hAnsi="Symbol" w:hint="default"/>
      </w:rPr>
    </w:lvl>
    <w:lvl w:ilvl="4" w:tplc="647EB6EE" w:tentative="1">
      <w:start w:val="1"/>
      <w:numFmt w:val="bullet"/>
      <w:lvlText w:val="o"/>
      <w:lvlJc w:val="left"/>
      <w:pPr>
        <w:ind w:left="3600" w:hanging="360"/>
      </w:pPr>
      <w:rPr>
        <w:rFonts w:ascii="Courier New" w:hAnsi="Courier New" w:cs="Courier New" w:hint="default"/>
      </w:rPr>
    </w:lvl>
    <w:lvl w:ilvl="5" w:tplc="75E44E98" w:tentative="1">
      <w:start w:val="1"/>
      <w:numFmt w:val="bullet"/>
      <w:lvlText w:val=""/>
      <w:lvlJc w:val="left"/>
      <w:pPr>
        <w:ind w:left="4320" w:hanging="360"/>
      </w:pPr>
      <w:rPr>
        <w:rFonts w:ascii="Wingdings" w:hAnsi="Wingdings" w:hint="default"/>
      </w:rPr>
    </w:lvl>
    <w:lvl w:ilvl="6" w:tplc="7EBC59AC" w:tentative="1">
      <w:start w:val="1"/>
      <w:numFmt w:val="bullet"/>
      <w:lvlText w:val=""/>
      <w:lvlJc w:val="left"/>
      <w:pPr>
        <w:ind w:left="5040" w:hanging="360"/>
      </w:pPr>
      <w:rPr>
        <w:rFonts w:ascii="Symbol" w:hAnsi="Symbol" w:hint="default"/>
      </w:rPr>
    </w:lvl>
    <w:lvl w:ilvl="7" w:tplc="A9AE19FE" w:tentative="1">
      <w:start w:val="1"/>
      <w:numFmt w:val="bullet"/>
      <w:lvlText w:val="o"/>
      <w:lvlJc w:val="left"/>
      <w:pPr>
        <w:ind w:left="5760" w:hanging="360"/>
      </w:pPr>
      <w:rPr>
        <w:rFonts w:ascii="Courier New" w:hAnsi="Courier New" w:cs="Courier New" w:hint="default"/>
      </w:rPr>
    </w:lvl>
    <w:lvl w:ilvl="8" w:tplc="8ABAACFA" w:tentative="1">
      <w:start w:val="1"/>
      <w:numFmt w:val="bullet"/>
      <w:lvlText w:val=""/>
      <w:lvlJc w:val="left"/>
      <w:pPr>
        <w:ind w:left="6480" w:hanging="360"/>
      </w:pPr>
      <w:rPr>
        <w:rFonts w:ascii="Wingdings" w:hAnsi="Wingdings" w:hint="default"/>
      </w:rPr>
    </w:lvl>
  </w:abstractNum>
  <w:abstractNum w:abstractNumId="15" w15:restartNumberingAfterBreak="0">
    <w:nsid w:val="6B5D20EE"/>
    <w:multiLevelType w:val="hybridMultilevel"/>
    <w:tmpl w:val="01E4DCA8"/>
    <w:lvl w:ilvl="0" w:tplc="0EC4FA42">
      <w:start w:val="1"/>
      <w:numFmt w:val="decimal"/>
      <w:lvlText w:val="%1)"/>
      <w:lvlJc w:val="left"/>
      <w:pPr>
        <w:ind w:left="720" w:hanging="360"/>
      </w:pPr>
      <w:rPr>
        <w:rFonts w:hint="default"/>
      </w:rPr>
    </w:lvl>
    <w:lvl w:ilvl="1" w:tplc="65C226FC" w:tentative="1">
      <w:start w:val="1"/>
      <w:numFmt w:val="lowerLetter"/>
      <w:lvlText w:val="%2."/>
      <w:lvlJc w:val="left"/>
      <w:pPr>
        <w:ind w:left="1440" w:hanging="360"/>
      </w:pPr>
    </w:lvl>
    <w:lvl w:ilvl="2" w:tplc="11A67A22" w:tentative="1">
      <w:start w:val="1"/>
      <w:numFmt w:val="lowerRoman"/>
      <w:lvlText w:val="%3."/>
      <w:lvlJc w:val="right"/>
      <w:pPr>
        <w:ind w:left="2160" w:hanging="180"/>
      </w:pPr>
    </w:lvl>
    <w:lvl w:ilvl="3" w:tplc="D0B65390" w:tentative="1">
      <w:start w:val="1"/>
      <w:numFmt w:val="decimal"/>
      <w:lvlText w:val="%4."/>
      <w:lvlJc w:val="left"/>
      <w:pPr>
        <w:ind w:left="2880" w:hanging="360"/>
      </w:pPr>
    </w:lvl>
    <w:lvl w:ilvl="4" w:tplc="4A644050" w:tentative="1">
      <w:start w:val="1"/>
      <w:numFmt w:val="lowerLetter"/>
      <w:lvlText w:val="%5."/>
      <w:lvlJc w:val="left"/>
      <w:pPr>
        <w:ind w:left="3600" w:hanging="360"/>
      </w:pPr>
    </w:lvl>
    <w:lvl w:ilvl="5" w:tplc="A44201E8" w:tentative="1">
      <w:start w:val="1"/>
      <w:numFmt w:val="lowerRoman"/>
      <w:lvlText w:val="%6."/>
      <w:lvlJc w:val="right"/>
      <w:pPr>
        <w:ind w:left="4320" w:hanging="180"/>
      </w:pPr>
    </w:lvl>
    <w:lvl w:ilvl="6" w:tplc="8CE474E2" w:tentative="1">
      <w:start w:val="1"/>
      <w:numFmt w:val="decimal"/>
      <w:lvlText w:val="%7."/>
      <w:lvlJc w:val="left"/>
      <w:pPr>
        <w:ind w:left="5040" w:hanging="360"/>
      </w:pPr>
    </w:lvl>
    <w:lvl w:ilvl="7" w:tplc="7C449CD8" w:tentative="1">
      <w:start w:val="1"/>
      <w:numFmt w:val="lowerLetter"/>
      <w:lvlText w:val="%8."/>
      <w:lvlJc w:val="left"/>
      <w:pPr>
        <w:ind w:left="5760" w:hanging="360"/>
      </w:pPr>
    </w:lvl>
    <w:lvl w:ilvl="8" w:tplc="A3FC7746" w:tentative="1">
      <w:start w:val="1"/>
      <w:numFmt w:val="lowerRoman"/>
      <w:lvlText w:val="%9."/>
      <w:lvlJc w:val="right"/>
      <w:pPr>
        <w:ind w:left="6480" w:hanging="180"/>
      </w:pPr>
    </w:lvl>
  </w:abstractNum>
  <w:abstractNum w:abstractNumId="16" w15:restartNumberingAfterBreak="0">
    <w:nsid w:val="76085E96"/>
    <w:multiLevelType w:val="hybridMultilevel"/>
    <w:tmpl w:val="B6767132"/>
    <w:lvl w:ilvl="0" w:tplc="B47EE292">
      <w:start w:val="1"/>
      <w:numFmt w:val="bullet"/>
      <w:lvlText w:val=""/>
      <w:lvlJc w:val="left"/>
      <w:pPr>
        <w:ind w:left="1788" w:hanging="360"/>
      </w:pPr>
      <w:rPr>
        <w:rFonts w:ascii="Symbol" w:hAnsi="Symbol" w:hint="default"/>
      </w:rPr>
    </w:lvl>
    <w:lvl w:ilvl="1" w:tplc="ACA6DF32" w:tentative="1">
      <w:start w:val="1"/>
      <w:numFmt w:val="bullet"/>
      <w:lvlText w:val="o"/>
      <w:lvlJc w:val="left"/>
      <w:pPr>
        <w:ind w:left="2508" w:hanging="360"/>
      </w:pPr>
      <w:rPr>
        <w:rFonts w:ascii="Courier New" w:hAnsi="Courier New" w:cs="Courier New" w:hint="default"/>
      </w:rPr>
    </w:lvl>
    <w:lvl w:ilvl="2" w:tplc="0DA02B5E" w:tentative="1">
      <w:start w:val="1"/>
      <w:numFmt w:val="bullet"/>
      <w:lvlText w:val=""/>
      <w:lvlJc w:val="left"/>
      <w:pPr>
        <w:ind w:left="3228" w:hanging="360"/>
      </w:pPr>
      <w:rPr>
        <w:rFonts w:ascii="Wingdings" w:hAnsi="Wingdings" w:hint="default"/>
      </w:rPr>
    </w:lvl>
    <w:lvl w:ilvl="3" w:tplc="19263A94" w:tentative="1">
      <w:start w:val="1"/>
      <w:numFmt w:val="bullet"/>
      <w:lvlText w:val=""/>
      <w:lvlJc w:val="left"/>
      <w:pPr>
        <w:ind w:left="3948" w:hanging="360"/>
      </w:pPr>
      <w:rPr>
        <w:rFonts w:ascii="Symbol" w:hAnsi="Symbol" w:hint="default"/>
      </w:rPr>
    </w:lvl>
    <w:lvl w:ilvl="4" w:tplc="CC66E0E6" w:tentative="1">
      <w:start w:val="1"/>
      <w:numFmt w:val="bullet"/>
      <w:lvlText w:val="o"/>
      <w:lvlJc w:val="left"/>
      <w:pPr>
        <w:ind w:left="4668" w:hanging="360"/>
      </w:pPr>
      <w:rPr>
        <w:rFonts w:ascii="Courier New" w:hAnsi="Courier New" w:cs="Courier New" w:hint="default"/>
      </w:rPr>
    </w:lvl>
    <w:lvl w:ilvl="5" w:tplc="97566BAA" w:tentative="1">
      <w:start w:val="1"/>
      <w:numFmt w:val="bullet"/>
      <w:lvlText w:val=""/>
      <w:lvlJc w:val="left"/>
      <w:pPr>
        <w:ind w:left="5388" w:hanging="360"/>
      </w:pPr>
      <w:rPr>
        <w:rFonts w:ascii="Wingdings" w:hAnsi="Wingdings" w:hint="default"/>
      </w:rPr>
    </w:lvl>
    <w:lvl w:ilvl="6" w:tplc="F58EFF44" w:tentative="1">
      <w:start w:val="1"/>
      <w:numFmt w:val="bullet"/>
      <w:lvlText w:val=""/>
      <w:lvlJc w:val="left"/>
      <w:pPr>
        <w:ind w:left="6108" w:hanging="360"/>
      </w:pPr>
      <w:rPr>
        <w:rFonts w:ascii="Symbol" w:hAnsi="Symbol" w:hint="default"/>
      </w:rPr>
    </w:lvl>
    <w:lvl w:ilvl="7" w:tplc="87621F4A" w:tentative="1">
      <w:start w:val="1"/>
      <w:numFmt w:val="bullet"/>
      <w:lvlText w:val="o"/>
      <w:lvlJc w:val="left"/>
      <w:pPr>
        <w:ind w:left="6828" w:hanging="360"/>
      </w:pPr>
      <w:rPr>
        <w:rFonts w:ascii="Courier New" w:hAnsi="Courier New" w:cs="Courier New" w:hint="default"/>
      </w:rPr>
    </w:lvl>
    <w:lvl w:ilvl="8" w:tplc="C31A6D82" w:tentative="1">
      <w:start w:val="1"/>
      <w:numFmt w:val="bullet"/>
      <w:lvlText w:val=""/>
      <w:lvlJc w:val="left"/>
      <w:pPr>
        <w:ind w:left="7548" w:hanging="360"/>
      </w:pPr>
      <w:rPr>
        <w:rFonts w:ascii="Wingdings" w:hAnsi="Wingdings" w:hint="default"/>
      </w:rPr>
    </w:lvl>
  </w:abstractNum>
  <w:abstractNum w:abstractNumId="17" w15:restartNumberingAfterBreak="0">
    <w:nsid w:val="78E83947"/>
    <w:multiLevelType w:val="hybridMultilevel"/>
    <w:tmpl w:val="1EA62C42"/>
    <w:lvl w:ilvl="0" w:tplc="EBB2A108">
      <w:start w:val="1"/>
      <w:numFmt w:val="bullet"/>
      <w:lvlText w:val=""/>
      <w:lvlJc w:val="left"/>
      <w:pPr>
        <w:ind w:left="720" w:hanging="360"/>
      </w:pPr>
      <w:rPr>
        <w:rFonts w:ascii="Symbol" w:hAnsi="Symbol" w:hint="default"/>
      </w:rPr>
    </w:lvl>
    <w:lvl w:ilvl="1" w:tplc="497CA3A4" w:tentative="1">
      <w:start w:val="1"/>
      <w:numFmt w:val="bullet"/>
      <w:lvlText w:val="o"/>
      <w:lvlJc w:val="left"/>
      <w:pPr>
        <w:ind w:left="1440" w:hanging="360"/>
      </w:pPr>
      <w:rPr>
        <w:rFonts w:ascii="Courier New" w:hAnsi="Courier New" w:cs="Courier New" w:hint="default"/>
      </w:rPr>
    </w:lvl>
    <w:lvl w:ilvl="2" w:tplc="7E34FCDA" w:tentative="1">
      <w:start w:val="1"/>
      <w:numFmt w:val="bullet"/>
      <w:lvlText w:val=""/>
      <w:lvlJc w:val="left"/>
      <w:pPr>
        <w:ind w:left="2160" w:hanging="360"/>
      </w:pPr>
      <w:rPr>
        <w:rFonts w:ascii="Wingdings" w:hAnsi="Wingdings" w:hint="default"/>
      </w:rPr>
    </w:lvl>
    <w:lvl w:ilvl="3" w:tplc="E6D881D6" w:tentative="1">
      <w:start w:val="1"/>
      <w:numFmt w:val="bullet"/>
      <w:lvlText w:val=""/>
      <w:lvlJc w:val="left"/>
      <w:pPr>
        <w:ind w:left="2880" w:hanging="360"/>
      </w:pPr>
      <w:rPr>
        <w:rFonts w:ascii="Symbol" w:hAnsi="Symbol" w:hint="default"/>
      </w:rPr>
    </w:lvl>
    <w:lvl w:ilvl="4" w:tplc="6C906374" w:tentative="1">
      <w:start w:val="1"/>
      <w:numFmt w:val="bullet"/>
      <w:lvlText w:val="o"/>
      <w:lvlJc w:val="left"/>
      <w:pPr>
        <w:ind w:left="3600" w:hanging="360"/>
      </w:pPr>
      <w:rPr>
        <w:rFonts w:ascii="Courier New" w:hAnsi="Courier New" w:cs="Courier New" w:hint="default"/>
      </w:rPr>
    </w:lvl>
    <w:lvl w:ilvl="5" w:tplc="F95265EA" w:tentative="1">
      <w:start w:val="1"/>
      <w:numFmt w:val="bullet"/>
      <w:lvlText w:val=""/>
      <w:lvlJc w:val="left"/>
      <w:pPr>
        <w:ind w:left="4320" w:hanging="360"/>
      </w:pPr>
      <w:rPr>
        <w:rFonts w:ascii="Wingdings" w:hAnsi="Wingdings" w:hint="default"/>
      </w:rPr>
    </w:lvl>
    <w:lvl w:ilvl="6" w:tplc="321A5594" w:tentative="1">
      <w:start w:val="1"/>
      <w:numFmt w:val="bullet"/>
      <w:lvlText w:val=""/>
      <w:lvlJc w:val="left"/>
      <w:pPr>
        <w:ind w:left="5040" w:hanging="360"/>
      </w:pPr>
      <w:rPr>
        <w:rFonts w:ascii="Symbol" w:hAnsi="Symbol" w:hint="default"/>
      </w:rPr>
    </w:lvl>
    <w:lvl w:ilvl="7" w:tplc="A0127766" w:tentative="1">
      <w:start w:val="1"/>
      <w:numFmt w:val="bullet"/>
      <w:lvlText w:val="o"/>
      <w:lvlJc w:val="left"/>
      <w:pPr>
        <w:ind w:left="5760" w:hanging="360"/>
      </w:pPr>
      <w:rPr>
        <w:rFonts w:ascii="Courier New" w:hAnsi="Courier New" w:cs="Courier New" w:hint="default"/>
      </w:rPr>
    </w:lvl>
    <w:lvl w:ilvl="8" w:tplc="E85488BA" w:tentative="1">
      <w:start w:val="1"/>
      <w:numFmt w:val="bullet"/>
      <w:lvlText w:val=""/>
      <w:lvlJc w:val="left"/>
      <w:pPr>
        <w:ind w:left="6480" w:hanging="360"/>
      </w:pPr>
      <w:rPr>
        <w:rFonts w:ascii="Wingdings" w:hAnsi="Wingdings" w:hint="default"/>
      </w:rPr>
    </w:lvl>
  </w:abstractNum>
  <w:abstractNum w:abstractNumId="18" w15:restartNumberingAfterBreak="0">
    <w:nsid w:val="79866AB0"/>
    <w:multiLevelType w:val="hybridMultilevel"/>
    <w:tmpl w:val="65561E92"/>
    <w:lvl w:ilvl="0" w:tplc="6BFAF57C">
      <w:start w:val="1"/>
      <w:numFmt w:val="bullet"/>
      <w:lvlText w:val=""/>
      <w:lvlJc w:val="left"/>
      <w:pPr>
        <w:ind w:left="720" w:hanging="360"/>
      </w:pPr>
      <w:rPr>
        <w:rFonts w:ascii="Symbol" w:hAnsi="Symbol" w:hint="default"/>
      </w:rPr>
    </w:lvl>
    <w:lvl w:ilvl="1" w:tplc="356AA41A" w:tentative="1">
      <w:start w:val="1"/>
      <w:numFmt w:val="bullet"/>
      <w:lvlText w:val="o"/>
      <w:lvlJc w:val="left"/>
      <w:pPr>
        <w:ind w:left="1440" w:hanging="360"/>
      </w:pPr>
      <w:rPr>
        <w:rFonts w:ascii="Courier New" w:hAnsi="Courier New" w:cs="Courier New" w:hint="default"/>
      </w:rPr>
    </w:lvl>
    <w:lvl w:ilvl="2" w:tplc="1924F314" w:tentative="1">
      <w:start w:val="1"/>
      <w:numFmt w:val="bullet"/>
      <w:lvlText w:val=""/>
      <w:lvlJc w:val="left"/>
      <w:pPr>
        <w:ind w:left="2160" w:hanging="360"/>
      </w:pPr>
      <w:rPr>
        <w:rFonts w:ascii="Wingdings" w:hAnsi="Wingdings" w:hint="default"/>
      </w:rPr>
    </w:lvl>
    <w:lvl w:ilvl="3" w:tplc="D6E6E892" w:tentative="1">
      <w:start w:val="1"/>
      <w:numFmt w:val="bullet"/>
      <w:lvlText w:val=""/>
      <w:lvlJc w:val="left"/>
      <w:pPr>
        <w:ind w:left="2880" w:hanging="360"/>
      </w:pPr>
      <w:rPr>
        <w:rFonts w:ascii="Symbol" w:hAnsi="Symbol" w:hint="default"/>
      </w:rPr>
    </w:lvl>
    <w:lvl w:ilvl="4" w:tplc="C640FCE6" w:tentative="1">
      <w:start w:val="1"/>
      <w:numFmt w:val="bullet"/>
      <w:lvlText w:val="o"/>
      <w:lvlJc w:val="left"/>
      <w:pPr>
        <w:ind w:left="3600" w:hanging="360"/>
      </w:pPr>
      <w:rPr>
        <w:rFonts w:ascii="Courier New" w:hAnsi="Courier New" w:cs="Courier New" w:hint="default"/>
      </w:rPr>
    </w:lvl>
    <w:lvl w:ilvl="5" w:tplc="A912C126" w:tentative="1">
      <w:start w:val="1"/>
      <w:numFmt w:val="bullet"/>
      <w:lvlText w:val=""/>
      <w:lvlJc w:val="left"/>
      <w:pPr>
        <w:ind w:left="4320" w:hanging="360"/>
      </w:pPr>
      <w:rPr>
        <w:rFonts w:ascii="Wingdings" w:hAnsi="Wingdings" w:hint="default"/>
      </w:rPr>
    </w:lvl>
    <w:lvl w:ilvl="6" w:tplc="88EAECAA" w:tentative="1">
      <w:start w:val="1"/>
      <w:numFmt w:val="bullet"/>
      <w:lvlText w:val=""/>
      <w:lvlJc w:val="left"/>
      <w:pPr>
        <w:ind w:left="5040" w:hanging="360"/>
      </w:pPr>
      <w:rPr>
        <w:rFonts w:ascii="Symbol" w:hAnsi="Symbol" w:hint="default"/>
      </w:rPr>
    </w:lvl>
    <w:lvl w:ilvl="7" w:tplc="EF0E857C" w:tentative="1">
      <w:start w:val="1"/>
      <w:numFmt w:val="bullet"/>
      <w:lvlText w:val="o"/>
      <w:lvlJc w:val="left"/>
      <w:pPr>
        <w:ind w:left="5760" w:hanging="360"/>
      </w:pPr>
      <w:rPr>
        <w:rFonts w:ascii="Courier New" w:hAnsi="Courier New" w:cs="Courier New" w:hint="default"/>
      </w:rPr>
    </w:lvl>
    <w:lvl w:ilvl="8" w:tplc="71AAF960" w:tentative="1">
      <w:start w:val="1"/>
      <w:numFmt w:val="bullet"/>
      <w:lvlText w:val=""/>
      <w:lvlJc w:val="left"/>
      <w:pPr>
        <w:ind w:left="6480" w:hanging="360"/>
      </w:pPr>
      <w:rPr>
        <w:rFonts w:ascii="Wingdings" w:hAnsi="Wingdings" w:hint="default"/>
      </w:rPr>
    </w:lvl>
  </w:abstractNum>
  <w:abstractNum w:abstractNumId="19" w15:restartNumberingAfterBreak="0">
    <w:nsid w:val="7B8B45B8"/>
    <w:multiLevelType w:val="hybridMultilevel"/>
    <w:tmpl w:val="DA604790"/>
    <w:lvl w:ilvl="0" w:tplc="59207DBA">
      <w:start w:val="1"/>
      <w:numFmt w:val="decimal"/>
      <w:lvlText w:val="%1."/>
      <w:lvlJc w:val="left"/>
      <w:pPr>
        <w:ind w:left="720" w:hanging="360"/>
      </w:pPr>
    </w:lvl>
    <w:lvl w:ilvl="1" w:tplc="B0EA9BE8">
      <w:start w:val="1"/>
      <w:numFmt w:val="lowerLetter"/>
      <w:lvlText w:val="%2."/>
      <w:lvlJc w:val="left"/>
      <w:pPr>
        <w:ind w:left="1440" w:hanging="360"/>
      </w:pPr>
    </w:lvl>
    <w:lvl w:ilvl="2" w:tplc="9D58A36C">
      <w:start w:val="1"/>
      <w:numFmt w:val="lowerRoman"/>
      <w:lvlText w:val="%3."/>
      <w:lvlJc w:val="right"/>
      <w:pPr>
        <w:ind w:left="2160" w:hanging="180"/>
      </w:pPr>
    </w:lvl>
    <w:lvl w:ilvl="3" w:tplc="125CB4BA" w:tentative="1">
      <w:start w:val="1"/>
      <w:numFmt w:val="decimal"/>
      <w:lvlText w:val="%4."/>
      <w:lvlJc w:val="left"/>
      <w:pPr>
        <w:ind w:left="2880" w:hanging="360"/>
      </w:pPr>
    </w:lvl>
    <w:lvl w:ilvl="4" w:tplc="D2406CF8" w:tentative="1">
      <w:start w:val="1"/>
      <w:numFmt w:val="lowerLetter"/>
      <w:lvlText w:val="%5."/>
      <w:lvlJc w:val="left"/>
      <w:pPr>
        <w:ind w:left="3600" w:hanging="360"/>
      </w:pPr>
    </w:lvl>
    <w:lvl w:ilvl="5" w:tplc="FA5069E2" w:tentative="1">
      <w:start w:val="1"/>
      <w:numFmt w:val="lowerRoman"/>
      <w:lvlText w:val="%6."/>
      <w:lvlJc w:val="right"/>
      <w:pPr>
        <w:ind w:left="4320" w:hanging="180"/>
      </w:pPr>
    </w:lvl>
    <w:lvl w:ilvl="6" w:tplc="7EBED654" w:tentative="1">
      <w:start w:val="1"/>
      <w:numFmt w:val="decimal"/>
      <w:lvlText w:val="%7."/>
      <w:lvlJc w:val="left"/>
      <w:pPr>
        <w:ind w:left="5040" w:hanging="360"/>
      </w:pPr>
    </w:lvl>
    <w:lvl w:ilvl="7" w:tplc="04BC1BFA" w:tentative="1">
      <w:start w:val="1"/>
      <w:numFmt w:val="lowerLetter"/>
      <w:lvlText w:val="%8."/>
      <w:lvlJc w:val="left"/>
      <w:pPr>
        <w:ind w:left="5760" w:hanging="360"/>
      </w:pPr>
    </w:lvl>
    <w:lvl w:ilvl="8" w:tplc="C9CAFED0" w:tentative="1">
      <w:start w:val="1"/>
      <w:numFmt w:val="lowerRoman"/>
      <w:lvlText w:val="%9."/>
      <w:lvlJc w:val="right"/>
      <w:pPr>
        <w:ind w:left="6480" w:hanging="180"/>
      </w:pPr>
    </w:lvl>
  </w:abstractNum>
  <w:num w:numId="1">
    <w:abstractNumId w:val="13"/>
  </w:num>
  <w:num w:numId="2">
    <w:abstractNumId w:val="1"/>
  </w:num>
  <w:num w:numId="3">
    <w:abstractNumId w:val="7"/>
  </w:num>
  <w:num w:numId="4">
    <w:abstractNumId w:val="9"/>
  </w:num>
  <w:num w:numId="5">
    <w:abstractNumId w:val="8"/>
  </w:num>
  <w:num w:numId="6">
    <w:abstractNumId w:val="2"/>
  </w:num>
  <w:num w:numId="7">
    <w:abstractNumId w:val="16"/>
  </w:num>
  <w:num w:numId="8">
    <w:abstractNumId w:val="6"/>
  </w:num>
  <w:num w:numId="9">
    <w:abstractNumId w:val="19"/>
  </w:num>
  <w:num w:numId="10">
    <w:abstractNumId w:val="17"/>
  </w:num>
  <w:num w:numId="11">
    <w:abstractNumId w:val="11"/>
  </w:num>
  <w:num w:numId="12">
    <w:abstractNumId w:val="0"/>
  </w:num>
  <w:num w:numId="13">
    <w:abstractNumId w:val="15"/>
  </w:num>
  <w:num w:numId="14">
    <w:abstractNumId w:val="4"/>
  </w:num>
  <w:num w:numId="15">
    <w:abstractNumId w:val="12"/>
  </w:num>
  <w:num w:numId="16">
    <w:abstractNumId w:val="18"/>
  </w:num>
  <w:num w:numId="17">
    <w:abstractNumId w:val="3"/>
  </w:num>
  <w:num w:numId="18">
    <w:abstractNumId w:val="5"/>
  </w:num>
  <w:num w:numId="19">
    <w:abstractNumId w:val="14"/>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removePersonalInformation/>
  <w:removeDateAndTim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2A2"/>
    <w:rsid w:val="00002DD5"/>
    <w:rsid w:val="000166BF"/>
    <w:rsid w:val="00021633"/>
    <w:rsid w:val="0002174E"/>
    <w:rsid w:val="00026A57"/>
    <w:rsid w:val="000279E9"/>
    <w:rsid w:val="00034495"/>
    <w:rsid w:val="00035201"/>
    <w:rsid w:val="00036E4C"/>
    <w:rsid w:val="000443E8"/>
    <w:rsid w:val="000476A8"/>
    <w:rsid w:val="00053116"/>
    <w:rsid w:val="00056E41"/>
    <w:rsid w:val="00057534"/>
    <w:rsid w:val="00061799"/>
    <w:rsid w:val="0006225A"/>
    <w:rsid w:val="0006480E"/>
    <w:rsid w:val="000652C7"/>
    <w:rsid w:val="000702C6"/>
    <w:rsid w:val="00072210"/>
    <w:rsid w:val="000754DB"/>
    <w:rsid w:val="00080094"/>
    <w:rsid w:val="0008136C"/>
    <w:rsid w:val="00081D1F"/>
    <w:rsid w:val="00096B38"/>
    <w:rsid w:val="00097AE4"/>
    <w:rsid w:val="000A2AD1"/>
    <w:rsid w:val="000A6BCF"/>
    <w:rsid w:val="000B13DA"/>
    <w:rsid w:val="000B3482"/>
    <w:rsid w:val="000B7D56"/>
    <w:rsid w:val="000C3F7D"/>
    <w:rsid w:val="000C74E3"/>
    <w:rsid w:val="000D4987"/>
    <w:rsid w:val="000D65F6"/>
    <w:rsid w:val="000E2685"/>
    <w:rsid w:val="000E32E6"/>
    <w:rsid w:val="000E6D70"/>
    <w:rsid w:val="00101BF7"/>
    <w:rsid w:val="00104C49"/>
    <w:rsid w:val="00112F8B"/>
    <w:rsid w:val="001132FB"/>
    <w:rsid w:val="001155AA"/>
    <w:rsid w:val="00125A94"/>
    <w:rsid w:val="00125FAE"/>
    <w:rsid w:val="00126236"/>
    <w:rsid w:val="001307A8"/>
    <w:rsid w:val="001405CB"/>
    <w:rsid w:val="00142C69"/>
    <w:rsid w:val="00145808"/>
    <w:rsid w:val="00162DB3"/>
    <w:rsid w:val="00174EDE"/>
    <w:rsid w:val="00183C22"/>
    <w:rsid w:val="00193406"/>
    <w:rsid w:val="001A03E9"/>
    <w:rsid w:val="001A2B19"/>
    <w:rsid w:val="001A3409"/>
    <w:rsid w:val="001B1960"/>
    <w:rsid w:val="001B3EF1"/>
    <w:rsid w:val="001B5853"/>
    <w:rsid w:val="001C05ED"/>
    <w:rsid w:val="001C17E5"/>
    <w:rsid w:val="001E11C2"/>
    <w:rsid w:val="001E570D"/>
    <w:rsid w:val="001E62DC"/>
    <w:rsid w:val="001F09B2"/>
    <w:rsid w:val="001F14F4"/>
    <w:rsid w:val="0020693E"/>
    <w:rsid w:val="00221690"/>
    <w:rsid w:val="00223734"/>
    <w:rsid w:val="002305D6"/>
    <w:rsid w:val="00231807"/>
    <w:rsid w:val="00241570"/>
    <w:rsid w:val="002513A5"/>
    <w:rsid w:val="00254519"/>
    <w:rsid w:val="00256440"/>
    <w:rsid w:val="00256B39"/>
    <w:rsid w:val="0026237B"/>
    <w:rsid w:val="00266735"/>
    <w:rsid w:val="00267319"/>
    <w:rsid w:val="002705B5"/>
    <w:rsid w:val="002748C2"/>
    <w:rsid w:val="00276E9B"/>
    <w:rsid w:val="0028058E"/>
    <w:rsid w:val="002873E2"/>
    <w:rsid w:val="002877F9"/>
    <w:rsid w:val="002912FF"/>
    <w:rsid w:val="002926F1"/>
    <w:rsid w:val="00294816"/>
    <w:rsid w:val="00294DE4"/>
    <w:rsid w:val="00296962"/>
    <w:rsid w:val="00296C11"/>
    <w:rsid w:val="002A13D8"/>
    <w:rsid w:val="002A36B5"/>
    <w:rsid w:val="002A6FD0"/>
    <w:rsid w:val="002B3BEA"/>
    <w:rsid w:val="002C3579"/>
    <w:rsid w:val="002C7CA1"/>
    <w:rsid w:val="002D463E"/>
    <w:rsid w:val="002E3FAE"/>
    <w:rsid w:val="002F614C"/>
    <w:rsid w:val="00302F58"/>
    <w:rsid w:val="00304241"/>
    <w:rsid w:val="00310B0A"/>
    <w:rsid w:val="003120D0"/>
    <w:rsid w:val="0031299D"/>
    <w:rsid w:val="00313A5F"/>
    <w:rsid w:val="003165B7"/>
    <w:rsid w:val="00317B1A"/>
    <w:rsid w:val="00334323"/>
    <w:rsid w:val="00336FF0"/>
    <w:rsid w:val="00346902"/>
    <w:rsid w:val="00352366"/>
    <w:rsid w:val="003538D2"/>
    <w:rsid w:val="003579B0"/>
    <w:rsid w:val="003601DA"/>
    <w:rsid w:val="0036416B"/>
    <w:rsid w:val="003725AC"/>
    <w:rsid w:val="003738B0"/>
    <w:rsid w:val="0037501B"/>
    <w:rsid w:val="0037562D"/>
    <w:rsid w:val="00385973"/>
    <w:rsid w:val="003875A2"/>
    <w:rsid w:val="00397186"/>
    <w:rsid w:val="00397339"/>
    <w:rsid w:val="003A1381"/>
    <w:rsid w:val="003B2F16"/>
    <w:rsid w:val="003B64F2"/>
    <w:rsid w:val="003B7E4B"/>
    <w:rsid w:val="003C0608"/>
    <w:rsid w:val="003C3C82"/>
    <w:rsid w:val="003C56BD"/>
    <w:rsid w:val="003D5453"/>
    <w:rsid w:val="003D5B4E"/>
    <w:rsid w:val="003E002A"/>
    <w:rsid w:val="003E073E"/>
    <w:rsid w:val="003E2226"/>
    <w:rsid w:val="003E29BA"/>
    <w:rsid w:val="003E30E9"/>
    <w:rsid w:val="003E7F63"/>
    <w:rsid w:val="00401038"/>
    <w:rsid w:val="004048B4"/>
    <w:rsid w:val="00406A2B"/>
    <w:rsid w:val="0041125F"/>
    <w:rsid w:val="004223A1"/>
    <w:rsid w:val="00423436"/>
    <w:rsid w:val="0042475A"/>
    <w:rsid w:val="00425374"/>
    <w:rsid w:val="00427BB9"/>
    <w:rsid w:val="004304DF"/>
    <w:rsid w:val="00435CDA"/>
    <w:rsid w:val="00443260"/>
    <w:rsid w:val="00447FA5"/>
    <w:rsid w:val="00453688"/>
    <w:rsid w:val="00453C5A"/>
    <w:rsid w:val="004541A5"/>
    <w:rsid w:val="00454BD0"/>
    <w:rsid w:val="00456249"/>
    <w:rsid w:val="00464B8A"/>
    <w:rsid w:val="00476C47"/>
    <w:rsid w:val="00496088"/>
    <w:rsid w:val="004A0739"/>
    <w:rsid w:val="004A626E"/>
    <w:rsid w:val="004A6EBD"/>
    <w:rsid w:val="004B39C8"/>
    <w:rsid w:val="004B3A63"/>
    <w:rsid w:val="004B7894"/>
    <w:rsid w:val="004C29D0"/>
    <w:rsid w:val="004C5A6C"/>
    <w:rsid w:val="004D570F"/>
    <w:rsid w:val="004D621C"/>
    <w:rsid w:val="004E094C"/>
    <w:rsid w:val="004E099E"/>
    <w:rsid w:val="004F0088"/>
    <w:rsid w:val="004F13F3"/>
    <w:rsid w:val="004F7956"/>
    <w:rsid w:val="00504EFF"/>
    <w:rsid w:val="0050695F"/>
    <w:rsid w:val="005071D7"/>
    <w:rsid w:val="005151C0"/>
    <w:rsid w:val="00522D58"/>
    <w:rsid w:val="00527FF8"/>
    <w:rsid w:val="005338F3"/>
    <w:rsid w:val="00536673"/>
    <w:rsid w:val="005406BC"/>
    <w:rsid w:val="00540DA9"/>
    <w:rsid w:val="00544D4B"/>
    <w:rsid w:val="00546E09"/>
    <w:rsid w:val="00550921"/>
    <w:rsid w:val="005619DB"/>
    <w:rsid w:val="00563B85"/>
    <w:rsid w:val="00566C12"/>
    <w:rsid w:val="00592EC1"/>
    <w:rsid w:val="00594ACA"/>
    <w:rsid w:val="005962A2"/>
    <w:rsid w:val="00597C52"/>
    <w:rsid w:val="00597F6D"/>
    <w:rsid w:val="005A230C"/>
    <w:rsid w:val="005A535E"/>
    <w:rsid w:val="005B0B13"/>
    <w:rsid w:val="005B2C94"/>
    <w:rsid w:val="005C2B0A"/>
    <w:rsid w:val="005C6D54"/>
    <w:rsid w:val="005C7122"/>
    <w:rsid w:val="005D7007"/>
    <w:rsid w:val="005E0090"/>
    <w:rsid w:val="005E4CA9"/>
    <w:rsid w:val="005E624E"/>
    <w:rsid w:val="005F4C47"/>
    <w:rsid w:val="005F4F18"/>
    <w:rsid w:val="00601CDB"/>
    <w:rsid w:val="00601DE9"/>
    <w:rsid w:val="00610192"/>
    <w:rsid w:val="00624598"/>
    <w:rsid w:val="0062491C"/>
    <w:rsid w:val="00632F08"/>
    <w:rsid w:val="00633ACA"/>
    <w:rsid w:val="0063742C"/>
    <w:rsid w:val="00645264"/>
    <w:rsid w:val="00654A2F"/>
    <w:rsid w:val="006552E2"/>
    <w:rsid w:val="00662400"/>
    <w:rsid w:val="0066616F"/>
    <w:rsid w:val="0066703B"/>
    <w:rsid w:val="00667EB7"/>
    <w:rsid w:val="00673552"/>
    <w:rsid w:val="006803D8"/>
    <w:rsid w:val="00680548"/>
    <w:rsid w:val="00687855"/>
    <w:rsid w:val="00697238"/>
    <w:rsid w:val="00697464"/>
    <w:rsid w:val="006A539C"/>
    <w:rsid w:val="006B1B4C"/>
    <w:rsid w:val="006B5414"/>
    <w:rsid w:val="006C0E54"/>
    <w:rsid w:val="006D328B"/>
    <w:rsid w:val="006D799D"/>
    <w:rsid w:val="006E23EF"/>
    <w:rsid w:val="006E53CB"/>
    <w:rsid w:val="006E5C18"/>
    <w:rsid w:val="006E635D"/>
    <w:rsid w:val="006F14F8"/>
    <w:rsid w:val="006F3F42"/>
    <w:rsid w:val="006F4684"/>
    <w:rsid w:val="006F47BF"/>
    <w:rsid w:val="006F583A"/>
    <w:rsid w:val="006F5924"/>
    <w:rsid w:val="00721BB6"/>
    <w:rsid w:val="007223E6"/>
    <w:rsid w:val="00736A84"/>
    <w:rsid w:val="0074028E"/>
    <w:rsid w:val="007416B9"/>
    <w:rsid w:val="00744F4F"/>
    <w:rsid w:val="007557AA"/>
    <w:rsid w:val="00757B64"/>
    <w:rsid w:val="00760EFD"/>
    <w:rsid w:val="00762AB1"/>
    <w:rsid w:val="00765ACA"/>
    <w:rsid w:val="007669B4"/>
    <w:rsid w:val="0076770C"/>
    <w:rsid w:val="00767746"/>
    <w:rsid w:val="00770CD4"/>
    <w:rsid w:val="00771166"/>
    <w:rsid w:val="00772200"/>
    <w:rsid w:val="0077390E"/>
    <w:rsid w:val="0077655F"/>
    <w:rsid w:val="0079390B"/>
    <w:rsid w:val="00797546"/>
    <w:rsid w:val="007A6EB8"/>
    <w:rsid w:val="007A7820"/>
    <w:rsid w:val="007B1220"/>
    <w:rsid w:val="007B7C69"/>
    <w:rsid w:val="007C17FC"/>
    <w:rsid w:val="007E0E1F"/>
    <w:rsid w:val="007E5AFF"/>
    <w:rsid w:val="007E6196"/>
    <w:rsid w:val="007F27AE"/>
    <w:rsid w:val="0080098C"/>
    <w:rsid w:val="00803C7A"/>
    <w:rsid w:val="0081164B"/>
    <w:rsid w:val="0081181B"/>
    <w:rsid w:val="00815B15"/>
    <w:rsid w:val="00816C4A"/>
    <w:rsid w:val="00817608"/>
    <w:rsid w:val="008201EF"/>
    <w:rsid w:val="008253A0"/>
    <w:rsid w:val="00825F8C"/>
    <w:rsid w:val="00836AD1"/>
    <w:rsid w:val="00852681"/>
    <w:rsid w:val="00861225"/>
    <w:rsid w:val="008712DB"/>
    <w:rsid w:val="008720B8"/>
    <w:rsid w:val="0087379E"/>
    <w:rsid w:val="008746C3"/>
    <w:rsid w:val="00875B0B"/>
    <w:rsid w:val="008821D1"/>
    <w:rsid w:val="0089218E"/>
    <w:rsid w:val="008945AD"/>
    <w:rsid w:val="00896E69"/>
    <w:rsid w:val="008A2522"/>
    <w:rsid w:val="008A5564"/>
    <w:rsid w:val="008B051F"/>
    <w:rsid w:val="008B32AB"/>
    <w:rsid w:val="008C03DC"/>
    <w:rsid w:val="008C04AF"/>
    <w:rsid w:val="008C0707"/>
    <w:rsid w:val="008C6D68"/>
    <w:rsid w:val="008D02EA"/>
    <w:rsid w:val="008E1713"/>
    <w:rsid w:val="008E6E70"/>
    <w:rsid w:val="008E7FE7"/>
    <w:rsid w:val="008F6805"/>
    <w:rsid w:val="0090217D"/>
    <w:rsid w:val="00904130"/>
    <w:rsid w:val="009106D9"/>
    <w:rsid w:val="00915994"/>
    <w:rsid w:val="00917A3A"/>
    <w:rsid w:val="00917BE7"/>
    <w:rsid w:val="009217B8"/>
    <w:rsid w:val="00921922"/>
    <w:rsid w:val="009230E9"/>
    <w:rsid w:val="009245A4"/>
    <w:rsid w:val="00930CB0"/>
    <w:rsid w:val="00930EA9"/>
    <w:rsid w:val="00943359"/>
    <w:rsid w:val="00950173"/>
    <w:rsid w:val="009538F8"/>
    <w:rsid w:val="0095726E"/>
    <w:rsid w:val="0096296E"/>
    <w:rsid w:val="00966131"/>
    <w:rsid w:val="00966DB8"/>
    <w:rsid w:val="00970160"/>
    <w:rsid w:val="00973256"/>
    <w:rsid w:val="00973D04"/>
    <w:rsid w:val="009900EE"/>
    <w:rsid w:val="00993E49"/>
    <w:rsid w:val="009947B4"/>
    <w:rsid w:val="009A084E"/>
    <w:rsid w:val="009A2B20"/>
    <w:rsid w:val="009A776B"/>
    <w:rsid w:val="009B187E"/>
    <w:rsid w:val="009B3A5F"/>
    <w:rsid w:val="009C0C58"/>
    <w:rsid w:val="009C531F"/>
    <w:rsid w:val="009D12E1"/>
    <w:rsid w:val="009D1B08"/>
    <w:rsid w:val="009D53FC"/>
    <w:rsid w:val="009D5AA0"/>
    <w:rsid w:val="009D7F16"/>
    <w:rsid w:val="009E0D1B"/>
    <w:rsid w:val="009E2114"/>
    <w:rsid w:val="009E3988"/>
    <w:rsid w:val="009E4949"/>
    <w:rsid w:val="009E5D0F"/>
    <w:rsid w:val="009E694E"/>
    <w:rsid w:val="009F01C3"/>
    <w:rsid w:val="009F2F20"/>
    <w:rsid w:val="00A03BB4"/>
    <w:rsid w:val="00A10416"/>
    <w:rsid w:val="00A11B41"/>
    <w:rsid w:val="00A11EC7"/>
    <w:rsid w:val="00A129B3"/>
    <w:rsid w:val="00A17B58"/>
    <w:rsid w:val="00A26546"/>
    <w:rsid w:val="00A32EEB"/>
    <w:rsid w:val="00A33C37"/>
    <w:rsid w:val="00A36A75"/>
    <w:rsid w:val="00A377D1"/>
    <w:rsid w:val="00A426CE"/>
    <w:rsid w:val="00A50857"/>
    <w:rsid w:val="00A51CFA"/>
    <w:rsid w:val="00A534C6"/>
    <w:rsid w:val="00A6068F"/>
    <w:rsid w:val="00A674F5"/>
    <w:rsid w:val="00A74505"/>
    <w:rsid w:val="00A90A26"/>
    <w:rsid w:val="00A961A5"/>
    <w:rsid w:val="00AA02D4"/>
    <w:rsid w:val="00AA2619"/>
    <w:rsid w:val="00AA4837"/>
    <w:rsid w:val="00AA49B0"/>
    <w:rsid w:val="00AA74F4"/>
    <w:rsid w:val="00AB2734"/>
    <w:rsid w:val="00AC7436"/>
    <w:rsid w:val="00AD17AF"/>
    <w:rsid w:val="00AD4595"/>
    <w:rsid w:val="00AD45AA"/>
    <w:rsid w:val="00AD67F3"/>
    <w:rsid w:val="00AE305F"/>
    <w:rsid w:val="00AE4A07"/>
    <w:rsid w:val="00B148FC"/>
    <w:rsid w:val="00B170C1"/>
    <w:rsid w:val="00B24241"/>
    <w:rsid w:val="00B248EF"/>
    <w:rsid w:val="00B24AC7"/>
    <w:rsid w:val="00B25860"/>
    <w:rsid w:val="00B2596E"/>
    <w:rsid w:val="00B261D1"/>
    <w:rsid w:val="00B3184D"/>
    <w:rsid w:val="00B45DE0"/>
    <w:rsid w:val="00B613B0"/>
    <w:rsid w:val="00B6792F"/>
    <w:rsid w:val="00B74706"/>
    <w:rsid w:val="00B84CE0"/>
    <w:rsid w:val="00B875E4"/>
    <w:rsid w:val="00B91B7E"/>
    <w:rsid w:val="00B93F15"/>
    <w:rsid w:val="00BA0E15"/>
    <w:rsid w:val="00BA756E"/>
    <w:rsid w:val="00BB0AFC"/>
    <w:rsid w:val="00BC7DA8"/>
    <w:rsid w:val="00BE3216"/>
    <w:rsid w:val="00BE6458"/>
    <w:rsid w:val="00BF30F4"/>
    <w:rsid w:val="00BF451B"/>
    <w:rsid w:val="00BF595F"/>
    <w:rsid w:val="00BF7346"/>
    <w:rsid w:val="00C00DF3"/>
    <w:rsid w:val="00C02CB6"/>
    <w:rsid w:val="00C03D6B"/>
    <w:rsid w:val="00C04752"/>
    <w:rsid w:val="00C1026D"/>
    <w:rsid w:val="00C1063B"/>
    <w:rsid w:val="00C1189D"/>
    <w:rsid w:val="00C11B28"/>
    <w:rsid w:val="00C125F8"/>
    <w:rsid w:val="00C12868"/>
    <w:rsid w:val="00C12FFD"/>
    <w:rsid w:val="00C13F53"/>
    <w:rsid w:val="00C15A73"/>
    <w:rsid w:val="00C42365"/>
    <w:rsid w:val="00C44AA0"/>
    <w:rsid w:val="00C51803"/>
    <w:rsid w:val="00C55413"/>
    <w:rsid w:val="00C60859"/>
    <w:rsid w:val="00C64E71"/>
    <w:rsid w:val="00C7271D"/>
    <w:rsid w:val="00C83D1F"/>
    <w:rsid w:val="00C9351F"/>
    <w:rsid w:val="00C951CE"/>
    <w:rsid w:val="00CA597C"/>
    <w:rsid w:val="00CA7CB1"/>
    <w:rsid w:val="00CB288A"/>
    <w:rsid w:val="00CC5E2F"/>
    <w:rsid w:val="00CE2820"/>
    <w:rsid w:val="00CE3F9F"/>
    <w:rsid w:val="00D025EF"/>
    <w:rsid w:val="00D03F1B"/>
    <w:rsid w:val="00D04870"/>
    <w:rsid w:val="00D04C75"/>
    <w:rsid w:val="00D1629C"/>
    <w:rsid w:val="00D167EA"/>
    <w:rsid w:val="00D41B04"/>
    <w:rsid w:val="00D47CAD"/>
    <w:rsid w:val="00D5160D"/>
    <w:rsid w:val="00D51955"/>
    <w:rsid w:val="00D55955"/>
    <w:rsid w:val="00D55970"/>
    <w:rsid w:val="00D61BC8"/>
    <w:rsid w:val="00D81FF4"/>
    <w:rsid w:val="00D866EE"/>
    <w:rsid w:val="00D86702"/>
    <w:rsid w:val="00D92EC8"/>
    <w:rsid w:val="00D93A39"/>
    <w:rsid w:val="00DA6555"/>
    <w:rsid w:val="00DA72AE"/>
    <w:rsid w:val="00DB66B9"/>
    <w:rsid w:val="00DC4568"/>
    <w:rsid w:val="00DC57C0"/>
    <w:rsid w:val="00DC7116"/>
    <w:rsid w:val="00DD27AE"/>
    <w:rsid w:val="00DD5ACE"/>
    <w:rsid w:val="00DD72EB"/>
    <w:rsid w:val="00DE37A3"/>
    <w:rsid w:val="00DE6FCE"/>
    <w:rsid w:val="00DF2B79"/>
    <w:rsid w:val="00DF3D64"/>
    <w:rsid w:val="00DF555A"/>
    <w:rsid w:val="00DF6976"/>
    <w:rsid w:val="00E0502D"/>
    <w:rsid w:val="00E1320C"/>
    <w:rsid w:val="00E319C0"/>
    <w:rsid w:val="00E40C79"/>
    <w:rsid w:val="00E41603"/>
    <w:rsid w:val="00E50773"/>
    <w:rsid w:val="00E530AF"/>
    <w:rsid w:val="00E56263"/>
    <w:rsid w:val="00E56993"/>
    <w:rsid w:val="00E6014E"/>
    <w:rsid w:val="00E61904"/>
    <w:rsid w:val="00E622CA"/>
    <w:rsid w:val="00E64297"/>
    <w:rsid w:val="00E64F14"/>
    <w:rsid w:val="00E6740B"/>
    <w:rsid w:val="00E707B7"/>
    <w:rsid w:val="00E711B4"/>
    <w:rsid w:val="00E73C24"/>
    <w:rsid w:val="00E90A64"/>
    <w:rsid w:val="00E91169"/>
    <w:rsid w:val="00EA07E7"/>
    <w:rsid w:val="00EA21D6"/>
    <w:rsid w:val="00EC0736"/>
    <w:rsid w:val="00EC5C2F"/>
    <w:rsid w:val="00ED1366"/>
    <w:rsid w:val="00ED789C"/>
    <w:rsid w:val="00EE2550"/>
    <w:rsid w:val="00EE56CF"/>
    <w:rsid w:val="00EF2C31"/>
    <w:rsid w:val="00EF59DC"/>
    <w:rsid w:val="00EF5F90"/>
    <w:rsid w:val="00EF6193"/>
    <w:rsid w:val="00F02D61"/>
    <w:rsid w:val="00F076F1"/>
    <w:rsid w:val="00F14550"/>
    <w:rsid w:val="00F17673"/>
    <w:rsid w:val="00F21388"/>
    <w:rsid w:val="00F320FE"/>
    <w:rsid w:val="00F529D8"/>
    <w:rsid w:val="00F634B6"/>
    <w:rsid w:val="00F647BF"/>
    <w:rsid w:val="00F65BCC"/>
    <w:rsid w:val="00F716CA"/>
    <w:rsid w:val="00F7486B"/>
    <w:rsid w:val="00F93DD4"/>
    <w:rsid w:val="00F97EBE"/>
    <w:rsid w:val="00FA0110"/>
    <w:rsid w:val="00FA0122"/>
    <w:rsid w:val="00FA301D"/>
    <w:rsid w:val="00FB400B"/>
    <w:rsid w:val="00FB5DCB"/>
    <w:rsid w:val="00FB66D6"/>
    <w:rsid w:val="00FB6802"/>
    <w:rsid w:val="00FC00DC"/>
    <w:rsid w:val="00FC3D59"/>
    <w:rsid w:val="00FD05FD"/>
    <w:rsid w:val="00FD456A"/>
    <w:rsid w:val="00FD6A59"/>
    <w:rsid w:val="00FE394F"/>
    <w:rsid w:val="00FF4934"/>
    <w:rsid w:val="00FF4D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025EF"/>
  </w:style>
  <w:style w:type="paragraph" w:styleId="Nadpis1">
    <w:name w:val="heading 1"/>
    <w:basedOn w:val="Normln"/>
    <w:next w:val="Normln"/>
    <w:link w:val="Nadpis1Char"/>
    <w:uiPriority w:val="9"/>
    <w:qFormat/>
    <w:rsid w:val="00816C4A"/>
    <w:pPr>
      <w:keepNext/>
      <w:keepLines/>
      <w:spacing w:before="240" w:after="24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16C4A"/>
    <w:rPr>
      <w:rFonts w:asciiTheme="majorHAnsi" w:eastAsiaTheme="majorEastAsia" w:hAnsiTheme="majorHAnsi" w:cstheme="majorBidi"/>
      <w:color w:val="2E74B5" w:themeColor="accent1" w:themeShade="BF"/>
      <w:sz w:val="32"/>
      <w:szCs w:val="32"/>
    </w:rPr>
  </w:style>
  <w:style w:type="paragraph" w:styleId="Nzev">
    <w:name w:val="Title"/>
    <w:basedOn w:val="Normln"/>
    <w:next w:val="Normln"/>
    <w:link w:val="NzevChar"/>
    <w:uiPriority w:val="10"/>
    <w:qFormat/>
    <w:rsid w:val="004F13F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F13F3"/>
    <w:rPr>
      <w:rFonts w:asciiTheme="majorHAnsi" w:eastAsiaTheme="majorEastAsia" w:hAnsiTheme="majorHAnsi" w:cstheme="majorBidi"/>
      <w:spacing w:val="-10"/>
      <w:kern w:val="28"/>
      <w:sz w:val="56"/>
      <w:szCs w:val="56"/>
    </w:rPr>
  </w:style>
  <w:style w:type="paragraph" w:styleId="Odstavecseseznamem">
    <w:name w:val="List Paragraph"/>
    <w:basedOn w:val="Normln"/>
    <w:uiPriority w:val="43"/>
    <w:qFormat/>
    <w:rsid w:val="00662400"/>
    <w:pPr>
      <w:ind w:left="720"/>
      <w:contextualSpacing/>
    </w:pPr>
  </w:style>
  <w:style w:type="table" w:styleId="Mkatabulky">
    <w:name w:val="Table Grid"/>
    <w:basedOn w:val="Normlntabulka"/>
    <w:rsid w:val="00DF2B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tlmkatabulky1">
    <w:name w:val="Světlá mřížka tabulky1"/>
    <w:basedOn w:val="Normlntabulka"/>
    <w:uiPriority w:val="40"/>
    <w:rsid w:val="00DF2B7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Zhlav">
    <w:name w:val="header"/>
    <w:basedOn w:val="Normln"/>
    <w:link w:val="ZhlavChar"/>
    <w:uiPriority w:val="99"/>
    <w:unhideWhenUsed/>
    <w:rsid w:val="00002DD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02DD5"/>
  </w:style>
  <w:style w:type="paragraph" w:styleId="Zpat">
    <w:name w:val="footer"/>
    <w:basedOn w:val="Normln"/>
    <w:link w:val="ZpatChar"/>
    <w:uiPriority w:val="99"/>
    <w:unhideWhenUsed/>
    <w:rsid w:val="00002DD5"/>
    <w:pPr>
      <w:tabs>
        <w:tab w:val="center" w:pos="4536"/>
        <w:tab w:val="right" w:pos="9072"/>
      </w:tabs>
      <w:spacing w:after="0" w:line="240" w:lineRule="auto"/>
    </w:pPr>
  </w:style>
  <w:style w:type="character" w:customStyle="1" w:styleId="ZpatChar">
    <w:name w:val="Zápatí Char"/>
    <w:basedOn w:val="Standardnpsmoodstavce"/>
    <w:link w:val="Zpat"/>
    <w:uiPriority w:val="99"/>
    <w:rsid w:val="00002DD5"/>
  </w:style>
  <w:style w:type="paragraph" w:styleId="Textbubliny">
    <w:name w:val="Balloon Text"/>
    <w:basedOn w:val="Normln"/>
    <w:link w:val="TextbublinyChar"/>
    <w:uiPriority w:val="99"/>
    <w:semiHidden/>
    <w:unhideWhenUsed/>
    <w:rsid w:val="000702C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702C6"/>
    <w:rPr>
      <w:rFonts w:ascii="Tahoma" w:hAnsi="Tahoma" w:cs="Tahoma"/>
      <w:sz w:val="16"/>
      <w:szCs w:val="16"/>
    </w:rPr>
  </w:style>
  <w:style w:type="character" w:styleId="Odkaznakoment">
    <w:name w:val="annotation reference"/>
    <w:basedOn w:val="Standardnpsmoodstavce"/>
    <w:uiPriority w:val="99"/>
    <w:semiHidden/>
    <w:unhideWhenUsed/>
    <w:rsid w:val="00096B38"/>
    <w:rPr>
      <w:sz w:val="16"/>
      <w:szCs w:val="16"/>
    </w:rPr>
  </w:style>
  <w:style w:type="paragraph" w:styleId="Textkomente">
    <w:name w:val="annotation text"/>
    <w:basedOn w:val="Normln"/>
    <w:link w:val="TextkomenteChar"/>
    <w:uiPriority w:val="99"/>
    <w:semiHidden/>
    <w:unhideWhenUsed/>
    <w:rsid w:val="00096B38"/>
    <w:pPr>
      <w:spacing w:line="240" w:lineRule="auto"/>
    </w:pPr>
    <w:rPr>
      <w:sz w:val="20"/>
      <w:szCs w:val="20"/>
    </w:rPr>
  </w:style>
  <w:style w:type="character" w:customStyle="1" w:styleId="TextkomenteChar">
    <w:name w:val="Text komentáře Char"/>
    <w:basedOn w:val="Standardnpsmoodstavce"/>
    <w:link w:val="Textkomente"/>
    <w:uiPriority w:val="99"/>
    <w:semiHidden/>
    <w:rsid w:val="00096B38"/>
    <w:rPr>
      <w:sz w:val="20"/>
      <w:szCs w:val="20"/>
    </w:rPr>
  </w:style>
  <w:style w:type="paragraph" w:styleId="Pedmtkomente">
    <w:name w:val="annotation subject"/>
    <w:basedOn w:val="Textkomente"/>
    <w:next w:val="Textkomente"/>
    <w:link w:val="PedmtkomenteChar"/>
    <w:uiPriority w:val="99"/>
    <w:semiHidden/>
    <w:unhideWhenUsed/>
    <w:rsid w:val="00096B38"/>
    <w:rPr>
      <w:b/>
      <w:bCs/>
    </w:rPr>
  </w:style>
  <w:style w:type="character" w:customStyle="1" w:styleId="PedmtkomenteChar">
    <w:name w:val="Předmět komentáře Char"/>
    <w:basedOn w:val="TextkomenteChar"/>
    <w:link w:val="Pedmtkomente"/>
    <w:uiPriority w:val="99"/>
    <w:semiHidden/>
    <w:rsid w:val="00096B38"/>
    <w:rPr>
      <w:b/>
      <w:bCs/>
      <w:sz w:val="20"/>
      <w:szCs w:val="20"/>
    </w:rPr>
  </w:style>
  <w:style w:type="paragraph" w:styleId="Revize">
    <w:name w:val="Revision"/>
    <w:hidden/>
    <w:uiPriority w:val="99"/>
    <w:semiHidden/>
    <w:rsid w:val="008C0707"/>
    <w:pPr>
      <w:spacing w:after="0" w:line="240" w:lineRule="auto"/>
    </w:pPr>
  </w:style>
  <w:style w:type="paragraph" w:styleId="Normlnweb">
    <w:name w:val="Normal (Web)"/>
    <w:basedOn w:val="Normln"/>
    <w:uiPriority w:val="99"/>
    <w:unhideWhenUsed/>
    <w:rsid w:val="00D04C7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Zdraznn">
    <w:name w:val="Emphasis"/>
    <w:basedOn w:val="Standardnpsmoodstavce"/>
    <w:uiPriority w:val="20"/>
    <w:qFormat/>
    <w:rsid w:val="00D04C75"/>
    <w:rPr>
      <w:i/>
      <w:iCs/>
    </w:rPr>
  </w:style>
  <w:style w:type="paragraph" w:styleId="Textpoznpodarou">
    <w:name w:val="footnote text"/>
    <w:basedOn w:val="Normln"/>
    <w:link w:val="TextpoznpodarouChar"/>
    <w:uiPriority w:val="99"/>
    <w:semiHidden/>
    <w:unhideWhenUsed/>
    <w:rsid w:val="00B91B7E"/>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91B7E"/>
    <w:rPr>
      <w:sz w:val="20"/>
      <w:szCs w:val="20"/>
    </w:rPr>
  </w:style>
  <w:style w:type="character" w:styleId="Znakapoznpodarou">
    <w:name w:val="footnote reference"/>
    <w:basedOn w:val="Standardnpsmoodstavce"/>
    <w:uiPriority w:val="99"/>
    <w:semiHidden/>
    <w:unhideWhenUsed/>
    <w:rsid w:val="00B91B7E"/>
    <w:rPr>
      <w:vertAlign w:val="superscript"/>
    </w:rPr>
  </w:style>
  <w:style w:type="paragraph" w:customStyle="1" w:styleId="Default">
    <w:name w:val="Default"/>
    <w:rsid w:val="0034690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69AB6-5CD4-4714-BE63-D5FB63C78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5924</Words>
  <Characters>34958</Characters>
  <Application>Microsoft Office Word</Application>
  <DocSecurity>0</DocSecurity>
  <Lines>291</Lines>
  <Paragraphs>81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2021-01-06T13:12:00Z</dcterms:created>
  <dcterms:modified xsi:type="dcterms:W3CDTF">2021-01-06T13:12:00Z</dcterms:modified>
</cp:coreProperties>
</file>