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876" w:rsidRPr="00AD744D" w:rsidRDefault="00681876" w:rsidP="00681876">
      <w:pPr>
        <w:tabs>
          <w:tab w:val="left" w:pos="0"/>
        </w:tabs>
        <w:spacing w:after="0" w:line="240" w:lineRule="auto"/>
        <w:jc w:val="center"/>
        <w:rPr>
          <w:b/>
          <w:snapToGrid w:val="0"/>
          <w:color w:val="000000"/>
          <w:u w:val="single"/>
        </w:rPr>
      </w:pPr>
      <w:r w:rsidRPr="00AD744D">
        <w:rPr>
          <w:b/>
          <w:snapToGrid w:val="0"/>
          <w:color w:val="000000"/>
          <w:u w:val="single"/>
        </w:rPr>
        <w:t>Platné znění příslušn</w:t>
      </w:r>
      <w:r>
        <w:rPr>
          <w:b/>
          <w:snapToGrid w:val="0"/>
          <w:color w:val="000000"/>
          <w:u w:val="single"/>
        </w:rPr>
        <w:t>é části</w:t>
      </w:r>
      <w:r w:rsidRPr="00AD744D">
        <w:rPr>
          <w:b/>
          <w:snapToGrid w:val="0"/>
          <w:color w:val="000000"/>
          <w:u w:val="single"/>
        </w:rPr>
        <w:t xml:space="preserve"> zákona č. </w:t>
      </w:r>
      <w:r w:rsidRPr="00E56BCB">
        <w:rPr>
          <w:b/>
          <w:snapToGrid w:val="0"/>
          <w:color w:val="000000"/>
          <w:u w:val="single"/>
        </w:rPr>
        <w:t>329/2011 Sb.</w:t>
      </w:r>
      <w:r>
        <w:rPr>
          <w:b/>
          <w:snapToGrid w:val="0"/>
          <w:color w:val="000000"/>
          <w:u w:val="single"/>
        </w:rPr>
        <w:t xml:space="preserve">, </w:t>
      </w:r>
      <w:r w:rsidRPr="00E56BCB">
        <w:rPr>
          <w:b/>
          <w:snapToGrid w:val="0"/>
          <w:color w:val="000000"/>
          <w:u w:val="single"/>
        </w:rPr>
        <w:t>o poskytování dávek osobám se</w:t>
      </w:r>
      <w:r>
        <w:rPr>
          <w:b/>
          <w:snapToGrid w:val="0"/>
          <w:color w:val="000000"/>
          <w:u w:val="single"/>
        </w:rPr>
        <w:t> </w:t>
      </w:r>
      <w:r w:rsidRPr="00E56BCB">
        <w:rPr>
          <w:b/>
          <w:snapToGrid w:val="0"/>
          <w:color w:val="000000"/>
          <w:u w:val="single"/>
        </w:rPr>
        <w:t>zdravotním postižením a o změně souvisejících zákonů</w:t>
      </w:r>
      <w:r w:rsidRPr="000E0247">
        <w:rPr>
          <w:b/>
          <w:snapToGrid w:val="0"/>
          <w:color w:val="000000"/>
          <w:u w:val="single"/>
        </w:rPr>
        <w:t>,</w:t>
      </w:r>
      <w:r>
        <w:rPr>
          <w:b/>
          <w:snapToGrid w:val="0"/>
          <w:color w:val="000000"/>
          <w:u w:val="single"/>
        </w:rPr>
        <w:t xml:space="preserve"> </w:t>
      </w:r>
      <w:r w:rsidRPr="000E0247">
        <w:rPr>
          <w:b/>
          <w:snapToGrid w:val="0"/>
          <w:color w:val="000000"/>
          <w:u w:val="single"/>
        </w:rPr>
        <w:t>ve znění pozdějších předpisů</w:t>
      </w:r>
      <w:r w:rsidRPr="00AD744D">
        <w:rPr>
          <w:b/>
          <w:snapToGrid w:val="0"/>
          <w:color w:val="000000"/>
          <w:u w:val="single"/>
        </w:rPr>
        <w:t>, s vyznačením navrhovaných změn</w:t>
      </w:r>
    </w:p>
    <w:p w:rsidR="00681876" w:rsidRPr="00AD744D" w:rsidRDefault="00681876" w:rsidP="00681876">
      <w:pPr>
        <w:spacing w:after="0" w:line="240" w:lineRule="auto"/>
      </w:pPr>
    </w:p>
    <w:p w:rsidR="00681876" w:rsidRDefault="00681876" w:rsidP="00681876">
      <w:pPr>
        <w:spacing w:line="240" w:lineRule="auto"/>
        <w:jc w:val="center"/>
      </w:pPr>
      <w:r>
        <w:t>ČÁST PRVNÍ</w:t>
      </w:r>
    </w:p>
    <w:p w:rsidR="00681876" w:rsidRPr="00AD744D" w:rsidRDefault="00681876" w:rsidP="00681876">
      <w:pPr>
        <w:spacing w:line="240" w:lineRule="auto"/>
        <w:jc w:val="center"/>
      </w:pPr>
      <w:r>
        <w:t>DÁVKY PRO OSOBY SE ZDRAVOTNÍM POSTIŽENÍM</w:t>
      </w:r>
    </w:p>
    <w:p w:rsidR="00681876" w:rsidRDefault="00681876" w:rsidP="00681876">
      <w:pPr>
        <w:spacing w:line="240" w:lineRule="auto"/>
        <w:jc w:val="center"/>
      </w:pPr>
      <w:r>
        <w:t>HLAVA V</w:t>
      </w:r>
    </w:p>
    <w:p w:rsidR="00681876" w:rsidRDefault="00681876" w:rsidP="00681876">
      <w:pPr>
        <w:spacing w:line="240" w:lineRule="auto"/>
        <w:jc w:val="center"/>
      </w:pPr>
      <w:r>
        <w:t>PRŮKAZ OSOBY SE ZDRAVOTNÍM POSTIŽENÍM</w:t>
      </w:r>
      <w:r w:rsidRPr="00BB2AA5">
        <w:t>Í</w:t>
      </w:r>
    </w:p>
    <w:p w:rsidR="00681876" w:rsidRPr="00AD744D" w:rsidRDefault="00681876" w:rsidP="00681876">
      <w:pPr>
        <w:spacing w:line="240" w:lineRule="auto"/>
        <w:jc w:val="center"/>
      </w:pPr>
      <w:r w:rsidRPr="00AD744D">
        <w:t>***</w:t>
      </w:r>
    </w:p>
    <w:p w:rsidR="00681876" w:rsidRDefault="00681876" w:rsidP="00681876">
      <w:pPr>
        <w:spacing w:after="0" w:line="240" w:lineRule="auto"/>
        <w:jc w:val="center"/>
      </w:pPr>
      <w:r>
        <w:t>§ 35</w:t>
      </w:r>
    </w:p>
    <w:p w:rsidR="00681876" w:rsidRDefault="00681876" w:rsidP="00681876">
      <w:pPr>
        <w:spacing w:after="0" w:line="240" w:lineRule="auto"/>
      </w:pPr>
    </w:p>
    <w:p w:rsidR="00681876" w:rsidRDefault="00681876" w:rsidP="00681876">
      <w:pPr>
        <w:spacing w:after="0" w:line="240" w:lineRule="auto"/>
      </w:pPr>
      <w:r>
        <w:tab/>
        <w:t>(1) Řízení o přiznání průkazu osoby se zdravotním postižením se zahajuje na základě písemné žádosti podané na tiskopisu předepsaném ministerstvem. Řízení o změně nároku na průkaz osoby se zdravotním postižením se zahajuje též z moci úřední; podnět k řízení z moci úřední může podat také okresní správa sociálního zabezpečení, pokud na základě výsledku posouzení zdravotního stavu zjistí posudkově významné skutečnosti, které jsou rozhodné pro nárok na průkaz osoby se zdravotním postižením.</w:t>
      </w:r>
    </w:p>
    <w:p w:rsidR="00681876" w:rsidRDefault="00681876" w:rsidP="00681876">
      <w:pPr>
        <w:spacing w:after="0" w:line="240" w:lineRule="auto"/>
      </w:pPr>
      <w:r>
        <w:t xml:space="preserve"> </w:t>
      </w:r>
    </w:p>
    <w:p w:rsidR="00681876" w:rsidRDefault="00681876" w:rsidP="00681876">
      <w:pPr>
        <w:spacing w:after="0" w:line="240" w:lineRule="auto"/>
      </w:pPr>
      <w:r>
        <w:tab/>
        <w:t>(2) Žádost podle odstavce 1, kromě náležitostí podání podle správního řádu, dále obsahuje označení praktického lékaře, který registruje žadatele o průkaz osoby se zdravotním postižením.</w:t>
      </w:r>
    </w:p>
    <w:p w:rsidR="00681876" w:rsidRDefault="00681876" w:rsidP="00681876">
      <w:pPr>
        <w:spacing w:after="0" w:line="240" w:lineRule="auto"/>
      </w:pPr>
      <w:r>
        <w:t xml:space="preserve"> </w:t>
      </w:r>
    </w:p>
    <w:p w:rsidR="00681876" w:rsidRDefault="00681876" w:rsidP="00681876">
      <w:pPr>
        <w:spacing w:after="0" w:line="240" w:lineRule="auto"/>
      </w:pPr>
      <w:r>
        <w:tab/>
        <w:t xml:space="preserve">(3) Pro účely řízení o přiznání </w:t>
      </w:r>
      <w:r w:rsidRPr="00A6003F">
        <w:rPr>
          <w:b/>
          <w:color w:val="auto"/>
        </w:rPr>
        <w:t>nároku na</w:t>
      </w:r>
      <w:r w:rsidRPr="00A6003F">
        <w:rPr>
          <w:color w:val="auto"/>
        </w:rPr>
        <w:t xml:space="preserve"> </w:t>
      </w:r>
      <w:r w:rsidRPr="00997569">
        <w:rPr>
          <w:b/>
        </w:rPr>
        <w:t>průkaz</w:t>
      </w:r>
      <w:r w:rsidRPr="00997569">
        <w:rPr>
          <w:strike/>
        </w:rPr>
        <w:t>u</w:t>
      </w:r>
      <w:r>
        <w:t xml:space="preserve"> osoby se zdravotním postižením požádá krajská pobočka Úřadu práce příslušnou okresní správu sociálního zabezpečení o posouzení schopnosti pohyblivosti a orientace podle § 34b odst. 1 žadatele o tento průkaz; při rozhodování o přiznání průkazu osoby se zdravotním postižením vychází krajská pobočka Úřadu práce z tohoto posudku. Okresní správa sociálního zabezpečení zašle příslušné krajské pobočce Úřadu práce stejnopis posudku; výsledek posouzení je součástí rozhodnutí o přiznání nebo zamítnutí průkazu osoby se zdravotním postižením, které obdrží žadatel. </w:t>
      </w:r>
      <w:r w:rsidRPr="00032132">
        <w:rPr>
          <w:b/>
          <w:color w:val="auto"/>
        </w:rPr>
        <w:t>Pro účely vydání průkazu osoby se zdravotním postižením podle </w:t>
      </w:r>
      <w:hyperlink r:id="rId6" w:anchor="f5090164" w:history="1">
        <w:r w:rsidRPr="00032132">
          <w:rPr>
            <w:rStyle w:val="Hypertextovodkaz"/>
            <w:b/>
            <w:color w:val="auto"/>
          </w:rPr>
          <w:t>odstavce 6</w:t>
        </w:r>
      </w:hyperlink>
      <w:r w:rsidRPr="00032132">
        <w:rPr>
          <w:b/>
          <w:color w:val="auto"/>
        </w:rPr>
        <w:t>, u žadatelů, kterým na</w:t>
      </w:r>
      <w:r>
        <w:rPr>
          <w:b/>
          <w:color w:val="auto"/>
        </w:rPr>
        <w:t> </w:t>
      </w:r>
      <w:r w:rsidRPr="00032132">
        <w:rPr>
          <w:b/>
          <w:color w:val="auto"/>
        </w:rPr>
        <w:t>něj vznikl trvalý nárok podle odstavce 5, pouze z důvodu skončení doby jeho platnosti jako veřejné listiny podle odstavce 7</w:t>
      </w:r>
      <w:r>
        <w:rPr>
          <w:b/>
          <w:color w:val="auto"/>
        </w:rPr>
        <w:t>,</w:t>
      </w:r>
      <w:r w:rsidRPr="00032132">
        <w:rPr>
          <w:b/>
          <w:color w:val="auto"/>
        </w:rPr>
        <w:t xml:space="preserve"> se posouzení okresní správy sociálního zabezpečení dle věty první nevyžaduje.</w:t>
      </w:r>
    </w:p>
    <w:p w:rsidR="00681876" w:rsidRDefault="00681876" w:rsidP="00681876">
      <w:pPr>
        <w:spacing w:after="0" w:line="240" w:lineRule="auto"/>
      </w:pPr>
      <w:r>
        <w:t xml:space="preserve"> </w:t>
      </w:r>
    </w:p>
    <w:p w:rsidR="00681876" w:rsidRDefault="00681876" w:rsidP="00681876">
      <w:pPr>
        <w:spacing w:after="0" w:line="240" w:lineRule="auto"/>
      </w:pPr>
      <w:r>
        <w:tab/>
        <w:t>(4) Pro řízení o přiznání průkazu osoby se zdravotním postižením dále platí obdobně ustanovení § 22 odst. 3 a § 24, 25 a § 26 odst. 1 písm. b) a c) a odst. 2.</w:t>
      </w:r>
    </w:p>
    <w:p w:rsidR="00681876" w:rsidRDefault="00681876" w:rsidP="00681876">
      <w:pPr>
        <w:spacing w:after="0" w:line="240" w:lineRule="auto"/>
      </w:pPr>
      <w:r>
        <w:t xml:space="preserve"> </w:t>
      </w:r>
    </w:p>
    <w:p w:rsidR="00681876" w:rsidRPr="00616DCD" w:rsidRDefault="00681876" w:rsidP="00681876">
      <w:pPr>
        <w:spacing w:after="0" w:line="240" w:lineRule="auto"/>
        <w:rPr>
          <w:b/>
          <w:color w:val="auto"/>
        </w:rPr>
      </w:pPr>
      <w:r>
        <w:tab/>
        <w:t xml:space="preserve">(5) Nárok na průkaz osoby se zdravotním postižením vzniká nejdříve od počátku kalendářního měsíce, ve kterém bylo zahájeno řízení o jeho přiznání. Nárok na průkaz osoby se zdravotním postižením trvá po dobu platnosti výsledku posouzení schopnosti pohyblivosti a orientace žadatele o průkaz; platnost tohoto výsledku posouzení může být časově omezena nebo je bez časového omezení. Doba trvání nároku na průkaz osoby se zdravotním postižením je součástí výroku rozhodnutí o přiznání průkazu osoby se zdravotním postižením. </w:t>
      </w:r>
      <w:r w:rsidRPr="00CC4984">
        <w:rPr>
          <w:b/>
        </w:rPr>
        <w:t>Bez</w:t>
      </w:r>
      <w:r>
        <w:rPr>
          <w:b/>
        </w:rPr>
        <w:t> </w:t>
      </w:r>
      <w:r w:rsidRPr="00CC4984">
        <w:rPr>
          <w:b/>
        </w:rPr>
        <w:t>časového omezení se vydávají rozhodnutí v případech uvedených v příloze č. 4 prováděcího předpisu</w:t>
      </w:r>
      <w:r w:rsidRPr="00CC4984">
        <w:rPr>
          <w:b/>
          <w:vertAlign w:val="superscript"/>
        </w:rPr>
        <w:t>x)</w:t>
      </w:r>
      <w:r w:rsidRPr="00CC4984">
        <w:rPr>
          <w:b/>
        </w:rPr>
        <w:t>, a to v bodě 1 písm. b), v bodě 2 písm. a), b), c), d), e), j), k) a l) a</w:t>
      </w:r>
      <w:r>
        <w:rPr>
          <w:b/>
        </w:rPr>
        <w:t> </w:t>
      </w:r>
      <w:r w:rsidRPr="00CC4984">
        <w:rPr>
          <w:b/>
        </w:rPr>
        <w:t>v bodě 3 písm. a), b), c), d),</w:t>
      </w:r>
      <w:r>
        <w:rPr>
          <w:b/>
        </w:rPr>
        <w:t xml:space="preserve"> e),</w:t>
      </w:r>
      <w:r w:rsidRPr="00CC4984">
        <w:rPr>
          <w:b/>
        </w:rPr>
        <w:t xml:space="preserve"> j), k), l), m) a n). </w:t>
      </w:r>
      <w:r>
        <w:rPr>
          <w:b/>
        </w:rPr>
        <w:t>To</w:t>
      </w:r>
      <w:r w:rsidRPr="009E2101">
        <w:rPr>
          <w:b/>
        </w:rPr>
        <w:t xml:space="preserve"> nevylučuje</w:t>
      </w:r>
      <w:r>
        <w:rPr>
          <w:b/>
        </w:rPr>
        <w:t xml:space="preserve"> vydání</w:t>
      </w:r>
      <w:r w:rsidRPr="009E2101">
        <w:rPr>
          <w:b/>
        </w:rPr>
        <w:t xml:space="preserve"> rozhodnutí bez</w:t>
      </w:r>
      <w:r>
        <w:rPr>
          <w:b/>
        </w:rPr>
        <w:t> časového omezení také</w:t>
      </w:r>
      <w:r w:rsidRPr="009E2101">
        <w:rPr>
          <w:b/>
        </w:rPr>
        <w:t xml:space="preserve"> u jiných zdravotních stavů uvedených v</w:t>
      </w:r>
      <w:r>
        <w:rPr>
          <w:b/>
        </w:rPr>
        <w:t> </w:t>
      </w:r>
      <w:r w:rsidRPr="009E2101">
        <w:rPr>
          <w:b/>
        </w:rPr>
        <w:t>příloze č. 4 prováděcího předpisu</w:t>
      </w:r>
      <w:r w:rsidRPr="00671DC0">
        <w:rPr>
          <w:b/>
          <w:vertAlign w:val="superscript"/>
        </w:rPr>
        <w:t>x)</w:t>
      </w:r>
      <w:r>
        <w:rPr>
          <w:b/>
        </w:rPr>
        <w:t xml:space="preserve">. </w:t>
      </w:r>
      <w:r w:rsidRPr="00CC4984">
        <w:rPr>
          <w:b/>
        </w:rPr>
        <w:t xml:space="preserve">V </w:t>
      </w:r>
      <w:r w:rsidRPr="00CC4984">
        <w:rPr>
          <w:b/>
        </w:rPr>
        <w:lastRenderedPageBreak/>
        <w:t xml:space="preserve">případech </w:t>
      </w:r>
      <w:r>
        <w:rPr>
          <w:b/>
        </w:rPr>
        <w:t>rozhodnutí bez časového omezení</w:t>
      </w:r>
      <w:r w:rsidRPr="00CC4984">
        <w:rPr>
          <w:b/>
        </w:rPr>
        <w:t>, vyzve krajská poboč</w:t>
      </w:r>
      <w:r>
        <w:rPr>
          <w:b/>
        </w:rPr>
        <w:t>ka úřadu práce dva měsíce před s</w:t>
      </w:r>
      <w:r w:rsidRPr="00CC4984">
        <w:rPr>
          <w:b/>
        </w:rPr>
        <w:t>končením platnosti průkazu držitele průkazu k poskytnutí aktuální fotografie v předepsaném formátu a ke dni skončení platnosti dosavadn</w:t>
      </w:r>
      <w:r>
        <w:rPr>
          <w:b/>
        </w:rPr>
        <w:t>ího průkazu mu vydá průkaz nový</w:t>
      </w:r>
      <w:r w:rsidRPr="009E2101">
        <w:rPr>
          <w:b/>
        </w:rPr>
        <w:t>.</w:t>
      </w:r>
    </w:p>
    <w:p w:rsidR="00681876" w:rsidRDefault="00681876" w:rsidP="00681876">
      <w:pPr>
        <w:spacing w:after="0" w:line="240" w:lineRule="auto"/>
      </w:pPr>
      <w:r>
        <w:t xml:space="preserve"> </w:t>
      </w:r>
    </w:p>
    <w:p w:rsidR="00681876" w:rsidRDefault="00681876" w:rsidP="00681876">
      <w:pPr>
        <w:spacing w:after="0" w:line="240" w:lineRule="auto"/>
      </w:pPr>
      <w:r>
        <w:tab/>
        <w:t>(6) Krajská pobočka Úřadu práce vydá osobě průkaz osoby se zdravotním postižením po předložení fotografie a zaplacení správního poplatku podle zákona o správních poplatcích28). Za vydání průkazu osoby se zdravotním postižením náhradou za průkaz poškozený, zničený nebo odcizený se správní poplatek podle zákona o správních poplatcích nevybere, jestliže k poškození, zničení nebo odcizení průkazu došlo v souvislosti s násilným činem, je-li tato skutečnost doložena záznamem Policie České republiky.</w:t>
      </w:r>
    </w:p>
    <w:p w:rsidR="00681876" w:rsidRDefault="00681876" w:rsidP="00681876">
      <w:pPr>
        <w:spacing w:after="0" w:line="240" w:lineRule="auto"/>
      </w:pPr>
      <w:r>
        <w:t xml:space="preserve"> </w:t>
      </w:r>
    </w:p>
    <w:p w:rsidR="00681876" w:rsidRDefault="00681876" w:rsidP="00681876">
      <w:pPr>
        <w:spacing w:after="0" w:line="240" w:lineRule="auto"/>
      </w:pPr>
      <w:r>
        <w:tab/>
        <w:t>(7) Současně s vydáním průkazu osoby se zdravotním postižením podle odstavce 6 krajská pobočka Úřadu práce určí dobu platnosti tohoto průkazu jako veřejné listiny. Doba platnosti průkazu osoby se zdravotním postižením jako veřejné listiny je nejvýše 5 let u osob do 18 let věku a nejvýše 10 let u osob starších 18 let věku; tato doba nemůže být delší, než je doba, po kterou trvá nárok na průkaz osoby se zdravotním postižením podle odstavce 5. Stanovením doby platnosti průkazu osoby se zdravotním postižením jako veřejné listiny není dotčeno trvání nároku na tento průkaz podle odstavce 5. Doba platnosti průkazu se zaznamená do spisu.</w:t>
      </w:r>
    </w:p>
    <w:p w:rsidR="00681876" w:rsidRDefault="00681876" w:rsidP="00681876">
      <w:pPr>
        <w:spacing w:after="0" w:line="240" w:lineRule="auto"/>
      </w:pPr>
      <w:r>
        <w:t xml:space="preserve"> </w:t>
      </w:r>
    </w:p>
    <w:p w:rsidR="00681876" w:rsidRPr="000A7AA2" w:rsidRDefault="00681876" w:rsidP="00681876">
      <w:pPr>
        <w:spacing w:after="0" w:line="240" w:lineRule="auto"/>
        <w:rPr>
          <w:b/>
          <w:u w:val="single"/>
        </w:rPr>
      </w:pPr>
      <w:r>
        <w:tab/>
        <w:t>(8) Povinnost mlčenlivosti a oprávnění zaměstnanců státu podle § 31 a povinnosti státních orgánů, obcí, krajů a jiných osob podle § 32 platí obdobně i pro údaje týkající se žadatelů o průkaz osoby se zdravotním postižením.</w:t>
      </w:r>
    </w:p>
    <w:p w:rsidR="00681876" w:rsidRDefault="00681876" w:rsidP="00681876">
      <w:pPr>
        <w:spacing w:after="0" w:line="240" w:lineRule="auto"/>
      </w:pPr>
    </w:p>
    <w:p w:rsidR="00681876" w:rsidRPr="006D1D80" w:rsidRDefault="00681876" w:rsidP="00681876">
      <w:pPr>
        <w:spacing w:after="0" w:line="240" w:lineRule="auto"/>
        <w:rPr>
          <w:b/>
          <w:sz w:val="20"/>
          <w:szCs w:val="20"/>
        </w:rPr>
      </w:pPr>
      <w:r w:rsidRPr="006D1D80">
        <w:rPr>
          <w:b/>
          <w:sz w:val="20"/>
          <w:szCs w:val="20"/>
        </w:rPr>
        <w:t>_____________________</w:t>
      </w:r>
    </w:p>
    <w:p w:rsidR="00681876" w:rsidRDefault="00681876" w:rsidP="00681876">
      <w:pPr>
        <w:spacing w:after="0" w:line="240" w:lineRule="auto"/>
      </w:pPr>
      <w:r w:rsidRPr="006D1D80">
        <w:rPr>
          <w:b/>
          <w:sz w:val="20"/>
          <w:szCs w:val="20"/>
          <w:vertAlign w:val="superscript"/>
        </w:rPr>
        <w:t>x)</w:t>
      </w:r>
      <w:r w:rsidRPr="006D1D80">
        <w:rPr>
          <w:b/>
          <w:sz w:val="20"/>
          <w:szCs w:val="20"/>
        </w:rPr>
        <w:t xml:space="preserve"> Vyhláška č. 388/2011 Sb., o provedení některých ustanovení zákona o poskytování dávek osobám se zdravotním postižením, ve znění pozdějších předpisů.</w:t>
      </w:r>
    </w:p>
    <w:p w:rsidR="00681876" w:rsidRDefault="00681876" w:rsidP="00681876">
      <w:pPr>
        <w:spacing w:after="0" w:line="240" w:lineRule="auto"/>
      </w:pPr>
    </w:p>
    <w:p w:rsidR="00681876" w:rsidRDefault="00681876" w:rsidP="00681876">
      <w:pPr>
        <w:spacing w:after="0" w:line="240" w:lineRule="auto"/>
      </w:pPr>
    </w:p>
    <w:p w:rsidR="002C0794" w:rsidRDefault="002C0794"/>
    <w:sectPr w:rsidR="002C079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AD5" w:rsidRDefault="00F35AD5" w:rsidP="00681876">
      <w:pPr>
        <w:spacing w:after="0" w:line="240" w:lineRule="auto"/>
      </w:pPr>
      <w:r>
        <w:separator/>
      </w:r>
    </w:p>
  </w:endnote>
  <w:endnote w:type="continuationSeparator" w:id="0">
    <w:p w:rsidR="00F35AD5" w:rsidRDefault="00F35AD5" w:rsidP="0068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76" w:rsidRDefault="006818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76" w:rsidRDefault="0068187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76" w:rsidRDefault="006818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AD5" w:rsidRDefault="00F35AD5" w:rsidP="00681876">
      <w:pPr>
        <w:spacing w:after="0" w:line="240" w:lineRule="auto"/>
      </w:pPr>
      <w:r>
        <w:separator/>
      </w:r>
    </w:p>
  </w:footnote>
  <w:footnote w:type="continuationSeparator" w:id="0">
    <w:p w:rsidR="00F35AD5" w:rsidRDefault="00F35AD5" w:rsidP="00681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76" w:rsidRDefault="006818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4198983"/>
      <w:docPartObj>
        <w:docPartGallery w:val="Page Numbers (Top of Page)"/>
        <w:docPartUnique/>
      </w:docPartObj>
    </w:sdtPr>
    <w:sdtContent>
      <w:bookmarkStart w:id="0" w:name="_GoBack" w:displacedByCustomXml="prev"/>
      <w:bookmarkEnd w:id="0" w:displacedByCustomXml="prev"/>
      <w:p w:rsidR="00681876" w:rsidRDefault="00681876">
        <w:pPr>
          <w:pStyle w:val="Zhlav"/>
          <w:jc w:val="center"/>
        </w:pPr>
        <w:r>
          <w:t>[</w:t>
        </w:r>
        <w:r>
          <w:fldChar w:fldCharType="begin"/>
        </w:r>
        <w:r>
          <w:instrText>PAGE   \* MERGEFORMAT</w:instrText>
        </w:r>
        <w:r>
          <w:fldChar w:fldCharType="separate"/>
        </w:r>
        <w:r>
          <w:rPr>
            <w:noProof/>
          </w:rPr>
          <w:t>2</w:t>
        </w:r>
        <w:r>
          <w:fldChar w:fldCharType="end"/>
        </w:r>
        <w:r>
          <w:t>]</w:t>
        </w:r>
      </w:p>
    </w:sdtContent>
  </w:sdt>
  <w:p w:rsidR="00681876" w:rsidRDefault="0068187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876" w:rsidRDefault="00681876">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876"/>
    <w:rsid w:val="002C0794"/>
    <w:rsid w:val="00681876"/>
    <w:rsid w:val="00F35A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1810890-B2C0-4CCD-96E2-96D3EF6C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1876"/>
    <w:pPr>
      <w:suppressAutoHyphens/>
      <w:spacing w:after="200" w:line="276" w:lineRule="auto"/>
      <w:jc w:val="both"/>
    </w:pPr>
    <w:rPr>
      <w:rFonts w:ascii="Times New Roman" w:eastAsia="Times New Roman" w:hAnsi="Times New Roman" w:cs="Times New Roman"/>
      <w:color w:val="00000A"/>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681876"/>
    <w:rPr>
      <w:color w:val="0000FF"/>
      <w:u w:val="single"/>
    </w:rPr>
  </w:style>
  <w:style w:type="paragraph" w:styleId="Zhlav">
    <w:name w:val="header"/>
    <w:basedOn w:val="Normln"/>
    <w:link w:val="ZhlavChar"/>
    <w:uiPriority w:val="99"/>
    <w:unhideWhenUsed/>
    <w:rsid w:val="0068187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81876"/>
    <w:rPr>
      <w:rFonts w:ascii="Times New Roman" w:eastAsia="Times New Roman" w:hAnsi="Times New Roman" w:cs="Times New Roman"/>
      <w:color w:val="00000A"/>
      <w:sz w:val="24"/>
      <w:szCs w:val="24"/>
      <w:lang w:eastAsia="cs-CZ"/>
    </w:rPr>
  </w:style>
  <w:style w:type="paragraph" w:styleId="Zpat">
    <w:name w:val="footer"/>
    <w:basedOn w:val="Normln"/>
    <w:link w:val="ZpatChar"/>
    <w:uiPriority w:val="99"/>
    <w:unhideWhenUsed/>
    <w:rsid w:val="00681876"/>
    <w:pPr>
      <w:tabs>
        <w:tab w:val="center" w:pos="4536"/>
        <w:tab w:val="right" w:pos="9072"/>
      </w:tabs>
      <w:spacing w:after="0" w:line="240" w:lineRule="auto"/>
    </w:pPr>
  </w:style>
  <w:style w:type="character" w:customStyle="1" w:styleId="ZpatChar">
    <w:name w:val="Zápatí Char"/>
    <w:basedOn w:val="Standardnpsmoodstavce"/>
    <w:link w:val="Zpat"/>
    <w:uiPriority w:val="99"/>
    <w:rsid w:val="00681876"/>
    <w:rPr>
      <w:rFonts w:ascii="Times New Roman" w:eastAsia="Times New Roman" w:hAnsi="Times New Roman" w:cs="Times New Roman"/>
      <w:color w:val="00000A"/>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akonyprolidi.cz/cs/2011-329"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700</Words>
  <Characters>4136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Kaňkovský Vít</dc:creator>
  <cp:keywords/>
  <dc:description/>
  <cp:lastModifiedBy>Kaňkovský Vít</cp:lastModifiedBy>
  <cp:revision>1</cp:revision>
  <dcterms:created xsi:type="dcterms:W3CDTF">2020-06-10T16:19:00Z</dcterms:created>
  <dcterms:modified xsi:type="dcterms:W3CDTF">2020-06-10T16:20:00Z</dcterms:modified>
</cp:coreProperties>
</file>