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2C0" w:rsidRDefault="000962C0" w:rsidP="000962C0">
      <w:pPr>
        <w:pageBreakBefore/>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N á v r h</w:t>
      </w:r>
    </w:p>
    <w:p w:rsidR="000962C0" w:rsidRDefault="000962C0" w:rsidP="000962C0">
      <w:pPr>
        <w:autoSpaceDE w:val="0"/>
        <w:autoSpaceDN w:val="0"/>
        <w:adjustRightInd w:val="0"/>
        <w:jc w:val="center"/>
        <w:rPr>
          <w:rFonts w:ascii="Times New Roman" w:hAnsi="Times New Roman" w:cs="Times New Roman"/>
          <w:b/>
          <w:bCs/>
          <w:sz w:val="24"/>
          <w:szCs w:val="24"/>
        </w:rPr>
      </w:pPr>
    </w:p>
    <w:p w:rsidR="000962C0" w:rsidRDefault="000962C0" w:rsidP="000962C0">
      <w:pPr>
        <w:autoSpaceDE w:val="0"/>
        <w:autoSpaceDN w:val="0"/>
        <w:adjustRightInd w:val="0"/>
        <w:spacing w:after="120"/>
        <w:jc w:val="center"/>
        <w:rPr>
          <w:rFonts w:ascii="Times New Roman" w:hAnsi="Times New Roman" w:cs="Times New Roman"/>
          <w:b/>
          <w:sz w:val="24"/>
          <w:szCs w:val="24"/>
        </w:rPr>
      </w:pPr>
      <w:r>
        <w:rPr>
          <w:rFonts w:ascii="Times New Roman" w:hAnsi="Times New Roman" w:cs="Times New Roman"/>
          <w:b/>
          <w:sz w:val="24"/>
          <w:szCs w:val="24"/>
        </w:rPr>
        <w:t>ZÁKON</w:t>
      </w:r>
    </w:p>
    <w:p w:rsidR="000962C0" w:rsidRDefault="000962C0" w:rsidP="000962C0">
      <w:pPr>
        <w:autoSpaceDE w:val="0"/>
        <w:autoSpaceDN w:val="0"/>
        <w:adjustRightInd w:val="0"/>
        <w:spacing w:after="240"/>
        <w:jc w:val="center"/>
        <w:rPr>
          <w:rFonts w:ascii="Times New Roman" w:hAnsi="Times New Roman" w:cs="Times New Roman"/>
          <w:sz w:val="24"/>
          <w:szCs w:val="24"/>
        </w:rPr>
      </w:pPr>
      <w:r>
        <w:rPr>
          <w:rFonts w:ascii="Times New Roman" w:hAnsi="Times New Roman" w:cs="Times New Roman"/>
          <w:sz w:val="24"/>
          <w:szCs w:val="24"/>
        </w:rPr>
        <w:t>ze dne …………… 2020,</w:t>
      </w:r>
    </w:p>
    <w:p w:rsidR="000962C0" w:rsidRDefault="000962C0" w:rsidP="000962C0">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kterým se mění zákon č. 262/2006 Sb., zákoník práce, ve znění pozdějších předpisů</w:t>
      </w:r>
    </w:p>
    <w:p w:rsidR="000962C0" w:rsidRDefault="000962C0" w:rsidP="000962C0">
      <w:pPr>
        <w:autoSpaceDE w:val="0"/>
        <w:autoSpaceDN w:val="0"/>
        <w:adjustRightInd w:val="0"/>
        <w:jc w:val="center"/>
        <w:rPr>
          <w:rFonts w:ascii="Times New Roman" w:hAnsi="Times New Roman" w:cs="Times New Roman"/>
          <w:b/>
          <w:bCs/>
          <w:sz w:val="24"/>
          <w:szCs w:val="24"/>
        </w:rPr>
      </w:pPr>
    </w:p>
    <w:p w:rsidR="000962C0" w:rsidRDefault="000962C0" w:rsidP="000962C0">
      <w:pPr>
        <w:autoSpaceDE w:val="0"/>
        <w:autoSpaceDN w:val="0"/>
        <w:adjustRightInd w:val="0"/>
        <w:ind w:firstLine="708"/>
        <w:rPr>
          <w:rFonts w:ascii="Times New Roman" w:hAnsi="Times New Roman" w:cs="Times New Roman"/>
          <w:sz w:val="24"/>
          <w:szCs w:val="24"/>
        </w:rPr>
      </w:pPr>
      <w:r>
        <w:rPr>
          <w:rFonts w:ascii="Times New Roman" w:hAnsi="Times New Roman" w:cs="Times New Roman"/>
          <w:sz w:val="24"/>
          <w:szCs w:val="24"/>
        </w:rPr>
        <w:t>Parlament se usnesl na tomto zákoně České republiky:</w:t>
      </w:r>
    </w:p>
    <w:p w:rsidR="000962C0" w:rsidRDefault="000962C0" w:rsidP="000962C0">
      <w:pPr>
        <w:autoSpaceDE w:val="0"/>
        <w:autoSpaceDN w:val="0"/>
        <w:adjustRightInd w:val="0"/>
        <w:rPr>
          <w:rFonts w:ascii="Times New Roman" w:hAnsi="Times New Roman" w:cs="Times New Roman"/>
          <w:sz w:val="24"/>
          <w:szCs w:val="24"/>
        </w:rPr>
      </w:pPr>
    </w:p>
    <w:p w:rsidR="000962C0" w:rsidRDefault="000962C0" w:rsidP="000962C0">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Čl. I</w:t>
      </w:r>
    </w:p>
    <w:p w:rsidR="000962C0" w:rsidRDefault="000962C0" w:rsidP="000962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Zákon č. 262/2006 Sb., zákoník práce, ve znění zákona č. 216/2008 Sb.,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w:t>
      </w:r>
      <w:r>
        <w:rPr>
          <w:rFonts w:ascii="Times New Roman" w:hAnsi="Times New Roman" w:cs="Times New Roman"/>
          <w:sz w:val="24"/>
          <w:szCs w:val="24"/>
        </w:rPr>
        <w:br/>
        <w:t xml:space="preserve">č. 365/2011 Sb., zákona č. 367/2011 Sb., zákona č. 375/2011 Sb., zákona č. 458/2011 Sb., zákona č. 466/2011 Sb., zákona č. 167/2012 Sb., zákona č. 385/2012 Sb., zákona č. 396/2012 Sb., zákona č. 399/2012 Sb., zákona č. 155/2013 Sb., zákona č. 303/2013 Sb., zákona </w:t>
      </w:r>
      <w:r>
        <w:rPr>
          <w:rFonts w:ascii="Times New Roman" w:hAnsi="Times New Roman" w:cs="Times New Roman"/>
          <w:sz w:val="24"/>
          <w:szCs w:val="24"/>
        </w:rPr>
        <w:br/>
        <w:t xml:space="preserve">č. 101/2014 Sb., zákona č. 182/2014 Sb., zákona č. 250/2014 Sb., zákona č. 205/2015 Sb., zákona č. 298/2015 Sb., zákona č. 377/2015 Sb., zákona č. 385/2015 Sb., zákona č. 47/2016 Sb., zákona č. 264/2016 Sb., zákona č. 298/2016 Sb., zákona č. 377/2016 Sb., zákona </w:t>
      </w:r>
      <w:r>
        <w:rPr>
          <w:rFonts w:ascii="Times New Roman" w:hAnsi="Times New Roman" w:cs="Times New Roman"/>
          <w:sz w:val="24"/>
          <w:szCs w:val="24"/>
        </w:rPr>
        <w:br/>
        <w:t>č. 440/2016 Sb. a zákona č. 460/2016 Sb., zákona č.93/2017 Sb., zákona č. 99/2017 Sb., zákona č. 148/2017 Sb., zákona č.202/2017 Sb., zákona č. 203/2017 Sb., zákona č.  206/2017 Sb., zákona č. 222/2017 Sb., zákona č. 292/2017 Sb., zákona č. 310/2017 Sb., zákona č. 181/2018 Sb., zákona č. 333/2018 Sb., zákona č. 32/2019 Sb., zákona č. 358/2019 Sb., zákona č. 366/2019 Sb. a zákona č. …/2020 Sb., se mění takto:</w:t>
      </w:r>
    </w:p>
    <w:p w:rsidR="000962C0" w:rsidRDefault="000962C0" w:rsidP="000962C0">
      <w:pPr>
        <w:rPr>
          <w:rFonts w:ascii="Times New Roman" w:hAnsi="Times New Roman" w:cs="Times New Roman"/>
          <w:sz w:val="24"/>
          <w:szCs w:val="24"/>
        </w:rPr>
      </w:pPr>
    </w:p>
    <w:p w:rsidR="000962C0" w:rsidRDefault="000962C0" w:rsidP="000962C0">
      <w:pPr>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V § 47 se za slova „nasazení nebo“ vkládají slova „po ukončení ošetřovatelského volna“.</w:t>
      </w:r>
    </w:p>
    <w:p w:rsidR="000962C0" w:rsidRDefault="000962C0" w:rsidP="000962C0">
      <w:pPr>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V § 191 se za slovo „právního předpisu</w:t>
      </w:r>
      <w:r>
        <w:rPr>
          <w:rFonts w:ascii="Times New Roman" w:hAnsi="Times New Roman" w:cs="Times New Roman"/>
          <w:sz w:val="24"/>
          <w:szCs w:val="24"/>
          <w:vertAlign w:val="superscript"/>
        </w:rPr>
        <w:t>59</w:t>
      </w:r>
      <w:r>
        <w:rPr>
          <w:rFonts w:ascii="Times New Roman" w:hAnsi="Times New Roman" w:cs="Times New Roman"/>
          <w:sz w:val="24"/>
          <w:szCs w:val="24"/>
        </w:rPr>
        <w:t xml:space="preserve">)“ vkládají slova „po dobu ošetřovatelského volna,“. </w:t>
      </w:r>
    </w:p>
    <w:p w:rsidR="000962C0" w:rsidRDefault="000962C0" w:rsidP="000962C0">
      <w:pPr>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 V § 199 se doplňuje odstavec 4, který zní:</w:t>
      </w:r>
    </w:p>
    <w:p w:rsidR="000962C0" w:rsidRDefault="000962C0" w:rsidP="000962C0">
      <w:pPr>
        <w:jc w:val="both"/>
        <w:rPr>
          <w:rFonts w:ascii="Times New Roman" w:hAnsi="Times New Roman" w:cs="Times New Roman"/>
          <w:color w:val="FF0000"/>
          <w:sz w:val="24"/>
          <w:szCs w:val="24"/>
        </w:rPr>
      </w:pPr>
      <w:r>
        <w:rPr>
          <w:rFonts w:ascii="Times New Roman" w:hAnsi="Times New Roman" w:cs="Times New Roman"/>
          <w:sz w:val="24"/>
          <w:szCs w:val="24"/>
        </w:rPr>
        <w:t>„(4) Zaměstnavatel je povinen svému zaměstnanci, který je u něj v pracovním poměru alespoň jeden rok, poskytnout ošetřovatelské volno, pokud pečuje o osobu, která je závislá na péči jiné osoby ve stupni III (těžká závislost) anebo stupni IV (úplná závislost) podle zákona o sociálních službách nebo se do tohoto stavu závislosti náhle dostala. Zaměstnanec je povinen podat žádost o ošetřovatelské volno a toto mu má byt umožněno v případě, že se bude starat o svého rodiče či prarodiče nebo rodiče či prarodiče svého manžela/</w:t>
      </w:r>
      <w:proofErr w:type="spellStart"/>
      <w:r>
        <w:rPr>
          <w:rFonts w:ascii="Times New Roman" w:hAnsi="Times New Roman" w:cs="Times New Roman"/>
          <w:sz w:val="24"/>
          <w:szCs w:val="24"/>
        </w:rPr>
        <w:t>ky</w:t>
      </w:r>
      <w:proofErr w:type="spellEnd"/>
      <w:r>
        <w:rPr>
          <w:rFonts w:ascii="Times New Roman" w:hAnsi="Times New Roman" w:cs="Times New Roman"/>
          <w:sz w:val="24"/>
          <w:szCs w:val="24"/>
        </w:rPr>
        <w:t>/ nebo registrovaného partnera/</w:t>
      </w:r>
      <w:proofErr w:type="spellStart"/>
      <w:r>
        <w:rPr>
          <w:rFonts w:ascii="Times New Roman" w:hAnsi="Times New Roman" w:cs="Times New Roman"/>
          <w:sz w:val="24"/>
          <w:szCs w:val="24"/>
        </w:rPr>
        <w:t>ky</w:t>
      </w:r>
      <w:proofErr w:type="spellEnd"/>
      <w:r>
        <w:rPr>
          <w:rFonts w:ascii="Times New Roman" w:hAnsi="Times New Roman" w:cs="Times New Roman"/>
          <w:sz w:val="24"/>
          <w:szCs w:val="24"/>
        </w:rPr>
        <w:t>/ anebo o zletilé dítě své či svého manžela/</w:t>
      </w:r>
      <w:proofErr w:type="spellStart"/>
      <w:r>
        <w:rPr>
          <w:rFonts w:ascii="Times New Roman" w:hAnsi="Times New Roman" w:cs="Times New Roman"/>
          <w:sz w:val="24"/>
          <w:szCs w:val="24"/>
        </w:rPr>
        <w:t>ky</w:t>
      </w:r>
      <w:proofErr w:type="spellEnd"/>
      <w:r>
        <w:rPr>
          <w:rFonts w:ascii="Times New Roman" w:hAnsi="Times New Roman" w:cs="Times New Roman"/>
          <w:sz w:val="24"/>
          <w:szCs w:val="24"/>
        </w:rPr>
        <w:t>/ či registrovaného partnera/</w:t>
      </w:r>
      <w:proofErr w:type="spellStart"/>
      <w:r>
        <w:rPr>
          <w:rFonts w:ascii="Times New Roman" w:hAnsi="Times New Roman" w:cs="Times New Roman"/>
          <w:sz w:val="24"/>
          <w:szCs w:val="24"/>
        </w:rPr>
        <w:t>ky</w:t>
      </w:r>
      <w:proofErr w:type="spellEnd"/>
      <w:r>
        <w:rPr>
          <w:rFonts w:ascii="Times New Roman" w:hAnsi="Times New Roman" w:cs="Times New Roman"/>
          <w:sz w:val="24"/>
          <w:szCs w:val="24"/>
        </w:rPr>
        <w:t>/. Ošetřovatelské volno na konkrétního člena rodiny</w:t>
      </w:r>
      <w:r>
        <w:rPr>
          <w:rFonts w:ascii="Times New Roman" w:hAnsi="Times New Roman" w:cs="Times New Roman"/>
          <w:b/>
          <w:bCs/>
          <w:sz w:val="24"/>
          <w:szCs w:val="24"/>
        </w:rPr>
        <w:t xml:space="preserve"> </w:t>
      </w:r>
      <w:r>
        <w:rPr>
          <w:rFonts w:ascii="Times New Roman" w:hAnsi="Times New Roman" w:cs="Times New Roman"/>
          <w:sz w:val="24"/>
          <w:szCs w:val="24"/>
        </w:rPr>
        <w:t xml:space="preserve">přísluší zaměstnanci u téhož zaměstnavatele jen jednou </w:t>
      </w:r>
      <w:r>
        <w:rPr>
          <w:rFonts w:ascii="Times New Roman" w:hAnsi="Times New Roman" w:cs="Times New Roman"/>
          <w:sz w:val="24"/>
          <w:szCs w:val="24"/>
        </w:rPr>
        <w:br/>
        <w:t>a nejvýše na dobu 1 roku. Náhrada mzdy nebo platu zaměstnanci nepřísluší.</w:t>
      </w:r>
      <w:r>
        <w:rPr>
          <w:rFonts w:ascii="Times New Roman" w:hAnsi="Times New Roman" w:cs="Times New Roman"/>
          <w:color w:val="FF0000"/>
          <w:sz w:val="24"/>
          <w:szCs w:val="24"/>
        </w:rPr>
        <w:t>“.</w:t>
      </w:r>
    </w:p>
    <w:p w:rsidR="000962C0" w:rsidRDefault="000962C0" w:rsidP="000962C0">
      <w:pPr>
        <w:rPr>
          <w:rFonts w:ascii="Times New Roman" w:hAnsi="Times New Roman" w:cs="Times New Roman"/>
          <w:sz w:val="24"/>
          <w:szCs w:val="24"/>
        </w:rPr>
      </w:pPr>
      <w:r>
        <w:rPr>
          <w:rFonts w:ascii="Times New Roman" w:hAnsi="Times New Roman" w:cs="Times New Roman"/>
          <w:b/>
          <w:sz w:val="24"/>
          <w:szCs w:val="24"/>
        </w:rPr>
        <w:lastRenderedPageBreak/>
        <w:t>4.</w:t>
      </w:r>
      <w:r>
        <w:rPr>
          <w:rFonts w:ascii="Times New Roman" w:hAnsi="Times New Roman" w:cs="Times New Roman"/>
          <w:sz w:val="24"/>
          <w:szCs w:val="24"/>
        </w:rPr>
        <w:t xml:space="preserve"> V § 235 odst. 1 se za slovo „doba“ vkládají slova „ošetřovatelského volna“. </w:t>
      </w:r>
    </w:p>
    <w:p w:rsidR="000962C0" w:rsidRDefault="000962C0" w:rsidP="000962C0">
      <w:pP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r>
        <w:rPr>
          <w:rFonts w:ascii="Times New Roman" w:hAnsi="Times New Roman" w:cs="Times New Roman"/>
          <w:sz w:val="24"/>
          <w:szCs w:val="24"/>
        </w:rPr>
        <w:t xml:space="preserve">Čl. II </w:t>
      </w:r>
    </w:p>
    <w:p w:rsidR="000962C0" w:rsidRDefault="000962C0" w:rsidP="000962C0">
      <w:pPr>
        <w:jc w:val="center"/>
        <w:rPr>
          <w:rFonts w:ascii="Times New Roman" w:hAnsi="Times New Roman" w:cs="Times New Roman"/>
          <w:b/>
          <w:sz w:val="24"/>
          <w:szCs w:val="24"/>
        </w:rPr>
      </w:pPr>
      <w:r>
        <w:rPr>
          <w:rFonts w:ascii="Times New Roman" w:hAnsi="Times New Roman" w:cs="Times New Roman"/>
          <w:b/>
          <w:sz w:val="24"/>
          <w:szCs w:val="24"/>
        </w:rPr>
        <w:t>Účinnost</w:t>
      </w:r>
    </w:p>
    <w:p w:rsidR="000962C0"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Tento zákon nabývá účinnosti prvním dnem kalendářního měsíce následujícího po dni jeho vyhlášení. </w:t>
      </w: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sz w:val="24"/>
          <w:szCs w:val="24"/>
        </w:rPr>
      </w:pPr>
    </w:p>
    <w:p w:rsidR="000962C0" w:rsidRDefault="000962C0" w:rsidP="000962C0">
      <w:pPr>
        <w:jc w:val="center"/>
        <w:rPr>
          <w:rFonts w:ascii="Times New Roman" w:hAnsi="Times New Roman" w:cs="Times New Roman"/>
          <w:b/>
          <w:sz w:val="24"/>
          <w:szCs w:val="24"/>
        </w:rPr>
      </w:pPr>
      <w:r>
        <w:rPr>
          <w:rFonts w:ascii="Times New Roman" w:hAnsi="Times New Roman" w:cs="Times New Roman"/>
          <w:b/>
          <w:sz w:val="24"/>
          <w:szCs w:val="24"/>
        </w:rPr>
        <w:lastRenderedPageBreak/>
        <w:t>DŮVODOVÁ ZPRÁVA</w:t>
      </w:r>
    </w:p>
    <w:p w:rsidR="000962C0" w:rsidRDefault="000962C0" w:rsidP="000962C0">
      <w:pPr>
        <w:jc w:val="center"/>
        <w:rPr>
          <w:rFonts w:ascii="Times New Roman" w:hAnsi="Times New Roman" w:cs="Times New Roman"/>
          <w:b/>
          <w:sz w:val="24"/>
          <w:szCs w:val="24"/>
        </w:rPr>
      </w:pPr>
      <w:r>
        <w:rPr>
          <w:rFonts w:ascii="Times New Roman" w:hAnsi="Times New Roman" w:cs="Times New Roman"/>
          <w:b/>
          <w:sz w:val="24"/>
          <w:szCs w:val="24"/>
        </w:rPr>
        <w:t>Obecná část</w:t>
      </w:r>
    </w:p>
    <w:p w:rsidR="000962C0" w:rsidRDefault="000962C0" w:rsidP="000962C0">
      <w:pPr>
        <w:jc w:val="center"/>
        <w:rPr>
          <w:rFonts w:ascii="Times New Roman" w:hAnsi="Times New Roman" w:cs="Times New Roman"/>
          <w:b/>
          <w:sz w:val="24"/>
          <w:szCs w:val="24"/>
        </w:rPr>
      </w:pPr>
    </w:p>
    <w:p w:rsidR="000962C0" w:rsidRDefault="000962C0" w:rsidP="000962C0">
      <w:pPr>
        <w:jc w:val="both"/>
        <w:rPr>
          <w:rFonts w:ascii="Times New Roman" w:hAnsi="Times New Roman" w:cs="Times New Roman"/>
          <w:b/>
          <w:sz w:val="24"/>
          <w:szCs w:val="24"/>
        </w:rPr>
      </w:pPr>
      <w:r>
        <w:rPr>
          <w:rFonts w:ascii="Times New Roman" w:hAnsi="Times New Roman" w:cs="Times New Roman"/>
          <w:b/>
          <w:sz w:val="24"/>
          <w:szCs w:val="24"/>
        </w:rPr>
        <w:t xml:space="preserve">1. Zhodnocení platného právního stavu, hlavní principy navrhované právní úpravy </w:t>
      </w:r>
      <w:r>
        <w:rPr>
          <w:rFonts w:ascii="Times New Roman" w:hAnsi="Times New Roman" w:cs="Times New Roman"/>
          <w:b/>
          <w:sz w:val="24"/>
          <w:szCs w:val="24"/>
        </w:rPr>
        <w:br/>
        <w:t xml:space="preserve">a nezbytnost navrhované právní úpravy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Návrh zavádí nový institut ošetřovatelského volna a chce podpořit péči rodiny o své staré či vážně nemocné blízké příbuzné, což v konečném důsledku sníží požadavky vůči různým veřejným institucím zaměřeným na péči o staré lidi a zároveň se tím posilují rodinné vztahy. Tento institut může být využit zvláště v případech, kdy zaměstnanec chce pečovat o svého blízkého příbuzného, ale zároveň si chce udržet pracovní místo. Je využitelný zejména </w:t>
      </w:r>
      <w:r>
        <w:rPr>
          <w:rFonts w:ascii="Times New Roman" w:hAnsi="Times New Roman" w:cs="Times New Roman"/>
          <w:sz w:val="24"/>
          <w:szCs w:val="24"/>
        </w:rPr>
        <w:br/>
        <w:t xml:space="preserve">v případech, kdy se například stav rodiče prudce zhoršil v důsledku závěrečného stádia nevyléčitelné nemoci nebo náhle upadl no neléčitelného stavu apod. Zneužívání tohoto institutu zabraňuje to, že není poskytována náhrada mzdy (platu) a lze ho uplatnit jen vůči lidem, kteří mají III. či IV. stupeň závislosti na péči jiné osoby či se náhle dostali do stavu odpovídajícímu této závislosti. Zaměstnavatel v takovém případě nehradí zdravotní pojištění, protože </w:t>
      </w:r>
      <w:r>
        <w:rPr>
          <w:rFonts w:ascii="Times New Roman" w:hAnsi="Times New Roman" w:cs="Times New Roman"/>
          <w:sz w:val="24"/>
          <w:szCs w:val="24"/>
        </w:rPr>
        <w:br/>
        <w:t xml:space="preserve">za pečující osoby hradí zdravotní pojištění stát - § 7 odst. 1 písm. g) zákona č. 48/1997 Sb., </w:t>
      </w:r>
      <w:r>
        <w:rPr>
          <w:rFonts w:ascii="Times New Roman" w:hAnsi="Times New Roman" w:cs="Times New Roman"/>
          <w:sz w:val="24"/>
          <w:szCs w:val="24"/>
        </w:rPr>
        <w:br/>
        <w:t xml:space="preserve">o veřejném zdravotním pojištění, a jsou účastny důchodového pojištění - § 5 odst. 2 písm. e) zákona č. 155/1995 Sb., o důchodovém pojištění.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I když se lze na ošetřovatelské volno dívat obdobně jako na rodičovskou, nemá zaměstnanec, který ji požívá stejný rozsah ochrany. Například zde není zákaz výpovědi (okamžité zrušení pracovního poměru) či možnost nařídit čerpání řádné dovolené po dobu ošetřovatelské dovolené a doba ošetřovatelské dovolené není uznána za výkon práce dle § 216 odst. 2 zákoníku práce. Důvodem této odlišné úpravy je snaha zabránit možnému zneužití tohoto institutu </w:t>
      </w:r>
      <w:r>
        <w:rPr>
          <w:rFonts w:ascii="Times New Roman" w:hAnsi="Times New Roman" w:cs="Times New Roman"/>
          <w:sz w:val="24"/>
          <w:szCs w:val="24"/>
        </w:rPr>
        <w:br/>
        <w:t xml:space="preserve">a nestanovit nepřiměřené zatížení zaměstnavatelů.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Příspěvek na péči náleží již dnes podle platné legislativy - zákona č. 108/2006 Sb., o sociálních službách, ve znění pozdějších předpisů těm lidem, kteří jsou především z důvodu nepříznivého zdravotního stavu závislí na pomoci jiné osoby a splňují podmínku nepříznivého zdravotního stavu, který trvá nebo má trvat déle než jeden rok a který omezuje jejich funkční schopnosti nutné pro zvládání základních životních potřeb. Příspěvek náleží osobě, o kterou má být pečováno, nikoliv osobě, která péči zajišťuje. </w:t>
      </w:r>
    </w:p>
    <w:p w:rsidR="000962C0" w:rsidRDefault="000962C0" w:rsidP="000962C0">
      <w:pPr>
        <w:jc w:val="both"/>
        <w:rPr>
          <w:rFonts w:ascii="Times New Roman" w:hAnsi="Times New Roman" w:cs="Times New Roman"/>
          <w:b/>
          <w:sz w:val="24"/>
          <w:szCs w:val="24"/>
        </w:rPr>
      </w:pPr>
      <w:r>
        <w:rPr>
          <w:rFonts w:ascii="Times New Roman" w:hAnsi="Times New Roman" w:cs="Times New Roman"/>
          <w:b/>
          <w:sz w:val="24"/>
          <w:szCs w:val="24"/>
        </w:rPr>
        <w:t xml:space="preserve">2. Zhodnocení souladu navrhované právní úpravy s ústavním pořádkem České republiky a s mezinárodními smlouvami podle čl. 10 Ústavy České republiky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Návrh zákona je v souladu s ústavním pořádkem.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Návrh zákona je v souladu se závazky České republiky vyplývajícími z mezinárodních smluv, jimiž je ČR vázána. Návrh zákona je v souladu s právem ES/EU. Respektive se jich netýká. </w:t>
      </w:r>
    </w:p>
    <w:p w:rsidR="000962C0" w:rsidRDefault="000962C0" w:rsidP="000962C0">
      <w:pPr>
        <w:jc w:val="both"/>
        <w:rPr>
          <w:rFonts w:ascii="Times New Roman" w:hAnsi="Times New Roman" w:cs="Times New Roman"/>
          <w:b/>
          <w:sz w:val="24"/>
          <w:szCs w:val="24"/>
        </w:rPr>
      </w:pPr>
      <w:r>
        <w:rPr>
          <w:rFonts w:ascii="Times New Roman" w:hAnsi="Times New Roman" w:cs="Times New Roman"/>
          <w:b/>
          <w:sz w:val="24"/>
          <w:szCs w:val="24"/>
        </w:rPr>
        <w:t xml:space="preserve">3. Předpokládaný hospodářský a finanční dosah navrhované právní úpravy na státní rozpočet, na rozpočty krajů a obcí (ostatní veřejné rozpočty)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Návrh zákona nemá rozpočtový dopad na veřejné ani jiné rozpočty. Vážným způsobem nezatíží ani zaměstnavatele, protože není vyplácena náhrada mzdy či platu. Obdobně je to u rodičovské dovolené. </w:t>
      </w:r>
    </w:p>
    <w:p w:rsidR="000962C0" w:rsidRDefault="000962C0" w:rsidP="000962C0">
      <w:pPr>
        <w:jc w:val="both"/>
        <w:rPr>
          <w:rFonts w:ascii="Times New Roman" w:hAnsi="Times New Roman" w:cs="Times New Roman"/>
          <w:sz w:val="24"/>
          <w:szCs w:val="24"/>
        </w:rPr>
      </w:pPr>
    </w:p>
    <w:p w:rsidR="000962C0" w:rsidRDefault="000962C0" w:rsidP="000962C0">
      <w:pPr>
        <w:jc w:val="center"/>
        <w:rPr>
          <w:rFonts w:ascii="Times New Roman" w:hAnsi="Times New Roman" w:cs="Times New Roman"/>
          <w:b/>
          <w:sz w:val="24"/>
          <w:szCs w:val="24"/>
        </w:rPr>
      </w:pPr>
      <w:r>
        <w:rPr>
          <w:rFonts w:ascii="Times New Roman" w:hAnsi="Times New Roman" w:cs="Times New Roman"/>
          <w:b/>
          <w:sz w:val="24"/>
          <w:szCs w:val="24"/>
        </w:rPr>
        <w:lastRenderedPageBreak/>
        <w:t>Zvláštní část</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Čl. I body 1 až 4.</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Zavádí se ošetřovatelské volno jako nový institut pro péči o osoby závislé na péči jiné osoby III. nebo IV. stupně závislosti, pokud jde o rodiče či prarodiče zaměstnance, nebo jeho manžela/</w:t>
      </w:r>
      <w:proofErr w:type="spellStart"/>
      <w:r>
        <w:rPr>
          <w:rFonts w:ascii="Times New Roman" w:hAnsi="Times New Roman" w:cs="Times New Roman"/>
          <w:sz w:val="24"/>
          <w:szCs w:val="24"/>
        </w:rPr>
        <w:t>ky</w:t>
      </w:r>
      <w:proofErr w:type="spellEnd"/>
      <w:r>
        <w:rPr>
          <w:rFonts w:ascii="Times New Roman" w:hAnsi="Times New Roman" w:cs="Times New Roman"/>
          <w:sz w:val="24"/>
          <w:szCs w:val="24"/>
        </w:rPr>
        <w:t>, či jeho registrovaného partnera/k/, či zletilé dítě zaměstnance nebo jeho partnera/</w:t>
      </w:r>
      <w:proofErr w:type="spellStart"/>
      <w:r>
        <w:rPr>
          <w:rFonts w:ascii="Times New Roman" w:hAnsi="Times New Roman" w:cs="Times New Roman"/>
          <w:sz w:val="24"/>
          <w:szCs w:val="24"/>
        </w:rPr>
        <w:t>ky</w:t>
      </w:r>
      <w:proofErr w:type="spellEnd"/>
      <w:r>
        <w:rPr>
          <w:rFonts w:ascii="Times New Roman" w:hAnsi="Times New Roman" w:cs="Times New Roman"/>
          <w:sz w:val="24"/>
          <w:szCs w:val="24"/>
        </w:rPr>
        <w:t xml:space="preserve">/. Neposkytuje se náhrada mzdy (platu). Nárok na ošetřovatelské volno je upraveno jen vůči dlouhodobým zaměstnancům (minimálně 1 rok), aby se omezilo možnému zneužití tohoto institutu u krátkodobých pracovních poměrů.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Čl. II </w:t>
      </w: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 xml:space="preserve">Účinnost je navržena v závislosti na přijetí zákona od následujícího měsíce. Vzhledem k malému rozsahu navržených změn a absenci nutnosti dalších prováděcích právních předpisů, je tato doba dostatečná. </w:t>
      </w:r>
    </w:p>
    <w:p w:rsidR="000962C0" w:rsidRDefault="000962C0" w:rsidP="000962C0">
      <w:pPr>
        <w:jc w:val="both"/>
        <w:rPr>
          <w:rFonts w:ascii="Times New Roman" w:hAnsi="Times New Roman" w:cs="Times New Roman"/>
          <w:sz w:val="24"/>
          <w:szCs w:val="24"/>
        </w:rPr>
      </w:pPr>
    </w:p>
    <w:p w:rsidR="000962C0" w:rsidRDefault="000962C0" w:rsidP="000962C0">
      <w:pPr>
        <w:jc w:val="both"/>
        <w:rPr>
          <w:rFonts w:ascii="Times New Roman" w:hAnsi="Times New Roman" w:cs="Times New Roman"/>
          <w:sz w:val="24"/>
          <w:szCs w:val="24"/>
        </w:rPr>
      </w:pPr>
      <w:r>
        <w:rPr>
          <w:rFonts w:ascii="Times New Roman" w:hAnsi="Times New Roman" w:cs="Times New Roman"/>
          <w:sz w:val="24"/>
          <w:szCs w:val="24"/>
        </w:rPr>
        <w:t>V Praze dne 19. června 2020</w:t>
      </w:r>
    </w:p>
    <w:p w:rsidR="000962C0" w:rsidRDefault="000962C0" w:rsidP="000962C0">
      <w:pPr>
        <w:jc w:val="both"/>
        <w:rPr>
          <w:rFonts w:ascii="Times New Roman" w:hAnsi="Times New Roman" w:cs="Times New Roman"/>
          <w:sz w:val="24"/>
          <w:szCs w:val="24"/>
        </w:rPr>
      </w:pPr>
    </w:p>
    <w:p w:rsidR="000962C0" w:rsidRDefault="000962C0" w:rsidP="000962C0">
      <w:pPr>
        <w:jc w:val="both"/>
        <w:rPr>
          <w:rFonts w:ascii="Times New Roman" w:hAnsi="Times New Roman" w:cs="Times New Roman"/>
          <w:sz w:val="24"/>
          <w:szCs w:val="24"/>
        </w:rPr>
      </w:pPr>
    </w:p>
    <w:p w:rsidR="000962C0" w:rsidRDefault="000962C0" w:rsidP="000962C0">
      <w:pPr>
        <w:jc w:val="both"/>
        <w:rPr>
          <w:rFonts w:ascii="Times New Roman" w:hAnsi="Times New Roman" w:cs="Times New Roman"/>
          <w:sz w:val="24"/>
          <w:szCs w:val="24"/>
        </w:rPr>
      </w:pPr>
    </w:p>
    <w:p w:rsidR="000962C0" w:rsidRPr="00676CF2" w:rsidRDefault="008622B3" w:rsidP="000962C0">
      <w:pPr>
        <w:rPr>
          <w:rFonts w:ascii="Times New Roman" w:hAnsi="Times New Roman" w:cs="Times New Roman"/>
          <w:sz w:val="24"/>
          <w:szCs w:val="24"/>
        </w:rPr>
      </w:pPr>
      <w:r>
        <w:rPr>
          <w:rFonts w:ascii="Times New Roman" w:hAnsi="Times New Roman" w:cs="Times New Roman"/>
          <w:sz w:val="24"/>
          <w:szCs w:val="24"/>
        </w:rPr>
        <w:t xml:space="preserve">Předkladatelé : </w:t>
      </w:r>
      <w:bookmarkStart w:id="0" w:name="_GoBack"/>
      <w:bookmarkEnd w:id="0"/>
    </w:p>
    <w:p w:rsidR="000962C0"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Eva Matyášová v. r. </w:t>
      </w:r>
    </w:p>
    <w:p w:rsidR="000962C0"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Andrea Brzobohatá v. r. </w:t>
      </w:r>
    </w:p>
    <w:p w:rsidR="000962C0"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Aleš Juchelka v. r. </w:t>
      </w:r>
    </w:p>
    <w:p w:rsidR="000962C0"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Eva Fialová v. r. </w:t>
      </w:r>
    </w:p>
    <w:p w:rsidR="000962C0"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Iva </w:t>
      </w:r>
      <w:proofErr w:type="spellStart"/>
      <w:r>
        <w:rPr>
          <w:rFonts w:ascii="Times New Roman" w:hAnsi="Times New Roman" w:cs="Times New Roman"/>
          <w:sz w:val="24"/>
          <w:szCs w:val="24"/>
        </w:rPr>
        <w:t>Kalátová</w:t>
      </w:r>
      <w:proofErr w:type="spellEnd"/>
      <w:r>
        <w:rPr>
          <w:rFonts w:ascii="Times New Roman" w:hAnsi="Times New Roman" w:cs="Times New Roman"/>
          <w:sz w:val="24"/>
          <w:szCs w:val="24"/>
        </w:rPr>
        <w:t xml:space="preserve"> v. r. </w:t>
      </w:r>
    </w:p>
    <w:p w:rsidR="000962C0"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Monika </w:t>
      </w:r>
      <w:proofErr w:type="spellStart"/>
      <w:r>
        <w:rPr>
          <w:rFonts w:ascii="Times New Roman" w:hAnsi="Times New Roman" w:cs="Times New Roman"/>
          <w:sz w:val="24"/>
          <w:szCs w:val="24"/>
        </w:rPr>
        <w:t>Červíčková</w:t>
      </w:r>
      <w:proofErr w:type="spellEnd"/>
      <w:r>
        <w:rPr>
          <w:rFonts w:ascii="Times New Roman" w:hAnsi="Times New Roman" w:cs="Times New Roman"/>
          <w:sz w:val="24"/>
          <w:szCs w:val="24"/>
        </w:rPr>
        <w:t xml:space="preserve"> v. r. </w:t>
      </w:r>
    </w:p>
    <w:p w:rsidR="000962C0" w:rsidRPr="00676CF2" w:rsidRDefault="000962C0" w:rsidP="000962C0">
      <w:pPr>
        <w:rPr>
          <w:rFonts w:ascii="Times New Roman" w:hAnsi="Times New Roman" w:cs="Times New Roman"/>
          <w:sz w:val="24"/>
          <w:szCs w:val="24"/>
        </w:rPr>
      </w:pPr>
      <w:r>
        <w:rPr>
          <w:rFonts w:ascii="Times New Roman" w:hAnsi="Times New Roman" w:cs="Times New Roman"/>
          <w:sz w:val="24"/>
          <w:szCs w:val="24"/>
        </w:rPr>
        <w:t xml:space="preserve">David Kasal v. r. </w:t>
      </w:r>
    </w:p>
    <w:p w:rsidR="00AB744D" w:rsidRPr="00955396" w:rsidRDefault="00AB744D" w:rsidP="00955396"/>
    <w:sectPr w:rsidR="00AB744D" w:rsidRPr="009553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2C0"/>
    <w:rsid w:val="000962C0"/>
    <w:rsid w:val="008622B3"/>
    <w:rsid w:val="00955396"/>
    <w:rsid w:val="00AB7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F7A29"/>
  <w15:chartTrackingRefBased/>
  <w15:docId w15:val="{4E34722F-59C9-48BA-A04C-DDC690141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62C0"/>
    <w:pPr>
      <w:spacing w:line="256" w:lineRule="auto"/>
    </w:pPr>
  </w:style>
  <w:style w:type="paragraph" w:styleId="Nadpis1">
    <w:name w:val="heading 1"/>
    <w:basedOn w:val="Normln"/>
    <w:next w:val="Normln"/>
    <w:link w:val="Nadpis1Char"/>
    <w:uiPriority w:val="9"/>
    <w:qFormat/>
    <w:rsid w:val="00955396"/>
    <w:pPr>
      <w:keepNext/>
      <w:keepLines/>
      <w:spacing w:before="240" w:after="0" w:line="259" w:lineRule="auto"/>
      <w:outlineLvl w:val="0"/>
    </w:pPr>
    <w:rPr>
      <w:rFonts w:ascii="Arial" w:eastAsiaTheme="majorEastAsia" w:hAnsi="Arial"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955396"/>
    <w:pPr>
      <w:keepNext/>
      <w:keepLines/>
      <w:spacing w:before="40" w:after="0" w:line="259" w:lineRule="auto"/>
      <w:outlineLvl w:val="1"/>
    </w:pPr>
    <w:rPr>
      <w:rFonts w:ascii="Arial" w:eastAsiaTheme="majorEastAsia" w:hAnsi="Arial"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5396"/>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955396"/>
    <w:rPr>
      <w:rFonts w:ascii="Arial" w:eastAsiaTheme="majorEastAsia" w:hAnsi="Arial" w:cstheme="majorBidi"/>
      <w:color w:val="2E74B5" w:themeColor="accent1" w:themeShade="BF"/>
      <w:sz w:val="26"/>
      <w:szCs w:val="26"/>
    </w:rPr>
  </w:style>
  <w:style w:type="paragraph" w:styleId="Nzev">
    <w:name w:val="Title"/>
    <w:basedOn w:val="Normln"/>
    <w:next w:val="Normln"/>
    <w:link w:val="NzevChar"/>
    <w:uiPriority w:val="10"/>
    <w:qFormat/>
    <w:rsid w:val="00955396"/>
    <w:pPr>
      <w:spacing w:after="0" w:line="240" w:lineRule="auto"/>
      <w:contextualSpacing/>
    </w:pPr>
    <w:rPr>
      <w:rFonts w:ascii="Arial" w:eastAsiaTheme="majorEastAsia" w:hAnsi="Arial"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spacing w:line="259" w:lineRule="auto"/>
    </w:pPr>
    <w:rPr>
      <w:rFonts w:ascii="Arial" w:eastAsiaTheme="minorEastAsia" w:hAnsi="Arial"/>
      <w:color w:val="5A5A5A" w:themeColor="text1" w:themeTint="A5"/>
      <w:spacing w:val="15"/>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33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1012</Words>
  <Characters>5976</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Večeřová Ivana</dc:creator>
  <cp:keywords/>
  <dc:description/>
  <cp:lastModifiedBy>MatyasovaE</cp:lastModifiedBy>
  <cp:revision>2</cp:revision>
  <dcterms:created xsi:type="dcterms:W3CDTF">2020-06-19T11:31:00Z</dcterms:created>
  <dcterms:modified xsi:type="dcterms:W3CDTF">2020-06-19T11:31:00Z</dcterms:modified>
</cp:coreProperties>
</file>