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216" w:rsidRPr="003E1216" w:rsidRDefault="003E1216" w:rsidP="00684000">
      <w:pPr>
        <w:pStyle w:val="PShlavika1"/>
        <w:spacing w:line="240" w:lineRule="auto"/>
      </w:pPr>
      <w:r w:rsidRPr="003E1216">
        <w:t>Parlament České republiky</w:t>
      </w:r>
    </w:p>
    <w:p w:rsidR="003E1216" w:rsidRPr="003E1216" w:rsidRDefault="003E1216" w:rsidP="00684000">
      <w:pPr>
        <w:pStyle w:val="PShlavika2"/>
        <w:spacing w:line="240" w:lineRule="auto"/>
      </w:pPr>
      <w:r w:rsidRPr="003E1216">
        <w:t>POSLANECKÁ SNĚMOVNA</w:t>
      </w:r>
    </w:p>
    <w:p w:rsidR="003E1216" w:rsidRPr="003E1216" w:rsidRDefault="00E22AEA" w:rsidP="00684000">
      <w:pPr>
        <w:pStyle w:val="PShlavika2"/>
        <w:spacing w:line="240" w:lineRule="auto"/>
      </w:pPr>
      <w:r>
        <w:t>2020</w:t>
      </w:r>
    </w:p>
    <w:p w:rsidR="003E1216" w:rsidRDefault="00EE2C12" w:rsidP="00684000">
      <w:pPr>
        <w:pStyle w:val="PShlavika1"/>
        <w:spacing w:line="240" w:lineRule="auto"/>
      </w:pPr>
      <w:r>
        <w:t>8</w:t>
      </w:r>
      <w:r w:rsidR="003E1216">
        <w:t>. volební období</w:t>
      </w:r>
    </w:p>
    <w:p w:rsidR="003E1216" w:rsidRPr="00C907C5" w:rsidRDefault="00D70182" w:rsidP="00524661">
      <w:pPr>
        <w:pStyle w:val="PSslousnesen"/>
        <w:spacing w:before="360" w:after="360" w:line="240" w:lineRule="auto"/>
        <w:rPr>
          <w:lang w:eastAsia="cs-CZ"/>
        </w:rPr>
      </w:pPr>
      <w:r>
        <w:rPr>
          <w:lang w:eastAsia="cs-CZ"/>
        </w:rPr>
        <w:t>308</w:t>
      </w:r>
    </w:p>
    <w:p w:rsidR="00F55AFD" w:rsidRDefault="00F55AFD" w:rsidP="00684000">
      <w:pPr>
        <w:pStyle w:val="PShlavika3"/>
        <w:spacing w:line="240" w:lineRule="auto"/>
      </w:pPr>
      <w:r w:rsidRPr="00F55AFD">
        <w:t>USNESENÍ</w:t>
      </w:r>
    </w:p>
    <w:p w:rsidR="00F55AFD" w:rsidRDefault="00F55AFD" w:rsidP="00684000">
      <w:pPr>
        <w:pStyle w:val="PShlavika1"/>
        <w:spacing w:line="240" w:lineRule="auto"/>
        <w:rPr>
          <w:lang w:eastAsia="cs-CZ"/>
        </w:rPr>
      </w:pPr>
      <w:r>
        <w:t>hospodářského výboru</w:t>
      </w:r>
    </w:p>
    <w:p w:rsidR="00C907C5" w:rsidRDefault="00524661" w:rsidP="00684000">
      <w:pPr>
        <w:pStyle w:val="PShlavika1"/>
        <w:spacing w:line="240" w:lineRule="auto"/>
        <w:rPr>
          <w:lang w:eastAsia="cs-CZ"/>
        </w:rPr>
      </w:pPr>
      <w:r>
        <w:t>z</w:t>
      </w:r>
      <w:r w:rsidR="00A2090D">
        <w:t>e</w:t>
      </w:r>
      <w:r w:rsidR="00D87B3C">
        <w:t xml:space="preserve"> </w:t>
      </w:r>
      <w:r w:rsidR="00A2090D">
        <w:t>4</w:t>
      </w:r>
      <w:r w:rsidR="00A903F1">
        <w:t>2</w:t>
      </w:r>
      <w:r w:rsidR="00C907C5">
        <w:t>. schůze</w:t>
      </w:r>
    </w:p>
    <w:p w:rsidR="00C907C5" w:rsidRPr="00684000" w:rsidRDefault="00D87B3C" w:rsidP="006964AB">
      <w:pPr>
        <w:pStyle w:val="PShlavika1"/>
        <w:spacing w:after="240" w:line="240" w:lineRule="auto"/>
        <w:rPr>
          <w:bCs/>
          <w:iCs/>
          <w:lang w:eastAsia="cs-CZ"/>
        </w:rPr>
      </w:pPr>
      <w:r>
        <w:rPr>
          <w:bCs/>
          <w:iCs/>
        </w:rPr>
        <w:t xml:space="preserve">ze dne </w:t>
      </w:r>
      <w:r w:rsidR="00A903F1">
        <w:rPr>
          <w:bCs/>
          <w:iCs/>
        </w:rPr>
        <w:t>10</w:t>
      </w:r>
      <w:r>
        <w:rPr>
          <w:bCs/>
          <w:iCs/>
        </w:rPr>
        <w:t xml:space="preserve">. </w:t>
      </w:r>
      <w:r w:rsidR="00A903F1">
        <w:rPr>
          <w:bCs/>
          <w:iCs/>
        </w:rPr>
        <w:t>červn</w:t>
      </w:r>
      <w:r w:rsidR="00A2090D">
        <w:rPr>
          <w:bCs/>
          <w:iCs/>
        </w:rPr>
        <w:t>a</w:t>
      </w:r>
      <w:r w:rsidR="0033764D">
        <w:rPr>
          <w:bCs/>
          <w:iCs/>
        </w:rPr>
        <w:t xml:space="preserve"> 2020</w:t>
      </w:r>
    </w:p>
    <w:p w:rsidR="00060BDA" w:rsidRPr="004F18AA" w:rsidRDefault="00A84635" w:rsidP="00F13EB9">
      <w:pPr>
        <w:pStyle w:val="PSnzevzkona"/>
        <w:spacing w:before="600" w:after="0" w:line="240" w:lineRule="auto"/>
        <w:rPr>
          <w:rFonts w:eastAsia="Times New Roman"/>
          <w:color w:val="000000"/>
          <w:spacing w:val="-2"/>
          <w:lang w:eastAsia="cs-CZ"/>
        </w:rPr>
      </w:pPr>
      <w:r>
        <w:t xml:space="preserve">k </w:t>
      </w:r>
      <w:r>
        <w:rPr>
          <w:shd w:val="clear" w:color="auto" w:fill="FFFFFF" w:themeFill="background1"/>
        </w:rPr>
        <w:t>v</w:t>
      </w:r>
      <w:r w:rsidRPr="0011685E">
        <w:t>ládní</w:t>
      </w:r>
      <w:r>
        <w:t>mu</w:t>
      </w:r>
      <w:r w:rsidRPr="0011685E">
        <w:t xml:space="preserve"> </w:t>
      </w:r>
      <w:r w:rsidR="00C06E69" w:rsidRPr="00624DFA">
        <w:t>návrh</w:t>
      </w:r>
      <w:r w:rsidR="005C001D">
        <w:t>u</w:t>
      </w:r>
      <w:r w:rsidR="00A020C6">
        <w:t xml:space="preserve"> zákona</w:t>
      </w:r>
      <w:r w:rsidR="0033764D" w:rsidRPr="00F5761B">
        <w:rPr>
          <w:shd w:val="clear" w:color="auto" w:fill="FFFFFF"/>
        </w:rPr>
        <w:t xml:space="preserve">, </w:t>
      </w:r>
      <w:r w:rsidR="009D55DC" w:rsidRPr="00FB633F">
        <w:rPr>
          <w:shd w:val="clear" w:color="auto" w:fill="FFFFFF"/>
        </w:rPr>
        <w:t xml:space="preserve">kterým se mění zákon č. 189/1999 Sb., o nouzových zásobách ropy, o řešení stavů ropné nouze a o změně některých souvisejících zákonů (zákon </w:t>
      </w:r>
      <w:r w:rsidR="00AF1B6C">
        <w:rPr>
          <w:shd w:val="clear" w:color="auto" w:fill="FFFFFF"/>
        </w:rPr>
        <w:br/>
      </w:r>
      <w:r w:rsidR="009D55DC" w:rsidRPr="00FB633F">
        <w:rPr>
          <w:shd w:val="clear" w:color="auto" w:fill="FFFFFF"/>
        </w:rPr>
        <w:t>o nouzových zásobách ropy), ve znění pozdějších předpisů</w:t>
      </w:r>
      <w:r w:rsidR="009D55DC">
        <w:rPr>
          <w:shd w:val="clear" w:color="auto" w:fill="FFFFFF"/>
        </w:rPr>
        <w:t xml:space="preserve"> – </w:t>
      </w:r>
      <w:r w:rsidR="009D55DC" w:rsidRPr="00113348">
        <w:rPr>
          <w:b/>
        </w:rPr>
        <w:t xml:space="preserve">sněmovní tisk </w:t>
      </w:r>
      <w:r w:rsidR="009D55DC">
        <w:rPr>
          <w:b/>
        </w:rPr>
        <w:t>552</w:t>
      </w:r>
    </w:p>
    <w:p w:rsidR="00E83F84" w:rsidRPr="00E83F84" w:rsidRDefault="00E83F84" w:rsidP="00F13EB9">
      <w:pPr>
        <w:spacing w:before="720" w:after="480" w:line="264" w:lineRule="auto"/>
        <w:jc w:val="both"/>
        <w:rPr>
          <w:rFonts w:ascii="Times New Roman" w:hAnsi="Times New Roman"/>
          <w:sz w:val="24"/>
          <w:szCs w:val="24"/>
        </w:rPr>
      </w:pPr>
      <w:r>
        <w:rPr>
          <w:rFonts w:ascii="Times New Roman" w:hAnsi="Times New Roman"/>
          <w:sz w:val="24"/>
          <w:szCs w:val="24"/>
        </w:rPr>
        <w:tab/>
      </w:r>
      <w:r w:rsidRPr="00E83F84">
        <w:rPr>
          <w:rFonts w:ascii="Times New Roman" w:hAnsi="Times New Roman"/>
          <w:sz w:val="24"/>
          <w:szCs w:val="24"/>
        </w:rPr>
        <w:t>Hospodářský výbor Poslanecké sněmovny Parlamentu ČR po vyslechnutí výkladu</w:t>
      </w:r>
      <w:r w:rsidR="001E2E72">
        <w:rPr>
          <w:rFonts w:ascii="Times New Roman" w:hAnsi="Times New Roman"/>
          <w:sz w:val="24"/>
          <w:szCs w:val="24"/>
        </w:rPr>
        <w:t xml:space="preserve"> </w:t>
      </w:r>
      <w:r w:rsidR="001E2E72" w:rsidRPr="00AF1B6C">
        <w:rPr>
          <w:rFonts w:ascii="Times New Roman" w:hAnsi="Times New Roman"/>
          <w:sz w:val="24"/>
          <w:szCs w:val="24"/>
        </w:rPr>
        <w:t>náměstk</w:t>
      </w:r>
      <w:r w:rsidR="00C06E69" w:rsidRPr="00AF1B6C">
        <w:rPr>
          <w:rFonts w:ascii="Times New Roman" w:hAnsi="Times New Roman"/>
          <w:sz w:val="24"/>
          <w:szCs w:val="24"/>
        </w:rPr>
        <w:t>a</w:t>
      </w:r>
      <w:r w:rsidR="001E2E72" w:rsidRPr="00AF1B6C">
        <w:rPr>
          <w:rFonts w:ascii="Times New Roman" w:hAnsi="Times New Roman"/>
          <w:sz w:val="24"/>
          <w:szCs w:val="24"/>
        </w:rPr>
        <w:t xml:space="preserve"> </w:t>
      </w:r>
      <w:r w:rsidR="00C06E69" w:rsidRPr="00AF1B6C">
        <w:rPr>
          <w:rFonts w:ascii="Times New Roman" w:hAnsi="Times New Roman"/>
          <w:sz w:val="24"/>
          <w:szCs w:val="24"/>
        </w:rPr>
        <w:t xml:space="preserve">ministra průmyslu a obchodu </w:t>
      </w:r>
      <w:r w:rsidR="00AF1B6C">
        <w:rPr>
          <w:rFonts w:ascii="Times New Roman" w:hAnsi="Times New Roman"/>
          <w:sz w:val="24"/>
          <w:szCs w:val="24"/>
        </w:rPr>
        <w:t>René Neděly</w:t>
      </w:r>
      <w:r w:rsidR="00940C0E" w:rsidRPr="00AF1B6C">
        <w:rPr>
          <w:rFonts w:ascii="Times New Roman" w:hAnsi="Times New Roman"/>
          <w:sz w:val="24"/>
          <w:szCs w:val="24"/>
        </w:rPr>
        <w:t>,</w:t>
      </w:r>
      <w:r w:rsidR="009B1740" w:rsidRPr="00AF1B6C">
        <w:rPr>
          <w:rFonts w:ascii="Times New Roman" w:hAnsi="Times New Roman"/>
          <w:sz w:val="24"/>
          <w:szCs w:val="24"/>
        </w:rPr>
        <w:t xml:space="preserve"> </w:t>
      </w:r>
      <w:r w:rsidRPr="00E83F84">
        <w:rPr>
          <w:rFonts w:ascii="Times New Roman" w:hAnsi="Times New Roman"/>
          <w:sz w:val="24"/>
          <w:szCs w:val="24"/>
        </w:rPr>
        <w:t xml:space="preserve">zpravodajské </w:t>
      </w:r>
      <w:r w:rsidRPr="00323DBF">
        <w:rPr>
          <w:rFonts w:ascii="Times New Roman" w:hAnsi="Times New Roman"/>
          <w:sz w:val="24"/>
          <w:szCs w:val="24"/>
        </w:rPr>
        <w:t xml:space="preserve">zprávy poslance </w:t>
      </w:r>
      <w:r w:rsidR="009D55DC">
        <w:rPr>
          <w:rFonts w:ascii="Times New Roman" w:hAnsi="Times New Roman"/>
          <w:sz w:val="24"/>
          <w:szCs w:val="24"/>
        </w:rPr>
        <w:t>Pavla Staňka</w:t>
      </w:r>
      <w:r w:rsidRPr="00E83F84">
        <w:rPr>
          <w:rFonts w:ascii="Times New Roman" w:hAnsi="Times New Roman"/>
          <w:sz w:val="24"/>
          <w:szCs w:val="24"/>
        </w:rPr>
        <w:t xml:space="preserve"> a po obecné</w:t>
      </w:r>
      <w:r w:rsidR="006817ED">
        <w:rPr>
          <w:rFonts w:ascii="Times New Roman" w:hAnsi="Times New Roman"/>
          <w:sz w:val="24"/>
          <w:szCs w:val="24"/>
        </w:rPr>
        <w:t xml:space="preserve"> </w:t>
      </w:r>
      <w:r w:rsidR="00F50A46">
        <w:rPr>
          <w:rFonts w:ascii="Times New Roman" w:hAnsi="Times New Roman"/>
          <w:sz w:val="24"/>
          <w:szCs w:val="24"/>
        </w:rPr>
        <w:t xml:space="preserve">a podrobné </w:t>
      </w:r>
      <w:r w:rsidRPr="00E83F84">
        <w:rPr>
          <w:rFonts w:ascii="Times New Roman" w:hAnsi="Times New Roman"/>
          <w:sz w:val="24"/>
          <w:szCs w:val="24"/>
        </w:rPr>
        <w:t>rozpravě</w:t>
      </w:r>
    </w:p>
    <w:p w:rsidR="00F50A46" w:rsidRPr="000F324B" w:rsidRDefault="00F50A46" w:rsidP="0042313F">
      <w:pPr>
        <w:pStyle w:val="Odstavecseseznamem"/>
        <w:numPr>
          <w:ilvl w:val="0"/>
          <w:numId w:val="29"/>
        </w:numPr>
        <w:spacing w:before="240" w:after="240" w:line="240" w:lineRule="auto"/>
        <w:ind w:hanging="720"/>
        <w:contextualSpacing w:val="0"/>
        <w:jc w:val="both"/>
        <w:rPr>
          <w:rFonts w:ascii="Times New Roman" w:eastAsia="Times New Roman" w:hAnsi="Times New Roman"/>
          <w:color w:val="0070C0"/>
          <w:spacing w:val="-4"/>
          <w:sz w:val="24"/>
          <w:szCs w:val="24"/>
          <w:lang w:eastAsia="cs-CZ"/>
        </w:rPr>
      </w:pPr>
      <w:r w:rsidRPr="000F324B">
        <w:rPr>
          <w:rFonts w:ascii="Times New Roman" w:hAnsi="Times New Roman"/>
          <w:b/>
          <w:spacing w:val="30"/>
          <w:sz w:val="24"/>
          <w:szCs w:val="24"/>
        </w:rPr>
        <w:t>doporučuje</w:t>
      </w:r>
      <w:r w:rsidRPr="000F324B">
        <w:rPr>
          <w:rFonts w:ascii="Times New Roman" w:hAnsi="Times New Roman"/>
          <w:sz w:val="24"/>
          <w:szCs w:val="24"/>
        </w:rPr>
        <w:t xml:space="preserve"> Poslanecké sněmovně Parlamentu ČR </w:t>
      </w:r>
      <w:r w:rsidRPr="000F324B">
        <w:rPr>
          <w:rFonts w:ascii="Times New Roman" w:hAnsi="Times New Roman"/>
          <w:spacing w:val="30"/>
          <w:sz w:val="24"/>
          <w:szCs w:val="24"/>
        </w:rPr>
        <w:t>projednat a schválit</w:t>
      </w:r>
      <w:r w:rsidRPr="000F324B">
        <w:rPr>
          <w:rFonts w:ascii="Times New Roman" w:hAnsi="Times New Roman"/>
          <w:sz w:val="24"/>
          <w:szCs w:val="24"/>
        </w:rPr>
        <w:t xml:space="preserve"> </w:t>
      </w:r>
      <w:r w:rsidRPr="000F324B">
        <w:rPr>
          <w:rFonts w:ascii="Times New Roman" w:hAnsi="Times New Roman"/>
          <w:b/>
          <w:sz w:val="24"/>
          <w:szCs w:val="24"/>
        </w:rPr>
        <w:t xml:space="preserve">sněmovní tisk </w:t>
      </w:r>
      <w:r>
        <w:rPr>
          <w:rFonts w:ascii="Times New Roman" w:hAnsi="Times New Roman"/>
          <w:b/>
          <w:sz w:val="24"/>
          <w:szCs w:val="24"/>
        </w:rPr>
        <w:t>552</w:t>
      </w:r>
      <w:r w:rsidRPr="000F324B">
        <w:rPr>
          <w:rFonts w:ascii="Times New Roman" w:hAnsi="Times New Roman"/>
          <w:sz w:val="24"/>
          <w:szCs w:val="24"/>
        </w:rPr>
        <w:t xml:space="preserve"> </w:t>
      </w:r>
      <w:r w:rsidRPr="000F324B">
        <w:rPr>
          <w:rFonts w:ascii="Times New Roman" w:hAnsi="Times New Roman"/>
          <w:color w:val="000000" w:themeColor="text1"/>
          <w:sz w:val="24"/>
          <w:szCs w:val="24"/>
        </w:rPr>
        <w:t xml:space="preserve">ve znění schválených pozměňovacích návrhů </w:t>
      </w:r>
    </w:p>
    <w:p w:rsidR="00C239ED" w:rsidRPr="00C239ED" w:rsidRDefault="00C239ED" w:rsidP="00F13EB9">
      <w:pPr>
        <w:pStyle w:val="Odstavecseseznamem"/>
        <w:numPr>
          <w:ilvl w:val="0"/>
          <w:numId w:val="31"/>
        </w:numPr>
        <w:spacing w:before="480" w:after="120" w:line="240" w:lineRule="auto"/>
        <w:ind w:left="714" w:hanging="357"/>
        <w:contextualSpacing w:val="0"/>
        <w:rPr>
          <w:rFonts w:ascii="Times New Roman" w:hAnsi="Times New Roman"/>
          <w:sz w:val="24"/>
          <w:szCs w:val="24"/>
        </w:rPr>
      </w:pPr>
      <w:r w:rsidRPr="00C239ED">
        <w:rPr>
          <w:rFonts w:ascii="Times New Roman" w:hAnsi="Times New Roman"/>
          <w:sz w:val="24"/>
          <w:szCs w:val="24"/>
        </w:rPr>
        <w:t>V </w:t>
      </w:r>
      <w:r w:rsidR="00D70182">
        <w:rPr>
          <w:rFonts w:ascii="Times New Roman" w:hAnsi="Times New Roman"/>
          <w:sz w:val="24"/>
          <w:szCs w:val="24"/>
        </w:rPr>
        <w:t>čl</w:t>
      </w:r>
      <w:r w:rsidRPr="00C239ED">
        <w:rPr>
          <w:rFonts w:ascii="Times New Roman" w:hAnsi="Times New Roman"/>
          <w:sz w:val="24"/>
          <w:szCs w:val="24"/>
        </w:rPr>
        <w:t>. I se za bod 1 vkládá nový bod 2, který zní:</w:t>
      </w:r>
    </w:p>
    <w:p w:rsidR="00C239ED" w:rsidRPr="00C239ED" w:rsidRDefault="00C239ED" w:rsidP="008C4757">
      <w:pPr>
        <w:spacing w:after="120" w:line="240" w:lineRule="auto"/>
        <w:ind w:left="709"/>
        <w:jc w:val="both"/>
        <w:rPr>
          <w:rFonts w:ascii="Times New Roman" w:hAnsi="Times New Roman"/>
          <w:sz w:val="24"/>
          <w:szCs w:val="24"/>
        </w:rPr>
      </w:pPr>
      <w:r w:rsidRPr="00C239ED">
        <w:rPr>
          <w:rFonts w:ascii="Times New Roman" w:hAnsi="Times New Roman"/>
          <w:sz w:val="24"/>
          <w:szCs w:val="24"/>
        </w:rPr>
        <w:t>„2. V § 1a se na konci písmene k) tečka nahrazuje čárkou a doplňuje se písmeno l), které zní:</w:t>
      </w:r>
    </w:p>
    <w:p w:rsidR="00C239ED" w:rsidRPr="00C239ED" w:rsidRDefault="00C239ED" w:rsidP="008C4757">
      <w:pPr>
        <w:pStyle w:val="Odstavecseseznamem"/>
        <w:spacing w:after="0" w:line="240" w:lineRule="auto"/>
        <w:ind w:left="709"/>
        <w:contextualSpacing w:val="0"/>
        <w:jc w:val="both"/>
        <w:rPr>
          <w:rFonts w:ascii="Times New Roman" w:hAnsi="Times New Roman"/>
          <w:sz w:val="24"/>
          <w:szCs w:val="24"/>
        </w:rPr>
      </w:pPr>
      <w:r w:rsidRPr="00C239ED">
        <w:rPr>
          <w:rFonts w:ascii="Times New Roman" w:hAnsi="Times New Roman"/>
          <w:sz w:val="24"/>
          <w:szCs w:val="24"/>
        </w:rPr>
        <w:t>„l) tikety rezervační smlouva na přednostní nákup určitého množství zásob ropy a  ropných produktů v případě vyhlášení stavu ropné nouze.“</w:t>
      </w:r>
      <w:r>
        <w:rPr>
          <w:rFonts w:ascii="Times New Roman" w:hAnsi="Times New Roman"/>
          <w:sz w:val="24"/>
          <w:szCs w:val="24"/>
        </w:rPr>
        <w:t>.</w:t>
      </w:r>
    </w:p>
    <w:p w:rsidR="00C239ED" w:rsidRPr="00C239ED" w:rsidRDefault="00C239ED" w:rsidP="008C4757">
      <w:pPr>
        <w:pStyle w:val="Odstavecseseznamem"/>
        <w:spacing w:before="120" w:after="360" w:line="240" w:lineRule="auto"/>
        <w:ind w:left="357" w:firstLine="352"/>
        <w:contextualSpacing w:val="0"/>
        <w:jc w:val="both"/>
        <w:rPr>
          <w:rFonts w:ascii="Times New Roman" w:hAnsi="Times New Roman"/>
          <w:sz w:val="24"/>
          <w:szCs w:val="24"/>
        </w:rPr>
      </w:pPr>
      <w:r w:rsidRPr="00C239ED">
        <w:rPr>
          <w:rFonts w:ascii="Times New Roman" w:hAnsi="Times New Roman"/>
          <w:sz w:val="24"/>
          <w:szCs w:val="24"/>
        </w:rPr>
        <w:t>Dosavadní bod 2 se označuje jako bod 3.</w:t>
      </w:r>
    </w:p>
    <w:p w:rsidR="00C239ED" w:rsidRPr="00BC1294" w:rsidRDefault="00C239ED" w:rsidP="00F13EB9">
      <w:pPr>
        <w:pStyle w:val="Odstavecseseznamem"/>
        <w:numPr>
          <w:ilvl w:val="0"/>
          <w:numId w:val="31"/>
        </w:numPr>
        <w:spacing w:before="480" w:after="120" w:line="240" w:lineRule="auto"/>
        <w:ind w:left="714" w:hanging="357"/>
        <w:contextualSpacing w:val="0"/>
        <w:jc w:val="both"/>
        <w:rPr>
          <w:rFonts w:ascii="Times New Roman" w:hAnsi="Times New Roman"/>
          <w:sz w:val="24"/>
          <w:szCs w:val="24"/>
        </w:rPr>
      </w:pPr>
      <w:r w:rsidRPr="00BC1294">
        <w:rPr>
          <w:rFonts w:ascii="Times New Roman" w:hAnsi="Times New Roman"/>
          <w:sz w:val="24"/>
          <w:szCs w:val="24"/>
        </w:rPr>
        <w:t>V </w:t>
      </w:r>
      <w:r w:rsidR="00D70182">
        <w:rPr>
          <w:rFonts w:ascii="Times New Roman" w:hAnsi="Times New Roman"/>
          <w:sz w:val="24"/>
          <w:szCs w:val="24"/>
        </w:rPr>
        <w:t>č</w:t>
      </w:r>
      <w:r w:rsidRPr="00BC1294">
        <w:rPr>
          <w:rFonts w:ascii="Times New Roman" w:hAnsi="Times New Roman"/>
          <w:sz w:val="24"/>
          <w:szCs w:val="24"/>
        </w:rPr>
        <w:t xml:space="preserve">l. I se za bod 3 </w:t>
      </w:r>
      <w:r w:rsidR="00BC1294">
        <w:rPr>
          <w:rFonts w:ascii="Times New Roman" w:hAnsi="Times New Roman"/>
          <w:sz w:val="24"/>
          <w:szCs w:val="24"/>
        </w:rPr>
        <w:t>(</w:t>
      </w:r>
      <w:r w:rsidRPr="00BC1294">
        <w:rPr>
          <w:rFonts w:ascii="Times New Roman" w:hAnsi="Times New Roman"/>
          <w:sz w:val="24"/>
          <w:szCs w:val="24"/>
        </w:rPr>
        <w:t>dosavadní bod 2) doplňují body 4 až 8, které znějí:</w:t>
      </w:r>
    </w:p>
    <w:p w:rsidR="00C239ED" w:rsidRPr="00C239ED" w:rsidRDefault="00C239ED" w:rsidP="008C4757">
      <w:pPr>
        <w:pStyle w:val="Odstavecseseznamem"/>
        <w:spacing w:before="120" w:after="120" w:line="240" w:lineRule="auto"/>
        <w:ind w:left="709" w:hanging="352"/>
        <w:contextualSpacing w:val="0"/>
        <w:jc w:val="both"/>
        <w:rPr>
          <w:rFonts w:ascii="Times New Roman" w:hAnsi="Times New Roman"/>
          <w:sz w:val="24"/>
          <w:szCs w:val="24"/>
        </w:rPr>
      </w:pPr>
      <w:r w:rsidRPr="00C239ED">
        <w:rPr>
          <w:rFonts w:ascii="Times New Roman" w:hAnsi="Times New Roman"/>
          <w:sz w:val="24"/>
          <w:szCs w:val="24"/>
        </w:rPr>
        <w:t xml:space="preserve"> </w:t>
      </w:r>
      <w:r w:rsidR="00BC1294">
        <w:rPr>
          <w:rFonts w:ascii="Times New Roman" w:hAnsi="Times New Roman"/>
          <w:sz w:val="24"/>
          <w:szCs w:val="24"/>
        </w:rPr>
        <w:tab/>
      </w:r>
      <w:r w:rsidRPr="00C239ED">
        <w:rPr>
          <w:rFonts w:ascii="Times New Roman" w:hAnsi="Times New Roman"/>
          <w:sz w:val="24"/>
          <w:szCs w:val="24"/>
        </w:rPr>
        <w:t xml:space="preserve">„4. </w:t>
      </w:r>
      <w:proofErr w:type="gramStart"/>
      <w:r w:rsidRPr="00C239ED">
        <w:rPr>
          <w:rFonts w:ascii="Times New Roman" w:hAnsi="Times New Roman"/>
          <w:sz w:val="24"/>
          <w:szCs w:val="24"/>
        </w:rPr>
        <w:t>V § 3 odstavec</w:t>
      </w:r>
      <w:proofErr w:type="gramEnd"/>
      <w:r w:rsidRPr="00C239ED">
        <w:rPr>
          <w:rFonts w:ascii="Times New Roman" w:hAnsi="Times New Roman"/>
          <w:sz w:val="24"/>
          <w:szCs w:val="24"/>
        </w:rPr>
        <w:t xml:space="preserve"> 13 zní:</w:t>
      </w:r>
    </w:p>
    <w:p w:rsidR="00C239ED" w:rsidRPr="00C239ED" w:rsidRDefault="00C239ED" w:rsidP="008C4757">
      <w:pPr>
        <w:pStyle w:val="Odstavecseseznamem"/>
        <w:spacing w:after="120" w:line="240" w:lineRule="auto"/>
        <w:ind w:left="709"/>
        <w:contextualSpacing w:val="0"/>
        <w:jc w:val="both"/>
        <w:rPr>
          <w:rFonts w:ascii="Times New Roman" w:hAnsi="Times New Roman"/>
          <w:sz w:val="24"/>
          <w:szCs w:val="24"/>
        </w:rPr>
      </w:pPr>
      <w:r w:rsidRPr="00C239ED">
        <w:rPr>
          <w:rFonts w:ascii="Times New Roman" w:hAnsi="Times New Roman"/>
          <w:sz w:val="24"/>
          <w:szCs w:val="24"/>
        </w:rPr>
        <w:t>„(13) Skladování nouzových zásob České republiky na území jiného členského státu Evropské unie vyžaduje předchozí souhlas vlády.“.</w:t>
      </w:r>
    </w:p>
    <w:p w:rsidR="00C239ED" w:rsidRPr="00C239ED" w:rsidRDefault="00C239ED" w:rsidP="00F13EB9">
      <w:pPr>
        <w:pStyle w:val="Odstavecseseznamem"/>
        <w:spacing w:before="240" w:after="120" w:line="240" w:lineRule="auto"/>
        <w:ind w:left="709"/>
        <w:contextualSpacing w:val="0"/>
        <w:jc w:val="both"/>
        <w:rPr>
          <w:rFonts w:ascii="Times New Roman" w:hAnsi="Times New Roman"/>
          <w:sz w:val="24"/>
          <w:szCs w:val="24"/>
        </w:rPr>
      </w:pPr>
      <w:r w:rsidRPr="00C239ED">
        <w:rPr>
          <w:rFonts w:ascii="Times New Roman" w:hAnsi="Times New Roman"/>
          <w:sz w:val="24"/>
          <w:szCs w:val="24"/>
        </w:rPr>
        <w:t>5. V § 3 se za odstavec 15 vkládají nové odstavce 16 a 17, které znějí:</w:t>
      </w:r>
    </w:p>
    <w:p w:rsidR="00C239ED" w:rsidRPr="00C239ED" w:rsidRDefault="00C239ED" w:rsidP="008C4757">
      <w:pPr>
        <w:pStyle w:val="Odstavecseseznamem"/>
        <w:spacing w:after="120" w:line="240" w:lineRule="auto"/>
        <w:ind w:left="709"/>
        <w:contextualSpacing w:val="0"/>
        <w:jc w:val="both"/>
        <w:rPr>
          <w:rFonts w:ascii="Times New Roman" w:hAnsi="Times New Roman"/>
          <w:sz w:val="24"/>
          <w:szCs w:val="24"/>
        </w:rPr>
      </w:pPr>
      <w:r w:rsidRPr="00C239ED">
        <w:rPr>
          <w:rFonts w:ascii="Times New Roman" w:hAnsi="Times New Roman"/>
          <w:sz w:val="24"/>
          <w:szCs w:val="24"/>
        </w:rPr>
        <w:t>„(16) Skladování nouzových zásob jiného členského státu Evropské unie na území České republiky, včetně skladování formou tiketů, vyžaduje pro dobu trvání skladování nouzových zásob jiného členského státu Evropské unie na území České republiky předchozí souhlas Ministerstva průmyslu a obchodu (dále jen „ministerstvo“). Ministerstvo si před vydáním rozhodnutí vyžádá vyjádření Správy. Předchozí souhlas ministerstva je vyžadován i v případě zvýšení objemu skladovaných nouzových zásob v průběhu trvání souhlasu  o skladování</w:t>
      </w:r>
      <w:r w:rsidRPr="00C239ED" w:rsidDel="00D12C56">
        <w:rPr>
          <w:rFonts w:ascii="Times New Roman" w:hAnsi="Times New Roman"/>
          <w:sz w:val="24"/>
          <w:szCs w:val="24"/>
        </w:rPr>
        <w:t xml:space="preserve"> </w:t>
      </w:r>
      <w:r w:rsidRPr="00C239ED">
        <w:rPr>
          <w:rFonts w:ascii="Times New Roman" w:hAnsi="Times New Roman"/>
          <w:sz w:val="24"/>
          <w:szCs w:val="24"/>
        </w:rPr>
        <w:t xml:space="preserve">nebo rozšíření pověření ke skladování nouzových zásob jiného členského státu Evropské unie na území České republiky. </w:t>
      </w:r>
    </w:p>
    <w:p w:rsidR="00C239ED" w:rsidRPr="00C239ED" w:rsidRDefault="00C239ED" w:rsidP="00F13EB9">
      <w:pPr>
        <w:pStyle w:val="Odstavecseseznamem"/>
        <w:spacing w:before="240" w:after="120" w:line="240" w:lineRule="auto"/>
        <w:ind w:left="425" w:firstLine="284"/>
        <w:contextualSpacing w:val="0"/>
        <w:jc w:val="both"/>
        <w:rPr>
          <w:rFonts w:ascii="Times New Roman" w:hAnsi="Times New Roman"/>
          <w:sz w:val="24"/>
          <w:szCs w:val="24"/>
        </w:rPr>
      </w:pPr>
      <w:r w:rsidRPr="00C239ED">
        <w:rPr>
          <w:rFonts w:ascii="Times New Roman" w:hAnsi="Times New Roman"/>
          <w:sz w:val="24"/>
          <w:szCs w:val="24"/>
        </w:rPr>
        <w:lastRenderedPageBreak/>
        <w:t xml:space="preserve">(17) Žádost o souhlas ministerstva podle odstavce 16 musí obsahovat: </w:t>
      </w:r>
    </w:p>
    <w:p w:rsidR="00C239ED" w:rsidRPr="00C239ED" w:rsidRDefault="00C239ED" w:rsidP="00BC1294">
      <w:pPr>
        <w:pStyle w:val="Odstavecseseznamem"/>
        <w:numPr>
          <w:ilvl w:val="0"/>
          <w:numId w:val="30"/>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identifikační údaje žadatele,</w:t>
      </w:r>
    </w:p>
    <w:p w:rsidR="00C239ED" w:rsidRPr="00C239ED" w:rsidRDefault="00C239ED" w:rsidP="00BC1294">
      <w:pPr>
        <w:pStyle w:val="Odstavecseseznamem"/>
        <w:numPr>
          <w:ilvl w:val="0"/>
          <w:numId w:val="30"/>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název členského státu Evropské unie, pro který jsou nouzové zásoby na území České republiky skladovány,</w:t>
      </w:r>
    </w:p>
    <w:p w:rsidR="00C239ED" w:rsidRPr="00C239ED" w:rsidRDefault="00C239ED" w:rsidP="00BC1294">
      <w:pPr>
        <w:pStyle w:val="Odstavecseseznamem"/>
        <w:numPr>
          <w:ilvl w:val="0"/>
          <w:numId w:val="30"/>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 xml:space="preserve">identifikační údaje subjektu, pro který jsou nouzové zásoby skladovány, </w:t>
      </w:r>
    </w:p>
    <w:p w:rsidR="00C239ED" w:rsidRPr="00C239ED" w:rsidRDefault="00C239ED" w:rsidP="00BC1294">
      <w:pPr>
        <w:pStyle w:val="Odstavecseseznamem"/>
        <w:numPr>
          <w:ilvl w:val="0"/>
          <w:numId w:val="30"/>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místo skladování nouzových zásob jiného členského státu Evropské unie na území České republiky,</w:t>
      </w:r>
    </w:p>
    <w:p w:rsidR="00C239ED" w:rsidRPr="00C239ED" w:rsidRDefault="00C239ED" w:rsidP="00BC1294">
      <w:pPr>
        <w:pStyle w:val="Odstavecseseznamem"/>
        <w:numPr>
          <w:ilvl w:val="0"/>
          <w:numId w:val="30"/>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množství skladovaných nouzových zásob,</w:t>
      </w:r>
    </w:p>
    <w:p w:rsidR="00C239ED" w:rsidRPr="00C239ED" w:rsidRDefault="00C239ED" w:rsidP="00BC1294">
      <w:pPr>
        <w:pStyle w:val="Odstavecseseznamem"/>
        <w:numPr>
          <w:ilvl w:val="0"/>
          <w:numId w:val="30"/>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doba, po kterou budou nouzové zásoby na území České republiky skladovány,</w:t>
      </w:r>
    </w:p>
    <w:p w:rsidR="00C239ED" w:rsidRPr="00C239ED" w:rsidRDefault="00C239ED" w:rsidP="00BC1294">
      <w:pPr>
        <w:pStyle w:val="Odstavecseseznamem"/>
        <w:numPr>
          <w:ilvl w:val="0"/>
          <w:numId w:val="30"/>
        </w:numPr>
        <w:spacing w:after="0" w:line="240" w:lineRule="auto"/>
        <w:ind w:left="1276" w:hanging="425"/>
        <w:contextualSpacing w:val="0"/>
        <w:jc w:val="both"/>
        <w:rPr>
          <w:rFonts w:ascii="Times New Roman" w:hAnsi="Times New Roman"/>
          <w:sz w:val="24"/>
          <w:szCs w:val="24"/>
        </w:rPr>
      </w:pPr>
      <w:r w:rsidRPr="00C239ED">
        <w:rPr>
          <w:rFonts w:ascii="Times New Roman" w:hAnsi="Times New Roman"/>
          <w:sz w:val="24"/>
          <w:szCs w:val="24"/>
        </w:rPr>
        <w:t xml:space="preserve">údaj, zda se jedná o nouzové zásoby ve formě ropy nebo ropných produktů. “. </w:t>
      </w:r>
    </w:p>
    <w:p w:rsidR="00C239ED" w:rsidRPr="00C239ED" w:rsidRDefault="00C239ED" w:rsidP="00F13EB9">
      <w:pPr>
        <w:spacing w:before="240" w:after="0" w:line="240" w:lineRule="auto"/>
        <w:ind w:firstLine="709"/>
        <w:jc w:val="both"/>
        <w:rPr>
          <w:rFonts w:ascii="Times New Roman" w:hAnsi="Times New Roman"/>
          <w:sz w:val="24"/>
          <w:szCs w:val="24"/>
        </w:rPr>
      </w:pPr>
      <w:r w:rsidRPr="00C239ED">
        <w:rPr>
          <w:rFonts w:ascii="Times New Roman" w:hAnsi="Times New Roman"/>
          <w:sz w:val="24"/>
          <w:szCs w:val="24"/>
        </w:rPr>
        <w:t xml:space="preserve">Dosavadní odstavec 16 se označuje jako odstavec 18. </w:t>
      </w:r>
    </w:p>
    <w:p w:rsidR="00C239ED" w:rsidRPr="00C239ED" w:rsidRDefault="00C239ED" w:rsidP="00F13EB9">
      <w:pPr>
        <w:spacing w:before="240" w:after="240" w:line="240" w:lineRule="auto"/>
        <w:ind w:left="709"/>
        <w:jc w:val="both"/>
        <w:rPr>
          <w:rFonts w:ascii="Times New Roman" w:hAnsi="Times New Roman"/>
          <w:sz w:val="24"/>
          <w:szCs w:val="24"/>
        </w:rPr>
      </w:pPr>
      <w:r w:rsidRPr="00C239ED">
        <w:rPr>
          <w:rFonts w:ascii="Times New Roman" w:hAnsi="Times New Roman"/>
          <w:sz w:val="24"/>
          <w:szCs w:val="24"/>
        </w:rPr>
        <w:t xml:space="preserve">6. V § 5 odst. 1 se text „§ 3 odst. 16“ nahrazuje textem „§ 3 odst. 18“. </w:t>
      </w:r>
    </w:p>
    <w:p w:rsidR="00C239ED" w:rsidRPr="00C239ED" w:rsidRDefault="00C239ED" w:rsidP="00F13EB9">
      <w:pPr>
        <w:spacing w:before="240" w:after="120" w:line="240" w:lineRule="auto"/>
        <w:ind w:left="709"/>
        <w:jc w:val="both"/>
        <w:rPr>
          <w:rFonts w:ascii="Times New Roman" w:hAnsi="Times New Roman"/>
          <w:sz w:val="24"/>
          <w:szCs w:val="24"/>
        </w:rPr>
      </w:pPr>
      <w:r w:rsidRPr="00C239ED">
        <w:rPr>
          <w:rFonts w:ascii="Times New Roman" w:hAnsi="Times New Roman"/>
          <w:sz w:val="24"/>
          <w:szCs w:val="24"/>
        </w:rPr>
        <w:t>7. V § 9 odst. 1 písm. e) se slova „Ministerstvu průmyslu a obchodu“ nahrazují slovem „ministerstvu“.</w:t>
      </w:r>
    </w:p>
    <w:p w:rsidR="00C239ED" w:rsidRPr="00C239ED" w:rsidRDefault="00C239ED" w:rsidP="00F13EB9">
      <w:pPr>
        <w:spacing w:before="240" w:line="240" w:lineRule="auto"/>
        <w:ind w:left="709"/>
        <w:jc w:val="both"/>
        <w:rPr>
          <w:rFonts w:ascii="Times New Roman" w:hAnsi="Times New Roman"/>
          <w:sz w:val="24"/>
          <w:szCs w:val="24"/>
        </w:rPr>
      </w:pPr>
      <w:r w:rsidRPr="00C239ED">
        <w:rPr>
          <w:rFonts w:ascii="Times New Roman" w:hAnsi="Times New Roman"/>
          <w:sz w:val="24"/>
          <w:szCs w:val="24"/>
        </w:rPr>
        <w:t>8. V § 9 odst. 1 písm. f) se slova „Ministerstvo průmyslu a obchodu“ nahrazují slovy „ministerstvo“.</w:t>
      </w:r>
      <w:r w:rsidR="008C4757">
        <w:rPr>
          <w:rFonts w:ascii="Times New Roman" w:hAnsi="Times New Roman"/>
          <w:sz w:val="24"/>
          <w:szCs w:val="24"/>
        </w:rPr>
        <w:t>“.</w:t>
      </w:r>
    </w:p>
    <w:p w:rsidR="00C239ED" w:rsidRPr="00AF50A6" w:rsidRDefault="00C239ED" w:rsidP="00F13EB9">
      <w:pPr>
        <w:pStyle w:val="Odstavecseseznamem"/>
        <w:numPr>
          <w:ilvl w:val="0"/>
          <w:numId w:val="31"/>
        </w:numPr>
        <w:spacing w:before="480" w:after="0" w:line="240" w:lineRule="auto"/>
        <w:ind w:left="714" w:hanging="357"/>
        <w:contextualSpacing w:val="0"/>
        <w:jc w:val="both"/>
        <w:rPr>
          <w:rFonts w:ascii="Times New Roman" w:hAnsi="Times New Roman"/>
          <w:sz w:val="24"/>
          <w:szCs w:val="24"/>
        </w:rPr>
      </w:pPr>
      <w:r w:rsidRPr="00AF50A6">
        <w:rPr>
          <w:rFonts w:ascii="Times New Roman" w:hAnsi="Times New Roman"/>
          <w:sz w:val="24"/>
          <w:szCs w:val="24"/>
        </w:rPr>
        <w:t>Za čl</w:t>
      </w:r>
      <w:r w:rsidR="00AF50A6">
        <w:rPr>
          <w:rFonts w:ascii="Times New Roman" w:hAnsi="Times New Roman"/>
          <w:sz w:val="24"/>
          <w:szCs w:val="24"/>
        </w:rPr>
        <w:t xml:space="preserve">. </w:t>
      </w:r>
      <w:r w:rsidRPr="00AF50A6">
        <w:rPr>
          <w:rFonts w:ascii="Times New Roman" w:hAnsi="Times New Roman"/>
          <w:sz w:val="24"/>
          <w:szCs w:val="24"/>
        </w:rPr>
        <w:t xml:space="preserve">I se vkládá </w:t>
      </w:r>
      <w:r w:rsidR="00AF50A6">
        <w:rPr>
          <w:rFonts w:ascii="Times New Roman" w:hAnsi="Times New Roman"/>
          <w:sz w:val="24"/>
          <w:szCs w:val="24"/>
        </w:rPr>
        <w:t xml:space="preserve">nový </w:t>
      </w:r>
      <w:r w:rsidRPr="00AF50A6">
        <w:rPr>
          <w:rFonts w:ascii="Times New Roman" w:hAnsi="Times New Roman"/>
          <w:sz w:val="24"/>
          <w:szCs w:val="24"/>
        </w:rPr>
        <w:t>čl</w:t>
      </w:r>
      <w:r w:rsidR="00AF50A6">
        <w:rPr>
          <w:rFonts w:ascii="Times New Roman" w:hAnsi="Times New Roman"/>
          <w:sz w:val="24"/>
          <w:szCs w:val="24"/>
        </w:rPr>
        <w:t xml:space="preserve">. </w:t>
      </w:r>
      <w:r w:rsidRPr="00AF50A6">
        <w:rPr>
          <w:rFonts w:ascii="Times New Roman" w:hAnsi="Times New Roman"/>
          <w:sz w:val="24"/>
          <w:szCs w:val="24"/>
        </w:rPr>
        <w:t xml:space="preserve">II, který zní: </w:t>
      </w:r>
    </w:p>
    <w:p w:rsidR="00C239ED" w:rsidRPr="001A1A7F" w:rsidRDefault="00C239ED" w:rsidP="001A1A7F">
      <w:pPr>
        <w:spacing w:before="120" w:after="120" w:line="240" w:lineRule="auto"/>
        <w:ind w:left="709"/>
        <w:jc w:val="center"/>
        <w:rPr>
          <w:rFonts w:ascii="Times New Roman" w:hAnsi="Times New Roman"/>
          <w:sz w:val="24"/>
          <w:szCs w:val="24"/>
        </w:rPr>
      </w:pPr>
      <w:r w:rsidRPr="001A1A7F">
        <w:rPr>
          <w:rFonts w:ascii="Times New Roman" w:hAnsi="Times New Roman"/>
          <w:sz w:val="24"/>
          <w:szCs w:val="24"/>
        </w:rPr>
        <w:t>„Čl. II</w:t>
      </w:r>
    </w:p>
    <w:p w:rsidR="00C239ED" w:rsidRPr="001A1A7F" w:rsidRDefault="00C239ED" w:rsidP="001A1A7F">
      <w:pPr>
        <w:spacing w:before="120" w:after="120" w:line="240" w:lineRule="auto"/>
        <w:ind w:left="709"/>
        <w:jc w:val="center"/>
        <w:rPr>
          <w:rFonts w:ascii="Times New Roman" w:hAnsi="Times New Roman"/>
          <w:sz w:val="24"/>
          <w:szCs w:val="24"/>
        </w:rPr>
      </w:pPr>
      <w:r w:rsidRPr="001A1A7F">
        <w:rPr>
          <w:rFonts w:ascii="Times New Roman" w:hAnsi="Times New Roman"/>
          <w:sz w:val="24"/>
          <w:szCs w:val="24"/>
        </w:rPr>
        <w:t>Přechodné ustanovení</w:t>
      </w:r>
    </w:p>
    <w:p w:rsidR="00C239ED" w:rsidRPr="00C239ED" w:rsidRDefault="00C239ED" w:rsidP="001A1A7F">
      <w:pPr>
        <w:spacing w:line="240" w:lineRule="auto"/>
        <w:ind w:left="709" w:firstLine="709"/>
        <w:jc w:val="both"/>
        <w:rPr>
          <w:rFonts w:ascii="Times New Roman" w:hAnsi="Times New Roman"/>
          <w:sz w:val="24"/>
          <w:szCs w:val="24"/>
        </w:rPr>
      </w:pPr>
      <w:r w:rsidRPr="00C239ED">
        <w:rPr>
          <w:rFonts w:ascii="Times New Roman" w:hAnsi="Times New Roman"/>
          <w:sz w:val="24"/>
          <w:szCs w:val="24"/>
        </w:rPr>
        <w:t>Žádosti o souhlas vlády se skladováním nouzových zásob podané přede dnem nabytí účinnosti tohoto zákona se posoudí podle dosavadních právních předpisů.“.</w:t>
      </w:r>
    </w:p>
    <w:p w:rsidR="00C239ED" w:rsidRDefault="00C239ED" w:rsidP="00F13EB9">
      <w:pPr>
        <w:spacing w:before="240" w:after="0" w:line="240" w:lineRule="auto"/>
        <w:ind w:firstLine="709"/>
        <w:jc w:val="both"/>
        <w:rPr>
          <w:rFonts w:ascii="Times New Roman" w:hAnsi="Times New Roman"/>
          <w:sz w:val="24"/>
          <w:szCs w:val="24"/>
        </w:rPr>
      </w:pPr>
      <w:r w:rsidRPr="00C239ED">
        <w:rPr>
          <w:rFonts w:ascii="Times New Roman" w:hAnsi="Times New Roman"/>
          <w:sz w:val="24"/>
          <w:szCs w:val="24"/>
        </w:rPr>
        <w:t>Dosavadní článek II se označuje jako článek III.</w:t>
      </w:r>
    </w:p>
    <w:p w:rsidR="0042313F" w:rsidRPr="0042313F" w:rsidRDefault="0042313F" w:rsidP="00F13EB9">
      <w:pPr>
        <w:pStyle w:val="Odstavecseseznamem"/>
        <w:numPr>
          <w:ilvl w:val="0"/>
          <w:numId w:val="32"/>
        </w:numPr>
        <w:spacing w:before="480" w:after="0" w:line="240" w:lineRule="auto"/>
        <w:ind w:left="709" w:hanging="425"/>
        <w:contextualSpacing w:val="0"/>
        <w:jc w:val="both"/>
        <w:rPr>
          <w:rFonts w:ascii="Times New Roman" w:hAnsi="Times New Roman"/>
          <w:sz w:val="24"/>
          <w:szCs w:val="24"/>
        </w:rPr>
      </w:pPr>
      <w:r>
        <w:rPr>
          <w:rFonts w:ascii="Times New Roman" w:hAnsi="Times New Roman"/>
          <w:sz w:val="24"/>
          <w:szCs w:val="24"/>
        </w:rPr>
        <w:t>V čl. I</w:t>
      </w:r>
      <w:r w:rsidR="00102A15">
        <w:rPr>
          <w:rFonts w:ascii="Times New Roman" w:hAnsi="Times New Roman"/>
          <w:sz w:val="24"/>
          <w:szCs w:val="24"/>
        </w:rPr>
        <w:t>I</w:t>
      </w:r>
      <w:r>
        <w:rPr>
          <w:rFonts w:ascii="Times New Roman" w:hAnsi="Times New Roman"/>
          <w:sz w:val="24"/>
          <w:szCs w:val="24"/>
        </w:rPr>
        <w:t>I. se slova „dnem 1. ledna 2020“ nahrazují slovy „patnáctým dnem po jeho vyhlášení“.</w:t>
      </w:r>
    </w:p>
    <w:p w:rsidR="00F50A46" w:rsidRPr="000F324B" w:rsidRDefault="00F50A46" w:rsidP="00F13EB9">
      <w:pPr>
        <w:pStyle w:val="Odstavecseseznamem"/>
        <w:numPr>
          <w:ilvl w:val="0"/>
          <w:numId w:val="29"/>
        </w:numPr>
        <w:suppressAutoHyphens/>
        <w:spacing w:before="600" w:after="480" w:line="240" w:lineRule="auto"/>
        <w:ind w:hanging="720"/>
        <w:contextualSpacing w:val="0"/>
        <w:jc w:val="both"/>
        <w:rPr>
          <w:rFonts w:ascii="Times New Roman" w:eastAsia="Times New Roman" w:hAnsi="Times New Roman"/>
          <w:sz w:val="24"/>
          <w:szCs w:val="24"/>
          <w:lang w:eastAsia="zh-CN" w:bidi="hi-IN"/>
        </w:rPr>
      </w:pPr>
      <w:r w:rsidRPr="000F324B">
        <w:rPr>
          <w:rFonts w:ascii="Times New Roman" w:eastAsia="Times New Roman" w:hAnsi="Times New Roman"/>
          <w:b/>
          <w:spacing w:val="40"/>
          <w:sz w:val="24"/>
          <w:szCs w:val="24"/>
          <w:lang w:eastAsia="zh-CN" w:bidi="hi-IN"/>
        </w:rPr>
        <w:t>Zmocňuje</w:t>
      </w:r>
      <w:r w:rsidRPr="000F324B">
        <w:rPr>
          <w:rFonts w:ascii="Times New Roman" w:eastAsia="Times New Roman" w:hAnsi="Times New Roman"/>
          <w:sz w:val="24"/>
          <w:szCs w:val="24"/>
          <w:lang w:eastAsia="zh-CN" w:bidi="hi-IN"/>
        </w:rPr>
        <w:t xml:space="preserve"> zpravodaj</w:t>
      </w:r>
      <w:r>
        <w:rPr>
          <w:rFonts w:ascii="Times New Roman" w:eastAsia="Times New Roman" w:hAnsi="Times New Roman"/>
          <w:sz w:val="24"/>
          <w:szCs w:val="24"/>
          <w:lang w:eastAsia="zh-CN" w:bidi="hi-IN"/>
        </w:rPr>
        <w:t>e</w:t>
      </w:r>
      <w:r w:rsidRPr="000F324B">
        <w:rPr>
          <w:rFonts w:ascii="Times New Roman" w:eastAsia="Times New Roman" w:hAnsi="Times New Roman"/>
          <w:sz w:val="24"/>
          <w:szCs w:val="24"/>
          <w:lang w:eastAsia="zh-CN" w:bidi="hi-IN"/>
        </w:rPr>
        <w:t xml:space="preserve"> výboru, aby ve spolupráci s navrhovatelem a legislativním odborem Kanceláře Poslanecké sněmovny PČR provedl v návrhu zákona legislativně technické úpravy, které nemají dopad na věcný obsah navrhovaného zákona.</w:t>
      </w:r>
    </w:p>
    <w:p w:rsidR="00F50A46" w:rsidRPr="000F324B" w:rsidRDefault="00F50A46" w:rsidP="0042313F">
      <w:pPr>
        <w:pStyle w:val="Odstavecseseznamem"/>
        <w:numPr>
          <w:ilvl w:val="0"/>
          <w:numId w:val="29"/>
        </w:numPr>
        <w:suppressAutoHyphens/>
        <w:spacing w:before="240" w:after="240" w:line="240" w:lineRule="auto"/>
        <w:ind w:hanging="720"/>
        <w:contextualSpacing w:val="0"/>
        <w:jc w:val="both"/>
        <w:rPr>
          <w:rFonts w:ascii="Times New Roman" w:eastAsia="Times New Roman" w:hAnsi="Times New Roman"/>
          <w:spacing w:val="-4"/>
          <w:sz w:val="24"/>
          <w:szCs w:val="24"/>
          <w:lang w:eastAsia="zh-CN" w:bidi="hi-IN"/>
        </w:rPr>
      </w:pPr>
      <w:r w:rsidRPr="000F324B">
        <w:rPr>
          <w:rFonts w:ascii="Times New Roman" w:eastAsia="Times New Roman" w:hAnsi="Times New Roman"/>
          <w:b/>
          <w:spacing w:val="40"/>
          <w:sz w:val="24"/>
          <w:szCs w:val="24"/>
          <w:lang w:eastAsia="zh-CN" w:bidi="hi-IN"/>
        </w:rPr>
        <w:t>Pověřuje</w:t>
      </w:r>
      <w:r w:rsidRPr="000F324B">
        <w:rPr>
          <w:rFonts w:ascii="Times New Roman" w:eastAsia="Times New Roman" w:hAnsi="Times New Roman"/>
          <w:b/>
          <w:sz w:val="24"/>
          <w:szCs w:val="24"/>
          <w:lang w:eastAsia="zh-CN" w:bidi="hi-IN"/>
        </w:rPr>
        <w:t xml:space="preserve"> </w:t>
      </w:r>
      <w:r w:rsidRPr="000F324B">
        <w:rPr>
          <w:rFonts w:ascii="Times New Roman" w:eastAsia="Times New Roman" w:hAnsi="Times New Roman"/>
          <w:spacing w:val="-4"/>
          <w:sz w:val="24"/>
          <w:szCs w:val="24"/>
          <w:lang w:eastAsia="zh-CN" w:bidi="hi-IN"/>
        </w:rPr>
        <w:t>zpravodaj</w:t>
      </w:r>
      <w:r>
        <w:rPr>
          <w:rFonts w:ascii="Times New Roman" w:eastAsia="Times New Roman" w:hAnsi="Times New Roman"/>
          <w:spacing w:val="-4"/>
          <w:sz w:val="24"/>
          <w:szCs w:val="24"/>
          <w:lang w:eastAsia="zh-CN" w:bidi="hi-IN"/>
        </w:rPr>
        <w:t>e</w:t>
      </w:r>
      <w:r w:rsidRPr="000F324B">
        <w:rPr>
          <w:rFonts w:ascii="Times New Roman" w:eastAsia="Times New Roman" w:hAnsi="Times New Roman"/>
          <w:spacing w:val="-4"/>
          <w:sz w:val="24"/>
          <w:szCs w:val="24"/>
          <w:lang w:eastAsia="zh-CN" w:bidi="hi-IN"/>
        </w:rPr>
        <w:t xml:space="preserve"> výboru, aby na schůzi Poslanecké sněmovny Parlamentu ČR přednesl zprávu o výsledcích projednávání tohoto návrhu zákona v hospodářském výboru.</w:t>
      </w:r>
    </w:p>
    <w:p w:rsidR="00F13EB9" w:rsidRPr="00F13EB9" w:rsidRDefault="00F13EB9" w:rsidP="00F13EB9">
      <w:pPr>
        <w:pStyle w:val="Odstavecseseznamem"/>
        <w:suppressAutoHyphens/>
        <w:spacing w:before="480" w:after="0" w:line="240" w:lineRule="auto"/>
        <w:contextualSpacing w:val="0"/>
        <w:jc w:val="both"/>
        <w:rPr>
          <w:rFonts w:ascii="Times New Roman" w:eastAsia="Times New Roman" w:hAnsi="Times New Roman"/>
          <w:sz w:val="24"/>
          <w:szCs w:val="24"/>
          <w:lang w:eastAsia="zh-CN" w:bidi="hi-IN"/>
        </w:rPr>
      </w:pPr>
    </w:p>
    <w:p w:rsidR="00F50A46" w:rsidRPr="004A630D" w:rsidRDefault="00F50A46" w:rsidP="00F13EB9">
      <w:pPr>
        <w:pStyle w:val="Odstavecseseznamem"/>
        <w:numPr>
          <w:ilvl w:val="0"/>
          <w:numId w:val="29"/>
        </w:numPr>
        <w:suppressAutoHyphens/>
        <w:spacing w:before="480" w:after="0" w:line="240" w:lineRule="auto"/>
        <w:ind w:hanging="720"/>
        <w:contextualSpacing w:val="0"/>
        <w:jc w:val="both"/>
        <w:rPr>
          <w:rFonts w:ascii="Times New Roman" w:eastAsia="Times New Roman" w:hAnsi="Times New Roman"/>
          <w:sz w:val="24"/>
          <w:szCs w:val="24"/>
          <w:lang w:eastAsia="zh-CN" w:bidi="hi-IN"/>
        </w:rPr>
      </w:pPr>
      <w:r w:rsidRPr="000F324B">
        <w:rPr>
          <w:rFonts w:ascii="Times New Roman" w:eastAsia="Times New Roman" w:hAnsi="Times New Roman"/>
          <w:b/>
          <w:spacing w:val="40"/>
          <w:sz w:val="24"/>
          <w:szCs w:val="24"/>
          <w:lang w:eastAsia="zh-CN" w:bidi="hi-IN"/>
        </w:rPr>
        <w:t>Pověřuje</w:t>
      </w:r>
      <w:r w:rsidRPr="000F324B">
        <w:rPr>
          <w:rFonts w:ascii="Times New Roman" w:eastAsia="Times New Roman" w:hAnsi="Times New Roman"/>
          <w:b/>
          <w:sz w:val="24"/>
          <w:szCs w:val="24"/>
          <w:lang w:eastAsia="zh-CN" w:bidi="hi-IN"/>
        </w:rPr>
        <w:t xml:space="preserve"> </w:t>
      </w:r>
      <w:r w:rsidRPr="000F324B">
        <w:rPr>
          <w:rFonts w:ascii="Times New Roman" w:eastAsia="Times New Roman" w:hAnsi="Times New Roman"/>
          <w:sz w:val="24"/>
          <w:szCs w:val="24"/>
          <w:lang w:eastAsia="zh-CN" w:bidi="hi-IN"/>
        </w:rPr>
        <w:t>předsedu výboru, aby předložil toto usnesení předsedovi Poslanecké sněmovny Parlamentu ČR.</w:t>
      </w:r>
    </w:p>
    <w:p w:rsidR="00C3035B" w:rsidRPr="00524661" w:rsidRDefault="00744C47" w:rsidP="00E20529">
      <w:pPr>
        <w:tabs>
          <w:tab w:val="center" w:pos="1418"/>
          <w:tab w:val="center" w:pos="4536"/>
          <w:tab w:val="center" w:pos="7655"/>
        </w:tabs>
        <w:spacing w:before="2040" w:after="0" w:line="240" w:lineRule="auto"/>
        <w:rPr>
          <w:rFonts w:ascii="Times New Roman" w:hAnsi="Times New Roman"/>
          <w:sz w:val="24"/>
          <w:szCs w:val="24"/>
          <w:lang w:eastAsia="cs-CZ"/>
        </w:rPr>
      </w:pPr>
      <w:r>
        <w:rPr>
          <w:rFonts w:ascii="Times New Roman" w:hAnsi="Times New Roman"/>
          <w:sz w:val="24"/>
          <w:szCs w:val="24"/>
          <w:lang w:eastAsia="cs-CZ"/>
        </w:rPr>
        <w:tab/>
      </w:r>
      <w:r w:rsidR="00082C1B">
        <w:rPr>
          <w:rFonts w:ascii="Times New Roman" w:hAnsi="Times New Roman"/>
          <w:sz w:val="24"/>
          <w:szCs w:val="24"/>
          <w:lang w:eastAsia="cs-CZ"/>
        </w:rPr>
        <w:t xml:space="preserve"> </w:t>
      </w:r>
      <w:r>
        <w:rPr>
          <w:rFonts w:ascii="Times New Roman" w:hAnsi="Times New Roman"/>
          <w:sz w:val="24"/>
          <w:szCs w:val="24"/>
          <w:lang w:eastAsia="cs-CZ"/>
        </w:rPr>
        <w:t>Ondřej POLANSKÝ</w:t>
      </w:r>
      <w:r w:rsidR="002C5CAA" w:rsidRPr="002C5CAA">
        <w:rPr>
          <w:rFonts w:ascii="Times New Roman" w:hAnsi="Times New Roman"/>
          <w:sz w:val="24"/>
          <w:szCs w:val="24"/>
          <w:lang w:eastAsia="cs-CZ"/>
        </w:rPr>
        <w:t xml:space="preserve"> </w:t>
      </w:r>
      <w:r w:rsidR="00B35523">
        <w:rPr>
          <w:rFonts w:ascii="Times New Roman" w:hAnsi="Times New Roman"/>
          <w:sz w:val="24"/>
          <w:szCs w:val="24"/>
          <w:lang w:eastAsia="cs-CZ"/>
        </w:rPr>
        <w:t>v. r.</w:t>
      </w:r>
      <w:r w:rsidR="003C1519" w:rsidRPr="00524661">
        <w:rPr>
          <w:rFonts w:ascii="Times New Roman" w:hAnsi="Times New Roman"/>
          <w:sz w:val="24"/>
          <w:szCs w:val="24"/>
          <w:lang w:eastAsia="cs-CZ"/>
        </w:rPr>
        <w:tab/>
      </w:r>
      <w:bookmarkStart w:id="0" w:name="_GoBack"/>
      <w:bookmarkEnd w:id="0"/>
      <w:r w:rsidR="003C1519" w:rsidRPr="00524661">
        <w:rPr>
          <w:rFonts w:ascii="Times New Roman" w:hAnsi="Times New Roman"/>
          <w:sz w:val="24"/>
          <w:szCs w:val="24"/>
          <w:lang w:eastAsia="cs-CZ"/>
        </w:rPr>
        <w:tab/>
      </w:r>
      <w:r w:rsidR="009D55DC">
        <w:rPr>
          <w:rFonts w:ascii="Times New Roman" w:hAnsi="Times New Roman"/>
          <w:sz w:val="24"/>
          <w:szCs w:val="24"/>
          <w:lang w:eastAsia="cs-CZ"/>
        </w:rPr>
        <w:t>Pavel STANĚK</w:t>
      </w:r>
      <w:r w:rsidR="004F6F69" w:rsidRPr="00323DBF">
        <w:rPr>
          <w:rFonts w:ascii="Times New Roman" w:hAnsi="Times New Roman"/>
          <w:sz w:val="24"/>
          <w:szCs w:val="24"/>
          <w:lang w:eastAsia="cs-CZ"/>
        </w:rPr>
        <w:t xml:space="preserve"> </w:t>
      </w:r>
      <w:r w:rsidR="004A2382">
        <w:rPr>
          <w:rFonts w:ascii="Times New Roman" w:hAnsi="Times New Roman"/>
          <w:sz w:val="24"/>
          <w:szCs w:val="24"/>
          <w:lang w:eastAsia="cs-CZ"/>
        </w:rPr>
        <w:t>v. r</w:t>
      </w:r>
    </w:p>
    <w:p w:rsidR="00A47BEA" w:rsidRPr="00524661" w:rsidRDefault="00A47BEA" w:rsidP="007D5AF0">
      <w:pPr>
        <w:tabs>
          <w:tab w:val="center" w:pos="1418"/>
          <w:tab w:val="center" w:pos="4536"/>
          <w:tab w:val="center" w:pos="7655"/>
        </w:tabs>
        <w:spacing w:after="480" w:line="240" w:lineRule="auto"/>
        <w:rPr>
          <w:rFonts w:ascii="Times New Roman" w:hAnsi="Times New Roman"/>
          <w:sz w:val="24"/>
          <w:szCs w:val="24"/>
          <w:lang w:eastAsia="cs-CZ"/>
        </w:rPr>
      </w:pPr>
      <w:r w:rsidRPr="00524661">
        <w:rPr>
          <w:rFonts w:ascii="Times New Roman" w:hAnsi="Times New Roman"/>
          <w:sz w:val="24"/>
          <w:szCs w:val="24"/>
          <w:lang w:eastAsia="cs-CZ"/>
        </w:rPr>
        <w:tab/>
        <w:t>ověřovatel výboru</w:t>
      </w:r>
      <w:r w:rsidRPr="00524661">
        <w:rPr>
          <w:rFonts w:ascii="Times New Roman" w:hAnsi="Times New Roman"/>
          <w:sz w:val="24"/>
          <w:szCs w:val="24"/>
          <w:lang w:eastAsia="cs-CZ"/>
        </w:rPr>
        <w:tab/>
      </w:r>
      <w:r w:rsidRPr="00524661">
        <w:rPr>
          <w:rFonts w:ascii="Times New Roman" w:hAnsi="Times New Roman"/>
          <w:sz w:val="24"/>
          <w:szCs w:val="24"/>
          <w:lang w:eastAsia="cs-CZ"/>
        </w:rPr>
        <w:tab/>
        <w:t>zpravodaj výboru</w:t>
      </w:r>
    </w:p>
    <w:p w:rsidR="007D5AF0" w:rsidRPr="00524661" w:rsidRDefault="00A47BEA" w:rsidP="00F13EB9">
      <w:pPr>
        <w:tabs>
          <w:tab w:val="center" w:pos="1418"/>
          <w:tab w:val="center" w:pos="4536"/>
          <w:tab w:val="center" w:pos="7655"/>
        </w:tabs>
        <w:spacing w:before="1200" w:after="0" w:line="240" w:lineRule="auto"/>
        <w:rPr>
          <w:rFonts w:ascii="Times New Roman" w:hAnsi="Times New Roman"/>
          <w:sz w:val="24"/>
          <w:szCs w:val="24"/>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Radim FIALA</w:t>
      </w:r>
      <w:r w:rsidR="00B35523">
        <w:rPr>
          <w:rFonts w:ascii="Times New Roman" w:hAnsi="Times New Roman"/>
          <w:sz w:val="24"/>
          <w:szCs w:val="24"/>
          <w:lang w:eastAsia="cs-CZ"/>
        </w:rPr>
        <w:t xml:space="preserve"> v. r.</w:t>
      </w:r>
    </w:p>
    <w:p w:rsidR="00A47BEA" w:rsidRPr="00524661" w:rsidRDefault="00A47BEA" w:rsidP="00524661">
      <w:pPr>
        <w:tabs>
          <w:tab w:val="center" w:pos="1418"/>
          <w:tab w:val="center" w:pos="4536"/>
          <w:tab w:val="center" w:pos="7655"/>
        </w:tabs>
        <w:spacing w:after="0" w:line="240" w:lineRule="auto"/>
        <w:rPr>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předseda</w:t>
      </w:r>
      <w:r w:rsidRPr="00524661">
        <w:rPr>
          <w:rFonts w:ascii="Times New Roman" w:hAnsi="Times New Roman"/>
          <w:sz w:val="24"/>
          <w:szCs w:val="24"/>
          <w:lang w:eastAsia="cs-CZ"/>
        </w:rPr>
        <w:t xml:space="preserve"> výboru</w:t>
      </w:r>
    </w:p>
    <w:sectPr w:rsidR="00A47BEA" w:rsidRPr="00524661" w:rsidSect="00F13EB9">
      <w:pgSz w:w="11906" w:h="16838"/>
      <w:pgMar w:top="1418" w:right="1417" w:bottom="15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ource Sans Pro Black">
    <w:panose1 w:val="020B0803030403020204"/>
    <w:charset w:val="EE"/>
    <w:family w:val="swiss"/>
    <w:pitch w:val="variable"/>
    <w:sig w:usb0="600002F7" w:usb1="02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82D0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2C91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0638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CE2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DE22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4255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185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4036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1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5"/>
    <w:lvl w:ilvl="0">
      <w:start w:val="1"/>
      <w:numFmt w:val="upperRoman"/>
      <w:lvlText w:val="%1."/>
      <w:lvlJc w:val="left"/>
      <w:pPr>
        <w:tabs>
          <w:tab w:val="num" w:pos="720"/>
        </w:tabs>
        <w:ind w:left="720" w:hanging="720"/>
      </w:pPr>
      <w:rPr>
        <w:b/>
      </w:rPr>
    </w:lvl>
  </w:abstractNum>
  <w:abstractNum w:abstractNumId="11"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12" w15:restartNumberingAfterBreak="0">
    <w:nsid w:val="03D07493"/>
    <w:multiLevelType w:val="hybridMultilevel"/>
    <w:tmpl w:val="A2260FB8"/>
    <w:lvl w:ilvl="0" w:tplc="27AE8BEA">
      <w:start w:val="1"/>
      <w:numFmt w:val="decimal"/>
      <w:lvlText w:val="%1."/>
      <w:lvlJc w:val="center"/>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5D60B9E"/>
    <w:multiLevelType w:val="hybridMultilevel"/>
    <w:tmpl w:val="6DD4CE58"/>
    <w:lvl w:ilvl="0" w:tplc="8C484CAC">
      <w:start w:val="4"/>
      <w:numFmt w:val="decimal"/>
      <w:lvlText w:val="%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11115C04"/>
    <w:multiLevelType w:val="hybridMultilevel"/>
    <w:tmpl w:val="B4D85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3815F34"/>
    <w:multiLevelType w:val="hybridMultilevel"/>
    <w:tmpl w:val="3452ADA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A9A108B"/>
    <w:multiLevelType w:val="hybridMultilevel"/>
    <w:tmpl w:val="BE042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D52E37"/>
    <w:multiLevelType w:val="multilevel"/>
    <w:tmpl w:val="3BB8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F90C15"/>
    <w:multiLevelType w:val="hybridMultilevel"/>
    <w:tmpl w:val="D722F3C8"/>
    <w:lvl w:ilvl="0" w:tplc="EE6E8BCE">
      <w:start w:val="1"/>
      <w:numFmt w:val="upperRoman"/>
      <w:lvlText w:val="%1."/>
      <w:lvlJc w:val="left"/>
      <w:pPr>
        <w:ind w:left="720" w:hanging="360"/>
      </w:pPr>
      <w:rPr>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C07A9A"/>
    <w:multiLevelType w:val="hybridMultilevel"/>
    <w:tmpl w:val="DE3895C4"/>
    <w:lvl w:ilvl="0" w:tplc="EC2E561C">
      <w:start w:val="1"/>
      <w:numFmt w:val="bullet"/>
      <w:lvlText w:val="-"/>
      <w:lvlJc w:val="left"/>
      <w:pPr>
        <w:ind w:left="1080" w:hanging="360"/>
      </w:pPr>
      <w:rPr>
        <w:rFonts w:ascii="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89D78E9"/>
    <w:multiLevelType w:val="hybridMultilevel"/>
    <w:tmpl w:val="B4467864"/>
    <w:lvl w:ilvl="0" w:tplc="F770379A">
      <w:start w:val="1"/>
      <w:numFmt w:val="bullet"/>
      <w:lvlText w:val="∙"/>
      <w:lvlJc w:val="left"/>
      <w:pPr>
        <w:ind w:left="720" w:hanging="360"/>
      </w:pPr>
      <w:rPr>
        <w:rFonts w:ascii="Source Sans Pro Black" w:hAnsi="Source Sans Pro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39556C"/>
    <w:multiLevelType w:val="multilevel"/>
    <w:tmpl w:val="954AC6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15:restartNumberingAfterBreak="0">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4" w15:restartNumberingAfterBreak="0">
    <w:nsid w:val="5E0B0DE8"/>
    <w:multiLevelType w:val="hybridMultilevel"/>
    <w:tmpl w:val="6714F1DC"/>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EF070CE"/>
    <w:multiLevelType w:val="hybridMultilevel"/>
    <w:tmpl w:val="AB7065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FF00CC"/>
    <w:multiLevelType w:val="hybridMultilevel"/>
    <w:tmpl w:val="45009A54"/>
    <w:lvl w:ilvl="0" w:tplc="20641FE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412BAB"/>
    <w:multiLevelType w:val="hybridMultilevel"/>
    <w:tmpl w:val="A8F091B4"/>
    <w:lvl w:ilvl="0" w:tplc="472A629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040ECB"/>
    <w:multiLevelType w:val="hybridMultilevel"/>
    <w:tmpl w:val="8E84C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D4A43AC"/>
    <w:multiLevelType w:val="hybridMultilevel"/>
    <w:tmpl w:val="C16E0A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2"/>
  </w:num>
  <w:num w:numId="12">
    <w:abstractNumId w:val="17"/>
  </w:num>
  <w:num w:numId="13">
    <w:abstractNumId w:val="27"/>
  </w:num>
  <w:num w:numId="14">
    <w:abstractNumId w:val="28"/>
  </w:num>
  <w:num w:numId="15">
    <w:abstractNumId w:val="14"/>
  </w:num>
  <w:num w:numId="16">
    <w:abstractNumId w:val="24"/>
  </w:num>
  <w:num w:numId="17">
    <w:abstractNumId w:val="21"/>
  </w:num>
  <w:num w:numId="18">
    <w:abstractNumId w:val="23"/>
  </w:num>
  <w:num w:numId="19">
    <w:abstractNumId w:val="19"/>
  </w:num>
  <w:num w:numId="20">
    <w:abstractNumId w:val="26"/>
  </w:num>
  <w:num w:numId="21">
    <w:abstractNumId w:val="30"/>
  </w:num>
  <w:num w:numId="22">
    <w:abstractNumId w:val="20"/>
  </w:num>
  <w:num w:numId="23">
    <w:abstractNumId w:val="10"/>
  </w:num>
  <w:num w:numId="24">
    <w:abstractNumId w:val="11"/>
  </w:num>
  <w:num w:numId="25">
    <w:abstractNumId w:val="29"/>
  </w:num>
  <w:num w:numId="26">
    <w:abstractNumId w:val="16"/>
  </w:num>
  <w:num w:numId="27">
    <w:abstractNumId w:val="16"/>
  </w:num>
  <w:num w:numId="28">
    <w:abstractNumId w:val="15"/>
  </w:num>
  <w:num w:numId="29">
    <w:abstractNumId w:val="18"/>
  </w:num>
  <w:num w:numId="30">
    <w:abstractNumId w:val="25"/>
  </w:num>
  <w:num w:numId="31">
    <w:abstractNumId w:val="12"/>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13293"/>
    <w:rsid w:val="00023F61"/>
    <w:rsid w:val="00036756"/>
    <w:rsid w:val="00056E19"/>
    <w:rsid w:val="00060BDA"/>
    <w:rsid w:val="00060C37"/>
    <w:rsid w:val="00082C1B"/>
    <w:rsid w:val="000A2E73"/>
    <w:rsid w:val="000A3377"/>
    <w:rsid w:val="000A7C74"/>
    <w:rsid w:val="000B0CAF"/>
    <w:rsid w:val="000B46D9"/>
    <w:rsid w:val="000D431D"/>
    <w:rsid w:val="000F3F85"/>
    <w:rsid w:val="00102A15"/>
    <w:rsid w:val="001A1A7F"/>
    <w:rsid w:val="001D07D5"/>
    <w:rsid w:val="001D31DB"/>
    <w:rsid w:val="001D480E"/>
    <w:rsid w:val="001D62A9"/>
    <w:rsid w:val="001E2E72"/>
    <w:rsid w:val="002128F2"/>
    <w:rsid w:val="00216D4E"/>
    <w:rsid w:val="002214A3"/>
    <w:rsid w:val="00257CE8"/>
    <w:rsid w:val="002C5CAA"/>
    <w:rsid w:val="002F496A"/>
    <w:rsid w:val="00323B6C"/>
    <w:rsid w:val="00323DBF"/>
    <w:rsid w:val="0033764D"/>
    <w:rsid w:val="0039412C"/>
    <w:rsid w:val="003C1519"/>
    <w:rsid w:val="003E0A61"/>
    <w:rsid w:val="003E1216"/>
    <w:rsid w:val="003E3668"/>
    <w:rsid w:val="003E65E5"/>
    <w:rsid w:val="003F7969"/>
    <w:rsid w:val="00416EA7"/>
    <w:rsid w:val="00422A4C"/>
    <w:rsid w:val="0042313F"/>
    <w:rsid w:val="00433B08"/>
    <w:rsid w:val="0044087F"/>
    <w:rsid w:val="00444ABC"/>
    <w:rsid w:val="0047485A"/>
    <w:rsid w:val="00476F64"/>
    <w:rsid w:val="00486391"/>
    <w:rsid w:val="004A2382"/>
    <w:rsid w:val="004A6789"/>
    <w:rsid w:val="004C2102"/>
    <w:rsid w:val="004D71CF"/>
    <w:rsid w:val="004F072B"/>
    <w:rsid w:val="004F0F9F"/>
    <w:rsid w:val="004F18AA"/>
    <w:rsid w:val="004F6F69"/>
    <w:rsid w:val="00524661"/>
    <w:rsid w:val="005A6FA8"/>
    <w:rsid w:val="005C001D"/>
    <w:rsid w:val="00616FD9"/>
    <w:rsid w:val="006571DB"/>
    <w:rsid w:val="006817ED"/>
    <w:rsid w:val="00681EC1"/>
    <w:rsid w:val="00684000"/>
    <w:rsid w:val="006933ED"/>
    <w:rsid w:val="006964AB"/>
    <w:rsid w:val="006B2EE6"/>
    <w:rsid w:val="006C62FB"/>
    <w:rsid w:val="006C7E89"/>
    <w:rsid w:val="006D02C4"/>
    <w:rsid w:val="006E41C4"/>
    <w:rsid w:val="006E430E"/>
    <w:rsid w:val="00704CD8"/>
    <w:rsid w:val="00744C47"/>
    <w:rsid w:val="0077108E"/>
    <w:rsid w:val="007958F9"/>
    <w:rsid w:val="007B1C49"/>
    <w:rsid w:val="007B5DE5"/>
    <w:rsid w:val="007B6DE0"/>
    <w:rsid w:val="007D5AF0"/>
    <w:rsid w:val="007E0E08"/>
    <w:rsid w:val="007F2C7C"/>
    <w:rsid w:val="00815047"/>
    <w:rsid w:val="008163FA"/>
    <w:rsid w:val="00822FAC"/>
    <w:rsid w:val="0083658A"/>
    <w:rsid w:val="00837AA7"/>
    <w:rsid w:val="00850610"/>
    <w:rsid w:val="0087789F"/>
    <w:rsid w:val="008A29E6"/>
    <w:rsid w:val="008C4757"/>
    <w:rsid w:val="008D02DE"/>
    <w:rsid w:val="008E1B09"/>
    <w:rsid w:val="008E3EAF"/>
    <w:rsid w:val="00920BD2"/>
    <w:rsid w:val="00940C0E"/>
    <w:rsid w:val="00940FE6"/>
    <w:rsid w:val="009543BC"/>
    <w:rsid w:val="009649C6"/>
    <w:rsid w:val="00993ADE"/>
    <w:rsid w:val="00996EF7"/>
    <w:rsid w:val="009B1740"/>
    <w:rsid w:val="009C00F0"/>
    <w:rsid w:val="009D160F"/>
    <w:rsid w:val="009D3FBD"/>
    <w:rsid w:val="009D55DC"/>
    <w:rsid w:val="00A020C6"/>
    <w:rsid w:val="00A2090D"/>
    <w:rsid w:val="00A371B0"/>
    <w:rsid w:val="00A47BEA"/>
    <w:rsid w:val="00A640F6"/>
    <w:rsid w:val="00A84635"/>
    <w:rsid w:val="00A903F1"/>
    <w:rsid w:val="00AA1BEC"/>
    <w:rsid w:val="00AB30C2"/>
    <w:rsid w:val="00AF156A"/>
    <w:rsid w:val="00AF1B6C"/>
    <w:rsid w:val="00AF50A6"/>
    <w:rsid w:val="00B04998"/>
    <w:rsid w:val="00B17153"/>
    <w:rsid w:val="00B21021"/>
    <w:rsid w:val="00B35523"/>
    <w:rsid w:val="00B611EE"/>
    <w:rsid w:val="00B85113"/>
    <w:rsid w:val="00BC1294"/>
    <w:rsid w:val="00BE35FA"/>
    <w:rsid w:val="00BF61D7"/>
    <w:rsid w:val="00BF65D9"/>
    <w:rsid w:val="00C06E69"/>
    <w:rsid w:val="00C150FE"/>
    <w:rsid w:val="00C239ED"/>
    <w:rsid w:val="00C3035B"/>
    <w:rsid w:val="00C54849"/>
    <w:rsid w:val="00C60195"/>
    <w:rsid w:val="00C67A97"/>
    <w:rsid w:val="00C907C5"/>
    <w:rsid w:val="00C92E3F"/>
    <w:rsid w:val="00C97BAC"/>
    <w:rsid w:val="00CB4AA3"/>
    <w:rsid w:val="00CB5879"/>
    <w:rsid w:val="00D16CDC"/>
    <w:rsid w:val="00D300A9"/>
    <w:rsid w:val="00D42F9F"/>
    <w:rsid w:val="00D70182"/>
    <w:rsid w:val="00D70B05"/>
    <w:rsid w:val="00D87B3C"/>
    <w:rsid w:val="00DA1A01"/>
    <w:rsid w:val="00E20529"/>
    <w:rsid w:val="00E22AEA"/>
    <w:rsid w:val="00E31117"/>
    <w:rsid w:val="00E31D3B"/>
    <w:rsid w:val="00E37F59"/>
    <w:rsid w:val="00E50212"/>
    <w:rsid w:val="00E5223A"/>
    <w:rsid w:val="00E73024"/>
    <w:rsid w:val="00E83F84"/>
    <w:rsid w:val="00EA0554"/>
    <w:rsid w:val="00EA70E0"/>
    <w:rsid w:val="00EB2343"/>
    <w:rsid w:val="00EE2C12"/>
    <w:rsid w:val="00EE7105"/>
    <w:rsid w:val="00EF6829"/>
    <w:rsid w:val="00F061AC"/>
    <w:rsid w:val="00F13EB9"/>
    <w:rsid w:val="00F43A5F"/>
    <w:rsid w:val="00F50A46"/>
    <w:rsid w:val="00F55AFD"/>
    <w:rsid w:val="00F6673C"/>
    <w:rsid w:val="00F67053"/>
    <w:rsid w:val="00F80C38"/>
    <w:rsid w:val="00FA2792"/>
    <w:rsid w:val="00FA4D43"/>
    <w:rsid w:val="00FC2BE0"/>
    <w:rsid w:val="00FD5EF2"/>
    <w:rsid w:val="00FF5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9D79E"/>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character" w:customStyle="1" w:styleId="OdstavecseseznamemChar">
    <w:name w:val="Odstavec se seznamem Char"/>
    <w:link w:val="Odstavecseseznamem"/>
    <w:uiPriority w:val="34"/>
    <w:locked/>
    <w:rsid w:val="00F50A46"/>
    <w:rPr>
      <w:sz w:val="22"/>
      <w:szCs w:val="22"/>
      <w:lang w:eastAsia="en-US"/>
    </w:rPr>
  </w:style>
  <w:style w:type="paragraph" w:customStyle="1" w:styleId="Default">
    <w:name w:val="Default"/>
    <w:rsid w:val="00F50A46"/>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46036713">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448B1-ECAB-410B-A7BC-43EF43F1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1</TotalTime>
  <Pages>3</Pages>
  <Words>559</Words>
  <Characters>3299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Vosatkova Dana</cp:lastModifiedBy>
  <cp:revision>3</cp:revision>
  <cp:lastPrinted>2020-06-10T16:17:00Z</cp:lastPrinted>
  <dcterms:created xsi:type="dcterms:W3CDTF">2020-06-11T07:37:00Z</dcterms:created>
  <dcterms:modified xsi:type="dcterms:W3CDTF">2020-06-11T07:38:00Z</dcterms:modified>
</cp:coreProperties>
</file>