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6B263" w14:textId="46A4D3AD" w:rsidR="00103AB1" w:rsidRDefault="00FE4FBA">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Text novelizovaných předpisů v platném znění s vyznačením navrhovaných změn</w:t>
      </w:r>
    </w:p>
    <w:p w14:paraId="0F866652" w14:textId="77777777" w:rsidR="00103AB1" w:rsidRDefault="00103AB1">
      <w:pPr>
        <w:keepNext/>
        <w:shd w:val="clear" w:color="auto" w:fill="FFFFFF"/>
        <w:spacing w:line="288" w:lineRule="auto"/>
        <w:jc w:val="both"/>
        <w:rPr>
          <w:rFonts w:ascii="Times New Roman" w:eastAsia="Times New Roman" w:hAnsi="Times New Roman" w:cs="Times New Roman"/>
          <w:b/>
          <w:sz w:val="24"/>
          <w:szCs w:val="24"/>
          <w:u w:val="single"/>
        </w:rPr>
      </w:pPr>
    </w:p>
    <w:p w14:paraId="32100FE9" w14:textId="77777777" w:rsidR="00103AB1" w:rsidRDefault="00FE4FBA">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Zákon č. 111/1998 Sb., o vysokých školách a o změně a doplnění dalších zákonů (zákon o vysokých školách)</w:t>
      </w:r>
    </w:p>
    <w:p w14:paraId="2D3F395C" w14:textId="77777777" w:rsidR="00103AB1" w:rsidRDefault="00103AB1">
      <w:pPr>
        <w:jc w:val="both"/>
        <w:rPr>
          <w:rFonts w:ascii="Times New Roman" w:eastAsia="Times New Roman" w:hAnsi="Times New Roman" w:cs="Times New Roman"/>
          <w:b/>
          <w:sz w:val="24"/>
          <w:szCs w:val="24"/>
          <w:u w:val="single"/>
        </w:rPr>
      </w:pPr>
    </w:p>
    <w:p w14:paraId="6D883E7C" w14:textId="77777777" w:rsidR="00103AB1" w:rsidRDefault="00FE4FBA">
      <w:pPr>
        <w:pBdr>
          <w:top w:val="none" w:sz="0" w:space="3" w:color="auto"/>
          <w:left w:val="none" w:sz="0" w:space="11"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47b</w:t>
      </w:r>
    </w:p>
    <w:p w14:paraId="1ED20081" w14:textId="77777777" w:rsidR="00103AB1" w:rsidRDefault="00FE4FBA">
      <w:pPr>
        <w:pStyle w:val="Nadpis3"/>
        <w:keepNext w:val="0"/>
        <w:keepLines w:val="0"/>
        <w:pBdr>
          <w:top w:val="none" w:sz="0" w:space="3" w:color="auto"/>
          <w:left w:val="none" w:sz="0" w:space="25" w:color="auto"/>
          <w:bottom w:val="none" w:sz="0" w:space="3" w:color="auto"/>
          <w:right w:val="none" w:sz="0" w:space="30" w:color="auto"/>
          <w:between w:val="none" w:sz="0" w:space="3" w:color="auto"/>
        </w:pBdr>
        <w:shd w:val="clear" w:color="auto" w:fill="FFFFFF"/>
        <w:spacing w:before="0" w:after="0" w:line="360" w:lineRule="auto"/>
        <w:jc w:val="center"/>
        <w:rPr>
          <w:rFonts w:ascii="Times New Roman" w:eastAsia="Times New Roman" w:hAnsi="Times New Roman" w:cs="Times New Roman"/>
          <w:b/>
          <w:color w:val="000000"/>
          <w:sz w:val="24"/>
          <w:szCs w:val="24"/>
        </w:rPr>
      </w:pPr>
      <w:bookmarkStart w:id="0" w:name="_ufhfjk4fupmz" w:colFirst="0" w:colLast="0"/>
      <w:bookmarkEnd w:id="0"/>
      <w:r>
        <w:rPr>
          <w:rFonts w:ascii="Times New Roman" w:eastAsia="Times New Roman" w:hAnsi="Times New Roman" w:cs="Times New Roman"/>
          <w:b/>
          <w:color w:val="000000"/>
          <w:sz w:val="24"/>
          <w:szCs w:val="24"/>
        </w:rPr>
        <w:t>Zveřejňování závěrečných prací</w:t>
      </w:r>
    </w:p>
    <w:p w14:paraId="796A063D"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Vysoká škola </w:t>
      </w:r>
      <w:r>
        <w:rPr>
          <w:rFonts w:ascii="Times New Roman" w:eastAsia="Times New Roman" w:hAnsi="Times New Roman" w:cs="Times New Roman"/>
          <w:b/>
          <w:sz w:val="24"/>
          <w:szCs w:val="24"/>
        </w:rPr>
        <w:t>bez zbytečného odkladu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na svých internetových stránkách </w:t>
      </w:r>
      <w:r>
        <w:rPr>
          <w:rFonts w:ascii="Times New Roman" w:eastAsia="Times New Roman" w:hAnsi="Times New Roman" w:cs="Times New Roman"/>
          <w:sz w:val="24"/>
          <w:szCs w:val="24"/>
        </w:rPr>
        <w:t xml:space="preserve">nevýdělečně zveřejňuje bakalářské, diplomové, disertační a rigorózní práce, u kterých proběhla obhajoba, včetně posudků oponentů a záznamu o průběhu a výsledku obhajoby prostřednictvím </w:t>
      </w:r>
      <w:r>
        <w:rPr>
          <w:rFonts w:ascii="Times New Roman" w:eastAsia="Times New Roman" w:hAnsi="Times New Roman" w:cs="Times New Roman"/>
          <w:b/>
          <w:sz w:val="24"/>
          <w:szCs w:val="24"/>
        </w:rPr>
        <w:t xml:space="preserve">elektronické </w:t>
      </w:r>
      <w:r>
        <w:rPr>
          <w:rFonts w:ascii="Times New Roman" w:eastAsia="Times New Roman" w:hAnsi="Times New Roman" w:cs="Times New Roman"/>
          <w:sz w:val="24"/>
          <w:szCs w:val="24"/>
        </w:rPr>
        <w:t>databáze kvalifikačních prací, kterou spravuje. Způsob zveřejnění stanoví vnitřní předpis vysoké školy. Vysoká škola disertační práci nezveřejňuje, byla-li již zveřejněna jiným způsobem.</w:t>
      </w:r>
    </w:p>
    <w:p w14:paraId="737E46E5"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Bakalářské, diplomové, disertační a rigorózní práce odevzdané uchazečem k obhajobě musí být též nejméně pět pracovních dnů před konáním obhajoby zveřejněny k nahlížení veřejnosti v místě určeném vnitřním předpisem vysoké školy nebo není-li tak určeno, v místě pracoviště vysoké školy, kde se má konat obhajoba práce. Každý si může ze zveřejněné práce pořizovat na své náklady výpisy, opisy nebo rozmnoženiny.</w:t>
      </w:r>
    </w:p>
    <w:p w14:paraId="4E72BF65"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Platí, že odevzdáním práce autor souhlasí se zveřejněním své práce podle tohoto zákona, bez ohledu na výsledek obhajoby.</w:t>
      </w:r>
    </w:p>
    <w:p w14:paraId="23255771"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Vysoká škola může odložit zveřejnění bakalářské, diplomové, disertační a rigorózní práce nebo jejich části, a to po dobu trvání překážky pro zveřejnění</w:t>
      </w:r>
      <w:hyperlink r:id="rId7" w:anchor="f5810879">
        <w:r>
          <w:rPr>
            <w:rFonts w:ascii="Times New Roman" w:eastAsia="Times New Roman" w:hAnsi="Times New Roman" w:cs="Times New Roman"/>
            <w:sz w:val="24"/>
            <w:szCs w:val="24"/>
            <w:vertAlign w:val="superscript"/>
          </w:rPr>
          <w:t>31</w:t>
        </w:r>
      </w:hyperlink>
      <w:hyperlink r:id="rId8" w:anchor="f5810879">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nejdéle však na dobu 3 let. Informace o odložení zveřejnění musí být spolu s odůvodněním zveřejněna na stejném místě, kde jsou zveřejňovány bakalářské, diplomové, disertační a rigorózní práce. Vysoká škola zašle bez zbytečného odkladu po obhájení bakalářské, diplomové, disertační a rigorózní práce, jíž se týká odklad zveřejnění podle věty první, jeden výtisk práce k uchování ministerstvu.</w:t>
      </w:r>
    </w:p>
    <w:p w14:paraId="6A98440B"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6E774A76" w14:textId="77777777" w:rsidR="00103AB1" w:rsidRDefault="00FE4FBA">
      <w:pPr>
        <w:pBdr>
          <w:top w:val="none" w:sz="0" w:space="3" w:color="auto"/>
          <w:left w:val="none" w:sz="0" w:space="11"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47c</w:t>
      </w:r>
    </w:p>
    <w:p w14:paraId="7170835B" w14:textId="77777777" w:rsidR="00103AB1" w:rsidRDefault="00FE4FBA">
      <w:pPr>
        <w:pStyle w:val="Nadpis3"/>
        <w:keepNext w:val="0"/>
        <w:keepLines w:val="0"/>
        <w:pBdr>
          <w:top w:val="none" w:sz="0" w:space="3" w:color="auto"/>
          <w:left w:val="none" w:sz="0" w:space="25" w:color="auto"/>
          <w:bottom w:val="none" w:sz="0" w:space="3" w:color="auto"/>
          <w:right w:val="none" w:sz="0" w:space="30" w:color="auto"/>
          <w:between w:val="none" w:sz="0" w:space="3" w:color="auto"/>
        </w:pBdr>
        <w:shd w:val="clear" w:color="auto" w:fill="FFFFFF"/>
        <w:spacing w:before="0" w:after="0" w:line="360" w:lineRule="auto"/>
        <w:jc w:val="center"/>
        <w:rPr>
          <w:rFonts w:ascii="Times New Roman" w:eastAsia="Times New Roman" w:hAnsi="Times New Roman" w:cs="Times New Roman"/>
          <w:b/>
          <w:color w:val="000000"/>
          <w:sz w:val="24"/>
          <w:szCs w:val="24"/>
        </w:rPr>
      </w:pPr>
      <w:bookmarkStart w:id="1" w:name="_w1g0rym5jquw" w:colFirst="0" w:colLast="0"/>
      <w:bookmarkEnd w:id="1"/>
      <w:r>
        <w:rPr>
          <w:rFonts w:ascii="Times New Roman" w:eastAsia="Times New Roman" w:hAnsi="Times New Roman" w:cs="Times New Roman"/>
          <w:b/>
          <w:color w:val="000000"/>
          <w:sz w:val="24"/>
          <w:szCs w:val="24"/>
        </w:rPr>
        <w:t>Řízení na veřejné vysoké škole o vyslovení neplatnosti vykonání státní zkoušky nebo její součásti nebo obhajoby disertační práce</w:t>
      </w:r>
    </w:p>
    <w:p w14:paraId="046C28E2"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V řízení o vyslovení neplatnosti vykonání státní závěrečné zkoušky nebo její součásti, státní rigorózní zkoušky nebo její součásti, státní doktorské zkoušky nebo obhajoby disertační práce rozhoduje rektor veřejné vysoké školy, na níž se daná státní zkouška nebo obhajoba disertační práce konala.</w:t>
      </w:r>
    </w:p>
    <w:p w14:paraId="44690C17"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Rektor vysloví rozhodnutím neplatnost vykonání státní zkoušky nebo její součásti nebo obhajoby disertační práce, pokud osoba, o jejíž státní zkoušku nebo její součást nebo obhajobu disertační práce jde,</w:t>
      </w:r>
    </w:p>
    <w:p w14:paraId="0D01ABB8"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v důsledku úmyslného trestného činu nesplnila podmínky nebo předpoklady stanovené zákonem o vysokých školách, studijním programem nebo studijním a zkušebním řádem pro konání a úspěšné vykonání státní zkoušky nebo její součásti nebo obhajoby disertační práce, nebo</w:t>
      </w:r>
    </w:p>
    <w:p w14:paraId="142571C3"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v důsledku úmyslného neoprávněného užití díla jiné osoby hrubě porušujícího právní předpisy upravující ochranu duševního vlastnictví</w:t>
      </w:r>
      <w:hyperlink r:id="rId9" w:anchor="f5810909">
        <w:r>
          <w:rPr>
            <w:rFonts w:ascii="Times New Roman" w:eastAsia="Times New Roman" w:hAnsi="Times New Roman" w:cs="Times New Roman"/>
            <w:sz w:val="24"/>
            <w:szCs w:val="24"/>
            <w:vertAlign w:val="superscript"/>
          </w:rPr>
          <w:t>32</w:t>
        </w:r>
      </w:hyperlink>
      <w:hyperlink r:id="rId10" w:anchor="f5810909">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xml:space="preserve">nebo jiného úmyslného jednání proti dobrým mravům, neuvedeného v písmenu a), nesplnila nebo splnila jen zdánlivě podmínky nebo předpoklady stanovené zákonem o vysokých školách, studijním programem nebo studijním a zkušebním řádem pro konání a úspěšné vykonání státní zkoušky nebo její součásti nebo obhajoby disertační práce, šlo-li o </w:t>
      </w:r>
      <w:r>
        <w:rPr>
          <w:rFonts w:ascii="Times New Roman" w:eastAsia="Times New Roman" w:hAnsi="Times New Roman" w:cs="Times New Roman"/>
          <w:b/>
          <w:sz w:val="24"/>
          <w:szCs w:val="24"/>
        </w:rPr>
        <w:t>závažné</w:t>
      </w:r>
      <w:r>
        <w:rPr>
          <w:rFonts w:ascii="Times New Roman" w:eastAsia="Times New Roman" w:hAnsi="Times New Roman" w:cs="Times New Roman"/>
          <w:sz w:val="24"/>
          <w:szCs w:val="24"/>
        </w:rPr>
        <w:t>, soustavné nebo opakované jednání proti dobrým mravům nebo byla-li jím podstatně narušena možnost získat standardní znalosti a dovednosti absolventa daného studijního programu.</w:t>
      </w:r>
    </w:p>
    <w:p w14:paraId="7B89F6FD"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Za nesplnění podmínek pro úspěšné vykonání státní zkoušky nebo její součásti nebo obhajoby disertační práce podle odstavce 2 písm. a) a b) se považuje i takový případ rozporu mezi objektivním stavem věci a skutečnostmi osvědčovanými vysokoškolským diplomem nebo diplomem o vykonání státní rigorózní zkoušky, kdy byl osobě vydán vysokoškolský diplom nebo diplom o vykonání státní rigorózní zkoušky, aniž státní zkoušku nebo její součást nebo obhajobu disertační práce vůbec konala.</w:t>
      </w:r>
    </w:p>
    <w:p w14:paraId="76D54E1B"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Řízení o vyslovení neplatnosti se zahajuje z moci úřední; zahájeno může být rektorem</w:t>
      </w:r>
    </w:p>
    <w:p w14:paraId="702247EF"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nejpozději do 3 let ode dne nabytí právní moci rozsudku, kterým byla uvedená osoba odsouzena pro úmyslný trestný čin, jde-li o případ uvedený v odstavci 2 písm. a), nebo</w:t>
      </w:r>
    </w:p>
    <w:p w14:paraId="6E2E8BD7"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nejpozději do </w:t>
      </w:r>
      <w:r>
        <w:rPr>
          <w:rFonts w:ascii="Times New Roman" w:eastAsia="Times New Roman" w:hAnsi="Times New Roman" w:cs="Times New Roman"/>
          <w:strike/>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15</w:t>
      </w:r>
      <w:r>
        <w:rPr>
          <w:rFonts w:ascii="Times New Roman" w:eastAsia="Times New Roman" w:hAnsi="Times New Roman" w:cs="Times New Roman"/>
          <w:sz w:val="24"/>
          <w:szCs w:val="24"/>
        </w:rPr>
        <w:t xml:space="preserve"> let ode dne vykonání nebo zdánlivého vykonání státní zkoušky nebo její poslední součásti nebo obhajoby disertační práce, jde-li o případ uvedený v odstavci 2 písm. b).</w:t>
      </w:r>
    </w:p>
    <w:p w14:paraId="0AB7A63A"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Neshledá-li rektor důvody pro vyslovení neplatnosti státní zkoušky nebo její součásti nebo obhajoby disertační práce podle odstavce 2, řízení o vyslovení neplatnosti usnesením zastaví.</w:t>
      </w:r>
    </w:p>
    <w:p w14:paraId="4270C0EF"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Součástí podkladů pro rozhodnutí v řízení o vyslovení neplatnosti je stanovisko přezkumné komise. Přezkumná komise má 7 členů, z toho 6 členů jmenovaných rektorem z profesorů, docentů nebo dalších odborníků; sedmý člen komise je rektorem jmenován z řad studentů veřejné vysoké školy. Podrobnosti o složení přezkumné komise stanoví vnitřní předpis veřejné vysoké školy. Přezkumná komise se usnáší nadpoloviční většinou hlasů všech svých členů.</w:t>
      </w:r>
    </w:p>
    <w:p w14:paraId="7AA65DB3"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5B6583CD"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63</w:t>
      </w:r>
    </w:p>
    <w:p w14:paraId="607E3F57" w14:textId="77777777" w:rsidR="00103AB1" w:rsidRDefault="00FE4FBA">
      <w:pPr>
        <w:pStyle w:val="Nadpis3"/>
        <w:keepNext w:val="0"/>
        <w:keepLines w:val="0"/>
        <w:pBdr>
          <w:top w:val="none" w:sz="0" w:space="3" w:color="auto"/>
          <w:left w:val="none" w:sz="0" w:space="6" w:color="auto"/>
          <w:bottom w:val="none" w:sz="0" w:space="3" w:color="auto"/>
          <w:right w:val="none" w:sz="0" w:space="30" w:color="auto"/>
          <w:between w:val="none" w:sz="0" w:space="3" w:color="auto"/>
        </w:pBdr>
        <w:shd w:val="clear" w:color="auto" w:fill="FFFFFF"/>
        <w:spacing w:before="0" w:after="0" w:line="360" w:lineRule="auto"/>
        <w:jc w:val="center"/>
        <w:rPr>
          <w:rFonts w:ascii="Times New Roman" w:eastAsia="Times New Roman" w:hAnsi="Times New Roman" w:cs="Times New Roman"/>
          <w:b/>
          <w:color w:val="000000"/>
          <w:sz w:val="24"/>
          <w:szCs w:val="24"/>
        </w:rPr>
      </w:pPr>
      <w:bookmarkStart w:id="2" w:name="_45wm9omrz33c" w:colFirst="0" w:colLast="0"/>
      <w:bookmarkEnd w:id="2"/>
      <w:r>
        <w:rPr>
          <w:rFonts w:ascii="Times New Roman" w:eastAsia="Times New Roman" w:hAnsi="Times New Roman" w:cs="Times New Roman"/>
          <w:b/>
          <w:color w:val="000000"/>
          <w:sz w:val="24"/>
          <w:szCs w:val="24"/>
        </w:rPr>
        <w:t>Povinnosti studenta</w:t>
      </w:r>
    </w:p>
    <w:p w14:paraId="6650CDB6"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Studijní povinnosti studenta vyplývají ze studijního programu a studijního a zkušebního řádu.</w:t>
      </w:r>
    </w:p>
    <w:p w14:paraId="44F0A88B"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Student je povinen </w:t>
      </w:r>
      <w:r>
        <w:rPr>
          <w:rFonts w:ascii="Times New Roman" w:eastAsia="Times New Roman" w:hAnsi="Times New Roman" w:cs="Times New Roman"/>
          <w:b/>
          <w:sz w:val="24"/>
          <w:szCs w:val="24"/>
        </w:rPr>
        <w:t>jednat při studiu čestně a poctivě a</w:t>
      </w:r>
      <w:r>
        <w:rPr>
          <w:rFonts w:ascii="Times New Roman" w:eastAsia="Times New Roman" w:hAnsi="Times New Roman" w:cs="Times New Roman"/>
          <w:sz w:val="24"/>
          <w:szCs w:val="24"/>
        </w:rPr>
        <w:t xml:space="preserve"> dodržovat vnitřní předpisy vysoké školy a jejích součástí.</w:t>
      </w:r>
    </w:p>
    <w:p w14:paraId="5F7EA5C6"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Student je dále povinen</w:t>
      </w:r>
    </w:p>
    <w:p w14:paraId="18AA8F7F"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hradit poplatky spojené se studiem a uvést skutečnosti rozhodné pro jejich výši,</w:t>
      </w:r>
    </w:p>
    <w:p w14:paraId="624FCA8F"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hlásit vysoké škole nebo její součásti, na které je zapsán, adresu určenou pro doručování nebo adresu svojí datové schránky,</w:t>
      </w:r>
    </w:p>
    <w:p w14:paraId="2A1ABE78"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hlásit vysoké škole ztrátu zdravotní způsobilosti ke studiu, pokud byla tato způsobilost podmínkou pro přijetí ke studiu podle § 49 odst. 1,</w:t>
      </w:r>
    </w:p>
    <w:p w14:paraId="5F09D85C"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dostavit se na předvolání rektora, děkana nebo jimi pověřeného zaměstnance vysoké školy k projednání otázek týkajících se průběhu studia nebo ukončení studia.</w:t>
      </w:r>
    </w:p>
    <w:p w14:paraId="17BE284D"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both"/>
        <w:rPr>
          <w:sz w:val="20"/>
          <w:szCs w:val="20"/>
        </w:rPr>
      </w:pPr>
      <w:r>
        <w:rPr>
          <w:rFonts w:ascii="Times New Roman" w:eastAsia="Times New Roman" w:hAnsi="Times New Roman" w:cs="Times New Roman"/>
          <w:sz w:val="24"/>
          <w:szCs w:val="24"/>
        </w:rPr>
        <w:t>(4) Zaviněným nesplněním povinnosti uvedené v odstavci 3 vzniká studentovi povinnost nahradit vysoké škole náklady, které jí tím způsobil.</w:t>
      </w:r>
    </w:p>
    <w:p w14:paraId="751CD482"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6E116474"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rPr>
          <w:rFonts w:ascii="Times New Roman" w:eastAsia="Times New Roman" w:hAnsi="Times New Roman" w:cs="Times New Roman"/>
          <w:b/>
          <w:sz w:val="24"/>
          <w:szCs w:val="24"/>
        </w:rPr>
      </w:pPr>
    </w:p>
    <w:p w14:paraId="2C479F44"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74f</w:t>
      </w:r>
    </w:p>
    <w:p w14:paraId="52B5C78C"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Řízení na vysoké škole o vyslovení neplatnosti jmenování profesorem</w:t>
      </w:r>
    </w:p>
    <w:p w14:paraId="22B52984"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O vyslovení neplatnosti jmenování profesorem rozhoduje v řízení o vyslovení neplatnosti rektor vysoké školy, na níž se konalo řízení ke jmenování profesorem.</w:t>
      </w:r>
    </w:p>
    <w:p w14:paraId="1B0676C3" w14:textId="77777777" w:rsidR="00103AB1" w:rsidRDefault="00FE4FBA">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V řízení o vyslovení neplatnosti jmenování profesorem se dále postupuje obdobně podle § 74a až § 74e.</w:t>
      </w:r>
    </w:p>
    <w:p w14:paraId="6206C718"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p>
    <w:p w14:paraId="3910BCA9" w14:textId="77777777" w:rsidR="00103AB1" w:rsidRDefault="00103A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rPr>
          <w:rFonts w:ascii="Times New Roman" w:eastAsia="Times New Roman" w:hAnsi="Times New Roman" w:cs="Times New Roman"/>
          <w:b/>
          <w:sz w:val="24"/>
          <w:szCs w:val="24"/>
          <w:u w:val="single"/>
        </w:rPr>
      </w:pPr>
    </w:p>
    <w:p w14:paraId="52226A2C" w14:textId="77777777" w:rsidR="00103AB1" w:rsidRDefault="00FE4F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Zákon č. 40/1995 Sb., o regulaci reklamy a o změně a doplnění zákona č. </w:t>
      </w:r>
      <w:hyperlink r:id="rId11">
        <w:r>
          <w:rPr>
            <w:rFonts w:ascii="Times New Roman" w:eastAsia="Times New Roman" w:hAnsi="Times New Roman" w:cs="Times New Roman"/>
            <w:b/>
            <w:sz w:val="24"/>
            <w:szCs w:val="24"/>
            <w:u w:val="single"/>
          </w:rPr>
          <w:t>468/1991 Sb.</w:t>
        </w:r>
      </w:hyperlink>
      <w:r>
        <w:rPr>
          <w:rFonts w:ascii="Times New Roman" w:eastAsia="Times New Roman" w:hAnsi="Times New Roman" w:cs="Times New Roman"/>
          <w:b/>
          <w:sz w:val="24"/>
          <w:szCs w:val="24"/>
          <w:u w:val="single"/>
        </w:rPr>
        <w:t>, o provozování rozhlasového a televizního vysílání</w:t>
      </w:r>
    </w:p>
    <w:p w14:paraId="0D4FFE77" w14:textId="77777777" w:rsidR="00103AB1" w:rsidRDefault="00103AB1">
      <w:pPr>
        <w:jc w:val="both"/>
        <w:rPr>
          <w:rFonts w:ascii="Times New Roman" w:eastAsia="Times New Roman" w:hAnsi="Times New Roman" w:cs="Times New Roman"/>
          <w:b/>
          <w:sz w:val="24"/>
          <w:szCs w:val="24"/>
          <w:u w:val="single"/>
        </w:rPr>
      </w:pPr>
    </w:p>
    <w:p w14:paraId="50E1E4F6"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2</w:t>
      </w:r>
    </w:p>
    <w:p w14:paraId="05198105"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Zakazuje se</w:t>
      </w:r>
    </w:p>
    <w:p w14:paraId="3E77538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reklama zboží, služeb nebo jiných výkonů či hodnot, jejichž prodej, poskytování nebo šíření je v rozporu s právními předpisy,</w:t>
      </w:r>
    </w:p>
    <w:p w14:paraId="02CBB95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reklama, která je nekalou obchodní praktikou podle zvláštního právního předpisu</w:t>
      </w:r>
      <w:hyperlink r:id="rId12" w:anchor="f1592508">
        <w:r>
          <w:rPr>
            <w:rFonts w:ascii="Times New Roman" w:eastAsia="Times New Roman" w:hAnsi="Times New Roman" w:cs="Times New Roman"/>
            <w:sz w:val="24"/>
            <w:szCs w:val="24"/>
          </w:rPr>
          <w:t>5</w:t>
        </w:r>
      </w:hyperlink>
      <w:hyperlink r:id="rId13" w:anchor="f1592508">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za takovou reklamu se nepovažuje umístění produktu v audiovizuálním díle nebo jiném zvukově obrazovém záznamu, splňuje-li podmínky stanovené jiným právním předpisem</w:t>
      </w:r>
      <w:hyperlink r:id="rId14" w:anchor="f1592504">
        <w:r>
          <w:rPr>
            <w:rFonts w:ascii="Times New Roman" w:eastAsia="Times New Roman" w:hAnsi="Times New Roman" w:cs="Times New Roman"/>
            <w:sz w:val="24"/>
            <w:szCs w:val="24"/>
          </w:rPr>
          <w:t>3a</w:t>
        </w:r>
      </w:hyperlink>
      <w:hyperlink r:id="rId15" w:anchor="f1592504">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,3b),</w:t>
      </w:r>
    </w:p>
    <w:p w14:paraId="5C92C00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šíření nevyžádané reklamy v listinné podobě, pokud adresáta obtěžuje; za reklamu, která obtěžuje, se považuje reklama směřující ke konkrétnímu adresátovi za podmínky, že adresát dal předem jasně a srozumitelně najevo, že si nepřeje, aby vůči němu byla nevyžádaná reklama šířena,</w:t>
      </w:r>
    </w:p>
    <w:p w14:paraId="04DEDDCA"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 reklama šířená na veřejně přístupných místech mimo provozovnu jiným způsobem než prostřednictvím reklamního nebo propagačního zařízení zřízeného podle zvláštního právního předpisu</w:t>
      </w:r>
      <w:hyperlink r:id="rId16" w:anchor="f1592512">
        <w:r>
          <w:rPr>
            <w:rFonts w:ascii="Times New Roman" w:eastAsia="Times New Roman" w:hAnsi="Times New Roman" w:cs="Times New Roman"/>
            <w:sz w:val="24"/>
            <w:szCs w:val="24"/>
          </w:rPr>
          <w:t>5b</w:t>
        </w:r>
      </w:hyperlink>
      <w:hyperlink r:id="rId17" w:anchor="f1592512">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stanoví-li tak obec svým nařízením vydaným v přenesené působnosti</w:t>
      </w:r>
      <w:hyperlink r:id="rId18" w:anchor="f1592513">
        <w:r>
          <w:rPr>
            <w:rFonts w:ascii="Times New Roman" w:eastAsia="Times New Roman" w:hAnsi="Times New Roman" w:cs="Times New Roman"/>
            <w:sz w:val="24"/>
            <w:szCs w:val="24"/>
          </w:rPr>
          <w:t>5c</w:t>
        </w:r>
      </w:hyperlink>
      <w:hyperlink r:id="rId19" w:anchor="f1592513">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v rozsahu uvedeném v odstavci 5,</w:t>
      </w:r>
    </w:p>
    <w:p w14:paraId="74EF4CC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šíření anonymního oznámení týkajícího se voleb v době od vyhlášení voleb do ukončení hlasování,</w:t>
      </w:r>
    </w:p>
    <w:p w14:paraId="1B6213B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reklama na hazardní hru provozovanou bez základního povolení podle zákona upravujícího hazardní hry,</w:t>
      </w:r>
    </w:p>
    <w:p w14:paraId="1C9B12A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 reklama, která přímo nabádá nebo podněcuje k porušování právních předpisů nebo k porušování povinnosti uložené na základě zákona.</w:t>
      </w:r>
    </w:p>
    <w:p w14:paraId="04272281"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Srovnávací reklama je přípustná za podmínek stanovených tímto zákonem a občanským zákoníkem.</w:t>
      </w:r>
    </w:p>
    <w:p w14:paraId="6C636B2E"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Reklama nesmí být v rozporu s dobrými mravy, zejména nesmí obsahovat jakoukoliv diskriminaci z důvodů rasy, pohlaví nebo národnosti nebo napadat náboženské nebo národnostní cítění, ohrožovat obecně nepřijatelným způsobem mravnost, snižovat lidskou důstojnost, obsahovat prvky pornografie, násilí nebo prvky využívající motivu strachu. Reklama nesmí napadat politické přesvědčení.</w:t>
      </w:r>
    </w:p>
    <w:p w14:paraId="3D13A604"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Reklama nesmí podporovat chování poškozující zdraví nebo ohrožující bezpečnost osob nebo majetku, jakož i jednání poškozující zájmy na ochranu životního prostředí.</w:t>
      </w:r>
    </w:p>
    <w:p w14:paraId="35D4CD48"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Obec v nařízení vydaném podle odstavce 1 písm. d) stanoví</w:t>
      </w:r>
    </w:p>
    <w:p w14:paraId="3FD4173A"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veřejně přístupná místa, na nichž je reklama podle odstavce 1 písm. d) zakázána,</w:t>
      </w:r>
    </w:p>
    <w:p w14:paraId="468BDE4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dobu, v níž je reklama podle odstavce 1 písm. d) zakázána,</w:t>
      </w:r>
    </w:p>
    <w:p w14:paraId="7EDABA81"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druhy komunikačníc</w:t>
      </w:r>
      <w:r>
        <w:rPr>
          <w:sz w:val="20"/>
          <w:szCs w:val="20"/>
        </w:rPr>
        <w:t xml:space="preserve">h </w:t>
      </w:r>
      <w:r>
        <w:rPr>
          <w:rFonts w:ascii="Times New Roman" w:eastAsia="Times New Roman" w:hAnsi="Times New Roman" w:cs="Times New Roman"/>
          <w:sz w:val="24"/>
          <w:szCs w:val="24"/>
        </w:rPr>
        <w:t>médií, kterými nesmí být reklama podle odstavce 1 písm. d) šířena, popřípadě též</w:t>
      </w:r>
    </w:p>
    <w:p w14:paraId="2831E4F8"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akce, na něž se zákaz šíření reklamy nevztahuje.</w:t>
      </w:r>
    </w:p>
    <w:p w14:paraId="1D29CC8C" w14:textId="77777777" w:rsidR="00103AB1" w:rsidRDefault="00103AB1">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6798D127" w14:textId="77777777" w:rsidR="00103AB1" w:rsidRDefault="00FE4FBA">
      <w:pPr>
        <w:pStyle w:val="Nadpis3"/>
        <w:keepNext w:val="0"/>
        <w:keepLines w:val="0"/>
        <w:pBdr>
          <w:top w:val="none" w:sz="0" w:space="3" w:color="auto"/>
          <w:left w:val="none" w:sz="0" w:space="25" w:color="auto"/>
          <w:bottom w:val="none" w:sz="0" w:space="3" w:color="auto"/>
          <w:right w:val="none" w:sz="0" w:space="30" w:color="auto"/>
          <w:between w:val="none" w:sz="0" w:space="3" w:color="auto"/>
        </w:pBdr>
        <w:shd w:val="clear" w:color="auto" w:fill="FFFFFF"/>
        <w:spacing w:before="0" w:after="0" w:line="360" w:lineRule="auto"/>
        <w:jc w:val="center"/>
        <w:rPr>
          <w:rFonts w:ascii="Times New Roman" w:eastAsia="Times New Roman" w:hAnsi="Times New Roman" w:cs="Times New Roman"/>
          <w:b/>
          <w:color w:val="000000"/>
          <w:sz w:val="24"/>
          <w:szCs w:val="24"/>
        </w:rPr>
      </w:pPr>
      <w:bookmarkStart w:id="3" w:name="_6zxu1m9t1alg" w:colFirst="0" w:colLast="0"/>
      <w:bookmarkEnd w:id="3"/>
      <w:r>
        <w:rPr>
          <w:rFonts w:ascii="Times New Roman" w:eastAsia="Times New Roman" w:hAnsi="Times New Roman" w:cs="Times New Roman"/>
          <w:b/>
          <w:color w:val="000000"/>
          <w:sz w:val="24"/>
          <w:szCs w:val="24"/>
        </w:rPr>
        <w:t>Přestupky</w:t>
      </w:r>
    </w:p>
    <w:p w14:paraId="6C9CAB25"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8</w:t>
      </w:r>
    </w:p>
    <w:p w14:paraId="515E8C72"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Fyzická osoba se jako šiřitel dopustí přestupku tím, že</w:t>
      </w:r>
    </w:p>
    <w:p w14:paraId="333EE1B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neoznámí osobě, která prokáže oprávněný zájem podle § 6b odst. 2, kdo je zadavatelem nebo zpracovatelem,</w:t>
      </w:r>
    </w:p>
    <w:p w14:paraId="0E66A77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šíří reklamu nebo anonymní oznámení týkající se voleb, které jsou podle § 2 odst. 1 písm. a), b), d)</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nebo</w:t>
      </w:r>
      <w:r>
        <w:rPr>
          <w:rFonts w:ascii="Times New Roman" w:eastAsia="Times New Roman" w:hAnsi="Times New Roman" w:cs="Times New Roman"/>
          <w:sz w:val="24"/>
          <w:szCs w:val="24"/>
        </w:rPr>
        <w:t xml:space="preserve"> e) </w:t>
      </w:r>
      <w:r>
        <w:rPr>
          <w:rFonts w:ascii="Times New Roman" w:eastAsia="Times New Roman" w:hAnsi="Times New Roman" w:cs="Times New Roman"/>
          <w:b/>
          <w:sz w:val="24"/>
          <w:szCs w:val="24"/>
        </w:rPr>
        <w:t>nebo g)</w:t>
      </w:r>
      <w:r>
        <w:rPr>
          <w:rFonts w:ascii="Times New Roman" w:eastAsia="Times New Roman" w:hAnsi="Times New Roman" w:cs="Times New Roman"/>
          <w:sz w:val="24"/>
          <w:szCs w:val="24"/>
        </w:rPr>
        <w:t xml:space="preserve"> zakázány,</w:t>
      </w:r>
    </w:p>
    <w:p w14:paraId="1334371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poruší povinnost odlišit způsob šíření informace o výrobku nebo službě od způsobu šíření informace o tabákovém výrobku podle § 3 odst. 3 nebo šíří reklamu na tabákové výrobky jinak, než je uvedeno v § 3 odst. 4,</w:t>
      </w:r>
    </w:p>
    <w:p w14:paraId="5532F8B3"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 poruší zákaz bezplatného dodávání vzorků široké veřejnosti u tabákových výrobků podle § 3 odst. 7 nebo u humánních léčivých přípravků podle § 5a odst. 4,</w:t>
      </w:r>
    </w:p>
    <w:p w14:paraId="1F7BC87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šíří vůči veřejnosti reklamu na veterinární léčivé přípravky, která je v rozporu s § 5h,</w:t>
      </w:r>
    </w:p>
    <w:p w14:paraId="6AC6441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šíří reklamu na střelné zbraně a střelivo v rozporu s § 6,</w:t>
      </w:r>
    </w:p>
    <w:p w14:paraId="532FDFE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šíří reklamu činností v pohřebnictví v rozporu s § 6a,</w:t>
      </w:r>
    </w:p>
    <w:p w14:paraId="6EAE8DB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 v rozporu s § 2 odst. 1 písm. c) šíří nevyžádanou reklamu v listinné podobě,</w:t>
      </w:r>
    </w:p>
    <w:p w14:paraId="39809B8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v rozporu s § 5b odst. 1 šíří prostřednictvím komunikačních prostředků reklamu na humánní léčivé přípravky, která je zaměřena na odborníky, aniž by tyto prostředky byly určeny jen pro odborníky, jichž se reklama na humánní léčivé přípravky týká,</w:t>
      </w:r>
    </w:p>
    <w:p w14:paraId="15DB33E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poruší zákaz nabízet, slibovat nebo poskytovat dary nebo jiný prospěch podle § 5b odst. 4,</w:t>
      </w:r>
    </w:p>
    <w:p w14:paraId="1563F98B"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 poruší povinnost stanovenou pro šíření reklamy na počáteční kojeneckou výživu podle § 5e odst. 1,</w:t>
      </w:r>
    </w:p>
    <w:p w14:paraId="3769194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 šíří reklamu na hazardní hru provozovanou bez základního povolení podle zákona upravujícího hazardní hry,</w:t>
      </w:r>
    </w:p>
    <w:p w14:paraId="55FC3D3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 nesdělí na výzvu orgánu dozoru a ve lhůtě jím stanovené údaje o osobě zadavatele nebo zpracovatele reklamy nebo o osobě, která u něj šíření reklamy objednala, podle § 7a odst. 4, nebo</w:t>
      </w:r>
    </w:p>
    <w:p w14:paraId="48C65C0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 v rozporu s § 3a odst. 1 šíří reklamu na elektronické cigarety nebo na náplně do nich,</w:t>
      </w:r>
    </w:p>
    <w:p w14:paraId="7CC6211B"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šíří reklamu na léčiva, humánní léčivé přípravky, doplňky stravy, potraviny pro zvláštní výživu, počáteční a pokračovací kojeneckou výživu, jejíž obsah je v rozporu s § 5, 5a, 5b, 5d, 5e, 5f, nebo v rozporu s přímo použitelným předpisem Evropské unie upravujícím údaje týkající se potravin z hlediska jejich nutriční hodnoty a vlivu na zdraví</w:t>
      </w:r>
      <w:hyperlink r:id="rId20" w:anchor="f1592540">
        <w:r>
          <w:rPr>
            <w:rFonts w:ascii="Times New Roman" w:eastAsia="Times New Roman" w:hAnsi="Times New Roman" w:cs="Times New Roman"/>
            <w:color w:val="15679C"/>
            <w:sz w:val="24"/>
            <w:szCs w:val="24"/>
            <w:vertAlign w:val="superscript"/>
          </w:rPr>
          <w:t>21a</w:t>
        </w:r>
      </w:hyperlink>
      <w:hyperlink r:id="rId21" w:anchor="f1592540">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w:t>
      </w:r>
    </w:p>
    <w:p w14:paraId="57F10676"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Fyzická osoba jako zadavatel reklamy se dopustí přestupku tím, že</w:t>
      </w:r>
    </w:p>
    <w:p w14:paraId="5491CE3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zadá reklamu, která je podle § 2 odst. 1 písm. a)</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nebo</w:t>
      </w:r>
      <w:r>
        <w:rPr>
          <w:rFonts w:ascii="Times New Roman" w:eastAsia="Times New Roman" w:hAnsi="Times New Roman" w:cs="Times New Roman"/>
          <w:sz w:val="24"/>
          <w:szCs w:val="24"/>
        </w:rPr>
        <w:t xml:space="preserve"> f) </w:t>
      </w:r>
      <w:r>
        <w:rPr>
          <w:rFonts w:ascii="Times New Roman" w:eastAsia="Times New Roman" w:hAnsi="Times New Roman" w:cs="Times New Roman"/>
          <w:b/>
          <w:sz w:val="24"/>
          <w:szCs w:val="24"/>
        </w:rPr>
        <w:t>nebo g)</w:t>
      </w:r>
      <w:r>
        <w:rPr>
          <w:rFonts w:ascii="Times New Roman" w:eastAsia="Times New Roman" w:hAnsi="Times New Roman" w:cs="Times New Roman"/>
          <w:sz w:val="24"/>
          <w:szCs w:val="24"/>
        </w:rPr>
        <w:t xml:space="preserve"> nebo § 3 odst. 1 zakázána nebo je v rozporu s § 3 odst. 5,</w:t>
      </w:r>
    </w:p>
    <w:p w14:paraId="78A1A6D0"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poruší podmínky stanovené pro obsah reklamy v § 2 odst. 3 nebo 4, § 2c, § 3 odst. 6, § 4, § 5 odst. 3, 4 nebo 5, § 5a odst. 1, 2, 5, 6, 7 nebo 8, § 5b odst. 2 nebo 8, § 5c odst. 1 nebo 2, § 5d, § 5e odst. 1, § 5f, § 5g, § 5h, § 5i nebo § 5j,</w:t>
      </w:r>
    </w:p>
    <w:p w14:paraId="6C8983A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poruší podmínky stanovené pro srovnávací reklamu uvedené v § 2 odst. 2 nebo § 2a, nebo</w:t>
      </w:r>
    </w:p>
    <w:p w14:paraId="728C94E0"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neuchová ukázku (kopii) každé reklamy podle § 7a odst. 1 nebo bezplatně nezapůjčí kopii reklamy orgánům dozoru na dobu nezbytně nutnou nebo nesplní povinnost podle § 7a odst. 2.</w:t>
      </w:r>
    </w:p>
    <w:p w14:paraId="16385548"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Fyzická osoba se jako zpracovatel dopustí přestupku tím, že</w:t>
      </w:r>
    </w:p>
    <w:p w14:paraId="0A2C6109"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zpracuje reklamu, která je zakázána podle § 2 odst. 1 písm. a)</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nebo</w:t>
      </w:r>
      <w:r>
        <w:rPr>
          <w:rFonts w:ascii="Times New Roman" w:eastAsia="Times New Roman" w:hAnsi="Times New Roman" w:cs="Times New Roman"/>
          <w:sz w:val="24"/>
          <w:szCs w:val="24"/>
        </w:rPr>
        <w:t xml:space="preserve"> f) </w:t>
      </w:r>
      <w:r>
        <w:rPr>
          <w:rFonts w:ascii="Times New Roman" w:eastAsia="Times New Roman" w:hAnsi="Times New Roman" w:cs="Times New Roman"/>
          <w:b/>
          <w:sz w:val="24"/>
          <w:szCs w:val="24"/>
        </w:rPr>
        <w:t>nebo g)</w:t>
      </w:r>
      <w:r>
        <w:rPr>
          <w:rFonts w:ascii="Times New Roman" w:eastAsia="Times New Roman" w:hAnsi="Times New Roman" w:cs="Times New Roman"/>
          <w:sz w:val="24"/>
          <w:szCs w:val="24"/>
        </w:rPr>
        <w:t xml:space="preserve"> nebo § 3 odst. 1,</w:t>
      </w:r>
    </w:p>
    <w:p w14:paraId="63933A62"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v rozporu s § 2 odst. 1 písm. b) zpracuje reklamu, která je nekalou obchodní praktikou,</w:t>
      </w:r>
    </w:p>
    <w:p w14:paraId="2233B093"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poruší podmínky stanovené pro srovnávací reklamu podle § 2 odst. 2 nebo § 2a,</w:t>
      </w:r>
    </w:p>
    <w:p w14:paraId="3409AB41"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 poruší podmínky stanovené pro obsah reklamy podle § 2 odst. 3 nebo 4, § 2c, § 3 odst. 6, § 4, § 5 odst. 3, 4 nebo 5, § 5a odst. 1, 2, 5, 6, 7 nebo 8, § 5b odst. 2 nebo 8, § 5c odst. 1 nebo 2, § 5d, § 5e odst. 1, § 5f, </w:t>
      </w:r>
      <w:proofErr w:type="gramStart"/>
      <w:r>
        <w:rPr>
          <w:rFonts w:ascii="Times New Roman" w:eastAsia="Times New Roman" w:hAnsi="Times New Roman" w:cs="Times New Roman"/>
          <w:sz w:val="24"/>
          <w:szCs w:val="24"/>
        </w:rPr>
        <w:t>5g</w:t>
      </w:r>
      <w:proofErr w:type="gramEnd"/>
      <w:r>
        <w:rPr>
          <w:rFonts w:ascii="Times New Roman" w:eastAsia="Times New Roman" w:hAnsi="Times New Roman" w:cs="Times New Roman"/>
          <w:sz w:val="24"/>
          <w:szCs w:val="24"/>
        </w:rPr>
        <w:t>, 5h nebo 5i,</w:t>
      </w:r>
    </w:p>
    <w:p w14:paraId="71FBAAC3"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neuvede v reklamě na tabákový výrobek varování podle § 3 odst. 5, nebo</w:t>
      </w:r>
    </w:p>
    <w:p w14:paraId="5ED2E5F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v rozporu s § 7a odst. 3 nesdělí na výzvu orgánu dozoru a ve lhůtě jím stanovené údaje o zadavateli reklamy a šiřiteli reklamy.</w:t>
      </w:r>
    </w:p>
    <w:p w14:paraId="5BCDEB28"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Odborník se dopustí přestupku tím, že vyžaduje nebo přijímá výhody, které jsou podle § 5b odst. 4 zakázané nebo které jsou v rozporu s § 5b odst. 5.</w:t>
      </w:r>
    </w:p>
    <w:p w14:paraId="05C34BFB"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Za přestupek lze uložit pokutu</w:t>
      </w:r>
    </w:p>
    <w:p w14:paraId="3046859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do 100000 Kč, jde-li o přestupek podle odstavce 1 písm. j) nebo podle odstavce 4,</w:t>
      </w:r>
    </w:p>
    <w:p w14:paraId="1C80E96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do 500000 Kč, jde-li o přestupek podle odstavce 1 písm. a), m) nebo o), odstavce 2 písm. d) nebo podle odstavce 3 písm. f),</w:t>
      </w:r>
    </w:p>
    <w:p w14:paraId="1886B038"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do 2000000 Kč, jde-li o přestupek podle odstavce 1 písm. b), c), d), e), f), g), h), i), k), l) nebo n), podle odstavce 2 písm. a), b) nebo c) nebo podle odstavce 3 písm. a), b), c), d) nebo e).</w:t>
      </w:r>
    </w:p>
    <w:p w14:paraId="022316BC" w14:textId="77777777" w:rsidR="00103AB1" w:rsidRDefault="00FE4FBA">
      <w:pPr>
        <w:pBdr>
          <w:top w:val="none" w:sz="0" w:space="3" w:color="auto"/>
          <w:left w:val="none" w:sz="0" w:space="6" w:color="auto"/>
          <w:bottom w:val="none" w:sz="0" w:space="3" w:color="auto"/>
          <w:right w:val="none" w:sz="0" w:space="30" w:color="auto"/>
          <w:between w:val="none" w:sz="0" w:space="3" w:color="auto"/>
        </w:pBd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8a</w:t>
      </w:r>
    </w:p>
    <w:p w14:paraId="172BDB3A"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Právnická nebo podnikající fyzická osoba se dopustí přestupku tím, že jako šiřitel</w:t>
      </w:r>
    </w:p>
    <w:p w14:paraId="08860B01"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neoznámí osobě, která prokáže oprávněný zájem podle § 6b odst. 2, kdo je zadavatelem nebo zpracovatelem,</w:t>
      </w:r>
    </w:p>
    <w:p w14:paraId="1960E20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šíří reklamu nebo anonymní oznámení týkající se voleb, které jsou podle § 2 odst. 1 písm. a), d)</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nebo</w:t>
      </w:r>
      <w:r>
        <w:rPr>
          <w:rFonts w:ascii="Times New Roman" w:eastAsia="Times New Roman" w:hAnsi="Times New Roman" w:cs="Times New Roman"/>
          <w:sz w:val="24"/>
          <w:szCs w:val="24"/>
        </w:rPr>
        <w:t xml:space="preserve"> e) </w:t>
      </w:r>
      <w:r>
        <w:rPr>
          <w:rFonts w:ascii="Times New Roman" w:eastAsia="Times New Roman" w:hAnsi="Times New Roman" w:cs="Times New Roman"/>
          <w:b/>
          <w:sz w:val="24"/>
          <w:szCs w:val="24"/>
        </w:rPr>
        <w:t>nebo g)</w:t>
      </w:r>
      <w:r>
        <w:rPr>
          <w:rFonts w:ascii="Times New Roman" w:eastAsia="Times New Roman" w:hAnsi="Times New Roman" w:cs="Times New Roman"/>
          <w:sz w:val="24"/>
          <w:szCs w:val="24"/>
        </w:rPr>
        <w:t xml:space="preserve"> zakázány,</w:t>
      </w:r>
    </w:p>
    <w:p w14:paraId="34CD11D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v rozporu s § 2 odst. 1 písm. c) šíří nevyžádanou reklamu v listinné podobě,</w:t>
      </w:r>
    </w:p>
    <w:p w14:paraId="3A33693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poruší povinnost odlišit způsob šíření informace o výrobku nebo službě od způsobu šíření informace o tabákovém výrobku podle § 3 odst. 3 nebo šíří reklamu na tabákové výrobky jinak, než je uvedeno v § 3 odst. 4,</w:t>
      </w:r>
    </w:p>
    <w:p w14:paraId="6158F8BD"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poruší zákaz bezplatného dodávání vzorků široké veřejnosti u tabákových výrobků podle § 3 odst. 7 nebo u humánních léčivých přípravků podle § 5a odst. 4,</w:t>
      </w:r>
    </w:p>
    <w:p w14:paraId="2D4B519D"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šíří reklamu na humánní léčivé přípravky zaměřenou na odborníky komunikačními prostředky, které nejsou určeny převážně pro tyto odborníky,</w:t>
      </w:r>
    </w:p>
    <w:p w14:paraId="3D86BD8A"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poruší povinnosti obchodního zástupce podle § 5b odst. 3,</w:t>
      </w:r>
    </w:p>
    <w:p w14:paraId="7522383D"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 poruší zákaz nabízet, slibovat nebo poskytovat dary nebo jiný prospěch podle § 5b odst. 4,</w:t>
      </w:r>
    </w:p>
    <w:p w14:paraId="3CD4659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poskytne vzorky humánních léčivých přípravků v rozporu s § 5b odst. 7,</w:t>
      </w:r>
    </w:p>
    <w:p w14:paraId="3B49F4D9"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poruší povinnost stanovenou pro šíření reklamy na počáteční kojeneckou výživu podle § 5e,</w:t>
      </w:r>
    </w:p>
    <w:p w14:paraId="1F42FC01"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 šíří reklamu na střelné zbraně a střelivo v rozporu s § 6,</w:t>
      </w:r>
    </w:p>
    <w:p w14:paraId="67CA7DAA"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 šíří reklamu činností v pohřebnictví v rozporu s § 6a,</w:t>
      </w:r>
    </w:p>
    <w:p w14:paraId="5E43D1A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 šíří vůči veřejnosti reklamu na veterinární léčivé přípravky, která je v rozporu s § 5h,</w:t>
      </w:r>
    </w:p>
    <w:p w14:paraId="6ACEC6E9"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 v rozporu s § 2 odst. 1 písm. b) šíří reklamu, která je nekalou obchodní praktikou,</w:t>
      </w:r>
    </w:p>
    <w:p w14:paraId="19B1D148"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šíří reklamu na hazardní hru provozovanou bez základního povolení podle zákona upravujícího hazardní hry,</w:t>
      </w:r>
    </w:p>
    <w:p w14:paraId="55B67BB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 nesdělí na výzvu orgánu dozoru a ve lhůtě jím stanovené údaje o osobě zadavatele nebo zpracovatele reklamy nebo o osobě, která u něj šíření reklamy objednala, podle § 7a odst. 4, nebo</w:t>
      </w:r>
    </w:p>
    <w:p w14:paraId="54B4FD09"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 v rozporu s § 3a odst. 1 šíří reklamu na elektronické cigarety nebo na náhradní náplně do nich,</w:t>
      </w:r>
    </w:p>
    <w:p w14:paraId="3E5C2F2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 šíří reklamu na léčiva, humánní léčivé přípravky, doplňky stravy, potraviny pro zvláštní výživu, počáteční a pokračovací kojeneckou výživu, jejíž obsah je v rozporu s § 5, 5a, 5b, 5d, 5e, 5f, nebo v rozporu s přímo použitelným předpisem Evropské unie upravujícím údaje týkající se potravin z hlediska jejich nutriční hodnoty a vlivu na zdraví</w:t>
      </w:r>
      <w:hyperlink r:id="rId22" w:anchor="f1592540">
        <w:r>
          <w:rPr>
            <w:rFonts w:ascii="Times New Roman" w:eastAsia="Times New Roman" w:hAnsi="Times New Roman" w:cs="Times New Roman"/>
            <w:color w:val="15679C"/>
            <w:sz w:val="24"/>
            <w:szCs w:val="24"/>
            <w:vertAlign w:val="superscript"/>
          </w:rPr>
          <w:t>21a</w:t>
        </w:r>
      </w:hyperlink>
      <w:hyperlink r:id="rId23" w:anchor="f1592540">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w:t>
      </w:r>
    </w:p>
    <w:p w14:paraId="71894EFE"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Právnická nebo podnikající fyzická osoba se jako zadavatel dopustí přestupku tím, že</w:t>
      </w:r>
    </w:p>
    <w:p w14:paraId="3BA85B1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zadá reklamu, která je zakázána podle § 2 odst. 1 písm. a) </w:t>
      </w:r>
      <w:r>
        <w:rPr>
          <w:rFonts w:ascii="Times New Roman" w:eastAsia="Times New Roman" w:hAnsi="Times New Roman" w:cs="Times New Roman"/>
          <w:b/>
          <w:sz w:val="24"/>
          <w:szCs w:val="24"/>
        </w:rPr>
        <w:t>nebo g)</w:t>
      </w:r>
      <w:r>
        <w:rPr>
          <w:rFonts w:ascii="Times New Roman" w:eastAsia="Times New Roman" w:hAnsi="Times New Roman" w:cs="Times New Roman"/>
          <w:sz w:val="24"/>
          <w:szCs w:val="24"/>
        </w:rPr>
        <w:t xml:space="preserve"> nebo § 3 odst. 1,</w:t>
      </w:r>
    </w:p>
    <w:p w14:paraId="44BB3BBA"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v rozporu s § 2 odst. 1 písm. b) zadá reklamu, která je nekalou obchodní praktikou,</w:t>
      </w:r>
    </w:p>
    <w:p w14:paraId="5DEF152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poruší podmínky stanovené pro srovnávací reklamu podle § 2 odst. 2 nebo § 2a,</w:t>
      </w:r>
    </w:p>
    <w:p w14:paraId="380B570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poruší podmínky stanovené pro obsah reklamy podle § 2 odst. 3 nebo 4, § 2c, § 3 odst. 6, § 4, § 5 odst. 3, 4 nebo 5, § 5a odst. 1, 2, 5, 6, 7 nebo 8, § 5b odst. 2 nebo 8, § 5c odst. 1 nebo 2, § 5d odst. 3 nebo 4, § 5e odst. 1, § 5f, </w:t>
      </w:r>
      <w:proofErr w:type="gramStart"/>
      <w:r>
        <w:rPr>
          <w:rFonts w:ascii="Times New Roman" w:eastAsia="Times New Roman" w:hAnsi="Times New Roman" w:cs="Times New Roman"/>
          <w:sz w:val="24"/>
          <w:szCs w:val="24"/>
        </w:rPr>
        <w:t>5h</w:t>
      </w:r>
      <w:proofErr w:type="gramEnd"/>
      <w:r>
        <w:rPr>
          <w:rFonts w:ascii="Times New Roman" w:eastAsia="Times New Roman" w:hAnsi="Times New Roman" w:cs="Times New Roman"/>
          <w:sz w:val="24"/>
          <w:szCs w:val="24"/>
        </w:rPr>
        <w:t>, § 5i nebo § 5j,</w:t>
      </w:r>
    </w:p>
    <w:p w14:paraId="26177E6B"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neuvede v reklamě na tabákový výrobek varování podle § 3 odst. 5,</w:t>
      </w:r>
    </w:p>
    <w:p w14:paraId="6E59898A"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v rozporu s § 7a odst. 1 neuchová ukázku (kopii) každé reklamy nebo bezplatně nezapůjčí kopii reklamy orgánům dozoru na dobu nezbytně nutnou,</w:t>
      </w:r>
    </w:p>
    <w:p w14:paraId="7BFE559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nesplní povinnost podle § 7a odst. 2,</w:t>
      </w:r>
    </w:p>
    <w:p w14:paraId="67264F6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 zadá reklamu na přípravky na ochranu rostlin v rozporu s přímo použitelným předpisem Evropské unie upravujícím uvádění přípravků na ochranu rostlin na trh</w:t>
      </w:r>
      <w:r>
        <w:rPr>
          <w:rFonts w:ascii="Times New Roman" w:eastAsia="Times New Roman" w:hAnsi="Times New Roman" w:cs="Times New Roman"/>
          <w:sz w:val="24"/>
          <w:szCs w:val="24"/>
          <w:vertAlign w:val="superscript"/>
        </w:rPr>
        <w:t>27a</w:t>
      </w:r>
      <w:r>
        <w:rPr>
          <w:rFonts w:ascii="Times New Roman" w:eastAsia="Times New Roman" w:hAnsi="Times New Roman" w:cs="Times New Roman"/>
          <w:sz w:val="24"/>
          <w:szCs w:val="24"/>
        </w:rPr>
        <w:t>),</w:t>
      </w:r>
    </w:p>
    <w:p w14:paraId="43C1229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zadá reklamu na potraviny, ve které jsou uvedena výživová nebo zdravotní tvrzení v rozporu s přímo použitelným předpisem Evropské unie upravujícím údaje týkající se potravin z hlediska jejich nutriční hodnoty a vlivu na zdraví</w:t>
      </w:r>
      <w:hyperlink r:id="rId24" w:anchor="f1592540">
        <w:proofErr w:type="gramStart"/>
        <w:r>
          <w:rPr>
            <w:rFonts w:ascii="Times New Roman" w:eastAsia="Times New Roman" w:hAnsi="Times New Roman" w:cs="Times New Roman"/>
            <w:color w:val="15679C"/>
            <w:sz w:val="24"/>
            <w:szCs w:val="24"/>
            <w:vertAlign w:val="superscript"/>
          </w:rPr>
          <w:t>21a</w:t>
        </w:r>
        <w:proofErr w:type="gramEnd"/>
      </w:hyperlink>
      <w:hyperlink r:id="rId25" w:anchor="f1592540">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w:t>
      </w:r>
    </w:p>
    <w:p w14:paraId="6359FF6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zadá reklamu na potraviny, která nesplňuje požadavky stanovené zákonem o potravinách a tabákových výrobcích</w:t>
      </w:r>
      <w:hyperlink r:id="rId26" w:anchor="f5827417">
        <w:r>
          <w:rPr>
            <w:rFonts w:ascii="Times New Roman" w:eastAsia="Times New Roman" w:hAnsi="Times New Roman" w:cs="Times New Roman"/>
            <w:color w:val="15679C"/>
            <w:sz w:val="24"/>
            <w:szCs w:val="24"/>
            <w:vertAlign w:val="superscript"/>
          </w:rPr>
          <w:t>41</w:t>
        </w:r>
      </w:hyperlink>
      <w:hyperlink r:id="rId27" w:anchor="f5827417">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 zejména pokud jde o uvedení informace naznačující, že země původu potraviny je Česká republika, požadavky stanovené přímo použitelným předpisem Evropské unie upravujícím poskytování informací o potravinách spotřebitelům</w:t>
      </w:r>
      <w:hyperlink r:id="rId28" w:anchor="f5662143">
        <w:r>
          <w:rPr>
            <w:rFonts w:ascii="Times New Roman" w:eastAsia="Times New Roman" w:hAnsi="Times New Roman" w:cs="Times New Roman"/>
            <w:color w:val="15679C"/>
            <w:sz w:val="24"/>
            <w:szCs w:val="24"/>
            <w:vertAlign w:val="superscript"/>
          </w:rPr>
          <w:t>39</w:t>
        </w:r>
      </w:hyperlink>
      <w:hyperlink r:id="rId29" w:anchor="f5662143">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 xml:space="preserve"> nebo přímo použitelným předpisem Evropské unie, který stanoví pravidla pro použití označení původu, zeměpisných označení nebo tradičních výrazů</w:t>
      </w:r>
      <w:hyperlink r:id="rId30" w:anchor="f5662144">
        <w:r>
          <w:rPr>
            <w:rFonts w:ascii="Times New Roman" w:eastAsia="Times New Roman" w:hAnsi="Times New Roman" w:cs="Times New Roman"/>
            <w:color w:val="15679C"/>
            <w:sz w:val="24"/>
            <w:szCs w:val="24"/>
            <w:vertAlign w:val="superscript"/>
          </w:rPr>
          <w:t>40</w:t>
        </w:r>
      </w:hyperlink>
      <w:hyperlink r:id="rId31" w:anchor="f5662144">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 nebo</w:t>
      </w:r>
    </w:p>
    <w:p w14:paraId="0EA91EB8"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 zadá reklamu na hazardní hru provozovanou bez základního povolení podle zákona upravujícího hazardní hry.</w:t>
      </w:r>
    </w:p>
    <w:p w14:paraId="090C20B6"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Právnická nebo podnikající fyzická osoba se jako zpracovatel dopustí přestupku tím, že</w:t>
      </w:r>
    </w:p>
    <w:p w14:paraId="314F8B82"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zpracuje reklamu, která je zakázána podle § 2 odst. 1 písm. a) </w:t>
      </w:r>
      <w:r>
        <w:rPr>
          <w:rFonts w:ascii="Times New Roman" w:eastAsia="Times New Roman" w:hAnsi="Times New Roman" w:cs="Times New Roman"/>
          <w:b/>
          <w:sz w:val="24"/>
          <w:szCs w:val="24"/>
        </w:rPr>
        <w:t>nebo g)</w:t>
      </w:r>
      <w:r>
        <w:rPr>
          <w:rFonts w:ascii="Times New Roman" w:eastAsia="Times New Roman" w:hAnsi="Times New Roman" w:cs="Times New Roman"/>
          <w:sz w:val="24"/>
          <w:szCs w:val="24"/>
        </w:rPr>
        <w:t xml:space="preserve"> nebo § 3 odst. 1 nebo je v rozporu s § 5j,</w:t>
      </w:r>
    </w:p>
    <w:p w14:paraId="53A7C63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v rozporu s § 2 odst. 1 písm. b) zpracuje reklamu, která je nekalou obchodní praktikou,</w:t>
      </w:r>
    </w:p>
    <w:p w14:paraId="666B99C5"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poruší podmínky stanovené pro srovnávací reklamu podle § 2 odst. 2 nebo § 2a,</w:t>
      </w:r>
    </w:p>
    <w:p w14:paraId="48F71573"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poruší podmínky stanovené pro obsah reklamy podle § 2 odst. 3 nebo 4, § 2c, § 3 odst. 6, § 4, § 5 odst. 3, 4 nebo 5, § 5a odst. 1, 2, 5, 6, 7 nebo 8, § 5b odst. 2 nebo 8, § 5c odst. 1 nebo 2, § 5d odst. 3 nebo 4, § 5e odst. 1, § 5f, </w:t>
      </w:r>
      <w:proofErr w:type="gramStart"/>
      <w:r>
        <w:rPr>
          <w:rFonts w:ascii="Times New Roman" w:eastAsia="Times New Roman" w:hAnsi="Times New Roman" w:cs="Times New Roman"/>
          <w:sz w:val="24"/>
          <w:szCs w:val="24"/>
        </w:rPr>
        <w:t>5h</w:t>
      </w:r>
      <w:proofErr w:type="gramEnd"/>
      <w:r>
        <w:rPr>
          <w:rFonts w:ascii="Times New Roman" w:eastAsia="Times New Roman" w:hAnsi="Times New Roman" w:cs="Times New Roman"/>
          <w:sz w:val="24"/>
          <w:szCs w:val="24"/>
        </w:rPr>
        <w:t xml:space="preserve"> nebo 5i,</w:t>
      </w:r>
    </w:p>
    <w:p w14:paraId="49FEB26C"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neuvede v reklamě na tabákový výrobek varování podle § 3 odst. 5,</w:t>
      </w:r>
    </w:p>
    <w:p w14:paraId="4B0FA450"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v rozporu s § 7a odst. 3 nesdělí na výzvu orgánu dozoru a ve lhůtě jím stanovené údaje o zadavateli reklamy nebo o šiřiteli reklamy,</w:t>
      </w:r>
    </w:p>
    <w:p w14:paraId="321F6B0D"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zpracuje reklamu na přípravky na ochranu rostlin v rozporu s přímo použitelným předpisem Evropské unie upravujícím uvádění přípravků na ochranu rostlin na trh</w:t>
      </w:r>
      <w:r>
        <w:rPr>
          <w:rFonts w:ascii="Times New Roman" w:eastAsia="Times New Roman" w:hAnsi="Times New Roman" w:cs="Times New Roman"/>
          <w:sz w:val="24"/>
          <w:szCs w:val="24"/>
          <w:vertAlign w:val="superscript"/>
        </w:rPr>
        <w:t>27a</w:t>
      </w:r>
      <w:r>
        <w:rPr>
          <w:rFonts w:ascii="Times New Roman" w:eastAsia="Times New Roman" w:hAnsi="Times New Roman" w:cs="Times New Roman"/>
          <w:sz w:val="24"/>
          <w:szCs w:val="24"/>
        </w:rPr>
        <w:t>),</w:t>
      </w:r>
    </w:p>
    <w:p w14:paraId="7A5AB15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 zpracuje reklamu na potraviny, ve které jsou uvedena výživová nebo zdravotní tvrzení v rozporu s přímo použitelným předpisem Evropské unie upravujícím údaje týkající se potravin z hlediska jejich nutriční hodnoty a vlivu na zdraví</w:t>
      </w:r>
      <w:hyperlink r:id="rId32" w:anchor="f1592540">
        <w:proofErr w:type="gramStart"/>
        <w:r>
          <w:rPr>
            <w:rFonts w:ascii="Times New Roman" w:eastAsia="Times New Roman" w:hAnsi="Times New Roman" w:cs="Times New Roman"/>
            <w:color w:val="15679C"/>
            <w:sz w:val="24"/>
            <w:szCs w:val="24"/>
            <w:vertAlign w:val="superscript"/>
          </w:rPr>
          <w:t>21a</w:t>
        </w:r>
        <w:proofErr w:type="gramEnd"/>
      </w:hyperlink>
      <w:hyperlink r:id="rId33" w:anchor="f1592540">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w:t>
      </w:r>
    </w:p>
    <w:p w14:paraId="0451DB08"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zpracuje reklamu na potraviny, která nesplňuje požadavky stanovené zákonem o potravinách a tabákových výrobcích</w:t>
      </w:r>
      <w:hyperlink r:id="rId34" w:anchor="f5827417">
        <w:r>
          <w:rPr>
            <w:rFonts w:ascii="Times New Roman" w:eastAsia="Times New Roman" w:hAnsi="Times New Roman" w:cs="Times New Roman"/>
            <w:color w:val="15679C"/>
            <w:sz w:val="24"/>
            <w:szCs w:val="24"/>
            <w:vertAlign w:val="superscript"/>
          </w:rPr>
          <w:t>41</w:t>
        </w:r>
      </w:hyperlink>
      <w:hyperlink r:id="rId35" w:anchor="f5827417">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 zejména pokud jde o uvedení informace naznačující, že země původu potraviny je Česká republika, požadavky stanovené přímo použitelným předpisem Evropské unie upravujícím poskytování informací o potravinách spotřebitelům</w:t>
      </w:r>
      <w:hyperlink r:id="rId36" w:anchor="f5662143">
        <w:r>
          <w:rPr>
            <w:rFonts w:ascii="Times New Roman" w:eastAsia="Times New Roman" w:hAnsi="Times New Roman" w:cs="Times New Roman"/>
            <w:color w:val="15679C"/>
            <w:sz w:val="24"/>
            <w:szCs w:val="24"/>
            <w:vertAlign w:val="superscript"/>
          </w:rPr>
          <w:t>39</w:t>
        </w:r>
      </w:hyperlink>
      <w:hyperlink r:id="rId37" w:anchor="f5662143">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 xml:space="preserve"> nebo přímo použitelným předpisem Evropské unie, který stanoví pravidla pro použití označení původu, zeměpisných označení nebo tradičních výrazů</w:t>
      </w:r>
      <w:hyperlink r:id="rId38" w:anchor="f5662144">
        <w:r>
          <w:rPr>
            <w:rFonts w:ascii="Times New Roman" w:eastAsia="Times New Roman" w:hAnsi="Times New Roman" w:cs="Times New Roman"/>
            <w:color w:val="15679C"/>
            <w:sz w:val="24"/>
            <w:szCs w:val="24"/>
            <w:vertAlign w:val="superscript"/>
          </w:rPr>
          <w:t>40</w:t>
        </w:r>
      </w:hyperlink>
      <w:hyperlink r:id="rId39" w:anchor="f5662144">
        <w:r>
          <w:rPr>
            <w:rFonts w:ascii="Times New Roman" w:eastAsia="Times New Roman" w:hAnsi="Times New Roman" w:cs="Times New Roman"/>
            <w:color w:val="15679C"/>
            <w:sz w:val="24"/>
            <w:szCs w:val="24"/>
          </w:rPr>
          <w:t>)</w:t>
        </w:r>
      </w:hyperlink>
      <w:r>
        <w:rPr>
          <w:rFonts w:ascii="Times New Roman" w:eastAsia="Times New Roman" w:hAnsi="Times New Roman" w:cs="Times New Roman"/>
          <w:sz w:val="24"/>
          <w:szCs w:val="24"/>
        </w:rPr>
        <w:t>, nebo</w:t>
      </w:r>
    </w:p>
    <w:p w14:paraId="534C6A97"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zpracuje reklamu na hazardní hru provozovanou bez základního povolení podle zákona upravujícího hazardní hry.</w:t>
      </w:r>
    </w:p>
    <w:p w14:paraId="35A214E6"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Právnická nebo podnikající fyzická osoba se dopustí přestupku tím, že</w:t>
      </w:r>
    </w:p>
    <w:p w14:paraId="26088091"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poruší zákaz nabízet, slibovat nebo poskytovat dary nebo jiný prospěch podle § 5b odst. 4,</w:t>
      </w:r>
    </w:p>
    <w:p w14:paraId="2F38F951"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poskytuje bezplatně pohoštění a ubytování v rozporu s § 5b odst. 5,</w:t>
      </w:r>
    </w:p>
    <w:p w14:paraId="37C16C92"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vyžaduje nebo přijímá v souvislosti s reklamou humánních léčivých přípravků výhody, které jsou zakázané podle § 5b odst. 4 nebo které jsou v rozporu s § 5b odst. 5, nebo</w:t>
      </w:r>
    </w:p>
    <w:p w14:paraId="126EF635"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poruší zákaz sponzorování podle § 3 nebo § 3a.</w:t>
      </w:r>
    </w:p>
    <w:p w14:paraId="45E80893"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Za přestupek podle odstavce 1 lze uložit pokutu</w:t>
      </w:r>
    </w:p>
    <w:p w14:paraId="719DC78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do 500000 Kč, jde-li o přestupek podle odstavce 1 písm. a), p) nebo r)</w:t>
      </w:r>
    </w:p>
    <w:p w14:paraId="4CFC042B"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do 2000000 Kč, jde-li o přestupek podle odstavce 1 písm. b), c), d), e), f), g), h), i), j), k), l), m) nebo q),</w:t>
      </w:r>
    </w:p>
    <w:p w14:paraId="7B38D12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do 5 000 000 Kč, jde-li o přestupek podle odstavce 1 písm. n) nebo o).</w:t>
      </w:r>
    </w:p>
    <w:p w14:paraId="4DBC4505"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Za přestupek podle odstavce 2 lze uložit pokutu</w:t>
      </w:r>
    </w:p>
    <w:p w14:paraId="4AB09CDE"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do 500 000 Kč, jde-li o přestupek podle odstavce 2 písm. f) nebo g),</w:t>
      </w:r>
    </w:p>
    <w:p w14:paraId="747ED87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do 2 000 000 Kč, jde-li o přestupek podle odstavce 2 písm. a), c), d), e), h), i) nebo j),</w:t>
      </w:r>
    </w:p>
    <w:p w14:paraId="414476E6"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do 5 000 000 Kč, jde-li o přestupek podle odstavce 2 písm. b) nebo k).</w:t>
      </w:r>
    </w:p>
    <w:p w14:paraId="7A922BA5"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Za přestupek podle odstavce 3 lze uložit pokutu</w:t>
      </w:r>
    </w:p>
    <w:p w14:paraId="54A14DD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do 500000 Kč, jde-li o přestupek podle odstavce 3 písm. f),</w:t>
      </w:r>
    </w:p>
    <w:p w14:paraId="4B33A5A4"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do 2 000 000 Kč, jde-li o přestupek podle odstavce 3 písm. a), c), d), e), g), h) nebo i),</w:t>
      </w:r>
    </w:p>
    <w:p w14:paraId="17666670"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do 5 000 000 Kč, jde-li o přestupek podle odstavce 3 písm. b) nebo j).</w:t>
      </w:r>
    </w:p>
    <w:p w14:paraId="4E7492B4" w14:textId="77777777" w:rsidR="00103AB1" w:rsidRDefault="00FE4FBA">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Za přestupek podle odstavce 4 lze uložit pokutu</w:t>
      </w:r>
    </w:p>
    <w:p w14:paraId="692CF02F"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do 1 000 000 Kč, jde-li o přestupek podle odstavce 4 písm. a) nebo b),</w:t>
      </w:r>
    </w:p>
    <w:p w14:paraId="7C073162"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do 100 000 Kč, jde-li o přestupek podle odstavce 4 písm. c),</w:t>
      </w:r>
    </w:p>
    <w:p w14:paraId="3AFE7589" w14:textId="77777777" w:rsidR="00103AB1" w:rsidRDefault="00FE4FBA">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do 2 000 000 Kč, jde-li o přestupek podle odstavce 4 písm. d).</w:t>
      </w:r>
    </w:p>
    <w:p w14:paraId="4EEFE934" w14:textId="77777777" w:rsidR="00103AB1" w:rsidRDefault="00103AB1">
      <w:pPr>
        <w:pBdr>
          <w:top w:val="none" w:sz="0" w:space="3" w:color="auto"/>
          <w:left w:val="none" w:sz="0" w:space="1"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sz w:val="24"/>
          <w:szCs w:val="24"/>
        </w:rPr>
      </w:pPr>
    </w:p>
    <w:p w14:paraId="64D240F6"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p>
    <w:p w14:paraId="71130BBC"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p>
    <w:p w14:paraId="02B61A7F"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p>
    <w:p w14:paraId="1F231C88"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p>
    <w:p w14:paraId="210A4F33"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rFonts w:ascii="Times New Roman" w:eastAsia="Times New Roman" w:hAnsi="Times New Roman" w:cs="Times New Roman"/>
          <w:b/>
          <w:sz w:val="24"/>
          <w:szCs w:val="24"/>
        </w:rPr>
      </w:pPr>
    </w:p>
    <w:p w14:paraId="238D0E14" w14:textId="77777777" w:rsidR="00103AB1" w:rsidRDefault="00103AB1">
      <w:pPr>
        <w:pBdr>
          <w:top w:val="none" w:sz="0" w:space="3" w:color="auto"/>
          <w:left w:val="none" w:sz="0" w:space="25" w:color="auto"/>
          <w:bottom w:val="none" w:sz="0" w:space="3" w:color="auto"/>
          <w:right w:val="none" w:sz="0" w:space="30" w:color="auto"/>
          <w:between w:val="none" w:sz="0" w:space="3" w:color="auto"/>
        </w:pBdr>
        <w:shd w:val="clear" w:color="auto" w:fill="FFFFFF"/>
        <w:jc w:val="both"/>
        <w:rPr>
          <w:sz w:val="20"/>
          <w:szCs w:val="20"/>
        </w:rPr>
      </w:pPr>
    </w:p>
    <w:p w14:paraId="7561D1BB" w14:textId="77777777" w:rsidR="00103AB1" w:rsidRDefault="00103AB1">
      <w:pPr>
        <w:jc w:val="both"/>
        <w:rPr>
          <w:b/>
          <w:sz w:val="20"/>
          <w:szCs w:val="20"/>
        </w:rPr>
      </w:pPr>
    </w:p>
    <w:p w14:paraId="44B7E32D" w14:textId="77777777" w:rsidR="00103AB1" w:rsidRDefault="00103AB1">
      <w:pPr>
        <w:jc w:val="both"/>
        <w:rPr>
          <w:b/>
          <w:sz w:val="20"/>
          <w:szCs w:val="20"/>
        </w:rPr>
      </w:pPr>
    </w:p>
    <w:p w14:paraId="5D931315" w14:textId="77777777" w:rsidR="00103AB1" w:rsidRDefault="00103AB1">
      <w:pPr>
        <w:jc w:val="both"/>
        <w:rPr>
          <w:rFonts w:ascii="Times New Roman" w:eastAsia="Times New Roman" w:hAnsi="Times New Roman" w:cs="Times New Roman"/>
          <w:b/>
          <w:sz w:val="24"/>
          <w:szCs w:val="24"/>
          <w:u w:val="single"/>
        </w:rPr>
      </w:pPr>
    </w:p>
    <w:p w14:paraId="6E4FEF62" w14:textId="77777777" w:rsidR="00103AB1" w:rsidRDefault="00103AB1">
      <w:pPr>
        <w:jc w:val="both"/>
        <w:rPr>
          <w:rFonts w:ascii="Times New Roman" w:eastAsia="Times New Roman" w:hAnsi="Times New Roman" w:cs="Times New Roman"/>
          <w:b/>
          <w:sz w:val="24"/>
          <w:szCs w:val="24"/>
          <w:u w:val="single"/>
        </w:rPr>
      </w:pPr>
    </w:p>
    <w:p w14:paraId="0B9F6BE1" w14:textId="77777777" w:rsidR="00103AB1" w:rsidRDefault="00103AB1">
      <w:pPr>
        <w:rPr>
          <w:sz w:val="20"/>
          <w:szCs w:val="20"/>
        </w:rPr>
      </w:pPr>
    </w:p>
    <w:sectPr w:rsidR="00103AB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C304F" w14:textId="77777777" w:rsidR="003F2ADA" w:rsidRDefault="003F2ADA">
      <w:pPr>
        <w:spacing w:line="240" w:lineRule="auto"/>
      </w:pPr>
      <w:r>
        <w:separator/>
      </w:r>
    </w:p>
  </w:endnote>
  <w:endnote w:type="continuationSeparator" w:id="0">
    <w:p w14:paraId="55708886" w14:textId="77777777" w:rsidR="003F2ADA" w:rsidRDefault="003F2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0E695" w14:textId="77777777" w:rsidR="003F2ADA" w:rsidRDefault="003F2ADA">
      <w:pPr>
        <w:spacing w:line="240" w:lineRule="auto"/>
      </w:pPr>
      <w:r>
        <w:separator/>
      </w:r>
    </w:p>
  </w:footnote>
  <w:footnote w:type="continuationSeparator" w:id="0">
    <w:p w14:paraId="794F23B9" w14:textId="77777777" w:rsidR="003F2ADA" w:rsidRDefault="003F2AD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63F5F"/>
    <w:multiLevelType w:val="multilevel"/>
    <w:tmpl w:val="DCECD028"/>
    <w:lvl w:ilvl="0">
      <w:start w:val="1"/>
      <w:numFmt w:val="decimal"/>
      <w:lvlText w:val="(%1)"/>
      <w:lvlJc w:val="left"/>
      <w:pPr>
        <w:ind w:left="720" w:hanging="360"/>
      </w:pPr>
      <w:rPr>
        <w:rFonts w:ascii="Times New Roman" w:eastAsia="Arial" w:hAnsi="Times New Roman" w:cs="Times New Roman" w:hint="default"/>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1934C8"/>
    <w:multiLevelType w:val="multilevel"/>
    <w:tmpl w:val="18B2E5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C8C67EB"/>
    <w:multiLevelType w:val="multilevel"/>
    <w:tmpl w:val="D1125C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F3E458B"/>
    <w:multiLevelType w:val="multilevel"/>
    <w:tmpl w:val="618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AB1"/>
    <w:rsid w:val="00051ADA"/>
    <w:rsid w:val="00085224"/>
    <w:rsid w:val="00103AB1"/>
    <w:rsid w:val="00190277"/>
    <w:rsid w:val="0032545F"/>
    <w:rsid w:val="003F2ADA"/>
    <w:rsid w:val="00492A11"/>
    <w:rsid w:val="005B73B1"/>
    <w:rsid w:val="0086036A"/>
    <w:rsid w:val="00B01F2F"/>
    <w:rsid w:val="00B26E1A"/>
    <w:rsid w:val="00D77AC0"/>
    <w:rsid w:val="00DD3F4C"/>
    <w:rsid w:val="00E15611"/>
    <w:rsid w:val="00FE4F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C0D2"/>
  <w15:docId w15:val="{DAD66E01-960D-41B5-8282-70E6D891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unhideWhenUsed/>
    <w:qFormat/>
    <w:pPr>
      <w:keepNext/>
      <w:keepLines/>
      <w:spacing w:before="360" w:after="120"/>
      <w:outlineLvl w:val="1"/>
    </w:pPr>
    <w:rPr>
      <w:sz w:val="32"/>
      <w:szCs w:val="32"/>
    </w:rPr>
  </w:style>
  <w:style w:type="paragraph" w:styleId="Nadpis3">
    <w:name w:val="heading 3"/>
    <w:basedOn w:val="Normln"/>
    <w:next w:val="Normln"/>
    <w:uiPriority w:val="9"/>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zakonyprolidi.cz/cs/1998-111" TargetMode="External"/><Relationship Id="rId13" Type="http://schemas.openxmlformats.org/officeDocument/2006/relationships/hyperlink" Target="https://www.zakonyprolidi.cz/cs/1995-40" TargetMode="External"/><Relationship Id="rId18" Type="http://schemas.openxmlformats.org/officeDocument/2006/relationships/hyperlink" Target="https://www.zakonyprolidi.cz/cs/1995-40" TargetMode="External"/><Relationship Id="rId26" Type="http://schemas.openxmlformats.org/officeDocument/2006/relationships/hyperlink" Target="https://www.zakonyprolidi.cz/cs/1995-40" TargetMode="External"/><Relationship Id="rId39" Type="http://schemas.openxmlformats.org/officeDocument/2006/relationships/hyperlink" Target="https://www.zakonyprolidi.cz/cs/1995-40" TargetMode="External"/><Relationship Id="rId3" Type="http://schemas.openxmlformats.org/officeDocument/2006/relationships/settings" Target="settings.xml"/><Relationship Id="rId21" Type="http://schemas.openxmlformats.org/officeDocument/2006/relationships/hyperlink" Target="https://www.zakonyprolidi.cz/cs/1995-40" TargetMode="External"/><Relationship Id="rId34" Type="http://schemas.openxmlformats.org/officeDocument/2006/relationships/hyperlink" Target="https://www.zakonyprolidi.cz/cs/1995-40" TargetMode="External"/><Relationship Id="rId7" Type="http://schemas.openxmlformats.org/officeDocument/2006/relationships/hyperlink" Target="https://www.zakonyprolidi.cz/cs/1998-111" TargetMode="External"/><Relationship Id="rId12" Type="http://schemas.openxmlformats.org/officeDocument/2006/relationships/hyperlink" Target="https://www.zakonyprolidi.cz/cs/1995-40" TargetMode="External"/><Relationship Id="rId17" Type="http://schemas.openxmlformats.org/officeDocument/2006/relationships/hyperlink" Target="https://www.zakonyprolidi.cz/cs/1995-40" TargetMode="External"/><Relationship Id="rId25" Type="http://schemas.openxmlformats.org/officeDocument/2006/relationships/hyperlink" Target="https://www.zakonyprolidi.cz/cs/1995-40" TargetMode="External"/><Relationship Id="rId33" Type="http://schemas.openxmlformats.org/officeDocument/2006/relationships/hyperlink" Target="https://www.zakonyprolidi.cz/cs/1995-40" TargetMode="External"/><Relationship Id="rId38" Type="http://schemas.openxmlformats.org/officeDocument/2006/relationships/hyperlink" Target="https://www.zakonyprolidi.cz/cs/1995-40" TargetMode="External"/><Relationship Id="rId2" Type="http://schemas.openxmlformats.org/officeDocument/2006/relationships/styles" Target="styles.xml"/><Relationship Id="rId16" Type="http://schemas.openxmlformats.org/officeDocument/2006/relationships/hyperlink" Target="https://www.zakonyprolidi.cz/cs/1995-40" TargetMode="External"/><Relationship Id="rId20" Type="http://schemas.openxmlformats.org/officeDocument/2006/relationships/hyperlink" Target="https://www.zakonyprolidi.cz/cs/1995-40" TargetMode="External"/><Relationship Id="rId29" Type="http://schemas.openxmlformats.org/officeDocument/2006/relationships/hyperlink" Target="https://www.zakonyprolidi.cz/cs/1995-4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ck-online.cz/bo/document-view.seam?documentId=onrf6mjzheyv6nbwha" TargetMode="External"/><Relationship Id="rId24" Type="http://schemas.openxmlformats.org/officeDocument/2006/relationships/hyperlink" Target="https://www.zakonyprolidi.cz/cs/1995-40" TargetMode="External"/><Relationship Id="rId32" Type="http://schemas.openxmlformats.org/officeDocument/2006/relationships/hyperlink" Target="https://www.zakonyprolidi.cz/cs/1995-40" TargetMode="External"/><Relationship Id="rId37" Type="http://schemas.openxmlformats.org/officeDocument/2006/relationships/hyperlink" Target="https://www.zakonyprolidi.cz/cs/1995-40"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zakonyprolidi.cz/cs/1995-40" TargetMode="External"/><Relationship Id="rId23" Type="http://schemas.openxmlformats.org/officeDocument/2006/relationships/hyperlink" Target="https://www.zakonyprolidi.cz/cs/1995-40" TargetMode="External"/><Relationship Id="rId28" Type="http://schemas.openxmlformats.org/officeDocument/2006/relationships/hyperlink" Target="https://www.zakonyprolidi.cz/cs/1995-40" TargetMode="External"/><Relationship Id="rId36" Type="http://schemas.openxmlformats.org/officeDocument/2006/relationships/hyperlink" Target="https://www.zakonyprolidi.cz/cs/1995-40" TargetMode="External"/><Relationship Id="rId10" Type="http://schemas.openxmlformats.org/officeDocument/2006/relationships/hyperlink" Target="https://www.zakonyprolidi.cz/cs/1998-111" TargetMode="External"/><Relationship Id="rId19" Type="http://schemas.openxmlformats.org/officeDocument/2006/relationships/hyperlink" Target="https://www.zakonyprolidi.cz/cs/1995-40" TargetMode="External"/><Relationship Id="rId31" Type="http://schemas.openxmlformats.org/officeDocument/2006/relationships/hyperlink" Target="https://www.zakonyprolidi.cz/cs/1995-40" TargetMode="External"/><Relationship Id="rId4" Type="http://schemas.openxmlformats.org/officeDocument/2006/relationships/webSettings" Target="webSettings.xml"/><Relationship Id="rId9" Type="http://schemas.openxmlformats.org/officeDocument/2006/relationships/hyperlink" Target="https://www.zakonyprolidi.cz/cs/1998-111" TargetMode="External"/><Relationship Id="rId14" Type="http://schemas.openxmlformats.org/officeDocument/2006/relationships/hyperlink" Target="https://www.zakonyprolidi.cz/cs/1995-40" TargetMode="External"/><Relationship Id="rId22" Type="http://schemas.openxmlformats.org/officeDocument/2006/relationships/hyperlink" Target="https://www.zakonyprolidi.cz/cs/1995-40" TargetMode="External"/><Relationship Id="rId27" Type="http://schemas.openxmlformats.org/officeDocument/2006/relationships/hyperlink" Target="https://www.zakonyprolidi.cz/cs/1995-40" TargetMode="External"/><Relationship Id="rId30" Type="http://schemas.openxmlformats.org/officeDocument/2006/relationships/hyperlink" Target="https://www.zakonyprolidi.cz/cs/1995-40" TargetMode="External"/><Relationship Id="rId35" Type="http://schemas.openxmlformats.org/officeDocument/2006/relationships/hyperlink" Target="https://www.zakonyprolidi.cz/cs/1995-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3325</Words>
  <Characters>19622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cp:revision>
  <dcterms:created xsi:type="dcterms:W3CDTF">2020-06-08T10:28:00Z</dcterms:created>
  <dcterms:modified xsi:type="dcterms:W3CDTF">2020-06-08T10:28:00Z</dcterms:modified>
</cp:coreProperties>
</file>