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49" w:rsidRDefault="005C0B49" w:rsidP="005C0B49">
      <w:pPr>
        <w:widowControl w:val="0"/>
        <w:spacing w:line="276" w:lineRule="auto"/>
        <w:jc w:val="center"/>
        <w:rPr>
          <w:b/>
          <w:bCs/>
          <w:szCs w:val="24"/>
        </w:rPr>
      </w:pPr>
      <w:r w:rsidRPr="00E53471">
        <w:rPr>
          <w:b/>
          <w:bCs/>
          <w:szCs w:val="24"/>
        </w:rPr>
        <w:t>ÚSTAVNÍ ZÁKON</w:t>
      </w:r>
    </w:p>
    <w:p w:rsidR="00466E18" w:rsidRPr="00E53471" w:rsidRDefault="00466E18" w:rsidP="005C0B49">
      <w:pPr>
        <w:widowControl w:val="0"/>
        <w:spacing w:line="276" w:lineRule="auto"/>
        <w:jc w:val="center"/>
        <w:rPr>
          <w:bCs/>
          <w:szCs w:val="24"/>
        </w:rPr>
      </w:pPr>
    </w:p>
    <w:p w:rsidR="005C0B49" w:rsidRDefault="005C0B49" w:rsidP="005C0B49">
      <w:pPr>
        <w:widowControl w:val="0"/>
        <w:spacing w:line="276" w:lineRule="auto"/>
        <w:jc w:val="center"/>
        <w:rPr>
          <w:bCs/>
          <w:szCs w:val="24"/>
        </w:rPr>
      </w:pPr>
      <w:r w:rsidRPr="00E53471">
        <w:rPr>
          <w:bCs/>
          <w:szCs w:val="24"/>
        </w:rPr>
        <w:t>ze dne ……………</w:t>
      </w:r>
      <w:r w:rsidR="00466E18">
        <w:rPr>
          <w:bCs/>
          <w:szCs w:val="24"/>
        </w:rPr>
        <w:t xml:space="preserve"> 2020</w:t>
      </w:r>
      <w:r w:rsidRPr="00E53471">
        <w:rPr>
          <w:bCs/>
          <w:szCs w:val="24"/>
        </w:rPr>
        <w:t>,</w:t>
      </w:r>
    </w:p>
    <w:p w:rsidR="00466E18" w:rsidRPr="00E53471" w:rsidRDefault="00466E18" w:rsidP="005C0B49">
      <w:pPr>
        <w:widowControl w:val="0"/>
        <w:spacing w:line="276" w:lineRule="auto"/>
        <w:jc w:val="center"/>
        <w:rPr>
          <w:bCs/>
          <w:szCs w:val="24"/>
        </w:rPr>
      </w:pPr>
    </w:p>
    <w:p w:rsidR="005C0B49" w:rsidRPr="00466E18" w:rsidRDefault="005C0B49" w:rsidP="005C0B49">
      <w:pPr>
        <w:widowControl w:val="0"/>
        <w:spacing w:line="276" w:lineRule="auto"/>
        <w:jc w:val="center"/>
        <w:rPr>
          <w:b/>
          <w:bCs/>
          <w:szCs w:val="24"/>
        </w:rPr>
      </w:pPr>
      <w:r w:rsidRPr="00466E18">
        <w:rPr>
          <w:b/>
          <w:bCs/>
          <w:szCs w:val="24"/>
        </w:rPr>
        <w:t>kterým se mění Listina základních práv a svobod</w:t>
      </w:r>
      <w:r w:rsidR="00AE7A4F" w:rsidRPr="00466E18">
        <w:rPr>
          <w:b/>
          <w:bCs/>
          <w:szCs w:val="24"/>
        </w:rPr>
        <w:t xml:space="preserve"> a Ústava České republiky</w:t>
      </w:r>
    </w:p>
    <w:p w:rsidR="005C0B49" w:rsidRDefault="005C0B49" w:rsidP="005C0B49">
      <w:pPr>
        <w:widowControl w:val="0"/>
        <w:spacing w:line="276" w:lineRule="auto"/>
        <w:jc w:val="both"/>
        <w:rPr>
          <w:b/>
          <w:szCs w:val="24"/>
        </w:rPr>
      </w:pPr>
    </w:p>
    <w:p w:rsidR="00AE7A4F" w:rsidRDefault="009B75B9" w:rsidP="005C0B49">
      <w:pPr>
        <w:widowControl w:val="0"/>
        <w:spacing w:line="276" w:lineRule="auto"/>
        <w:jc w:val="both"/>
        <w:rPr>
          <w:bCs/>
          <w:szCs w:val="24"/>
        </w:rPr>
      </w:pPr>
      <w:r w:rsidRPr="00E53471">
        <w:rPr>
          <w:bCs/>
          <w:szCs w:val="24"/>
        </w:rPr>
        <w:t>Parlament se usnesl na tomto ústavním zákoně České republiky:</w:t>
      </w:r>
    </w:p>
    <w:p w:rsidR="009B75B9" w:rsidRDefault="009B75B9" w:rsidP="005C0B49">
      <w:pPr>
        <w:widowControl w:val="0"/>
        <w:spacing w:line="276" w:lineRule="auto"/>
        <w:jc w:val="both"/>
        <w:rPr>
          <w:b/>
          <w:szCs w:val="24"/>
        </w:rPr>
      </w:pPr>
    </w:p>
    <w:p w:rsidR="00AE7A4F" w:rsidRPr="00641CE4" w:rsidRDefault="00AE7A4F" w:rsidP="00AE7A4F">
      <w:pPr>
        <w:widowControl w:val="0"/>
        <w:spacing w:line="276" w:lineRule="auto"/>
        <w:jc w:val="center"/>
        <w:rPr>
          <w:b/>
          <w:szCs w:val="24"/>
        </w:rPr>
      </w:pPr>
      <w:r w:rsidRPr="00641CE4">
        <w:rPr>
          <w:b/>
          <w:szCs w:val="24"/>
        </w:rPr>
        <w:t xml:space="preserve">ČÁST PRVNÍ </w:t>
      </w:r>
    </w:p>
    <w:p w:rsidR="005C0B49" w:rsidRPr="00641CE4" w:rsidRDefault="005C0B49" w:rsidP="00AE7A4F">
      <w:pPr>
        <w:widowControl w:val="0"/>
        <w:spacing w:line="276" w:lineRule="auto"/>
        <w:jc w:val="center"/>
        <w:rPr>
          <w:b/>
          <w:szCs w:val="24"/>
        </w:rPr>
      </w:pPr>
    </w:p>
    <w:p w:rsidR="00AE7A4F" w:rsidRPr="00641CE4" w:rsidRDefault="0097381B" w:rsidP="00AE7A4F">
      <w:pPr>
        <w:widowControl w:val="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Změna L</w:t>
      </w:r>
      <w:r w:rsidR="00AE7A4F" w:rsidRPr="00641CE4">
        <w:rPr>
          <w:b/>
          <w:szCs w:val="24"/>
        </w:rPr>
        <w:t>istiny základních práv a svobod</w:t>
      </w:r>
    </w:p>
    <w:p w:rsidR="005C0B49" w:rsidRPr="00641CE4" w:rsidRDefault="005C0B49" w:rsidP="005C0B49">
      <w:pPr>
        <w:widowControl w:val="0"/>
        <w:spacing w:line="276" w:lineRule="auto"/>
        <w:jc w:val="center"/>
        <w:rPr>
          <w:b/>
          <w:szCs w:val="24"/>
        </w:rPr>
      </w:pPr>
    </w:p>
    <w:p w:rsidR="005C0B49" w:rsidRPr="00641CE4" w:rsidRDefault="005C0B49" w:rsidP="005C0B49">
      <w:pPr>
        <w:widowControl w:val="0"/>
        <w:spacing w:line="276" w:lineRule="auto"/>
        <w:jc w:val="center"/>
        <w:rPr>
          <w:szCs w:val="24"/>
        </w:rPr>
      </w:pPr>
      <w:r w:rsidRPr="00641CE4">
        <w:rPr>
          <w:szCs w:val="24"/>
        </w:rPr>
        <w:t>Čl. I</w:t>
      </w:r>
    </w:p>
    <w:p w:rsidR="003D237A" w:rsidRPr="00641CE4" w:rsidRDefault="003D237A">
      <w:pPr>
        <w:rPr>
          <w:szCs w:val="24"/>
        </w:rPr>
      </w:pPr>
    </w:p>
    <w:p w:rsidR="005C0B49" w:rsidRPr="00641CE4" w:rsidRDefault="005C0B49" w:rsidP="005C0B49">
      <w:pPr>
        <w:jc w:val="both"/>
        <w:rPr>
          <w:szCs w:val="24"/>
        </w:rPr>
      </w:pPr>
      <w:r w:rsidRPr="00641CE4">
        <w:rPr>
          <w:szCs w:val="24"/>
        </w:rPr>
        <w:t>Listina základních práv a svobod, vyhlášená usnesením Předsednictva České národní rady č.</w:t>
      </w:r>
      <w:r w:rsidR="002255FA" w:rsidRPr="00641CE4">
        <w:rPr>
          <w:szCs w:val="24"/>
        </w:rPr>
        <w:t> </w:t>
      </w:r>
      <w:r w:rsidRPr="00641CE4">
        <w:rPr>
          <w:szCs w:val="24"/>
        </w:rPr>
        <w:t>2/1993 Sb. jako součást ústavního pořádku České republiky</w:t>
      </w:r>
      <w:r w:rsidR="00C600B3" w:rsidRPr="00641CE4">
        <w:rPr>
          <w:szCs w:val="24"/>
        </w:rPr>
        <w:t>,</w:t>
      </w:r>
      <w:r w:rsidRPr="00641CE4">
        <w:rPr>
          <w:szCs w:val="24"/>
        </w:rPr>
        <w:t xml:space="preserve"> ve znění ústavního zákona č.</w:t>
      </w:r>
      <w:r w:rsidR="002255FA" w:rsidRPr="00641CE4">
        <w:rPr>
          <w:szCs w:val="24"/>
        </w:rPr>
        <w:t> </w:t>
      </w:r>
      <w:r w:rsidRPr="00641CE4">
        <w:rPr>
          <w:szCs w:val="24"/>
        </w:rPr>
        <w:t>162/1998 Sb.</w:t>
      </w:r>
      <w:r w:rsidR="003117DD" w:rsidRPr="00641CE4">
        <w:rPr>
          <w:szCs w:val="24"/>
        </w:rPr>
        <w:t>,</w:t>
      </w:r>
      <w:r w:rsidRPr="00641CE4">
        <w:rPr>
          <w:szCs w:val="24"/>
        </w:rPr>
        <w:t xml:space="preserve"> se mění takto:</w:t>
      </w:r>
    </w:p>
    <w:p w:rsidR="005C0B49" w:rsidRPr="00641CE4" w:rsidRDefault="005C0B49" w:rsidP="005C0B49">
      <w:pPr>
        <w:jc w:val="both"/>
        <w:rPr>
          <w:szCs w:val="24"/>
        </w:rPr>
      </w:pPr>
    </w:p>
    <w:p w:rsidR="005C0B49" w:rsidRPr="00641CE4" w:rsidRDefault="003F46E1" w:rsidP="005C0B49">
      <w:pPr>
        <w:jc w:val="both"/>
        <w:rPr>
          <w:szCs w:val="24"/>
        </w:rPr>
      </w:pPr>
      <w:r w:rsidRPr="00641CE4">
        <w:rPr>
          <w:szCs w:val="24"/>
        </w:rPr>
        <w:t xml:space="preserve">Za čl. </w:t>
      </w:r>
      <w:r w:rsidR="007827C4" w:rsidRPr="00641CE4">
        <w:rPr>
          <w:szCs w:val="24"/>
        </w:rPr>
        <w:t>26</w:t>
      </w:r>
      <w:r w:rsidR="005C0B49" w:rsidRPr="00641CE4">
        <w:rPr>
          <w:szCs w:val="24"/>
        </w:rPr>
        <w:t xml:space="preserve"> se </w:t>
      </w:r>
      <w:r w:rsidRPr="00641CE4">
        <w:rPr>
          <w:szCs w:val="24"/>
        </w:rPr>
        <w:t>vkládá nový čl. 26a</w:t>
      </w:r>
      <w:r w:rsidR="005C0B49" w:rsidRPr="00641CE4">
        <w:rPr>
          <w:szCs w:val="24"/>
        </w:rPr>
        <w:t>, který zní:</w:t>
      </w:r>
    </w:p>
    <w:p w:rsidR="005C0B49" w:rsidRPr="00641CE4" w:rsidRDefault="005C0B49" w:rsidP="005C0B49">
      <w:pPr>
        <w:jc w:val="both"/>
        <w:rPr>
          <w:szCs w:val="24"/>
        </w:rPr>
      </w:pPr>
    </w:p>
    <w:p w:rsidR="003F46E1" w:rsidRPr="00641CE4" w:rsidRDefault="003F46E1" w:rsidP="003F46E1">
      <w:pPr>
        <w:jc w:val="center"/>
        <w:rPr>
          <w:szCs w:val="24"/>
        </w:rPr>
      </w:pPr>
      <w:r w:rsidRPr="00641CE4">
        <w:rPr>
          <w:szCs w:val="24"/>
        </w:rPr>
        <w:t>„Čl. 26a</w:t>
      </w:r>
    </w:p>
    <w:p w:rsidR="003F46E1" w:rsidRPr="00641CE4" w:rsidRDefault="003F46E1" w:rsidP="00A2709E">
      <w:pPr>
        <w:ind w:firstLine="708"/>
        <w:jc w:val="both"/>
        <w:rPr>
          <w:szCs w:val="24"/>
        </w:rPr>
      </w:pPr>
    </w:p>
    <w:p w:rsidR="005C0B49" w:rsidRDefault="004D6154" w:rsidP="00A2709E">
      <w:pPr>
        <w:ind w:firstLine="708"/>
        <w:jc w:val="both"/>
        <w:rPr>
          <w:szCs w:val="24"/>
        </w:rPr>
      </w:pPr>
      <w:r w:rsidRPr="00641CE4">
        <w:rPr>
          <w:szCs w:val="24"/>
        </w:rPr>
        <w:t xml:space="preserve">Každý má právo na úhradu svých </w:t>
      </w:r>
      <w:r w:rsidR="00ED4058" w:rsidRPr="00641CE4">
        <w:rPr>
          <w:szCs w:val="24"/>
        </w:rPr>
        <w:t xml:space="preserve">peněžitých </w:t>
      </w:r>
      <w:r w:rsidRPr="00641CE4">
        <w:rPr>
          <w:szCs w:val="24"/>
        </w:rPr>
        <w:t xml:space="preserve">dluhů v hotovosti. Toto právo lze omezit </w:t>
      </w:r>
      <w:r w:rsidR="00A2709E" w:rsidRPr="00641CE4">
        <w:rPr>
          <w:szCs w:val="24"/>
        </w:rPr>
        <w:t xml:space="preserve">jen v případech stanovených </w:t>
      </w:r>
      <w:r w:rsidRPr="00641CE4">
        <w:rPr>
          <w:szCs w:val="24"/>
        </w:rPr>
        <w:t xml:space="preserve">zákonem, jde-li o opatření v demokratické společnosti nezbytná pro </w:t>
      </w:r>
      <w:r w:rsidR="007B427A" w:rsidRPr="00641CE4">
        <w:rPr>
          <w:szCs w:val="24"/>
        </w:rPr>
        <w:t>ochranu b</w:t>
      </w:r>
      <w:r w:rsidRPr="00641CE4">
        <w:rPr>
          <w:szCs w:val="24"/>
        </w:rPr>
        <w:t>ezpečnost</w:t>
      </w:r>
      <w:r w:rsidR="007B427A" w:rsidRPr="00641CE4">
        <w:rPr>
          <w:szCs w:val="24"/>
        </w:rPr>
        <w:t>i</w:t>
      </w:r>
      <w:r w:rsidRPr="00641CE4">
        <w:rPr>
          <w:szCs w:val="24"/>
        </w:rPr>
        <w:t xml:space="preserve"> státu, veřejn</w:t>
      </w:r>
      <w:r w:rsidR="007B427A" w:rsidRPr="00641CE4">
        <w:rPr>
          <w:szCs w:val="24"/>
        </w:rPr>
        <w:t>ého pořádku nebo práv a svobod druhých</w:t>
      </w:r>
      <w:r w:rsidRPr="00641CE4">
        <w:rPr>
          <w:szCs w:val="24"/>
        </w:rPr>
        <w:t>.</w:t>
      </w:r>
      <w:r w:rsidR="003F46E1" w:rsidRPr="00641CE4">
        <w:rPr>
          <w:szCs w:val="24"/>
        </w:rPr>
        <w:t>“</w:t>
      </w:r>
    </w:p>
    <w:p w:rsidR="002255FA" w:rsidRPr="00E53471" w:rsidRDefault="002255FA" w:rsidP="00A2709E">
      <w:pPr>
        <w:ind w:firstLine="708"/>
        <w:jc w:val="both"/>
        <w:rPr>
          <w:szCs w:val="24"/>
        </w:rPr>
      </w:pPr>
    </w:p>
    <w:p w:rsidR="00A2709E" w:rsidRPr="00E53471" w:rsidRDefault="00A2709E" w:rsidP="00A2709E">
      <w:pPr>
        <w:ind w:firstLine="708"/>
        <w:jc w:val="both"/>
        <w:rPr>
          <w:szCs w:val="24"/>
        </w:rPr>
      </w:pPr>
    </w:p>
    <w:p w:rsidR="00AE7A4F" w:rsidRPr="00AE7A4F" w:rsidRDefault="00AE7A4F" w:rsidP="00AE7A4F">
      <w:pPr>
        <w:widowControl w:val="0"/>
        <w:spacing w:line="276" w:lineRule="auto"/>
        <w:jc w:val="center"/>
        <w:rPr>
          <w:b/>
          <w:szCs w:val="24"/>
        </w:rPr>
      </w:pPr>
      <w:r w:rsidRPr="00AE7A4F">
        <w:rPr>
          <w:b/>
          <w:szCs w:val="24"/>
        </w:rPr>
        <w:t xml:space="preserve">ČÁST </w:t>
      </w:r>
      <w:r>
        <w:rPr>
          <w:b/>
          <w:szCs w:val="24"/>
        </w:rPr>
        <w:t>DRUHÁ</w:t>
      </w:r>
      <w:r w:rsidRPr="00AE7A4F">
        <w:rPr>
          <w:b/>
          <w:szCs w:val="24"/>
        </w:rPr>
        <w:t xml:space="preserve"> </w:t>
      </w:r>
    </w:p>
    <w:p w:rsidR="00AE7A4F" w:rsidRDefault="00AE7A4F" w:rsidP="00AE7A4F">
      <w:pPr>
        <w:widowControl w:val="0"/>
        <w:spacing w:line="276" w:lineRule="auto"/>
        <w:jc w:val="both"/>
        <w:rPr>
          <w:b/>
          <w:szCs w:val="24"/>
        </w:rPr>
      </w:pPr>
    </w:p>
    <w:p w:rsidR="00AE7A4F" w:rsidRDefault="00AE7A4F" w:rsidP="00AE7A4F">
      <w:pPr>
        <w:widowControl w:val="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Změna Ústavy České republiky</w:t>
      </w:r>
    </w:p>
    <w:p w:rsidR="009B75B9" w:rsidRDefault="009B75B9" w:rsidP="009B75B9">
      <w:pPr>
        <w:widowControl w:val="0"/>
        <w:spacing w:line="276" w:lineRule="auto"/>
        <w:jc w:val="center"/>
        <w:rPr>
          <w:szCs w:val="24"/>
        </w:rPr>
      </w:pPr>
    </w:p>
    <w:p w:rsidR="00AE7A4F" w:rsidRDefault="009B75B9" w:rsidP="009B75B9">
      <w:pPr>
        <w:widowControl w:val="0"/>
        <w:spacing w:line="276" w:lineRule="auto"/>
        <w:jc w:val="center"/>
        <w:rPr>
          <w:szCs w:val="24"/>
        </w:rPr>
      </w:pPr>
      <w:r w:rsidRPr="00E53471">
        <w:rPr>
          <w:szCs w:val="24"/>
        </w:rPr>
        <w:t>Čl. I</w:t>
      </w:r>
      <w:r>
        <w:rPr>
          <w:szCs w:val="24"/>
        </w:rPr>
        <w:t>I</w:t>
      </w:r>
    </w:p>
    <w:p w:rsidR="009B75B9" w:rsidRPr="00E53471" w:rsidRDefault="009B75B9" w:rsidP="009B75B9">
      <w:pPr>
        <w:widowControl w:val="0"/>
        <w:spacing w:line="276" w:lineRule="auto"/>
        <w:jc w:val="center"/>
        <w:rPr>
          <w:b/>
          <w:szCs w:val="24"/>
        </w:rPr>
      </w:pPr>
    </w:p>
    <w:p w:rsidR="00AE7A4F" w:rsidRPr="00E53471" w:rsidRDefault="00062B34" w:rsidP="00AE7A4F">
      <w:pPr>
        <w:jc w:val="both"/>
        <w:rPr>
          <w:szCs w:val="24"/>
        </w:rPr>
      </w:pPr>
      <w:r w:rsidRPr="00062B34">
        <w:rPr>
          <w:bCs/>
          <w:szCs w:val="24"/>
        </w:rPr>
        <w:t>Ústavní zákon č. 1/1993 Sb., Ústava České republiky, ve znění ústavního zákona č. 347/1997 Sb., ústavního zákona č. 300/2000 Sb., ústavního zákona č. 395/2001 Sb., ústavního zákona č.</w:t>
      </w:r>
      <w:r w:rsidR="002255FA">
        <w:rPr>
          <w:bCs/>
          <w:szCs w:val="24"/>
        </w:rPr>
        <w:t> </w:t>
      </w:r>
      <w:r w:rsidRPr="00062B34">
        <w:rPr>
          <w:bCs/>
          <w:szCs w:val="24"/>
        </w:rPr>
        <w:t>448/2001 Sb., ústavního zákona č. 515/2002 Sb., ústavního zákona č. 319/2009 Sb.</w:t>
      </w:r>
      <w:r>
        <w:rPr>
          <w:bCs/>
          <w:szCs w:val="24"/>
        </w:rPr>
        <w:t>,</w:t>
      </w:r>
      <w:r w:rsidRPr="00062B34">
        <w:rPr>
          <w:bCs/>
          <w:szCs w:val="24"/>
        </w:rPr>
        <w:t xml:space="preserve"> ústavního zákona č. 71/2012 Sb., </w:t>
      </w:r>
      <w:r>
        <w:rPr>
          <w:bCs/>
          <w:szCs w:val="24"/>
        </w:rPr>
        <w:t xml:space="preserve">a ústavního zákona č. 98/2013 Sb., </w:t>
      </w:r>
      <w:r w:rsidRPr="00062B34">
        <w:rPr>
          <w:bCs/>
          <w:szCs w:val="24"/>
        </w:rPr>
        <w:t>se mění takto:</w:t>
      </w:r>
    </w:p>
    <w:p w:rsidR="00AE7A4F" w:rsidRPr="00E53471" w:rsidRDefault="00AE7A4F" w:rsidP="00AE7A4F">
      <w:pPr>
        <w:jc w:val="both"/>
        <w:rPr>
          <w:szCs w:val="24"/>
        </w:rPr>
      </w:pPr>
    </w:p>
    <w:p w:rsidR="00AE7A4F" w:rsidRPr="00362D8C" w:rsidRDefault="00362D8C" w:rsidP="00362D8C">
      <w:pPr>
        <w:rPr>
          <w:szCs w:val="24"/>
        </w:rPr>
      </w:pPr>
      <w:r>
        <w:rPr>
          <w:szCs w:val="24"/>
        </w:rPr>
        <w:t>Čl.</w:t>
      </w:r>
      <w:r w:rsidR="00062B34" w:rsidRPr="00362D8C">
        <w:rPr>
          <w:szCs w:val="24"/>
        </w:rPr>
        <w:t xml:space="preserve"> 98 </w:t>
      </w:r>
      <w:r>
        <w:rPr>
          <w:szCs w:val="24"/>
        </w:rPr>
        <w:t>zní:</w:t>
      </w:r>
    </w:p>
    <w:p w:rsidR="00C71592" w:rsidRDefault="00C71592" w:rsidP="00362D8C">
      <w:pPr>
        <w:pStyle w:val="Odstavecseseznamem"/>
        <w:ind w:left="0"/>
        <w:rPr>
          <w:szCs w:val="24"/>
        </w:rPr>
      </w:pPr>
    </w:p>
    <w:p w:rsidR="00362D8C" w:rsidRDefault="00362D8C" w:rsidP="00362D8C">
      <w:pPr>
        <w:pStyle w:val="Odstavecseseznamem"/>
        <w:ind w:left="0"/>
        <w:jc w:val="center"/>
        <w:rPr>
          <w:szCs w:val="24"/>
        </w:rPr>
      </w:pPr>
      <w:r>
        <w:rPr>
          <w:szCs w:val="24"/>
        </w:rPr>
        <w:t>„Čl. 98</w:t>
      </w:r>
    </w:p>
    <w:p w:rsidR="00362D8C" w:rsidRDefault="00362D8C" w:rsidP="00362D8C">
      <w:pPr>
        <w:pStyle w:val="Odstavecseseznamem"/>
        <w:ind w:left="0"/>
        <w:jc w:val="center"/>
        <w:rPr>
          <w:szCs w:val="24"/>
        </w:rPr>
      </w:pPr>
    </w:p>
    <w:p w:rsidR="00362D8C" w:rsidRDefault="00362D8C" w:rsidP="00362D8C">
      <w:pPr>
        <w:ind w:firstLine="708"/>
        <w:jc w:val="both"/>
        <w:rPr>
          <w:szCs w:val="24"/>
        </w:rPr>
      </w:pPr>
      <w:r w:rsidRPr="00362D8C">
        <w:rPr>
          <w:szCs w:val="24"/>
        </w:rPr>
        <w:t xml:space="preserve">(1)   </w:t>
      </w:r>
      <w:r>
        <w:rPr>
          <w:szCs w:val="24"/>
        </w:rPr>
        <w:t xml:space="preserve">Česká národní banka je ústřední bankou státu. Hlavním cílem její činnosti je péče o cenovou stabilitu </w:t>
      </w:r>
      <w:r w:rsidRPr="00362D8C">
        <w:rPr>
          <w:szCs w:val="24"/>
        </w:rPr>
        <w:t>a ochrana rovnocenného postavení hotovostních a bezhotovostních forem transakcí.</w:t>
      </w:r>
    </w:p>
    <w:p w:rsidR="00362D8C" w:rsidRDefault="00362D8C" w:rsidP="00362D8C">
      <w:pPr>
        <w:ind w:firstLine="708"/>
        <w:jc w:val="both"/>
        <w:rPr>
          <w:szCs w:val="24"/>
        </w:rPr>
      </w:pPr>
      <w:r>
        <w:rPr>
          <w:szCs w:val="24"/>
        </w:rPr>
        <w:t>(2)</w:t>
      </w:r>
      <w:r w:rsidRPr="00362D8C">
        <w:rPr>
          <w:szCs w:val="24"/>
        </w:rPr>
        <w:t xml:space="preserve">   </w:t>
      </w:r>
      <w:r>
        <w:rPr>
          <w:szCs w:val="24"/>
        </w:rPr>
        <w:t>Do její činnosti lze zasahovat pouze na základě zákona.</w:t>
      </w:r>
    </w:p>
    <w:p w:rsidR="00362D8C" w:rsidRDefault="00362D8C" w:rsidP="00362D8C">
      <w:pPr>
        <w:ind w:firstLine="708"/>
        <w:jc w:val="both"/>
        <w:rPr>
          <w:szCs w:val="24"/>
        </w:rPr>
      </w:pPr>
      <w:r>
        <w:rPr>
          <w:szCs w:val="24"/>
        </w:rPr>
        <w:t>(3)</w:t>
      </w:r>
      <w:r w:rsidRPr="00362D8C">
        <w:rPr>
          <w:szCs w:val="24"/>
        </w:rPr>
        <w:t xml:space="preserve">   </w:t>
      </w:r>
      <w:r>
        <w:rPr>
          <w:szCs w:val="24"/>
        </w:rPr>
        <w:t>Postavení, působnost a další podrobnosti stanoví zákon.“</w:t>
      </w:r>
    </w:p>
    <w:p w:rsidR="00362D8C" w:rsidRDefault="00362D8C" w:rsidP="00362D8C">
      <w:pPr>
        <w:pStyle w:val="Odstavecseseznamem"/>
        <w:ind w:left="0" w:firstLine="709"/>
        <w:rPr>
          <w:szCs w:val="24"/>
        </w:rPr>
      </w:pPr>
    </w:p>
    <w:p w:rsidR="002255FA" w:rsidRDefault="002255FA" w:rsidP="00063011">
      <w:pPr>
        <w:widowControl w:val="0"/>
        <w:spacing w:line="276" w:lineRule="auto"/>
        <w:jc w:val="center"/>
        <w:rPr>
          <w:b/>
          <w:szCs w:val="24"/>
        </w:rPr>
      </w:pPr>
    </w:p>
    <w:p w:rsidR="002255FA" w:rsidRDefault="002255FA" w:rsidP="00063011">
      <w:pPr>
        <w:widowControl w:val="0"/>
        <w:spacing w:line="276" w:lineRule="auto"/>
        <w:jc w:val="center"/>
        <w:rPr>
          <w:b/>
          <w:szCs w:val="24"/>
        </w:rPr>
      </w:pPr>
    </w:p>
    <w:p w:rsidR="00063011" w:rsidRPr="00AE7A4F" w:rsidRDefault="00063011" w:rsidP="00063011">
      <w:pPr>
        <w:widowControl w:val="0"/>
        <w:spacing w:line="276" w:lineRule="auto"/>
        <w:jc w:val="center"/>
        <w:rPr>
          <w:b/>
          <w:szCs w:val="24"/>
        </w:rPr>
      </w:pPr>
      <w:r w:rsidRPr="00AE7A4F">
        <w:rPr>
          <w:b/>
          <w:szCs w:val="24"/>
        </w:rPr>
        <w:t xml:space="preserve">ČÁST </w:t>
      </w:r>
      <w:r>
        <w:rPr>
          <w:b/>
          <w:szCs w:val="24"/>
        </w:rPr>
        <w:t>TŘETÍ</w:t>
      </w:r>
      <w:r w:rsidRPr="00AE7A4F">
        <w:rPr>
          <w:b/>
          <w:szCs w:val="24"/>
        </w:rPr>
        <w:t xml:space="preserve"> </w:t>
      </w:r>
    </w:p>
    <w:p w:rsidR="00063011" w:rsidRDefault="00063011" w:rsidP="00A2709E">
      <w:pPr>
        <w:widowControl w:val="0"/>
        <w:spacing w:line="276" w:lineRule="auto"/>
        <w:jc w:val="center"/>
        <w:rPr>
          <w:szCs w:val="24"/>
        </w:rPr>
      </w:pPr>
    </w:p>
    <w:p w:rsidR="00063011" w:rsidRDefault="00063011" w:rsidP="00A2709E">
      <w:pPr>
        <w:widowControl w:val="0"/>
        <w:spacing w:line="276" w:lineRule="auto"/>
        <w:jc w:val="center"/>
        <w:rPr>
          <w:b/>
          <w:bCs/>
          <w:szCs w:val="24"/>
        </w:rPr>
      </w:pPr>
      <w:r w:rsidRPr="00063011">
        <w:rPr>
          <w:b/>
          <w:bCs/>
          <w:szCs w:val="24"/>
        </w:rPr>
        <w:t xml:space="preserve">Účinnost </w:t>
      </w:r>
    </w:p>
    <w:p w:rsidR="00063011" w:rsidRPr="00063011" w:rsidRDefault="00063011" w:rsidP="00A2709E">
      <w:pPr>
        <w:widowControl w:val="0"/>
        <w:spacing w:line="276" w:lineRule="auto"/>
        <w:jc w:val="center"/>
        <w:rPr>
          <w:b/>
          <w:bCs/>
          <w:szCs w:val="24"/>
        </w:rPr>
      </w:pPr>
    </w:p>
    <w:p w:rsidR="00A2709E" w:rsidRPr="00E53471" w:rsidRDefault="00A2709E" w:rsidP="00A2709E">
      <w:pPr>
        <w:widowControl w:val="0"/>
        <w:spacing w:line="276" w:lineRule="auto"/>
        <w:jc w:val="center"/>
        <w:rPr>
          <w:szCs w:val="24"/>
        </w:rPr>
      </w:pPr>
      <w:r w:rsidRPr="00E53471">
        <w:rPr>
          <w:szCs w:val="24"/>
        </w:rPr>
        <w:t>Čl. I</w:t>
      </w:r>
      <w:r w:rsidR="00063011">
        <w:rPr>
          <w:szCs w:val="24"/>
        </w:rPr>
        <w:t>I</w:t>
      </w:r>
      <w:r w:rsidRPr="00E53471">
        <w:rPr>
          <w:szCs w:val="24"/>
        </w:rPr>
        <w:t>I</w:t>
      </w:r>
    </w:p>
    <w:p w:rsidR="00A2709E" w:rsidRPr="00E53471" w:rsidRDefault="00A2709E" w:rsidP="00A2709E">
      <w:pPr>
        <w:jc w:val="both"/>
        <w:rPr>
          <w:szCs w:val="24"/>
        </w:rPr>
      </w:pPr>
    </w:p>
    <w:p w:rsidR="00A2709E" w:rsidRPr="00E53471" w:rsidRDefault="00A2709E" w:rsidP="00A2709E">
      <w:pPr>
        <w:jc w:val="both"/>
        <w:rPr>
          <w:szCs w:val="24"/>
        </w:rPr>
      </w:pPr>
      <w:r w:rsidRPr="00E53471">
        <w:rPr>
          <w:szCs w:val="24"/>
        </w:rPr>
        <w:t xml:space="preserve">Tento ústavní zákon nabývá účinnosti </w:t>
      </w:r>
      <w:r w:rsidR="00F17BBE">
        <w:rPr>
          <w:szCs w:val="24"/>
        </w:rPr>
        <w:t>dnem 1. ledna 2021</w:t>
      </w:r>
      <w:r w:rsidRPr="00E53471">
        <w:rPr>
          <w:szCs w:val="24"/>
        </w:rPr>
        <w:t>.</w:t>
      </w:r>
    </w:p>
    <w:p w:rsidR="00A2709E" w:rsidRPr="00E53471" w:rsidRDefault="00A2709E">
      <w:pPr>
        <w:spacing w:after="160" w:line="259" w:lineRule="auto"/>
        <w:rPr>
          <w:szCs w:val="24"/>
        </w:rPr>
      </w:pPr>
      <w:r w:rsidRPr="00E53471">
        <w:rPr>
          <w:szCs w:val="24"/>
        </w:rPr>
        <w:br w:type="page"/>
      </w:r>
    </w:p>
    <w:p w:rsidR="00A2709E" w:rsidRPr="00E53471" w:rsidRDefault="00A2709E" w:rsidP="00A2709E">
      <w:pPr>
        <w:widowControl w:val="0"/>
        <w:spacing w:line="276" w:lineRule="auto"/>
        <w:jc w:val="center"/>
        <w:rPr>
          <w:b/>
          <w:caps/>
          <w:szCs w:val="24"/>
        </w:rPr>
      </w:pPr>
      <w:r w:rsidRPr="00E53471">
        <w:rPr>
          <w:b/>
          <w:caps/>
          <w:szCs w:val="24"/>
        </w:rPr>
        <w:lastRenderedPageBreak/>
        <w:t>Důvodová zpráva</w:t>
      </w:r>
    </w:p>
    <w:p w:rsidR="00E53471" w:rsidRPr="00E53471" w:rsidRDefault="00E53471" w:rsidP="00E5347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360" w:after="240" w:line="259" w:lineRule="auto"/>
        <w:ind w:left="425" w:hanging="425"/>
        <w:contextualSpacing w:val="0"/>
        <w:jc w:val="left"/>
        <w:rPr>
          <w:b/>
          <w:szCs w:val="24"/>
        </w:rPr>
      </w:pPr>
      <w:r w:rsidRPr="00E53471">
        <w:rPr>
          <w:b/>
          <w:szCs w:val="24"/>
        </w:rPr>
        <w:t>Obecná část</w:t>
      </w:r>
    </w:p>
    <w:p w:rsidR="00A2709E" w:rsidRPr="00E53471" w:rsidRDefault="00A2709E" w:rsidP="00A2709E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hanging="720"/>
        <w:jc w:val="both"/>
        <w:rPr>
          <w:b/>
          <w:szCs w:val="24"/>
        </w:rPr>
      </w:pPr>
      <w:r w:rsidRPr="00E53471">
        <w:rPr>
          <w:b/>
          <w:szCs w:val="24"/>
        </w:rPr>
        <w:t>Zhodnocení platného právního stavu</w:t>
      </w:r>
    </w:p>
    <w:p w:rsidR="00872927" w:rsidRDefault="00872927" w:rsidP="00872927">
      <w:pPr>
        <w:ind w:firstLine="709"/>
        <w:jc w:val="both"/>
        <w:rPr>
          <w:szCs w:val="24"/>
        </w:rPr>
      </w:pPr>
    </w:p>
    <w:p w:rsidR="00872927" w:rsidRDefault="00872927" w:rsidP="00872927">
      <w:pPr>
        <w:ind w:firstLine="709"/>
        <w:jc w:val="both"/>
        <w:rPr>
          <w:szCs w:val="24"/>
        </w:rPr>
      </w:pPr>
      <w:r w:rsidRPr="00872927">
        <w:rPr>
          <w:szCs w:val="24"/>
        </w:rPr>
        <w:t xml:space="preserve">Přes stále se zvyšující množství bezhotovostních plateb je nadále prováděna značná část plateb v hotovosti. </w:t>
      </w:r>
      <w:r w:rsidRPr="00E53471">
        <w:rPr>
          <w:szCs w:val="24"/>
        </w:rPr>
        <w:t>V současné době je užívání hotovosti omezeno zákonem č. 254/2004 Sb., o</w:t>
      </w:r>
      <w:r w:rsidR="002255FA">
        <w:rPr>
          <w:szCs w:val="24"/>
        </w:rPr>
        <w:t> </w:t>
      </w:r>
      <w:r w:rsidRPr="00E53471">
        <w:rPr>
          <w:szCs w:val="24"/>
        </w:rPr>
        <w:t>omezení plateb v hotovosti, ve znění pozdějších předpisů, podle kterého poskytovatel platby, jejíž výše překračuje částku 270.000 Kč, je povinen provést platbu bezhotovostně.</w:t>
      </w:r>
    </w:p>
    <w:p w:rsidR="00872927" w:rsidRDefault="00872927" w:rsidP="00872927">
      <w:pPr>
        <w:ind w:firstLine="709"/>
        <w:jc w:val="both"/>
        <w:rPr>
          <w:szCs w:val="24"/>
        </w:rPr>
      </w:pPr>
    </w:p>
    <w:p w:rsidR="00872927" w:rsidRPr="00872927" w:rsidRDefault="00872927" w:rsidP="00872927">
      <w:pPr>
        <w:ind w:firstLine="709"/>
        <w:jc w:val="both"/>
        <w:rPr>
          <w:szCs w:val="24"/>
        </w:rPr>
      </w:pPr>
      <w:r w:rsidRPr="00872927">
        <w:rPr>
          <w:szCs w:val="24"/>
        </w:rPr>
        <w:t>Přesto se objevují snahy platby v hotovosti omezit nebo vůbec nepřijímat (a to i ze strany některých obchodníků)</w:t>
      </w:r>
      <w:r w:rsidR="001D11C8">
        <w:rPr>
          <w:szCs w:val="24"/>
        </w:rPr>
        <w:t xml:space="preserve">, a to </w:t>
      </w:r>
      <w:r>
        <w:rPr>
          <w:szCs w:val="24"/>
        </w:rPr>
        <w:t xml:space="preserve">i v případě plateb, které </w:t>
      </w:r>
      <w:r w:rsidR="001D11C8">
        <w:rPr>
          <w:szCs w:val="24"/>
        </w:rPr>
        <w:t xml:space="preserve">zdaleka </w:t>
      </w:r>
      <w:r>
        <w:rPr>
          <w:szCs w:val="24"/>
        </w:rPr>
        <w:t xml:space="preserve">nedosahují výše uvedeného zákonného limitu </w:t>
      </w:r>
      <w:r w:rsidRPr="00E53471">
        <w:rPr>
          <w:szCs w:val="24"/>
        </w:rPr>
        <w:t>270.000 Kč</w:t>
      </w:r>
      <w:r w:rsidRPr="00872927">
        <w:rPr>
          <w:szCs w:val="24"/>
        </w:rPr>
        <w:t>. Současně jsou mezi příslušnými státními institucemi (včetně České národní banky a Ministerstva financí) vedeny diskuze o tom, zda z platné právní úpravy vyplývá povinnost obchodníků přijímat platby v hotovosti, či zda si obchodník může sám určit, jestli bude přijímat platby v hotovosti nebo pouze bezhotovostní způsob úhrady.</w:t>
      </w:r>
      <w:r w:rsidRPr="00872927">
        <w:rPr>
          <w:vertAlign w:val="superscript"/>
        </w:rPr>
        <w:footnoteReference w:id="1"/>
      </w:r>
      <w:r w:rsidRPr="00872927">
        <w:rPr>
          <w:szCs w:val="24"/>
        </w:rPr>
        <w:t xml:space="preserve"> </w:t>
      </w:r>
    </w:p>
    <w:p w:rsidR="00A2709E" w:rsidRPr="00E53471" w:rsidRDefault="00A2709E" w:rsidP="00A2709E">
      <w:pPr>
        <w:jc w:val="both"/>
        <w:rPr>
          <w:szCs w:val="24"/>
        </w:rPr>
      </w:pPr>
    </w:p>
    <w:p w:rsidR="00ED4058" w:rsidRPr="00E53471" w:rsidRDefault="00ED4058" w:rsidP="00ED4058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hanging="720"/>
        <w:jc w:val="both"/>
        <w:rPr>
          <w:b/>
          <w:szCs w:val="24"/>
        </w:rPr>
      </w:pPr>
      <w:r w:rsidRPr="00E53471">
        <w:rPr>
          <w:b/>
          <w:szCs w:val="24"/>
        </w:rPr>
        <w:t>Odůvodnění hlavních principů navrhované právní úpravy</w:t>
      </w:r>
      <w:r w:rsidR="00F11DF7" w:rsidRPr="00E53471">
        <w:rPr>
          <w:b/>
          <w:szCs w:val="24"/>
        </w:rPr>
        <w:t xml:space="preserve"> a vysvětlení nezbytnosti navrhované právní úpravy v jejím celku</w:t>
      </w:r>
    </w:p>
    <w:p w:rsidR="00ED4058" w:rsidRDefault="00ED4058" w:rsidP="00A2709E">
      <w:pPr>
        <w:ind w:firstLine="708"/>
        <w:jc w:val="both"/>
        <w:rPr>
          <w:szCs w:val="24"/>
        </w:rPr>
      </w:pPr>
    </w:p>
    <w:p w:rsidR="003117DD" w:rsidRPr="00E53471" w:rsidRDefault="00ED4058" w:rsidP="003117DD">
      <w:pPr>
        <w:ind w:firstLine="708"/>
        <w:jc w:val="both"/>
        <w:rPr>
          <w:szCs w:val="24"/>
        </w:rPr>
      </w:pPr>
      <w:r w:rsidRPr="00E53471">
        <w:rPr>
          <w:szCs w:val="24"/>
        </w:rPr>
        <w:t>Účelem navrhované právní úpravy je ústavní zakotvení práva na úhradu peněžitých dluhů v hotovosti tak, aby byl</w:t>
      </w:r>
      <w:r w:rsidR="002E3773">
        <w:rPr>
          <w:szCs w:val="24"/>
        </w:rPr>
        <w:t>o</w:t>
      </w:r>
      <w:r w:rsidRPr="00E53471">
        <w:rPr>
          <w:szCs w:val="24"/>
        </w:rPr>
        <w:t xml:space="preserve"> i do budoucna zachován</w:t>
      </w:r>
      <w:r w:rsidR="002E3773">
        <w:rPr>
          <w:szCs w:val="24"/>
        </w:rPr>
        <w:t>o právo všech v České republice platit v hotovosti (resp. tomu odpovídající povinnost druhé strany, tj. zejména povinnost obchodníků, tyto hotovostní platby přijímat)</w:t>
      </w:r>
      <w:r w:rsidR="00FD18E0">
        <w:rPr>
          <w:szCs w:val="24"/>
        </w:rPr>
        <w:t xml:space="preserve">, při současném zachování práva státu přijmout nezbytná opatření </w:t>
      </w:r>
      <w:r w:rsidR="00FD18E0" w:rsidRPr="00E53471">
        <w:rPr>
          <w:szCs w:val="24"/>
        </w:rPr>
        <w:t xml:space="preserve">pro </w:t>
      </w:r>
      <w:r w:rsidR="00FD18E0">
        <w:rPr>
          <w:szCs w:val="24"/>
        </w:rPr>
        <w:t>ochranu b</w:t>
      </w:r>
      <w:r w:rsidR="00FD18E0" w:rsidRPr="00E53471">
        <w:rPr>
          <w:szCs w:val="24"/>
        </w:rPr>
        <w:t>ezpečnost</w:t>
      </w:r>
      <w:r w:rsidR="00FD18E0">
        <w:rPr>
          <w:szCs w:val="24"/>
        </w:rPr>
        <w:t>i</w:t>
      </w:r>
      <w:r w:rsidR="00FD18E0" w:rsidRPr="00E53471">
        <w:rPr>
          <w:szCs w:val="24"/>
        </w:rPr>
        <w:t xml:space="preserve"> státu, veřejn</w:t>
      </w:r>
      <w:r w:rsidR="00FD18E0">
        <w:rPr>
          <w:szCs w:val="24"/>
        </w:rPr>
        <w:t xml:space="preserve">ého pořádku nebo </w:t>
      </w:r>
      <w:r w:rsidR="00FD18E0" w:rsidRPr="00E53471">
        <w:rPr>
          <w:szCs w:val="24"/>
        </w:rPr>
        <w:t>práv a svobod druhých</w:t>
      </w:r>
      <w:r w:rsidR="00FD18E0">
        <w:rPr>
          <w:szCs w:val="24"/>
        </w:rPr>
        <w:t xml:space="preserve">. Účelem navrhované úpravy naopak není omezovat možnosti státu pro boj proti financování terorismu, daňovým únikům nebo ke snižování rizika korupce. </w:t>
      </w:r>
    </w:p>
    <w:p w:rsidR="008C74A2" w:rsidRDefault="008C74A2" w:rsidP="003117DD">
      <w:pPr>
        <w:ind w:firstLine="708"/>
        <w:jc w:val="both"/>
        <w:rPr>
          <w:szCs w:val="24"/>
        </w:rPr>
      </w:pPr>
    </w:p>
    <w:p w:rsidR="002B4B01" w:rsidRPr="00E53471" w:rsidRDefault="002B4B01" w:rsidP="002B4B01">
      <w:pPr>
        <w:ind w:firstLine="708"/>
        <w:jc w:val="both"/>
        <w:rPr>
          <w:szCs w:val="24"/>
        </w:rPr>
      </w:pPr>
      <w:r w:rsidRPr="00427439">
        <w:rPr>
          <w:szCs w:val="24"/>
        </w:rPr>
        <w:t>Navrhovaná právní úprava</w:t>
      </w:r>
      <w:r w:rsidRPr="00E53471">
        <w:rPr>
          <w:szCs w:val="24"/>
        </w:rPr>
        <w:t xml:space="preserve"> je nezbytná k jednoznačnému vymezení, že všichni mají právo využívat hotovost k placení svých dluhů a jí odpovídající povinnosti hotovostní platby přijímat. Navrhovaná právní úprava je současně </w:t>
      </w:r>
      <w:r>
        <w:rPr>
          <w:szCs w:val="24"/>
        </w:rPr>
        <w:t xml:space="preserve">potřebná </w:t>
      </w:r>
      <w:r w:rsidRPr="00E53471">
        <w:rPr>
          <w:szCs w:val="24"/>
        </w:rPr>
        <w:t>za účelem zajištění práva na ochranu soukromí</w:t>
      </w:r>
      <w:r>
        <w:rPr>
          <w:szCs w:val="24"/>
        </w:rPr>
        <w:t>,</w:t>
      </w:r>
      <w:r w:rsidRPr="00E53471">
        <w:rPr>
          <w:szCs w:val="24"/>
        </w:rPr>
        <w:t xml:space="preserve"> které je samo o sobě základním lidským právem zakotveným v čl. 7 odst. 1 Listiny základních práv a svobod. </w:t>
      </w:r>
    </w:p>
    <w:p w:rsidR="002B4B01" w:rsidRPr="00E53471" w:rsidRDefault="002B4B01" w:rsidP="003117DD">
      <w:pPr>
        <w:ind w:firstLine="708"/>
        <w:jc w:val="both"/>
        <w:rPr>
          <w:szCs w:val="24"/>
        </w:rPr>
      </w:pPr>
    </w:p>
    <w:p w:rsidR="003117DD" w:rsidRDefault="008C74A2" w:rsidP="00A2709E">
      <w:pPr>
        <w:ind w:firstLine="708"/>
        <w:jc w:val="both"/>
        <w:rPr>
          <w:szCs w:val="24"/>
        </w:rPr>
      </w:pPr>
      <w:r w:rsidRPr="00E53471">
        <w:rPr>
          <w:szCs w:val="24"/>
        </w:rPr>
        <w:t xml:space="preserve">Možnost svobodně se rozhodnout platit své dluhy v hotovosti je jeden z nezbytných předpokladů pro zachování základního soukromí a autonomie jednotlivců. </w:t>
      </w:r>
      <w:r w:rsidR="002B170F" w:rsidRPr="00E53471">
        <w:rPr>
          <w:szCs w:val="24"/>
        </w:rPr>
        <w:t xml:space="preserve">I přes zvyšující se objemy bezhotovostních transakcí zůstává hotovost nejdostupnějším platebním prostředkem a možnost jejího využití je hluboce spjata s vnímáním osobní svobody ze strany veřejnosti. </w:t>
      </w:r>
      <w:r w:rsidR="003117DD" w:rsidRPr="00E53471">
        <w:rPr>
          <w:szCs w:val="24"/>
        </w:rPr>
        <w:t>Případný budoucí vývoj směřující k</w:t>
      </w:r>
      <w:r w:rsidRPr="00E53471">
        <w:rPr>
          <w:szCs w:val="24"/>
        </w:rPr>
        <w:t> dalšímu o</w:t>
      </w:r>
      <w:r w:rsidR="003117DD" w:rsidRPr="00E53471">
        <w:rPr>
          <w:szCs w:val="24"/>
        </w:rPr>
        <w:t>mez</w:t>
      </w:r>
      <w:r w:rsidRPr="00E53471">
        <w:rPr>
          <w:szCs w:val="24"/>
        </w:rPr>
        <w:t>ování</w:t>
      </w:r>
      <w:r w:rsidR="003117DD" w:rsidRPr="00E53471">
        <w:rPr>
          <w:szCs w:val="24"/>
        </w:rPr>
        <w:t xml:space="preserve"> či </w:t>
      </w:r>
      <w:r w:rsidRPr="00E53471">
        <w:rPr>
          <w:szCs w:val="24"/>
        </w:rPr>
        <w:t xml:space="preserve">dokonce k úplném </w:t>
      </w:r>
      <w:r w:rsidR="003117DD" w:rsidRPr="00E53471">
        <w:rPr>
          <w:szCs w:val="24"/>
        </w:rPr>
        <w:t xml:space="preserve">zákazu hotovostních plateb by představoval významný zásah do </w:t>
      </w:r>
      <w:r w:rsidR="002B170F" w:rsidRPr="00E53471">
        <w:rPr>
          <w:szCs w:val="24"/>
        </w:rPr>
        <w:t xml:space="preserve">osobních svobod </w:t>
      </w:r>
      <w:r w:rsidR="006803A8" w:rsidRPr="00E53471">
        <w:rPr>
          <w:szCs w:val="24"/>
        </w:rPr>
        <w:t>a podstatně by zvýšil riziko zneuž</w:t>
      </w:r>
      <w:r w:rsidR="00C56A92" w:rsidRPr="00E53471">
        <w:rPr>
          <w:szCs w:val="24"/>
        </w:rPr>
        <w:t xml:space="preserve">ívání </w:t>
      </w:r>
      <w:r w:rsidR="00F11DF7" w:rsidRPr="00E53471">
        <w:rPr>
          <w:szCs w:val="24"/>
        </w:rPr>
        <w:t xml:space="preserve">velkého množství </w:t>
      </w:r>
      <w:r w:rsidR="006803A8" w:rsidRPr="00E53471">
        <w:rPr>
          <w:szCs w:val="24"/>
        </w:rPr>
        <w:t xml:space="preserve">informací </w:t>
      </w:r>
      <w:r w:rsidR="00F11DF7" w:rsidRPr="00E53471">
        <w:rPr>
          <w:szCs w:val="24"/>
        </w:rPr>
        <w:t>souvisejících s nárůstem</w:t>
      </w:r>
      <w:r w:rsidR="006803A8" w:rsidRPr="00E53471">
        <w:rPr>
          <w:szCs w:val="24"/>
        </w:rPr>
        <w:t xml:space="preserve"> bezhotovostních plateb </w:t>
      </w:r>
      <w:r w:rsidR="00C56A92" w:rsidRPr="00E53471">
        <w:rPr>
          <w:szCs w:val="24"/>
        </w:rPr>
        <w:t xml:space="preserve">(a to ať již přímo ze strany příslušných bankovních institucí shromažďujících informace o bezhotovostních platbách, tak zprostředkovaně ze strany státních institucí či potenciálně i dalších třetích </w:t>
      </w:r>
      <w:r w:rsidR="00651F29">
        <w:rPr>
          <w:szCs w:val="24"/>
        </w:rPr>
        <w:t>osob</w:t>
      </w:r>
      <w:r w:rsidR="00C56A92" w:rsidRPr="00E53471">
        <w:rPr>
          <w:szCs w:val="24"/>
        </w:rPr>
        <w:t xml:space="preserve">). </w:t>
      </w:r>
    </w:p>
    <w:p w:rsidR="002B4B01" w:rsidRDefault="002B4B01" w:rsidP="00A2709E">
      <w:pPr>
        <w:ind w:firstLine="708"/>
        <w:jc w:val="both"/>
        <w:rPr>
          <w:szCs w:val="24"/>
        </w:rPr>
      </w:pPr>
    </w:p>
    <w:p w:rsidR="003117DD" w:rsidRPr="00E53471" w:rsidRDefault="003117DD" w:rsidP="00A2709E">
      <w:pPr>
        <w:ind w:firstLine="708"/>
        <w:jc w:val="both"/>
        <w:rPr>
          <w:szCs w:val="24"/>
        </w:rPr>
      </w:pPr>
    </w:p>
    <w:p w:rsidR="00F11DF7" w:rsidRPr="00E53471" w:rsidRDefault="002B170F" w:rsidP="00A2709E">
      <w:pPr>
        <w:ind w:firstLine="708"/>
        <w:jc w:val="both"/>
        <w:rPr>
          <w:szCs w:val="24"/>
        </w:rPr>
      </w:pPr>
      <w:r w:rsidRPr="00E53471">
        <w:rPr>
          <w:szCs w:val="24"/>
        </w:rPr>
        <w:t>Aktuální o</w:t>
      </w:r>
      <w:r w:rsidR="005E5946" w:rsidRPr="00E53471">
        <w:rPr>
          <w:szCs w:val="24"/>
        </w:rPr>
        <w:t>mezení plateb v hotovosti upravené zákonem č. 254/2004 Sb., o omezení plateb v hotovosti, ve znění pozdějších předpisů</w:t>
      </w:r>
      <w:r w:rsidRPr="00E53471">
        <w:rPr>
          <w:szCs w:val="24"/>
        </w:rPr>
        <w:t xml:space="preserve"> </w:t>
      </w:r>
      <w:r w:rsidR="00FD18E0">
        <w:rPr>
          <w:szCs w:val="24"/>
        </w:rPr>
        <w:t>je</w:t>
      </w:r>
      <w:r w:rsidR="005E5946" w:rsidRPr="00E53471">
        <w:rPr>
          <w:szCs w:val="24"/>
        </w:rPr>
        <w:t xml:space="preserve"> podle názoru navrhovatele </w:t>
      </w:r>
      <w:r w:rsidR="00FD18E0">
        <w:rPr>
          <w:szCs w:val="24"/>
        </w:rPr>
        <w:t xml:space="preserve">v souladu </w:t>
      </w:r>
      <w:r w:rsidR="005E5946" w:rsidRPr="00E53471">
        <w:rPr>
          <w:szCs w:val="24"/>
        </w:rPr>
        <w:t>s navrhovanou právní úpravou</w:t>
      </w:r>
      <w:r w:rsidRPr="00E53471">
        <w:rPr>
          <w:szCs w:val="24"/>
        </w:rPr>
        <w:t>, a to s ohledem na nastavení omezujícího limitu pro platby v hotovosti na hranici 270.000 Kč</w:t>
      </w:r>
      <w:r w:rsidR="002E3773">
        <w:rPr>
          <w:szCs w:val="24"/>
        </w:rPr>
        <w:t>.</w:t>
      </w:r>
      <w:r w:rsidRPr="00E53471">
        <w:rPr>
          <w:szCs w:val="24"/>
        </w:rPr>
        <w:t xml:space="preserve"> </w:t>
      </w:r>
      <w:r w:rsidR="002E3773">
        <w:rPr>
          <w:szCs w:val="24"/>
        </w:rPr>
        <w:t xml:space="preserve">Tento limit </w:t>
      </w:r>
      <w:r w:rsidRPr="00E53471">
        <w:rPr>
          <w:szCs w:val="24"/>
        </w:rPr>
        <w:t xml:space="preserve">by se </w:t>
      </w:r>
      <w:r w:rsidR="00FD18E0">
        <w:rPr>
          <w:szCs w:val="24"/>
        </w:rPr>
        <w:t xml:space="preserve">(i) </w:t>
      </w:r>
      <w:r w:rsidRPr="00E53471">
        <w:rPr>
          <w:szCs w:val="24"/>
        </w:rPr>
        <w:t xml:space="preserve">neměl zásadním způsobem dotknout běžných </w:t>
      </w:r>
      <w:r w:rsidR="007E725A">
        <w:rPr>
          <w:szCs w:val="24"/>
        </w:rPr>
        <w:t xml:space="preserve">hotovostních </w:t>
      </w:r>
      <w:r w:rsidRPr="00E53471">
        <w:rPr>
          <w:szCs w:val="24"/>
        </w:rPr>
        <w:t>plateb v Č</w:t>
      </w:r>
      <w:r w:rsidR="008D33C1">
        <w:rPr>
          <w:szCs w:val="24"/>
        </w:rPr>
        <w:t>eské republi</w:t>
      </w:r>
      <w:r w:rsidR="007E725A">
        <w:rPr>
          <w:szCs w:val="24"/>
        </w:rPr>
        <w:t>ce</w:t>
      </w:r>
      <w:r w:rsidR="00FD18E0">
        <w:rPr>
          <w:szCs w:val="24"/>
        </w:rPr>
        <w:t xml:space="preserve"> a (</w:t>
      </w:r>
      <w:proofErr w:type="spellStart"/>
      <w:r w:rsidR="00FD18E0">
        <w:rPr>
          <w:szCs w:val="24"/>
        </w:rPr>
        <w:t>ii</w:t>
      </w:r>
      <w:proofErr w:type="spellEnd"/>
      <w:r w:rsidR="00FD18E0">
        <w:rPr>
          <w:szCs w:val="24"/>
        </w:rPr>
        <w:t xml:space="preserve">) </w:t>
      </w:r>
      <w:r w:rsidR="002E3773">
        <w:rPr>
          <w:szCs w:val="24"/>
        </w:rPr>
        <w:t>lze jej označit za</w:t>
      </w:r>
      <w:r w:rsidR="00FD18E0">
        <w:rPr>
          <w:szCs w:val="24"/>
        </w:rPr>
        <w:t xml:space="preserve"> legitimní nástroje v boji proti financování terorismu, daňovým únikům nebo při snižování rizika korupce.</w:t>
      </w:r>
      <w:r w:rsidRPr="00E53471">
        <w:rPr>
          <w:szCs w:val="24"/>
        </w:rPr>
        <w:t xml:space="preserve"> </w:t>
      </w:r>
    </w:p>
    <w:p w:rsidR="002B4B01" w:rsidRDefault="002B4B01" w:rsidP="00A2709E">
      <w:pPr>
        <w:ind w:firstLine="708"/>
        <w:jc w:val="both"/>
        <w:rPr>
          <w:szCs w:val="24"/>
        </w:rPr>
      </w:pPr>
    </w:p>
    <w:p w:rsidR="005E5946" w:rsidRPr="00427439" w:rsidRDefault="002B170F" w:rsidP="00A2709E">
      <w:pPr>
        <w:ind w:firstLine="708"/>
        <w:jc w:val="both"/>
        <w:rPr>
          <w:szCs w:val="24"/>
        </w:rPr>
      </w:pPr>
      <w:r w:rsidRPr="00E53471">
        <w:rPr>
          <w:szCs w:val="24"/>
        </w:rPr>
        <w:t xml:space="preserve"> </w:t>
      </w:r>
      <w:r w:rsidRPr="00427439">
        <w:rPr>
          <w:szCs w:val="24"/>
        </w:rPr>
        <w:t xml:space="preserve">V případě přijetí tohoto návrhu ústavního zákona </w:t>
      </w:r>
      <w:r w:rsidR="00FD18E0" w:rsidRPr="00427439">
        <w:rPr>
          <w:szCs w:val="24"/>
        </w:rPr>
        <w:t>by</w:t>
      </w:r>
      <w:r w:rsidRPr="00427439">
        <w:rPr>
          <w:szCs w:val="24"/>
        </w:rPr>
        <w:t xml:space="preserve"> </w:t>
      </w:r>
      <w:r w:rsidR="002E3773">
        <w:rPr>
          <w:szCs w:val="24"/>
        </w:rPr>
        <w:t xml:space="preserve">nicméně další </w:t>
      </w:r>
      <w:r w:rsidR="005E5946" w:rsidRPr="00427439">
        <w:rPr>
          <w:szCs w:val="24"/>
        </w:rPr>
        <w:t xml:space="preserve">snižování </w:t>
      </w:r>
      <w:r w:rsidR="00B1588B" w:rsidRPr="00427439">
        <w:rPr>
          <w:szCs w:val="24"/>
        </w:rPr>
        <w:t xml:space="preserve">výše </w:t>
      </w:r>
      <w:r w:rsidR="005E5946" w:rsidRPr="00427439">
        <w:rPr>
          <w:szCs w:val="24"/>
        </w:rPr>
        <w:t xml:space="preserve">limitu pro povinné bezhotovostní provádění plateb </w:t>
      </w:r>
      <w:r w:rsidR="00B1588B" w:rsidRPr="00427439">
        <w:rPr>
          <w:szCs w:val="24"/>
        </w:rPr>
        <w:t xml:space="preserve">muselo </w:t>
      </w:r>
      <w:r w:rsidRPr="00427439">
        <w:rPr>
          <w:szCs w:val="24"/>
        </w:rPr>
        <w:t xml:space="preserve">být posuzováno z pohledu souladu </w:t>
      </w:r>
      <w:r w:rsidR="005E5946" w:rsidRPr="00427439">
        <w:rPr>
          <w:szCs w:val="24"/>
        </w:rPr>
        <w:t>s</w:t>
      </w:r>
      <w:r w:rsidRPr="00427439">
        <w:rPr>
          <w:szCs w:val="24"/>
        </w:rPr>
        <w:t xml:space="preserve"> ústavně zakotveným právem na platbu v hotovosti s tím, že </w:t>
      </w:r>
      <w:r w:rsidR="006803A8" w:rsidRPr="00427439">
        <w:rPr>
          <w:szCs w:val="24"/>
        </w:rPr>
        <w:t xml:space="preserve">o něm bude možné uvažovat pouze v </w:t>
      </w:r>
      <w:r w:rsidRPr="00427439">
        <w:rPr>
          <w:szCs w:val="24"/>
        </w:rPr>
        <w:t xml:space="preserve">případě, </w:t>
      </w:r>
      <w:r w:rsidR="006803A8" w:rsidRPr="00427439">
        <w:rPr>
          <w:szCs w:val="24"/>
        </w:rPr>
        <w:t>kdy</w:t>
      </w:r>
      <w:r w:rsidRPr="00427439">
        <w:rPr>
          <w:szCs w:val="24"/>
        </w:rPr>
        <w:t xml:space="preserve"> se bude bez jakýchkoliv pochyb je</w:t>
      </w:r>
      <w:r w:rsidR="006803A8" w:rsidRPr="00427439">
        <w:rPr>
          <w:szCs w:val="24"/>
        </w:rPr>
        <w:t>dnat o</w:t>
      </w:r>
      <w:r w:rsidR="005E5946" w:rsidRPr="00427439">
        <w:rPr>
          <w:szCs w:val="24"/>
        </w:rPr>
        <w:t xml:space="preserve"> opatření v demokratické společnosti nezbytn</w:t>
      </w:r>
      <w:r w:rsidR="007B427A" w:rsidRPr="00427439">
        <w:rPr>
          <w:szCs w:val="24"/>
        </w:rPr>
        <w:t>á</w:t>
      </w:r>
      <w:r w:rsidR="005E5946" w:rsidRPr="00427439">
        <w:rPr>
          <w:szCs w:val="24"/>
        </w:rPr>
        <w:t xml:space="preserve"> pro ochranu </w:t>
      </w:r>
      <w:r w:rsidR="007B427A" w:rsidRPr="00427439">
        <w:rPr>
          <w:szCs w:val="24"/>
        </w:rPr>
        <w:t>bezpečnosti státu, veřejného pořádku nebo práv a svobod druhých</w:t>
      </w:r>
      <w:r w:rsidR="005E5946" w:rsidRPr="00427439">
        <w:rPr>
          <w:szCs w:val="24"/>
        </w:rPr>
        <w:t>.</w:t>
      </w:r>
    </w:p>
    <w:p w:rsidR="006803A8" w:rsidRPr="00427439" w:rsidRDefault="006803A8" w:rsidP="00A2709E">
      <w:pPr>
        <w:ind w:firstLine="708"/>
        <w:jc w:val="both"/>
        <w:rPr>
          <w:szCs w:val="24"/>
        </w:rPr>
      </w:pPr>
    </w:p>
    <w:p w:rsidR="006803A8" w:rsidRDefault="00A87934" w:rsidP="00A2709E">
      <w:pPr>
        <w:ind w:firstLine="708"/>
        <w:jc w:val="both"/>
        <w:rPr>
          <w:szCs w:val="24"/>
        </w:rPr>
      </w:pPr>
      <w:r>
        <w:rPr>
          <w:szCs w:val="24"/>
        </w:rPr>
        <w:t>Eventuální</w:t>
      </w:r>
      <w:r w:rsidR="002E3773">
        <w:rPr>
          <w:szCs w:val="24"/>
        </w:rPr>
        <w:t xml:space="preserve"> s</w:t>
      </w:r>
      <w:r w:rsidR="006803A8" w:rsidRPr="00427439">
        <w:rPr>
          <w:szCs w:val="24"/>
        </w:rPr>
        <w:t xml:space="preserve">nižování limitu </w:t>
      </w:r>
      <w:r w:rsidR="00B1588B" w:rsidRPr="00427439">
        <w:rPr>
          <w:szCs w:val="24"/>
        </w:rPr>
        <w:t xml:space="preserve">pro </w:t>
      </w:r>
      <w:r w:rsidR="00427439" w:rsidRPr="00427439">
        <w:rPr>
          <w:szCs w:val="24"/>
        </w:rPr>
        <w:t>povinné bezhotovostní provádění p</w:t>
      </w:r>
      <w:r w:rsidR="007E725A">
        <w:rPr>
          <w:szCs w:val="24"/>
        </w:rPr>
        <w:t>l</w:t>
      </w:r>
      <w:r w:rsidR="00427439" w:rsidRPr="00427439">
        <w:rPr>
          <w:szCs w:val="24"/>
        </w:rPr>
        <w:t xml:space="preserve">ateb </w:t>
      </w:r>
      <w:r w:rsidR="006803A8" w:rsidRPr="00427439">
        <w:rPr>
          <w:szCs w:val="24"/>
        </w:rPr>
        <w:t xml:space="preserve">přitom nelze bez dalšího odůvodňovat </w:t>
      </w:r>
      <w:r w:rsidR="00F11DF7" w:rsidRPr="00427439">
        <w:rPr>
          <w:szCs w:val="24"/>
        </w:rPr>
        <w:t xml:space="preserve">obecným odkazem na </w:t>
      </w:r>
      <w:r w:rsidR="006803A8" w:rsidRPr="00427439">
        <w:rPr>
          <w:szCs w:val="24"/>
        </w:rPr>
        <w:t xml:space="preserve">boj proti financování terorismu </w:t>
      </w:r>
      <w:r w:rsidR="00F11DF7" w:rsidRPr="00427439">
        <w:rPr>
          <w:szCs w:val="24"/>
        </w:rPr>
        <w:t>či</w:t>
      </w:r>
      <w:r w:rsidR="006803A8" w:rsidRPr="00427439">
        <w:rPr>
          <w:szCs w:val="24"/>
        </w:rPr>
        <w:t xml:space="preserve"> proti daňovým únikům</w:t>
      </w:r>
      <w:r w:rsidR="00427439" w:rsidRPr="00427439">
        <w:rPr>
          <w:szCs w:val="24"/>
        </w:rPr>
        <w:t>, ale je nutné, aby přijímané opatření bylo přiměřené</w:t>
      </w:r>
      <w:r w:rsidR="002B4B01">
        <w:rPr>
          <w:szCs w:val="24"/>
        </w:rPr>
        <w:t xml:space="preserve"> a</w:t>
      </w:r>
      <w:r w:rsidR="002B4B01" w:rsidRPr="002B4B01">
        <w:rPr>
          <w:szCs w:val="24"/>
        </w:rPr>
        <w:t xml:space="preserve"> </w:t>
      </w:r>
      <w:r w:rsidR="002B4B01" w:rsidRPr="00E53471">
        <w:rPr>
          <w:szCs w:val="24"/>
        </w:rPr>
        <w:t>v demokratické společnosti nezbytn</w:t>
      </w:r>
      <w:r w:rsidR="002B4B01">
        <w:rPr>
          <w:szCs w:val="24"/>
        </w:rPr>
        <w:t>é</w:t>
      </w:r>
      <w:r w:rsidR="002B4B01" w:rsidRPr="00E53471">
        <w:rPr>
          <w:szCs w:val="24"/>
        </w:rPr>
        <w:t xml:space="preserve"> pro </w:t>
      </w:r>
      <w:r w:rsidR="002B4B01">
        <w:rPr>
          <w:szCs w:val="24"/>
        </w:rPr>
        <w:t>ochranu b</w:t>
      </w:r>
      <w:r w:rsidR="002B4B01" w:rsidRPr="00E53471">
        <w:rPr>
          <w:szCs w:val="24"/>
        </w:rPr>
        <w:t>ezpečnost</w:t>
      </w:r>
      <w:r w:rsidR="002B4B01">
        <w:rPr>
          <w:szCs w:val="24"/>
        </w:rPr>
        <w:t>i</w:t>
      </w:r>
      <w:r w:rsidR="002B4B01" w:rsidRPr="00E53471">
        <w:rPr>
          <w:szCs w:val="24"/>
        </w:rPr>
        <w:t xml:space="preserve"> státu, veřejn</w:t>
      </w:r>
      <w:r w:rsidR="002B4B01">
        <w:rPr>
          <w:szCs w:val="24"/>
        </w:rPr>
        <w:t xml:space="preserve">ého pořádku nebo </w:t>
      </w:r>
      <w:r w:rsidR="002B4B01" w:rsidRPr="00E53471">
        <w:rPr>
          <w:szCs w:val="24"/>
        </w:rPr>
        <w:t>práv a svobod druhých</w:t>
      </w:r>
      <w:r w:rsidR="006803A8" w:rsidRPr="00427439">
        <w:rPr>
          <w:szCs w:val="24"/>
        </w:rPr>
        <w:t xml:space="preserve">. </w:t>
      </w:r>
      <w:r w:rsidR="00427439" w:rsidRPr="00427439">
        <w:rPr>
          <w:szCs w:val="24"/>
        </w:rPr>
        <w:t xml:space="preserve">V této souvislosti lze poukázat na to, že </w:t>
      </w:r>
      <w:r w:rsidR="00F11DF7" w:rsidRPr="00427439">
        <w:rPr>
          <w:szCs w:val="24"/>
        </w:rPr>
        <w:t xml:space="preserve">přínosy omezování plateb v hotovosti se z pohledu boje proti financování terorismu či proti daňovým únikům jeví jako </w:t>
      </w:r>
      <w:r w:rsidR="00427439" w:rsidRPr="00427439">
        <w:rPr>
          <w:szCs w:val="24"/>
        </w:rPr>
        <w:t xml:space="preserve">nepříliš </w:t>
      </w:r>
      <w:r w:rsidR="00F11DF7" w:rsidRPr="00427439">
        <w:rPr>
          <w:szCs w:val="24"/>
        </w:rPr>
        <w:t xml:space="preserve">efektivní. </w:t>
      </w:r>
      <w:r w:rsidR="00427439" w:rsidRPr="00427439">
        <w:rPr>
          <w:szCs w:val="24"/>
        </w:rPr>
        <w:t xml:space="preserve">To vplývá mimo jiné i z </w:t>
      </w:r>
      <w:r w:rsidR="00F11DF7" w:rsidRPr="00427439">
        <w:rPr>
          <w:szCs w:val="24"/>
        </w:rPr>
        <w:t>nedávn</w:t>
      </w:r>
      <w:r w:rsidR="00427439" w:rsidRPr="00427439">
        <w:rPr>
          <w:szCs w:val="24"/>
        </w:rPr>
        <w:t>é</w:t>
      </w:r>
      <w:r w:rsidR="00F11DF7" w:rsidRPr="00427439">
        <w:rPr>
          <w:szCs w:val="24"/>
        </w:rPr>
        <w:t xml:space="preserve"> Zpráv</w:t>
      </w:r>
      <w:r w:rsidR="00427439" w:rsidRPr="00427439">
        <w:rPr>
          <w:szCs w:val="24"/>
        </w:rPr>
        <w:t>y</w:t>
      </w:r>
      <w:r w:rsidR="00F11DF7" w:rsidRPr="00427439">
        <w:rPr>
          <w:szCs w:val="24"/>
        </w:rPr>
        <w:t xml:space="preserve"> Komise Evropskému parlamentu a Radě o omezení plateb v hotovosti ze dne 12. 6. 2018, podle níž má </w:t>
      </w:r>
      <w:r w:rsidR="006803A8" w:rsidRPr="00427439">
        <w:rPr>
          <w:szCs w:val="24"/>
        </w:rPr>
        <w:t>omezení plateb v hotovosti na tomto poli prakticky nulový či přinejmenším velmi omezený a diskutabilní přínos</w:t>
      </w:r>
      <w:r w:rsidR="00F11DF7" w:rsidRPr="00427439">
        <w:rPr>
          <w:szCs w:val="24"/>
        </w:rPr>
        <w:t>.</w:t>
      </w:r>
      <w:r w:rsidR="00F11DF7" w:rsidRPr="00427439">
        <w:rPr>
          <w:rStyle w:val="Znakapoznpodarou"/>
          <w:szCs w:val="24"/>
        </w:rPr>
        <w:footnoteReference w:id="2"/>
      </w:r>
      <w:r w:rsidR="006803A8" w:rsidRPr="00427439">
        <w:rPr>
          <w:szCs w:val="24"/>
        </w:rPr>
        <w:t xml:space="preserve"> </w:t>
      </w:r>
    </w:p>
    <w:p w:rsidR="00063011" w:rsidRDefault="00063011" w:rsidP="00A2709E">
      <w:pPr>
        <w:ind w:firstLine="708"/>
        <w:jc w:val="both"/>
        <w:rPr>
          <w:szCs w:val="24"/>
        </w:rPr>
      </w:pPr>
    </w:p>
    <w:p w:rsidR="00C56A92" w:rsidRDefault="00C56A92" w:rsidP="00C56A92">
      <w:pPr>
        <w:ind w:firstLine="708"/>
        <w:jc w:val="both"/>
        <w:rPr>
          <w:szCs w:val="24"/>
        </w:rPr>
      </w:pPr>
      <w:r w:rsidRPr="00E53471">
        <w:rPr>
          <w:szCs w:val="24"/>
        </w:rPr>
        <w:t>Forma ústavního zákona je navrhována s ohledem na zcela zásadní význam práva platit své dluhy v hotovosti na soukromí a osobní autonomii jednotlivců.</w:t>
      </w:r>
    </w:p>
    <w:p w:rsidR="00063011" w:rsidRDefault="00063011" w:rsidP="00C56A92">
      <w:pPr>
        <w:ind w:firstLine="708"/>
        <w:jc w:val="both"/>
        <w:rPr>
          <w:szCs w:val="24"/>
        </w:rPr>
      </w:pPr>
    </w:p>
    <w:p w:rsidR="00063011" w:rsidRPr="00E53471" w:rsidRDefault="00D10976" w:rsidP="00C56A92">
      <w:pPr>
        <w:ind w:firstLine="708"/>
        <w:jc w:val="both"/>
        <w:rPr>
          <w:szCs w:val="24"/>
        </w:rPr>
      </w:pPr>
      <w:r>
        <w:rPr>
          <w:szCs w:val="24"/>
        </w:rPr>
        <w:t xml:space="preserve">Dohled nad dodržováním povinnosti přijímat hotovostní platby odpovídající nově navrhovanému </w:t>
      </w:r>
      <w:r w:rsidRPr="00E53471">
        <w:rPr>
          <w:szCs w:val="24"/>
        </w:rPr>
        <w:t>práv</w:t>
      </w:r>
      <w:r>
        <w:rPr>
          <w:szCs w:val="24"/>
        </w:rPr>
        <w:t>u</w:t>
      </w:r>
      <w:r w:rsidRPr="00E53471">
        <w:rPr>
          <w:szCs w:val="24"/>
        </w:rPr>
        <w:t xml:space="preserve"> využívat hotovost k placení svých dluhů</w:t>
      </w:r>
      <w:r>
        <w:rPr>
          <w:szCs w:val="24"/>
        </w:rPr>
        <w:t xml:space="preserve"> bude svěřen České národní bance. Za tímto účelem </w:t>
      </w:r>
      <w:r w:rsidR="00C71592">
        <w:rPr>
          <w:szCs w:val="24"/>
        </w:rPr>
        <w:t>je navrhováno</w:t>
      </w:r>
      <w:r>
        <w:rPr>
          <w:szCs w:val="24"/>
        </w:rPr>
        <w:t xml:space="preserve"> rozšíření ústavně vymezeného hlavního cíle činnosti České národní banky</w:t>
      </w:r>
      <w:r w:rsidR="00C71592">
        <w:rPr>
          <w:szCs w:val="24"/>
        </w:rPr>
        <w:t xml:space="preserve"> tak, aby cílem činnosti České národní banky byla kromě péče o cenovou stabilitu i ochrana </w:t>
      </w:r>
      <w:r w:rsidR="00C71592" w:rsidRPr="00C71592">
        <w:rPr>
          <w:szCs w:val="24"/>
        </w:rPr>
        <w:t>rovnocenného postavení hotovostních a bezhotovostních forem transakcí</w:t>
      </w:r>
      <w:r>
        <w:rPr>
          <w:szCs w:val="24"/>
        </w:rPr>
        <w:t>.</w:t>
      </w:r>
    </w:p>
    <w:p w:rsidR="00E53471" w:rsidRPr="00E53471" w:rsidRDefault="00E53471" w:rsidP="00C56A92">
      <w:pPr>
        <w:ind w:firstLine="708"/>
        <w:jc w:val="both"/>
        <w:rPr>
          <w:szCs w:val="24"/>
        </w:rPr>
      </w:pPr>
    </w:p>
    <w:p w:rsidR="00E271BF" w:rsidRPr="00E53471" w:rsidRDefault="00E271BF" w:rsidP="00A2709E">
      <w:pPr>
        <w:ind w:firstLine="708"/>
        <w:jc w:val="both"/>
        <w:rPr>
          <w:szCs w:val="24"/>
        </w:rPr>
      </w:pPr>
    </w:p>
    <w:p w:rsidR="00C56A92" w:rsidRPr="00E53471" w:rsidRDefault="00C56A92" w:rsidP="00C56A92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hanging="720"/>
        <w:jc w:val="both"/>
        <w:rPr>
          <w:b/>
          <w:szCs w:val="24"/>
        </w:rPr>
      </w:pPr>
      <w:r w:rsidRPr="00E53471">
        <w:rPr>
          <w:b/>
          <w:szCs w:val="24"/>
        </w:rPr>
        <w:t xml:space="preserve">Zhodnocení souladu navrhované právní úpravy s ústavním pořádkem České republiky, s mezinárodními smlouvami podle čl. 10 Ústavy České republiky a s právem Evropské unie </w:t>
      </w:r>
    </w:p>
    <w:p w:rsidR="00E86B57" w:rsidRPr="00E53471" w:rsidRDefault="00E86B57" w:rsidP="00E86B57">
      <w:pPr>
        <w:widowControl w:val="0"/>
        <w:tabs>
          <w:tab w:val="left" w:pos="0"/>
        </w:tabs>
        <w:spacing w:line="276" w:lineRule="auto"/>
        <w:jc w:val="both"/>
        <w:rPr>
          <w:szCs w:val="24"/>
        </w:rPr>
      </w:pPr>
    </w:p>
    <w:p w:rsidR="00E86B57" w:rsidRPr="00E53471" w:rsidRDefault="00E86B57" w:rsidP="00E86B57">
      <w:pPr>
        <w:ind w:firstLine="708"/>
        <w:jc w:val="both"/>
        <w:rPr>
          <w:szCs w:val="24"/>
        </w:rPr>
      </w:pPr>
      <w:r w:rsidRPr="00E53471">
        <w:rPr>
          <w:szCs w:val="24"/>
        </w:rPr>
        <w:t>Navrhovaná právní úprava je v souladu s ústavním pořádkem České republiky</w:t>
      </w:r>
      <w:r w:rsidR="00C56A92" w:rsidRPr="00E53471">
        <w:rPr>
          <w:szCs w:val="24"/>
        </w:rPr>
        <w:t xml:space="preserve"> a mezinárodními smlouvami, jimiž je Česká republika vázána.</w:t>
      </w:r>
    </w:p>
    <w:p w:rsidR="00E86B57" w:rsidRPr="00E53471" w:rsidRDefault="00E86B57" w:rsidP="00E86B57">
      <w:pPr>
        <w:ind w:firstLine="708"/>
        <w:jc w:val="both"/>
        <w:rPr>
          <w:szCs w:val="24"/>
        </w:rPr>
      </w:pPr>
    </w:p>
    <w:p w:rsidR="00E86B57" w:rsidRPr="00E53471" w:rsidRDefault="00404AB6" w:rsidP="00E86B57">
      <w:pPr>
        <w:ind w:firstLine="708"/>
        <w:jc w:val="both"/>
        <w:rPr>
          <w:szCs w:val="24"/>
        </w:rPr>
      </w:pPr>
      <w:r w:rsidRPr="00E53471">
        <w:rPr>
          <w:szCs w:val="24"/>
        </w:rPr>
        <w:t xml:space="preserve">Přestože vybrané platby a přesuny vysokých částek podléhají podle práva zvýšené kontrole, ať již v rámci </w:t>
      </w:r>
      <w:r w:rsidR="00395016" w:rsidRPr="00E53471">
        <w:rPr>
          <w:szCs w:val="24"/>
        </w:rPr>
        <w:t>kontrol hotovost</w:t>
      </w:r>
      <w:r w:rsidR="00F641BC" w:rsidRPr="00E53471">
        <w:rPr>
          <w:szCs w:val="24"/>
        </w:rPr>
        <w:t>i</w:t>
      </w:r>
      <w:r w:rsidR="00395016" w:rsidRPr="00E53471">
        <w:rPr>
          <w:szCs w:val="24"/>
        </w:rPr>
        <w:t xml:space="preserve"> vstupující do Evropské unie nebo ji opouštějící</w:t>
      </w:r>
      <w:r w:rsidRPr="00E53471">
        <w:rPr>
          <w:rStyle w:val="Znakapoznpodarou"/>
          <w:szCs w:val="24"/>
        </w:rPr>
        <w:footnoteReference w:id="3"/>
      </w:r>
      <w:r w:rsidRPr="00E53471">
        <w:rPr>
          <w:szCs w:val="24"/>
        </w:rPr>
        <w:t xml:space="preserve"> </w:t>
      </w:r>
      <w:r w:rsidRPr="00E53471">
        <w:rPr>
          <w:szCs w:val="24"/>
        </w:rPr>
        <w:lastRenderedPageBreak/>
        <w:t>nebo v rámci opatření proti praní špinavých peněz</w:t>
      </w:r>
      <w:r w:rsidR="007827C4">
        <w:rPr>
          <w:szCs w:val="24"/>
        </w:rPr>
        <w:t>,</w:t>
      </w:r>
      <w:r w:rsidR="00395016" w:rsidRPr="00E53471">
        <w:rPr>
          <w:rStyle w:val="Znakapoznpodarou"/>
          <w:szCs w:val="24"/>
        </w:rPr>
        <w:footnoteReference w:id="4"/>
      </w:r>
      <w:r w:rsidRPr="00E53471">
        <w:rPr>
          <w:szCs w:val="24"/>
        </w:rPr>
        <w:t xml:space="preserve"> </w:t>
      </w:r>
      <w:r w:rsidR="00C15E5E" w:rsidRPr="00E53471">
        <w:rPr>
          <w:szCs w:val="24"/>
        </w:rPr>
        <w:t>není v právu Evropské unie zakotveno žádné omezení provádění plateb v hotovosti.</w:t>
      </w:r>
      <w:r w:rsidR="00C56A92" w:rsidRPr="00E53471">
        <w:rPr>
          <w:rStyle w:val="Znakapoznpodarou"/>
          <w:szCs w:val="24"/>
        </w:rPr>
        <w:footnoteReference w:id="5"/>
      </w:r>
      <w:r w:rsidR="00C15E5E" w:rsidRPr="00E53471">
        <w:rPr>
          <w:szCs w:val="24"/>
        </w:rPr>
        <w:t xml:space="preserve"> Navrhovaná úprava je proto </w:t>
      </w:r>
      <w:r w:rsidR="00C56A92" w:rsidRPr="00E53471">
        <w:rPr>
          <w:szCs w:val="24"/>
        </w:rPr>
        <w:t xml:space="preserve">plně </w:t>
      </w:r>
      <w:r w:rsidR="00C15E5E" w:rsidRPr="00E53471">
        <w:rPr>
          <w:szCs w:val="24"/>
        </w:rPr>
        <w:t>slučitelná s akty práva Evropské unie</w:t>
      </w:r>
      <w:r w:rsidRPr="00E53471">
        <w:rPr>
          <w:szCs w:val="24"/>
        </w:rPr>
        <w:t xml:space="preserve">. </w:t>
      </w:r>
    </w:p>
    <w:p w:rsidR="00C56A92" w:rsidRPr="00E53471" w:rsidRDefault="00C56A92" w:rsidP="00E86B57">
      <w:pPr>
        <w:ind w:firstLine="708"/>
        <w:jc w:val="both"/>
        <w:rPr>
          <w:szCs w:val="24"/>
        </w:rPr>
      </w:pPr>
    </w:p>
    <w:p w:rsidR="00C56A92" w:rsidRPr="00E53471" w:rsidRDefault="00C56A92" w:rsidP="00C56A92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hanging="720"/>
        <w:jc w:val="both"/>
        <w:rPr>
          <w:color w:val="000000"/>
          <w:szCs w:val="24"/>
        </w:rPr>
      </w:pPr>
      <w:r w:rsidRPr="00E53471">
        <w:rPr>
          <w:b/>
          <w:szCs w:val="24"/>
        </w:rPr>
        <w:t>Předpokládaný</w:t>
      </w:r>
      <w:r w:rsidRPr="00E53471">
        <w:rPr>
          <w:b/>
          <w:bCs/>
          <w:color w:val="000000"/>
          <w:szCs w:val="24"/>
        </w:rPr>
        <w:t xml:space="preserve"> hospodářský a finanční dosah navrhované právní úpravy na státní rozpočet a na rozpočty krajů a obcí </w:t>
      </w:r>
    </w:p>
    <w:p w:rsidR="00E86B57" w:rsidRPr="00E53471" w:rsidRDefault="00E86B57" w:rsidP="00E86B57">
      <w:pPr>
        <w:spacing w:line="276" w:lineRule="auto"/>
        <w:jc w:val="both"/>
        <w:rPr>
          <w:szCs w:val="24"/>
        </w:rPr>
      </w:pPr>
    </w:p>
    <w:p w:rsidR="00E86B57" w:rsidRDefault="00E86B57" w:rsidP="00E53471">
      <w:pPr>
        <w:ind w:firstLine="709"/>
        <w:jc w:val="both"/>
        <w:rPr>
          <w:szCs w:val="24"/>
        </w:rPr>
      </w:pPr>
      <w:r w:rsidRPr="00E53471">
        <w:rPr>
          <w:szCs w:val="24"/>
        </w:rPr>
        <w:t xml:space="preserve">Předpokládá se, že navrhovaná právní úprava nebude mít žádný dopad na státní rozpočet </w:t>
      </w:r>
      <w:r w:rsidR="00E53471" w:rsidRPr="00E53471">
        <w:rPr>
          <w:szCs w:val="24"/>
        </w:rPr>
        <w:t>či na rozpočty krajů a obcí</w:t>
      </w:r>
      <w:r w:rsidRPr="00E53471">
        <w:rPr>
          <w:szCs w:val="24"/>
        </w:rPr>
        <w:t>.</w:t>
      </w:r>
    </w:p>
    <w:p w:rsidR="00E53471" w:rsidRPr="00E53471" w:rsidRDefault="00E53471" w:rsidP="00E53471">
      <w:pPr>
        <w:ind w:firstLine="709"/>
        <w:jc w:val="both"/>
        <w:rPr>
          <w:szCs w:val="24"/>
        </w:rPr>
      </w:pPr>
    </w:p>
    <w:p w:rsidR="00E53471" w:rsidRPr="00E53471" w:rsidRDefault="00E53471" w:rsidP="00E5347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360" w:after="240" w:line="259" w:lineRule="auto"/>
        <w:ind w:left="425" w:hanging="425"/>
        <w:contextualSpacing w:val="0"/>
        <w:jc w:val="left"/>
        <w:rPr>
          <w:b/>
          <w:szCs w:val="24"/>
        </w:rPr>
      </w:pPr>
      <w:r w:rsidRPr="00E53471">
        <w:rPr>
          <w:b/>
          <w:szCs w:val="24"/>
        </w:rPr>
        <w:t>Zvláštní část</w:t>
      </w:r>
    </w:p>
    <w:p w:rsidR="00E53471" w:rsidRPr="00E53471" w:rsidRDefault="00E53471" w:rsidP="00E53471">
      <w:pPr>
        <w:pStyle w:val="Zkladntext"/>
        <w:rPr>
          <w:b/>
          <w:szCs w:val="24"/>
        </w:rPr>
      </w:pPr>
      <w:r w:rsidRPr="00E53471">
        <w:rPr>
          <w:b/>
          <w:szCs w:val="24"/>
        </w:rPr>
        <w:t>Čl. I</w:t>
      </w:r>
    </w:p>
    <w:p w:rsidR="00E53471" w:rsidRPr="00E53471" w:rsidRDefault="00E53471" w:rsidP="00E53471">
      <w:pPr>
        <w:ind w:firstLine="708"/>
        <w:jc w:val="both"/>
        <w:rPr>
          <w:szCs w:val="24"/>
        </w:rPr>
      </w:pPr>
      <w:r w:rsidRPr="00E53471">
        <w:rPr>
          <w:szCs w:val="24"/>
        </w:rPr>
        <w:t xml:space="preserve">S ohledem na význam </w:t>
      </w:r>
      <w:r>
        <w:rPr>
          <w:szCs w:val="24"/>
        </w:rPr>
        <w:t xml:space="preserve">zcela zásadní význam práva jednotlivce hradit své dluhy v hotovosti se navrhuje zakotvit jej jako základní </w:t>
      </w:r>
      <w:r w:rsidR="007827C4">
        <w:rPr>
          <w:szCs w:val="24"/>
        </w:rPr>
        <w:t xml:space="preserve">hospodářské </w:t>
      </w:r>
      <w:r>
        <w:rPr>
          <w:szCs w:val="24"/>
        </w:rPr>
        <w:t>právo v</w:t>
      </w:r>
      <w:r w:rsidR="003F46E1">
        <w:rPr>
          <w:szCs w:val="24"/>
        </w:rPr>
        <w:t xml:space="preserve"> novém </w:t>
      </w:r>
      <w:r>
        <w:rPr>
          <w:szCs w:val="24"/>
        </w:rPr>
        <w:t xml:space="preserve">čl. </w:t>
      </w:r>
      <w:r w:rsidR="007827C4">
        <w:rPr>
          <w:szCs w:val="24"/>
        </w:rPr>
        <w:t>26</w:t>
      </w:r>
      <w:r w:rsidR="003F46E1">
        <w:rPr>
          <w:szCs w:val="24"/>
        </w:rPr>
        <w:t>a</w:t>
      </w:r>
      <w:r>
        <w:rPr>
          <w:szCs w:val="24"/>
        </w:rPr>
        <w:t xml:space="preserve"> Listiny základních práv a svobod s tím, že jeho omezení bude možné zákonem jen tehdy, půjde-li o</w:t>
      </w:r>
      <w:r w:rsidR="00A87934">
        <w:rPr>
          <w:szCs w:val="24"/>
        </w:rPr>
        <w:t> </w:t>
      </w:r>
      <w:r w:rsidRPr="00E53471">
        <w:rPr>
          <w:szCs w:val="24"/>
        </w:rPr>
        <w:t xml:space="preserve">opatření v demokratické společnosti nezbytná </w:t>
      </w:r>
      <w:r w:rsidR="007B427A" w:rsidRPr="00E53471">
        <w:rPr>
          <w:szCs w:val="24"/>
        </w:rPr>
        <w:t xml:space="preserve">pro </w:t>
      </w:r>
      <w:r w:rsidR="007B427A">
        <w:rPr>
          <w:szCs w:val="24"/>
        </w:rPr>
        <w:t>ochranu b</w:t>
      </w:r>
      <w:r w:rsidR="007B427A" w:rsidRPr="00E53471">
        <w:rPr>
          <w:szCs w:val="24"/>
        </w:rPr>
        <w:t>ezpečnost</w:t>
      </w:r>
      <w:r w:rsidR="007B427A">
        <w:rPr>
          <w:szCs w:val="24"/>
        </w:rPr>
        <w:t>i</w:t>
      </w:r>
      <w:r w:rsidR="007B427A" w:rsidRPr="00E53471">
        <w:rPr>
          <w:szCs w:val="24"/>
        </w:rPr>
        <w:t xml:space="preserve"> státu, veřejn</w:t>
      </w:r>
      <w:r w:rsidR="007B427A">
        <w:rPr>
          <w:szCs w:val="24"/>
        </w:rPr>
        <w:t xml:space="preserve">ého pořádku nebo </w:t>
      </w:r>
      <w:r w:rsidR="007B427A" w:rsidRPr="00E53471">
        <w:rPr>
          <w:szCs w:val="24"/>
        </w:rPr>
        <w:t>práv a svobod druhých</w:t>
      </w:r>
      <w:r w:rsidRPr="00E53471">
        <w:rPr>
          <w:szCs w:val="24"/>
        </w:rPr>
        <w:t>.</w:t>
      </w:r>
    </w:p>
    <w:p w:rsidR="00A87934" w:rsidRDefault="00A87934">
      <w:pPr>
        <w:spacing w:after="160" w:line="259" w:lineRule="auto"/>
        <w:rPr>
          <w:szCs w:val="24"/>
        </w:rPr>
      </w:pPr>
    </w:p>
    <w:p w:rsidR="00A87934" w:rsidRPr="00E53471" w:rsidRDefault="00A87934" w:rsidP="00A87934">
      <w:pPr>
        <w:pStyle w:val="Zkladntext"/>
        <w:rPr>
          <w:b/>
          <w:szCs w:val="24"/>
        </w:rPr>
      </w:pPr>
      <w:r w:rsidRPr="00E53471">
        <w:rPr>
          <w:b/>
          <w:szCs w:val="24"/>
        </w:rPr>
        <w:t>Čl. I</w:t>
      </w:r>
      <w:r>
        <w:rPr>
          <w:b/>
          <w:szCs w:val="24"/>
        </w:rPr>
        <w:t>I</w:t>
      </w:r>
    </w:p>
    <w:p w:rsidR="00AA0AE8" w:rsidRDefault="00A87934" w:rsidP="00A87934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 xml:space="preserve">Dohled nad dodržováním povinnosti přijímat hotovostní platby odpovídající nově navrhovanému </w:t>
      </w:r>
      <w:r w:rsidRPr="00E53471">
        <w:rPr>
          <w:szCs w:val="24"/>
        </w:rPr>
        <w:t>práv</w:t>
      </w:r>
      <w:r>
        <w:rPr>
          <w:szCs w:val="24"/>
        </w:rPr>
        <w:t>u</w:t>
      </w:r>
      <w:r w:rsidRPr="00E53471">
        <w:rPr>
          <w:szCs w:val="24"/>
        </w:rPr>
        <w:t xml:space="preserve"> využívat hotovost k placení svých dluhů</w:t>
      </w:r>
      <w:r>
        <w:rPr>
          <w:szCs w:val="24"/>
        </w:rPr>
        <w:t xml:space="preserve"> bude svěřen České národní bance. Za tímto účelem je navrhováno rozšíření ústavně vymezeného hlavního cíle činnosti České národní banky tak, aby cílem činnosti České národní banky byla kromě péče o cenovou stabilitu i ochrana </w:t>
      </w:r>
      <w:r w:rsidRPr="00C71592">
        <w:rPr>
          <w:szCs w:val="24"/>
        </w:rPr>
        <w:t>rovnocenného postavení hotovostních a bezhotovostních forem transakcí</w:t>
      </w:r>
      <w:r>
        <w:rPr>
          <w:szCs w:val="24"/>
        </w:rPr>
        <w:t>.</w:t>
      </w:r>
    </w:p>
    <w:p w:rsidR="003261AC" w:rsidRDefault="003261AC" w:rsidP="00A87934">
      <w:pPr>
        <w:spacing w:after="160" w:line="259" w:lineRule="auto"/>
        <w:ind w:firstLine="708"/>
        <w:jc w:val="both"/>
        <w:rPr>
          <w:szCs w:val="24"/>
        </w:rPr>
      </w:pPr>
    </w:p>
    <w:p w:rsidR="003261AC" w:rsidRPr="00E53471" w:rsidRDefault="003261AC" w:rsidP="003261AC">
      <w:pPr>
        <w:pStyle w:val="Zkladntext"/>
        <w:rPr>
          <w:b/>
          <w:szCs w:val="24"/>
        </w:rPr>
      </w:pPr>
      <w:r w:rsidRPr="00E53471">
        <w:rPr>
          <w:b/>
          <w:szCs w:val="24"/>
        </w:rPr>
        <w:t>Čl. I</w:t>
      </w:r>
      <w:r>
        <w:rPr>
          <w:b/>
          <w:szCs w:val="24"/>
        </w:rPr>
        <w:t>II</w:t>
      </w:r>
    </w:p>
    <w:p w:rsidR="003261AC" w:rsidRDefault="003261AC" w:rsidP="00A87934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>Stanoví se účinnost k 1. lednu 2021.</w:t>
      </w:r>
    </w:p>
    <w:p w:rsidR="00E703A5" w:rsidRDefault="00E703A5" w:rsidP="00E703A5">
      <w:pPr>
        <w:spacing w:after="160" w:line="259" w:lineRule="auto"/>
        <w:jc w:val="both"/>
        <w:rPr>
          <w:szCs w:val="24"/>
        </w:rPr>
      </w:pPr>
    </w:p>
    <w:p w:rsidR="00E703A5" w:rsidRPr="00E703A5" w:rsidRDefault="00E703A5" w:rsidP="00E703A5">
      <w:pPr>
        <w:pStyle w:val="Normlnweb"/>
        <w:rPr>
          <w:rFonts w:ascii="Times New Roman" w:hAnsi="Times New Roman" w:cs="Times New Roman"/>
          <w:sz w:val="24"/>
          <w:szCs w:val="24"/>
        </w:rPr>
      </w:pPr>
      <w:r w:rsidRPr="00E703A5">
        <w:rPr>
          <w:rFonts w:ascii="Times New Roman" w:hAnsi="Times New Roman" w:cs="Times New Roman"/>
          <w:sz w:val="24"/>
          <w:szCs w:val="24"/>
        </w:rPr>
        <w:t xml:space="preserve">V Praze dne </w:t>
      </w: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E703A5">
        <w:rPr>
          <w:rFonts w:ascii="Times New Roman" w:hAnsi="Times New Roman" w:cs="Times New Roman"/>
          <w:color w:val="000000"/>
          <w:sz w:val="24"/>
          <w:szCs w:val="24"/>
        </w:rPr>
        <w:t xml:space="preserve">5. května </w:t>
      </w:r>
      <w:r w:rsidRPr="00E703A5">
        <w:rPr>
          <w:rFonts w:ascii="Times New Roman" w:hAnsi="Times New Roman" w:cs="Times New Roman"/>
          <w:sz w:val="24"/>
          <w:szCs w:val="24"/>
        </w:rPr>
        <w:t>2020</w:t>
      </w:r>
    </w:p>
    <w:p w:rsidR="00E703A5" w:rsidRPr="00E703A5" w:rsidRDefault="00E703A5" w:rsidP="00E703A5">
      <w:pPr>
        <w:pStyle w:val="Zkladntext"/>
        <w:rPr>
          <w:szCs w:val="24"/>
        </w:rPr>
      </w:pPr>
    </w:p>
    <w:p w:rsidR="00E703A5" w:rsidRPr="00E703A5" w:rsidRDefault="00E703A5" w:rsidP="00E703A5">
      <w:pPr>
        <w:pStyle w:val="Zkladntext"/>
        <w:rPr>
          <w:b/>
          <w:szCs w:val="24"/>
        </w:rPr>
      </w:pPr>
      <w:r w:rsidRPr="00E703A5">
        <w:rPr>
          <w:b/>
          <w:szCs w:val="24"/>
        </w:rPr>
        <w:t>Předkladatelé:</w:t>
      </w:r>
    </w:p>
    <w:p w:rsidR="00E703A5" w:rsidRPr="00E703A5" w:rsidRDefault="00E703A5" w:rsidP="00E703A5">
      <w:pPr>
        <w:pStyle w:val="Zkladntext"/>
        <w:rPr>
          <w:szCs w:val="24"/>
        </w:rPr>
      </w:pPr>
      <w:r w:rsidRPr="00E703A5">
        <w:rPr>
          <w:szCs w:val="24"/>
        </w:rPr>
        <w:t xml:space="preserve">Mgr. Václav Klaus </w:t>
      </w:r>
      <w:proofErr w:type="gramStart"/>
      <w:r w:rsidRPr="00E703A5">
        <w:rPr>
          <w:szCs w:val="24"/>
        </w:rPr>
        <w:t>v.r.</w:t>
      </w:r>
      <w:proofErr w:type="gramEnd"/>
    </w:p>
    <w:p w:rsidR="00E703A5" w:rsidRPr="00E703A5" w:rsidRDefault="00E703A5" w:rsidP="00E703A5">
      <w:pPr>
        <w:pStyle w:val="Zkladntext"/>
        <w:rPr>
          <w:szCs w:val="24"/>
        </w:rPr>
      </w:pPr>
      <w:r w:rsidRPr="00E703A5">
        <w:rPr>
          <w:szCs w:val="24"/>
        </w:rPr>
        <w:t xml:space="preserve">Zuzana Majerová Zahradníková </w:t>
      </w:r>
      <w:proofErr w:type="gramStart"/>
      <w:r w:rsidRPr="00E703A5">
        <w:rPr>
          <w:szCs w:val="24"/>
        </w:rPr>
        <w:t>v.r.</w:t>
      </w:r>
      <w:proofErr w:type="gramEnd"/>
    </w:p>
    <w:p w:rsidR="00E703A5" w:rsidRPr="00E53471" w:rsidRDefault="00E703A5" w:rsidP="00E703A5">
      <w:pPr>
        <w:spacing w:after="160" w:line="259" w:lineRule="auto"/>
        <w:jc w:val="both"/>
        <w:rPr>
          <w:szCs w:val="24"/>
        </w:rPr>
      </w:pPr>
    </w:p>
    <w:sectPr w:rsidR="00E703A5" w:rsidRPr="00E53471" w:rsidSect="00F641BC">
      <w:footerReference w:type="defaul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125" w:rsidRDefault="00413125" w:rsidP="00E86B57">
      <w:r>
        <w:separator/>
      </w:r>
    </w:p>
  </w:endnote>
  <w:endnote w:type="continuationSeparator" w:id="0">
    <w:p w:rsidR="00413125" w:rsidRDefault="00413125" w:rsidP="00E8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998353"/>
      <w:docPartObj>
        <w:docPartGallery w:val="Page Numbers (Bottom of Page)"/>
        <w:docPartUnique/>
      </w:docPartObj>
    </w:sdtPr>
    <w:sdtEndPr/>
    <w:sdtContent>
      <w:p w:rsidR="00E86B57" w:rsidRDefault="00E86B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3A5">
          <w:rPr>
            <w:noProof/>
          </w:rPr>
          <w:t>5</w:t>
        </w:r>
        <w:r>
          <w:fldChar w:fldCharType="end"/>
        </w:r>
      </w:p>
    </w:sdtContent>
  </w:sdt>
  <w:p w:rsidR="00E86B57" w:rsidRDefault="00E86B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125" w:rsidRDefault="00413125" w:rsidP="00E86B57">
      <w:r>
        <w:separator/>
      </w:r>
    </w:p>
  </w:footnote>
  <w:footnote w:type="continuationSeparator" w:id="0">
    <w:p w:rsidR="00413125" w:rsidRDefault="00413125" w:rsidP="00E86B57">
      <w:r>
        <w:continuationSeparator/>
      </w:r>
    </w:p>
  </w:footnote>
  <w:footnote w:id="1">
    <w:p w:rsidR="00872927" w:rsidRPr="00532223" w:rsidRDefault="00872927" w:rsidP="00872927">
      <w:pPr>
        <w:pStyle w:val="Textpoznpodarou"/>
        <w:spacing w:after="60"/>
        <w:jc w:val="both"/>
        <w:rPr>
          <w:lang w:val="en-US"/>
        </w:rPr>
      </w:pPr>
      <w:r>
        <w:rPr>
          <w:rStyle w:val="Znakapoznpodarou"/>
        </w:rPr>
        <w:footnoteRef/>
      </w:r>
      <w:r>
        <w:t xml:space="preserve"> Ke stanovisku České národní banky viz </w:t>
      </w:r>
      <w:hyperlink r:id="rId1" w:history="1">
        <w:r w:rsidRPr="00692F61">
          <w:rPr>
            <w:rStyle w:val="Hypertextovodkaz"/>
          </w:rPr>
          <w:t>https://www.cnb.cz/export/sites/cnb/cs/casto-kladene-dotazy/.galleries/stanoviska_a_odpovedi/pdf/k_povinnosti_akceptace_hotovosti_obchodniky.pdf</w:t>
        </w:r>
      </w:hyperlink>
      <w:r>
        <w:rPr>
          <w:rStyle w:val="Hypertextovodkaz"/>
          <w:u w:val="none"/>
        </w:rPr>
        <w:t>.</w:t>
      </w:r>
    </w:p>
  </w:footnote>
  <w:footnote w:id="2">
    <w:p w:rsidR="00F11DF7" w:rsidRDefault="00F11DF7" w:rsidP="00C56A92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Předmětná studie je dostupná na </w:t>
      </w:r>
      <w:hyperlink r:id="rId2" w:history="1">
        <w:r w:rsidRPr="0070240B">
          <w:rPr>
            <w:rStyle w:val="Hypertextovodkaz"/>
          </w:rPr>
          <w:t>https://eur-lex.europa.eu/LexUriServ/LexUriServ.do?uri=COM:2018:0483:FIN:CS:PDF</w:t>
        </w:r>
      </w:hyperlink>
      <w:r>
        <w:t>.</w:t>
      </w:r>
    </w:p>
  </w:footnote>
  <w:footnote w:id="3">
    <w:p w:rsidR="00404AB6" w:rsidRPr="00404AB6" w:rsidRDefault="00404AB6" w:rsidP="00C56A92">
      <w:pPr>
        <w:pStyle w:val="Textpoznpodarou"/>
        <w:spacing w:after="60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="00F641BC">
        <w:t>v</w:t>
      </w:r>
      <w:r>
        <w:t>iz</w:t>
      </w:r>
      <w:r w:rsidR="00F641BC">
        <w:t>.</w:t>
      </w:r>
      <w:r>
        <w:t xml:space="preserve"> </w:t>
      </w:r>
      <w:r w:rsidRPr="00404AB6">
        <w:rPr>
          <w:szCs w:val="16"/>
        </w:rPr>
        <w:t>Nařízení Evropského parlamentu a Rady (EU) 2018/1672 ze dne 23. října 2018 o kontrolách peněžní hotovosti vstupující do Unie nebo ji opouštějící</w:t>
      </w:r>
    </w:p>
  </w:footnote>
  <w:footnote w:id="4">
    <w:p w:rsidR="00395016" w:rsidRDefault="00395016" w:rsidP="00C56A92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="00F641BC">
        <w:t>v</w:t>
      </w:r>
      <w:r w:rsidR="00F641BC" w:rsidRPr="00F641BC">
        <w:rPr>
          <w:szCs w:val="16"/>
        </w:rPr>
        <w:t>iz. Směrnice Evropského parlamentu a Rady (EU) 2015/849 ze dne 20. května 2015 o předcházení využívání finančního systému k praní peněz nebo financování terorismu</w:t>
      </w:r>
    </w:p>
  </w:footnote>
  <w:footnote w:id="5">
    <w:p w:rsidR="00C56A92" w:rsidRDefault="00C56A92" w:rsidP="00C56A92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K tomu rovněž viz výše odkazovaná </w:t>
      </w:r>
      <w:r w:rsidRPr="00C56A92">
        <w:t>Zpráv</w:t>
      </w:r>
      <w:r>
        <w:t>a</w:t>
      </w:r>
      <w:r w:rsidRPr="00C56A92">
        <w:t xml:space="preserve"> Komise Evropskému parlamentu a Radě o omezení plateb </w:t>
      </w:r>
      <w:r w:rsidR="007827C4">
        <w:t>v </w:t>
      </w:r>
      <w:r w:rsidRPr="00C56A92">
        <w:t>hotovosti ze dne 12. 6. 2018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F01"/>
    <w:multiLevelType w:val="hybridMultilevel"/>
    <w:tmpl w:val="2E32A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C3113"/>
    <w:multiLevelType w:val="hybridMultilevel"/>
    <w:tmpl w:val="A3A44828"/>
    <w:lvl w:ilvl="0" w:tplc="A9C45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529FF"/>
    <w:multiLevelType w:val="hybridMultilevel"/>
    <w:tmpl w:val="53FEA038"/>
    <w:lvl w:ilvl="0" w:tplc="128E26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C5F43"/>
    <w:multiLevelType w:val="hybridMultilevel"/>
    <w:tmpl w:val="4588D8A6"/>
    <w:lvl w:ilvl="0" w:tplc="F0462CA6">
      <w:start w:val="1"/>
      <w:numFmt w:val="decimal"/>
      <w:lvlText w:val="%1."/>
      <w:lvlJc w:val="left"/>
      <w:pPr>
        <w:ind w:left="35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B49"/>
    <w:rsid w:val="00017D62"/>
    <w:rsid w:val="00032B62"/>
    <w:rsid w:val="000354AA"/>
    <w:rsid w:val="00062B34"/>
    <w:rsid w:val="00063011"/>
    <w:rsid w:val="00083691"/>
    <w:rsid w:val="001D11C8"/>
    <w:rsid w:val="001D4C86"/>
    <w:rsid w:val="002255FA"/>
    <w:rsid w:val="002B170F"/>
    <w:rsid w:val="002B4B01"/>
    <w:rsid w:val="002C32E5"/>
    <w:rsid w:val="002E3773"/>
    <w:rsid w:val="003117DD"/>
    <w:rsid w:val="00321CC8"/>
    <w:rsid w:val="003261AC"/>
    <w:rsid w:val="00343391"/>
    <w:rsid w:val="00362D8C"/>
    <w:rsid w:val="00395016"/>
    <w:rsid w:val="003D237A"/>
    <w:rsid w:val="003F46E1"/>
    <w:rsid w:val="00404AB6"/>
    <w:rsid w:val="00413125"/>
    <w:rsid w:val="00427439"/>
    <w:rsid w:val="00466E18"/>
    <w:rsid w:val="004700E6"/>
    <w:rsid w:val="004D6154"/>
    <w:rsid w:val="00504BBE"/>
    <w:rsid w:val="00523004"/>
    <w:rsid w:val="00532223"/>
    <w:rsid w:val="005B2160"/>
    <w:rsid w:val="005C0B49"/>
    <w:rsid w:val="005E5946"/>
    <w:rsid w:val="00641CE4"/>
    <w:rsid w:val="006458F9"/>
    <w:rsid w:val="00651F29"/>
    <w:rsid w:val="006656F4"/>
    <w:rsid w:val="006803A8"/>
    <w:rsid w:val="007412C4"/>
    <w:rsid w:val="0076095E"/>
    <w:rsid w:val="00770B10"/>
    <w:rsid w:val="007827C4"/>
    <w:rsid w:val="007939D3"/>
    <w:rsid w:val="007A34DD"/>
    <w:rsid w:val="007B427A"/>
    <w:rsid w:val="007E725A"/>
    <w:rsid w:val="00823533"/>
    <w:rsid w:val="00850C58"/>
    <w:rsid w:val="00872927"/>
    <w:rsid w:val="008C74A2"/>
    <w:rsid w:val="008D33C1"/>
    <w:rsid w:val="008F21A5"/>
    <w:rsid w:val="0097381B"/>
    <w:rsid w:val="009A771A"/>
    <w:rsid w:val="009B75B9"/>
    <w:rsid w:val="00A2709E"/>
    <w:rsid w:val="00A544DD"/>
    <w:rsid w:val="00A707A7"/>
    <w:rsid w:val="00A87934"/>
    <w:rsid w:val="00AA0AE8"/>
    <w:rsid w:val="00AE7A4F"/>
    <w:rsid w:val="00B05C98"/>
    <w:rsid w:val="00B1588B"/>
    <w:rsid w:val="00BD6D64"/>
    <w:rsid w:val="00BE10EA"/>
    <w:rsid w:val="00C15E5E"/>
    <w:rsid w:val="00C56A92"/>
    <w:rsid w:val="00C57CF1"/>
    <w:rsid w:val="00C600B3"/>
    <w:rsid w:val="00C71592"/>
    <w:rsid w:val="00CA4997"/>
    <w:rsid w:val="00D10976"/>
    <w:rsid w:val="00D4291B"/>
    <w:rsid w:val="00E1552C"/>
    <w:rsid w:val="00E271BF"/>
    <w:rsid w:val="00E53471"/>
    <w:rsid w:val="00E703A5"/>
    <w:rsid w:val="00E86B57"/>
    <w:rsid w:val="00ED4058"/>
    <w:rsid w:val="00F11DF7"/>
    <w:rsid w:val="00F14B9D"/>
    <w:rsid w:val="00F17BBE"/>
    <w:rsid w:val="00F641BC"/>
    <w:rsid w:val="00FC34C6"/>
    <w:rsid w:val="00FD18E0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B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86B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6B57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E86B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6B57"/>
    <w:rPr>
      <w:rFonts w:ascii="Times New Roman" w:eastAsia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4AB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4AB6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4A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F11DF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11DF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56A92"/>
    <w:pPr>
      <w:ind w:left="720"/>
      <w:contextualSpacing/>
      <w:jc w:val="both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E53471"/>
    <w:pPr>
      <w:spacing w:after="120"/>
      <w:jc w:val="both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34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362D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B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86B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6B57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E86B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6B57"/>
    <w:rPr>
      <w:rFonts w:ascii="Times New Roman" w:eastAsia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4AB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4AB6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4A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F11DF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11DF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56A92"/>
    <w:pPr>
      <w:ind w:left="720"/>
      <w:contextualSpacing/>
      <w:jc w:val="both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E53471"/>
    <w:pPr>
      <w:spacing w:after="120"/>
      <w:jc w:val="both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34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362D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xUriServ/LexUriServ.do?uri=COM:2018:0483:FIN:CS:PDF" TargetMode="External"/><Relationship Id="rId1" Type="http://schemas.openxmlformats.org/officeDocument/2006/relationships/hyperlink" Target="https://www.cnb.cz/export/sites/cnb/cs/casto-kladene-dotazy/.galleries/stanoviska_a_odpovedi/pdf/k_povinnosti_akceptace_hotovosti_obchodniky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A46D5-7C44-45AB-9D41-43AF860E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www.obcanskesvobody.cz</Company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 pc 003</dc:creator>
  <cp:lastModifiedBy>www.obcanskesvobody.cz</cp:lastModifiedBy>
  <cp:revision>7</cp:revision>
  <dcterms:created xsi:type="dcterms:W3CDTF">2020-02-24T13:42:00Z</dcterms:created>
  <dcterms:modified xsi:type="dcterms:W3CDTF">2020-05-18T09:57:00Z</dcterms:modified>
</cp:coreProperties>
</file>