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92A6D" w14:textId="5E31D0BB" w:rsidR="00205E3F" w:rsidRPr="00FE3674" w:rsidRDefault="00205E3F" w:rsidP="00205E3F">
      <w:pPr>
        <w:pStyle w:val="WW-Zkladntext2"/>
        <w:spacing w:before="600" w:after="600"/>
        <w:jc w:val="center"/>
        <w:rPr>
          <w:rFonts w:ascii="Times New Roman" w:hAnsi="Times New Roman"/>
          <w:b w:val="0"/>
          <w:spacing w:val="40"/>
          <w:szCs w:val="24"/>
        </w:rPr>
      </w:pPr>
      <w:r w:rsidRPr="00FE3674">
        <w:rPr>
          <w:rFonts w:ascii="Times New Roman" w:hAnsi="Times New Roman"/>
          <w:b w:val="0"/>
          <w:spacing w:val="40"/>
          <w:szCs w:val="24"/>
        </w:rPr>
        <w:t>Návrh</w:t>
      </w:r>
    </w:p>
    <w:p w14:paraId="418D5A5C" w14:textId="77777777" w:rsidR="00205E3F" w:rsidRPr="00FE3674" w:rsidRDefault="00205E3F" w:rsidP="00205E3F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 w:rsidRPr="00FE3674">
        <w:rPr>
          <w:rFonts w:ascii="Times New Roman" w:hAnsi="Times New Roman"/>
          <w:b/>
          <w:szCs w:val="24"/>
        </w:rPr>
        <w:t>ZÁKON</w:t>
      </w:r>
    </w:p>
    <w:p w14:paraId="66D04F31" w14:textId="77777777" w:rsidR="00205E3F" w:rsidRPr="00FE3674" w:rsidRDefault="00205E3F" w:rsidP="00205E3F">
      <w:pPr>
        <w:spacing w:line="360" w:lineRule="auto"/>
        <w:jc w:val="center"/>
        <w:rPr>
          <w:rFonts w:ascii="Times New Roman" w:hAnsi="Times New Roman"/>
          <w:szCs w:val="24"/>
        </w:rPr>
      </w:pPr>
      <w:r w:rsidRPr="00FE3674">
        <w:rPr>
          <w:rFonts w:ascii="Times New Roman" w:hAnsi="Times New Roman"/>
          <w:szCs w:val="24"/>
        </w:rPr>
        <w:t>ze dne</w:t>
      </w:r>
      <w:r w:rsidR="00650FBD">
        <w:rPr>
          <w:rFonts w:ascii="Times New Roman" w:hAnsi="Times New Roman"/>
          <w:bCs/>
          <w:szCs w:val="24"/>
        </w:rPr>
        <w:tab/>
      </w:r>
      <w:r w:rsidR="00650FBD">
        <w:rPr>
          <w:rFonts w:ascii="Times New Roman" w:hAnsi="Times New Roman"/>
          <w:bCs/>
          <w:szCs w:val="24"/>
        </w:rPr>
        <w:tab/>
        <w:t>20</w:t>
      </w:r>
      <w:r w:rsidR="000F2126">
        <w:rPr>
          <w:rFonts w:ascii="Times New Roman" w:hAnsi="Times New Roman"/>
          <w:bCs/>
          <w:szCs w:val="24"/>
        </w:rPr>
        <w:t>20</w:t>
      </w:r>
      <w:r w:rsidRPr="00FE3674">
        <w:rPr>
          <w:rFonts w:ascii="Times New Roman" w:hAnsi="Times New Roman"/>
          <w:szCs w:val="24"/>
        </w:rPr>
        <w:t>,</w:t>
      </w:r>
    </w:p>
    <w:p w14:paraId="607AE77C" w14:textId="77777777" w:rsidR="00241182" w:rsidRPr="00FE3674" w:rsidRDefault="00205E3F" w:rsidP="00660479">
      <w:pPr>
        <w:spacing w:after="2040" w:line="360" w:lineRule="auto"/>
        <w:jc w:val="center"/>
        <w:rPr>
          <w:rFonts w:ascii="Times New Roman" w:hAnsi="Times New Roman"/>
          <w:b/>
          <w:szCs w:val="24"/>
        </w:rPr>
      </w:pPr>
      <w:r w:rsidRPr="00FE3674">
        <w:rPr>
          <w:rFonts w:ascii="Times New Roman" w:hAnsi="Times New Roman"/>
          <w:b/>
          <w:szCs w:val="24"/>
        </w:rPr>
        <w:t xml:space="preserve">kterým se mění zákon č. </w:t>
      </w:r>
      <w:r w:rsidR="00660479" w:rsidRPr="00660479">
        <w:rPr>
          <w:rFonts w:ascii="Times New Roman" w:hAnsi="Times New Roman"/>
          <w:b/>
          <w:szCs w:val="24"/>
        </w:rPr>
        <w:t>48/1997 Sb.</w:t>
      </w:r>
      <w:r w:rsidRPr="00FE3674">
        <w:rPr>
          <w:rFonts w:ascii="Times New Roman" w:hAnsi="Times New Roman"/>
          <w:b/>
          <w:szCs w:val="24"/>
        </w:rPr>
        <w:t xml:space="preserve">, </w:t>
      </w:r>
      <w:r w:rsidR="00660479" w:rsidRPr="00660479">
        <w:rPr>
          <w:rFonts w:ascii="Times New Roman" w:hAnsi="Times New Roman"/>
          <w:b/>
          <w:szCs w:val="24"/>
        </w:rPr>
        <w:t>o veřejném zdravotním pojištění a o změně a doplnění některých souvisejících zákonů</w:t>
      </w:r>
      <w:r w:rsidR="00E54D61">
        <w:rPr>
          <w:rFonts w:ascii="Times New Roman" w:hAnsi="Times New Roman"/>
          <w:b/>
          <w:szCs w:val="24"/>
        </w:rPr>
        <w:t>, ve</w:t>
      </w:r>
      <w:r w:rsidR="00CA639D">
        <w:rPr>
          <w:rFonts w:ascii="Times New Roman" w:hAnsi="Times New Roman"/>
          <w:b/>
          <w:szCs w:val="24"/>
        </w:rPr>
        <w:t> </w:t>
      </w:r>
      <w:r w:rsidR="00E54D61">
        <w:rPr>
          <w:rFonts w:ascii="Times New Roman" w:hAnsi="Times New Roman"/>
          <w:b/>
          <w:szCs w:val="24"/>
        </w:rPr>
        <w:t>znění pozdějších předpisů</w:t>
      </w:r>
      <w:r w:rsidR="00660479">
        <w:t xml:space="preserve"> </w:t>
      </w:r>
    </w:p>
    <w:p w14:paraId="660F7455" w14:textId="77777777" w:rsidR="00205E3F" w:rsidRDefault="00205E3F" w:rsidP="00205E3F">
      <w:pPr>
        <w:spacing w:after="840" w:line="276" w:lineRule="auto"/>
        <w:rPr>
          <w:rFonts w:ascii="Times New Roman" w:hAnsi="Times New Roman"/>
          <w:szCs w:val="24"/>
        </w:rPr>
      </w:pPr>
      <w:r w:rsidRPr="00FE3674">
        <w:rPr>
          <w:rFonts w:ascii="Times New Roman" w:hAnsi="Times New Roman"/>
          <w:szCs w:val="24"/>
        </w:rPr>
        <w:t xml:space="preserve">Parlament se usnesl na tomto zákoně České republiky: </w:t>
      </w:r>
    </w:p>
    <w:p w14:paraId="79EEDD7B" w14:textId="77777777" w:rsidR="00205E3F" w:rsidRPr="00FE3674" w:rsidRDefault="00205E3F" w:rsidP="00205E3F">
      <w:pPr>
        <w:spacing w:before="240" w:after="240" w:line="36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Čl. I</w:t>
      </w:r>
    </w:p>
    <w:p w14:paraId="5BB3BA82" w14:textId="77777777" w:rsidR="0055198D" w:rsidRDefault="0055198D" w:rsidP="0055198D">
      <w:pPr>
        <w:pStyle w:val="Odstavecseseznamem"/>
        <w:snapToGrid w:val="0"/>
        <w:spacing w:after="240" w:line="360" w:lineRule="auto"/>
        <w:ind w:left="357"/>
        <w:contextualSpacing w:val="0"/>
        <w:jc w:val="both"/>
        <w:rPr>
          <w:rFonts w:ascii="Times New Roman" w:hAnsi="Times New Roman"/>
          <w:szCs w:val="24"/>
        </w:rPr>
      </w:pPr>
      <w:r w:rsidRPr="0055198D">
        <w:rPr>
          <w:rFonts w:ascii="Times New Roman" w:hAnsi="Times New Roman"/>
          <w:szCs w:val="24"/>
        </w:rPr>
        <w:t>Zákon č. 48/1997 Sb., o veřejném zdravotním pojištění a o změně a doplnění některých souvisejících zákonů, ve znění zákona č. 242/1997  Sb., zákona č. 2/1998 Sb., zákona č.</w:t>
      </w:r>
      <w:r w:rsidR="00FC6715">
        <w:rPr>
          <w:rFonts w:ascii="Times New Roman" w:hAnsi="Times New Roman"/>
          <w:szCs w:val="24"/>
        </w:rPr>
        <w:t> </w:t>
      </w:r>
      <w:r w:rsidRPr="0055198D">
        <w:rPr>
          <w:rFonts w:ascii="Times New Roman" w:hAnsi="Times New Roman"/>
          <w:szCs w:val="24"/>
        </w:rPr>
        <w:t>127/1998 Sb., zákona č. 225/1999 Sb., zákona č. 363/1999 Sb., zákona č. 18/2000 Sb., zákona č. 132/2000 Sb., zákona č. 155/2000  Sb., nálezu Ústavního soudu, vyhlášeného pod č. 167/2000 Sb., zákona č. 220/2000  Sb., zákona č. 258/2000 Sb., zákona č. 459/2000 Sb., zákona č. 176/2002 Sb., zákona č. 198/2002 Sb., zákona č. 285/2002 Sb., zákona č.</w:t>
      </w:r>
      <w:r w:rsidR="00FC6715">
        <w:rPr>
          <w:rFonts w:ascii="Times New Roman" w:hAnsi="Times New Roman"/>
          <w:szCs w:val="24"/>
        </w:rPr>
        <w:t> </w:t>
      </w:r>
      <w:r w:rsidRPr="0055198D">
        <w:rPr>
          <w:rFonts w:ascii="Times New Roman" w:hAnsi="Times New Roman"/>
          <w:szCs w:val="24"/>
        </w:rPr>
        <w:t>309/2002 Sb., zákona č. 320/2002  Sb., zákona č. 222/2003 Sb., zákona č. 274/2003 Sb., zákona č. 362/2003 Sb., zákona č. 424/2003 Sb., zákona č. 425/2003 Sb., zákona č.</w:t>
      </w:r>
      <w:r w:rsidR="00FC6715">
        <w:rPr>
          <w:rFonts w:ascii="Times New Roman" w:hAnsi="Times New Roman"/>
          <w:szCs w:val="24"/>
        </w:rPr>
        <w:t> </w:t>
      </w:r>
      <w:r w:rsidRPr="0055198D">
        <w:rPr>
          <w:rFonts w:ascii="Times New Roman" w:hAnsi="Times New Roman"/>
          <w:szCs w:val="24"/>
        </w:rPr>
        <w:t>455/2003 Sb., zákona č. 85/2004  Sb., zákona č. 359/2004 Sb., zákona č. 422/2004 Sb., zákona č. 436/2004 Sb., zákona č. 438/2004 Sb., zákona č. 123/2005 Sb., zákona č.</w:t>
      </w:r>
      <w:r w:rsidR="00FC6715">
        <w:rPr>
          <w:rFonts w:ascii="Times New Roman" w:hAnsi="Times New Roman"/>
          <w:szCs w:val="24"/>
        </w:rPr>
        <w:t> </w:t>
      </w:r>
      <w:r w:rsidRPr="0055198D">
        <w:rPr>
          <w:rFonts w:ascii="Times New Roman" w:hAnsi="Times New Roman"/>
          <w:szCs w:val="24"/>
        </w:rPr>
        <w:t>168/2005 Sb., zákona č. 253/2005  Sb., zákona č. 350/2005 Sb., zákona č. 361/2005 Sb., zákona č. 47/2006 Sb., zákona č. 109/2006 Sb., zákona č. 112/2006 Sb., zákona č. 117/2006 Sb., zákona č. 165/2006  Sb., zákona č. 189/2006 Sb., zákona č. 214/2006 Sb., zákona č.</w:t>
      </w:r>
      <w:r w:rsidR="00FC6715">
        <w:rPr>
          <w:rFonts w:ascii="Times New Roman" w:hAnsi="Times New Roman"/>
          <w:szCs w:val="24"/>
        </w:rPr>
        <w:t> </w:t>
      </w:r>
      <w:r w:rsidRPr="0055198D">
        <w:rPr>
          <w:rFonts w:ascii="Times New Roman" w:hAnsi="Times New Roman"/>
          <w:szCs w:val="24"/>
        </w:rPr>
        <w:t xml:space="preserve">245/2006 Sb., zákona č. 264/2006 Sb., zákona č. 340/2006 Sb., nálezu Ústavního soudu, vyhlášeného pod č. 57/2007 Sb., zákona č. 181/2007 Sb., zákona č. 261/2007 Sb., zákona č. 296/2007  Sb., zákona č. 129/2008 Sb., zákona č. 137/2008 Sb., zákona č. 270/2008 Sb., </w:t>
      </w:r>
      <w:r w:rsidRPr="0055198D">
        <w:rPr>
          <w:rFonts w:ascii="Times New Roman" w:hAnsi="Times New Roman"/>
          <w:szCs w:val="24"/>
        </w:rPr>
        <w:lastRenderedPageBreak/>
        <w:t>zákona č. 274/2008 Sb., zákona č. 306/2008 Sb., zákona č. 59/2009 Sb., zákona č. 158/2009  Sb., zákona č. 227/2009 Sb., zákona č. 281/2009 Sb., zákona č. 362/2009 Sb., zákona č.</w:t>
      </w:r>
      <w:r w:rsidR="00FC6715">
        <w:rPr>
          <w:rFonts w:ascii="Times New Roman" w:hAnsi="Times New Roman"/>
          <w:szCs w:val="24"/>
        </w:rPr>
        <w:t> </w:t>
      </w:r>
      <w:r w:rsidRPr="0055198D">
        <w:rPr>
          <w:rFonts w:ascii="Times New Roman" w:hAnsi="Times New Roman"/>
          <w:szCs w:val="24"/>
        </w:rPr>
        <w:t>298/2011 Sb., zákona č. 365/2011 Sb., zákona č. 369/2011 Sb., zákona č. 458/2011  Sb., zákona č. 1/2012 Sb., zákona č. 275/2012 Sb., zákona č. 401/2012 Sb., zákona č. 403/2012 Sb., zákona č. 44/2013 Sb., nálezu Ústavního soudu, vyhlášeného pod č. 238/2013 Sb., zákona č. 60/2014 Sb., zákona č. 109/2014 Sb., zákona č. 250/2014  Sb., zákona č. 256/2014 Sb., zákona č. 267/2014 Sb., zákona č. 1/2015 Sb., zákona č. 200/2015 Sb., zákona č.</w:t>
      </w:r>
      <w:r w:rsidR="00FC6715">
        <w:rPr>
          <w:rFonts w:ascii="Times New Roman" w:hAnsi="Times New Roman"/>
          <w:szCs w:val="24"/>
        </w:rPr>
        <w:t> </w:t>
      </w:r>
      <w:r w:rsidRPr="0055198D">
        <w:rPr>
          <w:rFonts w:ascii="Times New Roman" w:hAnsi="Times New Roman"/>
          <w:szCs w:val="24"/>
        </w:rPr>
        <w:t>314/2015 Sb., zákona č. 47/2016 Sb., zákona č. 66/2017  Sb., zákona č. 150/2017 Sb., zákona č. 183/2017 Sb., zákona č. 200/2017 Sb., nálezu Ústavního soudu, vyhlášeného pod č. 231/2017 Sb., zákona č. 290/2017 Sb.,</w:t>
      </w:r>
      <w:r w:rsidR="000841EA">
        <w:rPr>
          <w:rFonts w:ascii="Times New Roman" w:hAnsi="Times New Roman"/>
          <w:szCs w:val="24"/>
        </w:rPr>
        <w:t xml:space="preserve"> zákona č. 282/2018 Sb., zákona č. 45/2019 Sb., zákona č. 111/2019 Sb., zákona č. 262/2019 Sb.</w:t>
      </w:r>
      <w:r w:rsidR="000F2126">
        <w:rPr>
          <w:rFonts w:ascii="Times New Roman" w:hAnsi="Times New Roman"/>
          <w:szCs w:val="24"/>
        </w:rPr>
        <w:t xml:space="preserve"> a zákona č. 277/2019 Sb.</w:t>
      </w:r>
      <w:r w:rsidRPr="0055198D">
        <w:rPr>
          <w:rFonts w:ascii="Times New Roman" w:hAnsi="Times New Roman"/>
          <w:szCs w:val="24"/>
        </w:rPr>
        <w:t xml:space="preserve"> se mění takto: </w:t>
      </w:r>
    </w:p>
    <w:p w14:paraId="1906ECC3" w14:textId="18F0EFD1" w:rsidR="00362B8F" w:rsidRPr="00994693" w:rsidRDefault="00525735" w:rsidP="00994693">
      <w:pPr>
        <w:pStyle w:val="Odstavecseseznamem"/>
        <w:numPr>
          <w:ilvl w:val="0"/>
          <w:numId w:val="45"/>
        </w:numPr>
        <w:snapToGrid w:val="0"/>
        <w:spacing w:after="240" w:line="360" w:lineRule="auto"/>
        <w:contextualSpacing w:val="0"/>
        <w:jc w:val="both"/>
        <w:rPr>
          <w:rFonts w:ascii="Times New Roman" w:hAnsi="Times New Roman"/>
          <w:szCs w:val="24"/>
        </w:rPr>
      </w:pPr>
      <w:r w:rsidRPr="00525735">
        <w:rPr>
          <w:rFonts w:ascii="Times New Roman" w:hAnsi="Times New Roman"/>
          <w:szCs w:val="24"/>
        </w:rPr>
        <w:t xml:space="preserve">V § </w:t>
      </w:r>
      <w:r w:rsidR="00994693">
        <w:rPr>
          <w:rFonts w:ascii="Times New Roman" w:hAnsi="Times New Roman"/>
          <w:szCs w:val="24"/>
        </w:rPr>
        <w:t>10</w:t>
      </w:r>
      <w:r w:rsidRPr="00525735">
        <w:rPr>
          <w:rFonts w:ascii="Times New Roman" w:hAnsi="Times New Roman"/>
          <w:szCs w:val="24"/>
        </w:rPr>
        <w:t xml:space="preserve"> odstav</w:t>
      </w:r>
      <w:r w:rsidR="00EB18D9">
        <w:rPr>
          <w:rFonts w:ascii="Times New Roman" w:hAnsi="Times New Roman"/>
          <w:szCs w:val="24"/>
        </w:rPr>
        <w:t>ci</w:t>
      </w:r>
      <w:r w:rsidRPr="00525735">
        <w:rPr>
          <w:rFonts w:ascii="Times New Roman" w:hAnsi="Times New Roman"/>
          <w:szCs w:val="24"/>
        </w:rPr>
        <w:t xml:space="preserve"> </w:t>
      </w:r>
      <w:r w:rsidR="00994693">
        <w:rPr>
          <w:rFonts w:ascii="Times New Roman" w:hAnsi="Times New Roman"/>
          <w:szCs w:val="24"/>
        </w:rPr>
        <w:t>6</w:t>
      </w:r>
      <w:r w:rsidRPr="00525735">
        <w:rPr>
          <w:rFonts w:ascii="Times New Roman" w:hAnsi="Times New Roman"/>
          <w:szCs w:val="24"/>
        </w:rPr>
        <w:t xml:space="preserve"> </w:t>
      </w:r>
      <w:r w:rsidR="00EB18D9">
        <w:rPr>
          <w:rFonts w:ascii="Times New Roman" w:hAnsi="Times New Roman"/>
          <w:szCs w:val="24"/>
        </w:rPr>
        <w:t>se věta „</w:t>
      </w:r>
      <w:r w:rsidR="00EB18D9" w:rsidRPr="00653AC6">
        <w:rPr>
          <w:rFonts w:ascii="Times New Roman" w:hAnsi="Times New Roman"/>
          <w:szCs w:val="24"/>
        </w:rPr>
        <w:t>Narození pojištěnce je jeho zákonný zástupce, opatrovník nebo poručník povinen oznámit do osmi dnů ode dne narození zdravotní pojišťovně, u které je pojištěna matka dítěte v den jeho narození; není-li matka dítěte zdravotně pojištěna podle tohoto zákona, oznámí zákonný zástupce, opatrovník nebo poručník dítěte jeho narození zdravotní pojišťovně, u které je pojištěn otec dítěte v den jeho narození.</w:t>
      </w:r>
      <w:r w:rsidR="00EB18D9">
        <w:rPr>
          <w:rFonts w:ascii="Times New Roman" w:hAnsi="Times New Roman"/>
          <w:szCs w:val="24"/>
        </w:rPr>
        <w:t>“ nahrazuje větou „</w:t>
      </w:r>
      <w:r w:rsidR="00EB18D9" w:rsidRPr="00D80921">
        <w:rPr>
          <w:rFonts w:ascii="Times New Roman" w:hAnsi="Times New Roman"/>
          <w:szCs w:val="24"/>
        </w:rPr>
        <w:t xml:space="preserve">Narození pojištěnce je příslušný obecní úřad pověřený vedením matriky povinen </w:t>
      </w:r>
      <w:r w:rsidR="00EB18D9">
        <w:rPr>
          <w:rFonts w:ascii="Times New Roman" w:hAnsi="Times New Roman"/>
          <w:szCs w:val="24"/>
        </w:rPr>
        <w:t>do osmi dnů</w:t>
      </w:r>
      <w:r w:rsidR="00EB18D9" w:rsidRPr="00D80921">
        <w:rPr>
          <w:rFonts w:ascii="Times New Roman" w:hAnsi="Times New Roman"/>
          <w:szCs w:val="24"/>
        </w:rPr>
        <w:t xml:space="preserve"> po přidělení rodného čísla oznámit zdravotní pojišťovně, u které je pojištěna matka dítěte v den jeho narození; není-li matka dítěte zdravotně pojištěna podle tohoto zákona, oznámí příslušný obecní úřad pověřený vedením matriky jeho narození zdravotní pojišťovně, u které je pojištěn otec dítěte v den jeho narození.</w:t>
      </w:r>
      <w:r w:rsidR="00EB18D9">
        <w:rPr>
          <w:rFonts w:ascii="Times New Roman" w:hAnsi="Times New Roman"/>
          <w:szCs w:val="24"/>
        </w:rPr>
        <w:t>“</w:t>
      </w:r>
    </w:p>
    <w:p w14:paraId="504EBA9F" w14:textId="0CD3A835" w:rsidR="00EA1B8E" w:rsidRDefault="00EA1B8E" w:rsidP="000B0C6D">
      <w:pPr>
        <w:pStyle w:val="Odstavecseseznamem"/>
        <w:numPr>
          <w:ilvl w:val="0"/>
          <w:numId w:val="45"/>
        </w:numPr>
        <w:snapToGrid w:val="0"/>
        <w:spacing w:after="240" w:line="360" w:lineRule="auto"/>
        <w:contextualSpacing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V </w:t>
      </w:r>
      <w:r w:rsidR="000B0C6D">
        <w:rPr>
          <w:rFonts w:ascii="Times New Roman" w:hAnsi="Times New Roman"/>
          <w:szCs w:val="24"/>
        </w:rPr>
        <w:t xml:space="preserve">§ 44 odst. 1 </w:t>
      </w:r>
      <w:r w:rsidR="00157E5D">
        <w:rPr>
          <w:rFonts w:ascii="Times New Roman" w:hAnsi="Times New Roman"/>
          <w:szCs w:val="24"/>
        </w:rPr>
        <w:t>se za slova „podle § 10“ vkládají slova „odst. 1 až 5“.</w:t>
      </w:r>
    </w:p>
    <w:p w14:paraId="013D2100" w14:textId="77777777" w:rsidR="001757A8" w:rsidRDefault="00D767A5" w:rsidP="001757A8">
      <w:pPr>
        <w:snapToGrid w:val="0"/>
        <w:spacing w:after="120" w:line="276" w:lineRule="auto"/>
        <w:jc w:val="center"/>
        <w:rPr>
          <w:rFonts w:ascii="Times New Roman" w:hAnsi="Times New Roman"/>
          <w:b/>
          <w:szCs w:val="24"/>
        </w:rPr>
      </w:pPr>
      <w:r w:rsidRPr="00D767A5">
        <w:rPr>
          <w:rFonts w:ascii="Times New Roman" w:hAnsi="Times New Roman"/>
          <w:bCs/>
          <w:szCs w:val="24"/>
        </w:rPr>
        <w:t>Čl. II</w:t>
      </w:r>
    </w:p>
    <w:p w14:paraId="2127B6B2" w14:textId="77777777" w:rsidR="001757A8" w:rsidRPr="001757A8" w:rsidRDefault="001757A8" w:rsidP="001757A8">
      <w:pPr>
        <w:snapToGrid w:val="0"/>
        <w:spacing w:after="240" w:line="276" w:lineRule="auto"/>
        <w:jc w:val="center"/>
        <w:rPr>
          <w:rFonts w:ascii="Times New Roman" w:hAnsi="Times New Roman"/>
          <w:b/>
          <w:szCs w:val="24"/>
        </w:rPr>
      </w:pPr>
      <w:r w:rsidRPr="005E0D99">
        <w:rPr>
          <w:rFonts w:ascii="Times New Roman" w:hAnsi="Times New Roman"/>
          <w:b/>
          <w:szCs w:val="24"/>
        </w:rPr>
        <w:t>Účinnost</w:t>
      </w:r>
    </w:p>
    <w:p w14:paraId="0B989F43" w14:textId="3DFCDB5E" w:rsidR="00512392" w:rsidRDefault="004E6956" w:rsidP="00241182">
      <w:pPr>
        <w:suppressAutoHyphens w:val="0"/>
        <w:spacing w:after="200" w:line="276" w:lineRule="auto"/>
        <w:rPr>
          <w:rFonts w:ascii="Times New Roman" w:hAnsi="Times New Roman"/>
          <w:szCs w:val="24"/>
        </w:rPr>
      </w:pPr>
      <w:r w:rsidRPr="00E44668">
        <w:rPr>
          <w:rFonts w:ascii="Times New Roman" w:hAnsi="Times New Roman"/>
          <w:szCs w:val="24"/>
        </w:rPr>
        <w:t xml:space="preserve">Tento zákon nabývá účinnosti 1. </w:t>
      </w:r>
      <w:r w:rsidR="00345B2B">
        <w:rPr>
          <w:rFonts w:ascii="Times New Roman" w:hAnsi="Times New Roman"/>
          <w:szCs w:val="24"/>
        </w:rPr>
        <w:t>července</w:t>
      </w:r>
      <w:r>
        <w:rPr>
          <w:rFonts w:ascii="Times New Roman" w:hAnsi="Times New Roman"/>
          <w:szCs w:val="24"/>
        </w:rPr>
        <w:t xml:space="preserve"> 2021</w:t>
      </w:r>
      <w:r w:rsidRPr="00E44668">
        <w:rPr>
          <w:rFonts w:ascii="Times New Roman" w:hAnsi="Times New Roman"/>
          <w:szCs w:val="24"/>
        </w:rPr>
        <w:t>.</w:t>
      </w:r>
      <w:r w:rsidR="00512392">
        <w:rPr>
          <w:rFonts w:ascii="Times New Roman" w:hAnsi="Times New Roman"/>
          <w:szCs w:val="24"/>
        </w:rPr>
        <w:br w:type="page"/>
      </w:r>
    </w:p>
    <w:p w14:paraId="79228F16" w14:textId="77777777" w:rsidR="00512392" w:rsidRPr="00982A88" w:rsidRDefault="00512392" w:rsidP="00512392">
      <w:pPr>
        <w:jc w:val="center"/>
        <w:rPr>
          <w:b/>
          <w:bCs/>
          <w:sz w:val="28"/>
          <w:szCs w:val="28"/>
        </w:rPr>
      </w:pPr>
      <w:r w:rsidRPr="00982A88">
        <w:rPr>
          <w:rFonts w:ascii="Times New Roman" w:hAnsi="Times New Roman"/>
          <w:b/>
          <w:bCs/>
          <w:sz w:val="28"/>
          <w:szCs w:val="28"/>
        </w:rPr>
        <w:lastRenderedPageBreak/>
        <w:t>Důvodová zpráva</w:t>
      </w:r>
    </w:p>
    <w:p w14:paraId="3DD83AF6" w14:textId="77777777" w:rsidR="00512392" w:rsidRDefault="00512392" w:rsidP="00512392">
      <w:pPr>
        <w:tabs>
          <w:tab w:val="left" w:pos="540"/>
        </w:tabs>
        <w:jc w:val="center"/>
        <w:rPr>
          <w:rFonts w:ascii="Times New Roman" w:hAnsi="Times New Roman"/>
          <w:b/>
          <w:szCs w:val="24"/>
          <w:lang w:eastAsia="cs-CZ"/>
        </w:rPr>
      </w:pPr>
    </w:p>
    <w:p w14:paraId="2B5ACA42" w14:textId="77777777" w:rsidR="00512392" w:rsidRPr="00982A88" w:rsidRDefault="00512392" w:rsidP="00512392">
      <w:pPr>
        <w:pStyle w:val="Odstavecseseznamem"/>
        <w:numPr>
          <w:ilvl w:val="0"/>
          <w:numId w:val="43"/>
        </w:numPr>
        <w:tabs>
          <w:tab w:val="left" w:pos="540"/>
        </w:tabs>
        <w:suppressAutoHyphens w:val="0"/>
        <w:rPr>
          <w:rFonts w:ascii="Times New Roman" w:hAnsi="Times New Roman"/>
          <w:b/>
          <w:sz w:val="26"/>
          <w:szCs w:val="26"/>
          <w:lang w:eastAsia="cs-CZ"/>
        </w:rPr>
      </w:pPr>
      <w:r w:rsidRPr="00982A88">
        <w:rPr>
          <w:rFonts w:ascii="Times New Roman" w:hAnsi="Times New Roman"/>
          <w:b/>
          <w:sz w:val="26"/>
          <w:szCs w:val="26"/>
          <w:lang w:eastAsia="cs-CZ"/>
        </w:rPr>
        <w:t>Obecná část</w:t>
      </w:r>
    </w:p>
    <w:p w14:paraId="550E061D" w14:textId="77777777" w:rsidR="00512392" w:rsidRDefault="00512392" w:rsidP="00512392">
      <w:pPr>
        <w:tabs>
          <w:tab w:val="left" w:pos="540"/>
        </w:tabs>
        <w:jc w:val="center"/>
        <w:rPr>
          <w:rFonts w:ascii="Times New Roman" w:hAnsi="Times New Roman"/>
          <w:b/>
          <w:szCs w:val="24"/>
          <w:lang w:eastAsia="cs-CZ"/>
        </w:rPr>
      </w:pPr>
    </w:p>
    <w:p w14:paraId="160D72F6" w14:textId="77777777" w:rsidR="00512392" w:rsidRPr="000C0556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0C0556">
        <w:rPr>
          <w:rFonts w:ascii="Times New Roman" w:hAnsi="Times New Roman"/>
          <w:b/>
          <w:szCs w:val="24"/>
          <w:lang w:eastAsia="cs-CZ"/>
        </w:rPr>
        <w:t>Zhodnocení platného právního stavu a vysvětlení nezbytnosti navrhované právní úpravy</w:t>
      </w:r>
    </w:p>
    <w:p w14:paraId="1CFFF47A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ab/>
      </w:r>
    </w:p>
    <w:p w14:paraId="2252AD23" w14:textId="4342240D" w:rsidR="00BB0B57" w:rsidRDefault="000D5AD5" w:rsidP="00911F45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>Podle současné právní úpravy je</w:t>
      </w:r>
      <w:r w:rsidR="006E7204">
        <w:rPr>
          <w:rFonts w:ascii="Times New Roman" w:hAnsi="Times New Roman"/>
          <w:szCs w:val="24"/>
          <w:lang w:eastAsia="cs-CZ"/>
        </w:rPr>
        <w:t xml:space="preserve"> </w:t>
      </w:r>
      <w:r w:rsidR="00EC4598">
        <w:rPr>
          <w:rFonts w:ascii="Times New Roman" w:hAnsi="Times New Roman"/>
          <w:szCs w:val="24"/>
          <w:lang w:eastAsia="cs-CZ"/>
        </w:rPr>
        <w:t xml:space="preserve">ve smyslu ustanovení § 10 odst. 6 zákona č. </w:t>
      </w:r>
      <w:r w:rsidR="00EC4598" w:rsidRPr="00EC4598">
        <w:rPr>
          <w:rFonts w:ascii="Times New Roman" w:hAnsi="Times New Roman"/>
          <w:szCs w:val="24"/>
          <w:lang w:eastAsia="cs-CZ"/>
        </w:rPr>
        <w:t>48/1997 Sb., o</w:t>
      </w:r>
      <w:r w:rsidR="00EC4598">
        <w:rPr>
          <w:rFonts w:ascii="Times New Roman" w:hAnsi="Times New Roman"/>
          <w:szCs w:val="24"/>
          <w:lang w:eastAsia="cs-CZ"/>
        </w:rPr>
        <w:t> </w:t>
      </w:r>
      <w:r w:rsidR="00EC4598" w:rsidRPr="00EC4598">
        <w:rPr>
          <w:rFonts w:ascii="Times New Roman" w:hAnsi="Times New Roman"/>
          <w:szCs w:val="24"/>
          <w:lang w:eastAsia="cs-CZ"/>
        </w:rPr>
        <w:t>veřejném zdravotním pojištění a o změně a doplnění některých souvisejících zákonů</w:t>
      </w:r>
      <w:r w:rsidR="004456DC">
        <w:rPr>
          <w:rFonts w:ascii="Times New Roman" w:hAnsi="Times New Roman"/>
          <w:szCs w:val="24"/>
          <w:lang w:eastAsia="cs-CZ"/>
        </w:rPr>
        <w:t xml:space="preserve"> </w:t>
      </w:r>
      <w:r w:rsidR="00CB2023">
        <w:rPr>
          <w:rFonts w:ascii="Times New Roman" w:hAnsi="Times New Roman"/>
          <w:szCs w:val="24"/>
          <w:lang w:eastAsia="cs-CZ"/>
        </w:rPr>
        <w:t xml:space="preserve">(dále jen „zákon“) </w:t>
      </w:r>
      <w:r w:rsidR="004456DC">
        <w:rPr>
          <w:rFonts w:ascii="Times New Roman" w:hAnsi="Times New Roman"/>
          <w:szCs w:val="24"/>
          <w:lang w:eastAsia="cs-CZ"/>
        </w:rPr>
        <w:t xml:space="preserve">narození pojištěnce povinen oznámit </w:t>
      </w:r>
      <w:r w:rsidR="00B96EC7">
        <w:rPr>
          <w:rFonts w:ascii="Times New Roman" w:hAnsi="Times New Roman"/>
          <w:szCs w:val="24"/>
          <w:lang w:eastAsia="cs-CZ"/>
        </w:rPr>
        <w:t xml:space="preserve">zdravotní pojišťovně </w:t>
      </w:r>
      <w:r w:rsidR="004456DC">
        <w:rPr>
          <w:rFonts w:ascii="Times New Roman" w:hAnsi="Times New Roman"/>
          <w:szCs w:val="24"/>
          <w:lang w:eastAsia="cs-CZ"/>
        </w:rPr>
        <w:t xml:space="preserve">jeho </w:t>
      </w:r>
      <w:r w:rsidR="007B2982">
        <w:rPr>
          <w:rFonts w:ascii="Times New Roman" w:hAnsi="Times New Roman"/>
          <w:szCs w:val="24"/>
          <w:lang w:eastAsia="cs-CZ"/>
        </w:rPr>
        <w:t xml:space="preserve">zákonný zástupce, opatrovník nebo poručník, a to do 8 dnů ode dne narození. </w:t>
      </w:r>
      <w:r w:rsidR="00BB0B57">
        <w:rPr>
          <w:rFonts w:ascii="Times New Roman" w:hAnsi="Times New Roman"/>
          <w:szCs w:val="24"/>
          <w:lang w:eastAsia="cs-CZ"/>
        </w:rPr>
        <w:t>Oznámení se provádí u pojišťovny matky a není-li matka zdravotně pojištěna, u pojišťovny otce dítěte, u které je pojištěn v den narození dítěte.</w:t>
      </w:r>
    </w:p>
    <w:p w14:paraId="67DA698A" w14:textId="5DF0AF6D" w:rsidR="00E85A85" w:rsidRDefault="00BB0B57" w:rsidP="00911F45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V praxi </w:t>
      </w:r>
      <w:r w:rsidR="00EA1B8E">
        <w:rPr>
          <w:rFonts w:ascii="Times New Roman" w:hAnsi="Times New Roman"/>
          <w:szCs w:val="24"/>
          <w:lang w:eastAsia="cs-CZ"/>
        </w:rPr>
        <w:t xml:space="preserve">tedy tato povinnost dopadá nejčastěji na rodiče novorozeného dítěte. </w:t>
      </w:r>
      <w:r w:rsidR="002D3A48">
        <w:rPr>
          <w:rFonts w:ascii="Times New Roman" w:hAnsi="Times New Roman"/>
          <w:szCs w:val="24"/>
          <w:lang w:eastAsia="cs-CZ"/>
        </w:rPr>
        <w:t>Ty však v prvních dnech narození svého dítěte řeší spoust</w:t>
      </w:r>
      <w:r w:rsidR="00B96EC7">
        <w:rPr>
          <w:rFonts w:ascii="Times New Roman" w:hAnsi="Times New Roman"/>
          <w:szCs w:val="24"/>
          <w:lang w:eastAsia="cs-CZ"/>
        </w:rPr>
        <w:t>u</w:t>
      </w:r>
      <w:r w:rsidR="002D3A48">
        <w:rPr>
          <w:rFonts w:ascii="Times New Roman" w:hAnsi="Times New Roman"/>
          <w:szCs w:val="24"/>
          <w:lang w:eastAsia="cs-CZ"/>
        </w:rPr>
        <w:t xml:space="preserve"> jiných věcí, týkajících se péče o novorozence. V dnešní době, kdy jsou též otcové novorozených dětí mnohem více zapojeni do </w:t>
      </w:r>
      <w:r w:rsidR="00E85A85">
        <w:rPr>
          <w:rFonts w:ascii="Times New Roman" w:hAnsi="Times New Roman"/>
          <w:szCs w:val="24"/>
          <w:lang w:eastAsia="cs-CZ"/>
        </w:rPr>
        <w:t>samotného porodu a</w:t>
      </w:r>
      <w:r w:rsidR="000C0556">
        <w:rPr>
          <w:rFonts w:ascii="Times New Roman" w:hAnsi="Times New Roman"/>
          <w:szCs w:val="24"/>
          <w:lang w:eastAsia="cs-CZ"/>
        </w:rPr>
        <w:t> </w:t>
      </w:r>
      <w:r w:rsidR="00E85A85">
        <w:rPr>
          <w:rFonts w:ascii="Times New Roman" w:hAnsi="Times New Roman"/>
          <w:szCs w:val="24"/>
          <w:lang w:eastAsia="cs-CZ"/>
        </w:rPr>
        <w:t xml:space="preserve">poporodní péče o novorozené dítě, se velmi často stává, že společně s matkou tráví čas po celou dobu, co je </w:t>
      </w:r>
      <w:proofErr w:type="spellStart"/>
      <w:r w:rsidR="00E85A85">
        <w:rPr>
          <w:rFonts w:ascii="Times New Roman" w:hAnsi="Times New Roman"/>
          <w:szCs w:val="24"/>
          <w:lang w:eastAsia="cs-CZ"/>
        </w:rPr>
        <w:t>novorodička</w:t>
      </w:r>
      <w:proofErr w:type="spellEnd"/>
      <w:r w:rsidR="00E85A85">
        <w:rPr>
          <w:rFonts w:ascii="Times New Roman" w:hAnsi="Times New Roman"/>
          <w:szCs w:val="24"/>
          <w:lang w:eastAsia="cs-CZ"/>
        </w:rPr>
        <w:t xml:space="preserve"> hospitalizována na oddělení šestinedělí v porodnici. </w:t>
      </w:r>
      <w:r w:rsidR="00E73B1F">
        <w:rPr>
          <w:rFonts w:ascii="Times New Roman" w:hAnsi="Times New Roman"/>
          <w:szCs w:val="24"/>
          <w:lang w:eastAsia="cs-CZ"/>
        </w:rPr>
        <w:t>Není ani zcela výjimečná situace, kdy po porodu nastávají zdravotní komplikace a rodička je nucena zůstat hospitalizována v porodnic</w:t>
      </w:r>
      <w:r w:rsidR="00B96EC7">
        <w:rPr>
          <w:rFonts w:ascii="Times New Roman" w:hAnsi="Times New Roman"/>
          <w:szCs w:val="24"/>
          <w:lang w:eastAsia="cs-CZ"/>
        </w:rPr>
        <w:t>i</w:t>
      </w:r>
      <w:r w:rsidR="00E73B1F">
        <w:rPr>
          <w:rFonts w:ascii="Times New Roman" w:hAnsi="Times New Roman"/>
          <w:szCs w:val="24"/>
          <w:lang w:eastAsia="cs-CZ"/>
        </w:rPr>
        <w:t xml:space="preserve"> mnohem déle než běžných 72 hodin. </w:t>
      </w:r>
    </w:p>
    <w:p w14:paraId="347B01A9" w14:textId="6BBDBB91" w:rsidR="004007F3" w:rsidRDefault="0060433C" w:rsidP="00911F45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>Zákonní zástupci novorozence musí nejprve vyčkat na přidělení rodného čísla novorozenému dítěti, které přiděluje ve smyslu z</w:t>
      </w:r>
      <w:r w:rsidRPr="0060433C">
        <w:rPr>
          <w:rFonts w:ascii="Times New Roman" w:hAnsi="Times New Roman"/>
          <w:szCs w:val="24"/>
          <w:lang w:eastAsia="cs-CZ"/>
        </w:rPr>
        <w:t>ákon</w:t>
      </w:r>
      <w:r>
        <w:rPr>
          <w:rFonts w:ascii="Times New Roman" w:hAnsi="Times New Roman"/>
          <w:szCs w:val="24"/>
          <w:lang w:eastAsia="cs-CZ"/>
        </w:rPr>
        <w:t>a</w:t>
      </w:r>
      <w:r w:rsidRPr="0060433C">
        <w:rPr>
          <w:rFonts w:ascii="Times New Roman" w:hAnsi="Times New Roman"/>
          <w:szCs w:val="24"/>
          <w:lang w:eastAsia="cs-CZ"/>
        </w:rPr>
        <w:t xml:space="preserve"> č. 301/2000 Sb.</w:t>
      </w:r>
      <w:r>
        <w:rPr>
          <w:rFonts w:ascii="Times New Roman" w:hAnsi="Times New Roman"/>
          <w:szCs w:val="24"/>
          <w:lang w:eastAsia="cs-CZ"/>
        </w:rPr>
        <w:t xml:space="preserve"> </w:t>
      </w:r>
      <w:r w:rsidRPr="0060433C">
        <w:rPr>
          <w:rFonts w:ascii="Times New Roman" w:hAnsi="Times New Roman"/>
          <w:szCs w:val="24"/>
          <w:lang w:eastAsia="cs-CZ"/>
        </w:rPr>
        <w:t>o matrikách, jménu a příjmení a</w:t>
      </w:r>
      <w:r w:rsidR="005440A3">
        <w:rPr>
          <w:rFonts w:ascii="Times New Roman" w:hAnsi="Times New Roman"/>
          <w:szCs w:val="24"/>
          <w:lang w:eastAsia="cs-CZ"/>
        </w:rPr>
        <w:t> </w:t>
      </w:r>
      <w:r w:rsidRPr="0060433C">
        <w:rPr>
          <w:rFonts w:ascii="Times New Roman" w:hAnsi="Times New Roman"/>
          <w:szCs w:val="24"/>
          <w:lang w:eastAsia="cs-CZ"/>
        </w:rPr>
        <w:t>o</w:t>
      </w:r>
      <w:r w:rsidR="005440A3">
        <w:rPr>
          <w:rFonts w:ascii="Times New Roman" w:hAnsi="Times New Roman"/>
          <w:szCs w:val="24"/>
          <w:lang w:eastAsia="cs-CZ"/>
        </w:rPr>
        <w:t> </w:t>
      </w:r>
      <w:r w:rsidRPr="0060433C">
        <w:rPr>
          <w:rFonts w:ascii="Times New Roman" w:hAnsi="Times New Roman"/>
          <w:szCs w:val="24"/>
          <w:lang w:eastAsia="cs-CZ"/>
        </w:rPr>
        <w:t>změně některých souvisejících zákonů</w:t>
      </w:r>
      <w:r>
        <w:rPr>
          <w:rFonts w:ascii="Times New Roman" w:hAnsi="Times New Roman"/>
          <w:szCs w:val="24"/>
          <w:lang w:eastAsia="cs-CZ"/>
        </w:rPr>
        <w:t xml:space="preserve"> </w:t>
      </w:r>
      <w:r w:rsidR="005C2698">
        <w:rPr>
          <w:rFonts w:ascii="Times New Roman" w:hAnsi="Times New Roman"/>
          <w:szCs w:val="24"/>
          <w:lang w:eastAsia="cs-CZ"/>
        </w:rPr>
        <w:t xml:space="preserve">matriční úřad. </w:t>
      </w:r>
      <w:r w:rsidR="005440A3">
        <w:rPr>
          <w:rFonts w:ascii="Times New Roman" w:hAnsi="Times New Roman"/>
          <w:szCs w:val="24"/>
          <w:lang w:eastAsia="cs-CZ"/>
        </w:rPr>
        <w:t xml:space="preserve">Teprve po vydání rodného listu nebo dokladu z matriky o přidělení rodného čísla může zákonný zástupce splnit svou </w:t>
      </w:r>
      <w:r w:rsidR="004007F3">
        <w:rPr>
          <w:rFonts w:ascii="Times New Roman" w:hAnsi="Times New Roman"/>
          <w:szCs w:val="24"/>
          <w:lang w:eastAsia="cs-CZ"/>
        </w:rPr>
        <w:t xml:space="preserve">oznamovací </w:t>
      </w:r>
      <w:r w:rsidR="005440A3">
        <w:rPr>
          <w:rFonts w:ascii="Times New Roman" w:hAnsi="Times New Roman"/>
          <w:szCs w:val="24"/>
          <w:lang w:eastAsia="cs-CZ"/>
        </w:rPr>
        <w:t xml:space="preserve">povinnost </w:t>
      </w:r>
      <w:r w:rsidR="004007F3">
        <w:rPr>
          <w:rFonts w:ascii="Times New Roman" w:hAnsi="Times New Roman"/>
          <w:szCs w:val="24"/>
          <w:lang w:eastAsia="cs-CZ"/>
        </w:rPr>
        <w:t xml:space="preserve">vůči zdravotní pojišťovně. </w:t>
      </w:r>
      <w:r w:rsidR="005F63DD">
        <w:rPr>
          <w:rFonts w:ascii="Times New Roman" w:hAnsi="Times New Roman"/>
          <w:szCs w:val="24"/>
          <w:lang w:eastAsia="cs-CZ"/>
        </w:rPr>
        <w:t>Dle současné právní úpravy však rodičům ode dne narození dítěte běží lhůta 8 dní na přihlášení novorozence ke zdravotní pojišťovně</w:t>
      </w:r>
      <w:r w:rsidR="00CB2023">
        <w:rPr>
          <w:rFonts w:ascii="Times New Roman" w:hAnsi="Times New Roman"/>
          <w:szCs w:val="24"/>
          <w:lang w:eastAsia="cs-CZ"/>
        </w:rPr>
        <w:t>, přičemž za nesplnění této povinnosti zákon v § 44 odst. 1 připouští uložení pokuty až do výše 10.000,- Kč</w:t>
      </w:r>
      <w:r w:rsidR="005F63DD">
        <w:rPr>
          <w:rFonts w:ascii="Times New Roman" w:hAnsi="Times New Roman"/>
          <w:szCs w:val="24"/>
          <w:lang w:eastAsia="cs-CZ"/>
        </w:rPr>
        <w:t xml:space="preserve">. </w:t>
      </w:r>
      <w:r w:rsidR="004007F3">
        <w:rPr>
          <w:rFonts w:ascii="Times New Roman" w:hAnsi="Times New Roman"/>
          <w:szCs w:val="24"/>
          <w:lang w:eastAsia="cs-CZ"/>
        </w:rPr>
        <w:t xml:space="preserve">To je problematické zejména s ohledem na skutečnost, že </w:t>
      </w:r>
      <w:r w:rsidR="003000BB">
        <w:rPr>
          <w:rFonts w:ascii="Times New Roman" w:hAnsi="Times New Roman"/>
          <w:szCs w:val="24"/>
          <w:lang w:eastAsia="cs-CZ"/>
        </w:rPr>
        <w:t>matriční úřady nejsou vázány žádnou lhůtou k přidělení rodného čísla a zároveň lhůta pro vydání rodného listu je 30 dn</w:t>
      </w:r>
      <w:r w:rsidR="00D07311">
        <w:rPr>
          <w:rFonts w:ascii="Times New Roman" w:hAnsi="Times New Roman"/>
          <w:szCs w:val="24"/>
          <w:lang w:eastAsia="cs-CZ"/>
        </w:rPr>
        <w:t xml:space="preserve">ů ve smyslu zákona č. </w:t>
      </w:r>
      <w:r w:rsidR="00D07311" w:rsidRPr="00D07311">
        <w:rPr>
          <w:rFonts w:ascii="Times New Roman" w:hAnsi="Times New Roman"/>
          <w:szCs w:val="24"/>
          <w:lang w:eastAsia="cs-CZ"/>
        </w:rPr>
        <w:t>500/2004 Sb., správní řád, ve znění pozdějších předpisů</w:t>
      </w:r>
      <w:r w:rsidR="003000BB">
        <w:rPr>
          <w:rFonts w:ascii="Times New Roman" w:hAnsi="Times New Roman"/>
          <w:szCs w:val="24"/>
          <w:lang w:eastAsia="cs-CZ"/>
        </w:rPr>
        <w:t>.</w:t>
      </w:r>
      <w:r w:rsidR="008654D8">
        <w:rPr>
          <w:rFonts w:ascii="Times New Roman" w:hAnsi="Times New Roman"/>
          <w:szCs w:val="24"/>
          <w:lang w:eastAsia="cs-CZ"/>
        </w:rPr>
        <w:t xml:space="preserve"> </w:t>
      </w:r>
    </w:p>
    <w:p w14:paraId="10EFA7FD" w14:textId="2DA3452A" w:rsidR="00512392" w:rsidRDefault="005F63DD" w:rsidP="00536B9C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Vzhledem k tomu, že </w:t>
      </w:r>
      <w:r w:rsidR="0088764F">
        <w:rPr>
          <w:rFonts w:ascii="Times New Roman" w:hAnsi="Times New Roman"/>
          <w:szCs w:val="24"/>
          <w:lang w:eastAsia="cs-CZ"/>
        </w:rPr>
        <w:t>zákonní zástupci dítěte nemohou novorozenci po jeho narození zvolit jinou pojišťovnu, než je pojišťovna matky (příp. otce, pokud není matka zdravotně pojištěna), není tedy nutné, aby to</w:t>
      </w:r>
      <w:r w:rsidR="00FF1349">
        <w:rPr>
          <w:rFonts w:ascii="Times New Roman" w:hAnsi="Times New Roman"/>
          <w:szCs w:val="24"/>
          <w:lang w:eastAsia="cs-CZ"/>
        </w:rPr>
        <w:t>u</w:t>
      </w:r>
      <w:r w:rsidR="0088764F">
        <w:rPr>
          <w:rFonts w:ascii="Times New Roman" w:hAnsi="Times New Roman"/>
          <w:szCs w:val="24"/>
          <w:lang w:eastAsia="cs-CZ"/>
        </w:rPr>
        <w:t>to čistě formalistick</w:t>
      </w:r>
      <w:r w:rsidR="00FF1349">
        <w:rPr>
          <w:rFonts w:ascii="Times New Roman" w:hAnsi="Times New Roman"/>
          <w:szCs w:val="24"/>
          <w:lang w:eastAsia="cs-CZ"/>
        </w:rPr>
        <w:t>ou</w:t>
      </w:r>
      <w:r w:rsidR="0088764F">
        <w:rPr>
          <w:rFonts w:ascii="Times New Roman" w:hAnsi="Times New Roman"/>
          <w:szCs w:val="24"/>
          <w:lang w:eastAsia="cs-CZ"/>
        </w:rPr>
        <w:t xml:space="preserve"> oznamovací povinnost</w:t>
      </w:r>
      <w:r w:rsidR="00FF1349">
        <w:rPr>
          <w:rFonts w:ascii="Times New Roman" w:hAnsi="Times New Roman"/>
          <w:szCs w:val="24"/>
          <w:lang w:eastAsia="cs-CZ"/>
        </w:rPr>
        <w:t>í</w:t>
      </w:r>
      <w:r w:rsidR="0088764F">
        <w:rPr>
          <w:rFonts w:ascii="Times New Roman" w:hAnsi="Times New Roman"/>
          <w:szCs w:val="24"/>
          <w:lang w:eastAsia="cs-CZ"/>
        </w:rPr>
        <w:t xml:space="preserve"> vůči zdravotním pojišťovnám byl</w:t>
      </w:r>
      <w:r w:rsidR="00FF1349">
        <w:rPr>
          <w:rFonts w:ascii="Times New Roman" w:hAnsi="Times New Roman"/>
          <w:szCs w:val="24"/>
          <w:lang w:eastAsia="cs-CZ"/>
        </w:rPr>
        <w:t xml:space="preserve">i zatěžováni rodiče novorozených dětí. </w:t>
      </w:r>
      <w:r w:rsidR="008654D8">
        <w:rPr>
          <w:rFonts w:ascii="Times New Roman" w:hAnsi="Times New Roman"/>
          <w:szCs w:val="24"/>
          <w:lang w:eastAsia="cs-CZ"/>
        </w:rPr>
        <w:t xml:space="preserve">Naopak je zcela logické, aby tato </w:t>
      </w:r>
      <w:r w:rsidR="008654D8">
        <w:rPr>
          <w:rFonts w:ascii="Times New Roman" w:hAnsi="Times New Roman"/>
          <w:szCs w:val="24"/>
          <w:lang w:eastAsia="cs-CZ"/>
        </w:rPr>
        <w:lastRenderedPageBreak/>
        <w:t>povinnost byla přenesena na matriční úřady, které novorozenému dítěti přiřazují rodné číslo a</w:t>
      </w:r>
      <w:r w:rsidR="000C0556">
        <w:rPr>
          <w:rFonts w:ascii="Times New Roman" w:hAnsi="Times New Roman"/>
          <w:szCs w:val="24"/>
          <w:lang w:eastAsia="cs-CZ"/>
        </w:rPr>
        <w:t> </w:t>
      </w:r>
      <w:r w:rsidR="008654D8">
        <w:rPr>
          <w:rFonts w:ascii="Times New Roman" w:hAnsi="Times New Roman"/>
          <w:szCs w:val="24"/>
          <w:lang w:eastAsia="cs-CZ"/>
        </w:rPr>
        <w:t xml:space="preserve">vydávají rodné listy. </w:t>
      </w:r>
      <w:r w:rsidR="00512392">
        <w:rPr>
          <w:rFonts w:ascii="Times New Roman" w:hAnsi="Times New Roman"/>
          <w:szCs w:val="24"/>
          <w:lang w:eastAsia="cs-CZ"/>
        </w:rPr>
        <w:tab/>
      </w:r>
    </w:p>
    <w:p w14:paraId="6BA11EB8" w14:textId="77777777" w:rsidR="00C44F03" w:rsidRDefault="00C44F03" w:rsidP="00536B9C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550C3C8C" w14:textId="77777777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>Vysvětlení principů</w:t>
      </w:r>
      <w:r w:rsidRPr="00CD6202">
        <w:rPr>
          <w:rFonts w:ascii="Times New Roman" w:hAnsi="Times New Roman"/>
          <w:b/>
          <w:szCs w:val="24"/>
          <w:lang w:eastAsia="cs-CZ"/>
        </w:rPr>
        <w:t xml:space="preserve"> navrhované</w:t>
      </w:r>
      <w:r>
        <w:rPr>
          <w:rFonts w:ascii="Times New Roman" w:hAnsi="Times New Roman"/>
          <w:b/>
          <w:szCs w:val="24"/>
          <w:lang w:eastAsia="cs-CZ"/>
        </w:rPr>
        <w:t xml:space="preserve"> právní úpravy</w:t>
      </w:r>
      <w:r w:rsidRPr="00CD6202">
        <w:rPr>
          <w:rFonts w:ascii="Times New Roman" w:hAnsi="Times New Roman"/>
          <w:b/>
          <w:szCs w:val="24"/>
          <w:lang w:eastAsia="cs-CZ"/>
        </w:rPr>
        <w:t xml:space="preserve"> </w:t>
      </w:r>
    </w:p>
    <w:p w14:paraId="517BA412" w14:textId="77777777" w:rsidR="00512392" w:rsidRDefault="00512392" w:rsidP="00DF1AB7">
      <w:pPr>
        <w:tabs>
          <w:tab w:val="left" w:pos="540"/>
        </w:tabs>
        <w:spacing w:line="276" w:lineRule="auto"/>
        <w:jc w:val="both"/>
        <w:rPr>
          <w:rFonts w:ascii="Times New Roman" w:hAnsi="Times New Roman"/>
          <w:b/>
          <w:szCs w:val="24"/>
          <w:lang w:eastAsia="cs-CZ"/>
        </w:rPr>
      </w:pPr>
      <w:r>
        <w:rPr>
          <w:rFonts w:ascii="Times New Roman" w:hAnsi="Times New Roman"/>
          <w:b/>
          <w:szCs w:val="24"/>
          <w:lang w:eastAsia="cs-CZ"/>
        </w:rPr>
        <w:tab/>
      </w:r>
    </w:p>
    <w:p w14:paraId="0341C03F" w14:textId="1474A7DB" w:rsidR="006D14D6" w:rsidRDefault="006D14D6" w:rsidP="00536B9C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Navrhovaná právní úprava </w:t>
      </w:r>
      <w:r w:rsidR="00517A52">
        <w:rPr>
          <w:rFonts w:ascii="Times New Roman" w:hAnsi="Times New Roman"/>
          <w:szCs w:val="24"/>
          <w:lang w:eastAsia="cs-CZ"/>
        </w:rPr>
        <w:t xml:space="preserve">reaguje na nevyhovující praxi, kdy nejčastěji rodiče novorozených dětí jsou povinni do 8 dní </w:t>
      </w:r>
      <w:r w:rsidR="00536B9C">
        <w:rPr>
          <w:rFonts w:ascii="Times New Roman" w:hAnsi="Times New Roman"/>
          <w:szCs w:val="24"/>
          <w:lang w:eastAsia="cs-CZ"/>
        </w:rPr>
        <w:t xml:space="preserve">splnit svou oznamovací povinnost vůči zdravotní pojišťovně a nahlásit narození dítěte, které se stává pojištěncem pojišťovny matky, případně otce, pokud matka není zdravotně pojištěná. </w:t>
      </w:r>
    </w:p>
    <w:p w14:paraId="6A17688B" w14:textId="3C3C64EF" w:rsidR="00886593" w:rsidRDefault="00536B9C" w:rsidP="00886593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Navrhovaná právní úprava </w:t>
      </w:r>
      <w:r w:rsidR="00886593">
        <w:rPr>
          <w:rFonts w:ascii="Times New Roman" w:hAnsi="Times New Roman"/>
          <w:szCs w:val="24"/>
          <w:lang w:eastAsia="cs-CZ"/>
        </w:rPr>
        <w:t xml:space="preserve">tedy v § 10 odst. 6 zákona </w:t>
      </w:r>
      <w:r w:rsidR="00156B21">
        <w:rPr>
          <w:rFonts w:ascii="Times New Roman" w:hAnsi="Times New Roman"/>
          <w:szCs w:val="24"/>
          <w:lang w:eastAsia="cs-CZ"/>
        </w:rPr>
        <w:t xml:space="preserve">přenáší povinnost ze zákonných zástupců, opatrovníků a poručníků na </w:t>
      </w:r>
      <w:r w:rsidR="001F325D">
        <w:rPr>
          <w:rFonts w:ascii="Times New Roman" w:hAnsi="Times New Roman"/>
          <w:szCs w:val="24"/>
          <w:lang w:eastAsia="cs-CZ"/>
        </w:rPr>
        <w:t xml:space="preserve">příslušné obecní úřady pověřené vedením matriky, neboť tyto přidělují rodná čísla novorozeným dětem, vystavují rodné listy a zároveň též po přidělení rodného čísla oznamují </w:t>
      </w:r>
      <w:r w:rsidR="00886593">
        <w:rPr>
          <w:rFonts w:ascii="Times New Roman" w:hAnsi="Times New Roman"/>
          <w:szCs w:val="24"/>
          <w:lang w:eastAsia="cs-CZ"/>
        </w:rPr>
        <w:t xml:space="preserve">narození dítěte </w:t>
      </w:r>
      <w:r w:rsidR="006D14D6" w:rsidRPr="006D14D6">
        <w:rPr>
          <w:rFonts w:ascii="Times New Roman" w:hAnsi="Times New Roman"/>
          <w:szCs w:val="24"/>
          <w:lang w:eastAsia="cs-CZ"/>
        </w:rPr>
        <w:t xml:space="preserve">Centrálnímu registru pojištěnců. </w:t>
      </w:r>
    </w:p>
    <w:p w14:paraId="104174C0" w14:textId="22DDA6B3" w:rsidR="00120339" w:rsidRPr="00120339" w:rsidRDefault="003528EE" w:rsidP="00120339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 příslušné obecní úřady pověřené vedením matriky byla tato povinnost převedena též z toho důvodu, že se jedná o čistě formalistickou záležitost, která </w:t>
      </w:r>
      <w:r w:rsidR="00120339">
        <w:rPr>
          <w:rFonts w:ascii="Times New Roman" w:hAnsi="Times New Roman"/>
          <w:szCs w:val="24"/>
          <w:lang w:eastAsia="cs-CZ"/>
        </w:rPr>
        <w:t xml:space="preserve">nadmíru zatěžuje zejména rodiče novorozených dětí, ačkoli zdravotní pojištění dítěte dle ustanovení </w:t>
      </w:r>
      <w:r w:rsidR="00120339" w:rsidRPr="00120339">
        <w:rPr>
          <w:rFonts w:ascii="Times New Roman" w:hAnsi="Times New Roman"/>
          <w:szCs w:val="24"/>
          <w:lang w:eastAsia="cs-CZ"/>
        </w:rPr>
        <w:t xml:space="preserve">§ 3 odst. 1 zákona </w:t>
      </w:r>
      <w:r w:rsidR="00120339">
        <w:rPr>
          <w:rFonts w:ascii="Times New Roman" w:hAnsi="Times New Roman"/>
          <w:szCs w:val="24"/>
          <w:lang w:eastAsia="cs-CZ"/>
        </w:rPr>
        <w:t>stanoví</w:t>
      </w:r>
      <w:r w:rsidR="00120339" w:rsidRPr="00120339">
        <w:rPr>
          <w:rFonts w:ascii="Times New Roman" w:hAnsi="Times New Roman"/>
          <w:szCs w:val="24"/>
          <w:lang w:eastAsia="cs-CZ"/>
        </w:rPr>
        <w:t xml:space="preserve">, že </w:t>
      </w:r>
      <w:r w:rsidR="00120339">
        <w:rPr>
          <w:rFonts w:ascii="Times New Roman" w:hAnsi="Times New Roman"/>
          <w:szCs w:val="24"/>
          <w:lang w:eastAsia="cs-CZ"/>
        </w:rPr>
        <w:t>z</w:t>
      </w:r>
      <w:r w:rsidR="00120339" w:rsidRPr="00120339">
        <w:rPr>
          <w:rFonts w:ascii="Times New Roman" w:hAnsi="Times New Roman"/>
          <w:szCs w:val="24"/>
          <w:lang w:eastAsia="cs-CZ"/>
        </w:rPr>
        <w:t>dravotní pojištění vzniká dnem narození, jde-li o osobu s trvalým pobytem na území České republiky.</w:t>
      </w:r>
    </w:p>
    <w:p w14:paraId="1F0F41FE" w14:textId="3100B211" w:rsidR="00886593" w:rsidRDefault="00886593" w:rsidP="00886593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>Z důvodu změny povinného subjektu</w:t>
      </w:r>
      <w:r w:rsidR="003528EE">
        <w:rPr>
          <w:rFonts w:ascii="Times New Roman" w:hAnsi="Times New Roman"/>
          <w:szCs w:val="24"/>
          <w:lang w:eastAsia="cs-CZ"/>
        </w:rPr>
        <w:t xml:space="preserve">, na </w:t>
      </w:r>
      <w:proofErr w:type="gramStart"/>
      <w:r w:rsidR="003528EE">
        <w:rPr>
          <w:rFonts w:ascii="Times New Roman" w:hAnsi="Times New Roman"/>
          <w:szCs w:val="24"/>
          <w:lang w:eastAsia="cs-CZ"/>
        </w:rPr>
        <w:t>kterého</w:t>
      </w:r>
      <w:proofErr w:type="gramEnd"/>
      <w:r w:rsidR="003528EE">
        <w:rPr>
          <w:rFonts w:ascii="Times New Roman" w:hAnsi="Times New Roman"/>
          <w:szCs w:val="24"/>
          <w:lang w:eastAsia="cs-CZ"/>
        </w:rPr>
        <w:t xml:space="preserve"> dopadá oznamovací povinnost</w:t>
      </w:r>
      <w:r w:rsidR="003D191C">
        <w:rPr>
          <w:rFonts w:ascii="Times New Roman" w:hAnsi="Times New Roman"/>
          <w:szCs w:val="24"/>
          <w:lang w:eastAsia="cs-CZ"/>
        </w:rPr>
        <w:t>,</w:t>
      </w:r>
      <w:r w:rsidR="003528EE">
        <w:rPr>
          <w:rFonts w:ascii="Times New Roman" w:hAnsi="Times New Roman"/>
          <w:szCs w:val="24"/>
          <w:lang w:eastAsia="cs-CZ"/>
        </w:rPr>
        <w:t xml:space="preserve"> bylo </w:t>
      </w:r>
      <w:r w:rsidR="00AD6D7F">
        <w:rPr>
          <w:rFonts w:ascii="Times New Roman" w:hAnsi="Times New Roman"/>
          <w:szCs w:val="24"/>
          <w:lang w:eastAsia="cs-CZ"/>
        </w:rPr>
        <w:t xml:space="preserve">nutné </w:t>
      </w:r>
      <w:r w:rsidR="00304729">
        <w:rPr>
          <w:rFonts w:ascii="Times New Roman" w:hAnsi="Times New Roman"/>
          <w:szCs w:val="24"/>
          <w:lang w:eastAsia="cs-CZ"/>
        </w:rPr>
        <w:t>zpřesnit</w:t>
      </w:r>
      <w:r w:rsidR="00AD6D7F">
        <w:rPr>
          <w:rFonts w:ascii="Times New Roman" w:hAnsi="Times New Roman"/>
          <w:szCs w:val="24"/>
          <w:lang w:eastAsia="cs-CZ"/>
        </w:rPr>
        <w:t xml:space="preserve"> i nastavení ukládání </w:t>
      </w:r>
      <w:r w:rsidR="00304729">
        <w:rPr>
          <w:rFonts w:ascii="Times New Roman" w:hAnsi="Times New Roman"/>
          <w:szCs w:val="24"/>
          <w:lang w:eastAsia="cs-CZ"/>
        </w:rPr>
        <w:t xml:space="preserve">sankcí v </w:t>
      </w:r>
      <w:r w:rsidR="003D191C">
        <w:rPr>
          <w:rFonts w:ascii="Times New Roman" w:hAnsi="Times New Roman"/>
          <w:szCs w:val="24"/>
          <w:lang w:eastAsia="cs-CZ"/>
        </w:rPr>
        <w:t>ustanovení</w:t>
      </w:r>
      <w:r w:rsidR="00AD6D7F">
        <w:rPr>
          <w:rFonts w:ascii="Times New Roman" w:hAnsi="Times New Roman"/>
          <w:szCs w:val="24"/>
          <w:lang w:eastAsia="cs-CZ"/>
        </w:rPr>
        <w:t xml:space="preserve"> § 44 odst. 1 zákona</w:t>
      </w:r>
      <w:r w:rsidR="003D191C">
        <w:rPr>
          <w:rFonts w:ascii="Times New Roman" w:hAnsi="Times New Roman"/>
          <w:szCs w:val="24"/>
          <w:lang w:eastAsia="cs-CZ"/>
        </w:rPr>
        <w:t>. Zaměstnavatel a pojištěnec tak můžou být i nadále sankcionováni pokutou z důvodu porušení oznamovací povinnosti vyplývající z § 10 odst. 1 až 5, obecnímu úřadu pověřenému vedením matriky pokutu za porušení oznamovací povinnosti vyplývající z § 10 odst. 6 a 7 uložit nelze</w:t>
      </w:r>
      <w:r w:rsidR="00AD6D7F">
        <w:rPr>
          <w:rFonts w:ascii="Times New Roman" w:hAnsi="Times New Roman"/>
          <w:szCs w:val="24"/>
          <w:lang w:eastAsia="cs-CZ"/>
        </w:rPr>
        <w:t xml:space="preserve">. </w:t>
      </w:r>
    </w:p>
    <w:p w14:paraId="6F165038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46106170" w14:textId="55757A2D" w:rsidR="00512392" w:rsidRDefault="00512392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F711EF">
        <w:rPr>
          <w:rFonts w:ascii="Times New Roman" w:hAnsi="Times New Roman"/>
          <w:b/>
          <w:szCs w:val="24"/>
          <w:lang w:eastAsia="cs-CZ"/>
        </w:rPr>
        <w:t>Zhodnocení souladu navrhované právní úpravy s </w:t>
      </w:r>
      <w:r>
        <w:rPr>
          <w:rFonts w:ascii="Times New Roman" w:hAnsi="Times New Roman"/>
          <w:b/>
          <w:szCs w:val="24"/>
          <w:lang w:eastAsia="cs-CZ"/>
        </w:rPr>
        <w:t>ú</w:t>
      </w:r>
      <w:r w:rsidRPr="00F711EF">
        <w:rPr>
          <w:rFonts w:ascii="Times New Roman" w:hAnsi="Times New Roman"/>
          <w:b/>
          <w:szCs w:val="24"/>
          <w:lang w:eastAsia="cs-CZ"/>
        </w:rPr>
        <w:t>stavním pořádkem České republiky</w:t>
      </w:r>
    </w:p>
    <w:p w14:paraId="7D76F182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571BF0AD" w14:textId="2F40D46E" w:rsidR="00FE7FCA" w:rsidRDefault="00FB7547" w:rsidP="00911F45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 w:rsidRPr="00FB7547">
        <w:rPr>
          <w:rFonts w:ascii="Times New Roman" w:hAnsi="Times New Roman"/>
          <w:szCs w:val="24"/>
          <w:lang w:eastAsia="cs-CZ"/>
        </w:rPr>
        <w:t xml:space="preserve">Navrhovaná právní úprava je v souladu s ústavním pořádkem České republiky, zejména s čl. </w:t>
      </w:r>
      <w:r w:rsidR="00390EF7">
        <w:rPr>
          <w:rFonts w:ascii="Times New Roman" w:hAnsi="Times New Roman"/>
          <w:szCs w:val="24"/>
          <w:lang w:eastAsia="cs-CZ"/>
        </w:rPr>
        <w:t>32</w:t>
      </w:r>
      <w:r w:rsidRPr="00FB7547">
        <w:rPr>
          <w:rFonts w:ascii="Times New Roman" w:hAnsi="Times New Roman"/>
          <w:szCs w:val="24"/>
          <w:lang w:eastAsia="cs-CZ"/>
        </w:rPr>
        <w:t xml:space="preserve"> Listiny základních práv a svobod přijaté ústavním zákonem č. 2/1993 Sb., jímž je zakotveno </w:t>
      </w:r>
      <w:r w:rsidR="00F82364">
        <w:rPr>
          <w:rFonts w:ascii="Times New Roman" w:hAnsi="Times New Roman"/>
          <w:szCs w:val="24"/>
          <w:lang w:eastAsia="cs-CZ"/>
        </w:rPr>
        <w:t xml:space="preserve">právo na rodičovství a rodinu. </w:t>
      </w:r>
    </w:p>
    <w:p w14:paraId="65ECFEC7" w14:textId="77777777" w:rsidR="00512392" w:rsidRDefault="00FB7547" w:rsidP="00911F45">
      <w:pPr>
        <w:tabs>
          <w:tab w:val="left" w:pos="540"/>
        </w:tabs>
        <w:snapToGrid w:val="0"/>
        <w:spacing w:after="120" w:line="360" w:lineRule="auto"/>
        <w:jc w:val="both"/>
        <w:rPr>
          <w:rFonts w:ascii="Times New Roman" w:hAnsi="Times New Roman"/>
          <w:szCs w:val="24"/>
          <w:lang w:eastAsia="cs-CZ"/>
        </w:rPr>
      </w:pPr>
      <w:r w:rsidRPr="00FB7547">
        <w:rPr>
          <w:rFonts w:ascii="Times New Roman" w:hAnsi="Times New Roman"/>
          <w:szCs w:val="24"/>
          <w:lang w:eastAsia="cs-CZ"/>
        </w:rPr>
        <w:t>Navrhovaná právní úprava splňuje požadavky testu proporcionality, neboť přijatá opatření jsou vhodná k dosažení právní úpravou sledovaného účelu a mohou vést k zákonem sledovanému cíli.</w:t>
      </w:r>
      <w:r w:rsidR="00512392">
        <w:rPr>
          <w:rFonts w:ascii="Times New Roman" w:hAnsi="Times New Roman"/>
          <w:szCs w:val="24"/>
          <w:lang w:eastAsia="cs-CZ"/>
        </w:rPr>
        <w:tab/>
        <w:t xml:space="preserve"> </w:t>
      </w:r>
    </w:p>
    <w:p w14:paraId="52878F43" w14:textId="77777777" w:rsidR="003D191C" w:rsidRPr="00873A0A" w:rsidRDefault="003D191C" w:rsidP="003D191C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lastRenderedPageBreak/>
        <w:t xml:space="preserve">Zhodnocení slučitelnosti navrhované právní úpravy s předpisy Evropské unie, judikaturou soudních dvorů orgánů Evropské unie nebo obecnými právními zásadami práva Evropské unie </w:t>
      </w:r>
    </w:p>
    <w:p w14:paraId="358FE916" w14:textId="77777777" w:rsidR="003D191C" w:rsidRPr="00873A0A" w:rsidRDefault="003D191C" w:rsidP="003D191C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CEDD279" w14:textId="77777777" w:rsidR="003D191C" w:rsidRPr="00873A0A" w:rsidRDefault="003D191C" w:rsidP="003D191C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 w:rsidRPr="00873A0A">
        <w:rPr>
          <w:rFonts w:ascii="Times New Roman" w:hAnsi="Times New Roman"/>
          <w:szCs w:val="24"/>
          <w:lang w:eastAsia="cs-CZ"/>
        </w:rPr>
        <w:t>Návrh zákona je v souladu s předpisy Evropské unie, judikaturou soudních dvorů orgánů Evropské unie nebo obecnými právními zásadami práva Evropské unie.</w:t>
      </w:r>
    </w:p>
    <w:p w14:paraId="7AB051DB" w14:textId="77777777" w:rsidR="003D191C" w:rsidRPr="00873A0A" w:rsidRDefault="003D191C" w:rsidP="003D191C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59413FF5" w14:textId="77777777" w:rsidR="003D191C" w:rsidRPr="00873A0A" w:rsidRDefault="003D191C" w:rsidP="003D191C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 xml:space="preserve">Zhodnocení souladu navrhované právní úpravy s mezinárodními smlouvami, jimiž je Česká republika vázána </w:t>
      </w:r>
    </w:p>
    <w:p w14:paraId="373F8E85" w14:textId="77777777" w:rsidR="003D191C" w:rsidRPr="00873A0A" w:rsidRDefault="003D191C" w:rsidP="003D191C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4BFD6138" w14:textId="21694968" w:rsidR="003D191C" w:rsidRDefault="003D191C" w:rsidP="00911F45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 w:rsidRPr="00873A0A">
        <w:rPr>
          <w:rFonts w:ascii="Times New Roman" w:hAnsi="Times New Roman"/>
          <w:szCs w:val="24"/>
          <w:lang w:eastAsia="cs-CZ"/>
        </w:rPr>
        <w:t>Návrh zákona je v souladu s mezinárodními úmluvami, jimiž je Česká republika vázána.</w:t>
      </w:r>
    </w:p>
    <w:p w14:paraId="5206D941" w14:textId="77777777" w:rsidR="00AD764D" w:rsidRDefault="00AD764D" w:rsidP="00911F45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</w:p>
    <w:p w14:paraId="6BC962EF" w14:textId="083A9D6A" w:rsidR="00512392" w:rsidRDefault="003D191C" w:rsidP="00512392">
      <w:pPr>
        <w:pStyle w:val="Odstavecseseznamem"/>
        <w:numPr>
          <w:ilvl w:val="0"/>
          <w:numId w:val="42"/>
        </w:numPr>
        <w:tabs>
          <w:tab w:val="left" w:pos="540"/>
        </w:tabs>
        <w:suppressAutoHyphens w:val="0"/>
        <w:jc w:val="both"/>
        <w:rPr>
          <w:rFonts w:ascii="Times New Roman" w:hAnsi="Times New Roman"/>
          <w:b/>
          <w:szCs w:val="24"/>
          <w:lang w:eastAsia="cs-CZ"/>
        </w:rPr>
      </w:pPr>
      <w:r w:rsidRPr="00873A0A">
        <w:rPr>
          <w:rFonts w:ascii="Times New Roman" w:hAnsi="Times New Roman"/>
          <w:b/>
          <w:szCs w:val="24"/>
          <w:lang w:eastAsia="cs-CZ"/>
        </w:rPr>
        <w:t>Předpokládaný hospodářský a finanční dopad navrhované právní úpravy na státní rozpočet, ostatní veřejné rozpočty</w:t>
      </w:r>
    </w:p>
    <w:p w14:paraId="27E5603D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25A9CFEA" w14:textId="651169F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 xml:space="preserve">Navrhovaná právní úprava </w:t>
      </w:r>
      <w:r w:rsidR="00AD764D">
        <w:rPr>
          <w:rFonts w:ascii="Times New Roman" w:hAnsi="Times New Roman"/>
          <w:szCs w:val="24"/>
          <w:lang w:eastAsia="cs-CZ"/>
        </w:rPr>
        <w:t>ne</w:t>
      </w:r>
      <w:r>
        <w:rPr>
          <w:rFonts w:ascii="Times New Roman" w:hAnsi="Times New Roman"/>
          <w:szCs w:val="24"/>
          <w:lang w:eastAsia="cs-CZ"/>
        </w:rPr>
        <w:t xml:space="preserve">bude mít vliv na státní rozpočet a rozpočty obcí a krajů. </w:t>
      </w:r>
    </w:p>
    <w:p w14:paraId="7E9A0FFB" w14:textId="77777777" w:rsidR="00512392" w:rsidRDefault="00512392" w:rsidP="00512392">
      <w:pPr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br w:type="page"/>
      </w:r>
    </w:p>
    <w:p w14:paraId="7764176D" w14:textId="77777777" w:rsidR="00512392" w:rsidRPr="00982A88" w:rsidRDefault="00512392" w:rsidP="00512392">
      <w:pPr>
        <w:pStyle w:val="Odstavecseseznamem"/>
        <w:numPr>
          <w:ilvl w:val="0"/>
          <w:numId w:val="43"/>
        </w:numPr>
        <w:tabs>
          <w:tab w:val="left" w:pos="540"/>
        </w:tabs>
        <w:suppressAutoHyphens w:val="0"/>
        <w:ind w:left="426"/>
        <w:rPr>
          <w:rFonts w:ascii="Times New Roman" w:hAnsi="Times New Roman"/>
          <w:b/>
          <w:sz w:val="26"/>
          <w:szCs w:val="26"/>
          <w:lang w:eastAsia="cs-CZ"/>
        </w:rPr>
      </w:pPr>
      <w:r w:rsidRPr="00982A88">
        <w:rPr>
          <w:rFonts w:ascii="Times New Roman" w:hAnsi="Times New Roman"/>
          <w:b/>
          <w:sz w:val="26"/>
          <w:szCs w:val="26"/>
          <w:lang w:eastAsia="cs-CZ"/>
        </w:rPr>
        <w:lastRenderedPageBreak/>
        <w:t>Zvláštní část</w:t>
      </w:r>
    </w:p>
    <w:p w14:paraId="55E3AB8E" w14:textId="77777777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1A394346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2EEF48D1" w14:textId="2CC93D23" w:rsidR="008B43C0" w:rsidRPr="00352C0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352C07">
        <w:rPr>
          <w:rFonts w:ascii="Times New Roman" w:hAnsi="Times New Roman"/>
          <w:b/>
          <w:szCs w:val="24"/>
          <w:u w:val="single"/>
          <w:lang w:eastAsia="cs-CZ"/>
        </w:rPr>
        <w:t xml:space="preserve">K Čl. I </w:t>
      </w:r>
    </w:p>
    <w:p w14:paraId="421F534D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46CB8D6F" w14:textId="3F3B3EEF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352C07">
        <w:rPr>
          <w:rFonts w:ascii="Times New Roman" w:hAnsi="Times New Roman"/>
          <w:b/>
          <w:szCs w:val="24"/>
          <w:u w:val="single"/>
          <w:lang w:eastAsia="cs-CZ"/>
        </w:rPr>
        <w:t>K bodu 1</w:t>
      </w:r>
    </w:p>
    <w:p w14:paraId="5EEA1AC8" w14:textId="77777777" w:rsidR="008B43C0" w:rsidRPr="00352C07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09FDBAB6" w14:textId="2C3F47A4" w:rsidR="00FB7547" w:rsidRPr="002D009D" w:rsidRDefault="008B43C0" w:rsidP="002D009D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 w:rsidRPr="002D009D">
        <w:rPr>
          <w:rFonts w:ascii="Times New Roman" w:hAnsi="Times New Roman"/>
          <w:szCs w:val="24"/>
          <w:lang w:eastAsia="cs-CZ"/>
        </w:rPr>
        <w:t xml:space="preserve">Navrhuje se, aby </w:t>
      </w:r>
      <w:r w:rsidR="002D009D" w:rsidRPr="002D009D">
        <w:rPr>
          <w:rFonts w:ascii="Times New Roman" w:hAnsi="Times New Roman"/>
          <w:szCs w:val="24"/>
          <w:lang w:eastAsia="cs-CZ"/>
        </w:rPr>
        <w:t xml:space="preserve">oznamovací </w:t>
      </w:r>
      <w:r w:rsidRPr="002D009D">
        <w:rPr>
          <w:rFonts w:ascii="Times New Roman" w:hAnsi="Times New Roman"/>
          <w:szCs w:val="24"/>
          <w:lang w:eastAsia="cs-CZ"/>
        </w:rPr>
        <w:t xml:space="preserve">povinnost </w:t>
      </w:r>
      <w:r w:rsidR="002D009D" w:rsidRPr="002D009D">
        <w:rPr>
          <w:rFonts w:ascii="Times New Roman" w:hAnsi="Times New Roman"/>
          <w:szCs w:val="24"/>
          <w:lang w:eastAsia="cs-CZ"/>
        </w:rPr>
        <w:t xml:space="preserve">zákonných zástupců, opatrovníků nebo poručníků vůči zdravotním pojišťovnám o narození dítěte byla přenesena na příslušné obecní úřady pověřené vedením matriky. </w:t>
      </w:r>
      <w:r w:rsidR="00426561">
        <w:rPr>
          <w:rFonts w:ascii="Times New Roman" w:hAnsi="Times New Roman"/>
          <w:szCs w:val="24"/>
          <w:lang w:eastAsia="cs-CZ"/>
        </w:rPr>
        <w:t>Tyto obecní úřady zároveň přidělují rodná čísla novorozeným dětem a</w:t>
      </w:r>
      <w:r w:rsidR="00B4455C">
        <w:rPr>
          <w:rFonts w:ascii="Times New Roman" w:hAnsi="Times New Roman"/>
          <w:szCs w:val="24"/>
          <w:lang w:eastAsia="cs-CZ"/>
        </w:rPr>
        <w:t> </w:t>
      </w:r>
      <w:r w:rsidR="00426561">
        <w:rPr>
          <w:rFonts w:ascii="Times New Roman" w:hAnsi="Times New Roman"/>
          <w:szCs w:val="24"/>
          <w:lang w:eastAsia="cs-CZ"/>
        </w:rPr>
        <w:t xml:space="preserve">vystavují rodné listy, na základě čehož je teprve možné splnit oznamovací povinnost </w:t>
      </w:r>
      <w:proofErr w:type="gramStart"/>
      <w:r w:rsidR="00426561">
        <w:rPr>
          <w:rFonts w:ascii="Times New Roman" w:hAnsi="Times New Roman"/>
          <w:szCs w:val="24"/>
          <w:lang w:eastAsia="cs-CZ"/>
        </w:rPr>
        <w:t>vůči</w:t>
      </w:r>
      <w:proofErr w:type="gramEnd"/>
      <w:r w:rsidR="00426561">
        <w:rPr>
          <w:rFonts w:ascii="Times New Roman" w:hAnsi="Times New Roman"/>
          <w:szCs w:val="24"/>
          <w:lang w:eastAsia="cs-CZ"/>
        </w:rPr>
        <w:t xml:space="preserve"> zdravotní pojišťovně.  </w:t>
      </w:r>
    </w:p>
    <w:p w14:paraId="14E59B9F" w14:textId="77777777" w:rsidR="008B43C0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7B57C46C" w14:textId="56126131" w:rsidR="00FB7547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8B43C0">
        <w:rPr>
          <w:rFonts w:ascii="Times New Roman" w:hAnsi="Times New Roman"/>
          <w:b/>
          <w:szCs w:val="24"/>
          <w:u w:val="single"/>
          <w:lang w:eastAsia="cs-CZ"/>
        </w:rPr>
        <w:t>K bodu 2</w:t>
      </w:r>
    </w:p>
    <w:p w14:paraId="1A277C48" w14:textId="12AC19B3" w:rsidR="008B43C0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6F62A790" w14:textId="1A592B29" w:rsidR="00B4455C" w:rsidRPr="008162E1" w:rsidRDefault="00B4455C" w:rsidP="008162E1">
      <w:pPr>
        <w:tabs>
          <w:tab w:val="left" w:pos="540"/>
        </w:tabs>
        <w:spacing w:line="360" w:lineRule="auto"/>
        <w:jc w:val="both"/>
        <w:rPr>
          <w:rFonts w:ascii="Times New Roman" w:hAnsi="Times New Roman"/>
          <w:szCs w:val="24"/>
          <w:lang w:eastAsia="cs-CZ"/>
        </w:rPr>
      </w:pPr>
      <w:r w:rsidRPr="008162E1">
        <w:rPr>
          <w:rFonts w:ascii="Times New Roman" w:hAnsi="Times New Roman"/>
          <w:szCs w:val="24"/>
          <w:lang w:eastAsia="cs-CZ"/>
        </w:rPr>
        <w:t>S ohledem na změnu povinného subjektu majícího oznamovací povinnost bylo nutné z</w:t>
      </w:r>
      <w:r w:rsidR="00C44F03">
        <w:rPr>
          <w:rFonts w:ascii="Times New Roman" w:hAnsi="Times New Roman"/>
          <w:szCs w:val="24"/>
          <w:lang w:eastAsia="cs-CZ"/>
        </w:rPr>
        <w:t>přesnit</w:t>
      </w:r>
      <w:r w:rsidRPr="008162E1">
        <w:rPr>
          <w:rFonts w:ascii="Times New Roman" w:hAnsi="Times New Roman"/>
          <w:szCs w:val="24"/>
          <w:lang w:eastAsia="cs-CZ"/>
        </w:rPr>
        <w:t xml:space="preserve"> též sankce za </w:t>
      </w:r>
      <w:r w:rsidR="00E0609D">
        <w:rPr>
          <w:rFonts w:ascii="Times New Roman" w:hAnsi="Times New Roman"/>
          <w:szCs w:val="24"/>
          <w:lang w:eastAsia="cs-CZ"/>
        </w:rPr>
        <w:t>nesplnění</w:t>
      </w:r>
      <w:r w:rsidRPr="008162E1">
        <w:rPr>
          <w:rFonts w:ascii="Times New Roman" w:hAnsi="Times New Roman"/>
          <w:szCs w:val="24"/>
          <w:lang w:eastAsia="cs-CZ"/>
        </w:rPr>
        <w:t xml:space="preserve"> této povinnosti. </w:t>
      </w:r>
    </w:p>
    <w:p w14:paraId="21E4C7BE" w14:textId="77777777" w:rsidR="008B43C0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2F34C604" w14:textId="77777777" w:rsidR="008B43C0" w:rsidRPr="008B43C0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71175D4A" w14:textId="47EC575A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  <w:r w:rsidRPr="008B43C0">
        <w:rPr>
          <w:rFonts w:ascii="Times New Roman" w:hAnsi="Times New Roman"/>
          <w:b/>
          <w:szCs w:val="24"/>
          <w:u w:val="single"/>
          <w:lang w:eastAsia="cs-CZ"/>
        </w:rPr>
        <w:t>K čl. II</w:t>
      </w:r>
    </w:p>
    <w:p w14:paraId="50DFE09A" w14:textId="37B843AB" w:rsidR="008B43C0" w:rsidRDefault="008B43C0" w:rsidP="00FB7547">
      <w:pPr>
        <w:tabs>
          <w:tab w:val="left" w:pos="540"/>
        </w:tabs>
        <w:jc w:val="both"/>
        <w:rPr>
          <w:rFonts w:ascii="Times New Roman" w:hAnsi="Times New Roman"/>
          <w:b/>
          <w:szCs w:val="24"/>
          <w:u w:val="single"/>
          <w:lang w:eastAsia="cs-CZ"/>
        </w:rPr>
      </w:pPr>
    </w:p>
    <w:p w14:paraId="2862DC0A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u w:val="single"/>
          <w:lang w:eastAsia="cs-CZ"/>
        </w:rPr>
      </w:pPr>
    </w:p>
    <w:p w14:paraId="667945EC" w14:textId="5E83D2E7" w:rsidR="00FB7547" w:rsidRDefault="00993609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</w:rPr>
        <w:t xml:space="preserve">Tento zákon nabývá účinnosti 1. </w:t>
      </w:r>
      <w:r w:rsidR="00345B2B">
        <w:rPr>
          <w:rFonts w:ascii="Times New Roman" w:hAnsi="Times New Roman"/>
          <w:szCs w:val="24"/>
        </w:rPr>
        <w:t>července</w:t>
      </w:r>
      <w:bookmarkStart w:id="0" w:name="_GoBack"/>
      <w:bookmarkEnd w:id="0"/>
      <w:r>
        <w:rPr>
          <w:rFonts w:ascii="Times New Roman" w:hAnsi="Times New Roman"/>
          <w:szCs w:val="24"/>
        </w:rPr>
        <w:t xml:space="preserve"> 2021</w:t>
      </w:r>
      <w:r w:rsidRPr="00E44668">
        <w:rPr>
          <w:rFonts w:ascii="Times New Roman" w:hAnsi="Times New Roman"/>
          <w:szCs w:val="24"/>
        </w:rPr>
        <w:t>.</w:t>
      </w:r>
    </w:p>
    <w:p w14:paraId="557C4AF8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1C54FCF0" w14:textId="77777777" w:rsidR="00FB7547" w:rsidRDefault="00FB7547" w:rsidP="00FB7547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17CB055B" w14:textId="77777777" w:rsidR="004E6956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>
        <w:rPr>
          <w:rFonts w:ascii="Times New Roman" w:hAnsi="Times New Roman"/>
          <w:szCs w:val="24"/>
          <w:lang w:eastAsia="cs-CZ"/>
        </w:rPr>
        <w:t>V Praze dne 5. května 2020</w:t>
      </w:r>
    </w:p>
    <w:p w14:paraId="62993817" w14:textId="77777777" w:rsidR="004E6956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2B09C7DD" w14:textId="77777777" w:rsidR="004E6956" w:rsidRDefault="004E6956" w:rsidP="004E6956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31452647" w14:textId="77777777" w:rsidR="004E6956" w:rsidRDefault="004E6956" w:rsidP="004E6956">
      <w:pPr>
        <w:tabs>
          <w:tab w:val="left" w:pos="540"/>
        </w:tabs>
        <w:jc w:val="both"/>
        <w:rPr>
          <w:rFonts w:ascii="Times New Roman" w:hAnsi="Times New Roman"/>
          <w:b/>
          <w:szCs w:val="24"/>
          <w:lang w:eastAsia="cs-CZ"/>
        </w:rPr>
      </w:pPr>
    </w:p>
    <w:p w14:paraId="44DA4616" w14:textId="77777777" w:rsidR="004E6956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510D10">
        <w:rPr>
          <w:rFonts w:ascii="Times New Roman" w:hAnsi="Times New Roman"/>
          <w:b/>
          <w:szCs w:val="24"/>
          <w:lang w:eastAsia="cs-CZ"/>
        </w:rPr>
        <w:t>Předkladatelé:</w:t>
      </w:r>
      <w:r>
        <w:rPr>
          <w:rFonts w:ascii="Times New Roman" w:hAnsi="Times New Roman"/>
          <w:b/>
          <w:szCs w:val="24"/>
          <w:lang w:eastAsia="cs-CZ"/>
        </w:rPr>
        <w:tab/>
      </w:r>
      <w:r>
        <w:rPr>
          <w:rFonts w:ascii="Times New Roman" w:hAnsi="Times New Roman"/>
          <w:szCs w:val="24"/>
          <w:lang w:eastAsia="cs-CZ"/>
        </w:rPr>
        <w:t xml:space="preserve"> </w:t>
      </w:r>
    </w:p>
    <w:p w14:paraId="04BFA119" w14:textId="77777777" w:rsidR="004E6956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4693ED29" w14:textId="77777777" w:rsidR="004E6956" w:rsidRPr="00E44668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Mgr. Vít Rakušan v. r.</w:t>
      </w:r>
    </w:p>
    <w:p w14:paraId="33FE16C3" w14:textId="77777777" w:rsidR="004E6956" w:rsidRPr="00E44668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Ing. Věra Kovářová v. r.</w:t>
      </w:r>
    </w:p>
    <w:p w14:paraId="35BBFAA7" w14:textId="77777777" w:rsidR="004E6956" w:rsidRPr="00E44668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Mgr. Jan Farský v. r.</w:t>
      </w:r>
    </w:p>
    <w:p w14:paraId="078B9AE9" w14:textId="77777777" w:rsidR="004E6956" w:rsidRPr="00E44668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Mgr. Petr Gazdík v. r.</w:t>
      </w:r>
    </w:p>
    <w:p w14:paraId="11C27FA4" w14:textId="77777777" w:rsidR="004E6956" w:rsidRPr="00E44668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 xml:space="preserve">Ing. Jana </w:t>
      </w:r>
      <w:proofErr w:type="spellStart"/>
      <w:r w:rsidRPr="00E44668">
        <w:rPr>
          <w:rFonts w:ascii="Times New Roman" w:hAnsi="Times New Roman"/>
          <w:szCs w:val="24"/>
          <w:lang w:eastAsia="cs-CZ"/>
        </w:rPr>
        <w:t>Krutáková</w:t>
      </w:r>
      <w:proofErr w:type="spellEnd"/>
      <w:r w:rsidRPr="00E44668">
        <w:rPr>
          <w:rFonts w:ascii="Times New Roman" w:hAnsi="Times New Roman"/>
          <w:szCs w:val="24"/>
          <w:lang w:eastAsia="cs-CZ"/>
        </w:rPr>
        <w:t xml:space="preserve"> v. r.</w:t>
      </w:r>
    </w:p>
    <w:p w14:paraId="6DA76362" w14:textId="77777777" w:rsidR="004E6956" w:rsidRDefault="004E6956" w:rsidP="004E6956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  <w:r w:rsidRPr="00E44668">
        <w:rPr>
          <w:rFonts w:ascii="Times New Roman" w:hAnsi="Times New Roman"/>
          <w:szCs w:val="24"/>
          <w:lang w:eastAsia="cs-CZ"/>
        </w:rPr>
        <w:t>Ing. Petr Pávek v. r.</w:t>
      </w:r>
    </w:p>
    <w:p w14:paraId="7B800887" w14:textId="69D9841B" w:rsidR="00512392" w:rsidRDefault="00512392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58ADF332" w14:textId="2457BAE1" w:rsidR="00C44F03" w:rsidRDefault="00C44F0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54A90AED" w14:textId="741500FC" w:rsidR="00C44F03" w:rsidRDefault="00C44F0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4D3AA0C" w14:textId="272F7AC8" w:rsidR="00C44F03" w:rsidRDefault="00C44F0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3861E20" w14:textId="2B3E98CE" w:rsidR="00C44F03" w:rsidRDefault="00C44F0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1B78CEE3" w14:textId="04A588D9" w:rsidR="00C44F03" w:rsidRDefault="00C44F0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5D7FB104" w14:textId="06B6CB89" w:rsidR="00C44F03" w:rsidRDefault="00C44F0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2DAAFB85" w14:textId="137FF25D" w:rsidR="00C44F03" w:rsidRDefault="00C44F0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6FF46B19" w14:textId="05A837A5" w:rsidR="00C44F03" w:rsidRDefault="00C44F03" w:rsidP="00512392">
      <w:pPr>
        <w:tabs>
          <w:tab w:val="left" w:pos="540"/>
        </w:tabs>
        <w:jc w:val="both"/>
        <w:rPr>
          <w:rFonts w:ascii="Times New Roman" w:hAnsi="Times New Roman"/>
          <w:szCs w:val="24"/>
          <w:lang w:eastAsia="cs-CZ"/>
        </w:rPr>
      </w:pPr>
    </w:p>
    <w:p w14:paraId="50815373" w14:textId="74E6164E" w:rsidR="00761A43" w:rsidRPr="001454D7" w:rsidRDefault="00761A43" w:rsidP="00761A43">
      <w:pPr>
        <w:spacing w:after="360" w:line="276" w:lineRule="auto"/>
        <w:jc w:val="both"/>
        <w:rPr>
          <w:rFonts w:ascii="Times New Roman" w:hAnsi="Times New Roman"/>
          <w:szCs w:val="24"/>
        </w:rPr>
      </w:pPr>
    </w:p>
    <w:sectPr w:rsidR="00761A43" w:rsidRPr="001454D7" w:rsidSect="00B8299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46604" w14:textId="77777777" w:rsidR="00CE513A" w:rsidRDefault="00CE513A">
      <w:r>
        <w:separator/>
      </w:r>
    </w:p>
  </w:endnote>
  <w:endnote w:type="continuationSeparator" w:id="0">
    <w:p w14:paraId="0925CBAE" w14:textId="77777777" w:rsidR="00CE513A" w:rsidRDefault="00CE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0807209"/>
      <w:docPartObj>
        <w:docPartGallery w:val="Page Numbers (Bottom of Page)"/>
        <w:docPartUnique/>
      </w:docPartObj>
    </w:sdtPr>
    <w:sdtEndPr/>
    <w:sdtContent>
      <w:p w14:paraId="73C9D1E2" w14:textId="582A77D9" w:rsidR="007A18E2" w:rsidRDefault="007A18E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B2B">
          <w:rPr>
            <w:noProof/>
          </w:rPr>
          <w:t>4</w:t>
        </w:r>
        <w:r>
          <w:fldChar w:fldCharType="end"/>
        </w:r>
      </w:p>
    </w:sdtContent>
  </w:sdt>
  <w:p w14:paraId="2085BC2C" w14:textId="77777777" w:rsidR="007A18E2" w:rsidRDefault="007A1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FD6E4" w14:textId="77777777" w:rsidR="00CE513A" w:rsidRDefault="00CE513A">
      <w:r>
        <w:separator/>
      </w:r>
    </w:p>
  </w:footnote>
  <w:footnote w:type="continuationSeparator" w:id="0">
    <w:p w14:paraId="7A8E2A09" w14:textId="77777777" w:rsidR="00CE513A" w:rsidRDefault="00CE5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62E3570"/>
    <w:multiLevelType w:val="hybridMultilevel"/>
    <w:tmpl w:val="F6C6CCF6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7DE77F8"/>
    <w:multiLevelType w:val="hybridMultilevel"/>
    <w:tmpl w:val="4D4A86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DD4BBA"/>
    <w:multiLevelType w:val="multilevel"/>
    <w:tmpl w:val="E8BAE50A"/>
    <w:numStyleLink w:val="VariantaA-odrky"/>
  </w:abstractNum>
  <w:abstractNum w:abstractNumId="14" w15:restartNumberingAfterBreak="0">
    <w:nsid w:val="0CEB489F"/>
    <w:multiLevelType w:val="hybridMultilevel"/>
    <w:tmpl w:val="5888F130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110755"/>
    <w:multiLevelType w:val="hybridMultilevel"/>
    <w:tmpl w:val="F6C6CCF6"/>
    <w:lvl w:ilvl="0" w:tplc="7CC05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130316F8"/>
    <w:multiLevelType w:val="multilevel"/>
    <w:tmpl w:val="3320A8B2"/>
    <w:numStyleLink w:val="VariantaB-odrky"/>
  </w:abstractNum>
  <w:abstractNum w:abstractNumId="18" w15:restartNumberingAfterBreak="0">
    <w:nsid w:val="13FB2F1F"/>
    <w:multiLevelType w:val="multilevel"/>
    <w:tmpl w:val="E8BAE50A"/>
    <w:numStyleLink w:val="VariantaA-odrky"/>
  </w:abstractNum>
  <w:abstractNum w:abstractNumId="19" w15:restartNumberingAfterBreak="0">
    <w:nsid w:val="15587B24"/>
    <w:multiLevelType w:val="multilevel"/>
    <w:tmpl w:val="E8BAE50A"/>
    <w:numStyleLink w:val="VariantaA-odrky"/>
  </w:abstractNum>
  <w:abstractNum w:abstractNumId="20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21" w15:restartNumberingAfterBreak="0">
    <w:nsid w:val="191872DA"/>
    <w:multiLevelType w:val="multilevel"/>
    <w:tmpl w:val="E8A48D7C"/>
    <w:numStyleLink w:val="VariantaA-sla"/>
  </w:abstractNum>
  <w:abstractNum w:abstractNumId="22" w15:restartNumberingAfterBreak="0">
    <w:nsid w:val="19987FCF"/>
    <w:multiLevelType w:val="multilevel"/>
    <w:tmpl w:val="0D8ABE32"/>
    <w:numStyleLink w:val="VariantaB-sla"/>
  </w:abstractNum>
  <w:abstractNum w:abstractNumId="23" w15:restartNumberingAfterBreak="0">
    <w:nsid w:val="1B0135BD"/>
    <w:multiLevelType w:val="hybridMultilevel"/>
    <w:tmpl w:val="A1A0F618"/>
    <w:lvl w:ilvl="0" w:tplc="99A4D0A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C1809E0"/>
    <w:multiLevelType w:val="hybridMultilevel"/>
    <w:tmpl w:val="AA4E035C"/>
    <w:lvl w:ilvl="0" w:tplc="3BA816B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D3068A6"/>
    <w:multiLevelType w:val="multilevel"/>
    <w:tmpl w:val="3320A8B2"/>
    <w:numStyleLink w:val="VariantaB-odrky"/>
  </w:abstractNum>
  <w:abstractNum w:abstractNumId="26" w15:restartNumberingAfterBreak="0">
    <w:nsid w:val="1D464EC2"/>
    <w:multiLevelType w:val="multilevel"/>
    <w:tmpl w:val="E8BAE50A"/>
    <w:numStyleLink w:val="VariantaA-odrky"/>
  </w:abstractNum>
  <w:abstractNum w:abstractNumId="27" w15:restartNumberingAfterBreak="0">
    <w:nsid w:val="1EAB39CE"/>
    <w:multiLevelType w:val="multilevel"/>
    <w:tmpl w:val="E8BAE50A"/>
    <w:numStyleLink w:val="VariantaA-odrky"/>
  </w:abstractNum>
  <w:abstractNum w:abstractNumId="28" w15:restartNumberingAfterBreak="0">
    <w:nsid w:val="289A5EA2"/>
    <w:multiLevelType w:val="multilevel"/>
    <w:tmpl w:val="E8BAE50A"/>
    <w:numStyleLink w:val="VariantaA-odrky"/>
  </w:abstractNum>
  <w:abstractNum w:abstractNumId="29" w15:restartNumberingAfterBreak="0">
    <w:nsid w:val="28AB573E"/>
    <w:multiLevelType w:val="multilevel"/>
    <w:tmpl w:val="3320A8B2"/>
    <w:numStyleLink w:val="VariantaB-odrky"/>
  </w:abstractNum>
  <w:abstractNum w:abstractNumId="30" w15:restartNumberingAfterBreak="0">
    <w:nsid w:val="2A5F2D39"/>
    <w:multiLevelType w:val="multilevel"/>
    <w:tmpl w:val="E8BAE50A"/>
    <w:numStyleLink w:val="VariantaA-odrky"/>
  </w:abstractNum>
  <w:abstractNum w:abstractNumId="31" w15:restartNumberingAfterBreak="0">
    <w:nsid w:val="2DBB2CE6"/>
    <w:multiLevelType w:val="multilevel"/>
    <w:tmpl w:val="E8BAE50A"/>
    <w:numStyleLink w:val="VariantaA-odrky"/>
  </w:abstractNum>
  <w:abstractNum w:abstractNumId="32" w15:restartNumberingAfterBreak="0">
    <w:nsid w:val="355131EF"/>
    <w:multiLevelType w:val="multilevel"/>
    <w:tmpl w:val="E8A48D7C"/>
    <w:numStyleLink w:val="VariantaA-sla"/>
  </w:abstractNum>
  <w:abstractNum w:abstractNumId="33" w15:restartNumberingAfterBreak="0">
    <w:nsid w:val="404F57BB"/>
    <w:multiLevelType w:val="hybridMultilevel"/>
    <w:tmpl w:val="5FF246AC"/>
    <w:lvl w:ilvl="0" w:tplc="0390F5CE">
      <w:start w:val="1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306389"/>
    <w:multiLevelType w:val="multilevel"/>
    <w:tmpl w:val="E8BAE50A"/>
    <w:numStyleLink w:val="VariantaA-odrky"/>
  </w:abstractNum>
  <w:abstractNum w:abstractNumId="35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3290926"/>
    <w:multiLevelType w:val="multilevel"/>
    <w:tmpl w:val="E8BAE50A"/>
    <w:numStyleLink w:val="VariantaA-odrky"/>
  </w:abstractNum>
  <w:abstractNum w:abstractNumId="37" w15:restartNumberingAfterBreak="0">
    <w:nsid w:val="533902EA"/>
    <w:multiLevelType w:val="multilevel"/>
    <w:tmpl w:val="E8BAE50A"/>
    <w:numStyleLink w:val="VariantaA-odrky"/>
  </w:abstractNum>
  <w:abstractNum w:abstractNumId="38" w15:restartNumberingAfterBreak="0">
    <w:nsid w:val="571C11E2"/>
    <w:multiLevelType w:val="multilevel"/>
    <w:tmpl w:val="E8A48D7C"/>
    <w:numStyleLink w:val="VariantaA-sla"/>
  </w:abstractNum>
  <w:abstractNum w:abstractNumId="39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40" w15:restartNumberingAfterBreak="0">
    <w:nsid w:val="5AF35F43"/>
    <w:multiLevelType w:val="multilevel"/>
    <w:tmpl w:val="0D8ABE32"/>
    <w:numStyleLink w:val="VariantaB-sla"/>
  </w:abstractNum>
  <w:abstractNum w:abstractNumId="41" w15:restartNumberingAfterBreak="0">
    <w:nsid w:val="627902E2"/>
    <w:multiLevelType w:val="hybridMultilevel"/>
    <w:tmpl w:val="5B8A0F20"/>
    <w:lvl w:ilvl="0" w:tplc="0BC6FD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CD07F4B"/>
    <w:multiLevelType w:val="hybridMultilevel"/>
    <w:tmpl w:val="0DCEDCAE"/>
    <w:lvl w:ilvl="0" w:tplc="909C14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39"/>
  </w:num>
  <w:num w:numId="3">
    <w:abstractNumId w:val="25"/>
  </w:num>
  <w:num w:numId="4">
    <w:abstractNumId w:val="18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5"/>
  </w:num>
  <w:num w:numId="7">
    <w:abstractNumId w:val="7"/>
  </w:num>
  <w:num w:numId="8">
    <w:abstractNumId w:val="38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7"/>
  </w:num>
  <w:num w:numId="14">
    <w:abstractNumId w:val="4"/>
  </w:num>
  <w:num w:numId="15">
    <w:abstractNumId w:val="3"/>
  </w:num>
  <w:num w:numId="16">
    <w:abstractNumId w:val="35"/>
  </w:num>
  <w:num w:numId="17">
    <w:abstractNumId w:val="26"/>
  </w:num>
  <w:num w:numId="18">
    <w:abstractNumId w:val="6"/>
  </w:num>
  <w:num w:numId="19">
    <w:abstractNumId w:val="16"/>
  </w:num>
  <w:num w:numId="20">
    <w:abstractNumId w:val="8"/>
  </w:num>
  <w:num w:numId="21">
    <w:abstractNumId w:val="32"/>
  </w:num>
  <w:num w:numId="22">
    <w:abstractNumId w:val="10"/>
  </w:num>
  <w:num w:numId="23">
    <w:abstractNumId w:val="27"/>
  </w:num>
  <w:num w:numId="24">
    <w:abstractNumId w:val="13"/>
  </w:num>
  <w:num w:numId="25">
    <w:abstractNumId w:val="19"/>
  </w:num>
  <w:num w:numId="26">
    <w:abstractNumId w:val="34"/>
  </w:num>
  <w:num w:numId="27">
    <w:abstractNumId w:val="31"/>
  </w:num>
  <w:num w:numId="28">
    <w:abstractNumId w:val="30"/>
  </w:num>
  <w:num w:numId="29">
    <w:abstractNumId w:val="22"/>
  </w:num>
  <w:num w:numId="30">
    <w:abstractNumId w:val="36"/>
  </w:num>
  <w:num w:numId="31">
    <w:abstractNumId w:val="40"/>
  </w:num>
  <w:num w:numId="32">
    <w:abstractNumId w:val="28"/>
  </w:num>
  <w:num w:numId="33">
    <w:abstractNumId w:val="21"/>
  </w:num>
  <w:num w:numId="34">
    <w:abstractNumId w:val="9"/>
  </w:num>
  <w:num w:numId="35">
    <w:abstractNumId w:val="29"/>
  </w:num>
  <w:num w:numId="36">
    <w:abstractNumId w:val="17"/>
  </w:num>
  <w:num w:numId="37">
    <w:abstractNumId w:val="15"/>
  </w:num>
  <w:num w:numId="38">
    <w:abstractNumId w:val="41"/>
  </w:num>
  <w:num w:numId="39">
    <w:abstractNumId w:val="33"/>
  </w:num>
  <w:num w:numId="40">
    <w:abstractNumId w:val="24"/>
  </w:num>
  <w:num w:numId="41">
    <w:abstractNumId w:val="23"/>
  </w:num>
  <w:num w:numId="42">
    <w:abstractNumId w:val="42"/>
  </w:num>
  <w:num w:numId="43">
    <w:abstractNumId w:val="12"/>
  </w:num>
  <w:num w:numId="44">
    <w:abstractNumId w:val="11"/>
  </w:num>
  <w:num w:numId="4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E3F"/>
    <w:rsid w:val="00015306"/>
    <w:rsid w:val="00024A3C"/>
    <w:rsid w:val="0002674B"/>
    <w:rsid w:val="00036BC5"/>
    <w:rsid w:val="0004162E"/>
    <w:rsid w:val="00044B05"/>
    <w:rsid w:val="0004786B"/>
    <w:rsid w:val="00063405"/>
    <w:rsid w:val="0006628F"/>
    <w:rsid w:val="00067230"/>
    <w:rsid w:val="00067D0A"/>
    <w:rsid w:val="00076635"/>
    <w:rsid w:val="000809B9"/>
    <w:rsid w:val="000811E1"/>
    <w:rsid w:val="000841EA"/>
    <w:rsid w:val="00087146"/>
    <w:rsid w:val="00090B40"/>
    <w:rsid w:val="00095A0A"/>
    <w:rsid w:val="000A282A"/>
    <w:rsid w:val="000B0C6D"/>
    <w:rsid w:val="000B1B3D"/>
    <w:rsid w:val="000C0556"/>
    <w:rsid w:val="000C4CAF"/>
    <w:rsid w:val="000C6B54"/>
    <w:rsid w:val="000D5AD5"/>
    <w:rsid w:val="000E5870"/>
    <w:rsid w:val="000F2126"/>
    <w:rsid w:val="00117D2C"/>
    <w:rsid w:val="0012008C"/>
    <w:rsid w:val="00120339"/>
    <w:rsid w:val="001209F7"/>
    <w:rsid w:val="00121485"/>
    <w:rsid w:val="001454D7"/>
    <w:rsid w:val="00155EC2"/>
    <w:rsid w:val="00156B21"/>
    <w:rsid w:val="00157E5D"/>
    <w:rsid w:val="0016467C"/>
    <w:rsid w:val="00165A06"/>
    <w:rsid w:val="00172E08"/>
    <w:rsid w:val="001757A8"/>
    <w:rsid w:val="0018043E"/>
    <w:rsid w:val="0018051B"/>
    <w:rsid w:val="0018595D"/>
    <w:rsid w:val="00190B43"/>
    <w:rsid w:val="001A36BC"/>
    <w:rsid w:val="001B0C3F"/>
    <w:rsid w:val="001B1E4A"/>
    <w:rsid w:val="001B41CA"/>
    <w:rsid w:val="001D27C0"/>
    <w:rsid w:val="001D3490"/>
    <w:rsid w:val="001D7FD8"/>
    <w:rsid w:val="001E1B1D"/>
    <w:rsid w:val="001E74C3"/>
    <w:rsid w:val="001F325D"/>
    <w:rsid w:val="001F6937"/>
    <w:rsid w:val="00200DEC"/>
    <w:rsid w:val="00205E3F"/>
    <w:rsid w:val="00215A4A"/>
    <w:rsid w:val="00220DE3"/>
    <w:rsid w:val="002212A4"/>
    <w:rsid w:val="00235D2B"/>
    <w:rsid w:val="00235DF5"/>
    <w:rsid w:val="002406FE"/>
    <w:rsid w:val="00241182"/>
    <w:rsid w:val="002436C3"/>
    <w:rsid w:val="002456CE"/>
    <w:rsid w:val="002464C3"/>
    <w:rsid w:val="00250725"/>
    <w:rsid w:val="0025290D"/>
    <w:rsid w:val="00254A23"/>
    <w:rsid w:val="00260372"/>
    <w:rsid w:val="00262DAF"/>
    <w:rsid w:val="00267D6F"/>
    <w:rsid w:val="00275736"/>
    <w:rsid w:val="00285AED"/>
    <w:rsid w:val="002A4A5E"/>
    <w:rsid w:val="002A5A06"/>
    <w:rsid w:val="002D009D"/>
    <w:rsid w:val="002D3584"/>
    <w:rsid w:val="002D3A48"/>
    <w:rsid w:val="002E2442"/>
    <w:rsid w:val="002E2802"/>
    <w:rsid w:val="002F0E8C"/>
    <w:rsid w:val="002F1C5A"/>
    <w:rsid w:val="003000BB"/>
    <w:rsid w:val="00304729"/>
    <w:rsid w:val="0030501E"/>
    <w:rsid w:val="00310FA0"/>
    <w:rsid w:val="00317778"/>
    <w:rsid w:val="00320481"/>
    <w:rsid w:val="00322E01"/>
    <w:rsid w:val="003250CB"/>
    <w:rsid w:val="00332B15"/>
    <w:rsid w:val="003362EA"/>
    <w:rsid w:val="00340128"/>
    <w:rsid w:val="00345B2B"/>
    <w:rsid w:val="00345F01"/>
    <w:rsid w:val="0034628B"/>
    <w:rsid w:val="003528EE"/>
    <w:rsid w:val="00362B8F"/>
    <w:rsid w:val="00363201"/>
    <w:rsid w:val="0038309C"/>
    <w:rsid w:val="00385FCE"/>
    <w:rsid w:val="0039063C"/>
    <w:rsid w:val="00390EF7"/>
    <w:rsid w:val="00392565"/>
    <w:rsid w:val="003A043D"/>
    <w:rsid w:val="003A46A8"/>
    <w:rsid w:val="003A4735"/>
    <w:rsid w:val="003A51AA"/>
    <w:rsid w:val="003B4133"/>
    <w:rsid w:val="003B565A"/>
    <w:rsid w:val="003D00A1"/>
    <w:rsid w:val="003D0677"/>
    <w:rsid w:val="003D191C"/>
    <w:rsid w:val="003F141C"/>
    <w:rsid w:val="004007F3"/>
    <w:rsid w:val="0041427F"/>
    <w:rsid w:val="00422971"/>
    <w:rsid w:val="00426561"/>
    <w:rsid w:val="00431ED7"/>
    <w:rsid w:val="00432DAF"/>
    <w:rsid w:val="00435234"/>
    <w:rsid w:val="004456DC"/>
    <w:rsid w:val="004508E8"/>
    <w:rsid w:val="004509E5"/>
    <w:rsid w:val="0045136A"/>
    <w:rsid w:val="00453829"/>
    <w:rsid w:val="00463A13"/>
    <w:rsid w:val="00465CC0"/>
    <w:rsid w:val="0047441C"/>
    <w:rsid w:val="004808D6"/>
    <w:rsid w:val="0048504A"/>
    <w:rsid w:val="00486FB9"/>
    <w:rsid w:val="00490939"/>
    <w:rsid w:val="004A6FDB"/>
    <w:rsid w:val="004C212A"/>
    <w:rsid w:val="004E1F56"/>
    <w:rsid w:val="004E224C"/>
    <w:rsid w:val="004E6956"/>
    <w:rsid w:val="004F12C6"/>
    <w:rsid w:val="00500232"/>
    <w:rsid w:val="00504668"/>
    <w:rsid w:val="00507720"/>
    <w:rsid w:val="00512392"/>
    <w:rsid w:val="0051657F"/>
    <w:rsid w:val="00517A52"/>
    <w:rsid w:val="00525735"/>
    <w:rsid w:val="005367BF"/>
    <w:rsid w:val="00536B9C"/>
    <w:rsid w:val="005440A3"/>
    <w:rsid w:val="005455E1"/>
    <w:rsid w:val="005502BD"/>
    <w:rsid w:val="0055198D"/>
    <w:rsid w:val="00555F35"/>
    <w:rsid w:val="00556787"/>
    <w:rsid w:val="00557643"/>
    <w:rsid w:val="00557BD0"/>
    <w:rsid w:val="00557D67"/>
    <w:rsid w:val="005652DC"/>
    <w:rsid w:val="00573BFE"/>
    <w:rsid w:val="00581F91"/>
    <w:rsid w:val="005832F0"/>
    <w:rsid w:val="005854D1"/>
    <w:rsid w:val="005C2560"/>
    <w:rsid w:val="005C2698"/>
    <w:rsid w:val="005C7A0B"/>
    <w:rsid w:val="005D087F"/>
    <w:rsid w:val="005D0F23"/>
    <w:rsid w:val="005E0D99"/>
    <w:rsid w:val="005F0589"/>
    <w:rsid w:val="005F1203"/>
    <w:rsid w:val="005F63DD"/>
    <w:rsid w:val="005F7585"/>
    <w:rsid w:val="0060433C"/>
    <w:rsid w:val="00605759"/>
    <w:rsid w:val="0060650B"/>
    <w:rsid w:val="00617C47"/>
    <w:rsid w:val="00650C6C"/>
    <w:rsid w:val="00650FBD"/>
    <w:rsid w:val="00651AE2"/>
    <w:rsid w:val="00652FE6"/>
    <w:rsid w:val="00653AC6"/>
    <w:rsid w:val="00660479"/>
    <w:rsid w:val="00662BA9"/>
    <w:rsid w:val="006641F8"/>
    <w:rsid w:val="00667898"/>
    <w:rsid w:val="00673448"/>
    <w:rsid w:val="00676ABD"/>
    <w:rsid w:val="006A4804"/>
    <w:rsid w:val="006B6297"/>
    <w:rsid w:val="006C74F8"/>
    <w:rsid w:val="006D04EF"/>
    <w:rsid w:val="006D14D6"/>
    <w:rsid w:val="006D5CBB"/>
    <w:rsid w:val="006D7ECE"/>
    <w:rsid w:val="006E2FB0"/>
    <w:rsid w:val="006E38D4"/>
    <w:rsid w:val="006E48B2"/>
    <w:rsid w:val="006E7204"/>
    <w:rsid w:val="007102D2"/>
    <w:rsid w:val="00713948"/>
    <w:rsid w:val="00713EED"/>
    <w:rsid w:val="007211AE"/>
    <w:rsid w:val="00727766"/>
    <w:rsid w:val="00735631"/>
    <w:rsid w:val="00753A27"/>
    <w:rsid w:val="00761A43"/>
    <w:rsid w:val="0079342A"/>
    <w:rsid w:val="00793469"/>
    <w:rsid w:val="00795D72"/>
    <w:rsid w:val="007A18E2"/>
    <w:rsid w:val="007B082F"/>
    <w:rsid w:val="007B2982"/>
    <w:rsid w:val="007B4949"/>
    <w:rsid w:val="007F0BC6"/>
    <w:rsid w:val="008162E1"/>
    <w:rsid w:val="00816725"/>
    <w:rsid w:val="00824755"/>
    <w:rsid w:val="00826BA1"/>
    <w:rsid w:val="00831374"/>
    <w:rsid w:val="00857580"/>
    <w:rsid w:val="00860EF0"/>
    <w:rsid w:val="00861ABF"/>
    <w:rsid w:val="00865125"/>
    <w:rsid w:val="00865238"/>
    <w:rsid w:val="008654D8"/>
    <w:rsid w:val="008667BF"/>
    <w:rsid w:val="0086691D"/>
    <w:rsid w:val="00886593"/>
    <w:rsid w:val="0088764F"/>
    <w:rsid w:val="00892072"/>
    <w:rsid w:val="0089451C"/>
    <w:rsid w:val="00895645"/>
    <w:rsid w:val="008B43C0"/>
    <w:rsid w:val="008C0558"/>
    <w:rsid w:val="008C3782"/>
    <w:rsid w:val="008D4A32"/>
    <w:rsid w:val="008D593A"/>
    <w:rsid w:val="008E7760"/>
    <w:rsid w:val="008F347E"/>
    <w:rsid w:val="008F391E"/>
    <w:rsid w:val="0090097C"/>
    <w:rsid w:val="00901DDC"/>
    <w:rsid w:val="009040E8"/>
    <w:rsid w:val="00911F45"/>
    <w:rsid w:val="00915C41"/>
    <w:rsid w:val="00921E5F"/>
    <w:rsid w:val="00922001"/>
    <w:rsid w:val="00922C17"/>
    <w:rsid w:val="0092673F"/>
    <w:rsid w:val="00934B03"/>
    <w:rsid w:val="00937043"/>
    <w:rsid w:val="00937E48"/>
    <w:rsid w:val="0094193B"/>
    <w:rsid w:val="00942DDD"/>
    <w:rsid w:val="00950B03"/>
    <w:rsid w:val="009516A8"/>
    <w:rsid w:val="00952DA4"/>
    <w:rsid w:val="0095608B"/>
    <w:rsid w:val="00957C0D"/>
    <w:rsid w:val="00967C45"/>
    <w:rsid w:val="0097705C"/>
    <w:rsid w:val="00980320"/>
    <w:rsid w:val="00985621"/>
    <w:rsid w:val="00991F65"/>
    <w:rsid w:val="00993017"/>
    <w:rsid w:val="00993609"/>
    <w:rsid w:val="00994693"/>
    <w:rsid w:val="009B0F4F"/>
    <w:rsid w:val="009B5F2F"/>
    <w:rsid w:val="009F393D"/>
    <w:rsid w:val="009F7F46"/>
    <w:rsid w:val="00A000BF"/>
    <w:rsid w:val="00A04027"/>
    <w:rsid w:val="00A0587E"/>
    <w:rsid w:val="00A275BC"/>
    <w:rsid w:val="00A464B4"/>
    <w:rsid w:val="00A57FCB"/>
    <w:rsid w:val="00A63D6B"/>
    <w:rsid w:val="00A641E6"/>
    <w:rsid w:val="00A66DD5"/>
    <w:rsid w:val="00A72D58"/>
    <w:rsid w:val="00A84B52"/>
    <w:rsid w:val="00A856F6"/>
    <w:rsid w:val="00A8660F"/>
    <w:rsid w:val="00A95C48"/>
    <w:rsid w:val="00AA0022"/>
    <w:rsid w:val="00AA2754"/>
    <w:rsid w:val="00AA7056"/>
    <w:rsid w:val="00AB31C6"/>
    <w:rsid w:val="00AB523B"/>
    <w:rsid w:val="00AC0852"/>
    <w:rsid w:val="00AC4BA3"/>
    <w:rsid w:val="00AD1213"/>
    <w:rsid w:val="00AD3E11"/>
    <w:rsid w:val="00AD6D7F"/>
    <w:rsid w:val="00AD764D"/>
    <w:rsid w:val="00AD7E40"/>
    <w:rsid w:val="00B1477A"/>
    <w:rsid w:val="00B20993"/>
    <w:rsid w:val="00B22233"/>
    <w:rsid w:val="00B266CA"/>
    <w:rsid w:val="00B42E96"/>
    <w:rsid w:val="00B4455C"/>
    <w:rsid w:val="00B50BA2"/>
    <w:rsid w:val="00B50EE6"/>
    <w:rsid w:val="00B52185"/>
    <w:rsid w:val="00B53A67"/>
    <w:rsid w:val="00B63082"/>
    <w:rsid w:val="00B82996"/>
    <w:rsid w:val="00B85B7D"/>
    <w:rsid w:val="00B96EC7"/>
    <w:rsid w:val="00B9753A"/>
    <w:rsid w:val="00BA3915"/>
    <w:rsid w:val="00BB0B57"/>
    <w:rsid w:val="00BB479C"/>
    <w:rsid w:val="00BB7B04"/>
    <w:rsid w:val="00BC33F5"/>
    <w:rsid w:val="00BC4720"/>
    <w:rsid w:val="00BD75A2"/>
    <w:rsid w:val="00C05D0C"/>
    <w:rsid w:val="00C2017A"/>
    <w:rsid w:val="00C2026B"/>
    <w:rsid w:val="00C20470"/>
    <w:rsid w:val="00C3412B"/>
    <w:rsid w:val="00C3414E"/>
    <w:rsid w:val="00C34B2F"/>
    <w:rsid w:val="00C44F03"/>
    <w:rsid w:val="00C4641B"/>
    <w:rsid w:val="00C6690E"/>
    <w:rsid w:val="00C703C5"/>
    <w:rsid w:val="00C8040F"/>
    <w:rsid w:val="00C805F2"/>
    <w:rsid w:val="00C9107B"/>
    <w:rsid w:val="00C953C6"/>
    <w:rsid w:val="00C95A3C"/>
    <w:rsid w:val="00CA639D"/>
    <w:rsid w:val="00CB05D8"/>
    <w:rsid w:val="00CB2023"/>
    <w:rsid w:val="00CC5E40"/>
    <w:rsid w:val="00CE513A"/>
    <w:rsid w:val="00CF3B4C"/>
    <w:rsid w:val="00CF73C6"/>
    <w:rsid w:val="00CF7F4B"/>
    <w:rsid w:val="00D07311"/>
    <w:rsid w:val="00D1569F"/>
    <w:rsid w:val="00D201A9"/>
    <w:rsid w:val="00D203D2"/>
    <w:rsid w:val="00D20B1E"/>
    <w:rsid w:val="00D22462"/>
    <w:rsid w:val="00D230AC"/>
    <w:rsid w:val="00D23BDA"/>
    <w:rsid w:val="00D32489"/>
    <w:rsid w:val="00D3256C"/>
    <w:rsid w:val="00D3349E"/>
    <w:rsid w:val="00D360A8"/>
    <w:rsid w:val="00D45B93"/>
    <w:rsid w:val="00D47A3C"/>
    <w:rsid w:val="00D50645"/>
    <w:rsid w:val="00D60CBB"/>
    <w:rsid w:val="00D73CB8"/>
    <w:rsid w:val="00D767A5"/>
    <w:rsid w:val="00D80921"/>
    <w:rsid w:val="00D968DC"/>
    <w:rsid w:val="00D97456"/>
    <w:rsid w:val="00DA7591"/>
    <w:rsid w:val="00DB0301"/>
    <w:rsid w:val="00DB6EEF"/>
    <w:rsid w:val="00DC1C9B"/>
    <w:rsid w:val="00DD3E30"/>
    <w:rsid w:val="00DE7742"/>
    <w:rsid w:val="00DF1AB7"/>
    <w:rsid w:val="00DF2B31"/>
    <w:rsid w:val="00DF424B"/>
    <w:rsid w:val="00DF534E"/>
    <w:rsid w:val="00E0609D"/>
    <w:rsid w:val="00E106A6"/>
    <w:rsid w:val="00E32798"/>
    <w:rsid w:val="00E37E33"/>
    <w:rsid w:val="00E51C91"/>
    <w:rsid w:val="00E54129"/>
    <w:rsid w:val="00E54D61"/>
    <w:rsid w:val="00E56CC6"/>
    <w:rsid w:val="00E667C1"/>
    <w:rsid w:val="00E73B1F"/>
    <w:rsid w:val="00E742D6"/>
    <w:rsid w:val="00E81C47"/>
    <w:rsid w:val="00E85A85"/>
    <w:rsid w:val="00E8784B"/>
    <w:rsid w:val="00EA1B8E"/>
    <w:rsid w:val="00EB0DFC"/>
    <w:rsid w:val="00EB18D9"/>
    <w:rsid w:val="00EC3F88"/>
    <w:rsid w:val="00EC4598"/>
    <w:rsid w:val="00ED36D8"/>
    <w:rsid w:val="00EE1D8D"/>
    <w:rsid w:val="00EE6BD7"/>
    <w:rsid w:val="00F05DA9"/>
    <w:rsid w:val="00F0689D"/>
    <w:rsid w:val="00F31D4C"/>
    <w:rsid w:val="00F31F1E"/>
    <w:rsid w:val="00F3431B"/>
    <w:rsid w:val="00F660F5"/>
    <w:rsid w:val="00F67B1C"/>
    <w:rsid w:val="00F71C04"/>
    <w:rsid w:val="00F82364"/>
    <w:rsid w:val="00F926B1"/>
    <w:rsid w:val="00F94234"/>
    <w:rsid w:val="00F96E02"/>
    <w:rsid w:val="00F97CB3"/>
    <w:rsid w:val="00FA30F0"/>
    <w:rsid w:val="00FA6F67"/>
    <w:rsid w:val="00FB01B5"/>
    <w:rsid w:val="00FB7547"/>
    <w:rsid w:val="00FC6715"/>
    <w:rsid w:val="00FD07FB"/>
    <w:rsid w:val="00FE7FCA"/>
    <w:rsid w:val="00FF1349"/>
    <w:rsid w:val="00FF4981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0108"/>
  <w15:docId w15:val="{E9555E00-701C-4E68-9CDE-9E3993B5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5E3F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customStyle="1" w:styleId="WW-Zkladntext2">
    <w:name w:val="WW-Základní text 2"/>
    <w:basedOn w:val="Normln"/>
    <w:rsid w:val="00205E3F"/>
    <w:pPr>
      <w:spacing w:line="360" w:lineRule="auto"/>
      <w:jc w:val="both"/>
    </w:pPr>
    <w:rPr>
      <w:b/>
    </w:rPr>
  </w:style>
  <w:style w:type="paragraph" w:styleId="Zpat">
    <w:name w:val="footer"/>
    <w:basedOn w:val="Normln"/>
    <w:link w:val="ZpatChar"/>
    <w:uiPriority w:val="99"/>
    <w:unhideWhenUsed/>
    <w:rsid w:val="00205E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5E3F"/>
    <w:rPr>
      <w:rFonts w:ascii="Arial" w:eastAsia="Times New Roman" w:hAnsi="Arial" w:cs="Times New Roman"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7A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A3C"/>
    <w:rPr>
      <w:rFonts w:ascii="Segoe UI" w:eastAsia="Times New Roman" w:hAnsi="Segoe UI" w:cs="Segoe UI"/>
      <w:sz w:val="18"/>
      <w:szCs w:val="1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61A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1ABF"/>
    <w:rPr>
      <w:rFonts w:ascii="Arial" w:eastAsia="Times New Roman" w:hAnsi="Arial" w:cs="Times New Roman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7F4B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7F4B"/>
    <w:rPr>
      <w:rFonts w:ascii="Arial" w:eastAsia="Times New Roman" w:hAnsi="Arial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F7F4B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D764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Standardnpsmoodstavce"/>
    <w:rsid w:val="00525735"/>
  </w:style>
  <w:style w:type="character" w:styleId="Odkaznakoment">
    <w:name w:val="annotation reference"/>
    <w:basedOn w:val="Standardnpsmoodstavce"/>
    <w:uiPriority w:val="99"/>
    <w:semiHidden/>
    <w:unhideWhenUsed/>
    <w:rsid w:val="00D809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092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0921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09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0921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A856F6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2D876-3313-4047-B5EA-47714EFE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1404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Vajda</dc:creator>
  <cp:keywords/>
  <dc:description/>
  <cp:lastModifiedBy>UrbanovaB</cp:lastModifiedBy>
  <cp:revision>10</cp:revision>
  <cp:lastPrinted>2019-03-29T13:01:00Z</cp:lastPrinted>
  <dcterms:created xsi:type="dcterms:W3CDTF">2020-04-10T15:06:00Z</dcterms:created>
  <dcterms:modified xsi:type="dcterms:W3CDTF">2020-05-06T06:54:00Z</dcterms:modified>
  <cp:category/>
</cp:coreProperties>
</file>