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50" w:rsidRPr="004F4AB0" w:rsidRDefault="00D04950" w:rsidP="00D04950">
      <w:pPr>
        <w:pStyle w:val="normln1"/>
        <w:jc w:val="center"/>
        <w:rPr>
          <w:rStyle w:val="normln0"/>
        </w:rPr>
      </w:pPr>
      <w:r w:rsidRPr="003E4F8F">
        <w:rPr>
          <w:spacing w:val="40"/>
        </w:rPr>
        <w:t>Vládní</w:t>
      </w:r>
      <w:r w:rsidRPr="002078D2">
        <w:t xml:space="preserve"> </w:t>
      </w:r>
      <w:r>
        <w:rPr>
          <w:rStyle w:val="normln0"/>
        </w:rPr>
        <w:t>n</w:t>
      </w:r>
      <w:r w:rsidRPr="004F4AB0">
        <w:rPr>
          <w:rStyle w:val="normln0"/>
        </w:rPr>
        <w:t xml:space="preserve"> á v r h</w:t>
      </w:r>
    </w:p>
    <w:p w:rsidR="007C00E8" w:rsidRDefault="007C00E8" w:rsidP="007C00E8">
      <w:pPr>
        <w:pStyle w:val="normln1"/>
        <w:jc w:val="center"/>
        <w:rPr>
          <w:rStyle w:val="normln0"/>
        </w:rPr>
      </w:pPr>
    </w:p>
    <w:p w:rsidR="007C00E8" w:rsidRPr="006C40ED" w:rsidRDefault="007C00E8" w:rsidP="007C00E8">
      <w:pPr>
        <w:pStyle w:val="normln1"/>
        <w:jc w:val="center"/>
        <w:rPr>
          <w:rStyle w:val="normln0"/>
          <w:b/>
        </w:rPr>
      </w:pPr>
      <w:r w:rsidRPr="000971EB">
        <w:rPr>
          <w:rStyle w:val="normln0"/>
          <w:b/>
        </w:rPr>
        <w:t xml:space="preserve">ZÁKON </w:t>
      </w:r>
    </w:p>
    <w:p w:rsidR="007C00E8" w:rsidRDefault="007C00E8" w:rsidP="007C00E8">
      <w:pPr>
        <w:pStyle w:val="normln1"/>
        <w:jc w:val="center"/>
      </w:pPr>
    </w:p>
    <w:p w:rsidR="007C00E8" w:rsidRDefault="007C00E8" w:rsidP="007C00E8">
      <w:pPr>
        <w:pStyle w:val="normln1"/>
        <w:jc w:val="center"/>
        <w:rPr>
          <w:rStyle w:val="normln0"/>
        </w:rPr>
      </w:pPr>
      <w:r>
        <w:rPr>
          <w:rStyle w:val="normln0"/>
        </w:rPr>
        <w:t>ze dne ……. 2020</w:t>
      </w:r>
    </w:p>
    <w:p w:rsidR="007C00E8" w:rsidRPr="007C00E8" w:rsidRDefault="00BA415F" w:rsidP="007C00E8">
      <w:pPr>
        <w:pStyle w:val="normln1"/>
        <w:jc w:val="center"/>
        <w:rPr>
          <w:rStyle w:val="normln0"/>
          <w:b/>
        </w:rPr>
      </w:pPr>
      <w:r w:rsidRPr="00BA415F">
        <w:rPr>
          <w:rStyle w:val="normln0"/>
          <w:b/>
        </w:rPr>
        <w:t xml:space="preserve">o správě daňového odpočtu v souvislosti s krizovými opatřeními v souvislosti s výskytem </w:t>
      </w:r>
      <w:proofErr w:type="spellStart"/>
      <w:r w:rsidRPr="00BA415F">
        <w:rPr>
          <w:rStyle w:val="normln0"/>
          <w:b/>
        </w:rPr>
        <w:t>koronaviru</w:t>
      </w:r>
      <w:proofErr w:type="spellEnd"/>
      <w:r w:rsidRPr="00BA415F">
        <w:rPr>
          <w:rStyle w:val="normln0"/>
          <w:b/>
        </w:rPr>
        <w:t xml:space="preserve"> SARS CoV-</w:t>
      </w:r>
      <w:r>
        <w:rPr>
          <w:rStyle w:val="normln0"/>
          <w:b/>
        </w:rPr>
        <w:t>2</w:t>
      </w:r>
    </w:p>
    <w:p w:rsidR="007C00E8" w:rsidRDefault="007C00E8" w:rsidP="007C00E8">
      <w:pPr>
        <w:pStyle w:val="normln1"/>
      </w:pPr>
    </w:p>
    <w:p w:rsidR="007C00E8" w:rsidRDefault="007C00E8" w:rsidP="007C00E8">
      <w:pPr>
        <w:pStyle w:val="normln1"/>
        <w:jc w:val="both"/>
      </w:pPr>
    </w:p>
    <w:p w:rsidR="007C00E8" w:rsidRDefault="007C00E8" w:rsidP="007C00E8">
      <w:pPr>
        <w:pStyle w:val="normln1"/>
        <w:ind w:firstLine="708"/>
        <w:jc w:val="both"/>
        <w:rPr>
          <w:rStyle w:val="normln0"/>
        </w:rPr>
      </w:pPr>
      <w:r>
        <w:rPr>
          <w:rStyle w:val="normln0"/>
        </w:rPr>
        <w:t>Parlament se usnesl na tomto zákoně České republiky:</w:t>
      </w:r>
    </w:p>
    <w:p w:rsidR="00BA415F" w:rsidRPr="00575B1C" w:rsidRDefault="00BA415F" w:rsidP="00BA415F">
      <w:pPr>
        <w:widowControl w:val="0"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75B1C">
        <w:rPr>
          <w:rFonts w:ascii="Times New Roman" w:eastAsia="Times New Roman" w:hAnsi="Times New Roman" w:cs="Times New Roman"/>
          <w:sz w:val="24"/>
          <w:szCs w:val="24"/>
          <w:lang w:eastAsia="cs-CZ"/>
        </w:rPr>
        <w:t>§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</w:p>
    <w:p w:rsidR="00BA415F" w:rsidRPr="00575B1C" w:rsidRDefault="00AA4F23" w:rsidP="00BA415F">
      <w:pPr>
        <w:widowControl w:val="0"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Předmět úpravy</w:t>
      </w:r>
    </w:p>
    <w:p w:rsidR="0034628F" w:rsidRDefault="0068484B" w:rsidP="0068484B">
      <w:pPr>
        <w:widowControl w:val="0"/>
        <w:tabs>
          <w:tab w:val="left" w:pos="851"/>
        </w:tabs>
        <w:spacing w:before="120" w:after="120" w:line="240" w:lineRule="auto"/>
        <w:ind w:firstLine="426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(1) </w:t>
      </w:r>
      <w:r w:rsidR="00BA415F" w:rsidRPr="00BA41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Tento zákon upravuje zvláštní ustanovení o správě daňového odpočtu v souvislosti </w:t>
      </w:r>
      <w:r w:rsidR="0034628F" w:rsidRPr="0034628F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34628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34628F" w:rsidRPr="003462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ohrožením zdraví v souvislosti s prokázáním výskytu </w:t>
      </w:r>
      <w:proofErr w:type="spellStart"/>
      <w:r w:rsidR="0034628F" w:rsidRPr="0034628F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</w:t>
      </w:r>
      <w:proofErr w:type="spellEnd"/>
      <w:r w:rsidR="0034628F" w:rsidRPr="0034628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označovaného jako SARS CoV-2 nebo s krizovými opatřeními přijatými z důvodu tohoto ohrožení</w:t>
      </w:r>
      <w:r w:rsidR="0034628F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A415F" w:rsidRDefault="0068484B" w:rsidP="0068484B">
      <w:pPr>
        <w:widowControl w:val="0"/>
        <w:tabs>
          <w:tab w:val="left" w:pos="851"/>
        </w:tabs>
        <w:spacing w:before="120" w:after="120" w:line="240" w:lineRule="auto"/>
        <w:ind w:firstLine="426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(2) Daňovým odpočtem se pro účely tohoto zákona rozumí nadměrný odpočet na dani z přidané hodnoty.</w:t>
      </w:r>
    </w:p>
    <w:p w:rsidR="009F6A64" w:rsidRPr="00575B1C" w:rsidRDefault="009F6A64" w:rsidP="009F6A64">
      <w:pPr>
        <w:widowControl w:val="0"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75B1C">
        <w:rPr>
          <w:rFonts w:ascii="Times New Roman" w:eastAsia="Times New Roman" w:hAnsi="Times New Roman" w:cs="Times New Roman"/>
          <w:sz w:val="24"/>
          <w:szCs w:val="24"/>
          <w:lang w:eastAsia="cs-CZ"/>
        </w:rPr>
        <w:t>§ </w:t>
      </w:r>
      <w:r w:rsidR="0068484B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</w:p>
    <w:p w:rsidR="009F6A64" w:rsidRPr="00575B1C" w:rsidRDefault="0068484B" w:rsidP="009F6A64">
      <w:pPr>
        <w:widowControl w:val="0"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Lhůta</w:t>
      </w:r>
      <w:r w:rsidR="00BA415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pro vrácení vratitelného přeplatku</w:t>
      </w:r>
    </w:p>
    <w:p w:rsidR="0068484B" w:rsidRDefault="0068484B" w:rsidP="0068484B">
      <w:pPr>
        <w:widowControl w:val="0"/>
        <w:tabs>
          <w:tab w:val="left" w:pos="851"/>
        </w:tabs>
        <w:spacing w:before="120" w:after="120" w:line="240" w:lineRule="auto"/>
        <w:ind w:firstLine="426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8484B">
        <w:rPr>
          <w:rFonts w:ascii="Times New Roman" w:eastAsia="Times New Roman" w:hAnsi="Times New Roman" w:cs="Times New Roman"/>
          <w:sz w:val="24"/>
          <w:szCs w:val="24"/>
          <w:lang w:eastAsia="cs-CZ"/>
        </w:rPr>
        <w:t>Vznikne-li v důsledku stanovení daňového odpočtu vratitelný přeplatek, vrátí jej správce daně daňovému subjektu bez žádosti do 15 dnů ode dne oznámení platebního výměru nebo doda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tečného platebního výměru, nebo </w:t>
      </w:r>
      <w:r w:rsidRPr="0068484B">
        <w:rPr>
          <w:rFonts w:ascii="Times New Roman" w:eastAsia="Times New Roman" w:hAnsi="Times New Roman" w:cs="Times New Roman"/>
          <w:sz w:val="24"/>
          <w:szCs w:val="24"/>
          <w:lang w:eastAsia="cs-CZ"/>
        </w:rPr>
        <w:t>ode dne, který se považuje za den doručení platebního výměru nebo dodatečného platebního výměru v případě, kdy se výsledek vyměření nebo doměření daňovému subjektu neoznamuje.</w:t>
      </w:r>
    </w:p>
    <w:p w:rsidR="00BA415F" w:rsidRPr="00575B1C" w:rsidRDefault="00BA415F" w:rsidP="00BA415F">
      <w:pPr>
        <w:widowControl w:val="0"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75B1C">
        <w:rPr>
          <w:rFonts w:ascii="Times New Roman" w:eastAsia="Times New Roman" w:hAnsi="Times New Roman" w:cs="Times New Roman"/>
          <w:sz w:val="24"/>
          <w:szCs w:val="24"/>
          <w:lang w:eastAsia="cs-CZ"/>
        </w:rPr>
        <w:t>§ </w:t>
      </w:r>
      <w:r w:rsidR="0068484B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</w:p>
    <w:p w:rsidR="00BA415F" w:rsidRPr="00575B1C" w:rsidRDefault="0068484B" w:rsidP="00BA415F">
      <w:pPr>
        <w:widowControl w:val="0"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</w:t>
      </w:r>
      <w:r w:rsidR="00BA415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álo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ha</w:t>
      </w:r>
      <w:r w:rsidR="00BA415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na daňový odpočet</w:t>
      </w:r>
    </w:p>
    <w:p w:rsidR="00796409" w:rsidRDefault="00796409" w:rsidP="0068484B">
      <w:pPr>
        <w:widowControl w:val="0"/>
        <w:tabs>
          <w:tab w:val="left" w:pos="851"/>
        </w:tabs>
        <w:spacing w:before="120" w:after="120" w:line="240" w:lineRule="auto"/>
        <w:ind w:firstLine="426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Ustanovení daňového řádu a zákona upravujícího daň z přidané hodnoty o záloze na daňový odpočet se v případě daňového odpočtu nepoužijí.</w:t>
      </w:r>
    </w:p>
    <w:p w:rsidR="001F2A2A" w:rsidRPr="00575B1C" w:rsidRDefault="001F2A2A" w:rsidP="001F2A2A">
      <w:pPr>
        <w:widowControl w:val="0"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75B1C">
        <w:rPr>
          <w:rFonts w:ascii="Times New Roman" w:eastAsia="Times New Roman" w:hAnsi="Times New Roman" w:cs="Times New Roman"/>
          <w:sz w:val="24"/>
          <w:szCs w:val="24"/>
          <w:lang w:eastAsia="cs-CZ"/>
        </w:rPr>
        <w:t>§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</w:p>
    <w:p w:rsidR="001F2A2A" w:rsidRPr="00575B1C" w:rsidRDefault="001F2A2A" w:rsidP="001F2A2A">
      <w:pPr>
        <w:widowControl w:val="0"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Přechodné ustanovení</w:t>
      </w:r>
    </w:p>
    <w:p w:rsidR="001F2A2A" w:rsidRDefault="001F2A2A" w:rsidP="001F2A2A">
      <w:pPr>
        <w:widowControl w:val="0"/>
        <w:tabs>
          <w:tab w:val="left" w:pos="851"/>
        </w:tabs>
        <w:spacing w:before="120" w:after="120" w:line="240" w:lineRule="auto"/>
        <w:ind w:firstLine="426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 případě daňového odpočtu, u něhož nastaly účinky podle tohoto zákona, zůstávají tyto účinky od 1. ledna 2021 zachovány.</w:t>
      </w:r>
    </w:p>
    <w:p w:rsidR="0039520C" w:rsidRDefault="0039520C" w:rsidP="0028154A">
      <w:pPr>
        <w:keepNext/>
        <w:keepLines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75B1C">
        <w:rPr>
          <w:rFonts w:ascii="Times New Roman" w:eastAsia="Times New Roman" w:hAnsi="Times New Roman" w:cs="Times New Roman"/>
          <w:sz w:val="24"/>
          <w:szCs w:val="24"/>
          <w:lang w:eastAsia="cs-CZ"/>
        </w:rPr>
        <w:t>§</w:t>
      </w:r>
      <w:r w:rsidR="007665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1F2A2A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</w:p>
    <w:p w:rsidR="00BA415F" w:rsidRPr="00BA415F" w:rsidRDefault="00BA415F" w:rsidP="00BA415F">
      <w:pPr>
        <w:widowControl w:val="0"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BA415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Účinnost</w:t>
      </w:r>
    </w:p>
    <w:p w:rsidR="00796409" w:rsidRDefault="003001F7" w:rsidP="003001F7">
      <w:pPr>
        <w:widowControl w:val="0"/>
        <w:tabs>
          <w:tab w:val="left" w:pos="851"/>
        </w:tabs>
        <w:spacing w:before="120" w:after="120" w:line="240" w:lineRule="auto"/>
        <w:ind w:firstLine="426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(1) </w:t>
      </w:r>
      <w:r w:rsidR="00FA183E" w:rsidRPr="00FA183E">
        <w:rPr>
          <w:rFonts w:ascii="Times New Roman" w:eastAsia="Times New Roman" w:hAnsi="Times New Roman" w:cs="Times New Roman"/>
          <w:sz w:val="24"/>
          <w:szCs w:val="24"/>
          <w:lang w:eastAsia="cs-CZ"/>
        </w:rPr>
        <w:t>Tento zákon nabývá účinnosti dnem nabytí účinnosti zákona, kterým se mění zákon č.</w:t>
      </w:r>
      <w:r w:rsidR="00FA183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FA183E" w:rsidRPr="00FA183E">
        <w:rPr>
          <w:rFonts w:ascii="Times New Roman" w:eastAsia="Times New Roman" w:hAnsi="Times New Roman" w:cs="Times New Roman"/>
          <w:sz w:val="24"/>
          <w:szCs w:val="24"/>
          <w:lang w:eastAsia="cs-CZ"/>
        </w:rPr>
        <w:t>280/2009 Sb., daňový řád, ve znění pozdějších předpisů, a další související zákony, a který poprvé upravuje zálohu na daňový odpočet.</w:t>
      </w:r>
    </w:p>
    <w:p w:rsidR="005F608B" w:rsidRDefault="003001F7">
      <w:pPr>
        <w:widowControl w:val="0"/>
        <w:tabs>
          <w:tab w:val="left" w:pos="851"/>
        </w:tabs>
        <w:spacing w:before="120" w:after="120" w:line="240" w:lineRule="auto"/>
        <w:ind w:firstLine="426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(2) </w:t>
      </w:r>
      <w:r w:rsidR="007964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Tento zákon pozbývá </w:t>
      </w:r>
      <w:r w:rsidR="00FA183E">
        <w:rPr>
          <w:rFonts w:ascii="Times New Roman" w:eastAsia="Times New Roman" w:hAnsi="Times New Roman" w:cs="Times New Roman"/>
          <w:sz w:val="24"/>
          <w:szCs w:val="24"/>
          <w:lang w:eastAsia="cs-CZ"/>
        </w:rPr>
        <w:t>platnosti</w:t>
      </w:r>
      <w:r w:rsidR="007964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02FF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uplynutím </w:t>
      </w:r>
      <w:r w:rsidR="007964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dne </w:t>
      </w:r>
      <w:r w:rsidR="00E02FF0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="007964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1. </w:t>
      </w:r>
      <w:r w:rsidR="00E02FF0">
        <w:rPr>
          <w:rFonts w:ascii="Times New Roman" w:eastAsia="Times New Roman" w:hAnsi="Times New Roman" w:cs="Times New Roman"/>
          <w:sz w:val="24"/>
          <w:szCs w:val="24"/>
          <w:lang w:eastAsia="cs-CZ"/>
        </w:rPr>
        <w:t>prosince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796409">
        <w:rPr>
          <w:rFonts w:ascii="Times New Roman" w:eastAsia="Times New Roman" w:hAnsi="Times New Roman" w:cs="Times New Roman"/>
          <w:sz w:val="24"/>
          <w:szCs w:val="24"/>
          <w:lang w:eastAsia="cs-CZ"/>
        </w:rPr>
        <w:t>202</w:t>
      </w:r>
      <w:r w:rsidR="00E02FF0">
        <w:rPr>
          <w:rFonts w:ascii="Times New Roman" w:eastAsia="Times New Roman" w:hAnsi="Times New Roman" w:cs="Times New Roman"/>
          <w:sz w:val="24"/>
          <w:szCs w:val="24"/>
          <w:lang w:eastAsia="cs-CZ"/>
        </w:rPr>
        <w:t>0</w:t>
      </w:r>
      <w:r w:rsidR="001F2A2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výjimkou ustanovení § 4</w:t>
      </w:r>
      <w:r w:rsidR="00FC762D" w:rsidRPr="0079640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5F608B"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page"/>
      </w:r>
    </w:p>
    <w:p w:rsidR="005F608B" w:rsidRPr="00EF5493" w:rsidRDefault="005F608B" w:rsidP="005F608B">
      <w:pPr>
        <w:pStyle w:val="Nadpis1"/>
        <w:rPr>
          <w:rFonts w:ascii="Times New Roman" w:hAnsi="Times New Roman" w:cs="Times New Roman"/>
          <w:sz w:val="40"/>
        </w:rPr>
      </w:pPr>
      <w:r w:rsidRPr="00EF5493">
        <w:rPr>
          <w:rFonts w:ascii="Times New Roman" w:hAnsi="Times New Roman" w:cs="Times New Roman"/>
          <w:sz w:val="40"/>
        </w:rPr>
        <w:lastRenderedPageBreak/>
        <w:t>Důvodová zpráva</w:t>
      </w:r>
    </w:p>
    <w:p w:rsidR="005F608B" w:rsidRPr="000733CF" w:rsidRDefault="005F608B" w:rsidP="005F608B">
      <w:pPr>
        <w:jc w:val="both"/>
        <w:rPr>
          <w:rFonts w:ascii="Times New Roman" w:eastAsia="Times New Roman" w:hAnsi="Times New Roman" w:cs="Times New Roman"/>
          <w:bCs/>
          <w:color w:val="444444"/>
          <w:spacing w:val="9"/>
          <w:sz w:val="24"/>
          <w:szCs w:val="24"/>
          <w:shd w:val="clear" w:color="auto" w:fill="FFFFFF"/>
          <w:lang w:eastAsia="cs-CZ" w:bidi="ne-NP"/>
        </w:rPr>
      </w:pPr>
    </w:p>
    <w:p w:rsidR="005F608B" w:rsidRPr="00EF5493" w:rsidRDefault="005F608B" w:rsidP="005F608B">
      <w:pPr>
        <w:pStyle w:val="Nadpis2"/>
        <w:numPr>
          <w:ilvl w:val="0"/>
          <w:numId w:val="6"/>
        </w:numPr>
        <w:rPr>
          <w:rFonts w:ascii="Times New Roman" w:eastAsia="Times New Roman" w:hAnsi="Times New Roman" w:cs="Times New Roman"/>
          <w:sz w:val="36"/>
        </w:rPr>
      </w:pPr>
      <w:r w:rsidRPr="00EF5493">
        <w:rPr>
          <w:rFonts w:ascii="Times New Roman" w:eastAsia="Times New Roman" w:hAnsi="Times New Roman" w:cs="Times New Roman"/>
          <w:sz w:val="36"/>
        </w:rPr>
        <w:t xml:space="preserve">Obecná část </w:t>
      </w:r>
    </w:p>
    <w:p w:rsidR="005F608B" w:rsidRPr="000733CF" w:rsidRDefault="005F608B" w:rsidP="005F608B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t xml:space="preserve">Zhodnocení platného právního stavu </w:t>
      </w:r>
    </w:p>
    <w:p w:rsidR="005F608B" w:rsidRPr="003012B9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3012B9">
        <w:rPr>
          <w:rFonts w:ascii="Times New Roman" w:hAnsi="Times New Roman" w:cs="Times New Roman"/>
          <w:sz w:val="24"/>
          <w:szCs w:val="24"/>
        </w:rPr>
        <w:t xml:space="preserve">V souvislosti se vznikem a rozšířením onemocnění COVID-19 způsobeného novým </w:t>
      </w:r>
      <w:proofErr w:type="spellStart"/>
      <w:r w:rsidRPr="003012B9">
        <w:rPr>
          <w:rFonts w:ascii="Times New Roman" w:hAnsi="Times New Roman" w:cs="Times New Roman"/>
          <w:sz w:val="24"/>
          <w:szCs w:val="24"/>
        </w:rPr>
        <w:t>koronavirem</w:t>
      </w:r>
      <w:proofErr w:type="spellEnd"/>
      <w:r w:rsidRPr="003012B9">
        <w:rPr>
          <w:rFonts w:ascii="Times New Roman" w:hAnsi="Times New Roman" w:cs="Times New Roman"/>
          <w:sz w:val="24"/>
          <w:szCs w:val="24"/>
        </w:rPr>
        <w:t xml:space="preserve"> SARS-CoV-2 vyhlásila vláda podle čl. 5 a 6 ústa</w:t>
      </w:r>
      <w:r w:rsidR="00DB685C">
        <w:rPr>
          <w:rFonts w:ascii="Times New Roman" w:hAnsi="Times New Roman" w:cs="Times New Roman"/>
          <w:sz w:val="24"/>
          <w:szCs w:val="24"/>
        </w:rPr>
        <w:t>vního zákona č. 110/1998 Sb., o </w:t>
      </w:r>
      <w:r w:rsidRPr="003012B9">
        <w:rPr>
          <w:rFonts w:ascii="Times New Roman" w:hAnsi="Times New Roman" w:cs="Times New Roman"/>
          <w:sz w:val="24"/>
          <w:szCs w:val="24"/>
        </w:rPr>
        <w:t>bezpečnosti České republiky, pro území České republiky z důvodu ohrožení zdraví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012B9">
        <w:rPr>
          <w:rFonts w:ascii="Times New Roman" w:hAnsi="Times New Roman" w:cs="Times New Roman"/>
          <w:sz w:val="24"/>
          <w:szCs w:val="24"/>
        </w:rPr>
        <w:t>území České republiky nouzový stav od 14:00 hodin dne 12. března 2020 na dobu 30 dnů. Tento nouzový stav byl následně Poslaneckou sněmovnou Parlament</w:t>
      </w:r>
      <w:r w:rsidR="00DB685C">
        <w:rPr>
          <w:rFonts w:ascii="Times New Roman" w:hAnsi="Times New Roman" w:cs="Times New Roman"/>
          <w:sz w:val="24"/>
          <w:szCs w:val="24"/>
        </w:rPr>
        <w:t>u České republiky prodloužen do </w:t>
      </w:r>
      <w:r w:rsidRPr="003012B9">
        <w:rPr>
          <w:rFonts w:ascii="Times New Roman" w:hAnsi="Times New Roman" w:cs="Times New Roman"/>
          <w:sz w:val="24"/>
          <w:szCs w:val="24"/>
        </w:rPr>
        <w:t>30. dubna 2020. V rámci vyhlášeného nouzového stavu je realizována řada omezujících opatření, která mají nebo mohou mít negativní dopad na podnikání. Tyto negativní dopady spočívají jednak přímo v nařízení uzavření provozoven, jednak v povinnosti přijmout opatření, která provozování podnikatelské činnosti ztěžují.</w:t>
      </w:r>
    </w:p>
    <w:p w:rsidR="005F608B" w:rsidRPr="003012B9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3012B9">
        <w:rPr>
          <w:rFonts w:ascii="Times New Roman" w:hAnsi="Times New Roman" w:cs="Times New Roman"/>
          <w:sz w:val="24"/>
          <w:szCs w:val="24"/>
        </w:rPr>
        <w:t xml:space="preserve">Na řadu oborů podnikání má nicméně negativní dopad samotná epidemie </w:t>
      </w:r>
      <w:proofErr w:type="spellStart"/>
      <w:r w:rsidRPr="003012B9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3012B9">
        <w:rPr>
          <w:rFonts w:ascii="Times New Roman" w:hAnsi="Times New Roman" w:cs="Times New Roman"/>
          <w:sz w:val="24"/>
          <w:szCs w:val="24"/>
        </w:rPr>
        <w:t xml:space="preserve"> SARS-CoV-2 a s tím související změna chování obyvatelstva, přičemž tyto dopady by bez provedení vládou přijatých opatření mohly být v konečném důsledku záva</w:t>
      </w:r>
      <w:r>
        <w:rPr>
          <w:rFonts w:ascii="Times New Roman" w:hAnsi="Times New Roman" w:cs="Times New Roman"/>
          <w:sz w:val="24"/>
          <w:szCs w:val="24"/>
        </w:rPr>
        <w:t>žnější, a to nejen s ohledem na </w:t>
      </w:r>
      <w:r w:rsidRPr="003012B9">
        <w:rPr>
          <w:rFonts w:ascii="Times New Roman" w:hAnsi="Times New Roman" w:cs="Times New Roman"/>
          <w:sz w:val="24"/>
          <w:szCs w:val="24"/>
        </w:rPr>
        <w:t>hierarchii chráněných hodnot (život &gt; zdraví &gt; majetek). V rámci podnikatelského prostředí byly výše zmíněnými událostmi zasaženy nejen segmenty, na které opatření vlády směřovala přímo, ale též segmenty, které utrpěly v důsledku změny chování zákazníků, jejich priorit, jakož i změnami, které se dotkly jejich obchodních partnerů a dodavatelů.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3012B9">
        <w:rPr>
          <w:rFonts w:ascii="Times New Roman" w:hAnsi="Times New Roman" w:cs="Times New Roman"/>
          <w:sz w:val="24"/>
          <w:szCs w:val="24"/>
        </w:rPr>
        <w:t xml:space="preserve">Dopad výše zmíněných událostí je rovněž do značné míry specifický v tom, že opatření proti šíření </w:t>
      </w:r>
      <w:proofErr w:type="spellStart"/>
      <w:r w:rsidRPr="003012B9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3012B9">
        <w:rPr>
          <w:rFonts w:ascii="Times New Roman" w:hAnsi="Times New Roman" w:cs="Times New Roman"/>
          <w:sz w:val="24"/>
          <w:szCs w:val="24"/>
        </w:rPr>
        <w:t xml:space="preserve"> SARS-CoV-2 zaměřená primárně na omezení kontaktu mezi fyzickými osobami mají obecně zvýšený dopad na maloobchodní prodej, poskytování služeb a další podnikatelskou činnost, na které se podílejí </w:t>
      </w:r>
      <w:r>
        <w:rPr>
          <w:rFonts w:ascii="Times New Roman" w:hAnsi="Times New Roman" w:cs="Times New Roman"/>
          <w:sz w:val="24"/>
          <w:szCs w:val="24"/>
        </w:rPr>
        <w:t>plátci daně z přidané hodnoty.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současné době je v závěrečné fázi legislativního procesu </w:t>
      </w:r>
      <w:r w:rsidRPr="003012B9">
        <w:rPr>
          <w:rFonts w:ascii="Times New Roman" w:hAnsi="Times New Roman" w:cs="Times New Roman"/>
          <w:sz w:val="24"/>
          <w:szCs w:val="24"/>
        </w:rPr>
        <w:t>návrh zákona, kterým se mění zákon č. 280/2009 Sb., daňový řád, ve znění pozdějších předpisů, a další související zákony</w:t>
      </w:r>
      <w:r>
        <w:rPr>
          <w:rFonts w:ascii="Times New Roman" w:hAnsi="Times New Roman" w:cs="Times New Roman"/>
          <w:sz w:val="24"/>
          <w:szCs w:val="24"/>
        </w:rPr>
        <w:t xml:space="preserve"> (sněmovní tisk č. 580)</w:t>
      </w:r>
      <w:r w:rsidRPr="003012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Jedním z témat, které novela daňového řádu obsahuje, je </w:t>
      </w:r>
      <w:r w:rsidRPr="003012B9">
        <w:rPr>
          <w:rFonts w:ascii="Times New Roman" w:hAnsi="Times New Roman" w:cs="Times New Roman"/>
          <w:sz w:val="24"/>
          <w:szCs w:val="24"/>
        </w:rPr>
        <w:t>zavedení možnosti vyplácet formou zálohy části nárokovaných nadměrných odpočtů na dani z přidané hodnoty zadržovaných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012B9">
        <w:rPr>
          <w:rFonts w:ascii="Times New Roman" w:hAnsi="Times New Roman" w:cs="Times New Roman"/>
          <w:sz w:val="24"/>
          <w:szCs w:val="24"/>
        </w:rPr>
        <w:t xml:space="preserve">důsledku probíhajícího kontrolního postupu. </w:t>
      </w:r>
      <w:r>
        <w:rPr>
          <w:rFonts w:ascii="Times New Roman" w:hAnsi="Times New Roman" w:cs="Times New Roman"/>
          <w:sz w:val="24"/>
          <w:szCs w:val="24"/>
        </w:rPr>
        <w:t>S touto změnou je spojeno</w:t>
      </w:r>
      <w:r w:rsidRPr="003012B9">
        <w:rPr>
          <w:rFonts w:ascii="Times New Roman" w:hAnsi="Times New Roman" w:cs="Times New Roman"/>
          <w:sz w:val="24"/>
          <w:szCs w:val="24"/>
        </w:rPr>
        <w:t xml:space="preserve"> prodloužení doby pro vyhledávac</w:t>
      </w:r>
      <w:r>
        <w:rPr>
          <w:rFonts w:ascii="Times New Roman" w:hAnsi="Times New Roman" w:cs="Times New Roman"/>
          <w:sz w:val="24"/>
          <w:szCs w:val="24"/>
        </w:rPr>
        <w:t>í činnost správce daně o 15 dní</w:t>
      </w:r>
      <w:r w:rsidRPr="003012B9">
        <w:rPr>
          <w:rFonts w:ascii="Times New Roman" w:hAnsi="Times New Roman" w:cs="Times New Roman"/>
          <w:sz w:val="24"/>
          <w:szCs w:val="24"/>
        </w:rPr>
        <w:t>. Toto</w:t>
      </w:r>
      <w:r>
        <w:rPr>
          <w:rFonts w:ascii="Times New Roman" w:hAnsi="Times New Roman" w:cs="Times New Roman"/>
          <w:sz w:val="24"/>
          <w:szCs w:val="24"/>
        </w:rPr>
        <w:t xml:space="preserve"> posunutí bude ovšem znamenat i </w:t>
      </w:r>
      <w:r w:rsidRPr="003012B9">
        <w:rPr>
          <w:rFonts w:ascii="Times New Roman" w:hAnsi="Times New Roman" w:cs="Times New Roman"/>
          <w:sz w:val="24"/>
          <w:szCs w:val="24"/>
        </w:rPr>
        <w:t>oddálení výplaty daňových odpočtů stanovených bez zahájení kontrolního postupu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012B9">
        <w:rPr>
          <w:rFonts w:ascii="Times New Roman" w:hAnsi="Times New Roman" w:cs="Times New Roman"/>
          <w:sz w:val="24"/>
          <w:szCs w:val="24"/>
        </w:rPr>
        <w:t>zmíněných 15 dní.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Účinnost novely daňového řádu, v důsledku které má dojít k zavedení institutu zálohy na daňový odpočet a současně k faktickému prodloužení lhůty pro vrácení nadměrného odpočtu na dani z přidané hodnoty z 30 na 45 dní, je stanovena </w:t>
      </w:r>
      <w:r w:rsidRPr="009308D9">
        <w:rPr>
          <w:rFonts w:ascii="Times New Roman" w:hAnsi="Times New Roman" w:cs="Times New Roman"/>
          <w:sz w:val="24"/>
          <w:szCs w:val="24"/>
        </w:rPr>
        <w:t>prvního dne druhého měsíce následujícího po vyhlášení ve Sbírce zákonů</w:t>
      </w:r>
      <w:r>
        <w:rPr>
          <w:rFonts w:ascii="Times New Roman" w:hAnsi="Times New Roman" w:cs="Times New Roman"/>
          <w:sz w:val="24"/>
          <w:szCs w:val="24"/>
        </w:rPr>
        <w:t>, což podle odhadu vychází na 1. červenec 2020.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Pokročilá fáze legislativního procesu již neumožňuje přijmout změnu v podobě zavedení přechodného režimu, ale současně není zatím možné přistoupit ke změně platné a dosud neúčinné novely s obdobným výsledkem. </w:t>
      </w: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t>Odůvodnění hlavních principů a</w:t>
      </w:r>
      <w:r>
        <w:rPr>
          <w:rFonts w:ascii="Times New Roman" w:hAnsi="Times New Roman" w:cs="Times New Roman"/>
          <w:sz w:val="32"/>
        </w:rPr>
        <w:t> </w:t>
      </w:r>
      <w:r w:rsidRPr="00EF5493">
        <w:rPr>
          <w:rFonts w:ascii="Times New Roman" w:hAnsi="Times New Roman" w:cs="Times New Roman"/>
          <w:sz w:val="32"/>
        </w:rPr>
        <w:t>nezbyt</w:t>
      </w:r>
      <w:r>
        <w:rPr>
          <w:rFonts w:ascii="Times New Roman" w:hAnsi="Times New Roman" w:cs="Times New Roman"/>
          <w:sz w:val="32"/>
        </w:rPr>
        <w:t>nosti navrhované právní úpravy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5033DE">
        <w:rPr>
          <w:rFonts w:ascii="Times New Roman" w:hAnsi="Times New Roman" w:cs="Times New Roman"/>
          <w:sz w:val="24"/>
          <w:szCs w:val="24"/>
        </w:rPr>
        <w:t xml:space="preserve">Cílem </w:t>
      </w:r>
      <w:r>
        <w:rPr>
          <w:rFonts w:ascii="Times New Roman" w:hAnsi="Times New Roman" w:cs="Times New Roman"/>
          <w:sz w:val="24"/>
          <w:szCs w:val="24"/>
        </w:rPr>
        <w:t xml:space="preserve">návrhu je dočasně suspendovat změnu, kterou přinese </w:t>
      </w:r>
      <w:r w:rsidRPr="009308D9">
        <w:rPr>
          <w:rFonts w:ascii="Times New Roman" w:hAnsi="Times New Roman" w:cs="Times New Roman"/>
          <w:sz w:val="24"/>
          <w:szCs w:val="24"/>
        </w:rPr>
        <w:t>návrh zákona, kterým se mění zákon č. 280/2009 Sb., daňový řád, ve znění pozdějších předpisů, a další související zákony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308D9">
        <w:rPr>
          <w:rFonts w:ascii="Times New Roman" w:hAnsi="Times New Roman" w:cs="Times New Roman"/>
          <w:sz w:val="24"/>
          <w:szCs w:val="24"/>
        </w:rPr>
        <w:t>v </w:t>
      </w:r>
      <w:r w:rsidRPr="006747D5">
        <w:rPr>
          <w:rFonts w:ascii="Times New Roman" w:hAnsi="Times New Roman" w:cs="Times New Roman"/>
          <w:sz w:val="24"/>
          <w:szCs w:val="24"/>
        </w:rPr>
        <w:t>oblasti zavedení institutu zálohy na daňový odpočet a současně k faktickému prodloužen</w:t>
      </w:r>
      <w:r>
        <w:rPr>
          <w:rFonts w:ascii="Times New Roman" w:hAnsi="Times New Roman" w:cs="Times New Roman"/>
          <w:sz w:val="24"/>
          <w:szCs w:val="24"/>
        </w:rPr>
        <w:t>í lhůty pro vrácení nadměrného odpočtu na dani z přidané hodnoty, a to tak, aby byl zachován stávající stav.</w:t>
      </w:r>
    </w:p>
    <w:p w:rsidR="005F608B" w:rsidRPr="006747D5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Důvodem je snaha o dočasné zachování stávající koncepce tak, aby plátci daně z přidané hodnoty, kteří v současné době čelí problémům vyvolaným událostmi souvisejícími se </w:t>
      </w:r>
      <w:r w:rsidRPr="005033DE">
        <w:rPr>
          <w:rFonts w:ascii="Times New Roman" w:hAnsi="Times New Roman" w:cs="Times New Roman"/>
          <w:sz w:val="24"/>
          <w:szCs w:val="24"/>
        </w:rPr>
        <w:t>vznikem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033DE">
        <w:rPr>
          <w:rFonts w:ascii="Times New Roman" w:hAnsi="Times New Roman" w:cs="Times New Roman"/>
          <w:sz w:val="24"/>
          <w:szCs w:val="24"/>
        </w:rPr>
        <w:t xml:space="preserve">rozšířením onemocnění COVID-19 způsobeného novým </w:t>
      </w:r>
      <w:proofErr w:type="spellStart"/>
      <w:r w:rsidRPr="005033DE">
        <w:rPr>
          <w:rFonts w:ascii="Times New Roman" w:hAnsi="Times New Roman" w:cs="Times New Roman"/>
          <w:sz w:val="24"/>
          <w:szCs w:val="24"/>
        </w:rPr>
        <w:t>koronavirem</w:t>
      </w:r>
      <w:proofErr w:type="spellEnd"/>
      <w:r w:rsidRPr="005033DE">
        <w:rPr>
          <w:rFonts w:ascii="Times New Roman" w:hAnsi="Times New Roman" w:cs="Times New Roman"/>
          <w:sz w:val="24"/>
          <w:szCs w:val="24"/>
        </w:rPr>
        <w:t xml:space="preserve"> SARS</w:t>
      </w:r>
      <w:r>
        <w:rPr>
          <w:rFonts w:ascii="Times New Roman" w:hAnsi="Times New Roman" w:cs="Times New Roman"/>
          <w:sz w:val="24"/>
          <w:szCs w:val="24"/>
        </w:rPr>
        <w:noBreakHyphen/>
      </w:r>
      <w:r w:rsidRPr="005033DE">
        <w:rPr>
          <w:rFonts w:ascii="Times New Roman" w:hAnsi="Times New Roman" w:cs="Times New Roman"/>
          <w:sz w:val="24"/>
          <w:szCs w:val="24"/>
        </w:rPr>
        <w:t>CoV</w:t>
      </w:r>
      <w:r>
        <w:rPr>
          <w:rFonts w:ascii="Times New Roman" w:hAnsi="Times New Roman" w:cs="Times New Roman"/>
          <w:sz w:val="24"/>
          <w:szCs w:val="24"/>
        </w:rPr>
        <w:noBreakHyphen/>
      </w:r>
      <w:r w:rsidRPr="005033D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 nebyli vystaveni případným negativním dopadům z hlediska jejich cash-</w:t>
      </w:r>
      <w:proofErr w:type="spellStart"/>
      <w:r>
        <w:rPr>
          <w:rFonts w:ascii="Times New Roman" w:hAnsi="Times New Roman" w:cs="Times New Roman"/>
          <w:sz w:val="24"/>
          <w:szCs w:val="24"/>
        </w:rPr>
        <w:t>flow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které jim může oddálení výplaty nadměrných </w:t>
      </w:r>
      <w:r w:rsidRPr="006747D5">
        <w:rPr>
          <w:rFonts w:ascii="Times New Roman" w:hAnsi="Times New Roman" w:cs="Times New Roman"/>
          <w:sz w:val="24"/>
          <w:szCs w:val="24"/>
        </w:rPr>
        <w:t>odpočtů přinést.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6747D5">
        <w:rPr>
          <w:rFonts w:ascii="Times New Roman" w:hAnsi="Times New Roman" w:cs="Times New Roman"/>
          <w:sz w:val="24"/>
          <w:szCs w:val="24"/>
        </w:rPr>
        <w:t>Vzhledem k tomu, že prodloužení lhůty je úzce navázáno na institut zálohy na daňový odpočet, navrhuje se po stejnou dobu odložit i realizaci tohoto nového institutu.</w:t>
      </w: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t>Zhodnocení souladu navrhované právní úpravy s ústa</w:t>
      </w:r>
      <w:r>
        <w:rPr>
          <w:rFonts w:ascii="Times New Roman" w:hAnsi="Times New Roman" w:cs="Times New Roman"/>
          <w:sz w:val="32"/>
        </w:rPr>
        <w:t>vním pořádkem České republiky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323FDC">
        <w:rPr>
          <w:rFonts w:ascii="Times New Roman" w:hAnsi="Times New Roman" w:cs="Times New Roman"/>
          <w:sz w:val="24"/>
          <w:szCs w:val="24"/>
        </w:rPr>
        <w:t>Navrhovaný zákon je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3FDC">
        <w:rPr>
          <w:rFonts w:ascii="Times New Roman" w:hAnsi="Times New Roman" w:cs="Times New Roman"/>
          <w:sz w:val="24"/>
          <w:szCs w:val="24"/>
        </w:rPr>
        <w:t>souladu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3FDC">
        <w:rPr>
          <w:rFonts w:ascii="Times New Roman" w:hAnsi="Times New Roman" w:cs="Times New Roman"/>
          <w:sz w:val="24"/>
          <w:szCs w:val="24"/>
        </w:rPr>
        <w:t>ústavním pořádkem České republiky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3FDC">
        <w:rPr>
          <w:rFonts w:ascii="Times New Roman" w:hAnsi="Times New Roman" w:cs="Times New Roman"/>
          <w:sz w:val="24"/>
          <w:szCs w:val="24"/>
        </w:rPr>
        <w:t>plně respektuje též Listinu základních práv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3FDC">
        <w:rPr>
          <w:rFonts w:ascii="Times New Roman" w:hAnsi="Times New Roman" w:cs="Times New Roman"/>
          <w:sz w:val="24"/>
          <w:szCs w:val="24"/>
        </w:rPr>
        <w:t xml:space="preserve">svobod. </w:t>
      </w:r>
      <w:r>
        <w:rPr>
          <w:rFonts w:ascii="Times New Roman" w:hAnsi="Times New Roman" w:cs="Times New Roman"/>
          <w:sz w:val="24"/>
          <w:szCs w:val="24"/>
        </w:rPr>
        <w:t>Fakticky se jedná o posunutí účinnosti vybraných institutů, přičemž se tak děje formou zákona.</w:t>
      </w: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t>Zhodnocení slučitelnosti navrhované právní úpravy s</w:t>
      </w:r>
      <w:r>
        <w:rPr>
          <w:rFonts w:ascii="Times New Roman" w:hAnsi="Times New Roman" w:cs="Times New Roman"/>
          <w:sz w:val="32"/>
        </w:rPr>
        <w:t> </w:t>
      </w:r>
      <w:r w:rsidRPr="00EF5493">
        <w:rPr>
          <w:rFonts w:ascii="Times New Roman" w:hAnsi="Times New Roman" w:cs="Times New Roman"/>
          <w:sz w:val="32"/>
        </w:rPr>
        <w:t xml:space="preserve">předpisy Evropské unie, judikaturou soudních orgánů Evropské unie nebo obecnými právními zásadami práva Evropské unie  </w:t>
      </w:r>
    </w:p>
    <w:p w:rsidR="005F608B" w:rsidRPr="006A5DFF" w:rsidRDefault="005F608B" w:rsidP="005F608B">
      <w:pPr>
        <w:pStyle w:val="text"/>
        <w:shd w:val="clear" w:color="auto" w:fill="FFFFFF"/>
        <w:ind w:firstLine="0"/>
      </w:pPr>
      <w:r w:rsidRPr="006A5DFF">
        <w:t>Návrh je plně slučitelný s</w:t>
      </w:r>
      <w:r>
        <w:t> </w:t>
      </w:r>
      <w:r w:rsidRPr="006A5DFF">
        <w:t>právem Evropské unie a</w:t>
      </w:r>
      <w:r>
        <w:t> </w:t>
      </w:r>
      <w:r w:rsidRPr="006A5DFF">
        <w:t>ustanovení navrhované právní úpravy nezakládají rozpor s</w:t>
      </w:r>
      <w:r>
        <w:t> </w:t>
      </w:r>
      <w:r w:rsidRPr="006A5DFF">
        <w:t>primárním právem Evropské unie ve světle ustálené judikatury Soudního dvora Evropské unie.</w:t>
      </w:r>
    </w:p>
    <w:p w:rsidR="005F608B" w:rsidRDefault="005F608B" w:rsidP="005F608B">
      <w:pPr>
        <w:pStyle w:val="text"/>
        <w:shd w:val="clear" w:color="auto" w:fill="FFFFFF"/>
        <w:ind w:firstLine="0"/>
      </w:pPr>
      <w:r w:rsidRPr="006A5DFF">
        <w:t>S</w:t>
      </w:r>
      <w:r>
        <w:t> </w:t>
      </w:r>
      <w:r w:rsidRPr="006A5DFF">
        <w:t>poukazem na sekundární právo Evropské unie lze konstatovat, že také v</w:t>
      </w:r>
      <w:r>
        <w:t> </w:t>
      </w:r>
      <w:r w:rsidRPr="006A5DFF">
        <w:t>tomto ohledu předkládaná právní úprava respektuje závazky, které pro Českou republiku v</w:t>
      </w:r>
      <w:r>
        <w:t> </w:t>
      </w:r>
      <w:r w:rsidRPr="006A5DFF">
        <w:t>této oblasti z členství v</w:t>
      </w:r>
      <w:r>
        <w:t> </w:t>
      </w:r>
      <w:r w:rsidRPr="006A5DFF">
        <w:t>Evropské unii vyplývají.</w:t>
      </w: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t>Zhodnocení sou</w:t>
      </w:r>
      <w:r>
        <w:rPr>
          <w:rFonts w:ascii="Times New Roman" w:hAnsi="Times New Roman" w:cs="Times New Roman"/>
          <w:sz w:val="32"/>
        </w:rPr>
        <w:t>ladu navrhované právní úpravy s </w:t>
      </w:r>
      <w:r w:rsidRPr="00EF5493">
        <w:rPr>
          <w:rFonts w:ascii="Times New Roman" w:hAnsi="Times New Roman" w:cs="Times New Roman"/>
          <w:sz w:val="32"/>
        </w:rPr>
        <w:t xml:space="preserve">mezinárodními smlouvami, jimiž je Česká republika vázána </w:t>
      </w:r>
    </w:p>
    <w:p w:rsidR="005F608B" w:rsidRPr="00323FDC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323FDC">
        <w:rPr>
          <w:rFonts w:ascii="Times New Roman" w:hAnsi="Times New Roman" w:cs="Times New Roman"/>
          <w:sz w:val="24"/>
          <w:szCs w:val="24"/>
        </w:rPr>
        <w:t>Navrhovaný zákon je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3FDC">
        <w:rPr>
          <w:rFonts w:ascii="Times New Roman" w:hAnsi="Times New Roman" w:cs="Times New Roman"/>
          <w:sz w:val="24"/>
          <w:szCs w:val="24"/>
        </w:rPr>
        <w:t>souladu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3FDC">
        <w:rPr>
          <w:rFonts w:ascii="Times New Roman" w:hAnsi="Times New Roman" w:cs="Times New Roman"/>
          <w:sz w:val="24"/>
          <w:szCs w:val="24"/>
        </w:rPr>
        <w:t xml:space="preserve">mezinárodními smlouvami, jimiž je Česká republika vázána, podle čl. 10 Ústavy. </w:t>
      </w: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lastRenderedPageBreak/>
        <w:t>Předpokládaný hospodářský a</w:t>
      </w:r>
      <w:r>
        <w:rPr>
          <w:rFonts w:ascii="Times New Roman" w:hAnsi="Times New Roman" w:cs="Times New Roman"/>
          <w:sz w:val="32"/>
        </w:rPr>
        <w:t> </w:t>
      </w:r>
      <w:r w:rsidRPr="00EF5493">
        <w:rPr>
          <w:rFonts w:ascii="Times New Roman" w:hAnsi="Times New Roman" w:cs="Times New Roman"/>
          <w:sz w:val="32"/>
        </w:rPr>
        <w:t>finanční dopad navrhované právní úpravy na státní rozpočet, ostatní veřejné rozpočty, na</w:t>
      </w:r>
      <w:r>
        <w:rPr>
          <w:rFonts w:ascii="Times New Roman" w:hAnsi="Times New Roman" w:cs="Times New Roman"/>
          <w:sz w:val="32"/>
        </w:rPr>
        <w:t> </w:t>
      </w:r>
      <w:r w:rsidRPr="00EF5493">
        <w:rPr>
          <w:rFonts w:ascii="Times New Roman" w:hAnsi="Times New Roman" w:cs="Times New Roman"/>
          <w:sz w:val="32"/>
        </w:rPr>
        <w:t>podnikatelské prostředí České republiky, dále sociální dopady, včetně dopadů na rodiny a</w:t>
      </w:r>
      <w:r>
        <w:rPr>
          <w:rFonts w:ascii="Times New Roman" w:hAnsi="Times New Roman" w:cs="Times New Roman"/>
          <w:sz w:val="32"/>
        </w:rPr>
        <w:t> </w:t>
      </w:r>
      <w:r w:rsidRPr="00EF5493">
        <w:rPr>
          <w:rFonts w:ascii="Times New Roman" w:hAnsi="Times New Roman" w:cs="Times New Roman"/>
          <w:sz w:val="32"/>
        </w:rPr>
        <w:t>dopadů na specifické skupiny obyvatel, zejména osoby sociálně slabé, osoby se</w:t>
      </w:r>
      <w:r>
        <w:rPr>
          <w:rFonts w:ascii="Times New Roman" w:hAnsi="Times New Roman" w:cs="Times New Roman"/>
          <w:sz w:val="32"/>
        </w:rPr>
        <w:t> </w:t>
      </w:r>
      <w:r w:rsidRPr="00EF5493">
        <w:rPr>
          <w:rFonts w:ascii="Times New Roman" w:hAnsi="Times New Roman" w:cs="Times New Roman"/>
          <w:sz w:val="32"/>
        </w:rPr>
        <w:t>zdravotním postižením a národnostní menšiny</w:t>
      </w:r>
    </w:p>
    <w:p w:rsidR="005F608B" w:rsidRDefault="005F608B" w:rsidP="005F608B">
      <w:pPr>
        <w:pStyle w:val="Zklad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ohledem na to, že se f</w:t>
      </w:r>
      <w:r w:rsidRPr="006B59C8">
        <w:rPr>
          <w:rFonts w:ascii="Times New Roman" w:hAnsi="Times New Roman" w:cs="Times New Roman"/>
          <w:sz w:val="24"/>
          <w:szCs w:val="24"/>
        </w:rPr>
        <w:t xml:space="preserve">akticky se jedná o posunutí účinnosti vybraných institutů, </w:t>
      </w:r>
      <w:r>
        <w:rPr>
          <w:rFonts w:ascii="Times New Roman" w:hAnsi="Times New Roman" w:cs="Times New Roman"/>
          <w:sz w:val="24"/>
          <w:szCs w:val="24"/>
        </w:rPr>
        <w:t xml:space="preserve">dojde i k odsunutí hospodářských a finančních dopadů popsaných v důvodové zprávě k </w:t>
      </w:r>
      <w:r w:rsidRPr="006B59C8">
        <w:rPr>
          <w:rFonts w:ascii="Times New Roman" w:hAnsi="Times New Roman" w:cs="Times New Roman"/>
          <w:sz w:val="24"/>
          <w:szCs w:val="24"/>
        </w:rPr>
        <w:t>návrh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B59C8">
        <w:rPr>
          <w:rFonts w:ascii="Times New Roman" w:hAnsi="Times New Roman" w:cs="Times New Roman"/>
          <w:sz w:val="24"/>
          <w:szCs w:val="24"/>
        </w:rPr>
        <w:t xml:space="preserve"> zákona, kterým se mění zákon č. 280/2009 Sb., daňový řád, ve znění pozdějších předpisů,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59C8">
        <w:rPr>
          <w:rFonts w:ascii="Times New Roman" w:hAnsi="Times New Roman" w:cs="Times New Roman"/>
          <w:sz w:val="24"/>
          <w:szCs w:val="24"/>
        </w:rPr>
        <w:t>další související zákon</w:t>
      </w:r>
      <w:r>
        <w:rPr>
          <w:rFonts w:ascii="Times New Roman" w:hAnsi="Times New Roman" w:cs="Times New Roman"/>
          <w:sz w:val="24"/>
          <w:szCs w:val="24"/>
        </w:rPr>
        <w:t>y, které se týkají těchto institutů.</w:t>
      </w: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t>Zhodnocení dopadů navrhovaného řešení ve vztahu k</w:t>
      </w:r>
      <w:r>
        <w:rPr>
          <w:rFonts w:ascii="Times New Roman" w:hAnsi="Times New Roman" w:cs="Times New Roman"/>
          <w:sz w:val="32"/>
        </w:rPr>
        <w:t> </w:t>
      </w:r>
      <w:r w:rsidRPr="00EF5493">
        <w:rPr>
          <w:rFonts w:ascii="Times New Roman" w:hAnsi="Times New Roman" w:cs="Times New Roman"/>
          <w:sz w:val="32"/>
        </w:rPr>
        <w:t xml:space="preserve">ochraně soukromí a osobních údajů </w:t>
      </w:r>
    </w:p>
    <w:p w:rsidR="005F608B" w:rsidRPr="00323FDC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323FDC">
        <w:rPr>
          <w:rFonts w:ascii="Times New Roman" w:hAnsi="Times New Roman" w:cs="Times New Roman"/>
          <w:sz w:val="24"/>
          <w:szCs w:val="24"/>
        </w:rPr>
        <w:t xml:space="preserve">Navrhovaný zákon nebude mít žádné </w:t>
      </w:r>
      <w:r>
        <w:rPr>
          <w:rFonts w:ascii="Times New Roman" w:hAnsi="Times New Roman" w:cs="Times New Roman"/>
          <w:sz w:val="24"/>
          <w:szCs w:val="24"/>
        </w:rPr>
        <w:t xml:space="preserve">negativní </w:t>
      </w:r>
      <w:r w:rsidRPr="00323FDC">
        <w:rPr>
          <w:rFonts w:ascii="Times New Roman" w:hAnsi="Times New Roman" w:cs="Times New Roman"/>
          <w:sz w:val="24"/>
          <w:szCs w:val="24"/>
        </w:rPr>
        <w:t>dopady na ochranu soukromí a</w:t>
      </w:r>
      <w:r>
        <w:rPr>
          <w:rFonts w:ascii="Times New Roman" w:hAnsi="Times New Roman" w:cs="Times New Roman"/>
          <w:sz w:val="24"/>
          <w:szCs w:val="24"/>
        </w:rPr>
        <w:t> osobních údajů, neboť nijak nemění okruh osobních údajů, které jsou v rámci správy daní zpracovávány.</w:t>
      </w: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t xml:space="preserve">Zhodnocení korupčních rizik </w:t>
      </w:r>
    </w:p>
    <w:p w:rsidR="005F608B" w:rsidRPr="00323FDC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6B59C8">
        <w:rPr>
          <w:rFonts w:ascii="Times New Roman" w:hAnsi="Times New Roman" w:cs="Times New Roman"/>
          <w:sz w:val="24"/>
          <w:szCs w:val="24"/>
        </w:rPr>
        <w:t xml:space="preserve">S ohledem na to, že se fakticky se jedná o posunutí účinnosti vybraných institutů, </w:t>
      </w:r>
      <w:r>
        <w:rPr>
          <w:rFonts w:ascii="Times New Roman" w:hAnsi="Times New Roman" w:cs="Times New Roman"/>
          <w:sz w:val="24"/>
          <w:szCs w:val="24"/>
        </w:rPr>
        <w:t>nedojde v této souvislosti ke vzniku korupčních rizik.</w:t>
      </w: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t>Zhodnocení dopadů na bezpečnost nebo ochranu státu a</w:t>
      </w:r>
      <w:r>
        <w:rPr>
          <w:rFonts w:ascii="Times New Roman" w:hAnsi="Times New Roman" w:cs="Times New Roman"/>
          <w:sz w:val="32"/>
        </w:rPr>
        <w:t> </w:t>
      </w:r>
      <w:r w:rsidRPr="00EF5493">
        <w:rPr>
          <w:rFonts w:ascii="Times New Roman" w:hAnsi="Times New Roman" w:cs="Times New Roman"/>
          <w:sz w:val="32"/>
        </w:rPr>
        <w:t>dopady na životní prostředí</w:t>
      </w:r>
    </w:p>
    <w:p w:rsidR="005F608B" w:rsidRPr="000733CF" w:rsidRDefault="005F608B" w:rsidP="005F608B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33450">
        <w:rPr>
          <w:rFonts w:ascii="Times New Roman" w:hAnsi="Times New Roman" w:cs="Times New Roman"/>
          <w:sz w:val="24"/>
          <w:szCs w:val="24"/>
        </w:rPr>
        <w:t>Navrhovaná právní úprava nemá dopad na bezpečnost nebo obranu státu ve smyslu usnesení vlády č. 343/D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3450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3450">
        <w:rPr>
          <w:rFonts w:ascii="Times New Roman" w:hAnsi="Times New Roman" w:cs="Times New Roman"/>
          <w:sz w:val="24"/>
          <w:szCs w:val="24"/>
        </w:rPr>
        <w:t>roku 2015.</w:t>
      </w:r>
    </w:p>
    <w:p w:rsidR="005F608B" w:rsidRPr="00EF5493" w:rsidRDefault="005F608B" w:rsidP="005F608B">
      <w:pPr>
        <w:pStyle w:val="Nadpis3"/>
        <w:numPr>
          <w:ilvl w:val="0"/>
          <w:numId w:val="5"/>
        </w:numPr>
        <w:ind w:left="360"/>
        <w:rPr>
          <w:rFonts w:ascii="Times New Roman" w:hAnsi="Times New Roman" w:cs="Times New Roman"/>
          <w:sz w:val="32"/>
        </w:rPr>
      </w:pPr>
      <w:r w:rsidRPr="00EF5493">
        <w:rPr>
          <w:rFonts w:ascii="Times New Roman" w:hAnsi="Times New Roman" w:cs="Times New Roman"/>
          <w:sz w:val="32"/>
        </w:rPr>
        <w:t>Způsob projednání návrhu zákona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 w:rsidRPr="008479E9">
        <w:rPr>
          <w:rFonts w:ascii="Times New Roman" w:hAnsi="Times New Roman" w:cs="Times New Roman"/>
          <w:sz w:val="24"/>
          <w:szCs w:val="24"/>
        </w:rPr>
        <w:t>Současně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479E9">
        <w:rPr>
          <w:rFonts w:ascii="Times New Roman" w:hAnsi="Times New Roman" w:cs="Times New Roman"/>
          <w:sz w:val="24"/>
          <w:szCs w:val="24"/>
        </w:rPr>
        <w:t>předložením návrhu zákona se předseda Poslanecké sněmovny Parlamentu České republiky žádá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479E9">
        <w:rPr>
          <w:rFonts w:ascii="Times New Roman" w:hAnsi="Times New Roman" w:cs="Times New Roman"/>
          <w:sz w:val="24"/>
          <w:szCs w:val="24"/>
        </w:rPr>
        <w:t>projednání návrhu zákona ve zkráceném jednání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479E9">
        <w:rPr>
          <w:rFonts w:ascii="Times New Roman" w:hAnsi="Times New Roman" w:cs="Times New Roman"/>
          <w:sz w:val="24"/>
          <w:szCs w:val="24"/>
        </w:rPr>
        <w:t>rámci vyhlášeného stavu legislativní nouze podle § 99 zákona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479E9">
        <w:rPr>
          <w:rFonts w:ascii="Times New Roman" w:hAnsi="Times New Roman" w:cs="Times New Roman"/>
          <w:sz w:val="24"/>
          <w:szCs w:val="24"/>
        </w:rPr>
        <w:t>jednacím řádu Poslanecké sněmovny,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479E9">
        <w:rPr>
          <w:rFonts w:ascii="Times New Roman" w:hAnsi="Times New Roman" w:cs="Times New Roman"/>
          <w:sz w:val="24"/>
          <w:szCs w:val="24"/>
        </w:rPr>
        <w:t>to vzhledem k</w:t>
      </w:r>
      <w:r>
        <w:rPr>
          <w:rFonts w:ascii="Times New Roman" w:hAnsi="Times New Roman" w:cs="Times New Roman"/>
          <w:sz w:val="24"/>
          <w:szCs w:val="24"/>
        </w:rPr>
        <w:t xml:space="preserve"> potřebě realizovat danou změnu ještě před tím, než nabude účinnosti </w:t>
      </w:r>
      <w:r w:rsidRPr="006B59C8">
        <w:rPr>
          <w:rFonts w:ascii="Times New Roman" w:hAnsi="Times New Roman" w:cs="Times New Roman"/>
          <w:sz w:val="24"/>
          <w:szCs w:val="24"/>
        </w:rPr>
        <w:t>zákon, kterým se mění zákon č. 280/2009 Sb., daňový řád, ve znění pozdějších předpisů,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59C8">
        <w:rPr>
          <w:rFonts w:ascii="Times New Roman" w:hAnsi="Times New Roman" w:cs="Times New Roman"/>
          <w:sz w:val="24"/>
          <w:szCs w:val="24"/>
        </w:rPr>
        <w:t>další související zákon</w:t>
      </w:r>
      <w:r>
        <w:rPr>
          <w:rFonts w:ascii="Times New Roman" w:hAnsi="Times New Roman" w:cs="Times New Roman"/>
          <w:sz w:val="24"/>
          <w:szCs w:val="24"/>
        </w:rPr>
        <w:t>y (sněmovní tisk č. 580).</w:t>
      </w:r>
    </w:p>
    <w:p w:rsidR="005F608B" w:rsidRDefault="005F608B" w:rsidP="005F6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F608B" w:rsidRPr="00EF5493" w:rsidRDefault="005F608B" w:rsidP="005F608B">
      <w:pPr>
        <w:pStyle w:val="Nadpis2"/>
        <w:numPr>
          <w:ilvl w:val="0"/>
          <w:numId w:val="6"/>
        </w:numPr>
        <w:rPr>
          <w:rFonts w:ascii="Times New Roman" w:eastAsia="Times New Roman" w:hAnsi="Times New Roman" w:cs="Times New Roman"/>
          <w:sz w:val="36"/>
        </w:rPr>
      </w:pPr>
      <w:r w:rsidRPr="00EF5493">
        <w:rPr>
          <w:rFonts w:ascii="Times New Roman" w:eastAsia="Times New Roman" w:hAnsi="Times New Roman" w:cs="Times New Roman"/>
          <w:sz w:val="36"/>
        </w:rPr>
        <w:lastRenderedPageBreak/>
        <w:t>Zvláštní část</w:t>
      </w:r>
    </w:p>
    <w:p w:rsidR="005F608B" w:rsidRPr="000733CF" w:rsidRDefault="005F608B" w:rsidP="005F608B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F608B" w:rsidRPr="00EF5493" w:rsidRDefault="005F608B" w:rsidP="005F608B">
      <w:pPr>
        <w:pStyle w:val="Dvodovzprvaksti"/>
        <w:rPr>
          <w:color w:val="auto"/>
        </w:rPr>
      </w:pPr>
      <w:r w:rsidRPr="00EF5493">
        <w:rPr>
          <w:color w:val="auto"/>
        </w:rPr>
        <w:t>K</w:t>
      </w:r>
      <w:r>
        <w:rPr>
          <w:color w:val="auto"/>
        </w:rPr>
        <w:t> </w:t>
      </w:r>
      <w:r w:rsidRPr="00EF5493">
        <w:rPr>
          <w:color w:val="auto"/>
        </w:rPr>
        <w:t>§ 1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Ustanovení upravuje jednak předmět úpravy, kterým jsou některé zvláštní normy vztahující se k pravidlům správy daňových odpočtů, jejichž potřeba byla vyvolána aktuální situací související s výskytem</w:t>
      </w:r>
      <w:r w:rsidRPr="00CB29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9F9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CB29F9">
        <w:rPr>
          <w:rFonts w:ascii="Times New Roman" w:hAnsi="Times New Roman" w:cs="Times New Roman"/>
          <w:sz w:val="24"/>
          <w:szCs w:val="24"/>
        </w:rPr>
        <w:t xml:space="preserve"> označovaného jako SARS CoV-2</w:t>
      </w:r>
      <w:r>
        <w:rPr>
          <w:rFonts w:ascii="Times New Roman" w:hAnsi="Times New Roman" w:cs="Times New Roman"/>
          <w:sz w:val="24"/>
          <w:szCs w:val="24"/>
        </w:rPr>
        <w:t xml:space="preserve">, a to jak v souvislosti se samotným ohrožením zdraví v důsledku uvedeného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>
        <w:rPr>
          <w:rFonts w:ascii="Times New Roman" w:hAnsi="Times New Roman" w:cs="Times New Roman"/>
          <w:sz w:val="24"/>
          <w:szCs w:val="24"/>
        </w:rPr>
        <w:t>, tak v souvis</w:t>
      </w:r>
      <w:r w:rsidR="00DB685C">
        <w:rPr>
          <w:rFonts w:ascii="Times New Roman" w:hAnsi="Times New Roman" w:cs="Times New Roman"/>
          <w:sz w:val="24"/>
          <w:szCs w:val="24"/>
        </w:rPr>
        <w:t>losti s krizovými opatřeními (v </w:t>
      </w:r>
      <w:r>
        <w:rPr>
          <w:rFonts w:ascii="Times New Roman" w:hAnsi="Times New Roman" w:cs="Times New Roman"/>
          <w:sz w:val="24"/>
          <w:szCs w:val="24"/>
        </w:rPr>
        <w:t>širším smyslu), které na tento výskyt reagovaly a reagují. V souladu s navrženým § 1 odst. 2 nicméně uvedená pravidla nedopadají na veškeré daňové odpočty ve smyslu § 2 odst. 4 daňového řádu, ale pouze na nadměrný odpočet na dani z </w:t>
      </w:r>
      <w:r w:rsidRPr="00CB29F9">
        <w:rPr>
          <w:rFonts w:ascii="Times New Roman" w:hAnsi="Times New Roman" w:cs="Times New Roman"/>
          <w:sz w:val="24"/>
          <w:szCs w:val="24"/>
        </w:rPr>
        <w:t>přidané hodnoty</w:t>
      </w:r>
      <w:r w:rsidR="00DB685C">
        <w:rPr>
          <w:rFonts w:ascii="Times New Roman" w:hAnsi="Times New Roman" w:cs="Times New Roman"/>
          <w:sz w:val="24"/>
          <w:szCs w:val="24"/>
        </w:rPr>
        <w:t xml:space="preserve"> (viz § 4 odst. 1 písm. </w:t>
      </w:r>
      <w:r>
        <w:rPr>
          <w:rFonts w:ascii="Times New Roman" w:hAnsi="Times New Roman" w:cs="Times New Roman"/>
          <w:sz w:val="24"/>
          <w:szCs w:val="24"/>
        </w:rPr>
        <w:t>d) zákona o dani z přidané hodnoty).</w:t>
      </w:r>
    </w:p>
    <w:p w:rsidR="005F608B" w:rsidRPr="00EF5493" w:rsidRDefault="005F608B" w:rsidP="005F608B">
      <w:pPr>
        <w:pStyle w:val="Dvodovzprvaksti"/>
        <w:rPr>
          <w:color w:val="auto"/>
        </w:rPr>
      </w:pPr>
      <w:r w:rsidRPr="00EF5493">
        <w:rPr>
          <w:color w:val="auto"/>
        </w:rPr>
        <w:t>K</w:t>
      </w:r>
      <w:r>
        <w:rPr>
          <w:color w:val="auto"/>
        </w:rPr>
        <w:t> </w:t>
      </w:r>
      <w:r w:rsidRPr="00EF5493">
        <w:rPr>
          <w:color w:val="auto"/>
        </w:rPr>
        <w:t>§ 2</w:t>
      </w:r>
    </w:p>
    <w:p w:rsidR="005F608B" w:rsidRPr="00A152C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Ustanovení § 2 obsahuje speciální pravidlo oproti § 155b odst. 3 daňového řádu (ve znění sněmovního tisku č. 580), které upravuje lhůtu pro vracení vratitelného přeplatku v případě daňového odpočtu. Podle této obecné úpravy platí, že vznikne-li v </w:t>
      </w:r>
      <w:r w:rsidRPr="00A152CB">
        <w:rPr>
          <w:rFonts w:ascii="Times New Roman" w:hAnsi="Times New Roman" w:cs="Times New Roman"/>
          <w:sz w:val="24"/>
          <w:szCs w:val="24"/>
        </w:rPr>
        <w:t>důsledku stanovení daňového odpočtu vratitelný přeplatek, vrátí jej správce daně daňovému subjektu bez žádosti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52CB">
        <w:rPr>
          <w:rFonts w:ascii="Times New Roman" w:hAnsi="Times New Roman" w:cs="Times New Roman"/>
          <w:sz w:val="24"/>
          <w:szCs w:val="24"/>
        </w:rPr>
        <w:t>30 dnů ode dne, který se považuje za den doručení platebního výměru nebo dodatečného platebního výměru v případě, kdy se výsledek vyměření nebo doměření daňovému subjektu neoznamuje</w:t>
      </w:r>
      <w:r>
        <w:rPr>
          <w:rFonts w:ascii="Times New Roman" w:hAnsi="Times New Roman" w:cs="Times New Roman"/>
          <w:sz w:val="24"/>
          <w:szCs w:val="24"/>
        </w:rPr>
        <w:t xml:space="preserve">, resp. do </w:t>
      </w:r>
      <w:r w:rsidRPr="00A152CB">
        <w:rPr>
          <w:rFonts w:ascii="Times New Roman" w:hAnsi="Times New Roman" w:cs="Times New Roman"/>
          <w:sz w:val="24"/>
          <w:szCs w:val="24"/>
        </w:rPr>
        <w:t>15 dnů ode dne oznámení platebního výměru nebo dodatečného platebního výměru</w:t>
      </w:r>
      <w:r>
        <w:rPr>
          <w:rFonts w:ascii="Times New Roman" w:hAnsi="Times New Roman" w:cs="Times New Roman"/>
          <w:sz w:val="24"/>
          <w:szCs w:val="24"/>
        </w:rPr>
        <w:t>. V prvním z těchto případů je třeba ke lhůtě 30 dnů připočíst ješ</w:t>
      </w:r>
      <w:r w:rsidR="00DB685C">
        <w:rPr>
          <w:rFonts w:ascii="Times New Roman" w:hAnsi="Times New Roman" w:cs="Times New Roman"/>
          <w:sz w:val="24"/>
          <w:szCs w:val="24"/>
        </w:rPr>
        <w:t>tě 15 dnů mezi koncem lhůty pro </w:t>
      </w:r>
      <w:r>
        <w:rPr>
          <w:rFonts w:ascii="Times New Roman" w:hAnsi="Times New Roman" w:cs="Times New Roman"/>
          <w:sz w:val="24"/>
          <w:szCs w:val="24"/>
        </w:rPr>
        <w:t xml:space="preserve">podání daňového tvrzení a dnem, který je považuje za den </w:t>
      </w:r>
      <w:r w:rsidRPr="00A152CB">
        <w:rPr>
          <w:rFonts w:ascii="Times New Roman" w:hAnsi="Times New Roman" w:cs="Times New Roman"/>
          <w:sz w:val="24"/>
          <w:szCs w:val="24"/>
        </w:rPr>
        <w:t>doručení platebního výměru nebo dodatečného platebního výměru</w:t>
      </w:r>
      <w:r>
        <w:rPr>
          <w:rFonts w:ascii="Times New Roman" w:hAnsi="Times New Roman" w:cs="Times New Roman"/>
          <w:sz w:val="24"/>
          <w:szCs w:val="24"/>
        </w:rPr>
        <w:t xml:space="preserve">, resp. za den tzv. konkludentního stanovení daně. Ve výsledku je zde tedy podle obecné úpravy dán časový úsek pro vrácení daňového odpočtu o délce 45 dnů. Z důvodů uvedených v obecné části důvodové zprávy se navrhuje dočasně uvedený celkový časový úsek zkrátit na 30 dnů pro případ nadměrných odpočtů na dani z přidané hodnoty, a to zkrácením lhůty pro vracení vratitelného přeplatku v případě daňového odpočtu o 15 dnů.           </w:t>
      </w:r>
    </w:p>
    <w:p w:rsidR="005F608B" w:rsidRPr="00EF5493" w:rsidRDefault="005F608B" w:rsidP="005F608B">
      <w:pPr>
        <w:pStyle w:val="Dvodovzprvaksti"/>
        <w:rPr>
          <w:color w:val="auto"/>
        </w:rPr>
      </w:pPr>
      <w:r w:rsidRPr="00EF5493">
        <w:rPr>
          <w:color w:val="auto"/>
        </w:rPr>
        <w:t>K</w:t>
      </w:r>
      <w:r>
        <w:rPr>
          <w:color w:val="auto"/>
        </w:rPr>
        <w:t> </w:t>
      </w:r>
      <w:r w:rsidRPr="00EF5493">
        <w:rPr>
          <w:color w:val="auto"/>
        </w:rPr>
        <w:t xml:space="preserve">§ </w:t>
      </w:r>
      <w:r>
        <w:rPr>
          <w:color w:val="auto"/>
        </w:rPr>
        <w:t>3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ustanovení § 174a a 174b daňového řádu (ve znění sněmovního tisku č. 580) se zavádí nový institut zálohy na daňový odpočet v případě, že zákon, kte</w:t>
      </w:r>
      <w:r w:rsidR="00DB685C">
        <w:rPr>
          <w:rFonts w:ascii="Times New Roman" w:hAnsi="Times New Roman" w:cs="Times New Roman"/>
          <w:sz w:val="24"/>
          <w:szCs w:val="24"/>
        </w:rPr>
        <w:t>rý daný odpočet upravuje, se ke </w:t>
      </w:r>
      <w:r>
        <w:rPr>
          <w:rFonts w:ascii="Times New Roman" w:hAnsi="Times New Roman" w:cs="Times New Roman"/>
          <w:sz w:val="24"/>
          <w:szCs w:val="24"/>
        </w:rPr>
        <w:t xml:space="preserve">vzniku zálohy na daňový odpočet explicitně přihlásí. Ve vztahu </w:t>
      </w:r>
      <w:r w:rsidR="00DB685C">
        <w:rPr>
          <w:rFonts w:ascii="Times New Roman" w:hAnsi="Times New Roman" w:cs="Times New Roman"/>
          <w:sz w:val="24"/>
          <w:szCs w:val="24"/>
        </w:rPr>
        <w:t>k nadměrnému odpočtu na 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dani z přidané hodnoty tak učiní nový § 105a zákona o dani z přidané hodnoty.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Vzhledem k provázanosti institutu zálohy na daňový odpočet s nutností zajištění dostatečného časového prostoru pro posouzení nároku na vznik zálohy ze strany správce daně, čehož je dosaženo výše uvedeným nastavením časového úseku pro vracení daňového odpočtu v § 155b odst. 3 daňového řádu, nelze připustit aktivaci institutu zálohy na daňový odpočet bez současné aktivace uvedeného nastavení. S ohledem na dočasné zkrácení uvedeného časového úseku navrhované v § 2 je nezbytné provést též paralelní vyloučení použití ustanovení upravujících zálohu na daňový odpočet v případě nadměrných odpočtů na dani z přidané hodnoty, a to jak ustanovení daňového řádu (která upravují obecný procesní režim předmětných záloh), tak ustanovení zákona o dani z přidané hodnoty (který se pro nadměrné odpočty na dani z přidané hodnoty k použití záloh přihlašuje).       </w:t>
      </w:r>
    </w:p>
    <w:p w:rsidR="005F608B" w:rsidRPr="00EF5493" w:rsidRDefault="005F608B" w:rsidP="005F608B">
      <w:pPr>
        <w:pStyle w:val="Dvodovzprvaksti"/>
        <w:rPr>
          <w:color w:val="auto"/>
        </w:rPr>
      </w:pPr>
      <w:r w:rsidRPr="00EF5493">
        <w:rPr>
          <w:color w:val="auto"/>
        </w:rPr>
        <w:lastRenderedPageBreak/>
        <w:t>K</w:t>
      </w:r>
      <w:r>
        <w:rPr>
          <w:color w:val="auto"/>
        </w:rPr>
        <w:t> </w:t>
      </w:r>
      <w:r w:rsidRPr="00EF5493">
        <w:rPr>
          <w:color w:val="auto"/>
        </w:rPr>
        <w:t xml:space="preserve">§ </w:t>
      </w:r>
      <w:r>
        <w:rPr>
          <w:color w:val="auto"/>
        </w:rPr>
        <w:t>4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Navrhuje se přechodné ustanovení, které zachová účinky navrženého zákona v případě dotčených daňových odpočtů i po 31. prosinci 2020.</w:t>
      </w:r>
    </w:p>
    <w:p w:rsidR="005F608B" w:rsidRPr="00EF5493" w:rsidRDefault="005F608B" w:rsidP="005F608B">
      <w:pPr>
        <w:pStyle w:val="Dvodovzprvaksti"/>
        <w:rPr>
          <w:color w:val="auto"/>
        </w:rPr>
      </w:pPr>
      <w:r w:rsidRPr="00EF5493">
        <w:rPr>
          <w:color w:val="auto"/>
        </w:rPr>
        <w:t>K</w:t>
      </w:r>
      <w:r>
        <w:rPr>
          <w:color w:val="auto"/>
        </w:rPr>
        <w:t> </w:t>
      </w:r>
      <w:r w:rsidRPr="00EF5493">
        <w:rPr>
          <w:color w:val="auto"/>
        </w:rPr>
        <w:t xml:space="preserve">§ </w:t>
      </w:r>
      <w:r>
        <w:rPr>
          <w:color w:val="auto"/>
        </w:rPr>
        <w:t>5</w:t>
      </w:r>
    </w:p>
    <w:p w:rsidR="005F608B" w:rsidRDefault="005F608B" w:rsidP="005F60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Účinnost návrhu zákona sleduje účinnost sněmovního tisku č. 580. Navržený druhý odstavec pak ukončuje platnost navrženého zákona o půlnoci 31. prosince 2020. Výjimkou je přechodné ustanovení § 4, které z logiky věci musí zůstat součástí právního řádu i nadále. </w:t>
      </w:r>
    </w:p>
    <w:p w:rsidR="005F608B" w:rsidRPr="009F341C" w:rsidRDefault="005F608B" w:rsidP="005F608B">
      <w:pPr>
        <w:spacing w:before="840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9F341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Praze dne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20</w:t>
      </w:r>
      <w:r w:rsidRPr="009F341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dubna 2020</w:t>
      </w:r>
    </w:p>
    <w:p w:rsidR="005F608B" w:rsidRPr="009F341C" w:rsidRDefault="005F608B" w:rsidP="005F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F608B" w:rsidRPr="009F341C" w:rsidRDefault="005F608B" w:rsidP="005F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F608B" w:rsidRPr="009F341C" w:rsidRDefault="005F608B" w:rsidP="005F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9F341C">
        <w:rPr>
          <w:rFonts w:ascii="Times New Roman" w:eastAsia="Times New Roman" w:hAnsi="Times New Roman" w:cs="Times New Roman"/>
          <w:sz w:val="24"/>
          <w:szCs w:val="20"/>
          <w:lang w:eastAsia="cs-CZ"/>
        </w:rPr>
        <w:t>Předseda vlády:</w:t>
      </w:r>
    </w:p>
    <w:p w:rsidR="005F608B" w:rsidRPr="009F341C" w:rsidRDefault="005F608B" w:rsidP="005F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9F341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Ing. Andrej </w:t>
      </w:r>
      <w:proofErr w:type="spellStart"/>
      <w:r w:rsidRPr="009F341C">
        <w:rPr>
          <w:rFonts w:ascii="Times New Roman" w:eastAsia="Times New Roman" w:hAnsi="Times New Roman" w:cs="Times New Roman"/>
          <w:sz w:val="24"/>
          <w:szCs w:val="20"/>
          <w:lang w:eastAsia="cs-CZ"/>
        </w:rPr>
        <w:t>Babiš</w:t>
      </w:r>
      <w:proofErr w:type="spellEnd"/>
      <w:r w:rsidRPr="009F341C">
        <w:rPr>
          <w:rFonts w:ascii="Times New Roman" w:eastAsia="Times New Roman" w:hAnsi="Times New Roman" w:cs="Times New Roman"/>
          <w:sz w:val="24"/>
          <w:szCs w:val="20"/>
          <w:lang w:eastAsia="cs-CZ"/>
        </w:rPr>
        <w:t>, v. r.</w:t>
      </w:r>
    </w:p>
    <w:p w:rsidR="005F608B" w:rsidRPr="009F341C" w:rsidRDefault="005F608B" w:rsidP="005F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F608B" w:rsidRPr="009F341C" w:rsidRDefault="005F608B" w:rsidP="005F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F608B" w:rsidRPr="009F341C" w:rsidRDefault="005F608B" w:rsidP="005F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F608B" w:rsidRPr="009F341C" w:rsidRDefault="005F608B" w:rsidP="005F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9F341C">
        <w:rPr>
          <w:rFonts w:ascii="Times New Roman" w:eastAsia="Times New Roman" w:hAnsi="Times New Roman" w:cs="Times New Roman"/>
          <w:sz w:val="24"/>
          <w:szCs w:val="20"/>
          <w:lang w:eastAsia="cs-CZ"/>
        </w:rPr>
        <w:t>Místopředsedkyně vlády a ministryně financí:</w:t>
      </w:r>
    </w:p>
    <w:p w:rsidR="005F608B" w:rsidRPr="009F341C" w:rsidRDefault="005F608B" w:rsidP="005F6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9F341C">
        <w:rPr>
          <w:rFonts w:ascii="Times New Roman" w:eastAsia="Times New Roman" w:hAnsi="Times New Roman" w:cs="Times New Roman"/>
          <w:sz w:val="24"/>
          <w:szCs w:val="20"/>
          <w:lang w:eastAsia="cs-CZ"/>
        </w:rPr>
        <w:t>JUDr. Alena Schillerová, Ph.D., v. r.</w:t>
      </w:r>
    </w:p>
    <w:p w:rsidR="0068484B" w:rsidRPr="00FC762D" w:rsidRDefault="0068484B">
      <w:pPr>
        <w:widowControl w:val="0"/>
        <w:tabs>
          <w:tab w:val="left" w:pos="851"/>
        </w:tabs>
        <w:spacing w:before="120" w:after="120" w:line="240" w:lineRule="auto"/>
        <w:ind w:firstLine="426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68484B" w:rsidRPr="00FC762D" w:rsidSect="005F608B">
      <w:headerReference w:type="default" r:id="rId9"/>
      <w:footerReference w:type="default" r:id="rId10"/>
      <w:pgSz w:w="11906" w:h="16838"/>
      <w:pgMar w:top="1304" w:right="1304" w:bottom="1304" w:left="1304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EF2" w:rsidRDefault="005A0EF2" w:rsidP="005A0EF2">
      <w:pPr>
        <w:spacing w:after="0" w:line="240" w:lineRule="auto"/>
      </w:pPr>
      <w:r>
        <w:separator/>
      </w:r>
    </w:p>
  </w:endnote>
  <w:endnote w:type="continuationSeparator" w:id="0">
    <w:p w:rsidR="005A0EF2" w:rsidRDefault="005A0EF2" w:rsidP="005A0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F2" w:rsidRDefault="003E44F2">
    <w:pPr>
      <w:pStyle w:val="Zpat"/>
      <w:jc w:val="right"/>
    </w:pPr>
  </w:p>
  <w:p w:rsidR="003E44F2" w:rsidRDefault="003E44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EF2" w:rsidRDefault="005A0EF2" w:rsidP="005A0EF2">
      <w:pPr>
        <w:spacing w:after="0" w:line="240" w:lineRule="auto"/>
      </w:pPr>
      <w:r>
        <w:separator/>
      </w:r>
    </w:p>
  </w:footnote>
  <w:footnote w:type="continuationSeparator" w:id="0">
    <w:p w:rsidR="005A0EF2" w:rsidRDefault="005A0EF2" w:rsidP="005A0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660722"/>
      <w:docPartObj>
        <w:docPartGallery w:val="Page Numbers (Top of Page)"/>
        <w:docPartUnique/>
      </w:docPartObj>
    </w:sdtPr>
    <w:sdtEndPr/>
    <w:sdtContent>
      <w:p w:rsidR="005F608B" w:rsidRDefault="005F608B">
        <w:pPr>
          <w:pStyle w:val="Zhlav"/>
          <w:jc w:val="center"/>
        </w:pPr>
        <w:r w:rsidRPr="005F608B">
          <w:rPr>
            <w:rFonts w:ascii="Times New Roman" w:hAnsi="Times New Roman" w:cs="Times New Roman"/>
            <w:sz w:val="24"/>
          </w:rPr>
          <w:fldChar w:fldCharType="begin"/>
        </w:r>
        <w:r w:rsidRPr="005F608B">
          <w:rPr>
            <w:rFonts w:ascii="Times New Roman" w:hAnsi="Times New Roman" w:cs="Times New Roman"/>
            <w:sz w:val="24"/>
          </w:rPr>
          <w:instrText>PAGE   \* MERGEFORMAT</w:instrText>
        </w:r>
        <w:r w:rsidRPr="005F608B">
          <w:rPr>
            <w:rFonts w:ascii="Times New Roman" w:hAnsi="Times New Roman" w:cs="Times New Roman"/>
            <w:sz w:val="24"/>
          </w:rPr>
          <w:fldChar w:fldCharType="separate"/>
        </w:r>
        <w:r w:rsidR="00DB685C">
          <w:rPr>
            <w:rFonts w:ascii="Times New Roman" w:hAnsi="Times New Roman" w:cs="Times New Roman"/>
            <w:noProof/>
            <w:sz w:val="24"/>
          </w:rPr>
          <w:t>- 6 -</w:t>
        </w:r>
        <w:r w:rsidRPr="005F608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33974" w:rsidRPr="002F6DEB" w:rsidRDefault="00A33974" w:rsidP="00A33974">
    <w:pPr>
      <w:pStyle w:val="Zhlav"/>
      <w:jc w:val="right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96918"/>
    <w:multiLevelType w:val="hybridMultilevel"/>
    <w:tmpl w:val="FDC4FAB2"/>
    <w:lvl w:ilvl="0" w:tplc="E6248F9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6C6155B"/>
    <w:multiLevelType w:val="hybridMultilevel"/>
    <w:tmpl w:val="4CF81476"/>
    <w:lvl w:ilvl="0" w:tplc="4C7CA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8A322F"/>
    <w:multiLevelType w:val="hybridMultilevel"/>
    <w:tmpl w:val="C9EAA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305DAB"/>
    <w:multiLevelType w:val="hybridMultilevel"/>
    <w:tmpl w:val="19BC7F2C"/>
    <w:lvl w:ilvl="0" w:tplc="C43CCB2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AD09FB"/>
    <w:multiLevelType w:val="hybridMultilevel"/>
    <w:tmpl w:val="A156CEB0"/>
    <w:lvl w:ilvl="0" w:tplc="8D624D8E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7A47589C"/>
    <w:multiLevelType w:val="hybridMultilevel"/>
    <w:tmpl w:val="F6A0F5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A4"/>
    <w:rsid w:val="000009A4"/>
    <w:rsid w:val="0004095F"/>
    <w:rsid w:val="00053F35"/>
    <w:rsid w:val="00054EC8"/>
    <w:rsid w:val="00055C37"/>
    <w:rsid w:val="000575A3"/>
    <w:rsid w:val="00065621"/>
    <w:rsid w:val="000822DA"/>
    <w:rsid w:val="000971EB"/>
    <w:rsid w:val="000A3340"/>
    <w:rsid w:val="000B55FD"/>
    <w:rsid w:val="000C2A64"/>
    <w:rsid w:val="000C73AE"/>
    <w:rsid w:val="000E2574"/>
    <w:rsid w:val="000E4743"/>
    <w:rsid w:val="000E7EA7"/>
    <w:rsid w:val="000F5F59"/>
    <w:rsid w:val="0010331D"/>
    <w:rsid w:val="00106E8A"/>
    <w:rsid w:val="00121DE1"/>
    <w:rsid w:val="001338EA"/>
    <w:rsid w:val="00141EF4"/>
    <w:rsid w:val="00153621"/>
    <w:rsid w:val="00154628"/>
    <w:rsid w:val="00154C5B"/>
    <w:rsid w:val="00161350"/>
    <w:rsid w:val="00174F98"/>
    <w:rsid w:val="00177344"/>
    <w:rsid w:val="00181B6D"/>
    <w:rsid w:val="00195B7E"/>
    <w:rsid w:val="001A33F0"/>
    <w:rsid w:val="001B619B"/>
    <w:rsid w:val="001B7CBE"/>
    <w:rsid w:val="001C62D7"/>
    <w:rsid w:val="001D74BC"/>
    <w:rsid w:val="001F2A2A"/>
    <w:rsid w:val="00203272"/>
    <w:rsid w:val="002132F8"/>
    <w:rsid w:val="00216232"/>
    <w:rsid w:val="00217DA0"/>
    <w:rsid w:val="002263BC"/>
    <w:rsid w:val="00234053"/>
    <w:rsid w:val="00240D1A"/>
    <w:rsid w:val="00241A9F"/>
    <w:rsid w:val="00244816"/>
    <w:rsid w:val="00252EEF"/>
    <w:rsid w:val="00254B64"/>
    <w:rsid w:val="00260696"/>
    <w:rsid w:val="002644AF"/>
    <w:rsid w:val="00266FF4"/>
    <w:rsid w:val="002679C3"/>
    <w:rsid w:val="00275923"/>
    <w:rsid w:val="002773F2"/>
    <w:rsid w:val="0028154A"/>
    <w:rsid w:val="00292EA8"/>
    <w:rsid w:val="002937E6"/>
    <w:rsid w:val="00294042"/>
    <w:rsid w:val="0029676B"/>
    <w:rsid w:val="002A1D44"/>
    <w:rsid w:val="002A356B"/>
    <w:rsid w:val="002A719E"/>
    <w:rsid w:val="002C694E"/>
    <w:rsid w:val="002C6DBA"/>
    <w:rsid w:val="002D68B9"/>
    <w:rsid w:val="002E604E"/>
    <w:rsid w:val="002E7369"/>
    <w:rsid w:val="002F6DEB"/>
    <w:rsid w:val="002F7ECA"/>
    <w:rsid w:val="003001F7"/>
    <w:rsid w:val="0030654A"/>
    <w:rsid w:val="00306BA2"/>
    <w:rsid w:val="00312491"/>
    <w:rsid w:val="00342129"/>
    <w:rsid w:val="003434F1"/>
    <w:rsid w:val="003443D0"/>
    <w:rsid w:val="0034628F"/>
    <w:rsid w:val="00351045"/>
    <w:rsid w:val="00351A18"/>
    <w:rsid w:val="003561A1"/>
    <w:rsid w:val="00356C1E"/>
    <w:rsid w:val="00356E00"/>
    <w:rsid w:val="00364CCA"/>
    <w:rsid w:val="00367BAD"/>
    <w:rsid w:val="003711B7"/>
    <w:rsid w:val="00375CF3"/>
    <w:rsid w:val="0038084B"/>
    <w:rsid w:val="003862D1"/>
    <w:rsid w:val="0039274E"/>
    <w:rsid w:val="0039520C"/>
    <w:rsid w:val="003970AB"/>
    <w:rsid w:val="003D2328"/>
    <w:rsid w:val="003E1B29"/>
    <w:rsid w:val="003E44F2"/>
    <w:rsid w:val="003E544A"/>
    <w:rsid w:val="003E6F76"/>
    <w:rsid w:val="003F4D73"/>
    <w:rsid w:val="00403C41"/>
    <w:rsid w:val="00412DC0"/>
    <w:rsid w:val="00452887"/>
    <w:rsid w:val="00472554"/>
    <w:rsid w:val="00474C53"/>
    <w:rsid w:val="004759DE"/>
    <w:rsid w:val="004A644E"/>
    <w:rsid w:val="004A7BA7"/>
    <w:rsid w:val="004B1980"/>
    <w:rsid w:val="004C2C4F"/>
    <w:rsid w:val="004F10F1"/>
    <w:rsid w:val="004F128B"/>
    <w:rsid w:val="00502EDF"/>
    <w:rsid w:val="00530B95"/>
    <w:rsid w:val="00543A89"/>
    <w:rsid w:val="005470A4"/>
    <w:rsid w:val="0055534F"/>
    <w:rsid w:val="00560A71"/>
    <w:rsid w:val="00562E3C"/>
    <w:rsid w:val="005671AE"/>
    <w:rsid w:val="0057243F"/>
    <w:rsid w:val="00575B1C"/>
    <w:rsid w:val="00584383"/>
    <w:rsid w:val="00594252"/>
    <w:rsid w:val="005A0EF2"/>
    <w:rsid w:val="005B0087"/>
    <w:rsid w:val="005B5FA4"/>
    <w:rsid w:val="005D1162"/>
    <w:rsid w:val="005D2717"/>
    <w:rsid w:val="005D2DC9"/>
    <w:rsid w:val="005F608B"/>
    <w:rsid w:val="006015E2"/>
    <w:rsid w:val="00611687"/>
    <w:rsid w:val="00635F63"/>
    <w:rsid w:val="006375E4"/>
    <w:rsid w:val="00640FB8"/>
    <w:rsid w:val="00642CA7"/>
    <w:rsid w:val="00647A30"/>
    <w:rsid w:val="00657B37"/>
    <w:rsid w:val="00660486"/>
    <w:rsid w:val="00660FEC"/>
    <w:rsid w:val="00664148"/>
    <w:rsid w:val="00672E91"/>
    <w:rsid w:val="00673857"/>
    <w:rsid w:val="0068362B"/>
    <w:rsid w:val="0068484B"/>
    <w:rsid w:val="00685E46"/>
    <w:rsid w:val="0069209B"/>
    <w:rsid w:val="00695A72"/>
    <w:rsid w:val="006B613A"/>
    <w:rsid w:val="006B7113"/>
    <w:rsid w:val="006C2C9F"/>
    <w:rsid w:val="006C40ED"/>
    <w:rsid w:val="006C7C01"/>
    <w:rsid w:val="006E3F2F"/>
    <w:rsid w:val="006E51BC"/>
    <w:rsid w:val="006F18E9"/>
    <w:rsid w:val="007004B8"/>
    <w:rsid w:val="007052E5"/>
    <w:rsid w:val="007125E5"/>
    <w:rsid w:val="00716125"/>
    <w:rsid w:val="00716610"/>
    <w:rsid w:val="00720DAF"/>
    <w:rsid w:val="00725113"/>
    <w:rsid w:val="00735F9A"/>
    <w:rsid w:val="00741095"/>
    <w:rsid w:val="00742A16"/>
    <w:rsid w:val="00743842"/>
    <w:rsid w:val="00744D2D"/>
    <w:rsid w:val="007503D4"/>
    <w:rsid w:val="007654B5"/>
    <w:rsid w:val="00766583"/>
    <w:rsid w:val="007727DE"/>
    <w:rsid w:val="0078054B"/>
    <w:rsid w:val="00787654"/>
    <w:rsid w:val="007940A6"/>
    <w:rsid w:val="00796409"/>
    <w:rsid w:val="007A1F7C"/>
    <w:rsid w:val="007A6B7C"/>
    <w:rsid w:val="007A709B"/>
    <w:rsid w:val="007A7222"/>
    <w:rsid w:val="007B743E"/>
    <w:rsid w:val="007C00E8"/>
    <w:rsid w:val="007C256D"/>
    <w:rsid w:val="007C3A5A"/>
    <w:rsid w:val="007D4CFD"/>
    <w:rsid w:val="007E7C65"/>
    <w:rsid w:val="007F5D13"/>
    <w:rsid w:val="00817315"/>
    <w:rsid w:val="008230CA"/>
    <w:rsid w:val="008245EE"/>
    <w:rsid w:val="00833B10"/>
    <w:rsid w:val="00852B9B"/>
    <w:rsid w:val="00863E99"/>
    <w:rsid w:val="00865BA0"/>
    <w:rsid w:val="008740B4"/>
    <w:rsid w:val="00876449"/>
    <w:rsid w:val="00883D74"/>
    <w:rsid w:val="00891D93"/>
    <w:rsid w:val="008A4A7D"/>
    <w:rsid w:val="008C4447"/>
    <w:rsid w:val="008D2943"/>
    <w:rsid w:val="008D4D5F"/>
    <w:rsid w:val="008D5449"/>
    <w:rsid w:val="008D7DE1"/>
    <w:rsid w:val="008F3B32"/>
    <w:rsid w:val="00900997"/>
    <w:rsid w:val="00922C2C"/>
    <w:rsid w:val="00933B34"/>
    <w:rsid w:val="009407A4"/>
    <w:rsid w:val="0094400C"/>
    <w:rsid w:val="00947A7B"/>
    <w:rsid w:val="0095007E"/>
    <w:rsid w:val="009548E3"/>
    <w:rsid w:val="00966459"/>
    <w:rsid w:val="00966F97"/>
    <w:rsid w:val="00991121"/>
    <w:rsid w:val="009A1894"/>
    <w:rsid w:val="009A3AC4"/>
    <w:rsid w:val="009A7BC0"/>
    <w:rsid w:val="009C2ED7"/>
    <w:rsid w:val="009F6A64"/>
    <w:rsid w:val="009F78EC"/>
    <w:rsid w:val="00A046A2"/>
    <w:rsid w:val="00A20560"/>
    <w:rsid w:val="00A21920"/>
    <w:rsid w:val="00A33974"/>
    <w:rsid w:val="00A52207"/>
    <w:rsid w:val="00A5654E"/>
    <w:rsid w:val="00A6019A"/>
    <w:rsid w:val="00A67D85"/>
    <w:rsid w:val="00A72802"/>
    <w:rsid w:val="00A80184"/>
    <w:rsid w:val="00A85DF9"/>
    <w:rsid w:val="00AA3AE3"/>
    <w:rsid w:val="00AA4F23"/>
    <w:rsid w:val="00AB341A"/>
    <w:rsid w:val="00AB4E06"/>
    <w:rsid w:val="00AC4633"/>
    <w:rsid w:val="00AE02BC"/>
    <w:rsid w:val="00AE1733"/>
    <w:rsid w:val="00AE759E"/>
    <w:rsid w:val="00AF2888"/>
    <w:rsid w:val="00AF3B61"/>
    <w:rsid w:val="00AF5002"/>
    <w:rsid w:val="00AF6949"/>
    <w:rsid w:val="00B221EA"/>
    <w:rsid w:val="00B610BC"/>
    <w:rsid w:val="00B67761"/>
    <w:rsid w:val="00B77139"/>
    <w:rsid w:val="00B82341"/>
    <w:rsid w:val="00B827CA"/>
    <w:rsid w:val="00B9621F"/>
    <w:rsid w:val="00B97A38"/>
    <w:rsid w:val="00BA0B2F"/>
    <w:rsid w:val="00BA415F"/>
    <w:rsid w:val="00BB270E"/>
    <w:rsid w:val="00BB2D58"/>
    <w:rsid w:val="00BC193E"/>
    <w:rsid w:val="00BC2718"/>
    <w:rsid w:val="00BC7284"/>
    <w:rsid w:val="00BD4294"/>
    <w:rsid w:val="00BD5A1D"/>
    <w:rsid w:val="00BE0F04"/>
    <w:rsid w:val="00C038AC"/>
    <w:rsid w:val="00C07E3D"/>
    <w:rsid w:val="00C238FE"/>
    <w:rsid w:val="00C355CB"/>
    <w:rsid w:val="00C50F23"/>
    <w:rsid w:val="00C560E2"/>
    <w:rsid w:val="00C57B09"/>
    <w:rsid w:val="00C73644"/>
    <w:rsid w:val="00C77427"/>
    <w:rsid w:val="00C82903"/>
    <w:rsid w:val="00C97293"/>
    <w:rsid w:val="00CA374A"/>
    <w:rsid w:val="00CB1E43"/>
    <w:rsid w:val="00CC054E"/>
    <w:rsid w:val="00CC681C"/>
    <w:rsid w:val="00CC6DA9"/>
    <w:rsid w:val="00CD7CED"/>
    <w:rsid w:val="00CE3479"/>
    <w:rsid w:val="00CE4355"/>
    <w:rsid w:val="00CE5316"/>
    <w:rsid w:val="00D01DD7"/>
    <w:rsid w:val="00D033D6"/>
    <w:rsid w:val="00D04950"/>
    <w:rsid w:val="00D17E2B"/>
    <w:rsid w:val="00D24ED4"/>
    <w:rsid w:val="00D26EC2"/>
    <w:rsid w:val="00D33603"/>
    <w:rsid w:val="00D35602"/>
    <w:rsid w:val="00D43C26"/>
    <w:rsid w:val="00D4405B"/>
    <w:rsid w:val="00D54FC6"/>
    <w:rsid w:val="00D62E98"/>
    <w:rsid w:val="00D646DA"/>
    <w:rsid w:val="00D834EF"/>
    <w:rsid w:val="00D91E58"/>
    <w:rsid w:val="00DA6F8F"/>
    <w:rsid w:val="00DB079E"/>
    <w:rsid w:val="00DB1B3F"/>
    <w:rsid w:val="00DB685C"/>
    <w:rsid w:val="00DC2CCC"/>
    <w:rsid w:val="00DC4EE2"/>
    <w:rsid w:val="00DD10BA"/>
    <w:rsid w:val="00DE50E1"/>
    <w:rsid w:val="00DF3236"/>
    <w:rsid w:val="00DF5A7C"/>
    <w:rsid w:val="00E0182E"/>
    <w:rsid w:val="00E02FF0"/>
    <w:rsid w:val="00E059C8"/>
    <w:rsid w:val="00E10427"/>
    <w:rsid w:val="00E203A9"/>
    <w:rsid w:val="00E2450A"/>
    <w:rsid w:val="00E34D97"/>
    <w:rsid w:val="00E3501D"/>
    <w:rsid w:val="00E4322C"/>
    <w:rsid w:val="00E43653"/>
    <w:rsid w:val="00E6255B"/>
    <w:rsid w:val="00E740ED"/>
    <w:rsid w:val="00E77FF3"/>
    <w:rsid w:val="00E80B2D"/>
    <w:rsid w:val="00E87C54"/>
    <w:rsid w:val="00E945D9"/>
    <w:rsid w:val="00EB3363"/>
    <w:rsid w:val="00EB6176"/>
    <w:rsid w:val="00EC2D0F"/>
    <w:rsid w:val="00ED0C88"/>
    <w:rsid w:val="00ED1278"/>
    <w:rsid w:val="00ED4998"/>
    <w:rsid w:val="00F0384B"/>
    <w:rsid w:val="00F05661"/>
    <w:rsid w:val="00F12163"/>
    <w:rsid w:val="00F162F6"/>
    <w:rsid w:val="00F25241"/>
    <w:rsid w:val="00F27C0C"/>
    <w:rsid w:val="00F346FF"/>
    <w:rsid w:val="00F45C28"/>
    <w:rsid w:val="00F50B69"/>
    <w:rsid w:val="00F527C0"/>
    <w:rsid w:val="00F616EB"/>
    <w:rsid w:val="00F914D1"/>
    <w:rsid w:val="00F96E28"/>
    <w:rsid w:val="00FA183E"/>
    <w:rsid w:val="00FA33FE"/>
    <w:rsid w:val="00FA519F"/>
    <w:rsid w:val="00FB68AE"/>
    <w:rsid w:val="00FC762D"/>
    <w:rsid w:val="00FD346A"/>
    <w:rsid w:val="00FD742A"/>
    <w:rsid w:val="00FD7B31"/>
    <w:rsid w:val="00FE667C"/>
    <w:rsid w:val="00FF668B"/>
    <w:rsid w:val="00FF774A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F608B"/>
    <w:pPr>
      <w:keepNext/>
      <w:spacing w:before="240" w:after="120" w:line="240" w:lineRule="auto"/>
      <w:jc w:val="center"/>
      <w:outlineLvl w:val="0"/>
    </w:pPr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5F608B"/>
    <w:pPr>
      <w:keepNext/>
      <w:spacing w:before="240" w:after="120" w:line="240" w:lineRule="auto"/>
      <w:jc w:val="center"/>
      <w:outlineLvl w:val="1"/>
    </w:pPr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5F608B"/>
    <w:pPr>
      <w:jc w:val="lef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5F5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E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E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E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E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E58"/>
    <w:rPr>
      <w:rFonts w:ascii="Tahoma" w:hAnsi="Tahoma" w:cs="Tahoma"/>
      <w:sz w:val="16"/>
      <w:szCs w:val="16"/>
    </w:rPr>
  </w:style>
  <w:style w:type="character" w:customStyle="1" w:styleId="normln0">
    <w:name w:val="normln"/>
    <w:basedOn w:val="Standardnpsmoodstavce"/>
    <w:rsid w:val="007C00E8"/>
    <w:rPr>
      <w:sz w:val="24"/>
      <w:szCs w:val="24"/>
    </w:rPr>
  </w:style>
  <w:style w:type="paragraph" w:customStyle="1" w:styleId="normln1">
    <w:name w:val="normln1"/>
    <w:basedOn w:val="Normln"/>
    <w:rsid w:val="007C00E8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6414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A0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EF2"/>
  </w:style>
  <w:style w:type="paragraph" w:styleId="Zpat">
    <w:name w:val="footer"/>
    <w:basedOn w:val="Normln"/>
    <w:link w:val="ZpatChar"/>
    <w:uiPriority w:val="99"/>
    <w:unhideWhenUsed/>
    <w:rsid w:val="005A0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EF2"/>
  </w:style>
  <w:style w:type="character" w:customStyle="1" w:styleId="Nadpis1Char">
    <w:name w:val="Nadpis 1 Char"/>
    <w:basedOn w:val="Standardnpsmoodstavce"/>
    <w:link w:val="Nadpis1"/>
    <w:rsid w:val="005F608B"/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5F608B"/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F608B"/>
    <w:rPr>
      <w:rFonts w:ascii="Arial" w:eastAsiaTheme="majorEastAsia" w:hAnsi="Arial" w:cs="Arial"/>
      <w:b/>
      <w:bCs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F608B"/>
    <w:pPr>
      <w:spacing w:after="120" w:line="259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F608B"/>
  </w:style>
  <w:style w:type="paragraph" w:customStyle="1" w:styleId="text">
    <w:name w:val="text"/>
    <w:basedOn w:val="Normln"/>
    <w:rsid w:val="005F608B"/>
    <w:pPr>
      <w:spacing w:before="120" w:after="0" w:line="240" w:lineRule="auto"/>
      <w:ind w:firstLine="357"/>
      <w:jc w:val="both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Dvodovzprvaksti">
    <w:name w:val="Důvodová zpráva (k části)"/>
    <w:basedOn w:val="Normln"/>
    <w:next w:val="Normln"/>
    <w:qFormat/>
    <w:rsid w:val="005F608B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FF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F608B"/>
    <w:pPr>
      <w:keepNext/>
      <w:spacing w:before="240" w:after="120" w:line="240" w:lineRule="auto"/>
      <w:jc w:val="center"/>
      <w:outlineLvl w:val="0"/>
    </w:pPr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5F608B"/>
    <w:pPr>
      <w:keepNext/>
      <w:spacing w:before="240" w:after="120" w:line="240" w:lineRule="auto"/>
      <w:jc w:val="center"/>
      <w:outlineLvl w:val="1"/>
    </w:pPr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5F608B"/>
    <w:pPr>
      <w:jc w:val="lef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5F5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E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E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E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E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E58"/>
    <w:rPr>
      <w:rFonts w:ascii="Tahoma" w:hAnsi="Tahoma" w:cs="Tahoma"/>
      <w:sz w:val="16"/>
      <w:szCs w:val="16"/>
    </w:rPr>
  </w:style>
  <w:style w:type="character" w:customStyle="1" w:styleId="normln0">
    <w:name w:val="normln"/>
    <w:basedOn w:val="Standardnpsmoodstavce"/>
    <w:rsid w:val="007C00E8"/>
    <w:rPr>
      <w:sz w:val="24"/>
      <w:szCs w:val="24"/>
    </w:rPr>
  </w:style>
  <w:style w:type="paragraph" w:customStyle="1" w:styleId="normln1">
    <w:name w:val="normln1"/>
    <w:basedOn w:val="Normln"/>
    <w:rsid w:val="007C00E8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6414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A0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EF2"/>
  </w:style>
  <w:style w:type="paragraph" w:styleId="Zpat">
    <w:name w:val="footer"/>
    <w:basedOn w:val="Normln"/>
    <w:link w:val="ZpatChar"/>
    <w:uiPriority w:val="99"/>
    <w:unhideWhenUsed/>
    <w:rsid w:val="005A0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EF2"/>
  </w:style>
  <w:style w:type="character" w:customStyle="1" w:styleId="Nadpis1Char">
    <w:name w:val="Nadpis 1 Char"/>
    <w:basedOn w:val="Standardnpsmoodstavce"/>
    <w:link w:val="Nadpis1"/>
    <w:rsid w:val="005F608B"/>
    <w:rPr>
      <w:rFonts w:ascii="Arial" w:eastAsiaTheme="majorEastAsia" w:hAnsi="Arial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5F608B"/>
    <w:rPr>
      <w:rFonts w:ascii="Arial" w:eastAsiaTheme="majorEastAsia" w:hAnsi="Arial" w:cs="Arial"/>
      <w:b/>
      <w:bCs/>
      <w:iCs/>
      <w:sz w:val="32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F608B"/>
    <w:rPr>
      <w:rFonts w:ascii="Arial" w:eastAsiaTheme="majorEastAsia" w:hAnsi="Arial" w:cs="Arial"/>
      <w:b/>
      <w:bCs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F608B"/>
    <w:pPr>
      <w:spacing w:after="120" w:line="259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F608B"/>
  </w:style>
  <w:style w:type="paragraph" w:customStyle="1" w:styleId="text">
    <w:name w:val="text"/>
    <w:basedOn w:val="Normln"/>
    <w:rsid w:val="005F608B"/>
    <w:pPr>
      <w:spacing w:before="120" w:after="0" w:line="240" w:lineRule="auto"/>
      <w:ind w:firstLine="357"/>
      <w:jc w:val="both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Dvodovzprvaksti">
    <w:name w:val="Důvodová zpráva (k části)"/>
    <w:basedOn w:val="Normln"/>
    <w:next w:val="Normln"/>
    <w:qFormat/>
    <w:rsid w:val="005F608B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FF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79B55-115B-4707-B275-499525D8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6</Pages>
  <Words>1774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Kroupa Jiří JUDr.</dc:creator>
  <cp:lastModifiedBy>Kroupa Jiří JUDr.</cp:lastModifiedBy>
  <cp:revision>116</cp:revision>
  <dcterms:created xsi:type="dcterms:W3CDTF">2020-03-27T18:07:00Z</dcterms:created>
  <dcterms:modified xsi:type="dcterms:W3CDTF">2020-04-20T14:13:00Z</dcterms:modified>
</cp:coreProperties>
</file>