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0840" w:rsidRPr="00C80840" w:rsidRDefault="00C80840" w:rsidP="00C80840">
      <w:pPr>
        <w:spacing w:after="20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C80840">
        <w:rPr>
          <w:rFonts w:ascii="Times New Roman" w:hAnsi="Times New Roman"/>
          <w:sz w:val="28"/>
          <w:szCs w:val="28"/>
        </w:rPr>
        <w:t xml:space="preserve">Zákon č. 108/2006 Sb., o sociálních službách, ve znění ve znění zákona č. 29/2007 Sb., zákona č. 213/2007 Sb., zákona č. 261/2007 Sb., zákona č. 124/2008 Sb., zákona č. 129/2008 Sb., zákona č. 274/2008 Sb., zákona č. 479/2008 Sb., zákona č. 108/2009 Sb., zákona č. 206/2009 Sb., zákona č. 223/2009 Sb., zákona č. 227/2009 Sb., zákona č. 347/2010 Sb., zákona č. 427/2010 Sb., zákona č. 73/2011 Sb., zákona č. 364/2011 Sb., zákona č. 366/2011 Sb., zákona č. 375/2011 Sb., zákona č. 420/2011 Sb., zákona č. 331/2012 Sb., zákona č. 384/2012 Sb., zákona č. 401/2012 Sb., zákona č. 45/2013 Sb., zákona č. 303/2013 Sb., zákona č. 306/2013 Sb., zákona č. 313/2013 Sb., zákona č. 101/2014 Sb., zákona č. 254/2014 Sb., zákona č. 189/2016 Sb., zákona č. 56/2017 Sb., zákona č. 183/2017 Sb., zákona č. 200/2017 Sb., zákona č. 222/2017 Sb. </w:t>
      </w:r>
      <w:r w:rsidRPr="00C80840">
        <w:rPr>
          <w:rFonts w:ascii="Times New Roman" w:eastAsia="Times New Roman" w:hAnsi="Times New Roman"/>
          <w:sz w:val="28"/>
          <w:szCs w:val="28"/>
        </w:rPr>
        <w:t xml:space="preserve">a zákona č. 335/2018 Sb., </w:t>
      </w:r>
      <w:r w:rsidRPr="00C80840">
        <w:rPr>
          <w:rFonts w:ascii="Times New Roman" w:hAnsi="Times New Roman"/>
          <w:b/>
          <w:bCs/>
          <w:sz w:val="28"/>
          <w:szCs w:val="28"/>
        </w:rPr>
        <w:t>s vyznačením navrhovaných změn:</w:t>
      </w:r>
    </w:p>
    <w:p w:rsidR="00C80840" w:rsidRPr="00C80840" w:rsidRDefault="00C80840" w:rsidP="00C80840">
      <w:pPr>
        <w:autoSpaceDE w:val="0"/>
        <w:adjustRightInd w:val="0"/>
        <w:ind w:left="0" w:firstLine="0"/>
        <w:rPr>
          <w:rFonts w:ascii="Times New Roman" w:hAnsi="Times New Roman"/>
          <w:sz w:val="28"/>
          <w:szCs w:val="28"/>
        </w:rPr>
      </w:pPr>
    </w:p>
    <w:p w:rsidR="00C80840" w:rsidRPr="00C80840" w:rsidRDefault="00C80840" w:rsidP="00C80840">
      <w:pPr>
        <w:pStyle w:val="l2"/>
        <w:spacing w:before="0" w:beforeAutospacing="0" w:after="0" w:afterAutospacing="0" w:line="276" w:lineRule="auto"/>
        <w:jc w:val="center"/>
        <w:rPr>
          <w:bCs/>
          <w:color w:val="000000" w:themeColor="text1"/>
          <w:sz w:val="28"/>
          <w:szCs w:val="28"/>
        </w:rPr>
      </w:pPr>
      <w:r w:rsidRPr="00C80840">
        <w:rPr>
          <w:bCs/>
          <w:color w:val="000000" w:themeColor="text1"/>
          <w:sz w:val="28"/>
          <w:szCs w:val="28"/>
        </w:rPr>
        <w:t>HLAVA II</w:t>
      </w:r>
    </w:p>
    <w:p w:rsidR="00C80840" w:rsidRPr="00C80840" w:rsidRDefault="00C80840" w:rsidP="00C80840">
      <w:pPr>
        <w:pStyle w:val="l2"/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</w:rPr>
      </w:pPr>
    </w:p>
    <w:p w:rsidR="00C80840" w:rsidRDefault="00C80840" w:rsidP="00880FFE">
      <w:pPr>
        <w:pStyle w:val="Nadpis3"/>
        <w:spacing w:before="0" w:beforeAutospacing="0" w:after="0" w:afterAutospacing="0" w:line="276" w:lineRule="auto"/>
        <w:jc w:val="center"/>
        <w:rPr>
          <w:b w:val="0"/>
          <w:color w:val="000000" w:themeColor="text1"/>
          <w:sz w:val="28"/>
          <w:szCs w:val="28"/>
        </w:rPr>
      </w:pPr>
      <w:r w:rsidRPr="00C80840">
        <w:rPr>
          <w:b w:val="0"/>
          <w:color w:val="000000" w:themeColor="text1"/>
          <w:sz w:val="28"/>
          <w:szCs w:val="28"/>
        </w:rPr>
        <w:t>VÝŠE PŘÍSPĚVKU</w:t>
      </w:r>
    </w:p>
    <w:p w:rsidR="00880FFE" w:rsidRPr="00C80840" w:rsidRDefault="00880FFE" w:rsidP="00C80840">
      <w:pPr>
        <w:pStyle w:val="Nadpis3"/>
        <w:spacing w:before="0" w:beforeAutospacing="0" w:after="0" w:afterAutospacing="0" w:line="276" w:lineRule="auto"/>
        <w:jc w:val="both"/>
        <w:rPr>
          <w:b w:val="0"/>
          <w:color w:val="000000" w:themeColor="text1"/>
          <w:sz w:val="28"/>
          <w:szCs w:val="28"/>
        </w:rPr>
      </w:pPr>
    </w:p>
    <w:p w:rsidR="00C80840" w:rsidRPr="00C80840" w:rsidRDefault="00C80840" w:rsidP="00C80840">
      <w:pPr>
        <w:pStyle w:val="l3"/>
        <w:spacing w:before="0" w:beforeAutospacing="0" w:after="0" w:afterAutospacing="0" w:line="276" w:lineRule="auto"/>
        <w:jc w:val="both"/>
        <w:rPr>
          <w:bCs/>
          <w:color w:val="000000" w:themeColor="text1"/>
          <w:sz w:val="28"/>
          <w:szCs w:val="28"/>
        </w:rPr>
      </w:pPr>
      <w:r w:rsidRPr="00C80840">
        <w:rPr>
          <w:bCs/>
          <w:color w:val="000000" w:themeColor="text1"/>
          <w:sz w:val="28"/>
          <w:szCs w:val="28"/>
        </w:rPr>
        <w:t>§ 11</w:t>
      </w:r>
    </w:p>
    <w:p w:rsidR="00C80840" w:rsidRPr="00C80840" w:rsidRDefault="00C80840" w:rsidP="00C80840">
      <w:pPr>
        <w:pStyle w:val="l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(1)</w:t>
      </w:r>
      <w:r w:rsidRPr="00C80840">
        <w:rPr>
          <w:color w:val="000000" w:themeColor="text1"/>
          <w:sz w:val="28"/>
          <w:szCs w:val="28"/>
        </w:rPr>
        <w:t> Výše příspěvku pro osoby do 18 let věku činí za kalendářní měsíc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a)</w:t>
      </w:r>
      <w:r>
        <w:rPr>
          <w:color w:val="000000" w:themeColor="text1"/>
          <w:sz w:val="28"/>
          <w:szCs w:val="28"/>
        </w:rPr>
        <w:t> </w:t>
      </w:r>
      <w:r w:rsidR="0042778A" w:rsidRPr="0042778A">
        <w:rPr>
          <w:strike/>
          <w:color w:val="000000" w:themeColor="text1"/>
          <w:sz w:val="28"/>
          <w:szCs w:val="28"/>
        </w:rPr>
        <w:t>3</w:t>
      </w:r>
      <w:r w:rsidR="00A5235D">
        <w:rPr>
          <w:strike/>
          <w:color w:val="000000" w:themeColor="text1"/>
          <w:sz w:val="28"/>
          <w:szCs w:val="28"/>
        </w:rPr>
        <w:t xml:space="preserve"> </w:t>
      </w:r>
      <w:r w:rsidR="0042778A" w:rsidRPr="0042778A">
        <w:rPr>
          <w:strike/>
          <w:color w:val="000000" w:themeColor="text1"/>
          <w:sz w:val="28"/>
          <w:szCs w:val="28"/>
        </w:rPr>
        <w:t>300</w:t>
      </w:r>
      <w:r w:rsidR="0042778A">
        <w:rPr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4</w:t>
      </w:r>
      <w:r w:rsidR="00A5235D">
        <w:rPr>
          <w:b/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950</w:t>
      </w:r>
      <w:r w:rsidRPr="00C80840">
        <w:rPr>
          <w:color w:val="000000" w:themeColor="text1"/>
          <w:sz w:val="28"/>
          <w:szCs w:val="28"/>
        </w:rPr>
        <w:t xml:space="preserve"> Kč, jde-li o stupeň I (lehká závislost),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b)</w:t>
      </w:r>
      <w:r>
        <w:rPr>
          <w:color w:val="000000" w:themeColor="text1"/>
          <w:sz w:val="28"/>
          <w:szCs w:val="28"/>
        </w:rPr>
        <w:t> </w:t>
      </w:r>
      <w:r w:rsidR="0042778A" w:rsidRPr="0042778A">
        <w:rPr>
          <w:strike/>
          <w:color w:val="000000" w:themeColor="text1"/>
          <w:sz w:val="28"/>
          <w:szCs w:val="28"/>
        </w:rPr>
        <w:t>6</w:t>
      </w:r>
      <w:r w:rsidR="00A5235D">
        <w:rPr>
          <w:strike/>
          <w:color w:val="000000" w:themeColor="text1"/>
          <w:sz w:val="28"/>
          <w:szCs w:val="28"/>
        </w:rPr>
        <w:t xml:space="preserve"> </w:t>
      </w:r>
      <w:r w:rsidR="0042778A" w:rsidRPr="0042778A">
        <w:rPr>
          <w:strike/>
          <w:color w:val="000000" w:themeColor="text1"/>
          <w:sz w:val="28"/>
          <w:szCs w:val="28"/>
        </w:rPr>
        <w:t>600</w:t>
      </w:r>
      <w:r w:rsidR="0042778A">
        <w:rPr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9</w:t>
      </w:r>
      <w:r w:rsidR="00A5235D">
        <w:rPr>
          <w:b/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900</w:t>
      </w:r>
      <w:r w:rsidRPr="00C80840">
        <w:rPr>
          <w:color w:val="000000" w:themeColor="text1"/>
          <w:sz w:val="28"/>
          <w:szCs w:val="28"/>
        </w:rPr>
        <w:t xml:space="preserve"> Kč, jde-li o stupeň II (středně těžká závislost),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c)</w:t>
      </w:r>
      <w:r w:rsidRPr="00C80840">
        <w:rPr>
          <w:color w:val="000000" w:themeColor="text1"/>
          <w:sz w:val="28"/>
          <w:szCs w:val="28"/>
        </w:rPr>
        <w:t> jde-li o stupeň III (těžká závislost),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1.</w:t>
      </w:r>
      <w:r w:rsidRPr="00C80840">
        <w:rPr>
          <w:color w:val="000000" w:themeColor="text1"/>
          <w:sz w:val="28"/>
          <w:szCs w:val="28"/>
        </w:rPr>
        <w:t> 9900 Kč, pokud osobě poskytuje pomoc poskytovatel pobytových sociálních služeb podle § 48, 49, 50, 51, 52 nebo dětský domov anebo speciální lůžkové zdravotnické zařízení hospicového typu,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2.</w:t>
      </w:r>
      <w:r w:rsidRPr="00C80840">
        <w:rPr>
          <w:color w:val="000000" w:themeColor="text1"/>
          <w:sz w:val="28"/>
          <w:szCs w:val="28"/>
        </w:rPr>
        <w:t> 13900 Kč v ostatních případech,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d)</w:t>
      </w:r>
      <w:r w:rsidRPr="00C80840">
        <w:rPr>
          <w:color w:val="000000" w:themeColor="text1"/>
          <w:sz w:val="28"/>
          <w:szCs w:val="28"/>
        </w:rPr>
        <w:t> jde-li o stupeň IV (úplná závislost),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lastRenderedPageBreak/>
        <w:t>1.</w:t>
      </w:r>
      <w:r w:rsidRPr="00C80840">
        <w:rPr>
          <w:color w:val="000000" w:themeColor="text1"/>
          <w:sz w:val="28"/>
          <w:szCs w:val="28"/>
        </w:rPr>
        <w:t> 13200 Kč, pokud osobě poskytuje pomoc poskytovatel pobytových sociálních služeb podle § 48, 49, 50, 51, 52 nebo dětský domov anebo speciální lůžkové zdravotnické zařízení hospicového typu,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2.</w:t>
      </w:r>
      <w:r w:rsidRPr="00C80840">
        <w:rPr>
          <w:color w:val="000000" w:themeColor="text1"/>
          <w:sz w:val="28"/>
          <w:szCs w:val="28"/>
        </w:rPr>
        <w:t> 19200 Kč v ostatních případech.</w:t>
      </w:r>
    </w:p>
    <w:p w:rsidR="00C80840" w:rsidRPr="00C80840" w:rsidRDefault="00C80840" w:rsidP="00C80840">
      <w:pPr>
        <w:pStyle w:val="l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(2)</w:t>
      </w:r>
      <w:r w:rsidRPr="00C80840">
        <w:rPr>
          <w:color w:val="000000" w:themeColor="text1"/>
          <w:sz w:val="28"/>
          <w:szCs w:val="28"/>
        </w:rPr>
        <w:t> Výše příspěvku pro osoby starší 18 let činí za kalendářní měsíc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a)</w:t>
      </w:r>
      <w:r>
        <w:rPr>
          <w:color w:val="000000" w:themeColor="text1"/>
          <w:sz w:val="28"/>
          <w:szCs w:val="28"/>
        </w:rPr>
        <w:t> </w:t>
      </w:r>
      <w:r w:rsidRPr="00C80840">
        <w:rPr>
          <w:color w:val="000000" w:themeColor="text1"/>
          <w:sz w:val="28"/>
          <w:szCs w:val="28"/>
        </w:rPr>
        <w:t xml:space="preserve"> </w:t>
      </w:r>
      <w:r w:rsidR="0042778A" w:rsidRPr="00A5235D">
        <w:rPr>
          <w:strike/>
          <w:color w:val="000000" w:themeColor="text1"/>
          <w:sz w:val="28"/>
          <w:szCs w:val="28"/>
        </w:rPr>
        <w:t>880</w:t>
      </w:r>
      <w:r w:rsidR="0042778A" w:rsidRPr="00A5235D">
        <w:rPr>
          <w:color w:val="000000" w:themeColor="text1"/>
          <w:sz w:val="28"/>
          <w:szCs w:val="28"/>
        </w:rPr>
        <w:t xml:space="preserve"> </w:t>
      </w:r>
      <w:r w:rsidR="00A5235D">
        <w:rPr>
          <w:b/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1</w:t>
      </w:r>
      <w:r w:rsidR="00A5235D">
        <w:rPr>
          <w:b/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760</w:t>
      </w:r>
      <w:r>
        <w:rPr>
          <w:color w:val="000000" w:themeColor="text1"/>
          <w:sz w:val="28"/>
          <w:szCs w:val="28"/>
        </w:rPr>
        <w:t xml:space="preserve"> </w:t>
      </w:r>
      <w:r w:rsidRPr="00C80840">
        <w:rPr>
          <w:color w:val="000000" w:themeColor="text1"/>
          <w:sz w:val="28"/>
          <w:szCs w:val="28"/>
        </w:rPr>
        <w:t>Kč, jde-li o stupeň I (lehká závislost),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b)</w:t>
      </w:r>
      <w:r>
        <w:rPr>
          <w:color w:val="000000" w:themeColor="text1"/>
          <w:sz w:val="28"/>
          <w:szCs w:val="28"/>
        </w:rPr>
        <w:t> </w:t>
      </w:r>
      <w:r w:rsidRPr="00C80840">
        <w:rPr>
          <w:color w:val="000000" w:themeColor="text1"/>
          <w:sz w:val="28"/>
          <w:szCs w:val="28"/>
        </w:rPr>
        <w:t xml:space="preserve"> </w:t>
      </w:r>
      <w:r w:rsidR="0042778A" w:rsidRPr="0042778A">
        <w:rPr>
          <w:strike/>
          <w:color w:val="000000" w:themeColor="text1"/>
          <w:sz w:val="28"/>
          <w:szCs w:val="28"/>
        </w:rPr>
        <w:t>4</w:t>
      </w:r>
      <w:r w:rsidR="00A5235D">
        <w:rPr>
          <w:strike/>
          <w:color w:val="000000" w:themeColor="text1"/>
          <w:sz w:val="28"/>
          <w:szCs w:val="28"/>
        </w:rPr>
        <w:t xml:space="preserve"> </w:t>
      </w:r>
      <w:r w:rsidR="0042778A" w:rsidRPr="0042778A">
        <w:rPr>
          <w:strike/>
          <w:color w:val="000000" w:themeColor="text1"/>
          <w:sz w:val="28"/>
          <w:szCs w:val="28"/>
        </w:rPr>
        <w:t>400</w:t>
      </w:r>
      <w:r w:rsidR="0042778A">
        <w:rPr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>6</w:t>
      </w:r>
      <w:r w:rsidR="00A5235D">
        <w:rPr>
          <w:b/>
          <w:color w:val="000000" w:themeColor="text1"/>
          <w:sz w:val="28"/>
          <w:szCs w:val="28"/>
        </w:rPr>
        <w:t xml:space="preserve"> </w:t>
      </w:r>
      <w:r w:rsidRPr="00C80840">
        <w:rPr>
          <w:b/>
          <w:color w:val="000000" w:themeColor="text1"/>
          <w:sz w:val="28"/>
          <w:szCs w:val="28"/>
        </w:rPr>
        <w:t xml:space="preserve">600 </w:t>
      </w:r>
      <w:r w:rsidRPr="00C80840">
        <w:rPr>
          <w:color w:val="000000" w:themeColor="text1"/>
          <w:sz w:val="28"/>
          <w:szCs w:val="28"/>
        </w:rPr>
        <w:t>Kč, jde-li o stupeň II (středně těžká závislost),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c)</w:t>
      </w:r>
      <w:r w:rsidRPr="00C80840">
        <w:rPr>
          <w:color w:val="000000" w:themeColor="text1"/>
          <w:sz w:val="28"/>
          <w:szCs w:val="28"/>
        </w:rPr>
        <w:t> jde-li o stupeň III (těžká závislost),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1.</w:t>
      </w:r>
      <w:r w:rsidRPr="00C80840">
        <w:rPr>
          <w:color w:val="000000" w:themeColor="text1"/>
          <w:sz w:val="28"/>
          <w:szCs w:val="28"/>
        </w:rPr>
        <w:t> 8800 Kč, pokud osobě poskytuje pomoc poskytovatel pobytových sociálních služeb podle § 48, 49, 50, 51, 52 nebo dětský domov anebo speciální lůžkové zdravotnické zařízení hospicového typu,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2.</w:t>
      </w:r>
      <w:r w:rsidRPr="00C80840">
        <w:rPr>
          <w:color w:val="000000" w:themeColor="text1"/>
          <w:sz w:val="28"/>
          <w:szCs w:val="28"/>
        </w:rPr>
        <w:t> 12800 Kč v ostatních případech,</w:t>
      </w:r>
    </w:p>
    <w:p w:rsidR="00C80840" w:rsidRPr="00C80840" w:rsidRDefault="00C80840" w:rsidP="00C80840">
      <w:pPr>
        <w:pStyle w:val="l5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d)</w:t>
      </w:r>
      <w:r w:rsidRPr="00C80840">
        <w:rPr>
          <w:color w:val="000000" w:themeColor="text1"/>
          <w:sz w:val="28"/>
          <w:szCs w:val="28"/>
        </w:rPr>
        <w:t> jde-li o stupeň IV (úplná závislost),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1.</w:t>
      </w:r>
      <w:r w:rsidRPr="00C80840">
        <w:rPr>
          <w:color w:val="000000" w:themeColor="text1"/>
          <w:sz w:val="28"/>
          <w:szCs w:val="28"/>
        </w:rPr>
        <w:t> 13200 Kč, pokud osobě poskytuje pomoc poskytovatel pobytových sociálních služeb podle § 48, 49, 50, 51, 52 nebo dětský domov anebo speciální lůžkové zdravotnické zařízení hospicového typu,</w:t>
      </w:r>
    </w:p>
    <w:p w:rsidR="00C80840" w:rsidRPr="00C80840" w:rsidRDefault="00C80840" w:rsidP="00C80840">
      <w:pPr>
        <w:pStyle w:val="l6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2.</w:t>
      </w:r>
      <w:r w:rsidRPr="00C80840">
        <w:rPr>
          <w:color w:val="000000" w:themeColor="text1"/>
          <w:sz w:val="28"/>
          <w:szCs w:val="28"/>
        </w:rPr>
        <w:t> 19200 Kč v ostatních případech.</w:t>
      </w:r>
    </w:p>
    <w:p w:rsidR="00C80840" w:rsidRPr="00C80840" w:rsidRDefault="00C80840" w:rsidP="00C80840">
      <w:pPr>
        <w:pStyle w:val="l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80840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(3)</w:t>
      </w:r>
      <w:r w:rsidRPr="00C80840">
        <w:rPr>
          <w:color w:val="000000" w:themeColor="text1"/>
          <w:sz w:val="28"/>
          <w:szCs w:val="28"/>
        </w:rPr>
        <w:t> Částky příspěvku uvedené v odstavcích 1 a 2 se podle § 12 zvyšují o 2000 Kč za kalendářní měsíc.</w:t>
      </w:r>
    </w:p>
    <w:p w:rsidR="00C80840" w:rsidRDefault="00C80840" w:rsidP="00C80840">
      <w:pPr>
        <w:autoSpaceDE w:val="0"/>
        <w:adjustRightInd w:val="0"/>
        <w:spacing w:line="254" w:lineRule="auto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C80840" w:rsidRDefault="00C80840" w:rsidP="00C80840">
      <w:pPr>
        <w:autoSpaceDE w:val="0"/>
        <w:adjustRightInd w:val="0"/>
        <w:spacing w:line="254" w:lineRule="auto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C80840" w:rsidRDefault="00C80840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0840" w:rsidRDefault="00C80840" w:rsidP="00C80840">
      <w:pPr>
        <w:autoSpaceDE w:val="0"/>
        <w:adjustRightInd w:val="0"/>
        <w:spacing w:line="254" w:lineRule="auto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4335B6" w:rsidRDefault="004335B6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A709A3" w:rsidRPr="004335B6" w:rsidRDefault="00A709A3" w:rsidP="00F2700F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sectPr w:rsidR="00A709A3" w:rsidRPr="004335B6" w:rsidSect="00E7096C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FE6" w:rsidRDefault="00715FE6" w:rsidP="00260897">
      <w:pPr>
        <w:spacing w:before="0" w:line="240" w:lineRule="auto"/>
      </w:pPr>
      <w:r>
        <w:separator/>
      </w:r>
    </w:p>
  </w:endnote>
  <w:endnote w:type="continuationSeparator" w:id="0">
    <w:p w:rsidR="00715FE6" w:rsidRDefault="00715FE6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CE43BF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:rsidR="00E7096C" w:rsidRDefault="00E70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</w:p>
  <w:p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FE6" w:rsidRDefault="00715FE6" w:rsidP="00260897">
      <w:pPr>
        <w:spacing w:before="0" w:line="240" w:lineRule="auto"/>
      </w:pPr>
      <w:r>
        <w:separator/>
      </w:r>
    </w:p>
  </w:footnote>
  <w:footnote w:type="continuationSeparator" w:id="0">
    <w:p w:rsidR="00715FE6" w:rsidRDefault="00715FE6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34B4F"/>
    <w:rsid w:val="000437E7"/>
    <w:rsid w:val="000F2475"/>
    <w:rsid w:val="00116FCA"/>
    <w:rsid w:val="00143472"/>
    <w:rsid w:val="001528BA"/>
    <w:rsid w:val="001C7625"/>
    <w:rsid w:val="001D71B8"/>
    <w:rsid w:val="00260897"/>
    <w:rsid w:val="002B57E1"/>
    <w:rsid w:val="002F4C7A"/>
    <w:rsid w:val="003214BF"/>
    <w:rsid w:val="0037101C"/>
    <w:rsid w:val="003E2D8F"/>
    <w:rsid w:val="003F763C"/>
    <w:rsid w:val="004120C2"/>
    <w:rsid w:val="00421E64"/>
    <w:rsid w:val="0042778A"/>
    <w:rsid w:val="004304D8"/>
    <w:rsid w:val="004335B6"/>
    <w:rsid w:val="00437129"/>
    <w:rsid w:val="00443F17"/>
    <w:rsid w:val="004A0554"/>
    <w:rsid w:val="00545E1C"/>
    <w:rsid w:val="00576147"/>
    <w:rsid w:val="00576F14"/>
    <w:rsid w:val="005B0A19"/>
    <w:rsid w:val="005C7310"/>
    <w:rsid w:val="005E561F"/>
    <w:rsid w:val="0060596E"/>
    <w:rsid w:val="00715FE6"/>
    <w:rsid w:val="0076128F"/>
    <w:rsid w:val="00762E22"/>
    <w:rsid w:val="00764545"/>
    <w:rsid w:val="007C31A1"/>
    <w:rsid w:val="00877792"/>
    <w:rsid w:val="00880FFE"/>
    <w:rsid w:val="00951115"/>
    <w:rsid w:val="00A23435"/>
    <w:rsid w:val="00A5235D"/>
    <w:rsid w:val="00A66866"/>
    <w:rsid w:val="00A709A3"/>
    <w:rsid w:val="00AB737E"/>
    <w:rsid w:val="00B07686"/>
    <w:rsid w:val="00B8166D"/>
    <w:rsid w:val="00BA7C75"/>
    <w:rsid w:val="00C80840"/>
    <w:rsid w:val="00CA05A5"/>
    <w:rsid w:val="00CA6AE3"/>
    <w:rsid w:val="00CC2009"/>
    <w:rsid w:val="00CD111E"/>
    <w:rsid w:val="00CE43BF"/>
    <w:rsid w:val="00D257F9"/>
    <w:rsid w:val="00D50155"/>
    <w:rsid w:val="00D977A5"/>
    <w:rsid w:val="00DB6ECB"/>
    <w:rsid w:val="00DE4786"/>
    <w:rsid w:val="00DE578A"/>
    <w:rsid w:val="00E7096C"/>
    <w:rsid w:val="00EF1DD0"/>
    <w:rsid w:val="00EF7C0D"/>
    <w:rsid w:val="00F2700F"/>
    <w:rsid w:val="00F562F3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link w:val="TextlnkuChar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  <w:style w:type="character" w:customStyle="1" w:styleId="TextlnkuChar">
    <w:name w:val="Text článku Char"/>
    <w:link w:val="Textlnku"/>
    <w:rsid w:val="00034B4F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customStyle="1" w:styleId="h1a">
    <w:name w:val="h1a"/>
    <w:basedOn w:val="Standardnpsmoodstavce"/>
    <w:rsid w:val="00EF7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FEE45-432C-41BB-8ED5-288D05CB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Šafránková Lucie</cp:lastModifiedBy>
  <cp:revision>2</cp:revision>
  <cp:lastPrinted>2020-04-21T09:45:00Z</cp:lastPrinted>
  <dcterms:created xsi:type="dcterms:W3CDTF">2020-04-23T14:34:00Z</dcterms:created>
  <dcterms:modified xsi:type="dcterms:W3CDTF">2020-04-23T14:34:00Z</dcterms:modified>
</cp:coreProperties>
</file>