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6DBF" w:rsidRDefault="007D6DBF" w:rsidP="007D6DBF">
      <w:pPr>
        <w:pStyle w:val="Nzev"/>
        <w:spacing w:after="1680"/>
        <w:contextualSpacing w:val="0"/>
        <w:jc w:val="right"/>
        <w:rPr>
          <w:rFonts w:ascii="Arial" w:hAnsi="Arial" w:cs="Arial"/>
          <w:b/>
          <w:color w:val="auto"/>
          <w:spacing w:val="-10"/>
          <w:sz w:val="28"/>
          <w:szCs w:val="28"/>
        </w:rPr>
      </w:pPr>
      <w:r w:rsidRPr="00BE536D">
        <w:rPr>
          <w:rFonts w:ascii="Arial" w:hAnsi="Arial" w:cs="Arial"/>
          <w:b/>
          <w:color w:val="auto"/>
          <w:spacing w:val="-10"/>
          <w:sz w:val="28"/>
          <w:szCs w:val="28"/>
        </w:rPr>
        <w:t>III.</w:t>
      </w:r>
    </w:p>
    <w:p w:rsidR="00E45EA3" w:rsidRPr="00E45EA3" w:rsidRDefault="00E45EA3" w:rsidP="00E45EA3"/>
    <w:p w:rsidR="00436F6E" w:rsidRDefault="00B577D1" w:rsidP="00B3234B">
      <w:pPr>
        <w:pStyle w:val="Nzev"/>
        <w:spacing w:before="1680" w:after="1680"/>
        <w:jc w:val="center"/>
        <w:rPr>
          <w:rFonts w:ascii="Calibri" w:hAnsi="Calibri"/>
          <w:b/>
          <w:spacing w:val="-10"/>
          <w:sz w:val="56"/>
          <w:szCs w:val="56"/>
        </w:rPr>
      </w:pPr>
      <w:r w:rsidRPr="009B63D7">
        <w:rPr>
          <w:rFonts w:ascii="Calibri" w:hAnsi="Calibri"/>
          <w:b/>
          <w:spacing w:val="-10"/>
          <w:sz w:val="56"/>
          <w:szCs w:val="56"/>
        </w:rPr>
        <w:t>Hodnocení vývoje systému veřejného zdravotního pojištění v roce 2019</w:t>
      </w:r>
    </w:p>
    <w:p w:rsidR="00917A5F" w:rsidRDefault="00917A5F">
      <w:pPr>
        <w:spacing w:after="200" w:line="276" w:lineRule="auto"/>
      </w:pPr>
      <w:r>
        <w:br w:type="page"/>
      </w:r>
    </w:p>
    <w:sdt>
      <w:sdtPr>
        <w:rPr>
          <w:rFonts w:asciiTheme="minorHAnsi" w:eastAsiaTheme="minorHAnsi" w:hAnsiTheme="minorHAnsi" w:cstheme="minorBidi"/>
          <w:bCs w:val="0"/>
          <w:color w:val="auto"/>
          <w:spacing w:val="0"/>
          <w:sz w:val="21"/>
          <w:szCs w:val="22"/>
        </w:rPr>
        <w:id w:val="-1962419847"/>
        <w:docPartObj>
          <w:docPartGallery w:val="Table of Contents"/>
          <w:docPartUnique/>
        </w:docPartObj>
      </w:sdtPr>
      <w:sdtEndPr/>
      <w:sdtContent>
        <w:p w:rsidR="00436F6E" w:rsidRPr="002A3716" w:rsidRDefault="00436F6E" w:rsidP="00436F6E">
          <w:pPr>
            <w:pStyle w:val="Nadpisobsahu"/>
            <w:numPr>
              <w:ilvl w:val="0"/>
              <w:numId w:val="0"/>
            </w:numPr>
            <w:ind w:left="432" w:hanging="432"/>
            <w:rPr>
              <w:rStyle w:val="Nadpis1Char"/>
            </w:rPr>
          </w:pPr>
          <w:r w:rsidRPr="002A3716">
            <w:rPr>
              <w:rStyle w:val="Nadpis1Char"/>
            </w:rPr>
            <w:t>Obsah</w:t>
          </w:r>
        </w:p>
        <w:p w:rsidR="00DD4E26" w:rsidRDefault="00360ED9">
          <w:pPr>
            <w:pStyle w:val="Obsah1"/>
            <w:tabs>
              <w:tab w:val="left" w:pos="420"/>
              <w:tab w:val="right" w:leader="dot" w:pos="9628"/>
            </w:tabs>
            <w:rPr>
              <w:rFonts w:eastAsiaTheme="minorEastAsia"/>
              <w:noProof/>
              <w:sz w:val="22"/>
              <w:lang w:eastAsia="cs-CZ"/>
            </w:rPr>
          </w:pPr>
          <w:r>
            <w:fldChar w:fldCharType="begin"/>
          </w:r>
          <w:r w:rsidR="00436F6E">
            <w:instrText xml:space="preserve"> TOC \o "1-3" \h \z \u </w:instrText>
          </w:r>
          <w:r>
            <w:fldChar w:fldCharType="separate"/>
          </w:r>
          <w:hyperlink w:anchor="_Toc41898945" w:history="1">
            <w:r w:rsidR="00DD4E26" w:rsidRPr="00E903C9">
              <w:rPr>
                <w:rStyle w:val="Hypertextovodkaz"/>
                <w:noProof/>
              </w:rPr>
              <w:t>1</w:t>
            </w:r>
            <w:r w:rsidR="00DD4E26">
              <w:rPr>
                <w:rFonts w:eastAsiaTheme="minorEastAsia"/>
                <w:noProof/>
                <w:sz w:val="22"/>
                <w:lang w:eastAsia="cs-CZ"/>
              </w:rPr>
              <w:tab/>
            </w:r>
            <w:r w:rsidR="00DD4E26" w:rsidRPr="00E903C9">
              <w:rPr>
                <w:rStyle w:val="Hypertextovodkaz"/>
                <w:noProof/>
              </w:rPr>
              <w:t>Manažerské shrnutí</w:t>
            </w:r>
            <w:r w:rsidR="00DD4E26">
              <w:rPr>
                <w:noProof/>
                <w:webHidden/>
              </w:rPr>
              <w:tab/>
            </w:r>
            <w:r w:rsidR="00DD4E26">
              <w:rPr>
                <w:noProof/>
                <w:webHidden/>
              </w:rPr>
              <w:fldChar w:fldCharType="begin"/>
            </w:r>
            <w:r w:rsidR="00DD4E26">
              <w:rPr>
                <w:noProof/>
                <w:webHidden/>
              </w:rPr>
              <w:instrText xml:space="preserve"> PAGEREF _Toc41898945 \h </w:instrText>
            </w:r>
            <w:r w:rsidR="00DD4E26">
              <w:rPr>
                <w:noProof/>
                <w:webHidden/>
              </w:rPr>
            </w:r>
            <w:r w:rsidR="00DD4E26">
              <w:rPr>
                <w:noProof/>
                <w:webHidden/>
              </w:rPr>
              <w:fldChar w:fldCharType="separate"/>
            </w:r>
            <w:r w:rsidR="00E45EA3">
              <w:rPr>
                <w:noProof/>
                <w:webHidden/>
              </w:rPr>
              <w:t>3</w:t>
            </w:r>
            <w:r w:rsidR="00DD4E26">
              <w:rPr>
                <w:noProof/>
                <w:webHidden/>
              </w:rPr>
              <w:fldChar w:fldCharType="end"/>
            </w:r>
          </w:hyperlink>
        </w:p>
        <w:p w:rsidR="00DD4E26" w:rsidRDefault="006E3D23">
          <w:pPr>
            <w:pStyle w:val="Obsah1"/>
            <w:tabs>
              <w:tab w:val="left" w:pos="420"/>
              <w:tab w:val="right" w:leader="dot" w:pos="9628"/>
            </w:tabs>
            <w:rPr>
              <w:rFonts w:eastAsiaTheme="minorEastAsia"/>
              <w:noProof/>
              <w:sz w:val="22"/>
              <w:lang w:eastAsia="cs-CZ"/>
            </w:rPr>
          </w:pPr>
          <w:hyperlink w:anchor="_Toc41898946" w:history="1">
            <w:r w:rsidR="00DD4E26" w:rsidRPr="00E903C9">
              <w:rPr>
                <w:rStyle w:val="Hypertextovodkaz"/>
                <w:noProof/>
              </w:rPr>
              <w:t>2</w:t>
            </w:r>
            <w:r w:rsidR="00DD4E26">
              <w:rPr>
                <w:rFonts w:eastAsiaTheme="minorEastAsia"/>
                <w:noProof/>
                <w:sz w:val="22"/>
                <w:lang w:eastAsia="cs-CZ"/>
              </w:rPr>
              <w:tab/>
            </w:r>
            <w:r w:rsidR="00DD4E26" w:rsidRPr="00E903C9">
              <w:rPr>
                <w:rStyle w:val="Hypertextovodkaz"/>
                <w:noProof/>
              </w:rPr>
              <w:t>Úvod</w:t>
            </w:r>
            <w:r w:rsidR="00DD4E26">
              <w:rPr>
                <w:noProof/>
                <w:webHidden/>
              </w:rPr>
              <w:tab/>
            </w:r>
            <w:r w:rsidR="00DD4E26">
              <w:rPr>
                <w:noProof/>
                <w:webHidden/>
              </w:rPr>
              <w:fldChar w:fldCharType="begin"/>
            </w:r>
            <w:r w:rsidR="00DD4E26">
              <w:rPr>
                <w:noProof/>
                <w:webHidden/>
              </w:rPr>
              <w:instrText xml:space="preserve"> PAGEREF _Toc41898946 \h </w:instrText>
            </w:r>
            <w:r w:rsidR="00DD4E26">
              <w:rPr>
                <w:noProof/>
                <w:webHidden/>
              </w:rPr>
            </w:r>
            <w:r w:rsidR="00DD4E26">
              <w:rPr>
                <w:noProof/>
                <w:webHidden/>
              </w:rPr>
              <w:fldChar w:fldCharType="separate"/>
            </w:r>
            <w:r w:rsidR="00E45EA3">
              <w:rPr>
                <w:noProof/>
                <w:webHidden/>
              </w:rPr>
              <w:t>4</w:t>
            </w:r>
            <w:r w:rsidR="00DD4E26">
              <w:rPr>
                <w:noProof/>
                <w:webHidden/>
              </w:rPr>
              <w:fldChar w:fldCharType="end"/>
            </w:r>
          </w:hyperlink>
        </w:p>
        <w:p w:rsidR="00DD4E26" w:rsidRDefault="006E3D23">
          <w:pPr>
            <w:pStyle w:val="Obsah1"/>
            <w:tabs>
              <w:tab w:val="left" w:pos="420"/>
              <w:tab w:val="right" w:leader="dot" w:pos="9628"/>
            </w:tabs>
            <w:rPr>
              <w:rFonts w:eastAsiaTheme="minorEastAsia"/>
              <w:noProof/>
              <w:sz w:val="22"/>
              <w:lang w:eastAsia="cs-CZ"/>
            </w:rPr>
          </w:pPr>
          <w:hyperlink w:anchor="_Toc41898947" w:history="1">
            <w:r w:rsidR="00DD4E26" w:rsidRPr="00E903C9">
              <w:rPr>
                <w:rStyle w:val="Hypertextovodkaz"/>
                <w:noProof/>
              </w:rPr>
              <w:t>3</w:t>
            </w:r>
            <w:r w:rsidR="00DD4E26">
              <w:rPr>
                <w:rFonts w:eastAsiaTheme="minorEastAsia"/>
                <w:noProof/>
                <w:sz w:val="22"/>
                <w:lang w:eastAsia="cs-CZ"/>
              </w:rPr>
              <w:tab/>
            </w:r>
            <w:r w:rsidR="00DD4E26" w:rsidRPr="00E903C9">
              <w:rPr>
                <w:rStyle w:val="Hypertextovodkaz"/>
                <w:noProof/>
              </w:rPr>
              <w:t>Ekonomické hodnocení</w:t>
            </w:r>
            <w:r w:rsidR="00DD4E26">
              <w:rPr>
                <w:noProof/>
                <w:webHidden/>
              </w:rPr>
              <w:tab/>
            </w:r>
            <w:r w:rsidR="00DD4E26">
              <w:rPr>
                <w:noProof/>
                <w:webHidden/>
              </w:rPr>
              <w:fldChar w:fldCharType="begin"/>
            </w:r>
            <w:r w:rsidR="00DD4E26">
              <w:rPr>
                <w:noProof/>
                <w:webHidden/>
              </w:rPr>
              <w:instrText xml:space="preserve"> PAGEREF _Toc41898947 \h </w:instrText>
            </w:r>
            <w:r w:rsidR="00DD4E26">
              <w:rPr>
                <w:noProof/>
                <w:webHidden/>
              </w:rPr>
            </w:r>
            <w:r w:rsidR="00DD4E26">
              <w:rPr>
                <w:noProof/>
                <w:webHidden/>
              </w:rPr>
              <w:fldChar w:fldCharType="separate"/>
            </w:r>
            <w:r w:rsidR="00E45EA3">
              <w:rPr>
                <w:noProof/>
                <w:webHidden/>
              </w:rPr>
              <w:t>5</w:t>
            </w:r>
            <w:r w:rsidR="00DD4E26">
              <w:rPr>
                <w:noProof/>
                <w:webHidden/>
              </w:rPr>
              <w:fldChar w:fldCharType="end"/>
            </w:r>
          </w:hyperlink>
        </w:p>
        <w:p w:rsidR="00DD4E26" w:rsidRDefault="006E3D23">
          <w:pPr>
            <w:pStyle w:val="Obsah2"/>
            <w:tabs>
              <w:tab w:val="left" w:pos="880"/>
              <w:tab w:val="right" w:leader="dot" w:pos="9628"/>
            </w:tabs>
            <w:rPr>
              <w:rFonts w:eastAsiaTheme="minorEastAsia"/>
              <w:noProof/>
              <w:sz w:val="22"/>
              <w:lang w:eastAsia="cs-CZ"/>
            </w:rPr>
          </w:pPr>
          <w:hyperlink w:anchor="_Toc41898948" w:history="1">
            <w:r w:rsidR="00DD4E26" w:rsidRPr="00E903C9">
              <w:rPr>
                <w:rStyle w:val="Hypertextovodkaz"/>
                <w:rFonts w:cstheme="minorHAnsi"/>
                <w:noProof/>
              </w:rPr>
              <w:t>3.1</w:t>
            </w:r>
            <w:r w:rsidR="00DD4E26">
              <w:rPr>
                <w:rFonts w:eastAsiaTheme="minorEastAsia"/>
                <w:noProof/>
                <w:sz w:val="22"/>
                <w:lang w:eastAsia="cs-CZ"/>
              </w:rPr>
              <w:tab/>
            </w:r>
            <w:r w:rsidR="00DD4E26" w:rsidRPr="00E903C9">
              <w:rPr>
                <w:rStyle w:val="Hypertextovodkaz"/>
                <w:noProof/>
              </w:rPr>
              <w:t>Příjmy</w:t>
            </w:r>
            <w:r w:rsidR="00DD4E26">
              <w:rPr>
                <w:noProof/>
                <w:webHidden/>
              </w:rPr>
              <w:tab/>
            </w:r>
            <w:r w:rsidR="00DD4E26">
              <w:rPr>
                <w:noProof/>
                <w:webHidden/>
              </w:rPr>
              <w:fldChar w:fldCharType="begin"/>
            </w:r>
            <w:r w:rsidR="00DD4E26">
              <w:rPr>
                <w:noProof/>
                <w:webHidden/>
              </w:rPr>
              <w:instrText xml:space="preserve"> PAGEREF _Toc41898948 \h </w:instrText>
            </w:r>
            <w:r w:rsidR="00DD4E26">
              <w:rPr>
                <w:noProof/>
                <w:webHidden/>
              </w:rPr>
            </w:r>
            <w:r w:rsidR="00DD4E26">
              <w:rPr>
                <w:noProof/>
                <w:webHidden/>
              </w:rPr>
              <w:fldChar w:fldCharType="separate"/>
            </w:r>
            <w:r w:rsidR="00E45EA3">
              <w:rPr>
                <w:noProof/>
                <w:webHidden/>
              </w:rPr>
              <w:t>5</w:t>
            </w:r>
            <w:r w:rsidR="00DD4E26">
              <w:rPr>
                <w:noProof/>
                <w:webHidden/>
              </w:rPr>
              <w:fldChar w:fldCharType="end"/>
            </w:r>
          </w:hyperlink>
        </w:p>
        <w:p w:rsidR="00DD4E26" w:rsidRDefault="006E3D23">
          <w:pPr>
            <w:pStyle w:val="Obsah2"/>
            <w:tabs>
              <w:tab w:val="left" w:pos="880"/>
              <w:tab w:val="right" w:leader="dot" w:pos="9628"/>
            </w:tabs>
            <w:rPr>
              <w:rFonts w:eastAsiaTheme="minorEastAsia"/>
              <w:noProof/>
              <w:sz w:val="22"/>
              <w:lang w:eastAsia="cs-CZ"/>
            </w:rPr>
          </w:pPr>
          <w:hyperlink w:anchor="_Toc41898949" w:history="1">
            <w:r w:rsidR="00DD4E26" w:rsidRPr="00E903C9">
              <w:rPr>
                <w:rStyle w:val="Hypertextovodkaz"/>
                <w:rFonts w:cstheme="minorHAnsi"/>
                <w:noProof/>
              </w:rPr>
              <w:t>3.2</w:t>
            </w:r>
            <w:r w:rsidR="00DD4E26">
              <w:rPr>
                <w:rFonts w:eastAsiaTheme="minorEastAsia"/>
                <w:noProof/>
                <w:sz w:val="22"/>
                <w:lang w:eastAsia="cs-CZ"/>
              </w:rPr>
              <w:tab/>
            </w:r>
            <w:r w:rsidR="00DD4E26" w:rsidRPr="00E903C9">
              <w:rPr>
                <w:rStyle w:val="Hypertextovodkaz"/>
                <w:noProof/>
              </w:rPr>
              <w:t>Výdaje</w:t>
            </w:r>
            <w:r w:rsidR="00DD4E26">
              <w:rPr>
                <w:noProof/>
                <w:webHidden/>
              </w:rPr>
              <w:tab/>
            </w:r>
            <w:r w:rsidR="00DD4E26">
              <w:rPr>
                <w:noProof/>
                <w:webHidden/>
              </w:rPr>
              <w:fldChar w:fldCharType="begin"/>
            </w:r>
            <w:r w:rsidR="00DD4E26">
              <w:rPr>
                <w:noProof/>
                <w:webHidden/>
              </w:rPr>
              <w:instrText xml:space="preserve"> PAGEREF _Toc41898949 \h </w:instrText>
            </w:r>
            <w:r w:rsidR="00DD4E26">
              <w:rPr>
                <w:noProof/>
                <w:webHidden/>
              </w:rPr>
            </w:r>
            <w:r w:rsidR="00DD4E26">
              <w:rPr>
                <w:noProof/>
                <w:webHidden/>
              </w:rPr>
              <w:fldChar w:fldCharType="separate"/>
            </w:r>
            <w:r w:rsidR="00E45EA3">
              <w:rPr>
                <w:noProof/>
                <w:webHidden/>
              </w:rPr>
              <w:t>7</w:t>
            </w:r>
            <w:r w:rsidR="00DD4E26">
              <w:rPr>
                <w:noProof/>
                <w:webHidden/>
              </w:rPr>
              <w:fldChar w:fldCharType="end"/>
            </w:r>
          </w:hyperlink>
        </w:p>
        <w:p w:rsidR="00DD4E26" w:rsidRDefault="006E3D23">
          <w:pPr>
            <w:pStyle w:val="Obsah2"/>
            <w:tabs>
              <w:tab w:val="left" w:pos="880"/>
              <w:tab w:val="right" w:leader="dot" w:pos="9628"/>
            </w:tabs>
            <w:rPr>
              <w:rFonts w:eastAsiaTheme="minorEastAsia"/>
              <w:noProof/>
              <w:sz w:val="22"/>
              <w:lang w:eastAsia="cs-CZ"/>
            </w:rPr>
          </w:pPr>
          <w:hyperlink w:anchor="_Toc41898950" w:history="1">
            <w:r w:rsidR="00DD4E26" w:rsidRPr="00E903C9">
              <w:rPr>
                <w:rStyle w:val="Hypertextovodkaz"/>
                <w:rFonts w:cstheme="minorHAnsi"/>
                <w:noProof/>
              </w:rPr>
              <w:t>3.3</w:t>
            </w:r>
            <w:r w:rsidR="00DD4E26">
              <w:rPr>
                <w:rFonts w:eastAsiaTheme="minorEastAsia"/>
                <w:noProof/>
                <w:sz w:val="22"/>
                <w:lang w:eastAsia="cs-CZ"/>
              </w:rPr>
              <w:tab/>
            </w:r>
            <w:r w:rsidR="00DD4E26" w:rsidRPr="00E903C9">
              <w:rPr>
                <w:rStyle w:val="Hypertextovodkaz"/>
                <w:noProof/>
              </w:rPr>
              <w:t>Saldo</w:t>
            </w:r>
            <w:r w:rsidR="00DD4E26">
              <w:rPr>
                <w:noProof/>
                <w:webHidden/>
              </w:rPr>
              <w:tab/>
            </w:r>
            <w:r w:rsidR="00DD4E26">
              <w:rPr>
                <w:noProof/>
                <w:webHidden/>
              </w:rPr>
              <w:fldChar w:fldCharType="begin"/>
            </w:r>
            <w:r w:rsidR="00DD4E26">
              <w:rPr>
                <w:noProof/>
                <w:webHidden/>
              </w:rPr>
              <w:instrText xml:space="preserve"> PAGEREF _Toc41898950 \h </w:instrText>
            </w:r>
            <w:r w:rsidR="00DD4E26">
              <w:rPr>
                <w:noProof/>
                <w:webHidden/>
              </w:rPr>
            </w:r>
            <w:r w:rsidR="00DD4E26">
              <w:rPr>
                <w:noProof/>
                <w:webHidden/>
              </w:rPr>
              <w:fldChar w:fldCharType="separate"/>
            </w:r>
            <w:r w:rsidR="00E45EA3">
              <w:rPr>
                <w:noProof/>
                <w:webHidden/>
              </w:rPr>
              <w:t>10</w:t>
            </w:r>
            <w:r w:rsidR="00DD4E26">
              <w:rPr>
                <w:noProof/>
                <w:webHidden/>
              </w:rPr>
              <w:fldChar w:fldCharType="end"/>
            </w:r>
          </w:hyperlink>
        </w:p>
        <w:p w:rsidR="00DD4E26" w:rsidRDefault="006E3D23">
          <w:pPr>
            <w:pStyle w:val="Obsah2"/>
            <w:tabs>
              <w:tab w:val="left" w:pos="880"/>
              <w:tab w:val="right" w:leader="dot" w:pos="9628"/>
            </w:tabs>
            <w:rPr>
              <w:rFonts w:eastAsiaTheme="minorEastAsia"/>
              <w:noProof/>
              <w:sz w:val="22"/>
              <w:lang w:eastAsia="cs-CZ"/>
            </w:rPr>
          </w:pPr>
          <w:hyperlink w:anchor="_Toc41898951" w:history="1">
            <w:r w:rsidR="00DD4E26" w:rsidRPr="00E903C9">
              <w:rPr>
                <w:rStyle w:val="Hypertextovodkaz"/>
                <w:rFonts w:cstheme="minorHAnsi"/>
                <w:noProof/>
              </w:rPr>
              <w:t>3.4</w:t>
            </w:r>
            <w:r w:rsidR="00DD4E26">
              <w:rPr>
                <w:rFonts w:eastAsiaTheme="minorEastAsia"/>
                <w:noProof/>
                <w:sz w:val="22"/>
                <w:lang w:eastAsia="cs-CZ"/>
              </w:rPr>
              <w:tab/>
            </w:r>
            <w:r w:rsidR="00DD4E26" w:rsidRPr="00E903C9">
              <w:rPr>
                <w:rStyle w:val="Hypertextovodkaz"/>
                <w:noProof/>
              </w:rPr>
              <w:t>Pohledávky a závazky</w:t>
            </w:r>
            <w:r w:rsidR="00DD4E26">
              <w:rPr>
                <w:noProof/>
                <w:webHidden/>
              </w:rPr>
              <w:tab/>
            </w:r>
            <w:r w:rsidR="00DD4E26">
              <w:rPr>
                <w:noProof/>
                <w:webHidden/>
              </w:rPr>
              <w:fldChar w:fldCharType="begin"/>
            </w:r>
            <w:r w:rsidR="00DD4E26">
              <w:rPr>
                <w:noProof/>
                <w:webHidden/>
              </w:rPr>
              <w:instrText xml:space="preserve"> PAGEREF _Toc41898951 \h </w:instrText>
            </w:r>
            <w:r w:rsidR="00DD4E26">
              <w:rPr>
                <w:noProof/>
                <w:webHidden/>
              </w:rPr>
            </w:r>
            <w:r w:rsidR="00DD4E26">
              <w:rPr>
                <w:noProof/>
                <w:webHidden/>
              </w:rPr>
              <w:fldChar w:fldCharType="separate"/>
            </w:r>
            <w:r w:rsidR="00E45EA3">
              <w:rPr>
                <w:noProof/>
                <w:webHidden/>
              </w:rPr>
              <w:t>12</w:t>
            </w:r>
            <w:r w:rsidR="00DD4E26">
              <w:rPr>
                <w:noProof/>
                <w:webHidden/>
              </w:rPr>
              <w:fldChar w:fldCharType="end"/>
            </w:r>
          </w:hyperlink>
        </w:p>
        <w:p w:rsidR="00DD4E26" w:rsidRDefault="006E3D23">
          <w:pPr>
            <w:pStyle w:val="Obsah2"/>
            <w:tabs>
              <w:tab w:val="left" w:pos="880"/>
              <w:tab w:val="right" w:leader="dot" w:pos="9628"/>
            </w:tabs>
            <w:rPr>
              <w:rFonts w:eastAsiaTheme="minorEastAsia"/>
              <w:noProof/>
              <w:sz w:val="22"/>
              <w:lang w:eastAsia="cs-CZ"/>
            </w:rPr>
          </w:pPr>
          <w:hyperlink w:anchor="_Toc41898952" w:history="1">
            <w:r w:rsidR="00DD4E26" w:rsidRPr="00E903C9">
              <w:rPr>
                <w:rStyle w:val="Hypertextovodkaz"/>
                <w:rFonts w:cstheme="minorHAnsi"/>
                <w:noProof/>
              </w:rPr>
              <w:t>3.5</w:t>
            </w:r>
            <w:r w:rsidR="00DD4E26">
              <w:rPr>
                <w:rFonts w:eastAsiaTheme="minorEastAsia"/>
                <w:noProof/>
                <w:sz w:val="22"/>
                <w:lang w:eastAsia="cs-CZ"/>
              </w:rPr>
              <w:tab/>
            </w:r>
            <w:r w:rsidR="00DD4E26" w:rsidRPr="00E903C9">
              <w:rPr>
                <w:rStyle w:val="Hypertextovodkaz"/>
                <w:noProof/>
              </w:rPr>
              <w:t>Stavy peněžních prostředků zdravotních pojišťoven na BÚ</w:t>
            </w:r>
            <w:r w:rsidR="00DD4E26">
              <w:rPr>
                <w:noProof/>
                <w:webHidden/>
              </w:rPr>
              <w:tab/>
            </w:r>
            <w:r w:rsidR="00DD4E26">
              <w:rPr>
                <w:noProof/>
                <w:webHidden/>
              </w:rPr>
              <w:fldChar w:fldCharType="begin"/>
            </w:r>
            <w:r w:rsidR="00DD4E26">
              <w:rPr>
                <w:noProof/>
                <w:webHidden/>
              </w:rPr>
              <w:instrText xml:space="preserve"> PAGEREF _Toc41898952 \h </w:instrText>
            </w:r>
            <w:r w:rsidR="00DD4E26">
              <w:rPr>
                <w:noProof/>
                <w:webHidden/>
              </w:rPr>
            </w:r>
            <w:r w:rsidR="00DD4E26">
              <w:rPr>
                <w:noProof/>
                <w:webHidden/>
              </w:rPr>
              <w:fldChar w:fldCharType="separate"/>
            </w:r>
            <w:r w:rsidR="00E45EA3">
              <w:rPr>
                <w:noProof/>
                <w:webHidden/>
              </w:rPr>
              <w:t>14</w:t>
            </w:r>
            <w:r w:rsidR="00DD4E26">
              <w:rPr>
                <w:noProof/>
                <w:webHidden/>
              </w:rPr>
              <w:fldChar w:fldCharType="end"/>
            </w:r>
          </w:hyperlink>
        </w:p>
        <w:p w:rsidR="00DD4E26" w:rsidRDefault="006E3D23">
          <w:pPr>
            <w:pStyle w:val="Obsah2"/>
            <w:tabs>
              <w:tab w:val="left" w:pos="880"/>
              <w:tab w:val="right" w:leader="dot" w:pos="9628"/>
            </w:tabs>
            <w:rPr>
              <w:rFonts w:eastAsiaTheme="minorEastAsia"/>
              <w:noProof/>
              <w:sz w:val="22"/>
              <w:lang w:eastAsia="cs-CZ"/>
            </w:rPr>
          </w:pPr>
          <w:hyperlink w:anchor="_Toc41898953" w:history="1">
            <w:r w:rsidR="00DD4E26" w:rsidRPr="00E903C9">
              <w:rPr>
                <w:rStyle w:val="Hypertextovodkaz"/>
                <w:rFonts w:cstheme="minorHAnsi"/>
                <w:noProof/>
              </w:rPr>
              <w:t>3.6</w:t>
            </w:r>
            <w:r w:rsidR="00DD4E26">
              <w:rPr>
                <w:rFonts w:eastAsiaTheme="minorEastAsia"/>
                <w:noProof/>
                <w:sz w:val="22"/>
                <w:lang w:eastAsia="cs-CZ"/>
              </w:rPr>
              <w:tab/>
            </w:r>
            <w:r w:rsidR="00DD4E26" w:rsidRPr="00E903C9">
              <w:rPr>
                <w:rStyle w:val="Hypertextovodkaz"/>
                <w:noProof/>
              </w:rPr>
              <w:t>Pojištěnci systému v. z. p.</w:t>
            </w:r>
            <w:r w:rsidR="00DD4E26">
              <w:rPr>
                <w:noProof/>
                <w:webHidden/>
              </w:rPr>
              <w:tab/>
            </w:r>
            <w:r w:rsidR="00DD4E26">
              <w:rPr>
                <w:noProof/>
                <w:webHidden/>
              </w:rPr>
              <w:fldChar w:fldCharType="begin"/>
            </w:r>
            <w:r w:rsidR="00DD4E26">
              <w:rPr>
                <w:noProof/>
                <w:webHidden/>
              </w:rPr>
              <w:instrText xml:space="preserve"> PAGEREF _Toc41898953 \h </w:instrText>
            </w:r>
            <w:r w:rsidR="00DD4E26">
              <w:rPr>
                <w:noProof/>
                <w:webHidden/>
              </w:rPr>
            </w:r>
            <w:r w:rsidR="00DD4E26">
              <w:rPr>
                <w:noProof/>
                <w:webHidden/>
              </w:rPr>
              <w:fldChar w:fldCharType="separate"/>
            </w:r>
            <w:r w:rsidR="00E45EA3">
              <w:rPr>
                <w:noProof/>
                <w:webHidden/>
              </w:rPr>
              <w:t>16</w:t>
            </w:r>
            <w:r w:rsidR="00DD4E26">
              <w:rPr>
                <w:noProof/>
                <w:webHidden/>
              </w:rPr>
              <w:fldChar w:fldCharType="end"/>
            </w:r>
          </w:hyperlink>
        </w:p>
        <w:p w:rsidR="00DD4E26" w:rsidRDefault="006E3D23">
          <w:pPr>
            <w:pStyle w:val="Obsah2"/>
            <w:tabs>
              <w:tab w:val="left" w:pos="880"/>
              <w:tab w:val="right" w:leader="dot" w:pos="9628"/>
            </w:tabs>
            <w:rPr>
              <w:rFonts w:eastAsiaTheme="minorEastAsia"/>
              <w:noProof/>
              <w:sz w:val="22"/>
              <w:lang w:eastAsia="cs-CZ"/>
            </w:rPr>
          </w:pPr>
          <w:hyperlink w:anchor="_Toc41898954" w:history="1">
            <w:r w:rsidR="00DD4E26" w:rsidRPr="00E903C9">
              <w:rPr>
                <w:rStyle w:val="Hypertextovodkaz"/>
                <w:rFonts w:cstheme="minorHAnsi"/>
                <w:noProof/>
              </w:rPr>
              <w:t>3.7</w:t>
            </w:r>
            <w:r w:rsidR="00DD4E26">
              <w:rPr>
                <w:rFonts w:eastAsiaTheme="minorEastAsia"/>
                <w:noProof/>
                <w:sz w:val="22"/>
                <w:lang w:eastAsia="cs-CZ"/>
              </w:rPr>
              <w:tab/>
            </w:r>
            <w:r w:rsidR="00DD4E26" w:rsidRPr="00E903C9">
              <w:rPr>
                <w:rStyle w:val="Hypertextovodkaz"/>
                <w:noProof/>
              </w:rPr>
              <w:t>Hospodaření ZZP v likvidaci a v konkurzu</w:t>
            </w:r>
            <w:r w:rsidR="00DD4E26">
              <w:rPr>
                <w:noProof/>
                <w:webHidden/>
              </w:rPr>
              <w:tab/>
            </w:r>
            <w:r w:rsidR="00DD4E26">
              <w:rPr>
                <w:noProof/>
                <w:webHidden/>
              </w:rPr>
              <w:fldChar w:fldCharType="begin"/>
            </w:r>
            <w:r w:rsidR="00DD4E26">
              <w:rPr>
                <w:noProof/>
                <w:webHidden/>
              </w:rPr>
              <w:instrText xml:space="preserve"> PAGEREF _Toc41898954 \h </w:instrText>
            </w:r>
            <w:r w:rsidR="00DD4E26">
              <w:rPr>
                <w:noProof/>
                <w:webHidden/>
              </w:rPr>
            </w:r>
            <w:r w:rsidR="00DD4E26">
              <w:rPr>
                <w:noProof/>
                <w:webHidden/>
              </w:rPr>
              <w:fldChar w:fldCharType="separate"/>
            </w:r>
            <w:r w:rsidR="00E45EA3">
              <w:rPr>
                <w:noProof/>
                <w:webHidden/>
              </w:rPr>
              <w:t>17</w:t>
            </w:r>
            <w:r w:rsidR="00DD4E26">
              <w:rPr>
                <w:noProof/>
                <w:webHidden/>
              </w:rPr>
              <w:fldChar w:fldCharType="end"/>
            </w:r>
          </w:hyperlink>
        </w:p>
        <w:p w:rsidR="00DD4E26" w:rsidRDefault="006E3D23">
          <w:pPr>
            <w:pStyle w:val="Obsah2"/>
            <w:tabs>
              <w:tab w:val="left" w:pos="880"/>
              <w:tab w:val="right" w:leader="dot" w:pos="9628"/>
            </w:tabs>
            <w:rPr>
              <w:rFonts w:eastAsiaTheme="minorEastAsia"/>
              <w:noProof/>
              <w:sz w:val="22"/>
              <w:lang w:eastAsia="cs-CZ"/>
            </w:rPr>
          </w:pPr>
          <w:hyperlink w:anchor="_Toc41898955" w:history="1">
            <w:r w:rsidR="00DD4E26" w:rsidRPr="00E903C9">
              <w:rPr>
                <w:rStyle w:val="Hypertextovodkaz"/>
                <w:rFonts w:cstheme="minorHAnsi"/>
                <w:noProof/>
              </w:rPr>
              <w:t>3.8</w:t>
            </w:r>
            <w:r w:rsidR="00DD4E26">
              <w:rPr>
                <w:rFonts w:eastAsiaTheme="minorEastAsia"/>
                <w:noProof/>
                <w:sz w:val="22"/>
                <w:lang w:eastAsia="cs-CZ"/>
              </w:rPr>
              <w:tab/>
            </w:r>
            <w:r w:rsidR="00DD4E26" w:rsidRPr="00E903C9">
              <w:rPr>
                <w:rStyle w:val="Hypertextovodkaz"/>
                <w:noProof/>
              </w:rPr>
              <w:t>Vlivy na systém veřejného zdravotního pojištění</w:t>
            </w:r>
            <w:r w:rsidR="00DD4E26">
              <w:rPr>
                <w:noProof/>
                <w:webHidden/>
              </w:rPr>
              <w:tab/>
            </w:r>
            <w:r w:rsidR="00DD4E26">
              <w:rPr>
                <w:noProof/>
                <w:webHidden/>
              </w:rPr>
              <w:fldChar w:fldCharType="begin"/>
            </w:r>
            <w:r w:rsidR="00DD4E26">
              <w:rPr>
                <w:noProof/>
                <w:webHidden/>
              </w:rPr>
              <w:instrText xml:space="preserve"> PAGEREF _Toc41898955 \h </w:instrText>
            </w:r>
            <w:r w:rsidR="00DD4E26">
              <w:rPr>
                <w:noProof/>
                <w:webHidden/>
              </w:rPr>
            </w:r>
            <w:r w:rsidR="00DD4E26">
              <w:rPr>
                <w:noProof/>
                <w:webHidden/>
              </w:rPr>
              <w:fldChar w:fldCharType="separate"/>
            </w:r>
            <w:r w:rsidR="00E45EA3">
              <w:rPr>
                <w:noProof/>
                <w:webHidden/>
              </w:rPr>
              <w:t>19</w:t>
            </w:r>
            <w:r w:rsidR="00DD4E26">
              <w:rPr>
                <w:noProof/>
                <w:webHidden/>
              </w:rPr>
              <w:fldChar w:fldCharType="end"/>
            </w:r>
          </w:hyperlink>
        </w:p>
        <w:p w:rsidR="00DD4E26" w:rsidRDefault="006E3D23">
          <w:pPr>
            <w:pStyle w:val="Obsah1"/>
            <w:tabs>
              <w:tab w:val="left" w:pos="420"/>
              <w:tab w:val="right" w:leader="dot" w:pos="9628"/>
            </w:tabs>
            <w:rPr>
              <w:rFonts w:eastAsiaTheme="minorEastAsia"/>
              <w:noProof/>
              <w:sz w:val="22"/>
              <w:lang w:eastAsia="cs-CZ"/>
            </w:rPr>
          </w:pPr>
          <w:hyperlink w:anchor="_Toc41898956" w:history="1">
            <w:r w:rsidR="00DD4E26" w:rsidRPr="00E903C9">
              <w:rPr>
                <w:rStyle w:val="Hypertextovodkaz"/>
                <w:noProof/>
              </w:rPr>
              <w:t>4</w:t>
            </w:r>
            <w:r w:rsidR="00DD4E26">
              <w:rPr>
                <w:rFonts w:eastAsiaTheme="minorEastAsia"/>
                <w:noProof/>
                <w:sz w:val="22"/>
                <w:lang w:eastAsia="cs-CZ"/>
              </w:rPr>
              <w:tab/>
            </w:r>
            <w:r w:rsidR="00DD4E26" w:rsidRPr="00E903C9">
              <w:rPr>
                <w:rStyle w:val="Hypertextovodkaz"/>
                <w:noProof/>
              </w:rPr>
              <w:t>Zdravotní hodnocení</w:t>
            </w:r>
            <w:r w:rsidR="00DD4E26">
              <w:rPr>
                <w:noProof/>
                <w:webHidden/>
              </w:rPr>
              <w:tab/>
            </w:r>
            <w:r w:rsidR="00DD4E26">
              <w:rPr>
                <w:noProof/>
                <w:webHidden/>
              </w:rPr>
              <w:fldChar w:fldCharType="begin"/>
            </w:r>
            <w:r w:rsidR="00DD4E26">
              <w:rPr>
                <w:noProof/>
                <w:webHidden/>
              </w:rPr>
              <w:instrText xml:space="preserve"> PAGEREF _Toc41898956 \h </w:instrText>
            </w:r>
            <w:r w:rsidR="00DD4E26">
              <w:rPr>
                <w:noProof/>
                <w:webHidden/>
              </w:rPr>
            </w:r>
            <w:r w:rsidR="00DD4E26">
              <w:rPr>
                <w:noProof/>
                <w:webHidden/>
              </w:rPr>
              <w:fldChar w:fldCharType="separate"/>
            </w:r>
            <w:r w:rsidR="00E45EA3">
              <w:rPr>
                <w:noProof/>
                <w:webHidden/>
              </w:rPr>
              <w:t>20</w:t>
            </w:r>
            <w:r w:rsidR="00DD4E26">
              <w:rPr>
                <w:noProof/>
                <w:webHidden/>
              </w:rPr>
              <w:fldChar w:fldCharType="end"/>
            </w:r>
          </w:hyperlink>
        </w:p>
        <w:p w:rsidR="00DD4E26" w:rsidRDefault="006E3D23">
          <w:pPr>
            <w:pStyle w:val="Obsah2"/>
            <w:tabs>
              <w:tab w:val="left" w:pos="880"/>
              <w:tab w:val="right" w:leader="dot" w:pos="9628"/>
            </w:tabs>
            <w:rPr>
              <w:rFonts w:eastAsiaTheme="minorEastAsia"/>
              <w:noProof/>
              <w:sz w:val="22"/>
              <w:lang w:eastAsia="cs-CZ"/>
            </w:rPr>
          </w:pPr>
          <w:hyperlink w:anchor="_Toc41898957" w:history="1">
            <w:r w:rsidR="00DD4E26" w:rsidRPr="00E903C9">
              <w:rPr>
                <w:rStyle w:val="Hypertextovodkaz"/>
                <w:rFonts w:cstheme="minorHAnsi"/>
                <w:noProof/>
              </w:rPr>
              <w:t>4.1</w:t>
            </w:r>
            <w:r w:rsidR="00DD4E26">
              <w:rPr>
                <w:rFonts w:eastAsiaTheme="minorEastAsia"/>
                <w:noProof/>
                <w:sz w:val="22"/>
                <w:lang w:eastAsia="cs-CZ"/>
              </w:rPr>
              <w:tab/>
            </w:r>
            <w:r w:rsidR="00DD4E26" w:rsidRPr="00E903C9">
              <w:rPr>
                <w:rStyle w:val="Hypertextovodkaz"/>
                <w:noProof/>
              </w:rPr>
              <w:t>Náklady na zdravotní služby</w:t>
            </w:r>
            <w:r w:rsidR="00DD4E26">
              <w:rPr>
                <w:noProof/>
                <w:webHidden/>
              </w:rPr>
              <w:tab/>
            </w:r>
            <w:r w:rsidR="00DD4E26">
              <w:rPr>
                <w:noProof/>
                <w:webHidden/>
              </w:rPr>
              <w:fldChar w:fldCharType="begin"/>
            </w:r>
            <w:r w:rsidR="00DD4E26">
              <w:rPr>
                <w:noProof/>
                <w:webHidden/>
              </w:rPr>
              <w:instrText xml:space="preserve"> PAGEREF _Toc41898957 \h </w:instrText>
            </w:r>
            <w:r w:rsidR="00DD4E26">
              <w:rPr>
                <w:noProof/>
                <w:webHidden/>
              </w:rPr>
            </w:r>
            <w:r w:rsidR="00DD4E26">
              <w:rPr>
                <w:noProof/>
                <w:webHidden/>
              </w:rPr>
              <w:fldChar w:fldCharType="separate"/>
            </w:r>
            <w:r w:rsidR="00E45EA3">
              <w:rPr>
                <w:noProof/>
                <w:webHidden/>
              </w:rPr>
              <w:t>20</w:t>
            </w:r>
            <w:r w:rsidR="00DD4E26">
              <w:rPr>
                <w:noProof/>
                <w:webHidden/>
              </w:rPr>
              <w:fldChar w:fldCharType="end"/>
            </w:r>
          </w:hyperlink>
        </w:p>
        <w:p w:rsidR="00DD4E26" w:rsidRDefault="006E3D23">
          <w:pPr>
            <w:pStyle w:val="Obsah2"/>
            <w:tabs>
              <w:tab w:val="left" w:pos="880"/>
              <w:tab w:val="right" w:leader="dot" w:pos="9628"/>
            </w:tabs>
            <w:rPr>
              <w:rFonts w:eastAsiaTheme="minorEastAsia"/>
              <w:noProof/>
              <w:sz w:val="22"/>
              <w:lang w:eastAsia="cs-CZ"/>
            </w:rPr>
          </w:pPr>
          <w:hyperlink w:anchor="_Toc41898958" w:history="1">
            <w:r w:rsidR="00DD4E26" w:rsidRPr="00E903C9">
              <w:rPr>
                <w:rStyle w:val="Hypertextovodkaz"/>
                <w:rFonts w:cstheme="minorHAnsi"/>
                <w:noProof/>
              </w:rPr>
              <w:t>4.2</w:t>
            </w:r>
            <w:r w:rsidR="00DD4E26">
              <w:rPr>
                <w:rFonts w:eastAsiaTheme="minorEastAsia"/>
                <w:noProof/>
                <w:sz w:val="22"/>
                <w:lang w:eastAsia="cs-CZ"/>
              </w:rPr>
              <w:tab/>
            </w:r>
            <w:r w:rsidR="00DD4E26" w:rsidRPr="00E903C9">
              <w:rPr>
                <w:rStyle w:val="Hypertextovodkaz"/>
                <w:noProof/>
              </w:rPr>
              <w:t>Náklady na léčení zahraničních pojištěnců</w:t>
            </w:r>
            <w:r w:rsidR="00DD4E26">
              <w:rPr>
                <w:noProof/>
                <w:webHidden/>
              </w:rPr>
              <w:tab/>
            </w:r>
            <w:r w:rsidR="00DD4E26">
              <w:rPr>
                <w:noProof/>
                <w:webHidden/>
              </w:rPr>
              <w:fldChar w:fldCharType="begin"/>
            </w:r>
            <w:r w:rsidR="00DD4E26">
              <w:rPr>
                <w:noProof/>
                <w:webHidden/>
              </w:rPr>
              <w:instrText xml:space="preserve"> PAGEREF _Toc41898958 \h </w:instrText>
            </w:r>
            <w:r w:rsidR="00DD4E26">
              <w:rPr>
                <w:noProof/>
                <w:webHidden/>
              </w:rPr>
            </w:r>
            <w:r w:rsidR="00DD4E26">
              <w:rPr>
                <w:noProof/>
                <w:webHidden/>
              </w:rPr>
              <w:fldChar w:fldCharType="separate"/>
            </w:r>
            <w:r w:rsidR="00E45EA3">
              <w:rPr>
                <w:noProof/>
                <w:webHidden/>
              </w:rPr>
              <w:t>25</w:t>
            </w:r>
            <w:r w:rsidR="00DD4E26">
              <w:rPr>
                <w:noProof/>
                <w:webHidden/>
              </w:rPr>
              <w:fldChar w:fldCharType="end"/>
            </w:r>
          </w:hyperlink>
        </w:p>
        <w:p w:rsidR="00DD4E26" w:rsidRDefault="006E3D23">
          <w:pPr>
            <w:pStyle w:val="Obsah2"/>
            <w:tabs>
              <w:tab w:val="left" w:pos="880"/>
              <w:tab w:val="right" w:leader="dot" w:pos="9628"/>
            </w:tabs>
            <w:rPr>
              <w:rFonts w:eastAsiaTheme="minorEastAsia"/>
              <w:noProof/>
              <w:sz w:val="22"/>
              <w:lang w:eastAsia="cs-CZ"/>
            </w:rPr>
          </w:pPr>
          <w:hyperlink w:anchor="_Toc41898959" w:history="1">
            <w:r w:rsidR="00DD4E26" w:rsidRPr="00E903C9">
              <w:rPr>
                <w:rStyle w:val="Hypertextovodkaz"/>
                <w:rFonts w:cstheme="minorHAnsi"/>
                <w:noProof/>
              </w:rPr>
              <w:t>4.3</w:t>
            </w:r>
            <w:r w:rsidR="00DD4E26">
              <w:rPr>
                <w:rFonts w:eastAsiaTheme="minorEastAsia"/>
                <w:noProof/>
                <w:sz w:val="22"/>
                <w:lang w:eastAsia="cs-CZ"/>
              </w:rPr>
              <w:tab/>
            </w:r>
            <w:r w:rsidR="00DD4E26" w:rsidRPr="00E903C9">
              <w:rPr>
                <w:rStyle w:val="Hypertextovodkaz"/>
                <w:noProof/>
              </w:rPr>
              <w:t>Náklady na preventivní zdravotní péči čerpané z fondu prevence</w:t>
            </w:r>
            <w:r w:rsidR="00DD4E26">
              <w:rPr>
                <w:noProof/>
                <w:webHidden/>
              </w:rPr>
              <w:tab/>
            </w:r>
            <w:r w:rsidR="00DD4E26">
              <w:rPr>
                <w:noProof/>
                <w:webHidden/>
              </w:rPr>
              <w:fldChar w:fldCharType="begin"/>
            </w:r>
            <w:r w:rsidR="00DD4E26">
              <w:rPr>
                <w:noProof/>
                <w:webHidden/>
              </w:rPr>
              <w:instrText xml:space="preserve"> PAGEREF _Toc41898959 \h </w:instrText>
            </w:r>
            <w:r w:rsidR="00DD4E26">
              <w:rPr>
                <w:noProof/>
                <w:webHidden/>
              </w:rPr>
            </w:r>
            <w:r w:rsidR="00DD4E26">
              <w:rPr>
                <w:noProof/>
                <w:webHidden/>
              </w:rPr>
              <w:fldChar w:fldCharType="separate"/>
            </w:r>
            <w:r w:rsidR="00E45EA3">
              <w:rPr>
                <w:noProof/>
                <w:webHidden/>
              </w:rPr>
              <w:t>26</w:t>
            </w:r>
            <w:r w:rsidR="00DD4E26">
              <w:rPr>
                <w:noProof/>
                <w:webHidden/>
              </w:rPr>
              <w:fldChar w:fldCharType="end"/>
            </w:r>
          </w:hyperlink>
        </w:p>
        <w:p w:rsidR="00DD4E26" w:rsidRDefault="006E3D23">
          <w:pPr>
            <w:pStyle w:val="Obsah2"/>
            <w:tabs>
              <w:tab w:val="left" w:pos="880"/>
              <w:tab w:val="right" w:leader="dot" w:pos="9628"/>
            </w:tabs>
            <w:rPr>
              <w:rFonts w:eastAsiaTheme="minorEastAsia"/>
              <w:noProof/>
              <w:sz w:val="22"/>
              <w:lang w:eastAsia="cs-CZ"/>
            </w:rPr>
          </w:pPr>
          <w:hyperlink w:anchor="_Toc41898960" w:history="1">
            <w:r w:rsidR="00DD4E26" w:rsidRPr="00E903C9">
              <w:rPr>
                <w:rStyle w:val="Hypertextovodkaz"/>
                <w:rFonts w:cstheme="minorHAnsi"/>
                <w:noProof/>
              </w:rPr>
              <w:t>4.4</w:t>
            </w:r>
            <w:r w:rsidR="00DD4E26">
              <w:rPr>
                <w:rFonts w:eastAsiaTheme="minorEastAsia"/>
                <w:noProof/>
                <w:sz w:val="22"/>
                <w:lang w:eastAsia="cs-CZ"/>
              </w:rPr>
              <w:tab/>
            </w:r>
            <w:r w:rsidR="00DD4E26" w:rsidRPr="00E903C9">
              <w:rPr>
                <w:rStyle w:val="Hypertextovodkaz"/>
                <w:noProof/>
              </w:rPr>
              <w:t>Kontroly a šetření zdravotních pojišťoven v roce 2019</w:t>
            </w:r>
            <w:r w:rsidR="00DD4E26">
              <w:rPr>
                <w:noProof/>
                <w:webHidden/>
              </w:rPr>
              <w:tab/>
            </w:r>
            <w:r w:rsidR="00DD4E26">
              <w:rPr>
                <w:noProof/>
                <w:webHidden/>
              </w:rPr>
              <w:fldChar w:fldCharType="begin"/>
            </w:r>
            <w:r w:rsidR="00DD4E26">
              <w:rPr>
                <w:noProof/>
                <w:webHidden/>
              </w:rPr>
              <w:instrText xml:space="preserve"> PAGEREF _Toc41898960 \h </w:instrText>
            </w:r>
            <w:r w:rsidR="00DD4E26">
              <w:rPr>
                <w:noProof/>
                <w:webHidden/>
              </w:rPr>
            </w:r>
            <w:r w:rsidR="00DD4E26">
              <w:rPr>
                <w:noProof/>
                <w:webHidden/>
              </w:rPr>
              <w:fldChar w:fldCharType="separate"/>
            </w:r>
            <w:r w:rsidR="00E45EA3">
              <w:rPr>
                <w:noProof/>
                <w:webHidden/>
              </w:rPr>
              <w:t>28</w:t>
            </w:r>
            <w:r w:rsidR="00DD4E26">
              <w:rPr>
                <w:noProof/>
                <w:webHidden/>
              </w:rPr>
              <w:fldChar w:fldCharType="end"/>
            </w:r>
          </w:hyperlink>
        </w:p>
        <w:p w:rsidR="00DD4E26" w:rsidRDefault="006E3D23">
          <w:pPr>
            <w:pStyle w:val="Obsah1"/>
            <w:tabs>
              <w:tab w:val="left" w:pos="420"/>
              <w:tab w:val="right" w:leader="dot" w:pos="9628"/>
            </w:tabs>
            <w:rPr>
              <w:rFonts w:eastAsiaTheme="minorEastAsia"/>
              <w:noProof/>
              <w:sz w:val="22"/>
              <w:lang w:eastAsia="cs-CZ"/>
            </w:rPr>
          </w:pPr>
          <w:hyperlink w:anchor="_Toc41898961" w:history="1">
            <w:r w:rsidR="00DD4E26" w:rsidRPr="00E903C9">
              <w:rPr>
                <w:rStyle w:val="Hypertextovodkaz"/>
                <w:noProof/>
              </w:rPr>
              <w:t>5</w:t>
            </w:r>
            <w:r w:rsidR="00DD4E26">
              <w:rPr>
                <w:rFonts w:eastAsiaTheme="minorEastAsia"/>
                <w:noProof/>
                <w:sz w:val="22"/>
                <w:lang w:eastAsia="cs-CZ"/>
              </w:rPr>
              <w:tab/>
            </w:r>
            <w:r w:rsidR="00DD4E26" w:rsidRPr="00E903C9">
              <w:rPr>
                <w:rStyle w:val="Hypertextovodkaz"/>
                <w:noProof/>
              </w:rPr>
              <w:t>Závěr</w:t>
            </w:r>
            <w:r w:rsidR="00DD4E26">
              <w:rPr>
                <w:noProof/>
                <w:webHidden/>
              </w:rPr>
              <w:tab/>
            </w:r>
            <w:r w:rsidR="00DD4E26">
              <w:rPr>
                <w:noProof/>
                <w:webHidden/>
              </w:rPr>
              <w:fldChar w:fldCharType="begin"/>
            </w:r>
            <w:r w:rsidR="00DD4E26">
              <w:rPr>
                <w:noProof/>
                <w:webHidden/>
              </w:rPr>
              <w:instrText xml:space="preserve"> PAGEREF _Toc41898961 \h </w:instrText>
            </w:r>
            <w:r w:rsidR="00DD4E26">
              <w:rPr>
                <w:noProof/>
                <w:webHidden/>
              </w:rPr>
            </w:r>
            <w:r w:rsidR="00DD4E26">
              <w:rPr>
                <w:noProof/>
                <w:webHidden/>
              </w:rPr>
              <w:fldChar w:fldCharType="separate"/>
            </w:r>
            <w:r w:rsidR="00E45EA3">
              <w:rPr>
                <w:noProof/>
                <w:webHidden/>
              </w:rPr>
              <w:t>30</w:t>
            </w:r>
            <w:r w:rsidR="00DD4E26">
              <w:rPr>
                <w:noProof/>
                <w:webHidden/>
              </w:rPr>
              <w:fldChar w:fldCharType="end"/>
            </w:r>
          </w:hyperlink>
        </w:p>
        <w:p w:rsidR="00DD4E26" w:rsidRDefault="006E3D23">
          <w:pPr>
            <w:pStyle w:val="Obsah1"/>
            <w:tabs>
              <w:tab w:val="left" w:pos="420"/>
              <w:tab w:val="right" w:leader="dot" w:pos="9628"/>
            </w:tabs>
            <w:rPr>
              <w:rFonts w:eastAsiaTheme="minorEastAsia"/>
              <w:noProof/>
              <w:sz w:val="22"/>
              <w:lang w:eastAsia="cs-CZ"/>
            </w:rPr>
          </w:pPr>
          <w:hyperlink w:anchor="_Toc41898962" w:history="1">
            <w:r w:rsidR="00DD4E26" w:rsidRPr="00E903C9">
              <w:rPr>
                <w:rStyle w:val="Hypertextovodkaz"/>
                <w:noProof/>
              </w:rPr>
              <w:t>6</w:t>
            </w:r>
            <w:r w:rsidR="00DD4E26">
              <w:rPr>
                <w:rFonts w:eastAsiaTheme="minorEastAsia"/>
                <w:noProof/>
                <w:sz w:val="22"/>
                <w:lang w:eastAsia="cs-CZ"/>
              </w:rPr>
              <w:tab/>
            </w:r>
            <w:r w:rsidR="00DD4E26" w:rsidRPr="00E903C9">
              <w:rPr>
                <w:rStyle w:val="Hypertextovodkaz"/>
                <w:noProof/>
              </w:rPr>
              <w:t>Legislativní rámec</w:t>
            </w:r>
            <w:r w:rsidR="00DD4E26">
              <w:rPr>
                <w:noProof/>
                <w:webHidden/>
              </w:rPr>
              <w:tab/>
            </w:r>
            <w:r w:rsidR="00DD4E26">
              <w:rPr>
                <w:noProof/>
                <w:webHidden/>
              </w:rPr>
              <w:fldChar w:fldCharType="begin"/>
            </w:r>
            <w:r w:rsidR="00DD4E26">
              <w:rPr>
                <w:noProof/>
                <w:webHidden/>
              </w:rPr>
              <w:instrText xml:space="preserve"> PAGEREF _Toc41898962 \h </w:instrText>
            </w:r>
            <w:r w:rsidR="00DD4E26">
              <w:rPr>
                <w:noProof/>
                <w:webHidden/>
              </w:rPr>
            </w:r>
            <w:r w:rsidR="00DD4E26">
              <w:rPr>
                <w:noProof/>
                <w:webHidden/>
              </w:rPr>
              <w:fldChar w:fldCharType="separate"/>
            </w:r>
            <w:r w:rsidR="00E45EA3">
              <w:rPr>
                <w:noProof/>
                <w:webHidden/>
              </w:rPr>
              <w:t>31</w:t>
            </w:r>
            <w:r w:rsidR="00DD4E26">
              <w:rPr>
                <w:noProof/>
                <w:webHidden/>
              </w:rPr>
              <w:fldChar w:fldCharType="end"/>
            </w:r>
          </w:hyperlink>
        </w:p>
        <w:p w:rsidR="00DD4E26" w:rsidRDefault="006E3D23">
          <w:pPr>
            <w:pStyle w:val="Obsah2"/>
            <w:tabs>
              <w:tab w:val="left" w:pos="880"/>
              <w:tab w:val="right" w:leader="dot" w:pos="9628"/>
            </w:tabs>
            <w:rPr>
              <w:rFonts w:eastAsiaTheme="minorEastAsia"/>
              <w:noProof/>
              <w:sz w:val="22"/>
              <w:lang w:eastAsia="cs-CZ"/>
            </w:rPr>
          </w:pPr>
          <w:hyperlink w:anchor="_Toc41898963" w:history="1">
            <w:r w:rsidR="00DD4E26" w:rsidRPr="00E903C9">
              <w:rPr>
                <w:rStyle w:val="Hypertextovodkaz"/>
                <w:rFonts w:cstheme="minorHAnsi"/>
                <w:noProof/>
              </w:rPr>
              <w:t>6.1</w:t>
            </w:r>
            <w:r w:rsidR="00DD4E26">
              <w:rPr>
                <w:rFonts w:eastAsiaTheme="minorEastAsia"/>
                <w:noProof/>
                <w:sz w:val="22"/>
                <w:lang w:eastAsia="cs-CZ"/>
              </w:rPr>
              <w:tab/>
            </w:r>
            <w:r w:rsidR="00DD4E26" w:rsidRPr="00E903C9">
              <w:rPr>
                <w:rStyle w:val="Hypertextovodkaz"/>
                <w:noProof/>
              </w:rPr>
              <w:t>Všeobecná zdravotní pojišťovna ČR</w:t>
            </w:r>
            <w:r w:rsidR="00DD4E26">
              <w:rPr>
                <w:noProof/>
                <w:webHidden/>
              </w:rPr>
              <w:tab/>
            </w:r>
            <w:r w:rsidR="00DD4E26">
              <w:rPr>
                <w:noProof/>
                <w:webHidden/>
              </w:rPr>
              <w:fldChar w:fldCharType="begin"/>
            </w:r>
            <w:r w:rsidR="00DD4E26">
              <w:rPr>
                <w:noProof/>
                <w:webHidden/>
              </w:rPr>
              <w:instrText xml:space="preserve"> PAGEREF _Toc41898963 \h </w:instrText>
            </w:r>
            <w:r w:rsidR="00DD4E26">
              <w:rPr>
                <w:noProof/>
                <w:webHidden/>
              </w:rPr>
            </w:r>
            <w:r w:rsidR="00DD4E26">
              <w:rPr>
                <w:noProof/>
                <w:webHidden/>
              </w:rPr>
              <w:fldChar w:fldCharType="separate"/>
            </w:r>
            <w:r w:rsidR="00E45EA3">
              <w:rPr>
                <w:noProof/>
                <w:webHidden/>
              </w:rPr>
              <w:t>31</w:t>
            </w:r>
            <w:r w:rsidR="00DD4E26">
              <w:rPr>
                <w:noProof/>
                <w:webHidden/>
              </w:rPr>
              <w:fldChar w:fldCharType="end"/>
            </w:r>
          </w:hyperlink>
        </w:p>
        <w:p w:rsidR="00DD4E26" w:rsidRDefault="006E3D23">
          <w:pPr>
            <w:pStyle w:val="Obsah2"/>
            <w:tabs>
              <w:tab w:val="left" w:pos="880"/>
              <w:tab w:val="right" w:leader="dot" w:pos="9628"/>
            </w:tabs>
            <w:rPr>
              <w:rFonts w:eastAsiaTheme="minorEastAsia"/>
              <w:noProof/>
              <w:sz w:val="22"/>
              <w:lang w:eastAsia="cs-CZ"/>
            </w:rPr>
          </w:pPr>
          <w:hyperlink w:anchor="_Toc41898964" w:history="1">
            <w:r w:rsidR="00DD4E26" w:rsidRPr="00E903C9">
              <w:rPr>
                <w:rStyle w:val="Hypertextovodkaz"/>
                <w:rFonts w:cstheme="minorHAnsi"/>
                <w:noProof/>
              </w:rPr>
              <w:t>6.2</w:t>
            </w:r>
            <w:r w:rsidR="00DD4E26">
              <w:rPr>
                <w:rFonts w:eastAsiaTheme="minorEastAsia"/>
                <w:noProof/>
                <w:sz w:val="22"/>
                <w:lang w:eastAsia="cs-CZ"/>
              </w:rPr>
              <w:tab/>
            </w:r>
            <w:r w:rsidR="00DD4E26" w:rsidRPr="00E903C9">
              <w:rPr>
                <w:rStyle w:val="Hypertextovodkaz"/>
                <w:noProof/>
              </w:rPr>
              <w:t>Zaměstnanecké zdravotní pojišťovny</w:t>
            </w:r>
            <w:r w:rsidR="00DD4E26">
              <w:rPr>
                <w:noProof/>
                <w:webHidden/>
              </w:rPr>
              <w:tab/>
            </w:r>
            <w:r w:rsidR="00DD4E26">
              <w:rPr>
                <w:noProof/>
                <w:webHidden/>
              </w:rPr>
              <w:fldChar w:fldCharType="begin"/>
            </w:r>
            <w:r w:rsidR="00DD4E26">
              <w:rPr>
                <w:noProof/>
                <w:webHidden/>
              </w:rPr>
              <w:instrText xml:space="preserve"> PAGEREF _Toc41898964 \h </w:instrText>
            </w:r>
            <w:r w:rsidR="00DD4E26">
              <w:rPr>
                <w:noProof/>
                <w:webHidden/>
              </w:rPr>
            </w:r>
            <w:r w:rsidR="00DD4E26">
              <w:rPr>
                <w:noProof/>
                <w:webHidden/>
              </w:rPr>
              <w:fldChar w:fldCharType="separate"/>
            </w:r>
            <w:r w:rsidR="00E45EA3">
              <w:rPr>
                <w:noProof/>
                <w:webHidden/>
              </w:rPr>
              <w:t>32</w:t>
            </w:r>
            <w:r w:rsidR="00DD4E26">
              <w:rPr>
                <w:noProof/>
                <w:webHidden/>
              </w:rPr>
              <w:fldChar w:fldCharType="end"/>
            </w:r>
          </w:hyperlink>
        </w:p>
        <w:p w:rsidR="00DD4E26" w:rsidRDefault="006E3D23">
          <w:pPr>
            <w:pStyle w:val="Obsah1"/>
            <w:tabs>
              <w:tab w:val="left" w:pos="420"/>
              <w:tab w:val="right" w:leader="dot" w:pos="9628"/>
            </w:tabs>
            <w:rPr>
              <w:rFonts w:eastAsiaTheme="minorEastAsia"/>
              <w:noProof/>
              <w:sz w:val="22"/>
              <w:lang w:eastAsia="cs-CZ"/>
            </w:rPr>
          </w:pPr>
          <w:hyperlink w:anchor="_Toc41898965" w:history="1">
            <w:r w:rsidR="00DD4E26" w:rsidRPr="00E903C9">
              <w:rPr>
                <w:rStyle w:val="Hypertextovodkaz"/>
                <w:noProof/>
              </w:rPr>
              <w:t>7</w:t>
            </w:r>
            <w:r w:rsidR="00DD4E26">
              <w:rPr>
                <w:rFonts w:eastAsiaTheme="minorEastAsia"/>
                <w:noProof/>
                <w:sz w:val="22"/>
                <w:lang w:eastAsia="cs-CZ"/>
              </w:rPr>
              <w:tab/>
            </w:r>
            <w:r w:rsidR="00DD4E26" w:rsidRPr="00E903C9">
              <w:rPr>
                <w:rStyle w:val="Hypertextovodkaz"/>
                <w:noProof/>
              </w:rPr>
              <w:t>Seznam grafů a tabulek v tomto dokumentu</w:t>
            </w:r>
            <w:r w:rsidR="00DD4E26">
              <w:rPr>
                <w:noProof/>
                <w:webHidden/>
              </w:rPr>
              <w:tab/>
            </w:r>
            <w:r w:rsidR="00DD4E26">
              <w:rPr>
                <w:noProof/>
                <w:webHidden/>
              </w:rPr>
              <w:fldChar w:fldCharType="begin"/>
            </w:r>
            <w:r w:rsidR="00DD4E26">
              <w:rPr>
                <w:noProof/>
                <w:webHidden/>
              </w:rPr>
              <w:instrText xml:space="preserve"> PAGEREF _Toc41898965 \h </w:instrText>
            </w:r>
            <w:r w:rsidR="00DD4E26">
              <w:rPr>
                <w:noProof/>
                <w:webHidden/>
              </w:rPr>
            </w:r>
            <w:r w:rsidR="00DD4E26">
              <w:rPr>
                <w:noProof/>
                <w:webHidden/>
              </w:rPr>
              <w:fldChar w:fldCharType="separate"/>
            </w:r>
            <w:r w:rsidR="00E45EA3">
              <w:rPr>
                <w:noProof/>
                <w:webHidden/>
              </w:rPr>
              <w:t>34</w:t>
            </w:r>
            <w:r w:rsidR="00DD4E26">
              <w:rPr>
                <w:noProof/>
                <w:webHidden/>
              </w:rPr>
              <w:fldChar w:fldCharType="end"/>
            </w:r>
          </w:hyperlink>
        </w:p>
        <w:p w:rsidR="00DD4E26" w:rsidRDefault="006E3D23">
          <w:pPr>
            <w:pStyle w:val="Obsah2"/>
            <w:tabs>
              <w:tab w:val="left" w:pos="880"/>
              <w:tab w:val="right" w:leader="dot" w:pos="9628"/>
            </w:tabs>
            <w:rPr>
              <w:rFonts w:eastAsiaTheme="minorEastAsia"/>
              <w:noProof/>
              <w:sz w:val="22"/>
              <w:lang w:eastAsia="cs-CZ"/>
            </w:rPr>
          </w:pPr>
          <w:hyperlink w:anchor="_Toc41898966" w:history="1">
            <w:r w:rsidR="00DD4E26" w:rsidRPr="00E903C9">
              <w:rPr>
                <w:rStyle w:val="Hypertextovodkaz"/>
                <w:rFonts w:cstheme="minorHAnsi"/>
                <w:noProof/>
              </w:rPr>
              <w:t>7.1</w:t>
            </w:r>
            <w:r w:rsidR="00DD4E26">
              <w:rPr>
                <w:rFonts w:eastAsiaTheme="minorEastAsia"/>
                <w:noProof/>
                <w:sz w:val="22"/>
                <w:lang w:eastAsia="cs-CZ"/>
              </w:rPr>
              <w:tab/>
            </w:r>
            <w:r w:rsidR="00DD4E26" w:rsidRPr="00E903C9">
              <w:rPr>
                <w:rStyle w:val="Hypertextovodkaz"/>
                <w:noProof/>
              </w:rPr>
              <w:t>Grafy</w:t>
            </w:r>
            <w:r w:rsidR="00DD4E26">
              <w:rPr>
                <w:noProof/>
                <w:webHidden/>
              </w:rPr>
              <w:tab/>
            </w:r>
            <w:r w:rsidR="00DD4E26">
              <w:rPr>
                <w:noProof/>
                <w:webHidden/>
              </w:rPr>
              <w:fldChar w:fldCharType="begin"/>
            </w:r>
            <w:r w:rsidR="00DD4E26">
              <w:rPr>
                <w:noProof/>
                <w:webHidden/>
              </w:rPr>
              <w:instrText xml:space="preserve"> PAGEREF _Toc41898966 \h </w:instrText>
            </w:r>
            <w:r w:rsidR="00DD4E26">
              <w:rPr>
                <w:noProof/>
                <w:webHidden/>
              </w:rPr>
            </w:r>
            <w:r w:rsidR="00DD4E26">
              <w:rPr>
                <w:noProof/>
                <w:webHidden/>
              </w:rPr>
              <w:fldChar w:fldCharType="separate"/>
            </w:r>
            <w:r w:rsidR="00E45EA3">
              <w:rPr>
                <w:noProof/>
                <w:webHidden/>
              </w:rPr>
              <w:t>34</w:t>
            </w:r>
            <w:r w:rsidR="00DD4E26">
              <w:rPr>
                <w:noProof/>
                <w:webHidden/>
              </w:rPr>
              <w:fldChar w:fldCharType="end"/>
            </w:r>
          </w:hyperlink>
        </w:p>
        <w:p w:rsidR="00DD4E26" w:rsidRDefault="006E3D23">
          <w:pPr>
            <w:pStyle w:val="Obsah2"/>
            <w:tabs>
              <w:tab w:val="left" w:pos="880"/>
              <w:tab w:val="right" w:leader="dot" w:pos="9628"/>
            </w:tabs>
            <w:rPr>
              <w:rFonts w:eastAsiaTheme="minorEastAsia"/>
              <w:noProof/>
              <w:sz w:val="22"/>
              <w:lang w:eastAsia="cs-CZ"/>
            </w:rPr>
          </w:pPr>
          <w:hyperlink w:anchor="_Toc41898967" w:history="1">
            <w:r w:rsidR="00DD4E26" w:rsidRPr="00E903C9">
              <w:rPr>
                <w:rStyle w:val="Hypertextovodkaz"/>
                <w:rFonts w:cstheme="minorHAnsi"/>
                <w:noProof/>
              </w:rPr>
              <w:t>7.2</w:t>
            </w:r>
            <w:r w:rsidR="00DD4E26">
              <w:rPr>
                <w:rFonts w:eastAsiaTheme="minorEastAsia"/>
                <w:noProof/>
                <w:sz w:val="22"/>
                <w:lang w:eastAsia="cs-CZ"/>
              </w:rPr>
              <w:tab/>
            </w:r>
            <w:r w:rsidR="00DD4E26" w:rsidRPr="00E903C9">
              <w:rPr>
                <w:rStyle w:val="Hypertextovodkaz"/>
                <w:noProof/>
              </w:rPr>
              <w:t>Tabulky</w:t>
            </w:r>
            <w:r w:rsidR="00DD4E26">
              <w:rPr>
                <w:noProof/>
                <w:webHidden/>
              </w:rPr>
              <w:tab/>
            </w:r>
            <w:r w:rsidR="00DD4E26">
              <w:rPr>
                <w:noProof/>
                <w:webHidden/>
              </w:rPr>
              <w:fldChar w:fldCharType="begin"/>
            </w:r>
            <w:r w:rsidR="00DD4E26">
              <w:rPr>
                <w:noProof/>
                <w:webHidden/>
              </w:rPr>
              <w:instrText xml:space="preserve"> PAGEREF _Toc41898967 \h </w:instrText>
            </w:r>
            <w:r w:rsidR="00DD4E26">
              <w:rPr>
                <w:noProof/>
                <w:webHidden/>
              </w:rPr>
            </w:r>
            <w:r w:rsidR="00DD4E26">
              <w:rPr>
                <w:noProof/>
                <w:webHidden/>
              </w:rPr>
              <w:fldChar w:fldCharType="separate"/>
            </w:r>
            <w:r w:rsidR="00E45EA3">
              <w:rPr>
                <w:noProof/>
                <w:webHidden/>
              </w:rPr>
              <w:t>34</w:t>
            </w:r>
            <w:r w:rsidR="00DD4E26">
              <w:rPr>
                <w:noProof/>
                <w:webHidden/>
              </w:rPr>
              <w:fldChar w:fldCharType="end"/>
            </w:r>
          </w:hyperlink>
        </w:p>
        <w:p w:rsidR="00DD4E26" w:rsidRDefault="006E3D23">
          <w:pPr>
            <w:pStyle w:val="Obsah1"/>
            <w:tabs>
              <w:tab w:val="left" w:pos="420"/>
              <w:tab w:val="right" w:leader="dot" w:pos="9628"/>
            </w:tabs>
            <w:rPr>
              <w:rFonts w:eastAsiaTheme="minorEastAsia"/>
              <w:noProof/>
              <w:sz w:val="22"/>
              <w:lang w:eastAsia="cs-CZ"/>
            </w:rPr>
          </w:pPr>
          <w:hyperlink w:anchor="_Toc41898968" w:history="1">
            <w:r w:rsidR="00DD4E26" w:rsidRPr="00E903C9">
              <w:rPr>
                <w:rStyle w:val="Hypertextovodkaz"/>
                <w:noProof/>
              </w:rPr>
              <w:t>8</w:t>
            </w:r>
            <w:r w:rsidR="00DD4E26">
              <w:rPr>
                <w:rFonts w:eastAsiaTheme="minorEastAsia"/>
                <w:noProof/>
                <w:sz w:val="22"/>
                <w:lang w:eastAsia="cs-CZ"/>
              </w:rPr>
              <w:tab/>
            </w:r>
            <w:r w:rsidR="00DD4E26" w:rsidRPr="00E903C9">
              <w:rPr>
                <w:rStyle w:val="Hypertextovodkaz"/>
                <w:noProof/>
              </w:rPr>
              <w:t>Tabulková příloha</w:t>
            </w:r>
            <w:r w:rsidR="00DD4E26">
              <w:rPr>
                <w:noProof/>
                <w:webHidden/>
              </w:rPr>
              <w:tab/>
            </w:r>
            <w:r w:rsidR="00DD4E26">
              <w:rPr>
                <w:noProof/>
                <w:webHidden/>
              </w:rPr>
              <w:fldChar w:fldCharType="begin"/>
            </w:r>
            <w:r w:rsidR="00DD4E26">
              <w:rPr>
                <w:noProof/>
                <w:webHidden/>
              </w:rPr>
              <w:instrText xml:space="preserve"> PAGEREF _Toc41898968 \h </w:instrText>
            </w:r>
            <w:r w:rsidR="00DD4E26">
              <w:rPr>
                <w:noProof/>
                <w:webHidden/>
              </w:rPr>
            </w:r>
            <w:r w:rsidR="00DD4E26">
              <w:rPr>
                <w:noProof/>
                <w:webHidden/>
              </w:rPr>
              <w:fldChar w:fldCharType="separate"/>
            </w:r>
            <w:r w:rsidR="00E45EA3">
              <w:rPr>
                <w:noProof/>
                <w:webHidden/>
              </w:rPr>
              <w:t>35</w:t>
            </w:r>
            <w:r w:rsidR="00DD4E26">
              <w:rPr>
                <w:noProof/>
                <w:webHidden/>
              </w:rPr>
              <w:fldChar w:fldCharType="end"/>
            </w:r>
          </w:hyperlink>
        </w:p>
        <w:p w:rsidR="00DD4E26" w:rsidRDefault="006E3D23">
          <w:pPr>
            <w:pStyle w:val="Obsah2"/>
            <w:tabs>
              <w:tab w:val="right" w:leader="dot" w:pos="9628"/>
            </w:tabs>
            <w:rPr>
              <w:rFonts w:eastAsiaTheme="minorEastAsia"/>
              <w:noProof/>
              <w:sz w:val="22"/>
              <w:lang w:eastAsia="cs-CZ"/>
            </w:rPr>
          </w:pPr>
          <w:hyperlink w:anchor="_Toc41898969" w:history="1">
            <w:r w:rsidR="00DD4E26" w:rsidRPr="00E903C9">
              <w:rPr>
                <w:rStyle w:val="Hypertextovodkaz"/>
                <w:noProof/>
              </w:rPr>
              <w:t>Přehled</w:t>
            </w:r>
            <w:r w:rsidR="00DD4E26">
              <w:rPr>
                <w:noProof/>
                <w:webHidden/>
              </w:rPr>
              <w:tab/>
            </w:r>
            <w:r w:rsidR="00DD4E26">
              <w:rPr>
                <w:noProof/>
                <w:webHidden/>
              </w:rPr>
              <w:fldChar w:fldCharType="begin"/>
            </w:r>
            <w:r w:rsidR="00DD4E26">
              <w:rPr>
                <w:noProof/>
                <w:webHidden/>
              </w:rPr>
              <w:instrText xml:space="preserve"> PAGEREF _Toc41898969 \h </w:instrText>
            </w:r>
            <w:r w:rsidR="00DD4E26">
              <w:rPr>
                <w:noProof/>
                <w:webHidden/>
              </w:rPr>
            </w:r>
            <w:r w:rsidR="00DD4E26">
              <w:rPr>
                <w:noProof/>
                <w:webHidden/>
              </w:rPr>
              <w:fldChar w:fldCharType="separate"/>
            </w:r>
            <w:r w:rsidR="00E45EA3">
              <w:rPr>
                <w:noProof/>
                <w:webHidden/>
              </w:rPr>
              <w:t>35</w:t>
            </w:r>
            <w:r w:rsidR="00DD4E26">
              <w:rPr>
                <w:noProof/>
                <w:webHidden/>
              </w:rPr>
              <w:fldChar w:fldCharType="end"/>
            </w:r>
          </w:hyperlink>
        </w:p>
        <w:p w:rsidR="00DD4E26" w:rsidRDefault="006E3D23">
          <w:pPr>
            <w:pStyle w:val="Obsah1"/>
            <w:tabs>
              <w:tab w:val="left" w:pos="420"/>
              <w:tab w:val="right" w:leader="dot" w:pos="9628"/>
            </w:tabs>
            <w:rPr>
              <w:rFonts w:eastAsiaTheme="minorEastAsia"/>
              <w:noProof/>
              <w:sz w:val="22"/>
              <w:lang w:eastAsia="cs-CZ"/>
            </w:rPr>
          </w:pPr>
          <w:hyperlink w:anchor="_Toc41898970" w:history="1">
            <w:r w:rsidR="00DD4E26" w:rsidRPr="00E903C9">
              <w:rPr>
                <w:rStyle w:val="Hypertextovodkaz"/>
                <w:noProof/>
              </w:rPr>
              <w:t>9</w:t>
            </w:r>
            <w:r w:rsidR="00DD4E26">
              <w:rPr>
                <w:rFonts w:eastAsiaTheme="minorEastAsia"/>
                <w:noProof/>
                <w:sz w:val="22"/>
                <w:lang w:eastAsia="cs-CZ"/>
              </w:rPr>
              <w:tab/>
            </w:r>
            <w:r w:rsidR="00DD4E26" w:rsidRPr="00E903C9">
              <w:rPr>
                <w:rStyle w:val="Hypertextovodkaz"/>
                <w:noProof/>
              </w:rPr>
              <w:t>Zkratky použité v textové části materiálu a tabulkových přílohách</w:t>
            </w:r>
            <w:r w:rsidR="00DD4E26">
              <w:rPr>
                <w:noProof/>
                <w:webHidden/>
              </w:rPr>
              <w:tab/>
            </w:r>
            <w:r w:rsidR="00DD4E26">
              <w:rPr>
                <w:noProof/>
                <w:webHidden/>
              </w:rPr>
              <w:fldChar w:fldCharType="begin"/>
            </w:r>
            <w:r w:rsidR="00DD4E26">
              <w:rPr>
                <w:noProof/>
                <w:webHidden/>
              </w:rPr>
              <w:instrText xml:space="preserve"> PAGEREF _Toc41898970 \h </w:instrText>
            </w:r>
            <w:r w:rsidR="00DD4E26">
              <w:rPr>
                <w:noProof/>
                <w:webHidden/>
              </w:rPr>
            </w:r>
            <w:r w:rsidR="00DD4E26">
              <w:rPr>
                <w:noProof/>
                <w:webHidden/>
              </w:rPr>
              <w:fldChar w:fldCharType="separate"/>
            </w:r>
            <w:r w:rsidR="00E45EA3">
              <w:rPr>
                <w:noProof/>
                <w:webHidden/>
              </w:rPr>
              <w:t>36</w:t>
            </w:r>
            <w:r w:rsidR="00DD4E26">
              <w:rPr>
                <w:noProof/>
                <w:webHidden/>
              </w:rPr>
              <w:fldChar w:fldCharType="end"/>
            </w:r>
          </w:hyperlink>
        </w:p>
        <w:p w:rsidR="005D233A" w:rsidRPr="00E45EA3" w:rsidRDefault="006E3D23" w:rsidP="00E45EA3">
          <w:pPr>
            <w:pStyle w:val="Obsah1"/>
            <w:tabs>
              <w:tab w:val="left" w:pos="660"/>
              <w:tab w:val="right" w:leader="dot" w:pos="9628"/>
            </w:tabs>
            <w:rPr>
              <w:rFonts w:eastAsiaTheme="minorEastAsia"/>
              <w:noProof/>
              <w:sz w:val="22"/>
              <w:lang w:eastAsia="cs-CZ"/>
            </w:rPr>
          </w:pPr>
          <w:hyperlink w:anchor="_Toc41898971" w:history="1">
            <w:r w:rsidR="00DD4E26" w:rsidRPr="00E903C9">
              <w:rPr>
                <w:rStyle w:val="Hypertextovodkaz"/>
                <w:noProof/>
              </w:rPr>
              <w:t>10</w:t>
            </w:r>
            <w:r w:rsidR="00DD4E26">
              <w:rPr>
                <w:rFonts w:eastAsiaTheme="minorEastAsia"/>
                <w:noProof/>
                <w:sz w:val="22"/>
                <w:lang w:eastAsia="cs-CZ"/>
              </w:rPr>
              <w:tab/>
            </w:r>
            <w:r w:rsidR="00DD4E26" w:rsidRPr="00E903C9">
              <w:rPr>
                <w:rStyle w:val="Hypertextovodkaz"/>
                <w:noProof/>
              </w:rPr>
              <w:t>Právní předpisy citované v textové části materiálu a tabulkových přílohách</w:t>
            </w:r>
            <w:r w:rsidR="00DD4E26">
              <w:rPr>
                <w:noProof/>
                <w:webHidden/>
              </w:rPr>
              <w:tab/>
            </w:r>
            <w:r w:rsidR="00DD4E26">
              <w:rPr>
                <w:noProof/>
                <w:webHidden/>
              </w:rPr>
              <w:fldChar w:fldCharType="begin"/>
            </w:r>
            <w:r w:rsidR="00DD4E26">
              <w:rPr>
                <w:noProof/>
                <w:webHidden/>
              </w:rPr>
              <w:instrText xml:space="preserve"> PAGEREF _Toc41898971 \h </w:instrText>
            </w:r>
            <w:r w:rsidR="00DD4E26">
              <w:rPr>
                <w:noProof/>
                <w:webHidden/>
              </w:rPr>
            </w:r>
            <w:r w:rsidR="00DD4E26">
              <w:rPr>
                <w:noProof/>
                <w:webHidden/>
              </w:rPr>
              <w:fldChar w:fldCharType="separate"/>
            </w:r>
            <w:r w:rsidR="00E45EA3">
              <w:rPr>
                <w:noProof/>
                <w:webHidden/>
              </w:rPr>
              <w:t>39</w:t>
            </w:r>
            <w:r w:rsidR="00DD4E26">
              <w:rPr>
                <w:noProof/>
                <w:webHidden/>
              </w:rPr>
              <w:fldChar w:fldCharType="end"/>
            </w:r>
          </w:hyperlink>
          <w:r w:rsidR="00360ED9">
            <w:fldChar w:fldCharType="end"/>
          </w:r>
        </w:p>
      </w:sdtContent>
    </w:sdt>
    <w:p w:rsidR="00917A5F" w:rsidRPr="005A357D" w:rsidRDefault="00917A5F" w:rsidP="00917A5F">
      <w:pPr>
        <w:jc w:val="both"/>
        <w:rPr>
          <w:b/>
        </w:rPr>
      </w:pPr>
      <w:r w:rsidRPr="009B63D7">
        <w:rPr>
          <w:b/>
        </w:rPr>
        <w:t xml:space="preserve">Zpracováno odbornými pracovišti Ministerstva zdravotnictví a Ministerstva financí během </w:t>
      </w:r>
      <w:r w:rsidR="00FB53D1" w:rsidRPr="009B63D7">
        <w:rPr>
          <w:b/>
        </w:rPr>
        <w:t xml:space="preserve">května </w:t>
      </w:r>
      <w:r w:rsidRPr="009B63D7">
        <w:rPr>
          <w:b/>
        </w:rPr>
        <w:t>až </w:t>
      </w:r>
      <w:r w:rsidR="00FB53D1" w:rsidRPr="009B63D7">
        <w:rPr>
          <w:b/>
        </w:rPr>
        <w:t>června 2020</w:t>
      </w:r>
      <w:r w:rsidRPr="009B63D7">
        <w:rPr>
          <w:b/>
        </w:rPr>
        <w:t>.</w:t>
      </w:r>
      <w:r w:rsidRPr="002A3716">
        <w:rPr>
          <w:b/>
        </w:rPr>
        <w:t xml:space="preserve"> </w:t>
      </w:r>
      <w:r>
        <w:br w:type="page"/>
      </w:r>
    </w:p>
    <w:p w:rsidR="00436F6E" w:rsidRDefault="00436F6E" w:rsidP="00436F6E">
      <w:pPr>
        <w:pStyle w:val="Nadpis1"/>
      </w:pPr>
      <w:bookmarkStart w:id="0" w:name="_Toc41898945"/>
      <w:r>
        <w:lastRenderedPageBreak/>
        <w:t>Manažerské shrnutí</w:t>
      </w:r>
      <w:bookmarkEnd w:id="0"/>
    </w:p>
    <w:p w:rsidR="00436F6E" w:rsidRPr="009B63D7" w:rsidRDefault="007E6724" w:rsidP="00D33329">
      <w:pPr>
        <w:jc w:val="both"/>
      </w:pPr>
      <w:r w:rsidRPr="009B63D7">
        <w:t xml:space="preserve">Předkládaný dokument je obdobou státního </w:t>
      </w:r>
      <w:r w:rsidR="00B577D1" w:rsidRPr="009B63D7">
        <w:t xml:space="preserve">závěrečného účtu </w:t>
      </w:r>
      <w:r w:rsidRPr="009B63D7">
        <w:t xml:space="preserve">pro zdravotní pojišťovny. Jedná se o standardní, každoroční materiál, jehož zpracování a schvalování </w:t>
      </w:r>
      <w:r w:rsidR="001A389D" w:rsidRPr="009B63D7">
        <w:t>u</w:t>
      </w:r>
      <w:r w:rsidRPr="009B63D7">
        <w:t xml:space="preserve">kládají </w:t>
      </w:r>
      <w:r w:rsidR="001A389D" w:rsidRPr="009B63D7">
        <w:t xml:space="preserve">Ministerstvu zdravotnictví a Ministerstvu financí </w:t>
      </w:r>
      <w:r w:rsidRPr="009B63D7">
        <w:t>zákony o zdravotních pojišťovnách</w:t>
      </w:r>
      <w:r w:rsidR="00F1454F" w:rsidRPr="009B63D7">
        <w:t xml:space="preserve"> (viz </w:t>
      </w:r>
      <w:r w:rsidR="00885D78" w:rsidRPr="009B63D7">
        <w:t>kapitola</w:t>
      </w:r>
      <w:r w:rsidR="00F1454F" w:rsidRPr="009B63D7">
        <w:t xml:space="preserve"> </w:t>
      </w:r>
      <w:r w:rsidR="00885D78" w:rsidRPr="009B63D7">
        <w:t>č. 6</w:t>
      </w:r>
      <w:r w:rsidR="00F1454F" w:rsidRPr="009B63D7">
        <w:t>)</w:t>
      </w:r>
      <w:r w:rsidRPr="009B63D7">
        <w:t xml:space="preserve">. </w:t>
      </w:r>
    </w:p>
    <w:p w:rsidR="001A389D" w:rsidRPr="000E744B" w:rsidRDefault="00736238" w:rsidP="001A389D">
      <w:pPr>
        <w:jc w:val="both"/>
      </w:pPr>
      <w:r w:rsidRPr="009B63D7">
        <w:t>Struktura dokumentu je následující</w:t>
      </w:r>
      <w:r w:rsidR="00155B8B">
        <w:t>.</w:t>
      </w:r>
      <w:r w:rsidRPr="009B63D7">
        <w:t xml:space="preserve"> </w:t>
      </w:r>
      <w:r w:rsidR="00155B8B">
        <w:t>K</w:t>
      </w:r>
      <w:r w:rsidRPr="009B63D7">
        <w:t>líčovou částí je samotné hodnocení, které je doplněno řadou tabulkových příloh</w:t>
      </w:r>
      <w:r w:rsidR="001A0BF8" w:rsidRPr="009B63D7">
        <w:t xml:space="preserve"> (jejich přehled uveden v kapitole č.</w:t>
      </w:r>
      <w:r w:rsidR="005D233A" w:rsidRPr="009B63D7">
        <w:t xml:space="preserve"> 8</w:t>
      </w:r>
      <w:r w:rsidR="001A0BF8" w:rsidRPr="009B63D7">
        <w:t>)</w:t>
      </w:r>
      <w:r w:rsidRPr="009B63D7">
        <w:t>.</w:t>
      </w:r>
      <w:r w:rsidRPr="005D233A">
        <w:t xml:space="preserve"> </w:t>
      </w:r>
      <w:r w:rsidR="001A0BF8" w:rsidRPr="005D233A">
        <w:t>Přiložen</w:t>
      </w:r>
      <w:r w:rsidRPr="005D233A">
        <w:t xml:space="preserve"> je i přehled použitých zkratek a citovaných legislativních předpisů</w:t>
      </w:r>
      <w:r w:rsidR="001A0BF8" w:rsidRPr="005D233A">
        <w:t xml:space="preserve">. Nedílnou součástí materiálu jsou pak i </w:t>
      </w:r>
      <w:r w:rsidR="00B577D1">
        <w:t xml:space="preserve">samotné návrhy výročních zpráv </w:t>
      </w:r>
      <w:r w:rsidR="001A0BF8" w:rsidRPr="005D233A">
        <w:t>všech činných zdravotních pojišťoven.</w:t>
      </w:r>
    </w:p>
    <w:p w:rsidR="00B577D1" w:rsidRPr="00B3234B" w:rsidRDefault="001A0BF8" w:rsidP="00B3234B">
      <w:pPr>
        <w:jc w:val="both"/>
      </w:pPr>
      <w:r w:rsidRPr="00390ECB">
        <w:t xml:space="preserve">Z ekonomického hlediska je důležité shrnout, že </w:t>
      </w:r>
      <w:r w:rsidR="00B577D1" w:rsidRPr="0003756A">
        <w:t xml:space="preserve">celkově systém veřejného zdravotního </w:t>
      </w:r>
      <w:r w:rsidR="00D64014">
        <w:t xml:space="preserve">pojištění </w:t>
      </w:r>
      <w:r w:rsidR="00B577D1" w:rsidRPr="0003756A">
        <w:t>vykázal v roce 201</w:t>
      </w:r>
      <w:r w:rsidR="00A37BAA" w:rsidRPr="0003756A">
        <w:t>9</w:t>
      </w:r>
      <w:r w:rsidR="00B577D1" w:rsidRPr="0003756A">
        <w:t xml:space="preserve"> příjmy </w:t>
      </w:r>
      <w:r w:rsidR="00D75755" w:rsidRPr="00390ECB">
        <w:rPr>
          <w:b/>
          <w:bCs/>
        </w:rPr>
        <w:t xml:space="preserve">331,5 </w:t>
      </w:r>
      <w:r w:rsidR="00B577D1" w:rsidRPr="0003756A">
        <w:rPr>
          <w:b/>
          <w:bCs/>
        </w:rPr>
        <w:t>mld. Kč</w:t>
      </w:r>
      <w:r w:rsidR="00B577D1" w:rsidRPr="0003756A">
        <w:t xml:space="preserve"> a výdaje </w:t>
      </w:r>
      <w:r w:rsidR="00D75755" w:rsidRPr="00390ECB">
        <w:rPr>
          <w:b/>
          <w:bCs/>
        </w:rPr>
        <w:t xml:space="preserve">318,0 </w:t>
      </w:r>
      <w:r w:rsidR="00B577D1" w:rsidRPr="0003756A">
        <w:rPr>
          <w:b/>
          <w:bCs/>
        </w:rPr>
        <w:t>mld. Kč</w:t>
      </w:r>
      <w:r w:rsidR="00B577D1" w:rsidRPr="0003756A">
        <w:t xml:space="preserve">. Dosáhl tak v tomto roce přebytku cca </w:t>
      </w:r>
      <w:r w:rsidR="0003756A">
        <w:t>+</w:t>
      </w:r>
      <w:r w:rsidR="00D75755" w:rsidRPr="00390ECB">
        <w:rPr>
          <w:b/>
          <w:bCs/>
        </w:rPr>
        <w:t xml:space="preserve">13,5 </w:t>
      </w:r>
      <w:r w:rsidR="00B577D1" w:rsidRPr="0003756A">
        <w:rPr>
          <w:b/>
          <w:bCs/>
        </w:rPr>
        <w:t>mld. Kč</w:t>
      </w:r>
      <w:r w:rsidR="00B577D1" w:rsidRPr="0003756A">
        <w:t xml:space="preserve">. </w:t>
      </w:r>
      <w:r w:rsidR="00B577D1" w:rsidRPr="00390ECB">
        <w:t>Podrobnější členění příjmů a výdajů je obsahem následujících subkapitol</w:t>
      </w:r>
      <w:r w:rsidR="00FB53D1" w:rsidRPr="00390ECB">
        <w:t>.</w:t>
      </w:r>
    </w:p>
    <w:p w:rsidR="003D4982" w:rsidRDefault="003D4982" w:rsidP="003D4982">
      <w:pPr>
        <w:pStyle w:val="TEXT"/>
        <w:spacing w:before="180" w:after="180" w:line="276" w:lineRule="auto"/>
        <w:ind w:firstLine="0"/>
        <w:rPr>
          <w:rFonts w:asciiTheme="minorHAnsi" w:hAnsiTheme="minorHAnsi" w:cstheme="minorHAnsi"/>
          <w:sz w:val="21"/>
          <w:szCs w:val="21"/>
        </w:rPr>
      </w:pPr>
      <w:r w:rsidRPr="00B82E62">
        <w:rPr>
          <w:rFonts w:asciiTheme="minorHAnsi" w:eastAsia="Times New Roman" w:hAnsiTheme="minorHAnsi" w:cstheme="minorHAnsi"/>
          <w:sz w:val="21"/>
          <w:szCs w:val="21"/>
        </w:rPr>
        <w:t>Celkové náklady na zdravotní služby v roce 2019 překročily částku 312 mld. Kč</w:t>
      </w:r>
      <w:r w:rsidRPr="00B82E62">
        <w:rPr>
          <w:rFonts w:asciiTheme="minorHAnsi" w:hAnsiTheme="minorHAnsi" w:cstheme="minorHAnsi"/>
          <w:sz w:val="21"/>
          <w:szCs w:val="21"/>
        </w:rPr>
        <w:t>. Oproti roku 2018 byly náklady na</w:t>
      </w:r>
      <w:r>
        <w:rPr>
          <w:rFonts w:asciiTheme="minorHAnsi" w:hAnsiTheme="minorHAnsi" w:cstheme="minorHAnsi"/>
          <w:sz w:val="21"/>
          <w:szCs w:val="21"/>
        </w:rPr>
        <w:t> </w:t>
      </w:r>
      <w:r w:rsidRPr="00B82E62">
        <w:rPr>
          <w:rFonts w:asciiTheme="minorHAnsi" w:hAnsiTheme="minorHAnsi" w:cstheme="minorHAnsi"/>
          <w:sz w:val="21"/>
          <w:szCs w:val="21"/>
        </w:rPr>
        <w:t xml:space="preserve">zdravotní </w:t>
      </w:r>
      <w:r>
        <w:rPr>
          <w:rFonts w:asciiTheme="minorHAnsi" w:hAnsiTheme="minorHAnsi" w:cstheme="minorHAnsi"/>
          <w:sz w:val="21"/>
          <w:szCs w:val="21"/>
        </w:rPr>
        <w:t>služby</w:t>
      </w:r>
      <w:r w:rsidRPr="00B82E62">
        <w:rPr>
          <w:rFonts w:asciiTheme="minorHAnsi" w:hAnsiTheme="minorHAnsi" w:cstheme="minorHAnsi"/>
          <w:sz w:val="21"/>
          <w:szCs w:val="21"/>
        </w:rPr>
        <w:t xml:space="preserve"> vyšší o téměř 26 mld. Kč. U všech zdravotních pojišťoven došlo v roce 2019 k navýšení nákladů na zdravotní služby. Celkový nárůst výše nákladů je ovlivněn, ve srovnání s rokem 2018 zejména mechanismy úhrady stanovenými úhradovou vyhláškou, zařazování nových a finančně velmi nákladných léčiv do</w:t>
      </w:r>
      <w:r>
        <w:rPr>
          <w:rFonts w:asciiTheme="minorHAnsi" w:hAnsiTheme="minorHAnsi" w:cstheme="minorHAnsi"/>
          <w:sz w:val="21"/>
          <w:szCs w:val="21"/>
        </w:rPr>
        <w:t> </w:t>
      </w:r>
      <w:r w:rsidRPr="00B82E62">
        <w:rPr>
          <w:rFonts w:asciiTheme="minorHAnsi" w:hAnsiTheme="minorHAnsi" w:cstheme="minorHAnsi"/>
          <w:sz w:val="21"/>
          <w:szCs w:val="21"/>
        </w:rPr>
        <w:t>hrazené péče, zavádění nových vysoce inovativních léčebných postupů, navýšením nákladů u léčivých přípravků hrazených PZS poskytujícím péči na specializovaných pracovištích (</w:t>
      </w:r>
      <w:proofErr w:type="spellStart"/>
      <w:r w:rsidRPr="00B82E62">
        <w:rPr>
          <w:rFonts w:asciiTheme="minorHAnsi" w:hAnsiTheme="minorHAnsi" w:cstheme="minorHAnsi"/>
          <w:sz w:val="21"/>
          <w:szCs w:val="21"/>
        </w:rPr>
        <w:t>centrová</w:t>
      </w:r>
      <w:proofErr w:type="spellEnd"/>
      <w:r w:rsidRPr="00B82E62">
        <w:rPr>
          <w:rFonts w:asciiTheme="minorHAnsi" w:hAnsiTheme="minorHAnsi" w:cstheme="minorHAnsi"/>
          <w:sz w:val="21"/>
          <w:szCs w:val="21"/>
        </w:rPr>
        <w:t xml:space="preserve"> péče) a nákladů na</w:t>
      </w:r>
      <w:r>
        <w:rPr>
          <w:rFonts w:asciiTheme="minorHAnsi" w:hAnsiTheme="minorHAnsi" w:cstheme="minorHAnsi"/>
          <w:sz w:val="21"/>
          <w:szCs w:val="21"/>
        </w:rPr>
        <w:t> </w:t>
      </w:r>
      <w:r w:rsidRPr="00B82E62">
        <w:rPr>
          <w:rFonts w:asciiTheme="minorHAnsi" w:hAnsiTheme="minorHAnsi" w:cstheme="minorHAnsi"/>
          <w:sz w:val="21"/>
          <w:szCs w:val="21"/>
        </w:rPr>
        <w:t xml:space="preserve">rehabilitační a diagnostickou péči a také postupné stárnutí populace. </w:t>
      </w:r>
    </w:p>
    <w:p w:rsidR="001A0BF8" w:rsidRDefault="001A0BF8">
      <w:pPr>
        <w:spacing w:after="200" w:line="276" w:lineRule="auto"/>
        <w:rPr>
          <w:highlight w:val="yellow"/>
        </w:rPr>
      </w:pPr>
      <w:r>
        <w:rPr>
          <w:highlight w:val="yellow"/>
        </w:rPr>
        <w:br w:type="page"/>
      </w:r>
    </w:p>
    <w:p w:rsidR="00436F6E" w:rsidRDefault="00436F6E" w:rsidP="00436F6E">
      <w:pPr>
        <w:pStyle w:val="Nadpis1"/>
      </w:pPr>
      <w:bookmarkStart w:id="1" w:name="_Toc41898946"/>
      <w:r>
        <w:lastRenderedPageBreak/>
        <w:t>Úvod</w:t>
      </w:r>
      <w:bookmarkEnd w:id="1"/>
    </w:p>
    <w:p w:rsidR="00FB53D1" w:rsidRDefault="00FB53D1" w:rsidP="00AD2E56">
      <w:pPr>
        <w:spacing w:before="180" w:line="276" w:lineRule="auto"/>
        <w:jc w:val="both"/>
      </w:pPr>
      <w:r>
        <w:t xml:space="preserve">Na základě účinných právních předpisů byly návrhy výročních zpráv (VZ) a účetní závěrky sedmi zdravotních pojišťoven (ZP) za rok </w:t>
      </w:r>
      <w:r w:rsidRPr="00FB53D1">
        <w:t>2019</w:t>
      </w:r>
      <w:r>
        <w:t xml:space="preserve"> ověřeny auditory, kteří potvrdili správnost a vzájemnou vazbu těchto účetních závěrek a VZ 2019. Návrhy VZ 2019 byly následně schváleny samosprávnými orgány ZP a doručeny v termínu do</w:t>
      </w:r>
      <w:r w:rsidR="00A37BAA">
        <w:t> </w:t>
      </w:r>
      <w:r>
        <w:t xml:space="preserve">30. 4. 2020 k posouzení na Ministerstvo zdravotnictví (MZ) a Ministerstvo financí (MF). Ve všech případech byl dodržen soulad postupů zpracování VZ 2019 s metodikou MZ. </w:t>
      </w:r>
    </w:p>
    <w:p w:rsidR="00FB53D1" w:rsidRDefault="00FB53D1" w:rsidP="00AD2E56">
      <w:pPr>
        <w:spacing w:before="180" w:line="276" w:lineRule="auto"/>
        <w:jc w:val="both"/>
      </w:pPr>
      <w:r>
        <w:t>Formálním ověřením všech dokumentů VZ 2019 nebyly zjištěny žádné zásadní nedostatky. Vládě ČR jsou předkládány všechny ověřené dokumenty VZ 2019 s návrhem na jejich předložení do Poslanecké sněmovny Parlamentu ČR k ukončení schvalovacího procesu.</w:t>
      </w:r>
    </w:p>
    <w:p w:rsidR="00FB53D1" w:rsidRDefault="00FB53D1" w:rsidP="00AD2E56">
      <w:pPr>
        <w:spacing w:before="180" w:line="276" w:lineRule="auto"/>
        <w:jc w:val="both"/>
      </w:pPr>
      <w:r>
        <w:t>Souhrnné hodnocení systému veřejného zdravotního pojištění (v. z. p.) vychází z dat získaných sumarizací údajů z tabulkových příloh jednotlivých VZ 2019 a účetních závěrek za rok 2019. Zobrazuje jak údaje „cash-</w:t>
      </w:r>
      <w:proofErr w:type="spellStart"/>
      <w:r>
        <w:t>flow</w:t>
      </w:r>
      <w:proofErr w:type="spellEnd"/>
      <w:r>
        <w:t xml:space="preserve">“ na principu příjmově výdajovém (hotovostní metodika), tak poskytuje informace o vývoji a stavu </w:t>
      </w:r>
      <w:proofErr w:type="spellStart"/>
      <w:r>
        <w:t>pohledávkových</w:t>
      </w:r>
      <w:proofErr w:type="spellEnd"/>
      <w:r>
        <w:t xml:space="preserve"> a závazkových vztahů jednotlivých fondů spravovaných ZP, nákladů na </w:t>
      </w:r>
      <w:r w:rsidR="00504BFA">
        <w:t>zdravotní služby celkem a podle </w:t>
      </w:r>
      <w:r>
        <w:t xml:space="preserve">jednotlivých segmentů zdravotních služeb i v meziročním srovnání. </w:t>
      </w:r>
    </w:p>
    <w:p w:rsidR="00436F6E" w:rsidRDefault="00436F6E" w:rsidP="00436F6E">
      <w:pPr>
        <w:rPr>
          <w:rFonts w:eastAsia="Times New Roman" w:cs="Arial"/>
          <w:b/>
          <w:sz w:val="28"/>
          <w:szCs w:val="28"/>
          <w:lang w:eastAsia="cs-CZ"/>
        </w:rPr>
      </w:pPr>
      <w:r>
        <w:br w:type="page"/>
      </w:r>
    </w:p>
    <w:p w:rsidR="00436F6E" w:rsidRDefault="00436F6E" w:rsidP="00436F6E">
      <w:pPr>
        <w:pStyle w:val="Nadpis1"/>
      </w:pPr>
      <w:bookmarkStart w:id="2" w:name="_Toc41898947"/>
      <w:r>
        <w:lastRenderedPageBreak/>
        <w:t>Ekonomické hodnocení</w:t>
      </w:r>
      <w:bookmarkEnd w:id="2"/>
    </w:p>
    <w:p w:rsidR="00716E58" w:rsidRPr="008966D6" w:rsidRDefault="00F13C25" w:rsidP="00E450DF">
      <w:pPr>
        <w:jc w:val="both"/>
      </w:pPr>
      <w:r w:rsidRPr="006A5473">
        <w:t>Ministerstvo financí v jím zpracované části komplexně zhodnotilo hospodaření systému v.</w:t>
      </w:r>
      <w:r w:rsidR="005216C4">
        <w:t xml:space="preserve"> </w:t>
      </w:r>
      <w:r w:rsidRPr="006A5473">
        <w:t>z.</w:t>
      </w:r>
      <w:r w:rsidR="005216C4">
        <w:t xml:space="preserve"> </w:t>
      </w:r>
      <w:r w:rsidRPr="006A5473">
        <w:t>p. jako celku i jednotlivých zdravotních pojišťoven</w:t>
      </w:r>
      <w:r w:rsidR="006E0531" w:rsidRPr="006A5473">
        <w:t>, a to z pohledu vývoje příjmů</w:t>
      </w:r>
      <w:r w:rsidR="00D206C9" w:rsidRPr="006A5473">
        <w:t xml:space="preserve">, </w:t>
      </w:r>
      <w:r w:rsidR="00E450DF" w:rsidRPr="006A5473">
        <w:t>výdajů, salda, pohledávek a závazků</w:t>
      </w:r>
      <w:r w:rsidR="00716E58" w:rsidRPr="006A5473">
        <w:t xml:space="preserve"> a </w:t>
      </w:r>
      <w:r w:rsidR="00E450DF" w:rsidRPr="006A5473">
        <w:t>stav</w:t>
      </w:r>
      <w:r w:rsidR="00716E58" w:rsidRPr="006A5473">
        <w:t>ů</w:t>
      </w:r>
      <w:r w:rsidR="00E450DF" w:rsidRPr="006A5473">
        <w:t xml:space="preserve"> peněžních prostředků zdravotních pojišťoven na bankovních účtech</w:t>
      </w:r>
      <w:r w:rsidR="00716E58" w:rsidRPr="006A5473">
        <w:t>.</w:t>
      </w:r>
      <w:r w:rsidR="00E450DF" w:rsidRPr="006A5473">
        <w:t xml:space="preserve"> </w:t>
      </w:r>
      <w:r w:rsidR="00716E58" w:rsidRPr="006A5473">
        <w:t>Poslední částí je pak rozbor pojištěnců systému v. z. p.</w:t>
      </w:r>
      <w:r w:rsidR="00FB53D1">
        <w:t>, hospodaření ZZP v likvidaci</w:t>
      </w:r>
      <w:r w:rsidR="00716E58" w:rsidRPr="006A5473">
        <w:t xml:space="preserve"> a dalších fa</w:t>
      </w:r>
      <w:r w:rsidR="006F2FF7">
        <w:t>ktorů ovlivňujících</w:t>
      </w:r>
      <w:r w:rsidR="00716E58" w:rsidRPr="006A5473">
        <w:t xml:space="preserve"> systém veřejného zdravotního pojištění.</w:t>
      </w:r>
      <w:r w:rsidR="00716E58" w:rsidRPr="00716E58">
        <w:t xml:space="preserve"> </w:t>
      </w:r>
    </w:p>
    <w:p w:rsidR="00436F6E" w:rsidRDefault="00436F6E" w:rsidP="00AC25F3">
      <w:pPr>
        <w:pStyle w:val="Nadpis2"/>
      </w:pPr>
      <w:r>
        <w:t xml:space="preserve"> </w:t>
      </w:r>
      <w:bookmarkStart w:id="3" w:name="_Toc41898948"/>
      <w:r>
        <w:t>Příjmy</w:t>
      </w:r>
      <w:bookmarkEnd w:id="3"/>
    </w:p>
    <w:p w:rsidR="00FB53D1" w:rsidRDefault="00FB53D1" w:rsidP="003D403A">
      <w:pPr>
        <w:spacing w:before="180" w:line="276" w:lineRule="auto"/>
        <w:jc w:val="both"/>
        <w:rPr>
          <w:bCs/>
        </w:rPr>
      </w:pPr>
      <w:r w:rsidRPr="00CD27C2">
        <w:rPr>
          <w:b/>
        </w:rPr>
        <w:t xml:space="preserve">Celkové příjmy systému v. z. p. </w:t>
      </w:r>
      <w:r w:rsidR="003D403A" w:rsidRPr="00CD27C2">
        <w:rPr>
          <w:bCs/>
          <w:i/>
          <w:iCs/>
        </w:rPr>
        <w:t>(Tabulka č. 1)</w:t>
      </w:r>
      <w:r w:rsidR="003D403A" w:rsidRPr="00CD27C2">
        <w:rPr>
          <w:b/>
        </w:rPr>
        <w:t xml:space="preserve"> </w:t>
      </w:r>
      <w:r w:rsidRPr="00CD27C2">
        <w:rPr>
          <w:bCs/>
        </w:rPr>
        <w:t>za rok 201</w:t>
      </w:r>
      <w:r w:rsidR="00390ECB">
        <w:rPr>
          <w:bCs/>
        </w:rPr>
        <w:t>9</w:t>
      </w:r>
      <w:r w:rsidRPr="00CD27C2">
        <w:rPr>
          <w:bCs/>
        </w:rPr>
        <w:t xml:space="preserve"> činily </w:t>
      </w:r>
      <w:r w:rsidR="00390ECB" w:rsidRPr="00390ECB">
        <w:rPr>
          <w:bCs/>
        </w:rPr>
        <w:t>331</w:t>
      </w:r>
      <w:r w:rsidR="00390ECB">
        <w:rPr>
          <w:bCs/>
        </w:rPr>
        <w:t xml:space="preserve">,5 </w:t>
      </w:r>
      <w:r w:rsidRPr="00CD27C2">
        <w:rPr>
          <w:bCs/>
        </w:rPr>
        <w:t>mld. Kč s meziročním nárůstem o </w:t>
      </w:r>
      <w:r w:rsidR="00390ECB">
        <w:rPr>
          <w:bCs/>
        </w:rPr>
        <w:t>7,0</w:t>
      </w:r>
      <w:r w:rsidRPr="00CD27C2">
        <w:rPr>
          <w:bCs/>
        </w:rPr>
        <w:t xml:space="preserve"> % (absolutně o </w:t>
      </w:r>
      <w:r w:rsidR="00390ECB" w:rsidRPr="00390ECB">
        <w:rPr>
          <w:bCs/>
        </w:rPr>
        <w:t>21</w:t>
      </w:r>
      <w:r w:rsidR="00390ECB">
        <w:rPr>
          <w:bCs/>
        </w:rPr>
        <w:t xml:space="preserve">,7 </w:t>
      </w:r>
      <w:r w:rsidRPr="00CD27C2">
        <w:rPr>
          <w:bCs/>
        </w:rPr>
        <w:t>mld. Kč). Oproti očekávání ve ZPP (zdravotně pojistný plán) 201</w:t>
      </w:r>
      <w:r w:rsidR="00390ECB">
        <w:rPr>
          <w:bCs/>
        </w:rPr>
        <w:t>9</w:t>
      </w:r>
      <w:r w:rsidRPr="00CD27C2">
        <w:rPr>
          <w:bCs/>
        </w:rPr>
        <w:t xml:space="preserve"> pak byly vyšší o </w:t>
      </w:r>
      <w:r w:rsidR="00722325">
        <w:rPr>
          <w:bCs/>
        </w:rPr>
        <w:t>2,0</w:t>
      </w:r>
      <w:r w:rsidRPr="00CD27C2">
        <w:rPr>
          <w:bCs/>
        </w:rPr>
        <w:t xml:space="preserve"> % (absolutně o </w:t>
      </w:r>
      <w:r w:rsidR="00722325">
        <w:rPr>
          <w:bCs/>
        </w:rPr>
        <w:t>6,6</w:t>
      </w:r>
      <w:r w:rsidRPr="00CD27C2">
        <w:rPr>
          <w:bCs/>
        </w:rPr>
        <w:t xml:space="preserve"> mld. Kč).</w:t>
      </w:r>
      <w:r w:rsidR="00643671" w:rsidRPr="00CD27C2">
        <w:rPr>
          <w:bCs/>
        </w:rPr>
        <w:t xml:space="preserve"> </w:t>
      </w:r>
      <w:r w:rsidR="00037363" w:rsidRPr="00CD27C2">
        <w:rPr>
          <w:bCs/>
        </w:rPr>
        <w:t>Celkové příjmy lze rozdělit podle řady kritérií (</w:t>
      </w:r>
      <w:r w:rsidR="00037363" w:rsidRPr="00CD27C2">
        <w:rPr>
          <w:bCs/>
          <w:i/>
          <w:iCs/>
        </w:rPr>
        <w:t>Graf č. 1</w:t>
      </w:r>
      <w:r w:rsidR="00037363" w:rsidRPr="00CD27C2">
        <w:rPr>
          <w:bCs/>
        </w:rPr>
        <w:t>).</w:t>
      </w:r>
      <w:r w:rsidR="00037363">
        <w:rPr>
          <w:bCs/>
        </w:rPr>
        <w:t xml:space="preserve"> </w:t>
      </w:r>
    </w:p>
    <w:p w:rsidR="003D403A" w:rsidRDefault="00037363" w:rsidP="003D403A">
      <w:pPr>
        <w:spacing w:before="180" w:line="276" w:lineRule="auto"/>
        <w:jc w:val="both"/>
        <w:rPr>
          <w:bCs/>
        </w:rPr>
      </w:pPr>
      <w:r w:rsidRPr="0003756A">
        <w:rPr>
          <w:bCs/>
        </w:rPr>
        <w:t xml:space="preserve">Z pohledu vazby mezi státním rozpočtem a systémem </w:t>
      </w:r>
      <w:proofErr w:type="spellStart"/>
      <w:r w:rsidRPr="0003756A">
        <w:rPr>
          <w:bCs/>
        </w:rPr>
        <w:t>v.z.p</w:t>
      </w:r>
      <w:proofErr w:type="spellEnd"/>
      <w:r w:rsidRPr="0003756A">
        <w:rPr>
          <w:bCs/>
        </w:rPr>
        <w:t>.</w:t>
      </w:r>
      <w:r>
        <w:rPr>
          <w:bCs/>
        </w:rPr>
        <w:t xml:space="preserve"> </w:t>
      </w:r>
      <w:r w:rsidR="003D403A" w:rsidRPr="003D403A">
        <w:rPr>
          <w:bCs/>
        </w:rPr>
        <w:t>v roce 201</w:t>
      </w:r>
      <w:r w:rsidR="00722325">
        <w:rPr>
          <w:bCs/>
        </w:rPr>
        <w:t>9</w:t>
      </w:r>
      <w:r w:rsidR="003D403A" w:rsidRPr="003D403A">
        <w:rPr>
          <w:bCs/>
        </w:rPr>
        <w:t xml:space="preserve"> došlo ke změně částky vyměřovacího základu pojistného na veřejné zdravotní pojištění u osob, za něž je plátcem pojistného stát. Byla využita možnost </w:t>
      </w:r>
      <w:r w:rsidR="001D1596">
        <w:rPr>
          <w:bCs/>
        </w:rPr>
        <w:t xml:space="preserve">novelizace </w:t>
      </w:r>
      <w:r w:rsidR="001D1596" w:rsidRPr="001D1596">
        <w:rPr>
          <w:bCs/>
        </w:rPr>
        <w:t>zákon</w:t>
      </w:r>
      <w:r w:rsidR="001D1596">
        <w:rPr>
          <w:bCs/>
        </w:rPr>
        <w:t>em</w:t>
      </w:r>
      <w:r w:rsidR="001D1596" w:rsidRPr="001D1596">
        <w:rPr>
          <w:bCs/>
        </w:rPr>
        <w:t xml:space="preserve"> č. 297/2017 Sb., kterým </w:t>
      </w:r>
      <w:r w:rsidR="001D1596">
        <w:rPr>
          <w:bCs/>
        </w:rPr>
        <w:t xml:space="preserve">došlo k úpravě </w:t>
      </w:r>
      <w:r w:rsidR="001D1596" w:rsidRPr="001D1596">
        <w:rPr>
          <w:bCs/>
        </w:rPr>
        <w:t>zákon</w:t>
      </w:r>
      <w:r w:rsidR="001D1596">
        <w:rPr>
          <w:bCs/>
        </w:rPr>
        <w:t>a</w:t>
      </w:r>
      <w:r w:rsidR="001D1596" w:rsidRPr="001D1596">
        <w:rPr>
          <w:bCs/>
        </w:rPr>
        <w:t xml:space="preserve"> č. 592/1992 Sb., o pojistném na veřejné zdravotní pojištění</w:t>
      </w:r>
      <w:r w:rsidR="001D1596">
        <w:rPr>
          <w:bCs/>
        </w:rPr>
        <w:t xml:space="preserve">. </w:t>
      </w:r>
      <w:r w:rsidR="003D403A" w:rsidRPr="00060037">
        <w:rPr>
          <w:bCs/>
        </w:rPr>
        <w:t>Vyměřovací základ se tak od 1. 1. 201</w:t>
      </w:r>
      <w:r w:rsidR="001B1FC2">
        <w:rPr>
          <w:bCs/>
        </w:rPr>
        <w:t>9</w:t>
      </w:r>
      <w:r w:rsidR="003D403A" w:rsidRPr="00060037">
        <w:rPr>
          <w:bCs/>
        </w:rPr>
        <w:t xml:space="preserve"> zvýšil z částky </w:t>
      </w:r>
      <w:r w:rsidR="001B1FC2">
        <w:rPr>
          <w:bCs/>
        </w:rPr>
        <w:t xml:space="preserve">7 177 </w:t>
      </w:r>
      <w:r w:rsidR="003D403A" w:rsidRPr="00060037">
        <w:rPr>
          <w:bCs/>
        </w:rPr>
        <w:t>Kč na 7 </w:t>
      </w:r>
      <w:r w:rsidR="001B1FC2">
        <w:rPr>
          <w:bCs/>
        </w:rPr>
        <w:t>540</w:t>
      </w:r>
      <w:r w:rsidR="001B1FC2" w:rsidRPr="00060037">
        <w:rPr>
          <w:bCs/>
        </w:rPr>
        <w:t xml:space="preserve"> </w:t>
      </w:r>
      <w:r w:rsidR="003D403A" w:rsidRPr="00060037">
        <w:rPr>
          <w:bCs/>
        </w:rPr>
        <w:t>Kč za kalendářní měsíc, a</w:t>
      </w:r>
      <w:r>
        <w:rPr>
          <w:bCs/>
        </w:rPr>
        <w:t> </w:t>
      </w:r>
      <w:r w:rsidR="003D403A" w:rsidRPr="00060037">
        <w:rPr>
          <w:bCs/>
        </w:rPr>
        <w:t>platba státu za osobu a měsíc vzrostla z </w:t>
      </w:r>
      <w:r w:rsidR="001B1FC2" w:rsidRPr="00060037">
        <w:rPr>
          <w:bCs/>
        </w:rPr>
        <w:t>9</w:t>
      </w:r>
      <w:r w:rsidR="001B1FC2">
        <w:rPr>
          <w:bCs/>
        </w:rPr>
        <w:t>69</w:t>
      </w:r>
      <w:r w:rsidR="001B1FC2" w:rsidRPr="00060037">
        <w:rPr>
          <w:bCs/>
        </w:rPr>
        <w:t xml:space="preserve"> </w:t>
      </w:r>
      <w:r w:rsidR="003D403A" w:rsidRPr="00060037">
        <w:rPr>
          <w:bCs/>
        </w:rPr>
        <w:t xml:space="preserve">Kč na </w:t>
      </w:r>
      <w:r w:rsidR="001B1FC2">
        <w:rPr>
          <w:bCs/>
        </w:rPr>
        <w:t>1 018</w:t>
      </w:r>
      <w:r w:rsidR="001B1FC2" w:rsidRPr="00060037">
        <w:rPr>
          <w:bCs/>
        </w:rPr>
        <w:t xml:space="preserve"> </w:t>
      </w:r>
      <w:r w:rsidR="003D403A" w:rsidRPr="00060037">
        <w:rPr>
          <w:bCs/>
        </w:rPr>
        <w:t>Kč. Částka </w:t>
      </w:r>
      <w:r w:rsidR="001B1FC2">
        <w:rPr>
          <w:bCs/>
        </w:rPr>
        <w:t>1 018</w:t>
      </w:r>
      <w:r w:rsidR="001B1FC2" w:rsidRPr="00060037">
        <w:rPr>
          <w:bCs/>
        </w:rPr>
        <w:t xml:space="preserve"> </w:t>
      </w:r>
      <w:r w:rsidR="003D403A" w:rsidRPr="00060037">
        <w:rPr>
          <w:bCs/>
        </w:rPr>
        <w:t>Kč nebyla v průběhu roku změněna.</w:t>
      </w:r>
    </w:p>
    <w:p w:rsidR="003D403A" w:rsidRPr="003D403A" w:rsidRDefault="003D403A" w:rsidP="00B3234B">
      <w:pPr>
        <w:pStyle w:val="Titulek"/>
        <w:jc w:val="both"/>
      </w:pPr>
      <w:bookmarkStart w:id="4" w:name="_Toc41837493"/>
      <w:r w:rsidRPr="00C75FC6">
        <w:t xml:space="preserve">Tabulka č. </w:t>
      </w:r>
      <w:r>
        <w:rPr>
          <w:noProof/>
        </w:rPr>
        <w:fldChar w:fldCharType="begin"/>
      </w:r>
      <w:r>
        <w:rPr>
          <w:noProof/>
        </w:rPr>
        <w:instrText xml:space="preserve"> SEQ Tabulka \* ARABIC </w:instrText>
      </w:r>
      <w:r>
        <w:rPr>
          <w:noProof/>
        </w:rPr>
        <w:fldChar w:fldCharType="separate"/>
      </w:r>
      <w:r w:rsidR="00B17299">
        <w:rPr>
          <w:noProof/>
        </w:rPr>
        <w:t>1</w:t>
      </w:r>
      <w:r>
        <w:rPr>
          <w:noProof/>
        </w:rPr>
        <w:fldChar w:fldCharType="end"/>
      </w:r>
      <w:r w:rsidRPr="00C75FC6">
        <w:t xml:space="preserve">: </w:t>
      </w:r>
      <w:r w:rsidRPr="003D403A">
        <w:t>Příjmy systému v. z. p. za rok 201</w:t>
      </w:r>
      <w:r w:rsidR="00F51076">
        <w:t>9</w:t>
      </w:r>
      <w:bookmarkEnd w:id="4"/>
    </w:p>
    <w:tbl>
      <w:tblPr>
        <w:tblW w:w="0" w:type="auto"/>
        <w:tblInd w:w="55" w:type="dxa"/>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3181"/>
        <w:gridCol w:w="1021"/>
      </w:tblGrid>
      <w:tr w:rsidR="003D403A" w:rsidTr="0033515F">
        <w:trPr>
          <w:trHeight w:val="601"/>
        </w:trPr>
        <w:tc>
          <w:tcPr>
            <w:tcW w:w="3181" w:type="dxa"/>
            <w:tcBorders>
              <w:top w:val="single" w:sz="12" w:space="0" w:color="4F81BD"/>
              <w:left w:val="single" w:sz="12" w:space="0" w:color="4F81BD"/>
              <w:bottom w:val="nil"/>
              <w:right w:val="nil"/>
            </w:tcBorders>
            <w:shd w:val="clear" w:color="auto" w:fill="4F81BD"/>
            <w:noWrap/>
            <w:hideMark/>
          </w:tcPr>
          <w:p w:rsidR="003D403A" w:rsidRDefault="003D403A" w:rsidP="00C3621B">
            <w:pPr>
              <w:spacing w:after="0" w:line="240" w:lineRule="auto"/>
              <w:rPr>
                <w:rFonts w:eastAsia="Times New Roman" w:cs="Arial"/>
                <w:b/>
                <w:color w:val="FFFFFF"/>
                <w:szCs w:val="21"/>
                <w:lang w:eastAsia="cs-CZ"/>
              </w:rPr>
            </w:pPr>
            <w:r>
              <w:rPr>
                <w:rFonts w:eastAsia="Times New Roman" w:cs="Arial"/>
                <w:b/>
                <w:color w:val="FFFFFF"/>
                <w:szCs w:val="21"/>
                <w:lang w:eastAsia="cs-CZ"/>
              </w:rPr>
              <w:t>Ukazatel</w:t>
            </w:r>
            <w:r>
              <w:rPr>
                <w:rFonts w:eastAsia="Times New Roman" w:cs="Arial"/>
                <w:b/>
                <w:color w:val="FFFFFF"/>
                <w:szCs w:val="21"/>
                <w:lang w:eastAsia="cs-CZ"/>
              </w:rPr>
              <w:br/>
            </w:r>
            <w:r>
              <w:rPr>
                <w:rFonts w:eastAsia="Times New Roman" w:cs="Arial"/>
                <w:color w:val="FFFFFF"/>
                <w:szCs w:val="21"/>
                <w:lang w:eastAsia="cs-CZ"/>
              </w:rPr>
              <w:t>(v mld. Kč)</w:t>
            </w:r>
          </w:p>
        </w:tc>
        <w:tc>
          <w:tcPr>
            <w:tcW w:w="1021" w:type="dxa"/>
            <w:tcBorders>
              <w:top w:val="single" w:sz="12" w:space="0" w:color="4F81BD"/>
              <w:left w:val="nil"/>
              <w:bottom w:val="nil"/>
              <w:right w:val="single" w:sz="12" w:space="0" w:color="4F81BD"/>
            </w:tcBorders>
            <w:shd w:val="clear" w:color="auto" w:fill="6691C6"/>
            <w:noWrap/>
            <w:vAlign w:val="center"/>
            <w:hideMark/>
          </w:tcPr>
          <w:p w:rsidR="003D403A" w:rsidRDefault="003D403A" w:rsidP="00C3621B">
            <w:pPr>
              <w:spacing w:after="0" w:line="240" w:lineRule="auto"/>
              <w:jc w:val="center"/>
              <w:rPr>
                <w:rFonts w:eastAsia="Times New Roman" w:cs="Arial"/>
                <w:b/>
                <w:color w:val="FFFFFF"/>
                <w:szCs w:val="21"/>
                <w:lang w:eastAsia="cs-CZ"/>
              </w:rPr>
            </w:pPr>
            <w:r>
              <w:rPr>
                <w:rFonts w:eastAsia="Times New Roman" w:cs="Arial"/>
                <w:b/>
                <w:color w:val="FFFFFF"/>
                <w:szCs w:val="21"/>
                <w:lang w:eastAsia="cs-CZ"/>
              </w:rPr>
              <w:t>201</w:t>
            </w:r>
            <w:r w:rsidR="00F51076">
              <w:rPr>
                <w:rFonts w:eastAsia="Times New Roman" w:cs="Arial"/>
                <w:b/>
                <w:color w:val="FFFFFF"/>
                <w:szCs w:val="21"/>
                <w:lang w:eastAsia="cs-CZ"/>
              </w:rPr>
              <w:t>9</w:t>
            </w:r>
          </w:p>
        </w:tc>
      </w:tr>
      <w:tr w:rsidR="003D403A" w:rsidTr="00C3621B">
        <w:trPr>
          <w:trHeight w:val="301"/>
        </w:trPr>
        <w:tc>
          <w:tcPr>
            <w:tcW w:w="3181" w:type="dxa"/>
            <w:tcBorders>
              <w:top w:val="nil"/>
              <w:left w:val="single" w:sz="12" w:space="0" w:color="4F81BD"/>
              <w:bottom w:val="nil"/>
              <w:right w:val="nil"/>
            </w:tcBorders>
            <w:noWrap/>
            <w:vAlign w:val="bottom"/>
            <w:hideMark/>
          </w:tcPr>
          <w:p w:rsidR="003D403A" w:rsidRPr="000E6678" w:rsidRDefault="003D403A" w:rsidP="00C3621B">
            <w:pPr>
              <w:spacing w:after="0" w:line="240" w:lineRule="auto"/>
              <w:rPr>
                <w:rFonts w:eastAsia="Times New Roman" w:cs="Arial"/>
                <w:bCs/>
                <w:szCs w:val="21"/>
                <w:lang w:eastAsia="cs-CZ"/>
              </w:rPr>
            </w:pPr>
            <w:r w:rsidRPr="000E6678">
              <w:rPr>
                <w:rFonts w:eastAsia="Times New Roman" w:cs="Arial"/>
                <w:bCs/>
                <w:szCs w:val="21"/>
                <w:lang w:eastAsia="cs-CZ"/>
              </w:rPr>
              <w:t xml:space="preserve">Příjmy z vlastního výběru </w:t>
            </w:r>
          </w:p>
        </w:tc>
        <w:tc>
          <w:tcPr>
            <w:tcW w:w="1021" w:type="dxa"/>
            <w:tcBorders>
              <w:top w:val="nil"/>
              <w:left w:val="nil"/>
              <w:bottom w:val="nil"/>
              <w:right w:val="single" w:sz="12" w:space="0" w:color="4F81BD"/>
            </w:tcBorders>
            <w:shd w:val="clear" w:color="auto" w:fill="DBE5F1"/>
            <w:noWrap/>
            <w:vAlign w:val="center"/>
            <w:hideMark/>
          </w:tcPr>
          <w:p w:rsidR="003D403A" w:rsidRPr="005459C8" w:rsidRDefault="00F51076" w:rsidP="00F51076">
            <w:pPr>
              <w:spacing w:after="0" w:line="240" w:lineRule="auto"/>
              <w:jc w:val="right"/>
              <w:rPr>
                <w:rFonts w:eastAsia="Times New Roman" w:cs="Arial"/>
                <w:bCs/>
                <w:szCs w:val="21"/>
                <w:lang w:eastAsia="cs-CZ"/>
              </w:rPr>
            </w:pPr>
            <w:r>
              <w:rPr>
                <w:rFonts w:ascii="Calibri" w:hAnsi="Calibri" w:cs="Times New Roman"/>
                <w:szCs w:val="21"/>
              </w:rPr>
              <w:t>255,</w:t>
            </w:r>
            <w:r w:rsidRPr="00F51076">
              <w:rPr>
                <w:rFonts w:ascii="Calibri" w:hAnsi="Calibri" w:cs="Times New Roman"/>
                <w:szCs w:val="21"/>
              </w:rPr>
              <w:t>7</w:t>
            </w:r>
            <w:r>
              <w:rPr>
                <w:rFonts w:ascii="Calibri" w:hAnsi="Calibri" w:cs="Times New Roman"/>
                <w:szCs w:val="21"/>
              </w:rPr>
              <w:t>1</w:t>
            </w:r>
          </w:p>
        </w:tc>
      </w:tr>
      <w:tr w:rsidR="003D403A" w:rsidTr="00C3621B">
        <w:trPr>
          <w:trHeight w:val="301"/>
        </w:trPr>
        <w:tc>
          <w:tcPr>
            <w:tcW w:w="3181" w:type="dxa"/>
            <w:tcBorders>
              <w:top w:val="nil"/>
              <w:left w:val="single" w:sz="12" w:space="0" w:color="4F81BD"/>
              <w:bottom w:val="nil"/>
              <w:right w:val="nil"/>
            </w:tcBorders>
            <w:shd w:val="clear" w:color="auto" w:fill="EEF3F8"/>
            <w:noWrap/>
            <w:vAlign w:val="bottom"/>
            <w:hideMark/>
          </w:tcPr>
          <w:p w:rsidR="003D403A" w:rsidRPr="000E6678" w:rsidRDefault="003D403A" w:rsidP="00C3621B">
            <w:pPr>
              <w:spacing w:after="0" w:line="240" w:lineRule="auto"/>
              <w:rPr>
                <w:rFonts w:eastAsia="Times New Roman" w:cs="Arial"/>
                <w:bCs/>
                <w:szCs w:val="21"/>
                <w:lang w:eastAsia="cs-CZ"/>
              </w:rPr>
            </w:pPr>
            <w:r w:rsidRPr="000E6678">
              <w:rPr>
                <w:rFonts w:eastAsia="Times New Roman" w:cs="Arial"/>
                <w:bCs/>
                <w:szCs w:val="21"/>
                <w:lang w:eastAsia="cs-CZ"/>
              </w:rPr>
              <w:t xml:space="preserve">Příjmy ze státního rozpočtu </w:t>
            </w:r>
          </w:p>
        </w:tc>
        <w:tc>
          <w:tcPr>
            <w:tcW w:w="1021" w:type="dxa"/>
            <w:tcBorders>
              <w:top w:val="nil"/>
              <w:left w:val="nil"/>
              <w:bottom w:val="nil"/>
              <w:right w:val="single" w:sz="12" w:space="0" w:color="4F81BD"/>
            </w:tcBorders>
            <w:shd w:val="clear" w:color="auto" w:fill="EEF3F8"/>
            <w:noWrap/>
            <w:vAlign w:val="center"/>
            <w:hideMark/>
          </w:tcPr>
          <w:p w:rsidR="003D403A" w:rsidRPr="006D791B" w:rsidRDefault="00F51076" w:rsidP="00C3621B">
            <w:pPr>
              <w:spacing w:after="0" w:line="240" w:lineRule="auto"/>
              <w:jc w:val="right"/>
              <w:rPr>
                <w:rFonts w:eastAsia="Times New Roman" w:cs="Arial"/>
                <w:bCs/>
                <w:szCs w:val="21"/>
                <w:lang w:eastAsia="cs-CZ"/>
              </w:rPr>
            </w:pPr>
            <w:r>
              <w:rPr>
                <w:rFonts w:ascii="Calibri" w:hAnsi="Calibri" w:cs="Times New Roman"/>
                <w:szCs w:val="21"/>
              </w:rPr>
              <w:t>71,</w:t>
            </w:r>
            <w:r w:rsidRPr="00F51076">
              <w:rPr>
                <w:rFonts w:ascii="Calibri" w:hAnsi="Calibri" w:cs="Times New Roman"/>
                <w:szCs w:val="21"/>
              </w:rPr>
              <w:t>8</w:t>
            </w:r>
            <w:r>
              <w:rPr>
                <w:rFonts w:ascii="Calibri" w:hAnsi="Calibri" w:cs="Times New Roman"/>
                <w:szCs w:val="21"/>
              </w:rPr>
              <w:t>5</w:t>
            </w:r>
          </w:p>
        </w:tc>
      </w:tr>
      <w:tr w:rsidR="003D403A" w:rsidTr="00C3621B">
        <w:trPr>
          <w:trHeight w:val="301"/>
        </w:trPr>
        <w:tc>
          <w:tcPr>
            <w:tcW w:w="3181" w:type="dxa"/>
            <w:tcBorders>
              <w:top w:val="nil"/>
              <w:left w:val="single" w:sz="12" w:space="0" w:color="4F81BD"/>
              <w:bottom w:val="nil"/>
              <w:right w:val="nil"/>
            </w:tcBorders>
            <w:noWrap/>
            <w:vAlign w:val="bottom"/>
            <w:hideMark/>
          </w:tcPr>
          <w:p w:rsidR="003D403A" w:rsidRPr="000E6678" w:rsidRDefault="003D403A" w:rsidP="00C3621B">
            <w:pPr>
              <w:spacing w:after="0" w:line="240" w:lineRule="auto"/>
              <w:rPr>
                <w:rFonts w:eastAsia="Times New Roman" w:cs="Arial"/>
                <w:bCs/>
                <w:szCs w:val="21"/>
                <w:lang w:eastAsia="cs-CZ"/>
              </w:rPr>
            </w:pPr>
            <w:r w:rsidRPr="000E6678">
              <w:rPr>
                <w:rFonts w:eastAsia="Times New Roman" w:cs="Arial"/>
                <w:bCs/>
                <w:szCs w:val="21"/>
                <w:lang w:eastAsia="cs-CZ"/>
              </w:rPr>
              <w:t xml:space="preserve">Ostatní příjmy systému v. z. p. </w:t>
            </w:r>
          </w:p>
        </w:tc>
        <w:tc>
          <w:tcPr>
            <w:tcW w:w="1021" w:type="dxa"/>
            <w:tcBorders>
              <w:top w:val="nil"/>
              <w:left w:val="nil"/>
              <w:bottom w:val="nil"/>
              <w:right w:val="single" w:sz="12" w:space="0" w:color="4F81BD"/>
            </w:tcBorders>
            <w:shd w:val="clear" w:color="auto" w:fill="DBE5F1"/>
            <w:noWrap/>
            <w:vAlign w:val="center"/>
            <w:hideMark/>
          </w:tcPr>
          <w:p w:rsidR="003D403A" w:rsidRPr="006D791B" w:rsidRDefault="00F51076" w:rsidP="00C3621B">
            <w:pPr>
              <w:spacing w:after="0" w:line="240" w:lineRule="auto"/>
              <w:jc w:val="right"/>
              <w:rPr>
                <w:rFonts w:eastAsia="Times New Roman" w:cs="Arial"/>
                <w:bCs/>
                <w:szCs w:val="21"/>
                <w:lang w:eastAsia="cs-CZ"/>
              </w:rPr>
            </w:pPr>
            <w:r>
              <w:rPr>
                <w:rFonts w:ascii="Calibri" w:hAnsi="Calibri" w:cs="Times New Roman"/>
                <w:szCs w:val="21"/>
              </w:rPr>
              <w:t>2,44</w:t>
            </w:r>
          </w:p>
        </w:tc>
      </w:tr>
      <w:tr w:rsidR="003D403A" w:rsidTr="00C3621B">
        <w:trPr>
          <w:trHeight w:val="301"/>
        </w:trPr>
        <w:tc>
          <w:tcPr>
            <w:tcW w:w="3181" w:type="dxa"/>
            <w:tcBorders>
              <w:top w:val="nil"/>
              <w:left w:val="single" w:sz="12" w:space="0" w:color="4F81BD"/>
              <w:bottom w:val="nil"/>
              <w:right w:val="nil"/>
            </w:tcBorders>
            <w:shd w:val="clear" w:color="auto" w:fill="EEF3F8"/>
            <w:noWrap/>
            <w:vAlign w:val="bottom"/>
            <w:hideMark/>
          </w:tcPr>
          <w:p w:rsidR="003D403A" w:rsidRPr="000E6678" w:rsidRDefault="003D403A" w:rsidP="00C3621B">
            <w:pPr>
              <w:spacing w:after="0" w:line="240" w:lineRule="auto"/>
              <w:rPr>
                <w:rFonts w:eastAsia="Times New Roman" w:cs="Arial"/>
                <w:bCs/>
                <w:szCs w:val="21"/>
                <w:lang w:eastAsia="cs-CZ"/>
              </w:rPr>
            </w:pPr>
            <w:r w:rsidRPr="000E6678">
              <w:rPr>
                <w:rFonts w:eastAsia="Times New Roman" w:cs="Arial"/>
                <w:bCs/>
                <w:szCs w:val="21"/>
                <w:lang w:eastAsia="cs-CZ"/>
              </w:rPr>
              <w:t>Příjmy od zahraničních pojišťoven</w:t>
            </w:r>
          </w:p>
        </w:tc>
        <w:tc>
          <w:tcPr>
            <w:tcW w:w="1021" w:type="dxa"/>
            <w:tcBorders>
              <w:top w:val="nil"/>
              <w:left w:val="nil"/>
              <w:bottom w:val="nil"/>
              <w:right w:val="single" w:sz="12" w:space="0" w:color="4F81BD"/>
            </w:tcBorders>
            <w:shd w:val="clear" w:color="auto" w:fill="EEF3F8"/>
            <w:noWrap/>
            <w:vAlign w:val="center"/>
            <w:hideMark/>
          </w:tcPr>
          <w:p w:rsidR="003D403A" w:rsidRPr="006D791B" w:rsidRDefault="00F51076" w:rsidP="00C3621B">
            <w:pPr>
              <w:spacing w:after="0" w:line="240" w:lineRule="auto"/>
              <w:jc w:val="right"/>
              <w:rPr>
                <w:rFonts w:eastAsia="Times New Roman" w:cs="Arial"/>
                <w:bCs/>
                <w:szCs w:val="21"/>
                <w:lang w:eastAsia="cs-CZ"/>
              </w:rPr>
            </w:pPr>
            <w:r>
              <w:rPr>
                <w:rFonts w:ascii="Calibri" w:hAnsi="Calibri" w:cs="Times New Roman"/>
                <w:szCs w:val="21"/>
              </w:rPr>
              <w:t>1,</w:t>
            </w:r>
            <w:r w:rsidRPr="00F51076">
              <w:rPr>
                <w:rFonts w:ascii="Calibri" w:hAnsi="Calibri" w:cs="Times New Roman"/>
                <w:szCs w:val="21"/>
              </w:rPr>
              <w:t>39</w:t>
            </w:r>
          </w:p>
        </w:tc>
      </w:tr>
      <w:tr w:rsidR="003D403A" w:rsidTr="00C3621B">
        <w:trPr>
          <w:trHeight w:val="301"/>
        </w:trPr>
        <w:tc>
          <w:tcPr>
            <w:tcW w:w="3181" w:type="dxa"/>
            <w:tcBorders>
              <w:top w:val="nil"/>
              <w:left w:val="single" w:sz="12" w:space="0" w:color="4F81BD"/>
              <w:bottom w:val="nil"/>
              <w:right w:val="nil"/>
            </w:tcBorders>
            <w:noWrap/>
            <w:vAlign w:val="bottom"/>
            <w:hideMark/>
          </w:tcPr>
          <w:p w:rsidR="003D403A" w:rsidRPr="000E6678" w:rsidRDefault="003126A2" w:rsidP="00C3621B">
            <w:pPr>
              <w:spacing w:after="0" w:line="240" w:lineRule="auto"/>
              <w:rPr>
                <w:rFonts w:eastAsia="Times New Roman" w:cs="Arial"/>
                <w:bCs/>
                <w:szCs w:val="21"/>
                <w:lang w:eastAsia="cs-CZ"/>
              </w:rPr>
            </w:pPr>
            <w:r>
              <w:rPr>
                <w:rFonts w:eastAsia="Times New Roman" w:cs="Arial"/>
                <w:bCs/>
                <w:szCs w:val="21"/>
                <w:lang w:eastAsia="cs-CZ"/>
              </w:rPr>
              <w:t>Výnosy</w:t>
            </w:r>
            <w:r w:rsidRPr="000E6678">
              <w:rPr>
                <w:rFonts w:eastAsia="Times New Roman" w:cs="Arial"/>
                <w:bCs/>
                <w:szCs w:val="21"/>
                <w:lang w:eastAsia="cs-CZ"/>
              </w:rPr>
              <w:t xml:space="preserve"> </w:t>
            </w:r>
            <w:r w:rsidR="003D403A" w:rsidRPr="000E6678">
              <w:rPr>
                <w:rFonts w:eastAsia="Times New Roman" w:cs="Arial"/>
                <w:bCs/>
                <w:szCs w:val="21"/>
                <w:lang w:eastAsia="cs-CZ"/>
              </w:rPr>
              <w:t>z jiných činností</w:t>
            </w:r>
          </w:p>
        </w:tc>
        <w:tc>
          <w:tcPr>
            <w:tcW w:w="1021" w:type="dxa"/>
            <w:tcBorders>
              <w:top w:val="nil"/>
              <w:left w:val="nil"/>
              <w:bottom w:val="nil"/>
              <w:right w:val="single" w:sz="12" w:space="0" w:color="4F81BD"/>
            </w:tcBorders>
            <w:shd w:val="clear" w:color="auto" w:fill="DBE5F1"/>
            <w:noWrap/>
            <w:vAlign w:val="center"/>
            <w:hideMark/>
          </w:tcPr>
          <w:p w:rsidR="003D403A" w:rsidRPr="006D791B" w:rsidRDefault="003D403A" w:rsidP="00C3621B">
            <w:pPr>
              <w:spacing w:after="0" w:line="240" w:lineRule="auto"/>
              <w:jc w:val="right"/>
              <w:rPr>
                <w:rFonts w:eastAsia="Times New Roman" w:cs="Arial"/>
                <w:bCs/>
                <w:szCs w:val="21"/>
                <w:lang w:eastAsia="cs-CZ"/>
              </w:rPr>
            </w:pPr>
            <w:r w:rsidRPr="00CC4B11">
              <w:rPr>
                <w:rFonts w:ascii="Calibri" w:hAnsi="Calibri" w:cs="Times New Roman"/>
                <w:szCs w:val="21"/>
              </w:rPr>
              <w:t>0,0</w:t>
            </w:r>
            <w:r w:rsidR="00F51076">
              <w:rPr>
                <w:rFonts w:ascii="Calibri" w:hAnsi="Calibri" w:cs="Times New Roman"/>
                <w:szCs w:val="21"/>
              </w:rPr>
              <w:t>8</w:t>
            </w:r>
          </w:p>
        </w:tc>
      </w:tr>
      <w:tr w:rsidR="003D403A" w:rsidTr="00C3621B">
        <w:trPr>
          <w:trHeight w:val="301"/>
        </w:trPr>
        <w:tc>
          <w:tcPr>
            <w:tcW w:w="3181" w:type="dxa"/>
            <w:tcBorders>
              <w:top w:val="nil"/>
              <w:left w:val="single" w:sz="12" w:space="0" w:color="4F81BD"/>
              <w:bottom w:val="single" w:sz="12" w:space="0" w:color="4F81BD"/>
              <w:right w:val="nil"/>
            </w:tcBorders>
            <w:shd w:val="clear" w:color="auto" w:fill="EEF3F8"/>
            <w:noWrap/>
            <w:vAlign w:val="bottom"/>
            <w:hideMark/>
          </w:tcPr>
          <w:p w:rsidR="003D403A" w:rsidRDefault="003D403A" w:rsidP="00C3621B">
            <w:pPr>
              <w:spacing w:after="0" w:line="240" w:lineRule="auto"/>
              <w:rPr>
                <w:rFonts w:eastAsia="Times New Roman" w:cs="Arial"/>
                <w:b/>
                <w:bCs/>
                <w:szCs w:val="21"/>
                <w:lang w:eastAsia="cs-CZ"/>
              </w:rPr>
            </w:pPr>
            <w:r>
              <w:rPr>
                <w:rFonts w:eastAsia="Times New Roman" w:cs="Arial"/>
                <w:b/>
                <w:bCs/>
                <w:szCs w:val="21"/>
                <w:lang w:eastAsia="cs-CZ"/>
              </w:rPr>
              <w:t xml:space="preserve">Celkové příjmy systému v. z. p. </w:t>
            </w:r>
          </w:p>
        </w:tc>
        <w:tc>
          <w:tcPr>
            <w:tcW w:w="1021" w:type="dxa"/>
            <w:tcBorders>
              <w:top w:val="nil"/>
              <w:left w:val="nil"/>
              <w:bottom w:val="single" w:sz="12" w:space="0" w:color="4F81BD"/>
              <w:right w:val="single" w:sz="12" w:space="0" w:color="4F81BD"/>
            </w:tcBorders>
            <w:shd w:val="clear" w:color="auto" w:fill="EEF3F8"/>
            <w:noWrap/>
            <w:vAlign w:val="center"/>
            <w:hideMark/>
          </w:tcPr>
          <w:p w:rsidR="003D403A" w:rsidRPr="005459C8" w:rsidRDefault="00FC0D17" w:rsidP="00C3621B">
            <w:pPr>
              <w:spacing w:after="0" w:line="240" w:lineRule="auto"/>
              <w:jc w:val="right"/>
              <w:rPr>
                <w:rFonts w:eastAsia="Times New Roman" w:cs="Arial"/>
                <w:b/>
                <w:bCs/>
                <w:szCs w:val="21"/>
                <w:lang w:eastAsia="cs-CZ"/>
              </w:rPr>
            </w:pPr>
            <w:r>
              <w:rPr>
                <w:rFonts w:ascii="Calibri" w:hAnsi="Calibri" w:cs="Times New Roman"/>
                <w:b/>
                <w:bCs/>
                <w:szCs w:val="21"/>
              </w:rPr>
              <w:t>331,</w:t>
            </w:r>
            <w:r w:rsidR="00F51076" w:rsidRPr="00F51076">
              <w:rPr>
                <w:rFonts w:ascii="Calibri" w:hAnsi="Calibri" w:cs="Times New Roman"/>
                <w:b/>
                <w:bCs/>
                <w:szCs w:val="21"/>
              </w:rPr>
              <w:t>46</w:t>
            </w:r>
          </w:p>
        </w:tc>
      </w:tr>
    </w:tbl>
    <w:p w:rsidR="00FB53D1" w:rsidRPr="00037363" w:rsidRDefault="00FB53D1" w:rsidP="00B3234B">
      <w:pPr>
        <w:spacing w:before="180" w:line="276" w:lineRule="auto"/>
        <w:jc w:val="both"/>
        <w:rPr>
          <w:bCs/>
        </w:rPr>
      </w:pPr>
      <w:r w:rsidRPr="003D403A">
        <w:rPr>
          <w:b/>
        </w:rPr>
        <w:t>Příjmy z vlastního výběru</w:t>
      </w:r>
      <w:r w:rsidRPr="00B3234B">
        <w:rPr>
          <w:b/>
        </w:rPr>
        <w:t xml:space="preserve"> pojistného</w:t>
      </w:r>
      <w:r w:rsidRPr="003D403A">
        <w:rPr>
          <w:bCs/>
        </w:rPr>
        <w:t xml:space="preserve">, tj. vybrané pojistné od všech skupin plátců, zaměstnavatelů, osob samostatně výdělečně činných (OSVČ) a osob bez zdanitelných příjmů (OBZP) dosáhly hodnoty </w:t>
      </w:r>
      <w:r w:rsidR="003E2B6A">
        <w:rPr>
          <w:b/>
        </w:rPr>
        <w:t xml:space="preserve">255,7 </w:t>
      </w:r>
      <w:r w:rsidRPr="00EC4F65">
        <w:rPr>
          <w:b/>
        </w:rPr>
        <w:t>mld. Kč</w:t>
      </w:r>
      <w:r w:rsidRPr="003D403A">
        <w:rPr>
          <w:bCs/>
        </w:rPr>
        <w:t xml:space="preserve"> (meziroční nárůst o </w:t>
      </w:r>
      <w:r w:rsidR="003E2B6A" w:rsidRPr="003E2B6A">
        <w:rPr>
          <w:bCs/>
        </w:rPr>
        <w:t xml:space="preserve">7,5 </w:t>
      </w:r>
      <w:r w:rsidR="003E2B6A">
        <w:rPr>
          <w:bCs/>
        </w:rPr>
        <w:t xml:space="preserve">% </w:t>
      </w:r>
      <w:r w:rsidRPr="003D403A">
        <w:rPr>
          <w:bCs/>
        </w:rPr>
        <w:t>a ve srovnání se ZPP pak o</w:t>
      </w:r>
      <w:r w:rsidR="003E2B6A">
        <w:rPr>
          <w:bCs/>
        </w:rPr>
        <w:t xml:space="preserve"> 2,0 </w:t>
      </w:r>
      <w:r w:rsidRPr="00643671">
        <w:rPr>
          <w:bCs/>
        </w:rPr>
        <w:t>%). Růst ekonomiky</w:t>
      </w:r>
      <w:r w:rsidR="006D4B93">
        <w:rPr>
          <w:bCs/>
        </w:rPr>
        <w:t xml:space="preserve"> a</w:t>
      </w:r>
      <w:r w:rsidR="00DD4E26">
        <w:rPr>
          <w:bCs/>
        </w:rPr>
        <w:t>,</w:t>
      </w:r>
      <w:r w:rsidRPr="00643671">
        <w:rPr>
          <w:bCs/>
        </w:rPr>
        <w:t xml:space="preserve"> opatření proti</w:t>
      </w:r>
      <w:r w:rsidR="0034719B">
        <w:rPr>
          <w:bCs/>
        </w:rPr>
        <w:t> </w:t>
      </w:r>
      <w:r w:rsidRPr="00643671">
        <w:rPr>
          <w:bCs/>
        </w:rPr>
        <w:t>daňovým únikům tak do systému v. z. p</w:t>
      </w:r>
      <w:r w:rsidRPr="00037363">
        <w:rPr>
          <w:bCs/>
        </w:rPr>
        <w:t xml:space="preserve">. přinesly v meziročním porovnání cca </w:t>
      </w:r>
      <w:r w:rsidR="003E2B6A">
        <w:rPr>
          <w:bCs/>
        </w:rPr>
        <w:t>17,9</w:t>
      </w:r>
      <w:r w:rsidRPr="00037363">
        <w:rPr>
          <w:bCs/>
        </w:rPr>
        <w:t xml:space="preserve"> mld. Kč navíc. S výběrem</w:t>
      </w:r>
      <w:r w:rsidR="0034719B">
        <w:rPr>
          <w:bCs/>
        </w:rPr>
        <w:t> </w:t>
      </w:r>
      <w:r w:rsidRPr="00037363">
        <w:rPr>
          <w:bCs/>
        </w:rPr>
        <w:t>souvisí i penále, pokuty a přirážky k pojistnému.</w:t>
      </w:r>
    </w:p>
    <w:p w:rsidR="00FB53D1" w:rsidRPr="00B3234B" w:rsidRDefault="00FB53D1" w:rsidP="00B3234B">
      <w:pPr>
        <w:spacing w:before="180" w:line="276" w:lineRule="auto"/>
        <w:jc w:val="both"/>
        <w:rPr>
          <w:bCs/>
        </w:rPr>
      </w:pPr>
      <w:r w:rsidRPr="00037363">
        <w:rPr>
          <w:b/>
        </w:rPr>
        <w:t>Příjmy ze státního rozpočtu</w:t>
      </w:r>
      <w:r w:rsidRPr="00B3234B">
        <w:rPr>
          <w:b/>
        </w:rPr>
        <w:t xml:space="preserve"> za osoby, za které je plátcem pojistného stát</w:t>
      </w:r>
      <w:r w:rsidRPr="003D403A">
        <w:rPr>
          <w:bCs/>
        </w:rPr>
        <w:t xml:space="preserve"> (dále „platba státu“), které spolu s výběrem pojistného podléhají stoprocentnímu přerozdělování, </w:t>
      </w:r>
      <w:r w:rsidR="003E2B6A" w:rsidRPr="003D403A">
        <w:rPr>
          <w:bCs/>
        </w:rPr>
        <w:t>tvoř</w:t>
      </w:r>
      <w:r w:rsidR="003E2B6A">
        <w:rPr>
          <w:bCs/>
        </w:rPr>
        <w:t>ilo</w:t>
      </w:r>
      <w:r w:rsidR="003E2B6A" w:rsidRPr="003D403A">
        <w:rPr>
          <w:bCs/>
        </w:rPr>
        <w:t xml:space="preserve"> </w:t>
      </w:r>
      <w:r w:rsidR="003E2B6A">
        <w:rPr>
          <w:bCs/>
        </w:rPr>
        <w:t>21,7</w:t>
      </w:r>
      <w:r w:rsidR="003E2B6A" w:rsidRPr="003D403A">
        <w:rPr>
          <w:bCs/>
        </w:rPr>
        <w:t> </w:t>
      </w:r>
      <w:r w:rsidRPr="003D403A">
        <w:rPr>
          <w:bCs/>
        </w:rPr>
        <w:t xml:space="preserve">% z celkových příjmů systému v. z. p. v hodnotě </w:t>
      </w:r>
      <w:r w:rsidR="003E2B6A">
        <w:rPr>
          <w:b/>
        </w:rPr>
        <w:t>71,</w:t>
      </w:r>
      <w:r w:rsidR="00A10B09">
        <w:rPr>
          <w:b/>
        </w:rPr>
        <w:t>8</w:t>
      </w:r>
      <w:r w:rsidR="00A10B09" w:rsidRPr="003E2B6A">
        <w:rPr>
          <w:b/>
        </w:rPr>
        <w:t xml:space="preserve"> </w:t>
      </w:r>
      <w:r w:rsidRPr="00EC4F65">
        <w:rPr>
          <w:b/>
        </w:rPr>
        <w:t>mld. Kč</w:t>
      </w:r>
      <w:r w:rsidRPr="00B3234B">
        <w:rPr>
          <w:bCs/>
        </w:rPr>
        <w:t xml:space="preserve"> </w:t>
      </w:r>
      <w:r w:rsidRPr="003D403A">
        <w:rPr>
          <w:bCs/>
        </w:rPr>
        <w:t>(meziroční nárůst o </w:t>
      </w:r>
      <w:r w:rsidR="00A10B09">
        <w:rPr>
          <w:bCs/>
        </w:rPr>
        <w:t>5,1</w:t>
      </w:r>
      <w:r w:rsidRPr="003D403A">
        <w:rPr>
          <w:bCs/>
        </w:rPr>
        <w:t> %, tj. o cca 3,</w:t>
      </w:r>
      <w:r w:rsidR="00B83DD5">
        <w:rPr>
          <w:bCs/>
        </w:rPr>
        <w:t>5</w:t>
      </w:r>
      <w:r w:rsidRPr="003D403A">
        <w:rPr>
          <w:bCs/>
        </w:rPr>
        <w:t xml:space="preserve"> mld. Kč)</w:t>
      </w:r>
      <w:r w:rsidRPr="00B3234B">
        <w:rPr>
          <w:bCs/>
        </w:rPr>
        <w:t xml:space="preserve">. </w:t>
      </w:r>
      <w:r w:rsidRPr="003D403A">
        <w:rPr>
          <w:bCs/>
        </w:rPr>
        <w:t>Celkový průměrný počet tzv.</w:t>
      </w:r>
      <w:r w:rsidR="00EF3376">
        <w:rPr>
          <w:bCs/>
        </w:rPr>
        <w:t> </w:t>
      </w:r>
      <w:r w:rsidRPr="003D403A">
        <w:rPr>
          <w:bCs/>
        </w:rPr>
        <w:t>státních pojištěnců za rok 201</w:t>
      </w:r>
      <w:r w:rsidR="00B83DD5">
        <w:rPr>
          <w:bCs/>
        </w:rPr>
        <w:t>9</w:t>
      </w:r>
      <w:r w:rsidRPr="003D403A">
        <w:rPr>
          <w:bCs/>
        </w:rPr>
        <w:t xml:space="preserve"> dosáhl </w:t>
      </w:r>
      <w:r w:rsidRPr="00643671">
        <w:rPr>
          <w:bCs/>
        </w:rPr>
        <w:t xml:space="preserve">5,88 mil. osob. Meziroční nárůst platby byl způsoben </w:t>
      </w:r>
      <w:r w:rsidR="00F07326">
        <w:rPr>
          <w:bCs/>
        </w:rPr>
        <w:t xml:space="preserve">především </w:t>
      </w:r>
      <w:r w:rsidRPr="00643671">
        <w:rPr>
          <w:bCs/>
        </w:rPr>
        <w:t>zvýšením vyměřovacího základu u tzv. státních pojištěnců od 1. 1. 201</w:t>
      </w:r>
      <w:r w:rsidR="00B83DD5">
        <w:rPr>
          <w:bCs/>
        </w:rPr>
        <w:t>9</w:t>
      </w:r>
      <w:r w:rsidRPr="00037363">
        <w:rPr>
          <w:bCs/>
        </w:rPr>
        <w:t xml:space="preserve">, </w:t>
      </w:r>
      <w:r w:rsidR="0034719B">
        <w:rPr>
          <w:bCs/>
        </w:rPr>
        <w:t>ale meziročně se zvýšil i </w:t>
      </w:r>
      <w:r w:rsidRPr="00037363">
        <w:rPr>
          <w:bCs/>
        </w:rPr>
        <w:t xml:space="preserve">průměrný počet tzv. státních pojištěnců o </w:t>
      </w:r>
      <w:r w:rsidR="00F07326">
        <w:rPr>
          <w:bCs/>
        </w:rPr>
        <w:t>1 598</w:t>
      </w:r>
      <w:r w:rsidRPr="00037363">
        <w:rPr>
          <w:bCs/>
        </w:rPr>
        <w:t xml:space="preserve"> osob (tj. o 0,</w:t>
      </w:r>
      <w:r w:rsidR="00F07326">
        <w:rPr>
          <w:bCs/>
        </w:rPr>
        <w:t>03</w:t>
      </w:r>
      <w:r w:rsidR="00F07326" w:rsidRPr="00037363">
        <w:rPr>
          <w:bCs/>
        </w:rPr>
        <w:t xml:space="preserve"> </w:t>
      </w:r>
      <w:r w:rsidRPr="00037363">
        <w:rPr>
          <w:bCs/>
        </w:rPr>
        <w:t>%).</w:t>
      </w:r>
    </w:p>
    <w:p w:rsidR="00FB53D1" w:rsidRPr="00643671" w:rsidRDefault="00FB53D1" w:rsidP="00B3234B">
      <w:pPr>
        <w:spacing w:before="180" w:line="276" w:lineRule="auto"/>
        <w:jc w:val="both"/>
        <w:rPr>
          <w:bCs/>
        </w:rPr>
      </w:pPr>
      <w:r w:rsidRPr="003D403A">
        <w:rPr>
          <w:b/>
        </w:rPr>
        <w:t>Ostatní příjmy systému v. z. p.</w:t>
      </w:r>
      <w:r w:rsidRPr="003D403A">
        <w:rPr>
          <w:bCs/>
        </w:rPr>
        <w:t xml:space="preserve"> ve výši cca 0,</w:t>
      </w:r>
      <w:r w:rsidR="00F07326" w:rsidRPr="003D403A">
        <w:rPr>
          <w:bCs/>
        </w:rPr>
        <w:t>7</w:t>
      </w:r>
      <w:r w:rsidR="00F07326">
        <w:rPr>
          <w:bCs/>
        </w:rPr>
        <w:t>3</w:t>
      </w:r>
      <w:r w:rsidR="00F07326" w:rsidRPr="003D403A">
        <w:rPr>
          <w:bCs/>
        </w:rPr>
        <w:t> </w:t>
      </w:r>
      <w:r w:rsidRPr="003D403A">
        <w:rPr>
          <w:bCs/>
        </w:rPr>
        <w:t xml:space="preserve">% z celkových příjmů v hodnotě </w:t>
      </w:r>
      <w:r w:rsidRPr="00B3234B">
        <w:rPr>
          <w:b/>
        </w:rPr>
        <w:t>2,</w:t>
      </w:r>
      <w:r w:rsidR="00F07326">
        <w:rPr>
          <w:b/>
        </w:rPr>
        <w:t>4</w:t>
      </w:r>
      <w:r w:rsidR="00F07326" w:rsidRPr="00B3234B">
        <w:rPr>
          <w:b/>
        </w:rPr>
        <w:t xml:space="preserve"> </w:t>
      </w:r>
      <w:r w:rsidRPr="00B3234B">
        <w:rPr>
          <w:b/>
        </w:rPr>
        <w:t>mld. Kč</w:t>
      </w:r>
      <w:r w:rsidRPr="003D403A">
        <w:rPr>
          <w:bCs/>
        </w:rPr>
        <w:t xml:space="preserve"> mají jen marginální význam a tvoří je především sankční příjmy (penále, pokuty, přirážky, náhrady škod), úroky a dotace Ministerstva obrany (MO). MO přispívá na úhradu zdravotní péče pro vojáky na základě § 11 odst. 3 zákona</w:t>
      </w:r>
      <w:r w:rsidRPr="00643671">
        <w:rPr>
          <w:bCs/>
        </w:rPr>
        <w:t xml:space="preserve"> č.</w:t>
      </w:r>
      <w:r w:rsidR="0034719B">
        <w:rPr>
          <w:bCs/>
        </w:rPr>
        <w:t> </w:t>
      </w:r>
      <w:r w:rsidRPr="00643671">
        <w:rPr>
          <w:bCs/>
        </w:rPr>
        <w:t>48/1997 Sb.</w:t>
      </w:r>
    </w:p>
    <w:p w:rsidR="00643671" w:rsidRDefault="00FB53D1" w:rsidP="003D403A">
      <w:pPr>
        <w:spacing w:before="180" w:line="276" w:lineRule="auto"/>
        <w:jc w:val="both"/>
        <w:rPr>
          <w:bCs/>
        </w:rPr>
      </w:pPr>
      <w:r w:rsidRPr="00037363">
        <w:rPr>
          <w:b/>
        </w:rPr>
        <w:lastRenderedPageBreak/>
        <w:t>Příjmy od zahraničních pojišťoven</w:t>
      </w:r>
      <w:r w:rsidRPr="003D403A">
        <w:rPr>
          <w:bCs/>
        </w:rPr>
        <w:t>, součást příjmů ZFZP (základní fond zdravotního pojištění) dle § 1 odst. 1</w:t>
      </w:r>
      <w:r w:rsidR="0073060A">
        <w:rPr>
          <w:bCs/>
        </w:rPr>
        <w:t xml:space="preserve"> písm. </w:t>
      </w:r>
      <w:r w:rsidRPr="003D403A">
        <w:rPr>
          <w:bCs/>
        </w:rPr>
        <w:t>f</w:t>
      </w:r>
      <w:r w:rsidR="0073060A">
        <w:rPr>
          <w:bCs/>
        </w:rPr>
        <w:t>)</w:t>
      </w:r>
      <w:r w:rsidRPr="003D403A">
        <w:rPr>
          <w:bCs/>
        </w:rPr>
        <w:t xml:space="preserve"> vyhlášky č. 418/2003 Sb.,</w:t>
      </w:r>
      <w:r w:rsidRPr="00B3234B">
        <w:rPr>
          <w:bCs/>
        </w:rPr>
        <w:t xml:space="preserve"> </w:t>
      </w:r>
      <w:r w:rsidRPr="003D403A">
        <w:rPr>
          <w:bCs/>
        </w:rPr>
        <w:t>jsou</w:t>
      </w:r>
      <w:r w:rsidRPr="00B3234B">
        <w:rPr>
          <w:bCs/>
        </w:rPr>
        <w:t xml:space="preserve"> </w:t>
      </w:r>
      <w:r w:rsidRPr="003D403A">
        <w:rPr>
          <w:bCs/>
        </w:rPr>
        <w:t xml:space="preserve">ve výši </w:t>
      </w:r>
      <w:r w:rsidRPr="00B3234B">
        <w:rPr>
          <w:b/>
        </w:rPr>
        <w:t>1,</w:t>
      </w:r>
      <w:r w:rsidR="002F07A4">
        <w:rPr>
          <w:b/>
        </w:rPr>
        <w:t>4</w:t>
      </w:r>
      <w:r w:rsidR="002F07A4" w:rsidRPr="00B3234B" w:rsidDel="00174919">
        <w:rPr>
          <w:b/>
        </w:rPr>
        <w:t xml:space="preserve"> </w:t>
      </w:r>
      <w:r w:rsidRPr="00B3234B">
        <w:rPr>
          <w:b/>
        </w:rPr>
        <w:t>mld. Kč</w:t>
      </w:r>
      <w:r w:rsidRPr="003D403A">
        <w:rPr>
          <w:bCs/>
        </w:rPr>
        <w:t>, tj. cca 0,</w:t>
      </w:r>
      <w:r w:rsidR="002F07A4">
        <w:rPr>
          <w:bCs/>
        </w:rPr>
        <w:t>42</w:t>
      </w:r>
      <w:r w:rsidR="002F07A4" w:rsidRPr="00643671">
        <w:rPr>
          <w:bCs/>
        </w:rPr>
        <w:t> </w:t>
      </w:r>
      <w:r w:rsidRPr="00643671">
        <w:rPr>
          <w:bCs/>
        </w:rPr>
        <w:t xml:space="preserve">% celkových příjmů v. z. p. </w:t>
      </w:r>
    </w:p>
    <w:p w:rsidR="00FB53D1" w:rsidRDefault="00FB53D1" w:rsidP="003D403A">
      <w:pPr>
        <w:spacing w:before="180" w:line="276" w:lineRule="auto"/>
        <w:jc w:val="both"/>
        <w:rPr>
          <w:bCs/>
        </w:rPr>
      </w:pPr>
      <w:r w:rsidRPr="00643671">
        <w:rPr>
          <w:bCs/>
        </w:rPr>
        <w:t xml:space="preserve">Zcela minimální podíl na celkových příjmech mají </w:t>
      </w:r>
      <w:r w:rsidR="002E5ED1">
        <w:rPr>
          <w:b/>
        </w:rPr>
        <w:t>výnosy</w:t>
      </w:r>
      <w:r w:rsidRPr="00643671">
        <w:rPr>
          <w:b/>
        </w:rPr>
        <w:t xml:space="preserve"> z</w:t>
      </w:r>
      <w:r w:rsidRPr="00037363">
        <w:rPr>
          <w:b/>
        </w:rPr>
        <w:t xml:space="preserve"> jiných činností</w:t>
      </w:r>
      <w:r w:rsidRPr="00B3234B">
        <w:rPr>
          <w:bCs/>
        </w:rPr>
        <w:t>,</w:t>
      </w:r>
      <w:r w:rsidRPr="003D403A">
        <w:rPr>
          <w:bCs/>
        </w:rPr>
        <w:t xml:space="preserve"> a to ve</w:t>
      </w:r>
      <w:r w:rsidRPr="00643671">
        <w:rPr>
          <w:bCs/>
        </w:rPr>
        <w:t xml:space="preserve"> výši 0,02 % v hodnotě </w:t>
      </w:r>
      <w:r w:rsidRPr="00B3234B">
        <w:rPr>
          <w:b/>
        </w:rPr>
        <w:t>0,</w:t>
      </w:r>
      <w:r w:rsidR="0034719B" w:rsidRPr="00B3234B">
        <w:rPr>
          <w:b/>
        </w:rPr>
        <w:t>0</w:t>
      </w:r>
      <w:r w:rsidR="0034719B">
        <w:rPr>
          <w:b/>
        </w:rPr>
        <w:t>8</w:t>
      </w:r>
      <w:r w:rsidR="0034719B" w:rsidRPr="00B3234B">
        <w:rPr>
          <w:b/>
        </w:rPr>
        <w:t> </w:t>
      </w:r>
      <w:r w:rsidRPr="00B3234B">
        <w:rPr>
          <w:b/>
        </w:rPr>
        <w:t>mld.</w:t>
      </w:r>
      <w:r w:rsidR="00EC4F65" w:rsidRPr="00B3234B">
        <w:rPr>
          <w:b/>
        </w:rPr>
        <w:t> </w:t>
      </w:r>
      <w:r w:rsidRPr="00B3234B">
        <w:rPr>
          <w:b/>
        </w:rPr>
        <w:t>Kč</w:t>
      </w:r>
      <w:r w:rsidRPr="00643671">
        <w:rPr>
          <w:bCs/>
        </w:rPr>
        <w:t xml:space="preserve">. Struktura jiných </w:t>
      </w:r>
      <w:r w:rsidRPr="00037363">
        <w:rPr>
          <w:bCs/>
        </w:rPr>
        <w:t>činností se dlouhodobě nemění, neboť účinné právní předpisy ZP umožňují pouze omezený rozsah vlastních aktivit. Těmi jsou především pronájmy nevyužitých nebytových prostor a zprostředkování prodeje komerčního pojištění. Zisky po zdanění z těchto činností využívají ZP v souladu s právními předpisy a rozhodnutími správních rad na posilování fondů v. z. p.</w:t>
      </w:r>
    </w:p>
    <w:p w:rsidR="00FB53D1" w:rsidRDefault="00643671" w:rsidP="0076211F">
      <w:pPr>
        <w:pStyle w:val="Titulek"/>
      </w:pPr>
      <w:bookmarkStart w:id="5" w:name="_Toc41837518"/>
      <w:r>
        <w:t xml:space="preserve">Graf č. </w:t>
      </w:r>
      <w:r>
        <w:rPr>
          <w:noProof/>
        </w:rPr>
        <w:fldChar w:fldCharType="begin"/>
      </w:r>
      <w:r>
        <w:rPr>
          <w:noProof/>
        </w:rPr>
        <w:instrText xml:space="preserve"> SEQ Graf \* ARABIC </w:instrText>
      </w:r>
      <w:r>
        <w:rPr>
          <w:noProof/>
        </w:rPr>
        <w:fldChar w:fldCharType="separate"/>
      </w:r>
      <w:r w:rsidR="00B17299">
        <w:rPr>
          <w:noProof/>
        </w:rPr>
        <w:t>1</w:t>
      </w:r>
      <w:r>
        <w:rPr>
          <w:noProof/>
        </w:rPr>
        <w:fldChar w:fldCharType="end"/>
      </w:r>
      <w:r>
        <w:t>: Struktura p</w:t>
      </w:r>
      <w:r w:rsidRPr="00643671">
        <w:t>říjm</w:t>
      </w:r>
      <w:r>
        <w:t>ů</w:t>
      </w:r>
      <w:r w:rsidRPr="00643671">
        <w:t xml:space="preserve"> celkem za rok 201</w:t>
      </w:r>
      <w:r w:rsidR="0034719B">
        <w:t>9</w:t>
      </w:r>
      <w:bookmarkEnd w:id="5"/>
    </w:p>
    <w:p w:rsidR="00F55E4F" w:rsidRDefault="00F55E4F" w:rsidP="00F55E4F">
      <w:pPr>
        <w:spacing w:before="180" w:line="276" w:lineRule="auto"/>
        <w:jc w:val="center"/>
        <w:rPr>
          <w:b/>
        </w:rPr>
      </w:pPr>
      <w:r>
        <w:rPr>
          <w:noProof/>
          <w:lang w:eastAsia="cs-CZ"/>
        </w:rPr>
        <w:drawing>
          <wp:inline distT="0" distB="0" distL="0" distR="0" wp14:anchorId="54D871EB" wp14:editId="0E97216F">
            <wp:extent cx="4778734" cy="2417197"/>
            <wp:effectExtent l="0" t="0" r="22225" b="21590"/>
            <wp:docPr id="19" name="Graf 19">
              <a:extLst xmlns:a="http://schemas.openxmlformats.org/drawingml/2006/main">
                <a:ext uri="{FF2B5EF4-FFF2-40B4-BE49-F238E27FC236}">
                  <a16:creationId xmlns:a16="http://schemas.microsoft.com/office/drawing/2014/main" id="{00000000-0008-0000-08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B53D1" w:rsidRPr="00B3234B" w:rsidRDefault="00FB53D1" w:rsidP="00D61A65">
      <w:pPr>
        <w:spacing w:before="120" w:after="120" w:line="276" w:lineRule="auto"/>
        <w:jc w:val="both"/>
        <w:rPr>
          <w:bCs/>
        </w:rPr>
      </w:pPr>
      <w:r w:rsidRPr="00BF1738">
        <w:rPr>
          <w:b/>
        </w:rPr>
        <w:t>Průměrné celkové příjmy na jednoho pojištěnce</w:t>
      </w:r>
      <w:r w:rsidRPr="00BF1738">
        <w:rPr>
          <w:bCs/>
          <w:vertAlign w:val="superscript"/>
        </w:rPr>
        <w:footnoteReference w:id="1"/>
      </w:r>
      <w:r w:rsidRPr="00BF1738">
        <w:rPr>
          <w:bCs/>
          <w:vertAlign w:val="superscript"/>
        </w:rPr>
        <w:t xml:space="preserve"> </w:t>
      </w:r>
      <w:r w:rsidRPr="00BF1738">
        <w:rPr>
          <w:bCs/>
        </w:rPr>
        <w:t>v roce 201</w:t>
      </w:r>
      <w:r w:rsidR="00785CEC" w:rsidRPr="00BF1738">
        <w:rPr>
          <w:bCs/>
        </w:rPr>
        <w:t>9</w:t>
      </w:r>
      <w:r w:rsidRPr="006B7BB1">
        <w:rPr>
          <w:bCs/>
        </w:rPr>
        <w:t xml:space="preserve"> dosáhly částky </w:t>
      </w:r>
      <w:r w:rsidR="00785CEC" w:rsidRPr="006B7BB1">
        <w:rPr>
          <w:b/>
        </w:rPr>
        <w:t>31</w:t>
      </w:r>
      <w:r w:rsidR="00F43E84">
        <w:rPr>
          <w:b/>
        </w:rPr>
        <w:t> </w:t>
      </w:r>
      <w:r w:rsidR="00EF2311">
        <w:rPr>
          <w:b/>
        </w:rPr>
        <w:t xml:space="preserve">443 </w:t>
      </w:r>
      <w:r w:rsidR="00F43E84">
        <w:rPr>
          <w:b/>
        </w:rPr>
        <w:t>Kč</w:t>
      </w:r>
      <w:r w:rsidR="00785CEC" w:rsidRPr="006B7BB1">
        <w:rPr>
          <w:b/>
        </w:rPr>
        <w:t xml:space="preserve"> </w:t>
      </w:r>
      <w:r w:rsidR="00BF1738" w:rsidRPr="000E26F9">
        <w:rPr>
          <w:bCs/>
        </w:rPr>
        <w:t>(meziroční nárůst o </w:t>
      </w:r>
      <w:r w:rsidR="00EF2311">
        <w:rPr>
          <w:bCs/>
        </w:rPr>
        <w:t>6,7</w:t>
      </w:r>
      <w:r w:rsidR="00BF1738" w:rsidRPr="000E26F9">
        <w:rPr>
          <w:bCs/>
        </w:rPr>
        <w:t> %). Nejvyšší příjmy vykázala VZP ČR v hodnotě 33 365</w:t>
      </w:r>
      <w:r w:rsidR="00BF1738" w:rsidRPr="000E26F9" w:rsidDel="00785CEC">
        <w:rPr>
          <w:bCs/>
        </w:rPr>
        <w:t xml:space="preserve"> </w:t>
      </w:r>
      <w:r w:rsidR="00BF1738" w:rsidRPr="000E26F9">
        <w:rPr>
          <w:bCs/>
        </w:rPr>
        <w:t xml:space="preserve">Kč s meziročním zvýšením o 6,1 %, nejnižší příjmy vykázala OZP ve výši 27 992 Kč s meziročním nárůstem o 7,0 %. Zaměstnanecké zdravotní pojišťovny (ZZP) v průměru dosáhly hodnoty </w:t>
      </w:r>
      <w:r w:rsidR="004F3827" w:rsidRPr="004F3827">
        <w:rPr>
          <w:bCs/>
        </w:rPr>
        <w:t>28</w:t>
      </w:r>
      <w:r w:rsidR="004F3827">
        <w:rPr>
          <w:bCs/>
        </w:rPr>
        <w:t> </w:t>
      </w:r>
      <w:r w:rsidR="004F3827" w:rsidRPr="004F3827">
        <w:rPr>
          <w:bCs/>
        </w:rPr>
        <w:t>949</w:t>
      </w:r>
      <w:r w:rsidR="004F3827">
        <w:rPr>
          <w:bCs/>
        </w:rPr>
        <w:t xml:space="preserve"> </w:t>
      </w:r>
      <w:r w:rsidR="00BF1738" w:rsidRPr="000E26F9">
        <w:rPr>
          <w:bCs/>
        </w:rPr>
        <w:t>Kč s meziročním nárůstem o </w:t>
      </w:r>
      <w:r w:rsidR="004F3827">
        <w:rPr>
          <w:bCs/>
        </w:rPr>
        <w:t>7,6</w:t>
      </w:r>
      <w:r w:rsidR="00BF1738" w:rsidRPr="000E26F9">
        <w:rPr>
          <w:bCs/>
        </w:rPr>
        <w:t xml:space="preserve"> %.</w:t>
      </w:r>
      <w:r w:rsidR="00292FFE" w:rsidRPr="0003756A">
        <w:rPr>
          <w:bCs/>
        </w:rPr>
        <w:t xml:space="preserve"> </w:t>
      </w:r>
      <w:r w:rsidR="00234828" w:rsidRPr="0003756A">
        <w:rPr>
          <w:bCs/>
        </w:rPr>
        <w:t xml:space="preserve">Pokud je však srovnáván výběr pojistného </w:t>
      </w:r>
      <w:r w:rsidR="003D4ECE" w:rsidRPr="0003756A">
        <w:rPr>
          <w:bCs/>
        </w:rPr>
        <w:t>na </w:t>
      </w:r>
      <w:r w:rsidR="00234828" w:rsidRPr="0003756A">
        <w:rPr>
          <w:bCs/>
        </w:rPr>
        <w:t xml:space="preserve">jednoho pojištěnce, tak </w:t>
      </w:r>
      <w:r w:rsidR="003D4ECE" w:rsidRPr="0003756A">
        <w:rPr>
          <w:bCs/>
        </w:rPr>
        <w:t>OZP</w:t>
      </w:r>
      <w:r w:rsidR="00234828" w:rsidRPr="0003756A">
        <w:rPr>
          <w:bCs/>
        </w:rPr>
        <w:t xml:space="preserve"> </w:t>
      </w:r>
      <w:r w:rsidR="003D4ECE" w:rsidRPr="0003756A">
        <w:rPr>
          <w:bCs/>
        </w:rPr>
        <w:t>se řadila</w:t>
      </w:r>
      <w:r w:rsidR="00234828" w:rsidRPr="0003756A">
        <w:rPr>
          <w:bCs/>
        </w:rPr>
        <w:t xml:space="preserve"> mezi zdravotní pojišťovny </w:t>
      </w:r>
      <w:r w:rsidR="003D4ECE" w:rsidRPr="0003756A">
        <w:rPr>
          <w:bCs/>
        </w:rPr>
        <w:t>s vyšším výběrem</w:t>
      </w:r>
      <w:r w:rsidR="0073060A">
        <w:rPr>
          <w:bCs/>
        </w:rPr>
        <w:t>,</w:t>
      </w:r>
      <w:r w:rsidR="003D4ECE" w:rsidRPr="0003756A">
        <w:rPr>
          <w:bCs/>
        </w:rPr>
        <w:t xml:space="preserve"> a naopak VZP ČR mezi ty s nižším výběrem. Příčinou těchto rozdílů </w:t>
      </w:r>
      <w:r w:rsidR="00067CD4">
        <w:rPr>
          <w:bCs/>
        </w:rPr>
        <w:t xml:space="preserve">mezi ukazateli </w:t>
      </w:r>
      <w:r w:rsidR="003D4ECE" w:rsidRPr="0003756A">
        <w:rPr>
          <w:bCs/>
        </w:rPr>
        <w:t>je aplikovaný systém přerozdělování pojistného</w:t>
      </w:r>
      <w:r w:rsidR="00592259">
        <w:rPr>
          <w:rStyle w:val="Znakapoznpodarou"/>
          <w:bCs/>
        </w:rPr>
        <w:footnoteReference w:id="2"/>
      </w:r>
      <w:r w:rsidR="003D4ECE" w:rsidRPr="0003756A">
        <w:rPr>
          <w:bCs/>
        </w:rPr>
        <w:t xml:space="preserve">. </w:t>
      </w:r>
      <w:r w:rsidRPr="0003756A">
        <w:rPr>
          <w:bCs/>
        </w:rPr>
        <w:t>Vývoj příjmů systému v. z. p. lze analyzovat i po jednotlivých zdravotních pojišťovnách (</w:t>
      </w:r>
      <w:r w:rsidR="00037363" w:rsidRPr="0003756A">
        <w:rPr>
          <w:bCs/>
          <w:i/>
          <w:iCs/>
        </w:rPr>
        <w:t>Tabulka č. 2</w:t>
      </w:r>
      <w:r w:rsidRPr="0003756A">
        <w:rPr>
          <w:bCs/>
        </w:rPr>
        <w:t>).</w:t>
      </w:r>
      <w:r w:rsidRPr="00B3234B">
        <w:rPr>
          <w:bCs/>
        </w:rPr>
        <w:t xml:space="preserve"> </w:t>
      </w:r>
    </w:p>
    <w:p w:rsidR="00037363" w:rsidRDefault="00037363" w:rsidP="00D61A65">
      <w:pPr>
        <w:pStyle w:val="TABOBR"/>
        <w:spacing w:before="120" w:after="120"/>
      </w:pPr>
      <w:bookmarkStart w:id="6" w:name="_Toc41837494"/>
      <w:r w:rsidRPr="00C75FC6">
        <w:t xml:space="preserve">Tabulka č. </w:t>
      </w:r>
      <w:r>
        <w:rPr>
          <w:noProof/>
        </w:rPr>
        <w:fldChar w:fldCharType="begin"/>
      </w:r>
      <w:r>
        <w:rPr>
          <w:noProof/>
        </w:rPr>
        <w:instrText xml:space="preserve"> SEQ Tabulka \* ARABIC </w:instrText>
      </w:r>
      <w:r>
        <w:rPr>
          <w:noProof/>
        </w:rPr>
        <w:fldChar w:fldCharType="separate"/>
      </w:r>
      <w:r w:rsidR="00B17299">
        <w:rPr>
          <w:noProof/>
        </w:rPr>
        <w:t>2</w:t>
      </w:r>
      <w:r>
        <w:rPr>
          <w:noProof/>
        </w:rPr>
        <w:fldChar w:fldCharType="end"/>
      </w:r>
      <w:r w:rsidRPr="00C75FC6">
        <w:t xml:space="preserve">: </w:t>
      </w:r>
      <w:r w:rsidRPr="00037363">
        <w:t>Příjmy systému v. z. p. 201</w:t>
      </w:r>
      <w:r w:rsidR="0003756A">
        <w:t>9</w:t>
      </w:r>
      <w:r w:rsidRPr="00037363">
        <w:t xml:space="preserve"> dle zdravotních pojišťoven</w:t>
      </w:r>
      <w:bookmarkEnd w:id="6"/>
    </w:p>
    <w:tbl>
      <w:tblPr>
        <w:tblW w:w="9303" w:type="dxa"/>
        <w:jc w:val="center"/>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2283"/>
        <w:gridCol w:w="960"/>
        <w:gridCol w:w="960"/>
        <w:gridCol w:w="960"/>
        <w:gridCol w:w="1040"/>
        <w:gridCol w:w="1040"/>
        <w:gridCol w:w="1040"/>
        <w:gridCol w:w="1020"/>
      </w:tblGrid>
      <w:tr w:rsidR="00FB53D1" w:rsidRPr="004E1AFC" w:rsidTr="00327A75">
        <w:trPr>
          <w:trHeight w:val="601"/>
          <w:jc w:val="center"/>
        </w:trPr>
        <w:tc>
          <w:tcPr>
            <w:tcW w:w="2283" w:type="dxa"/>
            <w:shd w:val="clear" w:color="000000" w:fill="4F81BD"/>
            <w:vAlign w:val="center"/>
            <w:hideMark/>
          </w:tcPr>
          <w:p w:rsidR="00FB53D1" w:rsidRPr="00F17159" w:rsidRDefault="00FB53D1" w:rsidP="00C3621B">
            <w:pPr>
              <w:spacing w:after="0" w:line="240" w:lineRule="auto"/>
              <w:rPr>
                <w:rFonts w:ascii="Calibri" w:eastAsia="Times New Roman" w:hAnsi="Calibri" w:cs="Times New Roman"/>
                <w:b/>
                <w:bCs/>
                <w:i/>
                <w:color w:val="FFFFFF" w:themeColor="background1"/>
                <w:szCs w:val="21"/>
                <w:lang w:eastAsia="cs-CZ"/>
              </w:rPr>
            </w:pPr>
            <w:r w:rsidRPr="00F17159" w:rsidDel="00F1367D">
              <w:rPr>
                <w:rFonts w:ascii="Calibri" w:eastAsia="Times New Roman" w:hAnsi="Calibri" w:cs="Times New Roman"/>
                <w:b/>
                <w:bCs/>
                <w:color w:val="FFFFFF" w:themeColor="background1"/>
                <w:szCs w:val="21"/>
                <w:lang w:eastAsia="cs-CZ"/>
              </w:rPr>
              <w:t xml:space="preserve"> </w:t>
            </w:r>
            <w:r w:rsidRPr="00F17159">
              <w:rPr>
                <w:rFonts w:ascii="Calibri" w:eastAsia="Times New Roman" w:hAnsi="Calibri" w:cs="Times New Roman"/>
                <w:b/>
                <w:bCs/>
                <w:i/>
                <w:color w:val="FFFFFF" w:themeColor="background1"/>
                <w:szCs w:val="21"/>
                <w:lang w:eastAsia="cs-CZ"/>
              </w:rPr>
              <w:t xml:space="preserve">(v mil. </w:t>
            </w:r>
            <w:r w:rsidR="00067CD4" w:rsidRPr="00F17159">
              <w:rPr>
                <w:rFonts w:ascii="Calibri" w:eastAsia="Times New Roman" w:hAnsi="Calibri" w:cs="Times New Roman"/>
                <w:b/>
                <w:bCs/>
                <w:i/>
                <w:color w:val="FFFFFF" w:themeColor="background1"/>
                <w:szCs w:val="21"/>
                <w:lang w:eastAsia="cs-CZ"/>
              </w:rPr>
              <w:t>Kč)</w:t>
            </w:r>
          </w:p>
        </w:tc>
        <w:tc>
          <w:tcPr>
            <w:tcW w:w="960" w:type="dxa"/>
            <w:shd w:val="clear" w:color="000000" w:fill="6691C6"/>
            <w:noWrap/>
            <w:vAlign w:val="center"/>
          </w:tcPr>
          <w:p w:rsidR="00FB53D1" w:rsidRPr="003862B4" w:rsidRDefault="00FB53D1" w:rsidP="00C3621B">
            <w:pPr>
              <w:spacing w:after="0" w:line="240" w:lineRule="auto"/>
              <w:jc w:val="center"/>
              <w:rPr>
                <w:rFonts w:ascii="Calibri" w:eastAsia="Times New Roman" w:hAnsi="Calibri" w:cs="Times New Roman"/>
                <w:b/>
                <w:bCs/>
                <w:color w:val="FFFFFF" w:themeColor="background1"/>
                <w:szCs w:val="21"/>
                <w:lang w:eastAsia="cs-CZ"/>
              </w:rPr>
            </w:pPr>
            <w:r w:rsidRPr="003862B4">
              <w:rPr>
                <w:b/>
                <w:color w:val="FFFFFF" w:themeColor="background1"/>
                <w:szCs w:val="21"/>
              </w:rPr>
              <w:t>VZP ČR</w:t>
            </w:r>
          </w:p>
        </w:tc>
        <w:tc>
          <w:tcPr>
            <w:tcW w:w="960" w:type="dxa"/>
            <w:shd w:val="clear" w:color="000000" w:fill="4F81BD"/>
            <w:noWrap/>
            <w:vAlign w:val="center"/>
          </w:tcPr>
          <w:p w:rsidR="00FB53D1" w:rsidRPr="003862B4" w:rsidRDefault="00FB53D1" w:rsidP="00C3621B">
            <w:pPr>
              <w:spacing w:after="0" w:line="240" w:lineRule="auto"/>
              <w:jc w:val="center"/>
              <w:rPr>
                <w:rFonts w:ascii="Calibri" w:eastAsia="Times New Roman" w:hAnsi="Calibri" w:cs="Times New Roman"/>
                <w:b/>
                <w:bCs/>
                <w:color w:val="FFFFFF" w:themeColor="background1"/>
                <w:szCs w:val="21"/>
                <w:lang w:eastAsia="cs-CZ"/>
              </w:rPr>
            </w:pPr>
            <w:proofErr w:type="spellStart"/>
            <w:r w:rsidRPr="003862B4">
              <w:rPr>
                <w:b/>
                <w:color w:val="FFFFFF" w:themeColor="background1"/>
                <w:szCs w:val="21"/>
              </w:rPr>
              <w:t>VoZP</w:t>
            </w:r>
            <w:proofErr w:type="spellEnd"/>
            <w:r w:rsidRPr="003862B4">
              <w:rPr>
                <w:b/>
                <w:color w:val="FFFFFF" w:themeColor="background1"/>
                <w:szCs w:val="21"/>
              </w:rPr>
              <w:t xml:space="preserve"> ČR</w:t>
            </w:r>
          </w:p>
        </w:tc>
        <w:tc>
          <w:tcPr>
            <w:tcW w:w="960" w:type="dxa"/>
            <w:shd w:val="clear" w:color="000000" w:fill="6691C6"/>
            <w:noWrap/>
            <w:vAlign w:val="center"/>
          </w:tcPr>
          <w:p w:rsidR="00FB53D1" w:rsidRPr="003862B4" w:rsidRDefault="00FB53D1" w:rsidP="00C3621B">
            <w:pPr>
              <w:spacing w:after="0" w:line="240" w:lineRule="auto"/>
              <w:jc w:val="center"/>
              <w:rPr>
                <w:rFonts w:ascii="Calibri" w:eastAsia="Times New Roman" w:hAnsi="Calibri" w:cs="Times New Roman"/>
                <w:b/>
                <w:bCs/>
                <w:color w:val="FFFFFF" w:themeColor="background1"/>
                <w:szCs w:val="21"/>
                <w:lang w:eastAsia="cs-CZ"/>
              </w:rPr>
            </w:pPr>
            <w:r w:rsidRPr="003862B4">
              <w:rPr>
                <w:b/>
                <w:color w:val="FFFFFF" w:themeColor="background1"/>
                <w:szCs w:val="21"/>
              </w:rPr>
              <w:t>ČPZP</w:t>
            </w:r>
          </w:p>
        </w:tc>
        <w:tc>
          <w:tcPr>
            <w:tcW w:w="1040" w:type="dxa"/>
            <w:shd w:val="clear" w:color="000000" w:fill="4F81BD"/>
            <w:vAlign w:val="center"/>
          </w:tcPr>
          <w:p w:rsidR="00FB53D1" w:rsidRPr="003862B4" w:rsidRDefault="00FB53D1" w:rsidP="00C3621B">
            <w:pPr>
              <w:spacing w:after="0" w:line="240" w:lineRule="auto"/>
              <w:jc w:val="center"/>
              <w:rPr>
                <w:rFonts w:ascii="Calibri" w:eastAsia="Times New Roman" w:hAnsi="Calibri" w:cs="Times New Roman"/>
                <w:b/>
                <w:bCs/>
                <w:color w:val="FFFFFF" w:themeColor="background1"/>
                <w:szCs w:val="21"/>
                <w:lang w:eastAsia="cs-CZ"/>
              </w:rPr>
            </w:pPr>
            <w:r w:rsidRPr="003862B4">
              <w:rPr>
                <w:b/>
                <w:color w:val="FFFFFF" w:themeColor="background1"/>
                <w:szCs w:val="21"/>
              </w:rPr>
              <w:t>OZP</w:t>
            </w:r>
          </w:p>
        </w:tc>
        <w:tc>
          <w:tcPr>
            <w:tcW w:w="1040" w:type="dxa"/>
            <w:shd w:val="clear" w:color="000000" w:fill="6691C6"/>
            <w:vAlign w:val="center"/>
          </w:tcPr>
          <w:p w:rsidR="00FB53D1" w:rsidRPr="003862B4" w:rsidRDefault="00FB53D1" w:rsidP="00C3621B">
            <w:pPr>
              <w:spacing w:after="0" w:line="240" w:lineRule="auto"/>
              <w:jc w:val="center"/>
              <w:rPr>
                <w:rFonts w:ascii="Calibri" w:eastAsia="Times New Roman" w:hAnsi="Calibri" w:cs="Times New Roman"/>
                <w:b/>
                <w:bCs/>
                <w:color w:val="FFFFFF" w:themeColor="background1"/>
                <w:szCs w:val="21"/>
                <w:lang w:eastAsia="cs-CZ"/>
              </w:rPr>
            </w:pPr>
            <w:r w:rsidRPr="003862B4">
              <w:rPr>
                <w:b/>
                <w:color w:val="FFFFFF" w:themeColor="background1"/>
                <w:szCs w:val="21"/>
              </w:rPr>
              <w:t>ZPŠ</w:t>
            </w:r>
          </w:p>
        </w:tc>
        <w:tc>
          <w:tcPr>
            <w:tcW w:w="1040" w:type="dxa"/>
            <w:shd w:val="clear" w:color="000000" w:fill="4F81BD"/>
            <w:vAlign w:val="center"/>
          </w:tcPr>
          <w:p w:rsidR="00FB53D1" w:rsidRPr="003862B4" w:rsidRDefault="00FB53D1" w:rsidP="00C3621B">
            <w:pPr>
              <w:spacing w:after="0" w:line="240" w:lineRule="auto"/>
              <w:jc w:val="center"/>
              <w:rPr>
                <w:rFonts w:ascii="Calibri" w:eastAsia="Times New Roman" w:hAnsi="Calibri" w:cs="Times New Roman"/>
                <w:b/>
                <w:bCs/>
                <w:color w:val="FFFFFF" w:themeColor="background1"/>
                <w:szCs w:val="21"/>
                <w:lang w:eastAsia="cs-CZ"/>
              </w:rPr>
            </w:pPr>
            <w:r w:rsidRPr="003862B4">
              <w:rPr>
                <w:b/>
                <w:color w:val="FFFFFF" w:themeColor="background1"/>
                <w:szCs w:val="21"/>
              </w:rPr>
              <w:t>ZP MV ČR</w:t>
            </w:r>
          </w:p>
        </w:tc>
        <w:tc>
          <w:tcPr>
            <w:tcW w:w="1020" w:type="dxa"/>
            <w:shd w:val="clear" w:color="000000" w:fill="6691C6"/>
            <w:vAlign w:val="center"/>
          </w:tcPr>
          <w:p w:rsidR="00FB53D1" w:rsidRPr="003862B4" w:rsidRDefault="00FB53D1" w:rsidP="00C3621B">
            <w:pPr>
              <w:spacing w:after="0" w:line="240" w:lineRule="auto"/>
              <w:jc w:val="center"/>
              <w:rPr>
                <w:rFonts w:ascii="Calibri" w:eastAsia="Times New Roman" w:hAnsi="Calibri" w:cs="Times New Roman"/>
                <w:b/>
                <w:bCs/>
                <w:color w:val="FFFFFF" w:themeColor="background1"/>
                <w:szCs w:val="21"/>
                <w:lang w:eastAsia="cs-CZ"/>
              </w:rPr>
            </w:pPr>
            <w:r w:rsidRPr="003862B4">
              <w:rPr>
                <w:b/>
                <w:color w:val="FFFFFF" w:themeColor="background1"/>
                <w:szCs w:val="21"/>
              </w:rPr>
              <w:t>RBP</w:t>
            </w:r>
          </w:p>
        </w:tc>
      </w:tr>
      <w:tr w:rsidR="00AA7200" w:rsidRPr="004E1AFC" w:rsidTr="0003756A">
        <w:trPr>
          <w:trHeight w:val="300"/>
          <w:jc w:val="center"/>
        </w:trPr>
        <w:tc>
          <w:tcPr>
            <w:tcW w:w="2283" w:type="dxa"/>
            <w:shd w:val="clear" w:color="auto" w:fill="auto"/>
          </w:tcPr>
          <w:p w:rsidR="00AA7200" w:rsidRPr="00F17159" w:rsidRDefault="00AA7200" w:rsidP="00C3621B">
            <w:pPr>
              <w:spacing w:after="0" w:line="240" w:lineRule="auto"/>
              <w:rPr>
                <w:rFonts w:ascii="Calibri" w:eastAsia="Times New Roman" w:hAnsi="Calibri" w:cs="Times New Roman"/>
                <w:b/>
                <w:bCs/>
                <w:szCs w:val="21"/>
                <w:lang w:eastAsia="cs-CZ"/>
              </w:rPr>
            </w:pPr>
            <w:r>
              <w:rPr>
                <w:rFonts w:cs="Arial"/>
                <w:b/>
                <w:bCs/>
                <w:szCs w:val="21"/>
                <w:lang w:eastAsia="cs-CZ"/>
              </w:rPr>
              <w:t>P</w:t>
            </w:r>
            <w:r w:rsidRPr="00F17159">
              <w:rPr>
                <w:rFonts w:cs="Arial"/>
                <w:b/>
                <w:bCs/>
                <w:szCs w:val="21"/>
                <w:lang w:eastAsia="cs-CZ"/>
              </w:rPr>
              <w:t>říjmy celkem</w:t>
            </w:r>
          </w:p>
        </w:tc>
        <w:tc>
          <w:tcPr>
            <w:tcW w:w="960" w:type="dxa"/>
            <w:shd w:val="clear" w:color="000000" w:fill="DCE6F1"/>
            <w:noWrap/>
          </w:tcPr>
          <w:p w:rsidR="00AA7200" w:rsidRPr="00AA7200" w:rsidRDefault="00AA7200" w:rsidP="00AA7200">
            <w:pPr>
              <w:spacing w:after="0" w:line="240" w:lineRule="auto"/>
              <w:jc w:val="right"/>
              <w:rPr>
                <w:rFonts w:ascii="Calibri" w:eastAsia="Times New Roman" w:hAnsi="Calibri" w:cs="Times New Roman"/>
                <w:b/>
                <w:bCs/>
                <w:szCs w:val="21"/>
                <w:lang w:eastAsia="cs-CZ"/>
              </w:rPr>
            </w:pPr>
            <w:r w:rsidRPr="0003756A">
              <w:rPr>
                <w:b/>
              </w:rPr>
              <w:t>198 664</w:t>
            </w:r>
          </w:p>
        </w:tc>
        <w:tc>
          <w:tcPr>
            <w:tcW w:w="960" w:type="dxa"/>
            <w:shd w:val="clear" w:color="auto" w:fill="auto"/>
            <w:noWrap/>
          </w:tcPr>
          <w:p w:rsidR="00AA7200" w:rsidRPr="0003756A" w:rsidRDefault="00AA7200" w:rsidP="00AA7200">
            <w:pPr>
              <w:spacing w:after="0" w:line="240" w:lineRule="auto"/>
              <w:jc w:val="right"/>
              <w:rPr>
                <w:rFonts w:ascii="Calibri" w:eastAsia="Times New Roman" w:hAnsi="Calibri" w:cs="Times New Roman"/>
                <w:b/>
                <w:bCs/>
                <w:szCs w:val="21"/>
                <w:lang w:eastAsia="cs-CZ"/>
              </w:rPr>
            </w:pPr>
            <w:r w:rsidRPr="0003756A">
              <w:rPr>
                <w:rFonts w:ascii="Calibri" w:eastAsia="Times New Roman" w:hAnsi="Calibri" w:cs="Times New Roman"/>
                <w:b/>
                <w:bCs/>
                <w:szCs w:val="21"/>
                <w:lang w:eastAsia="cs-CZ"/>
              </w:rPr>
              <w:t xml:space="preserve">20 662 </w:t>
            </w:r>
          </w:p>
        </w:tc>
        <w:tc>
          <w:tcPr>
            <w:tcW w:w="960" w:type="dxa"/>
            <w:shd w:val="clear" w:color="000000" w:fill="DCE6F1"/>
            <w:noWrap/>
          </w:tcPr>
          <w:p w:rsidR="00AA7200" w:rsidRPr="0003756A" w:rsidRDefault="00AA7200" w:rsidP="00AA7200">
            <w:pPr>
              <w:spacing w:after="0" w:line="240" w:lineRule="auto"/>
              <w:jc w:val="right"/>
              <w:rPr>
                <w:rFonts w:ascii="Calibri" w:eastAsia="Times New Roman" w:hAnsi="Calibri" w:cs="Times New Roman"/>
                <w:b/>
                <w:bCs/>
                <w:szCs w:val="21"/>
                <w:lang w:eastAsia="cs-CZ"/>
              </w:rPr>
            </w:pPr>
            <w:r w:rsidRPr="0003756A">
              <w:rPr>
                <w:rFonts w:ascii="Calibri" w:eastAsia="Times New Roman" w:hAnsi="Calibri" w:cs="Times New Roman"/>
                <w:b/>
                <w:bCs/>
                <w:szCs w:val="21"/>
                <w:lang w:eastAsia="cs-CZ"/>
              </w:rPr>
              <w:t xml:space="preserve">35 667 </w:t>
            </w:r>
          </w:p>
        </w:tc>
        <w:tc>
          <w:tcPr>
            <w:tcW w:w="1040" w:type="dxa"/>
            <w:shd w:val="clear" w:color="auto" w:fill="auto"/>
            <w:noWrap/>
          </w:tcPr>
          <w:p w:rsidR="00AA7200" w:rsidRPr="00AA7200" w:rsidRDefault="00AA7200" w:rsidP="00AA7200">
            <w:pPr>
              <w:spacing w:after="0" w:line="240" w:lineRule="auto"/>
              <w:jc w:val="right"/>
              <w:rPr>
                <w:rFonts w:ascii="Calibri" w:eastAsia="Times New Roman" w:hAnsi="Calibri" w:cs="Times New Roman"/>
                <w:b/>
                <w:bCs/>
                <w:szCs w:val="21"/>
                <w:lang w:eastAsia="cs-CZ"/>
              </w:rPr>
            </w:pPr>
            <w:r w:rsidRPr="0003756A">
              <w:rPr>
                <w:rFonts w:ascii="Calibri" w:eastAsia="Times New Roman" w:hAnsi="Calibri" w:cs="Times New Roman"/>
                <w:b/>
                <w:bCs/>
                <w:szCs w:val="21"/>
                <w:lang w:eastAsia="cs-CZ"/>
              </w:rPr>
              <w:t>20 485</w:t>
            </w:r>
          </w:p>
        </w:tc>
        <w:tc>
          <w:tcPr>
            <w:tcW w:w="1040" w:type="dxa"/>
            <w:shd w:val="clear" w:color="000000" w:fill="DCE6F1"/>
            <w:noWrap/>
          </w:tcPr>
          <w:p w:rsidR="00AA7200" w:rsidRPr="00AA7200" w:rsidRDefault="00AA7200" w:rsidP="00AA7200">
            <w:pPr>
              <w:spacing w:after="0" w:line="240" w:lineRule="auto"/>
              <w:jc w:val="right"/>
              <w:rPr>
                <w:rFonts w:ascii="Calibri" w:eastAsia="Times New Roman" w:hAnsi="Calibri" w:cs="Times New Roman"/>
                <w:b/>
                <w:bCs/>
                <w:szCs w:val="21"/>
                <w:lang w:eastAsia="cs-CZ"/>
              </w:rPr>
            </w:pPr>
            <w:r w:rsidRPr="00AA7200">
              <w:rPr>
                <w:rFonts w:ascii="Calibri" w:eastAsia="Times New Roman" w:hAnsi="Calibri" w:cs="Times New Roman"/>
                <w:b/>
                <w:bCs/>
                <w:szCs w:val="21"/>
                <w:lang w:eastAsia="cs-CZ"/>
              </w:rPr>
              <w:t>4 46</w:t>
            </w:r>
            <w:r w:rsidRPr="0003756A">
              <w:rPr>
                <w:rFonts w:ascii="Calibri" w:eastAsia="Times New Roman" w:hAnsi="Calibri" w:cs="Times New Roman"/>
                <w:b/>
                <w:bCs/>
                <w:szCs w:val="21"/>
                <w:lang w:eastAsia="cs-CZ"/>
              </w:rPr>
              <w:t>9</w:t>
            </w:r>
          </w:p>
        </w:tc>
        <w:tc>
          <w:tcPr>
            <w:tcW w:w="1040" w:type="dxa"/>
            <w:shd w:val="clear" w:color="auto" w:fill="auto"/>
            <w:noWrap/>
          </w:tcPr>
          <w:p w:rsidR="00AA7200" w:rsidRPr="00AA7200" w:rsidRDefault="00AA7200" w:rsidP="00AA7200">
            <w:pPr>
              <w:spacing w:after="0" w:line="240" w:lineRule="auto"/>
              <w:jc w:val="right"/>
              <w:rPr>
                <w:rFonts w:ascii="Calibri" w:eastAsia="Times New Roman" w:hAnsi="Calibri" w:cs="Times New Roman"/>
                <w:b/>
                <w:bCs/>
                <w:szCs w:val="21"/>
                <w:lang w:eastAsia="cs-CZ"/>
              </w:rPr>
            </w:pPr>
            <w:r w:rsidRPr="00AA7200">
              <w:rPr>
                <w:rFonts w:ascii="Calibri" w:eastAsia="Times New Roman" w:hAnsi="Calibri" w:cs="Times New Roman"/>
                <w:b/>
                <w:bCs/>
                <w:szCs w:val="21"/>
                <w:lang w:eastAsia="cs-CZ"/>
              </w:rPr>
              <w:t>39 37</w:t>
            </w:r>
            <w:r w:rsidRPr="0003756A">
              <w:rPr>
                <w:rFonts w:ascii="Calibri" w:eastAsia="Times New Roman" w:hAnsi="Calibri" w:cs="Times New Roman"/>
                <w:b/>
                <w:bCs/>
                <w:szCs w:val="21"/>
                <w:lang w:eastAsia="cs-CZ"/>
              </w:rPr>
              <w:t>9</w:t>
            </w:r>
          </w:p>
        </w:tc>
        <w:tc>
          <w:tcPr>
            <w:tcW w:w="1020" w:type="dxa"/>
            <w:shd w:val="clear" w:color="000000" w:fill="DCE6F1"/>
            <w:noWrap/>
          </w:tcPr>
          <w:p w:rsidR="00AA7200" w:rsidRPr="00AA7200" w:rsidRDefault="00AA7200" w:rsidP="00AA7200">
            <w:pPr>
              <w:spacing w:after="0" w:line="240" w:lineRule="auto"/>
              <w:jc w:val="right"/>
              <w:rPr>
                <w:rFonts w:ascii="Calibri" w:eastAsia="Times New Roman" w:hAnsi="Calibri" w:cs="Times New Roman"/>
                <w:b/>
                <w:bCs/>
                <w:szCs w:val="21"/>
                <w:lang w:eastAsia="cs-CZ"/>
              </w:rPr>
            </w:pPr>
            <w:r w:rsidRPr="00AA7200">
              <w:rPr>
                <w:rFonts w:ascii="Calibri" w:eastAsia="Times New Roman" w:hAnsi="Calibri" w:cs="Times New Roman"/>
                <w:b/>
                <w:bCs/>
                <w:szCs w:val="21"/>
                <w:lang w:eastAsia="cs-CZ"/>
              </w:rPr>
              <w:t>12 13</w:t>
            </w:r>
            <w:r w:rsidRPr="0003756A">
              <w:rPr>
                <w:rFonts w:ascii="Calibri" w:eastAsia="Times New Roman" w:hAnsi="Calibri" w:cs="Times New Roman"/>
                <w:b/>
                <w:bCs/>
                <w:szCs w:val="21"/>
                <w:lang w:eastAsia="cs-CZ"/>
              </w:rPr>
              <w:t>5</w:t>
            </w:r>
          </w:p>
        </w:tc>
      </w:tr>
      <w:tr w:rsidR="00FB53D1" w:rsidRPr="004E1AFC" w:rsidTr="00C3621B">
        <w:trPr>
          <w:trHeight w:val="300"/>
          <w:jc w:val="center"/>
        </w:trPr>
        <w:tc>
          <w:tcPr>
            <w:tcW w:w="2283" w:type="dxa"/>
            <w:shd w:val="clear" w:color="000000" w:fill="EEF3F8"/>
          </w:tcPr>
          <w:p w:rsidR="00FB53D1" w:rsidRPr="00613CEF" w:rsidRDefault="003D4ECE" w:rsidP="00C3621B">
            <w:pPr>
              <w:spacing w:after="0" w:line="240" w:lineRule="auto"/>
              <w:rPr>
                <w:rFonts w:ascii="Calibri" w:eastAsia="Times New Roman" w:hAnsi="Calibri" w:cs="Times New Roman"/>
                <w:szCs w:val="21"/>
                <w:lang w:eastAsia="cs-CZ"/>
              </w:rPr>
            </w:pPr>
            <w:r>
              <w:rPr>
                <w:szCs w:val="21"/>
              </w:rPr>
              <w:t>P</w:t>
            </w:r>
            <w:r w:rsidR="00FB53D1" w:rsidRPr="000314D9">
              <w:rPr>
                <w:szCs w:val="21"/>
              </w:rPr>
              <w:t>ojistné po přerozdělování</w:t>
            </w:r>
          </w:p>
        </w:tc>
        <w:tc>
          <w:tcPr>
            <w:tcW w:w="960" w:type="dxa"/>
            <w:shd w:val="clear" w:color="000000" w:fill="EEF3F8"/>
            <w:noWrap/>
            <w:vAlign w:val="center"/>
          </w:tcPr>
          <w:p w:rsidR="00FB53D1" w:rsidRPr="00613CEF" w:rsidRDefault="00AA7200" w:rsidP="00C3621B">
            <w:pPr>
              <w:spacing w:after="0" w:line="240" w:lineRule="auto"/>
              <w:jc w:val="right"/>
              <w:rPr>
                <w:rFonts w:ascii="Calibri" w:eastAsia="Times New Roman" w:hAnsi="Calibri" w:cs="Times New Roman"/>
                <w:szCs w:val="21"/>
                <w:lang w:eastAsia="cs-CZ"/>
              </w:rPr>
            </w:pPr>
            <w:r w:rsidRPr="00AA7200">
              <w:rPr>
                <w:rFonts w:ascii="Calibri" w:eastAsia="Times New Roman" w:hAnsi="Calibri" w:cs="Times New Roman"/>
                <w:szCs w:val="21"/>
                <w:lang w:eastAsia="cs-CZ"/>
              </w:rPr>
              <w:t xml:space="preserve">196 064 </w:t>
            </w:r>
          </w:p>
        </w:tc>
        <w:tc>
          <w:tcPr>
            <w:tcW w:w="960" w:type="dxa"/>
            <w:shd w:val="clear" w:color="000000" w:fill="EEF3F8"/>
            <w:noWrap/>
            <w:vAlign w:val="center"/>
          </w:tcPr>
          <w:p w:rsidR="00FB53D1" w:rsidRPr="00613CEF" w:rsidRDefault="00AA7200" w:rsidP="00C3621B">
            <w:pPr>
              <w:spacing w:after="0" w:line="240" w:lineRule="auto"/>
              <w:jc w:val="right"/>
              <w:rPr>
                <w:rFonts w:ascii="Calibri" w:eastAsia="Times New Roman" w:hAnsi="Calibri" w:cs="Times New Roman"/>
                <w:szCs w:val="21"/>
                <w:lang w:eastAsia="cs-CZ"/>
              </w:rPr>
            </w:pPr>
            <w:r w:rsidRPr="00AA7200">
              <w:rPr>
                <w:rFonts w:ascii="Calibri" w:eastAsia="Times New Roman" w:hAnsi="Calibri" w:cs="Times New Roman"/>
                <w:szCs w:val="21"/>
                <w:lang w:eastAsia="cs-CZ"/>
              </w:rPr>
              <w:t xml:space="preserve">20 </w:t>
            </w:r>
            <w:r>
              <w:rPr>
                <w:rFonts w:ascii="Calibri" w:eastAsia="Times New Roman" w:hAnsi="Calibri" w:cs="Times New Roman"/>
                <w:szCs w:val="21"/>
                <w:lang w:eastAsia="cs-CZ"/>
              </w:rPr>
              <w:t>300</w:t>
            </w:r>
          </w:p>
        </w:tc>
        <w:tc>
          <w:tcPr>
            <w:tcW w:w="960" w:type="dxa"/>
            <w:shd w:val="clear" w:color="000000" w:fill="EEF3F8"/>
            <w:noWrap/>
            <w:vAlign w:val="center"/>
          </w:tcPr>
          <w:p w:rsidR="00FB53D1" w:rsidRPr="00613CEF" w:rsidRDefault="00AA7200" w:rsidP="00C3621B">
            <w:pPr>
              <w:spacing w:after="0" w:line="240" w:lineRule="auto"/>
              <w:jc w:val="right"/>
              <w:rPr>
                <w:rFonts w:ascii="Calibri" w:eastAsia="Times New Roman" w:hAnsi="Calibri" w:cs="Times New Roman"/>
                <w:szCs w:val="21"/>
                <w:lang w:eastAsia="cs-CZ"/>
              </w:rPr>
            </w:pPr>
            <w:r w:rsidRPr="00AA7200">
              <w:rPr>
                <w:rFonts w:ascii="Calibri" w:eastAsia="Times New Roman" w:hAnsi="Calibri" w:cs="Times New Roman"/>
                <w:szCs w:val="21"/>
                <w:lang w:eastAsia="cs-CZ"/>
              </w:rPr>
              <w:t>35 333</w:t>
            </w:r>
          </w:p>
        </w:tc>
        <w:tc>
          <w:tcPr>
            <w:tcW w:w="1040" w:type="dxa"/>
            <w:shd w:val="clear" w:color="000000" w:fill="EEF3F8"/>
            <w:noWrap/>
            <w:vAlign w:val="center"/>
          </w:tcPr>
          <w:p w:rsidR="00FB53D1" w:rsidRPr="00613CEF" w:rsidRDefault="00AA7200" w:rsidP="00C3621B">
            <w:pPr>
              <w:spacing w:after="0" w:line="240" w:lineRule="auto"/>
              <w:jc w:val="right"/>
              <w:rPr>
                <w:rFonts w:ascii="Calibri" w:eastAsia="Times New Roman" w:hAnsi="Calibri" w:cs="Times New Roman"/>
                <w:szCs w:val="21"/>
                <w:lang w:eastAsia="cs-CZ"/>
              </w:rPr>
            </w:pPr>
            <w:r w:rsidRPr="00AA7200">
              <w:rPr>
                <w:rFonts w:ascii="Calibri" w:eastAsia="Times New Roman" w:hAnsi="Calibri" w:cs="Times New Roman"/>
                <w:szCs w:val="21"/>
                <w:lang w:eastAsia="cs-CZ"/>
              </w:rPr>
              <w:t>20 28</w:t>
            </w:r>
            <w:r>
              <w:rPr>
                <w:rFonts w:ascii="Calibri" w:eastAsia="Times New Roman" w:hAnsi="Calibri" w:cs="Times New Roman"/>
                <w:szCs w:val="21"/>
                <w:lang w:eastAsia="cs-CZ"/>
              </w:rPr>
              <w:t>3</w:t>
            </w:r>
          </w:p>
        </w:tc>
        <w:tc>
          <w:tcPr>
            <w:tcW w:w="1040" w:type="dxa"/>
            <w:shd w:val="clear" w:color="000000" w:fill="EEF3F8"/>
            <w:noWrap/>
            <w:vAlign w:val="center"/>
          </w:tcPr>
          <w:p w:rsidR="00FB53D1" w:rsidRPr="00613CEF" w:rsidRDefault="00AA7200" w:rsidP="00C3621B">
            <w:pPr>
              <w:spacing w:after="0" w:line="240" w:lineRule="auto"/>
              <w:jc w:val="right"/>
              <w:rPr>
                <w:rFonts w:ascii="Calibri" w:eastAsia="Times New Roman" w:hAnsi="Calibri" w:cs="Times New Roman"/>
                <w:szCs w:val="21"/>
                <w:lang w:eastAsia="cs-CZ"/>
              </w:rPr>
            </w:pPr>
            <w:r w:rsidRPr="00AA7200">
              <w:rPr>
                <w:rFonts w:ascii="Calibri" w:eastAsia="Times New Roman" w:hAnsi="Calibri" w:cs="Times New Roman"/>
                <w:szCs w:val="21"/>
                <w:lang w:eastAsia="cs-CZ"/>
              </w:rPr>
              <w:t>4 435</w:t>
            </w:r>
          </w:p>
        </w:tc>
        <w:tc>
          <w:tcPr>
            <w:tcW w:w="1040" w:type="dxa"/>
            <w:shd w:val="clear" w:color="000000" w:fill="EEF3F8"/>
            <w:noWrap/>
            <w:vAlign w:val="center"/>
          </w:tcPr>
          <w:p w:rsidR="00FB53D1" w:rsidRPr="00613CEF" w:rsidRDefault="00AA7200" w:rsidP="00C3621B">
            <w:pPr>
              <w:spacing w:after="0" w:line="240" w:lineRule="auto"/>
              <w:jc w:val="right"/>
              <w:rPr>
                <w:rFonts w:ascii="Calibri" w:eastAsia="Times New Roman" w:hAnsi="Calibri" w:cs="Times New Roman"/>
                <w:szCs w:val="21"/>
                <w:lang w:eastAsia="cs-CZ"/>
              </w:rPr>
            </w:pPr>
            <w:r w:rsidRPr="00AA7200">
              <w:rPr>
                <w:rFonts w:ascii="Calibri" w:eastAsia="Times New Roman" w:hAnsi="Calibri" w:cs="Times New Roman"/>
                <w:szCs w:val="21"/>
                <w:lang w:eastAsia="cs-CZ"/>
              </w:rPr>
              <w:t>39 08</w:t>
            </w:r>
            <w:r>
              <w:rPr>
                <w:rFonts w:ascii="Calibri" w:eastAsia="Times New Roman" w:hAnsi="Calibri" w:cs="Times New Roman"/>
                <w:szCs w:val="21"/>
                <w:lang w:eastAsia="cs-CZ"/>
              </w:rPr>
              <w:t>3</w:t>
            </w:r>
          </w:p>
        </w:tc>
        <w:tc>
          <w:tcPr>
            <w:tcW w:w="1020" w:type="dxa"/>
            <w:shd w:val="clear" w:color="000000" w:fill="EEF3F8"/>
            <w:noWrap/>
            <w:vAlign w:val="center"/>
          </w:tcPr>
          <w:p w:rsidR="00FB53D1" w:rsidRPr="00613CEF" w:rsidRDefault="00AA7200" w:rsidP="00C3621B">
            <w:pPr>
              <w:spacing w:after="0" w:line="240" w:lineRule="auto"/>
              <w:jc w:val="right"/>
              <w:rPr>
                <w:rFonts w:ascii="Calibri" w:eastAsia="Times New Roman" w:hAnsi="Calibri" w:cs="Times New Roman"/>
                <w:szCs w:val="21"/>
                <w:lang w:eastAsia="cs-CZ"/>
              </w:rPr>
            </w:pPr>
            <w:r w:rsidRPr="00AA7200">
              <w:rPr>
                <w:rFonts w:ascii="Calibri" w:eastAsia="Times New Roman" w:hAnsi="Calibri" w:cs="Times New Roman"/>
                <w:szCs w:val="21"/>
                <w:lang w:eastAsia="cs-CZ"/>
              </w:rPr>
              <w:t>12 05</w:t>
            </w:r>
            <w:r>
              <w:rPr>
                <w:rFonts w:ascii="Calibri" w:eastAsia="Times New Roman" w:hAnsi="Calibri" w:cs="Times New Roman"/>
                <w:szCs w:val="21"/>
                <w:lang w:eastAsia="cs-CZ"/>
              </w:rPr>
              <w:t>8</w:t>
            </w:r>
          </w:p>
        </w:tc>
      </w:tr>
      <w:tr w:rsidR="00FB53D1" w:rsidRPr="004E1AFC" w:rsidTr="00C3621B">
        <w:trPr>
          <w:trHeight w:val="300"/>
          <w:jc w:val="center"/>
        </w:trPr>
        <w:tc>
          <w:tcPr>
            <w:tcW w:w="2283" w:type="dxa"/>
            <w:shd w:val="clear" w:color="auto" w:fill="auto"/>
          </w:tcPr>
          <w:p w:rsidR="00FB53D1" w:rsidRDefault="003D4ECE" w:rsidP="00C3621B">
            <w:pPr>
              <w:spacing w:after="0" w:line="240" w:lineRule="auto"/>
              <w:rPr>
                <w:rFonts w:ascii="Calibri" w:eastAsia="Times New Roman" w:hAnsi="Calibri" w:cs="Times New Roman"/>
                <w:bCs/>
                <w:szCs w:val="21"/>
                <w:lang w:eastAsia="cs-CZ"/>
              </w:rPr>
            </w:pPr>
            <w:r>
              <w:rPr>
                <w:szCs w:val="21"/>
              </w:rPr>
              <w:t>P</w:t>
            </w:r>
            <w:r w:rsidR="00FB53D1" w:rsidRPr="000314D9">
              <w:rPr>
                <w:szCs w:val="21"/>
              </w:rPr>
              <w:t>ojistné po přerozdělování</w:t>
            </w:r>
          </w:p>
          <w:p w:rsidR="00FB53D1" w:rsidRPr="00613CEF" w:rsidRDefault="00FB53D1" w:rsidP="00C3621B">
            <w:pPr>
              <w:spacing w:after="0" w:line="240" w:lineRule="auto"/>
              <w:rPr>
                <w:rFonts w:ascii="Calibri" w:eastAsia="Times New Roman" w:hAnsi="Calibri" w:cs="Times New Roman"/>
                <w:bCs/>
                <w:szCs w:val="21"/>
                <w:lang w:eastAsia="cs-CZ"/>
              </w:rPr>
            </w:pPr>
            <w:r w:rsidRPr="00613CEF">
              <w:rPr>
                <w:rFonts w:ascii="Calibri" w:eastAsia="Times New Roman" w:hAnsi="Calibri" w:cs="Times New Roman"/>
                <w:bCs/>
                <w:szCs w:val="21"/>
                <w:lang w:eastAsia="cs-CZ"/>
              </w:rPr>
              <w:t>na 1 pojištěnce (v Kč)</w:t>
            </w:r>
          </w:p>
        </w:tc>
        <w:tc>
          <w:tcPr>
            <w:tcW w:w="960" w:type="dxa"/>
            <w:shd w:val="clear" w:color="000000" w:fill="DCE6F1"/>
            <w:noWrap/>
            <w:vAlign w:val="center"/>
          </w:tcPr>
          <w:p w:rsidR="00FB53D1" w:rsidRPr="00F1367D" w:rsidRDefault="00681B5B" w:rsidP="00C3621B">
            <w:pPr>
              <w:spacing w:after="0" w:line="240" w:lineRule="auto"/>
              <w:jc w:val="right"/>
              <w:rPr>
                <w:rFonts w:ascii="Calibri" w:eastAsia="Times New Roman" w:hAnsi="Calibri" w:cs="Times New Roman"/>
                <w:bCs/>
                <w:szCs w:val="21"/>
                <w:lang w:eastAsia="cs-CZ"/>
              </w:rPr>
            </w:pPr>
            <w:r w:rsidRPr="00681B5B">
              <w:rPr>
                <w:rFonts w:ascii="Calibri" w:eastAsia="Times New Roman" w:hAnsi="Calibri" w:cs="Times New Roman"/>
                <w:bCs/>
                <w:szCs w:val="21"/>
                <w:lang w:eastAsia="cs-CZ"/>
              </w:rPr>
              <w:t>32 928</w:t>
            </w:r>
          </w:p>
        </w:tc>
        <w:tc>
          <w:tcPr>
            <w:tcW w:w="960" w:type="dxa"/>
            <w:shd w:val="clear" w:color="auto" w:fill="auto"/>
            <w:noWrap/>
            <w:vAlign w:val="center"/>
          </w:tcPr>
          <w:p w:rsidR="00FB53D1" w:rsidRPr="00F1367D" w:rsidRDefault="00681B5B" w:rsidP="00C3621B">
            <w:pPr>
              <w:spacing w:after="0" w:line="240" w:lineRule="auto"/>
              <w:jc w:val="right"/>
              <w:rPr>
                <w:rFonts w:ascii="Calibri" w:eastAsia="Times New Roman" w:hAnsi="Calibri" w:cs="Times New Roman"/>
                <w:bCs/>
                <w:szCs w:val="21"/>
                <w:lang w:eastAsia="cs-CZ"/>
              </w:rPr>
            </w:pPr>
            <w:r w:rsidRPr="00681B5B">
              <w:rPr>
                <w:rFonts w:ascii="Calibri" w:eastAsia="Times New Roman" w:hAnsi="Calibri" w:cs="Times New Roman"/>
                <w:bCs/>
                <w:szCs w:val="21"/>
                <w:lang w:eastAsia="cs-CZ"/>
              </w:rPr>
              <w:t>29 099</w:t>
            </w:r>
          </w:p>
        </w:tc>
        <w:tc>
          <w:tcPr>
            <w:tcW w:w="960" w:type="dxa"/>
            <w:shd w:val="clear" w:color="000000" w:fill="DCE6F1"/>
            <w:noWrap/>
            <w:vAlign w:val="center"/>
          </w:tcPr>
          <w:p w:rsidR="00FB53D1" w:rsidRPr="00F1367D" w:rsidRDefault="00681B5B" w:rsidP="00C3621B">
            <w:pPr>
              <w:spacing w:after="0" w:line="240" w:lineRule="auto"/>
              <w:jc w:val="right"/>
              <w:rPr>
                <w:rFonts w:ascii="Calibri" w:eastAsia="Times New Roman" w:hAnsi="Calibri" w:cs="Times New Roman"/>
                <w:bCs/>
                <w:szCs w:val="21"/>
                <w:lang w:eastAsia="cs-CZ"/>
              </w:rPr>
            </w:pPr>
            <w:r w:rsidRPr="00681B5B">
              <w:rPr>
                <w:rFonts w:ascii="Calibri" w:eastAsia="Times New Roman" w:hAnsi="Calibri" w:cs="Times New Roman"/>
                <w:bCs/>
                <w:szCs w:val="21"/>
                <w:lang w:eastAsia="cs-CZ"/>
              </w:rPr>
              <w:t>27 891</w:t>
            </w:r>
          </w:p>
        </w:tc>
        <w:tc>
          <w:tcPr>
            <w:tcW w:w="1040" w:type="dxa"/>
            <w:shd w:val="clear" w:color="auto" w:fill="auto"/>
            <w:noWrap/>
            <w:vAlign w:val="center"/>
          </w:tcPr>
          <w:p w:rsidR="00FB53D1" w:rsidRPr="00F1367D" w:rsidRDefault="00681B5B" w:rsidP="00C3621B">
            <w:pPr>
              <w:spacing w:after="0" w:line="240" w:lineRule="auto"/>
              <w:jc w:val="right"/>
              <w:rPr>
                <w:rFonts w:ascii="Calibri" w:eastAsia="Times New Roman" w:hAnsi="Calibri" w:cs="Times New Roman"/>
                <w:bCs/>
                <w:szCs w:val="21"/>
                <w:lang w:eastAsia="cs-CZ"/>
              </w:rPr>
            </w:pPr>
            <w:r w:rsidRPr="00681B5B">
              <w:rPr>
                <w:rFonts w:ascii="Calibri" w:eastAsia="Times New Roman" w:hAnsi="Calibri" w:cs="Times New Roman"/>
                <w:bCs/>
                <w:szCs w:val="21"/>
                <w:lang w:eastAsia="cs-CZ"/>
              </w:rPr>
              <w:t>27 716</w:t>
            </w:r>
          </w:p>
        </w:tc>
        <w:tc>
          <w:tcPr>
            <w:tcW w:w="1040" w:type="dxa"/>
            <w:shd w:val="clear" w:color="000000" w:fill="DCE6F1"/>
            <w:noWrap/>
            <w:vAlign w:val="center"/>
          </w:tcPr>
          <w:p w:rsidR="00FB53D1" w:rsidRPr="00F1367D" w:rsidRDefault="00681B5B" w:rsidP="00C3621B">
            <w:pPr>
              <w:spacing w:after="0" w:line="240" w:lineRule="auto"/>
              <w:jc w:val="right"/>
              <w:rPr>
                <w:rFonts w:ascii="Calibri" w:eastAsia="Times New Roman" w:hAnsi="Calibri" w:cs="Times New Roman"/>
                <w:bCs/>
                <w:szCs w:val="21"/>
                <w:lang w:eastAsia="cs-CZ"/>
              </w:rPr>
            </w:pPr>
            <w:r w:rsidRPr="00681B5B">
              <w:rPr>
                <w:rFonts w:ascii="Calibri" w:eastAsia="Times New Roman" w:hAnsi="Calibri" w:cs="Times New Roman"/>
                <w:bCs/>
                <w:szCs w:val="21"/>
                <w:lang w:eastAsia="cs-CZ"/>
              </w:rPr>
              <w:t>30 649</w:t>
            </w:r>
          </w:p>
        </w:tc>
        <w:tc>
          <w:tcPr>
            <w:tcW w:w="1040" w:type="dxa"/>
            <w:shd w:val="clear" w:color="auto" w:fill="auto"/>
            <w:noWrap/>
            <w:vAlign w:val="center"/>
          </w:tcPr>
          <w:p w:rsidR="00FB53D1" w:rsidRPr="00F1367D" w:rsidRDefault="00681B5B" w:rsidP="00C3621B">
            <w:pPr>
              <w:spacing w:after="0" w:line="240" w:lineRule="auto"/>
              <w:jc w:val="right"/>
              <w:rPr>
                <w:rFonts w:ascii="Calibri" w:eastAsia="Times New Roman" w:hAnsi="Calibri" w:cs="Times New Roman"/>
                <w:bCs/>
                <w:szCs w:val="21"/>
                <w:lang w:eastAsia="cs-CZ"/>
              </w:rPr>
            </w:pPr>
            <w:r w:rsidRPr="00681B5B">
              <w:rPr>
                <w:rFonts w:ascii="Calibri" w:eastAsia="Times New Roman" w:hAnsi="Calibri" w:cs="Times New Roman"/>
                <w:bCs/>
                <w:szCs w:val="21"/>
                <w:lang w:eastAsia="cs-CZ"/>
              </w:rPr>
              <w:t>29 650</w:t>
            </w:r>
          </w:p>
        </w:tc>
        <w:tc>
          <w:tcPr>
            <w:tcW w:w="1020" w:type="dxa"/>
            <w:shd w:val="clear" w:color="000000" w:fill="DCE6F1"/>
            <w:noWrap/>
            <w:vAlign w:val="center"/>
          </w:tcPr>
          <w:p w:rsidR="00FB53D1" w:rsidRPr="00F1367D" w:rsidRDefault="00681B5B" w:rsidP="00C3621B">
            <w:pPr>
              <w:spacing w:after="0" w:line="240" w:lineRule="auto"/>
              <w:jc w:val="right"/>
              <w:rPr>
                <w:rFonts w:ascii="Calibri" w:eastAsia="Times New Roman" w:hAnsi="Calibri" w:cs="Times New Roman"/>
                <w:bCs/>
                <w:szCs w:val="21"/>
                <w:lang w:eastAsia="cs-CZ"/>
              </w:rPr>
            </w:pPr>
            <w:r w:rsidRPr="00681B5B">
              <w:rPr>
                <w:rFonts w:ascii="Calibri" w:eastAsia="Times New Roman" w:hAnsi="Calibri" w:cs="Times New Roman"/>
                <w:bCs/>
                <w:szCs w:val="21"/>
                <w:lang w:eastAsia="cs-CZ"/>
              </w:rPr>
              <w:t>28 164</w:t>
            </w:r>
          </w:p>
        </w:tc>
      </w:tr>
    </w:tbl>
    <w:p w:rsidR="00436F6E" w:rsidRPr="00B3234B" w:rsidRDefault="00FB53D1" w:rsidP="00B3234B">
      <w:pPr>
        <w:spacing w:before="180" w:line="276" w:lineRule="auto"/>
        <w:jc w:val="both"/>
        <w:rPr>
          <w:bCs/>
        </w:rPr>
      </w:pPr>
      <w:r w:rsidRPr="00037363">
        <w:rPr>
          <w:bCs/>
        </w:rPr>
        <w:t>Příjmy jednotlivých ZP v různém členění a v meziročním porovnání včetně porovnání se zdravotně pojistnými plány (ZPP) na rok 201</w:t>
      </w:r>
      <w:r w:rsidR="00AA7200">
        <w:rPr>
          <w:bCs/>
        </w:rPr>
        <w:t>9</w:t>
      </w:r>
      <w:r w:rsidRPr="00037363">
        <w:rPr>
          <w:bCs/>
        </w:rPr>
        <w:t xml:space="preserve"> podrobněji viz tabulková příloha </w:t>
      </w:r>
      <w:r w:rsidRPr="00037363">
        <w:rPr>
          <w:bCs/>
          <w:i/>
          <w:iCs/>
        </w:rPr>
        <w:t>Tabulka č. 1, str. 2–3</w:t>
      </w:r>
      <w:r w:rsidRPr="00037363">
        <w:rPr>
          <w:bCs/>
        </w:rPr>
        <w:t xml:space="preserve">. </w:t>
      </w:r>
      <w:r w:rsidRPr="00B3234B">
        <w:rPr>
          <w:bCs/>
        </w:rPr>
        <w:t xml:space="preserve">Vývoj příjmů systému v. z. p. </w:t>
      </w:r>
      <w:r w:rsidR="00AA7200" w:rsidRPr="00B3234B">
        <w:rPr>
          <w:bCs/>
        </w:rPr>
        <w:t>201</w:t>
      </w:r>
      <w:r w:rsidR="00AA7200">
        <w:rPr>
          <w:bCs/>
        </w:rPr>
        <w:t>7</w:t>
      </w:r>
      <w:r w:rsidR="00AA7200" w:rsidRPr="00B3234B">
        <w:rPr>
          <w:bCs/>
        </w:rPr>
        <w:t xml:space="preserve"> </w:t>
      </w:r>
      <w:r w:rsidRPr="00B3234B">
        <w:rPr>
          <w:bCs/>
        </w:rPr>
        <w:t>až</w:t>
      </w:r>
      <w:r w:rsidR="00037363">
        <w:rPr>
          <w:bCs/>
        </w:rPr>
        <w:t> </w:t>
      </w:r>
      <w:r w:rsidRPr="00B3234B">
        <w:rPr>
          <w:bCs/>
        </w:rPr>
        <w:t>201</w:t>
      </w:r>
      <w:r w:rsidR="00AA7200">
        <w:rPr>
          <w:bCs/>
        </w:rPr>
        <w:t>9</w:t>
      </w:r>
      <w:r w:rsidRPr="00B3234B">
        <w:rPr>
          <w:bCs/>
        </w:rPr>
        <w:t xml:space="preserve"> </w:t>
      </w:r>
      <w:r w:rsidRPr="00037363">
        <w:rPr>
          <w:bCs/>
        </w:rPr>
        <w:t xml:space="preserve">viz tabulková příloha </w:t>
      </w:r>
      <w:r w:rsidRPr="00037363">
        <w:rPr>
          <w:bCs/>
          <w:i/>
          <w:iCs/>
        </w:rPr>
        <w:t>Tabulka č. 4</w:t>
      </w:r>
      <w:r w:rsidRPr="00037363">
        <w:rPr>
          <w:bCs/>
        </w:rPr>
        <w:t>.</w:t>
      </w:r>
      <w:r w:rsidR="00AA7200" w:rsidRPr="00B3234B">
        <w:rPr>
          <w:bCs/>
        </w:rPr>
        <w:t xml:space="preserve"> </w:t>
      </w:r>
      <w:r w:rsidR="00436F6E" w:rsidRPr="00B3234B">
        <w:rPr>
          <w:bCs/>
        </w:rPr>
        <w:br w:type="page"/>
      </w:r>
    </w:p>
    <w:p w:rsidR="00436F6E" w:rsidRDefault="00436F6E" w:rsidP="00AC25F3">
      <w:pPr>
        <w:pStyle w:val="Nadpis2"/>
      </w:pPr>
      <w:bookmarkStart w:id="7" w:name="_Toc41898949"/>
      <w:r>
        <w:lastRenderedPageBreak/>
        <w:t>Výdaje</w:t>
      </w:r>
      <w:bookmarkEnd w:id="7"/>
      <w:r>
        <w:t xml:space="preserve"> </w:t>
      </w:r>
    </w:p>
    <w:p w:rsidR="0032514E" w:rsidRDefault="0032514E" w:rsidP="00F95ECD">
      <w:pPr>
        <w:spacing w:before="180" w:line="276" w:lineRule="auto"/>
        <w:jc w:val="both"/>
      </w:pPr>
      <w:r w:rsidRPr="00CD27C2">
        <w:rPr>
          <w:b/>
          <w:bCs/>
        </w:rPr>
        <w:t xml:space="preserve">Celkové výdaje systému v. z. p. na rok </w:t>
      </w:r>
      <w:r w:rsidR="00BD583B" w:rsidRPr="00CD27C2">
        <w:rPr>
          <w:b/>
          <w:bCs/>
        </w:rPr>
        <w:t>201</w:t>
      </w:r>
      <w:r w:rsidR="00BD583B">
        <w:rPr>
          <w:b/>
          <w:bCs/>
        </w:rPr>
        <w:t>9</w:t>
      </w:r>
      <w:r w:rsidR="00BD583B" w:rsidRPr="00CD27C2">
        <w:t xml:space="preserve"> </w:t>
      </w:r>
      <w:r w:rsidRPr="00CD27C2">
        <w:t>(</w:t>
      </w:r>
      <w:r w:rsidRPr="00CD27C2">
        <w:rPr>
          <w:i/>
          <w:iCs/>
        </w:rPr>
        <w:t>Tabulka č. 3</w:t>
      </w:r>
      <w:r w:rsidRPr="00CD27C2">
        <w:t xml:space="preserve">) činily </w:t>
      </w:r>
      <w:r w:rsidR="00BD583B">
        <w:rPr>
          <w:b/>
          <w:bCs/>
        </w:rPr>
        <w:t>318,</w:t>
      </w:r>
      <w:r w:rsidR="00BD583B" w:rsidRPr="00BD583B">
        <w:rPr>
          <w:b/>
          <w:bCs/>
        </w:rPr>
        <w:t>0</w:t>
      </w:r>
      <w:r w:rsidR="00BD583B">
        <w:rPr>
          <w:b/>
          <w:bCs/>
        </w:rPr>
        <w:t xml:space="preserve"> </w:t>
      </w:r>
      <w:r w:rsidRPr="00CD27C2">
        <w:rPr>
          <w:b/>
          <w:bCs/>
        </w:rPr>
        <w:t>mld. Kč</w:t>
      </w:r>
      <w:r w:rsidRPr="00CD27C2">
        <w:t xml:space="preserve"> s meziročním nárůstem o 7,</w:t>
      </w:r>
      <w:r w:rsidR="00BD583B">
        <w:t>7</w:t>
      </w:r>
      <w:r w:rsidRPr="00CD27C2">
        <w:t xml:space="preserve"> % (absolutně o </w:t>
      </w:r>
      <w:r w:rsidR="00BD583B">
        <w:t>22,7</w:t>
      </w:r>
      <w:r w:rsidR="00BD583B" w:rsidRPr="00CD27C2">
        <w:t xml:space="preserve"> </w:t>
      </w:r>
      <w:r w:rsidRPr="00CD27C2">
        <w:t>mld. Kč). Naopak oproti ZPP 201</w:t>
      </w:r>
      <w:r w:rsidR="00BD583B">
        <w:t>9</w:t>
      </w:r>
      <w:r w:rsidRPr="00CD27C2">
        <w:t xml:space="preserve"> poklesly o </w:t>
      </w:r>
      <w:r w:rsidR="00BD583B">
        <w:t>1,1</w:t>
      </w:r>
      <w:r w:rsidRPr="00CD27C2">
        <w:t xml:space="preserve"> % (absolutně o </w:t>
      </w:r>
      <w:r w:rsidR="00BD583B">
        <w:t>3,5</w:t>
      </w:r>
      <w:r w:rsidRPr="00CD27C2">
        <w:t> mld. Kč)</w:t>
      </w:r>
      <w:r w:rsidR="0062244D" w:rsidRPr="00CD27C2">
        <w:t>, což platí téměř i u všech zdravotních pojišťoven (</w:t>
      </w:r>
      <w:r w:rsidR="0062244D" w:rsidRPr="00CD27C2">
        <w:rPr>
          <w:i/>
          <w:iCs/>
        </w:rPr>
        <w:t>Graf č. 2</w:t>
      </w:r>
      <w:r w:rsidR="0062244D" w:rsidRPr="00CD27C2">
        <w:t>)</w:t>
      </w:r>
      <w:r w:rsidRPr="00CD27C2">
        <w:t>.</w:t>
      </w:r>
      <w:r>
        <w:t xml:space="preserve"> </w:t>
      </w:r>
    </w:p>
    <w:p w:rsidR="0032514E" w:rsidRPr="00B3234B" w:rsidRDefault="0032514E" w:rsidP="00F95ECD">
      <w:pPr>
        <w:spacing w:before="180" w:line="276" w:lineRule="auto"/>
        <w:jc w:val="both"/>
      </w:pPr>
      <w:r w:rsidRPr="00BF1738">
        <w:t xml:space="preserve">V přepočtu </w:t>
      </w:r>
      <w:r w:rsidRPr="006B7BB1">
        <w:rPr>
          <w:b/>
          <w:bCs/>
        </w:rPr>
        <w:t xml:space="preserve">na jednoho pojištěnce </w:t>
      </w:r>
      <w:r w:rsidRPr="006B7BB1">
        <w:t xml:space="preserve">byly celkové výdaje systému v. z. p. ve výši </w:t>
      </w:r>
      <w:r w:rsidR="00C11014" w:rsidRPr="006B7BB1">
        <w:rPr>
          <w:b/>
          <w:bCs/>
        </w:rPr>
        <w:t>30</w:t>
      </w:r>
      <w:r w:rsidR="00C11014" w:rsidRPr="00E0692A">
        <w:rPr>
          <w:b/>
          <w:bCs/>
        </w:rPr>
        <w:t> </w:t>
      </w:r>
      <w:r w:rsidR="00EF2311">
        <w:rPr>
          <w:b/>
          <w:bCs/>
        </w:rPr>
        <w:t>167</w:t>
      </w:r>
      <w:r w:rsidR="00EF2311" w:rsidRPr="00B74879">
        <w:rPr>
          <w:b/>
          <w:bCs/>
        </w:rPr>
        <w:t xml:space="preserve"> </w:t>
      </w:r>
      <w:r w:rsidRPr="00B74879">
        <w:rPr>
          <w:b/>
          <w:bCs/>
        </w:rPr>
        <w:t>Kč</w:t>
      </w:r>
      <w:r w:rsidRPr="00B74879">
        <w:t xml:space="preserve"> </w:t>
      </w:r>
      <w:r w:rsidR="00BF1738" w:rsidRPr="000E26F9">
        <w:t>(meziročně se zvýšily o 7,</w:t>
      </w:r>
      <w:r w:rsidR="00EF2311">
        <w:t>4</w:t>
      </w:r>
      <w:r w:rsidR="00BF1738" w:rsidRPr="000E26F9">
        <w:t> %).</w:t>
      </w:r>
      <w:r w:rsidR="00BF1738">
        <w:t xml:space="preserve"> </w:t>
      </w:r>
      <w:r>
        <w:t>Nejvyšší výdaje celkem na jednoho pojištěnce měla VZP ČR ve</w:t>
      </w:r>
      <w:r w:rsidR="00EF2311">
        <w:t> </w:t>
      </w:r>
      <w:r>
        <w:t xml:space="preserve">výši </w:t>
      </w:r>
      <w:r w:rsidR="00C11014" w:rsidRPr="00C11014">
        <w:t>31</w:t>
      </w:r>
      <w:r w:rsidR="00C11014">
        <w:t> </w:t>
      </w:r>
      <w:r w:rsidR="00C11014" w:rsidRPr="00C11014">
        <w:t>868</w:t>
      </w:r>
      <w:r w:rsidR="00C11014">
        <w:t xml:space="preserve"> </w:t>
      </w:r>
      <w:r>
        <w:t>Kč a</w:t>
      </w:r>
      <w:r w:rsidR="00952BDE">
        <w:t> </w:t>
      </w:r>
      <w:r>
        <w:t xml:space="preserve">nejnižší </w:t>
      </w:r>
      <w:r w:rsidR="00067CD4">
        <w:t>ČPZP</w:t>
      </w:r>
      <w:r w:rsidR="00C11014">
        <w:t xml:space="preserve"> </w:t>
      </w:r>
      <w:r>
        <w:t xml:space="preserve">s částkou </w:t>
      </w:r>
      <w:r w:rsidR="00067CD4">
        <w:t>26 948</w:t>
      </w:r>
      <w:r w:rsidR="00437146">
        <w:t xml:space="preserve"> </w:t>
      </w:r>
      <w:r>
        <w:t>Kč.</w:t>
      </w:r>
    </w:p>
    <w:p w:rsidR="00AB3843" w:rsidRDefault="00AB3843" w:rsidP="00F95ECD">
      <w:pPr>
        <w:spacing w:before="180" w:line="276" w:lineRule="auto"/>
        <w:jc w:val="both"/>
      </w:pPr>
      <w:r w:rsidRPr="00B3234B">
        <w:rPr>
          <w:b/>
          <w:bCs/>
        </w:rPr>
        <w:t xml:space="preserve">Výdaje </w:t>
      </w:r>
      <w:r>
        <w:t xml:space="preserve">jsou charakterizovány meziročním nárůstem způsobeným mj. realizací expanzivní vyhlášky č. </w:t>
      </w:r>
      <w:r w:rsidR="00C11014" w:rsidRPr="00C11014">
        <w:t xml:space="preserve">201/2018 </w:t>
      </w:r>
      <w:r w:rsidRPr="006D791B">
        <w:t>Sb</w:t>
      </w:r>
      <w:r>
        <w:t>., o stanovení hodnot bodu, výše úhrad hrazených služeb a regulačních omezení pro rok 201</w:t>
      </w:r>
      <w:r w:rsidR="00C11014">
        <w:t>9</w:t>
      </w:r>
      <w:r>
        <w:t xml:space="preserve"> (tzv.</w:t>
      </w:r>
      <w:r w:rsidR="0032514E">
        <w:t> </w:t>
      </w:r>
      <w:r>
        <w:t xml:space="preserve">úhradová vyhláška). </w:t>
      </w:r>
      <w:r w:rsidRPr="00440291">
        <w:t>Celková výše výdajů je determinována příjmy systému veřejného zdravotního pojištění, což</w:t>
      </w:r>
      <w:r w:rsidR="00437146">
        <w:t> </w:t>
      </w:r>
      <w:r w:rsidRPr="00440291">
        <w:t>se</w:t>
      </w:r>
      <w:r w:rsidR="00437146">
        <w:t> </w:t>
      </w:r>
      <w:r w:rsidRPr="00440291">
        <w:t xml:space="preserve">následně projeví v úhradové vyhlášce. </w:t>
      </w:r>
    </w:p>
    <w:p w:rsidR="00AB3843" w:rsidRDefault="00F95ECD" w:rsidP="00B3234B">
      <w:pPr>
        <w:pStyle w:val="Titulek"/>
        <w:jc w:val="both"/>
      </w:pPr>
      <w:bookmarkStart w:id="8" w:name="_Toc41837495"/>
      <w:r w:rsidRPr="00C75FC6">
        <w:t xml:space="preserve">Tabulka č. </w:t>
      </w:r>
      <w:r>
        <w:rPr>
          <w:noProof/>
        </w:rPr>
        <w:fldChar w:fldCharType="begin"/>
      </w:r>
      <w:r>
        <w:rPr>
          <w:noProof/>
        </w:rPr>
        <w:instrText xml:space="preserve"> SEQ Tabulka \* ARABIC </w:instrText>
      </w:r>
      <w:r>
        <w:rPr>
          <w:noProof/>
        </w:rPr>
        <w:fldChar w:fldCharType="separate"/>
      </w:r>
      <w:r w:rsidR="00B17299">
        <w:rPr>
          <w:noProof/>
        </w:rPr>
        <w:t>3</w:t>
      </w:r>
      <w:r>
        <w:rPr>
          <w:noProof/>
        </w:rPr>
        <w:fldChar w:fldCharType="end"/>
      </w:r>
      <w:r w:rsidRPr="00C75FC6">
        <w:t xml:space="preserve">: </w:t>
      </w:r>
      <w:r w:rsidRPr="00F95ECD">
        <w:t>Výdaje systému v. z. p. za rok 201</w:t>
      </w:r>
      <w:r w:rsidR="00C11014">
        <w:t>9</w:t>
      </w:r>
      <w:bookmarkEnd w:id="8"/>
    </w:p>
    <w:tbl>
      <w:tblPr>
        <w:tblW w:w="0" w:type="auto"/>
        <w:tblInd w:w="55" w:type="dxa"/>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3181"/>
        <w:gridCol w:w="1021"/>
      </w:tblGrid>
      <w:tr w:rsidR="00AB3843" w:rsidRPr="006D791B" w:rsidTr="00327A75">
        <w:trPr>
          <w:trHeight w:val="601"/>
        </w:trPr>
        <w:tc>
          <w:tcPr>
            <w:tcW w:w="3181" w:type="dxa"/>
            <w:tcBorders>
              <w:top w:val="single" w:sz="12" w:space="0" w:color="4F81BD"/>
              <w:left w:val="single" w:sz="12" w:space="0" w:color="4F81BD"/>
              <w:bottom w:val="nil"/>
              <w:right w:val="nil"/>
            </w:tcBorders>
            <w:shd w:val="clear" w:color="auto" w:fill="4F81BD"/>
            <w:noWrap/>
            <w:vAlign w:val="center"/>
            <w:hideMark/>
          </w:tcPr>
          <w:p w:rsidR="00AB3843" w:rsidRPr="006D791B" w:rsidRDefault="00AB3843" w:rsidP="00CD27C2">
            <w:pPr>
              <w:spacing w:after="0" w:line="240" w:lineRule="auto"/>
              <w:rPr>
                <w:rFonts w:eastAsia="Times New Roman" w:cs="Arial"/>
                <w:b/>
                <w:color w:val="FFFFFF"/>
                <w:szCs w:val="21"/>
                <w:lang w:eastAsia="cs-CZ"/>
              </w:rPr>
            </w:pPr>
            <w:r w:rsidRPr="006D791B">
              <w:rPr>
                <w:rFonts w:eastAsia="Times New Roman" w:cs="Arial"/>
                <w:b/>
                <w:color w:val="FFFFFF"/>
                <w:szCs w:val="21"/>
                <w:lang w:eastAsia="cs-CZ"/>
              </w:rPr>
              <w:t>Ukazatel</w:t>
            </w:r>
            <w:r w:rsidRPr="006D791B">
              <w:rPr>
                <w:rFonts w:eastAsia="Times New Roman" w:cs="Arial"/>
                <w:b/>
                <w:color w:val="FFFFFF"/>
                <w:szCs w:val="21"/>
                <w:lang w:eastAsia="cs-CZ"/>
              </w:rPr>
              <w:br/>
            </w:r>
            <w:r w:rsidRPr="006D791B">
              <w:rPr>
                <w:rFonts w:eastAsia="Times New Roman" w:cs="Arial"/>
                <w:color w:val="FFFFFF"/>
                <w:szCs w:val="21"/>
                <w:lang w:eastAsia="cs-CZ"/>
              </w:rPr>
              <w:t>(v mld. Kč)</w:t>
            </w:r>
          </w:p>
        </w:tc>
        <w:tc>
          <w:tcPr>
            <w:tcW w:w="1021" w:type="dxa"/>
            <w:tcBorders>
              <w:top w:val="single" w:sz="12" w:space="0" w:color="4F81BD"/>
              <w:left w:val="nil"/>
              <w:bottom w:val="nil"/>
              <w:right w:val="single" w:sz="12" w:space="0" w:color="4F81BD"/>
            </w:tcBorders>
            <w:shd w:val="clear" w:color="auto" w:fill="6691C6"/>
            <w:noWrap/>
            <w:vAlign w:val="center"/>
            <w:hideMark/>
          </w:tcPr>
          <w:p w:rsidR="00AB3843" w:rsidRPr="006D791B" w:rsidRDefault="00AB3843" w:rsidP="00CD27C2">
            <w:pPr>
              <w:spacing w:after="0" w:line="240" w:lineRule="auto"/>
              <w:jc w:val="center"/>
              <w:rPr>
                <w:rFonts w:eastAsia="Times New Roman" w:cs="Arial"/>
                <w:b/>
                <w:color w:val="FFFFFF"/>
                <w:szCs w:val="21"/>
                <w:lang w:eastAsia="cs-CZ"/>
              </w:rPr>
            </w:pPr>
            <w:r w:rsidRPr="006D791B">
              <w:rPr>
                <w:rFonts w:eastAsia="Times New Roman" w:cs="Arial"/>
                <w:b/>
                <w:color w:val="FFFFFF"/>
                <w:szCs w:val="21"/>
                <w:lang w:eastAsia="cs-CZ"/>
              </w:rPr>
              <w:t>201</w:t>
            </w:r>
            <w:r w:rsidR="00C11014">
              <w:rPr>
                <w:rFonts w:eastAsia="Times New Roman" w:cs="Arial"/>
                <w:b/>
                <w:color w:val="FFFFFF"/>
                <w:szCs w:val="21"/>
                <w:lang w:eastAsia="cs-CZ"/>
              </w:rPr>
              <w:t>9</w:t>
            </w:r>
          </w:p>
        </w:tc>
      </w:tr>
      <w:tr w:rsidR="00AB3843" w:rsidRPr="006D791B" w:rsidTr="00C3621B">
        <w:trPr>
          <w:trHeight w:val="301"/>
        </w:trPr>
        <w:tc>
          <w:tcPr>
            <w:tcW w:w="3181" w:type="dxa"/>
            <w:tcBorders>
              <w:top w:val="nil"/>
              <w:left w:val="single" w:sz="12" w:space="0" w:color="4F81BD"/>
              <w:bottom w:val="nil"/>
              <w:right w:val="nil"/>
            </w:tcBorders>
            <w:noWrap/>
            <w:vAlign w:val="bottom"/>
            <w:hideMark/>
          </w:tcPr>
          <w:p w:rsidR="00AB3843" w:rsidRPr="000E6678" w:rsidRDefault="00AB3843" w:rsidP="00C3621B">
            <w:pPr>
              <w:spacing w:after="0" w:line="240" w:lineRule="auto"/>
              <w:rPr>
                <w:rFonts w:eastAsia="Times New Roman" w:cs="Arial"/>
                <w:bCs/>
                <w:szCs w:val="21"/>
                <w:lang w:eastAsia="cs-CZ"/>
              </w:rPr>
            </w:pPr>
            <w:r w:rsidRPr="000E6678">
              <w:rPr>
                <w:rFonts w:eastAsia="Times New Roman" w:cs="Arial"/>
                <w:bCs/>
                <w:szCs w:val="21"/>
                <w:lang w:eastAsia="cs-CZ"/>
              </w:rPr>
              <w:t>Výdaje na zdravotní služby</w:t>
            </w:r>
          </w:p>
        </w:tc>
        <w:tc>
          <w:tcPr>
            <w:tcW w:w="1021" w:type="dxa"/>
            <w:tcBorders>
              <w:top w:val="nil"/>
              <w:left w:val="nil"/>
              <w:bottom w:val="nil"/>
              <w:right w:val="single" w:sz="12" w:space="0" w:color="4F81BD"/>
            </w:tcBorders>
            <w:shd w:val="clear" w:color="auto" w:fill="DBE5F1"/>
            <w:noWrap/>
            <w:hideMark/>
          </w:tcPr>
          <w:p w:rsidR="00AB3843" w:rsidRPr="006D791B" w:rsidRDefault="00C11014" w:rsidP="00C3621B">
            <w:pPr>
              <w:spacing w:after="0" w:line="240" w:lineRule="auto"/>
              <w:jc w:val="right"/>
              <w:rPr>
                <w:rFonts w:eastAsia="Times New Roman" w:cs="Arial"/>
                <w:bCs/>
                <w:szCs w:val="21"/>
                <w:lang w:eastAsia="cs-CZ"/>
              </w:rPr>
            </w:pPr>
            <w:r>
              <w:t xml:space="preserve"> </w:t>
            </w:r>
            <w:r>
              <w:rPr>
                <w:szCs w:val="21"/>
              </w:rPr>
              <w:t>308,</w:t>
            </w:r>
            <w:r w:rsidRPr="00C11014">
              <w:rPr>
                <w:szCs w:val="21"/>
              </w:rPr>
              <w:t>5</w:t>
            </w:r>
            <w:r>
              <w:rPr>
                <w:szCs w:val="21"/>
              </w:rPr>
              <w:t>8</w:t>
            </w:r>
          </w:p>
        </w:tc>
      </w:tr>
      <w:tr w:rsidR="00AB3843" w:rsidRPr="006D791B" w:rsidTr="00C3621B">
        <w:trPr>
          <w:trHeight w:val="301"/>
        </w:trPr>
        <w:tc>
          <w:tcPr>
            <w:tcW w:w="3181" w:type="dxa"/>
            <w:tcBorders>
              <w:top w:val="nil"/>
              <w:left w:val="single" w:sz="12" w:space="0" w:color="4F81BD"/>
              <w:bottom w:val="nil"/>
              <w:right w:val="nil"/>
            </w:tcBorders>
            <w:shd w:val="clear" w:color="auto" w:fill="EEF3F8"/>
            <w:noWrap/>
            <w:vAlign w:val="bottom"/>
            <w:hideMark/>
          </w:tcPr>
          <w:p w:rsidR="00AB3843" w:rsidRPr="000E6678" w:rsidRDefault="00AB3843" w:rsidP="00C3621B">
            <w:pPr>
              <w:spacing w:after="0" w:line="240" w:lineRule="auto"/>
              <w:rPr>
                <w:rFonts w:eastAsia="Times New Roman" w:cs="Arial"/>
                <w:bCs/>
                <w:szCs w:val="21"/>
                <w:lang w:eastAsia="cs-CZ"/>
              </w:rPr>
            </w:pPr>
            <w:r w:rsidRPr="000E6678">
              <w:rPr>
                <w:rFonts w:eastAsia="Times New Roman" w:cs="Arial"/>
                <w:bCs/>
                <w:szCs w:val="21"/>
                <w:lang w:eastAsia="cs-CZ"/>
              </w:rPr>
              <w:t>Zálohy za cizince</w:t>
            </w:r>
          </w:p>
        </w:tc>
        <w:tc>
          <w:tcPr>
            <w:tcW w:w="1021" w:type="dxa"/>
            <w:tcBorders>
              <w:top w:val="nil"/>
              <w:left w:val="nil"/>
              <w:bottom w:val="nil"/>
              <w:right w:val="single" w:sz="12" w:space="0" w:color="4F81BD"/>
            </w:tcBorders>
            <w:shd w:val="clear" w:color="auto" w:fill="EEF3F8"/>
            <w:noWrap/>
            <w:hideMark/>
          </w:tcPr>
          <w:p w:rsidR="00AB3843" w:rsidRPr="006D791B" w:rsidRDefault="00C11014" w:rsidP="00C3621B">
            <w:pPr>
              <w:spacing w:after="0" w:line="240" w:lineRule="auto"/>
              <w:jc w:val="right"/>
              <w:rPr>
                <w:rFonts w:eastAsia="Times New Roman" w:cs="Arial"/>
                <w:bCs/>
                <w:szCs w:val="21"/>
                <w:lang w:eastAsia="cs-CZ"/>
              </w:rPr>
            </w:pPr>
            <w:r>
              <w:rPr>
                <w:szCs w:val="21"/>
              </w:rPr>
              <w:t>1,</w:t>
            </w:r>
            <w:r w:rsidRPr="00C11014">
              <w:rPr>
                <w:szCs w:val="21"/>
              </w:rPr>
              <w:t>5</w:t>
            </w:r>
            <w:r>
              <w:rPr>
                <w:szCs w:val="21"/>
              </w:rPr>
              <w:t>7</w:t>
            </w:r>
          </w:p>
        </w:tc>
      </w:tr>
      <w:tr w:rsidR="00AB3843" w:rsidRPr="006D791B" w:rsidTr="00C3621B">
        <w:trPr>
          <w:trHeight w:val="301"/>
        </w:trPr>
        <w:tc>
          <w:tcPr>
            <w:tcW w:w="3181" w:type="dxa"/>
            <w:tcBorders>
              <w:top w:val="nil"/>
              <w:left w:val="single" w:sz="12" w:space="0" w:color="4F81BD"/>
              <w:bottom w:val="nil"/>
              <w:right w:val="nil"/>
            </w:tcBorders>
            <w:noWrap/>
            <w:vAlign w:val="bottom"/>
            <w:hideMark/>
          </w:tcPr>
          <w:p w:rsidR="00AB3843" w:rsidRPr="000E6678" w:rsidRDefault="00AB3843" w:rsidP="00C3621B">
            <w:pPr>
              <w:spacing w:after="0" w:line="240" w:lineRule="auto"/>
              <w:rPr>
                <w:rFonts w:eastAsia="Times New Roman" w:cs="Arial"/>
                <w:bCs/>
                <w:szCs w:val="21"/>
                <w:lang w:eastAsia="cs-CZ"/>
              </w:rPr>
            </w:pPr>
            <w:r w:rsidRPr="000E6678">
              <w:rPr>
                <w:rFonts w:eastAsia="Times New Roman" w:cs="Arial"/>
                <w:bCs/>
                <w:szCs w:val="21"/>
                <w:lang w:eastAsia="cs-CZ"/>
              </w:rPr>
              <w:t xml:space="preserve">Provozní výdaje </w:t>
            </w:r>
          </w:p>
        </w:tc>
        <w:tc>
          <w:tcPr>
            <w:tcW w:w="1021" w:type="dxa"/>
            <w:tcBorders>
              <w:top w:val="nil"/>
              <w:left w:val="nil"/>
              <w:bottom w:val="nil"/>
              <w:right w:val="single" w:sz="12" w:space="0" w:color="4F81BD"/>
            </w:tcBorders>
            <w:shd w:val="clear" w:color="auto" w:fill="DBE5F1"/>
            <w:noWrap/>
            <w:hideMark/>
          </w:tcPr>
          <w:p w:rsidR="00AB3843" w:rsidRPr="006D791B" w:rsidRDefault="00D273ED" w:rsidP="00C3621B">
            <w:pPr>
              <w:spacing w:after="0" w:line="240" w:lineRule="auto"/>
              <w:jc w:val="right"/>
              <w:rPr>
                <w:rFonts w:eastAsia="Times New Roman" w:cs="Arial"/>
                <w:bCs/>
                <w:szCs w:val="21"/>
                <w:lang w:eastAsia="cs-CZ"/>
              </w:rPr>
            </w:pPr>
            <w:r w:rsidRPr="00D273ED">
              <w:rPr>
                <w:szCs w:val="21"/>
              </w:rPr>
              <w:t>7,23</w:t>
            </w:r>
          </w:p>
        </w:tc>
      </w:tr>
      <w:tr w:rsidR="00AB3843" w:rsidRPr="006D791B" w:rsidTr="00C3621B">
        <w:trPr>
          <w:trHeight w:val="301"/>
        </w:trPr>
        <w:tc>
          <w:tcPr>
            <w:tcW w:w="3181" w:type="dxa"/>
            <w:tcBorders>
              <w:top w:val="nil"/>
              <w:left w:val="single" w:sz="12" w:space="0" w:color="4F81BD"/>
              <w:bottom w:val="nil"/>
              <w:right w:val="nil"/>
            </w:tcBorders>
            <w:shd w:val="clear" w:color="auto" w:fill="EEF3F8"/>
            <w:noWrap/>
            <w:vAlign w:val="bottom"/>
            <w:hideMark/>
          </w:tcPr>
          <w:p w:rsidR="00AB3843" w:rsidRPr="00952BDE" w:rsidRDefault="00AB3843" w:rsidP="00C3621B">
            <w:pPr>
              <w:spacing w:after="0" w:line="240" w:lineRule="auto"/>
              <w:rPr>
                <w:rFonts w:eastAsia="Times New Roman" w:cs="Arial"/>
                <w:bCs/>
                <w:szCs w:val="21"/>
                <w:lang w:eastAsia="cs-CZ"/>
              </w:rPr>
            </w:pPr>
            <w:r w:rsidRPr="00952BDE">
              <w:rPr>
                <w:rFonts w:eastAsia="Times New Roman" w:cs="Arial"/>
                <w:bCs/>
                <w:szCs w:val="21"/>
                <w:lang w:eastAsia="cs-CZ"/>
              </w:rPr>
              <w:t>Výdaje na investice z FRM</w:t>
            </w:r>
          </w:p>
        </w:tc>
        <w:tc>
          <w:tcPr>
            <w:tcW w:w="1021" w:type="dxa"/>
            <w:tcBorders>
              <w:top w:val="nil"/>
              <w:left w:val="nil"/>
              <w:bottom w:val="nil"/>
              <w:right w:val="single" w:sz="12" w:space="0" w:color="4F81BD"/>
            </w:tcBorders>
            <w:shd w:val="clear" w:color="auto" w:fill="EEF3F8"/>
            <w:noWrap/>
            <w:hideMark/>
          </w:tcPr>
          <w:p w:rsidR="00AB3843" w:rsidRPr="006D791B" w:rsidRDefault="00D273ED" w:rsidP="00D273ED">
            <w:pPr>
              <w:spacing w:after="0" w:line="240" w:lineRule="auto"/>
              <w:jc w:val="right"/>
              <w:rPr>
                <w:rFonts w:eastAsia="Times New Roman" w:cs="Arial"/>
                <w:bCs/>
                <w:szCs w:val="21"/>
                <w:lang w:eastAsia="cs-CZ"/>
              </w:rPr>
            </w:pPr>
            <w:r w:rsidRPr="00D273ED">
              <w:rPr>
                <w:szCs w:val="21"/>
              </w:rPr>
              <w:t>0,58</w:t>
            </w:r>
          </w:p>
        </w:tc>
      </w:tr>
      <w:tr w:rsidR="00AB3843" w:rsidRPr="006D791B" w:rsidTr="00C3621B">
        <w:trPr>
          <w:trHeight w:val="301"/>
        </w:trPr>
        <w:tc>
          <w:tcPr>
            <w:tcW w:w="3181" w:type="dxa"/>
            <w:tcBorders>
              <w:top w:val="nil"/>
              <w:left w:val="single" w:sz="12" w:space="0" w:color="4F81BD"/>
              <w:bottom w:val="nil"/>
              <w:right w:val="nil"/>
            </w:tcBorders>
            <w:noWrap/>
            <w:vAlign w:val="bottom"/>
            <w:hideMark/>
          </w:tcPr>
          <w:p w:rsidR="00AB3843" w:rsidRPr="00952BDE" w:rsidRDefault="003126A2" w:rsidP="00C3621B">
            <w:pPr>
              <w:spacing w:after="0" w:line="240" w:lineRule="auto"/>
              <w:rPr>
                <w:rFonts w:eastAsia="Times New Roman" w:cs="Arial"/>
                <w:bCs/>
                <w:szCs w:val="21"/>
                <w:lang w:eastAsia="cs-CZ"/>
              </w:rPr>
            </w:pPr>
            <w:r w:rsidRPr="00437146">
              <w:rPr>
                <w:rFonts w:eastAsia="Times New Roman" w:cs="Arial"/>
                <w:bCs/>
                <w:szCs w:val="21"/>
                <w:lang w:eastAsia="cs-CZ"/>
              </w:rPr>
              <w:t xml:space="preserve">Náklady </w:t>
            </w:r>
            <w:r w:rsidR="00AB3843" w:rsidRPr="00437146">
              <w:rPr>
                <w:rFonts w:eastAsia="Times New Roman" w:cs="Arial"/>
                <w:bCs/>
                <w:szCs w:val="21"/>
                <w:lang w:eastAsia="cs-CZ"/>
              </w:rPr>
              <w:t>na jinou činnost</w:t>
            </w:r>
          </w:p>
        </w:tc>
        <w:tc>
          <w:tcPr>
            <w:tcW w:w="1021" w:type="dxa"/>
            <w:tcBorders>
              <w:top w:val="nil"/>
              <w:left w:val="nil"/>
              <w:bottom w:val="nil"/>
              <w:right w:val="single" w:sz="12" w:space="0" w:color="4F81BD"/>
            </w:tcBorders>
            <w:shd w:val="clear" w:color="auto" w:fill="DBE5F1"/>
            <w:noWrap/>
            <w:hideMark/>
          </w:tcPr>
          <w:p w:rsidR="00AB3843" w:rsidRPr="006D791B" w:rsidRDefault="00AB3843" w:rsidP="00C3621B">
            <w:pPr>
              <w:spacing w:after="0" w:line="240" w:lineRule="auto"/>
              <w:jc w:val="right"/>
              <w:rPr>
                <w:rFonts w:eastAsia="Times New Roman" w:cs="Arial"/>
                <w:bCs/>
                <w:szCs w:val="21"/>
                <w:lang w:eastAsia="cs-CZ"/>
              </w:rPr>
            </w:pPr>
            <w:r w:rsidRPr="00762954">
              <w:rPr>
                <w:szCs w:val="21"/>
              </w:rPr>
              <w:t>0,0</w:t>
            </w:r>
            <w:r w:rsidR="00D273ED">
              <w:rPr>
                <w:szCs w:val="21"/>
              </w:rPr>
              <w:t>6</w:t>
            </w:r>
          </w:p>
        </w:tc>
      </w:tr>
      <w:tr w:rsidR="00AB3843" w:rsidRPr="006D791B" w:rsidTr="00C3621B">
        <w:trPr>
          <w:trHeight w:val="301"/>
        </w:trPr>
        <w:tc>
          <w:tcPr>
            <w:tcW w:w="3181" w:type="dxa"/>
            <w:tcBorders>
              <w:top w:val="nil"/>
              <w:left w:val="single" w:sz="12" w:space="0" w:color="4F81BD"/>
              <w:bottom w:val="single" w:sz="12" w:space="0" w:color="4F81BD"/>
              <w:right w:val="nil"/>
            </w:tcBorders>
            <w:shd w:val="clear" w:color="auto" w:fill="EEF3F8"/>
            <w:noWrap/>
            <w:vAlign w:val="bottom"/>
            <w:hideMark/>
          </w:tcPr>
          <w:p w:rsidR="00AB3843" w:rsidRPr="006D791B" w:rsidRDefault="00AB3843" w:rsidP="00C3621B">
            <w:pPr>
              <w:spacing w:after="0" w:line="240" w:lineRule="auto"/>
              <w:rPr>
                <w:rFonts w:eastAsia="Times New Roman" w:cs="Arial"/>
                <w:b/>
                <w:bCs/>
                <w:szCs w:val="21"/>
                <w:lang w:eastAsia="cs-CZ"/>
              </w:rPr>
            </w:pPr>
            <w:r w:rsidRPr="006D791B">
              <w:rPr>
                <w:rFonts w:eastAsia="Times New Roman" w:cs="Arial"/>
                <w:b/>
                <w:bCs/>
                <w:szCs w:val="21"/>
                <w:lang w:eastAsia="cs-CZ"/>
              </w:rPr>
              <w:t xml:space="preserve">Celkové výdaje systému v. z. p. </w:t>
            </w:r>
          </w:p>
        </w:tc>
        <w:tc>
          <w:tcPr>
            <w:tcW w:w="1021" w:type="dxa"/>
            <w:tcBorders>
              <w:top w:val="nil"/>
              <w:left w:val="nil"/>
              <w:bottom w:val="single" w:sz="12" w:space="0" w:color="4F81BD"/>
              <w:right w:val="single" w:sz="12" w:space="0" w:color="4F81BD"/>
            </w:tcBorders>
            <w:shd w:val="clear" w:color="auto" w:fill="EEF3F8"/>
            <w:noWrap/>
            <w:hideMark/>
          </w:tcPr>
          <w:p w:rsidR="00AB3843" w:rsidRPr="006D791B" w:rsidRDefault="00D273ED" w:rsidP="00C3621B">
            <w:pPr>
              <w:spacing w:after="0" w:line="240" w:lineRule="auto"/>
              <w:jc w:val="right"/>
              <w:rPr>
                <w:rFonts w:eastAsia="Times New Roman" w:cs="Arial"/>
                <w:b/>
                <w:bCs/>
                <w:szCs w:val="21"/>
                <w:lang w:eastAsia="cs-CZ"/>
              </w:rPr>
            </w:pPr>
            <w:r w:rsidRPr="00D273ED">
              <w:rPr>
                <w:b/>
                <w:szCs w:val="21"/>
              </w:rPr>
              <w:t>318,01</w:t>
            </w:r>
          </w:p>
        </w:tc>
      </w:tr>
    </w:tbl>
    <w:p w:rsidR="00AB3843" w:rsidRDefault="0032514E" w:rsidP="00B3234B">
      <w:pPr>
        <w:spacing w:before="180" w:line="276" w:lineRule="auto"/>
        <w:jc w:val="both"/>
      </w:pPr>
      <w:r w:rsidRPr="00E471FC">
        <w:t>Jako v případě příjmů i výdaje se analyticky člení do kategorií (</w:t>
      </w:r>
      <w:r w:rsidRPr="00437146">
        <w:rPr>
          <w:i/>
          <w:iCs/>
        </w:rPr>
        <w:t>Graf č. 3</w:t>
      </w:r>
      <w:r w:rsidRPr="00E471FC">
        <w:t>).</w:t>
      </w:r>
      <w:r>
        <w:t xml:space="preserve"> Nejvýznamnější jsou </w:t>
      </w:r>
      <w:r w:rsidR="00AB3843" w:rsidRPr="0032514E">
        <w:rPr>
          <w:b/>
          <w:bCs/>
        </w:rPr>
        <w:t>výdaje na</w:t>
      </w:r>
      <w:r w:rsidR="00D273ED">
        <w:rPr>
          <w:b/>
          <w:bCs/>
        </w:rPr>
        <w:t> </w:t>
      </w:r>
      <w:r w:rsidR="00AB3843" w:rsidRPr="0032514E">
        <w:rPr>
          <w:b/>
          <w:bCs/>
        </w:rPr>
        <w:t>zdravotní služby</w:t>
      </w:r>
      <w:r w:rsidR="00AB3843" w:rsidRPr="00B3234B">
        <w:rPr>
          <w:b/>
          <w:bCs/>
        </w:rPr>
        <w:t xml:space="preserve"> </w:t>
      </w:r>
      <w:r w:rsidR="00AB3843">
        <w:t xml:space="preserve">ve výši </w:t>
      </w:r>
      <w:r w:rsidR="008B0B06" w:rsidRPr="008B0B06">
        <w:rPr>
          <w:b/>
          <w:bCs/>
        </w:rPr>
        <w:t>308</w:t>
      </w:r>
      <w:r w:rsidR="008B0B06">
        <w:rPr>
          <w:b/>
          <w:bCs/>
        </w:rPr>
        <w:t xml:space="preserve">,6 </w:t>
      </w:r>
      <w:r w:rsidR="00AB3843" w:rsidRPr="0062244D">
        <w:rPr>
          <w:b/>
          <w:bCs/>
        </w:rPr>
        <w:t>mld. Kč</w:t>
      </w:r>
      <w:r w:rsidR="00952BDE" w:rsidRPr="00437146">
        <w:rPr>
          <w:bCs/>
        </w:rPr>
        <w:t>, které</w:t>
      </w:r>
      <w:r w:rsidR="00AB3843">
        <w:t xml:space="preserve"> představovaly 97,</w:t>
      </w:r>
      <w:r w:rsidR="008B0B06">
        <w:t xml:space="preserve">0 </w:t>
      </w:r>
      <w:r w:rsidR="00AB3843">
        <w:t>% celkových výdajů s meziročním nárůstem 7,</w:t>
      </w:r>
      <w:r w:rsidR="008B0B06">
        <w:t>6 </w:t>
      </w:r>
      <w:r w:rsidR="00AB3843">
        <w:t>% (absolutně o</w:t>
      </w:r>
      <w:r w:rsidR="00EC4F65">
        <w:t> </w:t>
      </w:r>
      <w:r w:rsidR="008B0B06">
        <w:t>21,8</w:t>
      </w:r>
      <w:r w:rsidR="00AB3843">
        <w:t xml:space="preserve"> mld. Kč). Průměrné výdaje na zdravotní služby přepočtené </w:t>
      </w:r>
      <w:r w:rsidR="00AB3843" w:rsidRPr="00B3234B">
        <w:t>na jednoho pojištěnce</w:t>
      </w:r>
      <w:r w:rsidR="00AB3843">
        <w:t xml:space="preserve"> pak</w:t>
      </w:r>
      <w:r w:rsidR="00437146">
        <w:t> </w:t>
      </w:r>
      <w:r w:rsidR="00AB3843">
        <w:t xml:space="preserve">dosáhly hodnoty </w:t>
      </w:r>
      <w:r w:rsidR="008B0B06" w:rsidRPr="008B0B06">
        <w:rPr>
          <w:b/>
          <w:bCs/>
        </w:rPr>
        <w:t>29</w:t>
      </w:r>
      <w:r w:rsidR="008B0B06">
        <w:rPr>
          <w:b/>
          <w:bCs/>
        </w:rPr>
        <w:t> </w:t>
      </w:r>
      <w:r w:rsidR="00A10B09">
        <w:rPr>
          <w:b/>
          <w:bCs/>
        </w:rPr>
        <w:t xml:space="preserve">272 </w:t>
      </w:r>
      <w:r w:rsidR="00AB3843" w:rsidRPr="00B3234B">
        <w:rPr>
          <w:b/>
          <w:bCs/>
        </w:rPr>
        <w:t>Kč</w:t>
      </w:r>
      <w:r w:rsidR="00AB3843">
        <w:t xml:space="preserve"> (nejvyšší u VZP ČR </w:t>
      </w:r>
      <w:r w:rsidR="008B0B06" w:rsidRPr="008B0B06">
        <w:t>30</w:t>
      </w:r>
      <w:r w:rsidR="008B0B06">
        <w:t> </w:t>
      </w:r>
      <w:r w:rsidR="008B0B06" w:rsidRPr="008B0B06">
        <w:t>934</w:t>
      </w:r>
      <w:r w:rsidR="008B0B06">
        <w:t xml:space="preserve"> </w:t>
      </w:r>
      <w:r w:rsidR="00AB3843">
        <w:t xml:space="preserve">Kč a nejnižší u </w:t>
      </w:r>
      <w:r w:rsidR="008B0B06">
        <w:t xml:space="preserve">ČPZP </w:t>
      </w:r>
      <w:r w:rsidR="008B0B06" w:rsidRPr="008B0B06">
        <w:t>26</w:t>
      </w:r>
      <w:r w:rsidR="008B0B06">
        <w:t> </w:t>
      </w:r>
      <w:r w:rsidR="008B0B06" w:rsidRPr="008B0B06">
        <w:t>154</w:t>
      </w:r>
      <w:r w:rsidR="008B0B06">
        <w:t xml:space="preserve"> </w:t>
      </w:r>
      <w:r w:rsidR="00AB3843">
        <w:t xml:space="preserve">Kč). </w:t>
      </w:r>
    </w:p>
    <w:p w:rsidR="005B7635" w:rsidRDefault="0062244D" w:rsidP="00C14F36">
      <w:pPr>
        <w:pStyle w:val="Titulek"/>
      </w:pPr>
      <w:bookmarkStart w:id="9" w:name="_Toc41837519"/>
      <w:r>
        <w:t xml:space="preserve">Graf č. </w:t>
      </w:r>
      <w:r>
        <w:rPr>
          <w:noProof/>
        </w:rPr>
        <w:fldChar w:fldCharType="begin"/>
      </w:r>
      <w:r>
        <w:rPr>
          <w:noProof/>
        </w:rPr>
        <w:instrText xml:space="preserve"> SEQ Graf \* ARABIC </w:instrText>
      </w:r>
      <w:r>
        <w:rPr>
          <w:noProof/>
        </w:rPr>
        <w:fldChar w:fldCharType="separate"/>
      </w:r>
      <w:r w:rsidR="00B17299">
        <w:rPr>
          <w:noProof/>
        </w:rPr>
        <w:t>2</w:t>
      </w:r>
      <w:r>
        <w:rPr>
          <w:noProof/>
        </w:rPr>
        <w:fldChar w:fldCharType="end"/>
      </w:r>
      <w:r>
        <w:t xml:space="preserve">: </w:t>
      </w:r>
      <w:r w:rsidRPr="0062244D">
        <w:t xml:space="preserve">Porovnání celkových skutečných výdajů </w:t>
      </w:r>
      <w:r w:rsidR="008B0B06" w:rsidRPr="0062244D">
        <w:t>201</w:t>
      </w:r>
      <w:r w:rsidR="008B0B06">
        <w:t>9</w:t>
      </w:r>
      <w:r w:rsidR="008B0B06" w:rsidRPr="0062244D">
        <w:t xml:space="preserve"> </w:t>
      </w:r>
      <w:r w:rsidRPr="0062244D">
        <w:t>a ZPP 201</w:t>
      </w:r>
      <w:r w:rsidR="008B0B06">
        <w:t>9</w:t>
      </w:r>
      <w:bookmarkEnd w:id="9"/>
    </w:p>
    <w:p w:rsidR="002F7253" w:rsidRDefault="002F7253" w:rsidP="00590358">
      <w:pPr>
        <w:spacing w:before="180" w:line="276" w:lineRule="auto"/>
        <w:jc w:val="center"/>
        <w:rPr>
          <w:b/>
          <w:bCs/>
        </w:rPr>
      </w:pPr>
      <w:r>
        <w:rPr>
          <w:noProof/>
          <w:lang w:eastAsia="cs-CZ"/>
        </w:rPr>
        <w:drawing>
          <wp:inline distT="0" distB="0" distL="0" distR="0" wp14:anchorId="56EA69BA" wp14:editId="79E6EC91">
            <wp:extent cx="5971429" cy="2544417"/>
            <wp:effectExtent l="0" t="0" r="10795" b="27940"/>
            <wp:docPr id="5" name="Graf 5">
              <a:extLst xmlns:a="http://schemas.openxmlformats.org/drawingml/2006/main">
                <a:ext uri="{FF2B5EF4-FFF2-40B4-BE49-F238E27FC236}">
                  <a16:creationId xmlns:a16="http://schemas.microsoft.com/office/drawing/2014/main" id="{00000000-0008-0000-0B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14F36" w:rsidRDefault="00C14F36" w:rsidP="00B3234B">
      <w:pPr>
        <w:spacing w:before="180" w:line="276" w:lineRule="auto"/>
        <w:jc w:val="both"/>
        <w:rPr>
          <w:b/>
          <w:bCs/>
        </w:rPr>
      </w:pPr>
      <w:r>
        <w:t xml:space="preserve">Vykázané rozdíly ve výdajích za zdravotní služby mezi VZP ČR a skupinou ZZP byly ovlivněny nejen rozdílnou skladbou pojištěnců, ale také rozdílnými smluvními vztahy s poskytovateli zdravotních služeb (PZS) a cenovými </w:t>
      </w:r>
      <w:r>
        <w:lastRenderedPageBreak/>
        <w:t>dodatky. Dle zákona č. 48/1997 Sb. zdravotní pojišťovny uzavírají s PZS smlouvy o poskytování a úhradě hrazených služeb. Zdravotní pojišťovny si mohou s PZS sjednat rozdílný způsob úhrady, výši úhrady a regulační omezení, a</w:t>
      </w:r>
      <w:r w:rsidR="00B74879">
        <w:t> </w:t>
      </w:r>
      <w:r>
        <w:t xml:space="preserve">může tak docházet k rozdílům v úhradách jednotlivým PZS a k rozdílným výdajům mezi zdravotními pojišťovnami. </w:t>
      </w:r>
    </w:p>
    <w:p w:rsidR="0062244D" w:rsidRPr="00B3234B" w:rsidRDefault="00AB3843" w:rsidP="00B3234B">
      <w:pPr>
        <w:spacing w:before="180" w:line="276" w:lineRule="auto"/>
        <w:jc w:val="both"/>
      </w:pPr>
      <w:r w:rsidRPr="002D0D54">
        <w:rPr>
          <w:b/>
          <w:bCs/>
        </w:rPr>
        <w:t>Provozní výdaje</w:t>
      </w:r>
      <w:r>
        <w:t xml:space="preserve"> v roce 201</w:t>
      </w:r>
      <w:r w:rsidR="002F7253">
        <w:t>9</w:t>
      </w:r>
      <w:r>
        <w:t xml:space="preserve"> byly vykázány ve výši </w:t>
      </w:r>
      <w:r w:rsidR="002F7253">
        <w:rPr>
          <w:b/>
          <w:bCs/>
        </w:rPr>
        <w:t>7,2</w:t>
      </w:r>
      <w:r w:rsidR="00C14F36">
        <w:rPr>
          <w:b/>
          <w:bCs/>
        </w:rPr>
        <w:t xml:space="preserve"> </w:t>
      </w:r>
      <w:r w:rsidRPr="00D251C4">
        <w:rPr>
          <w:b/>
          <w:bCs/>
        </w:rPr>
        <w:t>mld. Kč</w:t>
      </w:r>
      <w:r>
        <w:t xml:space="preserve">. Aktuální propočtené limity, limity zdravotně pojistných plánů a procenta jejich plnění viz tabulková příloha </w:t>
      </w:r>
      <w:r w:rsidRPr="002D0D54">
        <w:rPr>
          <w:i/>
          <w:iCs/>
        </w:rPr>
        <w:t>Tabulka č. 1a</w:t>
      </w:r>
      <w:r>
        <w:t>. Do provozních výdajů zdravotních pojišťoven byly zahrnuty např. mzdy včetně ostatních osobních nákladů, pojistné za zaměstnance na zdravotní a</w:t>
      </w:r>
      <w:r w:rsidR="00E719A1">
        <w:t> </w:t>
      </w:r>
      <w:r>
        <w:t>sociální pojištění, odměny členům statutárních orgánů, služby Kanceláře zdravotního pojištění, úhrady za</w:t>
      </w:r>
      <w:r w:rsidR="00E719A1">
        <w:t> </w:t>
      </w:r>
      <w:r>
        <w:t xml:space="preserve">vedení centrálního registru, nákup metodik atd. </w:t>
      </w:r>
    </w:p>
    <w:p w:rsidR="00AB3843" w:rsidRDefault="00AB3843" w:rsidP="00B3234B">
      <w:pPr>
        <w:spacing w:before="180" w:line="276" w:lineRule="auto"/>
        <w:jc w:val="both"/>
      </w:pPr>
      <w:r w:rsidRPr="00D251C4">
        <w:rPr>
          <w:b/>
          <w:bCs/>
        </w:rPr>
        <w:t>Výdaje na investice</w:t>
      </w:r>
      <w:r>
        <w:t xml:space="preserve"> z fondu reprodukce majetku (FRM) dosáhly hodnoty cca </w:t>
      </w:r>
      <w:r w:rsidRPr="00D251C4">
        <w:rPr>
          <w:b/>
          <w:bCs/>
        </w:rPr>
        <w:t>0,</w:t>
      </w:r>
      <w:r w:rsidR="00E719A1">
        <w:rPr>
          <w:b/>
          <w:bCs/>
        </w:rPr>
        <w:t>6</w:t>
      </w:r>
      <w:r w:rsidR="00E719A1" w:rsidRPr="00AB2923">
        <w:rPr>
          <w:b/>
          <w:bCs/>
        </w:rPr>
        <w:t xml:space="preserve"> </w:t>
      </w:r>
      <w:r w:rsidRPr="00AB2923">
        <w:rPr>
          <w:b/>
          <w:bCs/>
        </w:rPr>
        <w:t>mld. Kč</w:t>
      </w:r>
      <w:r w:rsidRPr="00B3234B">
        <w:t xml:space="preserve">, </w:t>
      </w:r>
      <w:r>
        <w:t xml:space="preserve">což činí </w:t>
      </w:r>
      <w:r w:rsidR="00E719A1">
        <w:t xml:space="preserve">82,3 </w:t>
      </w:r>
      <w:r>
        <w:t>% z plánovaných investic (0,</w:t>
      </w:r>
      <w:r w:rsidR="00E719A1">
        <w:t xml:space="preserve">7 </w:t>
      </w:r>
      <w:r>
        <w:t>mld. Kč), avšak meziročně došlo k růstu z částky 0,</w:t>
      </w:r>
      <w:r w:rsidR="00C14F36">
        <w:t xml:space="preserve">4 </w:t>
      </w:r>
      <w:r>
        <w:t>mld. Kč. Nízké čerpání bývá zapříčiněno především přesunem realizace do dalšího období z důvodu špatného odhadu délky příslušných správních řízení (např. stavební řízení či zadávací řízení veřejn</w:t>
      </w:r>
      <w:r w:rsidR="002D4E22">
        <w:t>ých</w:t>
      </w:r>
      <w:r>
        <w:t xml:space="preserve"> zakáz</w:t>
      </w:r>
      <w:r w:rsidR="002D4E22">
        <w:t>ek</w:t>
      </w:r>
      <w:r>
        <w:t>).</w:t>
      </w:r>
    </w:p>
    <w:p w:rsidR="00AB3843" w:rsidRDefault="00AB3843" w:rsidP="002D0D54">
      <w:pPr>
        <w:spacing w:before="180" w:line="276" w:lineRule="auto"/>
        <w:jc w:val="both"/>
      </w:pPr>
      <w:r>
        <w:t xml:space="preserve">I v roce </w:t>
      </w:r>
      <w:r w:rsidR="002D4E22">
        <w:t xml:space="preserve">2019 </w:t>
      </w:r>
      <w:r>
        <w:t>bylo možné sledovat dopady účinnosti novely tzv. fondové vyhlášky MF (vyhláška č. 418/2003 Sb.), jež snížila od roku 2015 procentuální podíl prostředků, které je možné převést ze ZFZP na vlastní činnost, tudíž</w:t>
      </w:r>
      <w:r w:rsidR="00C14F36">
        <w:t> </w:t>
      </w:r>
      <w:r>
        <w:t xml:space="preserve">bylo možné využít větší podíl prostředků na zdravotní služby. V roce </w:t>
      </w:r>
      <w:r w:rsidR="006C341D">
        <w:t xml:space="preserve">2019 </w:t>
      </w:r>
      <w:r>
        <w:t>byly provozní výdaje vyšší 0,</w:t>
      </w:r>
      <w:r w:rsidR="006C341D">
        <w:t>6</w:t>
      </w:r>
      <w:r w:rsidR="00C14F36">
        <w:t> </w:t>
      </w:r>
      <w:r>
        <w:t>mld. Kč (v r. </w:t>
      </w:r>
      <w:r w:rsidR="006C341D">
        <w:t xml:space="preserve">2018 </w:t>
      </w:r>
      <w:r>
        <w:t>byly 6,</w:t>
      </w:r>
      <w:r w:rsidR="006C341D">
        <w:t xml:space="preserve">6 </w:t>
      </w:r>
      <w:r>
        <w:t>mld. Kč), rostoucí tendenci lze přisoudit většímu objemu prostředků v systému v.</w:t>
      </w:r>
      <w:r w:rsidR="00C14F36">
        <w:t> </w:t>
      </w:r>
      <w:r>
        <w:t>z.</w:t>
      </w:r>
      <w:r w:rsidR="00C14F36">
        <w:t> </w:t>
      </w:r>
      <w:r>
        <w:t xml:space="preserve">p. a růstu mezd zaměstnanců ZP. </w:t>
      </w:r>
    </w:p>
    <w:p w:rsidR="00D251C4" w:rsidRDefault="00D251C4" w:rsidP="00D251C4">
      <w:pPr>
        <w:spacing w:before="180" w:line="276" w:lineRule="auto"/>
        <w:jc w:val="both"/>
      </w:pPr>
      <w:r w:rsidRPr="00CF53E5">
        <w:t xml:space="preserve">Marginálními položkami na straně </w:t>
      </w:r>
      <w:r w:rsidRPr="00371821">
        <w:t xml:space="preserve">výdajů pak byly </w:t>
      </w:r>
      <w:r w:rsidRPr="00371821">
        <w:rPr>
          <w:b/>
        </w:rPr>
        <w:t xml:space="preserve">zálohy za cizince a specifické fondy </w:t>
      </w:r>
      <w:proofErr w:type="spellStart"/>
      <w:r w:rsidRPr="00371821">
        <w:rPr>
          <w:b/>
        </w:rPr>
        <w:t>VoZP</w:t>
      </w:r>
      <w:proofErr w:type="spellEnd"/>
      <w:r w:rsidRPr="00371821">
        <w:rPr>
          <w:b/>
        </w:rPr>
        <w:t xml:space="preserve"> ČR </w:t>
      </w:r>
      <w:r w:rsidRPr="00371821">
        <w:t xml:space="preserve">v částce </w:t>
      </w:r>
      <w:r w:rsidR="00CF53E5" w:rsidRPr="00C14F36">
        <w:rPr>
          <w:b/>
          <w:bCs/>
        </w:rPr>
        <w:t>1,6</w:t>
      </w:r>
      <w:r w:rsidRPr="00C14F36">
        <w:rPr>
          <w:b/>
          <w:bCs/>
        </w:rPr>
        <w:t xml:space="preserve"> mld. Kč </w:t>
      </w:r>
      <w:r w:rsidRPr="00C14F36">
        <w:t xml:space="preserve">s meziročním nárůstem </w:t>
      </w:r>
      <w:r w:rsidR="00CF53E5" w:rsidRPr="00C14F36">
        <w:t>4,8</w:t>
      </w:r>
      <w:r w:rsidRPr="00C14F36">
        <w:t> % (absolutně o </w:t>
      </w:r>
      <w:r w:rsidR="00CF53E5" w:rsidRPr="00C14F36">
        <w:t>72</w:t>
      </w:r>
      <w:r w:rsidRPr="00C14F36">
        <w:t xml:space="preserve"> </w:t>
      </w:r>
      <w:r w:rsidR="00CF53E5" w:rsidRPr="00C14F36">
        <w:t>mil</w:t>
      </w:r>
      <w:r w:rsidRPr="00C14F36">
        <w:t xml:space="preserve">. Kč). Mezi výdaje jsou pak zařazeny i </w:t>
      </w:r>
      <w:r w:rsidRPr="00C14F36">
        <w:rPr>
          <w:b/>
        </w:rPr>
        <w:t>náklady na</w:t>
      </w:r>
      <w:r w:rsidR="0076211F">
        <w:rPr>
          <w:b/>
        </w:rPr>
        <w:t> </w:t>
      </w:r>
      <w:r w:rsidRPr="00C14F36">
        <w:rPr>
          <w:b/>
        </w:rPr>
        <w:t>jinou činnost</w:t>
      </w:r>
      <w:r w:rsidRPr="00CF53E5">
        <w:rPr>
          <w:b/>
        </w:rPr>
        <w:t xml:space="preserve"> </w:t>
      </w:r>
      <w:r w:rsidRPr="00371821">
        <w:t xml:space="preserve">v částce </w:t>
      </w:r>
      <w:r w:rsidRPr="00371821">
        <w:rPr>
          <w:b/>
          <w:bCs/>
        </w:rPr>
        <w:t>0,06 mld. Kč</w:t>
      </w:r>
      <w:r w:rsidRPr="00371821">
        <w:t xml:space="preserve">. U nich došlo k minimálnímu </w:t>
      </w:r>
      <w:r w:rsidR="00AB2923" w:rsidRPr="00E471FC">
        <w:t xml:space="preserve">meziročnímu </w:t>
      </w:r>
      <w:r w:rsidRPr="00E471FC">
        <w:t>nárůst</w:t>
      </w:r>
      <w:r w:rsidR="00AB2923" w:rsidRPr="00E471FC">
        <w:t>u</w:t>
      </w:r>
      <w:r w:rsidRPr="00E471FC">
        <w:t xml:space="preserve"> o </w:t>
      </w:r>
      <w:r w:rsidR="00CF53E5" w:rsidRPr="00E471FC">
        <w:t xml:space="preserve">11 </w:t>
      </w:r>
      <w:r w:rsidRPr="00E471FC">
        <w:t>mil. Kč.</w:t>
      </w:r>
    </w:p>
    <w:p w:rsidR="00AB3843" w:rsidRDefault="00AB2923" w:rsidP="00C14F36">
      <w:pPr>
        <w:pStyle w:val="Titulek"/>
      </w:pPr>
      <w:bookmarkStart w:id="10" w:name="_Toc41837520"/>
      <w:r>
        <w:t xml:space="preserve">Graf č. </w:t>
      </w:r>
      <w:r>
        <w:rPr>
          <w:noProof/>
        </w:rPr>
        <w:fldChar w:fldCharType="begin"/>
      </w:r>
      <w:r>
        <w:rPr>
          <w:noProof/>
        </w:rPr>
        <w:instrText xml:space="preserve"> SEQ Graf \* ARABIC </w:instrText>
      </w:r>
      <w:r>
        <w:rPr>
          <w:noProof/>
        </w:rPr>
        <w:fldChar w:fldCharType="separate"/>
      </w:r>
      <w:r w:rsidR="00B17299">
        <w:rPr>
          <w:noProof/>
        </w:rPr>
        <w:t>3</w:t>
      </w:r>
      <w:r>
        <w:rPr>
          <w:noProof/>
        </w:rPr>
        <w:fldChar w:fldCharType="end"/>
      </w:r>
      <w:r>
        <w:t xml:space="preserve">: </w:t>
      </w:r>
      <w:r w:rsidRPr="00AB2923">
        <w:t>Struktura výdajů celkem za rok 201</w:t>
      </w:r>
      <w:r w:rsidR="00371821">
        <w:t>9</w:t>
      </w:r>
      <w:bookmarkEnd w:id="10"/>
    </w:p>
    <w:p w:rsidR="00F55E4F" w:rsidRDefault="00F55E4F" w:rsidP="00F55E4F">
      <w:pPr>
        <w:pStyle w:val="TABOBR"/>
        <w:spacing w:after="200" w:line="288" w:lineRule="auto"/>
        <w:jc w:val="center"/>
        <w:rPr>
          <w:rFonts w:cstheme="minorBidi"/>
          <w:b w:val="0"/>
          <w:lang w:eastAsia="en-US"/>
        </w:rPr>
      </w:pPr>
      <w:r>
        <w:rPr>
          <w:noProof/>
        </w:rPr>
        <w:drawing>
          <wp:inline distT="0" distB="0" distL="0" distR="0" wp14:anchorId="2B0E7B60" wp14:editId="659FDFB9">
            <wp:extent cx="5184250" cy="2695493"/>
            <wp:effectExtent l="0" t="0" r="16510" b="10160"/>
            <wp:docPr id="1" name="Graf 1">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B3843" w:rsidRPr="00B3234B" w:rsidRDefault="00AB3843" w:rsidP="00B3234B">
      <w:pPr>
        <w:pStyle w:val="TABOBR"/>
        <w:spacing w:after="200" w:line="288" w:lineRule="auto"/>
        <w:rPr>
          <w:rFonts w:cstheme="minorBidi"/>
          <w:b w:val="0"/>
          <w:lang w:eastAsia="en-US"/>
        </w:rPr>
      </w:pPr>
      <w:r w:rsidRPr="00B3234B">
        <w:rPr>
          <w:rFonts w:cstheme="minorBidi"/>
          <w:b w:val="0"/>
          <w:lang w:eastAsia="en-US"/>
        </w:rPr>
        <w:t>Ministerstvo financí pak dále sleduje řadu dalších veličin, z nichž jsou uvedeny „výdaje na vlastní činnost“</w:t>
      </w:r>
      <w:r w:rsidRPr="00B3234B">
        <w:rPr>
          <w:rFonts w:cstheme="minorBidi"/>
          <w:b w:val="0"/>
          <w:vertAlign w:val="superscript"/>
          <w:lang w:eastAsia="en-US"/>
        </w:rPr>
        <w:footnoteReference w:id="3"/>
      </w:r>
      <w:r w:rsidRPr="00B3234B">
        <w:rPr>
          <w:rFonts w:cstheme="minorBidi"/>
          <w:b w:val="0"/>
          <w:lang w:eastAsia="en-US"/>
        </w:rPr>
        <w:t xml:space="preserve"> a</w:t>
      </w:r>
      <w:r w:rsidR="00E471FC">
        <w:rPr>
          <w:rFonts w:cstheme="minorBidi"/>
          <w:b w:val="0"/>
          <w:lang w:eastAsia="en-US"/>
        </w:rPr>
        <w:t> </w:t>
      </w:r>
      <w:r w:rsidRPr="00B3234B">
        <w:rPr>
          <w:rFonts w:cstheme="minorBidi"/>
          <w:b w:val="0"/>
          <w:lang w:eastAsia="en-US"/>
        </w:rPr>
        <w:t>„výdaje na preventivní programy“</w:t>
      </w:r>
      <w:r w:rsidRPr="00B3234B">
        <w:rPr>
          <w:rFonts w:cstheme="minorBidi"/>
          <w:b w:val="0"/>
          <w:vertAlign w:val="superscript"/>
          <w:lang w:eastAsia="en-US"/>
        </w:rPr>
        <w:footnoteReference w:id="4"/>
      </w:r>
      <w:r w:rsidR="00DC1A50">
        <w:rPr>
          <w:rFonts w:cstheme="minorBidi"/>
          <w:b w:val="0"/>
          <w:lang w:eastAsia="en-US"/>
        </w:rPr>
        <w:t>.</w:t>
      </w:r>
    </w:p>
    <w:p w:rsidR="00AB3843" w:rsidRDefault="00DC1A50" w:rsidP="00B3234B">
      <w:pPr>
        <w:pStyle w:val="Titulek"/>
        <w:jc w:val="both"/>
      </w:pPr>
      <w:bookmarkStart w:id="11" w:name="_Toc41837496"/>
      <w:r w:rsidRPr="00C75FC6">
        <w:lastRenderedPageBreak/>
        <w:t xml:space="preserve">Tabulka č. </w:t>
      </w:r>
      <w:r>
        <w:rPr>
          <w:noProof/>
        </w:rPr>
        <w:fldChar w:fldCharType="begin"/>
      </w:r>
      <w:r>
        <w:rPr>
          <w:noProof/>
        </w:rPr>
        <w:instrText xml:space="preserve"> SEQ Tabulka \* ARABIC </w:instrText>
      </w:r>
      <w:r>
        <w:rPr>
          <w:noProof/>
        </w:rPr>
        <w:fldChar w:fldCharType="separate"/>
      </w:r>
      <w:r w:rsidR="00B17299">
        <w:rPr>
          <w:noProof/>
        </w:rPr>
        <w:t>4</w:t>
      </w:r>
      <w:r>
        <w:rPr>
          <w:noProof/>
        </w:rPr>
        <w:fldChar w:fldCharType="end"/>
      </w:r>
      <w:r w:rsidRPr="00C75FC6">
        <w:t xml:space="preserve">: </w:t>
      </w:r>
      <w:r w:rsidRPr="00DC1A50">
        <w:t>Výdaje systému v. z. p. 201</w:t>
      </w:r>
      <w:r w:rsidR="00A41493">
        <w:t>9</w:t>
      </w:r>
      <w:r w:rsidRPr="00DC1A50">
        <w:t xml:space="preserve"> dle zdravotních pojišťoven</w:t>
      </w:r>
      <w:bookmarkEnd w:id="11"/>
    </w:p>
    <w:tbl>
      <w:tblPr>
        <w:tblW w:w="9193" w:type="dxa"/>
        <w:jc w:val="center"/>
        <w:tblCellMar>
          <w:left w:w="70" w:type="dxa"/>
          <w:right w:w="70" w:type="dxa"/>
        </w:tblCellMar>
        <w:tblLook w:val="04A0" w:firstRow="1" w:lastRow="0" w:firstColumn="1" w:lastColumn="0" w:noHBand="0" w:noVBand="1"/>
      </w:tblPr>
      <w:tblGrid>
        <w:gridCol w:w="2256"/>
        <w:gridCol w:w="991"/>
        <w:gridCol w:w="991"/>
        <w:gridCol w:w="991"/>
        <w:gridCol w:w="991"/>
        <w:gridCol w:w="991"/>
        <w:gridCol w:w="991"/>
        <w:gridCol w:w="991"/>
      </w:tblGrid>
      <w:tr w:rsidR="00AD2E56" w:rsidRPr="005F75BF" w:rsidTr="00327A75">
        <w:trPr>
          <w:trHeight w:val="601"/>
          <w:jc w:val="center"/>
        </w:trPr>
        <w:tc>
          <w:tcPr>
            <w:tcW w:w="2256" w:type="dxa"/>
            <w:tcBorders>
              <w:top w:val="single" w:sz="12" w:space="0" w:color="4F81BD"/>
              <w:left w:val="single" w:sz="12" w:space="0" w:color="4F81BD"/>
              <w:right w:val="nil"/>
            </w:tcBorders>
            <w:shd w:val="clear" w:color="000000" w:fill="4F81BD"/>
            <w:vAlign w:val="center"/>
            <w:hideMark/>
          </w:tcPr>
          <w:p w:rsidR="00AD2E56" w:rsidRPr="005F75BF" w:rsidRDefault="00AD2E56" w:rsidP="00C3621B">
            <w:pPr>
              <w:spacing w:after="0" w:line="240" w:lineRule="auto"/>
              <w:rPr>
                <w:rFonts w:ascii="Calibri" w:eastAsia="Times New Roman" w:hAnsi="Calibri" w:cs="Times New Roman"/>
                <w:b/>
                <w:bCs/>
                <w:color w:val="FFFFFF"/>
                <w:szCs w:val="21"/>
                <w:lang w:eastAsia="cs-CZ"/>
              </w:rPr>
            </w:pPr>
            <w:r w:rsidRPr="005F75BF">
              <w:rPr>
                <w:rFonts w:ascii="Calibri" w:eastAsia="Times New Roman" w:hAnsi="Calibri" w:cs="Times New Roman"/>
                <w:b/>
                <w:bCs/>
                <w:i/>
                <w:iCs/>
                <w:color w:val="FFFFFF"/>
                <w:szCs w:val="21"/>
                <w:lang w:eastAsia="cs-CZ"/>
              </w:rPr>
              <w:t xml:space="preserve">(v mil. </w:t>
            </w:r>
            <w:r w:rsidR="009560DA" w:rsidRPr="005F75BF">
              <w:rPr>
                <w:rFonts w:ascii="Calibri" w:eastAsia="Times New Roman" w:hAnsi="Calibri" w:cs="Times New Roman"/>
                <w:b/>
                <w:bCs/>
                <w:i/>
                <w:iCs/>
                <w:color w:val="FFFFFF"/>
                <w:szCs w:val="21"/>
                <w:lang w:eastAsia="cs-CZ"/>
              </w:rPr>
              <w:t>Kč)</w:t>
            </w:r>
          </w:p>
        </w:tc>
        <w:tc>
          <w:tcPr>
            <w:tcW w:w="991" w:type="dxa"/>
            <w:tcBorders>
              <w:top w:val="single" w:sz="12" w:space="0" w:color="4F81BD"/>
              <w:left w:val="nil"/>
              <w:bottom w:val="nil"/>
              <w:right w:val="nil"/>
            </w:tcBorders>
            <w:shd w:val="clear" w:color="000000" w:fill="6691C6"/>
            <w:noWrap/>
            <w:vAlign w:val="center"/>
            <w:hideMark/>
          </w:tcPr>
          <w:p w:rsidR="00AD2E56" w:rsidRPr="00F37C4C" w:rsidRDefault="00AD2E56" w:rsidP="00C3621B">
            <w:pPr>
              <w:spacing w:after="0" w:line="240" w:lineRule="auto"/>
              <w:jc w:val="center"/>
              <w:rPr>
                <w:rFonts w:ascii="Calibri" w:eastAsia="Times New Roman" w:hAnsi="Calibri" w:cs="Times New Roman"/>
                <w:b/>
                <w:color w:val="FFFFFF"/>
                <w:szCs w:val="21"/>
                <w:lang w:eastAsia="cs-CZ"/>
              </w:rPr>
            </w:pPr>
            <w:r w:rsidRPr="00F37C4C">
              <w:rPr>
                <w:rFonts w:ascii="Calibri" w:eastAsia="Times New Roman" w:hAnsi="Calibri" w:cs="Times New Roman"/>
                <w:b/>
                <w:color w:val="FFFFFF" w:themeColor="background1"/>
                <w:szCs w:val="21"/>
                <w:lang w:eastAsia="cs-CZ"/>
              </w:rPr>
              <w:t>VZP ČR</w:t>
            </w:r>
          </w:p>
        </w:tc>
        <w:tc>
          <w:tcPr>
            <w:tcW w:w="991" w:type="dxa"/>
            <w:tcBorders>
              <w:top w:val="single" w:sz="12" w:space="0" w:color="4F81BD"/>
              <w:left w:val="nil"/>
              <w:bottom w:val="nil"/>
              <w:right w:val="nil"/>
            </w:tcBorders>
            <w:shd w:val="clear" w:color="000000" w:fill="4F81BD"/>
            <w:noWrap/>
            <w:vAlign w:val="center"/>
            <w:hideMark/>
          </w:tcPr>
          <w:p w:rsidR="00AD2E56" w:rsidRPr="00F37C4C" w:rsidRDefault="00AD2E56" w:rsidP="00C3621B">
            <w:pPr>
              <w:spacing w:after="0" w:line="240" w:lineRule="auto"/>
              <w:jc w:val="center"/>
              <w:rPr>
                <w:rFonts w:ascii="Calibri" w:eastAsia="Times New Roman" w:hAnsi="Calibri" w:cs="Times New Roman"/>
                <w:b/>
                <w:color w:val="FFFFFF"/>
                <w:szCs w:val="21"/>
                <w:lang w:eastAsia="cs-CZ"/>
              </w:rPr>
            </w:pPr>
            <w:proofErr w:type="spellStart"/>
            <w:r w:rsidRPr="00F37C4C">
              <w:rPr>
                <w:rFonts w:ascii="Calibri" w:eastAsia="Times New Roman" w:hAnsi="Calibri" w:cs="Times New Roman"/>
                <w:b/>
                <w:color w:val="FFFFFF" w:themeColor="background1"/>
                <w:szCs w:val="21"/>
                <w:lang w:eastAsia="cs-CZ"/>
              </w:rPr>
              <w:t>VoZP</w:t>
            </w:r>
            <w:proofErr w:type="spellEnd"/>
            <w:r w:rsidRPr="00F37C4C">
              <w:rPr>
                <w:rFonts w:ascii="Calibri" w:eastAsia="Times New Roman" w:hAnsi="Calibri" w:cs="Times New Roman"/>
                <w:b/>
                <w:color w:val="FFFFFF" w:themeColor="background1"/>
                <w:szCs w:val="21"/>
                <w:lang w:eastAsia="cs-CZ"/>
              </w:rPr>
              <w:t xml:space="preserve"> ČR</w:t>
            </w:r>
          </w:p>
        </w:tc>
        <w:tc>
          <w:tcPr>
            <w:tcW w:w="991" w:type="dxa"/>
            <w:tcBorders>
              <w:top w:val="single" w:sz="12" w:space="0" w:color="4F81BD"/>
              <w:left w:val="nil"/>
              <w:bottom w:val="nil"/>
              <w:right w:val="nil"/>
            </w:tcBorders>
            <w:shd w:val="clear" w:color="000000" w:fill="6691C6"/>
            <w:noWrap/>
            <w:vAlign w:val="center"/>
            <w:hideMark/>
          </w:tcPr>
          <w:p w:rsidR="00AD2E56" w:rsidRPr="00F37C4C" w:rsidRDefault="00AD2E56" w:rsidP="00C3621B">
            <w:pPr>
              <w:spacing w:after="0" w:line="240" w:lineRule="auto"/>
              <w:jc w:val="center"/>
              <w:rPr>
                <w:rFonts w:ascii="Calibri" w:eastAsia="Times New Roman" w:hAnsi="Calibri" w:cs="Times New Roman"/>
                <w:b/>
                <w:color w:val="FFFFFF"/>
                <w:szCs w:val="21"/>
                <w:lang w:eastAsia="cs-CZ"/>
              </w:rPr>
            </w:pPr>
            <w:r w:rsidRPr="00F37C4C">
              <w:rPr>
                <w:rFonts w:ascii="Calibri" w:eastAsia="Times New Roman" w:hAnsi="Calibri" w:cs="Times New Roman"/>
                <w:b/>
                <w:color w:val="FFFFFF" w:themeColor="background1"/>
                <w:szCs w:val="21"/>
                <w:lang w:eastAsia="cs-CZ"/>
              </w:rPr>
              <w:t>ČPZP</w:t>
            </w:r>
          </w:p>
        </w:tc>
        <w:tc>
          <w:tcPr>
            <w:tcW w:w="991" w:type="dxa"/>
            <w:tcBorders>
              <w:top w:val="single" w:sz="12" w:space="0" w:color="4F81BD"/>
              <w:left w:val="nil"/>
              <w:bottom w:val="nil"/>
              <w:right w:val="nil"/>
            </w:tcBorders>
            <w:shd w:val="clear" w:color="000000" w:fill="4F81BD"/>
            <w:vAlign w:val="center"/>
            <w:hideMark/>
          </w:tcPr>
          <w:p w:rsidR="00AD2E56" w:rsidRPr="00F37C4C" w:rsidRDefault="00AD2E56" w:rsidP="00C3621B">
            <w:pPr>
              <w:spacing w:after="0" w:line="240" w:lineRule="auto"/>
              <w:jc w:val="center"/>
              <w:rPr>
                <w:rFonts w:ascii="Calibri" w:eastAsia="Times New Roman" w:hAnsi="Calibri" w:cs="Times New Roman"/>
                <w:b/>
                <w:color w:val="FFFFFF"/>
                <w:szCs w:val="21"/>
                <w:lang w:eastAsia="cs-CZ"/>
              </w:rPr>
            </w:pPr>
            <w:r w:rsidRPr="00F37C4C">
              <w:rPr>
                <w:rFonts w:ascii="Calibri" w:eastAsia="Times New Roman" w:hAnsi="Calibri" w:cs="Times New Roman"/>
                <w:b/>
                <w:color w:val="FFFFFF" w:themeColor="background1"/>
                <w:szCs w:val="21"/>
                <w:lang w:eastAsia="cs-CZ"/>
              </w:rPr>
              <w:t>OZP</w:t>
            </w:r>
          </w:p>
        </w:tc>
        <w:tc>
          <w:tcPr>
            <w:tcW w:w="991" w:type="dxa"/>
            <w:tcBorders>
              <w:top w:val="single" w:sz="12" w:space="0" w:color="4F81BD"/>
              <w:left w:val="nil"/>
              <w:bottom w:val="nil"/>
              <w:right w:val="nil"/>
            </w:tcBorders>
            <w:shd w:val="clear" w:color="000000" w:fill="6691C6"/>
            <w:vAlign w:val="center"/>
            <w:hideMark/>
          </w:tcPr>
          <w:p w:rsidR="00AD2E56" w:rsidRPr="00F37C4C" w:rsidRDefault="00AD2E56" w:rsidP="00C3621B">
            <w:pPr>
              <w:spacing w:after="0" w:line="240" w:lineRule="auto"/>
              <w:jc w:val="center"/>
              <w:rPr>
                <w:rFonts w:ascii="Calibri" w:eastAsia="Times New Roman" w:hAnsi="Calibri" w:cs="Times New Roman"/>
                <w:b/>
                <w:color w:val="FFFFFF"/>
                <w:szCs w:val="21"/>
                <w:lang w:eastAsia="cs-CZ"/>
              </w:rPr>
            </w:pPr>
            <w:r w:rsidRPr="00F37C4C">
              <w:rPr>
                <w:rFonts w:ascii="Calibri" w:eastAsia="Times New Roman" w:hAnsi="Calibri" w:cs="Times New Roman"/>
                <w:b/>
                <w:color w:val="FFFFFF" w:themeColor="background1"/>
                <w:szCs w:val="21"/>
                <w:lang w:eastAsia="cs-CZ"/>
              </w:rPr>
              <w:t>ZPŠ</w:t>
            </w:r>
          </w:p>
        </w:tc>
        <w:tc>
          <w:tcPr>
            <w:tcW w:w="991" w:type="dxa"/>
            <w:tcBorders>
              <w:top w:val="single" w:sz="12" w:space="0" w:color="4F81BD"/>
              <w:left w:val="nil"/>
              <w:bottom w:val="nil"/>
              <w:right w:val="nil"/>
            </w:tcBorders>
            <w:shd w:val="clear" w:color="000000" w:fill="4F81BD"/>
            <w:vAlign w:val="center"/>
            <w:hideMark/>
          </w:tcPr>
          <w:p w:rsidR="00AD2E56" w:rsidRPr="00F37C4C" w:rsidRDefault="00AD2E56" w:rsidP="00C3621B">
            <w:pPr>
              <w:spacing w:after="0" w:line="240" w:lineRule="auto"/>
              <w:jc w:val="center"/>
              <w:rPr>
                <w:rFonts w:ascii="Calibri" w:eastAsia="Times New Roman" w:hAnsi="Calibri" w:cs="Times New Roman"/>
                <w:b/>
                <w:color w:val="FFFFFF"/>
                <w:szCs w:val="21"/>
                <w:lang w:eastAsia="cs-CZ"/>
              </w:rPr>
            </w:pPr>
            <w:r w:rsidRPr="00F37C4C">
              <w:rPr>
                <w:rFonts w:ascii="Calibri" w:eastAsia="Times New Roman" w:hAnsi="Calibri" w:cs="Times New Roman"/>
                <w:b/>
                <w:color w:val="FFFFFF" w:themeColor="background1"/>
                <w:szCs w:val="21"/>
                <w:lang w:eastAsia="cs-CZ"/>
              </w:rPr>
              <w:t>ZP</w:t>
            </w:r>
            <w:r>
              <w:rPr>
                <w:rFonts w:ascii="Calibri" w:eastAsia="Times New Roman" w:hAnsi="Calibri" w:cs="Times New Roman"/>
                <w:b/>
                <w:color w:val="FFFFFF" w:themeColor="background1"/>
                <w:szCs w:val="21"/>
                <w:lang w:eastAsia="cs-CZ"/>
              </w:rPr>
              <w:t xml:space="preserve"> </w:t>
            </w:r>
            <w:r w:rsidRPr="00F37C4C">
              <w:rPr>
                <w:rFonts w:ascii="Calibri" w:eastAsia="Times New Roman" w:hAnsi="Calibri" w:cs="Times New Roman"/>
                <w:b/>
                <w:color w:val="FFFFFF" w:themeColor="background1"/>
                <w:szCs w:val="21"/>
                <w:lang w:eastAsia="cs-CZ"/>
              </w:rPr>
              <w:t>MV ČR</w:t>
            </w:r>
          </w:p>
        </w:tc>
        <w:tc>
          <w:tcPr>
            <w:tcW w:w="991" w:type="dxa"/>
            <w:tcBorders>
              <w:top w:val="single" w:sz="12" w:space="0" w:color="4F81BD"/>
              <w:left w:val="nil"/>
              <w:bottom w:val="nil"/>
              <w:right w:val="single" w:sz="12" w:space="0" w:color="4F81BD"/>
            </w:tcBorders>
            <w:shd w:val="clear" w:color="000000" w:fill="6691C6"/>
            <w:vAlign w:val="center"/>
            <w:hideMark/>
          </w:tcPr>
          <w:p w:rsidR="00AD2E56" w:rsidRPr="00F37C4C" w:rsidRDefault="00AD2E56" w:rsidP="00C3621B">
            <w:pPr>
              <w:spacing w:after="0" w:line="240" w:lineRule="auto"/>
              <w:jc w:val="center"/>
              <w:rPr>
                <w:rFonts w:ascii="Calibri" w:eastAsia="Times New Roman" w:hAnsi="Calibri" w:cs="Times New Roman"/>
                <w:b/>
                <w:color w:val="FFFFFF"/>
                <w:szCs w:val="21"/>
                <w:lang w:eastAsia="cs-CZ"/>
              </w:rPr>
            </w:pPr>
            <w:r w:rsidRPr="00F37C4C">
              <w:rPr>
                <w:rFonts w:ascii="Calibri" w:eastAsia="Times New Roman" w:hAnsi="Calibri" w:cs="Times New Roman"/>
                <w:b/>
                <w:color w:val="FFFFFF" w:themeColor="background1"/>
                <w:szCs w:val="21"/>
                <w:lang w:eastAsia="cs-CZ"/>
              </w:rPr>
              <w:t>RBP</w:t>
            </w:r>
          </w:p>
        </w:tc>
      </w:tr>
      <w:tr w:rsidR="00320ABB" w:rsidRPr="005F75BF" w:rsidTr="00C14F36">
        <w:trPr>
          <w:trHeight w:val="300"/>
          <w:jc w:val="center"/>
        </w:trPr>
        <w:tc>
          <w:tcPr>
            <w:tcW w:w="2256" w:type="dxa"/>
            <w:tcBorders>
              <w:top w:val="nil"/>
              <w:left w:val="single" w:sz="12" w:space="0" w:color="4F81BD"/>
              <w:bottom w:val="nil"/>
              <w:right w:val="nil"/>
            </w:tcBorders>
            <w:shd w:val="clear" w:color="auto" w:fill="auto"/>
            <w:vAlign w:val="center"/>
            <w:hideMark/>
          </w:tcPr>
          <w:p w:rsidR="00320ABB" w:rsidRPr="005F75BF" w:rsidRDefault="00320ABB" w:rsidP="00C3621B">
            <w:pPr>
              <w:spacing w:after="0" w:line="240" w:lineRule="auto"/>
              <w:rPr>
                <w:rFonts w:ascii="Calibri" w:eastAsia="Times New Roman" w:hAnsi="Calibri" w:cs="Times New Roman"/>
                <w:b/>
                <w:bCs/>
                <w:color w:val="000000"/>
                <w:szCs w:val="21"/>
                <w:lang w:eastAsia="cs-CZ"/>
              </w:rPr>
            </w:pPr>
            <w:r>
              <w:rPr>
                <w:rFonts w:ascii="Calibri" w:eastAsia="Times New Roman" w:hAnsi="Calibri" w:cs="Arial"/>
                <w:b/>
                <w:bCs/>
                <w:color w:val="000000"/>
                <w:szCs w:val="21"/>
                <w:lang w:eastAsia="cs-CZ"/>
              </w:rPr>
              <w:t>V</w:t>
            </w:r>
            <w:r w:rsidRPr="005F75BF">
              <w:rPr>
                <w:rFonts w:ascii="Calibri" w:eastAsia="Times New Roman" w:hAnsi="Calibri" w:cs="Arial"/>
                <w:b/>
                <w:bCs/>
                <w:color w:val="000000"/>
                <w:szCs w:val="21"/>
                <w:lang w:eastAsia="cs-CZ"/>
              </w:rPr>
              <w:t>ýdaje celkem</w:t>
            </w:r>
          </w:p>
        </w:tc>
        <w:tc>
          <w:tcPr>
            <w:tcW w:w="991" w:type="dxa"/>
            <w:tcBorders>
              <w:top w:val="nil"/>
              <w:left w:val="nil"/>
              <w:bottom w:val="nil"/>
              <w:right w:val="nil"/>
            </w:tcBorders>
            <w:shd w:val="clear" w:color="000000" w:fill="DCE6F1"/>
            <w:noWrap/>
            <w:vAlign w:val="center"/>
          </w:tcPr>
          <w:p w:rsidR="00320ABB" w:rsidRPr="00320ABB" w:rsidRDefault="00320ABB" w:rsidP="00320ABB">
            <w:pPr>
              <w:spacing w:after="0" w:line="240" w:lineRule="auto"/>
              <w:jc w:val="right"/>
              <w:rPr>
                <w:rFonts w:ascii="Calibri" w:eastAsia="Times New Roman" w:hAnsi="Calibri" w:cs="Times New Roman"/>
                <w:b/>
                <w:bCs/>
                <w:color w:val="000000"/>
                <w:szCs w:val="21"/>
                <w:lang w:eastAsia="cs-CZ"/>
              </w:rPr>
            </w:pPr>
            <w:r w:rsidRPr="00320ABB">
              <w:rPr>
                <w:b/>
              </w:rPr>
              <w:t>189 753</w:t>
            </w:r>
          </w:p>
        </w:tc>
        <w:tc>
          <w:tcPr>
            <w:tcW w:w="991" w:type="dxa"/>
            <w:tcBorders>
              <w:top w:val="nil"/>
              <w:left w:val="nil"/>
              <w:bottom w:val="nil"/>
              <w:right w:val="nil"/>
            </w:tcBorders>
            <w:shd w:val="clear" w:color="auto" w:fill="auto"/>
            <w:noWrap/>
            <w:vAlign w:val="center"/>
          </w:tcPr>
          <w:p w:rsidR="00320ABB" w:rsidRPr="00320ABB" w:rsidRDefault="00320ABB" w:rsidP="00320ABB">
            <w:pPr>
              <w:spacing w:after="0" w:line="240" w:lineRule="auto"/>
              <w:jc w:val="right"/>
              <w:rPr>
                <w:rFonts w:ascii="Calibri" w:eastAsia="Times New Roman" w:hAnsi="Calibri" w:cs="Times New Roman"/>
                <w:b/>
                <w:bCs/>
                <w:color w:val="000000"/>
                <w:szCs w:val="21"/>
                <w:lang w:eastAsia="cs-CZ"/>
              </w:rPr>
            </w:pPr>
            <w:r w:rsidRPr="00320ABB">
              <w:rPr>
                <w:b/>
              </w:rPr>
              <w:t>20 201</w:t>
            </w:r>
          </w:p>
        </w:tc>
        <w:tc>
          <w:tcPr>
            <w:tcW w:w="991" w:type="dxa"/>
            <w:tcBorders>
              <w:top w:val="nil"/>
              <w:left w:val="nil"/>
              <w:bottom w:val="nil"/>
              <w:right w:val="nil"/>
            </w:tcBorders>
            <w:shd w:val="clear" w:color="000000" w:fill="DCE6F1"/>
            <w:noWrap/>
            <w:vAlign w:val="center"/>
          </w:tcPr>
          <w:p w:rsidR="00320ABB" w:rsidRPr="00320ABB" w:rsidRDefault="00320ABB" w:rsidP="00320ABB">
            <w:pPr>
              <w:spacing w:after="0" w:line="240" w:lineRule="auto"/>
              <w:jc w:val="right"/>
              <w:rPr>
                <w:rFonts w:ascii="Calibri" w:eastAsia="Times New Roman" w:hAnsi="Calibri" w:cs="Times New Roman"/>
                <w:b/>
                <w:bCs/>
                <w:color w:val="000000"/>
                <w:szCs w:val="21"/>
                <w:lang w:eastAsia="cs-CZ"/>
              </w:rPr>
            </w:pPr>
            <w:r w:rsidRPr="00320ABB">
              <w:rPr>
                <w:b/>
              </w:rPr>
              <w:t>34 138</w:t>
            </w:r>
          </w:p>
        </w:tc>
        <w:tc>
          <w:tcPr>
            <w:tcW w:w="991" w:type="dxa"/>
            <w:tcBorders>
              <w:top w:val="nil"/>
              <w:left w:val="nil"/>
              <w:bottom w:val="nil"/>
              <w:right w:val="nil"/>
            </w:tcBorders>
            <w:shd w:val="clear" w:color="auto" w:fill="auto"/>
            <w:noWrap/>
            <w:vAlign w:val="center"/>
          </w:tcPr>
          <w:p w:rsidR="00320ABB" w:rsidRPr="00320ABB" w:rsidRDefault="00320ABB" w:rsidP="00320ABB">
            <w:pPr>
              <w:spacing w:after="0" w:line="240" w:lineRule="auto"/>
              <w:jc w:val="right"/>
              <w:rPr>
                <w:rFonts w:ascii="Calibri" w:eastAsia="Times New Roman" w:hAnsi="Calibri" w:cs="Times New Roman"/>
                <w:b/>
                <w:bCs/>
                <w:color w:val="000000"/>
                <w:szCs w:val="21"/>
                <w:lang w:eastAsia="cs-CZ"/>
              </w:rPr>
            </w:pPr>
            <w:r w:rsidRPr="00320ABB">
              <w:rPr>
                <w:b/>
              </w:rPr>
              <w:t>19 946</w:t>
            </w:r>
          </w:p>
        </w:tc>
        <w:tc>
          <w:tcPr>
            <w:tcW w:w="991" w:type="dxa"/>
            <w:tcBorders>
              <w:top w:val="nil"/>
              <w:left w:val="nil"/>
              <w:bottom w:val="nil"/>
              <w:right w:val="nil"/>
            </w:tcBorders>
            <w:shd w:val="clear" w:color="000000" w:fill="DCE6F1"/>
            <w:noWrap/>
            <w:vAlign w:val="center"/>
          </w:tcPr>
          <w:p w:rsidR="00320ABB" w:rsidRPr="00320ABB" w:rsidRDefault="00320ABB" w:rsidP="00320ABB">
            <w:pPr>
              <w:spacing w:after="0" w:line="240" w:lineRule="auto"/>
              <w:jc w:val="right"/>
              <w:rPr>
                <w:rFonts w:ascii="Calibri" w:eastAsia="Times New Roman" w:hAnsi="Calibri" w:cs="Times New Roman"/>
                <w:b/>
                <w:bCs/>
                <w:color w:val="000000"/>
                <w:szCs w:val="21"/>
                <w:lang w:eastAsia="cs-CZ"/>
              </w:rPr>
            </w:pPr>
            <w:r w:rsidRPr="00320ABB">
              <w:rPr>
                <w:b/>
              </w:rPr>
              <w:t>4 198</w:t>
            </w:r>
          </w:p>
        </w:tc>
        <w:tc>
          <w:tcPr>
            <w:tcW w:w="991" w:type="dxa"/>
            <w:tcBorders>
              <w:top w:val="nil"/>
              <w:left w:val="nil"/>
              <w:bottom w:val="nil"/>
              <w:right w:val="nil"/>
            </w:tcBorders>
            <w:shd w:val="clear" w:color="auto" w:fill="auto"/>
            <w:noWrap/>
            <w:vAlign w:val="center"/>
          </w:tcPr>
          <w:p w:rsidR="00320ABB" w:rsidRPr="00320ABB" w:rsidRDefault="00320ABB" w:rsidP="00320ABB">
            <w:pPr>
              <w:spacing w:after="0" w:line="240" w:lineRule="auto"/>
              <w:jc w:val="right"/>
              <w:rPr>
                <w:rFonts w:ascii="Calibri" w:eastAsia="Times New Roman" w:hAnsi="Calibri" w:cs="Times New Roman"/>
                <w:b/>
                <w:bCs/>
                <w:color w:val="000000"/>
                <w:szCs w:val="21"/>
                <w:lang w:eastAsia="cs-CZ"/>
              </w:rPr>
            </w:pPr>
            <w:r w:rsidRPr="00320ABB">
              <w:rPr>
                <w:b/>
              </w:rPr>
              <w:t>38 113</w:t>
            </w:r>
          </w:p>
        </w:tc>
        <w:tc>
          <w:tcPr>
            <w:tcW w:w="991" w:type="dxa"/>
            <w:tcBorders>
              <w:top w:val="nil"/>
              <w:left w:val="nil"/>
              <w:bottom w:val="nil"/>
              <w:right w:val="single" w:sz="12" w:space="0" w:color="4F81BD"/>
            </w:tcBorders>
            <w:shd w:val="clear" w:color="000000" w:fill="DCE6F1"/>
            <w:noWrap/>
            <w:vAlign w:val="center"/>
          </w:tcPr>
          <w:p w:rsidR="00320ABB" w:rsidRPr="00320ABB" w:rsidRDefault="00320ABB" w:rsidP="00320ABB">
            <w:pPr>
              <w:spacing w:after="0" w:line="240" w:lineRule="auto"/>
              <w:jc w:val="right"/>
              <w:rPr>
                <w:rFonts w:ascii="Calibri" w:eastAsia="Times New Roman" w:hAnsi="Calibri" w:cs="Times New Roman"/>
                <w:b/>
                <w:bCs/>
                <w:color w:val="000000"/>
                <w:szCs w:val="21"/>
                <w:lang w:eastAsia="cs-CZ"/>
              </w:rPr>
            </w:pPr>
            <w:r w:rsidRPr="00320ABB">
              <w:rPr>
                <w:b/>
              </w:rPr>
              <w:t>11 660</w:t>
            </w:r>
          </w:p>
        </w:tc>
      </w:tr>
      <w:tr w:rsidR="00320ABB" w:rsidRPr="005F75BF" w:rsidTr="00C14F36">
        <w:trPr>
          <w:trHeight w:val="570"/>
          <w:jc w:val="center"/>
        </w:trPr>
        <w:tc>
          <w:tcPr>
            <w:tcW w:w="2256" w:type="dxa"/>
            <w:tcBorders>
              <w:top w:val="nil"/>
              <w:left w:val="single" w:sz="12" w:space="0" w:color="4F81BD"/>
              <w:bottom w:val="nil"/>
              <w:right w:val="nil"/>
            </w:tcBorders>
            <w:shd w:val="clear" w:color="000000" w:fill="EEF3F8"/>
            <w:vAlign w:val="center"/>
            <w:hideMark/>
          </w:tcPr>
          <w:p w:rsidR="00320ABB" w:rsidRPr="005F75BF" w:rsidRDefault="00320ABB" w:rsidP="00C3621B">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V</w:t>
            </w:r>
            <w:r w:rsidRPr="005F75BF">
              <w:rPr>
                <w:rFonts w:ascii="Calibri" w:eastAsia="Times New Roman" w:hAnsi="Calibri" w:cs="Times New Roman"/>
                <w:color w:val="000000"/>
                <w:szCs w:val="21"/>
                <w:lang w:eastAsia="cs-CZ"/>
              </w:rPr>
              <w:t>ýdaje na zdravotní služby ze ZFZP</w:t>
            </w:r>
          </w:p>
        </w:tc>
        <w:tc>
          <w:tcPr>
            <w:tcW w:w="991" w:type="dxa"/>
            <w:tcBorders>
              <w:top w:val="nil"/>
              <w:left w:val="nil"/>
              <w:bottom w:val="nil"/>
              <w:right w:val="nil"/>
            </w:tcBorders>
            <w:shd w:val="clear" w:color="000000" w:fill="EEF3F8"/>
            <w:noWrap/>
            <w:vAlign w:val="center"/>
          </w:tcPr>
          <w:p w:rsidR="00320ABB" w:rsidRPr="005F75BF" w:rsidRDefault="00320ABB" w:rsidP="00320ABB">
            <w:pPr>
              <w:spacing w:after="0" w:line="240" w:lineRule="auto"/>
              <w:jc w:val="right"/>
              <w:rPr>
                <w:rFonts w:ascii="Calibri" w:eastAsia="Times New Roman" w:hAnsi="Calibri" w:cs="Times New Roman"/>
                <w:color w:val="000000"/>
                <w:szCs w:val="21"/>
                <w:lang w:eastAsia="cs-CZ"/>
              </w:rPr>
            </w:pPr>
            <w:r w:rsidRPr="00606D9F">
              <w:t>183 651</w:t>
            </w:r>
          </w:p>
        </w:tc>
        <w:tc>
          <w:tcPr>
            <w:tcW w:w="991" w:type="dxa"/>
            <w:tcBorders>
              <w:top w:val="nil"/>
              <w:left w:val="nil"/>
              <w:bottom w:val="nil"/>
              <w:right w:val="nil"/>
            </w:tcBorders>
            <w:shd w:val="clear" w:color="000000" w:fill="EEF3F8"/>
            <w:noWrap/>
            <w:vAlign w:val="center"/>
          </w:tcPr>
          <w:p w:rsidR="00320ABB" w:rsidRPr="005F75BF" w:rsidRDefault="00320ABB" w:rsidP="00320ABB">
            <w:pPr>
              <w:spacing w:after="0" w:line="240" w:lineRule="auto"/>
              <w:jc w:val="right"/>
              <w:rPr>
                <w:rFonts w:ascii="Calibri" w:eastAsia="Times New Roman" w:hAnsi="Calibri" w:cs="Times New Roman"/>
                <w:color w:val="000000"/>
                <w:szCs w:val="21"/>
                <w:lang w:eastAsia="cs-CZ"/>
              </w:rPr>
            </w:pPr>
            <w:r w:rsidRPr="00606D9F">
              <w:t>19 424</w:t>
            </w:r>
          </w:p>
        </w:tc>
        <w:tc>
          <w:tcPr>
            <w:tcW w:w="991" w:type="dxa"/>
            <w:tcBorders>
              <w:top w:val="nil"/>
              <w:left w:val="nil"/>
              <w:bottom w:val="nil"/>
              <w:right w:val="nil"/>
            </w:tcBorders>
            <w:shd w:val="clear" w:color="000000" w:fill="EEF3F8"/>
            <w:noWrap/>
            <w:vAlign w:val="center"/>
          </w:tcPr>
          <w:p w:rsidR="00320ABB" w:rsidRPr="005F75BF" w:rsidRDefault="00320ABB" w:rsidP="00320ABB">
            <w:pPr>
              <w:spacing w:after="0" w:line="240" w:lineRule="auto"/>
              <w:jc w:val="right"/>
              <w:rPr>
                <w:rFonts w:ascii="Calibri" w:eastAsia="Times New Roman" w:hAnsi="Calibri" w:cs="Times New Roman"/>
                <w:color w:val="000000"/>
                <w:szCs w:val="21"/>
                <w:lang w:eastAsia="cs-CZ"/>
              </w:rPr>
            </w:pPr>
            <w:r w:rsidRPr="00606D9F">
              <w:t>32 856</w:t>
            </w:r>
          </w:p>
        </w:tc>
        <w:tc>
          <w:tcPr>
            <w:tcW w:w="991" w:type="dxa"/>
            <w:tcBorders>
              <w:top w:val="nil"/>
              <w:left w:val="nil"/>
              <w:bottom w:val="nil"/>
              <w:right w:val="nil"/>
            </w:tcBorders>
            <w:shd w:val="clear" w:color="000000" w:fill="EEF3F8"/>
            <w:noWrap/>
            <w:vAlign w:val="center"/>
          </w:tcPr>
          <w:p w:rsidR="00320ABB" w:rsidRPr="005F75BF" w:rsidRDefault="00320ABB" w:rsidP="00320ABB">
            <w:pPr>
              <w:spacing w:after="0" w:line="240" w:lineRule="auto"/>
              <w:jc w:val="right"/>
              <w:rPr>
                <w:rFonts w:ascii="Calibri" w:eastAsia="Times New Roman" w:hAnsi="Calibri" w:cs="Times New Roman"/>
                <w:color w:val="000000"/>
                <w:szCs w:val="21"/>
                <w:lang w:eastAsia="cs-CZ"/>
              </w:rPr>
            </w:pPr>
            <w:r w:rsidRPr="00606D9F">
              <w:t>19 196</w:t>
            </w:r>
          </w:p>
        </w:tc>
        <w:tc>
          <w:tcPr>
            <w:tcW w:w="991" w:type="dxa"/>
            <w:tcBorders>
              <w:top w:val="nil"/>
              <w:left w:val="nil"/>
              <w:bottom w:val="nil"/>
              <w:right w:val="nil"/>
            </w:tcBorders>
            <w:shd w:val="clear" w:color="000000" w:fill="EEF3F8"/>
            <w:noWrap/>
            <w:vAlign w:val="center"/>
          </w:tcPr>
          <w:p w:rsidR="00320ABB" w:rsidRPr="005F75BF" w:rsidRDefault="00320ABB" w:rsidP="00320ABB">
            <w:pPr>
              <w:spacing w:after="0" w:line="240" w:lineRule="auto"/>
              <w:jc w:val="right"/>
              <w:rPr>
                <w:rFonts w:ascii="Calibri" w:eastAsia="Times New Roman" w:hAnsi="Calibri" w:cs="Times New Roman"/>
                <w:color w:val="000000"/>
                <w:szCs w:val="21"/>
                <w:lang w:eastAsia="cs-CZ"/>
              </w:rPr>
            </w:pPr>
            <w:r w:rsidRPr="00606D9F">
              <w:t>4 037</w:t>
            </w:r>
          </w:p>
        </w:tc>
        <w:tc>
          <w:tcPr>
            <w:tcW w:w="991" w:type="dxa"/>
            <w:tcBorders>
              <w:top w:val="nil"/>
              <w:left w:val="nil"/>
              <w:bottom w:val="nil"/>
              <w:right w:val="nil"/>
            </w:tcBorders>
            <w:shd w:val="clear" w:color="000000" w:fill="EEF3F8"/>
            <w:noWrap/>
            <w:vAlign w:val="center"/>
          </w:tcPr>
          <w:p w:rsidR="00320ABB" w:rsidRPr="005F75BF" w:rsidRDefault="00320ABB" w:rsidP="00320ABB">
            <w:pPr>
              <w:spacing w:after="0" w:line="240" w:lineRule="auto"/>
              <w:jc w:val="right"/>
              <w:rPr>
                <w:rFonts w:ascii="Calibri" w:eastAsia="Times New Roman" w:hAnsi="Calibri" w:cs="Times New Roman"/>
                <w:color w:val="000000"/>
                <w:szCs w:val="21"/>
                <w:lang w:eastAsia="cs-CZ"/>
              </w:rPr>
            </w:pPr>
            <w:r w:rsidRPr="00606D9F">
              <w:t>36 810</w:t>
            </w:r>
          </w:p>
        </w:tc>
        <w:tc>
          <w:tcPr>
            <w:tcW w:w="991" w:type="dxa"/>
            <w:tcBorders>
              <w:top w:val="nil"/>
              <w:left w:val="nil"/>
              <w:bottom w:val="nil"/>
              <w:right w:val="single" w:sz="12" w:space="0" w:color="4F81BD"/>
            </w:tcBorders>
            <w:shd w:val="clear" w:color="000000" w:fill="EEF3F8"/>
            <w:noWrap/>
            <w:vAlign w:val="center"/>
          </w:tcPr>
          <w:p w:rsidR="00320ABB" w:rsidRPr="005F75BF" w:rsidRDefault="00320ABB" w:rsidP="00320ABB">
            <w:pPr>
              <w:spacing w:after="0" w:line="240" w:lineRule="auto"/>
              <w:jc w:val="right"/>
              <w:rPr>
                <w:rFonts w:ascii="Calibri" w:eastAsia="Times New Roman" w:hAnsi="Calibri" w:cs="Times New Roman"/>
                <w:color w:val="000000"/>
                <w:szCs w:val="21"/>
                <w:lang w:eastAsia="cs-CZ"/>
              </w:rPr>
            </w:pPr>
            <w:r w:rsidRPr="00606D9F">
              <w:t>11 220</w:t>
            </w:r>
          </w:p>
        </w:tc>
      </w:tr>
      <w:tr w:rsidR="00320ABB" w:rsidRPr="005F75BF" w:rsidTr="00C14F36">
        <w:trPr>
          <w:trHeight w:val="300"/>
          <w:jc w:val="center"/>
        </w:trPr>
        <w:tc>
          <w:tcPr>
            <w:tcW w:w="2256" w:type="dxa"/>
            <w:tcBorders>
              <w:top w:val="nil"/>
              <w:left w:val="single" w:sz="12" w:space="0" w:color="4F81BD"/>
              <w:bottom w:val="nil"/>
              <w:right w:val="nil"/>
            </w:tcBorders>
            <w:shd w:val="clear" w:color="auto" w:fill="auto"/>
            <w:vAlign w:val="center"/>
            <w:hideMark/>
          </w:tcPr>
          <w:p w:rsidR="00320ABB" w:rsidRDefault="00320ABB" w:rsidP="00C3621B">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V</w:t>
            </w:r>
            <w:r w:rsidRPr="005F75BF">
              <w:rPr>
                <w:rFonts w:ascii="Calibri" w:eastAsia="Times New Roman" w:hAnsi="Calibri" w:cs="Times New Roman"/>
                <w:color w:val="000000"/>
                <w:szCs w:val="21"/>
                <w:lang w:eastAsia="cs-CZ"/>
              </w:rPr>
              <w:t>ýdaje na zdravotní služby ze ZFZP</w:t>
            </w:r>
          </w:p>
          <w:p w:rsidR="00320ABB" w:rsidRPr="005F75BF" w:rsidRDefault="00320ABB" w:rsidP="00C3621B">
            <w:pPr>
              <w:spacing w:after="0" w:line="240" w:lineRule="auto"/>
              <w:rPr>
                <w:rFonts w:ascii="Calibri" w:eastAsia="Times New Roman" w:hAnsi="Calibri" w:cs="Times New Roman"/>
                <w:color w:val="000000"/>
                <w:szCs w:val="21"/>
                <w:lang w:eastAsia="cs-CZ"/>
              </w:rPr>
            </w:pPr>
            <w:r w:rsidRPr="005F75BF">
              <w:rPr>
                <w:rFonts w:ascii="Calibri" w:eastAsia="Times New Roman" w:hAnsi="Calibri" w:cs="Times New Roman"/>
                <w:color w:val="000000"/>
                <w:szCs w:val="21"/>
                <w:lang w:eastAsia="cs-CZ"/>
              </w:rPr>
              <w:t>na 1 pojištěnce (v Kč)</w:t>
            </w:r>
          </w:p>
        </w:tc>
        <w:tc>
          <w:tcPr>
            <w:tcW w:w="991" w:type="dxa"/>
            <w:tcBorders>
              <w:top w:val="nil"/>
              <w:left w:val="nil"/>
              <w:bottom w:val="nil"/>
              <w:right w:val="nil"/>
            </w:tcBorders>
            <w:shd w:val="clear" w:color="000000" w:fill="DCE6F1"/>
            <w:noWrap/>
            <w:vAlign w:val="center"/>
          </w:tcPr>
          <w:p w:rsidR="00320ABB" w:rsidRPr="005F75BF" w:rsidRDefault="00320ABB" w:rsidP="00320ABB">
            <w:pPr>
              <w:spacing w:after="0" w:line="240" w:lineRule="auto"/>
              <w:jc w:val="right"/>
              <w:rPr>
                <w:rFonts w:ascii="Calibri" w:eastAsia="Times New Roman" w:hAnsi="Calibri" w:cs="Times New Roman"/>
                <w:color w:val="000000"/>
                <w:szCs w:val="21"/>
                <w:lang w:eastAsia="cs-CZ"/>
              </w:rPr>
            </w:pPr>
            <w:r w:rsidRPr="00606D9F">
              <w:t>30 843</w:t>
            </w:r>
          </w:p>
        </w:tc>
        <w:tc>
          <w:tcPr>
            <w:tcW w:w="991" w:type="dxa"/>
            <w:tcBorders>
              <w:top w:val="nil"/>
              <w:left w:val="nil"/>
              <w:bottom w:val="nil"/>
              <w:right w:val="nil"/>
            </w:tcBorders>
            <w:shd w:val="clear" w:color="auto" w:fill="auto"/>
            <w:noWrap/>
            <w:vAlign w:val="center"/>
          </w:tcPr>
          <w:p w:rsidR="00320ABB" w:rsidRPr="005F75BF" w:rsidRDefault="00320ABB" w:rsidP="00320ABB">
            <w:pPr>
              <w:spacing w:after="0" w:line="240" w:lineRule="auto"/>
              <w:jc w:val="right"/>
              <w:rPr>
                <w:rFonts w:ascii="Calibri" w:eastAsia="Times New Roman" w:hAnsi="Calibri" w:cs="Times New Roman"/>
                <w:color w:val="000000"/>
                <w:szCs w:val="21"/>
                <w:lang w:eastAsia="cs-CZ"/>
              </w:rPr>
            </w:pPr>
            <w:r w:rsidRPr="00606D9F">
              <w:t>27 844</w:t>
            </w:r>
          </w:p>
        </w:tc>
        <w:tc>
          <w:tcPr>
            <w:tcW w:w="991" w:type="dxa"/>
            <w:tcBorders>
              <w:top w:val="nil"/>
              <w:left w:val="nil"/>
              <w:bottom w:val="nil"/>
              <w:right w:val="nil"/>
            </w:tcBorders>
            <w:shd w:val="clear" w:color="000000" w:fill="DCE6F1"/>
            <w:noWrap/>
            <w:vAlign w:val="center"/>
          </w:tcPr>
          <w:p w:rsidR="00320ABB" w:rsidRPr="005F75BF" w:rsidRDefault="00320ABB" w:rsidP="00320ABB">
            <w:pPr>
              <w:spacing w:after="0" w:line="240" w:lineRule="auto"/>
              <w:jc w:val="right"/>
              <w:rPr>
                <w:rFonts w:ascii="Calibri" w:eastAsia="Times New Roman" w:hAnsi="Calibri" w:cs="Times New Roman"/>
                <w:color w:val="000000"/>
                <w:szCs w:val="21"/>
                <w:lang w:eastAsia="cs-CZ"/>
              </w:rPr>
            </w:pPr>
            <w:r w:rsidRPr="00606D9F">
              <w:t>25 935</w:t>
            </w:r>
          </w:p>
        </w:tc>
        <w:tc>
          <w:tcPr>
            <w:tcW w:w="991" w:type="dxa"/>
            <w:tcBorders>
              <w:top w:val="nil"/>
              <w:left w:val="nil"/>
              <w:bottom w:val="nil"/>
              <w:right w:val="nil"/>
            </w:tcBorders>
            <w:shd w:val="clear" w:color="auto" w:fill="auto"/>
            <w:noWrap/>
            <w:vAlign w:val="center"/>
          </w:tcPr>
          <w:p w:rsidR="00320ABB" w:rsidRPr="005F75BF" w:rsidRDefault="00320ABB" w:rsidP="00320ABB">
            <w:pPr>
              <w:spacing w:after="0" w:line="240" w:lineRule="auto"/>
              <w:jc w:val="right"/>
              <w:rPr>
                <w:rFonts w:ascii="Calibri" w:eastAsia="Times New Roman" w:hAnsi="Calibri" w:cs="Times New Roman"/>
                <w:color w:val="000000"/>
                <w:szCs w:val="21"/>
                <w:lang w:eastAsia="cs-CZ"/>
              </w:rPr>
            </w:pPr>
            <w:r w:rsidRPr="00606D9F">
              <w:t>26 231</w:t>
            </w:r>
          </w:p>
        </w:tc>
        <w:tc>
          <w:tcPr>
            <w:tcW w:w="991" w:type="dxa"/>
            <w:tcBorders>
              <w:top w:val="nil"/>
              <w:left w:val="nil"/>
              <w:bottom w:val="nil"/>
              <w:right w:val="nil"/>
            </w:tcBorders>
            <w:shd w:val="clear" w:color="000000" w:fill="DCE6F1"/>
            <w:noWrap/>
            <w:vAlign w:val="center"/>
          </w:tcPr>
          <w:p w:rsidR="00320ABB" w:rsidRPr="005F75BF" w:rsidRDefault="00320ABB" w:rsidP="00320ABB">
            <w:pPr>
              <w:spacing w:after="0" w:line="240" w:lineRule="auto"/>
              <w:jc w:val="right"/>
              <w:rPr>
                <w:rFonts w:ascii="Calibri" w:eastAsia="Times New Roman" w:hAnsi="Calibri" w:cs="Times New Roman"/>
                <w:color w:val="000000"/>
                <w:szCs w:val="21"/>
                <w:lang w:eastAsia="cs-CZ"/>
              </w:rPr>
            </w:pPr>
            <w:r w:rsidRPr="00606D9F">
              <w:t>27 899</w:t>
            </w:r>
          </w:p>
        </w:tc>
        <w:tc>
          <w:tcPr>
            <w:tcW w:w="991" w:type="dxa"/>
            <w:tcBorders>
              <w:top w:val="nil"/>
              <w:left w:val="nil"/>
              <w:bottom w:val="nil"/>
              <w:right w:val="nil"/>
            </w:tcBorders>
            <w:shd w:val="clear" w:color="auto" w:fill="auto"/>
            <w:noWrap/>
            <w:vAlign w:val="center"/>
          </w:tcPr>
          <w:p w:rsidR="00320ABB" w:rsidRPr="005F75BF" w:rsidRDefault="00320ABB" w:rsidP="00320ABB">
            <w:pPr>
              <w:spacing w:after="0" w:line="240" w:lineRule="auto"/>
              <w:jc w:val="right"/>
              <w:rPr>
                <w:rFonts w:ascii="Calibri" w:eastAsia="Times New Roman" w:hAnsi="Calibri" w:cs="Times New Roman"/>
                <w:color w:val="000000"/>
                <w:szCs w:val="21"/>
                <w:lang w:eastAsia="cs-CZ"/>
              </w:rPr>
            </w:pPr>
            <w:r w:rsidRPr="00606D9F">
              <w:t>27 925</w:t>
            </w:r>
          </w:p>
        </w:tc>
        <w:tc>
          <w:tcPr>
            <w:tcW w:w="991" w:type="dxa"/>
            <w:tcBorders>
              <w:top w:val="nil"/>
              <w:left w:val="nil"/>
              <w:bottom w:val="nil"/>
              <w:right w:val="single" w:sz="12" w:space="0" w:color="4F81BD"/>
            </w:tcBorders>
            <w:shd w:val="clear" w:color="000000" w:fill="DCE6F1"/>
            <w:noWrap/>
            <w:vAlign w:val="center"/>
          </w:tcPr>
          <w:p w:rsidR="00320ABB" w:rsidRPr="005F75BF" w:rsidRDefault="00320ABB" w:rsidP="00320ABB">
            <w:pPr>
              <w:spacing w:after="0" w:line="240" w:lineRule="auto"/>
              <w:jc w:val="right"/>
              <w:rPr>
                <w:rFonts w:ascii="Calibri" w:eastAsia="Times New Roman" w:hAnsi="Calibri" w:cs="Times New Roman"/>
                <w:color w:val="000000"/>
                <w:szCs w:val="21"/>
                <w:lang w:eastAsia="cs-CZ"/>
              </w:rPr>
            </w:pPr>
            <w:r w:rsidRPr="00606D9F">
              <w:t>26 208</w:t>
            </w:r>
          </w:p>
        </w:tc>
      </w:tr>
      <w:tr w:rsidR="00320ABB" w:rsidRPr="005F75BF" w:rsidTr="00C14F36">
        <w:trPr>
          <w:trHeight w:val="570"/>
          <w:jc w:val="center"/>
        </w:trPr>
        <w:tc>
          <w:tcPr>
            <w:tcW w:w="2256" w:type="dxa"/>
            <w:tcBorders>
              <w:top w:val="nil"/>
              <w:left w:val="single" w:sz="12" w:space="0" w:color="4F81BD"/>
              <w:bottom w:val="nil"/>
              <w:right w:val="nil"/>
            </w:tcBorders>
            <w:shd w:val="clear" w:color="000000" w:fill="EEF3F8"/>
            <w:vAlign w:val="center"/>
            <w:hideMark/>
          </w:tcPr>
          <w:p w:rsidR="00320ABB" w:rsidRPr="00845783" w:rsidRDefault="00320ABB" w:rsidP="00C3621B">
            <w:pPr>
              <w:spacing w:after="0" w:line="240" w:lineRule="auto"/>
              <w:rPr>
                <w:rFonts w:ascii="Calibri" w:eastAsia="Times New Roman" w:hAnsi="Calibri" w:cs="Times New Roman"/>
                <w:b/>
                <w:bCs/>
                <w:color w:val="000000"/>
                <w:szCs w:val="21"/>
                <w:lang w:eastAsia="cs-CZ"/>
              </w:rPr>
            </w:pPr>
            <w:r>
              <w:rPr>
                <w:rFonts w:ascii="Calibri" w:eastAsia="Times New Roman" w:hAnsi="Calibri" w:cs="Arial"/>
                <w:b/>
                <w:bCs/>
                <w:color w:val="000000"/>
                <w:szCs w:val="21"/>
                <w:lang w:eastAsia="cs-CZ"/>
              </w:rPr>
              <w:t>V</w:t>
            </w:r>
            <w:r w:rsidRPr="00845783">
              <w:rPr>
                <w:rFonts w:ascii="Calibri" w:eastAsia="Times New Roman" w:hAnsi="Calibri" w:cs="Arial"/>
                <w:b/>
                <w:bCs/>
                <w:color w:val="000000"/>
                <w:szCs w:val="21"/>
                <w:lang w:eastAsia="cs-CZ"/>
              </w:rPr>
              <w:t>ýdaje na preventivní programy</w:t>
            </w:r>
          </w:p>
        </w:tc>
        <w:tc>
          <w:tcPr>
            <w:tcW w:w="991" w:type="dxa"/>
            <w:tcBorders>
              <w:top w:val="nil"/>
              <w:left w:val="nil"/>
              <w:bottom w:val="nil"/>
              <w:right w:val="nil"/>
            </w:tcBorders>
            <w:shd w:val="clear" w:color="000000" w:fill="EEF3F8"/>
            <w:noWrap/>
            <w:vAlign w:val="center"/>
          </w:tcPr>
          <w:p w:rsidR="00320ABB" w:rsidRPr="00C14F36" w:rsidRDefault="00320ABB" w:rsidP="00320ABB">
            <w:pPr>
              <w:spacing w:after="0" w:line="240" w:lineRule="auto"/>
              <w:jc w:val="right"/>
              <w:rPr>
                <w:rFonts w:ascii="Calibri" w:eastAsia="Times New Roman" w:hAnsi="Calibri" w:cs="Times New Roman"/>
                <w:b/>
                <w:color w:val="000000"/>
                <w:szCs w:val="21"/>
                <w:lang w:eastAsia="cs-CZ"/>
              </w:rPr>
            </w:pPr>
            <w:r w:rsidRPr="00C14F36">
              <w:rPr>
                <w:b/>
              </w:rPr>
              <w:t>544</w:t>
            </w:r>
          </w:p>
        </w:tc>
        <w:tc>
          <w:tcPr>
            <w:tcW w:w="991" w:type="dxa"/>
            <w:tcBorders>
              <w:top w:val="nil"/>
              <w:left w:val="nil"/>
              <w:bottom w:val="nil"/>
              <w:right w:val="nil"/>
            </w:tcBorders>
            <w:shd w:val="clear" w:color="000000" w:fill="EEF3F8"/>
            <w:noWrap/>
            <w:vAlign w:val="center"/>
          </w:tcPr>
          <w:p w:rsidR="00320ABB" w:rsidRPr="00C14F36" w:rsidRDefault="00320ABB" w:rsidP="00320ABB">
            <w:pPr>
              <w:spacing w:after="0" w:line="240" w:lineRule="auto"/>
              <w:jc w:val="right"/>
              <w:rPr>
                <w:rFonts w:ascii="Calibri" w:eastAsia="Times New Roman" w:hAnsi="Calibri" w:cs="Times New Roman"/>
                <w:b/>
                <w:color w:val="000000"/>
                <w:szCs w:val="21"/>
                <w:lang w:eastAsia="cs-CZ"/>
              </w:rPr>
            </w:pPr>
            <w:r w:rsidRPr="00C14F36">
              <w:rPr>
                <w:b/>
              </w:rPr>
              <w:t>104</w:t>
            </w:r>
          </w:p>
        </w:tc>
        <w:tc>
          <w:tcPr>
            <w:tcW w:w="991" w:type="dxa"/>
            <w:tcBorders>
              <w:top w:val="nil"/>
              <w:left w:val="nil"/>
              <w:bottom w:val="nil"/>
              <w:right w:val="nil"/>
            </w:tcBorders>
            <w:shd w:val="clear" w:color="000000" w:fill="EEF3F8"/>
            <w:noWrap/>
            <w:vAlign w:val="center"/>
          </w:tcPr>
          <w:p w:rsidR="00320ABB" w:rsidRPr="00C14F36" w:rsidRDefault="00320ABB" w:rsidP="00320ABB">
            <w:pPr>
              <w:spacing w:after="0" w:line="240" w:lineRule="auto"/>
              <w:jc w:val="right"/>
              <w:rPr>
                <w:rFonts w:ascii="Calibri" w:eastAsia="Times New Roman" w:hAnsi="Calibri" w:cs="Times New Roman"/>
                <w:b/>
                <w:color w:val="000000"/>
                <w:szCs w:val="21"/>
                <w:lang w:eastAsia="cs-CZ"/>
              </w:rPr>
            </w:pPr>
            <w:r w:rsidRPr="00C14F36">
              <w:rPr>
                <w:b/>
              </w:rPr>
              <w:t>276</w:t>
            </w:r>
          </w:p>
        </w:tc>
        <w:tc>
          <w:tcPr>
            <w:tcW w:w="991" w:type="dxa"/>
            <w:tcBorders>
              <w:top w:val="nil"/>
              <w:left w:val="nil"/>
              <w:bottom w:val="nil"/>
              <w:right w:val="nil"/>
            </w:tcBorders>
            <w:shd w:val="clear" w:color="000000" w:fill="EEF3F8"/>
            <w:noWrap/>
            <w:vAlign w:val="center"/>
          </w:tcPr>
          <w:p w:rsidR="00320ABB" w:rsidRPr="00C14F36" w:rsidRDefault="00320ABB" w:rsidP="00320ABB">
            <w:pPr>
              <w:spacing w:after="0" w:line="240" w:lineRule="auto"/>
              <w:jc w:val="right"/>
              <w:rPr>
                <w:rFonts w:ascii="Calibri" w:eastAsia="Times New Roman" w:hAnsi="Calibri" w:cs="Times New Roman"/>
                <w:b/>
                <w:color w:val="000000"/>
                <w:szCs w:val="21"/>
                <w:lang w:eastAsia="cs-CZ"/>
              </w:rPr>
            </w:pPr>
            <w:r w:rsidRPr="00C14F36">
              <w:rPr>
                <w:b/>
              </w:rPr>
              <w:t>130</w:t>
            </w:r>
          </w:p>
        </w:tc>
        <w:tc>
          <w:tcPr>
            <w:tcW w:w="991" w:type="dxa"/>
            <w:tcBorders>
              <w:top w:val="nil"/>
              <w:left w:val="nil"/>
              <w:bottom w:val="nil"/>
              <w:right w:val="nil"/>
            </w:tcBorders>
            <w:shd w:val="clear" w:color="000000" w:fill="EEF3F8"/>
            <w:noWrap/>
            <w:vAlign w:val="center"/>
          </w:tcPr>
          <w:p w:rsidR="00320ABB" w:rsidRPr="00C14F36" w:rsidRDefault="00320ABB" w:rsidP="00320ABB">
            <w:pPr>
              <w:spacing w:after="0" w:line="240" w:lineRule="auto"/>
              <w:jc w:val="right"/>
              <w:rPr>
                <w:rFonts w:ascii="Calibri" w:eastAsia="Times New Roman" w:hAnsi="Calibri" w:cs="Times New Roman"/>
                <w:b/>
                <w:color w:val="000000"/>
                <w:szCs w:val="21"/>
                <w:lang w:eastAsia="cs-CZ"/>
              </w:rPr>
            </w:pPr>
            <w:r w:rsidRPr="00C14F36">
              <w:rPr>
                <w:b/>
              </w:rPr>
              <w:t>27</w:t>
            </w:r>
          </w:p>
        </w:tc>
        <w:tc>
          <w:tcPr>
            <w:tcW w:w="991" w:type="dxa"/>
            <w:tcBorders>
              <w:top w:val="nil"/>
              <w:left w:val="nil"/>
              <w:bottom w:val="nil"/>
              <w:right w:val="nil"/>
            </w:tcBorders>
            <w:shd w:val="clear" w:color="000000" w:fill="EEF3F8"/>
            <w:noWrap/>
            <w:vAlign w:val="center"/>
          </w:tcPr>
          <w:p w:rsidR="00320ABB" w:rsidRPr="00C14F36" w:rsidRDefault="00320ABB" w:rsidP="00320ABB">
            <w:pPr>
              <w:spacing w:after="0" w:line="240" w:lineRule="auto"/>
              <w:jc w:val="right"/>
              <w:rPr>
                <w:rFonts w:ascii="Calibri" w:eastAsia="Times New Roman" w:hAnsi="Calibri" w:cs="Times New Roman"/>
                <w:b/>
                <w:color w:val="000000"/>
                <w:szCs w:val="21"/>
                <w:lang w:eastAsia="cs-CZ"/>
              </w:rPr>
            </w:pPr>
            <w:r w:rsidRPr="00C14F36">
              <w:rPr>
                <w:b/>
              </w:rPr>
              <w:t>205</w:t>
            </w:r>
          </w:p>
        </w:tc>
        <w:tc>
          <w:tcPr>
            <w:tcW w:w="991" w:type="dxa"/>
            <w:tcBorders>
              <w:top w:val="nil"/>
              <w:left w:val="nil"/>
              <w:bottom w:val="nil"/>
              <w:right w:val="single" w:sz="12" w:space="0" w:color="4F81BD"/>
            </w:tcBorders>
            <w:shd w:val="clear" w:color="000000" w:fill="EEF3F8"/>
            <w:noWrap/>
            <w:vAlign w:val="center"/>
          </w:tcPr>
          <w:p w:rsidR="00320ABB" w:rsidRPr="00C14F36" w:rsidRDefault="00320ABB" w:rsidP="00320ABB">
            <w:pPr>
              <w:spacing w:after="0" w:line="240" w:lineRule="auto"/>
              <w:jc w:val="right"/>
              <w:rPr>
                <w:rFonts w:ascii="Calibri" w:eastAsia="Times New Roman" w:hAnsi="Calibri" w:cs="Times New Roman"/>
                <w:b/>
                <w:color w:val="000000"/>
                <w:szCs w:val="21"/>
                <w:lang w:eastAsia="cs-CZ"/>
              </w:rPr>
            </w:pPr>
            <w:r w:rsidRPr="00C14F36">
              <w:rPr>
                <w:b/>
              </w:rPr>
              <w:t>84</w:t>
            </w:r>
          </w:p>
        </w:tc>
      </w:tr>
      <w:tr w:rsidR="00320ABB" w:rsidRPr="005F75BF" w:rsidTr="00C14F36">
        <w:trPr>
          <w:trHeight w:val="300"/>
          <w:jc w:val="center"/>
        </w:trPr>
        <w:tc>
          <w:tcPr>
            <w:tcW w:w="2256" w:type="dxa"/>
            <w:tcBorders>
              <w:top w:val="nil"/>
              <w:left w:val="single" w:sz="12" w:space="0" w:color="4F81BD"/>
              <w:bottom w:val="nil"/>
              <w:right w:val="nil"/>
            </w:tcBorders>
            <w:shd w:val="clear" w:color="auto" w:fill="auto"/>
            <w:vAlign w:val="center"/>
            <w:hideMark/>
          </w:tcPr>
          <w:p w:rsidR="00320ABB" w:rsidRPr="00845783" w:rsidRDefault="00320ABB" w:rsidP="00327A75">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V</w:t>
            </w:r>
            <w:r w:rsidRPr="0011182D">
              <w:rPr>
                <w:rFonts w:ascii="Calibri" w:eastAsia="Times New Roman" w:hAnsi="Calibri" w:cs="Times New Roman"/>
                <w:color w:val="000000"/>
                <w:szCs w:val="21"/>
                <w:lang w:eastAsia="cs-CZ"/>
              </w:rPr>
              <w:t xml:space="preserve">ýdaje na preventivní programy </w:t>
            </w:r>
            <w:r w:rsidRPr="00845783">
              <w:rPr>
                <w:rFonts w:ascii="Calibri" w:eastAsia="Times New Roman" w:hAnsi="Calibri" w:cs="Times New Roman"/>
                <w:color w:val="000000"/>
                <w:szCs w:val="21"/>
                <w:lang w:eastAsia="cs-CZ"/>
              </w:rPr>
              <w:t>na 1 pojištěnce (v Kč)</w:t>
            </w:r>
          </w:p>
        </w:tc>
        <w:tc>
          <w:tcPr>
            <w:tcW w:w="991" w:type="dxa"/>
            <w:tcBorders>
              <w:top w:val="nil"/>
              <w:left w:val="nil"/>
              <w:bottom w:val="nil"/>
              <w:right w:val="nil"/>
            </w:tcBorders>
            <w:shd w:val="clear" w:color="000000" w:fill="DCE6F1"/>
            <w:noWrap/>
            <w:vAlign w:val="center"/>
          </w:tcPr>
          <w:p w:rsidR="00320ABB" w:rsidRPr="005F75BF" w:rsidRDefault="00320ABB" w:rsidP="00320ABB">
            <w:pPr>
              <w:spacing w:after="0" w:line="240" w:lineRule="auto"/>
              <w:jc w:val="right"/>
              <w:rPr>
                <w:rFonts w:ascii="Calibri" w:eastAsia="Times New Roman" w:hAnsi="Calibri" w:cs="Times New Roman"/>
                <w:color w:val="000000"/>
                <w:szCs w:val="21"/>
                <w:lang w:eastAsia="cs-CZ"/>
              </w:rPr>
            </w:pPr>
            <w:r w:rsidRPr="00606D9F">
              <w:t>91</w:t>
            </w:r>
          </w:p>
        </w:tc>
        <w:tc>
          <w:tcPr>
            <w:tcW w:w="991" w:type="dxa"/>
            <w:tcBorders>
              <w:top w:val="nil"/>
              <w:left w:val="nil"/>
              <w:bottom w:val="nil"/>
              <w:right w:val="nil"/>
            </w:tcBorders>
            <w:shd w:val="clear" w:color="auto" w:fill="auto"/>
            <w:noWrap/>
            <w:vAlign w:val="center"/>
          </w:tcPr>
          <w:p w:rsidR="00320ABB" w:rsidRPr="005F75BF" w:rsidRDefault="00320ABB" w:rsidP="00320ABB">
            <w:pPr>
              <w:spacing w:after="0" w:line="240" w:lineRule="auto"/>
              <w:jc w:val="right"/>
              <w:rPr>
                <w:rFonts w:ascii="Calibri" w:eastAsia="Times New Roman" w:hAnsi="Calibri" w:cs="Times New Roman"/>
                <w:color w:val="000000"/>
                <w:szCs w:val="21"/>
                <w:lang w:eastAsia="cs-CZ"/>
              </w:rPr>
            </w:pPr>
            <w:r w:rsidRPr="00606D9F">
              <w:t>149</w:t>
            </w:r>
          </w:p>
        </w:tc>
        <w:tc>
          <w:tcPr>
            <w:tcW w:w="991" w:type="dxa"/>
            <w:tcBorders>
              <w:top w:val="nil"/>
              <w:left w:val="nil"/>
              <w:bottom w:val="nil"/>
              <w:right w:val="nil"/>
            </w:tcBorders>
            <w:shd w:val="clear" w:color="000000" w:fill="DCE6F1"/>
            <w:noWrap/>
            <w:vAlign w:val="center"/>
          </w:tcPr>
          <w:p w:rsidR="00320ABB" w:rsidRPr="005F75BF" w:rsidRDefault="00320ABB" w:rsidP="00320ABB">
            <w:pPr>
              <w:spacing w:after="0" w:line="240" w:lineRule="auto"/>
              <w:jc w:val="right"/>
              <w:rPr>
                <w:rFonts w:ascii="Calibri" w:eastAsia="Times New Roman" w:hAnsi="Calibri" w:cs="Times New Roman"/>
                <w:color w:val="000000"/>
                <w:szCs w:val="21"/>
                <w:lang w:eastAsia="cs-CZ"/>
              </w:rPr>
            </w:pPr>
            <w:r w:rsidRPr="00606D9F">
              <w:t>218</w:t>
            </w:r>
          </w:p>
        </w:tc>
        <w:tc>
          <w:tcPr>
            <w:tcW w:w="991" w:type="dxa"/>
            <w:tcBorders>
              <w:top w:val="nil"/>
              <w:left w:val="nil"/>
              <w:bottom w:val="nil"/>
              <w:right w:val="nil"/>
            </w:tcBorders>
            <w:shd w:val="clear" w:color="auto" w:fill="auto"/>
            <w:noWrap/>
            <w:vAlign w:val="center"/>
          </w:tcPr>
          <w:p w:rsidR="00320ABB" w:rsidRPr="005F75BF" w:rsidRDefault="00320ABB" w:rsidP="00320ABB">
            <w:pPr>
              <w:spacing w:after="0" w:line="240" w:lineRule="auto"/>
              <w:jc w:val="right"/>
              <w:rPr>
                <w:rFonts w:ascii="Calibri" w:eastAsia="Times New Roman" w:hAnsi="Calibri" w:cs="Times New Roman"/>
                <w:color w:val="000000"/>
                <w:szCs w:val="21"/>
                <w:lang w:eastAsia="cs-CZ"/>
              </w:rPr>
            </w:pPr>
            <w:r w:rsidRPr="00606D9F">
              <w:t>177</w:t>
            </w:r>
          </w:p>
        </w:tc>
        <w:tc>
          <w:tcPr>
            <w:tcW w:w="991" w:type="dxa"/>
            <w:tcBorders>
              <w:top w:val="nil"/>
              <w:left w:val="nil"/>
              <w:bottom w:val="nil"/>
              <w:right w:val="nil"/>
            </w:tcBorders>
            <w:shd w:val="clear" w:color="000000" w:fill="DCE6F1"/>
            <w:noWrap/>
            <w:vAlign w:val="center"/>
          </w:tcPr>
          <w:p w:rsidR="00320ABB" w:rsidRPr="005F75BF" w:rsidRDefault="00320ABB" w:rsidP="00320ABB">
            <w:pPr>
              <w:spacing w:after="0" w:line="240" w:lineRule="auto"/>
              <w:jc w:val="right"/>
              <w:rPr>
                <w:rFonts w:ascii="Calibri" w:eastAsia="Times New Roman" w:hAnsi="Calibri" w:cs="Times New Roman"/>
                <w:color w:val="000000"/>
                <w:szCs w:val="21"/>
                <w:lang w:eastAsia="cs-CZ"/>
              </w:rPr>
            </w:pPr>
            <w:r w:rsidRPr="00606D9F">
              <w:t>186</w:t>
            </w:r>
          </w:p>
        </w:tc>
        <w:tc>
          <w:tcPr>
            <w:tcW w:w="991" w:type="dxa"/>
            <w:tcBorders>
              <w:top w:val="nil"/>
              <w:left w:val="nil"/>
              <w:bottom w:val="nil"/>
              <w:right w:val="nil"/>
            </w:tcBorders>
            <w:shd w:val="clear" w:color="auto" w:fill="auto"/>
            <w:noWrap/>
            <w:vAlign w:val="center"/>
          </w:tcPr>
          <w:p w:rsidR="00320ABB" w:rsidRPr="005F75BF" w:rsidRDefault="00320ABB" w:rsidP="00320ABB">
            <w:pPr>
              <w:spacing w:after="0" w:line="240" w:lineRule="auto"/>
              <w:jc w:val="right"/>
              <w:rPr>
                <w:rFonts w:ascii="Calibri" w:eastAsia="Times New Roman" w:hAnsi="Calibri" w:cs="Times New Roman"/>
                <w:color w:val="000000"/>
                <w:szCs w:val="21"/>
                <w:lang w:eastAsia="cs-CZ"/>
              </w:rPr>
            </w:pPr>
            <w:r w:rsidRPr="00606D9F">
              <w:t>155</w:t>
            </w:r>
          </w:p>
        </w:tc>
        <w:tc>
          <w:tcPr>
            <w:tcW w:w="991" w:type="dxa"/>
            <w:tcBorders>
              <w:top w:val="nil"/>
              <w:left w:val="nil"/>
              <w:bottom w:val="nil"/>
              <w:right w:val="single" w:sz="12" w:space="0" w:color="4F81BD"/>
            </w:tcBorders>
            <w:shd w:val="clear" w:color="000000" w:fill="DCE6F1"/>
            <w:noWrap/>
            <w:vAlign w:val="center"/>
          </w:tcPr>
          <w:p w:rsidR="00320ABB" w:rsidRPr="005F75BF" w:rsidRDefault="00320ABB" w:rsidP="00320ABB">
            <w:pPr>
              <w:spacing w:after="0" w:line="240" w:lineRule="auto"/>
              <w:jc w:val="right"/>
              <w:rPr>
                <w:rFonts w:ascii="Calibri" w:eastAsia="Times New Roman" w:hAnsi="Calibri" w:cs="Times New Roman"/>
                <w:color w:val="000000"/>
                <w:szCs w:val="21"/>
                <w:lang w:eastAsia="cs-CZ"/>
              </w:rPr>
            </w:pPr>
            <w:r w:rsidRPr="00606D9F">
              <w:t>197</w:t>
            </w:r>
          </w:p>
        </w:tc>
      </w:tr>
      <w:tr w:rsidR="00320ABB" w:rsidRPr="005F75BF" w:rsidTr="00C14F36">
        <w:trPr>
          <w:trHeight w:val="300"/>
          <w:jc w:val="center"/>
        </w:trPr>
        <w:tc>
          <w:tcPr>
            <w:tcW w:w="2256" w:type="dxa"/>
            <w:tcBorders>
              <w:top w:val="nil"/>
              <w:left w:val="single" w:sz="12" w:space="0" w:color="4F81BD"/>
              <w:bottom w:val="nil"/>
              <w:right w:val="nil"/>
            </w:tcBorders>
            <w:shd w:val="clear" w:color="000000" w:fill="EEF3F8"/>
            <w:vAlign w:val="center"/>
            <w:hideMark/>
          </w:tcPr>
          <w:p w:rsidR="00320ABB" w:rsidRPr="005C10E7" w:rsidRDefault="00320ABB" w:rsidP="00C3621B">
            <w:pPr>
              <w:spacing w:after="0" w:line="240" w:lineRule="auto"/>
              <w:rPr>
                <w:rFonts w:ascii="Calibri" w:eastAsia="Times New Roman" w:hAnsi="Calibri" w:cs="Times New Roman"/>
                <w:b/>
                <w:bCs/>
                <w:color w:val="000000"/>
                <w:szCs w:val="21"/>
                <w:lang w:eastAsia="cs-CZ"/>
              </w:rPr>
            </w:pPr>
            <w:r>
              <w:rPr>
                <w:rFonts w:ascii="Calibri" w:eastAsia="Times New Roman" w:hAnsi="Calibri" w:cs="Arial"/>
                <w:b/>
                <w:bCs/>
                <w:color w:val="000000"/>
                <w:szCs w:val="21"/>
                <w:lang w:eastAsia="cs-CZ"/>
              </w:rPr>
              <w:t>V</w:t>
            </w:r>
            <w:r w:rsidRPr="00845783">
              <w:rPr>
                <w:rFonts w:ascii="Calibri" w:eastAsia="Times New Roman" w:hAnsi="Calibri" w:cs="Arial"/>
                <w:b/>
                <w:bCs/>
                <w:color w:val="000000"/>
                <w:szCs w:val="21"/>
                <w:lang w:eastAsia="cs-CZ"/>
              </w:rPr>
              <w:t>ýdaje na vlastní činnost</w:t>
            </w:r>
          </w:p>
        </w:tc>
        <w:tc>
          <w:tcPr>
            <w:tcW w:w="991" w:type="dxa"/>
            <w:tcBorders>
              <w:top w:val="nil"/>
              <w:left w:val="nil"/>
              <w:bottom w:val="nil"/>
              <w:right w:val="nil"/>
            </w:tcBorders>
            <w:shd w:val="clear" w:color="000000" w:fill="EEF3F8"/>
            <w:noWrap/>
            <w:vAlign w:val="center"/>
          </w:tcPr>
          <w:p w:rsidR="00320ABB" w:rsidRPr="00C14F36" w:rsidRDefault="00320ABB" w:rsidP="00320ABB">
            <w:pPr>
              <w:spacing w:after="0" w:line="240" w:lineRule="auto"/>
              <w:jc w:val="right"/>
              <w:rPr>
                <w:rFonts w:ascii="Calibri" w:eastAsia="Times New Roman" w:hAnsi="Calibri" w:cs="Times New Roman"/>
                <w:b/>
                <w:color w:val="000000"/>
                <w:szCs w:val="21"/>
                <w:lang w:eastAsia="cs-CZ"/>
              </w:rPr>
            </w:pPr>
            <w:r w:rsidRPr="00C14F36">
              <w:rPr>
                <w:b/>
              </w:rPr>
              <w:t>4 497</w:t>
            </w:r>
          </w:p>
        </w:tc>
        <w:tc>
          <w:tcPr>
            <w:tcW w:w="991" w:type="dxa"/>
            <w:tcBorders>
              <w:top w:val="nil"/>
              <w:left w:val="nil"/>
              <w:bottom w:val="nil"/>
              <w:right w:val="nil"/>
            </w:tcBorders>
            <w:shd w:val="clear" w:color="000000" w:fill="EEF3F8"/>
            <w:noWrap/>
            <w:vAlign w:val="center"/>
          </w:tcPr>
          <w:p w:rsidR="00320ABB" w:rsidRPr="00C14F36" w:rsidRDefault="00320ABB" w:rsidP="00320ABB">
            <w:pPr>
              <w:spacing w:after="0" w:line="240" w:lineRule="auto"/>
              <w:jc w:val="right"/>
              <w:rPr>
                <w:rFonts w:ascii="Calibri" w:eastAsia="Times New Roman" w:hAnsi="Calibri" w:cs="Times New Roman"/>
                <w:b/>
                <w:color w:val="000000"/>
                <w:szCs w:val="21"/>
                <w:lang w:eastAsia="cs-CZ"/>
              </w:rPr>
            </w:pPr>
            <w:r w:rsidRPr="00C14F36">
              <w:rPr>
                <w:b/>
              </w:rPr>
              <w:t>522</w:t>
            </w:r>
          </w:p>
        </w:tc>
        <w:tc>
          <w:tcPr>
            <w:tcW w:w="991" w:type="dxa"/>
            <w:tcBorders>
              <w:top w:val="nil"/>
              <w:left w:val="nil"/>
              <w:bottom w:val="nil"/>
              <w:right w:val="nil"/>
            </w:tcBorders>
            <w:shd w:val="clear" w:color="000000" w:fill="EEF3F8"/>
            <w:noWrap/>
            <w:vAlign w:val="center"/>
          </w:tcPr>
          <w:p w:rsidR="00320ABB" w:rsidRPr="00C14F36" w:rsidRDefault="00320ABB" w:rsidP="00320ABB">
            <w:pPr>
              <w:spacing w:after="0" w:line="240" w:lineRule="auto"/>
              <w:jc w:val="right"/>
              <w:rPr>
                <w:rFonts w:ascii="Calibri" w:eastAsia="Times New Roman" w:hAnsi="Calibri" w:cs="Times New Roman"/>
                <w:b/>
                <w:color w:val="000000"/>
                <w:szCs w:val="21"/>
                <w:lang w:eastAsia="cs-CZ"/>
              </w:rPr>
            </w:pPr>
            <w:r w:rsidRPr="00C14F36">
              <w:rPr>
                <w:b/>
              </w:rPr>
              <w:t>878</w:t>
            </w:r>
          </w:p>
        </w:tc>
        <w:tc>
          <w:tcPr>
            <w:tcW w:w="991" w:type="dxa"/>
            <w:tcBorders>
              <w:top w:val="nil"/>
              <w:left w:val="nil"/>
              <w:bottom w:val="nil"/>
              <w:right w:val="nil"/>
            </w:tcBorders>
            <w:shd w:val="clear" w:color="000000" w:fill="EEF3F8"/>
            <w:noWrap/>
            <w:vAlign w:val="center"/>
          </w:tcPr>
          <w:p w:rsidR="00320ABB" w:rsidRPr="00C14F36" w:rsidRDefault="00320ABB" w:rsidP="00320ABB">
            <w:pPr>
              <w:spacing w:after="0" w:line="240" w:lineRule="auto"/>
              <w:jc w:val="right"/>
              <w:rPr>
                <w:rFonts w:ascii="Calibri" w:eastAsia="Times New Roman" w:hAnsi="Calibri" w:cs="Times New Roman"/>
                <w:b/>
                <w:color w:val="000000"/>
                <w:szCs w:val="21"/>
                <w:lang w:eastAsia="cs-CZ"/>
              </w:rPr>
            </w:pPr>
            <w:r w:rsidRPr="00C14F36">
              <w:rPr>
                <w:b/>
              </w:rPr>
              <w:t>562</w:t>
            </w:r>
          </w:p>
        </w:tc>
        <w:tc>
          <w:tcPr>
            <w:tcW w:w="991" w:type="dxa"/>
            <w:tcBorders>
              <w:top w:val="nil"/>
              <w:left w:val="nil"/>
              <w:bottom w:val="nil"/>
              <w:right w:val="nil"/>
            </w:tcBorders>
            <w:shd w:val="clear" w:color="000000" w:fill="EEF3F8"/>
            <w:noWrap/>
            <w:vAlign w:val="center"/>
          </w:tcPr>
          <w:p w:rsidR="00320ABB" w:rsidRPr="00C14F36" w:rsidRDefault="00320ABB" w:rsidP="00320ABB">
            <w:pPr>
              <w:spacing w:after="0" w:line="240" w:lineRule="auto"/>
              <w:jc w:val="right"/>
              <w:rPr>
                <w:rFonts w:ascii="Calibri" w:eastAsia="Times New Roman" w:hAnsi="Calibri" w:cs="Times New Roman"/>
                <w:b/>
                <w:color w:val="000000"/>
                <w:szCs w:val="21"/>
                <w:lang w:eastAsia="cs-CZ"/>
              </w:rPr>
            </w:pPr>
            <w:r w:rsidRPr="00C14F36">
              <w:rPr>
                <w:b/>
              </w:rPr>
              <w:t>123</w:t>
            </w:r>
          </w:p>
        </w:tc>
        <w:tc>
          <w:tcPr>
            <w:tcW w:w="991" w:type="dxa"/>
            <w:tcBorders>
              <w:top w:val="nil"/>
              <w:left w:val="nil"/>
              <w:bottom w:val="nil"/>
              <w:right w:val="nil"/>
            </w:tcBorders>
            <w:shd w:val="clear" w:color="000000" w:fill="EEF3F8"/>
            <w:noWrap/>
            <w:vAlign w:val="center"/>
          </w:tcPr>
          <w:p w:rsidR="00320ABB" w:rsidRPr="00C14F36" w:rsidRDefault="00320ABB" w:rsidP="00320ABB">
            <w:pPr>
              <w:spacing w:after="0" w:line="240" w:lineRule="auto"/>
              <w:jc w:val="right"/>
              <w:rPr>
                <w:rFonts w:ascii="Calibri" w:eastAsia="Times New Roman" w:hAnsi="Calibri" w:cs="Times New Roman"/>
                <w:b/>
                <w:color w:val="000000"/>
                <w:szCs w:val="21"/>
                <w:lang w:eastAsia="cs-CZ"/>
              </w:rPr>
            </w:pPr>
            <w:r w:rsidRPr="00C14F36">
              <w:rPr>
                <w:b/>
              </w:rPr>
              <w:t>968</w:t>
            </w:r>
          </w:p>
        </w:tc>
        <w:tc>
          <w:tcPr>
            <w:tcW w:w="991" w:type="dxa"/>
            <w:tcBorders>
              <w:top w:val="nil"/>
              <w:left w:val="nil"/>
              <w:bottom w:val="nil"/>
              <w:right w:val="single" w:sz="12" w:space="0" w:color="4F81BD"/>
            </w:tcBorders>
            <w:shd w:val="clear" w:color="000000" w:fill="EEF3F8"/>
            <w:noWrap/>
            <w:vAlign w:val="center"/>
          </w:tcPr>
          <w:p w:rsidR="00320ABB" w:rsidRPr="00C14F36" w:rsidRDefault="00320ABB" w:rsidP="00320ABB">
            <w:pPr>
              <w:spacing w:after="0" w:line="240" w:lineRule="auto"/>
              <w:jc w:val="right"/>
              <w:rPr>
                <w:rFonts w:ascii="Calibri" w:eastAsia="Times New Roman" w:hAnsi="Calibri" w:cs="Times New Roman"/>
                <w:b/>
                <w:color w:val="000000"/>
                <w:szCs w:val="21"/>
                <w:lang w:eastAsia="cs-CZ"/>
              </w:rPr>
            </w:pPr>
            <w:r w:rsidRPr="00C14F36">
              <w:rPr>
                <w:b/>
              </w:rPr>
              <w:t>337</w:t>
            </w:r>
          </w:p>
        </w:tc>
      </w:tr>
      <w:tr w:rsidR="00320ABB" w:rsidRPr="005F75BF" w:rsidTr="00C14F36">
        <w:trPr>
          <w:trHeight w:val="315"/>
          <w:jc w:val="center"/>
        </w:trPr>
        <w:tc>
          <w:tcPr>
            <w:tcW w:w="2256" w:type="dxa"/>
            <w:tcBorders>
              <w:top w:val="nil"/>
              <w:left w:val="single" w:sz="12" w:space="0" w:color="4F81BD"/>
              <w:bottom w:val="single" w:sz="12" w:space="0" w:color="4F81BD"/>
              <w:right w:val="nil"/>
            </w:tcBorders>
            <w:shd w:val="clear" w:color="auto" w:fill="auto"/>
            <w:vAlign w:val="center"/>
            <w:hideMark/>
          </w:tcPr>
          <w:p w:rsidR="00320ABB" w:rsidRPr="00845783" w:rsidRDefault="00320ABB" w:rsidP="00C3621B">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P</w:t>
            </w:r>
            <w:r w:rsidRPr="00845783">
              <w:rPr>
                <w:rFonts w:ascii="Calibri" w:eastAsia="Times New Roman" w:hAnsi="Calibri" w:cs="Times New Roman"/>
                <w:color w:val="000000"/>
                <w:szCs w:val="21"/>
                <w:lang w:eastAsia="cs-CZ"/>
              </w:rPr>
              <w:t xml:space="preserve">odíl na výdajích celkem </w:t>
            </w:r>
          </w:p>
        </w:tc>
        <w:tc>
          <w:tcPr>
            <w:tcW w:w="991" w:type="dxa"/>
            <w:tcBorders>
              <w:top w:val="nil"/>
              <w:left w:val="nil"/>
              <w:bottom w:val="single" w:sz="12" w:space="0" w:color="4F81BD"/>
              <w:right w:val="nil"/>
            </w:tcBorders>
            <w:shd w:val="clear" w:color="000000" w:fill="DCE6F1"/>
            <w:noWrap/>
            <w:vAlign w:val="center"/>
          </w:tcPr>
          <w:p w:rsidR="00320ABB" w:rsidRPr="005F75BF" w:rsidRDefault="00320ABB" w:rsidP="00320ABB">
            <w:pPr>
              <w:spacing w:after="0" w:line="240" w:lineRule="auto"/>
              <w:jc w:val="right"/>
              <w:rPr>
                <w:rFonts w:ascii="Calibri" w:eastAsia="Times New Roman" w:hAnsi="Calibri" w:cs="Times New Roman"/>
                <w:color w:val="000000"/>
                <w:lang w:eastAsia="cs-CZ"/>
              </w:rPr>
            </w:pPr>
            <w:r w:rsidRPr="00606D9F">
              <w:t>2,4</w:t>
            </w:r>
            <w:r>
              <w:t xml:space="preserve"> </w:t>
            </w:r>
            <w:r w:rsidRPr="00606D9F">
              <w:t>%</w:t>
            </w:r>
          </w:p>
        </w:tc>
        <w:tc>
          <w:tcPr>
            <w:tcW w:w="991" w:type="dxa"/>
            <w:tcBorders>
              <w:top w:val="nil"/>
              <w:left w:val="nil"/>
              <w:bottom w:val="single" w:sz="12" w:space="0" w:color="4F81BD"/>
              <w:right w:val="nil"/>
            </w:tcBorders>
            <w:shd w:val="clear" w:color="auto" w:fill="auto"/>
            <w:noWrap/>
            <w:vAlign w:val="center"/>
          </w:tcPr>
          <w:p w:rsidR="00320ABB" w:rsidRPr="005F75BF" w:rsidRDefault="00320ABB" w:rsidP="00320ABB">
            <w:pPr>
              <w:spacing w:after="0" w:line="240" w:lineRule="auto"/>
              <w:jc w:val="right"/>
              <w:rPr>
                <w:rFonts w:ascii="Calibri" w:eastAsia="Times New Roman" w:hAnsi="Calibri" w:cs="Times New Roman"/>
                <w:color w:val="000000"/>
                <w:lang w:eastAsia="cs-CZ"/>
              </w:rPr>
            </w:pPr>
            <w:r w:rsidRPr="00606D9F">
              <w:t>2,6</w:t>
            </w:r>
            <w:r>
              <w:t xml:space="preserve"> </w:t>
            </w:r>
            <w:r w:rsidRPr="00606D9F">
              <w:t>%</w:t>
            </w:r>
          </w:p>
        </w:tc>
        <w:tc>
          <w:tcPr>
            <w:tcW w:w="991" w:type="dxa"/>
            <w:tcBorders>
              <w:top w:val="nil"/>
              <w:left w:val="nil"/>
              <w:bottom w:val="single" w:sz="12" w:space="0" w:color="4F81BD"/>
              <w:right w:val="nil"/>
            </w:tcBorders>
            <w:shd w:val="clear" w:color="000000" w:fill="DCE6F1"/>
            <w:noWrap/>
            <w:vAlign w:val="center"/>
          </w:tcPr>
          <w:p w:rsidR="00320ABB" w:rsidRPr="005F75BF" w:rsidRDefault="00320ABB" w:rsidP="00320ABB">
            <w:pPr>
              <w:spacing w:after="0" w:line="240" w:lineRule="auto"/>
              <w:jc w:val="right"/>
              <w:rPr>
                <w:rFonts w:ascii="Calibri" w:eastAsia="Times New Roman" w:hAnsi="Calibri" w:cs="Times New Roman"/>
                <w:color w:val="000000"/>
                <w:lang w:eastAsia="cs-CZ"/>
              </w:rPr>
            </w:pPr>
            <w:r w:rsidRPr="00606D9F">
              <w:t>2,6</w:t>
            </w:r>
            <w:r>
              <w:t xml:space="preserve"> </w:t>
            </w:r>
            <w:r w:rsidRPr="00606D9F">
              <w:t>%</w:t>
            </w:r>
          </w:p>
        </w:tc>
        <w:tc>
          <w:tcPr>
            <w:tcW w:w="991" w:type="dxa"/>
            <w:tcBorders>
              <w:top w:val="nil"/>
              <w:left w:val="nil"/>
              <w:bottom w:val="single" w:sz="12" w:space="0" w:color="4F81BD"/>
              <w:right w:val="nil"/>
            </w:tcBorders>
            <w:shd w:val="clear" w:color="auto" w:fill="auto"/>
            <w:noWrap/>
            <w:vAlign w:val="center"/>
          </w:tcPr>
          <w:p w:rsidR="00320ABB" w:rsidRPr="005F75BF" w:rsidRDefault="00320ABB" w:rsidP="00320ABB">
            <w:pPr>
              <w:spacing w:after="0" w:line="240" w:lineRule="auto"/>
              <w:jc w:val="right"/>
              <w:rPr>
                <w:rFonts w:ascii="Calibri" w:eastAsia="Times New Roman" w:hAnsi="Calibri" w:cs="Times New Roman"/>
                <w:color w:val="000000"/>
                <w:lang w:eastAsia="cs-CZ"/>
              </w:rPr>
            </w:pPr>
            <w:r w:rsidRPr="00606D9F">
              <w:t>2,8</w:t>
            </w:r>
            <w:r>
              <w:t xml:space="preserve"> </w:t>
            </w:r>
            <w:r w:rsidRPr="00606D9F">
              <w:t>%</w:t>
            </w:r>
          </w:p>
        </w:tc>
        <w:tc>
          <w:tcPr>
            <w:tcW w:w="991" w:type="dxa"/>
            <w:tcBorders>
              <w:top w:val="nil"/>
              <w:left w:val="nil"/>
              <w:bottom w:val="single" w:sz="12" w:space="0" w:color="4F81BD"/>
              <w:right w:val="nil"/>
            </w:tcBorders>
            <w:shd w:val="clear" w:color="000000" w:fill="DCE6F1"/>
            <w:noWrap/>
            <w:vAlign w:val="center"/>
          </w:tcPr>
          <w:p w:rsidR="00320ABB" w:rsidRPr="005F75BF" w:rsidRDefault="00320ABB" w:rsidP="00320ABB">
            <w:pPr>
              <w:spacing w:after="0" w:line="240" w:lineRule="auto"/>
              <w:jc w:val="right"/>
              <w:rPr>
                <w:rFonts w:ascii="Calibri" w:eastAsia="Times New Roman" w:hAnsi="Calibri" w:cs="Times New Roman"/>
                <w:color w:val="000000"/>
                <w:lang w:eastAsia="cs-CZ"/>
              </w:rPr>
            </w:pPr>
            <w:r w:rsidRPr="00606D9F">
              <w:t>2,9</w:t>
            </w:r>
            <w:r>
              <w:t xml:space="preserve"> </w:t>
            </w:r>
            <w:r w:rsidRPr="00606D9F">
              <w:t>%</w:t>
            </w:r>
          </w:p>
        </w:tc>
        <w:tc>
          <w:tcPr>
            <w:tcW w:w="991" w:type="dxa"/>
            <w:tcBorders>
              <w:top w:val="nil"/>
              <w:left w:val="nil"/>
              <w:bottom w:val="single" w:sz="12" w:space="0" w:color="4F81BD"/>
              <w:right w:val="nil"/>
            </w:tcBorders>
            <w:shd w:val="clear" w:color="auto" w:fill="auto"/>
            <w:noWrap/>
            <w:vAlign w:val="center"/>
          </w:tcPr>
          <w:p w:rsidR="00320ABB" w:rsidRPr="005F75BF" w:rsidRDefault="00320ABB" w:rsidP="00320ABB">
            <w:pPr>
              <w:spacing w:after="0" w:line="240" w:lineRule="auto"/>
              <w:jc w:val="right"/>
              <w:rPr>
                <w:rFonts w:ascii="Calibri" w:eastAsia="Times New Roman" w:hAnsi="Calibri" w:cs="Times New Roman"/>
                <w:color w:val="000000"/>
                <w:lang w:eastAsia="cs-CZ"/>
              </w:rPr>
            </w:pPr>
            <w:r w:rsidRPr="00606D9F">
              <w:t>2,5</w:t>
            </w:r>
            <w:r>
              <w:t xml:space="preserve"> </w:t>
            </w:r>
            <w:r w:rsidRPr="00606D9F">
              <w:t>%</w:t>
            </w:r>
          </w:p>
        </w:tc>
        <w:tc>
          <w:tcPr>
            <w:tcW w:w="991" w:type="dxa"/>
            <w:tcBorders>
              <w:top w:val="nil"/>
              <w:left w:val="nil"/>
              <w:bottom w:val="single" w:sz="12" w:space="0" w:color="4F81BD"/>
              <w:right w:val="single" w:sz="12" w:space="0" w:color="4F81BD"/>
            </w:tcBorders>
            <w:shd w:val="clear" w:color="000000" w:fill="DCE6F1"/>
            <w:noWrap/>
            <w:vAlign w:val="center"/>
          </w:tcPr>
          <w:p w:rsidR="00320ABB" w:rsidRPr="005F75BF" w:rsidRDefault="00320ABB" w:rsidP="00320ABB">
            <w:pPr>
              <w:spacing w:after="0" w:line="240" w:lineRule="auto"/>
              <w:jc w:val="right"/>
              <w:rPr>
                <w:rFonts w:ascii="Calibri" w:eastAsia="Times New Roman" w:hAnsi="Calibri" w:cs="Times New Roman"/>
                <w:color w:val="000000"/>
                <w:lang w:eastAsia="cs-CZ"/>
              </w:rPr>
            </w:pPr>
            <w:r w:rsidRPr="00606D9F">
              <w:t>2,9</w:t>
            </w:r>
            <w:r>
              <w:t xml:space="preserve"> </w:t>
            </w:r>
            <w:r w:rsidRPr="00606D9F">
              <w:t>%</w:t>
            </w:r>
          </w:p>
        </w:tc>
      </w:tr>
    </w:tbl>
    <w:p w:rsidR="00AB3843" w:rsidRDefault="00AB3843" w:rsidP="00B3234B">
      <w:pPr>
        <w:spacing w:before="180" w:line="276" w:lineRule="auto"/>
        <w:jc w:val="both"/>
      </w:pPr>
      <w:r w:rsidRPr="00437146">
        <w:t xml:space="preserve">V roce </w:t>
      </w:r>
      <w:r w:rsidR="00320ABB" w:rsidRPr="00C14F36">
        <w:t xml:space="preserve">2019 </w:t>
      </w:r>
      <w:r w:rsidRPr="00C14F36">
        <w:t>(</w:t>
      </w:r>
      <w:r w:rsidRPr="00C14F36">
        <w:rPr>
          <w:i/>
          <w:iCs/>
        </w:rPr>
        <w:t>Tab</w:t>
      </w:r>
      <w:r w:rsidR="00DC1A50" w:rsidRPr="00C14F36">
        <w:rPr>
          <w:i/>
          <w:iCs/>
        </w:rPr>
        <w:t>ulka č. 4</w:t>
      </w:r>
      <w:r w:rsidRPr="00437146">
        <w:t>)</w:t>
      </w:r>
      <w:r w:rsidRPr="002634D3">
        <w:t xml:space="preserve"> </w:t>
      </w:r>
      <w:r>
        <w:t xml:space="preserve">měla nejvyšší </w:t>
      </w:r>
      <w:r w:rsidRPr="00B3234B">
        <w:rPr>
          <w:b/>
          <w:bCs/>
        </w:rPr>
        <w:t>výdaje na zdravotní služby ze ZFZP</w:t>
      </w:r>
      <w:r w:rsidRPr="006B4456">
        <w:t xml:space="preserve"> </w:t>
      </w:r>
      <w:r w:rsidR="009560DA">
        <w:t xml:space="preserve">na jednoho pojištěnce </w:t>
      </w:r>
      <w:r>
        <w:t>VZP ČR nejnižší pak </w:t>
      </w:r>
      <w:r w:rsidR="009560DA">
        <w:t>ČPZP</w:t>
      </w:r>
      <w:r>
        <w:t xml:space="preserve">, což může být v obou případech způsobeno strukturou pojistného kmene. </w:t>
      </w:r>
    </w:p>
    <w:p w:rsidR="00AB3843" w:rsidRDefault="00AB3843" w:rsidP="00B3234B">
      <w:pPr>
        <w:spacing w:before="180" w:line="276" w:lineRule="auto"/>
        <w:jc w:val="both"/>
      </w:pPr>
      <w:r>
        <w:t xml:space="preserve">Úroveň </w:t>
      </w:r>
      <w:r w:rsidRPr="00B3234B">
        <w:rPr>
          <w:b/>
          <w:bCs/>
        </w:rPr>
        <w:t>výdajů na preventivní programy</w:t>
      </w:r>
      <w:r>
        <w:t xml:space="preserve"> je pochopitelně odlišná vzhledem k velikosti zdravotních pojišťoven. Při</w:t>
      </w:r>
      <w:r w:rsidR="00DC1A50">
        <w:t> </w:t>
      </w:r>
      <w:r>
        <w:t xml:space="preserve">přepočtu na jednoho pojištěnce nejnižší hodnoty dosáhla VZP ČR, naopak tomu bylo v případě ČPZP, </w:t>
      </w:r>
      <w:r w:rsidR="009560DA">
        <w:t>která</w:t>
      </w:r>
      <w:r w:rsidR="00C14F36">
        <w:t> </w:t>
      </w:r>
      <w:r>
        <w:t>na</w:t>
      </w:r>
      <w:r w:rsidR="00C14F36">
        <w:t> </w:t>
      </w:r>
      <w:r>
        <w:t xml:space="preserve">jednoho svého pojištěnce </w:t>
      </w:r>
      <w:r w:rsidR="009560DA">
        <w:t xml:space="preserve">vynaložila </w:t>
      </w:r>
      <w:r>
        <w:t xml:space="preserve">násobně více. </w:t>
      </w:r>
    </w:p>
    <w:p w:rsidR="00AB3843" w:rsidRDefault="00AB3843" w:rsidP="00B3234B">
      <w:pPr>
        <w:spacing w:before="180" w:line="276" w:lineRule="auto"/>
        <w:jc w:val="both"/>
      </w:pPr>
      <w:r>
        <w:t xml:space="preserve">Rovněž absolutně neporovnatelnou veličinu představují </w:t>
      </w:r>
      <w:r w:rsidRPr="00B3234B">
        <w:rPr>
          <w:b/>
          <w:bCs/>
        </w:rPr>
        <w:t>výdaje na vlastní činnost</w:t>
      </w:r>
      <w:r>
        <w:t>, a tak byl určen jejich podíl na</w:t>
      </w:r>
      <w:r w:rsidR="009560DA">
        <w:t> </w:t>
      </w:r>
      <w:r>
        <w:t xml:space="preserve">celkových výdajích dané zdravotní pojišťovny. Zde nejvyšší hodnoty dosáhla </w:t>
      </w:r>
      <w:r w:rsidR="009560DA">
        <w:t xml:space="preserve">ZPŠ </w:t>
      </w:r>
      <w:r>
        <w:t>a </w:t>
      </w:r>
      <w:r w:rsidR="009560DA">
        <w:t>RBP</w:t>
      </w:r>
      <w:r>
        <w:t>, naopak nejnižší VZP</w:t>
      </w:r>
      <w:r w:rsidR="00C14F36">
        <w:t> </w:t>
      </w:r>
      <w:r>
        <w:t>ČR.</w:t>
      </w:r>
    </w:p>
    <w:p w:rsidR="00AB3843" w:rsidRDefault="00AB3843" w:rsidP="00B3234B">
      <w:pPr>
        <w:spacing w:before="180" w:line="276" w:lineRule="auto"/>
        <w:jc w:val="both"/>
      </w:pPr>
      <w:r>
        <w:t xml:space="preserve">Podrobnější informace viz tabulková příloha </w:t>
      </w:r>
      <w:r w:rsidRPr="00DC1A50">
        <w:rPr>
          <w:i/>
          <w:iCs/>
        </w:rPr>
        <w:t>Tabulka č. 1, str. 4–5</w:t>
      </w:r>
      <w:r>
        <w:t xml:space="preserve">. </w:t>
      </w:r>
      <w:r w:rsidRPr="00B3234B">
        <w:t xml:space="preserve">Vývoj výdajů systému v. z. p. </w:t>
      </w:r>
      <w:r w:rsidR="009560DA" w:rsidRPr="00B3234B">
        <w:t>201</w:t>
      </w:r>
      <w:r w:rsidR="009560DA">
        <w:t>7</w:t>
      </w:r>
      <w:r w:rsidR="009560DA" w:rsidRPr="00B3234B">
        <w:t xml:space="preserve"> </w:t>
      </w:r>
      <w:r w:rsidRPr="00B3234B">
        <w:t>až</w:t>
      </w:r>
      <w:r w:rsidR="00437146">
        <w:t> </w:t>
      </w:r>
      <w:r w:rsidR="009560DA" w:rsidRPr="00B3234B">
        <w:t>201</w:t>
      </w:r>
      <w:r w:rsidR="009560DA">
        <w:t>9</w:t>
      </w:r>
      <w:r w:rsidR="009560DA" w:rsidRPr="00B3234B">
        <w:t xml:space="preserve"> </w:t>
      </w:r>
      <w:r>
        <w:t>viz</w:t>
      </w:r>
      <w:r w:rsidR="00DC1A50">
        <w:t> </w:t>
      </w:r>
      <w:r>
        <w:t xml:space="preserve">tabulková příloha </w:t>
      </w:r>
      <w:r w:rsidRPr="00DC1A50">
        <w:rPr>
          <w:i/>
          <w:iCs/>
        </w:rPr>
        <w:t>Tabulka č. 4</w:t>
      </w:r>
      <w:r>
        <w:t xml:space="preserve">. </w:t>
      </w:r>
    </w:p>
    <w:p w:rsidR="00E82BDF" w:rsidRPr="00E82BDF" w:rsidRDefault="00E82BDF" w:rsidP="006A5473">
      <w:pPr>
        <w:spacing w:before="180"/>
        <w:rPr>
          <w:rFonts w:eastAsiaTheme="majorEastAsia" w:cstheme="majorBidi"/>
          <w:color w:val="4F81BD" w:themeColor="accent1"/>
          <w:sz w:val="28"/>
          <w:szCs w:val="26"/>
        </w:rPr>
      </w:pPr>
      <w:r>
        <w:br w:type="page"/>
      </w:r>
    </w:p>
    <w:p w:rsidR="00436F6E" w:rsidRPr="00EE54F6" w:rsidRDefault="00436F6E" w:rsidP="00AC25F3">
      <w:pPr>
        <w:pStyle w:val="Nadpis2"/>
      </w:pPr>
      <w:bookmarkStart w:id="12" w:name="_Toc41898950"/>
      <w:r>
        <w:lastRenderedPageBreak/>
        <w:t>Saldo</w:t>
      </w:r>
      <w:bookmarkEnd w:id="12"/>
      <w:r>
        <w:t xml:space="preserve"> </w:t>
      </w:r>
    </w:p>
    <w:p w:rsidR="00BC1AA0" w:rsidRDefault="00DA1C5E" w:rsidP="00BC1AA0">
      <w:pPr>
        <w:spacing w:line="276" w:lineRule="auto"/>
        <w:jc w:val="both"/>
      </w:pPr>
      <w:r w:rsidRPr="00CD27C2">
        <w:rPr>
          <w:b/>
          <w:bCs/>
        </w:rPr>
        <w:t>Saldo příjmů a výdajů celkem</w:t>
      </w:r>
      <w:r w:rsidRPr="00CD27C2">
        <w:t xml:space="preserve"> systému v. z. p. za rok 201</w:t>
      </w:r>
      <w:r w:rsidR="003A6171">
        <w:t>9</w:t>
      </w:r>
      <w:r w:rsidRPr="00CD27C2">
        <w:t xml:space="preserve"> činilo cca </w:t>
      </w:r>
      <w:r w:rsidRPr="00CD27C2">
        <w:rPr>
          <w:b/>
          <w:bCs/>
        </w:rPr>
        <w:t>+</w:t>
      </w:r>
      <w:r w:rsidR="003A6171">
        <w:rPr>
          <w:b/>
          <w:bCs/>
        </w:rPr>
        <w:t>13,5</w:t>
      </w:r>
      <w:r w:rsidRPr="00CD27C2">
        <w:rPr>
          <w:b/>
          <w:bCs/>
        </w:rPr>
        <w:t> mld. Kč</w:t>
      </w:r>
      <w:r w:rsidR="00C23C67" w:rsidRPr="00CD27C2">
        <w:t xml:space="preserve">, což představuje meziroční zhoršení o </w:t>
      </w:r>
      <w:r w:rsidR="003A6171">
        <w:t>1,0</w:t>
      </w:r>
      <w:r w:rsidR="00C23C67" w:rsidRPr="00CD27C2">
        <w:t xml:space="preserve"> mld. Kč. </w:t>
      </w:r>
      <w:r w:rsidR="00BC1AA0" w:rsidRPr="00CD27C2">
        <w:t xml:space="preserve">Segment zaměstnaneckých zdravotních pojišťoven </w:t>
      </w:r>
      <w:r w:rsidR="00C23C67" w:rsidRPr="00CD27C2">
        <w:t>vykázal v roce 2019 kladné</w:t>
      </w:r>
      <w:r w:rsidR="00BC1AA0" w:rsidRPr="00CD27C2">
        <w:t xml:space="preserve"> saldo </w:t>
      </w:r>
      <w:r w:rsidR="003A6171">
        <w:t>+4,5</w:t>
      </w:r>
      <w:r w:rsidR="007D612A" w:rsidRPr="00CD27C2">
        <w:t> </w:t>
      </w:r>
      <w:r w:rsidR="00BC1AA0" w:rsidRPr="00CD27C2">
        <w:t>mld. Kč</w:t>
      </w:r>
      <w:r w:rsidR="00C23C67" w:rsidRPr="00CD27C2">
        <w:t>.</w:t>
      </w:r>
    </w:p>
    <w:p w:rsidR="003A6171" w:rsidRDefault="00C23C67" w:rsidP="00BC1AA0">
      <w:pPr>
        <w:spacing w:line="276" w:lineRule="auto"/>
        <w:jc w:val="both"/>
      </w:pPr>
      <w:r w:rsidRPr="00267004">
        <w:t xml:space="preserve">Konkrétně jednotlivé zdravotní pojišťovny </w:t>
      </w:r>
      <w:r w:rsidR="007D612A" w:rsidRPr="00267004">
        <w:t>(</w:t>
      </w:r>
      <w:r w:rsidR="007D612A" w:rsidRPr="0078400F">
        <w:rPr>
          <w:i/>
          <w:iCs/>
        </w:rPr>
        <w:t xml:space="preserve">Graf č. </w:t>
      </w:r>
      <w:r w:rsidR="00B3234B" w:rsidRPr="0078400F">
        <w:rPr>
          <w:i/>
          <w:iCs/>
        </w:rPr>
        <w:t>4</w:t>
      </w:r>
      <w:r w:rsidR="007D612A" w:rsidRPr="00267004">
        <w:t xml:space="preserve">) </w:t>
      </w:r>
      <w:r w:rsidRPr="00267004">
        <w:t>dosáhly</w:t>
      </w:r>
      <w:r>
        <w:t xml:space="preserve"> </w:t>
      </w:r>
      <w:r w:rsidR="00BC1AA0">
        <w:t>kladného salda hospodaření VZP ČR (</w:t>
      </w:r>
      <w:r w:rsidR="004F1D8B" w:rsidRPr="004F1D8B">
        <w:t>8</w:t>
      </w:r>
      <w:r w:rsidR="004F1D8B">
        <w:t> </w:t>
      </w:r>
      <w:r w:rsidR="004F1D8B" w:rsidRPr="004F1D8B">
        <w:t>910</w:t>
      </w:r>
      <w:r w:rsidR="004F1D8B">
        <w:t>,6</w:t>
      </w:r>
      <w:r w:rsidR="0078400F">
        <w:t> </w:t>
      </w:r>
      <w:r w:rsidR="00BC1AA0">
        <w:t>mil.</w:t>
      </w:r>
      <w:r w:rsidR="0078400F">
        <w:t> </w:t>
      </w:r>
      <w:r w:rsidR="00BC1AA0">
        <w:t xml:space="preserve">Kč), </w:t>
      </w:r>
      <w:proofErr w:type="spellStart"/>
      <w:r w:rsidR="00BC1AA0">
        <w:t>VoZP</w:t>
      </w:r>
      <w:proofErr w:type="spellEnd"/>
      <w:r w:rsidR="00BC1AA0">
        <w:t xml:space="preserve"> ČR (</w:t>
      </w:r>
      <w:r w:rsidR="004F1D8B">
        <w:t>461,0</w:t>
      </w:r>
      <w:r>
        <w:t xml:space="preserve"> </w:t>
      </w:r>
      <w:r w:rsidR="00BC1AA0">
        <w:t>mil. Kč), ČPZP (</w:t>
      </w:r>
      <w:r w:rsidR="004F1D8B">
        <w:t xml:space="preserve">1 529,3 </w:t>
      </w:r>
      <w:r w:rsidR="00BC1AA0">
        <w:t>mil. Kč), OZP (</w:t>
      </w:r>
      <w:r w:rsidR="004F1D8B">
        <w:t>539,0</w:t>
      </w:r>
      <w:r w:rsidR="00BC1AA0">
        <w:t>mil Kč), ZPŠ (</w:t>
      </w:r>
      <w:r w:rsidR="004F1D8B">
        <w:t xml:space="preserve">271,2 </w:t>
      </w:r>
      <w:r w:rsidR="00BC1AA0">
        <w:t>mil. Kč), ZP</w:t>
      </w:r>
      <w:r w:rsidR="00205F26">
        <w:t xml:space="preserve"> </w:t>
      </w:r>
      <w:r w:rsidR="00BC1AA0">
        <w:t>MV ČR (</w:t>
      </w:r>
      <w:r w:rsidR="004F1D8B">
        <w:t xml:space="preserve">1 265,7 </w:t>
      </w:r>
      <w:r w:rsidR="00BC1AA0">
        <w:t>mil. Kč) a RBP (</w:t>
      </w:r>
      <w:r w:rsidR="004F1D8B">
        <w:t xml:space="preserve">475,1 </w:t>
      </w:r>
      <w:r w:rsidR="00BC1AA0">
        <w:t xml:space="preserve">mil. Kč). </w:t>
      </w:r>
    </w:p>
    <w:p w:rsidR="00FA2F01" w:rsidRDefault="00FA2F01" w:rsidP="00FA2F01">
      <w:pPr>
        <w:pStyle w:val="Titulek"/>
      </w:pPr>
      <w:bookmarkStart w:id="13" w:name="_Toc41837521"/>
      <w:r>
        <w:t xml:space="preserve">Graf č. </w:t>
      </w:r>
      <w:r>
        <w:rPr>
          <w:noProof/>
        </w:rPr>
        <w:fldChar w:fldCharType="begin"/>
      </w:r>
      <w:r>
        <w:rPr>
          <w:noProof/>
        </w:rPr>
        <w:instrText xml:space="preserve"> SEQ Graf \* ARABIC </w:instrText>
      </w:r>
      <w:r>
        <w:rPr>
          <w:noProof/>
        </w:rPr>
        <w:fldChar w:fldCharType="separate"/>
      </w:r>
      <w:r w:rsidR="00B17299">
        <w:rPr>
          <w:noProof/>
        </w:rPr>
        <w:t>4</w:t>
      </w:r>
      <w:r>
        <w:rPr>
          <w:noProof/>
        </w:rPr>
        <w:fldChar w:fldCharType="end"/>
      </w:r>
      <w:r>
        <w:t xml:space="preserve">: </w:t>
      </w:r>
      <w:r w:rsidRPr="00FA2F01">
        <w:t>Saldo příjmů a výdajů celkem 2019</w:t>
      </w:r>
      <w:bookmarkEnd w:id="13"/>
    </w:p>
    <w:p w:rsidR="00B320C5" w:rsidRDefault="00B320C5" w:rsidP="00FA2F01">
      <w:pPr>
        <w:spacing w:line="276" w:lineRule="auto"/>
        <w:jc w:val="center"/>
      </w:pPr>
      <w:r>
        <w:rPr>
          <w:noProof/>
          <w:lang w:eastAsia="cs-CZ"/>
        </w:rPr>
        <w:drawing>
          <wp:inline distT="0" distB="0" distL="0" distR="0" wp14:anchorId="4156B1D8" wp14:editId="35F18C0D">
            <wp:extent cx="5970896" cy="2511188"/>
            <wp:effectExtent l="0" t="0" r="11430" b="22860"/>
            <wp:docPr id="9" name="Graf 9">
              <a:extLst xmlns:a="http://schemas.openxmlformats.org/drawingml/2006/main">
                <a:ext uri="{FF2B5EF4-FFF2-40B4-BE49-F238E27FC236}">
                  <a16:creationId xmlns:a16="http://schemas.microsoft.com/office/drawing/2014/main" id="{00000000-0008-0000-0C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A1C5E" w:rsidRPr="00946CF7" w:rsidRDefault="00DA1C5E" w:rsidP="00B3234B">
      <w:pPr>
        <w:spacing w:line="276" w:lineRule="auto"/>
        <w:jc w:val="both"/>
      </w:pPr>
      <w:r w:rsidRPr="00267004">
        <w:t>Výv</w:t>
      </w:r>
      <w:r w:rsidRPr="00984BBF">
        <w:t>oj rozdílu mezi příjmy a výdaji v delším časovém horizontu ukazuje, že od roku 2014 převyšovaly příjmy výdaje systému (</w:t>
      </w:r>
      <w:r w:rsidRPr="00FA2F01">
        <w:rPr>
          <w:i/>
          <w:iCs/>
        </w:rPr>
        <w:t xml:space="preserve">Graf č. </w:t>
      </w:r>
      <w:r w:rsidR="00B3234B" w:rsidRPr="00FA2F01">
        <w:rPr>
          <w:i/>
          <w:iCs/>
        </w:rPr>
        <w:t>5</w:t>
      </w:r>
      <w:r w:rsidRPr="00267004">
        <w:t>)</w:t>
      </w:r>
      <w:r w:rsidRPr="00984BBF">
        <w:t>, což je velmi kladná tendence z hlediska vytváření rezerv pro případ nepříznivého budoucího vývoje</w:t>
      </w:r>
      <w:r w:rsidR="00AD23F3" w:rsidRPr="0078400F">
        <w:t>.</w:t>
      </w:r>
      <w:r>
        <w:t xml:space="preserve"> </w:t>
      </w:r>
    </w:p>
    <w:p w:rsidR="00DA1C5E" w:rsidRDefault="00DA1C5E" w:rsidP="00DA1C5E">
      <w:pPr>
        <w:pStyle w:val="Titulek"/>
      </w:pPr>
      <w:bookmarkStart w:id="14" w:name="_Toc41837522"/>
      <w:r>
        <w:t xml:space="preserve">Graf č. </w:t>
      </w:r>
      <w:r>
        <w:rPr>
          <w:noProof/>
        </w:rPr>
        <w:fldChar w:fldCharType="begin"/>
      </w:r>
      <w:r>
        <w:rPr>
          <w:noProof/>
        </w:rPr>
        <w:instrText xml:space="preserve"> SEQ Graf \* ARABIC </w:instrText>
      </w:r>
      <w:r>
        <w:rPr>
          <w:noProof/>
        </w:rPr>
        <w:fldChar w:fldCharType="separate"/>
      </w:r>
      <w:r w:rsidR="00B17299">
        <w:rPr>
          <w:noProof/>
        </w:rPr>
        <w:t>5</w:t>
      </w:r>
      <w:r>
        <w:rPr>
          <w:noProof/>
        </w:rPr>
        <w:fldChar w:fldCharType="end"/>
      </w:r>
      <w:r>
        <w:t xml:space="preserve">: </w:t>
      </w:r>
      <w:r w:rsidRPr="00DA1C5E">
        <w:t>Vývoj příjmů a výdajů systému veřejného zdravotního pojištění 2009–201</w:t>
      </w:r>
      <w:r w:rsidR="00984BBF">
        <w:t>9</w:t>
      </w:r>
      <w:bookmarkEnd w:id="14"/>
    </w:p>
    <w:p w:rsidR="00984BBF" w:rsidRDefault="00984BBF" w:rsidP="00FA2F01">
      <w:pPr>
        <w:spacing w:line="276" w:lineRule="auto"/>
        <w:jc w:val="center"/>
      </w:pPr>
      <w:r>
        <w:rPr>
          <w:noProof/>
          <w:lang w:eastAsia="cs-CZ"/>
        </w:rPr>
        <w:drawing>
          <wp:inline distT="0" distB="0" distL="0" distR="0" wp14:anchorId="0E96ADBC" wp14:editId="4593C510">
            <wp:extent cx="5759450" cy="2814320"/>
            <wp:effectExtent l="0" t="0" r="0" b="508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A1C5E" w:rsidRDefault="00DA1C5E" w:rsidP="00DA1C5E">
      <w:pPr>
        <w:spacing w:line="276" w:lineRule="auto"/>
        <w:jc w:val="both"/>
      </w:pPr>
      <w:r w:rsidRPr="0051789D">
        <w:lastRenderedPageBreak/>
        <w:t>S předchozím grafem úzce souvisí i vývoj rozdílového ukazatele, tj. salda příjmů a výdajů v uvedeném časovém úseku (</w:t>
      </w:r>
      <w:r w:rsidRPr="0051789D">
        <w:rPr>
          <w:i/>
          <w:iCs/>
        </w:rPr>
        <w:t xml:space="preserve">Graf č. </w:t>
      </w:r>
      <w:r w:rsidR="00B3234B" w:rsidRPr="0051789D">
        <w:rPr>
          <w:i/>
          <w:iCs/>
        </w:rPr>
        <w:t>6</w:t>
      </w:r>
      <w:r w:rsidRPr="0051789D">
        <w:t>).</w:t>
      </w:r>
      <w:r>
        <w:t xml:space="preserve"> </w:t>
      </w:r>
    </w:p>
    <w:p w:rsidR="00DA1C5E" w:rsidRDefault="00DA1C5E" w:rsidP="00DA1C5E">
      <w:pPr>
        <w:pStyle w:val="Titulek"/>
      </w:pPr>
      <w:bookmarkStart w:id="15" w:name="_Toc41837523"/>
      <w:r>
        <w:t xml:space="preserve">Graf č. </w:t>
      </w:r>
      <w:r>
        <w:rPr>
          <w:noProof/>
        </w:rPr>
        <w:fldChar w:fldCharType="begin"/>
      </w:r>
      <w:r>
        <w:rPr>
          <w:noProof/>
        </w:rPr>
        <w:instrText xml:space="preserve"> SEQ Graf \* ARABIC </w:instrText>
      </w:r>
      <w:r>
        <w:rPr>
          <w:noProof/>
        </w:rPr>
        <w:fldChar w:fldCharType="separate"/>
      </w:r>
      <w:r w:rsidR="00B17299">
        <w:rPr>
          <w:noProof/>
        </w:rPr>
        <w:t>6</w:t>
      </w:r>
      <w:r>
        <w:rPr>
          <w:noProof/>
        </w:rPr>
        <w:fldChar w:fldCharType="end"/>
      </w:r>
      <w:r>
        <w:t xml:space="preserve">: </w:t>
      </w:r>
      <w:r w:rsidRPr="00DA1C5E">
        <w:t xml:space="preserve">Vývoj salda příjmů a výdajů </w:t>
      </w:r>
      <w:r w:rsidR="00193B2B">
        <w:t xml:space="preserve">systému </w:t>
      </w:r>
      <w:r w:rsidRPr="00DA1C5E">
        <w:t>veřejného zdravotního pojištění 2009–</w:t>
      </w:r>
      <w:r w:rsidR="00984BBF" w:rsidRPr="00DA1C5E">
        <w:t>201</w:t>
      </w:r>
      <w:r w:rsidR="00984BBF">
        <w:t>9</w:t>
      </w:r>
      <w:bookmarkEnd w:id="15"/>
    </w:p>
    <w:p w:rsidR="004204C3" w:rsidRDefault="004204C3" w:rsidP="00FA2F01">
      <w:pPr>
        <w:spacing w:before="180" w:line="276" w:lineRule="auto"/>
        <w:jc w:val="center"/>
      </w:pPr>
      <w:r>
        <w:rPr>
          <w:noProof/>
          <w:lang w:eastAsia="cs-CZ"/>
        </w:rPr>
        <w:drawing>
          <wp:inline distT="0" distB="0" distL="0" distR="0" wp14:anchorId="50FBC064" wp14:editId="6510A467">
            <wp:extent cx="5759355" cy="2634018"/>
            <wp:effectExtent l="0" t="0" r="0" b="0"/>
            <wp:docPr id="14" name="Graf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204C3" w:rsidRPr="00FA2F01" w:rsidRDefault="004204C3" w:rsidP="00FA2F01">
      <w:pPr>
        <w:pStyle w:val="OBR"/>
        <w:spacing w:before="0"/>
        <w:jc w:val="center"/>
        <w:rPr>
          <w:sz w:val="20"/>
          <w:szCs w:val="20"/>
        </w:rPr>
      </w:pPr>
      <w:r w:rsidRPr="0040743A">
        <w:rPr>
          <w:rFonts w:asciiTheme="minorHAnsi" w:hAnsiTheme="minorHAnsi"/>
          <w:b/>
          <w:sz w:val="20"/>
          <w:szCs w:val="20"/>
        </w:rPr>
        <w:t xml:space="preserve">Pozn.: </w:t>
      </w:r>
      <w:r w:rsidRPr="00B3234B">
        <w:rPr>
          <w:rFonts w:asciiTheme="minorHAnsi" w:hAnsiTheme="minorHAnsi"/>
          <w:sz w:val="20"/>
          <w:szCs w:val="20"/>
        </w:rPr>
        <w:t>Příjmy v roce 2012 očištěny od vlivu mimořádného přerozdělení.</w:t>
      </w:r>
    </w:p>
    <w:p w:rsidR="00DA1C5E" w:rsidRDefault="00DA1C5E" w:rsidP="00B3234B">
      <w:pPr>
        <w:spacing w:before="180" w:line="276" w:lineRule="auto"/>
        <w:jc w:val="both"/>
      </w:pPr>
      <w:r>
        <w:t xml:space="preserve">Podrobnější informace viz tabulková příloha </w:t>
      </w:r>
      <w:r w:rsidRPr="00AD23F3">
        <w:rPr>
          <w:i/>
          <w:iCs/>
        </w:rPr>
        <w:t>Tabulka č. 1, str. 6</w:t>
      </w:r>
      <w:r>
        <w:t xml:space="preserve">. </w:t>
      </w:r>
      <w:r w:rsidRPr="00B3234B">
        <w:t>Vývoj salda v. z. p. 201</w:t>
      </w:r>
      <w:r w:rsidR="0078400F">
        <w:t>7</w:t>
      </w:r>
      <w:r w:rsidRPr="00B3234B">
        <w:t xml:space="preserve"> až 201</w:t>
      </w:r>
      <w:r w:rsidR="0078400F">
        <w:t>9</w:t>
      </w:r>
      <w:r w:rsidRPr="00B3234B">
        <w:t xml:space="preserve"> </w:t>
      </w:r>
      <w:r>
        <w:t xml:space="preserve">viz tabulková příloha </w:t>
      </w:r>
      <w:r w:rsidRPr="00AD23F3">
        <w:rPr>
          <w:i/>
          <w:iCs/>
        </w:rPr>
        <w:t>Tabulka č. 4</w:t>
      </w:r>
      <w:r>
        <w:t>.</w:t>
      </w:r>
    </w:p>
    <w:p w:rsidR="00DA1C5E" w:rsidRDefault="00DA1C5E" w:rsidP="00B3234B">
      <w:pPr>
        <w:spacing w:before="180" w:line="276" w:lineRule="auto"/>
        <w:jc w:val="both"/>
      </w:pPr>
      <w:r w:rsidRPr="003248CC">
        <w:t>Saldo prezentované v tomto materiálu se liší od salda sektoru S.1314 (sektor zhruba odpovídající zdravotním pojišťovnám v systému národních účtů), které dle Českého statistického úřadu (ČSÚ) předběžně činilo v roce 201</w:t>
      </w:r>
      <w:r w:rsidR="0078400F" w:rsidRPr="003248CC">
        <w:t>9</w:t>
      </w:r>
      <w:r w:rsidRPr="003248CC">
        <w:t xml:space="preserve"> +</w:t>
      </w:r>
      <w:r w:rsidR="0078400F" w:rsidRPr="003248CC">
        <w:t xml:space="preserve">11,1 </w:t>
      </w:r>
      <w:r w:rsidRPr="003248CC">
        <w:t xml:space="preserve">mld. Kč. Rozdíl je způsoben specifickou metodikou ESA 2010, ve které jsou příjmy započítávány s určitým časovým posunem a </w:t>
      </w:r>
      <w:proofErr w:type="spellStart"/>
      <w:r w:rsidRPr="003248CC">
        <w:t>semi-akruálně</w:t>
      </w:r>
      <w:proofErr w:type="spellEnd"/>
      <w:r w:rsidRPr="003248CC">
        <w:t xml:space="preserve"> (část příjmů </w:t>
      </w:r>
      <w:proofErr w:type="spellStart"/>
      <w:r w:rsidRPr="003248CC">
        <w:t>akruálně</w:t>
      </w:r>
      <w:proofErr w:type="spellEnd"/>
      <w:r w:rsidRPr="003248CC">
        <w:t>, část pak skutečně přijatými platbami) a</w:t>
      </w:r>
      <w:r w:rsidR="0078400F" w:rsidRPr="003248CC">
        <w:t> </w:t>
      </w:r>
      <w:r w:rsidRPr="003248CC">
        <w:t>výdaje na</w:t>
      </w:r>
      <w:r w:rsidR="00AD23F3" w:rsidRPr="003248CC">
        <w:t> </w:t>
      </w:r>
      <w:r w:rsidRPr="003248CC">
        <w:t xml:space="preserve">zdravotní péči jsou rovněž započítávány </w:t>
      </w:r>
      <w:proofErr w:type="spellStart"/>
      <w:r w:rsidRPr="003248CC">
        <w:t>akruálně</w:t>
      </w:r>
      <w:proofErr w:type="spellEnd"/>
      <w:r w:rsidRPr="003248CC">
        <w:t xml:space="preserve"> a nikoliv pomocí skutečných výdajů. ČSÚ postupuje podle pravidel harmonizovaných na úrovni EU, které požaduje EUROSTAT. V této metodice dosáhl zmíněný sektor </w:t>
      </w:r>
      <w:r w:rsidR="003248CC">
        <w:t xml:space="preserve">nižšího </w:t>
      </w:r>
      <w:r w:rsidRPr="003248CC">
        <w:t>kladného salda než dle výpočtů MF (hotovostní pojetí), což je odůvodnitelné použitou metodikou ČSÚ a</w:t>
      </w:r>
      <w:r w:rsidR="00AD23F3" w:rsidRPr="003248CC">
        <w:t> </w:t>
      </w:r>
      <w:r w:rsidRPr="003248CC">
        <w:t>rychlým růstem výdajů na zdravotní péči, které jsou jinak zaznamenávány v akruálním pojetí.</w:t>
      </w:r>
      <w:r>
        <w:t xml:space="preserve"> </w:t>
      </w:r>
    </w:p>
    <w:p w:rsidR="00436F6E" w:rsidRDefault="00436F6E" w:rsidP="00436F6E">
      <w:pPr>
        <w:rPr>
          <w:rFonts w:eastAsia="Times New Roman" w:cs="Arial"/>
          <w:b/>
          <w:sz w:val="28"/>
          <w:szCs w:val="28"/>
          <w:lang w:eastAsia="cs-CZ"/>
        </w:rPr>
      </w:pPr>
      <w:r>
        <w:br w:type="page"/>
      </w:r>
    </w:p>
    <w:p w:rsidR="00436F6E" w:rsidRDefault="00436F6E" w:rsidP="00AC25F3">
      <w:pPr>
        <w:pStyle w:val="Nadpis2"/>
      </w:pPr>
      <w:bookmarkStart w:id="16" w:name="_Toc41898951"/>
      <w:r>
        <w:lastRenderedPageBreak/>
        <w:t>Pohledávky a závazky</w:t>
      </w:r>
      <w:bookmarkEnd w:id="16"/>
      <w:r>
        <w:t xml:space="preserve"> </w:t>
      </w:r>
    </w:p>
    <w:p w:rsidR="00C3621B" w:rsidRDefault="00C3621B" w:rsidP="002D4FEA">
      <w:pPr>
        <w:jc w:val="both"/>
      </w:pPr>
      <w:r w:rsidRPr="00C3621B">
        <w:rPr>
          <w:b/>
          <w:bCs/>
        </w:rPr>
        <w:t>Stav pohledávek v. z. p. celkem</w:t>
      </w:r>
      <w:r w:rsidRPr="002D4FEA">
        <w:t xml:space="preserve"> </w:t>
      </w:r>
      <w:r>
        <w:t>(v čisté výši bez opravných položek)</w:t>
      </w:r>
      <w:r w:rsidRPr="002D4FEA">
        <w:t xml:space="preserve"> k 31. 12. </w:t>
      </w:r>
      <w:r w:rsidR="00A94E3C" w:rsidRPr="002D4FEA">
        <w:t>201</w:t>
      </w:r>
      <w:r w:rsidR="00A94E3C">
        <w:t>9</w:t>
      </w:r>
      <w:r w:rsidR="00A94E3C" w:rsidRPr="002D4FEA">
        <w:t xml:space="preserve"> </w:t>
      </w:r>
      <w:r w:rsidRPr="002D4FEA">
        <w:t>je</w:t>
      </w:r>
      <w:r>
        <w:t xml:space="preserve"> </w:t>
      </w:r>
      <w:r w:rsidR="00A94E3C" w:rsidRPr="00A94E3C">
        <w:rPr>
          <w:b/>
          <w:bCs/>
        </w:rPr>
        <w:t>42</w:t>
      </w:r>
      <w:r w:rsidR="00A94E3C">
        <w:rPr>
          <w:b/>
          <w:bCs/>
        </w:rPr>
        <w:t>,</w:t>
      </w:r>
      <w:r w:rsidR="00A94E3C" w:rsidRPr="00A94E3C">
        <w:rPr>
          <w:b/>
          <w:bCs/>
        </w:rPr>
        <w:t>4</w:t>
      </w:r>
      <w:r w:rsidR="00A94E3C">
        <w:rPr>
          <w:b/>
          <w:bCs/>
        </w:rPr>
        <w:t xml:space="preserve"> </w:t>
      </w:r>
      <w:r w:rsidRPr="00C3621B">
        <w:rPr>
          <w:b/>
          <w:bCs/>
        </w:rPr>
        <w:t>mld. Kč</w:t>
      </w:r>
      <w:r w:rsidRPr="002D4FEA">
        <w:t>,</w:t>
      </w:r>
      <w:r>
        <w:t xml:space="preserve"> došlo tak</w:t>
      </w:r>
      <w:r w:rsidR="00193B2B">
        <w:t> </w:t>
      </w:r>
      <w:r>
        <w:t xml:space="preserve">k jejich meziročnímu růstu o </w:t>
      </w:r>
      <w:r w:rsidR="004310C2">
        <w:t>3,</w:t>
      </w:r>
      <w:r>
        <w:t>2 mld. Kč (</w:t>
      </w:r>
      <w:r w:rsidR="004310C2">
        <w:t>8,1</w:t>
      </w:r>
      <w:r>
        <w:t xml:space="preserve"> %). Pohledávky za plátci pojistného činí </w:t>
      </w:r>
      <w:r w:rsidR="00DE3DF8" w:rsidRPr="00DE3DF8">
        <w:t>37</w:t>
      </w:r>
      <w:r w:rsidR="00DE3DF8">
        <w:t>,3</w:t>
      </w:r>
      <w:r>
        <w:t xml:space="preserve"> mld. Kč, tj. 87</w:t>
      </w:r>
      <w:r w:rsidR="00DE3DF8">
        <w:t>,9</w:t>
      </w:r>
      <w:r>
        <w:t> %.</w:t>
      </w:r>
    </w:p>
    <w:p w:rsidR="00C3621B" w:rsidRDefault="00C3621B" w:rsidP="002D4FEA">
      <w:pPr>
        <w:spacing w:before="180" w:line="276" w:lineRule="auto"/>
        <w:jc w:val="both"/>
      </w:pPr>
      <w:r w:rsidRPr="005A7FAB">
        <w:t>Následující tabulka (</w:t>
      </w:r>
      <w:r w:rsidRPr="005A7FAB">
        <w:rPr>
          <w:i/>
          <w:iCs/>
        </w:rPr>
        <w:t xml:space="preserve">Tabulka č. </w:t>
      </w:r>
      <w:r w:rsidR="002D4FEA" w:rsidRPr="005A7FAB">
        <w:rPr>
          <w:i/>
          <w:iCs/>
        </w:rPr>
        <w:t>5</w:t>
      </w:r>
      <w:r w:rsidRPr="005A7FAB">
        <w:t xml:space="preserve">) uvádí vybrané indikátory v oblasti </w:t>
      </w:r>
      <w:proofErr w:type="spellStart"/>
      <w:r w:rsidRPr="005A7FAB">
        <w:t>pohledávkově</w:t>
      </w:r>
      <w:proofErr w:type="spellEnd"/>
      <w:r w:rsidRPr="005A7FAB">
        <w:t>-závazkových vztahů pro jednotlivé pojišťovny a dále pak vývoj souvisejících kategorií (dohadné položky, opravné položky, roční odstranění tvrdosti, rezervy na soudní spory a stav půjček a úvěrů).</w:t>
      </w:r>
    </w:p>
    <w:p w:rsidR="00C3621B" w:rsidRPr="00F5352F" w:rsidRDefault="00C3621B" w:rsidP="002D4FEA">
      <w:pPr>
        <w:pStyle w:val="Titulek"/>
        <w:jc w:val="both"/>
      </w:pPr>
      <w:bookmarkStart w:id="17" w:name="_Toc41837497"/>
      <w:r w:rsidRPr="00C75FC6">
        <w:t xml:space="preserve">Tabulka č. </w:t>
      </w:r>
      <w:r>
        <w:rPr>
          <w:noProof/>
        </w:rPr>
        <w:fldChar w:fldCharType="begin"/>
      </w:r>
      <w:r>
        <w:rPr>
          <w:noProof/>
        </w:rPr>
        <w:instrText xml:space="preserve"> SEQ Tabulka \* ARABIC </w:instrText>
      </w:r>
      <w:r>
        <w:rPr>
          <w:noProof/>
        </w:rPr>
        <w:fldChar w:fldCharType="separate"/>
      </w:r>
      <w:r w:rsidR="00B17299">
        <w:rPr>
          <w:noProof/>
        </w:rPr>
        <w:t>5</w:t>
      </w:r>
      <w:r>
        <w:rPr>
          <w:noProof/>
        </w:rPr>
        <w:fldChar w:fldCharType="end"/>
      </w:r>
      <w:r w:rsidRPr="00C75FC6">
        <w:t xml:space="preserve">: </w:t>
      </w:r>
      <w:r w:rsidRPr="00C3621B">
        <w:t>Vybrané ukazatele 201</w:t>
      </w:r>
      <w:r w:rsidR="00193B2B">
        <w:t>9</w:t>
      </w:r>
      <w:r w:rsidRPr="00C3621B">
        <w:t xml:space="preserve"> dle zdravotních pojišťoven</w:t>
      </w:r>
      <w:bookmarkEnd w:id="17"/>
    </w:p>
    <w:tbl>
      <w:tblPr>
        <w:tblW w:w="9350" w:type="dxa"/>
        <w:jc w:val="center"/>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2630"/>
        <w:gridCol w:w="960"/>
        <w:gridCol w:w="960"/>
        <w:gridCol w:w="960"/>
        <w:gridCol w:w="960"/>
        <w:gridCol w:w="960"/>
        <w:gridCol w:w="960"/>
        <w:gridCol w:w="960"/>
      </w:tblGrid>
      <w:tr w:rsidR="00327A75" w:rsidRPr="00FB4E5F" w:rsidTr="000E6678">
        <w:trPr>
          <w:trHeight w:val="601"/>
          <w:jc w:val="center"/>
        </w:trPr>
        <w:tc>
          <w:tcPr>
            <w:tcW w:w="2630" w:type="dxa"/>
            <w:shd w:val="clear" w:color="000000" w:fill="4F81BD"/>
            <w:vAlign w:val="center"/>
            <w:hideMark/>
          </w:tcPr>
          <w:p w:rsidR="00327A75" w:rsidRPr="00FB4E5F" w:rsidRDefault="00327A75" w:rsidP="00E601ED">
            <w:pPr>
              <w:spacing w:after="120" w:line="240" w:lineRule="auto"/>
              <w:rPr>
                <w:rFonts w:ascii="Calibri" w:eastAsia="Times New Roman" w:hAnsi="Calibri" w:cs="Times New Roman"/>
                <w:b/>
                <w:bCs/>
                <w:color w:val="FFFFFF"/>
                <w:szCs w:val="21"/>
                <w:lang w:eastAsia="cs-CZ"/>
              </w:rPr>
            </w:pPr>
            <w:r w:rsidRPr="00FB4E5F">
              <w:rPr>
                <w:rFonts w:ascii="Calibri" w:eastAsia="Times New Roman" w:hAnsi="Calibri" w:cs="Times New Roman"/>
                <w:b/>
                <w:bCs/>
                <w:i/>
                <w:iCs/>
                <w:color w:val="FFFFFF"/>
                <w:szCs w:val="21"/>
                <w:lang w:eastAsia="cs-CZ"/>
              </w:rPr>
              <w:t xml:space="preserve">(v mil. </w:t>
            </w:r>
            <w:proofErr w:type="gramStart"/>
            <w:r w:rsidRPr="00FB4E5F">
              <w:rPr>
                <w:rFonts w:ascii="Calibri" w:eastAsia="Times New Roman" w:hAnsi="Calibri" w:cs="Times New Roman"/>
                <w:b/>
                <w:bCs/>
                <w:i/>
                <w:iCs/>
                <w:color w:val="FFFFFF"/>
                <w:szCs w:val="21"/>
                <w:lang w:eastAsia="cs-CZ"/>
              </w:rPr>
              <w:t>Kč )</w:t>
            </w:r>
            <w:proofErr w:type="gramEnd"/>
          </w:p>
          <w:p w:rsidR="00327A75" w:rsidRPr="00FB4E5F" w:rsidRDefault="00327A75" w:rsidP="000E6678">
            <w:pPr>
              <w:spacing w:after="0" w:line="240" w:lineRule="auto"/>
              <w:rPr>
                <w:rFonts w:ascii="Calibri" w:eastAsia="Times New Roman" w:hAnsi="Calibri" w:cs="Times New Roman"/>
                <w:b/>
                <w:bCs/>
                <w:color w:val="FFFFFF"/>
                <w:szCs w:val="21"/>
                <w:lang w:eastAsia="cs-CZ"/>
              </w:rPr>
            </w:pPr>
            <w:r w:rsidRPr="00FB4E5F">
              <w:rPr>
                <w:rFonts w:ascii="Calibri" w:eastAsia="Times New Roman" w:hAnsi="Calibri" w:cs="Times New Roman"/>
                <w:i/>
                <w:iCs/>
                <w:color w:val="FFFFFF"/>
                <w:sz w:val="20"/>
                <w:szCs w:val="20"/>
                <w:lang w:eastAsia="cs-CZ"/>
              </w:rPr>
              <w:t>(stav k poslednímu dni roku)</w:t>
            </w:r>
          </w:p>
        </w:tc>
        <w:tc>
          <w:tcPr>
            <w:tcW w:w="960" w:type="dxa"/>
            <w:shd w:val="clear" w:color="000000" w:fill="6691C6"/>
            <w:noWrap/>
            <w:vAlign w:val="center"/>
            <w:hideMark/>
          </w:tcPr>
          <w:p w:rsidR="00327A75" w:rsidRPr="009B4732" w:rsidRDefault="00327A75" w:rsidP="00C3621B">
            <w:pPr>
              <w:spacing w:after="0" w:line="240" w:lineRule="auto"/>
              <w:jc w:val="center"/>
              <w:rPr>
                <w:rFonts w:ascii="Calibri" w:eastAsia="Times New Roman" w:hAnsi="Calibri" w:cs="Times New Roman"/>
                <w:b/>
                <w:color w:val="FFFFFF"/>
                <w:szCs w:val="21"/>
                <w:lang w:eastAsia="cs-CZ"/>
              </w:rPr>
            </w:pPr>
            <w:r w:rsidRPr="009B4732">
              <w:rPr>
                <w:rFonts w:ascii="Calibri" w:eastAsia="Times New Roman" w:hAnsi="Calibri" w:cs="Times New Roman"/>
                <w:b/>
                <w:color w:val="FFFFFF" w:themeColor="background1"/>
                <w:szCs w:val="21"/>
                <w:lang w:eastAsia="cs-CZ"/>
              </w:rPr>
              <w:t>VZP ČR</w:t>
            </w:r>
          </w:p>
        </w:tc>
        <w:tc>
          <w:tcPr>
            <w:tcW w:w="960" w:type="dxa"/>
            <w:shd w:val="clear" w:color="000000" w:fill="4F81BD"/>
            <w:noWrap/>
            <w:vAlign w:val="center"/>
            <w:hideMark/>
          </w:tcPr>
          <w:p w:rsidR="00327A75" w:rsidRPr="009B4732" w:rsidRDefault="00327A75" w:rsidP="00C3621B">
            <w:pPr>
              <w:spacing w:after="0" w:line="240" w:lineRule="auto"/>
              <w:jc w:val="center"/>
              <w:rPr>
                <w:rFonts w:ascii="Calibri" w:eastAsia="Times New Roman" w:hAnsi="Calibri" w:cs="Times New Roman"/>
                <w:b/>
                <w:color w:val="FFFFFF"/>
                <w:szCs w:val="21"/>
                <w:lang w:eastAsia="cs-CZ"/>
              </w:rPr>
            </w:pPr>
            <w:proofErr w:type="spellStart"/>
            <w:r w:rsidRPr="009B4732">
              <w:rPr>
                <w:rFonts w:ascii="Calibri" w:eastAsia="Times New Roman" w:hAnsi="Calibri" w:cs="Times New Roman"/>
                <w:b/>
                <w:color w:val="FFFFFF" w:themeColor="background1"/>
                <w:szCs w:val="21"/>
                <w:lang w:eastAsia="cs-CZ"/>
              </w:rPr>
              <w:t>VoZP</w:t>
            </w:r>
            <w:proofErr w:type="spellEnd"/>
            <w:r w:rsidRPr="009B4732">
              <w:rPr>
                <w:rFonts w:ascii="Calibri" w:eastAsia="Times New Roman" w:hAnsi="Calibri" w:cs="Times New Roman"/>
                <w:b/>
                <w:color w:val="FFFFFF" w:themeColor="background1"/>
                <w:szCs w:val="21"/>
                <w:lang w:eastAsia="cs-CZ"/>
              </w:rPr>
              <w:t xml:space="preserve"> ČR</w:t>
            </w:r>
          </w:p>
        </w:tc>
        <w:tc>
          <w:tcPr>
            <w:tcW w:w="960" w:type="dxa"/>
            <w:shd w:val="clear" w:color="000000" w:fill="6691C6"/>
            <w:noWrap/>
            <w:vAlign w:val="center"/>
            <w:hideMark/>
          </w:tcPr>
          <w:p w:rsidR="00327A75" w:rsidRPr="009B4732" w:rsidRDefault="00327A75" w:rsidP="00C3621B">
            <w:pPr>
              <w:spacing w:after="0" w:line="240" w:lineRule="auto"/>
              <w:jc w:val="center"/>
              <w:rPr>
                <w:rFonts w:ascii="Calibri" w:eastAsia="Times New Roman" w:hAnsi="Calibri" w:cs="Times New Roman"/>
                <w:b/>
                <w:color w:val="FFFFFF"/>
                <w:szCs w:val="21"/>
                <w:lang w:eastAsia="cs-CZ"/>
              </w:rPr>
            </w:pPr>
            <w:r w:rsidRPr="009B4732">
              <w:rPr>
                <w:rFonts w:ascii="Calibri" w:eastAsia="Times New Roman" w:hAnsi="Calibri" w:cs="Times New Roman"/>
                <w:b/>
                <w:color w:val="FFFFFF" w:themeColor="background1"/>
                <w:szCs w:val="21"/>
                <w:lang w:eastAsia="cs-CZ"/>
              </w:rPr>
              <w:t>ČPZP</w:t>
            </w:r>
          </w:p>
        </w:tc>
        <w:tc>
          <w:tcPr>
            <w:tcW w:w="960" w:type="dxa"/>
            <w:shd w:val="clear" w:color="000000" w:fill="4F81BD"/>
            <w:vAlign w:val="center"/>
            <w:hideMark/>
          </w:tcPr>
          <w:p w:rsidR="00327A75" w:rsidRPr="009B4732" w:rsidRDefault="00327A75" w:rsidP="00C3621B">
            <w:pPr>
              <w:spacing w:after="0" w:line="240" w:lineRule="auto"/>
              <w:jc w:val="center"/>
              <w:rPr>
                <w:rFonts w:ascii="Calibri" w:eastAsia="Times New Roman" w:hAnsi="Calibri" w:cs="Times New Roman"/>
                <w:b/>
                <w:color w:val="FFFFFF"/>
                <w:szCs w:val="21"/>
                <w:lang w:eastAsia="cs-CZ"/>
              </w:rPr>
            </w:pPr>
            <w:r w:rsidRPr="009B4732">
              <w:rPr>
                <w:rFonts w:ascii="Calibri" w:eastAsia="Times New Roman" w:hAnsi="Calibri" w:cs="Times New Roman"/>
                <w:b/>
                <w:color w:val="FFFFFF" w:themeColor="background1"/>
                <w:szCs w:val="21"/>
                <w:lang w:eastAsia="cs-CZ"/>
              </w:rPr>
              <w:t>OZP</w:t>
            </w:r>
          </w:p>
        </w:tc>
        <w:tc>
          <w:tcPr>
            <w:tcW w:w="960" w:type="dxa"/>
            <w:shd w:val="clear" w:color="000000" w:fill="6691C6"/>
            <w:vAlign w:val="center"/>
            <w:hideMark/>
          </w:tcPr>
          <w:p w:rsidR="00327A75" w:rsidRPr="009B4732" w:rsidRDefault="00327A75" w:rsidP="00C3621B">
            <w:pPr>
              <w:spacing w:after="0" w:line="240" w:lineRule="auto"/>
              <w:jc w:val="center"/>
              <w:rPr>
                <w:rFonts w:ascii="Calibri" w:eastAsia="Times New Roman" w:hAnsi="Calibri" w:cs="Times New Roman"/>
                <w:b/>
                <w:color w:val="FFFFFF"/>
                <w:szCs w:val="21"/>
                <w:lang w:eastAsia="cs-CZ"/>
              </w:rPr>
            </w:pPr>
            <w:r w:rsidRPr="009B4732">
              <w:rPr>
                <w:rFonts w:ascii="Calibri" w:eastAsia="Times New Roman" w:hAnsi="Calibri" w:cs="Times New Roman"/>
                <w:b/>
                <w:color w:val="FFFFFF" w:themeColor="background1"/>
                <w:szCs w:val="21"/>
                <w:lang w:eastAsia="cs-CZ"/>
              </w:rPr>
              <w:t>ZPŠ</w:t>
            </w:r>
          </w:p>
        </w:tc>
        <w:tc>
          <w:tcPr>
            <w:tcW w:w="960" w:type="dxa"/>
            <w:shd w:val="clear" w:color="000000" w:fill="4F81BD"/>
            <w:vAlign w:val="center"/>
            <w:hideMark/>
          </w:tcPr>
          <w:p w:rsidR="00327A75" w:rsidRPr="003862B4" w:rsidRDefault="00327A75" w:rsidP="00C3621B">
            <w:pPr>
              <w:spacing w:after="0" w:line="240" w:lineRule="auto"/>
              <w:jc w:val="center"/>
              <w:rPr>
                <w:rFonts w:ascii="Calibri" w:eastAsia="Times New Roman" w:hAnsi="Calibri" w:cs="Times New Roman"/>
                <w:b/>
                <w:color w:val="FFFFFF"/>
                <w:spacing w:val="-10"/>
                <w:szCs w:val="21"/>
                <w:lang w:eastAsia="cs-CZ"/>
              </w:rPr>
            </w:pPr>
            <w:r w:rsidRPr="003862B4">
              <w:rPr>
                <w:rFonts w:ascii="Calibri" w:eastAsia="Times New Roman" w:hAnsi="Calibri" w:cs="Times New Roman"/>
                <w:b/>
                <w:color w:val="FFFFFF" w:themeColor="background1"/>
                <w:spacing w:val="-10"/>
                <w:szCs w:val="21"/>
                <w:lang w:eastAsia="cs-CZ"/>
              </w:rPr>
              <w:t>ZP MV ČR</w:t>
            </w:r>
          </w:p>
        </w:tc>
        <w:tc>
          <w:tcPr>
            <w:tcW w:w="960" w:type="dxa"/>
            <w:shd w:val="clear" w:color="000000" w:fill="6691C6"/>
            <w:vAlign w:val="center"/>
            <w:hideMark/>
          </w:tcPr>
          <w:p w:rsidR="00327A75" w:rsidRPr="009B4732" w:rsidRDefault="00327A75" w:rsidP="00C3621B">
            <w:pPr>
              <w:spacing w:after="0" w:line="240" w:lineRule="auto"/>
              <w:jc w:val="center"/>
              <w:rPr>
                <w:rFonts w:ascii="Calibri" w:eastAsia="Times New Roman" w:hAnsi="Calibri" w:cs="Times New Roman"/>
                <w:b/>
                <w:color w:val="FFFFFF"/>
                <w:szCs w:val="21"/>
                <w:lang w:eastAsia="cs-CZ"/>
              </w:rPr>
            </w:pPr>
            <w:r w:rsidRPr="009B4732">
              <w:rPr>
                <w:rFonts w:ascii="Calibri" w:eastAsia="Times New Roman" w:hAnsi="Calibri" w:cs="Times New Roman"/>
                <w:b/>
                <w:color w:val="FFFFFF" w:themeColor="background1"/>
                <w:szCs w:val="21"/>
                <w:lang w:eastAsia="cs-CZ"/>
              </w:rPr>
              <w:t>RBP</w:t>
            </w:r>
          </w:p>
        </w:tc>
      </w:tr>
      <w:tr w:rsidR="0088225D" w:rsidRPr="00FB4E5F" w:rsidTr="000E6678">
        <w:trPr>
          <w:trHeight w:val="300"/>
          <w:jc w:val="center"/>
        </w:trPr>
        <w:tc>
          <w:tcPr>
            <w:tcW w:w="2630" w:type="dxa"/>
            <w:shd w:val="clear" w:color="auto" w:fill="auto"/>
            <w:vAlign w:val="center"/>
            <w:hideMark/>
          </w:tcPr>
          <w:p w:rsidR="0088225D" w:rsidRPr="00FB4E5F" w:rsidRDefault="0088225D" w:rsidP="00C3621B">
            <w:pPr>
              <w:spacing w:after="0" w:line="240" w:lineRule="auto"/>
              <w:rPr>
                <w:rFonts w:ascii="Calibri" w:eastAsia="Times New Roman" w:hAnsi="Calibri" w:cs="Times New Roman"/>
                <w:b/>
                <w:bCs/>
                <w:color w:val="000000"/>
                <w:szCs w:val="21"/>
                <w:lang w:eastAsia="cs-CZ"/>
              </w:rPr>
            </w:pPr>
            <w:r>
              <w:rPr>
                <w:rFonts w:ascii="Calibri" w:eastAsia="Times New Roman" w:hAnsi="Calibri" w:cs="Arial"/>
                <w:b/>
                <w:bCs/>
                <w:color w:val="000000"/>
                <w:szCs w:val="21"/>
                <w:lang w:eastAsia="cs-CZ"/>
              </w:rPr>
              <w:t>S</w:t>
            </w:r>
            <w:r w:rsidRPr="00FB4E5F">
              <w:rPr>
                <w:rFonts w:ascii="Calibri" w:eastAsia="Times New Roman" w:hAnsi="Calibri" w:cs="Arial"/>
                <w:b/>
                <w:bCs/>
                <w:color w:val="000000"/>
                <w:szCs w:val="21"/>
                <w:lang w:eastAsia="cs-CZ"/>
              </w:rPr>
              <w:t>tav pohledávek celkem</w:t>
            </w:r>
          </w:p>
        </w:tc>
        <w:tc>
          <w:tcPr>
            <w:tcW w:w="960" w:type="dxa"/>
            <w:shd w:val="clear" w:color="000000" w:fill="DCE6F1"/>
            <w:noWrap/>
            <w:vAlign w:val="center"/>
          </w:tcPr>
          <w:p w:rsidR="0088225D" w:rsidRPr="00FB4E5F" w:rsidRDefault="0088225D" w:rsidP="00C3621B">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22 449</w:t>
            </w:r>
          </w:p>
        </w:tc>
        <w:tc>
          <w:tcPr>
            <w:tcW w:w="960" w:type="dxa"/>
            <w:shd w:val="clear" w:color="auto" w:fill="auto"/>
            <w:noWrap/>
            <w:vAlign w:val="center"/>
          </w:tcPr>
          <w:p w:rsidR="0088225D" w:rsidRPr="00FB4E5F" w:rsidRDefault="0088225D" w:rsidP="00C3621B">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3 861</w:t>
            </w:r>
          </w:p>
        </w:tc>
        <w:tc>
          <w:tcPr>
            <w:tcW w:w="960" w:type="dxa"/>
            <w:shd w:val="clear" w:color="000000" w:fill="DCE6F1"/>
            <w:noWrap/>
            <w:vAlign w:val="center"/>
          </w:tcPr>
          <w:p w:rsidR="0088225D" w:rsidRPr="00FB4E5F" w:rsidRDefault="0088225D" w:rsidP="00C3621B">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5 698</w:t>
            </w:r>
          </w:p>
        </w:tc>
        <w:tc>
          <w:tcPr>
            <w:tcW w:w="960" w:type="dxa"/>
            <w:shd w:val="clear" w:color="auto" w:fill="auto"/>
            <w:noWrap/>
            <w:vAlign w:val="center"/>
          </w:tcPr>
          <w:p w:rsidR="0088225D" w:rsidRPr="00FB4E5F" w:rsidRDefault="0088225D" w:rsidP="00C3621B">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3 715</w:t>
            </w:r>
          </w:p>
        </w:tc>
        <w:tc>
          <w:tcPr>
            <w:tcW w:w="960" w:type="dxa"/>
            <w:shd w:val="clear" w:color="000000" w:fill="DCE6F1"/>
            <w:noWrap/>
            <w:vAlign w:val="center"/>
          </w:tcPr>
          <w:p w:rsidR="0088225D" w:rsidRPr="00FB4E5F" w:rsidRDefault="0088225D" w:rsidP="00C3621B">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588</w:t>
            </w:r>
          </w:p>
        </w:tc>
        <w:tc>
          <w:tcPr>
            <w:tcW w:w="960" w:type="dxa"/>
            <w:shd w:val="clear" w:color="auto" w:fill="auto"/>
            <w:noWrap/>
            <w:vAlign w:val="center"/>
          </w:tcPr>
          <w:p w:rsidR="0088225D" w:rsidRPr="00FB4E5F" w:rsidRDefault="0088225D" w:rsidP="00C3621B">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4 653</w:t>
            </w:r>
          </w:p>
        </w:tc>
        <w:tc>
          <w:tcPr>
            <w:tcW w:w="960" w:type="dxa"/>
            <w:shd w:val="clear" w:color="000000" w:fill="DCE6F1"/>
            <w:noWrap/>
            <w:vAlign w:val="center"/>
          </w:tcPr>
          <w:p w:rsidR="0088225D" w:rsidRPr="00FB4E5F" w:rsidRDefault="0088225D" w:rsidP="00C3621B">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1 469</w:t>
            </w:r>
          </w:p>
        </w:tc>
      </w:tr>
      <w:tr w:rsidR="0088225D" w:rsidRPr="00FB4E5F" w:rsidTr="000E6678">
        <w:trPr>
          <w:trHeight w:val="570"/>
          <w:jc w:val="center"/>
        </w:trPr>
        <w:tc>
          <w:tcPr>
            <w:tcW w:w="2630" w:type="dxa"/>
            <w:shd w:val="clear" w:color="000000" w:fill="EEF3F8"/>
            <w:vAlign w:val="center"/>
            <w:hideMark/>
          </w:tcPr>
          <w:p w:rsidR="0088225D" w:rsidRPr="00FB4E5F" w:rsidRDefault="0088225D" w:rsidP="00C3621B">
            <w:pPr>
              <w:spacing w:after="0" w:line="240" w:lineRule="auto"/>
              <w:rPr>
                <w:rFonts w:ascii="Calibri" w:eastAsia="Times New Roman" w:hAnsi="Calibri" w:cs="Times New Roman"/>
                <w:color w:val="000000"/>
                <w:szCs w:val="21"/>
                <w:lang w:eastAsia="cs-CZ"/>
              </w:rPr>
            </w:pPr>
            <w:r w:rsidRPr="00FB4E5F">
              <w:rPr>
                <w:rFonts w:ascii="Calibri" w:eastAsia="Times New Roman" w:hAnsi="Calibri" w:cs="Times New Roman"/>
                <w:color w:val="000000"/>
                <w:szCs w:val="21"/>
                <w:lang w:eastAsia="cs-CZ"/>
              </w:rPr>
              <w:t>z toho po lhůtě za plátci pojistného</w:t>
            </w:r>
          </w:p>
        </w:tc>
        <w:tc>
          <w:tcPr>
            <w:tcW w:w="960" w:type="dxa"/>
            <w:shd w:val="clear" w:color="000000" w:fill="EEF3F8"/>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7 505</w:t>
            </w:r>
          </w:p>
        </w:tc>
        <w:tc>
          <w:tcPr>
            <w:tcW w:w="960" w:type="dxa"/>
            <w:shd w:val="clear" w:color="000000" w:fill="EEF3F8"/>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2 192</w:t>
            </w:r>
          </w:p>
        </w:tc>
        <w:tc>
          <w:tcPr>
            <w:tcW w:w="960" w:type="dxa"/>
            <w:shd w:val="clear" w:color="000000" w:fill="EEF3F8"/>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2 480</w:t>
            </w:r>
          </w:p>
        </w:tc>
        <w:tc>
          <w:tcPr>
            <w:tcW w:w="960" w:type="dxa"/>
            <w:shd w:val="clear" w:color="000000" w:fill="EEF3F8"/>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1 505</w:t>
            </w:r>
          </w:p>
        </w:tc>
        <w:tc>
          <w:tcPr>
            <w:tcW w:w="960" w:type="dxa"/>
            <w:shd w:val="clear" w:color="000000" w:fill="EEF3F8"/>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98</w:t>
            </w:r>
          </w:p>
        </w:tc>
        <w:tc>
          <w:tcPr>
            <w:tcW w:w="960" w:type="dxa"/>
            <w:shd w:val="clear" w:color="000000" w:fill="EEF3F8"/>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1 390</w:t>
            </w:r>
          </w:p>
        </w:tc>
        <w:tc>
          <w:tcPr>
            <w:tcW w:w="960" w:type="dxa"/>
            <w:shd w:val="clear" w:color="000000" w:fill="EEF3F8"/>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581</w:t>
            </w:r>
          </w:p>
        </w:tc>
      </w:tr>
      <w:tr w:rsidR="0088225D" w:rsidRPr="00FB4E5F" w:rsidTr="000E6678">
        <w:trPr>
          <w:trHeight w:val="300"/>
          <w:jc w:val="center"/>
        </w:trPr>
        <w:tc>
          <w:tcPr>
            <w:tcW w:w="2630" w:type="dxa"/>
            <w:shd w:val="clear" w:color="auto" w:fill="auto"/>
            <w:vAlign w:val="center"/>
            <w:hideMark/>
          </w:tcPr>
          <w:p w:rsidR="0088225D" w:rsidRPr="00FB4E5F" w:rsidRDefault="0088225D" w:rsidP="00C3621B">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D</w:t>
            </w:r>
            <w:r w:rsidRPr="00FB4E5F">
              <w:rPr>
                <w:rFonts w:ascii="Calibri" w:eastAsia="Times New Roman" w:hAnsi="Calibri" w:cs="Times New Roman"/>
                <w:color w:val="000000"/>
                <w:szCs w:val="21"/>
                <w:lang w:eastAsia="cs-CZ"/>
              </w:rPr>
              <w:t>ohadné položky aktivní</w:t>
            </w:r>
          </w:p>
        </w:tc>
        <w:tc>
          <w:tcPr>
            <w:tcW w:w="960" w:type="dxa"/>
            <w:shd w:val="clear" w:color="000000" w:fill="DCE6F1"/>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1 360</w:t>
            </w:r>
          </w:p>
        </w:tc>
        <w:tc>
          <w:tcPr>
            <w:tcW w:w="960" w:type="dxa"/>
            <w:shd w:val="clear" w:color="auto" w:fill="auto"/>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590</w:t>
            </w:r>
          </w:p>
        </w:tc>
        <w:tc>
          <w:tcPr>
            <w:tcW w:w="960" w:type="dxa"/>
            <w:shd w:val="clear" w:color="000000" w:fill="DCE6F1"/>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296</w:t>
            </w:r>
          </w:p>
        </w:tc>
        <w:tc>
          <w:tcPr>
            <w:tcW w:w="960" w:type="dxa"/>
            <w:shd w:val="clear" w:color="auto" w:fill="auto"/>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241</w:t>
            </w:r>
          </w:p>
        </w:tc>
        <w:tc>
          <w:tcPr>
            <w:tcW w:w="960" w:type="dxa"/>
            <w:shd w:val="clear" w:color="000000" w:fill="DCE6F1"/>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78</w:t>
            </w:r>
          </w:p>
        </w:tc>
        <w:tc>
          <w:tcPr>
            <w:tcW w:w="960" w:type="dxa"/>
            <w:shd w:val="clear" w:color="auto" w:fill="auto"/>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89</w:t>
            </w:r>
          </w:p>
        </w:tc>
        <w:tc>
          <w:tcPr>
            <w:tcW w:w="960" w:type="dxa"/>
            <w:shd w:val="clear" w:color="000000" w:fill="DCE6F1"/>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108</w:t>
            </w:r>
          </w:p>
        </w:tc>
      </w:tr>
      <w:tr w:rsidR="0088225D" w:rsidRPr="00FB4E5F" w:rsidTr="000E6678">
        <w:trPr>
          <w:trHeight w:val="300"/>
          <w:jc w:val="center"/>
        </w:trPr>
        <w:tc>
          <w:tcPr>
            <w:tcW w:w="2630" w:type="dxa"/>
            <w:shd w:val="clear" w:color="000000" w:fill="EEF3F8"/>
            <w:vAlign w:val="center"/>
            <w:hideMark/>
          </w:tcPr>
          <w:p w:rsidR="0088225D" w:rsidRPr="00FB4E5F" w:rsidRDefault="0088225D" w:rsidP="00C3621B">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S</w:t>
            </w:r>
            <w:r w:rsidRPr="00FB4E5F">
              <w:rPr>
                <w:rFonts w:ascii="Calibri" w:eastAsia="Times New Roman" w:hAnsi="Calibri" w:cs="Times New Roman"/>
                <w:color w:val="000000"/>
                <w:szCs w:val="21"/>
                <w:lang w:eastAsia="cs-CZ"/>
              </w:rPr>
              <w:t>tav opravných položek</w:t>
            </w:r>
            <w:r w:rsidR="00157ACE">
              <w:rPr>
                <w:rStyle w:val="Znakapoznpodarou"/>
                <w:rFonts w:ascii="Calibri" w:eastAsia="Times New Roman" w:hAnsi="Calibri" w:cs="Times New Roman"/>
                <w:color w:val="000000"/>
                <w:szCs w:val="21"/>
                <w:lang w:eastAsia="cs-CZ"/>
              </w:rPr>
              <w:footnoteReference w:id="5"/>
            </w:r>
          </w:p>
        </w:tc>
        <w:tc>
          <w:tcPr>
            <w:tcW w:w="960" w:type="dxa"/>
            <w:shd w:val="clear" w:color="000000" w:fill="EEF3F8"/>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21 825</w:t>
            </w:r>
          </w:p>
        </w:tc>
        <w:tc>
          <w:tcPr>
            <w:tcW w:w="960" w:type="dxa"/>
            <w:shd w:val="clear" w:color="000000" w:fill="EEF3F8"/>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3 516</w:t>
            </w:r>
          </w:p>
        </w:tc>
        <w:tc>
          <w:tcPr>
            <w:tcW w:w="960" w:type="dxa"/>
            <w:shd w:val="clear" w:color="000000" w:fill="EEF3F8"/>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4 244</w:t>
            </w:r>
          </w:p>
        </w:tc>
        <w:tc>
          <w:tcPr>
            <w:tcW w:w="960" w:type="dxa"/>
            <w:shd w:val="clear" w:color="000000" w:fill="EEF3F8"/>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1 815</w:t>
            </w:r>
          </w:p>
        </w:tc>
        <w:tc>
          <w:tcPr>
            <w:tcW w:w="960" w:type="dxa"/>
            <w:shd w:val="clear" w:color="000000" w:fill="EEF3F8"/>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385</w:t>
            </w:r>
          </w:p>
        </w:tc>
        <w:tc>
          <w:tcPr>
            <w:tcW w:w="960" w:type="dxa"/>
            <w:shd w:val="clear" w:color="000000" w:fill="EEF3F8"/>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2 980</w:t>
            </w:r>
          </w:p>
        </w:tc>
        <w:tc>
          <w:tcPr>
            <w:tcW w:w="960" w:type="dxa"/>
            <w:shd w:val="clear" w:color="000000" w:fill="EEF3F8"/>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1 509</w:t>
            </w:r>
          </w:p>
        </w:tc>
      </w:tr>
      <w:tr w:rsidR="0088225D" w:rsidRPr="00FB4E5F" w:rsidTr="000E6678">
        <w:trPr>
          <w:trHeight w:val="300"/>
          <w:jc w:val="center"/>
        </w:trPr>
        <w:tc>
          <w:tcPr>
            <w:tcW w:w="2630" w:type="dxa"/>
            <w:shd w:val="clear" w:color="auto" w:fill="auto"/>
            <w:vAlign w:val="center"/>
            <w:hideMark/>
          </w:tcPr>
          <w:p w:rsidR="0088225D" w:rsidRPr="00FB4E5F" w:rsidRDefault="0088225D" w:rsidP="00C3621B">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R</w:t>
            </w:r>
            <w:r w:rsidRPr="00FB4E5F">
              <w:rPr>
                <w:rFonts w:ascii="Calibri" w:eastAsia="Times New Roman" w:hAnsi="Calibri" w:cs="Times New Roman"/>
                <w:color w:val="000000"/>
                <w:szCs w:val="21"/>
                <w:lang w:eastAsia="cs-CZ"/>
              </w:rPr>
              <w:t>oční odpisy pohledávek</w:t>
            </w:r>
          </w:p>
        </w:tc>
        <w:tc>
          <w:tcPr>
            <w:tcW w:w="960" w:type="dxa"/>
            <w:shd w:val="clear" w:color="000000" w:fill="DCE6F1"/>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2 405</w:t>
            </w:r>
          </w:p>
        </w:tc>
        <w:tc>
          <w:tcPr>
            <w:tcW w:w="960" w:type="dxa"/>
            <w:shd w:val="clear" w:color="auto" w:fill="auto"/>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199</w:t>
            </w:r>
          </w:p>
        </w:tc>
        <w:tc>
          <w:tcPr>
            <w:tcW w:w="960" w:type="dxa"/>
            <w:shd w:val="clear" w:color="000000" w:fill="DCE6F1"/>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397</w:t>
            </w:r>
          </w:p>
        </w:tc>
        <w:tc>
          <w:tcPr>
            <w:tcW w:w="960" w:type="dxa"/>
            <w:shd w:val="clear" w:color="auto" w:fill="auto"/>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315</w:t>
            </w:r>
          </w:p>
        </w:tc>
        <w:tc>
          <w:tcPr>
            <w:tcW w:w="960" w:type="dxa"/>
            <w:shd w:val="clear" w:color="000000" w:fill="DCE6F1"/>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22</w:t>
            </w:r>
          </w:p>
        </w:tc>
        <w:tc>
          <w:tcPr>
            <w:tcW w:w="960" w:type="dxa"/>
            <w:shd w:val="clear" w:color="auto" w:fill="auto"/>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280</w:t>
            </w:r>
          </w:p>
        </w:tc>
        <w:tc>
          <w:tcPr>
            <w:tcW w:w="960" w:type="dxa"/>
            <w:shd w:val="clear" w:color="000000" w:fill="DCE6F1"/>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31</w:t>
            </w:r>
          </w:p>
        </w:tc>
      </w:tr>
      <w:tr w:rsidR="0088225D" w:rsidRPr="00FB4E5F" w:rsidTr="000E6678">
        <w:trPr>
          <w:trHeight w:val="300"/>
          <w:jc w:val="center"/>
        </w:trPr>
        <w:tc>
          <w:tcPr>
            <w:tcW w:w="2630" w:type="dxa"/>
            <w:shd w:val="clear" w:color="000000" w:fill="EEF3F8"/>
            <w:vAlign w:val="center"/>
            <w:hideMark/>
          </w:tcPr>
          <w:p w:rsidR="0088225D" w:rsidRPr="00FB4E5F" w:rsidRDefault="0088225D" w:rsidP="00C3621B">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R</w:t>
            </w:r>
            <w:r w:rsidRPr="00FB4E5F">
              <w:rPr>
                <w:rFonts w:ascii="Calibri" w:eastAsia="Times New Roman" w:hAnsi="Calibri" w:cs="Times New Roman"/>
                <w:color w:val="000000"/>
                <w:szCs w:val="21"/>
                <w:lang w:eastAsia="cs-CZ"/>
              </w:rPr>
              <w:t>oční odstranění tvrdosti</w:t>
            </w:r>
          </w:p>
        </w:tc>
        <w:tc>
          <w:tcPr>
            <w:tcW w:w="960" w:type="dxa"/>
            <w:shd w:val="clear" w:color="000000" w:fill="EEF3F8"/>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141</w:t>
            </w:r>
          </w:p>
        </w:tc>
        <w:tc>
          <w:tcPr>
            <w:tcW w:w="960" w:type="dxa"/>
            <w:shd w:val="clear" w:color="000000" w:fill="EEF3F8"/>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5</w:t>
            </w:r>
          </w:p>
        </w:tc>
        <w:tc>
          <w:tcPr>
            <w:tcW w:w="960" w:type="dxa"/>
            <w:shd w:val="clear" w:color="000000" w:fill="EEF3F8"/>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26</w:t>
            </w:r>
          </w:p>
        </w:tc>
        <w:tc>
          <w:tcPr>
            <w:tcW w:w="960" w:type="dxa"/>
            <w:shd w:val="clear" w:color="000000" w:fill="EEF3F8"/>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10</w:t>
            </w:r>
          </w:p>
        </w:tc>
        <w:tc>
          <w:tcPr>
            <w:tcW w:w="960" w:type="dxa"/>
            <w:shd w:val="clear" w:color="000000" w:fill="EEF3F8"/>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w:t>
            </w:r>
          </w:p>
        </w:tc>
        <w:tc>
          <w:tcPr>
            <w:tcW w:w="960" w:type="dxa"/>
            <w:shd w:val="clear" w:color="000000" w:fill="EEF3F8"/>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18</w:t>
            </w:r>
          </w:p>
        </w:tc>
        <w:tc>
          <w:tcPr>
            <w:tcW w:w="960" w:type="dxa"/>
            <w:shd w:val="clear" w:color="000000" w:fill="EEF3F8"/>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w:t>
            </w:r>
          </w:p>
        </w:tc>
      </w:tr>
      <w:tr w:rsidR="0088225D" w:rsidRPr="00FB4E5F" w:rsidTr="000E6678">
        <w:trPr>
          <w:trHeight w:val="300"/>
          <w:jc w:val="center"/>
        </w:trPr>
        <w:tc>
          <w:tcPr>
            <w:tcW w:w="2630" w:type="dxa"/>
            <w:shd w:val="clear" w:color="auto" w:fill="auto"/>
            <w:vAlign w:val="center"/>
            <w:hideMark/>
          </w:tcPr>
          <w:p w:rsidR="0088225D" w:rsidRPr="00FB4E5F" w:rsidRDefault="0088225D" w:rsidP="00C3621B">
            <w:pPr>
              <w:spacing w:after="0" w:line="240" w:lineRule="auto"/>
              <w:rPr>
                <w:rFonts w:ascii="Calibri" w:eastAsia="Times New Roman" w:hAnsi="Calibri" w:cs="Times New Roman"/>
                <w:b/>
                <w:bCs/>
                <w:color w:val="000000"/>
                <w:szCs w:val="21"/>
                <w:lang w:eastAsia="cs-CZ"/>
              </w:rPr>
            </w:pPr>
            <w:r>
              <w:rPr>
                <w:rFonts w:ascii="Calibri" w:eastAsia="Times New Roman" w:hAnsi="Calibri" w:cs="Arial"/>
                <w:b/>
                <w:bCs/>
                <w:color w:val="000000"/>
                <w:szCs w:val="21"/>
                <w:lang w:eastAsia="cs-CZ"/>
              </w:rPr>
              <w:t>S</w:t>
            </w:r>
            <w:r w:rsidRPr="00FB4E5F">
              <w:rPr>
                <w:rFonts w:ascii="Calibri" w:eastAsia="Times New Roman" w:hAnsi="Calibri" w:cs="Arial"/>
                <w:b/>
                <w:bCs/>
                <w:color w:val="000000"/>
                <w:szCs w:val="21"/>
                <w:lang w:eastAsia="cs-CZ"/>
              </w:rPr>
              <w:t>tav závazků celkem</w:t>
            </w:r>
          </w:p>
        </w:tc>
        <w:tc>
          <w:tcPr>
            <w:tcW w:w="960" w:type="dxa"/>
            <w:shd w:val="clear" w:color="000000" w:fill="DCE6F1"/>
            <w:noWrap/>
            <w:vAlign w:val="center"/>
          </w:tcPr>
          <w:p w:rsidR="0088225D" w:rsidRPr="00FB4E5F" w:rsidRDefault="0088225D" w:rsidP="00C3621B">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23 315</w:t>
            </w:r>
          </w:p>
        </w:tc>
        <w:tc>
          <w:tcPr>
            <w:tcW w:w="960" w:type="dxa"/>
            <w:shd w:val="clear" w:color="auto" w:fill="auto"/>
            <w:noWrap/>
            <w:vAlign w:val="center"/>
          </w:tcPr>
          <w:p w:rsidR="0088225D" w:rsidRPr="00FB4E5F" w:rsidRDefault="0088225D" w:rsidP="00C3621B">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3 201</w:t>
            </w:r>
          </w:p>
        </w:tc>
        <w:tc>
          <w:tcPr>
            <w:tcW w:w="960" w:type="dxa"/>
            <w:shd w:val="clear" w:color="000000" w:fill="DCE6F1"/>
            <w:noWrap/>
            <w:vAlign w:val="center"/>
          </w:tcPr>
          <w:p w:rsidR="0088225D" w:rsidRPr="00FB4E5F" w:rsidRDefault="0088225D" w:rsidP="00C3621B">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4 018</w:t>
            </w:r>
          </w:p>
        </w:tc>
        <w:tc>
          <w:tcPr>
            <w:tcW w:w="960" w:type="dxa"/>
            <w:shd w:val="clear" w:color="auto" w:fill="auto"/>
            <w:noWrap/>
            <w:vAlign w:val="center"/>
          </w:tcPr>
          <w:p w:rsidR="0088225D" w:rsidRPr="00FB4E5F" w:rsidRDefault="0088225D" w:rsidP="00C3621B">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2 628</w:t>
            </w:r>
          </w:p>
        </w:tc>
        <w:tc>
          <w:tcPr>
            <w:tcW w:w="960" w:type="dxa"/>
            <w:shd w:val="clear" w:color="000000" w:fill="DCE6F1"/>
            <w:noWrap/>
            <w:vAlign w:val="center"/>
          </w:tcPr>
          <w:p w:rsidR="0088225D" w:rsidRPr="00FB4E5F" w:rsidRDefault="0088225D" w:rsidP="00C3621B">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404</w:t>
            </w:r>
          </w:p>
        </w:tc>
        <w:tc>
          <w:tcPr>
            <w:tcW w:w="960" w:type="dxa"/>
            <w:shd w:val="clear" w:color="auto" w:fill="auto"/>
            <w:noWrap/>
            <w:vAlign w:val="center"/>
          </w:tcPr>
          <w:p w:rsidR="0088225D" w:rsidRPr="00FB4E5F" w:rsidRDefault="0088225D" w:rsidP="00C3621B">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3 706</w:t>
            </w:r>
          </w:p>
        </w:tc>
        <w:tc>
          <w:tcPr>
            <w:tcW w:w="960" w:type="dxa"/>
            <w:shd w:val="clear" w:color="000000" w:fill="DCE6F1"/>
            <w:noWrap/>
            <w:vAlign w:val="center"/>
          </w:tcPr>
          <w:p w:rsidR="0088225D" w:rsidRPr="00FB4E5F" w:rsidRDefault="0088225D" w:rsidP="00C3621B">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1 810</w:t>
            </w:r>
          </w:p>
        </w:tc>
      </w:tr>
      <w:tr w:rsidR="0088225D" w:rsidRPr="00FB4E5F" w:rsidTr="000E6678">
        <w:trPr>
          <w:trHeight w:val="300"/>
          <w:jc w:val="center"/>
        </w:trPr>
        <w:tc>
          <w:tcPr>
            <w:tcW w:w="2630" w:type="dxa"/>
            <w:shd w:val="clear" w:color="000000" w:fill="EEF3F8"/>
            <w:vAlign w:val="center"/>
            <w:hideMark/>
          </w:tcPr>
          <w:p w:rsidR="0088225D" w:rsidRPr="00FB4E5F" w:rsidRDefault="0088225D" w:rsidP="00C3621B">
            <w:pPr>
              <w:spacing w:after="0" w:line="240" w:lineRule="auto"/>
              <w:rPr>
                <w:rFonts w:ascii="Calibri" w:eastAsia="Times New Roman" w:hAnsi="Calibri" w:cs="Times New Roman"/>
                <w:color w:val="000000"/>
                <w:szCs w:val="21"/>
                <w:lang w:eastAsia="cs-CZ"/>
              </w:rPr>
            </w:pPr>
            <w:r w:rsidRPr="00FB4E5F">
              <w:rPr>
                <w:rFonts w:ascii="Calibri" w:eastAsia="Times New Roman" w:hAnsi="Calibri" w:cs="Times New Roman"/>
                <w:color w:val="000000"/>
                <w:szCs w:val="21"/>
                <w:lang w:eastAsia="cs-CZ"/>
              </w:rPr>
              <w:t>z toho po lhůtě vůči PZS</w:t>
            </w:r>
          </w:p>
        </w:tc>
        <w:tc>
          <w:tcPr>
            <w:tcW w:w="960" w:type="dxa"/>
            <w:shd w:val="clear" w:color="000000" w:fill="EEF3F8"/>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shd w:val="clear" w:color="000000" w:fill="EEF3F8"/>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shd w:val="clear" w:color="000000" w:fill="EEF3F8"/>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shd w:val="clear" w:color="000000" w:fill="EEF3F8"/>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shd w:val="clear" w:color="000000" w:fill="EEF3F8"/>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shd w:val="clear" w:color="000000" w:fill="EEF3F8"/>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shd w:val="clear" w:color="000000" w:fill="EEF3F8"/>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r>
      <w:tr w:rsidR="0088225D" w:rsidRPr="00FB4E5F" w:rsidTr="000E6678">
        <w:trPr>
          <w:trHeight w:val="300"/>
          <w:jc w:val="center"/>
        </w:trPr>
        <w:tc>
          <w:tcPr>
            <w:tcW w:w="2630" w:type="dxa"/>
            <w:shd w:val="clear" w:color="auto" w:fill="auto"/>
            <w:vAlign w:val="center"/>
            <w:hideMark/>
          </w:tcPr>
          <w:p w:rsidR="0088225D" w:rsidRPr="00FB4E5F" w:rsidRDefault="0088225D" w:rsidP="00C3621B">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D</w:t>
            </w:r>
            <w:r w:rsidRPr="00FB4E5F">
              <w:rPr>
                <w:rFonts w:ascii="Calibri" w:eastAsia="Times New Roman" w:hAnsi="Calibri" w:cs="Times New Roman"/>
                <w:color w:val="000000"/>
                <w:szCs w:val="21"/>
                <w:lang w:eastAsia="cs-CZ"/>
              </w:rPr>
              <w:t>ohadné položky pasivní</w:t>
            </w:r>
          </w:p>
        </w:tc>
        <w:tc>
          <w:tcPr>
            <w:tcW w:w="960" w:type="dxa"/>
            <w:shd w:val="clear" w:color="000000" w:fill="DCE6F1"/>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6 183</w:t>
            </w:r>
          </w:p>
        </w:tc>
        <w:tc>
          <w:tcPr>
            <w:tcW w:w="960" w:type="dxa"/>
            <w:shd w:val="clear" w:color="auto" w:fill="auto"/>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779</w:t>
            </w:r>
          </w:p>
        </w:tc>
        <w:tc>
          <w:tcPr>
            <w:tcW w:w="960" w:type="dxa"/>
            <w:shd w:val="clear" w:color="000000" w:fill="DCE6F1"/>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1 173</w:t>
            </w:r>
          </w:p>
        </w:tc>
        <w:tc>
          <w:tcPr>
            <w:tcW w:w="960" w:type="dxa"/>
            <w:shd w:val="clear" w:color="auto" w:fill="auto"/>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810</w:t>
            </w:r>
          </w:p>
        </w:tc>
        <w:tc>
          <w:tcPr>
            <w:tcW w:w="960" w:type="dxa"/>
            <w:shd w:val="clear" w:color="000000" w:fill="DCE6F1"/>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67</w:t>
            </w:r>
          </w:p>
        </w:tc>
        <w:tc>
          <w:tcPr>
            <w:tcW w:w="960" w:type="dxa"/>
            <w:shd w:val="clear" w:color="auto" w:fill="auto"/>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622</w:t>
            </w:r>
          </w:p>
        </w:tc>
        <w:tc>
          <w:tcPr>
            <w:tcW w:w="960" w:type="dxa"/>
            <w:shd w:val="clear" w:color="000000" w:fill="DCE6F1"/>
            <w:noWrap/>
            <w:vAlign w:val="center"/>
          </w:tcPr>
          <w:p w:rsidR="0088225D" w:rsidRPr="00FB4E5F"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473</w:t>
            </w:r>
          </w:p>
        </w:tc>
      </w:tr>
      <w:tr w:rsidR="0088225D" w:rsidRPr="00FB4E5F" w:rsidTr="000E6678">
        <w:trPr>
          <w:trHeight w:val="300"/>
          <w:jc w:val="center"/>
        </w:trPr>
        <w:tc>
          <w:tcPr>
            <w:tcW w:w="2630" w:type="dxa"/>
            <w:shd w:val="clear" w:color="auto" w:fill="F2F2F2" w:themeFill="background1" w:themeFillShade="F2"/>
            <w:vAlign w:val="center"/>
          </w:tcPr>
          <w:p w:rsidR="0088225D" w:rsidRPr="00FB4E5F" w:rsidRDefault="0088225D" w:rsidP="00C3621B">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 xml:space="preserve">Tvorba </w:t>
            </w:r>
            <w:r w:rsidRPr="00FB4E5F">
              <w:rPr>
                <w:rFonts w:ascii="Calibri" w:eastAsia="Times New Roman" w:hAnsi="Calibri" w:cs="Times New Roman"/>
                <w:color w:val="000000"/>
                <w:szCs w:val="21"/>
                <w:lang w:eastAsia="cs-CZ"/>
              </w:rPr>
              <w:t>rezerv na soudní spory</w:t>
            </w:r>
          </w:p>
        </w:tc>
        <w:tc>
          <w:tcPr>
            <w:tcW w:w="960" w:type="dxa"/>
            <w:shd w:val="clear" w:color="auto" w:fill="F2F2F2" w:themeFill="background1" w:themeFillShade="F2"/>
            <w:noWrap/>
            <w:vAlign w:val="center"/>
          </w:tcPr>
          <w:p w:rsidR="0088225D" w:rsidRPr="00E601ED"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148</w:t>
            </w:r>
          </w:p>
        </w:tc>
        <w:tc>
          <w:tcPr>
            <w:tcW w:w="960" w:type="dxa"/>
            <w:shd w:val="clear" w:color="auto" w:fill="F2F2F2" w:themeFill="background1" w:themeFillShade="F2"/>
            <w:noWrap/>
            <w:vAlign w:val="center"/>
          </w:tcPr>
          <w:p w:rsidR="0088225D" w:rsidRPr="00E601ED"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shd w:val="clear" w:color="auto" w:fill="F2F2F2" w:themeFill="background1" w:themeFillShade="F2"/>
            <w:noWrap/>
            <w:vAlign w:val="center"/>
          </w:tcPr>
          <w:p w:rsidR="0088225D" w:rsidRPr="00E601ED"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shd w:val="clear" w:color="auto" w:fill="F2F2F2" w:themeFill="background1" w:themeFillShade="F2"/>
            <w:noWrap/>
            <w:vAlign w:val="center"/>
          </w:tcPr>
          <w:p w:rsidR="0088225D" w:rsidRPr="00E601ED"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12</w:t>
            </w:r>
          </w:p>
        </w:tc>
        <w:tc>
          <w:tcPr>
            <w:tcW w:w="960" w:type="dxa"/>
            <w:shd w:val="clear" w:color="auto" w:fill="F2F2F2" w:themeFill="background1" w:themeFillShade="F2"/>
            <w:noWrap/>
            <w:vAlign w:val="center"/>
          </w:tcPr>
          <w:p w:rsidR="0088225D" w:rsidRPr="00E601ED"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shd w:val="clear" w:color="auto" w:fill="F2F2F2" w:themeFill="background1" w:themeFillShade="F2"/>
            <w:noWrap/>
            <w:vAlign w:val="center"/>
          </w:tcPr>
          <w:p w:rsidR="0088225D" w:rsidRPr="00E601ED"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11</w:t>
            </w:r>
          </w:p>
        </w:tc>
        <w:tc>
          <w:tcPr>
            <w:tcW w:w="960" w:type="dxa"/>
            <w:shd w:val="clear" w:color="auto" w:fill="F2F2F2" w:themeFill="background1" w:themeFillShade="F2"/>
            <w:noWrap/>
            <w:vAlign w:val="center"/>
          </w:tcPr>
          <w:p w:rsidR="0088225D" w:rsidRPr="00E601ED" w:rsidRDefault="0088225D" w:rsidP="00C3621B">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r>
      <w:tr w:rsidR="0088225D" w:rsidRPr="00FB4E5F" w:rsidTr="0088225D">
        <w:trPr>
          <w:trHeight w:val="300"/>
          <w:jc w:val="center"/>
        </w:trPr>
        <w:tc>
          <w:tcPr>
            <w:tcW w:w="2630" w:type="dxa"/>
            <w:shd w:val="clear" w:color="auto" w:fill="auto"/>
          </w:tcPr>
          <w:p w:rsidR="0088225D" w:rsidRPr="00E601ED" w:rsidRDefault="0088225D" w:rsidP="00C3621B">
            <w:pPr>
              <w:spacing w:after="0" w:line="240" w:lineRule="auto"/>
              <w:rPr>
                <w:rFonts w:ascii="Calibri" w:eastAsia="Times New Roman" w:hAnsi="Calibri" w:cs="Times New Roman"/>
                <w:b/>
                <w:color w:val="000000"/>
                <w:szCs w:val="21"/>
                <w:lang w:eastAsia="cs-CZ"/>
              </w:rPr>
            </w:pPr>
            <w:r>
              <w:rPr>
                <w:b/>
              </w:rPr>
              <w:t>S</w:t>
            </w:r>
            <w:r w:rsidRPr="00E601ED">
              <w:rPr>
                <w:b/>
              </w:rPr>
              <w:t>tav půjček a úvěrů</w:t>
            </w:r>
          </w:p>
        </w:tc>
        <w:tc>
          <w:tcPr>
            <w:tcW w:w="960" w:type="dxa"/>
            <w:shd w:val="clear" w:color="000000" w:fill="DCE6F1"/>
            <w:noWrap/>
            <w:vAlign w:val="center"/>
          </w:tcPr>
          <w:p w:rsidR="0088225D" w:rsidRPr="00E601ED" w:rsidRDefault="0088225D" w:rsidP="00C3621B">
            <w:pPr>
              <w:spacing w:after="0" w:line="240" w:lineRule="auto"/>
              <w:jc w:val="right"/>
              <w:rPr>
                <w:rFonts w:ascii="Calibri" w:hAnsi="Calibri" w:cs="Times New Roman CE"/>
                <w:b/>
                <w:color w:val="000000"/>
                <w:szCs w:val="21"/>
              </w:rPr>
            </w:pPr>
            <w:r>
              <w:rPr>
                <w:rFonts w:ascii="Calibri" w:hAnsi="Calibri" w:cs="Times New Roman CE"/>
                <w:b/>
                <w:bCs/>
                <w:color w:val="000000"/>
                <w:szCs w:val="21"/>
              </w:rPr>
              <w:t>0 </w:t>
            </w:r>
          </w:p>
        </w:tc>
        <w:tc>
          <w:tcPr>
            <w:tcW w:w="960" w:type="dxa"/>
            <w:shd w:val="clear" w:color="auto" w:fill="auto"/>
            <w:noWrap/>
            <w:vAlign w:val="center"/>
          </w:tcPr>
          <w:p w:rsidR="0088225D" w:rsidRPr="00E601ED" w:rsidRDefault="0088225D" w:rsidP="00C3621B">
            <w:pPr>
              <w:spacing w:after="0" w:line="240" w:lineRule="auto"/>
              <w:jc w:val="right"/>
              <w:rPr>
                <w:rFonts w:ascii="Calibri" w:hAnsi="Calibri" w:cs="Times New Roman CE"/>
                <w:b/>
                <w:color w:val="000000"/>
                <w:szCs w:val="21"/>
              </w:rPr>
            </w:pPr>
            <w:r>
              <w:rPr>
                <w:rFonts w:ascii="Calibri" w:hAnsi="Calibri" w:cs="Times New Roman CE"/>
                <w:b/>
                <w:bCs/>
                <w:color w:val="000000"/>
                <w:szCs w:val="21"/>
              </w:rPr>
              <w:t>0</w:t>
            </w:r>
          </w:p>
        </w:tc>
        <w:tc>
          <w:tcPr>
            <w:tcW w:w="960" w:type="dxa"/>
            <w:shd w:val="clear" w:color="000000" w:fill="DCE6F1"/>
            <w:noWrap/>
            <w:vAlign w:val="center"/>
          </w:tcPr>
          <w:p w:rsidR="0088225D" w:rsidRPr="00E601ED" w:rsidRDefault="0088225D" w:rsidP="00C3621B">
            <w:pPr>
              <w:spacing w:after="0" w:line="240" w:lineRule="auto"/>
              <w:jc w:val="right"/>
              <w:rPr>
                <w:rFonts w:ascii="Calibri" w:hAnsi="Calibri" w:cs="Times New Roman CE"/>
                <w:b/>
                <w:color w:val="000000"/>
                <w:szCs w:val="21"/>
              </w:rPr>
            </w:pPr>
            <w:r>
              <w:rPr>
                <w:rFonts w:ascii="Calibri" w:hAnsi="Calibri" w:cs="Times New Roman CE"/>
                <w:b/>
                <w:bCs/>
                <w:color w:val="000000"/>
                <w:szCs w:val="21"/>
              </w:rPr>
              <w:t>0 </w:t>
            </w:r>
          </w:p>
        </w:tc>
        <w:tc>
          <w:tcPr>
            <w:tcW w:w="960" w:type="dxa"/>
            <w:shd w:val="clear" w:color="auto" w:fill="auto"/>
            <w:noWrap/>
            <w:vAlign w:val="center"/>
          </w:tcPr>
          <w:p w:rsidR="0088225D" w:rsidRPr="00E601ED" w:rsidRDefault="0088225D" w:rsidP="00C3621B">
            <w:pPr>
              <w:spacing w:after="0" w:line="240" w:lineRule="auto"/>
              <w:jc w:val="right"/>
              <w:rPr>
                <w:rFonts w:ascii="Calibri" w:hAnsi="Calibri" w:cs="Times New Roman CE"/>
                <w:b/>
                <w:color w:val="000000"/>
                <w:szCs w:val="21"/>
              </w:rPr>
            </w:pPr>
            <w:r>
              <w:rPr>
                <w:rFonts w:ascii="Calibri" w:hAnsi="Calibri" w:cs="Times New Roman CE"/>
                <w:b/>
                <w:color w:val="000000"/>
                <w:szCs w:val="21"/>
              </w:rPr>
              <w:t>0</w:t>
            </w:r>
          </w:p>
        </w:tc>
        <w:tc>
          <w:tcPr>
            <w:tcW w:w="960" w:type="dxa"/>
            <w:shd w:val="clear" w:color="000000" w:fill="DCE6F1"/>
            <w:noWrap/>
            <w:vAlign w:val="center"/>
          </w:tcPr>
          <w:p w:rsidR="0088225D" w:rsidRPr="00E601ED" w:rsidRDefault="0088225D" w:rsidP="00C3621B">
            <w:pPr>
              <w:spacing w:after="0" w:line="240" w:lineRule="auto"/>
              <w:jc w:val="right"/>
              <w:rPr>
                <w:rFonts w:ascii="Calibri" w:hAnsi="Calibri" w:cs="Times New Roman CE"/>
                <w:b/>
                <w:color w:val="000000"/>
                <w:szCs w:val="21"/>
              </w:rPr>
            </w:pPr>
            <w:r>
              <w:rPr>
                <w:rFonts w:ascii="Calibri" w:hAnsi="Calibri" w:cs="Times New Roman CE"/>
                <w:b/>
                <w:bCs/>
                <w:color w:val="000000"/>
                <w:szCs w:val="21"/>
              </w:rPr>
              <w:t>0 </w:t>
            </w:r>
          </w:p>
        </w:tc>
        <w:tc>
          <w:tcPr>
            <w:tcW w:w="960" w:type="dxa"/>
            <w:shd w:val="clear" w:color="auto" w:fill="auto"/>
            <w:noWrap/>
            <w:vAlign w:val="center"/>
          </w:tcPr>
          <w:p w:rsidR="0088225D" w:rsidRPr="00E601ED" w:rsidRDefault="0088225D" w:rsidP="00C3621B">
            <w:pPr>
              <w:spacing w:after="0" w:line="240" w:lineRule="auto"/>
              <w:jc w:val="right"/>
              <w:rPr>
                <w:rFonts w:ascii="Calibri" w:hAnsi="Calibri" w:cs="Times New Roman CE"/>
                <w:b/>
                <w:color w:val="000000"/>
                <w:szCs w:val="21"/>
              </w:rPr>
            </w:pPr>
            <w:r>
              <w:rPr>
                <w:rFonts w:ascii="Calibri" w:hAnsi="Calibri" w:cs="Times New Roman CE"/>
                <w:b/>
                <w:bCs/>
                <w:color w:val="000000"/>
                <w:szCs w:val="21"/>
              </w:rPr>
              <w:t>0</w:t>
            </w:r>
          </w:p>
        </w:tc>
        <w:tc>
          <w:tcPr>
            <w:tcW w:w="960" w:type="dxa"/>
            <w:shd w:val="clear" w:color="000000" w:fill="DCE6F1"/>
            <w:noWrap/>
            <w:vAlign w:val="center"/>
          </w:tcPr>
          <w:p w:rsidR="0088225D" w:rsidRPr="00E601ED" w:rsidRDefault="0088225D" w:rsidP="00C3621B">
            <w:pPr>
              <w:spacing w:after="0" w:line="240" w:lineRule="auto"/>
              <w:jc w:val="right"/>
              <w:rPr>
                <w:rFonts w:ascii="Calibri" w:hAnsi="Calibri" w:cs="Times New Roman CE"/>
                <w:b/>
                <w:color w:val="000000"/>
                <w:szCs w:val="21"/>
              </w:rPr>
            </w:pPr>
            <w:r>
              <w:rPr>
                <w:rFonts w:ascii="Calibri" w:hAnsi="Calibri" w:cs="Times New Roman CE"/>
                <w:b/>
                <w:bCs/>
                <w:color w:val="000000"/>
                <w:szCs w:val="21"/>
              </w:rPr>
              <w:t>0 </w:t>
            </w:r>
          </w:p>
        </w:tc>
      </w:tr>
    </w:tbl>
    <w:p w:rsidR="00C3621B" w:rsidRDefault="00C3621B" w:rsidP="002D4FEA">
      <w:pPr>
        <w:spacing w:before="180" w:line="276" w:lineRule="auto"/>
        <w:jc w:val="both"/>
      </w:pPr>
      <w:r>
        <w:t xml:space="preserve">Na základě rozhodnutí o odstranění tvrdosti podle § 53a zákona č. 48/1997 Sb. bylo zdravotními pojišťovnami prominuto </w:t>
      </w:r>
      <w:r w:rsidR="0088225D">
        <w:t xml:space="preserve">202 </w:t>
      </w:r>
      <w:r>
        <w:t xml:space="preserve">mil. Kč, což činí přibližně </w:t>
      </w:r>
      <w:r w:rsidR="0088225D">
        <w:t xml:space="preserve">3,7 </w:t>
      </w:r>
      <w:r>
        <w:t>% z celkové částky (</w:t>
      </w:r>
      <w:r w:rsidR="0088225D">
        <w:t>5,5</w:t>
      </w:r>
      <w:r>
        <w:t xml:space="preserve"> mld. Kč), kterou pojišťovny v tomto roce předepsaly pojištěncům jako penále, pokuty a přirážky k pojistnému (v části A výkazů, kde byly uvedené výnosy v ZFZP a </w:t>
      </w:r>
      <w:proofErr w:type="spellStart"/>
      <w:r>
        <w:t>Fprev</w:t>
      </w:r>
      <w:proofErr w:type="spellEnd"/>
      <w:r>
        <w:t xml:space="preserve"> očištěny o duplicitní platby).</w:t>
      </w:r>
    </w:p>
    <w:p w:rsidR="00C3621B" w:rsidRDefault="00C3621B" w:rsidP="002D4FEA">
      <w:pPr>
        <w:spacing w:before="180" w:line="276" w:lineRule="auto"/>
        <w:jc w:val="both"/>
      </w:pPr>
      <w:r w:rsidRPr="00C3621B">
        <w:rPr>
          <w:b/>
          <w:bCs/>
        </w:rPr>
        <w:t>Stav závazků v. z. p. celkem k 31. 12. </w:t>
      </w:r>
      <w:r w:rsidR="00AA21FF" w:rsidRPr="00C3621B">
        <w:rPr>
          <w:b/>
          <w:bCs/>
        </w:rPr>
        <w:t>201</w:t>
      </w:r>
      <w:r w:rsidR="00AA21FF">
        <w:rPr>
          <w:b/>
          <w:bCs/>
        </w:rPr>
        <w:t>9</w:t>
      </w:r>
      <w:r w:rsidR="00AA21FF" w:rsidRPr="00C3621B">
        <w:rPr>
          <w:b/>
          <w:bCs/>
        </w:rPr>
        <w:t xml:space="preserve"> </w:t>
      </w:r>
      <w:r w:rsidRPr="00C3621B">
        <w:rPr>
          <w:b/>
          <w:bCs/>
        </w:rPr>
        <w:t xml:space="preserve">je </w:t>
      </w:r>
      <w:r w:rsidR="00AA21FF">
        <w:rPr>
          <w:b/>
          <w:bCs/>
        </w:rPr>
        <w:t>39,</w:t>
      </w:r>
      <w:r w:rsidR="000E1F45">
        <w:rPr>
          <w:b/>
          <w:bCs/>
        </w:rPr>
        <w:t>1</w:t>
      </w:r>
      <w:r w:rsidR="000E1F45" w:rsidRPr="00C3621B">
        <w:rPr>
          <w:b/>
          <w:bCs/>
        </w:rPr>
        <w:t xml:space="preserve"> </w:t>
      </w:r>
      <w:r w:rsidRPr="00C3621B">
        <w:rPr>
          <w:b/>
          <w:bCs/>
        </w:rPr>
        <w:t>mld. Kč</w:t>
      </w:r>
      <w:r w:rsidRPr="002D4FEA">
        <w:t xml:space="preserve">, </w:t>
      </w:r>
      <w:r>
        <w:t xml:space="preserve">což představuje meziroční </w:t>
      </w:r>
      <w:r w:rsidR="00AA21FF">
        <w:t xml:space="preserve">růst </w:t>
      </w:r>
      <w:r>
        <w:t>o </w:t>
      </w:r>
      <w:r w:rsidR="00AA21FF">
        <w:t>3,6</w:t>
      </w:r>
      <w:r>
        <w:t xml:space="preserve"> mld. Kč (</w:t>
      </w:r>
      <w:r w:rsidR="00AA21FF">
        <w:t>10,1</w:t>
      </w:r>
      <w:r>
        <w:t xml:space="preserve"> %). V tom závazky vůči PZS činí </w:t>
      </w:r>
      <w:r w:rsidR="00AA21FF" w:rsidRPr="00AA21FF">
        <w:t>37</w:t>
      </w:r>
      <w:r w:rsidR="00AA21FF">
        <w:t xml:space="preserve">,9 </w:t>
      </w:r>
      <w:r>
        <w:t>mld. Kč, tj. 9</w:t>
      </w:r>
      <w:r w:rsidR="00AA21FF">
        <w:t>6</w:t>
      </w:r>
      <w:r>
        <w:t>,</w:t>
      </w:r>
      <w:r w:rsidR="00993C53">
        <w:t>9</w:t>
      </w:r>
      <w:r>
        <w:t xml:space="preserve"> % z celku, </w:t>
      </w:r>
      <w:r w:rsidRPr="002D4FEA">
        <w:rPr>
          <w:b/>
          <w:bCs/>
        </w:rPr>
        <w:t xml:space="preserve">závazky </w:t>
      </w:r>
      <w:r w:rsidRPr="00C3621B">
        <w:rPr>
          <w:b/>
          <w:bCs/>
        </w:rPr>
        <w:t>po lhůtě splatnosti nevykázala ani jedna ze</w:t>
      </w:r>
      <w:r>
        <w:rPr>
          <w:b/>
          <w:bCs/>
        </w:rPr>
        <w:t> </w:t>
      </w:r>
      <w:r w:rsidRPr="00C3621B">
        <w:rPr>
          <w:b/>
          <w:bCs/>
        </w:rPr>
        <w:t>ZP</w:t>
      </w:r>
      <w:r>
        <w:t>.</w:t>
      </w:r>
    </w:p>
    <w:p w:rsidR="00C3621B" w:rsidRDefault="00C3621B" w:rsidP="002D4FEA">
      <w:pPr>
        <w:spacing w:before="180" w:line="276" w:lineRule="auto"/>
        <w:jc w:val="both"/>
      </w:pPr>
      <w:r>
        <w:t xml:space="preserve">Ve výši </w:t>
      </w:r>
      <w:r w:rsidR="00AA21FF" w:rsidRPr="00AA21FF">
        <w:rPr>
          <w:b/>
          <w:bCs/>
        </w:rPr>
        <w:t>10</w:t>
      </w:r>
      <w:r w:rsidR="00AA21FF">
        <w:rPr>
          <w:b/>
          <w:bCs/>
        </w:rPr>
        <w:t>,</w:t>
      </w:r>
      <w:r w:rsidR="00AA21FF" w:rsidRPr="00AA21FF">
        <w:rPr>
          <w:b/>
          <w:bCs/>
        </w:rPr>
        <w:t>1</w:t>
      </w:r>
      <w:r w:rsidR="00AA21FF">
        <w:rPr>
          <w:b/>
          <w:bCs/>
        </w:rPr>
        <w:t xml:space="preserve"> </w:t>
      </w:r>
      <w:r w:rsidRPr="00C3621B">
        <w:rPr>
          <w:b/>
          <w:bCs/>
        </w:rPr>
        <w:t>mld. Kč</w:t>
      </w:r>
      <w:r>
        <w:t xml:space="preserve"> jsou evidovány </w:t>
      </w:r>
      <w:r w:rsidRPr="00C3621B">
        <w:rPr>
          <w:b/>
          <w:bCs/>
        </w:rPr>
        <w:t>dohadné položky pasivní</w:t>
      </w:r>
      <w:r>
        <w:t xml:space="preserve"> a </w:t>
      </w:r>
      <w:r w:rsidRPr="00C3621B">
        <w:rPr>
          <w:b/>
          <w:bCs/>
        </w:rPr>
        <w:t>dohadné položky aktivní</w:t>
      </w:r>
      <w:r>
        <w:t xml:space="preserve"> v celkové výši </w:t>
      </w:r>
      <w:r w:rsidR="00AA21FF" w:rsidRPr="00AA21FF">
        <w:rPr>
          <w:b/>
          <w:bCs/>
        </w:rPr>
        <w:t>2</w:t>
      </w:r>
      <w:r w:rsidR="00AA21FF">
        <w:rPr>
          <w:b/>
          <w:bCs/>
        </w:rPr>
        <w:t>,8</w:t>
      </w:r>
      <w:r w:rsidR="00920AB7">
        <w:rPr>
          <w:b/>
          <w:bCs/>
        </w:rPr>
        <w:t> </w:t>
      </w:r>
      <w:r w:rsidRPr="00C3621B">
        <w:rPr>
          <w:b/>
          <w:bCs/>
        </w:rPr>
        <w:t>mld. Kč</w:t>
      </w:r>
      <w:r>
        <w:t>.</w:t>
      </w:r>
    </w:p>
    <w:p w:rsidR="00C3621B" w:rsidRDefault="00C3621B" w:rsidP="002D4FEA">
      <w:pPr>
        <w:spacing w:before="180" w:line="276" w:lineRule="auto"/>
        <w:jc w:val="both"/>
      </w:pPr>
      <w:r w:rsidRPr="00C3621B">
        <w:rPr>
          <w:b/>
          <w:bCs/>
        </w:rPr>
        <w:t>Stav opravných položek</w:t>
      </w:r>
      <w:r w:rsidR="00A116CE">
        <w:rPr>
          <w:b/>
          <w:bCs/>
          <w:vertAlign w:val="superscript"/>
        </w:rPr>
        <w:t>5</w:t>
      </w:r>
      <w:r>
        <w:t xml:space="preserve"> dosáhl k 31. 12. 201</w:t>
      </w:r>
      <w:r w:rsidR="00AA21FF">
        <w:t>9</w:t>
      </w:r>
      <w:r>
        <w:t xml:space="preserve"> celkem hodnoty </w:t>
      </w:r>
      <w:r w:rsidR="00AA21FF" w:rsidRPr="00AA21FF">
        <w:rPr>
          <w:b/>
          <w:bCs/>
        </w:rPr>
        <w:t>36</w:t>
      </w:r>
      <w:r w:rsidR="00AA21FF">
        <w:rPr>
          <w:b/>
          <w:bCs/>
        </w:rPr>
        <w:t xml:space="preserve">,3 </w:t>
      </w:r>
      <w:r w:rsidRPr="004148A3">
        <w:rPr>
          <w:b/>
          <w:bCs/>
        </w:rPr>
        <w:t>mld. Kč</w:t>
      </w:r>
      <w:r w:rsidRPr="002D4FEA">
        <w:t xml:space="preserve"> </w:t>
      </w:r>
      <w:r>
        <w:t>(meziroční růst o </w:t>
      </w:r>
      <w:r w:rsidR="00AA21FF">
        <w:t>2,3</w:t>
      </w:r>
      <w:r>
        <w:t xml:space="preserve"> mld. Kč, tj.</w:t>
      </w:r>
      <w:r w:rsidR="00920AB7">
        <w:t> </w:t>
      </w:r>
      <w:r>
        <w:t>6</w:t>
      </w:r>
      <w:r w:rsidR="00AA21FF">
        <w:t>,9</w:t>
      </w:r>
      <w:r w:rsidR="00920AB7">
        <w:t> </w:t>
      </w:r>
      <w:r>
        <w:t xml:space="preserve">%). </w:t>
      </w:r>
      <w:r w:rsidR="00A116CE">
        <w:t xml:space="preserve">Část této </w:t>
      </w:r>
      <w:r>
        <w:t>kategorie pohledávek (součást tzv. „hrubé“ výše pohledávek) je nadále vymáhána na</w:t>
      </w:r>
      <w:r w:rsidR="00A116CE">
        <w:t> </w:t>
      </w:r>
      <w:r>
        <w:t>plátcích pojistného. Pouze z hlediska účetního jsou tyto položky vyjmuty z „čistých“ pohledávek a čtvrtletně přehodnocovány v souladu s účetními standardy.</w:t>
      </w:r>
      <w:r w:rsidRPr="00C3621B">
        <w:rPr>
          <w:vertAlign w:val="superscript"/>
        </w:rPr>
        <w:footnoteReference w:id="6"/>
      </w:r>
      <w:r w:rsidRPr="002D4FEA">
        <w:rPr>
          <w:vertAlign w:val="superscript"/>
        </w:rPr>
        <w:t xml:space="preserve"> </w:t>
      </w:r>
    </w:p>
    <w:p w:rsidR="00C3621B" w:rsidRDefault="00C3621B" w:rsidP="002D4FEA">
      <w:pPr>
        <w:spacing w:before="180" w:line="276" w:lineRule="auto"/>
        <w:jc w:val="both"/>
      </w:pPr>
      <w:r>
        <w:t xml:space="preserve">Informace o stavu závazků a pohledávek jednotlivých ZP viz tabulková příloha </w:t>
      </w:r>
      <w:r w:rsidRPr="00C3621B">
        <w:rPr>
          <w:i/>
          <w:iCs/>
        </w:rPr>
        <w:t>Tabulka č. 1, str. 7–</w:t>
      </w:r>
      <w:r w:rsidRPr="004B2825">
        <w:rPr>
          <w:i/>
          <w:iCs/>
        </w:rPr>
        <w:t>8</w:t>
      </w:r>
      <w:r>
        <w:t xml:space="preserve">. </w:t>
      </w:r>
    </w:p>
    <w:p w:rsidR="00C3621B" w:rsidRDefault="00C3621B" w:rsidP="002D4FEA">
      <w:pPr>
        <w:spacing w:before="180" w:line="276" w:lineRule="auto"/>
        <w:jc w:val="both"/>
      </w:pPr>
      <w:r w:rsidRPr="00C3621B">
        <w:rPr>
          <w:i/>
          <w:iCs/>
        </w:rPr>
        <w:lastRenderedPageBreak/>
        <w:t>Tabulka č. 1, str. 7</w:t>
      </w:r>
      <w:r>
        <w:t xml:space="preserve"> v tabulkové příloze, zpracovaná na základě podkladů jednotlivých ZP, dokládá absolutní stav závazků vůči PZS k 31. 12. 201</w:t>
      </w:r>
      <w:r w:rsidR="00920AB7">
        <w:t>9</w:t>
      </w:r>
      <w:r>
        <w:t>. Tento stav závazků je rovněž z důvodu srovnatelnosti vyjádřen i </w:t>
      </w:r>
      <w:r w:rsidRPr="002D4FEA">
        <w:rPr>
          <w:b/>
          <w:bCs/>
        </w:rPr>
        <w:t>v </w:t>
      </w:r>
      <w:r w:rsidRPr="00C3621B">
        <w:rPr>
          <w:b/>
          <w:bCs/>
        </w:rPr>
        <w:t>přepočtu na</w:t>
      </w:r>
      <w:r w:rsidR="00920AB7">
        <w:rPr>
          <w:b/>
          <w:bCs/>
        </w:rPr>
        <w:t> </w:t>
      </w:r>
      <w:r w:rsidRPr="00C3621B">
        <w:rPr>
          <w:b/>
          <w:bCs/>
        </w:rPr>
        <w:t>denní spotřebu výdajů na zdravotní služby</w:t>
      </w:r>
      <w:r w:rsidRPr="002D4FEA">
        <w:t xml:space="preserve"> </w:t>
      </w:r>
      <w:r>
        <w:t xml:space="preserve">(tabulková příloha </w:t>
      </w:r>
      <w:r w:rsidRPr="00C3621B">
        <w:rPr>
          <w:i/>
          <w:iCs/>
        </w:rPr>
        <w:t>Tabulka č. </w:t>
      </w:r>
      <w:r w:rsidRPr="004B2825">
        <w:rPr>
          <w:i/>
          <w:iCs/>
        </w:rPr>
        <w:t>1b</w:t>
      </w:r>
      <w:r>
        <w:t>). Závazky ve lhůtě splatnosti vůči PZS se pohybují v rozmezí 3</w:t>
      </w:r>
      <w:r w:rsidR="00920AB7">
        <w:t>5</w:t>
      </w:r>
      <w:r>
        <w:t>-</w:t>
      </w:r>
      <w:r w:rsidR="00920AB7">
        <w:t xml:space="preserve">58 </w:t>
      </w:r>
      <w:r>
        <w:t xml:space="preserve">dnů. </w:t>
      </w:r>
    </w:p>
    <w:p w:rsidR="00C3621B" w:rsidRDefault="00C3621B" w:rsidP="00C3621B">
      <w:pPr>
        <w:spacing w:before="180" w:line="276" w:lineRule="auto"/>
        <w:jc w:val="both"/>
      </w:pPr>
      <w:r w:rsidRPr="005A7FAB">
        <w:t>Zásoby na bankovních účtech (BÚ) základního fondu zdravotního pojištění (ZFZP) jednotlivých ZP vyjádřené v denních ekvivalentech plateb za zdravotní služby k 31. 12. 201</w:t>
      </w:r>
      <w:r w:rsidR="00920AB7" w:rsidRPr="005A7FAB">
        <w:t>9</w:t>
      </w:r>
      <w:r w:rsidRPr="005A7FAB">
        <w:t xml:space="preserve"> jsou nerovnoměrné a dosahují </w:t>
      </w:r>
      <w:r w:rsidR="00920AB7" w:rsidRPr="005A7FAB">
        <w:t>25</w:t>
      </w:r>
      <w:r w:rsidRPr="005A7FAB">
        <w:t>–</w:t>
      </w:r>
      <w:r w:rsidR="00920AB7" w:rsidRPr="005A7FAB">
        <w:t xml:space="preserve">80 </w:t>
      </w:r>
      <w:r w:rsidRPr="005A7FAB">
        <w:t>dnů. Při meziročním porovnání ukazatele (</w:t>
      </w:r>
      <w:r w:rsidRPr="005A7FAB">
        <w:rPr>
          <w:i/>
          <w:iCs/>
        </w:rPr>
        <w:t xml:space="preserve">Graf č. </w:t>
      </w:r>
      <w:r w:rsidR="002D4FEA" w:rsidRPr="005A7FAB">
        <w:rPr>
          <w:i/>
          <w:iCs/>
        </w:rPr>
        <w:t>7</w:t>
      </w:r>
      <w:r w:rsidR="004B2825" w:rsidRPr="005A7FAB">
        <w:t xml:space="preserve">) </w:t>
      </w:r>
      <w:r w:rsidRPr="005A7FAB">
        <w:t>je patrný růst u všech zdravotních pojišťoven. Příčinou je kladný výsledek hospodaření v tomto roce.</w:t>
      </w:r>
    </w:p>
    <w:p w:rsidR="004148A3" w:rsidRDefault="004148A3" w:rsidP="004148A3">
      <w:pPr>
        <w:pStyle w:val="Titulek"/>
      </w:pPr>
      <w:bookmarkStart w:id="18" w:name="_Toc41837524"/>
      <w:r>
        <w:t xml:space="preserve">Graf č. </w:t>
      </w:r>
      <w:r>
        <w:rPr>
          <w:noProof/>
        </w:rPr>
        <w:fldChar w:fldCharType="begin"/>
      </w:r>
      <w:r>
        <w:rPr>
          <w:noProof/>
        </w:rPr>
        <w:instrText xml:space="preserve"> SEQ Graf \* ARABIC </w:instrText>
      </w:r>
      <w:r>
        <w:rPr>
          <w:noProof/>
        </w:rPr>
        <w:fldChar w:fldCharType="separate"/>
      </w:r>
      <w:r w:rsidR="00B17299">
        <w:rPr>
          <w:noProof/>
        </w:rPr>
        <w:t>7</w:t>
      </w:r>
      <w:r>
        <w:rPr>
          <w:noProof/>
        </w:rPr>
        <w:fldChar w:fldCharType="end"/>
      </w:r>
      <w:r>
        <w:t xml:space="preserve">: </w:t>
      </w:r>
      <w:r w:rsidRPr="004148A3">
        <w:t>Finanční zásoba na BÚ ZFZP v roce 201</w:t>
      </w:r>
      <w:r w:rsidR="005A7FAB">
        <w:t>9</w:t>
      </w:r>
      <w:r w:rsidRPr="004148A3">
        <w:t xml:space="preserve"> v denním ekvivalentu plateb</w:t>
      </w:r>
      <w:bookmarkEnd w:id="18"/>
    </w:p>
    <w:p w:rsidR="005A7FAB" w:rsidRPr="005A7FAB" w:rsidRDefault="005A7FAB" w:rsidP="005A7FAB">
      <w:pPr>
        <w:jc w:val="center"/>
        <w:rPr>
          <w:lang w:bidi="hi-IN"/>
        </w:rPr>
      </w:pPr>
      <w:r>
        <w:rPr>
          <w:noProof/>
          <w:lang w:eastAsia="cs-CZ"/>
        </w:rPr>
        <w:drawing>
          <wp:inline distT="0" distB="0" distL="0" distR="0" wp14:anchorId="4A7FE8B9" wp14:editId="280FCADD">
            <wp:extent cx="5419726" cy="2886075"/>
            <wp:effectExtent l="0" t="0" r="9525" b="9525"/>
            <wp:docPr id="16" name="Graf 16">
              <a:extLst xmlns:a="http://schemas.openxmlformats.org/drawingml/2006/main">
                <a:ext uri="{FF2B5EF4-FFF2-40B4-BE49-F238E27FC236}">
                  <a16:creationId xmlns:a16="http://schemas.microsoft.com/office/drawing/2014/main" id="{00000000-0008-0000-11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3621B" w:rsidRPr="002D4FEA" w:rsidRDefault="00C3621B" w:rsidP="002D4FEA">
      <w:pPr>
        <w:pStyle w:val="OBR"/>
        <w:jc w:val="center"/>
        <w:rPr>
          <w:rFonts w:cs="Arial"/>
          <w:b/>
          <w:sz w:val="28"/>
          <w:szCs w:val="28"/>
        </w:rPr>
      </w:pPr>
    </w:p>
    <w:p w:rsidR="00436F6E" w:rsidRPr="005E1526" w:rsidRDefault="00436F6E" w:rsidP="00AC25F3">
      <w:pPr>
        <w:pStyle w:val="Nadpis2"/>
      </w:pPr>
      <w:r>
        <w:rPr>
          <w:szCs w:val="28"/>
        </w:rPr>
        <w:br w:type="page"/>
      </w:r>
      <w:bookmarkStart w:id="19" w:name="_Toc41898952"/>
      <w:r>
        <w:lastRenderedPageBreak/>
        <w:t>Stavy peněžních prostředků zdravotních pojišťoven na BÚ</w:t>
      </w:r>
      <w:bookmarkEnd w:id="19"/>
    </w:p>
    <w:p w:rsidR="00685EAE" w:rsidRDefault="00685EAE" w:rsidP="00685EAE">
      <w:pPr>
        <w:spacing w:before="180" w:line="276" w:lineRule="auto"/>
        <w:jc w:val="both"/>
      </w:pPr>
      <w:r w:rsidRPr="00CD27C2">
        <w:rPr>
          <w:b/>
          <w:bCs/>
        </w:rPr>
        <w:t>Stav peněžních zůstatků na BÚ ZP</w:t>
      </w:r>
      <w:r w:rsidRPr="00CD27C2">
        <w:t xml:space="preserve"> činil k 31. 12. 201</w:t>
      </w:r>
      <w:r w:rsidR="001F13C0">
        <w:t>9</w:t>
      </w:r>
      <w:r w:rsidRPr="00CD27C2">
        <w:t xml:space="preserve"> za celý systém v. z. p. </w:t>
      </w:r>
      <w:r w:rsidR="001F13C0">
        <w:rPr>
          <w:b/>
          <w:bCs/>
        </w:rPr>
        <w:t>58,6</w:t>
      </w:r>
      <w:r w:rsidRPr="00CD27C2">
        <w:rPr>
          <w:b/>
          <w:bCs/>
        </w:rPr>
        <w:t xml:space="preserve"> mld. Kč</w:t>
      </w:r>
      <w:r w:rsidRPr="00CD27C2">
        <w:t>. Meziročně se</w:t>
      </w:r>
      <w:r w:rsidR="00206E23" w:rsidRPr="00CD27C2">
        <w:t> </w:t>
      </w:r>
      <w:r w:rsidRPr="00CD27C2">
        <w:t>tak</w:t>
      </w:r>
      <w:r w:rsidR="00206E23" w:rsidRPr="00CD27C2">
        <w:t> </w:t>
      </w:r>
      <w:r w:rsidRPr="00CD27C2">
        <w:t xml:space="preserve">z hodnoty </w:t>
      </w:r>
      <w:r w:rsidR="001F13C0" w:rsidRPr="001F13C0">
        <w:t>45,</w:t>
      </w:r>
      <w:r w:rsidR="001F13C0">
        <w:t xml:space="preserve">1 </w:t>
      </w:r>
      <w:r w:rsidRPr="00CD27C2">
        <w:t xml:space="preserve">mld. Kč zvýšil o </w:t>
      </w:r>
      <w:r w:rsidR="008B54D9">
        <w:t>30,0</w:t>
      </w:r>
      <w:r w:rsidRPr="00CD27C2">
        <w:t xml:space="preserve"> %. To je zapříčiněno hospodářskými výsledky celého systému v. z. p., především VZP ČR, které meziročně vzrostly zůstatky téměř o </w:t>
      </w:r>
      <w:r w:rsidR="008B54D9">
        <w:t>9</w:t>
      </w:r>
      <w:r w:rsidR="008B54D9" w:rsidRPr="00CD27C2">
        <w:t xml:space="preserve"> </w:t>
      </w:r>
      <w:r w:rsidRPr="00CD27C2">
        <w:t>mld. Kč. U zaměstnaneckých zdravotních pojišťoven již růst tak výrazný nebyl.</w:t>
      </w:r>
      <w:r w:rsidR="00206E23" w:rsidRPr="00CD27C2">
        <w:t xml:space="preserve"> Významně příznivějších výsledků zdravotní pojišťovny dosáhly i</w:t>
      </w:r>
      <w:r w:rsidR="008B54D9">
        <w:t> </w:t>
      </w:r>
      <w:r w:rsidR="00206E23" w:rsidRPr="00CD27C2">
        <w:t>při porov</w:t>
      </w:r>
      <w:r w:rsidR="005A7D85" w:rsidRPr="00CD27C2">
        <w:t>nání s celkovými ročními výdaji (</w:t>
      </w:r>
      <w:r w:rsidR="005A7D85" w:rsidRPr="00CD27C2">
        <w:rPr>
          <w:i/>
          <w:iCs/>
        </w:rPr>
        <w:t xml:space="preserve">Graf č. </w:t>
      </w:r>
      <w:r w:rsidR="002D4FEA" w:rsidRPr="00CD27C2">
        <w:rPr>
          <w:i/>
          <w:iCs/>
        </w:rPr>
        <w:t>8</w:t>
      </w:r>
      <w:r w:rsidR="005A7D85" w:rsidRPr="00CD27C2">
        <w:t>).</w:t>
      </w:r>
    </w:p>
    <w:p w:rsidR="00E2586E" w:rsidRDefault="00E2586E" w:rsidP="00874333">
      <w:pPr>
        <w:pStyle w:val="Titulek"/>
        <w:rPr>
          <w:noProof/>
        </w:rPr>
      </w:pPr>
      <w:bookmarkStart w:id="20" w:name="_Toc41837525"/>
      <w:r>
        <w:t xml:space="preserve">Graf č. </w:t>
      </w:r>
      <w:r>
        <w:rPr>
          <w:noProof/>
        </w:rPr>
        <w:fldChar w:fldCharType="begin"/>
      </w:r>
      <w:r>
        <w:rPr>
          <w:noProof/>
        </w:rPr>
        <w:instrText xml:space="preserve"> SEQ Graf \* ARABIC </w:instrText>
      </w:r>
      <w:r>
        <w:rPr>
          <w:noProof/>
        </w:rPr>
        <w:fldChar w:fldCharType="separate"/>
      </w:r>
      <w:r w:rsidR="00B17299">
        <w:rPr>
          <w:noProof/>
        </w:rPr>
        <w:t>8</w:t>
      </w:r>
      <w:r>
        <w:rPr>
          <w:noProof/>
        </w:rPr>
        <w:fldChar w:fldCharType="end"/>
      </w:r>
      <w:r>
        <w:t xml:space="preserve">: </w:t>
      </w:r>
      <w:r w:rsidRPr="00E2586E">
        <w:t>Stav peněžních prostředků na BÚ jednotlivých ZP k 31. 12. 201</w:t>
      </w:r>
      <w:r w:rsidR="008B54D9">
        <w:t>9</w:t>
      </w:r>
      <w:bookmarkEnd w:id="20"/>
    </w:p>
    <w:p w:rsidR="008B54D9" w:rsidRDefault="008B54D9" w:rsidP="00874333">
      <w:pPr>
        <w:spacing w:before="180" w:line="276" w:lineRule="auto"/>
        <w:jc w:val="center"/>
      </w:pPr>
      <w:r>
        <w:rPr>
          <w:noProof/>
          <w:lang w:eastAsia="cs-CZ"/>
        </w:rPr>
        <w:drawing>
          <wp:inline distT="0" distB="0" distL="0" distR="0" wp14:anchorId="00E648F8" wp14:editId="1D8A0CEA">
            <wp:extent cx="5331125" cy="2415396"/>
            <wp:effectExtent l="0" t="0" r="22225" b="23495"/>
            <wp:docPr id="17" name="Graf 17">
              <a:extLst xmlns:a="http://schemas.openxmlformats.org/drawingml/2006/main">
                <a:ext uri="{FF2B5EF4-FFF2-40B4-BE49-F238E27FC236}">
                  <a16:creationId xmlns:a16="http://schemas.microsoft.com/office/drawing/2014/main" id="{00000000-0008-0000-1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2586E" w:rsidRPr="00B9182D" w:rsidRDefault="00E2586E" w:rsidP="00E2586E">
      <w:pPr>
        <w:spacing w:before="180" w:line="276" w:lineRule="auto"/>
        <w:jc w:val="both"/>
      </w:pPr>
      <w:r w:rsidRPr="00874333">
        <w:t>Při srovnání ZPP 201</w:t>
      </w:r>
      <w:r w:rsidR="008B54D9" w:rsidRPr="00874333">
        <w:t>9</w:t>
      </w:r>
      <w:r w:rsidRPr="00874333">
        <w:t xml:space="preserve"> s VZ 201</w:t>
      </w:r>
      <w:r w:rsidR="008B54D9" w:rsidRPr="00874333">
        <w:t>9</w:t>
      </w:r>
      <w:r w:rsidRPr="00874333">
        <w:t xml:space="preserve"> lze vidět výrazné navýšení zůstatků</w:t>
      </w:r>
      <w:r w:rsidR="00874333" w:rsidRPr="00874333">
        <w:t xml:space="preserve"> (ZPP odhadoval</w:t>
      </w:r>
      <w:r w:rsidR="0026171B">
        <w:t>y</w:t>
      </w:r>
      <w:r w:rsidR="00874333" w:rsidRPr="00874333">
        <w:t xml:space="preserve"> celkové zůstatky na konci roku 2019 v hodnotě 43,4 mld. Kč)</w:t>
      </w:r>
      <w:r w:rsidRPr="00874333">
        <w:t>. Z dlouhodobého hlediska jsou zvyšující se zůstatky peněžních prostředků na</w:t>
      </w:r>
      <w:r w:rsidR="00874333" w:rsidRPr="00874333">
        <w:t> </w:t>
      </w:r>
      <w:r w:rsidRPr="00874333">
        <w:t>bankovních účtech nutností pro případ ekonomického poklesu v budoucích letech (</w:t>
      </w:r>
      <w:r w:rsidRPr="00874333">
        <w:rPr>
          <w:i/>
          <w:iCs/>
        </w:rPr>
        <w:t xml:space="preserve">Tabulka č. </w:t>
      </w:r>
      <w:r w:rsidR="002D4FEA" w:rsidRPr="00874333">
        <w:rPr>
          <w:i/>
          <w:iCs/>
        </w:rPr>
        <w:t>6</w:t>
      </w:r>
      <w:r w:rsidRPr="00874333">
        <w:t>).</w:t>
      </w:r>
    </w:p>
    <w:p w:rsidR="00685EAE" w:rsidRDefault="00206E23" w:rsidP="002D4FEA">
      <w:pPr>
        <w:pStyle w:val="Titulek"/>
        <w:jc w:val="both"/>
      </w:pPr>
      <w:bookmarkStart w:id="21" w:name="_Toc41837498"/>
      <w:r w:rsidRPr="00C75FC6">
        <w:t xml:space="preserve">Tabulka č. </w:t>
      </w:r>
      <w:r>
        <w:rPr>
          <w:noProof/>
        </w:rPr>
        <w:fldChar w:fldCharType="begin"/>
      </w:r>
      <w:r>
        <w:rPr>
          <w:noProof/>
        </w:rPr>
        <w:instrText xml:space="preserve"> SEQ Tabulka \* ARABIC </w:instrText>
      </w:r>
      <w:r>
        <w:rPr>
          <w:noProof/>
        </w:rPr>
        <w:fldChar w:fldCharType="separate"/>
      </w:r>
      <w:r w:rsidR="00B17299">
        <w:rPr>
          <w:noProof/>
        </w:rPr>
        <w:t>6</w:t>
      </w:r>
      <w:r>
        <w:rPr>
          <w:noProof/>
        </w:rPr>
        <w:fldChar w:fldCharType="end"/>
      </w:r>
      <w:r w:rsidRPr="00C75FC6">
        <w:t xml:space="preserve">: </w:t>
      </w:r>
      <w:r w:rsidRPr="00206E23">
        <w:t>Srovnání zůstatků na bankovních účtech dle zdravotních pojišťoven v roce 201</w:t>
      </w:r>
      <w:r w:rsidR="008B54D9">
        <w:t>9</w:t>
      </w:r>
      <w:bookmarkEnd w:id="21"/>
    </w:p>
    <w:tbl>
      <w:tblPr>
        <w:tblW w:w="8962" w:type="dxa"/>
        <w:jc w:val="center"/>
        <w:tblCellMar>
          <w:left w:w="70" w:type="dxa"/>
          <w:right w:w="70" w:type="dxa"/>
        </w:tblCellMar>
        <w:tblLook w:val="04A0" w:firstRow="1" w:lastRow="0" w:firstColumn="1" w:lastColumn="0" w:noHBand="0" w:noVBand="1"/>
      </w:tblPr>
      <w:tblGrid>
        <w:gridCol w:w="1789"/>
        <w:gridCol w:w="992"/>
        <w:gridCol w:w="1134"/>
        <w:gridCol w:w="992"/>
        <w:gridCol w:w="935"/>
        <w:gridCol w:w="1109"/>
        <w:gridCol w:w="1017"/>
        <w:gridCol w:w="994"/>
      </w:tblGrid>
      <w:tr w:rsidR="00685EAE" w:rsidRPr="0011274B" w:rsidTr="00AD5E8F">
        <w:trPr>
          <w:trHeight w:val="601"/>
          <w:jc w:val="center"/>
        </w:trPr>
        <w:tc>
          <w:tcPr>
            <w:tcW w:w="1789" w:type="dxa"/>
            <w:tcBorders>
              <w:top w:val="single" w:sz="12" w:space="0" w:color="4F81BD"/>
              <w:left w:val="single" w:sz="12" w:space="0" w:color="4F81BD"/>
              <w:bottom w:val="nil"/>
              <w:right w:val="nil"/>
            </w:tcBorders>
            <w:shd w:val="clear" w:color="000000" w:fill="4F81BD"/>
            <w:vAlign w:val="center"/>
            <w:hideMark/>
          </w:tcPr>
          <w:p w:rsidR="00685EAE" w:rsidRPr="0011274B" w:rsidRDefault="00E601ED" w:rsidP="00B56821">
            <w:pPr>
              <w:spacing w:after="0" w:line="240" w:lineRule="auto"/>
              <w:rPr>
                <w:rFonts w:ascii="Calibri" w:eastAsia="Times New Roman" w:hAnsi="Calibri" w:cs="Times New Roman"/>
                <w:b/>
                <w:bCs/>
                <w:i/>
                <w:iCs/>
                <w:color w:val="FFFFFF"/>
                <w:szCs w:val="21"/>
                <w:lang w:eastAsia="cs-CZ"/>
              </w:rPr>
            </w:pPr>
            <w:r w:rsidDel="00E601ED">
              <w:rPr>
                <w:rFonts w:ascii="Calibri" w:eastAsia="Times New Roman" w:hAnsi="Calibri" w:cs="Times New Roman"/>
                <w:b/>
                <w:bCs/>
                <w:i/>
                <w:iCs/>
                <w:color w:val="FFFFFF"/>
                <w:szCs w:val="21"/>
                <w:lang w:eastAsia="cs-CZ"/>
              </w:rPr>
              <w:t xml:space="preserve"> </w:t>
            </w:r>
            <w:r w:rsidR="00685EAE" w:rsidRPr="0011274B">
              <w:rPr>
                <w:rFonts w:ascii="Calibri" w:eastAsia="Times New Roman" w:hAnsi="Calibri" w:cs="Times New Roman"/>
                <w:b/>
                <w:bCs/>
                <w:i/>
                <w:iCs/>
                <w:color w:val="FFFFFF"/>
                <w:szCs w:val="21"/>
                <w:lang w:eastAsia="cs-CZ"/>
              </w:rPr>
              <w:t xml:space="preserve">(v mil. </w:t>
            </w:r>
            <w:proofErr w:type="gramStart"/>
            <w:r w:rsidR="00685EAE" w:rsidRPr="0011274B">
              <w:rPr>
                <w:rFonts w:ascii="Calibri" w:eastAsia="Times New Roman" w:hAnsi="Calibri" w:cs="Times New Roman"/>
                <w:b/>
                <w:bCs/>
                <w:i/>
                <w:iCs/>
                <w:color w:val="FFFFFF"/>
                <w:szCs w:val="21"/>
                <w:lang w:eastAsia="cs-CZ"/>
              </w:rPr>
              <w:t>Kč )</w:t>
            </w:r>
            <w:proofErr w:type="gramEnd"/>
          </w:p>
        </w:tc>
        <w:tc>
          <w:tcPr>
            <w:tcW w:w="992" w:type="dxa"/>
            <w:tcBorders>
              <w:top w:val="single" w:sz="12" w:space="0" w:color="4F81BD"/>
              <w:left w:val="nil"/>
              <w:bottom w:val="nil"/>
              <w:right w:val="nil"/>
            </w:tcBorders>
            <w:shd w:val="clear" w:color="000000" w:fill="6691C6"/>
            <w:noWrap/>
            <w:vAlign w:val="center"/>
            <w:hideMark/>
          </w:tcPr>
          <w:p w:rsidR="00685EAE" w:rsidRPr="00DA7233" w:rsidRDefault="00685EAE" w:rsidP="00B56821">
            <w:pPr>
              <w:spacing w:after="0" w:line="240" w:lineRule="auto"/>
              <w:jc w:val="center"/>
              <w:rPr>
                <w:rFonts w:ascii="Calibri" w:eastAsia="Times New Roman" w:hAnsi="Calibri" w:cs="Times New Roman"/>
                <w:b/>
                <w:color w:val="FFFFFF"/>
                <w:szCs w:val="21"/>
                <w:lang w:eastAsia="cs-CZ"/>
              </w:rPr>
            </w:pPr>
            <w:r w:rsidRPr="00DA7233">
              <w:rPr>
                <w:rFonts w:ascii="Calibri" w:eastAsia="Times New Roman" w:hAnsi="Calibri" w:cs="Times New Roman"/>
                <w:b/>
                <w:color w:val="FFFFFF" w:themeColor="background1"/>
                <w:szCs w:val="21"/>
                <w:lang w:eastAsia="cs-CZ"/>
              </w:rPr>
              <w:t>VZP ČR</w:t>
            </w:r>
          </w:p>
        </w:tc>
        <w:tc>
          <w:tcPr>
            <w:tcW w:w="1134" w:type="dxa"/>
            <w:tcBorders>
              <w:top w:val="single" w:sz="12" w:space="0" w:color="4F81BD"/>
              <w:left w:val="nil"/>
              <w:bottom w:val="nil"/>
              <w:right w:val="nil"/>
            </w:tcBorders>
            <w:shd w:val="clear" w:color="000000" w:fill="4F81BD"/>
            <w:noWrap/>
            <w:vAlign w:val="center"/>
            <w:hideMark/>
          </w:tcPr>
          <w:p w:rsidR="00685EAE" w:rsidRPr="00DA7233" w:rsidRDefault="00685EAE" w:rsidP="00B56821">
            <w:pPr>
              <w:spacing w:after="0" w:line="240" w:lineRule="auto"/>
              <w:jc w:val="center"/>
              <w:rPr>
                <w:rFonts w:ascii="Calibri" w:eastAsia="Times New Roman" w:hAnsi="Calibri" w:cs="Times New Roman"/>
                <w:b/>
                <w:color w:val="FFFFFF"/>
                <w:szCs w:val="21"/>
                <w:lang w:eastAsia="cs-CZ"/>
              </w:rPr>
            </w:pPr>
            <w:proofErr w:type="spellStart"/>
            <w:r w:rsidRPr="00DA7233">
              <w:rPr>
                <w:rFonts w:ascii="Calibri" w:eastAsia="Times New Roman" w:hAnsi="Calibri" w:cs="Times New Roman"/>
                <w:b/>
                <w:color w:val="FFFFFF" w:themeColor="background1"/>
                <w:szCs w:val="21"/>
                <w:lang w:eastAsia="cs-CZ"/>
              </w:rPr>
              <w:t>VoZP</w:t>
            </w:r>
            <w:proofErr w:type="spellEnd"/>
            <w:r w:rsidRPr="00DA7233">
              <w:rPr>
                <w:rFonts w:ascii="Calibri" w:eastAsia="Times New Roman" w:hAnsi="Calibri" w:cs="Times New Roman"/>
                <w:b/>
                <w:color w:val="FFFFFF" w:themeColor="background1"/>
                <w:szCs w:val="21"/>
                <w:lang w:eastAsia="cs-CZ"/>
              </w:rPr>
              <w:t xml:space="preserve"> ČR</w:t>
            </w:r>
          </w:p>
        </w:tc>
        <w:tc>
          <w:tcPr>
            <w:tcW w:w="992" w:type="dxa"/>
            <w:tcBorders>
              <w:top w:val="single" w:sz="12" w:space="0" w:color="4F81BD"/>
              <w:left w:val="nil"/>
              <w:bottom w:val="nil"/>
              <w:right w:val="nil"/>
            </w:tcBorders>
            <w:shd w:val="clear" w:color="000000" w:fill="6691C6"/>
            <w:noWrap/>
            <w:vAlign w:val="center"/>
            <w:hideMark/>
          </w:tcPr>
          <w:p w:rsidR="00685EAE" w:rsidRPr="00DA7233" w:rsidRDefault="00685EAE" w:rsidP="00B56821">
            <w:pPr>
              <w:spacing w:after="0" w:line="240" w:lineRule="auto"/>
              <w:jc w:val="center"/>
              <w:rPr>
                <w:rFonts w:ascii="Calibri" w:eastAsia="Times New Roman" w:hAnsi="Calibri" w:cs="Times New Roman"/>
                <w:b/>
                <w:color w:val="FFFFFF"/>
                <w:szCs w:val="21"/>
                <w:lang w:eastAsia="cs-CZ"/>
              </w:rPr>
            </w:pPr>
            <w:r w:rsidRPr="00DA7233">
              <w:rPr>
                <w:rFonts w:ascii="Calibri" w:eastAsia="Times New Roman" w:hAnsi="Calibri" w:cs="Times New Roman"/>
                <w:b/>
                <w:color w:val="FFFFFF" w:themeColor="background1"/>
                <w:szCs w:val="21"/>
                <w:lang w:eastAsia="cs-CZ"/>
              </w:rPr>
              <w:t>ČPZP</w:t>
            </w:r>
          </w:p>
        </w:tc>
        <w:tc>
          <w:tcPr>
            <w:tcW w:w="935" w:type="dxa"/>
            <w:tcBorders>
              <w:top w:val="single" w:sz="12" w:space="0" w:color="4F81BD"/>
              <w:left w:val="nil"/>
              <w:bottom w:val="nil"/>
              <w:right w:val="nil"/>
            </w:tcBorders>
            <w:shd w:val="clear" w:color="000000" w:fill="4F81BD"/>
            <w:vAlign w:val="center"/>
            <w:hideMark/>
          </w:tcPr>
          <w:p w:rsidR="00685EAE" w:rsidRPr="00DA7233" w:rsidRDefault="00685EAE" w:rsidP="00B56821">
            <w:pPr>
              <w:spacing w:after="0" w:line="240" w:lineRule="auto"/>
              <w:jc w:val="center"/>
              <w:rPr>
                <w:rFonts w:ascii="Calibri" w:eastAsia="Times New Roman" w:hAnsi="Calibri" w:cs="Times New Roman"/>
                <w:b/>
                <w:color w:val="FFFFFF"/>
                <w:szCs w:val="21"/>
                <w:lang w:eastAsia="cs-CZ"/>
              </w:rPr>
            </w:pPr>
            <w:r w:rsidRPr="00DA7233">
              <w:rPr>
                <w:rFonts w:ascii="Calibri" w:eastAsia="Times New Roman" w:hAnsi="Calibri" w:cs="Times New Roman"/>
                <w:b/>
                <w:color w:val="FFFFFF" w:themeColor="background1"/>
                <w:szCs w:val="21"/>
                <w:lang w:eastAsia="cs-CZ"/>
              </w:rPr>
              <w:t>OZP</w:t>
            </w:r>
          </w:p>
        </w:tc>
        <w:tc>
          <w:tcPr>
            <w:tcW w:w="1109" w:type="dxa"/>
            <w:tcBorders>
              <w:top w:val="single" w:sz="12" w:space="0" w:color="4F81BD"/>
              <w:left w:val="nil"/>
              <w:bottom w:val="nil"/>
              <w:right w:val="nil"/>
            </w:tcBorders>
            <w:shd w:val="clear" w:color="000000" w:fill="6691C6"/>
            <w:vAlign w:val="center"/>
            <w:hideMark/>
          </w:tcPr>
          <w:p w:rsidR="00685EAE" w:rsidRPr="00DA7233" w:rsidRDefault="00685EAE" w:rsidP="00B56821">
            <w:pPr>
              <w:spacing w:after="0" w:line="240" w:lineRule="auto"/>
              <w:jc w:val="center"/>
              <w:rPr>
                <w:rFonts w:ascii="Calibri" w:eastAsia="Times New Roman" w:hAnsi="Calibri" w:cs="Times New Roman"/>
                <w:b/>
                <w:color w:val="FFFFFF"/>
                <w:szCs w:val="21"/>
                <w:lang w:eastAsia="cs-CZ"/>
              </w:rPr>
            </w:pPr>
            <w:r w:rsidRPr="00DA7233">
              <w:rPr>
                <w:rFonts w:ascii="Calibri" w:eastAsia="Times New Roman" w:hAnsi="Calibri" w:cs="Times New Roman"/>
                <w:b/>
                <w:color w:val="FFFFFF" w:themeColor="background1"/>
                <w:szCs w:val="21"/>
                <w:lang w:eastAsia="cs-CZ"/>
              </w:rPr>
              <w:t>ZPŠ</w:t>
            </w:r>
          </w:p>
        </w:tc>
        <w:tc>
          <w:tcPr>
            <w:tcW w:w="1017" w:type="dxa"/>
            <w:tcBorders>
              <w:top w:val="single" w:sz="12" w:space="0" w:color="4F81BD"/>
              <w:left w:val="nil"/>
              <w:bottom w:val="nil"/>
              <w:right w:val="nil"/>
            </w:tcBorders>
            <w:shd w:val="clear" w:color="000000" w:fill="4F81BD"/>
            <w:vAlign w:val="center"/>
            <w:hideMark/>
          </w:tcPr>
          <w:p w:rsidR="00685EAE" w:rsidRPr="00DA7233" w:rsidRDefault="00685EAE" w:rsidP="00B56821">
            <w:pPr>
              <w:spacing w:after="0" w:line="240" w:lineRule="auto"/>
              <w:jc w:val="center"/>
              <w:rPr>
                <w:rFonts w:ascii="Calibri" w:eastAsia="Times New Roman" w:hAnsi="Calibri" w:cs="Times New Roman"/>
                <w:b/>
                <w:color w:val="FFFFFF"/>
                <w:szCs w:val="21"/>
                <w:lang w:eastAsia="cs-CZ"/>
              </w:rPr>
            </w:pPr>
            <w:r w:rsidRPr="00DA7233">
              <w:rPr>
                <w:rFonts w:ascii="Calibri" w:eastAsia="Times New Roman" w:hAnsi="Calibri" w:cs="Times New Roman"/>
                <w:b/>
                <w:color w:val="FFFFFF" w:themeColor="background1"/>
                <w:szCs w:val="21"/>
                <w:lang w:eastAsia="cs-CZ"/>
              </w:rPr>
              <w:t>ZP</w:t>
            </w:r>
            <w:r>
              <w:rPr>
                <w:rFonts w:ascii="Calibri" w:eastAsia="Times New Roman" w:hAnsi="Calibri" w:cs="Times New Roman"/>
                <w:b/>
                <w:color w:val="FFFFFF" w:themeColor="background1"/>
                <w:szCs w:val="21"/>
                <w:lang w:eastAsia="cs-CZ"/>
              </w:rPr>
              <w:t xml:space="preserve"> </w:t>
            </w:r>
            <w:r w:rsidRPr="00DA7233">
              <w:rPr>
                <w:rFonts w:ascii="Calibri" w:eastAsia="Times New Roman" w:hAnsi="Calibri" w:cs="Times New Roman"/>
                <w:b/>
                <w:color w:val="FFFFFF" w:themeColor="background1"/>
                <w:szCs w:val="21"/>
                <w:lang w:eastAsia="cs-CZ"/>
              </w:rPr>
              <w:t>MV ČR</w:t>
            </w:r>
          </w:p>
        </w:tc>
        <w:tc>
          <w:tcPr>
            <w:tcW w:w="994" w:type="dxa"/>
            <w:tcBorders>
              <w:top w:val="single" w:sz="12" w:space="0" w:color="4F81BD"/>
              <w:left w:val="nil"/>
              <w:bottom w:val="nil"/>
              <w:right w:val="single" w:sz="12" w:space="0" w:color="4F81BD"/>
            </w:tcBorders>
            <w:shd w:val="clear" w:color="000000" w:fill="6691C6"/>
            <w:vAlign w:val="center"/>
            <w:hideMark/>
          </w:tcPr>
          <w:p w:rsidR="00685EAE" w:rsidRPr="00DA7233" w:rsidRDefault="00685EAE" w:rsidP="00B56821">
            <w:pPr>
              <w:spacing w:after="0" w:line="240" w:lineRule="auto"/>
              <w:jc w:val="center"/>
              <w:rPr>
                <w:rFonts w:ascii="Calibri" w:eastAsia="Times New Roman" w:hAnsi="Calibri" w:cs="Times New Roman"/>
                <w:b/>
                <w:color w:val="FFFFFF"/>
                <w:szCs w:val="21"/>
                <w:lang w:eastAsia="cs-CZ"/>
              </w:rPr>
            </w:pPr>
            <w:r w:rsidRPr="00DA7233">
              <w:rPr>
                <w:rFonts w:ascii="Calibri" w:eastAsia="Times New Roman" w:hAnsi="Calibri" w:cs="Times New Roman"/>
                <w:b/>
                <w:color w:val="FFFFFF" w:themeColor="background1"/>
                <w:szCs w:val="21"/>
                <w:lang w:eastAsia="cs-CZ"/>
              </w:rPr>
              <w:t>RBP</w:t>
            </w:r>
          </w:p>
        </w:tc>
      </w:tr>
      <w:tr w:rsidR="00874333" w:rsidRPr="0011274B" w:rsidTr="00AD5E8F">
        <w:trPr>
          <w:trHeight w:val="300"/>
          <w:jc w:val="center"/>
        </w:trPr>
        <w:tc>
          <w:tcPr>
            <w:tcW w:w="1789" w:type="dxa"/>
            <w:tcBorders>
              <w:top w:val="nil"/>
              <w:left w:val="single" w:sz="12" w:space="0" w:color="4F81BD"/>
              <w:bottom w:val="nil"/>
              <w:right w:val="nil"/>
            </w:tcBorders>
            <w:shd w:val="clear" w:color="auto" w:fill="auto"/>
            <w:vAlign w:val="center"/>
            <w:hideMark/>
          </w:tcPr>
          <w:p w:rsidR="00874333" w:rsidRPr="0011274B" w:rsidRDefault="00874333" w:rsidP="00B56821">
            <w:pPr>
              <w:spacing w:after="0" w:line="240" w:lineRule="auto"/>
              <w:rPr>
                <w:rFonts w:ascii="Calibri" w:eastAsia="Times New Roman" w:hAnsi="Calibri" w:cs="Times New Roman"/>
                <w:b/>
                <w:bCs/>
                <w:color w:val="000000"/>
                <w:szCs w:val="21"/>
                <w:lang w:eastAsia="cs-CZ"/>
              </w:rPr>
            </w:pPr>
            <w:r>
              <w:rPr>
                <w:rFonts w:ascii="Calibri" w:eastAsia="Times New Roman" w:hAnsi="Calibri" w:cs="Times New Roman"/>
                <w:b/>
                <w:bCs/>
                <w:color w:val="000000"/>
                <w:szCs w:val="21"/>
                <w:lang w:eastAsia="cs-CZ"/>
              </w:rPr>
              <w:t>VZ 2019</w:t>
            </w:r>
          </w:p>
        </w:tc>
        <w:tc>
          <w:tcPr>
            <w:tcW w:w="992" w:type="dxa"/>
            <w:tcBorders>
              <w:top w:val="nil"/>
              <w:left w:val="nil"/>
              <w:bottom w:val="nil"/>
              <w:right w:val="nil"/>
            </w:tcBorders>
            <w:shd w:val="clear" w:color="000000" w:fill="DCE6F1"/>
            <w:noWrap/>
            <w:vAlign w:val="center"/>
          </w:tcPr>
          <w:p w:rsidR="00874333" w:rsidRPr="00874333" w:rsidRDefault="00874333" w:rsidP="00B56821">
            <w:pPr>
              <w:spacing w:after="0" w:line="240" w:lineRule="auto"/>
              <w:jc w:val="right"/>
              <w:rPr>
                <w:rFonts w:ascii="Calibri" w:eastAsia="Times New Roman" w:hAnsi="Calibri" w:cs="Times New Roman"/>
                <w:b/>
                <w:bCs/>
                <w:color w:val="000000"/>
                <w:szCs w:val="21"/>
                <w:lang w:eastAsia="cs-CZ"/>
              </w:rPr>
            </w:pPr>
            <w:r w:rsidRPr="00874333">
              <w:rPr>
                <w:rFonts w:ascii="Calibri" w:hAnsi="Calibri" w:cs="Times New Roman CE"/>
                <w:b/>
                <w:bCs/>
                <w:color w:val="000000"/>
                <w:szCs w:val="21"/>
              </w:rPr>
              <w:t>33 584</w:t>
            </w:r>
          </w:p>
        </w:tc>
        <w:tc>
          <w:tcPr>
            <w:tcW w:w="1134" w:type="dxa"/>
            <w:tcBorders>
              <w:top w:val="nil"/>
              <w:left w:val="nil"/>
              <w:bottom w:val="nil"/>
              <w:right w:val="nil"/>
            </w:tcBorders>
            <w:shd w:val="clear" w:color="auto" w:fill="auto"/>
            <w:noWrap/>
            <w:vAlign w:val="center"/>
          </w:tcPr>
          <w:p w:rsidR="00874333" w:rsidRPr="00874333" w:rsidRDefault="00874333" w:rsidP="00B56821">
            <w:pPr>
              <w:spacing w:after="0" w:line="240" w:lineRule="auto"/>
              <w:jc w:val="right"/>
              <w:rPr>
                <w:rFonts w:ascii="Calibri" w:eastAsia="Times New Roman" w:hAnsi="Calibri" w:cs="Times New Roman"/>
                <w:b/>
                <w:bCs/>
                <w:color w:val="000000"/>
                <w:szCs w:val="21"/>
                <w:lang w:eastAsia="cs-CZ"/>
              </w:rPr>
            </w:pPr>
            <w:r w:rsidRPr="00874333">
              <w:rPr>
                <w:rFonts w:ascii="Calibri" w:hAnsi="Calibri" w:cs="Times New Roman CE"/>
                <w:b/>
                <w:bCs/>
                <w:color w:val="000000"/>
                <w:szCs w:val="21"/>
              </w:rPr>
              <w:t>2 324</w:t>
            </w:r>
          </w:p>
        </w:tc>
        <w:tc>
          <w:tcPr>
            <w:tcW w:w="992" w:type="dxa"/>
            <w:tcBorders>
              <w:top w:val="nil"/>
              <w:left w:val="nil"/>
              <w:bottom w:val="nil"/>
              <w:right w:val="nil"/>
            </w:tcBorders>
            <w:shd w:val="clear" w:color="000000" w:fill="DCE6F1"/>
            <w:noWrap/>
            <w:vAlign w:val="center"/>
          </w:tcPr>
          <w:p w:rsidR="00874333" w:rsidRPr="00874333" w:rsidRDefault="00874333" w:rsidP="00B56821">
            <w:pPr>
              <w:spacing w:after="0" w:line="240" w:lineRule="auto"/>
              <w:jc w:val="right"/>
              <w:rPr>
                <w:rFonts w:ascii="Calibri" w:eastAsia="Times New Roman" w:hAnsi="Calibri" w:cs="Times New Roman"/>
                <w:b/>
                <w:bCs/>
                <w:color w:val="000000"/>
                <w:szCs w:val="21"/>
                <w:lang w:eastAsia="cs-CZ"/>
              </w:rPr>
            </w:pPr>
            <w:r w:rsidRPr="00874333">
              <w:rPr>
                <w:rFonts w:ascii="Calibri" w:hAnsi="Calibri" w:cs="Times New Roman CE"/>
                <w:b/>
                <w:bCs/>
                <w:color w:val="000000"/>
                <w:szCs w:val="21"/>
              </w:rPr>
              <w:t>6 440</w:t>
            </w:r>
          </w:p>
        </w:tc>
        <w:tc>
          <w:tcPr>
            <w:tcW w:w="935" w:type="dxa"/>
            <w:tcBorders>
              <w:top w:val="nil"/>
              <w:left w:val="nil"/>
              <w:bottom w:val="nil"/>
              <w:right w:val="nil"/>
            </w:tcBorders>
            <w:shd w:val="clear" w:color="auto" w:fill="auto"/>
            <w:noWrap/>
            <w:vAlign w:val="center"/>
          </w:tcPr>
          <w:p w:rsidR="00874333" w:rsidRPr="00874333" w:rsidRDefault="00874333" w:rsidP="00B56821">
            <w:pPr>
              <w:spacing w:after="0" w:line="240" w:lineRule="auto"/>
              <w:jc w:val="right"/>
              <w:rPr>
                <w:rFonts w:ascii="Calibri" w:eastAsia="Times New Roman" w:hAnsi="Calibri" w:cs="Times New Roman"/>
                <w:b/>
                <w:bCs/>
                <w:color w:val="000000"/>
                <w:szCs w:val="21"/>
                <w:lang w:eastAsia="cs-CZ"/>
              </w:rPr>
            </w:pPr>
            <w:r w:rsidRPr="00874333">
              <w:rPr>
                <w:rFonts w:ascii="Calibri" w:hAnsi="Calibri" w:cs="Times New Roman CE"/>
                <w:b/>
                <w:bCs/>
                <w:color w:val="000000"/>
                <w:szCs w:val="21"/>
              </w:rPr>
              <w:t>5 077</w:t>
            </w:r>
          </w:p>
        </w:tc>
        <w:tc>
          <w:tcPr>
            <w:tcW w:w="1109" w:type="dxa"/>
            <w:tcBorders>
              <w:top w:val="nil"/>
              <w:left w:val="nil"/>
              <w:bottom w:val="nil"/>
              <w:right w:val="nil"/>
            </w:tcBorders>
            <w:shd w:val="clear" w:color="000000" w:fill="DCE6F1"/>
            <w:noWrap/>
            <w:vAlign w:val="center"/>
          </w:tcPr>
          <w:p w:rsidR="00874333" w:rsidRPr="00874333" w:rsidRDefault="00874333" w:rsidP="00B56821">
            <w:pPr>
              <w:spacing w:after="0" w:line="240" w:lineRule="auto"/>
              <w:jc w:val="right"/>
              <w:rPr>
                <w:rFonts w:ascii="Calibri" w:eastAsia="Times New Roman" w:hAnsi="Calibri" w:cs="Times New Roman"/>
                <w:b/>
                <w:bCs/>
                <w:color w:val="000000"/>
                <w:szCs w:val="21"/>
                <w:lang w:eastAsia="cs-CZ"/>
              </w:rPr>
            </w:pPr>
            <w:r w:rsidRPr="00874333">
              <w:rPr>
                <w:rFonts w:ascii="Calibri" w:hAnsi="Calibri" w:cs="Times New Roman CE"/>
                <w:b/>
                <w:bCs/>
                <w:color w:val="000000"/>
                <w:szCs w:val="21"/>
              </w:rPr>
              <w:t>1 198</w:t>
            </w:r>
          </w:p>
        </w:tc>
        <w:tc>
          <w:tcPr>
            <w:tcW w:w="1017" w:type="dxa"/>
            <w:tcBorders>
              <w:top w:val="nil"/>
              <w:left w:val="nil"/>
              <w:bottom w:val="nil"/>
              <w:right w:val="nil"/>
            </w:tcBorders>
            <w:shd w:val="clear" w:color="auto" w:fill="auto"/>
            <w:noWrap/>
            <w:vAlign w:val="center"/>
          </w:tcPr>
          <w:p w:rsidR="00874333" w:rsidRPr="00874333" w:rsidRDefault="00874333" w:rsidP="00B56821">
            <w:pPr>
              <w:spacing w:after="0" w:line="240" w:lineRule="auto"/>
              <w:jc w:val="right"/>
              <w:rPr>
                <w:rFonts w:ascii="Calibri" w:eastAsia="Times New Roman" w:hAnsi="Calibri" w:cs="Times New Roman"/>
                <w:b/>
                <w:bCs/>
                <w:color w:val="000000"/>
                <w:szCs w:val="21"/>
                <w:lang w:eastAsia="cs-CZ"/>
              </w:rPr>
            </w:pPr>
            <w:r w:rsidRPr="00874333">
              <w:rPr>
                <w:rFonts w:ascii="Calibri" w:hAnsi="Calibri" w:cs="Times New Roman CE"/>
                <w:b/>
                <w:bCs/>
                <w:color w:val="000000"/>
                <w:szCs w:val="21"/>
              </w:rPr>
              <w:t>7 689</w:t>
            </w:r>
          </w:p>
        </w:tc>
        <w:tc>
          <w:tcPr>
            <w:tcW w:w="994" w:type="dxa"/>
            <w:tcBorders>
              <w:top w:val="nil"/>
              <w:left w:val="nil"/>
              <w:bottom w:val="nil"/>
              <w:right w:val="single" w:sz="12" w:space="0" w:color="4F81BD"/>
            </w:tcBorders>
            <w:shd w:val="clear" w:color="000000" w:fill="DCE6F1"/>
            <w:noWrap/>
            <w:vAlign w:val="center"/>
          </w:tcPr>
          <w:p w:rsidR="00874333" w:rsidRPr="00874333" w:rsidRDefault="00874333" w:rsidP="00B56821">
            <w:pPr>
              <w:spacing w:after="0" w:line="240" w:lineRule="auto"/>
              <w:jc w:val="right"/>
              <w:rPr>
                <w:rFonts w:ascii="Calibri" w:eastAsia="Times New Roman" w:hAnsi="Calibri" w:cs="Times New Roman"/>
                <w:b/>
                <w:bCs/>
                <w:color w:val="000000"/>
                <w:szCs w:val="21"/>
                <w:lang w:eastAsia="cs-CZ"/>
              </w:rPr>
            </w:pPr>
            <w:r w:rsidRPr="00874333">
              <w:rPr>
                <w:rFonts w:ascii="Calibri" w:hAnsi="Calibri" w:cs="Times New Roman CE"/>
                <w:b/>
                <w:bCs/>
                <w:color w:val="000000"/>
                <w:szCs w:val="21"/>
              </w:rPr>
              <w:t>2 254</w:t>
            </w:r>
          </w:p>
        </w:tc>
      </w:tr>
      <w:tr w:rsidR="00874333" w:rsidRPr="0011274B" w:rsidTr="00AD5E8F">
        <w:trPr>
          <w:trHeight w:val="570"/>
          <w:jc w:val="center"/>
        </w:trPr>
        <w:tc>
          <w:tcPr>
            <w:tcW w:w="1789" w:type="dxa"/>
            <w:tcBorders>
              <w:top w:val="nil"/>
              <w:left w:val="single" w:sz="12" w:space="0" w:color="4F81BD"/>
              <w:bottom w:val="nil"/>
              <w:right w:val="nil"/>
            </w:tcBorders>
            <w:shd w:val="clear" w:color="000000" w:fill="EEF3F8"/>
            <w:vAlign w:val="center"/>
            <w:hideMark/>
          </w:tcPr>
          <w:p w:rsidR="00874333" w:rsidRPr="0011274B" w:rsidRDefault="00874333" w:rsidP="00B56821">
            <w:pPr>
              <w:spacing w:after="0" w:line="240" w:lineRule="auto"/>
              <w:rPr>
                <w:rFonts w:ascii="Calibri" w:eastAsia="Times New Roman" w:hAnsi="Calibri" w:cs="Times New Roman"/>
                <w:color w:val="000000"/>
                <w:szCs w:val="21"/>
                <w:lang w:eastAsia="cs-CZ"/>
              </w:rPr>
            </w:pPr>
            <w:r w:rsidRPr="0011274B">
              <w:rPr>
                <w:rFonts w:ascii="Calibri" w:eastAsia="Times New Roman" w:hAnsi="Calibri" w:cs="Times New Roman"/>
                <w:color w:val="000000"/>
                <w:szCs w:val="21"/>
                <w:lang w:eastAsia="cs-CZ"/>
              </w:rPr>
              <w:t>Podíl zůstatků na celkových ročních výdajích</w:t>
            </w:r>
          </w:p>
        </w:tc>
        <w:tc>
          <w:tcPr>
            <w:tcW w:w="992" w:type="dxa"/>
            <w:tcBorders>
              <w:top w:val="nil"/>
              <w:left w:val="nil"/>
              <w:bottom w:val="nil"/>
              <w:right w:val="nil"/>
            </w:tcBorders>
            <w:shd w:val="clear" w:color="000000" w:fill="EEF3F8"/>
            <w:noWrap/>
            <w:vAlign w:val="center"/>
          </w:tcPr>
          <w:p w:rsidR="00874333" w:rsidRPr="00874333" w:rsidRDefault="00874333" w:rsidP="00B56821">
            <w:pPr>
              <w:spacing w:after="0" w:line="240" w:lineRule="auto"/>
              <w:jc w:val="right"/>
              <w:rPr>
                <w:rFonts w:ascii="Calibri" w:eastAsia="Times New Roman" w:hAnsi="Calibri" w:cs="Times New Roman"/>
                <w:color w:val="000000"/>
                <w:szCs w:val="21"/>
                <w:lang w:eastAsia="cs-CZ"/>
              </w:rPr>
            </w:pPr>
            <w:r w:rsidRPr="00874333">
              <w:rPr>
                <w:rFonts w:ascii="Calibri" w:hAnsi="Calibri" w:cs="Times New Roman CE"/>
                <w:color w:val="000000"/>
                <w:szCs w:val="21"/>
              </w:rPr>
              <w:t>17,7</w:t>
            </w:r>
            <w:r>
              <w:rPr>
                <w:rFonts w:ascii="Calibri" w:hAnsi="Calibri" w:cs="Times New Roman CE"/>
                <w:color w:val="000000"/>
                <w:szCs w:val="21"/>
              </w:rPr>
              <w:t xml:space="preserve"> </w:t>
            </w:r>
            <w:r w:rsidRPr="00874333">
              <w:rPr>
                <w:rFonts w:ascii="Calibri" w:hAnsi="Calibri" w:cs="Times New Roman CE"/>
                <w:color w:val="000000"/>
                <w:szCs w:val="21"/>
              </w:rPr>
              <w:t>%</w:t>
            </w:r>
          </w:p>
        </w:tc>
        <w:tc>
          <w:tcPr>
            <w:tcW w:w="1134" w:type="dxa"/>
            <w:tcBorders>
              <w:top w:val="nil"/>
              <w:left w:val="nil"/>
              <w:bottom w:val="nil"/>
              <w:right w:val="nil"/>
            </w:tcBorders>
            <w:shd w:val="clear" w:color="000000" w:fill="EEF3F8"/>
            <w:noWrap/>
            <w:vAlign w:val="center"/>
          </w:tcPr>
          <w:p w:rsidR="00874333" w:rsidRPr="00874333" w:rsidRDefault="00874333" w:rsidP="00B56821">
            <w:pPr>
              <w:spacing w:after="0" w:line="240" w:lineRule="auto"/>
              <w:jc w:val="right"/>
              <w:rPr>
                <w:rFonts w:ascii="Calibri" w:eastAsia="Times New Roman" w:hAnsi="Calibri" w:cs="Times New Roman"/>
                <w:color w:val="000000"/>
                <w:szCs w:val="21"/>
                <w:lang w:eastAsia="cs-CZ"/>
              </w:rPr>
            </w:pPr>
            <w:r w:rsidRPr="00874333">
              <w:rPr>
                <w:rFonts w:ascii="Calibri" w:hAnsi="Calibri" w:cs="Times New Roman CE"/>
                <w:color w:val="000000"/>
                <w:szCs w:val="21"/>
              </w:rPr>
              <w:t>11,5</w:t>
            </w:r>
            <w:r>
              <w:rPr>
                <w:rFonts w:ascii="Calibri" w:hAnsi="Calibri" w:cs="Times New Roman CE"/>
                <w:color w:val="000000"/>
                <w:szCs w:val="21"/>
              </w:rPr>
              <w:t xml:space="preserve"> </w:t>
            </w:r>
            <w:r w:rsidRPr="00874333">
              <w:rPr>
                <w:rFonts w:ascii="Calibri" w:hAnsi="Calibri" w:cs="Times New Roman CE"/>
                <w:color w:val="000000"/>
                <w:szCs w:val="21"/>
              </w:rPr>
              <w:t>%</w:t>
            </w:r>
          </w:p>
        </w:tc>
        <w:tc>
          <w:tcPr>
            <w:tcW w:w="992" w:type="dxa"/>
            <w:tcBorders>
              <w:top w:val="nil"/>
              <w:left w:val="nil"/>
              <w:bottom w:val="nil"/>
              <w:right w:val="nil"/>
            </w:tcBorders>
            <w:shd w:val="clear" w:color="000000" w:fill="EEF3F8"/>
            <w:noWrap/>
            <w:vAlign w:val="center"/>
          </w:tcPr>
          <w:p w:rsidR="00874333" w:rsidRPr="00874333" w:rsidRDefault="00874333" w:rsidP="00B56821">
            <w:pPr>
              <w:spacing w:after="0" w:line="240" w:lineRule="auto"/>
              <w:jc w:val="right"/>
              <w:rPr>
                <w:rFonts w:ascii="Calibri" w:eastAsia="Times New Roman" w:hAnsi="Calibri" w:cs="Times New Roman"/>
                <w:color w:val="000000"/>
                <w:szCs w:val="21"/>
                <w:lang w:eastAsia="cs-CZ"/>
              </w:rPr>
            </w:pPr>
            <w:r w:rsidRPr="00874333">
              <w:rPr>
                <w:rFonts w:ascii="Calibri" w:hAnsi="Calibri" w:cs="Times New Roman CE"/>
                <w:color w:val="000000"/>
                <w:szCs w:val="21"/>
              </w:rPr>
              <w:t>18,9</w:t>
            </w:r>
            <w:r>
              <w:rPr>
                <w:rFonts w:ascii="Calibri" w:hAnsi="Calibri" w:cs="Times New Roman CE"/>
                <w:color w:val="000000"/>
                <w:szCs w:val="21"/>
              </w:rPr>
              <w:t xml:space="preserve"> </w:t>
            </w:r>
            <w:r w:rsidRPr="00874333">
              <w:rPr>
                <w:rFonts w:ascii="Calibri" w:hAnsi="Calibri" w:cs="Times New Roman CE"/>
                <w:color w:val="000000"/>
                <w:szCs w:val="21"/>
              </w:rPr>
              <w:t>%</w:t>
            </w:r>
          </w:p>
        </w:tc>
        <w:tc>
          <w:tcPr>
            <w:tcW w:w="935" w:type="dxa"/>
            <w:tcBorders>
              <w:top w:val="nil"/>
              <w:left w:val="nil"/>
              <w:bottom w:val="nil"/>
              <w:right w:val="nil"/>
            </w:tcBorders>
            <w:shd w:val="clear" w:color="000000" w:fill="EEF3F8"/>
            <w:noWrap/>
            <w:vAlign w:val="center"/>
          </w:tcPr>
          <w:p w:rsidR="00874333" w:rsidRPr="00874333" w:rsidRDefault="00874333" w:rsidP="00B56821">
            <w:pPr>
              <w:spacing w:after="0" w:line="240" w:lineRule="auto"/>
              <w:jc w:val="right"/>
              <w:rPr>
                <w:rFonts w:ascii="Calibri" w:eastAsia="Times New Roman" w:hAnsi="Calibri" w:cs="Times New Roman"/>
                <w:color w:val="000000"/>
                <w:szCs w:val="21"/>
                <w:lang w:eastAsia="cs-CZ"/>
              </w:rPr>
            </w:pPr>
            <w:r w:rsidRPr="00874333">
              <w:rPr>
                <w:rFonts w:ascii="Calibri" w:hAnsi="Calibri" w:cs="Times New Roman CE"/>
                <w:color w:val="000000"/>
                <w:szCs w:val="21"/>
              </w:rPr>
              <w:t>25,5</w:t>
            </w:r>
            <w:r>
              <w:rPr>
                <w:rFonts w:ascii="Calibri" w:hAnsi="Calibri" w:cs="Times New Roman CE"/>
                <w:color w:val="000000"/>
                <w:szCs w:val="21"/>
              </w:rPr>
              <w:t xml:space="preserve"> </w:t>
            </w:r>
            <w:r w:rsidRPr="00874333">
              <w:rPr>
                <w:rFonts w:ascii="Calibri" w:hAnsi="Calibri" w:cs="Times New Roman CE"/>
                <w:color w:val="000000"/>
                <w:szCs w:val="21"/>
              </w:rPr>
              <w:t>%</w:t>
            </w:r>
          </w:p>
        </w:tc>
        <w:tc>
          <w:tcPr>
            <w:tcW w:w="1109" w:type="dxa"/>
            <w:tcBorders>
              <w:top w:val="nil"/>
              <w:left w:val="nil"/>
              <w:bottom w:val="nil"/>
              <w:right w:val="nil"/>
            </w:tcBorders>
            <w:shd w:val="clear" w:color="000000" w:fill="EEF3F8"/>
            <w:noWrap/>
            <w:vAlign w:val="center"/>
          </w:tcPr>
          <w:p w:rsidR="00874333" w:rsidRPr="00874333" w:rsidRDefault="00874333" w:rsidP="00B56821">
            <w:pPr>
              <w:spacing w:after="0" w:line="240" w:lineRule="auto"/>
              <w:jc w:val="right"/>
              <w:rPr>
                <w:rFonts w:ascii="Calibri" w:eastAsia="Times New Roman" w:hAnsi="Calibri" w:cs="Times New Roman"/>
                <w:color w:val="000000"/>
                <w:szCs w:val="21"/>
                <w:lang w:eastAsia="cs-CZ"/>
              </w:rPr>
            </w:pPr>
            <w:r w:rsidRPr="00874333">
              <w:rPr>
                <w:rFonts w:ascii="Calibri" w:hAnsi="Calibri" w:cs="Times New Roman CE"/>
                <w:color w:val="000000"/>
                <w:szCs w:val="21"/>
              </w:rPr>
              <w:t>28,5</w:t>
            </w:r>
            <w:r>
              <w:rPr>
                <w:rFonts w:ascii="Calibri" w:hAnsi="Calibri" w:cs="Times New Roman CE"/>
                <w:color w:val="000000"/>
                <w:szCs w:val="21"/>
              </w:rPr>
              <w:t xml:space="preserve"> </w:t>
            </w:r>
            <w:r w:rsidRPr="00874333">
              <w:rPr>
                <w:rFonts w:ascii="Calibri" w:hAnsi="Calibri" w:cs="Times New Roman CE"/>
                <w:color w:val="000000"/>
                <w:szCs w:val="21"/>
              </w:rPr>
              <w:t>%</w:t>
            </w:r>
          </w:p>
        </w:tc>
        <w:tc>
          <w:tcPr>
            <w:tcW w:w="1017" w:type="dxa"/>
            <w:tcBorders>
              <w:top w:val="nil"/>
              <w:left w:val="nil"/>
              <w:bottom w:val="nil"/>
              <w:right w:val="nil"/>
            </w:tcBorders>
            <w:shd w:val="clear" w:color="000000" w:fill="EEF3F8"/>
            <w:noWrap/>
            <w:vAlign w:val="center"/>
          </w:tcPr>
          <w:p w:rsidR="00874333" w:rsidRPr="00874333" w:rsidRDefault="00874333" w:rsidP="00B56821">
            <w:pPr>
              <w:spacing w:after="0" w:line="240" w:lineRule="auto"/>
              <w:jc w:val="right"/>
              <w:rPr>
                <w:rFonts w:ascii="Calibri" w:eastAsia="Times New Roman" w:hAnsi="Calibri" w:cs="Times New Roman"/>
                <w:color w:val="000000"/>
                <w:szCs w:val="21"/>
                <w:lang w:eastAsia="cs-CZ"/>
              </w:rPr>
            </w:pPr>
            <w:r w:rsidRPr="00874333">
              <w:rPr>
                <w:rFonts w:ascii="Calibri" w:hAnsi="Calibri" w:cs="Times New Roman CE"/>
                <w:color w:val="000000"/>
                <w:szCs w:val="21"/>
              </w:rPr>
              <w:t>20,2</w:t>
            </w:r>
            <w:r>
              <w:rPr>
                <w:rFonts w:ascii="Calibri" w:hAnsi="Calibri" w:cs="Times New Roman CE"/>
                <w:color w:val="000000"/>
                <w:szCs w:val="21"/>
              </w:rPr>
              <w:t xml:space="preserve"> </w:t>
            </w:r>
            <w:r w:rsidRPr="00874333">
              <w:rPr>
                <w:rFonts w:ascii="Calibri" w:hAnsi="Calibri" w:cs="Times New Roman CE"/>
                <w:color w:val="000000"/>
                <w:szCs w:val="21"/>
              </w:rPr>
              <w:t>%</w:t>
            </w:r>
          </w:p>
        </w:tc>
        <w:tc>
          <w:tcPr>
            <w:tcW w:w="994" w:type="dxa"/>
            <w:tcBorders>
              <w:top w:val="nil"/>
              <w:left w:val="nil"/>
              <w:bottom w:val="nil"/>
              <w:right w:val="single" w:sz="12" w:space="0" w:color="4F81BD"/>
            </w:tcBorders>
            <w:shd w:val="clear" w:color="000000" w:fill="EEF3F8"/>
            <w:noWrap/>
            <w:vAlign w:val="center"/>
          </w:tcPr>
          <w:p w:rsidR="00874333" w:rsidRPr="00874333" w:rsidRDefault="00874333" w:rsidP="00B56821">
            <w:pPr>
              <w:spacing w:after="0" w:line="240" w:lineRule="auto"/>
              <w:jc w:val="right"/>
              <w:rPr>
                <w:rFonts w:ascii="Calibri" w:eastAsia="Times New Roman" w:hAnsi="Calibri" w:cs="Times New Roman"/>
                <w:color w:val="000000"/>
                <w:szCs w:val="21"/>
                <w:lang w:eastAsia="cs-CZ"/>
              </w:rPr>
            </w:pPr>
            <w:r w:rsidRPr="00874333">
              <w:rPr>
                <w:rFonts w:ascii="Calibri" w:hAnsi="Calibri" w:cs="Times New Roman CE"/>
                <w:color w:val="000000"/>
                <w:szCs w:val="21"/>
              </w:rPr>
              <w:t>19,3</w:t>
            </w:r>
            <w:r>
              <w:rPr>
                <w:rFonts w:ascii="Calibri" w:hAnsi="Calibri" w:cs="Times New Roman CE"/>
                <w:color w:val="000000"/>
                <w:szCs w:val="21"/>
              </w:rPr>
              <w:t xml:space="preserve"> </w:t>
            </w:r>
            <w:r w:rsidRPr="00874333">
              <w:rPr>
                <w:rFonts w:ascii="Calibri" w:hAnsi="Calibri" w:cs="Times New Roman CE"/>
                <w:color w:val="000000"/>
                <w:szCs w:val="21"/>
              </w:rPr>
              <w:t>%</w:t>
            </w:r>
          </w:p>
        </w:tc>
      </w:tr>
      <w:tr w:rsidR="00874333" w:rsidRPr="0011274B" w:rsidTr="00AD5E8F">
        <w:trPr>
          <w:trHeight w:val="300"/>
          <w:jc w:val="center"/>
        </w:trPr>
        <w:tc>
          <w:tcPr>
            <w:tcW w:w="1789" w:type="dxa"/>
            <w:tcBorders>
              <w:top w:val="nil"/>
              <w:left w:val="single" w:sz="12" w:space="0" w:color="4F81BD"/>
              <w:bottom w:val="nil"/>
              <w:right w:val="nil"/>
            </w:tcBorders>
            <w:shd w:val="clear" w:color="auto" w:fill="auto"/>
            <w:vAlign w:val="center"/>
            <w:hideMark/>
          </w:tcPr>
          <w:p w:rsidR="00874333" w:rsidRPr="0011274B" w:rsidRDefault="00874333" w:rsidP="00B56821">
            <w:pPr>
              <w:spacing w:after="0" w:line="240" w:lineRule="auto"/>
              <w:rPr>
                <w:rFonts w:ascii="Calibri" w:eastAsia="Times New Roman" w:hAnsi="Calibri" w:cs="Times New Roman"/>
                <w:b/>
                <w:bCs/>
                <w:color w:val="000000"/>
                <w:szCs w:val="21"/>
                <w:lang w:eastAsia="cs-CZ"/>
              </w:rPr>
            </w:pPr>
            <w:r>
              <w:rPr>
                <w:rFonts w:ascii="Calibri" w:eastAsia="Times New Roman" w:hAnsi="Calibri" w:cs="Times New Roman"/>
                <w:b/>
                <w:bCs/>
                <w:color w:val="000000"/>
                <w:szCs w:val="21"/>
                <w:lang w:eastAsia="cs-CZ"/>
              </w:rPr>
              <w:t>ZPP 2019</w:t>
            </w:r>
          </w:p>
        </w:tc>
        <w:tc>
          <w:tcPr>
            <w:tcW w:w="992" w:type="dxa"/>
            <w:tcBorders>
              <w:top w:val="nil"/>
              <w:left w:val="nil"/>
              <w:bottom w:val="nil"/>
              <w:right w:val="nil"/>
            </w:tcBorders>
            <w:shd w:val="clear" w:color="000000" w:fill="DCE6F1"/>
            <w:noWrap/>
            <w:vAlign w:val="center"/>
          </w:tcPr>
          <w:p w:rsidR="00874333" w:rsidRPr="00874333" w:rsidRDefault="00874333" w:rsidP="00B56821">
            <w:pPr>
              <w:spacing w:after="0" w:line="240" w:lineRule="auto"/>
              <w:jc w:val="right"/>
              <w:rPr>
                <w:rFonts w:ascii="Calibri" w:eastAsia="Times New Roman" w:hAnsi="Calibri" w:cs="Times New Roman"/>
                <w:b/>
                <w:bCs/>
                <w:color w:val="000000"/>
                <w:szCs w:val="21"/>
                <w:lang w:eastAsia="cs-CZ"/>
              </w:rPr>
            </w:pPr>
            <w:r w:rsidRPr="00874333">
              <w:rPr>
                <w:rFonts w:ascii="Calibri" w:hAnsi="Calibri" w:cs="Times New Roman CE"/>
                <w:b/>
                <w:bCs/>
                <w:color w:val="000000"/>
                <w:szCs w:val="21"/>
              </w:rPr>
              <w:t>24 573</w:t>
            </w:r>
          </w:p>
        </w:tc>
        <w:tc>
          <w:tcPr>
            <w:tcW w:w="1134" w:type="dxa"/>
            <w:tcBorders>
              <w:top w:val="nil"/>
              <w:left w:val="nil"/>
              <w:bottom w:val="nil"/>
              <w:right w:val="nil"/>
            </w:tcBorders>
            <w:shd w:val="clear" w:color="auto" w:fill="auto"/>
            <w:noWrap/>
            <w:vAlign w:val="center"/>
          </w:tcPr>
          <w:p w:rsidR="00874333" w:rsidRPr="00874333" w:rsidRDefault="00874333" w:rsidP="00B56821">
            <w:pPr>
              <w:spacing w:after="0" w:line="240" w:lineRule="auto"/>
              <w:jc w:val="right"/>
              <w:rPr>
                <w:rFonts w:ascii="Calibri" w:eastAsia="Times New Roman" w:hAnsi="Calibri" w:cs="Times New Roman"/>
                <w:b/>
                <w:bCs/>
                <w:color w:val="000000"/>
                <w:szCs w:val="21"/>
                <w:lang w:eastAsia="cs-CZ"/>
              </w:rPr>
            </w:pPr>
            <w:r w:rsidRPr="00874333">
              <w:rPr>
                <w:rFonts w:ascii="Calibri" w:hAnsi="Calibri" w:cs="Times New Roman CE"/>
                <w:b/>
                <w:bCs/>
                <w:color w:val="000000"/>
                <w:szCs w:val="21"/>
              </w:rPr>
              <w:t>1 916</w:t>
            </w:r>
          </w:p>
        </w:tc>
        <w:tc>
          <w:tcPr>
            <w:tcW w:w="992" w:type="dxa"/>
            <w:tcBorders>
              <w:top w:val="nil"/>
              <w:left w:val="nil"/>
              <w:bottom w:val="nil"/>
              <w:right w:val="nil"/>
            </w:tcBorders>
            <w:shd w:val="clear" w:color="000000" w:fill="DCE6F1"/>
            <w:noWrap/>
            <w:vAlign w:val="center"/>
          </w:tcPr>
          <w:p w:rsidR="00874333" w:rsidRPr="00874333" w:rsidRDefault="00874333" w:rsidP="00B56821">
            <w:pPr>
              <w:spacing w:after="0" w:line="240" w:lineRule="auto"/>
              <w:jc w:val="right"/>
              <w:rPr>
                <w:rFonts w:ascii="Calibri" w:eastAsia="Times New Roman" w:hAnsi="Calibri" w:cs="Times New Roman"/>
                <w:b/>
                <w:bCs/>
                <w:color w:val="000000"/>
                <w:szCs w:val="21"/>
                <w:lang w:eastAsia="cs-CZ"/>
              </w:rPr>
            </w:pPr>
            <w:r w:rsidRPr="00874333">
              <w:rPr>
                <w:rFonts w:ascii="Calibri" w:hAnsi="Calibri" w:cs="Times New Roman CE"/>
                <w:b/>
                <w:bCs/>
                <w:color w:val="000000"/>
                <w:szCs w:val="21"/>
              </w:rPr>
              <w:t>4 046</w:t>
            </w:r>
          </w:p>
        </w:tc>
        <w:tc>
          <w:tcPr>
            <w:tcW w:w="935" w:type="dxa"/>
            <w:tcBorders>
              <w:top w:val="nil"/>
              <w:left w:val="nil"/>
              <w:bottom w:val="nil"/>
              <w:right w:val="nil"/>
            </w:tcBorders>
            <w:shd w:val="clear" w:color="auto" w:fill="auto"/>
            <w:noWrap/>
            <w:vAlign w:val="center"/>
          </w:tcPr>
          <w:p w:rsidR="00874333" w:rsidRPr="00874333" w:rsidRDefault="00874333" w:rsidP="00B56821">
            <w:pPr>
              <w:spacing w:after="0" w:line="240" w:lineRule="auto"/>
              <w:jc w:val="right"/>
              <w:rPr>
                <w:rFonts w:ascii="Calibri" w:eastAsia="Times New Roman" w:hAnsi="Calibri" w:cs="Times New Roman"/>
                <w:b/>
                <w:bCs/>
                <w:color w:val="000000"/>
                <w:szCs w:val="21"/>
                <w:lang w:eastAsia="cs-CZ"/>
              </w:rPr>
            </w:pPr>
            <w:r w:rsidRPr="00874333">
              <w:rPr>
                <w:rFonts w:ascii="Calibri" w:hAnsi="Calibri" w:cs="Times New Roman CE"/>
                <w:b/>
                <w:bCs/>
                <w:color w:val="000000"/>
                <w:szCs w:val="21"/>
              </w:rPr>
              <w:t>4 072</w:t>
            </w:r>
          </w:p>
        </w:tc>
        <w:tc>
          <w:tcPr>
            <w:tcW w:w="1109" w:type="dxa"/>
            <w:tcBorders>
              <w:top w:val="nil"/>
              <w:left w:val="nil"/>
              <w:bottom w:val="nil"/>
              <w:right w:val="nil"/>
            </w:tcBorders>
            <w:shd w:val="clear" w:color="000000" w:fill="DCE6F1"/>
            <w:noWrap/>
            <w:vAlign w:val="center"/>
          </w:tcPr>
          <w:p w:rsidR="00874333" w:rsidRPr="00874333" w:rsidRDefault="00874333" w:rsidP="00B56821">
            <w:pPr>
              <w:spacing w:after="0" w:line="240" w:lineRule="auto"/>
              <w:jc w:val="right"/>
              <w:rPr>
                <w:rFonts w:ascii="Calibri" w:eastAsia="Times New Roman" w:hAnsi="Calibri" w:cs="Times New Roman"/>
                <w:b/>
                <w:bCs/>
                <w:color w:val="000000"/>
                <w:szCs w:val="21"/>
                <w:lang w:eastAsia="cs-CZ"/>
              </w:rPr>
            </w:pPr>
            <w:r w:rsidRPr="00874333">
              <w:rPr>
                <w:rFonts w:ascii="Calibri" w:hAnsi="Calibri" w:cs="Times New Roman CE"/>
                <w:b/>
                <w:bCs/>
                <w:color w:val="000000"/>
                <w:szCs w:val="21"/>
              </w:rPr>
              <w:t>989</w:t>
            </w:r>
          </w:p>
        </w:tc>
        <w:tc>
          <w:tcPr>
            <w:tcW w:w="1017" w:type="dxa"/>
            <w:tcBorders>
              <w:top w:val="nil"/>
              <w:left w:val="nil"/>
              <w:bottom w:val="nil"/>
              <w:right w:val="nil"/>
            </w:tcBorders>
            <w:shd w:val="clear" w:color="auto" w:fill="auto"/>
            <w:noWrap/>
            <w:vAlign w:val="center"/>
          </w:tcPr>
          <w:p w:rsidR="00874333" w:rsidRPr="00874333" w:rsidRDefault="00874333" w:rsidP="00B56821">
            <w:pPr>
              <w:spacing w:after="0" w:line="240" w:lineRule="auto"/>
              <w:jc w:val="right"/>
              <w:rPr>
                <w:rFonts w:ascii="Calibri" w:eastAsia="Times New Roman" w:hAnsi="Calibri" w:cs="Times New Roman"/>
                <w:b/>
                <w:bCs/>
                <w:color w:val="000000"/>
                <w:szCs w:val="21"/>
                <w:lang w:eastAsia="cs-CZ"/>
              </w:rPr>
            </w:pPr>
            <w:r w:rsidRPr="00874333">
              <w:rPr>
                <w:rFonts w:ascii="Calibri" w:hAnsi="Calibri" w:cs="Times New Roman CE"/>
                <w:b/>
                <w:bCs/>
                <w:color w:val="000000"/>
                <w:szCs w:val="21"/>
              </w:rPr>
              <w:t>5 840</w:t>
            </w:r>
          </w:p>
        </w:tc>
        <w:tc>
          <w:tcPr>
            <w:tcW w:w="994" w:type="dxa"/>
            <w:tcBorders>
              <w:top w:val="nil"/>
              <w:left w:val="nil"/>
              <w:bottom w:val="nil"/>
              <w:right w:val="single" w:sz="12" w:space="0" w:color="4F81BD"/>
            </w:tcBorders>
            <w:shd w:val="clear" w:color="000000" w:fill="DCE6F1"/>
            <w:noWrap/>
            <w:vAlign w:val="center"/>
          </w:tcPr>
          <w:p w:rsidR="00874333" w:rsidRPr="00874333" w:rsidRDefault="00874333" w:rsidP="00B56821">
            <w:pPr>
              <w:spacing w:after="0" w:line="240" w:lineRule="auto"/>
              <w:jc w:val="right"/>
              <w:rPr>
                <w:rFonts w:ascii="Calibri" w:eastAsia="Times New Roman" w:hAnsi="Calibri" w:cs="Times New Roman"/>
                <w:b/>
                <w:bCs/>
                <w:color w:val="000000"/>
                <w:szCs w:val="21"/>
                <w:lang w:eastAsia="cs-CZ"/>
              </w:rPr>
            </w:pPr>
            <w:r w:rsidRPr="00874333">
              <w:rPr>
                <w:rFonts w:ascii="Calibri" w:hAnsi="Calibri" w:cs="Times New Roman CE"/>
                <w:b/>
                <w:bCs/>
                <w:color w:val="000000"/>
                <w:szCs w:val="21"/>
              </w:rPr>
              <w:t>1 961</w:t>
            </w:r>
          </w:p>
        </w:tc>
      </w:tr>
      <w:tr w:rsidR="00874333" w:rsidRPr="0011274B" w:rsidTr="00AD5E8F">
        <w:trPr>
          <w:trHeight w:val="585"/>
          <w:jc w:val="center"/>
        </w:trPr>
        <w:tc>
          <w:tcPr>
            <w:tcW w:w="1789" w:type="dxa"/>
            <w:tcBorders>
              <w:top w:val="nil"/>
              <w:left w:val="single" w:sz="12" w:space="0" w:color="4F81BD"/>
              <w:bottom w:val="single" w:sz="12" w:space="0" w:color="4F81BD"/>
              <w:right w:val="nil"/>
            </w:tcBorders>
            <w:shd w:val="clear" w:color="000000" w:fill="EEF3F8"/>
            <w:vAlign w:val="center"/>
            <w:hideMark/>
          </w:tcPr>
          <w:p w:rsidR="00874333" w:rsidRPr="0011274B" w:rsidRDefault="00874333" w:rsidP="00B56821">
            <w:pPr>
              <w:spacing w:after="0" w:line="240" w:lineRule="auto"/>
              <w:rPr>
                <w:rFonts w:ascii="Calibri" w:eastAsia="Times New Roman" w:hAnsi="Calibri" w:cs="Times New Roman"/>
                <w:color w:val="000000"/>
                <w:szCs w:val="21"/>
                <w:lang w:eastAsia="cs-CZ"/>
              </w:rPr>
            </w:pPr>
            <w:r w:rsidRPr="0011274B">
              <w:rPr>
                <w:rFonts w:ascii="Calibri" w:eastAsia="Times New Roman" w:hAnsi="Calibri" w:cs="Times New Roman"/>
                <w:color w:val="000000"/>
                <w:szCs w:val="21"/>
                <w:lang w:eastAsia="cs-CZ"/>
              </w:rPr>
              <w:t>Podíl zůstatků na celkových ročních výdajích</w:t>
            </w:r>
          </w:p>
        </w:tc>
        <w:tc>
          <w:tcPr>
            <w:tcW w:w="992" w:type="dxa"/>
            <w:tcBorders>
              <w:top w:val="nil"/>
              <w:left w:val="nil"/>
              <w:bottom w:val="single" w:sz="12" w:space="0" w:color="4F81BD"/>
              <w:right w:val="nil"/>
            </w:tcBorders>
            <w:shd w:val="clear" w:color="000000" w:fill="EEF3F8"/>
            <w:noWrap/>
            <w:vAlign w:val="center"/>
          </w:tcPr>
          <w:p w:rsidR="00874333" w:rsidRPr="00874333" w:rsidRDefault="00874333" w:rsidP="00AD5E8F">
            <w:pPr>
              <w:spacing w:after="0" w:line="240" w:lineRule="auto"/>
              <w:jc w:val="right"/>
              <w:rPr>
                <w:rFonts w:ascii="Calibri" w:eastAsia="Times New Roman" w:hAnsi="Calibri" w:cs="Times New Roman"/>
                <w:color w:val="000000"/>
                <w:szCs w:val="21"/>
                <w:lang w:eastAsia="cs-CZ"/>
              </w:rPr>
            </w:pPr>
            <w:r w:rsidRPr="00874333">
              <w:rPr>
                <w:rFonts w:ascii="Calibri" w:hAnsi="Calibri" w:cs="Times New Roman CE"/>
                <w:color w:val="000000"/>
                <w:szCs w:val="21"/>
              </w:rPr>
              <w:t>12,8</w:t>
            </w:r>
            <w:r>
              <w:rPr>
                <w:rFonts w:ascii="Calibri" w:hAnsi="Calibri" w:cs="Times New Roman CE"/>
                <w:color w:val="000000"/>
                <w:szCs w:val="21"/>
              </w:rPr>
              <w:t xml:space="preserve"> </w:t>
            </w:r>
            <w:r w:rsidRPr="00874333">
              <w:rPr>
                <w:rFonts w:ascii="Calibri" w:hAnsi="Calibri" w:cs="Times New Roman CE"/>
                <w:color w:val="000000"/>
                <w:szCs w:val="21"/>
              </w:rPr>
              <w:t>%</w:t>
            </w:r>
          </w:p>
        </w:tc>
        <w:tc>
          <w:tcPr>
            <w:tcW w:w="1134" w:type="dxa"/>
            <w:tcBorders>
              <w:top w:val="nil"/>
              <w:left w:val="nil"/>
              <w:bottom w:val="single" w:sz="12" w:space="0" w:color="4F81BD"/>
              <w:right w:val="nil"/>
            </w:tcBorders>
            <w:shd w:val="clear" w:color="000000" w:fill="EEF3F8"/>
            <w:noWrap/>
            <w:vAlign w:val="center"/>
          </w:tcPr>
          <w:p w:rsidR="00874333" w:rsidRPr="00874333" w:rsidRDefault="00874333" w:rsidP="00AD5E8F">
            <w:pPr>
              <w:spacing w:after="0" w:line="240" w:lineRule="auto"/>
              <w:jc w:val="right"/>
              <w:rPr>
                <w:rFonts w:ascii="Calibri" w:eastAsia="Times New Roman" w:hAnsi="Calibri" w:cs="Times New Roman"/>
                <w:color w:val="000000"/>
                <w:szCs w:val="21"/>
                <w:lang w:eastAsia="cs-CZ"/>
              </w:rPr>
            </w:pPr>
            <w:r w:rsidRPr="00874333">
              <w:rPr>
                <w:rFonts w:ascii="Calibri" w:hAnsi="Calibri" w:cs="Times New Roman CE"/>
                <w:color w:val="000000"/>
                <w:szCs w:val="21"/>
              </w:rPr>
              <w:t>9,4</w:t>
            </w:r>
            <w:r>
              <w:rPr>
                <w:rFonts w:ascii="Calibri" w:hAnsi="Calibri" w:cs="Times New Roman CE"/>
                <w:color w:val="000000"/>
                <w:szCs w:val="21"/>
              </w:rPr>
              <w:t xml:space="preserve"> </w:t>
            </w:r>
            <w:r w:rsidRPr="00874333">
              <w:rPr>
                <w:rFonts w:ascii="Calibri" w:hAnsi="Calibri" w:cs="Times New Roman CE"/>
                <w:color w:val="000000"/>
                <w:szCs w:val="21"/>
              </w:rPr>
              <w:t>%</w:t>
            </w:r>
          </w:p>
        </w:tc>
        <w:tc>
          <w:tcPr>
            <w:tcW w:w="992" w:type="dxa"/>
            <w:tcBorders>
              <w:top w:val="nil"/>
              <w:left w:val="nil"/>
              <w:bottom w:val="single" w:sz="12" w:space="0" w:color="4F81BD"/>
              <w:right w:val="nil"/>
            </w:tcBorders>
            <w:shd w:val="clear" w:color="000000" w:fill="EEF3F8"/>
            <w:noWrap/>
            <w:vAlign w:val="center"/>
          </w:tcPr>
          <w:p w:rsidR="00874333" w:rsidRPr="00874333" w:rsidRDefault="00874333" w:rsidP="00AD5E8F">
            <w:pPr>
              <w:spacing w:after="0" w:line="240" w:lineRule="auto"/>
              <w:jc w:val="right"/>
              <w:rPr>
                <w:rFonts w:ascii="Calibri" w:eastAsia="Times New Roman" w:hAnsi="Calibri" w:cs="Times New Roman"/>
                <w:color w:val="000000"/>
                <w:szCs w:val="21"/>
                <w:lang w:eastAsia="cs-CZ"/>
              </w:rPr>
            </w:pPr>
            <w:r w:rsidRPr="00874333">
              <w:rPr>
                <w:rFonts w:ascii="Calibri" w:hAnsi="Calibri" w:cs="Times New Roman CE"/>
                <w:color w:val="000000"/>
                <w:szCs w:val="21"/>
              </w:rPr>
              <w:t>11,6</w:t>
            </w:r>
            <w:r>
              <w:rPr>
                <w:rFonts w:ascii="Calibri" w:hAnsi="Calibri" w:cs="Times New Roman CE"/>
                <w:color w:val="000000"/>
                <w:szCs w:val="21"/>
              </w:rPr>
              <w:t xml:space="preserve"> </w:t>
            </w:r>
            <w:r w:rsidRPr="00874333">
              <w:rPr>
                <w:rFonts w:ascii="Calibri" w:hAnsi="Calibri" w:cs="Times New Roman CE"/>
                <w:color w:val="000000"/>
                <w:szCs w:val="21"/>
              </w:rPr>
              <w:t>%</w:t>
            </w:r>
          </w:p>
        </w:tc>
        <w:tc>
          <w:tcPr>
            <w:tcW w:w="935" w:type="dxa"/>
            <w:tcBorders>
              <w:top w:val="nil"/>
              <w:left w:val="nil"/>
              <w:bottom w:val="single" w:sz="12" w:space="0" w:color="4F81BD"/>
              <w:right w:val="nil"/>
            </w:tcBorders>
            <w:shd w:val="clear" w:color="000000" w:fill="EEF3F8"/>
            <w:noWrap/>
            <w:vAlign w:val="center"/>
          </w:tcPr>
          <w:p w:rsidR="00874333" w:rsidRPr="00874333" w:rsidRDefault="00874333" w:rsidP="00AD5E8F">
            <w:pPr>
              <w:spacing w:after="0" w:line="240" w:lineRule="auto"/>
              <w:jc w:val="right"/>
              <w:rPr>
                <w:rFonts w:ascii="Calibri" w:eastAsia="Times New Roman" w:hAnsi="Calibri" w:cs="Times New Roman"/>
                <w:color w:val="000000"/>
                <w:szCs w:val="21"/>
                <w:lang w:eastAsia="cs-CZ"/>
              </w:rPr>
            </w:pPr>
            <w:r w:rsidRPr="00874333">
              <w:rPr>
                <w:rFonts w:ascii="Calibri" w:hAnsi="Calibri" w:cs="Times New Roman CE"/>
                <w:color w:val="000000"/>
                <w:szCs w:val="21"/>
              </w:rPr>
              <w:t>20,1</w:t>
            </w:r>
            <w:r>
              <w:rPr>
                <w:rFonts w:ascii="Calibri" w:hAnsi="Calibri" w:cs="Times New Roman CE"/>
                <w:color w:val="000000"/>
                <w:szCs w:val="21"/>
              </w:rPr>
              <w:t xml:space="preserve"> </w:t>
            </w:r>
            <w:r w:rsidRPr="00874333">
              <w:rPr>
                <w:rFonts w:ascii="Calibri" w:hAnsi="Calibri" w:cs="Times New Roman CE"/>
                <w:color w:val="000000"/>
                <w:szCs w:val="21"/>
              </w:rPr>
              <w:t>%</w:t>
            </w:r>
          </w:p>
        </w:tc>
        <w:tc>
          <w:tcPr>
            <w:tcW w:w="1109" w:type="dxa"/>
            <w:tcBorders>
              <w:top w:val="nil"/>
              <w:left w:val="nil"/>
              <w:bottom w:val="single" w:sz="12" w:space="0" w:color="4F81BD"/>
              <w:right w:val="nil"/>
            </w:tcBorders>
            <w:shd w:val="clear" w:color="000000" w:fill="EEF3F8"/>
            <w:noWrap/>
            <w:vAlign w:val="center"/>
          </w:tcPr>
          <w:p w:rsidR="00874333" w:rsidRPr="00874333" w:rsidRDefault="00874333" w:rsidP="00AD5E8F">
            <w:pPr>
              <w:spacing w:after="0" w:line="240" w:lineRule="auto"/>
              <w:jc w:val="right"/>
              <w:rPr>
                <w:rFonts w:ascii="Calibri" w:eastAsia="Times New Roman" w:hAnsi="Calibri" w:cs="Times New Roman"/>
                <w:color w:val="000000"/>
                <w:szCs w:val="21"/>
                <w:lang w:eastAsia="cs-CZ"/>
              </w:rPr>
            </w:pPr>
            <w:r w:rsidRPr="00874333">
              <w:rPr>
                <w:rFonts w:ascii="Calibri" w:hAnsi="Calibri" w:cs="Times New Roman CE"/>
                <w:color w:val="000000"/>
                <w:szCs w:val="21"/>
              </w:rPr>
              <w:t>23,0</w:t>
            </w:r>
            <w:r>
              <w:rPr>
                <w:rFonts w:ascii="Calibri" w:hAnsi="Calibri" w:cs="Times New Roman CE"/>
                <w:color w:val="000000"/>
                <w:szCs w:val="21"/>
              </w:rPr>
              <w:t xml:space="preserve"> </w:t>
            </w:r>
            <w:r w:rsidRPr="00874333">
              <w:rPr>
                <w:rFonts w:ascii="Calibri" w:hAnsi="Calibri" w:cs="Times New Roman CE"/>
                <w:color w:val="000000"/>
                <w:szCs w:val="21"/>
              </w:rPr>
              <w:t>%</w:t>
            </w:r>
          </w:p>
        </w:tc>
        <w:tc>
          <w:tcPr>
            <w:tcW w:w="1017" w:type="dxa"/>
            <w:tcBorders>
              <w:top w:val="nil"/>
              <w:left w:val="nil"/>
              <w:bottom w:val="single" w:sz="12" w:space="0" w:color="4F81BD"/>
              <w:right w:val="nil"/>
            </w:tcBorders>
            <w:shd w:val="clear" w:color="000000" w:fill="EEF3F8"/>
            <w:noWrap/>
            <w:vAlign w:val="center"/>
          </w:tcPr>
          <w:p w:rsidR="00874333" w:rsidRPr="00874333" w:rsidRDefault="00874333" w:rsidP="00AD5E8F">
            <w:pPr>
              <w:spacing w:after="0" w:line="240" w:lineRule="auto"/>
              <w:jc w:val="right"/>
              <w:rPr>
                <w:rFonts w:ascii="Calibri" w:eastAsia="Times New Roman" w:hAnsi="Calibri" w:cs="Times New Roman"/>
                <w:color w:val="000000"/>
                <w:szCs w:val="21"/>
                <w:lang w:eastAsia="cs-CZ"/>
              </w:rPr>
            </w:pPr>
            <w:r w:rsidRPr="00874333">
              <w:rPr>
                <w:rFonts w:ascii="Calibri" w:hAnsi="Calibri" w:cs="Times New Roman CE"/>
                <w:color w:val="000000"/>
                <w:szCs w:val="21"/>
              </w:rPr>
              <w:t>15,5</w:t>
            </w:r>
            <w:r>
              <w:rPr>
                <w:rFonts w:ascii="Calibri" w:hAnsi="Calibri" w:cs="Times New Roman CE"/>
                <w:color w:val="000000"/>
                <w:szCs w:val="21"/>
              </w:rPr>
              <w:t xml:space="preserve"> </w:t>
            </w:r>
            <w:r w:rsidRPr="00874333">
              <w:rPr>
                <w:rFonts w:ascii="Calibri" w:hAnsi="Calibri" w:cs="Times New Roman CE"/>
                <w:color w:val="000000"/>
                <w:szCs w:val="21"/>
              </w:rPr>
              <w:t>%</w:t>
            </w:r>
          </w:p>
        </w:tc>
        <w:tc>
          <w:tcPr>
            <w:tcW w:w="994" w:type="dxa"/>
            <w:tcBorders>
              <w:top w:val="nil"/>
              <w:left w:val="nil"/>
              <w:bottom w:val="single" w:sz="12" w:space="0" w:color="4F81BD"/>
              <w:right w:val="single" w:sz="12" w:space="0" w:color="4F81BD"/>
            </w:tcBorders>
            <w:shd w:val="clear" w:color="000000" w:fill="EEF3F8"/>
            <w:noWrap/>
            <w:vAlign w:val="center"/>
          </w:tcPr>
          <w:p w:rsidR="00874333" w:rsidRPr="00874333" w:rsidRDefault="00874333" w:rsidP="00AD5E8F">
            <w:pPr>
              <w:spacing w:after="0" w:line="240" w:lineRule="auto"/>
              <w:jc w:val="right"/>
              <w:rPr>
                <w:rFonts w:ascii="Calibri" w:eastAsia="Times New Roman" w:hAnsi="Calibri" w:cs="Times New Roman"/>
                <w:color w:val="000000"/>
                <w:szCs w:val="21"/>
                <w:lang w:eastAsia="cs-CZ"/>
              </w:rPr>
            </w:pPr>
            <w:r w:rsidRPr="00AD5E8F">
              <w:rPr>
                <w:rFonts w:ascii="Calibri" w:hAnsi="Calibri" w:cs="Times New Roman CE"/>
                <w:color w:val="000000"/>
                <w:szCs w:val="21"/>
              </w:rPr>
              <w:t>16,6</w:t>
            </w:r>
            <w:r>
              <w:rPr>
                <w:rFonts w:ascii="Calibri" w:hAnsi="Calibri" w:cs="Times New Roman CE"/>
                <w:color w:val="000000"/>
                <w:szCs w:val="21"/>
              </w:rPr>
              <w:t xml:space="preserve"> </w:t>
            </w:r>
            <w:r w:rsidRPr="00AD5E8F">
              <w:rPr>
                <w:rFonts w:ascii="Calibri" w:hAnsi="Calibri" w:cs="Times New Roman CE"/>
                <w:color w:val="000000"/>
                <w:szCs w:val="21"/>
              </w:rPr>
              <w:t>%</w:t>
            </w:r>
          </w:p>
        </w:tc>
      </w:tr>
    </w:tbl>
    <w:p w:rsidR="00685EAE" w:rsidRDefault="00685EAE" w:rsidP="00E2586E">
      <w:pPr>
        <w:spacing w:before="180" w:line="276" w:lineRule="auto"/>
        <w:jc w:val="both"/>
      </w:pPr>
      <w:r w:rsidRPr="00AD5E8F">
        <w:t>S významnými zůstatky VZP ČR souvisí i meziroční změna v rozložení peněžních prostředků na BÚ m</w:t>
      </w:r>
      <w:r w:rsidR="0026171B">
        <w:t>ezi </w:t>
      </w:r>
      <w:r w:rsidRPr="00AD5E8F">
        <w:t>jednotlivými ZP, kde</w:t>
      </w:r>
      <w:r w:rsidR="0026171B">
        <w:t xml:space="preserve"> se zastoupení VZP ČR zvýšilo z</w:t>
      </w:r>
      <w:r w:rsidRPr="00AD5E8F">
        <w:t> </w:t>
      </w:r>
      <w:r w:rsidR="00AD5E8F" w:rsidRPr="00AD5E8F">
        <w:t xml:space="preserve">54,7 </w:t>
      </w:r>
      <w:r w:rsidRPr="00AD5E8F">
        <w:t xml:space="preserve">% v roce </w:t>
      </w:r>
      <w:r w:rsidR="00AD5E8F" w:rsidRPr="00AD5E8F">
        <w:t xml:space="preserve">2018 </w:t>
      </w:r>
      <w:r w:rsidRPr="00AD5E8F">
        <w:t xml:space="preserve">na </w:t>
      </w:r>
      <w:r w:rsidR="00AD5E8F" w:rsidRPr="00AD5E8F">
        <w:t xml:space="preserve">57,3 </w:t>
      </w:r>
      <w:r w:rsidRPr="00AD5E8F">
        <w:t xml:space="preserve">% v roce </w:t>
      </w:r>
      <w:r w:rsidR="00AD5E8F" w:rsidRPr="00AD5E8F">
        <w:t xml:space="preserve">2019 </w:t>
      </w:r>
      <w:r w:rsidR="00E2586E" w:rsidRPr="00AD5E8F">
        <w:t>(</w:t>
      </w:r>
      <w:r w:rsidR="00E2586E" w:rsidRPr="00AD5E8F">
        <w:rPr>
          <w:i/>
          <w:iCs/>
        </w:rPr>
        <w:t xml:space="preserve">Graf č. </w:t>
      </w:r>
      <w:r w:rsidR="002D4FEA" w:rsidRPr="00AD5E8F">
        <w:rPr>
          <w:i/>
          <w:iCs/>
        </w:rPr>
        <w:t>9).</w:t>
      </w:r>
    </w:p>
    <w:p w:rsidR="00E2586E" w:rsidRDefault="00E2586E" w:rsidP="00E2586E">
      <w:pPr>
        <w:pStyle w:val="Titulek"/>
      </w:pPr>
      <w:bookmarkStart w:id="22" w:name="_Toc41837526"/>
      <w:r>
        <w:lastRenderedPageBreak/>
        <w:t xml:space="preserve">Graf č. </w:t>
      </w:r>
      <w:r>
        <w:rPr>
          <w:noProof/>
        </w:rPr>
        <w:fldChar w:fldCharType="begin"/>
      </w:r>
      <w:r>
        <w:rPr>
          <w:noProof/>
        </w:rPr>
        <w:instrText xml:space="preserve"> SEQ Graf \* ARABIC </w:instrText>
      </w:r>
      <w:r>
        <w:rPr>
          <w:noProof/>
        </w:rPr>
        <w:fldChar w:fldCharType="separate"/>
      </w:r>
      <w:r w:rsidR="00B17299">
        <w:rPr>
          <w:noProof/>
        </w:rPr>
        <w:t>9</w:t>
      </w:r>
      <w:r>
        <w:rPr>
          <w:noProof/>
        </w:rPr>
        <w:fldChar w:fldCharType="end"/>
      </w:r>
      <w:r>
        <w:t xml:space="preserve">: </w:t>
      </w:r>
      <w:r w:rsidRPr="00E2586E">
        <w:t>Rozložení peněžních prostředků na BÚ mezi jednotlivými ZP k 31. 12. 201</w:t>
      </w:r>
      <w:r w:rsidR="00AD5E8F">
        <w:t>9</w:t>
      </w:r>
      <w:bookmarkEnd w:id="22"/>
    </w:p>
    <w:p w:rsidR="00AD5E8F" w:rsidRDefault="00460081" w:rsidP="00AD5E8F">
      <w:pPr>
        <w:spacing w:before="180" w:line="276" w:lineRule="auto"/>
        <w:jc w:val="center"/>
      </w:pPr>
      <w:r>
        <w:rPr>
          <w:noProof/>
          <w:lang w:eastAsia="cs-CZ"/>
        </w:rPr>
        <w:drawing>
          <wp:inline distT="0" distB="0" distL="0" distR="0" wp14:anchorId="541E370A" wp14:editId="26324B4C">
            <wp:extent cx="4827181" cy="2626242"/>
            <wp:effectExtent l="0" t="0" r="12065" b="22225"/>
            <wp:docPr id="2" name="Graf 2">
              <a:extLst xmlns:a="http://schemas.openxmlformats.org/drawingml/2006/main">
                <a:ext uri="{FF2B5EF4-FFF2-40B4-BE49-F238E27FC236}">
                  <a16:creationId xmlns:a16="http://schemas.microsoft.com/office/drawing/2014/main" id="{00000000-0008-0000-1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85EAE" w:rsidRPr="003F33E2" w:rsidRDefault="00685EAE" w:rsidP="002D4FEA">
      <w:pPr>
        <w:spacing w:before="180" w:line="276" w:lineRule="auto"/>
        <w:jc w:val="both"/>
      </w:pPr>
      <w:r w:rsidRPr="00DD279A">
        <w:t xml:space="preserve">V tabulkové příloze </w:t>
      </w:r>
      <w:r w:rsidRPr="00AE1706">
        <w:rPr>
          <w:i/>
          <w:iCs/>
        </w:rPr>
        <w:t>Tabulka č. 1b</w:t>
      </w:r>
      <w:r w:rsidRPr="00CA6B33">
        <w:t>, jsou uvedeny finanční zůstatky na BÚ ZFZP k 31. 12. 201</w:t>
      </w:r>
      <w:r w:rsidR="00F55E4F">
        <w:t>9</w:t>
      </w:r>
      <w:r w:rsidRPr="00CA6B33">
        <w:t>. Dále pak jsou v</w:t>
      </w:r>
      <w:r w:rsidR="00AE1706">
        <w:t> </w:t>
      </w:r>
      <w:r w:rsidRPr="00CA6B33">
        <w:t xml:space="preserve">tabulkové příloze </w:t>
      </w:r>
      <w:r w:rsidRPr="00AE1706">
        <w:rPr>
          <w:i/>
          <w:iCs/>
        </w:rPr>
        <w:t>Tabulka č. 1d</w:t>
      </w:r>
      <w:r w:rsidRPr="002D4FEA">
        <w:rPr>
          <w:i/>
          <w:iCs/>
        </w:rPr>
        <w:t xml:space="preserve"> </w:t>
      </w:r>
      <w:r w:rsidRPr="00CA6B33">
        <w:t>uvedeny finanční zůstatky na BÚ RF (rezervn</w:t>
      </w:r>
      <w:r w:rsidRPr="00C77C46">
        <w:t>í fond), kde lze vidět</w:t>
      </w:r>
      <w:r w:rsidR="00E51B4A">
        <w:t>,</w:t>
      </w:r>
      <w:r w:rsidRPr="00C77C46">
        <w:t xml:space="preserve"> </w:t>
      </w:r>
      <w:r w:rsidR="00E51B4A">
        <w:t>že všechny zdravotní pojišťovny měly rezervní fond naplněn na zákonem požadovanou výši.</w:t>
      </w:r>
      <w:r w:rsidRPr="003F33E2">
        <w:t xml:space="preserve"> </w:t>
      </w:r>
    </w:p>
    <w:p w:rsidR="00685EAE" w:rsidRDefault="00685EAE" w:rsidP="00AE1706">
      <w:pPr>
        <w:spacing w:before="180" w:line="276" w:lineRule="auto"/>
        <w:jc w:val="both"/>
      </w:pPr>
      <w:r w:rsidRPr="00A273CC">
        <w:rPr>
          <w:i/>
          <w:iCs/>
        </w:rPr>
        <w:t xml:space="preserve">Graf </w:t>
      </w:r>
      <w:r w:rsidR="00AE1706" w:rsidRPr="00A273CC">
        <w:rPr>
          <w:i/>
          <w:iCs/>
        </w:rPr>
        <w:t>č. 1</w:t>
      </w:r>
      <w:r w:rsidR="002D4FEA" w:rsidRPr="00A273CC">
        <w:rPr>
          <w:i/>
          <w:iCs/>
        </w:rPr>
        <w:t>0</w:t>
      </w:r>
      <w:r w:rsidRPr="008E3E61">
        <w:t xml:space="preserve"> sleduje v delším časovém horizontu vývoj podílu souhrnných zůstatků na fondech zdravotních pojišťoven k celkovým výdajům systému v. z. p. Z vývoje od roku 2016 je patrný růst a zastavení stagnace tohoto ukazatele</w:t>
      </w:r>
      <w:r w:rsidR="00AE6C44">
        <w:t xml:space="preserve"> a</w:t>
      </w:r>
      <w:r w:rsidRPr="008E3E61">
        <w:t xml:space="preserve"> je zjevné, že </w:t>
      </w:r>
      <w:r w:rsidRPr="00A273CC">
        <w:t xml:space="preserve">podíl </w:t>
      </w:r>
      <w:r w:rsidR="008E3E61" w:rsidRPr="00A273CC">
        <w:t>18,4</w:t>
      </w:r>
      <w:r w:rsidRPr="00A273CC">
        <w:t xml:space="preserve"> % v roce </w:t>
      </w:r>
      <w:r w:rsidR="008E3E61" w:rsidRPr="00A273CC">
        <w:t xml:space="preserve">2019 již </w:t>
      </w:r>
      <w:r w:rsidRPr="00A273CC">
        <w:t>dosahuje předkrizových hodnot</w:t>
      </w:r>
      <w:r>
        <w:t>.</w:t>
      </w:r>
      <w:r w:rsidRPr="002D4FEA">
        <w:rPr>
          <w:vertAlign w:val="superscript"/>
        </w:rPr>
        <w:footnoteReference w:id="7"/>
      </w:r>
    </w:p>
    <w:p w:rsidR="00AE1706" w:rsidRDefault="00AE1706" w:rsidP="00AE1706">
      <w:pPr>
        <w:pStyle w:val="Titulek"/>
      </w:pPr>
      <w:bookmarkStart w:id="23" w:name="_Toc41837527"/>
      <w:r>
        <w:t xml:space="preserve">Graf č. </w:t>
      </w:r>
      <w:r>
        <w:rPr>
          <w:noProof/>
        </w:rPr>
        <w:fldChar w:fldCharType="begin"/>
      </w:r>
      <w:r>
        <w:rPr>
          <w:noProof/>
        </w:rPr>
        <w:instrText xml:space="preserve"> SEQ Graf \* ARABIC </w:instrText>
      </w:r>
      <w:r>
        <w:rPr>
          <w:noProof/>
        </w:rPr>
        <w:fldChar w:fldCharType="separate"/>
      </w:r>
      <w:r w:rsidR="00B17299">
        <w:rPr>
          <w:noProof/>
        </w:rPr>
        <w:t>10</w:t>
      </w:r>
      <w:r>
        <w:rPr>
          <w:noProof/>
        </w:rPr>
        <w:fldChar w:fldCharType="end"/>
      </w:r>
      <w:r>
        <w:t xml:space="preserve">: </w:t>
      </w:r>
      <w:r w:rsidRPr="00AE1706">
        <w:t>Vývoj zůstatků ZP a růstu HDP</w:t>
      </w:r>
      <w:bookmarkEnd w:id="23"/>
    </w:p>
    <w:p w:rsidR="00A273CC" w:rsidRPr="00A273CC" w:rsidRDefault="00A273CC" w:rsidP="00A273CC">
      <w:pPr>
        <w:pStyle w:val="TEXT"/>
      </w:pPr>
      <w:r>
        <w:rPr>
          <w:noProof/>
        </w:rPr>
        <w:drawing>
          <wp:inline distT="0" distB="0" distL="0" distR="0" wp14:anchorId="727F5782" wp14:editId="1A4CF936">
            <wp:extent cx="5759450" cy="2814320"/>
            <wp:effectExtent l="0" t="0" r="0" b="5080"/>
            <wp:docPr id="33" name="Graf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E450DF" w:rsidRDefault="00436F6E" w:rsidP="00AC25F3">
      <w:pPr>
        <w:pStyle w:val="Nadpis2"/>
      </w:pPr>
      <w:r>
        <w:br w:type="page"/>
      </w:r>
      <w:bookmarkStart w:id="24" w:name="_Toc41898953"/>
      <w:r w:rsidR="00E450DF" w:rsidRPr="009A5A66">
        <w:lastRenderedPageBreak/>
        <w:t>Pojištěnci systému v. z. p.</w:t>
      </w:r>
      <w:bookmarkEnd w:id="24"/>
      <w:r w:rsidR="00E450DF" w:rsidRPr="005E1526">
        <w:t xml:space="preserve"> </w:t>
      </w:r>
    </w:p>
    <w:p w:rsidR="00A75F24" w:rsidRDefault="00A75F24" w:rsidP="002D4FEA">
      <w:pPr>
        <w:spacing w:before="180" w:line="276" w:lineRule="auto"/>
        <w:jc w:val="both"/>
      </w:pPr>
      <w:r w:rsidRPr="00CD27C2">
        <w:t>K 31. 12. 201</w:t>
      </w:r>
      <w:r w:rsidR="00A273CC">
        <w:t>9</w:t>
      </w:r>
      <w:r w:rsidRPr="00CD27C2">
        <w:t xml:space="preserve"> bylo evidováno </w:t>
      </w:r>
      <w:r w:rsidRPr="00CD27C2">
        <w:rPr>
          <w:b/>
          <w:bCs/>
        </w:rPr>
        <w:t>10,</w:t>
      </w:r>
      <w:r w:rsidR="00434677" w:rsidRPr="00CD27C2">
        <w:rPr>
          <w:b/>
          <w:bCs/>
        </w:rPr>
        <w:t>5</w:t>
      </w:r>
      <w:r w:rsidR="00434677">
        <w:rPr>
          <w:b/>
          <w:bCs/>
        </w:rPr>
        <w:t>5</w:t>
      </w:r>
      <w:r w:rsidR="00434677" w:rsidRPr="00CD27C2">
        <w:rPr>
          <w:b/>
          <w:bCs/>
        </w:rPr>
        <w:t xml:space="preserve"> </w:t>
      </w:r>
      <w:r w:rsidRPr="00CD27C2">
        <w:rPr>
          <w:b/>
          <w:bCs/>
        </w:rPr>
        <w:t>mil. pojištěnců</w:t>
      </w:r>
      <w:r w:rsidRPr="00CD27C2">
        <w:t>, z toho VZP ČR registrovala 5,</w:t>
      </w:r>
      <w:r w:rsidR="00434677" w:rsidRPr="00CD27C2">
        <w:t>9</w:t>
      </w:r>
      <w:r w:rsidR="00434677">
        <w:t>6</w:t>
      </w:r>
      <w:r w:rsidR="00434677" w:rsidRPr="00CD27C2">
        <w:t> </w:t>
      </w:r>
      <w:r w:rsidRPr="00CD27C2">
        <w:t>mil. pojištěnců, tj.</w:t>
      </w:r>
      <w:r w:rsidR="00434677">
        <w:t> </w:t>
      </w:r>
      <w:r w:rsidRPr="00CD27C2">
        <w:t>56,</w:t>
      </w:r>
      <w:r w:rsidR="00434677">
        <w:t>4</w:t>
      </w:r>
      <w:r w:rsidR="00434677" w:rsidRPr="00CD27C2">
        <w:t xml:space="preserve"> </w:t>
      </w:r>
      <w:r w:rsidRPr="00CD27C2">
        <w:t>% pojištěnců systému v. z. </w:t>
      </w:r>
      <w:proofErr w:type="gramStart"/>
      <w:r w:rsidRPr="00CD27C2">
        <w:t>p.</w:t>
      </w:r>
      <w:r w:rsidR="00434677">
        <w:t>.</w:t>
      </w:r>
      <w:proofErr w:type="gramEnd"/>
      <w:r w:rsidR="00434677">
        <w:t xml:space="preserve"> Podrobnější údaje založené na průměrném ročním počtu obsahuje následující tabulka</w:t>
      </w:r>
      <w:r w:rsidRPr="00CD27C2">
        <w:t xml:space="preserve"> </w:t>
      </w:r>
      <w:r w:rsidR="0063484F" w:rsidRPr="00CD27C2">
        <w:t>(</w:t>
      </w:r>
      <w:r w:rsidR="0063484F" w:rsidRPr="00CD27C2">
        <w:rPr>
          <w:i/>
          <w:iCs/>
        </w:rPr>
        <w:t>Tabulka č.</w:t>
      </w:r>
      <w:r w:rsidR="00CD27C2">
        <w:rPr>
          <w:i/>
          <w:iCs/>
        </w:rPr>
        <w:t xml:space="preserve"> </w:t>
      </w:r>
      <w:r w:rsidR="002D4FEA" w:rsidRPr="00CD27C2">
        <w:rPr>
          <w:i/>
          <w:iCs/>
        </w:rPr>
        <w:t>7</w:t>
      </w:r>
      <w:r w:rsidR="0063484F" w:rsidRPr="00CD27C2">
        <w:t>).</w:t>
      </w:r>
    </w:p>
    <w:p w:rsidR="00A75F24" w:rsidRDefault="00A75F24" w:rsidP="002D4FEA">
      <w:pPr>
        <w:spacing w:before="180" w:line="276" w:lineRule="auto"/>
        <w:jc w:val="both"/>
      </w:pPr>
      <w:r>
        <w:t>Nejvýznamnější skupinou mezi pojištěnci systému byli tzv. státní pojištěnci, jejichž c</w:t>
      </w:r>
      <w:r w:rsidRPr="00157752">
        <w:t>elkový průměrný počet dosáhl 5,88 mil. osob</w:t>
      </w:r>
      <w:r>
        <w:t xml:space="preserve"> (tj. 55,</w:t>
      </w:r>
      <w:r w:rsidR="00301A47">
        <w:t>8</w:t>
      </w:r>
      <w:r>
        <w:t xml:space="preserve"> % všech), oproti roku </w:t>
      </w:r>
      <w:r w:rsidR="00301A47">
        <w:t xml:space="preserve">2018 </w:t>
      </w:r>
      <w:r>
        <w:t xml:space="preserve">došlo k jejich </w:t>
      </w:r>
      <w:r w:rsidR="00460081">
        <w:t>růstu</w:t>
      </w:r>
      <w:r>
        <w:t xml:space="preserve"> o 0,</w:t>
      </w:r>
      <w:r w:rsidR="00301A47">
        <w:t>03</w:t>
      </w:r>
      <w:r>
        <w:t> % (absolutně o</w:t>
      </w:r>
      <w:r w:rsidR="00301A47">
        <w:t> 1</w:t>
      </w:r>
      <w:r w:rsidR="005112B6">
        <w:t xml:space="preserve"> </w:t>
      </w:r>
      <w:r w:rsidR="00301A47">
        <w:t>598 </w:t>
      </w:r>
      <w:r>
        <w:t xml:space="preserve">osob). Zastoupení této skupiny je ve všech zdravotních pojišťovnách přibližně shodné. </w:t>
      </w:r>
    </w:p>
    <w:p w:rsidR="00A75F24" w:rsidRDefault="0063484F" w:rsidP="002D4FEA">
      <w:pPr>
        <w:pStyle w:val="Titulek"/>
        <w:jc w:val="both"/>
      </w:pPr>
      <w:bookmarkStart w:id="25" w:name="_Toc41837499"/>
      <w:r w:rsidRPr="00C75FC6">
        <w:t xml:space="preserve">Tabulka č. </w:t>
      </w:r>
      <w:r>
        <w:rPr>
          <w:noProof/>
        </w:rPr>
        <w:fldChar w:fldCharType="begin"/>
      </w:r>
      <w:r>
        <w:rPr>
          <w:noProof/>
        </w:rPr>
        <w:instrText xml:space="preserve"> SEQ Tabulka \* ARABIC </w:instrText>
      </w:r>
      <w:r>
        <w:rPr>
          <w:noProof/>
        </w:rPr>
        <w:fldChar w:fldCharType="separate"/>
      </w:r>
      <w:r w:rsidR="00B17299">
        <w:rPr>
          <w:noProof/>
        </w:rPr>
        <w:t>7</w:t>
      </w:r>
      <w:r>
        <w:rPr>
          <w:noProof/>
        </w:rPr>
        <w:fldChar w:fldCharType="end"/>
      </w:r>
      <w:r w:rsidRPr="00C75FC6">
        <w:t xml:space="preserve">: </w:t>
      </w:r>
      <w:r w:rsidRPr="0063484F">
        <w:t>Pojištěnci a zaměstnanci systému v. z. p. 201</w:t>
      </w:r>
      <w:r w:rsidR="00301A47">
        <w:t>9</w:t>
      </w:r>
      <w:r w:rsidRPr="0063484F">
        <w:t xml:space="preserve"> dle zdravotních pojišťoven</w:t>
      </w:r>
      <w:bookmarkEnd w:id="25"/>
    </w:p>
    <w:tbl>
      <w:tblPr>
        <w:tblW w:w="9504" w:type="dxa"/>
        <w:jc w:val="center"/>
        <w:tblCellMar>
          <w:left w:w="70" w:type="dxa"/>
          <w:right w:w="70" w:type="dxa"/>
        </w:tblCellMar>
        <w:tblLook w:val="04A0" w:firstRow="1" w:lastRow="0" w:firstColumn="1" w:lastColumn="0" w:noHBand="0" w:noVBand="1"/>
      </w:tblPr>
      <w:tblGrid>
        <w:gridCol w:w="2700"/>
        <w:gridCol w:w="1134"/>
        <w:gridCol w:w="992"/>
        <w:gridCol w:w="1079"/>
        <w:gridCol w:w="840"/>
        <w:gridCol w:w="840"/>
        <w:gridCol w:w="1068"/>
        <w:gridCol w:w="851"/>
      </w:tblGrid>
      <w:tr w:rsidR="00AD2E56" w:rsidRPr="00301A47" w:rsidTr="000E6678">
        <w:trPr>
          <w:trHeight w:val="601"/>
          <w:jc w:val="center"/>
        </w:trPr>
        <w:tc>
          <w:tcPr>
            <w:tcW w:w="2700" w:type="dxa"/>
            <w:tcBorders>
              <w:top w:val="single" w:sz="12" w:space="0" w:color="4F81BD"/>
              <w:left w:val="single" w:sz="12" w:space="0" w:color="4F81BD"/>
              <w:right w:val="nil"/>
            </w:tcBorders>
            <w:shd w:val="clear" w:color="000000" w:fill="4F81BD"/>
            <w:vAlign w:val="center"/>
            <w:hideMark/>
          </w:tcPr>
          <w:p w:rsidR="00AD2E56" w:rsidRPr="00301A47" w:rsidRDefault="00AD2E56" w:rsidP="00B56821">
            <w:pPr>
              <w:spacing w:after="0" w:line="240" w:lineRule="auto"/>
              <w:rPr>
                <w:rFonts w:ascii="Calibri" w:eastAsia="Times New Roman" w:hAnsi="Calibri" w:cs="Times New Roman CE"/>
                <w:szCs w:val="21"/>
                <w:lang w:eastAsia="cs-CZ"/>
              </w:rPr>
            </w:pPr>
            <w:r w:rsidRPr="00301A47">
              <w:rPr>
                <w:rFonts w:ascii="Calibri" w:eastAsia="Times New Roman" w:hAnsi="Calibri" w:cs="Times New Roman CE"/>
                <w:b/>
                <w:bCs/>
                <w:i/>
                <w:iCs/>
                <w:color w:val="FFFFFF"/>
                <w:szCs w:val="21"/>
                <w:lang w:eastAsia="cs-CZ"/>
              </w:rPr>
              <w:t xml:space="preserve">průměrný počet </w:t>
            </w:r>
          </w:p>
        </w:tc>
        <w:tc>
          <w:tcPr>
            <w:tcW w:w="1134" w:type="dxa"/>
            <w:tcBorders>
              <w:top w:val="single" w:sz="12" w:space="0" w:color="4F81BD"/>
              <w:left w:val="nil"/>
              <w:bottom w:val="nil"/>
              <w:right w:val="nil"/>
            </w:tcBorders>
            <w:shd w:val="clear" w:color="000000" w:fill="6691C6"/>
            <w:noWrap/>
            <w:vAlign w:val="center"/>
            <w:hideMark/>
          </w:tcPr>
          <w:p w:rsidR="00AD2E56" w:rsidRPr="00301A47" w:rsidRDefault="00AD2E56" w:rsidP="00B56821">
            <w:pPr>
              <w:spacing w:after="0" w:line="240" w:lineRule="auto"/>
              <w:jc w:val="center"/>
              <w:rPr>
                <w:rFonts w:ascii="Calibri" w:eastAsia="Times New Roman" w:hAnsi="Calibri" w:cs="Times New Roman CE"/>
                <w:b/>
                <w:bCs/>
                <w:color w:val="FFFFFF"/>
                <w:szCs w:val="21"/>
                <w:lang w:eastAsia="cs-CZ"/>
              </w:rPr>
            </w:pPr>
            <w:r w:rsidRPr="00301A47">
              <w:rPr>
                <w:rFonts w:ascii="Calibri" w:eastAsia="Times New Roman" w:hAnsi="Calibri" w:cs="Times New Roman CE"/>
                <w:b/>
                <w:bCs/>
                <w:color w:val="FFFFFF"/>
                <w:szCs w:val="21"/>
                <w:lang w:eastAsia="cs-CZ"/>
              </w:rPr>
              <w:t>VZP ČR</w:t>
            </w:r>
          </w:p>
        </w:tc>
        <w:tc>
          <w:tcPr>
            <w:tcW w:w="992" w:type="dxa"/>
            <w:tcBorders>
              <w:top w:val="single" w:sz="12" w:space="0" w:color="4F81BD"/>
              <w:left w:val="nil"/>
              <w:bottom w:val="nil"/>
              <w:right w:val="nil"/>
            </w:tcBorders>
            <w:shd w:val="clear" w:color="000000" w:fill="4F81BD"/>
            <w:noWrap/>
            <w:vAlign w:val="center"/>
            <w:hideMark/>
          </w:tcPr>
          <w:p w:rsidR="00AD2E56" w:rsidRPr="00301A47" w:rsidRDefault="00AD2E56" w:rsidP="00B56821">
            <w:pPr>
              <w:spacing w:after="0" w:line="240" w:lineRule="auto"/>
              <w:jc w:val="center"/>
              <w:rPr>
                <w:rFonts w:ascii="Calibri" w:eastAsia="Times New Roman" w:hAnsi="Calibri" w:cs="Times New Roman CE"/>
                <w:b/>
                <w:bCs/>
                <w:color w:val="FFFFFF"/>
                <w:szCs w:val="21"/>
                <w:lang w:eastAsia="cs-CZ"/>
              </w:rPr>
            </w:pPr>
            <w:proofErr w:type="spellStart"/>
            <w:r w:rsidRPr="00301A47">
              <w:rPr>
                <w:rFonts w:ascii="Calibri" w:eastAsia="Times New Roman" w:hAnsi="Calibri" w:cs="Times New Roman CE"/>
                <w:b/>
                <w:bCs/>
                <w:color w:val="FFFFFF"/>
                <w:szCs w:val="21"/>
                <w:lang w:eastAsia="cs-CZ"/>
              </w:rPr>
              <w:t>VoZP</w:t>
            </w:r>
            <w:proofErr w:type="spellEnd"/>
            <w:r w:rsidRPr="00301A47">
              <w:rPr>
                <w:rFonts w:ascii="Calibri" w:eastAsia="Times New Roman" w:hAnsi="Calibri" w:cs="Times New Roman CE"/>
                <w:b/>
                <w:bCs/>
                <w:color w:val="FFFFFF"/>
                <w:szCs w:val="21"/>
                <w:lang w:eastAsia="cs-CZ"/>
              </w:rPr>
              <w:t xml:space="preserve"> ČR</w:t>
            </w:r>
          </w:p>
        </w:tc>
        <w:tc>
          <w:tcPr>
            <w:tcW w:w="1079" w:type="dxa"/>
            <w:tcBorders>
              <w:top w:val="single" w:sz="12" w:space="0" w:color="4F81BD"/>
              <w:left w:val="nil"/>
              <w:bottom w:val="nil"/>
              <w:right w:val="nil"/>
            </w:tcBorders>
            <w:shd w:val="clear" w:color="000000" w:fill="6691C6"/>
            <w:noWrap/>
            <w:vAlign w:val="center"/>
            <w:hideMark/>
          </w:tcPr>
          <w:p w:rsidR="00AD2E56" w:rsidRPr="00301A47" w:rsidRDefault="00AD2E56" w:rsidP="00B56821">
            <w:pPr>
              <w:spacing w:after="0" w:line="240" w:lineRule="auto"/>
              <w:jc w:val="center"/>
              <w:rPr>
                <w:rFonts w:ascii="Calibri" w:eastAsia="Times New Roman" w:hAnsi="Calibri" w:cs="Times New Roman CE"/>
                <w:b/>
                <w:bCs/>
                <w:color w:val="FFFFFF"/>
                <w:szCs w:val="21"/>
                <w:lang w:eastAsia="cs-CZ"/>
              </w:rPr>
            </w:pPr>
            <w:r w:rsidRPr="00301A47">
              <w:rPr>
                <w:rFonts w:ascii="Calibri" w:eastAsia="Times New Roman" w:hAnsi="Calibri" w:cs="Times New Roman CE"/>
                <w:b/>
                <w:bCs/>
                <w:color w:val="FFFFFF"/>
                <w:szCs w:val="21"/>
                <w:lang w:eastAsia="cs-CZ"/>
              </w:rPr>
              <w:t>ČPZP</w:t>
            </w:r>
          </w:p>
        </w:tc>
        <w:tc>
          <w:tcPr>
            <w:tcW w:w="840" w:type="dxa"/>
            <w:tcBorders>
              <w:top w:val="single" w:sz="12" w:space="0" w:color="4F81BD"/>
              <w:left w:val="nil"/>
              <w:bottom w:val="nil"/>
              <w:right w:val="nil"/>
            </w:tcBorders>
            <w:shd w:val="clear" w:color="000000" w:fill="4F81BD"/>
            <w:vAlign w:val="center"/>
            <w:hideMark/>
          </w:tcPr>
          <w:p w:rsidR="00AD2E56" w:rsidRPr="00301A47" w:rsidRDefault="00AD2E56" w:rsidP="00B56821">
            <w:pPr>
              <w:spacing w:after="0" w:line="240" w:lineRule="auto"/>
              <w:jc w:val="center"/>
              <w:rPr>
                <w:rFonts w:ascii="Calibri" w:eastAsia="Times New Roman" w:hAnsi="Calibri" w:cs="Times New Roman CE"/>
                <w:b/>
                <w:bCs/>
                <w:color w:val="FFFFFF"/>
                <w:szCs w:val="21"/>
                <w:lang w:eastAsia="cs-CZ"/>
              </w:rPr>
            </w:pPr>
            <w:r w:rsidRPr="00301A47">
              <w:rPr>
                <w:rFonts w:ascii="Calibri" w:eastAsia="Times New Roman" w:hAnsi="Calibri" w:cs="Times New Roman CE"/>
                <w:b/>
                <w:bCs/>
                <w:color w:val="FFFFFF"/>
                <w:szCs w:val="21"/>
                <w:lang w:eastAsia="cs-CZ"/>
              </w:rPr>
              <w:t>OZP</w:t>
            </w:r>
          </w:p>
        </w:tc>
        <w:tc>
          <w:tcPr>
            <w:tcW w:w="840" w:type="dxa"/>
            <w:tcBorders>
              <w:top w:val="single" w:sz="12" w:space="0" w:color="4F81BD"/>
              <w:left w:val="nil"/>
              <w:bottom w:val="nil"/>
              <w:right w:val="nil"/>
            </w:tcBorders>
            <w:shd w:val="clear" w:color="000000" w:fill="6691C6"/>
            <w:vAlign w:val="center"/>
            <w:hideMark/>
          </w:tcPr>
          <w:p w:rsidR="00AD2E56" w:rsidRPr="00301A47" w:rsidRDefault="00AD2E56" w:rsidP="00B56821">
            <w:pPr>
              <w:spacing w:after="0" w:line="240" w:lineRule="auto"/>
              <w:jc w:val="center"/>
              <w:rPr>
                <w:rFonts w:ascii="Calibri" w:eastAsia="Times New Roman" w:hAnsi="Calibri" w:cs="Times New Roman CE"/>
                <w:b/>
                <w:bCs/>
                <w:color w:val="FFFFFF"/>
                <w:szCs w:val="21"/>
                <w:lang w:eastAsia="cs-CZ"/>
              </w:rPr>
            </w:pPr>
            <w:r w:rsidRPr="00301A47">
              <w:rPr>
                <w:rFonts w:ascii="Calibri" w:eastAsia="Times New Roman" w:hAnsi="Calibri" w:cs="Times New Roman CE"/>
                <w:b/>
                <w:bCs/>
                <w:color w:val="FFFFFF"/>
                <w:szCs w:val="21"/>
                <w:lang w:eastAsia="cs-CZ"/>
              </w:rPr>
              <w:t>ZPŠ</w:t>
            </w:r>
          </w:p>
        </w:tc>
        <w:tc>
          <w:tcPr>
            <w:tcW w:w="1068" w:type="dxa"/>
            <w:tcBorders>
              <w:top w:val="single" w:sz="12" w:space="0" w:color="4F81BD"/>
              <w:left w:val="nil"/>
              <w:bottom w:val="nil"/>
              <w:right w:val="nil"/>
            </w:tcBorders>
            <w:shd w:val="clear" w:color="000000" w:fill="4F81BD"/>
            <w:vAlign w:val="center"/>
            <w:hideMark/>
          </w:tcPr>
          <w:p w:rsidR="00AD2E56" w:rsidRPr="00301A47" w:rsidRDefault="00AD2E56" w:rsidP="00B56821">
            <w:pPr>
              <w:spacing w:after="0" w:line="240" w:lineRule="auto"/>
              <w:jc w:val="center"/>
              <w:rPr>
                <w:rFonts w:ascii="Calibri" w:eastAsia="Times New Roman" w:hAnsi="Calibri" w:cs="Times New Roman CE"/>
                <w:b/>
                <w:bCs/>
                <w:color w:val="FFFFFF"/>
                <w:szCs w:val="21"/>
                <w:lang w:eastAsia="cs-CZ"/>
              </w:rPr>
            </w:pPr>
            <w:r w:rsidRPr="00301A47">
              <w:rPr>
                <w:rFonts w:ascii="Calibri" w:eastAsia="Times New Roman" w:hAnsi="Calibri" w:cs="Times New Roman CE"/>
                <w:b/>
                <w:bCs/>
                <w:color w:val="FFFFFF"/>
                <w:szCs w:val="21"/>
                <w:lang w:eastAsia="cs-CZ"/>
              </w:rPr>
              <w:t>ZP MV ČR</w:t>
            </w:r>
          </w:p>
        </w:tc>
        <w:tc>
          <w:tcPr>
            <w:tcW w:w="851" w:type="dxa"/>
            <w:tcBorders>
              <w:top w:val="single" w:sz="12" w:space="0" w:color="4F81BD"/>
              <w:left w:val="nil"/>
              <w:bottom w:val="nil"/>
              <w:right w:val="single" w:sz="12" w:space="0" w:color="4F81BD"/>
            </w:tcBorders>
            <w:shd w:val="clear" w:color="000000" w:fill="6691C6"/>
            <w:vAlign w:val="center"/>
            <w:hideMark/>
          </w:tcPr>
          <w:p w:rsidR="00AD2E56" w:rsidRPr="00301A47" w:rsidRDefault="00AD2E56" w:rsidP="00B56821">
            <w:pPr>
              <w:spacing w:after="0" w:line="240" w:lineRule="auto"/>
              <w:jc w:val="center"/>
              <w:rPr>
                <w:rFonts w:ascii="Calibri" w:eastAsia="Times New Roman" w:hAnsi="Calibri" w:cs="Times New Roman CE"/>
                <w:b/>
                <w:bCs/>
                <w:color w:val="FFFFFF"/>
                <w:szCs w:val="21"/>
                <w:lang w:eastAsia="cs-CZ"/>
              </w:rPr>
            </w:pPr>
            <w:r w:rsidRPr="00301A47">
              <w:rPr>
                <w:rFonts w:ascii="Calibri" w:eastAsia="Times New Roman" w:hAnsi="Calibri" w:cs="Times New Roman CE"/>
                <w:b/>
                <w:bCs/>
                <w:color w:val="FFFFFF"/>
                <w:szCs w:val="21"/>
                <w:lang w:eastAsia="cs-CZ"/>
              </w:rPr>
              <w:t>RBP</w:t>
            </w:r>
          </w:p>
        </w:tc>
      </w:tr>
      <w:tr w:rsidR="00301A47" w:rsidRPr="00301A47" w:rsidTr="00301A47">
        <w:trPr>
          <w:trHeight w:val="285"/>
          <w:jc w:val="center"/>
        </w:trPr>
        <w:tc>
          <w:tcPr>
            <w:tcW w:w="2700" w:type="dxa"/>
            <w:tcBorders>
              <w:top w:val="nil"/>
              <w:left w:val="single" w:sz="12" w:space="0" w:color="4F81BD"/>
              <w:bottom w:val="nil"/>
              <w:right w:val="nil"/>
            </w:tcBorders>
            <w:shd w:val="clear" w:color="auto" w:fill="auto"/>
            <w:vAlign w:val="center"/>
            <w:hideMark/>
          </w:tcPr>
          <w:p w:rsidR="00301A47" w:rsidRPr="00301A47" w:rsidRDefault="00301A47" w:rsidP="00B56821">
            <w:pPr>
              <w:spacing w:after="0" w:line="240" w:lineRule="auto"/>
              <w:rPr>
                <w:rFonts w:ascii="Calibri" w:eastAsia="Times New Roman" w:hAnsi="Calibri" w:cs="Times New Roman CE"/>
                <w:b/>
                <w:bCs/>
                <w:color w:val="000000"/>
                <w:szCs w:val="21"/>
                <w:lang w:eastAsia="cs-CZ"/>
              </w:rPr>
            </w:pPr>
            <w:r w:rsidRPr="00301A47">
              <w:rPr>
                <w:rFonts w:ascii="Calibri" w:eastAsia="Times New Roman" w:hAnsi="Calibri" w:cs="Times New Roman CE"/>
                <w:b/>
                <w:bCs/>
                <w:color w:val="000000"/>
                <w:szCs w:val="21"/>
                <w:lang w:eastAsia="cs-CZ"/>
              </w:rPr>
              <w:t>pojištěnců</w:t>
            </w:r>
          </w:p>
        </w:tc>
        <w:tc>
          <w:tcPr>
            <w:tcW w:w="1134" w:type="dxa"/>
            <w:tcBorders>
              <w:top w:val="nil"/>
              <w:left w:val="nil"/>
              <w:bottom w:val="nil"/>
              <w:right w:val="nil"/>
            </w:tcBorders>
            <w:shd w:val="clear" w:color="000000" w:fill="DCE6F1"/>
            <w:noWrap/>
            <w:vAlign w:val="center"/>
          </w:tcPr>
          <w:p w:rsidR="00301A47" w:rsidRPr="00301A47" w:rsidRDefault="00301A47" w:rsidP="00B56821">
            <w:pPr>
              <w:spacing w:after="0" w:line="240" w:lineRule="auto"/>
              <w:jc w:val="right"/>
              <w:rPr>
                <w:rFonts w:ascii="Calibri" w:eastAsia="Times New Roman" w:hAnsi="Calibri" w:cs="Times New Roman CE"/>
                <w:b/>
                <w:bCs/>
                <w:color w:val="000000"/>
                <w:szCs w:val="21"/>
                <w:lang w:eastAsia="cs-CZ"/>
              </w:rPr>
            </w:pPr>
            <w:r w:rsidRPr="00301A47">
              <w:rPr>
                <w:rFonts w:ascii="Calibri" w:hAnsi="Calibri" w:cs="Times New Roman CE"/>
                <w:b/>
                <w:bCs/>
                <w:color w:val="000000"/>
                <w:szCs w:val="21"/>
              </w:rPr>
              <w:t>5 954 346</w:t>
            </w:r>
          </w:p>
        </w:tc>
        <w:tc>
          <w:tcPr>
            <w:tcW w:w="992" w:type="dxa"/>
            <w:tcBorders>
              <w:top w:val="nil"/>
              <w:left w:val="nil"/>
              <w:bottom w:val="nil"/>
              <w:right w:val="nil"/>
            </w:tcBorders>
            <w:shd w:val="clear" w:color="auto" w:fill="auto"/>
            <w:noWrap/>
            <w:vAlign w:val="center"/>
          </w:tcPr>
          <w:p w:rsidR="00301A47" w:rsidRPr="00301A47" w:rsidRDefault="00301A47" w:rsidP="00B56821">
            <w:pPr>
              <w:spacing w:after="0" w:line="240" w:lineRule="auto"/>
              <w:jc w:val="right"/>
              <w:rPr>
                <w:rFonts w:ascii="Calibri" w:eastAsia="Times New Roman" w:hAnsi="Calibri" w:cs="Times New Roman CE"/>
                <w:b/>
                <w:bCs/>
                <w:color w:val="000000"/>
                <w:szCs w:val="21"/>
                <w:lang w:eastAsia="cs-CZ"/>
              </w:rPr>
            </w:pPr>
            <w:r w:rsidRPr="00301A47">
              <w:rPr>
                <w:rFonts w:ascii="Calibri" w:hAnsi="Calibri" w:cs="Times New Roman CE"/>
                <w:b/>
                <w:bCs/>
                <w:color w:val="000000"/>
                <w:szCs w:val="21"/>
              </w:rPr>
              <w:t>697 604</w:t>
            </w:r>
          </w:p>
        </w:tc>
        <w:tc>
          <w:tcPr>
            <w:tcW w:w="1079" w:type="dxa"/>
            <w:tcBorders>
              <w:top w:val="nil"/>
              <w:left w:val="nil"/>
              <w:bottom w:val="nil"/>
              <w:right w:val="nil"/>
            </w:tcBorders>
            <w:shd w:val="clear" w:color="000000" w:fill="DCE6F1"/>
            <w:noWrap/>
            <w:vAlign w:val="center"/>
          </w:tcPr>
          <w:p w:rsidR="00301A47" w:rsidRPr="00301A47" w:rsidRDefault="00301A47" w:rsidP="00B56821">
            <w:pPr>
              <w:spacing w:after="0" w:line="240" w:lineRule="auto"/>
              <w:jc w:val="right"/>
              <w:rPr>
                <w:rFonts w:ascii="Calibri" w:eastAsia="Times New Roman" w:hAnsi="Calibri" w:cs="Times New Roman CE"/>
                <w:b/>
                <w:bCs/>
                <w:color w:val="000000"/>
                <w:szCs w:val="21"/>
                <w:lang w:eastAsia="cs-CZ"/>
              </w:rPr>
            </w:pPr>
            <w:r w:rsidRPr="00301A47">
              <w:rPr>
                <w:rFonts w:ascii="Calibri" w:hAnsi="Calibri" w:cs="Times New Roman CE"/>
                <w:b/>
                <w:bCs/>
                <w:color w:val="000000"/>
                <w:szCs w:val="21"/>
              </w:rPr>
              <w:t>1 266 828</w:t>
            </w:r>
          </w:p>
        </w:tc>
        <w:tc>
          <w:tcPr>
            <w:tcW w:w="840" w:type="dxa"/>
            <w:tcBorders>
              <w:top w:val="nil"/>
              <w:left w:val="nil"/>
              <w:bottom w:val="nil"/>
              <w:right w:val="nil"/>
            </w:tcBorders>
            <w:shd w:val="clear" w:color="auto" w:fill="auto"/>
            <w:noWrap/>
            <w:vAlign w:val="center"/>
          </w:tcPr>
          <w:p w:rsidR="00301A47" w:rsidRPr="00301A47" w:rsidRDefault="00301A47" w:rsidP="00B56821">
            <w:pPr>
              <w:spacing w:after="0" w:line="240" w:lineRule="auto"/>
              <w:jc w:val="right"/>
              <w:rPr>
                <w:rFonts w:ascii="Calibri" w:eastAsia="Times New Roman" w:hAnsi="Calibri" w:cs="Times New Roman CE"/>
                <w:b/>
                <w:bCs/>
                <w:color w:val="000000"/>
                <w:szCs w:val="21"/>
                <w:lang w:eastAsia="cs-CZ"/>
              </w:rPr>
            </w:pPr>
            <w:r w:rsidRPr="00301A47">
              <w:rPr>
                <w:rFonts w:ascii="Calibri" w:hAnsi="Calibri" w:cs="Times New Roman CE"/>
                <w:b/>
                <w:bCs/>
                <w:color w:val="000000"/>
                <w:szCs w:val="21"/>
              </w:rPr>
              <w:t>731 797</w:t>
            </w:r>
          </w:p>
        </w:tc>
        <w:tc>
          <w:tcPr>
            <w:tcW w:w="840" w:type="dxa"/>
            <w:tcBorders>
              <w:top w:val="nil"/>
              <w:left w:val="nil"/>
              <w:bottom w:val="nil"/>
              <w:right w:val="nil"/>
            </w:tcBorders>
            <w:shd w:val="clear" w:color="000000" w:fill="DCE6F1"/>
            <w:noWrap/>
            <w:vAlign w:val="center"/>
          </w:tcPr>
          <w:p w:rsidR="00301A47" w:rsidRPr="00301A47" w:rsidRDefault="00301A47" w:rsidP="00B56821">
            <w:pPr>
              <w:spacing w:after="0" w:line="240" w:lineRule="auto"/>
              <w:jc w:val="right"/>
              <w:rPr>
                <w:rFonts w:ascii="Calibri" w:eastAsia="Times New Roman" w:hAnsi="Calibri" w:cs="Times New Roman CE"/>
                <w:b/>
                <w:bCs/>
                <w:color w:val="000000"/>
                <w:szCs w:val="21"/>
                <w:lang w:eastAsia="cs-CZ"/>
              </w:rPr>
            </w:pPr>
            <w:r w:rsidRPr="00301A47">
              <w:rPr>
                <w:rFonts w:ascii="Calibri" w:hAnsi="Calibri" w:cs="Times New Roman CE"/>
                <w:b/>
                <w:bCs/>
                <w:color w:val="000000"/>
                <w:szCs w:val="21"/>
              </w:rPr>
              <w:t>144 716</w:t>
            </w:r>
          </w:p>
        </w:tc>
        <w:tc>
          <w:tcPr>
            <w:tcW w:w="1068" w:type="dxa"/>
            <w:tcBorders>
              <w:top w:val="nil"/>
              <w:left w:val="nil"/>
              <w:bottom w:val="nil"/>
              <w:right w:val="nil"/>
            </w:tcBorders>
            <w:shd w:val="clear" w:color="auto" w:fill="auto"/>
            <w:noWrap/>
            <w:vAlign w:val="center"/>
          </w:tcPr>
          <w:p w:rsidR="00301A47" w:rsidRPr="00301A47" w:rsidRDefault="00301A47" w:rsidP="00B56821">
            <w:pPr>
              <w:spacing w:after="0" w:line="240" w:lineRule="auto"/>
              <w:jc w:val="right"/>
              <w:rPr>
                <w:rFonts w:ascii="Calibri" w:eastAsia="Times New Roman" w:hAnsi="Calibri" w:cs="Times New Roman CE"/>
                <w:b/>
                <w:bCs/>
                <w:color w:val="000000"/>
                <w:szCs w:val="21"/>
                <w:lang w:eastAsia="cs-CZ"/>
              </w:rPr>
            </w:pPr>
            <w:r w:rsidRPr="00301A47">
              <w:rPr>
                <w:rFonts w:ascii="Calibri" w:hAnsi="Calibri" w:cs="Times New Roman CE"/>
                <w:b/>
                <w:bCs/>
                <w:color w:val="000000"/>
                <w:szCs w:val="21"/>
              </w:rPr>
              <w:t>1 318 148</w:t>
            </w:r>
          </w:p>
        </w:tc>
        <w:tc>
          <w:tcPr>
            <w:tcW w:w="851" w:type="dxa"/>
            <w:tcBorders>
              <w:top w:val="nil"/>
              <w:left w:val="nil"/>
              <w:bottom w:val="nil"/>
              <w:right w:val="single" w:sz="12" w:space="0" w:color="4F81BD"/>
            </w:tcBorders>
            <w:shd w:val="clear" w:color="000000" w:fill="DCE6F1"/>
            <w:noWrap/>
            <w:vAlign w:val="center"/>
          </w:tcPr>
          <w:p w:rsidR="00301A47" w:rsidRPr="00301A47" w:rsidRDefault="00301A47" w:rsidP="00B56821">
            <w:pPr>
              <w:spacing w:after="0" w:line="240" w:lineRule="auto"/>
              <w:jc w:val="right"/>
              <w:rPr>
                <w:rFonts w:ascii="Calibri" w:eastAsia="Times New Roman" w:hAnsi="Calibri" w:cs="Times New Roman CE"/>
                <w:b/>
                <w:bCs/>
                <w:color w:val="000000"/>
                <w:szCs w:val="21"/>
                <w:lang w:eastAsia="cs-CZ"/>
              </w:rPr>
            </w:pPr>
            <w:r w:rsidRPr="00301A47">
              <w:rPr>
                <w:rFonts w:ascii="Calibri" w:hAnsi="Calibri" w:cs="Times New Roman CE"/>
                <w:b/>
                <w:bCs/>
                <w:color w:val="000000"/>
                <w:szCs w:val="21"/>
              </w:rPr>
              <w:t>428 115</w:t>
            </w:r>
          </w:p>
        </w:tc>
      </w:tr>
      <w:tr w:rsidR="00301A47" w:rsidRPr="00301A47" w:rsidTr="00301A47">
        <w:trPr>
          <w:trHeight w:val="285"/>
          <w:jc w:val="center"/>
        </w:trPr>
        <w:tc>
          <w:tcPr>
            <w:tcW w:w="2700" w:type="dxa"/>
            <w:tcBorders>
              <w:top w:val="nil"/>
              <w:left w:val="single" w:sz="12" w:space="0" w:color="4F81BD"/>
              <w:bottom w:val="nil"/>
              <w:right w:val="nil"/>
            </w:tcBorders>
            <w:shd w:val="clear" w:color="000000" w:fill="EEF3F8"/>
            <w:vAlign w:val="center"/>
            <w:hideMark/>
          </w:tcPr>
          <w:p w:rsidR="00301A47" w:rsidRPr="00301A47" w:rsidRDefault="00301A47" w:rsidP="00B56821">
            <w:pPr>
              <w:spacing w:after="0" w:line="240" w:lineRule="auto"/>
              <w:rPr>
                <w:rFonts w:ascii="Calibri" w:eastAsia="Times New Roman" w:hAnsi="Calibri" w:cs="Times New Roman CE"/>
                <w:color w:val="000000"/>
                <w:szCs w:val="21"/>
                <w:lang w:eastAsia="cs-CZ"/>
              </w:rPr>
            </w:pPr>
            <w:r w:rsidRPr="00301A47">
              <w:rPr>
                <w:rFonts w:ascii="Calibri" w:eastAsia="Times New Roman" w:hAnsi="Calibri" w:cs="Times New Roman CE"/>
                <w:color w:val="000000"/>
                <w:szCs w:val="21"/>
                <w:lang w:eastAsia="cs-CZ"/>
              </w:rPr>
              <w:t>z toho státem hrazených</w:t>
            </w:r>
          </w:p>
        </w:tc>
        <w:tc>
          <w:tcPr>
            <w:tcW w:w="1134" w:type="dxa"/>
            <w:tcBorders>
              <w:top w:val="nil"/>
              <w:left w:val="nil"/>
              <w:bottom w:val="nil"/>
              <w:right w:val="nil"/>
            </w:tcBorders>
            <w:shd w:val="clear" w:color="000000" w:fill="EEF3F8"/>
            <w:noWrap/>
            <w:vAlign w:val="center"/>
          </w:tcPr>
          <w:p w:rsidR="00301A47" w:rsidRPr="00301A47" w:rsidRDefault="00301A47" w:rsidP="00B56821">
            <w:pPr>
              <w:spacing w:after="0" w:line="240" w:lineRule="auto"/>
              <w:jc w:val="right"/>
              <w:rPr>
                <w:rFonts w:ascii="Calibri" w:eastAsia="Times New Roman" w:hAnsi="Calibri" w:cs="Times New Roman CE"/>
                <w:color w:val="000000"/>
                <w:szCs w:val="21"/>
                <w:lang w:eastAsia="cs-CZ"/>
              </w:rPr>
            </w:pPr>
            <w:r w:rsidRPr="00301A47">
              <w:rPr>
                <w:rFonts w:ascii="Calibri" w:hAnsi="Calibri" w:cs="Times New Roman CE"/>
                <w:color w:val="000000"/>
                <w:szCs w:val="21"/>
              </w:rPr>
              <w:t>3 343 848</w:t>
            </w:r>
          </w:p>
        </w:tc>
        <w:tc>
          <w:tcPr>
            <w:tcW w:w="992" w:type="dxa"/>
            <w:tcBorders>
              <w:top w:val="nil"/>
              <w:left w:val="nil"/>
              <w:bottom w:val="nil"/>
              <w:right w:val="nil"/>
            </w:tcBorders>
            <w:shd w:val="clear" w:color="000000" w:fill="EEF3F8"/>
            <w:noWrap/>
            <w:vAlign w:val="center"/>
          </w:tcPr>
          <w:p w:rsidR="00301A47" w:rsidRPr="00301A47" w:rsidRDefault="00301A47" w:rsidP="00B56821">
            <w:pPr>
              <w:spacing w:after="0" w:line="240" w:lineRule="auto"/>
              <w:jc w:val="right"/>
              <w:rPr>
                <w:rFonts w:ascii="Calibri" w:eastAsia="Times New Roman" w:hAnsi="Calibri" w:cs="Times New Roman CE"/>
                <w:color w:val="000000"/>
                <w:szCs w:val="21"/>
                <w:lang w:eastAsia="cs-CZ"/>
              </w:rPr>
            </w:pPr>
            <w:r w:rsidRPr="00301A47">
              <w:rPr>
                <w:rFonts w:ascii="Calibri" w:hAnsi="Calibri" w:cs="Times New Roman CE"/>
                <w:color w:val="000000"/>
                <w:szCs w:val="21"/>
              </w:rPr>
              <w:t>368 204</w:t>
            </w:r>
          </w:p>
        </w:tc>
        <w:tc>
          <w:tcPr>
            <w:tcW w:w="1079" w:type="dxa"/>
            <w:tcBorders>
              <w:top w:val="nil"/>
              <w:left w:val="nil"/>
              <w:bottom w:val="nil"/>
              <w:right w:val="nil"/>
            </w:tcBorders>
            <w:shd w:val="clear" w:color="000000" w:fill="EEF3F8"/>
            <w:noWrap/>
            <w:vAlign w:val="center"/>
          </w:tcPr>
          <w:p w:rsidR="00301A47" w:rsidRPr="00301A47" w:rsidRDefault="00301A47" w:rsidP="00B56821">
            <w:pPr>
              <w:spacing w:after="0" w:line="240" w:lineRule="auto"/>
              <w:jc w:val="right"/>
              <w:rPr>
                <w:rFonts w:ascii="Calibri" w:eastAsia="Times New Roman" w:hAnsi="Calibri" w:cs="Times New Roman CE"/>
                <w:color w:val="000000"/>
                <w:szCs w:val="21"/>
                <w:lang w:eastAsia="cs-CZ"/>
              </w:rPr>
            </w:pPr>
            <w:r w:rsidRPr="00301A47">
              <w:rPr>
                <w:rFonts w:ascii="Calibri" w:hAnsi="Calibri" w:cs="Times New Roman CE"/>
                <w:color w:val="000000"/>
                <w:szCs w:val="21"/>
              </w:rPr>
              <w:t>716 869</w:t>
            </w:r>
          </w:p>
        </w:tc>
        <w:tc>
          <w:tcPr>
            <w:tcW w:w="840" w:type="dxa"/>
            <w:tcBorders>
              <w:top w:val="nil"/>
              <w:left w:val="nil"/>
              <w:bottom w:val="nil"/>
              <w:right w:val="nil"/>
            </w:tcBorders>
            <w:shd w:val="clear" w:color="000000" w:fill="EEF3F8"/>
            <w:noWrap/>
            <w:vAlign w:val="center"/>
          </w:tcPr>
          <w:p w:rsidR="00301A47" w:rsidRPr="00301A47" w:rsidRDefault="00301A47" w:rsidP="00B56821">
            <w:pPr>
              <w:spacing w:after="0" w:line="240" w:lineRule="auto"/>
              <w:jc w:val="right"/>
              <w:rPr>
                <w:rFonts w:ascii="Calibri" w:eastAsia="Times New Roman" w:hAnsi="Calibri" w:cs="Times New Roman CE"/>
                <w:color w:val="000000"/>
                <w:szCs w:val="21"/>
                <w:lang w:eastAsia="cs-CZ"/>
              </w:rPr>
            </w:pPr>
            <w:r w:rsidRPr="00301A47">
              <w:rPr>
                <w:rFonts w:ascii="Calibri" w:hAnsi="Calibri" w:cs="Times New Roman CE"/>
                <w:color w:val="000000"/>
                <w:szCs w:val="21"/>
              </w:rPr>
              <w:t>407 090</w:t>
            </w:r>
          </w:p>
        </w:tc>
        <w:tc>
          <w:tcPr>
            <w:tcW w:w="840" w:type="dxa"/>
            <w:tcBorders>
              <w:top w:val="nil"/>
              <w:left w:val="nil"/>
              <w:bottom w:val="nil"/>
              <w:right w:val="nil"/>
            </w:tcBorders>
            <w:shd w:val="clear" w:color="000000" w:fill="EEF3F8"/>
            <w:noWrap/>
            <w:vAlign w:val="center"/>
          </w:tcPr>
          <w:p w:rsidR="00301A47" w:rsidRPr="00301A47" w:rsidRDefault="00301A47" w:rsidP="00B56821">
            <w:pPr>
              <w:spacing w:after="0" w:line="240" w:lineRule="auto"/>
              <w:jc w:val="right"/>
              <w:rPr>
                <w:rFonts w:ascii="Calibri" w:eastAsia="Times New Roman" w:hAnsi="Calibri" w:cs="Times New Roman CE"/>
                <w:color w:val="000000"/>
                <w:szCs w:val="21"/>
                <w:lang w:eastAsia="cs-CZ"/>
              </w:rPr>
            </w:pPr>
            <w:r w:rsidRPr="00301A47">
              <w:rPr>
                <w:rFonts w:ascii="Calibri" w:hAnsi="Calibri" w:cs="Times New Roman CE"/>
                <w:color w:val="000000"/>
                <w:szCs w:val="21"/>
              </w:rPr>
              <w:t>79 526</w:t>
            </w:r>
          </w:p>
        </w:tc>
        <w:tc>
          <w:tcPr>
            <w:tcW w:w="1068" w:type="dxa"/>
            <w:tcBorders>
              <w:top w:val="nil"/>
              <w:left w:val="nil"/>
              <w:bottom w:val="nil"/>
              <w:right w:val="nil"/>
            </w:tcBorders>
            <w:shd w:val="clear" w:color="000000" w:fill="EEF3F8"/>
            <w:noWrap/>
            <w:vAlign w:val="center"/>
          </w:tcPr>
          <w:p w:rsidR="00301A47" w:rsidRPr="00301A47" w:rsidRDefault="00301A47" w:rsidP="00B56821">
            <w:pPr>
              <w:spacing w:after="0" w:line="240" w:lineRule="auto"/>
              <w:jc w:val="right"/>
              <w:rPr>
                <w:rFonts w:ascii="Calibri" w:eastAsia="Times New Roman" w:hAnsi="Calibri" w:cs="Times New Roman CE"/>
                <w:color w:val="000000"/>
                <w:szCs w:val="21"/>
                <w:lang w:eastAsia="cs-CZ"/>
              </w:rPr>
            </w:pPr>
            <w:r w:rsidRPr="00301A47">
              <w:rPr>
                <w:rFonts w:ascii="Calibri" w:hAnsi="Calibri" w:cs="Times New Roman CE"/>
                <w:color w:val="000000"/>
                <w:szCs w:val="21"/>
              </w:rPr>
              <w:t>719 985</w:t>
            </w:r>
          </w:p>
        </w:tc>
        <w:tc>
          <w:tcPr>
            <w:tcW w:w="851" w:type="dxa"/>
            <w:tcBorders>
              <w:top w:val="nil"/>
              <w:left w:val="nil"/>
              <w:bottom w:val="nil"/>
              <w:right w:val="single" w:sz="12" w:space="0" w:color="4F81BD"/>
            </w:tcBorders>
            <w:shd w:val="clear" w:color="000000" w:fill="EEF3F8"/>
            <w:noWrap/>
            <w:vAlign w:val="center"/>
          </w:tcPr>
          <w:p w:rsidR="00301A47" w:rsidRPr="00301A47" w:rsidRDefault="00301A47" w:rsidP="00B56821">
            <w:pPr>
              <w:spacing w:after="0" w:line="240" w:lineRule="auto"/>
              <w:jc w:val="right"/>
              <w:rPr>
                <w:rFonts w:ascii="Calibri" w:eastAsia="Times New Roman" w:hAnsi="Calibri" w:cs="Times New Roman CE"/>
                <w:color w:val="000000"/>
                <w:szCs w:val="21"/>
                <w:lang w:eastAsia="cs-CZ"/>
              </w:rPr>
            </w:pPr>
            <w:r w:rsidRPr="00301A47">
              <w:rPr>
                <w:rFonts w:ascii="Calibri" w:hAnsi="Calibri" w:cs="Times New Roman CE"/>
                <w:color w:val="000000"/>
                <w:szCs w:val="21"/>
              </w:rPr>
              <w:t>245 955</w:t>
            </w:r>
          </w:p>
        </w:tc>
      </w:tr>
      <w:tr w:rsidR="00BF1738" w:rsidRPr="00301A47" w:rsidTr="00301A47">
        <w:trPr>
          <w:trHeight w:val="285"/>
          <w:jc w:val="center"/>
        </w:trPr>
        <w:tc>
          <w:tcPr>
            <w:tcW w:w="2700" w:type="dxa"/>
            <w:tcBorders>
              <w:top w:val="nil"/>
              <w:left w:val="single" w:sz="12" w:space="0" w:color="4F81BD"/>
              <w:bottom w:val="nil"/>
              <w:right w:val="nil"/>
            </w:tcBorders>
            <w:shd w:val="clear" w:color="auto" w:fill="auto"/>
            <w:vAlign w:val="center"/>
            <w:hideMark/>
          </w:tcPr>
          <w:p w:rsidR="00BF1738" w:rsidRPr="00301A47" w:rsidRDefault="00BF1738" w:rsidP="00BF1738">
            <w:pPr>
              <w:spacing w:after="0" w:line="240" w:lineRule="auto"/>
              <w:rPr>
                <w:rFonts w:ascii="Calibri" w:eastAsia="Times New Roman" w:hAnsi="Calibri" w:cs="Times New Roman CE"/>
                <w:color w:val="000000"/>
                <w:szCs w:val="21"/>
                <w:lang w:eastAsia="cs-CZ"/>
              </w:rPr>
            </w:pPr>
            <w:r w:rsidRPr="00301A47">
              <w:rPr>
                <w:rFonts w:ascii="Calibri" w:eastAsia="Times New Roman" w:hAnsi="Calibri" w:cs="Times New Roman CE"/>
                <w:color w:val="000000"/>
                <w:szCs w:val="21"/>
                <w:lang w:eastAsia="cs-CZ"/>
              </w:rPr>
              <w:t>podíl státem hrazených na celkovém počtu</w:t>
            </w:r>
          </w:p>
        </w:tc>
        <w:tc>
          <w:tcPr>
            <w:tcW w:w="1134" w:type="dxa"/>
            <w:tcBorders>
              <w:top w:val="nil"/>
              <w:left w:val="nil"/>
              <w:bottom w:val="nil"/>
              <w:right w:val="nil"/>
            </w:tcBorders>
            <w:shd w:val="clear" w:color="000000" w:fill="DCE6F1"/>
            <w:noWrap/>
            <w:vAlign w:val="center"/>
          </w:tcPr>
          <w:p w:rsidR="00BF1738" w:rsidRPr="00301A47" w:rsidRDefault="00BF1738" w:rsidP="00BF1738">
            <w:pPr>
              <w:spacing w:after="0" w:line="240" w:lineRule="auto"/>
              <w:jc w:val="right"/>
              <w:rPr>
                <w:rFonts w:ascii="Calibri" w:eastAsia="Times New Roman" w:hAnsi="Calibri" w:cs="Times New Roman CE"/>
                <w:color w:val="000000"/>
                <w:szCs w:val="21"/>
                <w:lang w:eastAsia="cs-CZ"/>
              </w:rPr>
            </w:pPr>
            <w:r w:rsidRPr="00301A47">
              <w:rPr>
                <w:rFonts w:ascii="Calibri" w:hAnsi="Calibri" w:cs="Times New Roman CE"/>
                <w:color w:val="000000"/>
                <w:szCs w:val="21"/>
              </w:rPr>
              <w:t>56</w:t>
            </w:r>
            <w:r>
              <w:rPr>
                <w:rFonts w:ascii="Calibri" w:hAnsi="Calibri" w:cs="Times New Roman CE"/>
                <w:color w:val="000000"/>
                <w:szCs w:val="21"/>
              </w:rPr>
              <w:t xml:space="preserve">,2 </w:t>
            </w:r>
            <w:r w:rsidRPr="00301A47">
              <w:rPr>
                <w:rFonts w:ascii="Calibri" w:hAnsi="Calibri" w:cs="Times New Roman CE"/>
                <w:color w:val="000000"/>
                <w:szCs w:val="21"/>
              </w:rPr>
              <w:t>%</w:t>
            </w:r>
          </w:p>
        </w:tc>
        <w:tc>
          <w:tcPr>
            <w:tcW w:w="992" w:type="dxa"/>
            <w:tcBorders>
              <w:top w:val="nil"/>
              <w:left w:val="nil"/>
              <w:bottom w:val="nil"/>
              <w:right w:val="nil"/>
            </w:tcBorders>
            <w:shd w:val="clear" w:color="auto" w:fill="auto"/>
            <w:noWrap/>
            <w:vAlign w:val="center"/>
          </w:tcPr>
          <w:p w:rsidR="00BF1738" w:rsidRPr="00301A47" w:rsidRDefault="00BF1738" w:rsidP="00BF1738">
            <w:pPr>
              <w:spacing w:after="0" w:line="240" w:lineRule="auto"/>
              <w:jc w:val="right"/>
              <w:rPr>
                <w:rFonts w:ascii="Calibri" w:eastAsia="Times New Roman" w:hAnsi="Calibri" w:cs="Times New Roman CE"/>
                <w:color w:val="000000"/>
                <w:szCs w:val="21"/>
                <w:lang w:eastAsia="cs-CZ"/>
              </w:rPr>
            </w:pPr>
            <w:r>
              <w:rPr>
                <w:rFonts w:ascii="Calibri" w:hAnsi="Calibri" w:cs="Times New Roman CE"/>
                <w:color w:val="000000"/>
                <w:szCs w:val="21"/>
              </w:rPr>
              <w:t> </w:t>
            </w:r>
            <w:r w:rsidRPr="00301A47">
              <w:rPr>
                <w:rFonts w:ascii="Calibri" w:hAnsi="Calibri" w:cs="Times New Roman CE"/>
                <w:color w:val="000000"/>
                <w:szCs w:val="21"/>
              </w:rPr>
              <w:t>5</w:t>
            </w:r>
            <w:r>
              <w:rPr>
                <w:rFonts w:ascii="Calibri" w:hAnsi="Calibri" w:cs="Times New Roman CE"/>
                <w:color w:val="000000"/>
                <w:szCs w:val="21"/>
              </w:rPr>
              <w:t xml:space="preserve">2,8 </w:t>
            </w:r>
            <w:r w:rsidRPr="00301A47">
              <w:rPr>
                <w:rFonts w:ascii="Calibri" w:hAnsi="Calibri" w:cs="Times New Roman CE"/>
                <w:color w:val="000000"/>
                <w:szCs w:val="21"/>
              </w:rPr>
              <w:t>%</w:t>
            </w:r>
          </w:p>
        </w:tc>
        <w:tc>
          <w:tcPr>
            <w:tcW w:w="1079" w:type="dxa"/>
            <w:tcBorders>
              <w:top w:val="nil"/>
              <w:left w:val="nil"/>
              <w:bottom w:val="nil"/>
              <w:right w:val="nil"/>
            </w:tcBorders>
            <w:shd w:val="clear" w:color="000000" w:fill="DCE6F1"/>
            <w:noWrap/>
            <w:vAlign w:val="center"/>
          </w:tcPr>
          <w:p w:rsidR="00BF1738" w:rsidRPr="00301A47" w:rsidRDefault="00BF1738" w:rsidP="00BF1738">
            <w:pPr>
              <w:spacing w:after="0" w:line="240" w:lineRule="auto"/>
              <w:jc w:val="right"/>
              <w:rPr>
                <w:rFonts w:ascii="Calibri" w:eastAsia="Times New Roman" w:hAnsi="Calibri" w:cs="Times New Roman CE"/>
                <w:color w:val="000000"/>
                <w:szCs w:val="21"/>
                <w:lang w:eastAsia="cs-CZ"/>
              </w:rPr>
            </w:pPr>
            <w:r w:rsidRPr="00301A47">
              <w:rPr>
                <w:rFonts w:ascii="Calibri" w:hAnsi="Calibri" w:cs="Times New Roman CE"/>
                <w:color w:val="000000"/>
                <w:szCs w:val="21"/>
              </w:rPr>
              <w:t>5</w:t>
            </w:r>
            <w:r>
              <w:rPr>
                <w:rFonts w:ascii="Calibri" w:hAnsi="Calibri" w:cs="Times New Roman CE"/>
                <w:color w:val="000000"/>
                <w:szCs w:val="21"/>
              </w:rPr>
              <w:t xml:space="preserve">6,6 </w:t>
            </w:r>
            <w:r w:rsidRPr="00301A47">
              <w:rPr>
                <w:rFonts w:ascii="Calibri" w:hAnsi="Calibri" w:cs="Times New Roman CE"/>
                <w:color w:val="000000"/>
                <w:szCs w:val="21"/>
              </w:rPr>
              <w:t>%</w:t>
            </w:r>
          </w:p>
        </w:tc>
        <w:tc>
          <w:tcPr>
            <w:tcW w:w="840" w:type="dxa"/>
            <w:tcBorders>
              <w:top w:val="nil"/>
              <w:left w:val="nil"/>
              <w:bottom w:val="nil"/>
              <w:right w:val="nil"/>
            </w:tcBorders>
            <w:shd w:val="clear" w:color="auto" w:fill="auto"/>
            <w:noWrap/>
            <w:vAlign w:val="center"/>
          </w:tcPr>
          <w:p w:rsidR="00BF1738" w:rsidRPr="00301A47" w:rsidRDefault="00BF1738" w:rsidP="00BF1738">
            <w:pPr>
              <w:spacing w:after="0" w:line="240" w:lineRule="auto"/>
              <w:jc w:val="right"/>
              <w:rPr>
                <w:rFonts w:ascii="Calibri" w:eastAsia="Times New Roman" w:hAnsi="Calibri" w:cs="Times New Roman CE"/>
                <w:color w:val="000000"/>
                <w:szCs w:val="21"/>
                <w:lang w:eastAsia="cs-CZ"/>
              </w:rPr>
            </w:pPr>
            <w:r w:rsidRPr="00301A47">
              <w:rPr>
                <w:rFonts w:ascii="Calibri" w:hAnsi="Calibri" w:cs="Times New Roman CE"/>
                <w:color w:val="000000"/>
                <w:szCs w:val="21"/>
              </w:rPr>
              <w:t>5</w:t>
            </w:r>
            <w:r>
              <w:rPr>
                <w:rFonts w:ascii="Calibri" w:hAnsi="Calibri" w:cs="Times New Roman CE"/>
                <w:color w:val="000000"/>
                <w:szCs w:val="21"/>
              </w:rPr>
              <w:t>5,</w:t>
            </w:r>
            <w:r w:rsidRPr="00301A47">
              <w:rPr>
                <w:rFonts w:ascii="Calibri" w:hAnsi="Calibri" w:cs="Times New Roman CE"/>
                <w:color w:val="000000"/>
                <w:szCs w:val="21"/>
              </w:rPr>
              <w:t>6</w:t>
            </w:r>
            <w:r>
              <w:rPr>
                <w:rFonts w:ascii="Calibri" w:hAnsi="Calibri" w:cs="Times New Roman CE"/>
                <w:color w:val="000000"/>
                <w:szCs w:val="21"/>
              </w:rPr>
              <w:t xml:space="preserve"> </w:t>
            </w:r>
            <w:r w:rsidRPr="00301A47">
              <w:rPr>
                <w:rFonts w:ascii="Calibri" w:hAnsi="Calibri" w:cs="Times New Roman CE"/>
                <w:color w:val="000000"/>
                <w:szCs w:val="21"/>
              </w:rPr>
              <w:t>%</w:t>
            </w:r>
          </w:p>
        </w:tc>
        <w:tc>
          <w:tcPr>
            <w:tcW w:w="840" w:type="dxa"/>
            <w:tcBorders>
              <w:top w:val="nil"/>
              <w:left w:val="nil"/>
              <w:bottom w:val="nil"/>
              <w:right w:val="nil"/>
            </w:tcBorders>
            <w:shd w:val="clear" w:color="000000" w:fill="DCE6F1"/>
            <w:noWrap/>
            <w:vAlign w:val="center"/>
          </w:tcPr>
          <w:p w:rsidR="00BF1738" w:rsidRPr="00301A47" w:rsidRDefault="00BF1738" w:rsidP="00BF1738">
            <w:pPr>
              <w:spacing w:after="0" w:line="240" w:lineRule="auto"/>
              <w:jc w:val="right"/>
              <w:rPr>
                <w:rFonts w:ascii="Calibri" w:eastAsia="Times New Roman" w:hAnsi="Calibri" w:cs="Times New Roman CE"/>
                <w:color w:val="000000"/>
                <w:szCs w:val="21"/>
                <w:lang w:eastAsia="cs-CZ"/>
              </w:rPr>
            </w:pPr>
            <w:r w:rsidRPr="00301A47">
              <w:rPr>
                <w:rFonts w:ascii="Calibri" w:hAnsi="Calibri" w:cs="Times New Roman CE"/>
                <w:color w:val="000000"/>
                <w:szCs w:val="21"/>
              </w:rPr>
              <w:t>55</w:t>
            </w:r>
            <w:r>
              <w:rPr>
                <w:rFonts w:ascii="Calibri" w:hAnsi="Calibri" w:cs="Times New Roman CE"/>
                <w:color w:val="000000"/>
                <w:szCs w:val="21"/>
              </w:rPr>
              <w:t xml:space="preserve">,0 </w:t>
            </w:r>
            <w:r w:rsidRPr="00301A47">
              <w:rPr>
                <w:rFonts w:ascii="Calibri" w:hAnsi="Calibri" w:cs="Times New Roman CE"/>
                <w:color w:val="000000"/>
                <w:szCs w:val="21"/>
              </w:rPr>
              <w:t>%</w:t>
            </w:r>
          </w:p>
        </w:tc>
        <w:tc>
          <w:tcPr>
            <w:tcW w:w="1068" w:type="dxa"/>
            <w:tcBorders>
              <w:top w:val="nil"/>
              <w:left w:val="nil"/>
              <w:bottom w:val="nil"/>
              <w:right w:val="nil"/>
            </w:tcBorders>
            <w:shd w:val="clear" w:color="auto" w:fill="auto"/>
            <w:noWrap/>
            <w:vAlign w:val="center"/>
          </w:tcPr>
          <w:p w:rsidR="00BF1738" w:rsidRPr="00301A47" w:rsidRDefault="00BF1738" w:rsidP="00BF1738">
            <w:pPr>
              <w:spacing w:after="0" w:line="240" w:lineRule="auto"/>
              <w:jc w:val="right"/>
              <w:rPr>
                <w:rFonts w:ascii="Calibri" w:eastAsia="Times New Roman" w:hAnsi="Calibri" w:cs="Times New Roman CE"/>
                <w:color w:val="000000"/>
                <w:szCs w:val="21"/>
                <w:lang w:eastAsia="cs-CZ"/>
              </w:rPr>
            </w:pPr>
            <w:r w:rsidRPr="00301A47">
              <w:rPr>
                <w:rFonts w:ascii="Calibri" w:hAnsi="Calibri" w:cs="Times New Roman CE"/>
                <w:color w:val="000000"/>
                <w:szCs w:val="21"/>
              </w:rPr>
              <w:t>5</w:t>
            </w:r>
            <w:r>
              <w:rPr>
                <w:rFonts w:ascii="Calibri" w:hAnsi="Calibri" w:cs="Times New Roman CE"/>
                <w:color w:val="000000"/>
                <w:szCs w:val="21"/>
              </w:rPr>
              <w:t xml:space="preserve">4,6 </w:t>
            </w:r>
            <w:r w:rsidRPr="00301A47">
              <w:rPr>
                <w:rFonts w:ascii="Calibri" w:hAnsi="Calibri" w:cs="Times New Roman CE"/>
                <w:color w:val="000000"/>
                <w:szCs w:val="21"/>
              </w:rPr>
              <w:t>%</w:t>
            </w:r>
          </w:p>
        </w:tc>
        <w:tc>
          <w:tcPr>
            <w:tcW w:w="851" w:type="dxa"/>
            <w:tcBorders>
              <w:top w:val="nil"/>
              <w:left w:val="nil"/>
              <w:bottom w:val="nil"/>
              <w:right w:val="single" w:sz="12" w:space="0" w:color="4F81BD"/>
            </w:tcBorders>
            <w:shd w:val="clear" w:color="000000" w:fill="DCE6F1"/>
            <w:noWrap/>
            <w:vAlign w:val="center"/>
          </w:tcPr>
          <w:p w:rsidR="00BF1738" w:rsidRPr="00301A47" w:rsidRDefault="00BF1738" w:rsidP="00BF1738">
            <w:pPr>
              <w:spacing w:after="0" w:line="240" w:lineRule="auto"/>
              <w:jc w:val="right"/>
              <w:rPr>
                <w:rFonts w:ascii="Calibri" w:eastAsia="Times New Roman" w:hAnsi="Calibri" w:cs="Times New Roman CE"/>
                <w:color w:val="000000"/>
                <w:szCs w:val="21"/>
                <w:lang w:eastAsia="cs-CZ"/>
              </w:rPr>
            </w:pPr>
            <w:r w:rsidRPr="00301A47">
              <w:rPr>
                <w:rFonts w:ascii="Calibri" w:hAnsi="Calibri" w:cs="Times New Roman CE"/>
                <w:color w:val="000000"/>
                <w:szCs w:val="21"/>
              </w:rPr>
              <w:t>57</w:t>
            </w:r>
            <w:r>
              <w:rPr>
                <w:rFonts w:ascii="Calibri" w:hAnsi="Calibri" w:cs="Times New Roman CE"/>
                <w:color w:val="000000"/>
                <w:szCs w:val="21"/>
              </w:rPr>
              <w:t xml:space="preserve">,5 </w:t>
            </w:r>
            <w:r w:rsidRPr="00301A47">
              <w:rPr>
                <w:rFonts w:ascii="Calibri" w:hAnsi="Calibri" w:cs="Times New Roman CE"/>
                <w:color w:val="000000"/>
                <w:szCs w:val="21"/>
              </w:rPr>
              <w:t>%</w:t>
            </w:r>
          </w:p>
        </w:tc>
      </w:tr>
      <w:tr w:rsidR="00BF1738" w:rsidRPr="00301A47" w:rsidTr="00301A47">
        <w:trPr>
          <w:trHeight w:val="285"/>
          <w:jc w:val="center"/>
        </w:trPr>
        <w:tc>
          <w:tcPr>
            <w:tcW w:w="2700" w:type="dxa"/>
            <w:tcBorders>
              <w:top w:val="nil"/>
              <w:left w:val="single" w:sz="12" w:space="0" w:color="4F81BD"/>
              <w:bottom w:val="nil"/>
              <w:right w:val="nil"/>
            </w:tcBorders>
            <w:shd w:val="clear" w:color="000000" w:fill="EEF3F8"/>
            <w:vAlign w:val="center"/>
            <w:hideMark/>
          </w:tcPr>
          <w:p w:rsidR="00BF1738" w:rsidRPr="00301A47" w:rsidRDefault="00BF1738" w:rsidP="00BF1738">
            <w:pPr>
              <w:spacing w:after="0" w:line="240" w:lineRule="auto"/>
              <w:rPr>
                <w:rFonts w:ascii="Calibri" w:eastAsia="Times New Roman" w:hAnsi="Calibri" w:cs="Times New Roman CE"/>
                <w:b/>
                <w:bCs/>
                <w:color w:val="000000"/>
                <w:szCs w:val="21"/>
                <w:lang w:eastAsia="cs-CZ"/>
              </w:rPr>
            </w:pPr>
            <w:r w:rsidRPr="00301A47">
              <w:rPr>
                <w:rFonts w:ascii="Calibri" w:eastAsia="Times New Roman" w:hAnsi="Calibri" w:cs="Times New Roman CE"/>
                <w:b/>
                <w:bCs/>
                <w:color w:val="000000"/>
                <w:szCs w:val="21"/>
                <w:lang w:eastAsia="cs-CZ"/>
              </w:rPr>
              <w:t>zaměstnanců</w:t>
            </w:r>
          </w:p>
        </w:tc>
        <w:tc>
          <w:tcPr>
            <w:tcW w:w="1134" w:type="dxa"/>
            <w:tcBorders>
              <w:top w:val="nil"/>
              <w:left w:val="nil"/>
              <w:bottom w:val="nil"/>
              <w:right w:val="nil"/>
            </w:tcBorders>
            <w:shd w:val="clear" w:color="000000" w:fill="EEF3F8"/>
            <w:noWrap/>
            <w:vAlign w:val="center"/>
          </w:tcPr>
          <w:p w:rsidR="00BF1738" w:rsidRPr="00301A47" w:rsidRDefault="00BF1738" w:rsidP="00BF1738">
            <w:pPr>
              <w:spacing w:after="0" w:line="240" w:lineRule="auto"/>
              <w:jc w:val="right"/>
              <w:rPr>
                <w:rFonts w:ascii="Calibri" w:eastAsia="Times New Roman" w:hAnsi="Calibri" w:cs="Times New Roman CE"/>
                <w:b/>
                <w:bCs/>
                <w:color w:val="000000"/>
                <w:szCs w:val="21"/>
                <w:lang w:eastAsia="cs-CZ"/>
              </w:rPr>
            </w:pPr>
            <w:r w:rsidRPr="00301A47">
              <w:rPr>
                <w:rFonts w:ascii="Calibri" w:hAnsi="Calibri" w:cs="Times New Roman CE"/>
                <w:b/>
                <w:bCs/>
                <w:color w:val="000000"/>
                <w:szCs w:val="21"/>
              </w:rPr>
              <w:t>3 634</w:t>
            </w:r>
          </w:p>
        </w:tc>
        <w:tc>
          <w:tcPr>
            <w:tcW w:w="992" w:type="dxa"/>
            <w:tcBorders>
              <w:top w:val="nil"/>
              <w:left w:val="nil"/>
              <w:bottom w:val="nil"/>
              <w:right w:val="nil"/>
            </w:tcBorders>
            <w:shd w:val="clear" w:color="000000" w:fill="EEF3F8"/>
            <w:noWrap/>
            <w:vAlign w:val="center"/>
          </w:tcPr>
          <w:p w:rsidR="00BF1738" w:rsidRPr="00301A47" w:rsidRDefault="00BF1738" w:rsidP="00BF1738">
            <w:pPr>
              <w:spacing w:after="0" w:line="240" w:lineRule="auto"/>
              <w:jc w:val="right"/>
              <w:rPr>
                <w:rFonts w:ascii="Calibri" w:eastAsia="Times New Roman" w:hAnsi="Calibri" w:cs="Times New Roman CE"/>
                <w:b/>
                <w:bCs/>
                <w:color w:val="000000"/>
                <w:szCs w:val="21"/>
                <w:lang w:eastAsia="cs-CZ"/>
              </w:rPr>
            </w:pPr>
            <w:r w:rsidRPr="00301A47">
              <w:rPr>
                <w:rFonts w:ascii="Calibri" w:hAnsi="Calibri" w:cs="Times New Roman CE"/>
                <w:b/>
                <w:bCs/>
                <w:color w:val="000000"/>
                <w:szCs w:val="21"/>
              </w:rPr>
              <w:t>410</w:t>
            </w:r>
          </w:p>
        </w:tc>
        <w:tc>
          <w:tcPr>
            <w:tcW w:w="1079" w:type="dxa"/>
            <w:tcBorders>
              <w:top w:val="nil"/>
              <w:left w:val="nil"/>
              <w:bottom w:val="nil"/>
              <w:right w:val="nil"/>
            </w:tcBorders>
            <w:shd w:val="clear" w:color="000000" w:fill="EEF3F8"/>
            <w:noWrap/>
            <w:vAlign w:val="center"/>
          </w:tcPr>
          <w:p w:rsidR="00BF1738" w:rsidRPr="00301A47" w:rsidRDefault="00BF1738" w:rsidP="00BF1738">
            <w:pPr>
              <w:spacing w:after="0" w:line="240" w:lineRule="auto"/>
              <w:jc w:val="right"/>
              <w:rPr>
                <w:rFonts w:ascii="Calibri" w:eastAsia="Times New Roman" w:hAnsi="Calibri" w:cs="Times New Roman CE"/>
                <w:b/>
                <w:bCs/>
                <w:color w:val="000000"/>
                <w:szCs w:val="21"/>
                <w:lang w:eastAsia="cs-CZ"/>
              </w:rPr>
            </w:pPr>
            <w:r w:rsidRPr="00301A47">
              <w:rPr>
                <w:rFonts w:ascii="Calibri" w:hAnsi="Calibri" w:cs="Times New Roman CE"/>
                <w:b/>
                <w:bCs/>
                <w:color w:val="000000"/>
                <w:szCs w:val="21"/>
              </w:rPr>
              <w:t>644</w:t>
            </w:r>
          </w:p>
        </w:tc>
        <w:tc>
          <w:tcPr>
            <w:tcW w:w="840" w:type="dxa"/>
            <w:tcBorders>
              <w:top w:val="nil"/>
              <w:left w:val="nil"/>
              <w:bottom w:val="nil"/>
              <w:right w:val="nil"/>
            </w:tcBorders>
            <w:shd w:val="clear" w:color="000000" w:fill="EEF3F8"/>
            <w:noWrap/>
            <w:vAlign w:val="center"/>
          </w:tcPr>
          <w:p w:rsidR="00BF1738" w:rsidRPr="00301A47" w:rsidRDefault="00BF1738" w:rsidP="00BF1738">
            <w:pPr>
              <w:spacing w:after="0" w:line="240" w:lineRule="auto"/>
              <w:jc w:val="right"/>
              <w:rPr>
                <w:rFonts w:ascii="Calibri" w:eastAsia="Times New Roman" w:hAnsi="Calibri" w:cs="Times New Roman CE"/>
                <w:b/>
                <w:bCs/>
                <w:color w:val="000000"/>
                <w:szCs w:val="21"/>
                <w:lang w:eastAsia="cs-CZ"/>
              </w:rPr>
            </w:pPr>
            <w:r w:rsidRPr="00301A47">
              <w:rPr>
                <w:rFonts w:ascii="Calibri" w:hAnsi="Calibri" w:cs="Times New Roman CE"/>
                <w:b/>
                <w:bCs/>
                <w:color w:val="000000"/>
                <w:szCs w:val="21"/>
              </w:rPr>
              <w:t>384</w:t>
            </w:r>
          </w:p>
        </w:tc>
        <w:tc>
          <w:tcPr>
            <w:tcW w:w="840" w:type="dxa"/>
            <w:tcBorders>
              <w:top w:val="nil"/>
              <w:left w:val="nil"/>
              <w:bottom w:val="nil"/>
              <w:right w:val="nil"/>
            </w:tcBorders>
            <w:shd w:val="clear" w:color="000000" w:fill="EEF3F8"/>
            <w:noWrap/>
            <w:vAlign w:val="center"/>
          </w:tcPr>
          <w:p w:rsidR="00BF1738" w:rsidRPr="00301A47" w:rsidRDefault="00BF1738" w:rsidP="00BF1738">
            <w:pPr>
              <w:spacing w:after="0" w:line="240" w:lineRule="auto"/>
              <w:jc w:val="right"/>
              <w:rPr>
                <w:rFonts w:ascii="Calibri" w:eastAsia="Times New Roman" w:hAnsi="Calibri" w:cs="Times New Roman CE"/>
                <w:b/>
                <w:bCs/>
                <w:color w:val="000000"/>
                <w:szCs w:val="21"/>
                <w:lang w:eastAsia="cs-CZ"/>
              </w:rPr>
            </w:pPr>
            <w:r w:rsidRPr="00301A47">
              <w:rPr>
                <w:rFonts w:ascii="Calibri" w:hAnsi="Calibri" w:cs="Times New Roman CE"/>
                <w:b/>
                <w:bCs/>
                <w:color w:val="000000"/>
                <w:szCs w:val="21"/>
              </w:rPr>
              <w:t>79</w:t>
            </w:r>
          </w:p>
        </w:tc>
        <w:tc>
          <w:tcPr>
            <w:tcW w:w="1068" w:type="dxa"/>
            <w:tcBorders>
              <w:top w:val="nil"/>
              <w:left w:val="nil"/>
              <w:bottom w:val="nil"/>
              <w:right w:val="nil"/>
            </w:tcBorders>
            <w:shd w:val="clear" w:color="000000" w:fill="EEF3F8"/>
            <w:noWrap/>
            <w:vAlign w:val="center"/>
          </w:tcPr>
          <w:p w:rsidR="00BF1738" w:rsidRPr="00301A47" w:rsidRDefault="00BF1738" w:rsidP="00BF1738">
            <w:pPr>
              <w:spacing w:after="0" w:line="240" w:lineRule="auto"/>
              <w:jc w:val="right"/>
              <w:rPr>
                <w:rFonts w:ascii="Calibri" w:eastAsia="Times New Roman" w:hAnsi="Calibri" w:cs="Times New Roman CE"/>
                <w:b/>
                <w:bCs/>
                <w:color w:val="000000"/>
                <w:szCs w:val="21"/>
                <w:lang w:eastAsia="cs-CZ"/>
              </w:rPr>
            </w:pPr>
            <w:r w:rsidRPr="00301A47">
              <w:rPr>
                <w:rFonts w:ascii="Calibri" w:hAnsi="Calibri" w:cs="Times New Roman CE"/>
                <w:b/>
                <w:bCs/>
                <w:color w:val="000000"/>
                <w:szCs w:val="21"/>
              </w:rPr>
              <w:t>660</w:t>
            </w:r>
          </w:p>
        </w:tc>
        <w:tc>
          <w:tcPr>
            <w:tcW w:w="851" w:type="dxa"/>
            <w:tcBorders>
              <w:top w:val="nil"/>
              <w:left w:val="nil"/>
              <w:bottom w:val="nil"/>
              <w:right w:val="single" w:sz="12" w:space="0" w:color="4F81BD"/>
            </w:tcBorders>
            <w:shd w:val="clear" w:color="000000" w:fill="EEF3F8"/>
            <w:noWrap/>
            <w:vAlign w:val="center"/>
          </w:tcPr>
          <w:p w:rsidR="00BF1738" w:rsidRPr="00301A47" w:rsidRDefault="00BF1738" w:rsidP="00BF1738">
            <w:pPr>
              <w:spacing w:after="0" w:line="240" w:lineRule="auto"/>
              <w:jc w:val="right"/>
              <w:rPr>
                <w:rFonts w:ascii="Calibri" w:eastAsia="Times New Roman" w:hAnsi="Calibri" w:cs="Times New Roman CE"/>
                <w:b/>
                <w:bCs/>
                <w:color w:val="000000"/>
                <w:szCs w:val="21"/>
                <w:lang w:eastAsia="cs-CZ"/>
              </w:rPr>
            </w:pPr>
            <w:r w:rsidRPr="00301A47">
              <w:rPr>
                <w:rFonts w:ascii="Calibri" w:hAnsi="Calibri" w:cs="Times New Roman CE"/>
                <w:b/>
                <w:bCs/>
                <w:color w:val="000000"/>
                <w:szCs w:val="21"/>
              </w:rPr>
              <w:t>237</w:t>
            </w:r>
          </w:p>
        </w:tc>
      </w:tr>
      <w:tr w:rsidR="00BF1738" w:rsidRPr="00301A47" w:rsidTr="00301A47">
        <w:trPr>
          <w:trHeight w:val="300"/>
          <w:jc w:val="center"/>
        </w:trPr>
        <w:tc>
          <w:tcPr>
            <w:tcW w:w="2700" w:type="dxa"/>
            <w:tcBorders>
              <w:top w:val="nil"/>
              <w:left w:val="single" w:sz="12" w:space="0" w:color="4F81BD"/>
              <w:bottom w:val="single" w:sz="12" w:space="0" w:color="4F81BD"/>
              <w:right w:val="nil"/>
            </w:tcBorders>
            <w:shd w:val="clear" w:color="000000" w:fill="EEF3F8"/>
            <w:vAlign w:val="center"/>
            <w:hideMark/>
          </w:tcPr>
          <w:p w:rsidR="00BF1738" w:rsidRPr="00301A47" w:rsidRDefault="00BF1738" w:rsidP="00BF1738">
            <w:pPr>
              <w:spacing w:after="0" w:line="240" w:lineRule="auto"/>
              <w:rPr>
                <w:rFonts w:ascii="Calibri" w:eastAsia="Times New Roman" w:hAnsi="Calibri" w:cs="Times New Roman CE"/>
                <w:color w:val="000000"/>
                <w:szCs w:val="21"/>
                <w:lang w:eastAsia="cs-CZ"/>
              </w:rPr>
            </w:pPr>
            <w:r w:rsidRPr="00301A47">
              <w:rPr>
                <w:rFonts w:ascii="Calibri" w:eastAsia="Times New Roman" w:hAnsi="Calibri" w:cs="Times New Roman CE"/>
                <w:color w:val="000000"/>
                <w:szCs w:val="21"/>
                <w:lang w:eastAsia="cs-CZ"/>
              </w:rPr>
              <w:t>pojištěnců na 1 zaměstnance</w:t>
            </w:r>
          </w:p>
        </w:tc>
        <w:tc>
          <w:tcPr>
            <w:tcW w:w="1134" w:type="dxa"/>
            <w:tcBorders>
              <w:top w:val="nil"/>
              <w:left w:val="nil"/>
              <w:bottom w:val="single" w:sz="12" w:space="0" w:color="4F81BD"/>
              <w:right w:val="nil"/>
            </w:tcBorders>
            <w:shd w:val="clear" w:color="000000" w:fill="DCE6F1"/>
            <w:noWrap/>
            <w:vAlign w:val="center"/>
          </w:tcPr>
          <w:p w:rsidR="00BF1738" w:rsidRPr="00301A47" w:rsidRDefault="00BF1738" w:rsidP="00BF1738">
            <w:pPr>
              <w:spacing w:after="0" w:line="240" w:lineRule="auto"/>
              <w:jc w:val="right"/>
              <w:rPr>
                <w:rFonts w:ascii="Calibri" w:eastAsia="Times New Roman" w:hAnsi="Calibri" w:cs="Times New Roman CE"/>
                <w:color w:val="000000"/>
                <w:szCs w:val="21"/>
                <w:lang w:eastAsia="cs-CZ"/>
              </w:rPr>
            </w:pPr>
            <w:r w:rsidRPr="00301A47">
              <w:rPr>
                <w:rFonts w:ascii="Calibri" w:hAnsi="Calibri" w:cs="Times New Roman CE"/>
                <w:color w:val="000000"/>
                <w:szCs w:val="21"/>
              </w:rPr>
              <w:t>1 639</w:t>
            </w:r>
          </w:p>
        </w:tc>
        <w:tc>
          <w:tcPr>
            <w:tcW w:w="992" w:type="dxa"/>
            <w:tcBorders>
              <w:top w:val="nil"/>
              <w:left w:val="nil"/>
              <w:bottom w:val="single" w:sz="12" w:space="0" w:color="4F81BD"/>
              <w:right w:val="nil"/>
            </w:tcBorders>
            <w:shd w:val="clear" w:color="auto" w:fill="auto"/>
            <w:noWrap/>
            <w:vAlign w:val="center"/>
          </w:tcPr>
          <w:p w:rsidR="00BF1738" w:rsidRPr="00301A47" w:rsidRDefault="00BF1738" w:rsidP="00BF1738">
            <w:pPr>
              <w:spacing w:after="0" w:line="240" w:lineRule="auto"/>
              <w:jc w:val="right"/>
              <w:rPr>
                <w:rFonts w:ascii="Calibri" w:eastAsia="Times New Roman" w:hAnsi="Calibri" w:cs="Times New Roman CE"/>
                <w:color w:val="000000"/>
                <w:szCs w:val="21"/>
                <w:lang w:eastAsia="cs-CZ"/>
              </w:rPr>
            </w:pPr>
            <w:r w:rsidRPr="00301A47">
              <w:rPr>
                <w:rFonts w:ascii="Calibri" w:hAnsi="Calibri" w:cs="Times New Roman CE"/>
                <w:color w:val="000000"/>
                <w:szCs w:val="21"/>
              </w:rPr>
              <w:t>1 701</w:t>
            </w:r>
          </w:p>
        </w:tc>
        <w:tc>
          <w:tcPr>
            <w:tcW w:w="1079" w:type="dxa"/>
            <w:tcBorders>
              <w:top w:val="nil"/>
              <w:left w:val="nil"/>
              <w:bottom w:val="single" w:sz="12" w:space="0" w:color="4F81BD"/>
              <w:right w:val="nil"/>
            </w:tcBorders>
            <w:shd w:val="clear" w:color="000000" w:fill="DCE6F1"/>
            <w:noWrap/>
            <w:vAlign w:val="center"/>
          </w:tcPr>
          <w:p w:rsidR="00BF1738" w:rsidRPr="00301A47" w:rsidRDefault="00BF1738" w:rsidP="00BF1738">
            <w:pPr>
              <w:spacing w:after="0" w:line="240" w:lineRule="auto"/>
              <w:jc w:val="right"/>
              <w:rPr>
                <w:rFonts w:ascii="Calibri" w:eastAsia="Times New Roman" w:hAnsi="Calibri" w:cs="Times New Roman CE"/>
                <w:color w:val="000000"/>
                <w:szCs w:val="21"/>
                <w:lang w:eastAsia="cs-CZ"/>
              </w:rPr>
            </w:pPr>
            <w:r w:rsidRPr="00301A47">
              <w:rPr>
                <w:rFonts w:ascii="Calibri" w:hAnsi="Calibri" w:cs="Times New Roman CE"/>
                <w:color w:val="000000"/>
                <w:szCs w:val="21"/>
              </w:rPr>
              <w:t>1 967</w:t>
            </w:r>
          </w:p>
        </w:tc>
        <w:tc>
          <w:tcPr>
            <w:tcW w:w="840" w:type="dxa"/>
            <w:tcBorders>
              <w:top w:val="nil"/>
              <w:left w:val="nil"/>
              <w:bottom w:val="single" w:sz="12" w:space="0" w:color="4F81BD"/>
              <w:right w:val="nil"/>
            </w:tcBorders>
            <w:shd w:val="clear" w:color="auto" w:fill="auto"/>
            <w:noWrap/>
            <w:vAlign w:val="center"/>
          </w:tcPr>
          <w:p w:rsidR="00BF1738" w:rsidRPr="00301A47" w:rsidRDefault="00BF1738" w:rsidP="00BF1738">
            <w:pPr>
              <w:spacing w:after="0" w:line="240" w:lineRule="auto"/>
              <w:jc w:val="right"/>
              <w:rPr>
                <w:rFonts w:ascii="Calibri" w:eastAsia="Times New Roman" w:hAnsi="Calibri" w:cs="Times New Roman CE"/>
                <w:color w:val="000000"/>
                <w:szCs w:val="21"/>
                <w:lang w:eastAsia="cs-CZ"/>
              </w:rPr>
            </w:pPr>
            <w:r w:rsidRPr="00301A47">
              <w:rPr>
                <w:rFonts w:ascii="Calibri" w:hAnsi="Calibri" w:cs="Times New Roman CE"/>
                <w:color w:val="000000"/>
                <w:szCs w:val="21"/>
              </w:rPr>
              <w:t>1 906</w:t>
            </w:r>
          </w:p>
        </w:tc>
        <w:tc>
          <w:tcPr>
            <w:tcW w:w="840" w:type="dxa"/>
            <w:tcBorders>
              <w:top w:val="nil"/>
              <w:left w:val="nil"/>
              <w:bottom w:val="single" w:sz="12" w:space="0" w:color="4F81BD"/>
              <w:right w:val="nil"/>
            </w:tcBorders>
            <w:shd w:val="clear" w:color="000000" w:fill="DCE6F1"/>
            <w:noWrap/>
            <w:vAlign w:val="center"/>
          </w:tcPr>
          <w:p w:rsidR="00BF1738" w:rsidRPr="00301A47" w:rsidRDefault="00BF1738" w:rsidP="00BF1738">
            <w:pPr>
              <w:spacing w:after="0" w:line="240" w:lineRule="auto"/>
              <w:jc w:val="right"/>
              <w:rPr>
                <w:rFonts w:ascii="Calibri" w:eastAsia="Times New Roman" w:hAnsi="Calibri" w:cs="Times New Roman CE"/>
                <w:color w:val="000000"/>
                <w:szCs w:val="21"/>
                <w:lang w:eastAsia="cs-CZ"/>
              </w:rPr>
            </w:pPr>
            <w:r w:rsidRPr="00301A47">
              <w:rPr>
                <w:rFonts w:ascii="Calibri" w:hAnsi="Calibri" w:cs="Times New Roman CE"/>
                <w:color w:val="000000"/>
                <w:szCs w:val="21"/>
              </w:rPr>
              <w:t>1 832</w:t>
            </w:r>
          </w:p>
        </w:tc>
        <w:tc>
          <w:tcPr>
            <w:tcW w:w="1068" w:type="dxa"/>
            <w:tcBorders>
              <w:top w:val="nil"/>
              <w:left w:val="nil"/>
              <w:bottom w:val="single" w:sz="12" w:space="0" w:color="4F81BD"/>
              <w:right w:val="nil"/>
            </w:tcBorders>
            <w:shd w:val="clear" w:color="auto" w:fill="auto"/>
            <w:noWrap/>
            <w:vAlign w:val="center"/>
          </w:tcPr>
          <w:p w:rsidR="00BF1738" w:rsidRPr="00301A47" w:rsidRDefault="00BF1738" w:rsidP="00BF1738">
            <w:pPr>
              <w:spacing w:after="0" w:line="240" w:lineRule="auto"/>
              <w:jc w:val="right"/>
              <w:rPr>
                <w:rFonts w:ascii="Calibri" w:eastAsia="Times New Roman" w:hAnsi="Calibri" w:cs="Times New Roman CE"/>
                <w:color w:val="000000"/>
                <w:szCs w:val="21"/>
                <w:lang w:eastAsia="cs-CZ"/>
              </w:rPr>
            </w:pPr>
            <w:r w:rsidRPr="00301A47">
              <w:rPr>
                <w:rFonts w:ascii="Calibri" w:hAnsi="Calibri" w:cs="Times New Roman CE"/>
                <w:color w:val="000000"/>
                <w:szCs w:val="21"/>
              </w:rPr>
              <w:t>1 997</w:t>
            </w:r>
          </w:p>
        </w:tc>
        <w:tc>
          <w:tcPr>
            <w:tcW w:w="851" w:type="dxa"/>
            <w:tcBorders>
              <w:top w:val="nil"/>
              <w:left w:val="nil"/>
              <w:bottom w:val="single" w:sz="12" w:space="0" w:color="4F81BD"/>
              <w:right w:val="single" w:sz="12" w:space="0" w:color="4F81BD"/>
            </w:tcBorders>
            <w:shd w:val="clear" w:color="000000" w:fill="DCE6F1"/>
            <w:noWrap/>
            <w:vAlign w:val="center"/>
          </w:tcPr>
          <w:p w:rsidR="00BF1738" w:rsidRPr="00301A47" w:rsidRDefault="00BF1738" w:rsidP="00BF1738">
            <w:pPr>
              <w:spacing w:after="0" w:line="240" w:lineRule="auto"/>
              <w:jc w:val="right"/>
              <w:rPr>
                <w:rFonts w:ascii="Calibri" w:eastAsia="Times New Roman" w:hAnsi="Calibri" w:cs="Times New Roman CE"/>
                <w:color w:val="000000"/>
                <w:szCs w:val="21"/>
                <w:lang w:eastAsia="cs-CZ"/>
              </w:rPr>
            </w:pPr>
            <w:r w:rsidRPr="00301A47">
              <w:rPr>
                <w:rFonts w:ascii="Calibri" w:hAnsi="Calibri" w:cs="Times New Roman CE"/>
                <w:color w:val="000000"/>
                <w:szCs w:val="21"/>
              </w:rPr>
              <w:t>1 806</w:t>
            </w:r>
          </w:p>
        </w:tc>
      </w:tr>
    </w:tbl>
    <w:p w:rsidR="00A75F24" w:rsidRDefault="00A75F24" w:rsidP="002D4FEA">
      <w:pPr>
        <w:spacing w:before="180" w:line="276" w:lineRule="auto"/>
        <w:jc w:val="both"/>
      </w:pPr>
      <w:r>
        <w:t>Provozování komerčního pojištění v systému v. z. p. účinné právní předpisy nepřipouštějí, a proto VZP ČR a</w:t>
      </w:r>
      <w:r w:rsidR="0063484F">
        <w:t> </w:t>
      </w:r>
      <w:r>
        <w:t xml:space="preserve">OZP provozují tento druh pojištění odděleně ve stoprocentně vlastněných dceřiných společnostech. </w:t>
      </w:r>
    </w:p>
    <w:p w:rsidR="00A75F24" w:rsidRDefault="00A75F24" w:rsidP="002D4FEA">
      <w:pPr>
        <w:spacing w:before="180" w:line="276" w:lineRule="auto"/>
        <w:jc w:val="both"/>
      </w:pPr>
      <w:r w:rsidRPr="007B09D0">
        <w:t>V roce 201</w:t>
      </w:r>
      <w:r w:rsidR="00301A47" w:rsidRPr="007B09D0">
        <w:t>9</w:t>
      </w:r>
      <w:r w:rsidRPr="007B09D0">
        <w:t xml:space="preserve"> bylo v </w:t>
      </w:r>
      <w:r w:rsidRPr="007B09D0">
        <w:rPr>
          <w:b/>
          <w:bCs/>
        </w:rPr>
        <w:t xml:space="preserve">průměru ve zdravotních pojišťovnách zaměstnáno </w:t>
      </w:r>
      <w:r w:rsidR="00301A47" w:rsidRPr="007B09D0">
        <w:rPr>
          <w:b/>
          <w:bCs/>
        </w:rPr>
        <w:t>6</w:t>
      </w:r>
      <w:r w:rsidR="007B09D0">
        <w:rPr>
          <w:b/>
          <w:bCs/>
        </w:rPr>
        <w:t> </w:t>
      </w:r>
      <w:r w:rsidR="00301A47" w:rsidRPr="007B09D0">
        <w:rPr>
          <w:b/>
          <w:bCs/>
        </w:rPr>
        <w:t>048</w:t>
      </w:r>
      <w:r w:rsidR="007B09D0">
        <w:rPr>
          <w:b/>
          <w:bCs/>
        </w:rPr>
        <w:t xml:space="preserve"> </w:t>
      </w:r>
      <w:r w:rsidRPr="007B09D0">
        <w:rPr>
          <w:b/>
          <w:bCs/>
        </w:rPr>
        <w:t xml:space="preserve">osob </w:t>
      </w:r>
      <w:r w:rsidRPr="007B09D0">
        <w:t>(přepočtený počet) s meziročním růstem o </w:t>
      </w:r>
      <w:r w:rsidR="007B09D0" w:rsidRPr="007B09D0">
        <w:t>113 </w:t>
      </w:r>
      <w:r w:rsidRPr="007B09D0">
        <w:t>zaměstnanců</w:t>
      </w:r>
      <w:r w:rsidR="0063484F" w:rsidRPr="007B09D0">
        <w:t xml:space="preserve"> (</w:t>
      </w:r>
      <w:r w:rsidR="0063484F" w:rsidRPr="007B09D0">
        <w:rPr>
          <w:i/>
          <w:iCs/>
        </w:rPr>
        <w:t xml:space="preserve">Graf č. </w:t>
      </w:r>
      <w:r w:rsidR="002D4FEA" w:rsidRPr="007B09D0">
        <w:rPr>
          <w:i/>
          <w:iCs/>
        </w:rPr>
        <w:t>11</w:t>
      </w:r>
      <w:r w:rsidR="0063484F" w:rsidRPr="007B09D0">
        <w:t>)</w:t>
      </w:r>
      <w:r w:rsidRPr="007B09D0">
        <w:t>.</w:t>
      </w:r>
      <w:r>
        <w:t xml:space="preserve"> </w:t>
      </w:r>
    </w:p>
    <w:p w:rsidR="00A75F24" w:rsidRDefault="00A75F24" w:rsidP="002D4FEA">
      <w:pPr>
        <w:spacing w:before="180" w:line="276" w:lineRule="auto"/>
        <w:jc w:val="both"/>
      </w:pPr>
      <w:r>
        <w:t xml:space="preserve">Mezi zdravotními pojišťovnami lze pozorovat významné rozdíly při srovnání podílu pojištěnců na jednoho zaměstnance, což je v případě VZP ČR, která vzhledem k počtu pojištěnců dosahovala nejnižší hodnoty, zapříčiněno největší sítí poboček, realizací řady servisních činností pro celý systém veřejného zdravotního pojištění (např. agenda přerozdělování pojistného) a strukturou kmene pojištěnců. </w:t>
      </w:r>
    </w:p>
    <w:p w:rsidR="0063484F" w:rsidRDefault="0063484F" w:rsidP="0063484F">
      <w:pPr>
        <w:pStyle w:val="Titulek"/>
      </w:pPr>
      <w:bookmarkStart w:id="26" w:name="_Toc41837528"/>
      <w:r>
        <w:t xml:space="preserve">Graf č. </w:t>
      </w:r>
      <w:r>
        <w:rPr>
          <w:noProof/>
        </w:rPr>
        <w:fldChar w:fldCharType="begin"/>
      </w:r>
      <w:r>
        <w:rPr>
          <w:noProof/>
        </w:rPr>
        <w:instrText xml:space="preserve"> SEQ Graf \* ARABIC </w:instrText>
      </w:r>
      <w:r>
        <w:rPr>
          <w:noProof/>
        </w:rPr>
        <w:fldChar w:fldCharType="separate"/>
      </w:r>
      <w:r w:rsidR="00B17299">
        <w:rPr>
          <w:noProof/>
        </w:rPr>
        <w:t>11</w:t>
      </w:r>
      <w:r>
        <w:rPr>
          <w:noProof/>
        </w:rPr>
        <w:fldChar w:fldCharType="end"/>
      </w:r>
      <w:r>
        <w:t xml:space="preserve">: </w:t>
      </w:r>
      <w:r w:rsidRPr="0063484F">
        <w:t>Počet pojištěnců na 1 zaměstnance</w:t>
      </w:r>
      <w:bookmarkEnd w:id="26"/>
    </w:p>
    <w:p w:rsidR="007B09D0" w:rsidRPr="007B09D0" w:rsidRDefault="007B09D0" w:rsidP="007B09D0">
      <w:pPr>
        <w:jc w:val="center"/>
        <w:rPr>
          <w:lang w:bidi="hi-IN"/>
        </w:rPr>
      </w:pPr>
      <w:r>
        <w:rPr>
          <w:noProof/>
          <w:lang w:eastAsia="cs-CZ"/>
        </w:rPr>
        <w:drawing>
          <wp:inline distT="0" distB="0" distL="0" distR="0" wp14:anchorId="16013E26" wp14:editId="48B9EDC1">
            <wp:extent cx="4828032" cy="2033625"/>
            <wp:effectExtent l="0" t="0" r="10795" b="24130"/>
            <wp:docPr id="34" name="Graf 34">
              <a:extLst xmlns:a="http://schemas.openxmlformats.org/drawingml/2006/main">
                <a:ext uri="{FF2B5EF4-FFF2-40B4-BE49-F238E27FC236}">
                  <a16:creationId xmlns:a16="http://schemas.microsoft.com/office/drawing/2014/main" id="{00000000-0008-0000-1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75F24" w:rsidRDefault="00A75F24" w:rsidP="00A75F24">
      <w:pPr>
        <w:jc w:val="center"/>
        <w:rPr>
          <w:rFonts w:eastAsia="Times New Roman" w:cs="Arial"/>
          <w:b/>
          <w:sz w:val="28"/>
          <w:szCs w:val="28"/>
          <w:lang w:eastAsia="cs-CZ"/>
        </w:rPr>
      </w:pPr>
    </w:p>
    <w:p w:rsidR="0063484F" w:rsidRDefault="0063484F">
      <w:pPr>
        <w:spacing w:after="200" w:line="276" w:lineRule="auto"/>
        <w:rPr>
          <w:rFonts w:eastAsia="Times New Roman" w:cs="Arial"/>
          <w:b/>
          <w:sz w:val="28"/>
          <w:szCs w:val="28"/>
          <w:lang w:eastAsia="cs-CZ"/>
        </w:rPr>
      </w:pPr>
      <w:r>
        <w:rPr>
          <w:rFonts w:eastAsia="Times New Roman" w:cs="Arial"/>
          <w:b/>
          <w:sz w:val="28"/>
          <w:szCs w:val="28"/>
          <w:lang w:eastAsia="cs-CZ"/>
        </w:rPr>
        <w:br w:type="page"/>
      </w:r>
    </w:p>
    <w:p w:rsidR="007B05B1" w:rsidRPr="008C6A0B" w:rsidRDefault="007B05B1" w:rsidP="007B05B1">
      <w:pPr>
        <w:pStyle w:val="Nadpis2"/>
      </w:pPr>
      <w:bookmarkStart w:id="27" w:name="_Toc41898954"/>
      <w:bookmarkStart w:id="28" w:name="_Hlk40173266"/>
      <w:r w:rsidRPr="007B05B1">
        <w:lastRenderedPageBreak/>
        <w:t>Hospodaření ZZP v likvidaci a v konkurzu</w:t>
      </w:r>
      <w:bookmarkEnd w:id="27"/>
    </w:p>
    <w:p w:rsidR="007B05B1" w:rsidRPr="00101A52" w:rsidRDefault="007B05B1" w:rsidP="00101A52">
      <w:pPr>
        <w:pStyle w:val="NADPIS"/>
        <w:spacing w:before="240" w:after="120"/>
        <w:rPr>
          <w:sz w:val="26"/>
          <w:szCs w:val="26"/>
        </w:rPr>
      </w:pPr>
      <w:r w:rsidRPr="00101A52">
        <w:rPr>
          <w:sz w:val="26"/>
          <w:szCs w:val="26"/>
        </w:rPr>
        <w:t xml:space="preserve">MENDLOVA ZDRAVOTNÍ </w:t>
      </w:r>
      <w:r w:rsidR="00101A52" w:rsidRPr="00101A52">
        <w:rPr>
          <w:sz w:val="26"/>
          <w:szCs w:val="26"/>
        </w:rPr>
        <w:t>POJIŠŤOVNA „v likvidaci“ (</w:t>
      </w:r>
      <w:proofErr w:type="spellStart"/>
      <w:r w:rsidR="00101A52" w:rsidRPr="00101A52">
        <w:rPr>
          <w:sz w:val="26"/>
          <w:szCs w:val="26"/>
        </w:rPr>
        <w:t>MeZP</w:t>
      </w:r>
      <w:proofErr w:type="spellEnd"/>
      <w:r w:rsidR="00101A52" w:rsidRPr="00101A52">
        <w:rPr>
          <w:sz w:val="26"/>
          <w:szCs w:val="26"/>
        </w:rPr>
        <w:t>)</w:t>
      </w:r>
    </w:p>
    <w:p w:rsidR="00101A52" w:rsidRPr="00101A52" w:rsidRDefault="00101A52" w:rsidP="00101A52">
      <w:pPr>
        <w:spacing w:before="180" w:line="276" w:lineRule="auto"/>
        <w:jc w:val="both"/>
      </w:pPr>
      <w:proofErr w:type="spellStart"/>
      <w:r w:rsidRPr="00101A52">
        <w:t>MeZP</w:t>
      </w:r>
      <w:proofErr w:type="spellEnd"/>
      <w:r w:rsidRPr="00101A52">
        <w:t xml:space="preserve"> (IČ: 607 11 744) byla zapsána do obchodního rejstříku dne 12. 7. 1994</w:t>
      </w:r>
      <w:r>
        <w:t xml:space="preserve"> a dne 7. 11. 1997 vstoupila do </w:t>
      </w:r>
      <w:r w:rsidRPr="00101A52">
        <w:t xml:space="preserve">likvidace. Od této doby do současnosti </w:t>
      </w:r>
      <w:proofErr w:type="spellStart"/>
      <w:r w:rsidRPr="00101A52">
        <w:t>MeZP</w:t>
      </w:r>
      <w:proofErr w:type="spellEnd"/>
      <w:r w:rsidRPr="00101A52">
        <w:t xml:space="preserve"> neprovádí žádné činnosti uvedené ve svém předmětu podnikání, její činnost je zaměřena pouze na provádění likvidace v souladu s pří</w:t>
      </w:r>
      <w:r>
        <w:t>slušnými ustanoveními zákona č. </w:t>
      </w:r>
      <w:r w:rsidRPr="00101A52">
        <w:t xml:space="preserve">280/1992 Sb., o resortních, oborových, podnikových a dalších zdravotních pojišťovnách, ve znění pozdějších předpisů (dále jen „zákon“). </w:t>
      </w:r>
    </w:p>
    <w:p w:rsidR="00101A52" w:rsidRPr="00101A52" w:rsidRDefault="00101A52" w:rsidP="00101A52">
      <w:pPr>
        <w:spacing w:before="180" w:line="276" w:lineRule="auto"/>
        <w:jc w:val="both"/>
      </w:pPr>
      <w:r w:rsidRPr="00101A52">
        <w:t>V polovině roku 2014 odmítl likvidátor jmenování na další období, a pojišťovna t</w:t>
      </w:r>
      <w:r>
        <w:t>ak byla od 1. 7. 2014 do 28. 8. </w:t>
      </w:r>
      <w:r w:rsidRPr="00101A52">
        <w:t>2014 bez statutárního orgánu. Od 28. 8. 2014 má pojišťovna nového likvidátora. Z titulu pochybností nad neúměrným prodlužováním ukončení likvidace a hospodařením se svěřeným majetkem byla zahájena společnou kontrolní skupinou MF a MZ veřejnosprávní kontrola pojišťovny.</w:t>
      </w:r>
    </w:p>
    <w:p w:rsidR="00101A52" w:rsidRPr="00101A52" w:rsidRDefault="00101A52" w:rsidP="00101A52">
      <w:pPr>
        <w:spacing w:before="180" w:line="276" w:lineRule="auto"/>
        <w:jc w:val="both"/>
      </w:pPr>
      <w:r w:rsidRPr="00101A52">
        <w:t xml:space="preserve">Kontrola v Mendlově zdravotní pojišťovně „v likvidaci“ proběhla v období od 5. 7. 2014 do 30. 9. 2015. Kontrola byla zaměřena na hospodaření zdravotní pojišťovny v období likvidace od roku 2008, zejména na odůvodněnost využívání finančních prostředků ze strany bývalého likvidátora. Proti Protokolu o kontrole č. 1/2014 předaného </w:t>
      </w:r>
      <w:proofErr w:type="spellStart"/>
      <w:r w:rsidRPr="00101A52">
        <w:t>MeZP</w:t>
      </w:r>
      <w:proofErr w:type="spellEnd"/>
      <w:r w:rsidRPr="00101A52">
        <w:t xml:space="preserve"> dne 23. 10. 2015 podal její současný likvidátor v zákonném termínu dne 9. 11. 2015 námitky. Úkonem doručení vyřízení námitek kontrolované osobě ve smyslu § 18 zákona č. 255/2012 Sb., o kontrole, byla kontrola </w:t>
      </w:r>
      <w:proofErr w:type="spellStart"/>
      <w:r w:rsidRPr="00101A52">
        <w:t>MeZP</w:t>
      </w:r>
      <w:proofErr w:type="spellEnd"/>
      <w:r w:rsidRPr="00101A52">
        <w:t xml:space="preserve"> dne 7. 1. 2016 ukončena.</w:t>
      </w:r>
    </w:p>
    <w:p w:rsidR="00101A52" w:rsidRPr="00101A52" w:rsidRDefault="00101A52" w:rsidP="00101A52">
      <w:pPr>
        <w:spacing w:before="180" w:line="276" w:lineRule="auto"/>
        <w:jc w:val="both"/>
      </w:pPr>
      <w:r w:rsidRPr="00101A52">
        <w:t>Nedostatky byly zjištěny zejména v oblasti úhrady archivačních a skartač</w:t>
      </w:r>
      <w:r>
        <w:t>ních služeb, sjednávání úvěrů u </w:t>
      </w:r>
      <w:r w:rsidRPr="00101A52">
        <w:t>poskytovatelů finančních služeb i při proplácení některých dalších služeb. Vzhledem k tomu, že výsledkem provedené kontroly byla mimo jiné i velmi závažná zjištění o skutečnostech, které mohou zakládat podezření, že</w:t>
      </w:r>
      <w:r w:rsidR="00B74879">
        <w:t> </w:t>
      </w:r>
      <w:r w:rsidRPr="00101A52">
        <w:t>předchozí likvidátor postupoval v rozporu s právními předpisy, byl v roce 2016 podán státnímu zastupitelství podnět týkající se podezření z možné hospodářské trestné činnosti. Současně byl podán</w:t>
      </w:r>
      <w:r w:rsidR="007273E4">
        <w:t xml:space="preserve"> </w:t>
      </w:r>
      <w:r w:rsidRPr="00101A52">
        <w:t>v rámci součinnosti orgánů státní správy dle § 68 zákona č. 455/1991 Sb., o živnostenském podnikání, v</w:t>
      </w:r>
      <w:r w:rsidR="00B74879">
        <w:t> </w:t>
      </w:r>
      <w:r w:rsidRPr="00101A52">
        <w:t xml:space="preserve">platném znění, podnět na neoprávněné podnikání společnosti CZ </w:t>
      </w:r>
      <w:proofErr w:type="spellStart"/>
      <w:r w:rsidRPr="00101A52">
        <w:t>Future</w:t>
      </w:r>
      <w:proofErr w:type="spellEnd"/>
      <w:r w:rsidRPr="00101A52">
        <w:t xml:space="preserve">, s.r.o. (archivace dokumentů </w:t>
      </w:r>
      <w:proofErr w:type="spellStart"/>
      <w:r w:rsidRPr="00101A52">
        <w:t>MeZP</w:t>
      </w:r>
      <w:proofErr w:type="spellEnd"/>
      <w:r w:rsidRPr="00101A52">
        <w:t xml:space="preserve"> bez koncesní listiny). </w:t>
      </w:r>
    </w:p>
    <w:p w:rsidR="00101A52" w:rsidRPr="00101A52" w:rsidRDefault="00101A52" w:rsidP="00101A52">
      <w:pPr>
        <w:spacing w:before="180" w:line="276" w:lineRule="auto"/>
        <w:jc w:val="both"/>
      </w:pPr>
      <w:r w:rsidRPr="00101A52">
        <w:t xml:space="preserve">Žaloba na neoprávněné vyplácení služeb </w:t>
      </w:r>
      <w:r>
        <w:t>a sjednávání úvěrů u </w:t>
      </w:r>
      <w:r w:rsidRPr="00101A52">
        <w:t>poskytovatelů finančních služeb, která byla podána dne 3. 10. 2016 na částku cca 1,23 mil. Kč, byla Městským soudem v Praz</w:t>
      </w:r>
      <w:r w:rsidR="00EF1A4E">
        <w:t>e dne 25. 10. 2017 zamítnuta. S </w:t>
      </w:r>
      <w:r w:rsidRPr="00101A52">
        <w:t xml:space="preserve">ohledem na odůvodnění rozhodnutí, neumožnění provedení některých navržených důkazů a vzhledem k tomu, že kontrolní orgány v protokolu o kontrole došly k odlišnému právnímu závěru z hlediska skutečností, které jsou předmětem žaloby, rozhodl likvidátor </w:t>
      </w:r>
      <w:proofErr w:type="spellStart"/>
      <w:r w:rsidRPr="00101A52">
        <w:t>MeZP</w:t>
      </w:r>
      <w:proofErr w:type="spellEnd"/>
      <w:r w:rsidRPr="00101A52">
        <w:t xml:space="preserve"> o podání odvolání. Se závěry likvidátora se odvolací soud ztot</w:t>
      </w:r>
      <w:r w:rsidR="00EF1A4E">
        <w:t>ožnil a </w:t>
      </w:r>
      <w:r w:rsidRPr="00101A52">
        <w:t>věc vrátil soudu prvního stupně, který je jeho názorem vázán. Soud prvního stupně po vrácení věci řízení přerušil s odkazem na probíhající t</w:t>
      </w:r>
      <w:r w:rsidR="008E0F62">
        <w:t>restní řízení. V </w:t>
      </w:r>
      <w:r w:rsidRPr="00101A52">
        <w:t xml:space="preserve">tomto trestním řízení byl dne 23. 9. 2019 vyhlášen rozsudek, kterým byl </w:t>
      </w:r>
      <w:r w:rsidR="008E0F62">
        <w:t>obžalovaný odsouzen k trestu 18 </w:t>
      </w:r>
      <w:r w:rsidRPr="00101A52">
        <w:t>měsíců s podmíněným odkladem</w:t>
      </w:r>
      <w:r w:rsidR="00EF1A4E">
        <w:t xml:space="preserve"> na 3 roky. Proti rozhodnutí se </w:t>
      </w:r>
      <w:r w:rsidRPr="00101A52">
        <w:t>odvolal jak obžalovaný, tak</w:t>
      </w:r>
      <w:r w:rsidR="00B74879">
        <w:t> </w:t>
      </w:r>
      <w:r w:rsidRPr="00101A52">
        <w:t xml:space="preserve">státní zástupkyně. V tomto případě již bylo odvolání rozhodnuto tak, že věc byla vrácena z formálních důvodů soudu prvního stupně. Nelze důvodně očekávat změnu rozhodnutí. </w:t>
      </w:r>
    </w:p>
    <w:p w:rsidR="00101A52" w:rsidRPr="00101A52" w:rsidRDefault="00101A52" w:rsidP="00101A52">
      <w:pPr>
        <w:spacing w:before="180" w:line="276" w:lineRule="auto"/>
        <w:jc w:val="both"/>
      </w:pPr>
      <w:r w:rsidRPr="00101A52">
        <w:t>Náhrada za škodu způsobenou v oblasti úhrady archivačních a skartačních služeb, odhadnutá znaleckým posudkem ve výši 2,1 mil. Kč, měla být původně vymáhána v rámci trestního řízení. S ohledem na průtahy byla na začátku roku 2017 podána rovněž civilní žaloba na náhradu škody. V průběhu tohoto řízení byl jako důkaz předložen již</w:t>
      </w:r>
      <w:r w:rsidR="00B74879">
        <w:t> </w:t>
      </w:r>
      <w:r w:rsidRPr="00101A52">
        <w:t>dříve zpracovaný znalecký posudek, avšak soud si vyžádal další. Podle něj činila způsobená škoda 1,9 mil. Kč. Z</w:t>
      </w:r>
      <w:r w:rsidR="00B74879">
        <w:t> </w:t>
      </w:r>
      <w:r w:rsidRPr="00101A52">
        <w:t xml:space="preserve">této částky prvostupňový soud vyšel a přiznal </w:t>
      </w:r>
      <w:proofErr w:type="spellStart"/>
      <w:r w:rsidRPr="00101A52">
        <w:t>MeZP</w:t>
      </w:r>
      <w:proofErr w:type="spellEnd"/>
      <w:r w:rsidRPr="00101A52">
        <w:t xml:space="preserve"> nárok na její zaplacení. Zároveň bylo žalovanému uloženo uhradit náklady řízení ve výši 0,5 mil. Kč. Proti r</w:t>
      </w:r>
      <w:r w:rsidR="008E0F62">
        <w:t xml:space="preserve">ozhodnutí se žalovaný odvolal. </w:t>
      </w:r>
    </w:p>
    <w:p w:rsidR="00101A52" w:rsidRPr="00101A52" w:rsidRDefault="008E0F62" w:rsidP="00101A52">
      <w:pPr>
        <w:spacing w:before="180" w:line="276" w:lineRule="auto"/>
        <w:jc w:val="both"/>
      </w:pPr>
      <w:r>
        <w:lastRenderedPageBreak/>
        <w:t>S</w:t>
      </w:r>
      <w:r w:rsidR="00101A52" w:rsidRPr="00101A52">
        <w:t xml:space="preserve">oučasným likvidátorem </w:t>
      </w:r>
      <w:r>
        <w:t xml:space="preserve">byly realizovány </w:t>
      </w:r>
      <w:r w:rsidR="00101A52" w:rsidRPr="00101A52">
        <w:t xml:space="preserve">kroky, které vedly k omezení průběžného snižování zůstatku na účtech </w:t>
      </w:r>
      <w:proofErr w:type="spellStart"/>
      <w:r w:rsidR="00101A52" w:rsidRPr="00101A52">
        <w:t>MeZP</w:t>
      </w:r>
      <w:proofErr w:type="spellEnd"/>
      <w:r w:rsidR="00101A52" w:rsidRPr="00101A52">
        <w:t>. Zásadní úsporou byl</w:t>
      </w:r>
      <w:r w:rsidR="00545FFD">
        <w:t>a</w:t>
      </w:r>
      <w:r>
        <w:t> </w:t>
      </w:r>
      <w:r w:rsidR="00101A52" w:rsidRPr="00101A52">
        <w:t>změna odměňování likvidátora (s účinností od 1. 8. 2018), kdy byla paušální měsíční odměna nahrazena jednorázovou odměnou v případě úspěch</w:t>
      </w:r>
      <w:r>
        <w:t>u ve sporech o náhradu škody ve </w:t>
      </w:r>
      <w:r w:rsidR="00101A52" w:rsidRPr="00101A52">
        <w:t>výši 10 % z</w:t>
      </w:r>
      <w:r w:rsidR="00B74879">
        <w:t> </w:t>
      </w:r>
      <w:r w:rsidR="00101A52" w:rsidRPr="00101A52">
        <w:t xml:space="preserve">vymožené částky. Vzhledem k postupnému navyšování úrokových sazeb až na současných 1,5 % dochází současně k postupnému navyšování jmění </w:t>
      </w:r>
      <w:proofErr w:type="spellStart"/>
      <w:r w:rsidR="00101A52" w:rsidRPr="00101A52">
        <w:t>MeZP</w:t>
      </w:r>
      <w:proofErr w:type="spellEnd"/>
      <w:r w:rsidR="00101A52" w:rsidRPr="00101A52">
        <w:t>. Nejvýznamnější výdaje představovaly ve sledovaném období odměna advokátní kanceláři za postup v řízení proti bývalému likvidátor</w:t>
      </w:r>
      <w:r>
        <w:t>ovi (cca 85 tis. Kč), odměna za </w:t>
      </w:r>
      <w:r w:rsidR="00101A52" w:rsidRPr="00101A52">
        <w:t>vedení účetnictví včetně odměny za zpracování účetní závěrky a spolupráci s auditory (cca 90 t</w:t>
      </w:r>
      <w:r>
        <w:t xml:space="preserve">is. Kč), nájemné 12 tis. Kč). </w:t>
      </w:r>
      <w:r w:rsidR="00101A52" w:rsidRPr="00101A52">
        <w:t>Stav peněžních prostředků na běžném účtu k 31. 12. 2019 byl 36,9 mil. Kč.</w:t>
      </w:r>
      <w:r>
        <w:t xml:space="preserve"> </w:t>
      </w:r>
      <w:r w:rsidRPr="00101A52">
        <w:t>V roce 2019 byla provedena kontrola Českou správou sociálního zabezpečení, která neshledala pochybení.</w:t>
      </w:r>
    </w:p>
    <w:p w:rsidR="00101A52" w:rsidRDefault="008E0F62" w:rsidP="008E0F62">
      <w:pPr>
        <w:spacing w:before="180" w:line="276" w:lineRule="auto"/>
        <w:jc w:val="both"/>
        <w:rPr>
          <w:sz w:val="26"/>
          <w:szCs w:val="26"/>
        </w:rPr>
      </w:pPr>
      <w:r w:rsidRPr="00101A52">
        <w:t>S ohledem na výsledky kontroly MF a MZ, z nichž plyne, že došlo ke způsobení škody a bezdůvodného obohacení předchozím likvidátorem, je pro ukončení likvidace nezbytné domáhat se rovn</w:t>
      </w:r>
      <w:r>
        <w:t>ěž finančních prostředků, o něž </w:t>
      </w:r>
      <w:proofErr w:type="spellStart"/>
      <w:r w:rsidRPr="00101A52">
        <w:t>MeZP</w:t>
      </w:r>
      <w:proofErr w:type="spellEnd"/>
      <w:r w:rsidRPr="00101A52">
        <w:t xml:space="preserve"> tímto jednáním přišla. K tomu je příslušný její statutární orgán, kterým je současný likvidátor.</w:t>
      </w:r>
      <w:r>
        <w:t xml:space="preserve"> </w:t>
      </w:r>
      <w:r w:rsidRPr="00101A52">
        <w:t>Vzhledem k probíhajícím soudním sporům o částku cca 3,3 mil. Kč nelze termín ukončení likvidace předvídat.</w:t>
      </w:r>
    </w:p>
    <w:p w:rsidR="007B05B1" w:rsidRPr="00390ECB" w:rsidRDefault="007B05B1" w:rsidP="007B05B1">
      <w:pPr>
        <w:pStyle w:val="NADPIS"/>
        <w:spacing w:before="240" w:after="120"/>
        <w:rPr>
          <w:sz w:val="26"/>
          <w:szCs w:val="26"/>
        </w:rPr>
      </w:pPr>
      <w:r w:rsidRPr="00390ECB">
        <w:rPr>
          <w:sz w:val="26"/>
          <w:szCs w:val="26"/>
        </w:rPr>
        <w:t>Hornická zaměstnanecká zdravotní pojišťovna v likvidaci (HZZP)</w:t>
      </w:r>
    </w:p>
    <w:p w:rsidR="007B05B1" w:rsidRPr="00320ABB" w:rsidRDefault="007B05B1" w:rsidP="002D4FEA">
      <w:pPr>
        <w:spacing w:before="180" w:line="276" w:lineRule="auto"/>
        <w:jc w:val="both"/>
      </w:pPr>
      <w:r w:rsidRPr="005B7635">
        <w:t>HZZP v likvidaci (IČ: 473 09 113), se sídlem Teplice, Masarykova 915/31, PSČ 415 02 byla zapsána do obchodního rejstříku dne 13. 1</w:t>
      </w:r>
      <w:r w:rsidRPr="00320ABB">
        <w:t xml:space="preserve">1. 1992 a dne 22. 7. 1996 vstoupila do likvidace. Dne 9. 2. 1996 byl na HZZP prohlášen konkurs. </w:t>
      </w:r>
    </w:p>
    <w:p w:rsidR="007B05B1" w:rsidRPr="00390ECB" w:rsidRDefault="007B05B1" w:rsidP="002D4FEA">
      <w:pPr>
        <w:spacing w:before="180" w:line="276" w:lineRule="auto"/>
        <w:jc w:val="both"/>
      </w:pPr>
      <w:r w:rsidRPr="00320ABB">
        <w:t>Ministerstvo financí vystupovalo v uvedeném konkursním řízení v postavení věřitele s pohledávkou ve výši cca</w:t>
      </w:r>
      <w:r w:rsidR="00390ECB">
        <w:t> </w:t>
      </w:r>
      <w:r w:rsidRPr="00390ECB">
        <w:t>1 140 mil. Kč. Podle rozvrhového usnesení č. j.: K 8/96-2998 ze dne 25. 5. 2009, připadlo na tuto pohledávku ze zpeněžené konkursní podstaty uspokojení ve výši necelých 478 mil. Kč. Ministerstvo bylo uspokojeno pouze částkou cca 325 mil. Kč. Důvodem je skutečnost, že bývalý správce konkursní podstaty svěř</w:t>
      </w:r>
      <w:r w:rsidRPr="005B7635">
        <w:t xml:space="preserve">il z výtěžku konkursní podstaty částku ve výši 250 mil. Kč firmě </w:t>
      </w:r>
      <w:proofErr w:type="spellStart"/>
      <w:r w:rsidRPr="005B7635">
        <w:t>Key</w:t>
      </w:r>
      <w:proofErr w:type="spellEnd"/>
      <w:r w:rsidRPr="005B7635">
        <w:t xml:space="preserve"> </w:t>
      </w:r>
      <w:proofErr w:type="spellStart"/>
      <w:r w:rsidRPr="005B7635">
        <w:t>Investments</w:t>
      </w:r>
      <w:proofErr w:type="spellEnd"/>
      <w:r w:rsidRPr="005B7635">
        <w:t xml:space="preserve"> a.s. (nyní v insolvenčním řízení), která měla svěřené finanční prostředky zhodnotit. Cenné papíry nakoupené touto společností (dluhopisy firem Via </w:t>
      </w:r>
      <w:proofErr w:type="spellStart"/>
      <w:r w:rsidRPr="005B7635">
        <w:t>Chem</w:t>
      </w:r>
      <w:proofErr w:type="spellEnd"/>
      <w:r w:rsidRPr="005B7635">
        <w:t xml:space="preserve"> Group, a. s. a </w:t>
      </w:r>
      <w:proofErr w:type="spellStart"/>
      <w:r w:rsidRPr="005B7635">
        <w:t>Borsay</w:t>
      </w:r>
      <w:proofErr w:type="spellEnd"/>
      <w:r w:rsidRPr="005B7635">
        <w:t xml:space="preserve">, </w:t>
      </w:r>
      <w:r w:rsidRPr="0076211F">
        <w:t xml:space="preserve">a. s.) mají v současné době nulovou hodnotu. V tuto chvíli jsou přihlášeny do insolvenčních řízení pohledávky vůči uvedeným společnostem v celkové hodnotě přes 176 mil. Kč. Zbylý rozdíl činí pohledávky vůči </w:t>
      </w:r>
      <w:proofErr w:type="spellStart"/>
      <w:r w:rsidRPr="0076211F">
        <w:t>Key</w:t>
      </w:r>
      <w:proofErr w:type="spellEnd"/>
      <w:r w:rsidRPr="0076211F">
        <w:t xml:space="preserve"> </w:t>
      </w:r>
      <w:proofErr w:type="spellStart"/>
      <w:r w:rsidRPr="0076211F">
        <w:t>Investments</w:t>
      </w:r>
      <w:proofErr w:type="spellEnd"/>
      <w:r w:rsidRPr="0076211F">
        <w:t>, a. s., kde majetek dlužníka nepř</w:t>
      </w:r>
      <w:r w:rsidRPr="00590358">
        <w:t>edstavuje hodnotu, z níž by mohl být uhrazen dluh vůči HZZP a</w:t>
      </w:r>
      <w:r w:rsidR="00390ECB">
        <w:t> </w:t>
      </w:r>
      <w:r w:rsidRPr="00390ECB">
        <w:t xml:space="preserve">JUDr. Janu </w:t>
      </w:r>
      <w:proofErr w:type="spellStart"/>
      <w:r w:rsidRPr="00390ECB">
        <w:t>Vankemu</w:t>
      </w:r>
      <w:proofErr w:type="spellEnd"/>
      <w:r w:rsidRPr="00390ECB">
        <w:t xml:space="preserve">, bývalému správci konkursní podstaty, který zemřel. Ve věci vymáhání této pohledávky soud zjistil pojištění profesní odpovědnosti za škodu bývalého správce konkurzní podstaty </w:t>
      </w:r>
      <w:r w:rsidRPr="005B7635">
        <w:t xml:space="preserve">u Kooperativy pojišťovny a.s. a MF ve spolupráci se současným správcem konkursní podstaty i příslušným soudem zjišťovalo možnosti uspokojení části pohledávky z uzavřeného pojištění. K podání žaloby současným správcem konkursní podstaty Mgr. </w:t>
      </w:r>
      <w:proofErr w:type="spellStart"/>
      <w:r w:rsidRPr="005B7635">
        <w:t>Ubrem</w:t>
      </w:r>
      <w:proofErr w:type="spellEnd"/>
      <w:r w:rsidRPr="005B7635">
        <w:t xml:space="preserve"> nakonec n</w:t>
      </w:r>
      <w:r w:rsidRPr="0076211F">
        <w:t>edošlo, neboť v době, kdy nastala událost, která by mohla být označována za</w:t>
      </w:r>
      <w:r w:rsidR="00390ECB">
        <w:t> </w:t>
      </w:r>
      <w:r w:rsidRPr="00390ECB">
        <w:t xml:space="preserve">pojistnou, již uplynulo pojistné období z uzavřených smluv. Další smlouvy uzavřeny nebyly a JUDr. </w:t>
      </w:r>
      <w:proofErr w:type="spellStart"/>
      <w:r w:rsidRPr="00390ECB">
        <w:t>Vanke</w:t>
      </w:r>
      <w:proofErr w:type="spellEnd"/>
      <w:r w:rsidRPr="00390ECB">
        <w:t xml:space="preserve"> tedy</w:t>
      </w:r>
      <w:r w:rsidR="00390ECB">
        <w:t> </w:t>
      </w:r>
      <w:r w:rsidRPr="00390ECB">
        <w:t>v tomto období pojištěn nebyl.</w:t>
      </w:r>
    </w:p>
    <w:p w:rsidR="007B05B1" w:rsidRPr="002D4FEA" w:rsidRDefault="007B05B1" w:rsidP="00ED320E">
      <w:pPr>
        <w:spacing w:before="180" w:line="276" w:lineRule="auto"/>
        <w:jc w:val="both"/>
      </w:pPr>
      <w:r w:rsidRPr="005B7635">
        <w:t>Vzhledem k tomu, že v pozici věřitele k uvedeným pohledávkám vystupuje v současné době HZZP, není možné ukončit proces její likvidace. HZZP sama již nedisponuje žádnými finančními prostředky s</w:t>
      </w:r>
      <w:r w:rsidR="009A33DE">
        <w:t> výjimkou těch, které </w:t>
      </w:r>
      <w:r w:rsidRPr="005B7635">
        <w:t>byly na základě výše uvedeného rozvrhového usnesení určeny pro výlohy spojené s vy</w:t>
      </w:r>
      <w:r w:rsidRPr="0076211F">
        <w:t>máháním pohledávek. Usnesením soudu v Ústí nad Labem č. j.: K 8/98-3429 ze dne 13. 3. 2015 byl udělen souhlas s vyplacením zálohy na konkurzní odměnu správci konkurzní podstaty ve výš</w:t>
      </w:r>
      <w:r w:rsidR="009A33DE">
        <w:t>i 400 </w:t>
      </w:r>
      <w:r w:rsidR="00EF1A4E">
        <w:t>tis. Kč. S ohledem na </w:t>
      </w:r>
      <w:r w:rsidR="009A33DE">
        <w:t>tyto </w:t>
      </w:r>
      <w:r w:rsidRPr="0076211F">
        <w:t>skutečnosti a snahu o</w:t>
      </w:r>
      <w:r w:rsidR="00390ECB">
        <w:t> </w:t>
      </w:r>
      <w:r w:rsidRPr="00390ECB">
        <w:t>hospodárné využití zbývajících prostředků není od správce konkurzní podstaty vyžadováno zpracování účetních závěrek a jejich ověření auditorem, s výjimkou závěrečné účetní závěrky. Finanční prostředky z běžného účtu ve</w:t>
      </w:r>
      <w:r w:rsidR="00E4578A">
        <w:t> </w:t>
      </w:r>
      <w:r w:rsidRPr="00390ECB">
        <w:t xml:space="preserve">výši 243 tis. Kč byly převedeny na počátku roku 2017 na </w:t>
      </w:r>
      <w:r w:rsidR="009A33DE">
        <w:t>účet vedený u </w:t>
      </w:r>
      <w:r w:rsidRPr="005B7635">
        <w:t>ČNB, kde jsou průběžně sledovány. Ukončení likvidace bude možné až po ukončení probíhajících konkurzních řízení, případně podaří-li se</w:t>
      </w:r>
      <w:r w:rsidR="00390ECB">
        <w:t> </w:t>
      </w:r>
      <w:r w:rsidRPr="00390ECB">
        <w:t>najít řešení převodu pohledávek pod MF.</w:t>
      </w:r>
      <w:bookmarkEnd w:id="28"/>
      <w:r>
        <w:br w:type="page"/>
      </w:r>
    </w:p>
    <w:p w:rsidR="00436F6E" w:rsidRPr="008C6A0B" w:rsidRDefault="00436F6E" w:rsidP="00AC25F3">
      <w:pPr>
        <w:pStyle w:val="Nadpis2"/>
      </w:pPr>
      <w:bookmarkStart w:id="29" w:name="_Toc41898955"/>
      <w:r w:rsidRPr="008C6A0B">
        <w:lastRenderedPageBreak/>
        <w:t>Vlivy na systém veřejného zdravotního pojištění</w:t>
      </w:r>
      <w:bookmarkEnd w:id="29"/>
      <w:r w:rsidRPr="008C6A0B">
        <w:t xml:space="preserve"> </w:t>
      </w:r>
    </w:p>
    <w:p w:rsidR="00212B41" w:rsidRPr="00E0416F" w:rsidRDefault="00212B41" w:rsidP="002D4FEA">
      <w:pPr>
        <w:spacing w:before="180" w:line="276" w:lineRule="auto"/>
        <w:jc w:val="both"/>
      </w:pPr>
      <w:r w:rsidRPr="00E0416F">
        <w:t>K nejvýznamnějším parametrům s vlivem na hospodaření zdravotních pojišťoven v roce 201</w:t>
      </w:r>
      <w:r w:rsidR="007B09D0">
        <w:t>9</w:t>
      </w:r>
      <w:r w:rsidRPr="00E0416F">
        <w:t xml:space="preserve"> patří:</w:t>
      </w:r>
    </w:p>
    <w:p w:rsidR="00086E50" w:rsidRDefault="00212B41" w:rsidP="00086E50">
      <w:pPr>
        <w:pStyle w:val="Odstavecseseznamem"/>
        <w:numPr>
          <w:ilvl w:val="0"/>
          <w:numId w:val="28"/>
        </w:numPr>
        <w:spacing w:before="180" w:line="276" w:lineRule="auto"/>
        <w:jc w:val="both"/>
        <w:rPr>
          <w:color w:val="auto"/>
        </w:rPr>
      </w:pPr>
      <w:r w:rsidRPr="00086E50">
        <w:rPr>
          <w:color w:val="auto"/>
        </w:rPr>
        <w:t xml:space="preserve">zvýšení minimální mzdy o 1 </w:t>
      </w:r>
      <w:r w:rsidR="009852CE" w:rsidRPr="00086E50">
        <w:rPr>
          <w:color w:val="auto"/>
        </w:rPr>
        <w:t xml:space="preserve">150 </w:t>
      </w:r>
      <w:r w:rsidRPr="00086E50">
        <w:rPr>
          <w:color w:val="auto"/>
        </w:rPr>
        <w:t xml:space="preserve">Kč na částku </w:t>
      </w:r>
      <w:r w:rsidR="009852CE" w:rsidRPr="00086E50">
        <w:rPr>
          <w:color w:val="auto"/>
        </w:rPr>
        <w:t>13 350</w:t>
      </w:r>
      <w:r w:rsidRPr="00086E50">
        <w:rPr>
          <w:color w:val="auto"/>
        </w:rPr>
        <w:t> Kč od 1. 1. </w:t>
      </w:r>
      <w:r w:rsidR="009852CE" w:rsidRPr="00086E50">
        <w:rPr>
          <w:color w:val="auto"/>
        </w:rPr>
        <w:t>2019</w:t>
      </w:r>
      <w:r w:rsidRPr="00086E50">
        <w:rPr>
          <w:color w:val="auto"/>
        </w:rPr>
        <w:t xml:space="preserve">, měsíční pojistné OBZP tak činilo </w:t>
      </w:r>
      <w:r w:rsidR="009852CE" w:rsidRPr="00086E50">
        <w:rPr>
          <w:color w:val="auto"/>
        </w:rPr>
        <w:t>1</w:t>
      </w:r>
      <w:r w:rsidR="00086E50">
        <w:rPr>
          <w:color w:val="auto"/>
        </w:rPr>
        <w:t> </w:t>
      </w:r>
      <w:r w:rsidR="009852CE" w:rsidRPr="00086E50">
        <w:rPr>
          <w:color w:val="auto"/>
        </w:rPr>
        <w:t>803 Kč</w:t>
      </w:r>
      <w:r w:rsidR="009852CE" w:rsidRPr="00086E50" w:rsidDel="009852CE">
        <w:rPr>
          <w:color w:val="auto"/>
        </w:rPr>
        <w:t xml:space="preserve"> </w:t>
      </w:r>
      <w:r w:rsidRPr="00086E50">
        <w:rPr>
          <w:color w:val="auto"/>
        </w:rPr>
        <w:t xml:space="preserve">(nařízení vlády č. </w:t>
      </w:r>
      <w:r w:rsidR="006F7A2E" w:rsidRPr="00086E50">
        <w:rPr>
          <w:color w:val="auto"/>
        </w:rPr>
        <w:t xml:space="preserve">273/2018 </w:t>
      </w:r>
      <w:r w:rsidRPr="00086E50">
        <w:rPr>
          <w:color w:val="auto"/>
        </w:rPr>
        <w:t>Sb.), zvýšil se tím i minimální vyměřovací základ pro zaměstnance,</w:t>
      </w:r>
    </w:p>
    <w:p w:rsidR="00212B41" w:rsidRPr="00086E50" w:rsidRDefault="00212B41" w:rsidP="00086E50">
      <w:pPr>
        <w:pStyle w:val="Odstavecseseznamem"/>
        <w:numPr>
          <w:ilvl w:val="0"/>
          <w:numId w:val="28"/>
        </w:numPr>
        <w:spacing w:before="180" w:line="276" w:lineRule="auto"/>
        <w:jc w:val="both"/>
        <w:rPr>
          <w:color w:val="auto"/>
        </w:rPr>
      </w:pPr>
      <w:r w:rsidRPr="00086E50">
        <w:rPr>
          <w:color w:val="auto"/>
        </w:rPr>
        <w:t>roční maximální vyměřovací základ pro osoby samostatně výdělečně činné a zaměstnance nebyl ani</w:t>
      </w:r>
      <w:r w:rsidR="00E4578A" w:rsidRPr="00086E50">
        <w:rPr>
          <w:color w:val="auto"/>
        </w:rPr>
        <w:t> </w:t>
      </w:r>
      <w:r w:rsidRPr="00086E50">
        <w:rPr>
          <w:color w:val="auto"/>
        </w:rPr>
        <w:t>v roce 201</w:t>
      </w:r>
      <w:r w:rsidR="007B09D0" w:rsidRPr="00086E50">
        <w:rPr>
          <w:color w:val="auto"/>
        </w:rPr>
        <w:t>9</w:t>
      </w:r>
      <w:r w:rsidRPr="00086E50">
        <w:rPr>
          <w:color w:val="auto"/>
        </w:rPr>
        <w:t xml:space="preserve"> </w:t>
      </w:r>
      <w:proofErr w:type="spellStart"/>
      <w:r w:rsidRPr="00086E50">
        <w:rPr>
          <w:color w:val="auto"/>
        </w:rPr>
        <w:t>zastropován</w:t>
      </w:r>
      <w:proofErr w:type="spellEnd"/>
      <w:r w:rsidRPr="00086E50">
        <w:rPr>
          <w:color w:val="auto"/>
        </w:rPr>
        <w:t>,</w:t>
      </w:r>
    </w:p>
    <w:p w:rsidR="00086E50" w:rsidRDefault="00212B41" w:rsidP="00086E50">
      <w:pPr>
        <w:pStyle w:val="Odstavecseseznamem"/>
        <w:numPr>
          <w:ilvl w:val="0"/>
          <w:numId w:val="28"/>
        </w:numPr>
        <w:spacing w:before="180" w:line="276" w:lineRule="auto"/>
        <w:jc w:val="both"/>
      </w:pPr>
      <w:r w:rsidRPr="00086E50">
        <w:rPr>
          <w:color w:val="auto"/>
        </w:rPr>
        <w:t>od 1. 1. 201</w:t>
      </w:r>
      <w:r w:rsidR="006F7A2E" w:rsidRPr="00086E50">
        <w:rPr>
          <w:color w:val="auto"/>
        </w:rPr>
        <w:t>9</w:t>
      </w:r>
      <w:r w:rsidRPr="00086E50">
        <w:rPr>
          <w:color w:val="auto"/>
        </w:rPr>
        <w:t xml:space="preserve"> se zvýšila platba za pojištěnce, za které je plátcem pojistného stát, o 49 Kč </w:t>
      </w:r>
      <w:r w:rsidR="00086E50" w:rsidRPr="00086E50">
        <w:rPr>
          <w:color w:val="auto"/>
        </w:rPr>
        <w:t xml:space="preserve">z 969 Kč </w:t>
      </w:r>
      <w:r w:rsidRPr="00086E50">
        <w:rPr>
          <w:color w:val="auto"/>
        </w:rPr>
        <w:t>na </w:t>
      </w:r>
      <w:r w:rsidR="00086E50" w:rsidRPr="00086E50">
        <w:rPr>
          <w:color w:val="auto"/>
        </w:rPr>
        <w:t>1</w:t>
      </w:r>
      <w:r w:rsidR="00086E50">
        <w:rPr>
          <w:color w:val="auto"/>
        </w:rPr>
        <w:t> </w:t>
      </w:r>
      <w:r w:rsidR="00086E50" w:rsidRPr="00086E50">
        <w:rPr>
          <w:color w:val="auto"/>
        </w:rPr>
        <w:t>018 </w:t>
      </w:r>
      <w:r w:rsidRPr="00086E50">
        <w:rPr>
          <w:color w:val="auto"/>
        </w:rPr>
        <w:t>Kč (</w:t>
      </w:r>
      <w:r w:rsidR="00086E50" w:rsidRPr="00086E50">
        <w:rPr>
          <w:color w:val="auto"/>
        </w:rPr>
        <w:t>zákon č. 297/2017 Sb., kterým došlo k úpravě zákona č. 592/1992 Sb., o pojistném na</w:t>
      </w:r>
      <w:r w:rsidR="00086E50">
        <w:rPr>
          <w:color w:val="auto"/>
        </w:rPr>
        <w:t> </w:t>
      </w:r>
      <w:r w:rsidR="00086E50" w:rsidRPr="00086E50">
        <w:rPr>
          <w:color w:val="auto"/>
        </w:rPr>
        <w:t>veřejné zdravotní pojištění</w:t>
      </w:r>
      <w:r w:rsidR="00086E50">
        <w:rPr>
          <w:color w:val="auto"/>
        </w:rPr>
        <w:t xml:space="preserve">) </w:t>
      </w:r>
      <w:r w:rsidRPr="00086E50">
        <w:rPr>
          <w:color w:val="auto"/>
        </w:rPr>
        <w:t>měsíčně. Tato výše platby byla platná po</w:t>
      </w:r>
      <w:r w:rsidR="00086E50">
        <w:rPr>
          <w:color w:val="auto"/>
        </w:rPr>
        <w:t> </w:t>
      </w:r>
      <w:r w:rsidRPr="00086E50">
        <w:rPr>
          <w:color w:val="auto"/>
        </w:rPr>
        <w:t>celý rok 201</w:t>
      </w:r>
      <w:r w:rsidR="00086E50" w:rsidRPr="00086E50">
        <w:rPr>
          <w:color w:val="auto"/>
        </w:rPr>
        <w:t>9</w:t>
      </w:r>
      <w:r w:rsidRPr="00086E50">
        <w:rPr>
          <w:color w:val="auto"/>
        </w:rPr>
        <w:t>. Platba ze státního rozpočtu do systému v. z. p. v poměru k HDP je patrná z následujícího grafu, mírný pokles tohoto poměru je i přes absolutní nárůst platby státu způsoben vyšším růstem HDP (</w:t>
      </w:r>
      <w:r w:rsidRPr="00086E50">
        <w:rPr>
          <w:i/>
          <w:iCs/>
          <w:color w:val="auto"/>
        </w:rPr>
        <w:t xml:space="preserve">Graf č. </w:t>
      </w:r>
      <w:r w:rsidR="002D4FEA" w:rsidRPr="00086E50">
        <w:rPr>
          <w:i/>
          <w:iCs/>
          <w:color w:val="auto"/>
        </w:rPr>
        <w:t>12</w:t>
      </w:r>
      <w:r w:rsidRPr="00086E50">
        <w:rPr>
          <w:color w:val="auto"/>
        </w:rPr>
        <w:t>).</w:t>
      </w:r>
      <w:r w:rsidRPr="00086E50">
        <w:rPr>
          <w:color w:val="auto"/>
          <w:vertAlign w:val="superscript"/>
        </w:rPr>
        <w:footnoteReference w:id="8"/>
      </w:r>
    </w:p>
    <w:p w:rsidR="00212B41" w:rsidRDefault="00212B41" w:rsidP="002D4FEA">
      <w:pPr>
        <w:pStyle w:val="Titulek"/>
      </w:pPr>
      <w:bookmarkStart w:id="30" w:name="_Toc41837529"/>
      <w:r>
        <w:t xml:space="preserve">Graf č. </w:t>
      </w:r>
      <w:r>
        <w:rPr>
          <w:noProof/>
        </w:rPr>
        <w:fldChar w:fldCharType="begin"/>
      </w:r>
      <w:r>
        <w:rPr>
          <w:noProof/>
        </w:rPr>
        <w:instrText xml:space="preserve"> SEQ Graf \* ARABIC </w:instrText>
      </w:r>
      <w:r>
        <w:rPr>
          <w:noProof/>
        </w:rPr>
        <w:fldChar w:fldCharType="separate"/>
      </w:r>
      <w:r w:rsidR="00B17299">
        <w:rPr>
          <w:noProof/>
        </w:rPr>
        <w:t>12</w:t>
      </w:r>
      <w:r>
        <w:rPr>
          <w:noProof/>
        </w:rPr>
        <w:fldChar w:fldCharType="end"/>
      </w:r>
      <w:r>
        <w:t xml:space="preserve">: </w:t>
      </w:r>
      <w:r w:rsidRPr="00212B41">
        <w:t>Platba ze státního rozpočtu do systému v. z. p. v poměru k HDP</w:t>
      </w:r>
      <w:bookmarkEnd w:id="30"/>
    </w:p>
    <w:p w:rsidR="00DA0427" w:rsidRDefault="00DA0427" w:rsidP="00DA0427">
      <w:pPr>
        <w:spacing w:before="180" w:line="276" w:lineRule="auto"/>
        <w:ind w:left="360"/>
        <w:jc w:val="center"/>
        <w:rPr>
          <w:rFonts w:ascii="Arial" w:hAnsi="Arial" w:cs="Arial"/>
          <w:sz w:val="24"/>
        </w:rPr>
      </w:pPr>
      <w:r>
        <w:rPr>
          <w:noProof/>
          <w:lang w:eastAsia="cs-CZ"/>
        </w:rPr>
        <w:drawing>
          <wp:inline distT="0" distB="0" distL="0" distR="0" wp14:anchorId="1FE2D690" wp14:editId="5C4E16CC">
            <wp:extent cx="5503652" cy="2562046"/>
            <wp:effectExtent l="0" t="0" r="1905" b="0"/>
            <wp:docPr id="35" name="Graf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436F6E" w:rsidRPr="00173121" w:rsidRDefault="00436F6E" w:rsidP="00DA0427">
      <w:pPr>
        <w:spacing w:before="180" w:line="276" w:lineRule="auto"/>
        <w:ind w:left="360"/>
        <w:jc w:val="center"/>
        <w:rPr>
          <w:rFonts w:ascii="Arial" w:hAnsi="Arial" w:cs="Arial"/>
          <w:sz w:val="24"/>
        </w:rPr>
      </w:pPr>
      <w:r w:rsidRPr="00173121">
        <w:rPr>
          <w:rFonts w:ascii="Arial" w:hAnsi="Arial" w:cs="Arial"/>
          <w:sz w:val="24"/>
        </w:rPr>
        <w:br w:type="page"/>
      </w:r>
    </w:p>
    <w:p w:rsidR="00436F6E" w:rsidRPr="00FA7399" w:rsidRDefault="00436F6E" w:rsidP="00436F6E">
      <w:pPr>
        <w:pStyle w:val="Nadpis1"/>
      </w:pPr>
      <w:bookmarkStart w:id="31" w:name="_Toc41898956"/>
      <w:r w:rsidRPr="00FA7399">
        <w:lastRenderedPageBreak/>
        <w:t>Zdravotní hodnocení</w:t>
      </w:r>
      <w:bookmarkEnd w:id="31"/>
    </w:p>
    <w:p w:rsidR="00531441" w:rsidRPr="00531441" w:rsidRDefault="00782288" w:rsidP="00531441">
      <w:pPr>
        <w:spacing w:before="180" w:line="276" w:lineRule="auto"/>
        <w:jc w:val="both"/>
        <w:rPr>
          <w:rFonts w:cstheme="minorHAnsi"/>
          <w:bCs/>
          <w:szCs w:val="21"/>
        </w:rPr>
      </w:pPr>
      <w:r w:rsidRPr="008547E6">
        <w:rPr>
          <w:rFonts w:cstheme="minorHAnsi"/>
          <w:szCs w:val="21"/>
        </w:rPr>
        <w:t>Trvalým cílem smluvní politiky zdravotních pojišťoven je zajištění místní a časové dostupnosti hrazených zdravotních služeb. Dlouhodobě dochází ke zhoršení možností zajištění místní dostupnosti hrazených zdravotních služeb u smluvních poskytovatelů primární péče (praktických lékařů pro dospělé, praktických lékařů pro děti a</w:t>
      </w:r>
      <w:r w:rsidR="006B7BB1">
        <w:rPr>
          <w:rFonts w:cstheme="minorHAnsi"/>
          <w:szCs w:val="21"/>
        </w:rPr>
        <w:t> </w:t>
      </w:r>
      <w:r w:rsidRPr="008547E6">
        <w:rPr>
          <w:rFonts w:cstheme="minorHAnsi"/>
          <w:szCs w:val="21"/>
        </w:rPr>
        <w:t xml:space="preserve">dorost a stomatologů) v důsledku pokračujícího stárnutí lékařů v České republice a nižší atraktivity odlehlých regionů. </w:t>
      </w:r>
      <w:r w:rsidRPr="00531441">
        <w:rPr>
          <w:rFonts w:cstheme="minorHAnsi"/>
          <w:szCs w:val="21"/>
        </w:rPr>
        <w:t>V těchto oblastech zdravotní pojišťovny podporovaly nebo samy iniciovaly vyhlášení výběrových řízení na</w:t>
      </w:r>
      <w:r w:rsidR="006B7BB1" w:rsidRPr="00531441">
        <w:rPr>
          <w:rFonts w:cstheme="minorHAnsi"/>
          <w:szCs w:val="21"/>
        </w:rPr>
        <w:t> </w:t>
      </w:r>
      <w:r w:rsidRPr="00531441">
        <w:rPr>
          <w:rFonts w:cstheme="minorHAnsi"/>
          <w:szCs w:val="21"/>
        </w:rPr>
        <w:t xml:space="preserve">poskytovatele zdravotních služeb. </w:t>
      </w:r>
      <w:r w:rsidR="00531441" w:rsidRPr="00531441">
        <w:rPr>
          <w:rFonts w:cstheme="minorHAnsi"/>
          <w:szCs w:val="21"/>
        </w:rPr>
        <w:t xml:space="preserve">Dále </w:t>
      </w:r>
      <w:r w:rsidR="00531441">
        <w:rPr>
          <w:rFonts w:cstheme="minorHAnsi"/>
          <w:szCs w:val="21"/>
        </w:rPr>
        <w:t xml:space="preserve">mohou </w:t>
      </w:r>
      <w:r w:rsidR="00531441" w:rsidRPr="00531441">
        <w:rPr>
          <w:rFonts w:cstheme="minorHAnsi"/>
          <w:szCs w:val="21"/>
        </w:rPr>
        <w:t>z</w:t>
      </w:r>
      <w:r w:rsidR="00531441" w:rsidRPr="00531441">
        <w:rPr>
          <w:rFonts w:cstheme="minorHAnsi"/>
          <w:bCs/>
          <w:szCs w:val="21"/>
        </w:rPr>
        <w:t xml:space="preserve">dravotní pojišťovny motivovat </w:t>
      </w:r>
      <w:r w:rsidR="00531441">
        <w:rPr>
          <w:rFonts w:cstheme="minorHAnsi"/>
          <w:bCs/>
          <w:szCs w:val="21"/>
        </w:rPr>
        <w:t xml:space="preserve">lékaře </w:t>
      </w:r>
      <w:r w:rsidR="00531441" w:rsidRPr="00531441">
        <w:rPr>
          <w:rFonts w:cstheme="minorHAnsi"/>
          <w:bCs/>
          <w:szCs w:val="21"/>
        </w:rPr>
        <w:t>k poskytování zdravotních služeb v odlehlých oblastech například navýšením úhrady</w:t>
      </w:r>
      <w:r w:rsidR="00531441" w:rsidRPr="00531441">
        <w:rPr>
          <w:rFonts w:cstheme="minorHAnsi"/>
          <w:szCs w:val="21"/>
        </w:rPr>
        <w:t xml:space="preserve"> pro lékaře, kteří přijímají nové pacienty, příp. rozšiřují ordinační hodiny</w:t>
      </w:r>
      <w:r w:rsidR="00531441" w:rsidRPr="00531441">
        <w:rPr>
          <w:rFonts w:cstheme="minorHAnsi"/>
          <w:bCs/>
          <w:szCs w:val="21"/>
        </w:rPr>
        <w:t>. V případě praktických lékařů dochází v odlehlých oblastech k dorovnání kapitačních plateb vzhledem k menšímu počtu registrovaných pojištěnců.</w:t>
      </w:r>
    </w:p>
    <w:p w:rsidR="00782288" w:rsidRPr="008547E6" w:rsidRDefault="00782288" w:rsidP="00531441">
      <w:pPr>
        <w:spacing w:before="180" w:line="276" w:lineRule="auto"/>
        <w:jc w:val="both"/>
        <w:rPr>
          <w:rFonts w:cstheme="minorHAnsi"/>
          <w:szCs w:val="21"/>
        </w:rPr>
      </w:pPr>
      <w:r w:rsidRPr="008547E6">
        <w:rPr>
          <w:rFonts w:cstheme="minorHAnsi"/>
          <w:szCs w:val="21"/>
        </w:rPr>
        <w:t>Ministerstvo zdravotnictví společně s Ministerstvem školství</w:t>
      </w:r>
      <w:r w:rsidR="006E3D23">
        <w:rPr>
          <w:color w:val="000000"/>
        </w:rPr>
        <w:t>, mládeže a t</w:t>
      </w:r>
      <w:bookmarkStart w:id="32" w:name="_GoBack"/>
      <w:bookmarkEnd w:id="32"/>
      <w:r w:rsidR="006E3D23">
        <w:rPr>
          <w:color w:val="000000"/>
        </w:rPr>
        <w:t>ělovýchovy</w:t>
      </w:r>
      <w:r w:rsidRPr="008547E6">
        <w:rPr>
          <w:rFonts w:cstheme="minorHAnsi"/>
          <w:szCs w:val="21"/>
        </w:rPr>
        <w:t xml:space="preserve"> připravily </w:t>
      </w:r>
      <w:r w:rsidRPr="008547E6">
        <w:rPr>
          <w:rFonts w:cstheme="minorHAnsi"/>
          <w:bCs/>
          <w:szCs w:val="21"/>
        </w:rPr>
        <w:t>jedenáctiletý akční plán na navýšení počtu mediků a učitelů na lékařských fakultách v</w:t>
      </w:r>
      <w:r w:rsidRPr="008547E6">
        <w:rPr>
          <w:rFonts w:cstheme="minorHAnsi"/>
          <w:szCs w:val="21"/>
        </w:rPr>
        <w:t xml:space="preserve"> letech 2019–2029. K zajištění podpory poskytovatelů zdravotních služeb v odlehlých regionech MZ připravilo novou </w:t>
      </w:r>
      <w:r w:rsidRPr="008547E6">
        <w:rPr>
          <w:rFonts w:cstheme="minorHAnsi"/>
          <w:bCs/>
          <w:szCs w:val="21"/>
        </w:rPr>
        <w:t>podobu rezidenčních míst</w:t>
      </w:r>
      <w:r w:rsidRPr="008547E6">
        <w:rPr>
          <w:rFonts w:cstheme="minorHAnsi"/>
          <w:szCs w:val="21"/>
        </w:rPr>
        <w:t xml:space="preserve"> (dotací pro mladé lékaře), která umožní mimo jiné zohlednit ve výši dotace i potřebnost lékařů dané specializace v regionu. Dále MZ vypsalo dotační program, který poskytne praktickým a zubním lékařům finanční prostředky na</w:t>
      </w:r>
      <w:r w:rsidR="006B7BB1">
        <w:rPr>
          <w:rFonts w:cstheme="minorHAnsi"/>
          <w:szCs w:val="21"/>
        </w:rPr>
        <w:t> </w:t>
      </w:r>
      <w:r w:rsidRPr="008547E6">
        <w:rPr>
          <w:rFonts w:cstheme="minorHAnsi"/>
          <w:szCs w:val="21"/>
        </w:rPr>
        <w:t>zřízení nových lékařských praxí. Dotace je směřována do oblastí, kde je zdravotní péče zubních a praktických lékařů omezena. Zřízení nových praxí v těchto ohrožených oblastech tak doplní celostátní síť zubních a praktických lékařů a zajistí dostupnost této péče.</w:t>
      </w:r>
    </w:p>
    <w:p w:rsidR="005333EA" w:rsidRPr="005333EA" w:rsidRDefault="00EB2411" w:rsidP="00531441">
      <w:pPr>
        <w:spacing w:before="180" w:line="276" w:lineRule="auto"/>
        <w:jc w:val="both"/>
        <w:rPr>
          <w:rFonts w:cstheme="minorHAnsi"/>
        </w:rPr>
      </w:pPr>
      <w:r w:rsidRPr="00FA7399">
        <w:rPr>
          <w:rFonts w:eastAsia="Times New Roman" w:cstheme="minorHAnsi"/>
          <w:b/>
          <w:szCs w:val="21"/>
        </w:rPr>
        <w:t xml:space="preserve">Celkové náklady na zdravotní služby </w:t>
      </w:r>
      <w:r w:rsidR="00F01F92">
        <w:rPr>
          <w:rFonts w:eastAsia="Times New Roman" w:cstheme="minorHAnsi"/>
          <w:b/>
          <w:szCs w:val="21"/>
        </w:rPr>
        <w:t>v roce 2019 překročily částku</w:t>
      </w:r>
      <w:r w:rsidR="00190E56" w:rsidRPr="00FA7399">
        <w:rPr>
          <w:rFonts w:eastAsia="Times New Roman" w:cstheme="minorHAnsi"/>
          <w:b/>
          <w:szCs w:val="21"/>
        </w:rPr>
        <w:t xml:space="preserve"> 312</w:t>
      </w:r>
      <w:r w:rsidR="00190E56" w:rsidRPr="00FA7399">
        <w:rPr>
          <w:rFonts w:eastAsia="Times New Roman" w:cstheme="minorHAnsi"/>
          <w:szCs w:val="21"/>
        </w:rPr>
        <w:t xml:space="preserve"> </w:t>
      </w:r>
      <w:r w:rsidR="00190E56" w:rsidRPr="00F01F92">
        <w:rPr>
          <w:rFonts w:eastAsia="Times New Roman" w:cstheme="minorHAnsi"/>
          <w:b/>
          <w:szCs w:val="21"/>
        </w:rPr>
        <w:t>mld. Kč</w:t>
      </w:r>
      <w:r w:rsidR="00190E56" w:rsidRPr="00FA7399">
        <w:rPr>
          <w:rFonts w:cstheme="minorHAnsi"/>
          <w:szCs w:val="21"/>
        </w:rPr>
        <w:t>. Oproti roku 2018 byly n</w:t>
      </w:r>
      <w:r w:rsidR="00336E27" w:rsidRPr="00FA7399">
        <w:rPr>
          <w:rFonts w:cstheme="minorHAnsi"/>
        </w:rPr>
        <w:t>áklady na</w:t>
      </w:r>
      <w:r w:rsidR="006B7BB1">
        <w:rPr>
          <w:rFonts w:cstheme="minorHAnsi"/>
        </w:rPr>
        <w:t> </w:t>
      </w:r>
      <w:r w:rsidR="00336E27" w:rsidRPr="00FA7399">
        <w:rPr>
          <w:rFonts w:cstheme="minorHAnsi"/>
        </w:rPr>
        <w:t xml:space="preserve">zdravotní </w:t>
      </w:r>
      <w:r w:rsidR="002C2BC7">
        <w:rPr>
          <w:rFonts w:cstheme="minorHAnsi"/>
        </w:rPr>
        <w:t>služby</w:t>
      </w:r>
      <w:r w:rsidR="00336E27" w:rsidRPr="00FA7399">
        <w:rPr>
          <w:rFonts w:cstheme="minorHAnsi"/>
        </w:rPr>
        <w:t xml:space="preserve"> </w:t>
      </w:r>
      <w:r w:rsidR="00190E56" w:rsidRPr="00FA7399">
        <w:rPr>
          <w:rFonts w:cstheme="minorHAnsi"/>
        </w:rPr>
        <w:t xml:space="preserve">vyšší o </w:t>
      </w:r>
      <w:r w:rsidR="00884F2B">
        <w:rPr>
          <w:rFonts w:cstheme="minorHAnsi"/>
        </w:rPr>
        <w:t>téměř</w:t>
      </w:r>
      <w:r w:rsidR="00190E56" w:rsidRPr="00FA7399">
        <w:rPr>
          <w:rFonts w:cstheme="minorHAnsi"/>
        </w:rPr>
        <w:t xml:space="preserve"> 26 mld. Kč. </w:t>
      </w:r>
      <w:r w:rsidR="00FE25F0" w:rsidRPr="00FA7399">
        <w:t xml:space="preserve">Vyšší </w:t>
      </w:r>
      <w:r w:rsidR="00646679" w:rsidRPr="00FA7399">
        <w:t>meziroční nárůst celkových nákladů ve všech segmentech</w:t>
      </w:r>
      <w:r w:rsidR="00FE25F0" w:rsidRPr="00FA7399">
        <w:t xml:space="preserve"> oproti roku 2018 byl způsoben zejména mechanismy ú</w:t>
      </w:r>
      <w:r w:rsidR="00FE25F0">
        <w:t xml:space="preserve">hrady stanovenými úhradovou vyhláškou, </w:t>
      </w:r>
      <w:r w:rsidR="00FA7399">
        <w:t>zařazování nových a</w:t>
      </w:r>
      <w:r w:rsidR="00F01F92">
        <w:t> </w:t>
      </w:r>
      <w:r w:rsidR="00FA7399">
        <w:t xml:space="preserve">finančně velmi nákladných léčiv do hrazené péče, zavádění nových vysoce inovativních léčebných postupů, </w:t>
      </w:r>
      <w:r w:rsidR="00FE25F0">
        <w:t>navýšením nákladů u</w:t>
      </w:r>
      <w:r w:rsidR="00884F2B">
        <w:t> </w:t>
      </w:r>
      <w:r w:rsidR="00FE25F0">
        <w:t>léčivých přípravků hrazených PZS poskytujícím péči na specializovaných pracovištích (</w:t>
      </w:r>
      <w:proofErr w:type="spellStart"/>
      <w:r w:rsidR="00FE25F0">
        <w:t>centrová</w:t>
      </w:r>
      <w:proofErr w:type="spellEnd"/>
      <w:r w:rsidR="00FE25F0">
        <w:t xml:space="preserve"> péče) a nákladů na rehabilitační a diagnostickou péči.</w:t>
      </w:r>
    </w:p>
    <w:p w:rsidR="00436F6E" w:rsidRPr="00687DD6" w:rsidRDefault="000842A3" w:rsidP="00531441">
      <w:pPr>
        <w:pStyle w:val="Nadpis2"/>
        <w:spacing w:before="180" w:after="180" w:line="276" w:lineRule="auto"/>
      </w:pPr>
      <w:bookmarkStart w:id="33" w:name="_Toc41898957"/>
      <w:r>
        <w:t>N</w:t>
      </w:r>
      <w:r w:rsidR="00436F6E" w:rsidRPr="003D3C9C">
        <w:t>áklady na zdravotní služby</w:t>
      </w:r>
      <w:bookmarkEnd w:id="33"/>
    </w:p>
    <w:p w:rsidR="007036D6" w:rsidRPr="00D868CB" w:rsidRDefault="007036D6" w:rsidP="00531441">
      <w:pPr>
        <w:pStyle w:val="TEXT"/>
        <w:spacing w:before="180" w:after="180" w:line="276" w:lineRule="auto"/>
        <w:ind w:firstLine="0"/>
        <w:rPr>
          <w:rFonts w:asciiTheme="minorHAnsi" w:hAnsiTheme="minorHAnsi" w:cstheme="minorHAnsi"/>
          <w:sz w:val="21"/>
          <w:szCs w:val="21"/>
          <w:highlight w:val="yellow"/>
        </w:rPr>
      </w:pPr>
      <w:r w:rsidRPr="00687DD6">
        <w:rPr>
          <w:rFonts w:asciiTheme="minorHAnsi" w:eastAsia="Times New Roman" w:hAnsiTheme="minorHAnsi" w:cstheme="minorHAnsi"/>
          <w:b/>
          <w:sz w:val="21"/>
          <w:szCs w:val="21"/>
        </w:rPr>
        <w:t xml:space="preserve">Celkové náklady na zdravotní služby za všechny ZP činily </w:t>
      </w:r>
      <w:r w:rsidR="00FB530A" w:rsidRPr="00687DD6">
        <w:rPr>
          <w:rFonts w:asciiTheme="minorHAnsi" w:eastAsia="Times New Roman" w:hAnsiTheme="minorHAnsi" w:cstheme="minorHAnsi"/>
          <w:b/>
          <w:sz w:val="21"/>
          <w:szCs w:val="21"/>
        </w:rPr>
        <w:t>312,35</w:t>
      </w:r>
      <w:r w:rsidR="00A2021D">
        <w:rPr>
          <w:rFonts w:asciiTheme="minorHAnsi" w:eastAsia="Times New Roman" w:hAnsiTheme="minorHAnsi" w:cstheme="minorHAnsi"/>
          <w:b/>
          <w:sz w:val="21"/>
          <w:szCs w:val="21"/>
        </w:rPr>
        <w:t>2</w:t>
      </w:r>
      <w:r w:rsidRPr="00687DD6">
        <w:rPr>
          <w:rFonts w:asciiTheme="minorHAnsi" w:eastAsia="Times New Roman" w:hAnsiTheme="minorHAnsi" w:cstheme="minorHAnsi"/>
          <w:b/>
          <w:sz w:val="21"/>
          <w:szCs w:val="21"/>
        </w:rPr>
        <w:t xml:space="preserve"> mld. Kč</w:t>
      </w:r>
      <w:r w:rsidRPr="00FB530A">
        <w:rPr>
          <w:rFonts w:asciiTheme="minorHAnsi" w:hAnsiTheme="minorHAnsi" w:cstheme="minorHAnsi"/>
          <w:sz w:val="21"/>
          <w:szCs w:val="21"/>
        </w:rPr>
        <w:t>. Z toho c</w:t>
      </w:r>
      <w:r w:rsidRPr="00FB530A">
        <w:rPr>
          <w:rFonts w:asciiTheme="minorHAnsi" w:eastAsia="Times New Roman" w:hAnsiTheme="minorHAnsi" w:cstheme="minorHAnsi"/>
          <w:b/>
          <w:sz w:val="21"/>
          <w:szCs w:val="21"/>
        </w:rPr>
        <w:t xml:space="preserve">elkové náklady na zdravotní služby čerpané z oddílu A základního fondu zdravotního pojištění (ZFZP) </w:t>
      </w:r>
      <w:r w:rsidRPr="00FB530A">
        <w:rPr>
          <w:rFonts w:asciiTheme="minorHAnsi" w:hAnsiTheme="minorHAnsi" w:cstheme="minorHAnsi"/>
          <w:sz w:val="21"/>
          <w:szCs w:val="21"/>
        </w:rPr>
        <w:t xml:space="preserve">jsou uvedeny včetně dohadných položek a finančních prostředků podle § 16b zákona č. 48/1997 Sb. (vratek při překročení limitu započitatelných doplatků na léčivé přípravky a potraviny pro zvláštní lékařské účely), a představovaly nároky PZS za poskytnuté zdravotní služby v roce 2018 ve výši </w:t>
      </w:r>
      <w:r w:rsidR="00FB530A" w:rsidRPr="00FB530A">
        <w:rPr>
          <w:rFonts w:asciiTheme="minorHAnsi" w:eastAsia="Times New Roman" w:hAnsiTheme="minorHAnsi" w:cstheme="minorHAnsi"/>
          <w:sz w:val="21"/>
          <w:szCs w:val="21"/>
        </w:rPr>
        <w:t>310</w:t>
      </w:r>
      <w:r w:rsidRPr="00FB530A">
        <w:rPr>
          <w:rFonts w:asciiTheme="minorHAnsi" w:eastAsia="Times New Roman" w:hAnsiTheme="minorHAnsi" w:cstheme="minorHAnsi"/>
          <w:sz w:val="21"/>
          <w:szCs w:val="21"/>
        </w:rPr>
        <w:t>,</w:t>
      </w:r>
      <w:r w:rsidR="00FB530A" w:rsidRPr="00FB530A">
        <w:rPr>
          <w:rFonts w:asciiTheme="minorHAnsi" w:eastAsia="Times New Roman" w:hAnsiTheme="minorHAnsi" w:cstheme="minorHAnsi"/>
          <w:sz w:val="21"/>
          <w:szCs w:val="21"/>
        </w:rPr>
        <w:t>9</w:t>
      </w:r>
      <w:r w:rsidR="005A162C">
        <w:rPr>
          <w:rFonts w:asciiTheme="minorHAnsi" w:eastAsia="Times New Roman" w:hAnsiTheme="minorHAnsi" w:cstheme="minorHAnsi"/>
          <w:sz w:val="21"/>
          <w:szCs w:val="21"/>
        </w:rPr>
        <w:t>69</w:t>
      </w:r>
      <w:r w:rsidRPr="00FB530A">
        <w:rPr>
          <w:rFonts w:asciiTheme="minorHAnsi" w:eastAsia="Times New Roman" w:hAnsiTheme="minorHAnsi" w:cstheme="minorHAnsi"/>
          <w:sz w:val="21"/>
          <w:szCs w:val="21"/>
        </w:rPr>
        <w:t> mld. Kč. Došlo k výraznějšímu m</w:t>
      </w:r>
      <w:r w:rsidRPr="00FB530A">
        <w:rPr>
          <w:rFonts w:asciiTheme="minorHAnsi" w:eastAsia="SimSun" w:hAnsiTheme="minorHAnsi" w:cstheme="minorHAnsi"/>
          <w:sz w:val="21"/>
          <w:szCs w:val="21"/>
        </w:rPr>
        <w:t>eziročnímu nárůstu celkových nákladů ZFZP o </w:t>
      </w:r>
      <w:r w:rsidR="00FB530A" w:rsidRPr="00FB530A">
        <w:rPr>
          <w:rFonts w:asciiTheme="minorHAnsi" w:eastAsia="SimSun" w:hAnsiTheme="minorHAnsi" w:cstheme="minorHAnsi"/>
          <w:sz w:val="21"/>
          <w:szCs w:val="21"/>
        </w:rPr>
        <w:t>25</w:t>
      </w:r>
      <w:r w:rsidRPr="00FB530A">
        <w:rPr>
          <w:rFonts w:asciiTheme="minorHAnsi" w:eastAsia="SimSun" w:hAnsiTheme="minorHAnsi" w:cstheme="minorHAnsi"/>
          <w:sz w:val="21"/>
          <w:szCs w:val="21"/>
        </w:rPr>
        <w:t>,</w:t>
      </w:r>
      <w:r w:rsidR="00FB530A" w:rsidRPr="00FB530A">
        <w:rPr>
          <w:rFonts w:asciiTheme="minorHAnsi" w:eastAsia="SimSun" w:hAnsiTheme="minorHAnsi" w:cstheme="minorHAnsi"/>
          <w:sz w:val="21"/>
          <w:szCs w:val="21"/>
        </w:rPr>
        <w:t>6</w:t>
      </w:r>
      <w:r w:rsidR="005A162C">
        <w:rPr>
          <w:rFonts w:asciiTheme="minorHAnsi" w:eastAsia="SimSun" w:hAnsiTheme="minorHAnsi" w:cstheme="minorHAnsi"/>
          <w:sz w:val="21"/>
          <w:szCs w:val="21"/>
        </w:rPr>
        <w:t>66</w:t>
      </w:r>
      <w:r w:rsidRPr="00FB530A">
        <w:rPr>
          <w:rFonts w:asciiTheme="minorHAnsi" w:eastAsia="SimSun" w:hAnsiTheme="minorHAnsi" w:cstheme="minorHAnsi"/>
          <w:sz w:val="21"/>
          <w:szCs w:val="21"/>
        </w:rPr>
        <w:t> mld. Kč, tj. o </w:t>
      </w:r>
      <w:r w:rsidR="00FB530A" w:rsidRPr="00FB530A">
        <w:rPr>
          <w:rFonts w:asciiTheme="minorHAnsi" w:eastAsia="SimSun" w:hAnsiTheme="minorHAnsi" w:cstheme="minorHAnsi"/>
          <w:sz w:val="21"/>
          <w:szCs w:val="21"/>
        </w:rPr>
        <w:t>9</w:t>
      </w:r>
      <w:r w:rsidRPr="00FB530A">
        <w:rPr>
          <w:rFonts w:asciiTheme="minorHAnsi" w:eastAsia="SimSun" w:hAnsiTheme="minorHAnsi" w:cstheme="minorHAnsi"/>
          <w:sz w:val="21"/>
          <w:szCs w:val="21"/>
        </w:rPr>
        <w:t>,</w:t>
      </w:r>
      <w:r w:rsidR="00FB530A" w:rsidRPr="00FB530A">
        <w:rPr>
          <w:rFonts w:asciiTheme="minorHAnsi" w:eastAsia="SimSun" w:hAnsiTheme="minorHAnsi" w:cstheme="minorHAnsi"/>
          <w:sz w:val="21"/>
          <w:szCs w:val="21"/>
        </w:rPr>
        <w:t>0</w:t>
      </w:r>
      <w:r w:rsidRPr="00FB530A">
        <w:rPr>
          <w:rFonts w:asciiTheme="minorHAnsi" w:eastAsia="SimSun" w:hAnsiTheme="minorHAnsi" w:cstheme="minorHAnsi"/>
          <w:sz w:val="21"/>
          <w:szCs w:val="21"/>
        </w:rPr>
        <w:t xml:space="preserve"> % </w:t>
      </w:r>
      <w:r w:rsidRPr="00FB530A">
        <w:rPr>
          <w:rFonts w:asciiTheme="minorHAnsi" w:hAnsiTheme="minorHAnsi" w:cstheme="minorHAnsi"/>
          <w:sz w:val="21"/>
          <w:szCs w:val="21"/>
        </w:rPr>
        <w:t>(</w:t>
      </w:r>
      <w:r w:rsidRPr="00E0692A">
        <w:rPr>
          <w:rFonts w:asciiTheme="minorHAnsi" w:hAnsiTheme="minorHAnsi" w:cstheme="minorHAnsi"/>
          <w:i/>
          <w:sz w:val="21"/>
          <w:szCs w:val="21"/>
        </w:rPr>
        <w:t xml:space="preserve">Tabulka č. 8 a </w:t>
      </w:r>
      <w:r w:rsidR="00E0692A">
        <w:rPr>
          <w:rFonts w:asciiTheme="minorHAnsi" w:hAnsiTheme="minorHAnsi" w:cstheme="minorHAnsi"/>
          <w:i/>
          <w:sz w:val="21"/>
          <w:szCs w:val="21"/>
        </w:rPr>
        <w:t xml:space="preserve">č. </w:t>
      </w:r>
      <w:r w:rsidRPr="00E0692A">
        <w:rPr>
          <w:rFonts w:asciiTheme="minorHAnsi" w:hAnsiTheme="minorHAnsi" w:cstheme="minorHAnsi"/>
          <w:i/>
          <w:sz w:val="21"/>
          <w:szCs w:val="21"/>
        </w:rPr>
        <w:t>9</w:t>
      </w:r>
      <w:r w:rsidRPr="007140DB">
        <w:rPr>
          <w:rFonts w:asciiTheme="minorHAnsi" w:hAnsiTheme="minorHAnsi" w:cstheme="minorHAnsi"/>
          <w:i/>
          <w:sz w:val="21"/>
          <w:szCs w:val="21"/>
        </w:rPr>
        <w:t xml:space="preserve"> </w:t>
      </w:r>
      <w:r w:rsidRPr="00E0692A">
        <w:rPr>
          <w:rFonts w:asciiTheme="minorHAnsi" w:hAnsiTheme="minorHAnsi" w:cstheme="minorHAnsi"/>
          <w:iCs/>
          <w:sz w:val="21"/>
          <w:szCs w:val="21"/>
        </w:rPr>
        <w:t>a</w:t>
      </w:r>
      <w:r w:rsidRPr="007140DB">
        <w:rPr>
          <w:rFonts w:asciiTheme="minorHAnsi" w:hAnsiTheme="minorHAnsi" w:cstheme="minorHAnsi"/>
          <w:i/>
          <w:sz w:val="21"/>
          <w:szCs w:val="21"/>
        </w:rPr>
        <w:t> </w:t>
      </w:r>
      <w:r w:rsidR="00E0692A" w:rsidRPr="007140DB">
        <w:rPr>
          <w:rFonts w:asciiTheme="minorHAnsi" w:hAnsiTheme="minorHAnsi" w:cstheme="minorHAnsi"/>
          <w:i/>
          <w:sz w:val="21"/>
          <w:szCs w:val="21"/>
        </w:rPr>
        <w:t>Graf</w:t>
      </w:r>
      <w:r w:rsidRPr="007140DB">
        <w:rPr>
          <w:rFonts w:asciiTheme="minorHAnsi" w:hAnsiTheme="minorHAnsi" w:cstheme="minorHAnsi"/>
          <w:i/>
          <w:sz w:val="21"/>
          <w:szCs w:val="21"/>
        </w:rPr>
        <w:t>. 13</w:t>
      </w:r>
      <w:r w:rsidRPr="00FB530A">
        <w:rPr>
          <w:rFonts w:asciiTheme="minorHAnsi" w:hAnsiTheme="minorHAnsi" w:cstheme="minorHAnsi"/>
          <w:sz w:val="21"/>
          <w:szCs w:val="21"/>
        </w:rPr>
        <w:t>)</w:t>
      </w:r>
      <w:r w:rsidRPr="00FB530A">
        <w:rPr>
          <w:rFonts w:asciiTheme="minorHAnsi" w:eastAsia="SimSun" w:hAnsiTheme="minorHAnsi" w:cstheme="minorHAnsi"/>
          <w:sz w:val="21"/>
          <w:szCs w:val="21"/>
        </w:rPr>
        <w:t xml:space="preserve">. Z výše uvedeného celkového nárůstu nákladů ZFZP připadalo na VZP ČR zvýšení nákladů na zdravotní </w:t>
      </w:r>
      <w:r w:rsidRPr="005A162C">
        <w:rPr>
          <w:rFonts w:asciiTheme="minorHAnsi" w:eastAsia="SimSun" w:hAnsiTheme="minorHAnsi" w:cstheme="minorHAnsi"/>
          <w:sz w:val="21"/>
          <w:szCs w:val="21"/>
        </w:rPr>
        <w:t>služby o </w:t>
      </w:r>
      <w:r w:rsidR="005A162C" w:rsidRPr="005A162C">
        <w:rPr>
          <w:rFonts w:asciiTheme="minorHAnsi" w:eastAsia="SimSun" w:hAnsiTheme="minorHAnsi" w:cstheme="minorHAnsi"/>
          <w:sz w:val="21"/>
          <w:szCs w:val="21"/>
        </w:rPr>
        <w:t>15,541</w:t>
      </w:r>
      <w:r w:rsidR="00FB530A" w:rsidRPr="005A162C">
        <w:rPr>
          <w:rFonts w:asciiTheme="minorHAnsi" w:eastAsia="SimSun" w:hAnsiTheme="minorHAnsi" w:cstheme="minorHAnsi"/>
          <w:sz w:val="21"/>
          <w:szCs w:val="21"/>
        </w:rPr>
        <w:t> </w:t>
      </w:r>
      <w:r w:rsidRPr="005A162C">
        <w:rPr>
          <w:rFonts w:asciiTheme="minorHAnsi" w:eastAsia="SimSun" w:hAnsiTheme="minorHAnsi" w:cstheme="minorHAnsi"/>
          <w:sz w:val="21"/>
          <w:szCs w:val="21"/>
        </w:rPr>
        <w:t xml:space="preserve">mld. Kč, u ZZP vzrostly náklady na zdravotní služby meziročně o </w:t>
      </w:r>
      <w:r w:rsidR="005A162C">
        <w:rPr>
          <w:rFonts w:asciiTheme="minorHAnsi" w:eastAsia="SimSun" w:hAnsiTheme="minorHAnsi" w:cstheme="minorHAnsi"/>
          <w:sz w:val="21"/>
          <w:szCs w:val="21"/>
        </w:rPr>
        <w:t>10,125</w:t>
      </w:r>
      <w:r w:rsidRPr="005A162C">
        <w:rPr>
          <w:rFonts w:asciiTheme="minorHAnsi" w:eastAsia="SimSun" w:hAnsiTheme="minorHAnsi" w:cstheme="minorHAnsi"/>
          <w:sz w:val="21"/>
          <w:szCs w:val="21"/>
        </w:rPr>
        <w:t xml:space="preserve"> mld. Kč. </w:t>
      </w:r>
      <w:r w:rsidR="0038459D">
        <w:rPr>
          <w:rFonts w:asciiTheme="minorHAnsi" w:eastAsia="SimSun" w:hAnsiTheme="minorHAnsi" w:cstheme="minorHAnsi"/>
          <w:sz w:val="21"/>
          <w:szCs w:val="21"/>
        </w:rPr>
        <w:t xml:space="preserve">Rozdíl </w:t>
      </w:r>
      <w:r w:rsidR="0038459D" w:rsidRPr="005A162C">
        <w:rPr>
          <w:rFonts w:asciiTheme="minorHAnsi" w:hAnsiTheme="minorHAnsi" w:cstheme="minorHAnsi"/>
          <w:sz w:val="21"/>
          <w:szCs w:val="21"/>
        </w:rPr>
        <w:t>celkov</w:t>
      </w:r>
      <w:r w:rsidR="0038459D">
        <w:rPr>
          <w:rFonts w:asciiTheme="minorHAnsi" w:hAnsiTheme="minorHAnsi" w:cstheme="minorHAnsi"/>
          <w:sz w:val="21"/>
          <w:szCs w:val="21"/>
        </w:rPr>
        <w:t>ých</w:t>
      </w:r>
      <w:r w:rsidR="0038459D" w:rsidRPr="005A162C">
        <w:rPr>
          <w:rFonts w:asciiTheme="minorHAnsi" w:hAnsiTheme="minorHAnsi" w:cstheme="minorHAnsi"/>
          <w:sz w:val="21"/>
          <w:szCs w:val="21"/>
        </w:rPr>
        <w:t xml:space="preserve"> náklad</w:t>
      </w:r>
      <w:r w:rsidR="0038459D">
        <w:rPr>
          <w:rFonts w:asciiTheme="minorHAnsi" w:hAnsiTheme="minorHAnsi" w:cstheme="minorHAnsi"/>
          <w:sz w:val="21"/>
          <w:szCs w:val="21"/>
        </w:rPr>
        <w:t>ů</w:t>
      </w:r>
      <w:r w:rsidR="0038459D" w:rsidRPr="005A162C">
        <w:rPr>
          <w:rFonts w:asciiTheme="minorHAnsi" w:eastAsia="SimSun" w:hAnsiTheme="minorHAnsi" w:cstheme="minorHAnsi"/>
          <w:sz w:val="21"/>
          <w:szCs w:val="21"/>
        </w:rPr>
        <w:t xml:space="preserve"> ZFZP</w:t>
      </w:r>
      <w:r w:rsidR="0038459D" w:rsidRPr="005A162C">
        <w:rPr>
          <w:rFonts w:asciiTheme="minorHAnsi" w:hAnsiTheme="minorHAnsi" w:cstheme="minorHAnsi"/>
          <w:sz w:val="21"/>
          <w:szCs w:val="21"/>
        </w:rPr>
        <w:t xml:space="preserve"> </w:t>
      </w:r>
      <w:r w:rsidR="0038459D">
        <w:rPr>
          <w:rFonts w:asciiTheme="minorHAnsi" w:eastAsia="SimSun" w:hAnsiTheme="minorHAnsi" w:cstheme="minorHAnsi"/>
          <w:sz w:val="21"/>
          <w:szCs w:val="21"/>
        </w:rPr>
        <w:t>o</w:t>
      </w:r>
      <w:r w:rsidRPr="005A162C">
        <w:rPr>
          <w:rFonts w:asciiTheme="minorHAnsi" w:hAnsiTheme="minorHAnsi" w:cstheme="minorHAnsi"/>
          <w:sz w:val="21"/>
          <w:szCs w:val="21"/>
        </w:rPr>
        <w:t>proti ZPP 201</w:t>
      </w:r>
      <w:r w:rsidR="005A162C">
        <w:rPr>
          <w:rFonts w:asciiTheme="minorHAnsi" w:hAnsiTheme="minorHAnsi" w:cstheme="minorHAnsi"/>
          <w:sz w:val="21"/>
          <w:szCs w:val="21"/>
        </w:rPr>
        <w:t>9</w:t>
      </w:r>
      <w:r w:rsidRPr="005A162C">
        <w:rPr>
          <w:rFonts w:asciiTheme="minorHAnsi" w:hAnsiTheme="minorHAnsi" w:cstheme="minorHAnsi"/>
          <w:sz w:val="21"/>
          <w:szCs w:val="21"/>
        </w:rPr>
        <w:t xml:space="preserve"> </w:t>
      </w:r>
      <w:r w:rsidR="004512A1">
        <w:rPr>
          <w:rFonts w:asciiTheme="minorHAnsi" w:hAnsiTheme="minorHAnsi" w:cstheme="minorHAnsi"/>
          <w:sz w:val="21"/>
          <w:szCs w:val="21"/>
        </w:rPr>
        <w:t xml:space="preserve">činil </w:t>
      </w:r>
      <w:r w:rsidR="0038459D">
        <w:rPr>
          <w:rFonts w:asciiTheme="minorHAnsi" w:hAnsiTheme="minorHAnsi" w:cstheme="minorHAnsi"/>
          <w:sz w:val="21"/>
          <w:szCs w:val="21"/>
        </w:rPr>
        <w:t xml:space="preserve">pouhých </w:t>
      </w:r>
      <w:r w:rsidRPr="005A162C">
        <w:rPr>
          <w:rFonts w:asciiTheme="minorHAnsi" w:hAnsiTheme="minorHAnsi" w:cstheme="minorHAnsi"/>
          <w:sz w:val="21"/>
          <w:szCs w:val="21"/>
        </w:rPr>
        <w:t>0</w:t>
      </w:r>
      <w:r w:rsidRPr="005A162C">
        <w:rPr>
          <w:rFonts w:asciiTheme="minorHAnsi" w:eastAsia="SimSun" w:hAnsiTheme="minorHAnsi" w:cstheme="minorHAnsi"/>
          <w:sz w:val="21"/>
          <w:szCs w:val="21"/>
        </w:rPr>
        <w:t>,</w:t>
      </w:r>
      <w:r w:rsidR="0038459D">
        <w:rPr>
          <w:rFonts w:asciiTheme="minorHAnsi" w:eastAsia="SimSun" w:hAnsiTheme="minorHAnsi" w:cstheme="minorHAnsi"/>
          <w:sz w:val="21"/>
          <w:szCs w:val="21"/>
        </w:rPr>
        <w:t>038 </w:t>
      </w:r>
      <w:r w:rsidRPr="005A162C">
        <w:rPr>
          <w:rFonts w:asciiTheme="minorHAnsi" w:eastAsia="SimSun" w:hAnsiTheme="minorHAnsi" w:cstheme="minorHAnsi"/>
          <w:sz w:val="21"/>
          <w:szCs w:val="21"/>
        </w:rPr>
        <w:t>mld.</w:t>
      </w:r>
      <w:r w:rsidR="0038459D">
        <w:rPr>
          <w:rFonts w:asciiTheme="minorHAnsi" w:eastAsia="SimSun" w:hAnsiTheme="minorHAnsi" w:cstheme="minorHAnsi"/>
          <w:sz w:val="21"/>
          <w:szCs w:val="21"/>
        </w:rPr>
        <w:t> </w:t>
      </w:r>
      <w:r w:rsidRPr="005A162C">
        <w:rPr>
          <w:rFonts w:asciiTheme="minorHAnsi" w:eastAsia="SimSun" w:hAnsiTheme="minorHAnsi" w:cstheme="minorHAnsi"/>
          <w:sz w:val="21"/>
          <w:szCs w:val="21"/>
        </w:rPr>
        <w:t>Kč, tj.</w:t>
      </w:r>
      <w:r w:rsidR="006B7BB1">
        <w:rPr>
          <w:rFonts w:asciiTheme="minorHAnsi" w:eastAsia="SimSun" w:hAnsiTheme="minorHAnsi" w:cstheme="minorHAnsi"/>
          <w:sz w:val="21"/>
          <w:szCs w:val="21"/>
        </w:rPr>
        <w:t> </w:t>
      </w:r>
      <w:r w:rsidRPr="005A162C">
        <w:rPr>
          <w:rFonts w:asciiTheme="minorHAnsi" w:hAnsiTheme="minorHAnsi" w:cstheme="minorHAnsi"/>
          <w:sz w:val="21"/>
          <w:szCs w:val="21"/>
        </w:rPr>
        <w:t xml:space="preserve">0,1 </w:t>
      </w:r>
      <w:r w:rsidR="0038459D">
        <w:rPr>
          <w:rFonts w:asciiTheme="minorHAnsi" w:hAnsiTheme="minorHAnsi" w:cstheme="minorHAnsi"/>
          <w:sz w:val="21"/>
          <w:szCs w:val="21"/>
        </w:rPr>
        <w:t>‰</w:t>
      </w:r>
      <w:r w:rsidRPr="005A162C">
        <w:rPr>
          <w:rFonts w:asciiTheme="minorHAnsi" w:hAnsiTheme="minorHAnsi" w:cstheme="minorHAnsi"/>
          <w:sz w:val="21"/>
          <w:szCs w:val="21"/>
        </w:rPr>
        <w:t>.</w:t>
      </w:r>
      <w:r w:rsidRPr="005A162C">
        <w:rPr>
          <w:rFonts w:asciiTheme="minorHAnsi" w:eastAsia="SimSun" w:hAnsiTheme="minorHAnsi" w:cstheme="minorHAnsi"/>
          <w:sz w:val="21"/>
          <w:szCs w:val="21"/>
        </w:rPr>
        <w:t xml:space="preserve"> </w:t>
      </w:r>
      <w:r w:rsidRPr="005A162C">
        <w:rPr>
          <w:rFonts w:asciiTheme="minorHAnsi" w:hAnsiTheme="minorHAnsi" w:cstheme="minorHAnsi"/>
          <w:sz w:val="21"/>
          <w:szCs w:val="21"/>
        </w:rPr>
        <w:t>Hlavní faktory zvyšující dlouhodobě náklady na zdravotní služby jsou především stárnutí populace a</w:t>
      </w:r>
      <w:r w:rsidR="009E2EEF" w:rsidRPr="005A162C">
        <w:rPr>
          <w:rFonts w:asciiTheme="minorHAnsi" w:hAnsiTheme="minorHAnsi" w:cstheme="minorHAnsi"/>
          <w:sz w:val="21"/>
          <w:szCs w:val="21"/>
        </w:rPr>
        <w:t> </w:t>
      </w:r>
      <w:r w:rsidRPr="005A162C">
        <w:rPr>
          <w:rFonts w:asciiTheme="minorHAnsi" w:hAnsiTheme="minorHAnsi" w:cstheme="minorHAnsi"/>
          <w:sz w:val="21"/>
          <w:szCs w:val="21"/>
        </w:rPr>
        <w:t xml:space="preserve">postupný nárůst vysoce nákladných zdravotních služeb, nové léčebné postupy a léky. </w:t>
      </w:r>
    </w:p>
    <w:p w:rsidR="007036D6" w:rsidRPr="002C2A97" w:rsidRDefault="007036D6" w:rsidP="00E45EA3">
      <w:pPr>
        <w:pStyle w:val="TEXT"/>
        <w:spacing w:before="180" w:after="180" w:line="276" w:lineRule="auto"/>
        <w:ind w:firstLine="0"/>
        <w:rPr>
          <w:rFonts w:asciiTheme="minorHAnsi" w:hAnsiTheme="minorHAnsi" w:cstheme="minorHAnsi"/>
          <w:sz w:val="21"/>
          <w:szCs w:val="21"/>
        </w:rPr>
      </w:pPr>
      <w:r w:rsidRPr="002C2A97">
        <w:rPr>
          <w:rFonts w:asciiTheme="minorHAnsi" w:hAnsiTheme="minorHAnsi" w:cstheme="minorHAnsi"/>
          <w:sz w:val="21"/>
          <w:szCs w:val="21"/>
        </w:rPr>
        <w:t xml:space="preserve">V objemově největším segmentu </w:t>
      </w:r>
      <w:r w:rsidRPr="002C2A97">
        <w:rPr>
          <w:rFonts w:asciiTheme="minorHAnsi" w:hAnsiTheme="minorHAnsi" w:cstheme="minorHAnsi"/>
          <w:b/>
          <w:sz w:val="21"/>
          <w:szCs w:val="21"/>
        </w:rPr>
        <w:t>lůžkové zdravotní péče</w:t>
      </w:r>
      <w:r w:rsidRPr="002C2A97">
        <w:rPr>
          <w:rFonts w:asciiTheme="minorHAnsi" w:hAnsiTheme="minorHAnsi" w:cstheme="minorHAnsi"/>
          <w:sz w:val="21"/>
          <w:szCs w:val="21"/>
        </w:rPr>
        <w:t xml:space="preserve"> byl nárůst nákladů o </w:t>
      </w:r>
      <w:r w:rsidR="002C2A97" w:rsidRPr="002C2A97">
        <w:rPr>
          <w:rFonts w:asciiTheme="minorHAnsi" w:hAnsiTheme="minorHAnsi" w:cstheme="minorHAnsi"/>
          <w:sz w:val="21"/>
          <w:szCs w:val="21"/>
        </w:rPr>
        <w:t>9,6</w:t>
      </w:r>
      <w:r w:rsidRPr="002C2A97">
        <w:rPr>
          <w:rFonts w:asciiTheme="minorHAnsi" w:hAnsiTheme="minorHAnsi" w:cstheme="minorHAnsi"/>
          <w:sz w:val="21"/>
          <w:szCs w:val="21"/>
        </w:rPr>
        <w:t> % (tj. o 1</w:t>
      </w:r>
      <w:r w:rsidR="002C2A97" w:rsidRPr="002C2A97">
        <w:rPr>
          <w:rFonts w:asciiTheme="minorHAnsi" w:hAnsiTheme="minorHAnsi" w:cstheme="minorHAnsi"/>
          <w:sz w:val="21"/>
          <w:szCs w:val="21"/>
        </w:rPr>
        <w:t>4</w:t>
      </w:r>
      <w:r w:rsidRPr="002C2A97">
        <w:rPr>
          <w:rFonts w:asciiTheme="minorHAnsi" w:hAnsiTheme="minorHAnsi" w:cstheme="minorHAnsi"/>
          <w:sz w:val="21"/>
          <w:szCs w:val="21"/>
        </w:rPr>
        <w:t>,</w:t>
      </w:r>
      <w:r w:rsidR="002C2A97" w:rsidRPr="002C2A97">
        <w:rPr>
          <w:rFonts w:asciiTheme="minorHAnsi" w:hAnsiTheme="minorHAnsi" w:cstheme="minorHAnsi"/>
          <w:sz w:val="21"/>
          <w:szCs w:val="21"/>
        </w:rPr>
        <w:t>86</w:t>
      </w:r>
      <w:r w:rsidRPr="002C2A97">
        <w:rPr>
          <w:rFonts w:asciiTheme="minorHAnsi" w:hAnsiTheme="minorHAnsi" w:cstheme="minorHAnsi"/>
          <w:sz w:val="21"/>
          <w:szCs w:val="21"/>
        </w:rPr>
        <w:t>5 mld. Kč) oproti</w:t>
      </w:r>
      <w:r w:rsidR="006B7BB1">
        <w:rPr>
          <w:rFonts w:asciiTheme="minorHAnsi" w:hAnsiTheme="minorHAnsi" w:cstheme="minorHAnsi"/>
          <w:sz w:val="21"/>
          <w:szCs w:val="21"/>
        </w:rPr>
        <w:t> </w:t>
      </w:r>
      <w:r w:rsidRPr="002C2A97">
        <w:rPr>
          <w:rFonts w:asciiTheme="minorHAnsi" w:hAnsiTheme="minorHAnsi" w:cstheme="minorHAnsi"/>
          <w:sz w:val="21"/>
          <w:szCs w:val="21"/>
        </w:rPr>
        <w:t>roku 201</w:t>
      </w:r>
      <w:r w:rsidR="002C2A97" w:rsidRPr="002C2A97">
        <w:rPr>
          <w:rFonts w:asciiTheme="minorHAnsi" w:hAnsiTheme="minorHAnsi" w:cstheme="minorHAnsi"/>
          <w:sz w:val="21"/>
          <w:szCs w:val="21"/>
        </w:rPr>
        <w:t>8</w:t>
      </w:r>
      <w:r w:rsidRPr="002C2A97">
        <w:rPr>
          <w:rFonts w:asciiTheme="minorHAnsi" w:hAnsiTheme="minorHAnsi" w:cstheme="minorHAnsi"/>
          <w:sz w:val="21"/>
          <w:szCs w:val="21"/>
        </w:rPr>
        <w:t>. U </w:t>
      </w:r>
      <w:r w:rsidRPr="002C2A97">
        <w:rPr>
          <w:rFonts w:asciiTheme="minorHAnsi" w:hAnsiTheme="minorHAnsi" w:cstheme="minorHAnsi"/>
          <w:b/>
          <w:sz w:val="21"/>
          <w:szCs w:val="21"/>
        </w:rPr>
        <w:t>ambulantní péče</w:t>
      </w:r>
      <w:r w:rsidRPr="002C2A97">
        <w:rPr>
          <w:rFonts w:asciiTheme="minorHAnsi" w:hAnsiTheme="minorHAnsi" w:cstheme="minorHAnsi"/>
          <w:sz w:val="21"/>
          <w:szCs w:val="21"/>
        </w:rPr>
        <w:t xml:space="preserve"> došlo k navýšení nákladů celkem o </w:t>
      </w:r>
      <w:r w:rsidR="002C2A97" w:rsidRPr="002C2A97">
        <w:rPr>
          <w:rFonts w:asciiTheme="minorHAnsi" w:hAnsiTheme="minorHAnsi" w:cstheme="minorHAnsi"/>
          <w:sz w:val="21"/>
          <w:szCs w:val="21"/>
        </w:rPr>
        <w:t>10,6</w:t>
      </w:r>
      <w:r w:rsidRPr="002C2A97">
        <w:rPr>
          <w:rFonts w:asciiTheme="minorHAnsi" w:hAnsiTheme="minorHAnsi" w:cstheme="minorHAnsi"/>
          <w:sz w:val="21"/>
          <w:szCs w:val="21"/>
        </w:rPr>
        <w:t xml:space="preserve"> % (tj. o </w:t>
      </w:r>
      <w:r w:rsidR="002C2A97" w:rsidRPr="002C2A97">
        <w:rPr>
          <w:rFonts w:asciiTheme="minorHAnsi" w:hAnsiTheme="minorHAnsi" w:cstheme="minorHAnsi"/>
          <w:sz w:val="21"/>
          <w:szCs w:val="21"/>
        </w:rPr>
        <w:t>7,934</w:t>
      </w:r>
      <w:r w:rsidRPr="002C2A97">
        <w:rPr>
          <w:rFonts w:asciiTheme="minorHAnsi" w:hAnsiTheme="minorHAnsi" w:cstheme="minorHAnsi"/>
          <w:sz w:val="21"/>
          <w:szCs w:val="21"/>
        </w:rPr>
        <w:t xml:space="preserve"> mld. Kč). U </w:t>
      </w:r>
      <w:r w:rsidRPr="002C2A97">
        <w:rPr>
          <w:rFonts w:asciiTheme="minorHAnsi" w:hAnsiTheme="minorHAnsi" w:cstheme="minorHAnsi"/>
          <w:b/>
          <w:sz w:val="21"/>
          <w:szCs w:val="21"/>
        </w:rPr>
        <w:t>ostatních nákladů</w:t>
      </w:r>
      <w:r w:rsidRPr="002C2A97">
        <w:rPr>
          <w:rFonts w:asciiTheme="minorHAnsi" w:hAnsiTheme="minorHAnsi" w:cstheme="minorHAnsi"/>
          <w:sz w:val="21"/>
          <w:szCs w:val="21"/>
        </w:rPr>
        <w:t xml:space="preserve"> (náklady na lázeňskou léčebně rehabilitační péči, služby v ozdravovnách, přepravu, zdravotnickou záchrannou službu, léky vydané na recepty, zdravotnické prostředky vydané na poukazy, léčení v zahraničí, očkovací látky a finanční prostředky – vratky), došlo k navýšení celkem o </w:t>
      </w:r>
      <w:r w:rsidR="002C2A97" w:rsidRPr="002C2A97">
        <w:rPr>
          <w:rFonts w:asciiTheme="minorHAnsi" w:hAnsiTheme="minorHAnsi" w:cstheme="minorHAnsi"/>
          <w:sz w:val="21"/>
          <w:szCs w:val="21"/>
        </w:rPr>
        <w:t>5,2</w:t>
      </w:r>
      <w:r w:rsidRPr="002C2A97">
        <w:rPr>
          <w:rFonts w:asciiTheme="minorHAnsi" w:hAnsiTheme="minorHAnsi" w:cstheme="minorHAnsi"/>
          <w:sz w:val="21"/>
          <w:szCs w:val="21"/>
        </w:rPr>
        <w:t xml:space="preserve"> %, tj. o 2,</w:t>
      </w:r>
      <w:r w:rsidR="002C2A97" w:rsidRPr="002C2A97">
        <w:rPr>
          <w:rFonts w:asciiTheme="minorHAnsi" w:hAnsiTheme="minorHAnsi" w:cstheme="minorHAnsi"/>
          <w:sz w:val="21"/>
          <w:szCs w:val="21"/>
        </w:rPr>
        <w:t>867</w:t>
      </w:r>
      <w:r w:rsidRPr="002C2A97">
        <w:rPr>
          <w:rFonts w:asciiTheme="minorHAnsi" w:hAnsiTheme="minorHAnsi" w:cstheme="minorHAnsi"/>
          <w:sz w:val="21"/>
          <w:szCs w:val="21"/>
        </w:rPr>
        <w:t xml:space="preserve"> mld. Kč (</w:t>
      </w:r>
      <w:r w:rsidRPr="002C2A97">
        <w:rPr>
          <w:rFonts w:asciiTheme="minorHAnsi" w:hAnsiTheme="minorHAnsi" w:cstheme="minorHAnsi"/>
          <w:i/>
          <w:sz w:val="21"/>
          <w:szCs w:val="21"/>
        </w:rPr>
        <w:t>Tabulka č. 8</w:t>
      </w:r>
      <w:r w:rsidRPr="002C2A97">
        <w:rPr>
          <w:rFonts w:asciiTheme="minorHAnsi" w:hAnsiTheme="minorHAnsi" w:cstheme="minorHAnsi"/>
          <w:sz w:val="21"/>
          <w:szCs w:val="21"/>
        </w:rPr>
        <w:t xml:space="preserve"> </w:t>
      </w:r>
      <w:r w:rsidRPr="007140DB">
        <w:rPr>
          <w:rFonts w:asciiTheme="minorHAnsi" w:hAnsiTheme="minorHAnsi" w:cstheme="minorHAnsi"/>
          <w:i/>
          <w:iCs/>
          <w:sz w:val="21"/>
          <w:szCs w:val="21"/>
        </w:rPr>
        <w:t>a</w:t>
      </w:r>
      <w:r w:rsidR="002C2A97" w:rsidRPr="007140DB">
        <w:rPr>
          <w:rFonts w:asciiTheme="minorHAnsi" w:hAnsiTheme="minorHAnsi" w:cstheme="minorHAnsi"/>
          <w:i/>
          <w:iCs/>
          <w:sz w:val="21"/>
          <w:szCs w:val="21"/>
        </w:rPr>
        <w:t> </w:t>
      </w:r>
      <w:r w:rsidR="00E0692A" w:rsidRPr="007140DB">
        <w:rPr>
          <w:rFonts w:asciiTheme="minorHAnsi" w:hAnsiTheme="minorHAnsi" w:cstheme="minorHAnsi"/>
          <w:i/>
          <w:iCs/>
          <w:sz w:val="21"/>
          <w:szCs w:val="21"/>
        </w:rPr>
        <w:t xml:space="preserve">č. </w:t>
      </w:r>
      <w:r w:rsidRPr="007140DB">
        <w:rPr>
          <w:rFonts w:asciiTheme="minorHAnsi" w:hAnsiTheme="minorHAnsi" w:cstheme="minorHAnsi"/>
          <w:i/>
          <w:iCs/>
          <w:sz w:val="21"/>
          <w:szCs w:val="21"/>
        </w:rPr>
        <w:t>9</w:t>
      </w:r>
      <w:r w:rsidRPr="002C2A97">
        <w:rPr>
          <w:rFonts w:asciiTheme="minorHAnsi" w:hAnsiTheme="minorHAnsi" w:cstheme="minorHAnsi"/>
          <w:sz w:val="21"/>
          <w:szCs w:val="21"/>
        </w:rPr>
        <w:t xml:space="preserve"> a </w:t>
      </w:r>
      <w:r w:rsidRPr="002C2A97">
        <w:rPr>
          <w:rFonts w:asciiTheme="minorHAnsi" w:hAnsiTheme="minorHAnsi" w:cstheme="minorHAnsi"/>
          <w:i/>
          <w:sz w:val="21"/>
          <w:szCs w:val="21"/>
        </w:rPr>
        <w:t>Graf. 14</w:t>
      </w:r>
      <w:r w:rsidRPr="002C2A97">
        <w:rPr>
          <w:rFonts w:asciiTheme="minorHAnsi" w:hAnsiTheme="minorHAnsi" w:cstheme="minorHAnsi"/>
          <w:sz w:val="21"/>
          <w:szCs w:val="21"/>
        </w:rPr>
        <w:t>).</w:t>
      </w:r>
    </w:p>
    <w:p w:rsidR="007036D6" w:rsidRDefault="007036D6" w:rsidP="00E45EA3">
      <w:pPr>
        <w:pStyle w:val="TEXT"/>
        <w:spacing w:before="180" w:after="180" w:line="276" w:lineRule="auto"/>
        <w:ind w:firstLine="0"/>
        <w:rPr>
          <w:rFonts w:asciiTheme="minorHAnsi" w:hAnsiTheme="minorHAnsi" w:cstheme="minorHAnsi"/>
          <w:sz w:val="21"/>
          <w:szCs w:val="21"/>
        </w:rPr>
      </w:pPr>
      <w:r w:rsidRPr="000E4A4F">
        <w:rPr>
          <w:rFonts w:asciiTheme="minorHAnsi" w:hAnsiTheme="minorHAnsi" w:cstheme="minorHAnsi"/>
          <w:sz w:val="21"/>
          <w:szCs w:val="21"/>
        </w:rPr>
        <w:lastRenderedPageBreak/>
        <w:t>Souhrnné hodnocení vývoje nákladů jednotlivých ZP včetně dohadných položek a jejich porovnání s rokem 201</w:t>
      </w:r>
      <w:r w:rsidR="000E4A4F" w:rsidRPr="000E4A4F">
        <w:rPr>
          <w:rFonts w:asciiTheme="minorHAnsi" w:hAnsiTheme="minorHAnsi" w:cstheme="minorHAnsi"/>
          <w:sz w:val="21"/>
          <w:szCs w:val="21"/>
        </w:rPr>
        <w:t>8</w:t>
      </w:r>
      <w:r w:rsidRPr="000E4A4F">
        <w:rPr>
          <w:rFonts w:asciiTheme="minorHAnsi" w:hAnsiTheme="minorHAnsi" w:cstheme="minorHAnsi"/>
          <w:sz w:val="21"/>
          <w:szCs w:val="21"/>
        </w:rPr>
        <w:t xml:space="preserve"> a</w:t>
      </w:r>
      <w:r w:rsidR="006B7BB1">
        <w:rPr>
          <w:rFonts w:asciiTheme="minorHAnsi" w:hAnsiTheme="minorHAnsi" w:cstheme="minorHAnsi"/>
          <w:sz w:val="21"/>
          <w:szCs w:val="21"/>
        </w:rPr>
        <w:t> </w:t>
      </w:r>
      <w:r w:rsidRPr="000E4A4F">
        <w:rPr>
          <w:rFonts w:asciiTheme="minorHAnsi" w:hAnsiTheme="minorHAnsi" w:cstheme="minorHAnsi"/>
          <w:sz w:val="21"/>
          <w:szCs w:val="21"/>
        </w:rPr>
        <w:t>ZPP 201</w:t>
      </w:r>
      <w:r w:rsidR="000E4A4F" w:rsidRPr="000E4A4F">
        <w:rPr>
          <w:rFonts w:asciiTheme="minorHAnsi" w:hAnsiTheme="minorHAnsi" w:cstheme="minorHAnsi"/>
          <w:sz w:val="21"/>
          <w:szCs w:val="21"/>
        </w:rPr>
        <w:t>9</w:t>
      </w:r>
      <w:r w:rsidRPr="000E4A4F">
        <w:rPr>
          <w:rFonts w:asciiTheme="minorHAnsi" w:hAnsiTheme="minorHAnsi" w:cstheme="minorHAnsi"/>
          <w:sz w:val="21"/>
          <w:szCs w:val="21"/>
        </w:rPr>
        <w:t xml:space="preserve"> poskytuje tabulková příloha </w:t>
      </w:r>
      <w:r w:rsidRPr="000E4A4F">
        <w:rPr>
          <w:rFonts w:asciiTheme="minorHAnsi" w:hAnsiTheme="minorHAnsi" w:cstheme="minorHAnsi"/>
          <w:i/>
          <w:sz w:val="21"/>
          <w:szCs w:val="21"/>
        </w:rPr>
        <w:t>Tabulka č. 3, 3a, 3b a 3c</w:t>
      </w:r>
      <w:r w:rsidRPr="000E4A4F">
        <w:rPr>
          <w:rFonts w:asciiTheme="minorHAnsi" w:hAnsiTheme="minorHAnsi" w:cstheme="minorHAnsi"/>
          <w:sz w:val="21"/>
          <w:szCs w:val="21"/>
        </w:rPr>
        <w:t>.</w:t>
      </w:r>
      <w:r w:rsidRPr="0021299E">
        <w:rPr>
          <w:rFonts w:asciiTheme="minorHAnsi" w:hAnsiTheme="minorHAnsi" w:cstheme="minorHAnsi"/>
          <w:sz w:val="21"/>
          <w:szCs w:val="21"/>
        </w:rPr>
        <w:t xml:space="preserve"> </w:t>
      </w:r>
    </w:p>
    <w:p w:rsidR="007036D6" w:rsidRPr="00044940" w:rsidRDefault="007036D6" w:rsidP="0021299E">
      <w:pPr>
        <w:pStyle w:val="Titulek"/>
        <w:jc w:val="both"/>
      </w:pPr>
      <w:bookmarkStart w:id="34" w:name="_Toc41837500"/>
      <w:r w:rsidRPr="00C75FC6">
        <w:t xml:space="preserve">Tabulka č. </w:t>
      </w:r>
      <w:r>
        <w:rPr>
          <w:noProof/>
        </w:rPr>
        <w:fldChar w:fldCharType="begin"/>
      </w:r>
      <w:r>
        <w:rPr>
          <w:noProof/>
        </w:rPr>
        <w:instrText xml:space="preserve"> SEQ Tabulka \* ARABIC </w:instrText>
      </w:r>
      <w:r>
        <w:rPr>
          <w:noProof/>
        </w:rPr>
        <w:fldChar w:fldCharType="separate"/>
      </w:r>
      <w:r w:rsidR="00B17299">
        <w:rPr>
          <w:noProof/>
        </w:rPr>
        <w:t>8</w:t>
      </w:r>
      <w:r>
        <w:rPr>
          <w:noProof/>
        </w:rPr>
        <w:fldChar w:fldCharType="end"/>
      </w:r>
      <w:r w:rsidRPr="00C75FC6">
        <w:t xml:space="preserve">: </w:t>
      </w:r>
      <w:r w:rsidRPr="007036D6">
        <w:t>Náklady na zdravotní služby ze ZFZP podle segmentů</w:t>
      </w:r>
      <w:bookmarkEnd w:id="34"/>
      <w:r>
        <w:t xml:space="preserve"> </w:t>
      </w:r>
    </w:p>
    <w:tbl>
      <w:tblPr>
        <w:tblW w:w="9080" w:type="dxa"/>
        <w:jc w:val="center"/>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2080"/>
        <w:gridCol w:w="1000"/>
        <w:gridCol w:w="1000"/>
        <w:gridCol w:w="1000"/>
        <w:gridCol w:w="1000"/>
        <w:gridCol w:w="1000"/>
        <w:gridCol w:w="1000"/>
        <w:gridCol w:w="1000"/>
      </w:tblGrid>
      <w:tr w:rsidR="0076102D" w:rsidRPr="00635E8D" w:rsidTr="000E6678">
        <w:trPr>
          <w:trHeight w:val="600"/>
          <w:jc w:val="center"/>
        </w:trPr>
        <w:tc>
          <w:tcPr>
            <w:tcW w:w="2080" w:type="dxa"/>
            <w:shd w:val="clear" w:color="000000" w:fill="4F81BD"/>
            <w:hideMark/>
          </w:tcPr>
          <w:p w:rsidR="0076102D" w:rsidRPr="00635E8D" w:rsidRDefault="0076102D" w:rsidP="0076102D">
            <w:pPr>
              <w:spacing w:after="0" w:line="240" w:lineRule="auto"/>
              <w:rPr>
                <w:rFonts w:ascii="Calibri" w:eastAsia="Times New Roman" w:hAnsi="Calibri" w:cs="Times New Roman"/>
                <w:b/>
                <w:bCs/>
                <w:color w:val="FFFFFF"/>
                <w:szCs w:val="21"/>
                <w:lang w:eastAsia="cs-CZ"/>
              </w:rPr>
            </w:pPr>
            <w:r w:rsidRPr="00635E8D">
              <w:rPr>
                <w:rFonts w:ascii="Calibri" w:eastAsia="Times New Roman" w:hAnsi="Calibri" w:cs="Times New Roman"/>
                <w:b/>
                <w:bCs/>
                <w:color w:val="FFFFFF"/>
                <w:szCs w:val="21"/>
                <w:lang w:eastAsia="cs-CZ"/>
              </w:rPr>
              <w:t>Ukazatel</w:t>
            </w:r>
            <w:r w:rsidRPr="00635E8D">
              <w:rPr>
                <w:rFonts w:ascii="Calibri" w:eastAsia="Times New Roman" w:hAnsi="Calibri" w:cs="Times New Roman"/>
                <w:b/>
                <w:bCs/>
                <w:color w:val="FFFFFF"/>
                <w:szCs w:val="21"/>
                <w:lang w:eastAsia="cs-CZ"/>
              </w:rPr>
              <w:br/>
            </w:r>
            <w:r w:rsidRPr="00635E8D">
              <w:rPr>
                <w:rFonts w:ascii="Calibri" w:eastAsia="Times New Roman" w:hAnsi="Calibri" w:cs="Times New Roman"/>
                <w:color w:val="FFFFFF"/>
                <w:szCs w:val="21"/>
                <w:lang w:eastAsia="cs-CZ"/>
              </w:rPr>
              <w:t>(v mil. Kč)</w:t>
            </w:r>
          </w:p>
        </w:tc>
        <w:tc>
          <w:tcPr>
            <w:tcW w:w="1000" w:type="dxa"/>
            <w:shd w:val="clear" w:color="000000" w:fill="6691C6"/>
            <w:noWrap/>
            <w:vAlign w:val="center"/>
            <w:hideMark/>
          </w:tcPr>
          <w:p w:rsidR="0076102D" w:rsidRPr="00635E8D" w:rsidRDefault="0076102D" w:rsidP="0076102D">
            <w:pPr>
              <w:spacing w:after="0" w:line="240" w:lineRule="auto"/>
              <w:jc w:val="center"/>
              <w:rPr>
                <w:rFonts w:ascii="Calibri" w:eastAsia="Times New Roman" w:hAnsi="Calibri" w:cs="Times New Roman"/>
                <w:b/>
                <w:bCs/>
                <w:color w:val="FFFFFF"/>
                <w:szCs w:val="21"/>
                <w:lang w:eastAsia="cs-CZ"/>
              </w:rPr>
            </w:pPr>
            <w:r w:rsidRPr="00635E8D">
              <w:rPr>
                <w:rFonts w:ascii="Calibri" w:eastAsia="Times New Roman" w:hAnsi="Calibri" w:cs="Times New Roman"/>
                <w:b/>
                <w:bCs/>
                <w:color w:val="FFFFFF"/>
                <w:szCs w:val="21"/>
                <w:lang w:eastAsia="cs-CZ"/>
              </w:rPr>
              <w:t>2014</w:t>
            </w:r>
          </w:p>
        </w:tc>
        <w:tc>
          <w:tcPr>
            <w:tcW w:w="1000" w:type="dxa"/>
            <w:shd w:val="clear" w:color="000000" w:fill="4F81BD"/>
            <w:noWrap/>
            <w:vAlign w:val="center"/>
            <w:hideMark/>
          </w:tcPr>
          <w:p w:rsidR="0076102D" w:rsidRPr="00635E8D" w:rsidRDefault="0076102D" w:rsidP="0076102D">
            <w:pPr>
              <w:spacing w:after="0" w:line="240" w:lineRule="auto"/>
              <w:jc w:val="center"/>
              <w:rPr>
                <w:rFonts w:ascii="Calibri" w:eastAsia="Times New Roman" w:hAnsi="Calibri" w:cs="Times New Roman"/>
                <w:b/>
                <w:bCs/>
                <w:color w:val="FFFFFF"/>
                <w:szCs w:val="21"/>
                <w:lang w:eastAsia="cs-CZ"/>
              </w:rPr>
            </w:pPr>
            <w:r w:rsidRPr="00635E8D">
              <w:rPr>
                <w:rFonts w:ascii="Calibri" w:eastAsia="Times New Roman" w:hAnsi="Calibri" w:cs="Times New Roman"/>
                <w:b/>
                <w:bCs/>
                <w:color w:val="FFFFFF"/>
                <w:szCs w:val="21"/>
                <w:lang w:eastAsia="cs-CZ"/>
              </w:rPr>
              <w:t>2015</w:t>
            </w:r>
          </w:p>
        </w:tc>
        <w:tc>
          <w:tcPr>
            <w:tcW w:w="1000" w:type="dxa"/>
            <w:shd w:val="clear" w:color="000000" w:fill="6691C6"/>
            <w:noWrap/>
            <w:vAlign w:val="center"/>
            <w:hideMark/>
          </w:tcPr>
          <w:p w:rsidR="0076102D" w:rsidRPr="00635E8D" w:rsidRDefault="0076102D" w:rsidP="0076102D">
            <w:pPr>
              <w:spacing w:after="0" w:line="240" w:lineRule="auto"/>
              <w:jc w:val="center"/>
              <w:rPr>
                <w:rFonts w:ascii="Calibri" w:eastAsia="Times New Roman" w:hAnsi="Calibri" w:cs="Times New Roman"/>
                <w:b/>
                <w:bCs/>
                <w:color w:val="FFFFFF"/>
                <w:szCs w:val="21"/>
                <w:lang w:eastAsia="cs-CZ"/>
              </w:rPr>
            </w:pPr>
            <w:r w:rsidRPr="00635E8D">
              <w:rPr>
                <w:rFonts w:ascii="Calibri" w:eastAsia="Times New Roman" w:hAnsi="Calibri" w:cs="Times New Roman"/>
                <w:b/>
                <w:bCs/>
                <w:color w:val="FFFFFF"/>
                <w:szCs w:val="21"/>
                <w:lang w:eastAsia="cs-CZ"/>
              </w:rPr>
              <w:t>2016</w:t>
            </w:r>
          </w:p>
        </w:tc>
        <w:tc>
          <w:tcPr>
            <w:tcW w:w="1000" w:type="dxa"/>
            <w:shd w:val="clear" w:color="000000" w:fill="4F81BD"/>
            <w:noWrap/>
            <w:vAlign w:val="center"/>
            <w:hideMark/>
          </w:tcPr>
          <w:p w:rsidR="0076102D" w:rsidRPr="00635E8D" w:rsidRDefault="0076102D" w:rsidP="0076102D">
            <w:pPr>
              <w:spacing w:after="0" w:line="240" w:lineRule="auto"/>
              <w:jc w:val="center"/>
              <w:rPr>
                <w:rFonts w:ascii="Calibri" w:eastAsia="Times New Roman" w:hAnsi="Calibri" w:cs="Times New Roman"/>
                <w:b/>
                <w:bCs/>
                <w:color w:val="FFFFFF"/>
                <w:szCs w:val="21"/>
                <w:lang w:eastAsia="cs-CZ"/>
              </w:rPr>
            </w:pPr>
            <w:r w:rsidRPr="00635E8D">
              <w:rPr>
                <w:rFonts w:ascii="Calibri" w:eastAsia="Times New Roman" w:hAnsi="Calibri" w:cs="Times New Roman"/>
                <w:b/>
                <w:bCs/>
                <w:color w:val="FFFFFF"/>
                <w:szCs w:val="21"/>
                <w:lang w:eastAsia="cs-CZ"/>
              </w:rPr>
              <w:t>2017</w:t>
            </w:r>
          </w:p>
        </w:tc>
        <w:tc>
          <w:tcPr>
            <w:tcW w:w="1000" w:type="dxa"/>
            <w:shd w:val="clear" w:color="000000" w:fill="6691C6"/>
            <w:noWrap/>
            <w:vAlign w:val="center"/>
            <w:hideMark/>
          </w:tcPr>
          <w:p w:rsidR="0076102D" w:rsidRPr="00635E8D" w:rsidRDefault="0076102D" w:rsidP="0076102D">
            <w:pPr>
              <w:spacing w:after="0" w:line="240" w:lineRule="auto"/>
              <w:jc w:val="center"/>
              <w:rPr>
                <w:rFonts w:ascii="Calibri" w:eastAsia="Times New Roman" w:hAnsi="Calibri" w:cs="Times New Roman"/>
                <w:b/>
                <w:bCs/>
                <w:color w:val="FFFFFF"/>
                <w:szCs w:val="21"/>
                <w:lang w:eastAsia="cs-CZ"/>
              </w:rPr>
            </w:pPr>
            <w:r w:rsidRPr="00635E8D">
              <w:rPr>
                <w:rFonts w:ascii="Calibri" w:eastAsia="Times New Roman" w:hAnsi="Calibri" w:cs="Times New Roman"/>
                <w:b/>
                <w:bCs/>
                <w:color w:val="FFFFFF"/>
                <w:szCs w:val="21"/>
                <w:lang w:eastAsia="cs-CZ"/>
              </w:rPr>
              <w:t>201</w:t>
            </w:r>
            <w:r>
              <w:rPr>
                <w:rFonts w:ascii="Calibri" w:eastAsia="Times New Roman" w:hAnsi="Calibri" w:cs="Times New Roman"/>
                <w:b/>
                <w:bCs/>
                <w:color w:val="FFFFFF"/>
                <w:szCs w:val="21"/>
                <w:lang w:eastAsia="cs-CZ"/>
              </w:rPr>
              <w:t>8</w:t>
            </w:r>
          </w:p>
        </w:tc>
        <w:tc>
          <w:tcPr>
            <w:tcW w:w="1000" w:type="dxa"/>
            <w:shd w:val="clear" w:color="000000" w:fill="4F81BD"/>
            <w:vAlign w:val="center"/>
            <w:hideMark/>
          </w:tcPr>
          <w:p w:rsidR="0076102D" w:rsidRPr="00635E8D" w:rsidRDefault="0076102D" w:rsidP="0076102D">
            <w:pPr>
              <w:spacing w:after="0" w:line="240" w:lineRule="auto"/>
              <w:jc w:val="center"/>
              <w:rPr>
                <w:rFonts w:ascii="Calibri" w:eastAsia="Times New Roman" w:hAnsi="Calibri" w:cs="Times New Roman"/>
                <w:b/>
                <w:bCs/>
                <w:color w:val="FFFFFF"/>
                <w:szCs w:val="21"/>
                <w:lang w:eastAsia="cs-CZ"/>
              </w:rPr>
            </w:pPr>
            <w:r w:rsidRPr="00635E8D">
              <w:rPr>
                <w:rFonts w:ascii="Calibri" w:eastAsia="Times New Roman" w:hAnsi="Calibri" w:cs="Times New Roman"/>
                <w:b/>
                <w:bCs/>
                <w:color w:val="FFFFFF"/>
                <w:szCs w:val="21"/>
                <w:lang w:eastAsia="cs-CZ"/>
              </w:rPr>
              <w:t>201</w:t>
            </w:r>
            <w:r>
              <w:rPr>
                <w:rFonts w:ascii="Calibri" w:eastAsia="Times New Roman" w:hAnsi="Calibri" w:cs="Times New Roman"/>
                <w:b/>
                <w:bCs/>
                <w:color w:val="FFFFFF"/>
                <w:szCs w:val="21"/>
                <w:lang w:eastAsia="cs-CZ"/>
              </w:rPr>
              <w:t>9</w:t>
            </w:r>
          </w:p>
        </w:tc>
        <w:tc>
          <w:tcPr>
            <w:tcW w:w="1000" w:type="dxa"/>
            <w:shd w:val="clear" w:color="000000" w:fill="6691C6"/>
            <w:noWrap/>
            <w:vAlign w:val="center"/>
            <w:hideMark/>
          </w:tcPr>
          <w:p w:rsidR="0076102D" w:rsidRDefault="0076102D" w:rsidP="0076102D">
            <w:pPr>
              <w:spacing w:after="0" w:line="240" w:lineRule="auto"/>
              <w:jc w:val="center"/>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2019</w:t>
            </w:r>
          </w:p>
          <w:p w:rsidR="0076102D" w:rsidRPr="00635E8D" w:rsidRDefault="0076102D" w:rsidP="0076102D">
            <w:pPr>
              <w:spacing w:after="0" w:line="240" w:lineRule="auto"/>
              <w:jc w:val="center"/>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ZPP</w:t>
            </w:r>
          </w:p>
        </w:tc>
      </w:tr>
      <w:tr w:rsidR="0076102D" w:rsidRPr="00635E8D" w:rsidTr="007140DB">
        <w:trPr>
          <w:trHeight w:val="559"/>
          <w:jc w:val="center"/>
        </w:trPr>
        <w:tc>
          <w:tcPr>
            <w:tcW w:w="2080" w:type="dxa"/>
            <w:shd w:val="clear" w:color="auto" w:fill="auto"/>
            <w:vAlign w:val="bottom"/>
            <w:hideMark/>
          </w:tcPr>
          <w:p w:rsidR="0076102D" w:rsidRPr="00635E8D" w:rsidRDefault="0076102D" w:rsidP="0076102D">
            <w:pPr>
              <w:spacing w:after="0" w:line="240" w:lineRule="auto"/>
              <w:rPr>
                <w:rFonts w:ascii="Calibri" w:eastAsia="Times New Roman" w:hAnsi="Calibri" w:cs="Times New Roman"/>
                <w:b/>
                <w:bCs/>
                <w:color w:val="000000"/>
                <w:szCs w:val="21"/>
                <w:lang w:eastAsia="cs-CZ"/>
              </w:rPr>
            </w:pPr>
            <w:r w:rsidRPr="00635E8D">
              <w:rPr>
                <w:rFonts w:ascii="Calibri" w:eastAsia="Times New Roman" w:hAnsi="Calibri" w:cs="Times New Roman"/>
                <w:b/>
                <w:bCs/>
                <w:color w:val="000000"/>
                <w:szCs w:val="21"/>
                <w:lang w:eastAsia="cs-CZ"/>
              </w:rPr>
              <w:t xml:space="preserve">Náklady na </w:t>
            </w:r>
            <w:r w:rsidRPr="00635E8D">
              <w:rPr>
                <w:rFonts w:ascii="Calibri" w:eastAsia="Times New Roman" w:hAnsi="Calibri" w:cs="Times New Roman"/>
                <w:b/>
                <w:bCs/>
                <w:color w:val="000000"/>
                <w:szCs w:val="21"/>
                <w:lang w:eastAsia="cs-CZ"/>
              </w:rPr>
              <w:br/>
              <w:t>ambulantní péči</w:t>
            </w:r>
          </w:p>
        </w:tc>
        <w:tc>
          <w:tcPr>
            <w:tcW w:w="1000" w:type="dxa"/>
            <w:shd w:val="clear" w:color="000000" w:fill="DCE6F1"/>
            <w:noWrap/>
            <w:vAlign w:val="center"/>
            <w:hideMark/>
          </w:tcPr>
          <w:p w:rsidR="0076102D" w:rsidRPr="00635E8D" w:rsidRDefault="0076102D" w:rsidP="006B7BB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62 669</w:t>
            </w:r>
          </w:p>
        </w:tc>
        <w:tc>
          <w:tcPr>
            <w:tcW w:w="1000" w:type="dxa"/>
            <w:shd w:val="clear" w:color="auto" w:fill="auto"/>
            <w:noWrap/>
            <w:vAlign w:val="center"/>
            <w:hideMark/>
          </w:tcPr>
          <w:p w:rsidR="0076102D" w:rsidRPr="00635E8D" w:rsidRDefault="0076102D" w:rsidP="00E0692A">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64 829</w:t>
            </w:r>
          </w:p>
        </w:tc>
        <w:tc>
          <w:tcPr>
            <w:tcW w:w="1000" w:type="dxa"/>
            <w:shd w:val="clear" w:color="000000" w:fill="DCE6F1"/>
            <w:noWrap/>
            <w:vAlign w:val="center"/>
            <w:hideMark/>
          </w:tcPr>
          <w:p w:rsidR="0076102D" w:rsidRPr="00635E8D" w:rsidRDefault="0076102D">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69 248</w:t>
            </w:r>
          </w:p>
        </w:tc>
        <w:tc>
          <w:tcPr>
            <w:tcW w:w="1000" w:type="dxa"/>
            <w:shd w:val="clear" w:color="auto" w:fill="auto"/>
            <w:noWrap/>
            <w:vAlign w:val="center"/>
            <w:hideMark/>
          </w:tcPr>
          <w:p w:rsidR="0076102D" w:rsidRPr="00635E8D" w:rsidRDefault="0076102D">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72 172</w:t>
            </w:r>
          </w:p>
        </w:tc>
        <w:tc>
          <w:tcPr>
            <w:tcW w:w="1000" w:type="dxa"/>
            <w:shd w:val="clear" w:color="000000" w:fill="DCE6F1"/>
            <w:noWrap/>
            <w:vAlign w:val="center"/>
            <w:hideMark/>
          </w:tcPr>
          <w:p w:rsidR="0076102D" w:rsidRPr="00635E8D" w:rsidRDefault="0076102D">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75 094</w:t>
            </w:r>
          </w:p>
        </w:tc>
        <w:tc>
          <w:tcPr>
            <w:tcW w:w="1000" w:type="dxa"/>
            <w:shd w:val="clear" w:color="auto" w:fill="auto"/>
            <w:noWrap/>
            <w:vAlign w:val="center"/>
            <w:hideMark/>
          </w:tcPr>
          <w:p w:rsidR="0076102D" w:rsidRPr="00635E8D" w:rsidRDefault="0076102D">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83 028</w:t>
            </w:r>
          </w:p>
        </w:tc>
        <w:tc>
          <w:tcPr>
            <w:tcW w:w="1000" w:type="dxa"/>
            <w:shd w:val="clear" w:color="000000" w:fill="DCE6F1"/>
            <w:noWrap/>
            <w:vAlign w:val="center"/>
            <w:hideMark/>
          </w:tcPr>
          <w:p w:rsidR="0076102D" w:rsidRPr="00635E8D" w:rsidRDefault="0076102D">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81 764</w:t>
            </w:r>
          </w:p>
        </w:tc>
      </w:tr>
      <w:tr w:rsidR="0076102D" w:rsidRPr="00635E8D" w:rsidTr="007140DB">
        <w:trPr>
          <w:trHeight w:val="559"/>
          <w:jc w:val="center"/>
        </w:trPr>
        <w:tc>
          <w:tcPr>
            <w:tcW w:w="2080" w:type="dxa"/>
            <w:shd w:val="clear" w:color="000000" w:fill="EEF3F8"/>
            <w:vAlign w:val="bottom"/>
            <w:hideMark/>
          </w:tcPr>
          <w:p w:rsidR="0076102D" w:rsidRPr="00635E8D" w:rsidRDefault="0076102D" w:rsidP="0076102D">
            <w:pPr>
              <w:spacing w:after="0" w:line="240" w:lineRule="auto"/>
              <w:rPr>
                <w:rFonts w:ascii="Calibri" w:eastAsia="Times New Roman" w:hAnsi="Calibri" w:cs="Times New Roman"/>
                <w:b/>
                <w:bCs/>
                <w:color w:val="000000"/>
                <w:szCs w:val="21"/>
                <w:lang w:eastAsia="cs-CZ"/>
              </w:rPr>
            </w:pPr>
            <w:r w:rsidRPr="00635E8D">
              <w:rPr>
                <w:rFonts w:ascii="Calibri" w:eastAsia="Times New Roman" w:hAnsi="Calibri" w:cs="Times New Roman"/>
                <w:b/>
                <w:bCs/>
                <w:color w:val="000000"/>
                <w:szCs w:val="21"/>
                <w:lang w:eastAsia="cs-CZ"/>
              </w:rPr>
              <w:t xml:space="preserve">Náklady na </w:t>
            </w:r>
            <w:r w:rsidRPr="00635E8D">
              <w:rPr>
                <w:rFonts w:ascii="Calibri" w:eastAsia="Times New Roman" w:hAnsi="Calibri" w:cs="Times New Roman"/>
                <w:b/>
                <w:bCs/>
                <w:color w:val="000000"/>
                <w:szCs w:val="21"/>
                <w:lang w:eastAsia="cs-CZ"/>
              </w:rPr>
              <w:br/>
              <w:t>lůžkovou péči</w:t>
            </w:r>
          </w:p>
        </w:tc>
        <w:tc>
          <w:tcPr>
            <w:tcW w:w="1000" w:type="dxa"/>
            <w:shd w:val="clear" w:color="000000" w:fill="EEF3F8"/>
            <w:noWrap/>
            <w:vAlign w:val="center"/>
            <w:hideMark/>
          </w:tcPr>
          <w:p w:rsidR="0076102D" w:rsidRPr="00635E8D" w:rsidRDefault="0076102D" w:rsidP="006B7BB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122 547</w:t>
            </w:r>
          </w:p>
        </w:tc>
        <w:tc>
          <w:tcPr>
            <w:tcW w:w="1000" w:type="dxa"/>
            <w:shd w:val="clear" w:color="000000" w:fill="EEF3F8"/>
            <w:noWrap/>
            <w:vAlign w:val="center"/>
            <w:hideMark/>
          </w:tcPr>
          <w:p w:rsidR="0076102D" w:rsidRPr="00635E8D" w:rsidRDefault="0076102D" w:rsidP="00E0692A">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127 454</w:t>
            </w:r>
          </w:p>
        </w:tc>
        <w:tc>
          <w:tcPr>
            <w:tcW w:w="1000" w:type="dxa"/>
            <w:shd w:val="clear" w:color="000000" w:fill="EEF3F8"/>
            <w:noWrap/>
            <w:vAlign w:val="center"/>
            <w:hideMark/>
          </w:tcPr>
          <w:p w:rsidR="0076102D" w:rsidRPr="00635E8D" w:rsidRDefault="0076102D">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132 958</w:t>
            </w:r>
          </w:p>
        </w:tc>
        <w:tc>
          <w:tcPr>
            <w:tcW w:w="1000" w:type="dxa"/>
            <w:shd w:val="clear" w:color="000000" w:fill="EEF3F8"/>
            <w:noWrap/>
            <w:vAlign w:val="center"/>
            <w:hideMark/>
          </w:tcPr>
          <w:p w:rsidR="0076102D" w:rsidRPr="00635E8D" w:rsidRDefault="0076102D">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142 610</w:t>
            </w:r>
          </w:p>
        </w:tc>
        <w:tc>
          <w:tcPr>
            <w:tcW w:w="1000" w:type="dxa"/>
            <w:shd w:val="clear" w:color="000000" w:fill="EEF3F8"/>
            <w:noWrap/>
            <w:vAlign w:val="center"/>
            <w:hideMark/>
          </w:tcPr>
          <w:p w:rsidR="0076102D" w:rsidRPr="00635E8D" w:rsidRDefault="0076102D">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155 361</w:t>
            </w:r>
          </w:p>
        </w:tc>
        <w:tc>
          <w:tcPr>
            <w:tcW w:w="1000" w:type="dxa"/>
            <w:shd w:val="clear" w:color="000000" w:fill="EEF3F8"/>
            <w:noWrap/>
            <w:vAlign w:val="center"/>
            <w:hideMark/>
          </w:tcPr>
          <w:p w:rsidR="0076102D" w:rsidRPr="00635E8D" w:rsidRDefault="0076102D">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170 226</w:t>
            </w:r>
          </w:p>
        </w:tc>
        <w:tc>
          <w:tcPr>
            <w:tcW w:w="1000" w:type="dxa"/>
            <w:shd w:val="clear" w:color="000000" w:fill="EEF3F8"/>
            <w:noWrap/>
            <w:vAlign w:val="center"/>
            <w:hideMark/>
          </w:tcPr>
          <w:p w:rsidR="0076102D" w:rsidRPr="00635E8D" w:rsidRDefault="0076102D">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171 210</w:t>
            </w:r>
          </w:p>
        </w:tc>
      </w:tr>
      <w:tr w:rsidR="0076102D" w:rsidRPr="00635E8D" w:rsidTr="007140DB">
        <w:trPr>
          <w:trHeight w:val="300"/>
          <w:jc w:val="center"/>
        </w:trPr>
        <w:tc>
          <w:tcPr>
            <w:tcW w:w="2080" w:type="dxa"/>
            <w:shd w:val="clear" w:color="auto" w:fill="auto"/>
            <w:vAlign w:val="bottom"/>
            <w:hideMark/>
          </w:tcPr>
          <w:p w:rsidR="0076102D" w:rsidRPr="00635E8D" w:rsidRDefault="0076102D" w:rsidP="0076102D">
            <w:pPr>
              <w:spacing w:after="0" w:line="240" w:lineRule="auto"/>
              <w:rPr>
                <w:rFonts w:ascii="Calibri" w:eastAsia="Times New Roman" w:hAnsi="Calibri" w:cs="Times New Roman"/>
                <w:b/>
                <w:bCs/>
                <w:color w:val="000000"/>
                <w:szCs w:val="21"/>
                <w:lang w:eastAsia="cs-CZ"/>
              </w:rPr>
            </w:pPr>
            <w:r w:rsidRPr="00635E8D">
              <w:rPr>
                <w:rFonts w:ascii="Calibri" w:eastAsia="Times New Roman" w:hAnsi="Calibri" w:cs="Times New Roman"/>
                <w:b/>
                <w:bCs/>
                <w:color w:val="000000"/>
                <w:szCs w:val="21"/>
                <w:lang w:eastAsia="cs-CZ"/>
              </w:rPr>
              <w:t>Ostatní náklady</w:t>
            </w:r>
          </w:p>
        </w:tc>
        <w:tc>
          <w:tcPr>
            <w:tcW w:w="1000" w:type="dxa"/>
            <w:shd w:val="clear" w:color="000000" w:fill="DCE6F1"/>
            <w:noWrap/>
            <w:vAlign w:val="center"/>
            <w:hideMark/>
          </w:tcPr>
          <w:p w:rsidR="0076102D" w:rsidRPr="00635E8D" w:rsidRDefault="0076102D" w:rsidP="006B7BB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48 742</w:t>
            </w:r>
          </w:p>
        </w:tc>
        <w:tc>
          <w:tcPr>
            <w:tcW w:w="1000" w:type="dxa"/>
            <w:shd w:val="clear" w:color="auto" w:fill="auto"/>
            <w:noWrap/>
            <w:vAlign w:val="center"/>
            <w:hideMark/>
          </w:tcPr>
          <w:p w:rsidR="0076102D" w:rsidRPr="00635E8D" w:rsidRDefault="0076102D" w:rsidP="00E0692A">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49 692</w:t>
            </w:r>
          </w:p>
        </w:tc>
        <w:tc>
          <w:tcPr>
            <w:tcW w:w="1000" w:type="dxa"/>
            <w:shd w:val="clear" w:color="000000" w:fill="DCE6F1"/>
            <w:noWrap/>
            <w:vAlign w:val="center"/>
            <w:hideMark/>
          </w:tcPr>
          <w:p w:rsidR="0076102D" w:rsidRPr="00635E8D" w:rsidRDefault="0076102D">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51 217</w:t>
            </w:r>
          </w:p>
        </w:tc>
        <w:tc>
          <w:tcPr>
            <w:tcW w:w="1000" w:type="dxa"/>
            <w:shd w:val="clear" w:color="auto" w:fill="auto"/>
            <w:noWrap/>
            <w:vAlign w:val="center"/>
            <w:hideMark/>
          </w:tcPr>
          <w:p w:rsidR="0076102D" w:rsidRPr="00635E8D" w:rsidRDefault="0076102D">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52 469</w:t>
            </w:r>
          </w:p>
        </w:tc>
        <w:tc>
          <w:tcPr>
            <w:tcW w:w="1000" w:type="dxa"/>
            <w:shd w:val="clear" w:color="000000" w:fill="DCE6F1"/>
            <w:noWrap/>
            <w:vAlign w:val="center"/>
            <w:hideMark/>
          </w:tcPr>
          <w:p w:rsidR="0076102D" w:rsidRPr="00635E8D" w:rsidRDefault="0076102D">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54 847</w:t>
            </w:r>
          </w:p>
        </w:tc>
        <w:tc>
          <w:tcPr>
            <w:tcW w:w="1000" w:type="dxa"/>
            <w:shd w:val="clear" w:color="auto" w:fill="auto"/>
            <w:noWrap/>
            <w:vAlign w:val="center"/>
            <w:hideMark/>
          </w:tcPr>
          <w:p w:rsidR="0076102D" w:rsidRPr="00635E8D" w:rsidRDefault="0076102D">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57 715</w:t>
            </w:r>
          </w:p>
        </w:tc>
        <w:tc>
          <w:tcPr>
            <w:tcW w:w="1000" w:type="dxa"/>
            <w:shd w:val="clear" w:color="000000" w:fill="DCE6F1"/>
            <w:noWrap/>
            <w:vAlign w:val="center"/>
            <w:hideMark/>
          </w:tcPr>
          <w:p w:rsidR="0076102D" w:rsidRPr="00635E8D" w:rsidRDefault="0076102D">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57 956</w:t>
            </w:r>
          </w:p>
        </w:tc>
      </w:tr>
      <w:tr w:rsidR="0076102D" w:rsidRPr="00635E8D" w:rsidTr="007140DB">
        <w:trPr>
          <w:trHeight w:val="300"/>
          <w:jc w:val="center"/>
        </w:trPr>
        <w:tc>
          <w:tcPr>
            <w:tcW w:w="2080" w:type="dxa"/>
            <w:shd w:val="clear" w:color="000000" w:fill="EEF3F8"/>
            <w:vAlign w:val="bottom"/>
            <w:hideMark/>
          </w:tcPr>
          <w:p w:rsidR="0076102D" w:rsidRPr="00635E8D" w:rsidRDefault="0076102D" w:rsidP="0076102D">
            <w:pPr>
              <w:spacing w:after="0" w:line="240" w:lineRule="auto"/>
              <w:rPr>
                <w:rFonts w:ascii="Calibri" w:eastAsia="Times New Roman" w:hAnsi="Calibri" w:cs="Times New Roman"/>
                <w:b/>
                <w:bCs/>
                <w:color w:val="000000"/>
                <w:szCs w:val="21"/>
                <w:lang w:eastAsia="cs-CZ"/>
              </w:rPr>
            </w:pPr>
            <w:r w:rsidRPr="00635E8D">
              <w:rPr>
                <w:rFonts w:ascii="Calibri" w:eastAsia="Times New Roman" w:hAnsi="Calibri" w:cs="Times New Roman"/>
                <w:b/>
                <w:bCs/>
                <w:color w:val="000000"/>
                <w:szCs w:val="21"/>
                <w:lang w:eastAsia="cs-CZ"/>
              </w:rPr>
              <w:t>Celkové náklady</w:t>
            </w:r>
          </w:p>
        </w:tc>
        <w:tc>
          <w:tcPr>
            <w:tcW w:w="1000" w:type="dxa"/>
            <w:shd w:val="clear" w:color="000000" w:fill="EEF3F8"/>
            <w:noWrap/>
            <w:vAlign w:val="center"/>
            <w:hideMark/>
          </w:tcPr>
          <w:p w:rsidR="0076102D" w:rsidRPr="00635E8D" w:rsidRDefault="0076102D" w:rsidP="006B7BB1">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233 959</w:t>
            </w:r>
          </w:p>
        </w:tc>
        <w:tc>
          <w:tcPr>
            <w:tcW w:w="1000" w:type="dxa"/>
            <w:shd w:val="clear" w:color="000000" w:fill="EEF3F8"/>
            <w:noWrap/>
            <w:vAlign w:val="center"/>
            <w:hideMark/>
          </w:tcPr>
          <w:p w:rsidR="0076102D" w:rsidRPr="00635E8D" w:rsidRDefault="0076102D" w:rsidP="00E0692A">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241 975</w:t>
            </w:r>
          </w:p>
        </w:tc>
        <w:tc>
          <w:tcPr>
            <w:tcW w:w="1000" w:type="dxa"/>
            <w:shd w:val="clear" w:color="000000" w:fill="EEF3F8"/>
            <w:noWrap/>
            <w:vAlign w:val="center"/>
            <w:hideMark/>
          </w:tcPr>
          <w:p w:rsidR="0076102D" w:rsidRPr="00635E8D" w:rsidRDefault="0076102D">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253 424</w:t>
            </w:r>
          </w:p>
        </w:tc>
        <w:tc>
          <w:tcPr>
            <w:tcW w:w="1000" w:type="dxa"/>
            <w:shd w:val="clear" w:color="000000" w:fill="EEF3F8"/>
            <w:noWrap/>
            <w:vAlign w:val="center"/>
            <w:hideMark/>
          </w:tcPr>
          <w:p w:rsidR="0076102D" w:rsidRPr="00635E8D" w:rsidRDefault="0076102D">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267 250</w:t>
            </w:r>
          </w:p>
        </w:tc>
        <w:tc>
          <w:tcPr>
            <w:tcW w:w="1000" w:type="dxa"/>
            <w:shd w:val="clear" w:color="000000" w:fill="EEF3F8"/>
            <w:noWrap/>
            <w:vAlign w:val="center"/>
            <w:hideMark/>
          </w:tcPr>
          <w:p w:rsidR="0076102D" w:rsidRPr="00635E8D" w:rsidRDefault="0076102D">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285 302</w:t>
            </w:r>
          </w:p>
        </w:tc>
        <w:tc>
          <w:tcPr>
            <w:tcW w:w="1000" w:type="dxa"/>
            <w:shd w:val="clear" w:color="000000" w:fill="EEF3F8"/>
            <w:noWrap/>
            <w:vAlign w:val="center"/>
            <w:hideMark/>
          </w:tcPr>
          <w:p w:rsidR="0076102D" w:rsidRPr="00635E8D" w:rsidRDefault="0076102D">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310 969</w:t>
            </w:r>
          </w:p>
        </w:tc>
        <w:tc>
          <w:tcPr>
            <w:tcW w:w="1000" w:type="dxa"/>
            <w:shd w:val="clear" w:color="000000" w:fill="EEF3F8"/>
            <w:noWrap/>
            <w:vAlign w:val="center"/>
            <w:hideMark/>
          </w:tcPr>
          <w:p w:rsidR="0076102D" w:rsidRPr="00635E8D" w:rsidRDefault="0076102D">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310 930</w:t>
            </w:r>
          </w:p>
        </w:tc>
      </w:tr>
    </w:tbl>
    <w:p w:rsidR="002D4F40" w:rsidRDefault="002D4F40" w:rsidP="007036D6">
      <w:pPr>
        <w:pStyle w:val="Titulek"/>
        <w:jc w:val="both"/>
      </w:pPr>
    </w:p>
    <w:p w:rsidR="007036D6" w:rsidRDefault="007036D6" w:rsidP="0021299E">
      <w:pPr>
        <w:pStyle w:val="Titulek"/>
        <w:jc w:val="both"/>
      </w:pPr>
      <w:bookmarkStart w:id="35" w:name="_Toc41837501"/>
      <w:r w:rsidRPr="00C75FC6">
        <w:t xml:space="preserve">Tabulka č. </w:t>
      </w:r>
      <w:r>
        <w:rPr>
          <w:noProof/>
        </w:rPr>
        <w:fldChar w:fldCharType="begin"/>
      </w:r>
      <w:r>
        <w:rPr>
          <w:noProof/>
        </w:rPr>
        <w:instrText xml:space="preserve"> SEQ Tabulka \* ARABIC </w:instrText>
      </w:r>
      <w:r>
        <w:rPr>
          <w:noProof/>
        </w:rPr>
        <w:fldChar w:fldCharType="separate"/>
      </w:r>
      <w:r w:rsidR="00B17299">
        <w:rPr>
          <w:noProof/>
        </w:rPr>
        <w:t>9</w:t>
      </w:r>
      <w:r>
        <w:rPr>
          <w:noProof/>
        </w:rPr>
        <w:fldChar w:fldCharType="end"/>
      </w:r>
      <w:r w:rsidRPr="00C75FC6">
        <w:t xml:space="preserve">: </w:t>
      </w:r>
      <w:r w:rsidRPr="007036D6">
        <w:t>Vývoj nákladů na zdravotní služby ze ZFZP podle segmentů</w:t>
      </w:r>
      <w:bookmarkEnd w:id="35"/>
      <w:r>
        <w:t xml:space="preserve"> </w:t>
      </w:r>
    </w:p>
    <w:tbl>
      <w:tblPr>
        <w:tblW w:w="9080" w:type="dxa"/>
        <w:jc w:val="center"/>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2080"/>
        <w:gridCol w:w="1000"/>
        <w:gridCol w:w="1000"/>
        <w:gridCol w:w="1000"/>
        <w:gridCol w:w="1000"/>
        <w:gridCol w:w="1000"/>
        <w:gridCol w:w="1000"/>
        <w:gridCol w:w="1000"/>
      </w:tblGrid>
      <w:tr w:rsidR="00B17299" w:rsidRPr="00635E8D" w:rsidTr="000E6678">
        <w:trPr>
          <w:trHeight w:val="600"/>
          <w:jc w:val="center"/>
        </w:trPr>
        <w:tc>
          <w:tcPr>
            <w:tcW w:w="2080" w:type="dxa"/>
            <w:shd w:val="clear" w:color="000000" w:fill="4F81BD"/>
            <w:hideMark/>
          </w:tcPr>
          <w:p w:rsidR="00B17299" w:rsidRPr="00635E8D" w:rsidRDefault="00B17299" w:rsidP="00B17299">
            <w:pPr>
              <w:spacing w:after="0" w:line="240" w:lineRule="auto"/>
              <w:rPr>
                <w:rFonts w:ascii="Calibri" w:eastAsia="Times New Roman" w:hAnsi="Calibri" w:cs="Times New Roman"/>
                <w:b/>
                <w:bCs/>
                <w:color w:val="FFFFFF"/>
                <w:szCs w:val="21"/>
                <w:lang w:eastAsia="cs-CZ"/>
              </w:rPr>
            </w:pPr>
            <w:r w:rsidRPr="00635E8D">
              <w:rPr>
                <w:rFonts w:ascii="Calibri" w:eastAsia="Times New Roman" w:hAnsi="Calibri" w:cs="Times New Roman"/>
                <w:b/>
                <w:bCs/>
                <w:color w:val="FFFFFF"/>
                <w:szCs w:val="21"/>
                <w:lang w:eastAsia="cs-CZ"/>
              </w:rPr>
              <w:t>Ukazatel</w:t>
            </w:r>
            <w:r w:rsidRPr="00635E8D">
              <w:rPr>
                <w:rFonts w:ascii="Calibri" w:eastAsia="Times New Roman" w:hAnsi="Calibri" w:cs="Times New Roman"/>
                <w:b/>
                <w:bCs/>
                <w:color w:val="FFFFFF"/>
                <w:szCs w:val="21"/>
                <w:lang w:eastAsia="cs-CZ"/>
              </w:rPr>
              <w:br/>
            </w:r>
            <w:r w:rsidRPr="00635E8D">
              <w:rPr>
                <w:rFonts w:ascii="Calibri" w:eastAsia="Times New Roman" w:hAnsi="Calibri" w:cs="Times New Roman"/>
                <w:color w:val="FFFFFF"/>
                <w:szCs w:val="21"/>
                <w:lang w:eastAsia="cs-CZ"/>
              </w:rPr>
              <w:t>(v %)</w:t>
            </w:r>
          </w:p>
        </w:tc>
        <w:tc>
          <w:tcPr>
            <w:tcW w:w="1000" w:type="dxa"/>
            <w:shd w:val="clear" w:color="000000" w:fill="6691C6"/>
            <w:vAlign w:val="center"/>
            <w:hideMark/>
          </w:tcPr>
          <w:p w:rsidR="00B17299" w:rsidRPr="00635E8D" w:rsidRDefault="00B17299" w:rsidP="00B17299">
            <w:pPr>
              <w:spacing w:after="0" w:line="240" w:lineRule="auto"/>
              <w:jc w:val="center"/>
              <w:rPr>
                <w:rFonts w:ascii="Calibri" w:eastAsia="Times New Roman" w:hAnsi="Calibri" w:cs="Times New Roman"/>
                <w:b/>
                <w:bCs/>
                <w:color w:val="FFFFFF"/>
                <w:szCs w:val="21"/>
                <w:lang w:eastAsia="cs-CZ"/>
              </w:rPr>
            </w:pPr>
            <w:r>
              <w:rPr>
                <w:rFonts w:ascii="Calibri" w:hAnsi="Calibri" w:cs="Calibri"/>
                <w:b/>
                <w:bCs/>
                <w:color w:val="FFFFFF"/>
                <w:szCs w:val="21"/>
              </w:rPr>
              <w:t>2014/</w:t>
            </w:r>
            <w:r>
              <w:rPr>
                <w:rFonts w:ascii="Calibri" w:hAnsi="Calibri" w:cs="Calibri"/>
                <w:b/>
                <w:bCs/>
                <w:color w:val="FFFFFF"/>
                <w:szCs w:val="21"/>
              </w:rPr>
              <w:br/>
              <w:t>2013</w:t>
            </w:r>
          </w:p>
        </w:tc>
        <w:tc>
          <w:tcPr>
            <w:tcW w:w="1000" w:type="dxa"/>
            <w:shd w:val="clear" w:color="000000" w:fill="4F81BD"/>
            <w:vAlign w:val="center"/>
            <w:hideMark/>
          </w:tcPr>
          <w:p w:rsidR="00B17299" w:rsidRPr="00635E8D" w:rsidRDefault="00B17299" w:rsidP="00B17299">
            <w:pPr>
              <w:spacing w:after="0" w:line="240" w:lineRule="auto"/>
              <w:jc w:val="center"/>
              <w:rPr>
                <w:rFonts w:ascii="Calibri" w:eastAsia="Times New Roman" w:hAnsi="Calibri" w:cs="Times New Roman"/>
                <w:b/>
                <w:bCs/>
                <w:color w:val="FFFFFF"/>
                <w:szCs w:val="21"/>
                <w:lang w:eastAsia="cs-CZ"/>
              </w:rPr>
            </w:pPr>
            <w:r>
              <w:rPr>
                <w:rFonts w:ascii="Calibri" w:hAnsi="Calibri" w:cs="Calibri"/>
                <w:b/>
                <w:bCs/>
                <w:color w:val="FFFFFF"/>
                <w:szCs w:val="21"/>
              </w:rPr>
              <w:t>2015/</w:t>
            </w:r>
            <w:r>
              <w:rPr>
                <w:rFonts w:ascii="Calibri" w:hAnsi="Calibri" w:cs="Calibri"/>
                <w:b/>
                <w:bCs/>
                <w:color w:val="FFFFFF"/>
                <w:szCs w:val="21"/>
              </w:rPr>
              <w:br/>
              <w:t>2014</w:t>
            </w:r>
          </w:p>
        </w:tc>
        <w:tc>
          <w:tcPr>
            <w:tcW w:w="1000" w:type="dxa"/>
            <w:shd w:val="clear" w:color="000000" w:fill="6691C6"/>
            <w:vAlign w:val="center"/>
            <w:hideMark/>
          </w:tcPr>
          <w:p w:rsidR="00B17299" w:rsidRPr="00635E8D" w:rsidRDefault="00B17299" w:rsidP="00B17299">
            <w:pPr>
              <w:spacing w:after="0" w:line="240" w:lineRule="auto"/>
              <w:jc w:val="center"/>
              <w:rPr>
                <w:rFonts w:ascii="Calibri" w:eastAsia="Times New Roman" w:hAnsi="Calibri" w:cs="Times New Roman"/>
                <w:b/>
                <w:bCs/>
                <w:color w:val="FFFFFF"/>
                <w:szCs w:val="21"/>
                <w:lang w:eastAsia="cs-CZ"/>
              </w:rPr>
            </w:pPr>
            <w:r>
              <w:rPr>
                <w:rFonts w:ascii="Calibri" w:hAnsi="Calibri" w:cs="Calibri"/>
                <w:b/>
                <w:bCs/>
                <w:color w:val="FFFFFF"/>
                <w:szCs w:val="21"/>
              </w:rPr>
              <w:t>2016/</w:t>
            </w:r>
            <w:r>
              <w:rPr>
                <w:rFonts w:ascii="Calibri" w:hAnsi="Calibri" w:cs="Calibri"/>
                <w:b/>
                <w:bCs/>
                <w:color w:val="FFFFFF"/>
                <w:szCs w:val="21"/>
              </w:rPr>
              <w:br/>
              <w:t>2015</w:t>
            </w:r>
          </w:p>
        </w:tc>
        <w:tc>
          <w:tcPr>
            <w:tcW w:w="1000" w:type="dxa"/>
            <w:shd w:val="clear" w:color="000000" w:fill="4F81BD"/>
            <w:vAlign w:val="center"/>
            <w:hideMark/>
          </w:tcPr>
          <w:p w:rsidR="00B17299" w:rsidRPr="00635E8D" w:rsidRDefault="00B17299" w:rsidP="00B17299">
            <w:pPr>
              <w:spacing w:after="0" w:line="240" w:lineRule="auto"/>
              <w:jc w:val="center"/>
              <w:rPr>
                <w:rFonts w:ascii="Calibri" w:eastAsia="Times New Roman" w:hAnsi="Calibri" w:cs="Times New Roman"/>
                <w:b/>
                <w:bCs/>
                <w:color w:val="FFFFFF"/>
                <w:szCs w:val="21"/>
                <w:lang w:eastAsia="cs-CZ"/>
              </w:rPr>
            </w:pPr>
            <w:r>
              <w:rPr>
                <w:rFonts w:ascii="Calibri" w:hAnsi="Calibri" w:cs="Calibri"/>
                <w:b/>
                <w:bCs/>
                <w:color w:val="FFFFFF"/>
                <w:szCs w:val="21"/>
              </w:rPr>
              <w:t>2017/</w:t>
            </w:r>
            <w:r>
              <w:rPr>
                <w:rFonts w:ascii="Calibri" w:hAnsi="Calibri" w:cs="Calibri"/>
                <w:b/>
                <w:bCs/>
                <w:color w:val="FFFFFF"/>
                <w:szCs w:val="21"/>
              </w:rPr>
              <w:br/>
              <w:t>2016</w:t>
            </w:r>
          </w:p>
        </w:tc>
        <w:tc>
          <w:tcPr>
            <w:tcW w:w="1000" w:type="dxa"/>
            <w:shd w:val="clear" w:color="000000" w:fill="6691C6"/>
            <w:vAlign w:val="center"/>
            <w:hideMark/>
          </w:tcPr>
          <w:p w:rsidR="00B17299" w:rsidRPr="00635E8D" w:rsidRDefault="00B17299" w:rsidP="00B17299">
            <w:pPr>
              <w:spacing w:after="0" w:line="240" w:lineRule="auto"/>
              <w:jc w:val="center"/>
              <w:rPr>
                <w:rFonts w:ascii="Calibri" w:eastAsia="Times New Roman" w:hAnsi="Calibri" w:cs="Times New Roman"/>
                <w:b/>
                <w:bCs/>
                <w:color w:val="FFFFFF"/>
                <w:szCs w:val="21"/>
                <w:lang w:eastAsia="cs-CZ"/>
              </w:rPr>
            </w:pPr>
            <w:r>
              <w:rPr>
                <w:rFonts w:ascii="Calibri" w:hAnsi="Calibri" w:cs="Calibri"/>
                <w:b/>
                <w:bCs/>
                <w:color w:val="FFFFFF"/>
                <w:szCs w:val="21"/>
              </w:rPr>
              <w:t xml:space="preserve"> 2018/</w:t>
            </w:r>
            <w:r>
              <w:rPr>
                <w:rFonts w:ascii="Calibri" w:hAnsi="Calibri" w:cs="Calibri"/>
                <w:b/>
                <w:bCs/>
                <w:color w:val="FFFFFF"/>
                <w:szCs w:val="21"/>
              </w:rPr>
              <w:br/>
              <w:t>2017</w:t>
            </w:r>
          </w:p>
        </w:tc>
        <w:tc>
          <w:tcPr>
            <w:tcW w:w="1000" w:type="dxa"/>
            <w:shd w:val="clear" w:color="000000" w:fill="4F81BD"/>
            <w:vAlign w:val="center"/>
            <w:hideMark/>
          </w:tcPr>
          <w:p w:rsidR="00B17299" w:rsidRPr="00635E8D" w:rsidRDefault="00B17299" w:rsidP="00B17299">
            <w:pPr>
              <w:spacing w:after="0" w:line="240" w:lineRule="auto"/>
              <w:jc w:val="center"/>
              <w:rPr>
                <w:rFonts w:ascii="Calibri" w:eastAsia="Times New Roman" w:hAnsi="Calibri" w:cs="Times New Roman"/>
                <w:b/>
                <w:bCs/>
                <w:color w:val="FFFFFF"/>
                <w:szCs w:val="21"/>
                <w:lang w:eastAsia="cs-CZ"/>
              </w:rPr>
            </w:pPr>
            <w:r>
              <w:rPr>
                <w:rFonts w:ascii="Calibri" w:hAnsi="Calibri" w:cs="Calibri"/>
                <w:b/>
                <w:bCs/>
                <w:color w:val="FFFFFF"/>
                <w:szCs w:val="21"/>
              </w:rPr>
              <w:t>2019/</w:t>
            </w:r>
            <w:r>
              <w:rPr>
                <w:rFonts w:ascii="Calibri" w:hAnsi="Calibri" w:cs="Calibri"/>
                <w:b/>
                <w:bCs/>
                <w:color w:val="FFFFFF"/>
                <w:szCs w:val="21"/>
              </w:rPr>
              <w:br/>
              <w:t>2018</w:t>
            </w:r>
          </w:p>
        </w:tc>
        <w:tc>
          <w:tcPr>
            <w:tcW w:w="1000" w:type="dxa"/>
            <w:shd w:val="clear" w:color="000000" w:fill="6691C6"/>
            <w:vAlign w:val="center"/>
            <w:hideMark/>
          </w:tcPr>
          <w:p w:rsidR="00B17299" w:rsidRPr="00635E8D" w:rsidRDefault="00B17299" w:rsidP="00B17299">
            <w:pPr>
              <w:spacing w:after="0" w:line="240" w:lineRule="auto"/>
              <w:jc w:val="center"/>
              <w:rPr>
                <w:rFonts w:ascii="Calibri" w:eastAsia="Times New Roman" w:hAnsi="Calibri" w:cs="Times New Roman"/>
                <w:b/>
                <w:bCs/>
                <w:color w:val="FFFFFF"/>
                <w:szCs w:val="21"/>
                <w:lang w:eastAsia="cs-CZ"/>
              </w:rPr>
            </w:pPr>
            <w:r>
              <w:rPr>
                <w:rFonts w:ascii="Calibri" w:hAnsi="Calibri" w:cs="Calibri"/>
                <w:b/>
                <w:bCs/>
                <w:color w:val="FFFFFF"/>
                <w:szCs w:val="21"/>
              </w:rPr>
              <w:t xml:space="preserve"> 2019/</w:t>
            </w:r>
            <w:r>
              <w:rPr>
                <w:rFonts w:ascii="Calibri" w:hAnsi="Calibri" w:cs="Calibri"/>
                <w:b/>
                <w:bCs/>
                <w:color w:val="FFFFFF"/>
                <w:szCs w:val="21"/>
              </w:rPr>
              <w:br/>
              <w:t>ZPP 2019</w:t>
            </w:r>
          </w:p>
        </w:tc>
      </w:tr>
      <w:tr w:rsidR="00B17299" w:rsidRPr="00635E8D" w:rsidTr="007140DB">
        <w:trPr>
          <w:trHeight w:val="559"/>
          <w:jc w:val="center"/>
        </w:trPr>
        <w:tc>
          <w:tcPr>
            <w:tcW w:w="2080" w:type="dxa"/>
            <w:shd w:val="clear" w:color="auto" w:fill="auto"/>
            <w:vAlign w:val="bottom"/>
            <w:hideMark/>
          </w:tcPr>
          <w:p w:rsidR="00B17299" w:rsidRPr="00635E8D" w:rsidRDefault="00B17299" w:rsidP="00B17299">
            <w:pPr>
              <w:spacing w:after="0" w:line="240" w:lineRule="auto"/>
              <w:rPr>
                <w:rFonts w:ascii="Calibri" w:eastAsia="Times New Roman" w:hAnsi="Calibri" w:cs="Times New Roman"/>
                <w:b/>
                <w:bCs/>
                <w:color w:val="000000"/>
                <w:szCs w:val="21"/>
                <w:lang w:eastAsia="cs-CZ"/>
              </w:rPr>
            </w:pPr>
            <w:r w:rsidRPr="00635E8D">
              <w:rPr>
                <w:rFonts w:ascii="Calibri" w:eastAsia="Times New Roman" w:hAnsi="Calibri" w:cs="Times New Roman"/>
                <w:b/>
                <w:bCs/>
                <w:color w:val="000000"/>
                <w:szCs w:val="21"/>
                <w:lang w:eastAsia="cs-CZ"/>
              </w:rPr>
              <w:t xml:space="preserve">Náklady na </w:t>
            </w:r>
            <w:r w:rsidRPr="00635E8D">
              <w:rPr>
                <w:rFonts w:ascii="Calibri" w:eastAsia="Times New Roman" w:hAnsi="Calibri" w:cs="Times New Roman"/>
                <w:b/>
                <w:bCs/>
                <w:color w:val="000000"/>
                <w:szCs w:val="21"/>
                <w:lang w:eastAsia="cs-CZ"/>
              </w:rPr>
              <w:br/>
              <w:t>ambulantní péči</w:t>
            </w:r>
          </w:p>
        </w:tc>
        <w:tc>
          <w:tcPr>
            <w:tcW w:w="1000" w:type="dxa"/>
            <w:shd w:val="clear" w:color="000000" w:fill="DCE6F1"/>
            <w:noWrap/>
            <w:vAlign w:val="center"/>
            <w:hideMark/>
          </w:tcPr>
          <w:p w:rsidR="00B17299" w:rsidRPr="00635E8D" w:rsidRDefault="00B17299" w:rsidP="006B7BB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104,3</w:t>
            </w:r>
          </w:p>
        </w:tc>
        <w:tc>
          <w:tcPr>
            <w:tcW w:w="1000" w:type="dxa"/>
            <w:shd w:val="clear" w:color="auto" w:fill="auto"/>
            <w:noWrap/>
            <w:vAlign w:val="center"/>
            <w:hideMark/>
          </w:tcPr>
          <w:p w:rsidR="00B17299" w:rsidRPr="00635E8D" w:rsidRDefault="00B17299" w:rsidP="00E0692A">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103,4</w:t>
            </w:r>
          </w:p>
        </w:tc>
        <w:tc>
          <w:tcPr>
            <w:tcW w:w="1000" w:type="dxa"/>
            <w:shd w:val="clear" w:color="000000" w:fill="DCE6F1"/>
            <w:noWrap/>
            <w:vAlign w:val="center"/>
            <w:hideMark/>
          </w:tcPr>
          <w:p w:rsidR="00B17299" w:rsidRPr="00635E8D"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106,8</w:t>
            </w:r>
          </w:p>
        </w:tc>
        <w:tc>
          <w:tcPr>
            <w:tcW w:w="1000" w:type="dxa"/>
            <w:shd w:val="clear" w:color="auto" w:fill="auto"/>
            <w:noWrap/>
            <w:vAlign w:val="center"/>
            <w:hideMark/>
          </w:tcPr>
          <w:p w:rsidR="00B17299" w:rsidRPr="00635E8D"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104,2</w:t>
            </w:r>
          </w:p>
        </w:tc>
        <w:tc>
          <w:tcPr>
            <w:tcW w:w="1000" w:type="dxa"/>
            <w:shd w:val="clear" w:color="000000" w:fill="DCE6F1"/>
            <w:noWrap/>
            <w:vAlign w:val="center"/>
            <w:hideMark/>
          </w:tcPr>
          <w:p w:rsidR="00B17299" w:rsidRPr="00635E8D"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104,0</w:t>
            </w:r>
          </w:p>
        </w:tc>
        <w:tc>
          <w:tcPr>
            <w:tcW w:w="1000" w:type="dxa"/>
            <w:shd w:val="clear" w:color="auto" w:fill="auto"/>
            <w:noWrap/>
            <w:vAlign w:val="center"/>
            <w:hideMark/>
          </w:tcPr>
          <w:p w:rsidR="00B17299" w:rsidRPr="00635E8D"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110,6</w:t>
            </w:r>
          </w:p>
        </w:tc>
        <w:tc>
          <w:tcPr>
            <w:tcW w:w="1000" w:type="dxa"/>
            <w:shd w:val="clear" w:color="000000" w:fill="DCE6F1"/>
            <w:noWrap/>
            <w:vAlign w:val="center"/>
            <w:hideMark/>
          </w:tcPr>
          <w:p w:rsidR="00B17299" w:rsidRPr="00635E8D"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101,5</w:t>
            </w:r>
          </w:p>
        </w:tc>
      </w:tr>
      <w:tr w:rsidR="00B17299" w:rsidRPr="00635E8D" w:rsidTr="007140DB">
        <w:trPr>
          <w:trHeight w:val="559"/>
          <w:jc w:val="center"/>
        </w:trPr>
        <w:tc>
          <w:tcPr>
            <w:tcW w:w="2080" w:type="dxa"/>
            <w:shd w:val="clear" w:color="000000" w:fill="EEF3F8"/>
            <w:vAlign w:val="bottom"/>
            <w:hideMark/>
          </w:tcPr>
          <w:p w:rsidR="00B17299" w:rsidRPr="00635E8D" w:rsidRDefault="00B17299" w:rsidP="00B17299">
            <w:pPr>
              <w:spacing w:after="0" w:line="240" w:lineRule="auto"/>
              <w:rPr>
                <w:rFonts w:ascii="Calibri" w:eastAsia="Times New Roman" w:hAnsi="Calibri" w:cs="Times New Roman"/>
                <w:b/>
                <w:bCs/>
                <w:color w:val="000000"/>
                <w:szCs w:val="21"/>
                <w:lang w:eastAsia="cs-CZ"/>
              </w:rPr>
            </w:pPr>
            <w:r w:rsidRPr="00635E8D">
              <w:rPr>
                <w:rFonts w:ascii="Calibri" w:eastAsia="Times New Roman" w:hAnsi="Calibri" w:cs="Times New Roman"/>
                <w:b/>
                <w:bCs/>
                <w:color w:val="000000"/>
                <w:szCs w:val="21"/>
                <w:lang w:eastAsia="cs-CZ"/>
              </w:rPr>
              <w:t xml:space="preserve">Náklady na </w:t>
            </w:r>
            <w:r w:rsidRPr="00635E8D">
              <w:rPr>
                <w:rFonts w:ascii="Calibri" w:eastAsia="Times New Roman" w:hAnsi="Calibri" w:cs="Times New Roman"/>
                <w:b/>
                <w:bCs/>
                <w:color w:val="000000"/>
                <w:szCs w:val="21"/>
                <w:lang w:eastAsia="cs-CZ"/>
              </w:rPr>
              <w:br/>
              <w:t>lůžkovou péči</w:t>
            </w:r>
          </w:p>
        </w:tc>
        <w:tc>
          <w:tcPr>
            <w:tcW w:w="1000" w:type="dxa"/>
            <w:shd w:val="clear" w:color="000000" w:fill="EEF3F8"/>
            <w:noWrap/>
            <w:vAlign w:val="center"/>
            <w:hideMark/>
          </w:tcPr>
          <w:p w:rsidR="00B17299" w:rsidRPr="00635E8D" w:rsidRDefault="00B17299" w:rsidP="006B7BB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108,7</w:t>
            </w:r>
          </w:p>
        </w:tc>
        <w:tc>
          <w:tcPr>
            <w:tcW w:w="1000" w:type="dxa"/>
            <w:shd w:val="clear" w:color="000000" w:fill="EEF3F8"/>
            <w:noWrap/>
            <w:vAlign w:val="center"/>
            <w:hideMark/>
          </w:tcPr>
          <w:p w:rsidR="00B17299" w:rsidRPr="00635E8D" w:rsidRDefault="00B17299" w:rsidP="00E0692A">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104,0</w:t>
            </w:r>
          </w:p>
        </w:tc>
        <w:tc>
          <w:tcPr>
            <w:tcW w:w="1000" w:type="dxa"/>
            <w:shd w:val="clear" w:color="000000" w:fill="EEF3F8"/>
            <w:noWrap/>
            <w:vAlign w:val="center"/>
            <w:hideMark/>
          </w:tcPr>
          <w:p w:rsidR="00B17299" w:rsidRPr="00635E8D"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104,3</w:t>
            </w:r>
          </w:p>
        </w:tc>
        <w:tc>
          <w:tcPr>
            <w:tcW w:w="1000" w:type="dxa"/>
            <w:shd w:val="clear" w:color="000000" w:fill="EEF3F8"/>
            <w:noWrap/>
            <w:vAlign w:val="center"/>
            <w:hideMark/>
          </w:tcPr>
          <w:p w:rsidR="00B17299" w:rsidRPr="00635E8D"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107,3</w:t>
            </w:r>
          </w:p>
        </w:tc>
        <w:tc>
          <w:tcPr>
            <w:tcW w:w="1000" w:type="dxa"/>
            <w:shd w:val="clear" w:color="000000" w:fill="EEF3F8"/>
            <w:noWrap/>
            <w:vAlign w:val="center"/>
            <w:hideMark/>
          </w:tcPr>
          <w:p w:rsidR="00B17299" w:rsidRPr="00635E8D"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108,9</w:t>
            </w:r>
          </w:p>
        </w:tc>
        <w:tc>
          <w:tcPr>
            <w:tcW w:w="1000" w:type="dxa"/>
            <w:shd w:val="clear" w:color="000000" w:fill="EEF3F8"/>
            <w:noWrap/>
            <w:vAlign w:val="center"/>
            <w:hideMark/>
          </w:tcPr>
          <w:p w:rsidR="00B17299" w:rsidRPr="00635E8D"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109,6</w:t>
            </w:r>
          </w:p>
        </w:tc>
        <w:tc>
          <w:tcPr>
            <w:tcW w:w="1000" w:type="dxa"/>
            <w:shd w:val="clear" w:color="000000" w:fill="EEF3F8"/>
            <w:noWrap/>
            <w:vAlign w:val="center"/>
            <w:hideMark/>
          </w:tcPr>
          <w:p w:rsidR="00B17299" w:rsidRPr="00635E8D"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99,4</w:t>
            </w:r>
          </w:p>
        </w:tc>
      </w:tr>
      <w:tr w:rsidR="00B17299" w:rsidRPr="00635E8D" w:rsidTr="007140DB">
        <w:trPr>
          <w:trHeight w:val="300"/>
          <w:jc w:val="center"/>
        </w:trPr>
        <w:tc>
          <w:tcPr>
            <w:tcW w:w="2080" w:type="dxa"/>
            <w:shd w:val="clear" w:color="auto" w:fill="auto"/>
            <w:vAlign w:val="bottom"/>
            <w:hideMark/>
          </w:tcPr>
          <w:p w:rsidR="00B17299" w:rsidRPr="00635E8D" w:rsidRDefault="00B17299" w:rsidP="00B17299">
            <w:pPr>
              <w:spacing w:after="0" w:line="240" w:lineRule="auto"/>
              <w:rPr>
                <w:rFonts w:ascii="Calibri" w:eastAsia="Times New Roman" w:hAnsi="Calibri" w:cs="Times New Roman"/>
                <w:b/>
                <w:bCs/>
                <w:color w:val="000000"/>
                <w:szCs w:val="21"/>
                <w:lang w:eastAsia="cs-CZ"/>
              </w:rPr>
            </w:pPr>
            <w:r w:rsidRPr="00635E8D">
              <w:rPr>
                <w:rFonts w:ascii="Calibri" w:eastAsia="Times New Roman" w:hAnsi="Calibri" w:cs="Times New Roman"/>
                <w:b/>
                <w:bCs/>
                <w:color w:val="000000"/>
                <w:szCs w:val="21"/>
                <w:lang w:eastAsia="cs-CZ"/>
              </w:rPr>
              <w:t>Ostatní náklady</w:t>
            </w:r>
          </w:p>
        </w:tc>
        <w:tc>
          <w:tcPr>
            <w:tcW w:w="1000" w:type="dxa"/>
            <w:shd w:val="clear" w:color="000000" w:fill="DCE6F1"/>
            <w:noWrap/>
            <w:vAlign w:val="center"/>
            <w:hideMark/>
          </w:tcPr>
          <w:p w:rsidR="00B17299" w:rsidRPr="00635E8D" w:rsidRDefault="00B17299" w:rsidP="006B7BB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101,9</w:t>
            </w:r>
          </w:p>
        </w:tc>
        <w:tc>
          <w:tcPr>
            <w:tcW w:w="1000" w:type="dxa"/>
            <w:shd w:val="clear" w:color="auto" w:fill="auto"/>
            <w:noWrap/>
            <w:vAlign w:val="center"/>
            <w:hideMark/>
          </w:tcPr>
          <w:p w:rsidR="00B17299" w:rsidRPr="00635E8D" w:rsidRDefault="00B17299" w:rsidP="00E0692A">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101,9</w:t>
            </w:r>
          </w:p>
        </w:tc>
        <w:tc>
          <w:tcPr>
            <w:tcW w:w="1000" w:type="dxa"/>
            <w:shd w:val="clear" w:color="000000" w:fill="DCE6F1"/>
            <w:noWrap/>
            <w:vAlign w:val="center"/>
            <w:hideMark/>
          </w:tcPr>
          <w:p w:rsidR="00B17299" w:rsidRPr="00635E8D"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103,1</w:t>
            </w:r>
          </w:p>
        </w:tc>
        <w:tc>
          <w:tcPr>
            <w:tcW w:w="1000" w:type="dxa"/>
            <w:shd w:val="clear" w:color="auto" w:fill="auto"/>
            <w:noWrap/>
            <w:vAlign w:val="center"/>
            <w:hideMark/>
          </w:tcPr>
          <w:p w:rsidR="00B17299" w:rsidRPr="00635E8D"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102,4</w:t>
            </w:r>
          </w:p>
        </w:tc>
        <w:tc>
          <w:tcPr>
            <w:tcW w:w="1000" w:type="dxa"/>
            <w:shd w:val="clear" w:color="000000" w:fill="DCE6F1"/>
            <w:noWrap/>
            <w:vAlign w:val="center"/>
            <w:hideMark/>
          </w:tcPr>
          <w:p w:rsidR="00B17299" w:rsidRPr="00635E8D"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104,5</w:t>
            </w:r>
          </w:p>
        </w:tc>
        <w:tc>
          <w:tcPr>
            <w:tcW w:w="1000" w:type="dxa"/>
            <w:shd w:val="clear" w:color="auto" w:fill="auto"/>
            <w:noWrap/>
            <w:vAlign w:val="center"/>
            <w:hideMark/>
          </w:tcPr>
          <w:p w:rsidR="00B17299" w:rsidRPr="00635E8D"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105,2</w:t>
            </w:r>
          </w:p>
        </w:tc>
        <w:tc>
          <w:tcPr>
            <w:tcW w:w="1000" w:type="dxa"/>
            <w:shd w:val="clear" w:color="000000" w:fill="DCE6F1"/>
            <w:noWrap/>
            <w:vAlign w:val="center"/>
            <w:hideMark/>
          </w:tcPr>
          <w:p w:rsidR="00B17299" w:rsidRPr="00635E8D"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99,6</w:t>
            </w:r>
          </w:p>
        </w:tc>
      </w:tr>
      <w:tr w:rsidR="00B17299" w:rsidRPr="00635E8D" w:rsidTr="007140DB">
        <w:trPr>
          <w:trHeight w:val="300"/>
          <w:jc w:val="center"/>
        </w:trPr>
        <w:tc>
          <w:tcPr>
            <w:tcW w:w="2080" w:type="dxa"/>
            <w:shd w:val="clear" w:color="000000" w:fill="EEF3F8"/>
            <w:vAlign w:val="bottom"/>
            <w:hideMark/>
          </w:tcPr>
          <w:p w:rsidR="00B17299" w:rsidRPr="00635E8D" w:rsidRDefault="00B17299" w:rsidP="00B17299">
            <w:pPr>
              <w:spacing w:after="0" w:line="240" w:lineRule="auto"/>
              <w:rPr>
                <w:rFonts w:ascii="Calibri" w:eastAsia="Times New Roman" w:hAnsi="Calibri" w:cs="Times New Roman"/>
                <w:b/>
                <w:bCs/>
                <w:color w:val="000000"/>
                <w:szCs w:val="21"/>
                <w:lang w:eastAsia="cs-CZ"/>
              </w:rPr>
            </w:pPr>
            <w:r w:rsidRPr="00635E8D">
              <w:rPr>
                <w:rFonts w:ascii="Calibri" w:eastAsia="Times New Roman" w:hAnsi="Calibri" w:cs="Times New Roman"/>
                <w:b/>
                <w:bCs/>
                <w:color w:val="000000"/>
                <w:szCs w:val="21"/>
                <w:lang w:eastAsia="cs-CZ"/>
              </w:rPr>
              <w:t>Celkové náklady</w:t>
            </w:r>
          </w:p>
        </w:tc>
        <w:tc>
          <w:tcPr>
            <w:tcW w:w="1000" w:type="dxa"/>
            <w:shd w:val="clear" w:color="000000" w:fill="EEF3F8"/>
            <w:noWrap/>
            <w:vAlign w:val="center"/>
            <w:hideMark/>
          </w:tcPr>
          <w:p w:rsidR="00B17299" w:rsidRPr="00635E8D" w:rsidRDefault="00B17299" w:rsidP="006B7BB1">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106,0</w:t>
            </w:r>
          </w:p>
        </w:tc>
        <w:tc>
          <w:tcPr>
            <w:tcW w:w="1000" w:type="dxa"/>
            <w:shd w:val="clear" w:color="000000" w:fill="EEF3F8"/>
            <w:noWrap/>
            <w:vAlign w:val="center"/>
            <w:hideMark/>
          </w:tcPr>
          <w:p w:rsidR="00B17299" w:rsidRPr="00635E8D" w:rsidRDefault="00B17299" w:rsidP="00E0692A">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103,4</w:t>
            </w:r>
          </w:p>
        </w:tc>
        <w:tc>
          <w:tcPr>
            <w:tcW w:w="1000" w:type="dxa"/>
            <w:shd w:val="clear" w:color="000000" w:fill="EEF3F8"/>
            <w:noWrap/>
            <w:vAlign w:val="center"/>
            <w:hideMark/>
          </w:tcPr>
          <w:p w:rsidR="00B17299" w:rsidRPr="00635E8D" w:rsidRDefault="00B17299">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104,7</w:t>
            </w:r>
          </w:p>
        </w:tc>
        <w:tc>
          <w:tcPr>
            <w:tcW w:w="1000" w:type="dxa"/>
            <w:shd w:val="clear" w:color="000000" w:fill="EEF3F8"/>
            <w:noWrap/>
            <w:vAlign w:val="center"/>
            <w:hideMark/>
          </w:tcPr>
          <w:p w:rsidR="00B17299" w:rsidRPr="00635E8D" w:rsidRDefault="00B17299">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105,5</w:t>
            </w:r>
          </w:p>
        </w:tc>
        <w:tc>
          <w:tcPr>
            <w:tcW w:w="1000" w:type="dxa"/>
            <w:shd w:val="clear" w:color="000000" w:fill="EEF3F8"/>
            <w:noWrap/>
            <w:vAlign w:val="center"/>
            <w:hideMark/>
          </w:tcPr>
          <w:p w:rsidR="00B17299" w:rsidRPr="00635E8D" w:rsidRDefault="00B17299">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106,8</w:t>
            </w:r>
          </w:p>
        </w:tc>
        <w:tc>
          <w:tcPr>
            <w:tcW w:w="1000" w:type="dxa"/>
            <w:shd w:val="clear" w:color="000000" w:fill="EEF3F8"/>
            <w:noWrap/>
            <w:vAlign w:val="center"/>
            <w:hideMark/>
          </w:tcPr>
          <w:p w:rsidR="00B17299" w:rsidRPr="00635E8D" w:rsidRDefault="00B17299">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109,0</w:t>
            </w:r>
          </w:p>
        </w:tc>
        <w:tc>
          <w:tcPr>
            <w:tcW w:w="1000" w:type="dxa"/>
            <w:shd w:val="clear" w:color="000000" w:fill="EEF3F8"/>
            <w:noWrap/>
            <w:vAlign w:val="center"/>
            <w:hideMark/>
          </w:tcPr>
          <w:p w:rsidR="00B17299" w:rsidRPr="00635E8D" w:rsidRDefault="00B17299">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100,0</w:t>
            </w:r>
          </w:p>
        </w:tc>
      </w:tr>
    </w:tbl>
    <w:p w:rsidR="007036D6" w:rsidRPr="00044940" w:rsidRDefault="007036D6" w:rsidP="007036D6">
      <w:pPr>
        <w:rPr>
          <w:rFonts w:cs="Arial"/>
          <w:b/>
          <w:lang w:eastAsia="cs-CZ"/>
        </w:rPr>
      </w:pPr>
    </w:p>
    <w:p w:rsidR="007036D6" w:rsidRDefault="007036D6" w:rsidP="007036D6">
      <w:pPr>
        <w:pStyle w:val="Titulek"/>
      </w:pPr>
      <w:bookmarkStart w:id="36" w:name="_Toc41837530"/>
      <w:r>
        <w:t xml:space="preserve">Graf č. </w:t>
      </w:r>
      <w:r>
        <w:rPr>
          <w:noProof/>
        </w:rPr>
        <w:fldChar w:fldCharType="begin"/>
      </w:r>
      <w:r>
        <w:rPr>
          <w:noProof/>
        </w:rPr>
        <w:instrText xml:space="preserve"> SEQ Graf \* ARABIC </w:instrText>
      </w:r>
      <w:r>
        <w:rPr>
          <w:noProof/>
        </w:rPr>
        <w:fldChar w:fldCharType="separate"/>
      </w:r>
      <w:r w:rsidR="00B17299">
        <w:rPr>
          <w:noProof/>
        </w:rPr>
        <w:t>13</w:t>
      </w:r>
      <w:r>
        <w:rPr>
          <w:noProof/>
        </w:rPr>
        <w:fldChar w:fldCharType="end"/>
      </w:r>
      <w:r>
        <w:t xml:space="preserve">: </w:t>
      </w:r>
      <w:r w:rsidRPr="007036D6">
        <w:t>Celkové náklady na zdravotní služby ze ZFZP</w:t>
      </w:r>
      <w:bookmarkEnd w:id="36"/>
      <w:r>
        <w:t xml:space="preserve"> </w:t>
      </w:r>
    </w:p>
    <w:p w:rsidR="007036D6" w:rsidRDefault="004F309E" w:rsidP="000E6678">
      <w:pPr>
        <w:jc w:val="center"/>
      </w:pPr>
      <w:r>
        <w:rPr>
          <w:noProof/>
          <w:lang w:eastAsia="cs-CZ"/>
        </w:rPr>
        <w:drawing>
          <wp:inline distT="0" distB="0" distL="0" distR="0" wp14:anchorId="3ACD6AB3" wp14:editId="75831FA7">
            <wp:extent cx="5775875" cy="2827386"/>
            <wp:effectExtent l="0" t="0" r="0" b="0"/>
            <wp:docPr id="3" name="Graf 3">
              <a:extLst xmlns:a="http://schemas.openxmlformats.org/drawingml/2006/main">
                <a:ext uri="{FF2B5EF4-FFF2-40B4-BE49-F238E27FC236}">
                  <a16:creationId xmlns:a16="http://schemas.microsoft.com/office/drawing/2014/main" id="{00000000-0008-0000-01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7036D6" w:rsidRDefault="007036D6" w:rsidP="007036D6">
      <w:pPr>
        <w:pStyle w:val="Titulek"/>
      </w:pPr>
      <w:bookmarkStart w:id="37" w:name="_Toc41837531"/>
      <w:r>
        <w:lastRenderedPageBreak/>
        <w:t xml:space="preserve">Graf č. </w:t>
      </w:r>
      <w:r>
        <w:rPr>
          <w:noProof/>
        </w:rPr>
        <w:fldChar w:fldCharType="begin"/>
      </w:r>
      <w:r>
        <w:rPr>
          <w:noProof/>
        </w:rPr>
        <w:instrText xml:space="preserve"> SEQ Graf \* ARABIC </w:instrText>
      </w:r>
      <w:r>
        <w:rPr>
          <w:noProof/>
        </w:rPr>
        <w:fldChar w:fldCharType="separate"/>
      </w:r>
      <w:r w:rsidR="00B17299">
        <w:rPr>
          <w:noProof/>
        </w:rPr>
        <w:t>14</w:t>
      </w:r>
      <w:r>
        <w:rPr>
          <w:noProof/>
        </w:rPr>
        <w:fldChar w:fldCharType="end"/>
      </w:r>
      <w:r>
        <w:t xml:space="preserve">: </w:t>
      </w:r>
      <w:r w:rsidRPr="007036D6">
        <w:t>Náklady na zdravotní služby ze ZFZP podle segmentů</w:t>
      </w:r>
      <w:bookmarkEnd w:id="37"/>
      <w:r w:rsidRPr="007036D6">
        <w:t xml:space="preserve"> </w:t>
      </w:r>
    </w:p>
    <w:p w:rsidR="00FB3D56" w:rsidRPr="00FB3D56" w:rsidRDefault="00FB3D56" w:rsidP="00FB3D56">
      <w:pPr>
        <w:rPr>
          <w:lang w:bidi="hi-IN"/>
        </w:rPr>
      </w:pPr>
      <w:r>
        <w:rPr>
          <w:noProof/>
          <w:lang w:eastAsia="cs-CZ"/>
        </w:rPr>
        <w:drawing>
          <wp:inline distT="0" distB="0" distL="0" distR="0" wp14:anchorId="42624693" wp14:editId="4F3A4773">
            <wp:extent cx="5775875" cy="2822850"/>
            <wp:effectExtent l="0" t="0" r="0" b="0"/>
            <wp:docPr id="4" name="Graf 4">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7036D6" w:rsidRDefault="007036D6" w:rsidP="000E6678">
      <w:pPr>
        <w:jc w:val="center"/>
      </w:pPr>
    </w:p>
    <w:p w:rsidR="007036D6" w:rsidRPr="0021299E" w:rsidRDefault="007036D6" w:rsidP="00AD2E56">
      <w:pPr>
        <w:pStyle w:val="TEXT"/>
        <w:spacing w:before="180" w:after="180" w:line="276" w:lineRule="auto"/>
        <w:ind w:firstLine="0"/>
        <w:rPr>
          <w:rFonts w:asciiTheme="minorHAnsi" w:hAnsiTheme="minorHAnsi" w:cstheme="minorHAnsi"/>
          <w:sz w:val="21"/>
          <w:szCs w:val="21"/>
        </w:rPr>
      </w:pPr>
      <w:r w:rsidRPr="00EF3BCB">
        <w:rPr>
          <w:rFonts w:asciiTheme="minorHAnsi" w:hAnsiTheme="minorHAnsi" w:cstheme="minorHAnsi"/>
          <w:sz w:val="21"/>
          <w:szCs w:val="21"/>
        </w:rPr>
        <w:t>Z detailních podkladů jednotlivých ZP vyplývá, že u všech došlo k meziročnímu zvýšení nákladů na zdravotní služby: u VZP ČR o </w:t>
      </w:r>
      <w:r w:rsidR="00EF3BCB" w:rsidRPr="00EF3BCB">
        <w:rPr>
          <w:rFonts w:asciiTheme="minorHAnsi" w:hAnsiTheme="minorHAnsi" w:cstheme="minorHAnsi"/>
          <w:sz w:val="21"/>
          <w:szCs w:val="21"/>
        </w:rPr>
        <w:t>9,1</w:t>
      </w:r>
      <w:r w:rsidRPr="00EF3BCB">
        <w:rPr>
          <w:rFonts w:asciiTheme="minorHAnsi" w:hAnsiTheme="minorHAnsi" w:cstheme="minorHAnsi"/>
          <w:sz w:val="21"/>
          <w:szCs w:val="21"/>
        </w:rPr>
        <w:t xml:space="preserve"> %, </w:t>
      </w:r>
      <w:proofErr w:type="spellStart"/>
      <w:r w:rsidRPr="00EF3BCB">
        <w:rPr>
          <w:rFonts w:asciiTheme="minorHAnsi" w:hAnsiTheme="minorHAnsi" w:cstheme="minorHAnsi"/>
          <w:spacing w:val="-10"/>
          <w:sz w:val="21"/>
          <w:szCs w:val="21"/>
        </w:rPr>
        <w:t>VoZP</w:t>
      </w:r>
      <w:proofErr w:type="spellEnd"/>
      <w:r w:rsidRPr="00EF3BCB">
        <w:rPr>
          <w:rFonts w:asciiTheme="minorHAnsi" w:hAnsiTheme="minorHAnsi" w:cstheme="minorHAnsi"/>
          <w:spacing w:val="-10"/>
          <w:sz w:val="21"/>
          <w:szCs w:val="21"/>
        </w:rPr>
        <w:t xml:space="preserve"> ČR o </w:t>
      </w:r>
      <w:r w:rsidR="00EF3BCB" w:rsidRPr="00EF3BCB">
        <w:rPr>
          <w:rFonts w:asciiTheme="minorHAnsi" w:hAnsiTheme="minorHAnsi" w:cstheme="minorHAnsi"/>
          <w:spacing w:val="-10"/>
          <w:sz w:val="21"/>
          <w:szCs w:val="21"/>
        </w:rPr>
        <w:t>8,2</w:t>
      </w:r>
      <w:r w:rsidRPr="00EF3BCB">
        <w:rPr>
          <w:rFonts w:asciiTheme="minorHAnsi" w:hAnsiTheme="minorHAnsi" w:cstheme="minorHAnsi"/>
          <w:spacing w:val="-10"/>
          <w:sz w:val="21"/>
          <w:szCs w:val="21"/>
        </w:rPr>
        <w:t> %, ČPZP o </w:t>
      </w:r>
      <w:r w:rsidR="00EF3BCB" w:rsidRPr="00EF3BCB">
        <w:rPr>
          <w:rFonts w:asciiTheme="minorHAnsi" w:hAnsiTheme="minorHAnsi" w:cstheme="minorHAnsi"/>
          <w:spacing w:val="-10"/>
          <w:sz w:val="21"/>
          <w:szCs w:val="21"/>
        </w:rPr>
        <w:t>8,7</w:t>
      </w:r>
      <w:r w:rsidRPr="00EF3BCB">
        <w:rPr>
          <w:rFonts w:asciiTheme="minorHAnsi" w:hAnsiTheme="minorHAnsi" w:cstheme="minorHAnsi"/>
          <w:spacing w:val="-10"/>
          <w:sz w:val="21"/>
          <w:szCs w:val="21"/>
        </w:rPr>
        <w:t> %, OZP o </w:t>
      </w:r>
      <w:r w:rsidR="00EF3BCB" w:rsidRPr="00EF3BCB">
        <w:rPr>
          <w:rFonts w:asciiTheme="minorHAnsi" w:hAnsiTheme="minorHAnsi" w:cstheme="minorHAnsi"/>
          <w:spacing w:val="-10"/>
          <w:sz w:val="21"/>
          <w:szCs w:val="21"/>
        </w:rPr>
        <w:t>10,1</w:t>
      </w:r>
      <w:r w:rsidRPr="00EF3BCB">
        <w:rPr>
          <w:rFonts w:asciiTheme="minorHAnsi" w:hAnsiTheme="minorHAnsi" w:cstheme="minorHAnsi"/>
          <w:spacing w:val="-10"/>
          <w:sz w:val="21"/>
          <w:szCs w:val="21"/>
        </w:rPr>
        <w:t> %, ZPŠ o </w:t>
      </w:r>
      <w:r w:rsidR="00EF3BCB" w:rsidRPr="00EF3BCB">
        <w:rPr>
          <w:rFonts w:asciiTheme="minorHAnsi" w:hAnsiTheme="minorHAnsi" w:cstheme="minorHAnsi"/>
          <w:spacing w:val="-10"/>
          <w:sz w:val="21"/>
          <w:szCs w:val="21"/>
        </w:rPr>
        <w:t>8</w:t>
      </w:r>
      <w:r w:rsidRPr="00EF3BCB">
        <w:rPr>
          <w:rFonts w:asciiTheme="minorHAnsi" w:hAnsiTheme="minorHAnsi" w:cstheme="minorHAnsi"/>
          <w:spacing w:val="-10"/>
          <w:sz w:val="21"/>
          <w:szCs w:val="21"/>
        </w:rPr>
        <w:t>,2 %, ZP MV ČR o </w:t>
      </w:r>
      <w:r w:rsidR="00EF3BCB" w:rsidRPr="00EF3BCB">
        <w:rPr>
          <w:rFonts w:asciiTheme="minorHAnsi" w:hAnsiTheme="minorHAnsi" w:cstheme="minorHAnsi"/>
          <w:spacing w:val="-10"/>
          <w:sz w:val="21"/>
          <w:szCs w:val="21"/>
        </w:rPr>
        <w:t>8,8</w:t>
      </w:r>
      <w:r w:rsidRPr="00EF3BCB">
        <w:rPr>
          <w:rFonts w:asciiTheme="minorHAnsi" w:hAnsiTheme="minorHAnsi" w:cstheme="minorHAnsi"/>
          <w:spacing w:val="-10"/>
          <w:sz w:val="21"/>
          <w:szCs w:val="21"/>
        </w:rPr>
        <w:t> % a RBP o </w:t>
      </w:r>
      <w:r w:rsidR="00EF3BCB" w:rsidRPr="00EF3BCB">
        <w:rPr>
          <w:rFonts w:asciiTheme="minorHAnsi" w:hAnsiTheme="minorHAnsi" w:cstheme="minorHAnsi"/>
          <w:spacing w:val="-10"/>
          <w:sz w:val="21"/>
          <w:szCs w:val="21"/>
        </w:rPr>
        <w:t>9,0</w:t>
      </w:r>
      <w:r w:rsidRPr="00EF3BCB">
        <w:rPr>
          <w:rFonts w:asciiTheme="minorHAnsi" w:hAnsiTheme="minorHAnsi" w:cstheme="minorHAnsi"/>
          <w:sz w:val="21"/>
          <w:szCs w:val="21"/>
        </w:rPr>
        <w:t> % (</w:t>
      </w:r>
      <w:r w:rsidRPr="00EF3BCB">
        <w:rPr>
          <w:rFonts w:asciiTheme="minorHAnsi" w:hAnsiTheme="minorHAnsi" w:cstheme="minorHAnsi"/>
          <w:i/>
          <w:sz w:val="21"/>
          <w:szCs w:val="21"/>
        </w:rPr>
        <w:t>Tabulka č. 10</w:t>
      </w:r>
      <w:r w:rsidRPr="00EF3BCB">
        <w:rPr>
          <w:rFonts w:asciiTheme="minorHAnsi" w:hAnsiTheme="minorHAnsi" w:cstheme="minorHAnsi"/>
          <w:sz w:val="21"/>
          <w:szCs w:val="21"/>
        </w:rPr>
        <w:t>).</w:t>
      </w:r>
    </w:p>
    <w:p w:rsidR="007036D6" w:rsidRDefault="000E7F13" w:rsidP="0021299E">
      <w:pPr>
        <w:pStyle w:val="Titulek"/>
        <w:jc w:val="both"/>
      </w:pPr>
      <w:bookmarkStart w:id="38" w:name="_Toc41837502"/>
      <w:r w:rsidRPr="00C75FC6">
        <w:t xml:space="preserve">Tabulka č. </w:t>
      </w:r>
      <w:r>
        <w:rPr>
          <w:noProof/>
        </w:rPr>
        <w:fldChar w:fldCharType="begin"/>
      </w:r>
      <w:r>
        <w:rPr>
          <w:noProof/>
        </w:rPr>
        <w:instrText xml:space="preserve"> SEQ Tabulka \* ARABIC </w:instrText>
      </w:r>
      <w:r>
        <w:rPr>
          <w:noProof/>
        </w:rPr>
        <w:fldChar w:fldCharType="separate"/>
      </w:r>
      <w:r w:rsidR="00B17299">
        <w:rPr>
          <w:noProof/>
        </w:rPr>
        <w:t>10</w:t>
      </w:r>
      <w:r>
        <w:rPr>
          <w:noProof/>
        </w:rPr>
        <w:fldChar w:fldCharType="end"/>
      </w:r>
      <w:r w:rsidRPr="00C75FC6">
        <w:t xml:space="preserve">: </w:t>
      </w:r>
      <w:r w:rsidRPr="000E7F13">
        <w:t xml:space="preserve">Náklady na zdravotní služby </w:t>
      </w:r>
      <w:r w:rsidR="003D4982" w:rsidRPr="007036D6">
        <w:t xml:space="preserve">ze ZFZP </w:t>
      </w:r>
      <w:r w:rsidRPr="000E7F13">
        <w:t>podle segmentů a zdravotních pojišťoven v roce 201</w:t>
      </w:r>
      <w:r w:rsidR="00B17299">
        <w:t>9</w:t>
      </w:r>
      <w:bookmarkEnd w:id="38"/>
      <w:r>
        <w:t xml:space="preserve"> </w:t>
      </w:r>
    </w:p>
    <w:tbl>
      <w:tblPr>
        <w:tblW w:w="9080" w:type="dxa"/>
        <w:jc w:val="center"/>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2080"/>
        <w:gridCol w:w="1000"/>
        <w:gridCol w:w="1000"/>
        <w:gridCol w:w="1000"/>
        <w:gridCol w:w="1000"/>
        <w:gridCol w:w="1000"/>
        <w:gridCol w:w="1000"/>
        <w:gridCol w:w="1000"/>
      </w:tblGrid>
      <w:tr w:rsidR="007036D6" w:rsidRPr="004B1410" w:rsidTr="000E6678">
        <w:trPr>
          <w:trHeight w:val="600"/>
          <w:jc w:val="center"/>
        </w:trPr>
        <w:tc>
          <w:tcPr>
            <w:tcW w:w="2080" w:type="dxa"/>
            <w:shd w:val="clear" w:color="000000" w:fill="4F81BD"/>
            <w:hideMark/>
          </w:tcPr>
          <w:p w:rsidR="007036D6" w:rsidRPr="004B1410" w:rsidRDefault="007036D6" w:rsidP="007036D6">
            <w:pPr>
              <w:spacing w:after="0" w:line="240" w:lineRule="auto"/>
              <w:rPr>
                <w:rFonts w:ascii="Calibri" w:eastAsia="Times New Roman" w:hAnsi="Calibri" w:cs="Times New Roman"/>
                <w:b/>
                <w:bCs/>
                <w:color w:val="FFFFFF"/>
                <w:szCs w:val="21"/>
                <w:lang w:eastAsia="cs-CZ"/>
              </w:rPr>
            </w:pPr>
            <w:r w:rsidRPr="004B1410">
              <w:rPr>
                <w:rFonts w:ascii="Calibri" w:eastAsia="Times New Roman" w:hAnsi="Calibri" w:cs="Times New Roman"/>
                <w:b/>
                <w:bCs/>
                <w:color w:val="FFFFFF"/>
                <w:szCs w:val="21"/>
                <w:lang w:eastAsia="cs-CZ"/>
              </w:rPr>
              <w:t>Ukazatel</w:t>
            </w:r>
            <w:r w:rsidRPr="004B1410">
              <w:rPr>
                <w:rFonts w:ascii="Calibri" w:eastAsia="Times New Roman" w:hAnsi="Calibri" w:cs="Times New Roman"/>
                <w:b/>
                <w:bCs/>
                <w:color w:val="FFFFFF"/>
                <w:szCs w:val="21"/>
                <w:lang w:eastAsia="cs-CZ"/>
              </w:rPr>
              <w:br/>
            </w:r>
            <w:r w:rsidRPr="004B1410">
              <w:rPr>
                <w:rFonts w:ascii="Calibri" w:eastAsia="Times New Roman" w:hAnsi="Calibri" w:cs="Times New Roman"/>
                <w:color w:val="FFFFFF"/>
                <w:szCs w:val="21"/>
                <w:lang w:eastAsia="cs-CZ"/>
              </w:rPr>
              <w:t>(v mil. Kč)</w:t>
            </w:r>
          </w:p>
        </w:tc>
        <w:tc>
          <w:tcPr>
            <w:tcW w:w="1000" w:type="dxa"/>
            <w:shd w:val="clear" w:color="000000" w:fill="6691C6"/>
            <w:noWrap/>
            <w:vAlign w:val="center"/>
            <w:hideMark/>
          </w:tcPr>
          <w:p w:rsidR="007036D6" w:rsidRPr="004B1410" w:rsidRDefault="007036D6" w:rsidP="007036D6">
            <w:pPr>
              <w:spacing w:after="0" w:line="240" w:lineRule="auto"/>
              <w:jc w:val="center"/>
              <w:rPr>
                <w:rFonts w:ascii="Calibri" w:eastAsia="Times New Roman" w:hAnsi="Calibri" w:cs="Times New Roman"/>
                <w:b/>
                <w:bCs/>
                <w:color w:val="FFFFFF"/>
                <w:szCs w:val="21"/>
                <w:lang w:eastAsia="cs-CZ"/>
              </w:rPr>
            </w:pPr>
            <w:r w:rsidRPr="004B1410">
              <w:rPr>
                <w:rFonts w:ascii="Calibri" w:eastAsia="Times New Roman" w:hAnsi="Calibri" w:cs="Times New Roman"/>
                <w:b/>
                <w:bCs/>
                <w:color w:val="FFFFFF"/>
                <w:szCs w:val="21"/>
                <w:lang w:eastAsia="cs-CZ"/>
              </w:rPr>
              <w:t>VZP ČR</w:t>
            </w:r>
          </w:p>
        </w:tc>
        <w:tc>
          <w:tcPr>
            <w:tcW w:w="1000" w:type="dxa"/>
            <w:shd w:val="clear" w:color="000000" w:fill="4F81BD"/>
            <w:noWrap/>
            <w:vAlign w:val="center"/>
            <w:hideMark/>
          </w:tcPr>
          <w:p w:rsidR="007036D6" w:rsidRPr="004B1410" w:rsidRDefault="007036D6" w:rsidP="007036D6">
            <w:pPr>
              <w:spacing w:after="0" w:line="240" w:lineRule="auto"/>
              <w:jc w:val="center"/>
              <w:rPr>
                <w:rFonts w:ascii="Calibri" w:eastAsia="Times New Roman" w:hAnsi="Calibri" w:cs="Times New Roman"/>
                <w:b/>
                <w:bCs/>
                <w:color w:val="FFFFFF"/>
                <w:szCs w:val="21"/>
                <w:lang w:eastAsia="cs-CZ"/>
              </w:rPr>
            </w:pPr>
            <w:proofErr w:type="spellStart"/>
            <w:r w:rsidRPr="004B1410">
              <w:rPr>
                <w:rFonts w:ascii="Calibri" w:eastAsia="Times New Roman" w:hAnsi="Calibri" w:cs="Times New Roman"/>
                <w:b/>
                <w:bCs/>
                <w:color w:val="FFFFFF"/>
                <w:szCs w:val="21"/>
                <w:lang w:eastAsia="cs-CZ"/>
              </w:rPr>
              <w:t>VoZP</w:t>
            </w:r>
            <w:proofErr w:type="spellEnd"/>
            <w:r w:rsidRPr="004B1410">
              <w:rPr>
                <w:rFonts w:ascii="Calibri" w:eastAsia="Times New Roman" w:hAnsi="Calibri" w:cs="Times New Roman"/>
                <w:b/>
                <w:bCs/>
                <w:color w:val="FFFFFF"/>
                <w:szCs w:val="21"/>
                <w:lang w:eastAsia="cs-CZ"/>
              </w:rPr>
              <w:t xml:space="preserve"> ČR</w:t>
            </w:r>
          </w:p>
        </w:tc>
        <w:tc>
          <w:tcPr>
            <w:tcW w:w="1000" w:type="dxa"/>
            <w:shd w:val="clear" w:color="000000" w:fill="6691C6"/>
            <w:noWrap/>
            <w:vAlign w:val="center"/>
            <w:hideMark/>
          </w:tcPr>
          <w:p w:rsidR="007036D6" w:rsidRPr="004B1410" w:rsidRDefault="007036D6" w:rsidP="007036D6">
            <w:pPr>
              <w:spacing w:after="0" w:line="240" w:lineRule="auto"/>
              <w:jc w:val="center"/>
              <w:rPr>
                <w:rFonts w:ascii="Calibri" w:eastAsia="Times New Roman" w:hAnsi="Calibri" w:cs="Times New Roman"/>
                <w:b/>
                <w:bCs/>
                <w:color w:val="FFFFFF"/>
                <w:szCs w:val="21"/>
                <w:lang w:eastAsia="cs-CZ"/>
              </w:rPr>
            </w:pPr>
            <w:r w:rsidRPr="004B1410">
              <w:rPr>
                <w:rFonts w:ascii="Calibri" w:eastAsia="Times New Roman" w:hAnsi="Calibri" w:cs="Times New Roman"/>
                <w:b/>
                <w:bCs/>
                <w:color w:val="FFFFFF"/>
                <w:szCs w:val="21"/>
                <w:lang w:eastAsia="cs-CZ"/>
              </w:rPr>
              <w:t>ČPZP</w:t>
            </w:r>
          </w:p>
        </w:tc>
        <w:tc>
          <w:tcPr>
            <w:tcW w:w="1000" w:type="dxa"/>
            <w:shd w:val="clear" w:color="000000" w:fill="4F81BD"/>
            <w:noWrap/>
            <w:vAlign w:val="center"/>
            <w:hideMark/>
          </w:tcPr>
          <w:p w:rsidR="007036D6" w:rsidRPr="004B1410" w:rsidRDefault="007036D6" w:rsidP="007036D6">
            <w:pPr>
              <w:spacing w:after="0" w:line="240" w:lineRule="auto"/>
              <w:jc w:val="center"/>
              <w:rPr>
                <w:rFonts w:ascii="Calibri" w:eastAsia="Times New Roman" w:hAnsi="Calibri" w:cs="Times New Roman"/>
                <w:b/>
                <w:bCs/>
                <w:color w:val="FFFFFF"/>
                <w:szCs w:val="21"/>
                <w:lang w:eastAsia="cs-CZ"/>
              </w:rPr>
            </w:pPr>
            <w:r w:rsidRPr="004B1410">
              <w:rPr>
                <w:rFonts w:ascii="Calibri" w:eastAsia="Times New Roman" w:hAnsi="Calibri" w:cs="Times New Roman"/>
                <w:b/>
                <w:bCs/>
                <w:color w:val="FFFFFF"/>
                <w:szCs w:val="21"/>
                <w:lang w:eastAsia="cs-CZ"/>
              </w:rPr>
              <w:t>OZP</w:t>
            </w:r>
          </w:p>
        </w:tc>
        <w:tc>
          <w:tcPr>
            <w:tcW w:w="1000" w:type="dxa"/>
            <w:shd w:val="clear" w:color="000000" w:fill="6691C6"/>
            <w:noWrap/>
            <w:vAlign w:val="center"/>
            <w:hideMark/>
          </w:tcPr>
          <w:p w:rsidR="007036D6" w:rsidRPr="004B1410" w:rsidRDefault="007036D6" w:rsidP="007036D6">
            <w:pPr>
              <w:spacing w:after="0" w:line="240" w:lineRule="auto"/>
              <w:jc w:val="center"/>
              <w:rPr>
                <w:rFonts w:ascii="Calibri" w:eastAsia="Times New Roman" w:hAnsi="Calibri" w:cs="Times New Roman"/>
                <w:b/>
                <w:bCs/>
                <w:color w:val="FFFFFF"/>
                <w:szCs w:val="21"/>
                <w:lang w:eastAsia="cs-CZ"/>
              </w:rPr>
            </w:pPr>
            <w:r w:rsidRPr="004B1410">
              <w:rPr>
                <w:rFonts w:ascii="Calibri" w:eastAsia="Times New Roman" w:hAnsi="Calibri" w:cs="Times New Roman"/>
                <w:b/>
                <w:bCs/>
                <w:color w:val="FFFFFF"/>
                <w:szCs w:val="21"/>
                <w:lang w:eastAsia="cs-CZ"/>
              </w:rPr>
              <w:t>ZPŠ</w:t>
            </w:r>
          </w:p>
        </w:tc>
        <w:tc>
          <w:tcPr>
            <w:tcW w:w="1000" w:type="dxa"/>
            <w:shd w:val="clear" w:color="000000" w:fill="4F81BD"/>
            <w:noWrap/>
            <w:vAlign w:val="center"/>
            <w:hideMark/>
          </w:tcPr>
          <w:p w:rsidR="007036D6" w:rsidRPr="004B1410" w:rsidRDefault="007036D6" w:rsidP="007036D6">
            <w:pPr>
              <w:spacing w:after="0" w:line="240" w:lineRule="auto"/>
              <w:jc w:val="center"/>
              <w:rPr>
                <w:rFonts w:ascii="Calibri" w:eastAsia="Times New Roman" w:hAnsi="Calibri" w:cs="Times New Roman"/>
                <w:b/>
                <w:bCs/>
                <w:color w:val="FFFFFF"/>
                <w:szCs w:val="21"/>
                <w:lang w:eastAsia="cs-CZ"/>
              </w:rPr>
            </w:pPr>
            <w:r w:rsidRPr="004B1410">
              <w:rPr>
                <w:rFonts w:ascii="Calibri" w:eastAsia="Times New Roman" w:hAnsi="Calibri" w:cs="Times New Roman"/>
                <w:b/>
                <w:bCs/>
                <w:color w:val="FFFFFF"/>
                <w:szCs w:val="21"/>
                <w:lang w:eastAsia="cs-CZ"/>
              </w:rPr>
              <w:t>ZP MV ČR</w:t>
            </w:r>
          </w:p>
        </w:tc>
        <w:tc>
          <w:tcPr>
            <w:tcW w:w="1000" w:type="dxa"/>
            <w:shd w:val="clear" w:color="000000" w:fill="6691C6"/>
            <w:noWrap/>
            <w:vAlign w:val="center"/>
            <w:hideMark/>
          </w:tcPr>
          <w:p w:rsidR="007036D6" w:rsidRPr="004B1410" w:rsidRDefault="007036D6" w:rsidP="007036D6">
            <w:pPr>
              <w:spacing w:after="0" w:line="240" w:lineRule="auto"/>
              <w:jc w:val="center"/>
              <w:rPr>
                <w:rFonts w:ascii="Calibri" w:eastAsia="Times New Roman" w:hAnsi="Calibri" w:cs="Times New Roman"/>
                <w:b/>
                <w:bCs/>
                <w:color w:val="FFFFFF"/>
                <w:szCs w:val="21"/>
                <w:lang w:eastAsia="cs-CZ"/>
              </w:rPr>
            </w:pPr>
            <w:r w:rsidRPr="004B1410">
              <w:rPr>
                <w:rFonts w:ascii="Calibri" w:eastAsia="Times New Roman" w:hAnsi="Calibri" w:cs="Times New Roman"/>
                <w:b/>
                <w:bCs/>
                <w:color w:val="FFFFFF"/>
                <w:szCs w:val="21"/>
                <w:lang w:eastAsia="cs-CZ"/>
              </w:rPr>
              <w:t>RBP</w:t>
            </w:r>
          </w:p>
        </w:tc>
      </w:tr>
      <w:tr w:rsidR="00B17299" w:rsidRPr="004B1410" w:rsidTr="007140DB">
        <w:trPr>
          <w:trHeight w:val="559"/>
          <w:jc w:val="center"/>
        </w:trPr>
        <w:tc>
          <w:tcPr>
            <w:tcW w:w="2080" w:type="dxa"/>
            <w:shd w:val="clear" w:color="auto" w:fill="auto"/>
            <w:vAlign w:val="bottom"/>
            <w:hideMark/>
          </w:tcPr>
          <w:p w:rsidR="00B17299" w:rsidRPr="004B1410" w:rsidRDefault="00B17299" w:rsidP="00B17299">
            <w:pPr>
              <w:spacing w:after="0" w:line="240" w:lineRule="auto"/>
              <w:rPr>
                <w:rFonts w:ascii="Calibri" w:eastAsia="Times New Roman" w:hAnsi="Calibri" w:cs="Times New Roman"/>
                <w:b/>
                <w:bCs/>
                <w:color w:val="000000"/>
                <w:szCs w:val="21"/>
                <w:lang w:eastAsia="cs-CZ"/>
              </w:rPr>
            </w:pPr>
            <w:r w:rsidRPr="004B1410">
              <w:rPr>
                <w:rFonts w:ascii="Calibri" w:eastAsia="Times New Roman" w:hAnsi="Calibri" w:cs="Times New Roman"/>
                <w:b/>
                <w:bCs/>
                <w:color w:val="000000"/>
                <w:szCs w:val="21"/>
                <w:lang w:eastAsia="cs-CZ"/>
              </w:rPr>
              <w:t xml:space="preserve">Náklady na </w:t>
            </w:r>
            <w:r w:rsidRPr="004B1410">
              <w:rPr>
                <w:rFonts w:ascii="Calibri" w:eastAsia="Times New Roman" w:hAnsi="Calibri" w:cs="Times New Roman"/>
                <w:b/>
                <w:bCs/>
                <w:color w:val="000000"/>
                <w:szCs w:val="21"/>
                <w:lang w:eastAsia="cs-CZ"/>
              </w:rPr>
              <w:br/>
              <w:t>ambulantní péči</w:t>
            </w:r>
          </w:p>
        </w:tc>
        <w:tc>
          <w:tcPr>
            <w:tcW w:w="1000" w:type="dxa"/>
            <w:shd w:val="clear" w:color="000000" w:fill="DCE6F1"/>
            <w:noWrap/>
            <w:vAlign w:val="center"/>
            <w:hideMark/>
          </w:tcPr>
          <w:p w:rsidR="00B17299" w:rsidRPr="004B1410" w:rsidRDefault="00B17299" w:rsidP="006B7BB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46 730</w:t>
            </w:r>
          </w:p>
        </w:tc>
        <w:tc>
          <w:tcPr>
            <w:tcW w:w="1000" w:type="dxa"/>
            <w:shd w:val="clear" w:color="auto" w:fill="auto"/>
            <w:noWrap/>
            <w:vAlign w:val="center"/>
            <w:hideMark/>
          </w:tcPr>
          <w:p w:rsidR="00B17299" w:rsidRPr="004B1410" w:rsidRDefault="00B17299" w:rsidP="00E0692A">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5 318</w:t>
            </w:r>
          </w:p>
        </w:tc>
        <w:tc>
          <w:tcPr>
            <w:tcW w:w="1000" w:type="dxa"/>
            <w:shd w:val="clear" w:color="000000" w:fill="DCE6F1"/>
            <w:noWrap/>
            <w:vAlign w:val="center"/>
            <w:hideMark/>
          </w:tcPr>
          <w:p w:rsidR="00B17299" w:rsidRPr="004B1410"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10 350</w:t>
            </w:r>
          </w:p>
        </w:tc>
        <w:tc>
          <w:tcPr>
            <w:tcW w:w="1000" w:type="dxa"/>
            <w:shd w:val="clear" w:color="auto" w:fill="auto"/>
            <w:noWrap/>
            <w:vAlign w:val="center"/>
            <w:hideMark/>
          </w:tcPr>
          <w:p w:rsidR="00B17299" w:rsidRPr="004B1410"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5 828</w:t>
            </w:r>
          </w:p>
        </w:tc>
        <w:tc>
          <w:tcPr>
            <w:tcW w:w="1000" w:type="dxa"/>
            <w:shd w:val="clear" w:color="000000" w:fill="DCE6F1"/>
            <w:noWrap/>
            <w:vAlign w:val="center"/>
            <w:hideMark/>
          </w:tcPr>
          <w:p w:rsidR="00B17299" w:rsidRPr="004B1410"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1 009</w:t>
            </w:r>
          </w:p>
        </w:tc>
        <w:tc>
          <w:tcPr>
            <w:tcW w:w="1000" w:type="dxa"/>
            <w:shd w:val="clear" w:color="auto" w:fill="auto"/>
            <w:noWrap/>
            <w:vAlign w:val="center"/>
            <w:hideMark/>
          </w:tcPr>
          <w:p w:rsidR="00B17299" w:rsidRPr="004B1410"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10 378</w:t>
            </w:r>
          </w:p>
        </w:tc>
        <w:tc>
          <w:tcPr>
            <w:tcW w:w="1000" w:type="dxa"/>
            <w:shd w:val="clear" w:color="000000" w:fill="DCE6F1"/>
            <w:noWrap/>
            <w:vAlign w:val="center"/>
            <w:hideMark/>
          </w:tcPr>
          <w:p w:rsidR="00B17299" w:rsidRPr="004B1410"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3 415</w:t>
            </w:r>
          </w:p>
        </w:tc>
      </w:tr>
      <w:tr w:rsidR="00B17299" w:rsidRPr="004B1410" w:rsidTr="007140DB">
        <w:trPr>
          <w:trHeight w:val="559"/>
          <w:jc w:val="center"/>
        </w:trPr>
        <w:tc>
          <w:tcPr>
            <w:tcW w:w="2080" w:type="dxa"/>
            <w:shd w:val="clear" w:color="000000" w:fill="EEF3F8"/>
            <w:vAlign w:val="bottom"/>
            <w:hideMark/>
          </w:tcPr>
          <w:p w:rsidR="00B17299" w:rsidRPr="004B1410" w:rsidRDefault="00B17299" w:rsidP="00B17299">
            <w:pPr>
              <w:spacing w:after="0" w:line="240" w:lineRule="auto"/>
              <w:rPr>
                <w:rFonts w:ascii="Calibri" w:eastAsia="Times New Roman" w:hAnsi="Calibri" w:cs="Times New Roman"/>
                <w:b/>
                <w:bCs/>
                <w:color w:val="000000"/>
                <w:szCs w:val="21"/>
                <w:lang w:eastAsia="cs-CZ"/>
              </w:rPr>
            </w:pPr>
            <w:r w:rsidRPr="004B1410">
              <w:rPr>
                <w:rFonts w:ascii="Calibri" w:eastAsia="Times New Roman" w:hAnsi="Calibri" w:cs="Times New Roman"/>
                <w:b/>
                <w:bCs/>
                <w:color w:val="000000"/>
                <w:szCs w:val="21"/>
                <w:lang w:eastAsia="cs-CZ"/>
              </w:rPr>
              <w:t xml:space="preserve">Náklady na </w:t>
            </w:r>
            <w:r w:rsidRPr="004B1410">
              <w:rPr>
                <w:rFonts w:ascii="Calibri" w:eastAsia="Times New Roman" w:hAnsi="Calibri" w:cs="Times New Roman"/>
                <w:b/>
                <w:bCs/>
                <w:color w:val="000000"/>
                <w:szCs w:val="21"/>
                <w:lang w:eastAsia="cs-CZ"/>
              </w:rPr>
              <w:br/>
              <w:t>lůžkovou péči</w:t>
            </w:r>
          </w:p>
        </w:tc>
        <w:tc>
          <w:tcPr>
            <w:tcW w:w="1000" w:type="dxa"/>
            <w:shd w:val="clear" w:color="000000" w:fill="EEF3F8"/>
            <w:noWrap/>
            <w:vAlign w:val="center"/>
            <w:hideMark/>
          </w:tcPr>
          <w:p w:rsidR="00B17299" w:rsidRPr="004B1410" w:rsidRDefault="00B17299" w:rsidP="006B7BB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105 152</w:t>
            </w:r>
          </w:p>
        </w:tc>
        <w:tc>
          <w:tcPr>
            <w:tcW w:w="1000" w:type="dxa"/>
            <w:shd w:val="clear" w:color="000000" w:fill="EEF3F8"/>
            <w:noWrap/>
            <w:vAlign w:val="center"/>
            <w:hideMark/>
          </w:tcPr>
          <w:p w:rsidR="00B17299" w:rsidRPr="004B1410" w:rsidRDefault="00B17299" w:rsidP="00E0692A">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10 598</w:t>
            </w:r>
          </w:p>
        </w:tc>
        <w:tc>
          <w:tcPr>
            <w:tcW w:w="1000" w:type="dxa"/>
            <w:shd w:val="clear" w:color="000000" w:fill="EEF3F8"/>
            <w:noWrap/>
            <w:vAlign w:val="center"/>
            <w:hideMark/>
          </w:tcPr>
          <w:p w:rsidR="00B17299" w:rsidRPr="004B1410"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16 723</w:t>
            </w:r>
          </w:p>
        </w:tc>
        <w:tc>
          <w:tcPr>
            <w:tcW w:w="1000" w:type="dxa"/>
            <w:shd w:val="clear" w:color="000000" w:fill="EEF3F8"/>
            <w:noWrap/>
            <w:vAlign w:val="center"/>
            <w:hideMark/>
          </w:tcPr>
          <w:p w:rsidR="00B17299" w:rsidRPr="004B1410"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10 097</w:t>
            </w:r>
          </w:p>
        </w:tc>
        <w:tc>
          <w:tcPr>
            <w:tcW w:w="1000" w:type="dxa"/>
            <w:shd w:val="clear" w:color="000000" w:fill="EEF3F8"/>
            <w:noWrap/>
            <w:vAlign w:val="center"/>
            <w:hideMark/>
          </w:tcPr>
          <w:p w:rsidR="00B17299" w:rsidRPr="004B1410"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2 270</w:t>
            </w:r>
          </w:p>
        </w:tc>
        <w:tc>
          <w:tcPr>
            <w:tcW w:w="1000" w:type="dxa"/>
            <w:shd w:val="clear" w:color="000000" w:fill="EEF3F8"/>
            <w:noWrap/>
            <w:vAlign w:val="center"/>
            <w:hideMark/>
          </w:tcPr>
          <w:p w:rsidR="00B17299" w:rsidRPr="004B1410"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19 373</w:t>
            </w:r>
          </w:p>
        </w:tc>
        <w:tc>
          <w:tcPr>
            <w:tcW w:w="1000" w:type="dxa"/>
            <w:shd w:val="clear" w:color="000000" w:fill="EEF3F8"/>
            <w:noWrap/>
            <w:vAlign w:val="center"/>
            <w:hideMark/>
          </w:tcPr>
          <w:p w:rsidR="00B17299" w:rsidRPr="004B1410"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6 013</w:t>
            </w:r>
          </w:p>
        </w:tc>
      </w:tr>
      <w:tr w:rsidR="00B17299" w:rsidRPr="004B1410" w:rsidTr="007140DB">
        <w:trPr>
          <w:trHeight w:val="300"/>
          <w:jc w:val="center"/>
        </w:trPr>
        <w:tc>
          <w:tcPr>
            <w:tcW w:w="2080" w:type="dxa"/>
            <w:shd w:val="clear" w:color="auto" w:fill="auto"/>
            <w:vAlign w:val="bottom"/>
            <w:hideMark/>
          </w:tcPr>
          <w:p w:rsidR="00B17299" w:rsidRPr="004B1410" w:rsidRDefault="00B17299" w:rsidP="00B17299">
            <w:pPr>
              <w:spacing w:after="0" w:line="240" w:lineRule="auto"/>
              <w:rPr>
                <w:rFonts w:ascii="Calibri" w:eastAsia="Times New Roman" w:hAnsi="Calibri" w:cs="Times New Roman"/>
                <w:b/>
                <w:bCs/>
                <w:color w:val="000000"/>
                <w:szCs w:val="21"/>
                <w:lang w:eastAsia="cs-CZ"/>
              </w:rPr>
            </w:pPr>
            <w:r w:rsidRPr="004B1410">
              <w:rPr>
                <w:rFonts w:ascii="Calibri" w:eastAsia="Times New Roman" w:hAnsi="Calibri" w:cs="Times New Roman"/>
                <w:b/>
                <w:bCs/>
                <w:color w:val="000000"/>
                <w:szCs w:val="21"/>
                <w:lang w:eastAsia="cs-CZ"/>
              </w:rPr>
              <w:t>Ostatní náklady</w:t>
            </w:r>
          </w:p>
        </w:tc>
        <w:tc>
          <w:tcPr>
            <w:tcW w:w="1000" w:type="dxa"/>
            <w:shd w:val="clear" w:color="000000" w:fill="DCE6F1"/>
            <w:noWrap/>
            <w:vAlign w:val="center"/>
            <w:hideMark/>
          </w:tcPr>
          <w:p w:rsidR="00B17299" w:rsidRPr="004B1410" w:rsidRDefault="00B17299" w:rsidP="006B7BB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34 615</w:t>
            </w:r>
          </w:p>
        </w:tc>
        <w:tc>
          <w:tcPr>
            <w:tcW w:w="1000" w:type="dxa"/>
            <w:shd w:val="clear" w:color="auto" w:fill="auto"/>
            <w:noWrap/>
            <w:vAlign w:val="center"/>
            <w:hideMark/>
          </w:tcPr>
          <w:p w:rsidR="00B17299" w:rsidRPr="004B1410" w:rsidRDefault="00B17299" w:rsidP="00E0692A">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3 608</w:t>
            </w:r>
          </w:p>
        </w:tc>
        <w:tc>
          <w:tcPr>
            <w:tcW w:w="1000" w:type="dxa"/>
            <w:shd w:val="clear" w:color="000000" w:fill="DCE6F1"/>
            <w:noWrap/>
            <w:vAlign w:val="center"/>
            <w:hideMark/>
          </w:tcPr>
          <w:p w:rsidR="00B17299" w:rsidRPr="004B1410"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6 087</w:t>
            </w:r>
          </w:p>
        </w:tc>
        <w:tc>
          <w:tcPr>
            <w:tcW w:w="1000" w:type="dxa"/>
            <w:shd w:val="clear" w:color="auto" w:fill="auto"/>
            <w:noWrap/>
            <w:vAlign w:val="center"/>
            <w:hideMark/>
          </w:tcPr>
          <w:p w:rsidR="00B17299" w:rsidRPr="004B1410"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3 391</w:t>
            </w:r>
          </w:p>
        </w:tc>
        <w:tc>
          <w:tcPr>
            <w:tcW w:w="1000" w:type="dxa"/>
            <w:shd w:val="clear" w:color="000000" w:fill="DCE6F1"/>
            <w:noWrap/>
            <w:vAlign w:val="center"/>
            <w:hideMark/>
          </w:tcPr>
          <w:p w:rsidR="00B17299" w:rsidRPr="004B1410"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786</w:t>
            </w:r>
          </w:p>
        </w:tc>
        <w:tc>
          <w:tcPr>
            <w:tcW w:w="1000" w:type="dxa"/>
            <w:shd w:val="clear" w:color="auto" w:fill="auto"/>
            <w:noWrap/>
            <w:vAlign w:val="center"/>
            <w:hideMark/>
          </w:tcPr>
          <w:p w:rsidR="00B17299" w:rsidRPr="004B1410"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7 057</w:t>
            </w:r>
          </w:p>
        </w:tc>
        <w:tc>
          <w:tcPr>
            <w:tcW w:w="1000" w:type="dxa"/>
            <w:shd w:val="clear" w:color="000000" w:fill="DCE6F1"/>
            <w:noWrap/>
            <w:vAlign w:val="center"/>
            <w:hideMark/>
          </w:tcPr>
          <w:p w:rsidR="00B17299" w:rsidRPr="004B1410"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2 171</w:t>
            </w:r>
          </w:p>
        </w:tc>
      </w:tr>
      <w:tr w:rsidR="00B17299" w:rsidRPr="004B1410" w:rsidTr="007140DB">
        <w:trPr>
          <w:trHeight w:val="300"/>
          <w:jc w:val="center"/>
        </w:trPr>
        <w:tc>
          <w:tcPr>
            <w:tcW w:w="2080" w:type="dxa"/>
            <w:shd w:val="clear" w:color="000000" w:fill="EEF3F8"/>
            <w:vAlign w:val="bottom"/>
            <w:hideMark/>
          </w:tcPr>
          <w:p w:rsidR="00B17299" w:rsidRPr="004B1410" w:rsidRDefault="00B17299" w:rsidP="00B17299">
            <w:pPr>
              <w:spacing w:after="0" w:line="240" w:lineRule="auto"/>
              <w:rPr>
                <w:rFonts w:ascii="Calibri" w:eastAsia="Times New Roman" w:hAnsi="Calibri" w:cs="Times New Roman"/>
                <w:b/>
                <w:bCs/>
                <w:color w:val="000000"/>
                <w:szCs w:val="21"/>
                <w:lang w:eastAsia="cs-CZ"/>
              </w:rPr>
            </w:pPr>
            <w:r w:rsidRPr="004B1410">
              <w:rPr>
                <w:rFonts w:ascii="Calibri" w:eastAsia="Times New Roman" w:hAnsi="Calibri" w:cs="Times New Roman"/>
                <w:b/>
                <w:bCs/>
                <w:color w:val="000000"/>
                <w:szCs w:val="21"/>
                <w:lang w:eastAsia="cs-CZ"/>
              </w:rPr>
              <w:t>Celkové náklady</w:t>
            </w:r>
          </w:p>
        </w:tc>
        <w:tc>
          <w:tcPr>
            <w:tcW w:w="1000" w:type="dxa"/>
            <w:shd w:val="clear" w:color="000000" w:fill="EEF3F8"/>
            <w:noWrap/>
            <w:vAlign w:val="center"/>
            <w:hideMark/>
          </w:tcPr>
          <w:p w:rsidR="00B17299" w:rsidRPr="004B1410" w:rsidRDefault="00B17299" w:rsidP="006B7BB1">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186 496</w:t>
            </w:r>
          </w:p>
        </w:tc>
        <w:tc>
          <w:tcPr>
            <w:tcW w:w="1000" w:type="dxa"/>
            <w:shd w:val="clear" w:color="000000" w:fill="EEF3F8"/>
            <w:noWrap/>
            <w:vAlign w:val="center"/>
            <w:hideMark/>
          </w:tcPr>
          <w:p w:rsidR="00B17299" w:rsidRPr="004B1410" w:rsidRDefault="00B17299" w:rsidP="00E0692A">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19 524</w:t>
            </w:r>
          </w:p>
        </w:tc>
        <w:tc>
          <w:tcPr>
            <w:tcW w:w="1000" w:type="dxa"/>
            <w:shd w:val="clear" w:color="000000" w:fill="EEF3F8"/>
            <w:noWrap/>
            <w:vAlign w:val="center"/>
            <w:hideMark/>
          </w:tcPr>
          <w:p w:rsidR="00B17299" w:rsidRPr="004B1410" w:rsidRDefault="00B17299">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33 161</w:t>
            </w:r>
          </w:p>
        </w:tc>
        <w:tc>
          <w:tcPr>
            <w:tcW w:w="1000" w:type="dxa"/>
            <w:shd w:val="clear" w:color="000000" w:fill="EEF3F8"/>
            <w:noWrap/>
            <w:vAlign w:val="center"/>
            <w:hideMark/>
          </w:tcPr>
          <w:p w:rsidR="00B17299" w:rsidRPr="004B1410" w:rsidRDefault="00B17299">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19 316</w:t>
            </w:r>
          </w:p>
        </w:tc>
        <w:tc>
          <w:tcPr>
            <w:tcW w:w="1000" w:type="dxa"/>
            <w:shd w:val="clear" w:color="000000" w:fill="EEF3F8"/>
            <w:noWrap/>
            <w:vAlign w:val="center"/>
            <w:hideMark/>
          </w:tcPr>
          <w:p w:rsidR="00B17299" w:rsidRPr="004B1410" w:rsidRDefault="00B17299">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4 065</w:t>
            </w:r>
          </w:p>
        </w:tc>
        <w:tc>
          <w:tcPr>
            <w:tcW w:w="1000" w:type="dxa"/>
            <w:shd w:val="clear" w:color="000000" w:fill="EEF3F8"/>
            <w:noWrap/>
            <w:vAlign w:val="center"/>
            <w:hideMark/>
          </w:tcPr>
          <w:p w:rsidR="00B17299" w:rsidRPr="004B1410" w:rsidRDefault="00B17299">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36 808</w:t>
            </w:r>
          </w:p>
        </w:tc>
        <w:tc>
          <w:tcPr>
            <w:tcW w:w="1000" w:type="dxa"/>
            <w:shd w:val="clear" w:color="000000" w:fill="EEF3F8"/>
            <w:noWrap/>
            <w:vAlign w:val="center"/>
            <w:hideMark/>
          </w:tcPr>
          <w:p w:rsidR="00B17299" w:rsidRPr="004B1410" w:rsidRDefault="00B17299">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11 598</w:t>
            </w:r>
          </w:p>
        </w:tc>
      </w:tr>
    </w:tbl>
    <w:p w:rsidR="007036D6" w:rsidRPr="000F4ECF" w:rsidRDefault="007036D6" w:rsidP="0021299E">
      <w:pPr>
        <w:pStyle w:val="TEXTpodTABOBR"/>
        <w:spacing w:before="180" w:after="180" w:line="276" w:lineRule="auto"/>
        <w:ind w:firstLine="0"/>
        <w:rPr>
          <w:rFonts w:asciiTheme="minorHAnsi" w:hAnsiTheme="minorHAnsi" w:cstheme="minorHAnsi"/>
          <w:sz w:val="21"/>
          <w:szCs w:val="21"/>
        </w:rPr>
      </w:pPr>
      <w:r w:rsidRPr="00011B2D">
        <w:rPr>
          <w:rFonts w:asciiTheme="minorHAnsi" w:hAnsiTheme="minorHAnsi" w:cstheme="minorHAnsi"/>
          <w:b/>
          <w:sz w:val="21"/>
          <w:szCs w:val="21"/>
        </w:rPr>
        <w:t xml:space="preserve">Přesnější údaj o meziročním vývoji jednoznačně představují náklady na zdravotní </w:t>
      </w:r>
      <w:r w:rsidRPr="00011B2D">
        <w:rPr>
          <w:rFonts w:asciiTheme="minorHAnsi" w:eastAsia="Times New Roman" w:hAnsiTheme="minorHAnsi" w:cstheme="minorHAnsi"/>
          <w:b/>
          <w:sz w:val="21"/>
          <w:szCs w:val="21"/>
        </w:rPr>
        <w:t>služby</w:t>
      </w:r>
      <w:r w:rsidRPr="00011B2D">
        <w:rPr>
          <w:rFonts w:asciiTheme="minorHAnsi" w:hAnsiTheme="minorHAnsi" w:cstheme="minorHAnsi"/>
          <w:spacing w:val="-4"/>
          <w:sz w:val="21"/>
          <w:szCs w:val="21"/>
        </w:rPr>
        <w:t xml:space="preserve"> všech ZP</w:t>
      </w:r>
      <w:r w:rsidRPr="00011B2D">
        <w:rPr>
          <w:rFonts w:asciiTheme="minorHAnsi" w:eastAsia="Times New Roman" w:hAnsiTheme="minorHAnsi" w:cstheme="minorHAnsi"/>
          <w:b/>
          <w:sz w:val="21"/>
          <w:szCs w:val="21"/>
        </w:rPr>
        <w:t xml:space="preserve"> </w:t>
      </w:r>
      <w:r w:rsidRPr="00011B2D">
        <w:rPr>
          <w:rFonts w:asciiTheme="minorHAnsi" w:hAnsiTheme="minorHAnsi" w:cstheme="minorHAnsi"/>
          <w:b/>
          <w:sz w:val="21"/>
          <w:szCs w:val="21"/>
        </w:rPr>
        <w:t>v přepočtu na</w:t>
      </w:r>
      <w:r w:rsidR="00E0692A">
        <w:rPr>
          <w:rFonts w:asciiTheme="minorHAnsi" w:hAnsiTheme="minorHAnsi" w:cstheme="minorHAnsi"/>
          <w:b/>
          <w:sz w:val="21"/>
          <w:szCs w:val="21"/>
        </w:rPr>
        <w:t> </w:t>
      </w:r>
      <w:r w:rsidRPr="00011B2D">
        <w:rPr>
          <w:rFonts w:asciiTheme="minorHAnsi" w:hAnsiTheme="minorHAnsi" w:cstheme="minorHAnsi"/>
          <w:b/>
          <w:sz w:val="21"/>
          <w:szCs w:val="21"/>
        </w:rPr>
        <w:t>jednoho pojištěnce, které činily 2</w:t>
      </w:r>
      <w:r w:rsidR="00011B2D" w:rsidRPr="00011B2D">
        <w:rPr>
          <w:rFonts w:asciiTheme="minorHAnsi" w:hAnsiTheme="minorHAnsi" w:cstheme="minorHAnsi"/>
          <w:b/>
          <w:sz w:val="21"/>
          <w:szCs w:val="21"/>
        </w:rPr>
        <w:t>9</w:t>
      </w:r>
      <w:r w:rsidRPr="00011B2D">
        <w:rPr>
          <w:rFonts w:asciiTheme="minorHAnsi" w:hAnsiTheme="minorHAnsi" w:cstheme="minorHAnsi"/>
          <w:b/>
          <w:sz w:val="21"/>
          <w:szCs w:val="21"/>
        </w:rPr>
        <w:t xml:space="preserve"> </w:t>
      </w:r>
      <w:r w:rsidR="00011B2D" w:rsidRPr="00011B2D">
        <w:rPr>
          <w:rFonts w:asciiTheme="minorHAnsi" w:hAnsiTheme="minorHAnsi" w:cstheme="minorHAnsi"/>
          <w:b/>
          <w:sz w:val="21"/>
          <w:szCs w:val="21"/>
        </w:rPr>
        <w:t>63</w:t>
      </w:r>
      <w:r w:rsidRPr="00011B2D">
        <w:rPr>
          <w:rFonts w:asciiTheme="minorHAnsi" w:hAnsiTheme="minorHAnsi" w:cstheme="minorHAnsi"/>
          <w:b/>
          <w:sz w:val="21"/>
          <w:szCs w:val="21"/>
        </w:rPr>
        <w:t xml:space="preserve">1 Kč. </w:t>
      </w:r>
      <w:r w:rsidRPr="00011B2D">
        <w:rPr>
          <w:rFonts w:asciiTheme="minorHAnsi" w:hAnsiTheme="minorHAnsi" w:cstheme="minorHAnsi"/>
          <w:sz w:val="21"/>
          <w:szCs w:val="21"/>
        </w:rPr>
        <w:t xml:space="preserve">Z toho </w:t>
      </w:r>
      <w:r w:rsidRPr="00011B2D">
        <w:rPr>
          <w:rFonts w:asciiTheme="minorHAnsi" w:hAnsiTheme="minorHAnsi" w:cstheme="minorHAnsi"/>
          <w:b/>
          <w:sz w:val="21"/>
          <w:szCs w:val="21"/>
        </w:rPr>
        <w:t xml:space="preserve">náklady na zdravotní </w:t>
      </w:r>
      <w:r w:rsidRPr="00011B2D">
        <w:rPr>
          <w:rFonts w:asciiTheme="minorHAnsi" w:eastAsia="Times New Roman" w:hAnsiTheme="minorHAnsi" w:cstheme="minorHAnsi"/>
          <w:b/>
          <w:sz w:val="21"/>
          <w:szCs w:val="21"/>
        </w:rPr>
        <w:t>služby čerpané z oddílu A základního fondu zdravotního pojištění</w:t>
      </w:r>
      <w:r w:rsidRPr="00011B2D">
        <w:rPr>
          <w:rFonts w:asciiTheme="minorHAnsi" w:hAnsiTheme="minorHAnsi" w:cstheme="minorHAnsi"/>
          <w:b/>
          <w:sz w:val="21"/>
          <w:szCs w:val="21"/>
        </w:rPr>
        <w:t xml:space="preserve"> v přepočtu na</w:t>
      </w:r>
      <w:r w:rsidRPr="00B424B1">
        <w:rPr>
          <w:rFonts w:asciiTheme="minorHAnsi" w:hAnsiTheme="minorHAnsi" w:cstheme="minorHAnsi"/>
          <w:b/>
          <w:sz w:val="21"/>
          <w:szCs w:val="21"/>
        </w:rPr>
        <w:t xml:space="preserve"> jednoho pojištěnce</w:t>
      </w:r>
      <w:r w:rsidRPr="000F4ECF">
        <w:rPr>
          <w:rFonts w:asciiTheme="minorHAnsi" w:hAnsiTheme="minorHAnsi" w:cstheme="minorHAnsi"/>
          <w:sz w:val="21"/>
          <w:szCs w:val="21"/>
        </w:rPr>
        <w:t xml:space="preserve"> v roce 201</w:t>
      </w:r>
      <w:r w:rsidR="000F4ECF">
        <w:rPr>
          <w:rFonts w:asciiTheme="minorHAnsi" w:hAnsiTheme="minorHAnsi" w:cstheme="minorHAnsi"/>
          <w:sz w:val="21"/>
          <w:szCs w:val="21"/>
        </w:rPr>
        <w:t>9</w:t>
      </w:r>
      <w:r w:rsidRPr="000F4ECF">
        <w:rPr>
          <w:rFonts w:asciiTheme="minorHAnsi" w:hAnsiTheme="minorHAnsi" w:cstheme="minorHAnsi"/>
          <w:sz w:val="21"/>
          <w:szCs w:val="21"/>
        </w:rPr>
        <w:t xml:space="preserve"> </w:t>
      </w:r>
      <w:r w:rsidRPr="000F4ECF">
        <w:rPr>
          <w:rFonts w:asciiTheme="minorHAnsi" w:hAnsiTheme="minorHAnsi" w:cstheme="minorHAnsi"/>
          <w:spacing w:val="-4"/>
          <w:sz w:val="21"/>
          <w:szCs w:val="21"/>
        </w:rPr>
        <w:t>dosáhly v průměru výše 2</w:t>
      </w:r>
      <w:r w:rsidR="000F4ECF">
        <w:rPr>
          <w:rFonts w:asciiTheme="minorHAnsi" w:hAnsiTheme="minorHAnsi" w:cstheme="minorHAnsi"/>
          <w:spacing w:val="-4"/>
          <w:sz w:val="21"/>
          <w:szCs w:val="21"/>
        </w:rPr>
        <w:t>9</w:t>
      </w:r>
      <w:r w:rsidRPr="000F4ECF">
        <w:rPr>
          <w:rFonts w:asciiTheme="minorHAnsi" w:hAnsiTheme="minorHAnsi" w:cstheme="minorHAnsi"/>
          <w:spacing w:val="-4"/>
          <w:sz w:val="21"/>
          <w:szCs w:val="21"/>
        </w:rPr>
        <w:t> </w:t>
      </w:r>
      <w:r w:rsidR="000F4ECF">
        <w:rPr>
          <w:rFonts w:asciiTheme="minorHAnsi" w:hAnsiTheme="minorHAnsi" w:cstheme="minorHAnsi"/>
          <w:spacing w:val="-4"/>
          <w:sz w:val="21"/>
          <w:szCs w:val="21"/>
        </w:rPr>
        <w:t>499</w:t>
      </w:r>
      <w:r w:rsidRPr="000F4ECF">
        <w:rPr>
          <w:rFonts w:asciiTheme="minorHAnsi" w:hAnsiTheme="minorHAnsi" w:cstheme="minorHAnsi"/>
          <w:sz w:val="21"/>
          <w:szCs w:val="21"/>
        </w:rPr>
        <w:t> Kč, což</w:t>
      </w:r>
      <w:r w:rsidR="006B7BB1">
        <w:rPr>
          <w:rFonts w:asciiTheme="minorHAnsi" w:hAnsiTheme="minorHAnsi" w:cstheme="minorHAnsi"/>
          <w:sz w:val="21"/>
          <w:szCs w:val="21"/>
        </w:rPr>
        <w:t> </w:t>
      </w:r>
      <w:r w:rsidRPr="000F4ECF">
        <w:rPr>
          <w:rFonts w:asciiTheme="minorHAnsi" w:hAnsiTheme="minorHAnsi" w:cstheme="minorHAnsi"/>
          <w:sz w:val="21"/>
          <w:szCs w:val="21"/>
        </w:rPr>
        <w:t>představuje meziroční zvýšení o </w:t>
      </w:r>
      <w:r w:rsidR="000F4ECF">
        <w:rPr>
          <w:rFonts w:asciiTheme="minorHAnsi" w:hAnsiTheme="minorHAnsi" w:cstheme="minorHAnsi"/>
          <w:sz w:val="21"/>
          <w:szCs w:val="21"/>
        </w:rPr>
        <w:t>2</w:t>
      </w:r>
      <w:r w:rsidRPr="000F4ECF">
        <w:rPr>
          <w:rFonts w:asciiTheme="minorHAnsi" w:hAnsiTheme="minorHAnsi" w:cstheme="minorHAnsi"/>
          <w:sz w:val="21"/>
          <w:szCs w:val="21"/>
        </w:rPr>
        <w:t> </w:t>
      </w:r>
      <w:r w:rsidR="000F4ECF">
        <w:rPr>
          <w:rFonts w:asciiTheme="minorHAnsi" w:hAnsiTheme="minorHAnsi" w:cstheme="minorHAnsi"/>
          <w:sz w:val="21"/>
          <w:szCs w:val="21"/>
        </w:rPr>
        <w:t>352</w:t>
      </w:r>
      <w:r w:rsidRPr="000F4ECF">
        <w:rPr>
          <w:rFonts w:asciiTheme="minorHAnsi" w:hAnsiTheme="minorHAnsi" w:cstheme="minorHAnsi"/>
          <w:sz w:val="21"/>
          <w:szCs w:val="21"/>
        </w:rPr>
        <w:t> Kč na 1 pojištěnce, tj. o </w:t>
      </w:r>
      <w:r w:rsidR="000F4ECF">
        <w:rPr>
          <w:rFonts w:asciiTheme="minorHAnsi" w:hAnsiTheme="minorHAnsi" w:cstheme="minorHAnsi"/>
          <w:sz w:val="21"/>
          <w:szCs w:val="21"/>
        </w:rPr>
        <w:t>8</w:t>
      </w:r>
      <w:r w:rsidRPr="000F4ECF">
        <w:rPr>
          <w:rFonts w:asciiTheme="minorHAnsi" w:hAnsiTheme="minorHAnsi" w:cstheme="minorHAnsi"/>
          <w:sz w:val="21"/>
          <w:szCs w:val="21"/>
        </w:rPr>
        <w:t>,</w:t>
      </w:r>
      <w:r w:rsidR="000F4ECF">
        <w:rPr>
          <w:rFonts w:asciiTheme="minorHAnsi" w:hAnsiTheme="minorHAnsi" w:cstheme="minorHAnsi"/>
          <w:sz w:val="21"/>
          <w:szCs w:val="21"/>
        </w:rPr>
        <w:t>7</w:t>
      </w:r>
      <w:r w:rsidRPr="000F4ECF">
        <w:rPr>
          <w:rFonts w:asciiTheme="minorHAnsi" w:hAnsiTheme="minorHAnsi" w:cstheme="minorHAnsi"/>
          <w:sz w:val="21"/>
          <w:szCs w:val="21"/>
        </w:rPr>
        <w:t xml:space="preserve"> % a oproti předpokladu ZPP 201</w:t>
      </w:r>
      <w:r w:rsidR="000F4ECF">
        <w:rPr>
          <w:rFonts w:asciiTheme="minorHAnsi" w:hAnsiTheme="minorHAnsi" w:cstheme="minorHAnsi"/>
          <w:sz w:val="21"/>
          <w:szCs w:val="21"/>
        </w:rPr>
        <w:t>9</w:t>
      </w:r>
      <w:r w:rsidRPr="000F4ECF">
        <w:rPr>
          <w:rFonts w:asciiTheme="minorHAnsi" w:hAnsiTheme="minorHAnsi" w:cstheme="minorHAnsi"/>
          <w:sz w:val="21"/>
          <w:szCs w:val="21"/>
        </w:rPr>
        <w:t xml:space="preserve"> pak klesly o</w:t>
      </w:r>
      <w:r w:rsidR="00BF2C3C" w:rsidRPr="000F4ECF">
        <w:rPr>
          <w:rFonts w:asciiTheme="minorHAnsi" w:hAnsiTheme="minorHAnsi" w:cstheme="minorHAnsi"/>
          <w:sz w:val="21"/>
          <w:szCs w:val="21"/>
        </w:rPr>
        <w:t> </w:t>
      </w:r>
      <w:r w:rsidR="000F4ECF">
        <w:rPr>
          <w:rFonts w:asciiTheme="minorHAnsi" w:hAnsiTheme="minorHAnsi" w:cstheme="minorHAnsi"/>
          <w:sz w:val="21"/>
          <w:szCs w:val="21"/>
        </w:rPr>
        <w:t>70</w:t>
      </w:r>
      <w:r w:rsidRPr="000F4ECF">
        <w:rPr>
          <w:rFonts w:asciiTheme="minorHAnsi" w:eastAsia="SimSun" w:hAnsiTheme="minorHAnsi" w:cstheme="minorHAnsi"/>
          <w:sz w:val="21"/>
          <w:szCs w:val="21"/>
        </w:rPr>
        <w:t xml:space="preserve"> Kč, tj. o</w:t>
      </w:r>
      <w:r w:rsidRPr="000F4ECF">
        <w:rPr>
          <w:rFonts w:asciiTheme="minorHAnsi" w:hAnsiTheme="minorHAnsi" w:cstheme="minorHAnsi"/>
          <w:sz w:val="21"/>
          <w:szCs w:val="21"/>
        </w:rPr>
        <w:t> 0,</w:t>
      </w:r>
      <w:r w:rsidR="000F4ECF">
        <w:rPr>
          <w:rFonts w:asciiTheme="minorHAnsi" w:hAnsiTheme="minorHAnsi" w:cstheme="minorHAnsi"/>
          <w:sz w:val="21"/>
          <w:szCs w:val="21"/>
        </w:rPr>
        <w:t>2</w:t>
      </w:r>
      <w:r w:rsidRPr="000F4ECF">
        <w:rPr>
          <w:rFonts w:asciiTheme="minorHAnsi" w:hAnsiTheme="minorHAnsi" w:cstheme="minorHAnsi"/>
          <w:sz w:val="21"/>
          <w:szCs w:val="21"/>
        </w:rPr>
        <w:t> % (</w:t>
      </w:r>
      <w:r w:rsidRPr="000F4ECF">
        <w:rPr>
          <w:rFonts w:asciiTheme="minorHAnsi" w:hAnsiTheme="minorHAnsi" w:cstheme="minorHAnsi"/>
          <w:i/>
          <w:sz w:val="21"/>
          <w:szCs w:val="21"/>
        </w:rPr>
        <w:t>Tabulka č. 11</w:t>
      </w:r>
      <w:r w:rsidRPr="000F4ECF">
        <w:rPr>
          <w:rFonts w:asciiTheme="minorHAnsi" w:hAnsiTheme="minorHAnsi" w:cstheme="minorHAnsi"/>
          <w:sz w:val="21"/>
          <w:szCs w:val="21"/>
        </w:rPr>
        <w:t xml:space="preserve"> a </w:t>
      </w:r>
      <w:r w:rsidR="00E0692A">
        <w:rPr>
          <w:rFonts w:asciiTheme="minorHAnsi" w:hAnsiTheme="minorHAnsi" w:cstheme="minorHAnsi"/>
          <w:i/>
          <w:sz w:val="21"/>
          <w:szCs w:val="21"/>
        </w:rPr>
        <w:t>Graf č</w:t>
      </w:r>
      <w:r w:rsidRPr="000F4ECF">
        <w:rPr>
          <w:rFonts w:asciiTheme="minorHAnsi" w:hAnsiTheme="minorHAnsi" w:cstheme="minorHAnsi"/>
          <w:i/>
          <w:sz w:val="21"/>
          <w:szCs w:val="21"/>
        </w:rPr>
        <w:t>. 15</w:t>
      </w:r>
      <w:r w:rsidRPr="000F4ECF">
        <w:rPr>
          <w:rFonts w:asciiTheme="minorHAnsi" w:hAnsiTheme="minorHAnsi" w:cstheme="minorHAnsi"/>
          <w:sz w:val="21"/>
          <w:szCs w:val="21"/>
        </w:rPr>
        <w:t>)</w:t>
      </w:r>
      <w:r w:rsidRPr="000F4ECF">
        <w:rPr>
          <w:rFonts w:asciiTheme="minorHAnsi" w:eastAsia="SimSun" w:hAnsiTheme="minorHAnsi" w:cstheme="minorHAnsi"/>
          <w:sz w:val="21"/>
          <w:szCs w:val="21"/>
        </w:rPr>
        <w:t>.</w:t>
      </w:r>
      <w:r w:rsidRPr="000F4ECF">
        <w:rPr>
          <w:rFonts w:asciiTheme="minorHAnsi" w:hAnsiTheme="minorHAnsi" w:cstheme="minorHAnsi"/>
          <w:sz w:val="21"/>
          <w:szCs w:val="21"/>
        </w:rPr>
        <w:t xml:space="preserve"> </w:t>
      </w:r>
      <w:r w:rsidRPr="000F4ECF">
        <w:rPr>
          <w:rFonts w:asciiTheme="minorHAnsi" w:eastAsia="SimSun" w:hAnsiTheme="minorHAnsi" w:cstheme="minorHAnsi"/>
          <w:sz w:val="21"/>
          <w:szCs w:val="21"/>
        </w:rPr>
        <w:t xml:space="preserve">Nejvyšších průměrných nákladů na 1 pojištěnce dosáhla </w:t>
      </w:r>
      <w:r w:rsidRPr="000F4ECF">
        <w:rPr>
          <w:rFonts w:asciiTheme="minorHAnsi" w:hAnsiTheme="minorHAnsi" w:cstheme="minorHAnsi"/>
          <w:sz w:val="21"/>
          <w:szCs w:val="21"/>
        </w:rPr>
        <w:t>VZP ČR ve</w:t>
      </w:r>
      <w:r w:rsidR="006B7BB1">
        <w:rPr>
          <w:rFonts w:asciiTheme="minorHAnsi" w:hAnsiTheme="minorHAnsi" w:cstheme="minorHAnsi"/>
          <w:sz w:val="21"/>
          <w:szCs w:val="21"/>
        </w:rPr>
        <w:t> </w:t>
      </w:r>
      <w:r w:rsidRPr="000F4ECF">
        <w:rPr>
          <w:rFonts w:asciiTheme="minorHAnsi" w:hAnsiTheme="minorHAnsi" w:cstheme="minorHAnsi"/>
          <w:sz w:val="21"/>
          <w:szCs w:val="21"/>
        </w:rPr>
        <w:t xml:space="preserve">výši </w:t>
      </w:r>
      <w:r w:rsidR="000F4ECF">
        <w:rPr>
          <w:rFonts w:asciiTheme="minorHAnsi" w:hAnsiTheme="minorHAnsi" w:cstheme="minorHAnsi"/>
          <w:sz w:val="21"/>
          <w:szCs w:val="21"/>
        </w:rPr>
        <w:t>31 321</w:t>
      </w:r>
      <w:r w:rsidRPr="000F4ECF">
        <w:rPr>
          <w:rFonts w:asciiTheme="minorHAnsi" w:hAnsiTheme="minorHAnsi" w:cstheme="minorHAnsi"/>
          <w:sz w:val="21"/>
          <w:szCs w:val="21"/>
        </w:rPr>
        <w:t xml:space="preserve"> Kč, s meziročním nárůstem </w:t>
      </w:r>
      <w:r w:rsidRPr="00100B8F">
        <w:rPr>
          <w:rFonts w:asciiTheme="minorHAnsi" w:hAnsiTheme="minorHAnsi" w:cstheme="minorHAnsi"/>
          <w:sz w:val="21"/>
          <w:szCs w:val="21"/>
        </w:rPr>
        <w:t>o </w:t>
      </w:r>
      <w:r w:rsidR="00100B8F" w:rsidRPr="00100B8F">
        <w:rPr>
          <w:rFonts w:asciiTheme="minorHAnsi" w:hAnsiTheme="minorHAnsi" w:cstheme="minorHAnsi"/>
          <w:sz w:val="21"/>
          <w:szCs w:val="21"/>
        </w:rPr>
        <w:t>2 566</w:t>
      </w:r>
      <w:r w:rsidRPr="00100B8F">
        <w:rPr>
          <w:rFonts w:asciiTheme="minorHAnsi" w:hAnsiTheme="minorHAnsi" w:cstheme="minorHAnsi"/>
          <w:sz w:val="21"/>
          <w:szCs w:val="21"/>
        </w:rPr>
        <w:t> Kč na 1 pojištěnce, tj. o </w:t>
      </w:r>
      <w:r w:rsidR="00100B8F" w:rsidRPr="00100B8F">
        <w:rPr>
          <w:rFonts w:asciiTheme="minorHAnsi" w:hAnsiTheme="minorHAnsi" w:cstheme="minorHAnsi"/>
          <w:sz w:val="21"/>
          <w:szCs w:val="21"/>
        </w:rPr>
        <w:t>8,9</w:t>
      </w:r>
      <w:r w:rsidRPr="00100B8F">
        <w:rPr>
          <w:rFonts w:asciiTheme="minorHAnsi" w:hAnsiTheme="minorHAnsi" w:cstheme="minorHAnsi"/>
          <w:sz w:val="21"/>
          <w:szCs w:val="21"/>
        </w:rPr>
        <w:t xml:space="preserve"> %. Z</w:t>
      </w:r>
      <w:r w:rsidRPr="000F4ECF">
        <w:rPr>
          <w:rFonts w:asciiTheme="minorHAnsi" w:hAnsiTheme="minorHAnsi" w:cstheme="minorHAnsi"/>
          <w:sz w:val="21"/>
          <w:szCs w:val="21"/>
        </w:rPr>
        <w:t xml:space="preserve"> hlediska absolutní výše těchto nákladů tak nadále zůstává na 1. místě. </w:t>
      </w:r>
      <w:r w:rsidRPr="000F4ECF">
        <w:rPr>
          <w:rFonts w:asciiTheme="minorHAnsi" w:eastAsia="SimSun" w:hAnsiTheme="minorHAnsi" w:cstheme="minorHAnsi"/>
          <w:sz w:val="21"/>
          <w:szCs w:val="21"/>
        </w:rPr>
        <w:t>ZZP dosáhly hodnoty průměrných nákladů ve výši 2</w:t>
      </w:r>
      <w:r w:rsidR="00B53FD0">
        <w:rPr>
          <w:rFonts w:asciiTheme="minorHAnsi" w:eastAsia="SimSun" w:hAnsiTheme="minorHAnsi" w:cstheme="minorHAnsi"/>
          <w:sz w:val="21"/>
          <w:szCs w:val="21"/>
        </w:rPr>
        <w:t>7</w:t>
      </w:r>
      <w:r w:rsidRPr="000F4ECF">
        <w:rPr>
          <w:rFonts w:asciiTheme="minorHAnsi" w:eastAsia="SimSun" w:hAnsiTheme="minorHAnsi" w:cstheme="minorHAnsi"/>
          <w:sz w:val="21"/>
          <w:szCs w:val="21"/>
        </w:rPr>
        <w:t> </w:t>
      </w:r>
      <w:r w:rsidR="00B53FD0">
        <w:rPr>
          <w:rFonts w:asciiTheme="minorHAnsi" w:eastAsia="SimSun" w:hAnsiTheme="minorHAnsi" w:cstheme="minorHAnsi"/>
          <w:sz w:val="21"/>
          <w:szCs w:val="21"/>
        </w:rPr>
        <w:t>135</w:t>
      </w:r>
      <w:r w:rsidRPr="000F4ECF">
        <w:rPr>
          <w:rFonts w:asciiTheme="minorHAnsi" w:eastAsia="SimSun" w:hAnsiTheme="minorHAnsi" w:cstheme="minorHAnsi"/>
          <w:sz w:val="21"/>
          <w:szCs w:val="21"/>
        </w:rPr>
        <w:t xml:space="preserve"> Kč, což je </w:t>
      </w:r>
      <w:r w:rsidRPr="00B53FD0">
        <w:rPr>
          <w:rFonts w:asciiTheme="minorHAnsi" w:eastAsia="SimSun" w:hAnsiTheme="minorHAnsi" w:cstheme="minorHAnsi"/>
          <w:sz w:val="21"/>
          <w:szCs w:val="21"/>
        </w:rPr>
        <w:t>o</w:t>
      </w:r>
      <w:r w:rsidR="00BF2C3C" w:rsidRPr="00B53FD0">
        <w:rPr>
          <w:rFonts w:asciiTheme="minorHAnsi" w:eastAsia="SimSun" w:hAnsiTheme="minorHAnsi" w:cstheme="minorHAnsi"/>
          <w:sz w:val="21"/>
          <w:szCs w:val="21"/>
        </w:rPr>
        <w:t> </w:t>
      </w:r>
      <w:r w:rsidR="00B53FD0" w:rsidRPr="00B53FD0">
        <w:rPr>
          <w:rFonts w:asciiTheme="minorHAnsi" w:eastAsia="SimSun" w:hAnsiTheme="minorHAnsi" w:cstheme="minorHAnsi"/>
          <w:sz w:val="21"/>
          <w:szCs w:val="21"/>
        </w:rPr>
        <w:t>2 082 </w:t>
      </w:r>
      <w:r w:rsidRPr="00B53FD0">
        <w:rPr>
          <w:rFonts w:asciiTheme="minorHAnsi" w:eastAsia="SimSun" w:hAnsiTheme="minorHAnsi" w:cstheme="minorHAnsi"/>
          <w:sz w:val="21"/>
          <w:szCs w:val="21"/>
        </w:rPr>
        <w:t>Kč na 1 pojištěnce více než v roce 201</w:t>
      </w:r>
      <w:r w:rsidR="00B53FD0" w:rsidRPr="00B53FD0">
        <w:rPr>
          <w:rFonts w:asciiTheme="minorHAnsi" w:eastAsia="SimSun" w:hAnsiTheme="minorHAnsi" w:cstheme="minorHAnsi"/>
          <w:sz w:val="21"/>
          <w:szCs w:val="21"/>
        </w:rPr>
        <w:t>8</w:t>
      </w:r>
      <w:r w:rsidRPr="00B53FD0">
        <w:rPr>
          <w:rFonts w:asciiTheme="minorHAnsi" w:eastAsia="SimSun" w:hAnsiTheme="minorHAnsi" w:cstheme="minorHAnsi"/>
          <w:sz w:val="21"/>
          <w:szCs w:val="21"/>
        </w:rPr>
        <w:t xml:space="preserve">, </w:t>
      </w:r>
      <w:r w:rsidRPr="00B53FD0">
        <w:rPr>
          <w:rFonts w:asciiTheme="minorHAnsi" w:hAnsiTheme="minorHAnsi" w:cstheme="minorHAnsi"/>
          <w:sz w:val="21"/>
          <w:szCs w:val="21"/>
        </w:rPr>
        <w:t>tj. o </w:t>
      </w:r>
      <w:r w:rsidR="00B53FD0" w:rsidRPr="00B53FD0">
        <w:rPr>
          <w:rFonts w:asciiTheme="minorHAnsi" w:hAnsiTheme="minorHAnsi" w:cstheme="minorHAnsi"/>
          <w:sz w:val="21"/>
          <w:szCs w:val="21"/>
        </w:rPr>
        <w:t>8</w:t>
      </w:r>
      <w:r w:rsidRPr="00B53FD0">
        <w:rPr>
          <w:rFonts w:asciiTheme="minorHAnsi" w:hAnsiTheme="minorHAnsi" w:cstheme="minorHAnsi"/>
          <w:sz w:val="21"/>
          <w:szCs w:val="21"/>
        </w:rPr>
        <w:t>,</w:t>
      </w:r>
      <w:r w:rsidR="00B53FD0" w:rsidRPr="00B53FD0">
        <w:rPr>
          <w:rFonts w:asciiTheme="minorHAnsi" w:hAnsiTheme="minorHAnsi" w:cstheme="minorHAnsi"/>
          <w:sz w:val="21"/>
          <w:szCs w:val="21"/>
        </w:rPr>
        <w:t>3</w:t>
      </w:r>
      <w:r w:rsidRPr="00B53FD0">
        <w:rPr>
          <w:rFonts w:asciiTheme="minorHAnsi" w:hAnsiTheme="minorHAnsi" w:cstheme="minorHAnsi"/>
          <w:sz w:val="21"/>
          <w:szCs w:val="21"/>
        </w:rPr>
        <w:t xml:space="preserve"> %.</w:t>
      </w:r>
      <w:r w:rsidRPr="000F4ECF">
        <w:rPr>
          <w:rFonts w:asciiTheme="minorHAnsi" w:hAnsiTheme="minorHAnsi" w:cstheme="minorHAnsi"/>
          <w:sz w:val="21"/>
          <w:szCs w:val="21"/>
        </w:rPr>
        <w:t xml:space="preserve"> Ze srovnání jednotlivých ZZP vyplývá, že u všech ZP došlo k růstu těchto nákladů </w:t>
      </w:r>
      <w:r w:rsidR="00F75B57">
        <w:rPr>
          <w:rFonts w:asciiTheme="minorHAnsi" w:hAnsiTheme="minorHAnsi" w:cstheme="minorHAnsi"/>
          <w:sz w:val="21"/>
          <w:szCs w:val="21"/>
        </w:rPr>
        <w:t>–</w:t>
      </w:r>
      <w:r w:rsidRPr="000F4ECF">
        <w:rPr>
          <w:rFonts w:asciiTheme="minorHAnsi" w:hAnsiTheme="minorHAnsi" w:cstheme="minorHAnsi"/>
          <w:sz w:val="21"/>
          <w:szCs w:val="21"/>
        </w:rPr>
        <w:t xml:space="preserve"> </w:t>
      </w:r>
      <w:proofErr w:type="spellStart"/>
      <w:r w:rsidRPr="000F4ECF">
        <w:rPr>
          <w:rFonts w:asciiTheme="minorHAnsi" w:hAnsiTheme="minorHAnsi" w:cstheme="minorHAnsi"/>
          <w:sz w:val="21"/>
          <w:szCs w:val="21"/>
        </w:rPr>
        <w:t>VoZP</w:t>
      </w:r>
      <w:proofErr w:type="spellEnd"/>
      <w:r w:rsidRPr="000F4ECF">
        <w:rPr>
          <w:rFonts w:asciiTheme="minorHAnsi" w:hAnsiTheme="minorHAnsi" w:cstheme="minorHAnsi"/>
          <w:sz w:val="21"/>
          <w:szCs w:val="21"/>
        </w:rPr>
        <w:t> ČR o </w:t>
      </w:r>
      <w:r w:rsidR="00201994">
        <w:rPr>
          <w:rFonts w:asciiTheme="minorHAnsi" w:hAnsiTheme="minorHAnsi" w:cstheme="minorHAnsi"/>
          <w:sz w:val="21"/>
          <w:szCs w:val="21"/>
        </w:rPr>
        <w:t>8,7</w:t>
      </w:r>
      <w:r w:rsidRPr="000F4ECF">
        <w:rPr>
          <w:rFonts w:asciiTheme="minorHAnsi" w:hAnsiTheme="minorHAnsi" w:cstheme="minorHAnsi"/>
          <w:sz w:val="21"/>
          <w:szCs w:val="21"/>
        </w:rPr>
        <w:t> %, ČPZP o </w:t>
      </w:r>
      <w:r w:rsidR="00201994">
        <w:rPr>
          <w:rFonts w:asciiTheme="minorHAnsi" w:hAnsiTheme="minorHAnsi" w:cstheme="minorHAnsi"/>
          <w:sz w:val="21"/>
          <w:szCs w:val="21"/>
        </w:rPr>
        <w:t>7,3</w:t>
      </w:r>
      <w:r w:rsidRPr="000F4ECF">
        <w:rPr>
          <w:rFonts w:asciiTheme="minorHAnsi" w:hAnsiTheme="minorHAnsi" w:cstheme="minorHAnsi"/>
          <w:sz w:val="21"/>
          <w:szCs w:val="21"/>
        </w:rPr>
        <w:t> %, OZP o </w:t>
      </w:r>
      <w:r w:rsidR="00201994">
        <w:rPr>
          <w:rFonts w:asciiTheme="minorHAnsi" w:hAnsiTheme="minorHAnsi" w:cstheme="minorHAnsi"/>
          <w:sz w:val="21"/>
          <w:szCs w:val="21"/>
        </w:rPr>
        <w:t>10,1</w:t>
      </w:r>
      <w:r w:rsidRPr="000F4ECF">
        <w:rPr>
          <w:rFonts w:asciiTheme="minorHAnsi" w:hAnsiTheme="minorHAnsi" w:cstheme="minorHAnsi"/>
          <w:sz w:val="21"/>
          <w:szCs w:val="21"/>
        </w:rPr>
        <w:t> %, ZPŠ o </w:t>
      </w:r>
      <w:r w:rsidR="00201994">
        <w:rPr>
          <w:rFonts w:asciiTheme="minorHAnsi" w:hAnsiTheme="minorHAnsi" w:cstheme="minorHAnsi"/>
          <w:sz w:val="21"/>
          <w:szCs w:val="21"/>
        </w:rPr>
        <w:t>7,5</w:t>
      </w:r>
      <w:r w:rsidRPr="000F4ECF">
        <w:rPr>
          <w:rFonts w:asciiTheme="minorHAnsi" w:hAnsiTheme="minorHAnsi" w:cstheme="minorHAnsi"/>
          <w:sz w:val="21"/>
          <w:szCs w:val="21"/>
        </w:rPr>
        <w:t> %, ZP MV ČR o </w:t>
      </w:r>
      <w:r w:rsidR="00201994">
        <w:rPr>
          <w:rFonts w:asciiTheme="minorHAnsi" w:hAnsiTheme="minorHAnsi" w:cstheme="minorHAnsi"/>
          <w:sz w:val="21"/>
          <w:szCs w:val="21"/>
        </w:rPr>
        <w:t>7,9</w:t>
      </w:r>
      <w:r w:rsidRPr="000F4ECF">
        <w:rPr>
          <w:rFonts w:asciiTheme="minorHAnsi" w:hAnsiTheme="minorHAnsi" w:cstheme="minorHAnsi"/>
          <w:sz w:val="21"/>
          <w:szCs w:val="21"/>
        </w:rPr>
        <w:t> % a RBP o </w:t>
      </w:r>
      <w:r w:rsidR="00201994">
        <w:rPr>
          <w:rFonts w:asciiTheme="minorHAnsi" w:hAnsiTheme="minorHAnsi" w:cstheme="minorHAnsi"/>
          <w:sz w:val="21"/>
          <w:szCs w:val="21"/>
        </w:rPr>
        <w:t>9</w:t>
      </w:r>
      <w:r w:rsidRPr="000F4ECF">
        <w:rPr>
          <w:rFonts w:asciiTheme="minorHAnsi" w:hAnsiTheme="minorHAnsi" w:cstheme="minorHAnsi"/>
          <w:sz w:val="21"/>
          <w:szCs w:val="21"/>
        </w:rPr>
        <w:t>,3 % (</w:t>
      </w:r>
      <w:r w:rsidRPr="000F4ECF">
        <w:rPr>
          <w:rFonts w:asciiTheme="minorHAnsi" w:hAnsiTheme="minorHAnsi" w:cstheme="minorHAnsi"/>
          <w:i/>
          <w:sz w:val="21"/>
          <w:szCs w:val="21"/>
        </w:rPr>
        <w:t>Tabulka č. 12).</w:t>
      </w:r>
    </w:p>
    <w:p w:rsidR="007036D6" w:rsidRPr="0028781D" w:rsidRDefault="007036D6" w:rsidP="0021299E">
      <w:pPr>
        <w:pStyle w:val="TEXT"/>
        <w:spacing w:before="180" w:after="180" w:line="276" w:lineRule="auto"/>
        <w:ind w:firstLine="0"/>
        <w:rPr>
          <w:rFonts w:asciiTheme="minorHAnsi" w:hAnsiTheme="minorHAnsi" w:cstheme="minorHAnsi"/>
          <w:sz w:val="21"/>
          <w:szCs w:val="21"/>
        </w:rPr>
      </w:pPr>
      <w:r w:rsidRPr="0028781D">
        <w:rPr>
          <w:rFonts w:asciiTheme="minorHAnsi" w:hAnsiTheme="minorHAnsi" w:cstheme="minorHAnsi"/>
          <w:sz w:val="21"/>
          <w:szCs w:val="21"/>
        </w:rPr>
        <w:t>Zároveň je nutné uvést, že VZP ČR má i nejvyšší příjmy na 1 pojištěnce z pojistného v. z. p. včetně vlivu přerozdělování ve výši 3</w:t>
      </w:r>
      <w:r w:rsidR="0028781D" w:rsidRPr="0028781D">
        <w:rPr>
          <w:rFonts w:asciiTheme="minorHAnsi" w:hAnsiTheme="minorHAnsi" w:cstheme="minorHAnsi"/>
          <w:sz w:val="21"/>
          <w:szCs w:val="21"/>
        </w:rPr>
        <w:t>2</w:t>
      </w:r>
      <w:r w:rsidRPr="0028781D">
        <w:rPr>
          <w:rFonts w:asciiTheme="minorHAnsi" w:hAnsiTheme="minorHAnsi" w:cstheme="minorHAnsi"/>
          <w:sz w:val="21"/>
          <w:szCs w:val="21"/>
        </w:rPr>
        <w:t> </w:t>
      </w:r>
      <w:r w:rsidR="0028781D" w:rsidRPr="0028781D">
        <w:rPr>
          <w:rFonts w:asciiTheme="minorHAnsi" w:hAnsiTheme="minorHAnsi" w:cstheme="minorHAnsi"/>
          <w:sz w:val="21"/>
          <w:szCs w:val="21"/>
        </w:rPr>
        <w:t>928</w:t>
      </w:r>
      <w:r w:rsidRPr="0028781D">
        <w:rPr>
          <w:rFonts w:asciiTheme="minorHAnsi" w:hAnsiTheme="minorHAnsi" w:cstheme="minorHAnsi"/>
          <w:sz w:val="21"/>
          <w:szCs w:val="21"/>
        </w:rPr>
        <w:t xml:space="preserve"> Kč. Příjmy na 1 pojištěnce ZZP jsou v průměru 2</w:t>
      </w:r>
      <w:r w:rsidR="0028781D" w:rsidRPr="0028781D">
        <w:rPr>
          <w:rFonts w:asciiTheme="minorHAnsi" w:hAnsiTheme="minorHAnsi" w:cstheme="minorHAnsi"/>
          <w:sz w:val="21"/>
          <w:szCs w:val="21"/>
        </w:rPr>
        <w:t>8 809</w:t>
      </w:r>
      <w:r w:rsidRPr="0028781D">
        <w:rPr>
          <w:rFonts w:asciiTheme="minorHAnsi" w:hAnsiTheme="minorHAnsi" w:cstheme="minorHAnsi"/>
          <w:sz w:val="21"/>
          <w:szCs w:val="21"/>
        </w:rPr>
        <w:t xml:space="preserve"> Kč.</w:t>
      </w:r>
    </w:p>
    <w:p w:rsidR="007036D6" w:rsidRPr="0021299E" w:rsidRDefault="007036D6" w:rsidP="0021299E">
      <w:pPr>
        <w:pStyle w:val="TEXT"/>
        <w:spacing w:before="180" w:after="180" w:line="276" w:lineRule="auto"/>
        <w:ind w:firstLine="0"/>
        <w:rPr>
          <w:rFonts w:asciiTheme="minorHAnsi" w:hAnsiTheme="minorHAnsi" w:cstheme="minorHAnsi"/>
          <w:sz w:val="21"/>
          <w:szCs w:val="21"/>
        </w:rPr>
      </w:pPr>
      <w:r w:rsidRPr="000E4A4F">
        <w:rPr>
          <w:rFonts w:asciiTheme="minorHAnsi" w:hAnsiTheme="minorHAnsi" w:cstheme="minorHAnsi"/>
          <w:sz w:val="21"/>
          <w:szCs w:val="21"/>
        </w:rPr>
        <w:lastRenderedPageBreak/>
        <w:t xml:space="preserve">V objemově největším segmentu </w:t>
      </w:r>
      <w:r w:rsidRPr="000E4A4F">
        <w:rPr>
          <w:rFonts w:asciiTheme="minorHAnsi" w:hAnsiTheme="minorHAnsi" w:cstheme="minorHAnsi"/>
          <w:b/>
          <w:sz w:val="21"/>
          <w:szCs w:val="21"/>
        </w:rPr>
        <w:t>lůžkové zdravotní péče</w:t>
      </w:r>
      <w:r w:rsidRPr="000E4A4F">
        <w:rPr>
          <w:rFonts w:asciiTheme="minorHAnsi" w:hAnsiTheme="minorHAnsi" w:cstheme="minorHAnsi"/>
          <w:sz w:val="21"/>
          <w:szCs w:val="21"/>
        </w:rPr>
        <w:t xml:space="preserve"> byl nárůst nákladů v přepočtu na 1 pojištěnce o </w:t>
      </w:r>
      <w:r w:rsidR="000E4A4F" w:rsidRPr="000E4A4F">
        <w:rPr>
          <w:rFonts w:asciiTheme="minorHAnsi" w:hAnsiTheme="minorHAnsi" w:cstheme="minorHAnsi"/>
          <w:sz w:val="21"/>
          <w:szCs w:val="21"/>
        </w:rPr>
        <w:t>9,2</w:t>
      </w:r>
      <w:r w:rsidRPr="000E4A4F">
        <w:rPr>
          <w:rFonts w:asciiTheme="minorHAnsi" w:hAnsiTheme="minorHAnsi" w:cstheme="minorHAnsi"/>
          <w:sz w:val="21"/>
          <w:szCs w:val="21"/>
        </w:rPr>
        <w:t> % (tj.</w:t>
      </w:r>
      <w:r w:rsidR="006B7BB1">
        <w:rPr>
          <w:rFonts w:asciiTheme="minorHAnsi" w:hAnsiTheme="minorHAnsi" w:cstheme="minorHAnsi"/>
          <w:sz w:val="21"/>
          <w:szCs w:val="21"/>
        </w:rPr>
        <w:t> </w:t>
      </w:r>
      <w:r w:rsidRPr="000E4A4F">
        <w:rPr>
          <w:rFonts w:asciiTheme="minorHAnsi" w:hAnsiTheme="minorHAnsi" w:cstheme="minorHAnsi"/>
          <w:sz w:val="21"/>
          <w:szCs w:val="21"/>
        </w:rPr>
        <w:t>o 1 </w:t>
      </w:r>
      <w:r w:rsidR="000E4A4F">
        <w:rPr>
          <w:rFonts w:asciiTheme="minorHAnsi" w:hAnsiTheme="minorHAnsi" w:cstheme="minorHAnsi"/>
          <w:sz w:val="21"/>
          <w:szCs w:val="21"/>
        </w:rPr>
        <w:t>365</w:t>
      </w:r>
      <w:r w:rsidRPr="000E4A4F">
        <w:rPr>
          <w:rFonts w:asciiTheme="minorHAnsi" w:hAnsiTheme="minorHAnsi" w:cstheme="minorHAnsi"/>
          <w:sz w:val="21"/>
          <w:szCs w:val="21"/>
        </w:rPr>
        <w:t> Kč) oproti roku 201</w:t>
      </w:r>
      <w:r w:rsidR="000E4A4F" w:rsidRPr="000E4A4F">
        <w:rPr>
          <w:rFonts w:asciiTheme="minorHAnsi" w:hAnsiTheme="minorHAnsi" w:cstheme="minorHAnsi"/>
          <w:sz w:val="21"/>
          <w:szCs w:val="21"/>
        </w:rPr>
        <w:t>8</w:t>
      </w:r>
      <w:r w:rsidRPr="000E4A4F">
        <w:rPr>
          <w:rFonts w:asciiTheme="minorHAnsi" w:hAnsiTheme="minorHAnsi" w:cstheme="minorHAnsi"/>
          <w:sz w:val="21"/>
          <w:szCs w:val="21"/>
        </w:rPr>
        <w:t>. U </w:t>
      </w:r>
      <w:r w:rsidRPr="000E4A4F">
        <w:rPr>
          <w:rFonts w:asciiTheme="minorHAnsi" w:hAnsiTheme="minorHAnsi" w:cstheme="minorHAnsi"/>
          <w:b/>
          <w:sz w:val="21"/>
          <w:szCs w:val="21"/>
        </w:rPr>
        <w:t>ambulantní péče</w:t>
      </w:r>
      <w:r w:rsidRPr="000E4A4F">
        <w:rPr>
          <w:rFonts w:asciiTheme="minorHAnsi" w:hAnsiTheme="minorHAnsi" w:cstheme="minorHAnsi"/>
          <w:sz w:val="21"/>
          <w:szCs w:val="21"/>
        </w:rPr>
        <w:t xml:space="preserve"> došlo k navýšení nákladů celkem o </w:t>
      </w:r>
      <w:r w:rsidR="000E4A4F" w:rsidRPr="000E4A4F">
        <w:rPr>
          <w:rFonts w:asciiTheme="minorHAnsi" w:hAnsiTheme="minorHAnsi" w:cstheme="minorHAnsi"/>
          <w:sz w:val="21"/>
          <w:szCs w:val="21"/>
        </w:rPr>
        <w:t>10,2</w:t>
      </w:r>
      <w:r w:rsidRPr="000E4A4F">
        <w:rPr>
          <w:rFonts w:asciiTheme="minorHAnsi" w:hAnsiTheme="minorHAnsi" w:cstheme="minorHAnsi"/>
          <w:sz w:val="21"/>
          <w:szCs w:val="21"/>
        </w:rPr>
        <w:t xml:space="preserve"> % (tj. o </w:t>
      </w:r>
      <w:r w:rsidR="008725E0">
        <w:rPr>
          <w:rFonts w:asciiTheme="minorHAnsi" w:hAnsiTheme="minorHAnsi" w:cstheme="minorHAnsi"/>
          <w:sz w:val="21"/>
          <w:szCs w:val="21"/>
        </w:rPr>
        <w:t>731</w:t>
      </w:r>
      <w:r w:rsidRPr="000E4A4F">
        <w:rPr>
          <w:rFonts w:asciiTheme="minorHAnsi" w:hAnsiTheme="minorHAnsi" w:cstheme="minorHAnsi"/>
          <w:sz w:val="21"/>
          <w:szCs w:val="21"/>
        </w:rPr>
        <w:t xml:space="preserve"> Kč). U</w:t>
      </w:r>
      <w:r w:rsidR="009E2EEF" w:rsidRPr="000E4A4F">
        <w:rPr>
          <w:rFonts w:asciiTheme="minorHAnsi" w:hAnsiTheme="minorHAnsi" w:cstheme="minorHAnsi"/>
          <w:sz w:val="21"/>
          <w:szCs w:val="21"/>
        </w:rPr>
        <w:t> </w:t>
      </w:r>
      <w:r w:rsidRPr="000E4A4F">
        <w:rPr>
          <w:rFonts w:asciiTheme="minorHAnsi" w:hAnsiTheme="minorHAnsi" w:cstheme="minorHAnsi"/>
          <w:b/>
          <w:sz w:val="21"/>
          <w:szCs w:val="21"/>
        </w:rPr>
        <w:t>ostatních nákladů</w:t>
      </w:r>
      <w:r w:rsidRPr="000E4A4F">
        <w:rPr>
          <w:rFonts w:asciiTheme="minorHAnsi" w:hAnsiTheme="minorHAnsi" w:cstheme="minorHAnsi"/>
          <w:sz w:val="21"/>
          <w:szCs w:val="21"/>
        </w:rPr>
        <w:t xml:space="preserve"> došlo k navýšení celkem o 4,</w:t>
      </w:r>
      <w:r w:rsidR="000E4A4F" w:rsidRPr="000E4A4F">
        <w:rPr>
          <w:rFonts w:asciiTheme="minorHAnsi" w:hAnsiTheme="minorHAnsi" w:cstheme="minorHAnsi"/>
          <w:sz w:val="21"/>
          <w:szCs w:val="21"/>
        </w:rPr>
        <w:t>9</w:t>
      </w:r>
      <w:r w:rsidRPr="000E4A4F">
        <w:rPr>
          <w:rFonts w:asciiTheme="minorHAnsi" w:hAnsiTheme="minorHAnsi" w:cstheme="minorHAnsi"/>
          <w:sz w:val="21"/>
          <w:szCs w:val="21"/>
        </w:rPr>
        <w:t xml:space="preserve"> %, tj. o 2</w:t>
      </w:r>
      <w:r w:rsidR="008725E0">
        <w:rPr>
          <w:rFonts w:asciiTheme="minorHAnsi" w:hAnsiTheme="minorHAnsi" w:cstheme="minorHAnsi"/>
          <w:sz w:val="21"/>
          <w:szCs w:val="21"/>
        </w:rPr>
        <w:t>56</w:t>
      </w:r>
      <w:r w:rsidRPr="000E4A4F">
        <w:rPr>
          <w:rFonts w:asciiTheme="minorHAnsi" w:hAnsiTheme="minorHAnsi" w:cstheme="minorHAnsi"/>
          <w:sz w:val="21"/>
          <w:szCs w:val="21"/>
        </w:rPr>
        <w:t xml:space="preserve"> Kč (</w:t>
      </w:r>
      <w:r w:rsidRPr="000E4A4F">
        <w:rPr>
          <w:rFonts w:asciiTheme="minorHAnsi" w:hAnsiTheme="minorHAnsi" w:cstheme="minorHAnsi"/>
          <w:i/>
          <w:sz w:val="21"/>
          <w:szCs w:val="21"/>
        </w:rPr>
        <w:t>Tabulka č. 11</w:t>
      </w:r>
      <w:r w:rsidRPr="000E4A4F">
        <w:rPr>
          <w:rFonts w:asciiTheme="minorHAnsi" w:hAnsiTheme="minorHAnsi" w:cstheme="minorHAnsi"/>
          <w:sz w:val="21"/>
          <w:szCs w:val="21"/>
        </w:rPr>
        <w:t xml:space="preserve"> a </w:t>
      </w:r>
      <w:r w:rsidR="000E7F13" w:rsidRPr="000E4A4F">
        <w:rPr>
          <w:rFonts w:asciiTheme="minorHAnsi" w:hAnsiTheme="minorHAnsi" w:cstheme="minorHAnsi"/>
          <w:i/>
          <w:sz w:val="21"/>
          <w:szCs w:val="21"/>
        </w:rPr>
        <w:t>Graf č</w:t>
      </w:r>
      <w:r w:rsidRPr="000E4A4F">
        <w:rPr>
          <w:rFonts w:asciiTheme="minorHAnsi" w:hAnsiTheme="minorHAnsi" w:cstheme="minorHAnsi"/>
          <w:i/>
          <w:sz w:val="21"/>
          <w:szCs w:val="21"/>
        </w:rPr>
        <w:t>. 16</w:t>
      </w:r>
      <w:r w:rsidRPr="000E4A4F">
        <w:rPr>
          <w:rFonts w:asciiTheme="minorHAnsi" w:hAnsiTheme="minorHAnsi" w:cstheme="minorHAnsi"/>
          <w:sz w:val="21"/>
          <w:szCs w:val="21"/>
        </w:rPr>
        <w:t>).</w:t>
      </w:r>
    </w:p>
    <w:p w:rsidR="007036D6" w:rsidRPr="0021299E" w:rsidRDefault="000E7F13" w:rsidP="0021299E">
      <w:pPr>
        <w:pStyle w:val="Titulek"/>
        <w:jc w:val="both"/>
      </w:pPr>
      <w:bookmarkStart w:id="39" w:name="_Toc41837503"/>
      <w:r w:rsidRPr="00C75FC6">
        <w:t xml:space="preserve">Tabulka č. </w:t>
      </w:r>
      <w:r>
        <w:rPr>
          <w:noProof/>
        </w:rPr>
        <w:fldChar w:fldCharType="begin"/>
      </w:r>
      <w:r>
        <w:rPr>
          <w:noProof/>
        </w:rPr>
        <w:instrText xml:space="preserve"> SEQ Tabulka \* ARABIC </w:instrText>
      </w:r>
      <w:r>
        <w:rPr>
          <w:noProof/>
        </w:rPr>
        <w:fldChar w:fldCharType="separate"/>
      </w:r>
      <w:r w:rsidR="00B17299">
        <w:rPr>
          <w:noProof/>
        </w:rPr>
        <w:t>11</w:t>
      </w:r>
      <w:r>
        <w:rPr>
          <w:noProof/>
        </w:rPr>
        <w:fldChar w:fldCharType="end"/>
      </w:r>
      <w:r w:rsidRPr="00C75FC6">
        <w:t xml:space="preserve">: </w:t>
      </w:r>
      <w:r w:rsidRPr="000E7F13">
        <w:t>Vývoj nákladů na zdravotní služby</w:t>
      </w:r>
      <w:r w:rsidR="003D4982" w:rsidRPr="003D4982">
        <w:t xml:space="preserve"> </w:t>
      </w:r>
      <w:r w:rsidR="003D4982" w:rsidRPr="007036D6">
        <w:t>ze ZFZP</w:t>
      </w:r>
      <w:r w:rsidRPr="000E7F13">
        <w:t xml:space="preserve"> podle segmentů v přepočtu na pojištěnce</w:t>
      </w:r>
      <w:bookmarkEnd w:id="39"/>
      <w:r w:rsidR="0021299E">
        <w:t xml:space="preserve"> </w:t>
      </w:r>
    </w:p>
    <w:tbl>
      <w:tblPr>
        <w:tblW w:w="9080" w:type="dxa"/>
        <w:jc w:val="center"/>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2080"/>
        <w:gridCol w:w="1000"/>
        <w:gridCol w:w="1000"/>
        <w:gridCol w:w="1000"/>
        <w:gridCol w:w="1000"/>
        <w:gridCol w:w="1000"/>
        <w:gridCol w:w="1000"/>
        <w:gridCol w:w="1000"/>
      </w:tblGrid>
      <w:tr w:rsidR="0076102D" w:rsidRPr="004B1410" w:rsidTr="000E6678">
        <w:trPr>
          <w:trHeight w:val="600"/>
          <w:jc w:val="center"/>
        </w:trPr>
        <w:tc>
          <w:tcPr>
            <w:tcW w:w="2080" w:type="dxa"/>
            <w:shd w:val="clear" w:color="000000" w:fill="4F81BD"/>
            <w:hideMark/>
          </w:tcPr>
          <w:p w:rsidR="0076102D" w:rsidRPr="004B1410" w:rsidRDefault="0076102D" w:rsidP="0076102D">
            <w:pPr>
              <w:spacing w:after="0" w:line="240" w:lineRule="auto"/>
              <w:rPr>
                <w:rFonts w:ascii="Calibri" w:eastAsia="Times New Roman" w:hAnsi="Calibri" w:cs="Times New Roman"/>
                <w:b/>
                <w:bCs/>
                <w:color w:val="FFFFFF"/>
                <w:szCs w:val="21"/>
                <w:lang w:eastAsia="cs-CZ"/>
              </w:rPr>
            </w:pPr>
            <w:r w:rsidRPr="004B1410">
              <w:rPr>
                <w:rFonts w:ascii="Calibri" w:eastAsia="Times New Roman" w:hAnsi="Calibri" w:cs="Times New Roman"/>
                <w:b/>
                <w:bCs/>
                <w:color w:val="FFFFFF"/>
                <w:szCs w:val="21"/>
                <w:lang w:eastAsia="cs-CZ"/>
              </w:rPr>
              <w:t>Ukazatel</w:t>
            </w:r>
            <w:r w:rsidRPr="004B1410">
              <w:rPr>
                <w:rFonts w:ascii="Calibri" w:eastAsia="Times New Roman" w:hAnsi="Calibri" w:cs="Times New Roman"/>
                <w:b/>
                <w:bCs/>
                <w:color w:val="FFFFFF"/>
                <w:szCs w:val="21"/>
                <w:lang w:eastAsia="cs-CZ"/>
              </w:rPr>
              <w:br/>
            </w:r>
            <w:r w:rsidRPr="004B1410">
              <w:rPr>
                <w:rFonts w:ascii="Calibri" w:eastAsia="Times New Roman" w:hAnsi="Calibri" w:cs="Times New Roman"/>
                <w:color w:val="FFFFFF"/>
                <w:szCs w:val="21"/>
                <w:lang w:eastAsia="cs-CZ"/>
              </w:rPr>
              <w:t>(v Kč)</w:t>
            </w:r>
          </w:p>
        </w:tc>
        <w:tc>
          <w:tcPr>
            <w:tcW w:w="1000" w:type="dxa"/>
            <w:shd w:val="clear" w:color="000000" w:fill="6691C6"/>
            <w:noWrap/>
            <w:vAlign w:val="center"/>
            <w:hideMark/>
          </w:tcPr>
          <w:p w:rsidR="0076102D" w:rsidRPr="004B1410" w:rsidRDefault="0076102D" w:rsidP="0076102D">
            <w:pPr>
              <w:spacing w:after="0" w:line="240" w:lineRule="auto"/>
              <w:jc w:val="center"/>
              <w:rPr>
                <w:rFonts w:ascii="Calibri" w:eastAsia="Times New Roman" w:hAnsi="Calibri" w:cs="Times New Roman"/>
                <w:b/>
                <w:bCs/>
                <w:color w:val="FFFFFF"/>
                <w:szCs w:val="21"/>
                <w:lang w:eastAsia="cs-CZ"/>
              </w:rPr>
            </w:pPr>
            <w:r w:rsidRPr="00635E8D">
              <w:rPr>
                <w:rFonts w:ascii="Calibri" w:eastAsia="Times New Roman" w:hAnsi="Calibri" w:cs="Times New Roman"/>
                <w:b/>
                <w:bCs/>
                <w:color w:val="FFFFFF"/>
                <w:szCs w:val="21"/>
                <w:lang w:eastAsia="cs-CZ"/>
              </w:rPr>
              <w:t>2014</w:t>
            </w:r>
          </w:p>
        </w:tc>
        <w:tc>
          <w:tcPr>
            <w:tcW w:w="1000" w:type="dxa"/>
            <w:shd w:val="clear" w:color="000000" w:fill="4F81BD"/>
            <w:noWrap/>
            <w:vAlign w:val="center"/>
            <w:hideMark/>
          </w:tcPr>
          <w:p w:rsidR="0076102D" w:rsidRPr="004B1410" w:rsidRDefault="0076102D" w:rsidP="0076102D">
            <w:pPr>
              <w:spacing w:after="0" w:line="240" w:lineRule="auto"/>
              <w:jc w:val="center"/>
              <w:rPr>
                <w:rFonts w:ascii="Calibri" w:eastAsia="Times New Roman" w:hAnsi="Calibri" w:cs="Times New Roman"/>
                <w:b/>
                <w:bCs/>
                <w:color w:val="FFFFFF"/>
                <w:szCs w:val="21"/>
                <w:lang w:eastAsia="cs-CZ"/>
              </w:rPr>
            </w:pPr>
            <w:r w:rsidRPr="00635E8D">
              <w:rPr>
                <w:rFonts w:ascii="Calibri" w:eastAsia="Times New Roman" w:hAnsi="Calibri" w:cs="Times New Roman"/>
                <w:b/>
                <w:bCs/>
                <w:color w:val="FFFFFF"/>
                <w:szCs w:val="21"/>
                <w:lang w:eastAsia="cs-CZ"/>
              </w:rPr>
              <w:t>2015</w:t>
            </w:r>
          </w:p>
        </w:tc>
        <w:tc>
          <w:tcPr>
            <w:tcW w:w="1000" w:type="dxa"/>
            <w:shd w:val="clear" w:color="000000" w:fill="6691C6"/>
            <w:noWrap/>
            <w:vAlign w:val="center"/>
            <w:hideMark/>
          </w:tcPr>
          <w:p w:rsidR="0076102D" w:rsidRPr="004B1410" w:rsidRDefault="0076102D" w:rsidP="0076102D">
            <w:pPr>
              <w:spacing w:after="0" w:line="240" w:lineRule="auto"/>
              <w:jc w:val="center"/>
              <w:rPr>
                <w:rFonts w:ascii="Calibri" w:eastAsia="Times New Roman" w:hAnsi="Calibri" w:cs="Times New Roman"/>
                <w:b/>
                <w:bCs/>
                <w:color w:val="FFFFFF"/>
                <w:szCs w:val="21"/>
                <w:lang w:eastAsia="cs-CZ"/>
              </w:rPr>
            </w:pPr>
            <w:r w:rsidRPr="00635E8D">
              <w:rPr>
                <w:rFonts w:ascii="Calibri" w:eastAsia="Times New Roman" w:hAnsi="Calibri" w:cs="Times New Roman"/>
                <w:b/>
                <w:bCs/>
                <w:color w:val="FFFFFF"/>
                <w:szCs w:val="21"/>
                <w:lang w:eastAsia="cs-CZ"/>
              </w:rPr>
              <w:t>2016</w:t>
            </w:r>
          </w:p>
        </w:tc>
        <w:tc>
          <w:tcPr>
            <w:tcW w:w="1000" w:type="dxa"/>
            <w:shd w:val="clear" w:color="000000" w:fill="4F81BD"/>
            <w:noWrap/>
            <w:vAlign w:val="center"/>
            <w:hideMark/>
          </w:tcPr>
          <w:p w:rsidR="0076102D" w:rsidRPr="004B1410" w:rsidRDefault="0076102D" w:rsidP="0076102D">
            <w:pPr>
              <w:spacing w:after="0" w:line="240" w:lineRule="auto"/>
              <w:jc w:val="center"/>
              <w:rPr>
                <w:rFonts w:ascii="Calibri" w:eastAsia="Times New Roman" w:hAnsi="Calibri" w:cs="Times New Roman"/>
                <w:b/>
                <w:bCs/>
                <w:color w:val="FFFFFF"/>
                <w:szCs w:val="21"/>
                <w:lang w:eastAsia="cs-CZ"/>
              </w:rPr>
            </w:pPr>
            <w:r w:rsidRPr="00635E8D">
              <w:rPr>
                <w:rFonts w:ascii="Calibri" w:eastAsia="Times New Roman" w:hAnsi="Calibri" w:cs="Times New Roman"/>
                <w:b/>
                <w:bCs/>
                <w:color w:val="FFFFFF"/>
                <w:szCs w:val="21"/>
                <w:lang w:eastAsia="cs-CZ"/>
              </w:rPr>
              <w:t>2017</w:t>
            </w:r>
          </w:p>
        </w:tc>
        <w:tc>
          <w:tcPr>
            <w:tcW w:w="1000" w:type="dxa"/>
            <w:shd w:val="clear" w:color="000000" w:fill="6691C6"/>
            <w:noWrap/>
            <w:vAlign w:val="center"/>
            <w:hideMark/>
          </w:tcPr>
          <w:p w:rsidR="0076102D" w:rsidRPr="004B1410" w:rsidRDefault="0076102D" w:rsidP="0076102D">
            <w:pPr>
              <w:spacing w:after="0" w:line="240" w:lineRule="auto"/>
              <w:jc w:val="center"/>
              <w:rPr>
                <w:rFonts w:ascii="Calibri" w:eastAsia="Times New Roman" w:hAnsi="Calibri" w:cs="Times New Roman"/>
                <w:b/>
                <w:bCs/>
                <w:color w:val="FFFFFF"/>
                <w:szCs w:val="21"/>
                <w:lang w:eastAsia="cs-CZ"/>
              </w:rPr>
            </w:pPr>
            <w:r w:rsidRPr="00635E8D">
              <w:rPr>
                <w:rFonts w:ascii="Calibri" w:eastAsia="Times New Roman" w:hAnsi="Calibri" w:cs="Times New Roman"/>
                <w:b/>
                <w:bCs/>
                <w:color w:val="FFFFFF"/>
                <w:szCs w:val="21"/>
                <w:lang w:eastAsia="cs-CZ"/>
              </w:rPr>
              <w:t>201</w:t>
            </w:r>
            <w:r>
              <w:rPr>
                <w:rFonts w:ascii="Calibri" w:eastAsia="Times New Roman" w:hAnsi="Calibri" w:cs="Times New Roman"/>
                <w:b/>
                <w:bCs/>
                <w:color w:val="FFFFFF"/>
                <w:szCs w:val="21"/>
                <w:lang w:eastAsia="cs-CZ"/>
              </w:rPr>
              <w:t>8</w:t>
            </w:r>
          </w:p>
        </w:tc>
        <w:tc>
          <w:tcPr>
            <w:tcW w:w="1000" w:type="dxa"/>
            <w:shd w:val="clear" w:color="000000" w:fill="4F81BD"/>
            <w:vAlign w:val="center"/>
            <w:hideMark/>
          </w:tcPr>
          <w:p w:rsidR="0076102D" w:rsidRPr="004B1410" w:rsidRDefault="0076102D" w:rsidP="0076102D">
            <w:pPr>
              <w:spacing w:after="0" w:line="240" w:lineRule="auto"/>
              <w:jc w:val="center"/>
              <w:rPr>
                <w:rFonts w:ascii="Calibri" w:eastAsia="Times New Roman" w:hAnsi="Calibri" w:cs="Times New Roman"/>
                <w:b/>
                <w:bCs/>
                <w:color w:val="FFFFFF"/>
                <w:szCs w:val="21"/>
                <w:lang w:eastAsia="cs-CZ"/>
              </w:rPr>
            </w:pPr>
            <w:r w:rsidRPr="00635E8D">
              <w:rPr>
                <w:rFonts w:ascii="Calibri" w:eastAsia="Times New Roman" w:hAnsi="Calibri" w:cs="Times New Roman"/>
                <w:b/>
                <w:bCs/>
                <w:color w:val="FFFFFF"/>
                <w:szCs w:val="21"/>
                <w:lang w:eastAsia="cs-CZ"/>
              </w:rPr>
              <w:t>201</w:t>
            </w:r>
            <w:r>
              <w:rPr>
                <w:rFonts w:ascii="Calibri" w:eastAsia="Times New Roman" w:hAnsi="Calibri" w:cs="Times New Roman"/>
                <w:b/>
                <w:bCs/>
                <w:color w:val="FFFFFF"/>
                <w:szCs w:val="21"/>
                <w:lang w:eastAsia="cs-CZ"/>
              </w:rPr>
              <w:t>9</w:t>
            </w:r>
          </w:p>
        </w:tc>
        <w:tc>
          <w:tcPr>
            <w:tcW w:w="1000" w:type="dxa"/>
            <w:shd w:val="clear" w:color="000000" w:fill="6691C6"/>
            <w:noWrap/>
            <w:vAlign w:val="center"/>
            <w:hideMark/>
          </w:tcPr>
          <w:p w:rsidR="0076102D" w:rsidRDefault="0076102D" w:rsidP="0076102D">
            <w:pPr>
              <w:spacing w:after="0" w:line="240" w:lineRule="auto"/>
              <w:jc w:val="center"/>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2019</w:t>
            </w:r>
          </w:p>
          <w:p w:rsidR="0076102D" w:rsidRPr="004B1410" w:rsidRDefault="0076102D" w:rsidP="0076102D">
            <w:pPr>
              <w:spacing w:after="0" w:line="240" w:lineRule="auto"/>
              <w:jc w:val="center"/>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ZPP</w:t>
            </w:r>
          </w:p>
        </w:tc>
      </w:tr>
      <w:tr w:rsidR="00B17299" w:rsidRPr="004B1410" w:rsidTr="007140DB">
        <w:trPr>
          <w:trHeight w:val="559"/>
          <w:jc w:val="center"/>
        </w:trPr>
        <w:tc>
          <w:tcPr>
            <w:tcW w:w="2080" w:type="dxa"/>
            <w:shd w:val="clear" w:color="auto" w:fill="auto"/>
            <w:vAlign w:val="bottom"/>
            <w:hideMark/>
          </w:tcPr>
          <w:p w:rsidR="00B17299" w:rsidRPr="004B1410" w:rsidRDefault="00B17299" w:rsidP="00B17299">
            <w:pPr>
              <w:spacing w:after="0" w:line="240" w:lineRule="auto"/>
              <w:rPr>
                <w:rFonts w:ascii="Calibri" w:eastAsia="Times New Roman" w:hAnsi="Calibri" w:cs="Times New Roman"/>
                <w:b/>
                <w:bCs/>
                <w:color w:val="000000"/>
                <w:szCs w:val="21"/>
                <w:lang w:eastAsia="cs-CZ"/>
              </w:rPr>
            </w:pPr>
            <w:r w:rsidRPr="004B1410">
              <w:rPr>
                <w:rFonts w:ascii="Calibri" w:eastAsia="Times New Roman" w:hAnsi="Calibri" w:cs="Times New Roman"/>
                <w:b/>
                <w:bCs/>
                <w:color w:val="000000"/>
                <w:szCs w:val="21"/>
                <w:lang w:eastAsia="cs-CZ"/>
              </w:rPr>
              <w:t xml:space="preserve">Náklady na </w:t>
            </w:r>
            <w:r w:rsidRPr="004B1410">
              <w:rPr>
                <w:rFonts w:ascii="Calibri" w:eastAsia="Times New Roman" w:hAnsi="Calibri" w:cs="Times New Roman"/>
                <w:b/>
                <w:bCs/>
                <w:color w:val="000000"/>
                <w:szCs w:val="21"/>
                <w:lang w:eastAsia="cs-CZ"/>
              </w:rPr>
              <w:br/>
              <w:t>ambulantní péči</w:t>
            </w:r>
          </w:p>
        </w:tc>
        <w:tc>
          <w:tcPr>
            <w:tcW w:w="1000" w:type="dxa"/>
            <w:shd w:val="clear" w:color="000000" w:fill="DCE6F1"/>
            <w:noWrap/>
            <w:vAlign w:val="center"/>
            <w:hideMark/>
          </w:tcPr>
          <w:p w:rsidR="00B17299" w:rsidRPr="004B1410" w:rsidRDefault="00B17299" w:rsidP="006B7BB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6 018</w:t>
            </w:r>
          </w:p>
        </w:tc>
        <w:tc>
          <w:tcPr>
            <w:tcW w:w="1000" w:type="dxa"/>
            <w:shd w:val="clear" w:color="auto" w:fill="auto"/>
            <w:noWrap/>
            <w:vAlign w:val="center"/>
            <w:hideMark/>
          </w:tcPr>
          <w:p w:rsidR="00B17299" w:rsidRPr="004B1410" w:rsidRDefault="00B17299" w:rsidP="00E0692A">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6 220</w:t>
            </w:r>
          </w:p>
        </w:tc>
        <w:tc>
          <w:tcPr>
            <w:tcW w:w="1000" w:type="dxa"/>
            <w:shd w:val="clear" w:color="000000" w:fill="DCE6F1"/>
            <w:noWrap/>
            <w:vAlign w:val="center"/>
            <w:hideMark/>
          </w:tcPr>
          <w:p w:rsidR="00B17299" w:rsidRPr="004B1410" w:rsidRDefault="00B17299" w:rsidP="00E0692A">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6 631</w:t>
            </w:r>
          </w:p>
        </w:tc>
        <w:tc>
          <w:tcPr>
            <w:tcW w:w="1000" w:type="dxa"/>
            <w:shd w:val="clear" w:color="auto" w:fill="auto"/>
            <w:noWrap/>
            <w:vAlign w:val="center"/>
            <w:hideMark/>
          </w:tcPr>
          <w:p w:rsidR="00B17299" w:rsidRPr="004B1410"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6 893</w:t>
            </w:r>
          </w:p>
        </w:tc>
        <w:tc>
          <w:tcPr>
            <w:tcW w:w="1000" w:type="dxa"/>
            <w:shd w:val="clear" w:color="000000" w:fill="DCE6F1"/>
            <w:noWrap/>
            <w:vAlign w:val="center"/>
            <w:hideMark/>
          </w:tcPr>
          <w:p w:rsidR="00B17299" w:rsidRPr="004B1410"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7 145</w:t>
            </w:r>
          </w:p>
        </w:tc>
        <w:tc>
          <w:tcPr>
            <w:tcW w:w="1000" w:type="dxa"/>
            <w:shd w:val="clear" w:color="auto" w:fill="auto"/>
            <w:noWrap/>
            <w:vAlign w:val="center"/>
            <w:hideMark/>
          </w:tcPr>
          <w:p w:rsidR="00B17299" w:rsidRPr="004B1410"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7 876</w:t>
            </w:r>
          </w:p>
        </w:tc>
        <w:tc>
          <w:tcPr>
            <w:tcW w:w="1000" w:type="dxa"/>
            <w:shd w:val="clear" w:color="000000" w:fill="DCE6F1"/>
            <w:noWrap/>
            <w:vAlign w:val="center"/>
            <w:hideMark/>
          </w:tcPr>
          <w:p w:rsidR="00B17299" w:rsidRPr="004B1410"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7 776</w:t>
            </w:r>
          </w:p>
        </w:tc>
      </w:tr>
      <w:tr w:rsidR="00B17299" w:rsidRPr="004B1410" w:rsidTr="007140DB">
        <w:trPr>
          <w:trHeight w:val="559"/>
          <w:jc w:val="center"/>
        </w:trPr>
        <w:tc>
          <w:tcPr>
            <w:tcW w:w="2080" w:type="dxa"/>
            <w:shd w:val="clear" w:color="000000" w:fill="EEF3F8"/>
            <w:vAlign w:val="bottom"/>
            <w:hideMark/>
          </w:tcPr>
          <w:p w:rsidR="00B17299" w:rsidRPr="004B1410" w:rsidRDefault="00B17299" w:rsidP="00B17299">
            <w:pPr>
              <w:spacing w:after="0" w:line="240" w:lineRule="auto"/>
              <w:rPr>
                <w:rFonts w:ascii="Calibri" w:eastAsia="Times New Roman" w:hAnsi="Calibri" w:cs="Times New Roman"/>
                <w:b/>
                <w:bCs/>
                <w:color w:val="000000"/>
                <w:szCs w:val="21"/>
                <w:lang w:eastAsia="cs-CZ"/>
              </w:rPr>
            </w:pPr>
            <w:r w:rsidRPr="004B1410">
              <w:rPr>
                <w:rFonts w:ascii="Calibri" w:eastAsia="Times New Roman" w:hAnsi="Calibri" w:cs="Times New Roman"/>
                <w:b/>
                <w:bCs/>
                <w:color w:val="000000"/>
                <w:szCs w:val="21"/>
                <w:lang w:eastAsia="cs-CZ"/>
              </w:rPr>
              <w:t xml:space="preserve">Náklady na </w:t>
            </w:r>
            <w:r w:rsidRPr="004B1410">
              <w:rPr>
                <w:rFonts w:ascii="Calibri" w:eastAsia="Times New Roman" w:hAnsi="Calibri" w:cs="Times New Roman"/>
                <w:b/>
                <w:bCs/>
                <w:color w:val="000000"/>
                <w:szCs w:val="21"/>
                <w:lang w:eastAsia="cs-CZ"/>
              </w:rPr>
              <w:br/>
              <w:t>lůžkovou péči</w:t>
            </w:r>
          </w:p>
        </w:tc>
        <w:tc>
          <w:tcPr>
            <w:tcW w:w="1000" w:type="dxa"/>
            <w:shd w:val="clear" w:color="000000" w:fill="EEF3F8"/>
            <w:noWrap/>
            <w:vAlign w:val="center"/>
            <w:hideMark/>
          </w:tcPr>
          <w:p w:rsidR="00B17299" w:rsidRPr="004B1410" w:rsidRDefault="00B17299" w:rsidP="006B7BB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11 768</w:t>
            </w:r>
          </w:p>
        </w:tc>
        <w:tc>
          <w:tcPr>
            <w:tcW w:w="1000" w:type="dxa"/>
            <w:shd w:val="clear" w:color="000000" w:fill="EEF3F8"/>
            <w:noWrap/>
            <w:vAlign w:val="center"/>
            <w:hideMark/>
          </w:tcPr>
          <w:p w:rsidR="00B17299" w:rsidRPr="004B1410" w:rsidRDefault="00B17299" w:rsidP="00E0692A">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12 229</w:t>
            </w:r>
          </w:p>
        </w:tc>
        <w:tc>
          <w:tcPr>
            <w:tcW w:w="1000" w:type="dxa"/>
            <w:shd w:val="clear" w:color="000000" w:fill="EEF3F8"/>
            <w:noWrap/>
            <w:vAlign w:val="center"/>
            <w:hideMark/>
          </w:tcPr>
          <w:p w:rsidR="00B17299" w:rsidRPr="004B1410" w:rsidRDefault="00B17299" w:rsidP="00E0692A">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12 731</w:t>
            </w:r>
          </w:p>
        </w:tc>
        <w:tc>
          <w:tcPr>
            <w:tcW w:w="1000" w:type="dxa"/>
            <w:shd w:val="clear" w:color="000000" w:fill="EEF3F8"/>
            <w:noWrap/>
            <w:vAlign w:val="center"/>
            <w:hideMark/>
          </w:tcPr>
          <w:p w:rsidR="00B17299" w:rsidRPr="004B1410"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13 621</w:t>
            </w:r>
          </w:p>
        </w:tc>
        <w:tc>
          <w:tcPr>
            <w:tcW w:w="1000" w:type="dxa"/>
            <w:shd w:val="clear" w:color="000000" w:fill="EEF3F8"/>
            <w:noWrap/>
            <w:vAlign w:val="center"/>
            <w:hideMark/>
          </w:tcPr>
          <w:p w:rsidR="00B17299" w:rsidRPr="004B1410"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14 783</w:t>
            </w:r>
          </w:p>
        </w:tc>
        <w:tc>
          <w:tcPr>
            <w:tcW w:w="1000" w:type="dxa"/>
            <w:shd w:val="clear" w:color="000000" w:fill="EEF3F8"/>
            <w:noWrap/>
            <w:vAlign w:val="center"/>
            <w:hideMark/>
          </w:tcPr>
          <w:p w:rsidR="00B17299" w:rsidRPr="004B1410"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16 148</w:t>
            </w:r>
          </w:p>
        </w:tc>
        <w:tc>
          <w:tcPr>
            <w:tcW w:w="1000" w:type="dxa"/>
            <w:shd w:val="clear" w:color="000000" w:fill="EEF3F8"/>
            <w:noWrap/>
            <w:vAlign w:val="center"/>
            <w:hideMark/>
          </w:tcPr>
          <w:p w:rsidR="00B17299" w:rsidRPr="004B1410"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16 282</w:t>
            </w:r>
          </w:p>
        </w:tc>
      </w:tr>
      <w:tr w:rsidR="00B17299" w:rsidRPr="004B1410" w:rsidTr="007140DB">
        <w:trPr>
          <w:trHeight w:val="300"/>
          <w:jc w:val="center"/>
        </w:trPr>
        <w:tc>
          <w:tcPr>
            <w:tcW w:w="2080" w:type="dxa"/>
            <w:shd w:val="clear" w:color="auto" w:fill="auto"/>
            <w:vAlign w:val="bottom"/>
            <w:hideMark/>
          </w:tcPr>
          <w:p w:rsidR="00B17299" w:rsidRPr="004B1410" w:rsidRDefault="00B17299" w:rsidP="00B17299">
            <w:pPr>
              <w:spacing w:after="0" w:line="240" w:lineRule="auto"/>
              <w:rPr>
                <w:rFonts w:ascii="Calibri" w:eastAsia="Times New Roman" w:hAnsi="Calibri" w:cs="Times New Roman"/>
                <w:b/>
                <w:bCs/>
                <w:color w:val="000000"/>
                <w:szCs w:val="21"/>
                <w:lang w:eastAsia="cs-CZ"/>
              </w:rPr>
            </w:pPr>
            <w:r w:rsidRPr="004B1410">
              <w:rPr>
                <w:rFonts w:ascii="Calibri" w:eastAsia="Times New Roman" w:hAnsi="Calibri" w:cs="Times New Roman"/>
                <w:b/>
                <w:bCs/>
                <w:color w:val="000000"/>
                <w:szCs w:val="21"/>
                <w:lang w:eastAsia="cs-CZ"/>
              </w:rPr>
              <w:t>Ostatní náklady</w:t>
            </w:r>
          </w:p>
        </w:tc>
        <w:tc>
          <w:tcPr>
            <w:tcW w:w="1000" w:type="dxa"/>
            <w:shd w:val="clear" w:color="000000" w:fill="DCE6F1"/>
            <w:noWrap/>
            <w:vAlign w:val="center"/>
            <w:hideMark/>
          </w:tcPr>
          <w:p w:rsidR="00B17299" w:rsidRPr="004B1410" w:rsidRDefault="00B17299" w:rsidP="006B7BB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4 681</w:t>
            </w:r>
          </w:p>
        </w:tc>
        <w:tc>
          <w:tcPr>
            <w:tcW w:w="1000" w:type="dxa"/>
            <w:shd w:val="clear" w:color="auto" w:fill="auto"/>
            <w:noWrap/>
            <w:vAlign w:val="center"/>
            <w:hideMark/>
          </w:tcPr>
          <w:p w:rsidR="00B17299" w:rsidRPr="004B1410" w:rsidRDefault="00B17299" w:rsidP="00E0692A">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4 768</w:t>
            </w:r>
          </w:p>
        </w:tc>
        <w:tc>
          <w:tcPr>
            <w:tcW w:w="1000" w:type="dxa"/>
            <w:shd w:val="clear" w:color="000000" w:fill="DCE6F1"/>
            <w:noWrap/>
            <w:vAlign w:val="center"/>
            <w:hideMark/>
          </w:tcPr>
          <w:p w:rsidR="00B17299" w:rsidRPr="004B1410" w:rsidRDefault="00B17299" w:rsidP="00E0692A">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4 904</w:t>
            </w:r>
          </w:p>
        </w:tc>
        <w:tc>
          <w:tcPr>
            <w:tcW w:w="1000" w:type="dxa"/>
            <w:shd w:val="clear" w:color="auto" w:fill="auto"/>
            <w:noWrap/>
            <w:vAlign w:val="center"/>
            <w:hideMark/>
          </w:tcPr>
          <w:p w:rsidR="00B17299" w:rsidRPr="004B1410"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5 012</w:t>
            </w:r>
          </w:p>
        </w:tc>
        <w:tc>
          <w:tcPr>
            <w:tcW w:w="1000" w:type="dxa"/>
            <w:shd w:val="clear" w:color="000000" w:fill="DCE6F1"/>
            <w:noWrap/>
            <w:vAlign w:val="center"/>
            <w:hideMark/>
          </w:tcPr>
          <w:p w:rsidR="00B17299" w:rsidRPr="004B1410"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5 219</w:t>
            </w:r>
          </w:p>
        </w:tc>
        <w:tc>
          <w:tcPr>
            <w:tcW w:w="1000" w:type="dxa"/>
            <w:shd w:val="clear" w:color="auto" w:fill="auto"/>
            <w:noWrap/>
            <w:vAlign w:val="center"/>
            <w:hideMark/>
          </w:tcPr>
          <w:p w:rsidR="00B17299" w:rsidRPr="004B1410"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5 475</w:t>
            </w:r>
          </w:p>
        </w:tc>
        <w:tc>
          <w:tcPr>
            <w:tcW w:w="1000" w:type="dxa"/>
            <w:shd w:val="clear" w:color="000000" w:fill="DCE6F1"/>
            <w:noWrap/>
            <w:vAlign w:val="center"/>
            <w:hideMark/>
          </w:tcPr>
          <w:p w:rsidR="00B17299" w:rsidRPr="004B1410" w:rsidRDefault="00B17299">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5 512</w:t>
            </w:r>
          </w:p>
        </w:tc>
      </w:tr>
      <w:tr w:rsidR="00B17299" w:rsidRPr="004B1410" w:rsidTr="007140DB">
        <w:trPr>
          <w:trHeight w:val="300"/>
          <w:jc w:val="center"/>
        </w:trPr>
        <w:tc>
          <w:tcPr>
            <w:tcW w:w="2080" w:type="dxa"/>
            <w:shd w:val="clear" w:color="000000" w:fill="EEF3F8"/>
            <w:vAlign w:val="bottom"/>
            <w:hideMark/>
          </w:tcPr>
          <w:p w:rsidR="00B17299" w:rsidRPr="004B1410" w:rsidRDefault="00B17299" w:rsidP="00B17299">
            <w:pPr>
              <w:spacing w:after="0" w:line="240" w:lineRule="auto"/>
              <w:rPr>
                <w:rFonts w:ascii="Calibri" w:eastAsia="Times New Roman" w:hAnsi="Calibri" w:cs="Times New Roman"/>
                <w:b/>
                <w:bCs/>
                <w:color w:val="000000"/>
                <w:szCs w:val="21"/>
                <w:lang w:eastAsia="cs-CZ"/>
              </w:rPr>
            </w:pPr>
            <w:r w:rsidRPr="004B1410">
              <w:rPr>
                <w:rFonts w:ascii="Calibri" w:eastAsia="Times New Roman" w:hAnsi="Calibri" w:cs="Times New Roman"/>
                <w:b/>
                <w:bCs/>
                <w:color w:val="000000"/>
                <w:szCs w:val="21"/>
                <w:lang w:eastAsia="cs-CZ"/>
              </w:rPr>
              <w:t>Celkové náklady</w:t>
            </w:r>
          </w:p>
        </w:tc>
        <w:tc>
          <w:tcPr>
            <w:tcW w:w="1000" w:type="dxa"/>
            <w:shd w:val="clear" w:color="000000" w:fill="EEF3F8"/>
            <w:noWrap/>
            <w:vAlign w:val="center"/>
            <w:hideMark/>
          </w:tcPr>
          <w:p w:rsidR="00B17299" w:rsidRPr="004B1410" w:rsidRDefault="00B17299" w:rsidP="006B7BB1">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22 468</w:t>
            </w:r>
          </w:p>
        </w:tc>
        <w:tc>
          <w:tcPr>
            <w:tcW w:w="1000" w:type="dxa"/>
            <w:shd w:val="clear" w:color="000000" w:fill="EEF3F8"/>
            <w:noWrap/>
            <w:vAlign w:val="center"/>
            <w:hideMark/>
          </w:tcPr>
          <w:p w:rsidR="00B17299" w:rsidRPr="004B1410" w:rsidRDefault="00B17299" w:rsidP="00E0692A">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23 217</w:t>
            </w:r>
          </w:p>
        </w:tc>
        <w:tc>
          <w:tcPr>
            <w:tcW w:w="1000" w:type="dxa"/>
            <w:shd w:val="clear" w:color="000000" w:fill="EEF3F8"/>
            <w:noWrap/>
            <w:vAlign w:val="center"/>
            <w:hideMark/>
          </w:tcPr>
          <w:p w:rsidR="00B17299" w:rsidRPr="004B1410" w:rsidRDefault="00B17299" w:rsidP="00E0692A">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24 266</w:t>
            </w:r>
          </w:p>
        </w:tc>
        <w:tc>
          <w:tcPr>
            <w:tcW w:w="1000" w:type="dxa"/>
            <w:shd w:val="clear" w:color="000000" w:fill="EEF3F8"/>
            <w:noWrap/>
            <w:vAlign w:val="center"/>
            <w:hideMark/>
          </w:tcPr>
          <w:p w:rsidR="00B17299" w:rsidRPr="004B1410" w:rsidRDefault="00B17299">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25 526</w:t>
            </w:r>
          </w:p>
        </w:tc>
        <w:tc>
          <w:tcPr>
            <w:tcW w:w="1000" w:type="dxa"/>
            <w:shd w:val="clear" w:color="000000" w:fill="EEF3F8"/>
            <w:noWrap/>
            <w:vAlign w:val="center"/>
            <w:hideMark/>
          </w:tcPr>
          <w:p w:rsidR="00B17299" w:rsidRPr="004B1410" w:rsidRDefault="00B17299">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27 147</w:t>
            </w:r>
          </w:p>
        </w:tc>
        <w:tc>
          <w:tcPr>
            <w:tcW w:w="1000" w:type="dxa"/>
            <w:shd w:val="clear" w:color="000000" w:fill="EEF3F8"/>
            <w:noWrap/>
            <w:vAlign w:val="center"/>
            <w:hideMark/>
          </w:tcPr>
          <w:p w:rsidR="00B17299" w:rsidRPr="004B1410" w:rsidRDefault="00B17299">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29 499</w:t>
            </w:r>
          </w:p>
        </w:tc>
        <w:tc>
          <w:tcPr>
            <w:tcW w:w="1000" w:type="dxa"/>
            <w:shd w:val="clear" w:color="000000" w:fill="EEF3F8"/>
            <w:noWrap/>
            <w:vAlign w:val="center"/>
            <w:hideMark/>
          </w:tcPr>
          <w:p w:rsidR="00B17299" w:rsidRPr="004B1410" w:rsidRDefault="00B17299">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29 570</w:t>
            </w:r>
          </w:p>
        </w:tc>
      </w:tr>
    </w:tbl>
    <w:p w:rsidR="007036D6" w:rsidRDefault="000E7F13" w:rsidP="007140DB">
      <w:pPr>
        <w:pStyle w:val="Titulek"/>
        <w:spacing w:before="120" w:after="0"/>
      </w:pPr>
      <w:bookmarkStart w:id="40" w:name="_Toc41837532"/>
      <w:r>
        <w:t xml:space="preserve">Graf č. </w:t>
      </w:r>
      <w:r>
        <w:rPr>
          <w:noProof/>
        </w:rPr>
        <w:fldChar w:fldCharType="begin"/>
      </w:r>
      <w:r>
        <w:rPr>
          <w:noProof/>
        </w:rPr>
        <w:instrText xml:space="preserve"> SEQ Graf \* ARABIC </w:instrText>
      </w:r>
      <w:r>
        <w:rPr>
          <w:noProof/>
        </w:rPr>
        <w:fldChar w:fldCharType="separate"/>
      </w:r>
      <w:r w:rsidR="00B17299">
        <w:rPr>
          <w:noProof/>
        </w:rPr>
        <w:t>15</w:t>
      </w:r>
      <w:r>
        <w:rPr>
          <w:noProof/>
        </w:rPr>
        <w:fldChar w:fldCharType="end"/>
      </w:r>
      <w:r>
        <w:t xml:space="preserve">: </w:t>
      </w:r>
      <w:r w:rsidRPr="000E7F13">
        <w:t xml:space="preserve">Celkové náklady na zdravotní služby </w:t>
      </w:r>
      <w:r w:rsidR="00853129" w:rsidRPr="00853129">
        <w:t xml:space="preserve">ze ZFZP </w:t>
      </w:r>
      <w:r w:rsidRPr="000E7F13">
        <w:t>v přepočtu na pojištěnce</w:t>
      </w:r>
      <w:bookmarkEnd w:id="40"/>
      <w:r w:rsidRPr="000E7F13">
        <w:t xml:space="preserve"> </w:t>
      </w:r>
    </w:p>
    <w:p w:rsidR="00FB3D56" w:rsidRPr="00FB3D56" w:rsidRDefault="00FB3D56" w:rsidP="00FB3D56">
      <w:pPr>
        <w:rPr>
          <w:lang w:bidi="hi-IN"/>
        </w:rPr>
      </w:pPr>
      <w:r>
        <w:rPr>
          <w:noProof/>
          <w:lang w:eastAsia="cs-CZ"/>
        </w:rPr>
        <w:drawing>
          <wp:inline distT="0" distB="0" distL="0" distR="0" wp14:anchorId="09D3DCA6" wp14:editId="1FC485ED">
            <wp:extent cx="5775875" cy="2827386"/>
            <wp:effectExtent l="0" t="0" r="0" b="0"/>
            <wp:docPr id="6" name="Graf 6">
              <a:extLst xmlns:a="http://schemas.openxmlformats.org/drawingml/2006/main">
                <a:ext uri="{FF2B5EF4-FFF2-40B4-BE49-F238E27FC236}">
                  <a16:creationId xmlns:a16="http://schemas.microsoft.com/office/drawing/2014/main" id="{00000000-0008-0000-01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0E7F13" w:rsidRDefault="000E7F13" w:rsidP="000E7F13">
      <w:pPr>
        <w:pStyle w:val="Titulek"/>
      </w:pPr>
      <w:bookmarkStart w:id="41" w:name="_Toc41837533"/>
      <w:r>
        <w:t xml:space="preserve">Graf č. </w:t>
      </w:r>
      <w:r>
        <w:rPr>
          <w:noProof/>
        </w:rPr>
        <w:fldChar w:fldCharType="begin"/>
      </w:r>
      <w:r>
        <w:rPr>
          <w:noProof/>
        </w:rPr>
        <w:instrText xml:space="preserve"> SEQ Graf \* ARABIC </w:instrText>
      </w:r>
      <w:r>
        <w:rPr>
          <w:noProof/>
        </w:rPr>
        <w:fldChar w:fldCharType="separate"/>
      </w:r>
      <w:r w:rsidR="00B17299">
        <w:rPr>
          <w:noProof/>
        </w:rPr>
        <w:t>16</w:t>
      </w:r>
      <w:r>
        <w:rPr>
          <w:noProof/>
        </w:rPr>
        <w:fldChar w:fldCharType="end"/>
      </w:r>
      <w:r>
        <w:t xml:space="preserve">: </w:t>
      </w:r>
      <w:r w:rsidRPr="000E7F13">
        <w:t xml:space="preserve">Náklady na zdravotní služby </w:t>
      </w:r>
      <w:r w:rsidR="00853129" w:rsidRPr="00853129">
        <w:t xml:space="preserve">ze ZFZP </w:t>
      </w:r>
      <w:r w:rsidRPr="000E7F13">
        <w:t>podle segmentů v přepočtu na pojištěnce</w:t>
      </w:r>
      <w:bookmarkEnd w:id="41"/>
      <w:r w:rsidRPr="000E7F13">
        <w:t xml:space="preserve"> </w:t>
      </w:r>
    </w:p>
    <w:p w:rsidR="007036D6" w:rsidRDefault="00FB3D56" w:rsidP="00FB3D56">
      <w:r>
        <w:rPr>
          <w:noProof/>
          <w:lang w:eastAsia="cs-CZ"/>
        </w:rPr>
        <w:drawing>
          <wp:inline distT="0" distB="0" distL="0" distR="0" wp14:anchorId="5152A2B9" wp14:editId="6A3973F0">
            <wp:extent cx="5775875" cy="2822850"/>
            <wp:effectExtent l="0" t="0" r="0" b="0"/>
            <wp:docPr id="7" name="Graf 7">
              <a:extLst xmlns:a="http://schemas.openxmlformats.org/drawingml/2006/main">
                <a:ext uri="{FF2B5EF4-FFF2-40B4-BE49-F238E27FC236}">
                  <a16:creationId xmlns:a16="http://schemas.microsoft.com/office/drawing/2014/main" id="{00000000-0008-0000-01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7036D6" w:rsidRDefault="000E7F13" w:rsidP="0021299E">
      <w:pPr>
        <w:pStyle w:val="Titulek"/>
        <w:jc w:val="both"/>
      </w:pPr>
      <w:bookmarkStart w:id="42" w:name="_Toc41837504"/>
      <w:r w:rsidRPr="00C75FC6">
        <w:lastRenderedPageBreak/>
        <w:t xml:space="preserve">Tabulka č. </w:t>
      </w:r>
      <w:r>
        <w:rPr>
          <w:noProof/>
        </w:rPr>
        <w:fldChar w:fldCharType="begin"/>
      </w:r>
      <w:r>
        <w:rPr>
          <w:noProof/>
        </w:rPr>
        <w:instrText xml:space="preserve"> SEQ Tabulka \* ARABIC </w:instrText>
      </w:r>
      <w:r>
        <w:rPr>
          <w:noProof/>
        </w:rPr>
        <w:fldChar w:fldCharType="separate"/>
      </w:r>
      <w:r w:rsidR="00B17299">
        <w:rPr>
          <w:noProof/>
        </w:rPr>
        <w:t>12</w:t>
      </w:r>
      <w:r>
        <w:rPr>
          <w:noProof/>
        </w:rPr>
        <w:fldChar w:fldCharType="end"/>
      </w:r>
      <w:r w:rsidRPr="00C75FC6">
        <w:t xml:space="preserve">: </w:t>
      </w:r>
      <w:r w:rsidRPr="000E7F13">
        <w:t xml:space="preserve">Náklady na zdravotní služby </w:t>
      </w:r>
      <w:r w:rsidR="003D4982" w:rsidRPr="007036D6">
        <w:t xml:space="preserve">ze ZFZP </w:t>
      </w:r>
      <w:r w:rsidRPr="000E7F13">
        <w:t>podle segmentů a zdravotních pojišťoven v roce 201</w:t>
      </w:r>
      <w:r w:rsidR="00C328E4">
        <w:t>9</w:t>
      </w:r>
      <w:r w:rsidRPr="000E7F13">
        <w:t xml:space="preserve"> v přepočtu na pojištěnce</w:t>
      </w:r>
      <w:bookmarkEnd w:id="42"/>
      <w:r>
        <w:t xml:space="preserve"> </w:t>
      </w:r>
    </w:p>
    <w:tbl>
      <w:tblPr>
        <w:tblW w:w="9080" w:type="dxa"/>
        <w:jc w:val="center"/>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2080"/>
        <w:gridCol w:w="1000"/>
        <w:gridCol w:w="1000"/>
        <w:gridCol w:w="1000"/>
        <w:gridCol w:w="1000"/>
        <w:gridCol w:w="1000"/>
        <w:gridCol w:w="1000"/>
        <w:gridCol w:w="1000"/>
      </w:tblGrid>
      <w:tr w:rsidR="007036D6" w:rsidTr="000E6678">
        <w:trPr>
          <w:trHeight w:val="600"/>
          <w:jc w:val="center"/>
        </w:trPr>
        <w:tc>
          <w:tcPr>
            <w:tcW w:w="2080" w:type="dxa"/>
            <w:tcBorders>
              <w:top w:val="single" w:sz="12" w:space="0" w:color="4F81BD"/>
              <w:left w:val="single" w:sz="12" w:space="0" w:color="4F81BD"/>
              <w:bottom w:val="nil"/>
              <w:right w:val="nil"/>
            </w:tcBorders>
            <w:shd w:val="clear" w:color="auto" w:fill="4F81BD"/>
            <w:hideMark/>
          </w:tcPr>
          <w:p w:rsidR="007036D6" w:rsidRDefault="007036D6" w:rsidP="007036D6">
            <w:pPr>
              <w:spacing w:after="0" w:line="240" w:lineRule="auto"/>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Ukazatel</w:t>
            </w:r>
            <w:r>
              <w:rPr>
                <w:rFonts w:ascii="Calibri" w:eastAsia="Times New Roman" w:hAnsi="Calibri" w:cs="Times New Roman"/>
                <w:b/>
                <w:bCs/>
                <w:color w:val="FFFFFF"/>
                <w:szCs w:val="21"/>
                <w:lang w:eastAsia="cs-CZ"/>
              </w:rPr>
              <w:br/>
            </w:r>
            <w:r>
              <w:rPr>
                <w:rFonts w:ascii="Calibri" w:eastAsia="Times New Roman" w:hAnsi="Calibri" w:cs="Times New Roman"/>
                <w:color w:val="FFFFFF"/>
                <w:szCs w:val="21"/>
                <w:lang w:eastAsia="cs-CZ"/>
              </w:rPr>
              <w:t>(v Kč)</w:t>
            </w:r>
          </w:p>
        </w:tc>
        <w:tc>
          <w:tcPr>
            <w:tcW w:w="1000" w:type="dxa"/>
            <w:tcBorders>
              <w:top w:val="single" w:sz="12" w:space="0" w:color="4F81BD"/>
              <w:left w:val="nil"/>
              <w:bottom w:val="nil"/>
              <w:right w:val="nil"/>
            </w:tcBorders>
            <w:shd w:val="clear" w:color="auto" w:fill="6691C6"/>
            <w:noWrap/>
            <w:vAlign w:val="center"/>
            <w:hideMark/>
          </w:tcPr>
          <w:p w:rsidR="007036D6" w:rsidRDefault="007036D6" w:rsidP="007036D6">
            <w:pPr>
              <w:spacing w:after="0" w:line="240" w:lineRule="auto"/>
              <w:jc w:val="center"/>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VZP ČR</w:t>
            </w:r>
          </w:p>
        </w:tc>
        <w:tc>
          <w:tcPr>
            <w:tcW w:w="1000" w:type="dxa"/>
            <w:tcBorders>
              <w:top w:val="single" w:sz="12" w:space="0" w:color="4F81BD"/>
              <w:left w:val="nil"/>
              <w:bottom w:val="nil"/>
              <w:right w:val="nil"/>
            </w:tcBorders>
            <w:shd w:val="clear" w:color="auto" w:fill="4F81BD"/>
            <w:noWrap/>
            <w:vAlign w:val="center"/>
            <w:hideMark/>
          </w:tcPr>
          <w:p w:rsidR="007036D6" w:rsidRDefault="007036D6" w:rsidP="007036D6">
            <w:pPr>
              <w:spacing w:after="0" w:line="240" w:lineRule="auto"/>
              <w:jc w:val="center"/>
              <w:rPr>
                <w:rFonts w:ascii="Calibri" w:eastAsia="Times New Roman" w:hAnsi="Calibri" w:cs="Times New Roman"/>
                <w:b/>
                <w:bCs/>
                <w:color w:val="FFFFFF"/>
                <w:szCs w:val="21"/>
                <w:lang w:eastAsia="cs-CZ"/>
              </w:rPr>
            </w:pPr>
            <w:proofErr w:type="spellStart"/>
            <w:r>
              <w:rPr>
                <w:rFonts w:ascii="Calibri" w:eastAsia="Times New Roman" w:hAnsi="Calibri" w:cs="Times New Roman"/>
                <w:b/>
                <w:bCs/>
                <w:color w:val="FFFFFF"/>
                <w:szCs w:val="21"/>
                <w:lang w:eastAsia="cs-CZ"/>
              </w:rPr>
              <w:t>VoZP</w:t>
            </w:r>
            <w:proofErr w:type="spellEnd"/>
            <w:r>
              <w:rPr>
                <w:rFonts w:ascii="Calibri" w:eastAsia="Times New Roman" w:hAnsi="Calibri" w:cs="Times New Roman"/>
                <w:b/>
                <w:bCs/>
                <w:color w:val="FFFFFF"/>
                <w:szCs w:val="21"/>
                <w:lang w:eastAsia="cs-CZ"/>
              </w:rPr>
              <w:t xml:space="preserve"> ČR</w:t>
            </w:r>
          </w:p>
        </w:tc>
        <w:tc>
          <w:tcPr>
            <w:tcW w:w="1000" w:type="dxa"/>
            <w:tcBorders>
              <w:top w:val="single" w:sz="12" w:space="0" w:color="4F81BD"/>
              <w:left w:val="nil"/>
              <w:bottom w:val="nil"/>
              <w:right w:val="nil"/>
            </w:tcBorders>
            <w:shd w:val="clear" w:color="auto" w:fill="6691C6"/>
            <w:noWrap/>
            <w:vAlign w:val="center"/>
            <w:hideMark/>
          </w:tcPr>
          <w:p w:rsidR="007036D6" w:rsidRDefault="007036D6" w:rsidP="007036D6">
            <w:pPr>
              <w:spacing w:after="0" w:line="240" w:lineRule="auto"/>
              <w:jc w:val="center"/>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ČPZP</w:t>
            </w:r>
          </w:p>
        </w:tc>
        <w:tc>
          <w:tcPr>
            <w:tcW w:w="1000" w:type="dxa"/>
            <w:tcBorders>
              <w:top w:val="single" w:sz="12" w:space="0" w:color="4F81BD"/>
              <w:left w:val="nil"/>
              <w:bottom w:val="nil"/>
              <w:right w:val="nil"/>
            </w:tcBorders>
            <w:shd w:val="clear" w:color="auto" w:fill="4F81BD"/>
            <w:noWrap/>
            <w:vAlign w:val="center"/>
            <w:hideMark/>
          </w:tcPr>
          <w:p w:rsidR="007036D6" w:rsidRDefault="007036D6" w:rsidP="007036D6">
            <w:pPr>
              <w:spacing w:after="0" w:line="240" w:lineRule="auto"/>
              <w:jc w:val="center"/>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OZP</w:t>
            </w:r>
          </w:p>
        </w:tc>
        <w:tc>
          <w:tcPr>
            <w:tcW w:w="1000" w:type="dxa"/>
            <w:tcBorders>
              <w:top w:val="single" w:sz="12" w:space="0" w:color="4F81BD"/>
              <w:left w:val="nil"/>
              <w:bottom w:val="nil"/>
              <w:right w:val="nil"/>
            </w:tcBorders>
            <w:shd w:val="clear" w:color="auto" w:fill="6691C6"/>
            <w:noWrap/>
            <w:vAlign w:val="center"/>
            <w:hideMark/>
          </w:tcPr>
          <w:p w:rsidR="007036D6" w:rsidRDefault="007036D6" w:rsidP="007036D6">
            <w:pPr>
              <w:spacing w:after="0" w:line="240" w:lineRule="auto"/>
              <w:jc w:val="center"/>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ZPŠ</w:t>
            </w:r>
          </w:p>
        </w:tc>
        <w:tc>
          <w:tcPr>
            <w:tcW w:w="1000" w:type="dxa"/>
            <w:tcBorders>
              <w:top w:val="single" w:sz="12" w:space="0" w:color="4F81BD"/>
              <w:left w:val="nil"/>
              <w:bottom w:val="nil"/>
              <w:right w:val="nil"/>
            </w:tcBorders>
            <w:shd w:val="clear" w:color="auto" w:fill="4F81BD"/>
            <w:noWrap/>
            <w:vAlign w:val="center"/>
            <w:hideMark/>
          </w:tcPr>
          <w:p w:rsidR="007036D6" w:rsidRDefault="007036D6" w:rsidP="007036D6">
            <w:pPr>
              <w:spacing w:after="0" w:line="240" w:lineRule="auto"/>
              <w:jc w:val="center"/>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ZP MV ČR</w:t>
            </w:r>
          </w:p>
        </w:tc>
        <w:tc>
          <w:tcPr>
            <w:tcW w:w="1000" w:type="dxa"/>
            <w:tcBorders>
              <w:top w:val="single" w:sz="12" w:space="0" w:color="4F81BD"/>
              <w:left w:val="nil"/>
              <w:bottom w:val="nil"/>
              <w:right w:val="single" w:sz="12" w:space="0" w:color="4F81BD"/>
            </w:tcBorders>
            <w:shd w:val="clear" w:color="auto" w:fill="6691C6"/>
            <w:noWrap/>
            <w:vAlign w:val="center"/>
            <w:hideMark/>
          </w:tcPr>
          <w:p w:rsidR="007036D6" w:rsidRDefault="007036D6" w:rsidP="007036D6">
            <w:pPr>
              <w:spacing w:after="0" w:line="240" w:lineRule="auto"/>
              <w:jc w:val="center"/>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RBP</w:t>
            </w:r>
          </w:p>
        </w:tc>
      </w:tr>
      <w:tr w:rsidR="00C328E4" w:rsidTr="007140DB">
        <w:trPr>
          <w:trHeight w:val="559"/>
          <w:jc w:val="center"/>
        </w:trPr>
        <w:tc>
          <w:tcPr>
            <w:tcW w:w="2080" w:type="dxa"/>
            <w:tcBorders>
              <w:top w:val="nil"/>
              <w:left w:val="single" w:sz="12" w:space="0" w:color="4F81BD"/>
              <w:bottom w:val="nil"/>
              <w:right w:val="nil"/>
            </w:tcBorders>
            <w:vAlign w:val="bottom"/>
            <w:hideMark/>
          </w:tcPr>
          <w:p w:rsidR="00C328E4" w:rsidRDefault="00C328E4" w:rsidP="00C328E4">
            <w:pPr>
              <w:spacing w:after="0" w:line="240" w:lineRule="auto"/>
              <w:rPr>
                <w:rFonts w:ascii="Calibri" w:eastAsia="Times New Roman" w:hAnsi="Calibri" w:cs="Times New Roman"/>
                <w:b/>
                <w:bCs/>
                <w:color w:val="000000"/>
                <w:szCs w:val="21"/>
                <w:lang w:eastAsia="cs-CZ"/>
              </w:rPr>
            </w:pPr>
            <w:r>
              <w:rPr>
                <w:rFonts w:ascii="Calibri" w:eastAsia="Times New Roman" w:hAnsi="Calibri" w:cs="Times New Roman"/>
                <w:b/>
                <w:bCs/>
                <w:color w:val="000000"/>
                <w:szCs w:val="21"/>
                <w:lang w:eastAsia="cs-CZ"/>
              </w:rPr>
              <w:t xml:space="preserve">Náklady na </w:t>
            </w:r>
            <w:r>
              <w:rPr>
                <w:rFonts w:ascii="Calibri" w:eastAsia="Times New Roman" w:hAnsi="Calibri" w:cs="Times New Roman"/>
                <w:b/>
                <w:bCs/>
                <w:color w:val="000000"/>
                <w:szCs w:val="21"/>
                <w:lang w:eastAsia="cs-CZ"/>
              </w:rPr>
              <w:br/>
              <w:t>ambulantní péči</w:t>
            </w:r>
          </w:p>
        </w:tc>
        <w:tc>
          <w:tcPr>
            <w:tcW w:w="1000" w:type="dxa"/>
            <w:tcBorders>
              <w:top w:val="nil"/>
              <w:left w:val="nil"/>
              <w:bottom w:val="nil"/>
              <w:right w:val="nil"/>
            </w:tcBorders>
            <w:shd w:val="clear" w:color="auto" w:fill="DCE6F1"/>
            <w:noWrap/>
            <w:vAlign w:val="center"/>
            <w:hideMark/>
          </w:tcPr>
          <w:p w:rsidR="00C328E4" w:rsidRDefault="00C328E4" w:rsidP="00E0692A">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7 848</w:t>
            </w:r>
          </w:p>
        </w:tc>
        <w:tc>
          <w:tcPr>
            <w:tcW w:w="1000" w:type="dxa"/>
            <w:tcBorders>
              <w:top w:val="nil"/>
              <w:left w:val="nil"/>
              <w:bottom w:val="nil"/>
              <w:right w:val="nil"/>
            </w:tcBorders>
            <w:noWrap/>
            <w:vAlign w:val="center"/>
            <w:hideMark/>
          </w:tcPr>
          <w:p w:rsidR="00C328E4" w:rsidRDefault="00C328E4" w:rsidP="00E0692A">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7 623</w:t>
            </w:r>
          </w:p>
        </w:tc>
        <w:tc>
          <w:tcPr>
            <w:tcW w:w="1000" w:type="dxa"/>
            <w:tcBorders>
              <w:top w:val="nil"/>
              <w:left w:val="nil"/>
              <w:bottom w:val="nil"/>
              <w:right w:val="nil"/>
            </w:tcBorders>
            <w:shd w:val="clear" w:color="auto" w:fill="DCE6F1"/>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8 170</w:t>
            </w:r>
          </w:p>
        </w:tc>
        <w:tc>
          <w:tcPr>
            <w:tcW w:w="1000" w:type="dxa"/>
            <w:tcBorders>
              <w:top w:val="nil"/>
              <w:left w:val="nil"/>
              <w:bottom w:val="nil"/>
              <w:right w:val="nil"/>
            </w:tcBorders>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7 964</w:t>
            </w:r>
          </w:p>
        </w:tc>
        <w:tc>
          <w:tcPr>
            <w:tcW w:w="1000" w:type="dxa"/>
            <w:tcBorders>
              <w:top w:val="nil"/>
              <w:left w:val="nil"/>
              <w:bottom w:val="nil"/>
              <w:right w:val="nil"/>
            </w:tcBorders>
            <w:shd w:val="clear" w:color="auto" w:fill="DCE6F1"/>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6 974</w:t>
            </w:r>
          </w:p>
        </w:tc>
        <w:tc>
          <w:tcPr>
            <w:tcW w:w="1000" w:type="dxa"/>
            <w:tcBorders>
              <w:top w:val="nil"/>
              <w:left w:val="nil"/>
              <w:bottom w:val="nil"/>
              <w:right w:val="nil"/>
            </w:tcBorders>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7 873</w:t>
            </w:r>
          </w:p>
        </w:tc>
        <w:tc>
          <w:tcPr>
            <w:tcW w:w="1000" w:type="dxa"/>
            <w:tcBorders>
              <w:top w:val="nil"/>
              <w:left w:val="nil"/>
              <w:bottom w:val="nil"/>
              <w:right w:val="single" w:sz="12" w:space="0" w:color="4F81BD"/>
            </w:tcBorders>
            <w:shd w:val="clear" w:color="auto" w:fill="DCE6F1"/>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7 976</w:t>
            </w:r>
          </w:p>
        </w:tc>
      </w:tr>
      <w:tr w:rsidR="00C328E4" w:rsidTr="007140DB">
        <w:trPr>
          <w:trHeight w:val="559"/>
          <w:jc w:val="center"/>
        </w:trPr>
        <w:tc>
          <w:tcPr>
            <w:tcW w:w="2080" w:type="dxa"/>
            <w:tcBorders>
              <w:top w:val="nil"/>
              <w:left w:val="single" w:sz="12" w:space="0" w:color="4F81BD"/>
              <w:bottom w:val="nil"/>
              <w:right w:val="nil"/>
            </w:tcBorders>
            <w:shd w:val="clear" w:color="auto" w:fill="EEF3F8"/>
            <w:vAlign w:val="bottom"/>
            <w:hideMark/>
          </w:tcPr>
          <w:p w:rsidR="00C328E4" w:rsidRDefault="00C328E4" w:rsidP="00C328E4">
            <w:pPr>
              <w:spacing w:after="0" w:line="240" w:lineRule="auto"/>
              <w:rPr>
                <w:rFonts w:ascii="Calibri" w:eastAsia="Times New Roman" w:hAnsi="Calibri" w:cs="Times New Roman"/>
                <w:b/>
                <w:bCs/>
                <w:color w:val="000000"/>
                <w:szCs w:val="21"/>
                <w:lang w:eastAsia="cs-CZ"/>
              </w:rPr>
            </w:pPr>
            <w:r>
              <w:rPr>
                <w:rFonts w:ascii="Calibri" w:eastAsia="Times New Roman" w:hAnsi="Calibri" w:cs="Times New Roman"/>
                <w:b/>
                <w:bCs/>
                <w:color w:val="000000"/>
                <w:szCs w:val="21"/>
                <w:lang w:eastAsia="cs-CZ"/>
              </w:rPr>
              <w:t xml:space="preserve">Náklady na </w:t>
            </w:r>
            <w:r>
              <w:rPr>
                <w:rFonts w:ascii="Calibri" w:eastAsia="Times New Roman" w:hAnsi="Calibri" w:cs="Times New Roman"/>
                <w:b/>
                <w:bCs/>
                <w:color w:val="000000"/>
                <w:szCs w:val="21"/>
                <w:lang w:eastAsia="cs-CZ"/>
              </w:rPr>
              <w:br/>
              <w:t>lůžkovou péči</w:t>
            </w:r>
          </w:p>
        </w:tc>
        <w:tc>
          <w:tcPr>
            <w:tcW w:w="1000" w:type="dxa"/>
            <w:tcBorders>
              <w:top w:val="nil"/>
              <w:left w:val="nil"/>
              <w:bottom w:val="nil"/>
              <w:right w:val="nil"/>
            </w:tcBorders>
            <w:shd w:val="clear" w:color="auto" w:fill="EEF3F8"/>
            <w:noWrap/>
            <w:vAlign w:val="center"/>
            <w:hideMark/>
          </w:tcPr>
          <w:p w:rsidR="00C328E4" w:rsidRDefault="00C328E4" w:rsidP="00E0692A">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17 660</w:t>
            </w:r>
          </w:p>
        </w:tc>
        <w:tc>
          <w:tcPr>
            <w:tcW w:w="1000" w:type="dxa"/>
            <w:tcBorders>
              <w:top w:val="nil"/>
              <w:left w:val="nil"/>
              <w:bottom w:val="nil"/>
              <w:right w:val="nil"/>
            </w:tcBorders>
            <w:shd w:val="clear" w:color="auto" w:fill="EEF3F8"/>
            <w:noWrap/>
            <w:vAlign w:val="center"/>
            <w:hideMark/>
          </w:tcPr>
          <w:p w:rsidR="00C328E4" w:rsidRDefault="00C328E4" w:rsidP="00E0692A">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15 193</w:t>
            </w:r>
          </w:p>
        </w:tc>
        <w:tc>
          <w:tcPr>
            <w:tcW w:w="1000" w:type="dxa"/>
            <w:tcBorders>
              <w:top w:val="nil"/>
              <w:left w:val="nil"/>
              <w:bottom w:val="nil"/>
              <w:right w:val="nil"/>
            </w:tcBorders>
            <w:shd w:val="clear" w:color="auto" w:fill="EEF3F8"/>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13 201</w:t>
            </w:r>
          </w:p>
        </w:tc>
        <w:tc>
          <w:tcPr>
            <w:tcW w:w="1000" w:type="dxa"/>
            <w:tcBorders>
              <w:top w:val="nil"/>
              <w:left w:val="nil"/>
              <w:bottom w:val="nil"/>
              <w:right w:val="nil"/>
            </w:tcBorders>
            <w:shd w:val="clear" w:color="auto" w:fill="EEF3F8"/>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13 798</w:t>
            </w:r>
          </w:p>
        </w:tc>
        <w:tc>
          <w:tcPr>
            <w:tcW w:w="1000" w:type="dxa"/>
            <w:tcBorders>
              <w:top w:val="nil"/>
              <w:left w:val="nil"/>
              <w:bottom w:val="nil"/>
              <w:right w:val="nil"/>
            </w:tcBorders>
            <w:shd w:val="clear" w:color="auto" w:fill="EEF3F8"/>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15 685</w:t>
            </w:r>
          </w:p>
        </w:tc>
        <w:tc>
          <w:tcPr>
            <w:tcW w:w="1000" w:type="dxa"/>
            <w:tcBorders>
              <w:top w:val="nil"/>
              <w:left w:val="nil"/>
              <w:bottom w:val="nil"/>
              <w:right w:val="nil"/>
            </w:tcBorders>
            <w:shd w:val="clear" w:color="auto" w:fill="EEF3F8"/>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14 697</w:t>
            </w:r>
          </w:p>
        </w:tc>
        <w:tc>
          <w:tcPr>
            <w:tcW w:w="1000" w:type="dxa"/>
            <w:tcBorders>
              <w:top w:val="nil"/>
              <w:left w:val="nil"/>
              <w:bottom w:val="nil"/>
              <w:right w:val="single" w:sz="12" w:space="0" w:color="4F81BD"/>
            </w:tcBorders>
            <w:shd w:val="clear" w:color="auto" w:fill="EEF3F8"/>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14 045</w:t>
            </w:r>
          </w:p>
        </w:tc>
      </w:tr>
      <w:tr w:rsidR="00C328E4" w:rsidTr="007140DB">
        <w:trPr>
          <w:trHeight w:val="300"/>
          <w:jc w:val="center"/>
        </w:trPr>
        <w:tc>
          <w:tcPr>
            <w:tcW w:w="2080" w:type="dxa"/>
            <w:tcBorders>
              <w:top w:val="nil"/>
              <w:left w:val="single" w:sz="12" w:space="0" w:color="4F81BD"/>
              <w:bottom w:val="nil"/>
              <w:right w:val="nil"/>
            </w:tcBorders>
            <w:vAlign w:val="bottom"/>
            <w:hideMark/>
          </w:tcPr>
          <w:p w:rsidR="00C328E4" w:rsidRDefault="00C328E4" w:rsidP="00C328E4">
            <w:pPr>
              <w:spacing w:after="0" w:line="240" w:lineRule="auto"/>
              <w:rPr>
                <w:rFonts w:ascii="Calibri" w:eastAsia="Times New Roman" w:hAnsi="Calibri" w:cs="Times New Roman"/>
                <w:b/>
                <w:bCs/>
                <w:color w:val="000000"/>
                <w:szCs w:val="21"/>
                <w:lang w:eastAsia="cs-CZ"/>
              </w:rPr>
            </w:pPr>
            <w:r>
              <w:rPr>
                <w:rFonts w:ascii="Calibri" w:eastAsia="Times New Roman" w:hAnsi="Calibri" w:cs="Times New Roman"/>
                <w:b/>
                <w:bCs/>
                <w:color w:val="000000"/>
                <w:szCs w:val="21"/>
                <w:lang w:eastAsia="cs-CZ"/>
              </w:rPr>
              <w:t>Ostatní náklady</w:t>
            </w:r>
          </w:p>
        </w:tc>
        <w:tc>
          <w:tcPr>
            <w:tcW w:w="1000" w:type="dxa"/>
            <w:tcBorders>
              <w:top w:val="nil"/>
              <w:left w:val="nil"/>
              <w:bottom w:val="nil"/>
              <w:right w:val="nil"/>
            </w:tcBorders>
            <w:shd w:val="clear" w:color="auto" w:fill="DCE6F1"/>
            <w:noWrap/>
            <w:vAlign w:val="center"/>
            <w:hideMark/>
          </w:tcPr>
          <w:p w:rsidR="00C328E4" w:rsidRDefault="00C328E4" w:rsidP="00E0692A">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5 813</w:t>
            </w:r>
          </w:p>
        </w:tc>
        <w:tc>
          <w:tcPr>
            <w:tcW w:w="1000" w:type="dxa"/>
            <w:tcBorders>
              <w:top w:val="nil"/>
              <w:left w:val="nil"/>
              <w:bottom w:val="nil"/>
              <w:right w:val="nil"/>
            </w:tcBorders>
            <w:noWrap/>
            <w:vAlign w:val="center"/>
            <w:hideMark/>
          </w:tcPr>
          <w:p w:rsidR="00C328E4" w:rsidRDefault="00C328E4" w:rsidP="00E0692A">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5 171</w:t>
            </w:r>
          </w:p>
        </w:tc>
        <w:tc>
          <w:tcPr>
            <w:tcW w:w="1000" w:type="dxa"/>
            <w:tcBorders>
              <w:top w:val="nil"/>
              <w:left w:val="nil"/>
              <w:bottom w:val="nil"/>
              <w:right w:val="nil"/>
            </w:tcBorders>
            <w:shd w:val="clear" w:color="auto" w:fill="DCE6F1"/>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4 805</w:t>
            </w:r>
          </w:p>
        </w:tc>
        <w:tc>
          <w:tcPr>
            <w:tcW w:w="1000" w:type="dxa"/>
            <w:tcBorders>
              <w:top w:val="nil"/>
              <w:left w:val="nil"/>
              <w:bottom w:val="nil"/>
              <w:right w:val="nil"/>
            </w:tcBorders>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4 634</w:t>
            </w:r>
          </w:p>
        </w:tc>
        <w:tc>
          <w:tcPr>
            <w:tcW w:w="1000" w:type="dxa"/>
            <w:tcBorders>
              <w:top w:val="nil"/>
              <w:left w:val="nil"/>
              <w:bottom w:val="nil"/>
              <w:right w:val="nil"/>
            </w:tcBorders>
            <w:shd w:val="clear" w:color="auto" w:fill="DCE6F1"/>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5 429</w:t>
            </w:r>
          </w:p>
        </w:tc>
        <w:tc>
          <w:tcPr>
            <w:tcW w:w="1000" w:type="dxa"/>
            <w:tcBorders>
              <w:top w:val="nil"/>
              <w:left w:val="nil"/>
              <w:bottom w:val="nil"/>
              <w:right w:val="nil"/>
            </w:tcBorders>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5 354</w:t>
            </w:r>
          </w:p>
        </w:tc>
        <w:tc>
          <w:tcPr>
            <w:tcW w:w="1000" w:type="dxa"/>
            <w:tcBorders>
              <w:top w:val="nil"/>
              <w:left w:val="nil"/>
              <w:bottom w:val="nil"/>
              <w:right w:val="single" w:sz="12" w:space="0" w:color="4F81BD"/>
            </w:tcBorders>
            <w:shd w:val="clear" w:color="auto" w:fill="DCE6F1"/>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5 071</w:t>
            </w:r>
          </w:p>
        </w:tc>
      </w:tr>
      <w:tr w:rsidR="00C328E4" w:rsidTr="007140DB">
        <w:trPr>
          <w:trHeight w:val="300"/>
          <w:jc w:val="center"/>
        </w:trPr>
        <w:tc>
          <w:tcPr>
            <w:tcW w:w="2080" w:type="dxa"/>
            <w:tcBorders>
              <w:top w:val="nil"/>
              <w:left w:val="single" w:sz="12" w:space="0" w:color="4F81BD"/>
              <w:bottom w:val="single" w:sz="12" w:space="0" w:color="4F81BD"/>
              <w:right w:val="nil"/>
            </w:tcBorders>
            <w:shd w:val="clear" w:color="auto" w:fill="EEF3F8"/>
            <w:vAlign w:val="bottom"/>
            <w:hideMark/>
          </w:tcPr>
          <w:p w:rsidR="00C328E4" w:rsidRDefault="00C328E4" w:rsidP="00C328E4">
            <w:pPr>
              <w:spacing w:after="0" w:line="240" w:lineRule="auto"/>
              <w:rPr>
                <w:rFonts w:ascii="Calibri" w:eastAsia="Times New Roman" w:hAnsi="Calibri" w:cs="Times New Roman"/>
                <w:b/>
                <w:bCs/>
                <w:color w:val="000000"/>
                <w:szCs w:val="21"/>
                <w:lang w:eastAsia="cs-CZ"/>
              </w:rPr>
            </w:pPr>
            <w:r>
              <w:rPr>
                <w:rFonts w:ascii="Calibri" w:eastAsia="Times New Roman" w:hAnsi="Calibri" w:cs="Times New Roman"/>
                <w:b/>
                <w:bCs/>
                <w:color w:val="000000"/>
                <w:szCs w:val="21"/>
                <w:lang w:eastAsia="cs-CZ"/>
              </w:rPr>
              <w:t>Celkové náklady</w:t>
            </w:r>
          </w:p>
        </w:tc>
        <w:tc>
          <w:tcPr>
            <w:tcW w:w="1000" w:type="dxa"/>
            <w:tcBorders>
              <w:top w:val="nil"/>
              <w:left w:val="nil"/>
              <w:bottom w:val="single" w:sz="12" w:space="0" w:color="4F81BD"/>
              <w:right w:val="nil"/>
            </w:tcBorders>
            <w:shd w:val="clear" w:color="auto" w:fill="EEF3F8"/>
            <w:noWrap/>
            <w:vAlign w:val="center"/>
            <w:hideMark/>
          </w:tcPr>
          <w:p w:rsidR="00C328E4" w:rsidRDefault="00C328E4" w:rsidP="00E0692A">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31 321</w:t>
            </w:r>
          </w:p>
        </w:tc>
        <w:tc>
          <w:tcPr>
            <w:tcW w:w="1000" w:type="dxa"/>
            <w:tcBorders>
              <w:top w:val="nil"/>
              <w:left w:val="nil"/>
              <w:bottom w:val="single" w:sz="12" w:space="0" w:color="4F81BD"/>
              <w:right w:val="nil"/>
            </w:tcBorders>
            <w:shd w:val="clear" w:color="auto" w:fill="EEF3F8"/>
            <w:noWrap/>
            <w:vAlign w:val="center"/>
            <w:hideMark/>
          </w:tcPr>
          <w:p w:rsidR="00C328E4" w:rsidRDefault="00C328E4" w:rsidP="00E0692A">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27 987</w:t>
            </w:r>
          </w:p>
        </w:tc>
        <w:tc>
          <w:tcPr>
            <w:tcW w:w="1000" w:type="dxa"/>
            <w:tcBorders>
              <w:top w:val="nil"/>
              <w:left w:val="nil"/>
              <w:bottom w:val="single" w:sz="12" w:space="0" w:color="4F81BD"/>
              <w:right w:val="nil"/>
            </w:tcBorders>
            <w:shd w:val="clear" w:color="auto" w:fill="EEF3F8"/>
            <w:noWrap/>
            <w:vAlign w:val="center"/>
            <w:hideMark/>
          </w:tcPr>
          <w:p w:rsidR="00C328E4" w:rsidRDefault="00C328E4">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26 176</w:t>
            </w:r>
          </w:p>
        </w:tc>
        <w:tc>
          <w:tcPr>
            <w:tcW w:w="1000" w:type="dxa"/>
            <w:tcBorders>
              <w:top w:val="nil"/>
              <w:left w:val="nil"/>
              <w:bottom w:val="single" w:sz="12" w:space="0" w:color="4F81BD"/>
              <w:right w:val="nil"/>
            </w:tcBorders>
            <w:shd w:val="clear" w:color="auto" w:fill="EEF3F8"/>
            <w:noWrap/>
            <w:vAlign w:val="center"/>
            <w:hideMark/>
          </w:tcPr>
          <w:p w:rsidR="00C328E4" w:rsidRDefault="00C328E4">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26 396</w:t>
            </w:r>
          </w:p>
        </w:tc>
        <w:tc>
          <w:tcPr>
            <w:tcW w:w="1000" w:type="dxa"/>
            <w:tcBorders>
              <w:top w:val="nil"/>
              <w:left w:val="nil"/>
              <w:bottom w:val="single" w:sz="12" w:space="0" w:color="4F81BD"/>
              <w:right w:val="nil"/>
            </w:tcBorders>
            <w:shd w:val="clear" w:color="auto" w:fill="EEF3F8"/>
            <w:noWrap/>
            <w:vAlign w:val="center"/>
            <w:hideMark/>
          </w:tcPr>
          <w:p w:rsidR="00C328E4" w:rsidRDefault="00C328E4">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28 088</w:t>
            </w:r>
          </w:p>
        </w:tc>
        <w:tc>
          <w:tcPr>
            <w:tcW w:w="1000" w:type="dxa"/>
            <w:tcBorders>
              <w:top w:val="nil"/>
              <w:left w:val="nil"/>
              <w:bottom w:val="single" w:sz="12" w:space="0" w:color="4F81BD"/>
              <w:right w:val="nil"/>
            </w:tcBorders>
            <w:shd w:val="clear" w:color="auto" w:fill="EEF3F8"/>
            <w:noWrap/>
            <w:vAlign w:val="center"/>
            <w:hideMark/>
          </w:tcPr>
          <w:p w:rsidR="00C328E4" w:rsidRDefault="00C328E4">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27 924</w:t>
            </w:r>
          </w:p>
        </w:tc>
        <w:tc>
          <w:tcPr>
            <w:tcW w:w="1000" w:type="dxa"/>
            <w:tcBorders>
              <w:top w:val="nil"/>
              <w:left w:val="nil"/>
              <w:bottom w:val="single" w:sz="12" w:space="0" w:color="4F81BD"/>
              <w:right w:val="single" w:sz="12" w:space="0" w:color="4F81BD"/>
            </w:tcBorders>
            <w:shd w:val="clear" w:color="auto" w:fill="EEF3F8"/>
            <w:noWrap/>
            <w:vAlign w:val="center"/>
            <w:hideMark/>
          </w:tcPr>
          <w:p w:rsidR="00C328E4" w:rsidRDefault="00C328E4">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27 092</w:t>
            </w:r>
          </w:p>
        </w:tc>
      </w:tr>
    </w:tbl>
    <w:p w:rsidR="00853129" w:rsidRDefault="00853129" w:rsidP="00AD2E56">
      <w:pPr>
        <w:pStyle w:val="TEXTpodTABOBR"/>
        <w:spacing w:before="180" w:after="180" w:line="276" w:lineRule="auto"/>
        <w:ind w:firstLine="0"/>
        <w:rPr>
          <w:rFonts w:asciiTheme="minorHAnsi" w:hAnsiTheme="minorHAnsi" w:cstheme="minorHAnsi"/>
          <w:sz w:val="21"/>
          <w:szCs w:val="21"/>
        </w:rPr>
      </w:pPr>
    </w:p>
    <w:p w:rsidR="007036D6" w:rsidRPr="00127631" w:rsidRDefault="007036D6" w:rsidP="00AD2E56">
      <w:pPr>
        <w:pStyle w:val="TEXTpodTABOBR"/>
        <w:spacing w:before="180" w:after="180" w:line="276" w:lineRule="auto"/>
        <w:ind w:firstLine="0"/>
        <w:rPr>
          <w:rFonts w:asciiTheme="minorHAnsi" w:hAnsiTheme="minorHAnsi" w:cstheme="minorHAnsi"/>
          <w:sz w:val="21"/>
          <w:szCs w:val="21"/>
        </w:rPr>
      </w:pPr>
      <w:r w:rsidRPr="00127631">
        <w:rPr>
          <w:rFonts w:asciiTheme="minorHAnsi" w:hAnsiTheme="minorHAnsi" w:cstheme="minorHAnsi"/>
          <w:sz w:val="21"/>
          <w:szCs w:val="21"/>
        </w:rPr>
        <w:t xml:space="preserve">Celková částka, kterou uhradili pojištěnci všech činných ZP za regulační poplatky a započitatelné doplatky na léčivé přípravky a potraviny pro zvláštní lékařské účely, činila celkem </w:t>
      </w:r>
      <w:r w:rsidR="00852556" w:rsidRPr="00127631">
        <w:rPr>
          <w:rFonts w:asciiTheme="minorHAnsi" w:hAnsiTheme="minorHAnsi" w:cstheme="minorHAnsi"/>
          <w:sz w:val="21"/>
          <w:szCs w:val="21"/>
        </w:rPr>
        <w:t>3</w:t>
      </w:r>
      <w:r w:rsidRPr="00127631">
        <w:rPr>
          <w:rFonts w:asciiTheme="minorHAnsi" w:hAnsiTheme="minorHAnsi" w:cstheme="minorHAnsi"/>
          <w:sz w:val="21"/>
          <w:szCs w:val="21"/>
        </w:rPr>
        <w:t>,</w:t>
      </w:r>
      <w:r w:rsidR="00852556" w:rsidRPr="00127631">
        <w:rPr>
          <w:rFonts w:asciiTheme="minorHAnsi" w:hAnsiTheme="minorHAnsi" w:cstheme="minorHAnsi"/>
          <w:sz w:val="21"/>
          <w:szCs w:val="21"/>
        </w:rPr>
        <w:t>00</w:t>
      </w:r>
      <w:r w:rsidR="00054B08">
        <w:rPr>
          <w:rFonts w:asciiTheme="minorHAnsi" w:hAnsiTheme="minorHAnsi" w:cstheme="minorHAnsi"/>
          <w:sz w:val="21"/>
          <w:szCs w:val="21"/>
        </w:rPr>
        <w:t>2</w:t>
      </w:r>
      <w:r w:rsidRPr="00127631">
        <w:rPr>
          <w:rFonts w:asciiTheme="minorHAnsi" w:hAnsiTheme="minorHAnsi" w:cstheme="minorHAnsi"/>
          <w:sz w:val="21"/>
          <w:szCs w:val="21"/>
        </w:rPr>
        <w:t xml:space="preserve"> mld. Kč (</w:t>
      </w:r>
      <w:r w:rsidR="00127631" w:rsidRPr="00127631">
        <w:rPr>
          <w:rFonts w:asciiTheme="minorHAnsi" w:hAnsiTheme="minorHAnsi" w:cstheme="minorHAnsi"/>
          <w:sz w:val="21"/>
          <w:szCs w:val="21"/>
        </w:rPr>
        <w:t>meziroční nárůst činil 8,5 %</w:t>
      </w:r>
      <w:r w:rsidRPr="00127631">
        <w:rPr>
          <w:rFonts w:asciiTheme="minorHAnsi" w:hAnsiTheme="minorHAnsi" w:cstheme="minorHAnsi"/>
          <w:sz w:val="21"/>
          <w:szCs w:val="21"/>
        </w:rPr>
        <w:t>). Z této částky bylo za regulační poplatky vybráno 0,</w:t>
      </w:r>
      <w:r w:rsidR="00127631">
        <w:rPr>
          <w:rFonts w:asciiTheme="minorHAnsi" w:hAnsiTheme="minorHAnsi" w:cstheme="minorHAnsi"/>
          <w:sz w:val="21"/>
          <w:szCs w:val="21"/>
        </w:rPr>
        <w:t>19</w:t>
      </w:r>
      <w:r w:rsidR="00054B08">
        <w:rPr>
          <w:rFonts w:asciiTheme="minorHAnsi" w:hAnsiTheme="minorHAnsi" w:cstheme="minorHAnsi"/>
          <w:sz w:val="21"/>
          <w:szCs w:val="21"/>
        </w:rPr>
        <w:t>2</w:t>
      </w:r>
      <w:r w:rsidRPr="00127631">
        <w:rPr>
          <w:rFonts w:asciiTheme="minorHAnsi" w:hAnsiTheme="minorHAnsi" w:cstheme="minorHAnsi"/>
          <w:sz w:val="21"/>
          <w:szCs w:val="21"/>
        </w:rPr>
        <w:t xml:space="preserve"> mld. Kč a za započitatelné doplatky na léčivé přípravky a</w:t>
      </w:r>
      <w:r w:rsidR="000A300E" w:rsidRPr="00127631">
        <w:rPr>
          <w:rFonts w:asciiTheme="minorHAnsi" w:hAnsiTheme="minorHAnsi" w:cstheme="minorHAnsi"/>
          <w:sz w:val="21"/>
          <w:szCs w:val="21"/>
        </w:rPr>
        <w:t> </w:t>
      </w:r>
      <w:r w:rsidRPr="00127631">
        <w:rPr>
          <w:rFonts w:asciiTheme="minorHAnsi" w:hAnsiTheme="minorHAnsi" w:cstheme="minorHAnsi"/>
          <w:sz w:val="21"/>
          <w:szCs w:val="21"/>
        </w:rPr>
        <w:t>potraviny pro zvláštní lékařské účely 2,</w:t>
      </w:r>
      <w:r w:rsidR="00127631">
        <w:rPr>
          <w:rFonts w:asciiTheme="minorHAnsi" w:hAnsiTheme="minorHAnsi" w:cstheme="minorHAnsi"/>
          <w:sz w:val="21"/>
          <w:szCs w:val="21"/>
        </w:rPr>
        <w:t>81</w:t>
      </w:r>
      <w:r w:rsidR="00054B08">
        <w:rPr>
          <w:rFonts w:asciiTheme="minorHAnsi" w:hAnsiTheme="minorHAnsi" w:cstheme="minorHAnsi"/>
          <w:sz w:val="21"/>
          <w:szCs w:val="21"/>
        </w:rPr>
        <w:t>0</w:t>
      </w:r>
      <w:r w:rsidRPr="00127631">
        <w:rPr>
          <w:rFonts w:asciiTheme="minorHAnsi" w:hAnsiTheme="minorHAnsi" w:cstheme="minorHAnsi"/>
          <w:sz w:val="21"/>
          <w:szCs w:val="21"/>
        </w:rPr>
        <w:t xml:space="preserve"> mld. Kč. </w:t>
      </w:r>
      <w:r w:rsidRPr="00127631">
        <w:rPr>
          <w:rFonts w:asciiTheme="minorHAnsi" w:eastAsia="SimSun" w:hAnsiTheme="minorHAnsi" w:cstheme="minorHAnsi"/>
          <w:sz w:val="21"/>
          <w:szCs w:val="21"/>
        </w:rPr>
        <w:t>Tyto prostředky získali jednotliví PZS.</w:t>
      </w:r>
    </w:p>
    <w:p w:rsidR="007036D6" w:rsidRPr="0021299E" w:rsidRDefault="007036D6" w:rsidP="00AD2E56">
      <w:pPr>
        <w:pStyle w:val="TEXT"/>
        <w:spacing w:before="180" w:after="180" w:line="276" w:lineRule="auto"/>
        <w:ind w:firstLine="0"/>
        <w:rPr>
          <w:rFonts w:asciiTheme="minorHAnsi" w:eastAsia="SimSun" w:hAnsiTheme="minorHAnsi" w:cstheme="minorHAnsi"/>
          <w:sz w:val="21"/>
          <w:szCs w:val="21"/>
        </w:rPr>
      </w:pPr>
      <w:r w:rsidRPr="00593924">
        <w:rPr>
          <w:rFonts w:asciiTheme="minorHAnsi" w:hAnsiTheme="minorHAnsi" w:cstheme="minorHAnsi"/>
          <w:b/>
          <w:sz w:val="21"/>
          <w:szCs w:val="21"/>
        </w:rPr>
        <w:t xml:space="preserve">Objem finančních prostředků (vratek), </w:t>
      </w:r>
      <w:r w:rsidRPr="00593924">
        <w:rPr>
          <w:rFonts w:asciiTheme="minorHAnsi" w:hAnsiTheme="minorHAnsi" w:cstheme="minorHAnsi"/>
          <w:sz w:val="21"/>
          <w:szCs w:val="21"/>
        </w:rPr>
        <w:t xml:space="preserve">který podle § 16b zákona č. 48/1997 Sb. ZP vrátily </w:t>
      </w:r>
      <w:r w:rsidR="000A300E">
        <w:rPr>
          <w:rFonts w:asciiTheme="minorHAnsi" w:hAnsiTheme="minorHAnsi" w:cstheme="minorHAnsi"/>
          <w:sz w:val="21"/>
          <w:szCs w:val="21"/>
        </w:rPr>
        <w:t>1 042 857</w:t>
      </w:r>
      <w:r w:rsidRPr="00593924">
        <w:rPr>
          <w:rFonts w:asciiTheme="minorHAnsi" w:hAnsiTheme="minorHAnsi" w:cstheme="minorHAnsi"/>
          <w:sz w:val="21"/>
          <w:szCs w:val="21"/>
        </w:rPr>
        <w:t xml:space="preserve"> pojištěncům, činil 0,</w:t>
      </w:r>
      <w:r w:rsidR="000A300E">
        <w:rPr>
          <w:rFonts w:asciiTheme="minorHAnsi" w:hAnsiTheme="minorHAnsi" w:cstheme="minorHAnsi"/>
          <w:sz w:val="21"/>
          <w:szCs w:val="21"/>
        </w:rPr>
        <w:t>776</w:t>
      </w:r>
      <w:r w:rsidRPr="00593924">
        <w:rPr>
          <w:rFonts w:asciiTheme="minorHAnsi" w:hAnsiTheme="minorHAnsi" w:cstheme="minorHAnsi"/>
          <w:sz w:val="21"/>
          <w:szCs w:val="21"/>
        </w:rPr>
        <w:t xml:space="preserve"> mld. Kč, </w:t>
      </w:r>
      <w:r w:rsidRPr="00593924">
        <w:rPr>
          <w:rFonts w:asciiTheme="minorHAnsi" w:eastAsia="SimSun" w:hAnsiTheme="minorHAnsi" w:cstheme="minorHAnsi"/>
          <w:sz w:val="21"/>
          <w:szCs w:val="21"/>
        </w:rPr>
        <w:t>což představuje v průměru 7</w:t>
      </w:r>
      <w:r w:rsidR="000A300E">
        <w:rPr>
          <w:rFonts w:asciiTheme="minorHAnsi" w:eastAsia="SimSun" w:hAnsiTheme="minorHAnsi" w:cstheme="minorHAnsi"/>
          <w:sz w:val="21"/>
          <w:szCs w:val="21"/>
        </w:rPr>
        <w:t>44</w:t>
      </w:r>
      <w:r w:rsidRPr="00593924">
        <w:rPr>
          <w:rFonts w:asciiTheme="minorHAnsi" w:eastAsia="SimSun" w:hAnsiTheme="minorHAnsi" w:cstheme="minorHAnsi"/>
          <w:sz w:val="21"/>
          <w:szCs w:val="21"/>
        </w:rPr>
        <w:t> Kč na 1 vratku pro pojištěnce</w:t>
      </w:r>
      <w:r w:rsidRPr="00593924">
        <w:rPr>
          <w:rFonts w:asciiTheme="minorHAnsi" w:hAnsiTheme="minorHAnsi" w:cstheme="minorHAnsi"/>
          <w:sz w:val="21"/>
          <w:szCs w:val="21"/>
        </w:rPr>
        <w:t>. Jednalo se o</w:t>
      </w:r>
      <w:r w:rsidR="000A300E">
        <w:rPr>
          <w:rFonts w:asciiTheme="minorHAnsi" w:hAnsiTheme="minorHAnsi" w:cstheme="minorHAnsi"/>
          <w:sz w:val="21"/>
          <w:szCs w:val="21"/>
        </w:rPr>
        <w:t> </w:t>
      </w:r>
      <w:r w:rsidRPr="00593924">
        <w:rPr>
          <w:rFonts w:asciiTheme="minorHAnsi" w:hAnsiTheme="minorHAnsi" w:cstheme="minorHAnsi"/>
          <w:sz w:val="21"/>
          <w:szCs w:val="21"/>
        </w:rPr>
        <w:t>pojištěnce, kteří v daném období překročili zákonný limit 5 000 Kč, resp. 1 000 Kč u dětí mladších 18 let a</w:t>
      </w:r>
      <w:r w:rsidR="000A300E">
        <w:rPr>
          <w:rFonts w:asciiTheme="minorHAnsi" w:hAnsiTheme="minorHAnsi" w:cstheme="minorHAnsi"/>
          <w:sz w:val="21"/>
          <w:szCs w:val="21"/>
        </w:rPr>
        <w:t> </w:t>
      </w:r>
      <w:r w:rsidRPr="00593924">
        <w:rPr>
          <w:rFonts w:asciiTheme="minorHAnsi" w:hAnsiTheme="minorHAnsi" w:cstheme="minorHAnsi"/>
          <w:sz w:val="21"/>
          <w:szCs w:val="21"/>
        </w:rPr>
        <w:t>u</w:t>
      </w:r>
      <w:r w:rsidR="000A300E">
        <w:rPr>
          <w:rFonts w:asciiTheme="minorHAnsi" w:hAnsiTheme="minorHAnsi" w:cstheme="minorHAnsi"/>
          <w:sz w:val="21"/>
          <w:szCs w:val="21"/>
        </w:rPr>
        <w:t> </w:t>
      </w:r>
      <w:r w:rsidRPr="00593924">
        <w:rPr>
          <w:rFonts w:asciiTheme="minorHAnsi" w:hAnsiTheme="minorHAnsi" w:cstheme="minorHAnsi"/>
          <w:sz w:val="21"/>
          <w:szCs w:val="21"/>
        </w:rPr>
        <w:t>pojištěnců starších 65</w:t>
      </w:r>
      <w:r w:rsidR="003D5AD1">
        <w:rPr>
          <w:rFonts w:asciiTheme="minorHAnsi" w:hAnsiTheme="minorHAnsi" w:cstheme="minorHAnsi"/>
          <w:sz w:val="21"/>
          <w:szCs w:val="21"/>
        </w:rPr>
        <w:t> </w:t>
      </w:r>
      <w:r w:rsidRPr="00593924">
        <w:rPr>
          <w:rFonts w:asciiTheme="minorHAnsi" w:hAnsiTheme="minorHAnsi" w:cstheme="minorHAnsi"/>
          <w:sz w:val="21"/>
          <w:szCs w:val="21"/>
        </w:rPr>
        <w:t>let a 500 Kč u pojištěnců starších 70 let (</w:t>
      </w:r>
      <w:r w:rsidR="000A300E">
        <w:rPr>
          <w:rFonts w:asciiTheme="minorHAnsi" w:hAnsiTheme="minorHAnsi" w:cstheme="minorHAnsi"/>
          <w:sz w:val="21"/>
          <w:szCs w:val="21"/>
        </w:rPr>
        <w:t xml:space="preserve">výrazný nárůst mezi lety 2017 a 2018 byl způsoben </w:t>
      </w:r>
      <w:r w:rsidRPr="00593924">
        <w:rPr>
          <w:rFonts w:asciiTheme="minorHAnsi" w:hAnsiTheme="minorHAnsi" w:cstheme="minorHAnsi"/>
          <w:sz w:val="21"/>
          <w:szCs w:val="21"/>
        </w:rPr>
        <w:t>snížení</w:t>
      </w:r>
      <w:r w:rsidR="000A300E">
        <w:rPr>
          <w:rFonts w:asciiTheme="minorHAnsi" w:hAnsiTheme="minorHAnsi" w:cstheme="minorHAnsi"/>
          <w:sz w:val="21"/>
          <w:szCs w:val="21"/>
        </w:rPr>
        <w:t>m</w:t>
      </w:r>
      <w:r w:rsidRPr="00593924">
        <w:rPr>
          <w:rFonts w:asciiTheme="minorHAnsi" w:hAnsiTheme="minorHAnsi" w:cstheme="minorHAnsi"/>
          <w:sz w:val="21"/>
          <w:szCs w:val="21"/>
        </w:rPr>
        <w:t xml:space="preserve"> ochranného ročního limitu pro doplatky na léky pro děti a seniory).</w:t>
      </w:r>
    </w:p>
    <w:p w:rsidR="007036D6" w:rsidRDefault="000E7F13" w:rsidP="0021299E">
      <w:pPr>
        <w:pStyle w:val="Titulek"/>
        <w:jc w:val="both"/>
      </w:pPr>
      <w:bookmarkStart w:id="43" w:name="_Toc41837505"/>
      <w:r w:rsidRPr="00C75FC6">
        <w:t xml:space="preserve">Tabulka č. </w:t>
      </w:r>
      <w:r>
        <w:rPr>
          <w:noProof/>
        </w:rPr>
        <w:fldChar w:fldCharType="begin"/>
      </w:r>
      <w:r>
        <w:rPr>
          <w:noProof/>
        </w:rPr>
        <w:instrText xml:space="preserve"> SEQ Tabulka \* ARABIC </w:instrText>
      </w:r>
      <w:r>
        <w:rPr>
          <w:noProof/>
        </w:rPr>
        <w:fldChar w:fldCharType="separate"/>
      </w:r>
      <w:r w:rsidR="00B17299">
        <w:rPr>
          <w:noProof/>
        </w:rPr>
        <w:t>13</w:t>
      </w:r>
      <w:r>
        <w:rPr>
          <w:noProof/>
        </w:rPr>
        <w:fldChar w:fldCharType="end"/>
      </w:r>
      <w:r w:rsidRPr="00C75FC6">
        <w:t xml:space="preserve">: </w:t>
      </w:r>
      <w:r w:rsidRPr="000E7F13">
        <w:t>Překročení zákonného limitu</w:t>
      </w:r>
      <w:bookmarkEnd w:id="43"/>
      <w:r>
        <w:t xml:space="preserve"> </w:t>
      </w:r>
    </w:p>
    <w:tbl>
      <w:tblPr>
        <w:tblW w:w="9080" w:type="dxa"/>
        <w:jc w:val="center"/>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3080"/>
        <w:gridCol w:w="1000"/>
        <w:gridCol w:w="1000"/>
        <w:gridCol w:w="1000"/>
        <w:gridCol w:w="1000"/>
        <w:gridCol w:w="1000"/>
        <w:gridCol w:w="1000"/>
      </w:tblGrid>
      <w:tr w:rsidR="00C328E4" w:rsidRPr="0009181B" w:rsidTr="000E6678">
        <w:trPr>
          <w:trHeight w:val="600"/>
          <w:jc w:val="center"/>
        </w:trPr>
        <w:tc>
          <w:tcPr>
            <w:tcW w:w="3080" w:type="dxa"/>
            <w:shd w:val="clear" w:color="000000" w:fill="4F81BD"/>
            <w:vAlign w:val="center"/>
            <w:hideMark/>
          </w:tcPr>
          <w:p w:rsidR="00C328E4" w:rsidRPr="0009181B" w:rsidRDefault="00C328E4" w:rsidP="00C328E4">
            <w:pPr>
              <w:spacing w:after="0" w:line="240" w:lineRule="auto"/>
              <w:rPr>
                <w:rFonts w:ascii="Calibri" w:eastAsia="Times New Roman" w:hAnsi="Calibri" w:cs="Times New Roman"/>
                <w:b/>
                <w:bCs/>
                <w:color w:val="FFFFFF"/>
                <w:szCs w:val="21"/>
                <w:lang w:eastAsia="cs-CZ"/>
              </w:rPr>
            </w:pPr>
            <w:r w:rsidRPr="0009181B">
              <w:rPr>
                <w:rFonts w:ascii="Calibri" w:eastAsia="Times New Roman" w:hAnsi="Calibri" w:cs="Times New Roman"/>
                <w:b/>
                <w:bCs/>
                <w:color w:val="FFFFFF"/>
                <w:szCs w:val="21"/>
                <w:lang w:eastAsia="cs-CZ"/>
              </w:rPr>
              <w:t>Ukazatel</w:t>
            </w:r>
          </w:p>
        </w:tc>
        <w:tc>
          <w:tcPr>
            <w:tcW w:w="1000" w:type="dxa"/>
            <w:shd w:val="clear" w:color="000000" w:fill="6691C6"/>
            <w:noWrap/>
            <w:vAlign w:val="center"/>
            <w:hideMark/>
          </w:tcPr>
          <w:p w:rsidR="00C328E4" w:rsidRPr="0009181B" w:rsidRDefault="00C328E4" w:rsidP="00C328E4">
            <w:pPr>
              <w:spacing w:after="0" w:line="240" w:lineRule="auto"/>
              <w:jc w:val="center"/>
              <w:rPr>
                <w:rFonts w:ascii="Calibri" w:eastAsia="Times New Roman" w:hAnsi="Calibri" w:cs="Times New Roman"/>
                <w:b/>
                <w:bCs/>
                <w:color w:val="FFFFFF"/>
                <w:szCs w:val="21"/>
                <w:lang w:eastAsia="cs-CZ"/>
              </w:rPr>
            </w:pPr>
            <w:r w:rsidRPr="0009181B">
              <w:rPr>
                <w:rFonts w:ascii="Calibri" w:eastAsia="Times New Roman" w:hAnsi="Calibri" w:cs="Times New Roman"/>
                <w:b/>
                <w:bCs/>
                <w:color w:val="FFFFFF"/>
                <w:szCs w:val="21"/>
                <w:lang w:eastAsia="cs-CZ"/>
              </w:rPr>
              <w:t>2014</w:t>
            </w:r>
          </w:p>
        </w:tc>
        <w:tc>
          <w:tcPr>
            <w:tcW w:w="1000" w:type="dxa"/>
            <w:shd w:val="clear" w:color="000000" w:fill="4F81BD"/>
            <w:noWrap/>
            <w:vAlign w:val="center"/>
            <w:hideMark/>
          </w:tcPr>
          <w:p w:rsidR="00C328E4" w:rsidRPr="0009181B" w:rsidRDefault="00C328E4" w:rsidP="00C328E4">
            <w:pPr>
              <w:spacing w:after="0" w:line="240" w:lineRule="auto"/>
              <w:jc w:val="center"/>
              <w:rPr>
                <w:rFonts w:ascii="Calibri" w:eastAsia="Times New Roman" w:hAnsi="Calibri" w:cs="Times New Roman"/>
                <w:b/>
                <w:bCs/>
                <w:color w:val="FFFFFF"/>
                <w:szCs w:val="21"/>
                <w:lang w:eastAsia="cs-CZ"/>
              </w:rPr>
            </w:pPr>
            <w:r w:rsidRPr="0009181B">
              <w:rPr>
                <w:rFonts w:ascii="Calibri" w:eastAsia="Times New Roman" w:hAnsi="Calibri" w:cs="Times New Roman"/>
                <w:b/>
                <w:bCs/>
                <w:color w:val="FFFFFF"/>
                <w:szCs w:val="21"/>
                <w:lang w:eastAsia="cs-CZ"/>
              </w:rPr>
              <w:t>2015</w:t>
            </w:r>
          </w:p>
        </w:tc>
        <w:tc>
          <w:tcPr>
            <w:tcW w:w="1000" w:type="dxa"/>
            <w:shd w:val="clear" w:color="000000" w:fill="6691C6"/>
            <w:noWrap/>
            <w:vAlign w:val="center"/>
            <w:hideMark/>
          </w:tcPr>
          <w:p w:rsidR="00C328E4" w:rsidRPr="0009181B" w:rsidRDefault="00C328E4" w:rsidP="00C328E4">
            <w:pPr>
              <w:spacing w:after="0" w:line="240" w:lineRule="auto"/>
              <w:jc w:val="center"/>
              <w:rPr>
                <w:rFonts w:ascii="Calibri" w:eastAsia="Times New Roman" w:hAnsi="Calibri" w:cs="Times New Roman"/>
                <w:b/>
                <w:bCs/>
                <w:color w:val="FFFFFF"/>
                <w:szCs w:val="21"/>
                <w:lang w:eastAsia="cs-CZ"/>
              </w:rPr>
            </w:pPr>
            <w:r w:rsidRPr="0009181B">
              <w:rPr>
                <w:rFonts w:ascii="Calibri" w:eastAsia="Times New Roman" w:hAnsi="Calibri" w:cs="Times New Roman"/>
                <w:b/>
                <w:bCs/>
                <w:color w:val="FFFFFF"/>
                <w:szCs w:val="21"/>
                <w:lang w:eastAsia="cs-CZ"/>
              </w:rPr>
              <w:t>2016</w:t>
            </w:r>
          </w:p>
        </w:tc>
        <w:tc>
          <w:tcPr>
            <w:tcW w:w="1000" w:type="dxa"/>
            <w:shd w:val="clear" w:color="000000" w:fill="4F81BD"/>
            <w:vAlign w:val="center"/>
            <w:hideMark/>
          </w:tcPr>
          <w:p w:rsidR="00C328E4" w:rsidRPr="0009181B" w:rsidRDefault="00C328E4" w:rsidP="00C328E4">
            <w:pPr>
              <w:spacing w:after="0" w:line="240" w:lineRule="auto"/>
              <w:jc w:val="center"/>
              <w:rPr>
                <w:rFonts w:ascii="Calibri" w:eastAsia="Times New Roman" w:hAnsi="Calibri" w:cs="Times New Roman"/>
                <w:b/>
                <w:bCs/>
                <w:color w:val="FFFFFF"/>
                <w:szCs w:val="21"/>
                <w:lang w:eastAsia="cs-CZ"/>
              </w:rPr>
            </w:pPr>
            <w:r w:rsidRPr="0009181B">
              <w:rPr>
                <w:rFonts w:ascii="Calibri" w:eastAsia="Times New Roman" w:hAnsi="Calibri" w:cs="Times New Roman"/>
                <w:b/>
                <w:bCs/>
                <w:color w:val="FFFFFF"/>
                <w:szCs w:val="21"/>
                <w:lang w:eastAsia="cs-CZ"/>
              </w:rPr>
              <w:t>2017</w:t>
            </w:r>
          </w:p>
        </w:tc>
        <w:tc>
          <w:tcPr>
            <w:tcW w:w="1000" w:type="dxa"/>
            <w:shd w:val="clear" w:color="000000" w:fill="6691C6"/>
            <w:noWrap/>
            <w:vAlign w:val="center"/>
            <w:hideMark/>
          </w:tcPr>
          <w:p w:rsidR="00C328E4" w:rsidRPr="0009181B" w:rsidRDefault="00C328E4" w:rsidP="00C328E4">
            <w:pPr>
              <w:spacing w:after="0" w:line="240" w:lineRule="auto"/>
              <w:jc w:val="center"/>
              <w:rPr>
                <w:rFonts w:ascii="Calibri" w:eastAsia="Times New Roman" w:hAnsi="Calibri" w:cs="Times New Roman"/>
                <w:b/>
                <w:bCs/>
                <w:color w:val="FFFFFF"/>
                <w:szCs w:val="21"/>
                <w:lang w:eastAsia="cs-CZ"/>
              </w:rPr>
            </w:pPr>
            <w:r w:rsidRPr="0009181B">
              <w:rPr>
                <w:rFonts w:ascii="Calibri" w:eastAsia="Times New Roman" w:hAnsi="Calibri" w:cs="Times New Roman"/>
                <w:b/>
                <w:bCs/>
                <w:color w:val="FFFFFF"/>
                <w:szCs w:val="21"/>
                <w:lang w:eastAsia="cs-CZ"/>
              </w:rPr>
              <w:t>2018</w:t>
            </w:r>
          </w:p>
        </w:tc>
        <w:tc>
          <w:tcPr>
            <w:tcW w:w="1000" w:type="dxa"/>
            <w:shd w:val="clear" w:color="000000" w:fill="4F81BD"/>
            <w:vAlign w:val="center"/>
            <w:hideMark/>
          </w:tcPr>
          <w:p w:rsidR="00C328E4" w:rsidRPr="0009181B" w:rsidRDefault="00C328E4" w:rsidP="00C328E4">
            <w:pPr>
              <w:spacing w:after="0" w:line="240" w:lineRule="auto"/>
              <w:jc w:val="center"/>
              <w:rPr>
                <w:rFonts w:ascii="Calibri" w:eastAsia="Times New Roman" w:hAnsi="Calibri" w:cs="Times New Roman"/>
                <w:b/>
                <w:bCs/>
                <w:color w:val="FFFFFF"/>
                <w:szCs w:val="21"/>
                <w:lang w:eastAsia="cs-CZ"/>
              </w:rPr>
            </w:pPr>
            <w:r w:rsidRPr="0009181B">
              <w:rPr>
                <w:rFonts w:ascii="Calibri" w:eastAsia="Times New Roman" w:hAnsi="Calibri" w:cs="Times New Roman"/>
                <w:b/>
                <w:bCs/>
                <w:color w:val="FFFFFF"/>
                <w:szCs w:val="21"/>
                <w:lang w:eastAsia="cs-CZ"/>
              </w:rPr>
              <w:t>201</w:t>
            </w:r>
            <w:r>
              <w:rPr>
                <w:rFonts w:ascii="Calibri" w:eastAsia="Times New Roman" w:hAnsi="Calibri" w:cs="Times New Roman"/>
                <w:b/>
                <w:bCs/>
                <w:color w:val="FFFFFF"/>
                <w:szCs w:val="21"/>
                <w:lang w:eastAsia="cs-CZ"/>
              </w:rPr>
              <w:t>9</w:t>
            </w:r>
          </w:p>
        </w:tc>
      </w:tr>
      <w:tr w:rsidR="00C328E4" w:rsidRPr="0009181B" w:rsidTr="007140DB">
        <w:trPr>
          <w:trHeight w:val="559"/>
          <w:jc w:val="center"/>
        </w:trPr>
        <w:tc>
          <w:tcPr>
            <w:tcW w:w="3080" w:type="dxa"/>
            <w:shd w:val="clear" w:color="auto" w:fill="auto"/>
            <w:vAlign w:val="bottom"/>
            <w:hideMark/>
          </w:tcPr>
          <w:p w:rsidR="00C328E4" w:rsidRPr="0009181B" w:rsidRDefault="00C328E4" w:rsidP="00C328E4">
            <w:pPr>
              <w:spacing w:after="0" w:line="240" w:lineRule="auto"/>
              <w:rPr>
                <w:rFonts w:ascii="Calibri" w:eastAsia="Times New Roman" w:hAnsi="Calibri" w:cs="Times New Roman"/>
                <w:b/>
                <w:bCs/>
                <w:color w:val="000000"/>
                <w:szCs w:val="21"/>
                <w:lang w:eastAsia="cs-CZ"/>
              </w:rPr>
            </w:pPr>
            <w:r w:rsidRPr="0009181B">
              <w:rPr>
                <w:rFonts w:ascii="Calibri" w:eastAsia="Times New Roman" w:hAnsi="Calibri" w:cs="Times New Roman"/>
                <w:b/>
                <w:bCs/>
                <w:color w:val="000000"/>
                <w:szCs w:val="21"/>
                <w:lang w:eastAsia="cs-CZ"/>
              </w:rPr>
              <w:t>Počet pojištěnců, kteří překročili zákonný limit</w:t>
            </w:r>
          </w:p>
        </w:tc>
        <w:tc>
          <w:tcPr>
            <w:tcW w:w="1000" w:type="dxa"/>
            <w:shd w:val="clear" w:color="000000" w:fill="DCE6F1"/>
            <w:noWrap/>
            <w:vAlign w:val="center"/>
            <w:hideMark/>
          </w:tcPr>
          <w:p w:rsidR="00C328E4" w:rsidRPr="0009181B" w:rsidRDefault="00C328E4" w:rsidP="003D5AD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265 364</w:t>
            </w:r>
          </w:p>
        </w:tc>
        <w:tc>
          <w:tcPr>
            <w:tcW w:w="1000" w:type="dxa"/>
            <w:shd w:val="clear" w:color="auto" w:fill="auto"/>
            <w:noWrap/>
            <w:vAlign w:val="center"/>
            <w:hideMark/>
          </w:tcPr>
          <w:p w:rsidR="00C328E4" w:rsidRPr="0009181B"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83 173</w:t>
            </w:r>
          </w:p>
        </w:tc>
        <w:tc>
          <w:tcPr>
            <w:tcW w:w="1000" w:type="dxa"/>
            <w:shd w:val="clear" w:color="000000" w:fill="DCE6F1"/>
            <w:noWrap/>
            <w:vAlign w:val="center"/>
            <w:hideMark/>
          </w:tcPr>
          <w:p w:rsidR="00C328E4" w:rsidRPr="0009181B"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87 678</w:t>
            </w:r>
          </w:p>
        </w:tc>
        <w:tc>
          <w:tcPr>
            <w:tcW w:w="1000" w:type="dxa"/>
            <w:shd w:val="clear" w:color="auto" w:fill="auto"/>
            <w:noWrap/>
            <w:vAlign w:val="center"/>
            <w:hideMark/>
          </w:tcPr>
          <w:p w:rsidR="00C328E4" w:rsidRPr="0009181B"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104 495</w:t>
            </w:r>
          </w:p>
        </w:tc>
        <w:tc>
          <w:tcPr>
            <w:tcW w:w="1000" w:type="dxa"/>
            <w:shd w:val="clear" w:color="000000" w:fill="DCE6F1"/>
            <w:noWrap/>
            <w:vAlign w:val="center"/>
            <w:hideMark/>
          </w:tcPr>
          <w:p w:rsidR="00C328E4" w:rsidRPr="0009181B"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924 144</w:t>
            </w:r>
          </w:p>
        </w:tc>
        <w:tc>
          <w:tcPr>
            <w:tcW w:w="1000" w:type="dxa"/>
            <w:shd w:val="clear" w:color="auto" w:fill="auto"/>
            <w:noWrap/>
            <w:vAlign w:val="center"/>
            <w:hideMark/>
          </w:tcPr>
          <w:p w:rsidR="00C328E4" w:rsidRPr="0009181B"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1 042 857</w:t>
            </w:r>
          </w:p>
        </w:tc>
      </w:tr>
      <w:tr w:rsidR="00C328E4" w:rsidRPr="0009181B" w:rsidTr="007140DB">
        <w:trPr>
          <w:trHeight w:val="559"/>
          <w:jc w:val="center"/>
        </w:trPr>
        <w:tc>
          <w:tcPr>
            <w:tcW w:w="3080" w:type="dxa"/>
            <w:shd w:val="clear" w:color="000000" w:fill="EEF3F8"/>
            <w:vAlign w:val="bottom"/>
            <w:hideMark/>
          </w:tcPr>
          <w:p w:rsidR="00C328E4" w:rsidRPr="0009181B" w:rsidRDefault="00C328E4" w:rsidP="00C328E4">
            <w:pPr>
              <w:spacing w:after="0" w:line="240" w:lineRule="auto"/>
              <w:rPr>
                <w:rFonts w:ascii="Calibri" w:eastAsia="Times New Roman" w:hAnsi="Calibri" w:cs="Times New Roman"/>
                <w:b/>
                <w:bCs/>
                <w:color w:val="000000"/>
                <w:szCs w:val="21"/>
                <w:lang w:eastAsia="cs-CZ"/>
              </w:rPr>
            </w:pPr>
            <w:r w:rsidRPr="0009181B">
              <w:rPr>
                <w:rFonts w:ascii="Calibri" w:eastAsia="Times New Roman" w:hAnsi="Calibri" w:cs="Times New Roman"/>
                <w:b/>
                <w:bCs/>
                <w:color w:val="000000"/>
                <w:szCs w:val="21"/>
                <w:lang w:eastAsia="cs-CZ"/>
              </w:rPr>
              <w:t xml:space="preserve">Částka, o kterou byl překročen zákonný limit </w:t>
            </w:r>
            <w:r w:rsidRPr="0009181B">
              <w:rPr>
                <w:rFonts w:ascii="Calibri" w:eastAsia="Times New Roman" w:hAnsi="Calibri" w:cs="Times New Roman"/>
                <w:color w:val="000000"/>
                <w:szCs w:val="21"/>
                <w:lang w:eastAsia="cs-CZ"/>
              </w:rPr>
              <w:t>(v mil. Kč)</w:t>
            </w:r>
          </w:p>
        </w:tc>
        <w:tc>
          <w:tcPr>
            <w:tcW w:w="1000" w:type="dxa"/>
            <w:shd w:val="clear" w:color="000000" w:fill="EEF3F8"/>
            <w:noWrap/>
            <w:vAlign w:val="center"/>
            <w:hideMark/>
          </w:tcPr>
          <w:p w:rsidR="00C328E4" w:rsidRPr="0009181B" w:rsidRDefault="00C328E4" w:rsidP="003D5AD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290</w:t>
            </w:r>
          </w:p>
        </w:tc>
        <w:tc>
          <w:tcPr>
            <w:tcW w:w="1000" w:type="dxa"/>
            <w:shd w:val="clear" w:color="000000" w:fill="EEF3F8"/>
            <w:noWrap/>
            <w:vAlign w:val="center"/>
            <w:hideMark/>
          </w:tcPr>
          <w:p w:rsidR="00C328E4" w:rsidRPr="0009181B"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92</w:t>
            </w:r>
          </w:p>
        </w:tc>
        <w:tc>
          <w:tcPr>
            <w:tcW w:w="1000" w:type="dxa"/>
            <w:shd w:val="clear" w:color="000000" w:fill="EEF3F8"/>
            <w:noWrap/>
            <w:vAlign w:val="center"/>
            <w:hideMark/>
          </w:tcPr>
          <w:p w:rsidR="00C328E4" w:rsidRPr="0009181B"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94</w:t>
            </w:r>
          </w:p>
        </w:tc>
        <w:tc>
          <w:tcPr>
            <w:tcW w:w="1000" w:type="dxa"/>
            <w:shd w:val="clear" w:color="000000" w:fill="EEF3F8"/>
            <w:noWrap/>
            <w:vAlign w:val="center"/>
            <w:hideMark/>
          </w:tcPr>
          <w:p w:rsidR="00C328E4" w:rsidRPr="0009181B"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117</w:t>
            </w:r>
          </w:p>
        </w:tc>
        <w:tc>
          <w:tcPr>
            <w:tcW w:w="1000" w:type="dxa"/>
            <w:shd w:val="clear" w:color="000000" w:fill="EEF3F8"/>
            <w:noWrap/>
            <w:vAlign w:val="center"/>
            <w:hideMark/>
          </w:tcPr>
          <w:p w:rsidR="00C328E4" w:rsidRPr="0009181B"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657</w:t>
            </w:r>
          </w:p>
        </w:tc>
        <w:tc>
          <w:tcPr>
            <w:tcW w:w="1000" w:type="dxa"/>
            <w:shd w:val="clear" w:color="000000" w:fill="EEF3F8"/>
            <w:noWrap/>
            <w:vAlign w:val="center"/>
            <w:hideMark/>
          </w:tcPr>
          <w:p w:rsidR="00C328E4" w:rsidRPr="0009181B"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776</w:t>
            </w:r>
          </w:p>
        </w:tc>
      </w:tr>
      <w:tr w:rsidR="00C328E4" w:rsidRPr="0009181B" w:rsidTr="007140DB">
        <w:trPr>
          <w:trHeight w:val="559"/>
          <w:jc w:val="center"/>
        </w:trPr>
        <w:tc>
          <w:tcPr>
            <w:tcW w:w="3080" w:type="dxa"/>
            <w:shd w:val="clear" w:color="auto" w:fill="auto"/>
            <w:vAlign w:val="bottom"/>
            <w:hideMark/>
          </w:tcPr>
          <w:p w:rsidR="00C328E4" w:rsidRPr="0009181B" w:rsidRDefault="00C328E4" w:rsidP="00C328E4">
            <w:pPr>
              <w:spacing w:after="0" w:line="240" w:lineRule="auto"/>
              <w:rPr>
                <w:rFonts w:ascii="Calibri" w:eastAsia="Times New Roman" w:hAnsi="Calibri" w:cs="Times New Roman"/>
                <w:b/>
                <w:bCs/>
                <w:color w:val="000000"/>
                <w:szCs w:val="21"/>
                <w:lang w:eastAsia="cs-CZ"/>
              </w:rPr>
            </w:pPr>
            <w:r w:rsidRPr="0009181B">
              <w:rPr>
                <w:rFonts w:ascii="Calibri" w:eastAsia="Times New Roman" w:hAnsi="Calibri" w:cs="Times New Roman"/>
                <w:b/>
                <w:bCs/>
                <w:color w:val="000000"/>
                <w:szCs w:val="21"/>
                <w:lang w:eastAsia="cs-CZ"/>
              </w:rPr>
              <w:t xml:space="preserve">Částka v přepočtu na pojištěnce, který překročil zákon. limit </w:t>
            </w:r>
            <w:r w:rsidRPr="0009181B">
              <w:rPr>
                <w:rFonts w:ascii="Calibri" w:eastAsia="Times New Roman" w:hAnsi="Calibri" w:cs="Times New Roman"/>
                <w:color w:val="000000"/>
                <w:szCs w:val="21"/>
                <w:lang w:eastAsia="cs-CZ"/>
              </w:rPr>
              <w:t>(v Kč)</w:t>
            </w:r>
          </w:p>
        </w:tc>
        <w:tc>
          <w:tcPr>
            <w:tcW w:w="1000" w:type="dxa"/>
            <w:shd w:val="clear" w:color="000000" w:fill="DCE6F1"/>
            <w:noWrap/>
            <w:vAlign w:val="center"/>
            <w:hideMark/>
          </w:tcPr>
          <w:p w:rsidR="00C328E4" w:rsidRPr="0009181B" w:rsidRDefault="00C328E4" w:rsidP="003D5AD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1 095</w:t>
            </w:r>
          </w:p>
        </w:tc>
        <w:tc>
          <w:tcPr>
            <w:tcW w:w="1000" w:type="dxa"/>
            <w:shd w:val="clear" w:color="auto" w:fill="auto"/>
            <w:noWrap/>
            <w:vAlign w:val="center"/>
            <w:hideMark/>
          </w:tcPr>
          <w:p w:rsidR="00C328E4" w:rsidRPr="0009181B"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1 109</w:t>
            </w:r>
          </w:p>
        </w:tc>
        <w:tc>
          <w:tcPr>
            <w:tcW w:w="1000" w:type="dxa"/>
            <w:shd w:val="clear" w:color="000000" w:fill="DCE6F1"/>
            <w:noWrap/>
            <w:vAlign w:val="center"/>
            <w:hideMark/>
          </w:tcPr>
          <w:p w:rsidR="00C328E4" w:rsidRPr="0009181B"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1 068</w:t>
            </w:r>
          </w:p>
        </w:tc>
        <w:tc>
          <w:tcPr>
            <w:tcW w:w="1000" w:type="dxa"/>
            <w:shd w:val="clear" w:color="auto" w:fill="auto"/>
            <w:noWrap/>
            <w:vAlign w:val="center"/>
            <w:hideMark/>
          </w:tcPr>
          <w:p w:rsidR="00C328E4" w:rsidRPr="0009181B"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1 120</w:t>
            </w:r>
          </w:p>
        </w:tc>
        <w:tc>
          <w:tcPr>
            <w:tcW w:w="1000" w:type="dxa"/>
            <w:shd w:val="clear" w:color="000000" w:fill="DCE6F1"/>
            <w:noWrap/>
            <w:vAlign w:val="center"/>
            <w:hideMark/>
          </w:tcPr>
          <w:p w:rsidR="00C328E4" w:rsidRPr="0009181B"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711</w:t>
            </w:r>
          </w:p>
        </w:tc>
        <w:tc>
          <w:tcPr>
            <w:tcW w:w="1000" w:type="dxa"/>
            <w:shd w:val="clear" w:color="auto" w:fill="auto"/>
            <w:noWrap/>
            <w:vAlign w:val="center"/>
            <w:hideMark/>
          </w:tcPr>
          <w:p w:rsidR="00C328E4" w:rsidRPr="0009181B"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744</w:t>
            </w:r>
          </w:p>
        </w:tc>
      </w:tr>
    </w:tbl>
    <w:p w:rsidR="00146C88" w:rsidRDefault="00146C88" w:rsidP="00146C88">
      <w:pPr>
        <w:rPr>
          <w:lang w:bidi="hi-IN"/>
        </w:rPr>
      </w:pPr>
      <w:r>
        <w:rPr>
          <w:lang w:bidi="hi-IN"/>
        </w:rPr>
        <w:br w:type="page"/>
      </w:r>
    </w:p>
    <w:p w:rsidR="00436F6E" w:rsidRPr="004042B9" w:rsidRDefault="00436F6E" w:rsidP="00AC25F3">
      <w:pPr>
        <w:pStyle w:val="Nadpis2"/>
      </w:pPr>
      <w:bookmarkStart w:id="44" w:name="_Toc41898958"/>
      <w:r w:rsidRPr="004042B9">
        <w:lastRenderedPageBreak/>
        <w:t>Náklady na léčení zahraničních pojištěnců</w:t>
      </w:r>
      <w:bookmarkEnd w:id="44"/>
    </w:p>
    <w:p w:rsidR="00086197" w:rsidRPr="0050279A" w:rsidRDefault="00086197" w:rsidP="0021299E">
      <w:pPr>
        <w:pStyle w:val="TEXTpodTABOBR"/>
        <w:spacing w:before="180" w:after="180" w:line="276" w:lineRule="auto"/>
        <w:ind w:firstLine="0"/>
        <w:rPr>
          <w:rFonts w:asciiTheme="minorHAnsi" w:hAnsiTheme="minorHAnsi" w:cstheme="minorHAnsi"/>
          <w:sz w:val="21"/>
          <w:szCs w:val="21"/>
        </w:rPr>
      </w:pPr>
      <w:r w:rsidRPr="0050279A">
        <w:rPr>
          <w:rFonts w:asciiTheme="minorHAnsi" w:hAnsiTheme="minorHAnsi" w:cstheme="minorHAnsi"/>
          <w:b/>
          <w:sz w:val="21"/>
          <w:szCs w:val="21"/>
        </w:rPr>
        <w:t xml:space="preserve">Zvláštní kategorii nákladů tvoří náklady na léčení pojištěnců jiných členských států EU, EHP, Švýcarské konfederace, popřípadě dalších států, se kterými ČR uzavřela mezinárodní smlouvu o sociálním zabezpečení v ČR </w:t>
      </w:r>
      <w:r w:rsidRPr="0050279A">
        <w:rPr>
          <w:rFonts w:asciiTheme="minorHAnsi" w:hAnsiTheme="minorHAnsi" w:cstheme="minorHAnsi"/>
          <w:sz w:val="21"/>
          <w:szCs w:val="21"/>
        </w:rPr>
        <w:t>(dále jen zahraniční pojištěnci).</w:t>
      </w:r>
      <w:r w:rsidRPr="0050279A">
        <w:rPr>
          <w:rFonts w:asciiTheme="minorHAnsi" w:hAnsiTheme="minorHAnsi" w:cstheme="minorHAnsi"/>
          <w:b/>
          <w:sz w:val="21"/>
          <w:szCs w:val="21"/>
        </w:rPr>
        <w:t xml:space="preserve"> </w:t>
      </w:r>
      <w:r w:rsidRPr="0050279A">
        <w:rPr>
          <w:rFonts w:asciiTheme="minorHAnsi" w:hAnsiTheme="minorHAnsi" w:cstheme="minorHAnsi"/>
          <w:sz w:val="21"/>
          <w:szCs w:val="21"/>
        </w:rPr>
        <w:t>Jedná se o náklady za ošetření zahraničních pojištěnců na našem území, kteří</w:t>
      </w:r>
      <w:r w:rsidR="003D5AD1">
        <w:rPr>
          <w:rFonts w:asciiTheme="minorHAnsi" w:hAnsiTheme="minorHAnsi" w:cstheme="minorHAnsi"/>
          <w:sz w:val="21"/>
          <w:szCs w:val="21"/>
        </w:rPr>
        <w:t> </w:t>
      </w:r>
      <w:r w:rsidRPr="0050279A">
        <w:rPr>
          <w:rFonts w:asciiTheme="minorHAnsi" w:hAnsiTheme="minorHAnsi" w:cstheme="minorHAnsi"/>
          <w:sz w:val="21"/>
          <w:szCs w:val="21"/>
        </w:rPr>
        <w:t>si v souladu se zákonem č. 48/1997 Sb. zvolili některou ze sedmi ZP jako „výpomocnou ZP“. Náklady na léčení zahraničních pojištěnců činily 1,</w:t>
      </w:r>
      <w:r w:rsidR="003C6783">
        <w:rPr>
          <w:rFonts w:asciiTheme="minorHAnsi" w:hAnsiTheme="minorHAnsi" w:cstheme="minorHAnsi"/>
          <w:sz w:val="21"/>
          <w:szCs w:val="21"/>
        </w:rPr>
        <w:t>615</w:t>
      </w:r>
      <w:r w:rsidRPr="0050279A">
        <w:rPr>
          <w:rFonts w:asciiTheme="minorHAnsi" w:hAnsiTheme="minorHAnsi" w:cstheme="minorHAnsi"/>
          <w:sz w:val="21"/>
          <w:szCs w:val="21"/>
        </w:rPr>
        <w:t> mld. Kč a oproti loňskému roku se jedná o nárůst o </w:t>
      </w:r>
      <w:r w:rsidR="003C6783">
        <w:rPr>
          <w:rFonts w:asciiTheme="minorHAnsi" w:hAnsiTheme="minorHAnsi" w:cstheme="minorHAnsi"/>
          <w:sz w:val="21"/>
          <w:szCs w:val="21"/>
        </w:rPr>
        <w:t>8</w:t>
      </w:r>
      <w:r w:rsidRPr="0050279A">
        <w:rPr>
          <w:rFonts w:asciiTheme="minorHAnsi" w:hAnsiTheme="minorHAnsi" w:cstheme="minorHAnsi"/>
          <w:sz w:val="21"/>
          <w:szCs w:val="21"/>
        </w:rPr>
        <w:t>,</w:t>
      </w:r>
      <w:r w:rsidR="00D64014">
        <w:rPr>
          <w:rFonts w:asciiTheme="minorHAnsi" w:hAnsiTheme="minorHAnsi" w:cstheme="minorHAnsi"/>
          <w:sz w:val="21"/>
          <w:szCs w:val="21"/>
        </w:rPr>
        <w:t>1</w:t>
      </w:r>
      <w:r w:rsidRPr="0050279A">
        <w:rPr>
          <w:rFonts w:asciiTheme="minorHAnsi" w:hAnsiTheme="minorHAnsi" w:cstheme="minorHAnsi"/>
          <w:sz w:val="21"/>
          <w:szCs w:val="21"/>
        </w:rPr>
        <w:t xml:space="preserve"> %. Při zvýšení počtu ošetřených cizinců o </w:t>
      </w:r>
      <w:r w:rsidR="003C6783">
        <w:rPr>
          <w:rFonts w:asciiTheme="minorHAnsi" w:hAnsiTheme="minorHAnsi" w:cstheme="minorHAnsi"/>
          <w:sz w:val="21"/>
          <w:szCs w:val="21"/>
        </w:rPr>
        <w:t>6</w:t>
      </w:r>
      <w:r w:rsidRPr="0050279A">
        <w:rPr>
          <w:rFonts w:asciiTheme="minorHAnsi" w:hAnsiTheme="minorHAnsi" w:cstheme="minorHAnsi"/>
          <w:sz w:val="21"/>
          <w:szCs w:val="21"/>
        </w:rPr>
        <w:t>,</w:t>
      </w:r>
      <w:r w:rsidR="003C6783">
        <w:rPr>
          <w:rFonts w:asciiTheme="minorHAnsi" w:hAnsiTheme="minorHAnsi" w:cstheme="minorHAnsi"/>
          <w:sz w:val="21"/>
          <w:szCs w:val="21"/>
        </w:rPr>
        <w:t>6</w:t>
      </w:r>
      <w:r w:rsidRPr="0050279A">
        <w:rPr>
          <w:rFonts w:asciiTheme="minorHAnsi" w:hAnsiTheme="minorHAnsi" w:cstheme="minorHAnsi"/>
          <w:sz w:val="21"/>
          <w:szCs w:val="21"/>
        </w:rPr>
        <w:t xml:space="preserve"> % je průměrný náklad na jednoho ošetřeného cizince ve výši 6 </w:t>
      </w:r>
      <w:r w:rsidR="003C6783">
        <w:rPr>
          <w:rFonts w:asciiTheme="minorHAnsi" w:hAnsiTheme="minorHAnsi" w:cstheme="minorHAnsi"/>
          <w:sz w:val="21"/>
          <w:szCs w:val="21"/>
        </w:rPr>
        <w:t>501</w:t>
      </w:r>
      <w:r w:rsidRPr="0050279A">
        <w:rPr>
          <w:rFonts w:asciiTheme="minorHAnsi" w:hAnsiTheme="minorHAnsi" w:cstheme="minorHAnsi"/>
          <w:sz w:val="21"/>
          <w:szCs w:val="21"/>
        </w:rPr>
        <w:t xml:space="preserve"> Kč </w:t>
      </w:r>
      <w:r w:rsidR="007140DB">
        <w:rPr>
          <w:rFonts w:asciiTheme="minorHAnsi" w:hAnsiTheme="minorHAnsi" w:cstheme="minorHAnsi"/>
          <w:sz w:val="21"/>
          <w:szCs w:val="21"/>
        </w:rPr>
        <w:t>s</w:t>
      </w:r>
      <w:r w:rsidRPr="0050279A">
        <w:rPr>
          <w:rFonts w:asciiTheme="minorHAnsi" w:hAnsiTheme="minorHAnsi" w:cstheme="minorHAnsi"/>
          <w:sz w:val="21"/>
          <w:szCs w:val="21"/>
        </w:rPr>
        <w:t xml:space="preserve"> meziročním nárůstem o </w:t>
      </w:r>
      <w:r w:rsidR="003C6783">
        <w:rPr>
          <w:rFonts w:asciiTheme="minorHAnsi" w:hAnsiTheme="minorHAnsi" w:cstheme="minorHAnsi"/>
          <w:sz w:val="21"/>
          <w:szCs w:val="21"/>
        </w:rPr>
        <w:t>1</w:t>
      </w:r>
      <w:r w:rsidRPr="0050279A">
        <w:rPr>
          <w:rFonts w:asciiTheme="minorHAnsi" w:hAnsiTheme="minorHAnsi" w:cstheme="minorHAnsi"/>
          <w:sz w:val="21"/>
          <w:szCs w:val="21"/>
        </w:rPr>
        <w:t>,</w:t>
      </w:r>
      <w:r w:rsidR="003C6783">
        <w:rPr>
          <w:rFonts w:asciiTheme="minorHAnsi" w:hAnsiTheme="minorHAnsi" w:cstheme="minorHAnsi"/>
          <w:sz w:val="21"/>
          <w:szCs w:val="21"/>
        </w:rPr>
        <w:t>3</w:t>
      </w:r>
      <w:r w:rsidRPr="0050279A">
        <w:rPr>
          <w:rFonts w:asciiTheme="minorHAnsi" w:hAnsiTheme="minorHAnsi" w:cstheme="minorHAnsi"/>
          <w:sz w:val="21"/>
          <w:szCs w:val="21"/>
        </w:rPr>
        <w:t xml:space="preserve"> %, tj. o </w:t>
      </w:r>
      <w:r w:rsidR="003C6783">
        <w:rPr>
          <w:rFonts w:asciiTheme="minorHAnsi" w:hAnsiTheme="minorHAnsi" w:cstheme="minorHAnsi"/>
          <w:sz w:val="21"/>
          <w:szCs w:val="21"/>
        </w:rPr>
        <w:t>8</w:t>
      </w:r>
      <w:r w:rsidR="003D4982">
        <w:rPr>
          <w:rFonts w:asciiTheme="minorHAnsi" w:hAnsiTheme="minorHAnsi" w:cstheme="minorHAnsi"/>
          <w:sz w:val="21"/>
          <w:szCs w:val="21"/>
        </w:rPr>
        <w:t>7</w:t>
      </w:r>
      <w:r w:rsidRPr="0050279A">
        <w:rPr>
          <w:rFonts w:asciiTheme="minorHAnsi" w:hAnsiTheme="minorHAnsi" w:cstheme="minorHAnsi"/>
          <w:sz w:val="21"/>
          <w:szCs w:val="21"/>
        </w:rPr>
        <w:t> Kč. Oproti ZPP 201</w:t>
      </w:r>
      <w:r w:rsidR="003C6783">
        <w:rPr>
          <w:rFonts w:asciiTheme="minorHAnsi" w:hAnsiTheme="minorHAnsi" w:cstheme="minorHAnsi"/>
          <w:sz w:val="21"/>
          <w:szCs w:val="21"/>
        </w:rPr>
        <w:t>9</w:t>
      </w:r>
      <w:r w:rsidRPr="0050279A">
        <w:rPr>
          <w:rFonts w:asciiTheme="minorHAnsi" w:hAnsiTheme="minorHAnsi" w:cstheme="minorHAnsi"/>
          <w:sz w:val="21"/>
          <w:szCs w:val="21"/>
        </w:rPr>
        <w:t xml:space="preserve"> pak náklady na léčení cizinců vzrostly </w:t>
      </w:r>
      <w:r w:rsidRPr="0050279A">
        <w:rPr>
          <w:rFonts w:asciiTheme="minorHAnsi" w:eastAsia="SimSun" w:hAnsiTheme="minorHAnsi" w:cstheme="minorHAnsi"/>
          <w:sz w:val="21"/>
          <w:szCs w:val="21"/>
        </w:rPr>
        <w:t>o</w:t>
      </w:r>
      <w:r w:rsidRPr="0050279A">
        <w:rPr>
          <w:rFonts w:asciiTheme="minorHAnsi" w:hAnsiTheme="minorHAnsi" w:cstheme="minorHAnsi"/>
          <w:sz w:val="21"/>
          <w:szCs w:val="21"/>
        </w:rPr>
        <w:t xml:space="preserve"> </w:t>
      </w:r>
      <w:r w:rsidR="00D64014">
        <w:rPr>
          <w:rFonts w:asciiTheme="minorHAnsi" w:hAnsiTheme="minorHAnsi" w:cstheme="minorHAnsi"/>
          <w:sz w:val="21"/>
          <w:szCs w:val="21"/>
        </w:rPr>
        <w:t>2,3</w:t>
      </w:r>
      <w:r w:rsidRPr="0050279A">
        <w:rPr>
          <w:rFonts w:asciiTheme="minorHAnsi" w:hAnsiTheme="minorHAnsi" w:cstheme="minorHAnsi"/>
          <w:sz w:val="21"/>
          <w:szCs w:val="21"/>
        </w:rPr>
        <w:t xml:space="preserve"> %.</w:t>
      </w:r>
    </w:p>
    <w:p w:rsidR="00086197" w:rsidRPr="003C6783" w:rsidRDefault="00086197" w:rsidP="0021299E">
      <w:pPr>
        <w:pStyle w:val="TEXT"/>
        <w:spacing w:before="180" w:after="180" w:line="276" w:lineRule="auto"/>
        <w:ind w:firstLine="0"/>
        <w:rPr>
          <w:rFonts w:asciiTheme="minorHAnsi" w:hAnsiTheme="minorHAnsi" w:cstheme="minorHAnsi"/>
          <w:sz w:val="21"/>
          <w:szCs w:val="21"/>
        </w:rPr>
      </w:pPr>
      <w:r w:rsidRPr="003C6783">
        <w:rPr>
          <w:rFonts w:asciiTheme="minorHAnsi" w:hAnsiTheme="minorHAnsi" w:cstheme="minorHAnsi"/>
          <w:sz w:val="21"/>
          <w:szCs w:val="21"/>
        </w:rPr>
        <w:t>Jednotlivé ZP uhradily závazky za zahraniční pojištěnce z BÚ ZFZP a částky za poskytnutou zdravotní péči si</w:t>
      </w:r>
      <w:r w:rsidR="003D5AD1">
        <w:rPr>
          <w:rFonts w:asciiTheme="minorHAnsi" w:hAnsiTheme="minorHAnsi" w:cstheme="minorHAnsi"/>
          <w:sz w:val="21"/>
          <w:szCs w:val="21"/>
        </w:rPr>
        <w:t> </w:t>
      </w:r>
      <w:r w:rsidRPr="003C6783">
        <w:rPr>
          <w:rFonts w:asciiTheme="minorHAnsi" w:hAnsiTheme="minorHAnsi" w:cstheme="minorHAnsi"/>
          <w:sz w:val="21"/>
          <w:szCs w:val="21"/>
        </w:rPr>
        <w:t xml:space="preserve">nárokovaly prostřednictvím Kanceláře </w:t>
      </w:r>
      <w:r w:rsidRPr="003C6783">
        <w:rPr>
          <w:rFonts w:asciiTheme="minorHAnsi" w:eastAsia="SimSun" w:hAnsiTheme="minorHAnsi" w:cstheme="minorHAnsi"/>
          <w:sz w:val="21"/>
          <w:szCs w:val="21"/>
        </w:rPr>
        <w:t>zdravotního pojištění</w:t>
      </w:r>
      <w:r w:rsidRPr="003C6783">
        <w:rPr>
          <w:rFonts w:asciiTheme="minorHAnsi" w:hAnsiTheme="minorHAnsi" w:cstheme="minorHAnsi"/>
          <w:sz w:val="21"/>
          <w:szCs w:val="21"/>
        </w:rPr>
        <w:t xml:space="preserve"> (dříve Centrum mezistátních úhrad) u zahraničních zdravotních pojišťoven, které provedly příslušnou úhradu. </w:t>
      </w:r>
      <w:r w:rsidRPr="003C6783">
        <w:rPr>
          <w:rFonts w:asciiTheme="minorHAnsi" w:eastAsia="Calibri" w:hAnsiTheme="minorHAnsi" w:cstheme="minorHAnsi"/>
          <w:sz w:val="21"/>
          <w:szCs w:val="21"/>
          <w:lang w:eastAsia="en-US"/>
        </w:rPr>
        <w:t>P</w:t>
      </w:r>
      <w:r w:rsidRPr="003C6783">
        <w:rPr>
          <w:rFonts w:asciiTheme="minorHAnsi" w:hAnsiTheme="minorHAnsi" w:cstheme="minorHAnsi"/>
          <w:sz w:val="21"/>
          <w:szCs w:val="21"/>
        </w:rPr>
        <w:t>růměrné náklady na jednoho ošetřeného cizince zůstávají dlouhodobě na srovnatelné úrovni (</w:t>
      </w:r>
      <w:r w:rsidRPr="003C6783">
        <w:rPr>
          <w:rFonts w:asciiTheme="minorHAnsi" w:hAnsiTheme="minorHAnsi" w:cstheme="minorHAnsi"/>
          <w:i/>
          <w:sz w:val="21"/>
          <w:szCs w:val="21"/>
        </w:rPr>
        <w:t>Tabulka č. 14</w:t>
      </w:r>
      <w:r w:rsidRPr="003C6783">
        <w:rPr>
          <w:rFonts w:asciiTheme="minorHAnsi" w:hAnsiTheme="minorHAnsi" w:cstheme="minorHAnsi"/>
          <w:sz w:val="21"/>
          <w:szCs w:val="21"/>
        </w:rPr>
        <w:t xml:space="preserve">). </w:t>
      </w:r>
    </w:p>
    <w:p w:rsidR="00086197" w:rsidRPr="000A7C30" w:rsidRDefault="00086197" w:rsidP="0021299E">
      <w:pPr>
        <w:pStyle w:val="TEXT"/>
        <w:spacing w:before="180" w:after="180" w:line="276" w:lineRule="auto"/>
        <w:ind w:firstLine="0"/>
        <w:rPr>
          <w:rFonts w:asciiTheme="minorHAnsi" w:eastAsia="SimSun" w:hAnsiTheme="minorHAnsi" w:cstheme="minorHAnsi"/>
          <w:sz w:val="21"/>
          <w:szCs w:val="21"/>
        </w:rPr>
      </w:pPr>
      <w:r w:rsidRPr="000A7C30">
        <w:rPr>
          <w:rFonts w:asciiTheme="minorHAnsi" w:hAnsiTheme="minorHAnsi" w:cstheme="minorHAnsi"/>
          <w:sz w:val="21"/>
          <w:szCs w:val="21"/>
        </w:rPr>
        <w:t>Na ZFZP bylo přijato od zahraničních pojišťoven za léčení cizinců (včetně plateb vypořádaných tzv. paušálem) 1,</w:t>
      </w:r>
      <w:r w:rsidR="000A7C30" w:rsidRPr="000A7C30">
        <w:rPr>
          <w:rFonts w:asciiTheme="minorHAnsi" w:hAnsiTheme="minorHAnsi" w:cstheme="minorHAnsi"/>
          <w:sz w:val="21"/>
          <w:szCs w:val="21"/>
        </w:rPr>
        <w:t>392</w:t>
      </w:r>
      <w:r w:rsidRPr="000A7C30">
        <w:rPr>
          <w:rFonts w:asciiTheme="minorHAnsi" w:hAnsiTheme="minorHAnsi" w:cstheme="minorHAnsi"/>
          <w:sz w:val="21"/>
          <w:szCs w:val="21"/>
        </w:rPr>
        <w:t xml:space="preserve"> mld. Kč,</w:t>
      </w:r>
      <w:r w:rsidRPr="000A7C30">
        <w:rPr>
          <w:rFonts w:asciiTheme="minorHAnsi" w:hAnsiTheme="minorHAnsi" w:cstheme="minorHAnsi"/>
          <w:smallCaps/>
          <w:sz w:val="21"/>
          <w:szCs w:val="21"/>
        </w:rPr>
        <w:t xml:space="preserve"> </w:t>
      </w:r>
      <w:r w:rsidRPr="000A7C30">
        <w:rPr>
          <w:rFonts w:asciiTheme="minorHAnsi" w:hAnsiTheme="minorHAnsi" w:cstheme="minorHAnsi"/>
          <w:sz w:val="21"/>
          <w:szCs w:val="21"/>
        </w:rPr>
        <w:t>a z prostředků ZFZP uhrazeno PZS za léčení cizinců 1,</w:t>
      </w:r>
      <w:r w:rsidR="000A7C30" w:rsidRPr="000A7C30">
        <w:rPr>
          <w:rFonts w:asciiTheme="minorHAnsi" w:hAnsiTheme="minorHAnsi" w:cstheme="minorHAnsi"/>
          <w:sz w:val="21"/>
          <w:szCs w:val="21"/>
        </w:rPr>
        <w:t>566 </w:t>
      </w:r>
      <w:r w:rsidRPr="000A7C30">
        <w:rPr>
          <w:rFonts w:asciiTheme="minorHAnsi" w:hAnsiTheme="minorHAnsi" w:cstheme="minorHAnsi"/>
          <w:sz w:val="21"/>
          <w:szCs w:val="21"/>
        </w:rPr>
        <w:t>mld. Kč, což znamená rozdíl mezi těmito příjmy a výdaji ve výši −0,</w:t>
      </w:r>
      <w:r w:rsidR="000A7C30" w:rsidRPr="000A7C30">
        <w:rPr>
          <w:rFonts w:asciiTheme="minorHAnsi" w:hAnsiTheme="minorHAnsi" w:cstheme="minorHAnsi"/>
          <w:sz w:val="21"/>
          <w:szCs w:val="21"/>
        </w:rPr>
        <w:t>173</w:t>
      </w:r>
      <w:r w:rsidRPr="000A7C30">
        <w:rPr>
          <w:rFonts w:asciiTheme="minorHAnsi" w:hAnsiTheme="minorHAnsi" w:cstheme="minorHAnsi"/>
          <w:sz w:val="21"/>
          <w:szCs w:val="21"/>
        </w:rPr>
        <w:t xml:space="preserve"> mld. Kč. Časové převisy výdajů za ošetření cizinců nad příjmy od zahraničních pojišťoven byly hrazeny z prostředků ZFZP. Tato částka snižuje konečný zůstatek ZFZP.  </w:t>
      </w:r>
    </w:p>
    <w:p w:rsidR="00086197" w:rsidRPr="0021299E" w:rsidRDefault="00086197" w:rsidP="0021299E">
      <w:pPr>
        <w:pStyle w:val="TABOBR"/>
        <w:spacing w:before="180" w:after="180" w:line="276" w:lineRule="auto"/>
        <w:rPr>
          <w:rFonts w:cstheme="minorHAnsi"/>
          <w:b w:val="0"/>
          <w:szCs w:val="21"/>
        </w:rPr>
      </w:pPr>
      <w:r w:rsidRPr="003C6783">
        <w:rPr>
          <w:rFonts w:eastAsia="Calibri" w:cstheme="minorHAnsi"/>
          <w:b w:val="0"/>
          <w:szCs w:val="21"/>
          <w:lang w:eastAsia="en-US"/>
        </w:rPr>
        <w:t xml:space="preserve">Objemy úhrad na léčení </w:t>
      </w:r>
      <w:r w:rsidRPr="003C6783">
        <w:rPr>
          <w:rFonts w:cstheme="minorHAnsi"/>
          <w:b w:val="0"/>
          <w:szCs w:val="21"/>
        </w:rPr>
        <w:t xml:space="preserve">zahraničních pojištěnců </w:t>
      </w:r>
      <w:r w:rsidRPr="003C6783">
        <w:rPr>
          <w:rFonts w:eastAsia="Calibri" w:cstheme="minorHAnsi"/>
          <w:b w:val="0"/>
          <w:szCs w:val="21"/>
          <w:lang w:eastAsia="en-US"/>
        </w:rPr>
        <w:t>má</w:t>
      </w:r>
      <w:r w:rsidRPr="003C6783">
        <w:rPr>
          <w:rFonts w:cstheme="minorHAnsi"/>
          <w:b w:val="0"/>
          <w:szCs w:val="21"/>
        </w:rPr>
        <w:t xml:space="preserve"> i nadále pokračující trend nárůstu nákladů s ohledem na</w:t>
      </w:r>
      <w:r w:rsidR="003D5AD1">
        <w:rPr>
          <w:rFonts w:cstheme="minorHAnsi"/>
          <w:b w:val="0"/>
          <w:szCs w:val="21"/>
        </w:rPr>
        <w:t> </w:t>
      </w:r>
      <w:r w:rsidRPr="003C6783">
        <w:rPr>
          <w:rFonts w:cstheme="minorHAnsi"/>
          <w:b w:val="0"/>
          <w:szCs w:val="21"/>
        </w:rPr>
        <w:t>zvyšující se počet migrujících občanů jiných členských států EU, EHP, Švýcarské konfederace a dalších smluvních států, kterým byly v ČR poskytnuty zdravotní služby.</w:t>
      </w:r>
    </w:p>
    <w:p w:rsidR="00086197" w:rsidRPr="0021299E" w:rsidRDefault="00086197" w:rsidP="0021299E">
      <w:pPr>
        <w:pStyle w:val="Titulek"/>
        <w:jc w:val="both"/>
        <w:rPr>
          <w:b w:val="0"/>
        </w:rPr>
      </w:pPr>
      <w:bookmarkStart w:id="45" w:name="_Toc41837506"/>
      <w:r w:rsidRPr="00C75FC6">
        <w:t xml:space="preserve">Tabulka č. </w:t>
      </w:r>
      <w:r>
        <w:rPr>
          <w:noProof/>
        </w:rPr>
        <w:fldChar w:fldCharType="begin"/>
      </w:r>
      <w:r>
        <w:rPr>
          <w:noProof/>
        </w:rPr>
        <w:instrText xml:space="preserve"> SEQ Tabulka \* ARABIC </w:instrText>
      </w:r>
      <w:r>
        <w:rPr>
          <w:noProof/>
        </w:rPr>
        <w:fldChar w:fldCharType="separate"/>
      </w:r>
      <w:r w:rsidR="00B17299">
        <w:rPr>
          <w:noProof/>
        </w:rPr>
        <w:t>14</w:t>
      </w:r>
      <w:r>
        <w:rPr>
          <w:noProof/>
        </w:rPr>
        <w:fldChar w:fldCharType="end"/>
      </w:r>
      <w:r w:rsidRPr="00C75FC6">
        <w:t xml:space="preserve">: </w:t>
      </w:r>
      <w:r w:rsidRPr="00086197">
        <w:t>Vývoj nákladů na léčení zahraničních pojištěnců v České republice</w:t>
      </w:r>
      <w:bookmarkEnd w:id="45"/>
      <w:r w:rsidRPr="00086197">
        <w:rPr>
          <w:highlight w:val="green"/>
        </w:rPr>
        <w:t xml:space="preserve"> </w:t>
      </w:r>
    </w:p>
    <w:tbl>
      <w:tblPr>
        <w:tblW w:w="9080" w:type="dxa"/>
        <w:jc w:val="center"/>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2080"/>
        <w:gridCol w:w="1000"/>
        <w:gridCol w:w="1000"/>
        <w:gridCol w:w="1000"/>
        <w:gridCol w:w="1000"/>
        <w:gridCol w:w="1000"/>
        <w:gridCol w:w="1000"/>
        <w:gridCol w:w="1000"/>
      </w:tblGrid>
      <w:tr w:rsidR="0076102D" w:rsidRPr="008A3469" w:rsidTr="000E6678">
        <w:trPr>
          <w:trHeight w:val="600"/>
          <w:jc w:val="center"/>
        </w:trPr>
        <w:tc>
          <w:tcPr>
            <w:tcW w:w="2080" w:type="dxa"/>
            <w:shd w:val="clear" w:color="000000" w:fill="4F81BD"/>
            <w:vAlign w:val="center"/>
            <w:hideMark/>
          </w:tcPr>
          <w:p w:rsidR="0076102D" w:rsidRPr="008A3469" w:rsidRDefault="0076102D" w:rsidP="0076102D">
            <w:pPr>
              <w:spacing w:after="0" w:line="240" w:lineRule="auto"/>
              <w:rPr>
                <w:rFonts w:ascii="Calibri" w:eastAsia="Times New Roman" w:hAnsi="Calibri" w:cs="Times New Roman"/>
                <w:b/>
                <w:bCs/>
                <w:color w:val="FFFFFF"/>
                <w:szCs w:val="21"/>
                <w:lang w:eastAsia="cs-CZ"/>
              </w:rPr>
            </w:pPr>
            <w:r w:rsidRPr="008A3469">
              <w:rPr>
                <w:rFonts w:ascii="Calibri" w:eastAsia="Times New Roman" w:hAnsi="Calibri" w:cs="Times New Roman"/>
                <w:b/>
                <w:bCs/>
                <w:color w:val="FFFFFF"/>
                <w:szCs w:val="21"/>
                <w:lang w:eastAsia="cs-CZ"/>
              </w:rPr>
              <w:t>Ukazatel</w:t>
            </w:r>
          </w:p>
        </w:tc>
        <w:tc>
          <w:tcPr>
            <w:tcW w:w="1000" w:type="dxa"/>
            <w:shd w:val="clear" w:color="000000" w:fill="6691C6"/>
            <w:noWrap/>
            <w:vAlign w:val="center"/>
            <w:hideMark/>
          </w:tcPr>
          <w:p w:rsidR="0076102D" w:rsidRPr="008A3469" w:rsidRDefault="0076102D" w:rsidP="0076102D">
            <w:pPr>
              <w:spacing w:after="0" w:line="240" w:lineRule="auto"/>
              <w:jc w:val="center"/>
              <w:rPr>
                <w:rFonts w:ascii="Calibri" w:eastAsia="Times New Roman" w:hAnsi="Calibri" w:cs="Times New Roman"/>
                <w:b/>
                <w:bCs/>
                <w:color w:val="FFFFFF"/>
                <w:szCs w:val="21"/>
                <w:lang w:eastAsia="cs-CZ"/>
              </w:rPr>
            </w:pPr>
            <w:r w:rsidRPr="00635E8D">
              <w:rPr>
                <w:rFonts w:ascii="Calibri" w:eastAsia="Times New Roman" w:hAnsi="Calibri" w:cs="Times New Roman"/>
                <w:b/>
                <w:bCs/>
                <w:color w:val="FFFFFF"/>
                <w:szCs w:val="21"/>
                <w:lang w:eastAsia="cs-CZ"/>
              </w:rPr>
              <w:t>2014</w:t>
            </w:r>
          </w:p>
        </w:tc>
        <w:tc>
          <w:tcPr>
            <w:tcW w:w="1000" w:type="dxa"/>
            <w:shd w:val="clear" w:color="000000" w:fill="4F81BD"/>
            <w:noWrap/>
            <w:vAlign w:val="center"/>
            <w:hideMark/>
          </w:tcPr>
          <w:p w:rsidR="0076102D" w:rsidRPr="008A3469" w:rsidRDefault="0076102D" w:rsidP="0076102D">
            <w:pPr>
              <w:spacing w:after="0" w:line="240" w:lineRule="auto"/>
              <w:jc w:val="center"/>
              <w:rPr>
                <w:rFonts w:ascii="Calibri" w:eastAsia="Times New Roman" w:hAnsi="Calibri" w:cs="Times New Roman"/>
                <w:b/>
                <w:bCs/>
                <w:color w:val="FFFFFF"/>
                <w:szCs w:val="21"/>
                <w:lang w:eastAsia="cs-CZ"/>
              </w:rPr>
            </w:pPr>
            <w:r w:rsidRPr="00635E8D">
              <w:rPr>
                <w:rFonts w:ascii="Calibri" w:eastAsia="Times New Roman" w:hAnsi="Calibri" w:cs="Times New Roman"/>
                <w:b/>
                <w:bCs/>
                <w:color w:val="FFFFFF"/>
                <w:szCs w:val="21"/>
                <w:lang w:eastAsia="cs-CZ"/>
              </w:rPr>
              <w:t>2015</w:t>
            </w:r>
          </w:p>
        </w:tc>
        <w:tc>
          <w:tcPr>
            <w:tcW w:w="1000" w:type="dxa"/>
            <w:shd w:val="clear" w:color="000000" w:fill="6691C6"/>
            <w:noWrap/>
            <w:vAlign w:val="center"/>
            <w:hideMark/>
          </w:tcPr>
          <w:p w:rsidR="0076102D" w:rsidRPr="008A3469" w:rsidRDefault="0076102D" w:rsidP="0076102D">
            <w:pPr>
              <w:spacing w:after="0" w:line="240" w:lineRule="auto"/>
              <w:jc w:val="center"/>
              <w:rPr>
                <w:rFonts w:ascii="Calibri" w:eastAsia="Times New Roman" w:hAnsi="Calibri" w:cs="Times New Roman"/>
                <w:b/>
                <w:bCs/>
                <w:color w:val="FFFFFF"/>
                <w:szCs w:val="21"/>
                <w:lang w:eastAsia="cs-CZ"/>
              </w:rPr>
            </w:pPr>
            <w:r w:rsidRPr="00635E8D">
              <w:rPr>
                <w:rFonts w:ascii="Calibri" w:eastAsia="Times New Roman" w:hAnsi="Calibri" w:cs="Times New Roman"/>
                <w:b/>
                <w:bCs/>
                <w:color w:val="FFFFFF"/>
                <w:szCs w:val="21"/>
                <w:lang w:eastAsia="cs-CZ"/>
              </w:rPr>
              <w:t>2016</w:t>
            </w:r>
          </w:p>
        </w:tc>
        <w:tc>
          <w:tcPr>
            <w:tcW w:w="1000" w:type="dxa"/>
            <w:shd w:val="clear" w:color="000000" w:fill="4F81BD"/>
            <w:noWrap/>
            <w:vAlign w:val="center"/>
            <w:hideMark/>
          </w:tcPr>
          <w:p w:rsidR="0076102D" w:rsidRPr="008A3469" w:rsidRDefault="0076102D" w:rsidP="0076102D">
            <w:pPr>
              <w:spacing w:after="0" w:line="240" w:lineRule="auto"/>
              <w:jc w:val="center"/>
              <w:rPr>
                <w:rFonts w:ascii="Calibri" w:eastAsia="Times New Roman" w:hAnsi="Calibri" w:cs="Times New Roman"/>
                <w:b/>
                <w:bCs/>
                <w:color w:val="FFFFFF"/>
                <w:szCs w:val="21"/>
                <w:lang w:eastAsia="cs-CZ"/>
              </w:rPr>
            </w:pPr>
            <w:r w:rsidRPr="00635E8D">
              <w:rPr>
                <w:rFonts w:ascii="Calibri" w:eastAsia="Times New Roman" w:hAnsi="Calibri" w:cs="Times New Roman"/>
                <w:b/>
                <w:bCs/>
                <w:color w:val="FFFFFF"/>
                <w:szCs w:val="21"/>
                <w:lang w:eastAsia="cs-CZ"/>
              </w:rPr>
              <w:t>2017</w:t>
            </w:r>
          </w:p>
        </w:tc>
        <w:tc>
          <w:tcPr>
            <w:tcW w:w="1000" w:type="dxa"/>
            <w:shd w:val="clear" w:color="000000" w:fill="6691C6"/>
            <w:noWrap/>
            <w:vAlign w:val="center"/>
            <w:hideMark/>
          </w:tcPr>
          <w:p w:rsidR="0076102D" w:rsidRPr="008A3469" w:rsidRDefault="0076102D" w:rsidP="0076102D">
            <w:pPr>
              <w:spacing w:after="0" w:line="240" w:lineRule="auto"/>
              <w:jc w:val="center"/>
              <w:rPr>
                <w:rFonts w:ascii="Calibri" w:eastAsia="Times New Roman" w:hAnsi="Calibri" w:cs="Times New Roman"/>
                <w:b/>
                <w:bCs/>
                <w:color w:val="FFFFFF"/>
                <w:szCs w:val="21"/>
                <w:lang w:eastAsia="cs-CZ"/>
              </w:rPr>
            </w:pPr>
            <w:r w:rsidRPr="00635E8D">
              <w:rPr>
                <w:rFonts w:ascii="Calibri" w:eastAsia="Times New Roman" w:hAnsi="Calibri" w:cs="Times New Roman"/>
                <w:b/>
                <w:bCs/>
                <w:color w:val="FFFFFF"/>
                <w:szCs w:val="21"/>
                <w:lang w:eastAsia="cs-CZ"/>
              </w:rPr>
              <w:t>201</w:t>
            </w:r>
            <w:r>
              <w:rPr>
                <w:rFonts w:ascii="Calibri" w:eastAsia="Times New Roman" w:hAnsi="Calibri" w:cs="Times New Roman"/>
                <w:b/>
                <w:bCs/>
                <w:color w:val="FFFFFF"/>
                <w:szCs w:val="21"/>
                <w:lang w:eastAsia="cs-CZ"/>
              </w:rPr>
              <w:t>8</w:t>
            </w:r>
          </w:p>
        </w:tc>
        <w:tc>
          <w:tcPr>
            <w:tcW w:w="1000" w:type="dxa"/>
            <w:shd w:val="clear" w:color="000000" w:fill="4F81BD"/>
            <w:vAlign w:val="center"/>
            <w:hideMark/>
          </w:tcPr>
          <w:p w:rsidR="0076102D" w:rsidRPr="008A3469" w:rsidRDefault="0076102D" w:rsidP="0076102D">
            <w:pPr>
              <w:spacing w:after="0" w:line="240" w:lineRule="auto"/>
              <w:jc w:val="center"/>
              <w:rPr>
                <w:rFonts w:ascii="Calibri" w:eastAsia="Times New Roman" w:hAnsi="Calibri" w:cs="Times New Roman"/>
                <w:b/>
                <w:bCs/>
                <w:color w:val="FFFFFF"/>
                <w:szCs w:val="21"/>
                <w:lang w:eastAsia="cs-CZ"/>
              </w:rPr>
            </w:pPr>
            <w:r w:rsidRPr="00635E8D">
              <w:rPr>
                <w:rFonts w:ascii="Calibri" w:eastAsia="Times New Roman" w:hAnsi="Calibri" w:cs="Times New Roman"/>
                <w:b/>
                <w:bCs/>
                <w:color w:val="FFFFFF"/>
                <w:szCs w:val="21"/>
                <w:lang w:eastAsia="cs-CZ"/>
              </w:rPr>
              <w:t>201</w:t>
            </w:r>
            <w:r>
              <w:rPr>
                <w:rFonts w:ascii="Calibri" w:eastAsia="Times New Roman" w:hAnsi="Calibri" w:cs="Times New Roman"/>
                <w:b/>
                <w:bCs/>
                <w:color w:val="FFFFFF"/>
                <w:szCs w:val="21"/>
                <w:lang w:eastAsia="cs-CZ"/>
              </w:rPr>
              <w:t>9</w:t>
            </w:r>
          </w:p>
        </w:tc>
        <w:tc>
          <w:tcPr>
            <w:tcW w:w="1000" w:type="dxa"/>
            <w:shd w:val="clear" w:color="000000" w:fill="6691C6"/>
            <w:noWrap/>
            <w:vAlign w:val="center"/>
            <w:hideMark/>
          </w:tcPr>
          <w:p w:rsidR="0076102D" w:rsidRDefault="0076102D" w:rsidP="0076102D">
            <w:pPr>
              <w:spacing w:after="0" w:line="240" w:lineRule="auto"/>
              <w:jc w:val="center"/>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2019</w:t>
            </w:r>
          </w:p>
          <w:p w:rsidR="0076102D" w:rsidRPr="008A3469" w:rsidRDefault="0076102D" w:rsidP="0076102D">
            <w:pPr>
              <w:spacing w:after="0" w:line="240" w:lineRule="auto"/>
              <w:jc w:val="center"/>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ZPP</w:t>
            </w:r>
          </w:p>
        </w:tc>
      </w:tr>
      <w:tr w:rsidR="00C328E4" w:rsidRPr="008A3469" w:rsidTr="007140DB">
        <w:trPr>
          <w:trHeight w:val="559"/>
          <w:jc w:val="center"/>
        </w:trPr>
        <w:tc>
          <w:tcPr>
            <w:tcW w:w="2080" w:type="dxa"/>
            <w:shd w:val="clear" w:color="auto" w:fill="auto"/>
            <w:vAlign w:val="bottom"/>
            <w:hideMark/>
          </w:tcPr>
          <w:p w:rsidR="00C328E4" w:rsidRPr="008A3469" w:rsidRDefault="00C328E4" w:rsidP="00C328E4">
            <w:pPr>
              <w:spacing w:after="0" w:line="240" w:lineRule="auto"/>
              <w:rPr>
                <w:rFonts w:ascii="Calibri" w:eastAsia="Times New Roman" w:hAnsi="Calibri" w:cs="Times New Roman"/>
                <w:b/>
                <w:bCs/>
                <w:color w:val="000000"/>
                <w:szCs w:val="21"/>
                <w:lang w:eastAsia="cs-CZ"/>
              </w:rPr>
            </w:pPr>
            <w:r w:rsidRPr="008A3469">
              <w:rPr>
                <w:rFonts w:ascii="Calibri" w:eastAsia="Times New Roman" w:hAnsi="Calibri" w:cs="Times New Roman"/>
                <w:b/>
                <w:bCs/>
                <w:color w:val="000000"/>
                <w:szCs w:val="21"/>
                <w:lang w:eastAsia="cs-CZ"/>
              </w:rPr>
              <w:t xml:space="preserve">Náklady na </w:t>
            </w:r>
            <w:r w:rsidRPr="008A3469">
              <w:rPr>
                <w:rFonts w:ascii="Calibri" w:eastAsia="Times New Roman" w:hAnsi="Calibri" w:cs="Times New Roman"/>
                <w:b/>
                <w:bCs/>
                <w:color w:val="000000"/>
                <w:szCs w:val="21"/>
                <w:lang w:eastAsia="cs-CZ"/>
              </w:rPr>
              <w:br/>
              <w:t xml:space="preserve">léčení z. p. </w:t>
            </w:r>
            <w:r w:rsidRPr="008A3469">
              <w:rPr>
                <w:rFonts w:ascii="Calibri" w:eastAsia="Times New Roman" w:hAnsi="Calibri" w:cs="Times New Roman"/>
                <w:color w:val="000000"/>
                <w:szCs w:val="21"/>
                <w:lang w:eastAsia="cs-CZ"/>
              </w:rPr>
              <w:t>(v mil. Kč)</w:t>
            </w:r>
          </w:p>
        </w:tc>
        <w:tc>
          <w:tcPr>
            <w:tcW w:w="1000" w:type="dxa"/>
            <w:shd w:val="clear" w:color="000000" w:fill="DCE6F1"/>
            <w:noWrap/>
            <w:vAlign w:val="center"/>
            <w:hideMark/>
          </w:tcPr>
          <w:p w:rsidR="00C328E4" w:rsidRPr="008A3469" w:rsidRDefault="00C328E4" w:rsidP="003D5AD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750</w:t>
            </w:r>
          </w:p>
        </w:tc>
        <w:tc>
          <w:tcPr>
            <w:tcW w:w="1000" w:type="dxa"/>
            <w:shd w:val="clear" w:color="auto" w:fill="auto"/>
            <w:noWrap/>
            <w:vAlign w:val="center"/>
            <w:hideMark/>
          </w:tcPr>
          <w:p w:rsidR="00C328E4" w:rsidRPr="008A3469" w:rsidRDefault="00C328E4" w:rsidP="003D5AD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884</w:t>
            </w:r>
          </w:p>
        </w:tc>
        <w:tc>
          <w:tcPr>
            <w:tcW w:w="1000" w:type="dxa"/>
            <w:shd w:val="clear" w:color="000000" w:fill="DCE6F1"/>
            <w:noWrap/>
            <w:vAlign w:val="center"/>
            <w:hideMark/>
          </w:tcPr>
          <w:p w:rsidR="00C328E4" w:rsidRPr="008A3469"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1 090</w:t>
            </w:r>
          </w:p>
        </w:tc>
        <w:tc>
          <w:tcPr>
            <w:tcW w:w="1000" w:type="dxa"/>
            <w:shd w:val="clear" w:color="auto" w:fill="auto"/>
            <w:noWrap/>
            <w:vAlign w:val="center"/>
            <w:hideMark/>
          </w:tcPr>
          <w:p w:rsidR="00C328E4" w:rsidRPr="008A3469"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1 284</w:t>
            </w:r>
          </w:p>
        </w:tc>
        <w:tc>
          <w:tcPr>
            <w:tcW w:w="1000" w:type="dxa"/>
            <w:shd w:val="clear" w:color="000000" w:fill="DCE6F1"/>
            <w:noWrap/>
            <w:vAlign w:val="center"/>
            <w:hideMark/>
          </w:tcPr>
          <w:p w:rsidR="00C328E4" w:rsidRPr="008A3469"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1 494</w:t>
            </w:r>
          </w:p>
        </w:tc>
        <w:tc>
          <w:tcPr>
            <w:tcW w:w="1000" w:type="dxa"/>
            <w:shd w:val="clear" w:color="auto" w:fill="auto"/>
            <w:noWrap/>
            <w:vAlign w:val="center"/>
            <w:hideMark/>
          </w:tcPr>
          <w:p w:rsidR="00C328E4" w:rsidRPr="008A3469"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1 615</w:t>
            </w:r>
          </w:p>
        </w:tc>
        <w:tc>
          <w:tcPr>
            <w:tcW w:w="1000" w:type="dxa"/>
            <w:shd w:val="clear" w:color="000000" w:fill="DCE6F1"/>
            <w:noWrap/>
            <w:vAlign w:val="center"/>
            <w:hideMark/>
          </w:tcPr>
          <w:p w:rsidR="00C328E4" w:rsidRPr="008A3469"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1 578</w:t>
            </w:r>
          </w:p>
        </w:tc>
      </w:tr>
      <w:tr w:rsidR="00C328E4" w:rsidRPr="008A3469" w:rsidTr="007140DB">
        <w:trPr>
          <w:trHeight w:val="300"/>
          <w:jc w:val="center"/>
        </w:trPr>
        <w:tc>
          <w:tcPr>
            <w:tcW w:w="2080" w:type="dxa"/>
            <w:shd w:val="clear" w:color="000000" w:fill="EEF3F8"/>
            <w:vAlign w:val="bottom"/>
            <w:hideMark/>
          </w:tcPr>
          <w:p w:rsidR="00C328E4" w:rsidRPr="008A3469" w:rsidRDefault="00C328E4" w:rsidP="00C328E4">
            <w:pPr>
              <w:spacing w:after="0" w:line="240" w:lineRule="auto"/>
              <w:rPr>
                <w:rFonts w:ascii="Calibri" w:eastAsia="Times New Roman" w:hAnsi="Calibri" w:cs="Times New Roman"/>
                <w:b/>
                <w:bCs/>
                <w:color w:val="000000"/>
                <w:szCs w:val="21"/>
                <w:lang w:eastAsia="cs-CZ"/>
              </w:rPr>
            </w:pPr>
            <w:r w:rsidRPr="008A3469">
              <w:rPr>
                <w:rFonts w:ascii="Calibri" w:eastAsia="Times New Roman" w:hAnsi="Calibri" w:cs="Times New Roman"/>
                <w:b/>
                <w:bCs/>
                <w:color w:val="000000"/>
                <w:szCs w:val="21"/>
                <w:lang w:eastAsia="cs-CZ"/>
              </w:rPr>
              <w:t xml:space="preserve">Počet ošetřených z. p. </w:t>
            </w:r>
          </w:p>
        </w:tc>
        <w:tc>
          <w:tcPr>
            <w:tcW w:w="1000" w:type="dxa"/>
            <w:shd w:val="clear" w:color="000000" w:fill="EEF3F8"/>
            <w:noWrap/>
            <w:vAlign w:val="center"/>
            <w:hideMark/>
          </w:tcPr>
          <w:p w:rsidR="00C328E4" w:rsidRPr="008A3469" w:rsidRDefault="00C328E4" w:rsidP="003D5AD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133 868</w:t>
            </w:r>
          </w:p>
        </w:tc>
        <w:tc>
          <w:tcPr>
            <w:tcW w:w="1000" w:type="dxa"/>
            <w:shd w:val="clear" w:color="000000" w:fill="EEF3F8"/>
            <w:noWrap/>
            <w:vAlign w:val="center"/>
            <w:hideMark/>
          </w:tcPr>
          <w:p w:rsidR="00C328E4" w:rsidRPr="008A3469" w:rsidRDefault="00C328E4" w:rsidP="003D5AD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159 611</w:t>
            </w:r>
          </w:p>
        </w:tc>
        <w:tc>
          <w:tcPr>
            <w:tcW w:w="1000" w:type="dxa"/>
            <w:shd w:val="clear" w:color="000000" w:fill="EEF3F8"/>
            <w:noWrap/>
            <w:vAlign w:val="center"/>
            <w:hideMark/>
          </w:tcPr>
          <w:p w:rsidR="00C328E4" w:rsidRPr="008A3469"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182 409</w:t>
            </w:r>
          </w:p>
        </w:tc>
        <w:tc>
          <w:tcPr>
            <w:tcW w:w="1000" w:type="dxa"/>
            <w:shd w:val="clear" w:color="000000" w:fill="EEF3F8"/>
            <w:noWrap/>
            <w:vAlign w:val="center"/>
            <w:hideMark/>
          </w:tcPr>
          <w:p w:rsidR="00C328E4" w:rsidRPr="008A3469"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204 368</w:t>
            </w:r>
          </w:p>
        </w:tc>
        <w:tc>
          <w:tcPr>
            <w:tcW w:w="1000" w:type="dxa"/>
            <w:shd w:val="clear" w:color="000000" w:fill="EEF3F8"/>
            <w:noWrap/>
            <w:vAlign w:val="center"/>
            <w:hideMark/>
          </w:tcPr>
          <w:p w:rsidR="00C328E4" w:rsidRPr="008A3469"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232 961</w:t>
            </w:r>
          </w:p>
        </w:tc>
        <w:tc>
          <w:tcPr>
            <w:tcW w:w="1000" w:type="dxa"/>
            <w:shd w:val="clear" w:color="000000" w:fill="EEF3F8"/>
            <w:noWrap/>
            <w:vAlign w:val="center"/>
            <w:hideMark/>
          </w:tcPr>
          <w:p w:rsidR="00C328E4" w:rsidRPr="008A3469"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248 388</w:t>
            </w:r>
          </w:p>
        </w:tc>
        <w:tc>
          <w:tcPr>
            <w:tcW w:w="1000" w:type="dxa"/>
            <w:shd w:val="clear" w:color="000000" w:fill="EEF3F8"/>
            <w:noWrap/>
            <w:vAlign w:val="center"/>
            <w:hideMark/>
          </w:tcPr>
          <w:p w:rsidR="00C328E4" w:rsidRPr="008A3469"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250 410</w:t>
            </w:r>
          </w:p>
        </w:tc>
      </w:tr>
      <w:tr w:rsidR="00C328E4" w:rsidRPr="008A3469" w:rsidTr="007140DB">
        <w:trPr>
          <w:trHeight w:val="559"/>
          <w:jc w:val="center"/>
        </w:trPr>
        <w:tc>
          <w:tcPr>
            <w:tcW w:w="2080" w:type="dxa"/>
            <w:shd w:val="clear" w:color="auto" w:fill="auto"/>
            <w:vAlign w:val="bottom"/>
            <w:hideMark/>
          </w:tcPr>
          <w:p w:rsidR="00C328E4" w:rsidRPr="008A3469" w:rsidRDefault="00C328E4" w:rsidP="00C328E4">
            <w:pPr>
              <w:spacing w:after="0" w:line="240" w:lineRule="auto"/>
              <w:rPr>
                <w:rFonts w:ascii="Calibri" w:eastAsia="Times New Roman" w:hAnsi="Calibri" w:cs="Times New Roman"/>
                <w:b/>
                <w:bCs/>
                <w:color w:val="000000"/>
                <w:szCs w:val="21"/>
                <w:lang w:eastAsia="cs-CZ"/>
              </w:rPr>
            </w:pPr>
            <w:r w:rsidRPr="008A3469">
              <w:rPr>
                <w:rFonts w:ascii="Calibri" w:eastAsia="Times New Roman" w:hAnsi="Calibri" w:cs="Times New Roman"/>
                <w:b/>
                <w:bCs/>
                <w:color w:val="000000"/>
                <w:szCs w:val="21"/>
                <w:lang w:eastAsia="cs-CZ"/>
              </w:rPr>
              <w:t xml:space="preserve">Průměrné náklady na ošetřeného z. p. </w:t>
            </w:r>
            <w:r w:rsidRPr="008A3469">
              <w:rPr>
                <w:rFonts w:ascii="Calibri" w:eastAsia="Times New Roman" w:hAnsi="Calibri" w:cs="Times New Roman"/>
                <w:color w:val="000000"/>
                <w:szCs w:val="21"/>
                <w:lang w:eastAsia="cs-CZ"/>
              </w:rPr>
              <w:t>(v Kč)</w:t>
            </w:r>
          </w:p>
        </w:tc>
        <w:tc>
          <w:tcPr>
            <w:tcW w:w="1000" w:type="dxa"/>
            <w:shd w:val="clear" w:color="000000" w:fill="DCE6F1"/>
            <w:noWrap/>
            <w:vAlign w:val="center"/>
            <w:hideMark/>
          </w:tcPr>
          <w:p w:rsidR="00C328E4" w:rsidRPr="008A3469" w:rsidRDefault="00C328E4" w:rsidP="003D5AD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5 600</w:t>
            </w:r>
          </w:p>
        </w:tc>
        <w:tc>
          <w:tcPr>
            <w:tcW w:w="1000" w:type="dxa"/>
            <w:shd w:val="clear" w:color="auto" w:fill="auto"/>
            <w:noWrap/>
            <w:vAlign w:val="center"/>
            <w:hideMark/>
          </w:tcPr>
          <w:p w:rsidR="00C328E4" w:rsidRPr="008A3469" w:rsidRDefault="00C328E4" w:rsidP="003D5AD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5 540</w:t>
            </w:r>
          </w:p>
        </w:tc>
        <w:tc>
          <w:tcPr>
            <w:tcW w:w="1000" w:type="dxa"/>
            <w:shd w:val="clear" w:color="000000" w:fill="DCE6F1"/>
            <w:noWrap/>
            <w:vAlign w:val="center"/>
            <w:hideMark/>
          </w:tcPr>
          <w:p w:rsidR="00C328E4" w:rsidRPr="008A3469"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5 978</w:t>
            </w:r>
          </w:p>
        </w:tc>
        <w:tc>
          <w:tcPr>
            <w:tcW w:w="1000" w:type="dxa"/>
            <w:shd w:val="clear" w:color="auto" w:fill="auto"/>
            <w:noWrap/>
            <w:vAlign w:val="center"/>
            <w:hideMark/>
          </w:tcPr>
          <w:p w:rsidR="00C328E4" w:rsidRPr="008A3469"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6 284</w:t>
            </w:r>
          </w:p>
        </w:tc>
        <w:tc>
          <w:tcPr>
            <w:tcW w:w="1000" w:type="dxa"/>
            <w:shd w:val="clear" w:color="000000" w:fill="DCE6F1"/>
            <w:noWrap/>
            <w:vAlign w:val="center"/>
            <w:hideMark/>
          </w:tcPr>
          <w:p w:rsidR="00C328E4" w:rsidRPr="008A3469"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6 414</w:t>
            </w:r>
          </w:p>
        </w:tc>
        <w:tc>
          <w:tcPr>
            <w:tcW w:w="1000" w:type="dxa"/>
            <w:shd w:val="clear" w:color="auto" w:fill="auto"/>
            <w:noWrap/>
            <w:vAlign w:val="center"/>
            <w:hideMark/>
          </w:tcPr>
          <w:p w:rsidR="00C328E4" w:rsidRPr="008A3469"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6 501</w:t>
            </w:r>
          </w:p>
        </w:tc>
        <w:tc>
          <w:tcPr>
            <w:tcW w:w="1000" w:type="dxa"/>
            <w:shd w:val="clear" w:color="000000" w:fill="DCE6F1"/>
            <w:noWrap/>
            <w:vAlign w:val="center"/>
            <w:hideMark/>
          </w:tcPr>
          <w:p w:rsidR="00C328E4" w:rsidRPr="008A3469"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6 302</w:t>
            </w:r>
          </w:p>
        </w:tc>
      </w:tr>
    </w:tbl>
    <w:p w:rsidR="00086197" w:rsidRDefault="00086197" w:rsidP="00086197">
      <w:pPr>
        <w:pStyle w:val="Titulek"/>
        <w:jc w:val="both"/>
      </w:pPr>
    </w:p>
    <w:p w:rsidR="00086197" w:rsidRPr="00BB3829" w:rsidRDefault="00086197" w:rsidP="00086197">
      <w:pPr>
        <w:pStyle w:val="Titulek"/>
        <w:jc w:val="both"/>
      </w:pPr>
      <w:bookmarkStart w:id="46" w:name="_Toc41837507"/>
      <w:r w:rsidRPr="00C75FC6">
        <w:t xml:space="preserve">Tabulka č. </w:t>
      </w:r>
      <w:r>
        <w:rPr>
          <w:noProof/>
        </w:rPr>
        <w:fldChar w:fldCharType="begin"/>
      </w:r>
      <w:r>
        <w:rPr>
          <w:noProof/>
        </w:rPr>
        <w:instrText xml:space="preserve"> SEQ Tabulka \* ARABIC </w:instrText>
      </w:r>
      <w:r>
        <w:rPr>
          <w:noProof/>
        </w:rPr>
        <w:fldChar w:fldCharType="separate"/>
      </w:r>
      <w:r w:rsidR="00B17299">
        <w:rPr>
          <w:noProof/>
        </w:rPr>
        <w:t>15</w:t>
      </w:r>
      <w:r>
        <w:rPr>
          <w:noProof/>
        </w:rPr>
        <w:fldChar w:fldCharType="end"/>
      </w:r>
      <w:r w:rsidRPr="00C75FC6">
        <w:t xml:space="preserve">: </w:t>
      </w:r>
      <w:r w:rsidRPr="00086197">
        <w:t>Náklady na léčení zahraničních pojištěnců v České republice podle zdravotních pojišťoven v roce 201</w:t>
      </w:r>
      <w:r w:rsidR="00C328E4">
        <w:t>9</w:t>
      </w:r>
      <w:bookmarkEnd w:id="46"/>
    </w:p>
    <w:tbl>
      <w:tblPr>
        <w:tblW w:w="9080" w:type="dxa"/>
        <w:jc w:val="center"/>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2080"/>
        <w:gridCol w:w="1000"/>
        <w:gridCol w:w="1000"/>
        <w:gridCol w:w="1000"/>
        <w:gridCol w:w="1000"/>
        <w:gridCol w:w="1000"/>
        <w:gridCol w:w="1000"/>
        <w:gridCol w:w="1000"/>
      </w:tblGrid>
      <w:tr w:rsidR="00086197" w:rsidTr="000E6678">
        <w:trPr>
          <w:trHeight w:val="600"/>
          <w:jc w:val="center"/>
        </w:trPr>
        <w:tc>
          <w:tcPr>
            <w:tcW w:w="2080" w:type="dxa"/>
            <w:tcBorders>
              <w:top w:val="single" w:sz="12" w:space="0" w:color="4F81BD"/>
              <w:left w:val="single" w:sz="12" w:space="0" w:color="4F81BD"/>
              <w:bottom w:val="nil"/>
              <w:right w:val="nil"/>
            </w:tcBorders>
            <w:shd w:val="clear" w:color="auto" w:fill="4F81BD"/>
            <w:vAlign w:val="center"/>
            <w:hideMark/>
          </w:tcPr>
          <w:p w:rsidR="00086197" w:rsidRDefault="00086197" w:rsidP="00AD2E56">
            <w:pPr>
              <w:spacing w:after="0" w:line="240" w:lineRule="auto"/>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Ukazatel</w:t>
            </w:r>
          </w:p>
        </w:tc>
        <w:tc>
          <w:tcPr>
            <w:tcW w:w="1000" w:type="dxa"/>
            <w:tcBorders>
              <w:top w:val="single" w:sz="12" w:space="0" w:color="4F81BD"/>
              <w:left w:val="nil"/>
              <w:bottom w:val="nil"/>
              <w:right w:val="nil"/>
            </w:tcBorders>
            <w:shd w:val="clear" w:color="auto" w:fill="6691C6"/>
            <w:noWrap/>
            <w:vAlign w:val="center"/>
            <w:hideMark/>
          </w:tcPr>
          <w:p w:rsidR="00086197" w:rsidRDefault="00086197" w:rsidP="00AD2E56">
            <w:pPr>
              <w:spacing w:after="0" w:line="240" w:lineRule="auto"/>
              <w:jc w:val="center"/>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VZP ČR</w:t>
            </w:r>
          </w:p>
        </w:tc>
        <w:tc>
          <w:tcPr>
            <w:tcW w:w="1000" w:type="dxa"/>
            <w:tcBorders>
              <w:top w:val="single" w:sz="12" w:space="0" w:color="4F81BD"/>
              <w:left w:val="nil"/>
              <w:bottom w:val="nil"/>
              <w:right w:val="nil"/>
            </w:tcBorders>
            <w:shd w:val="clear" w:color="auto" w:fill="4F81BD"/>
            <w:noWrap/>
            <w:vAlign w:val="center"/>
            <w:hideMark/>
          </w:tcPr>
          <w:p w:rsidR="00086197" w:rsidRDefault="00086197" w:rsidP="00AD2E56">
            <w:pPr>
              <w:spacing w:after="0" w:line="240" w:lineRule="auto"/>
              <w:jc w:val="center"/>
              <w:rPr>
                <w:rFonts w:ascii="Calibri" w:eastAsia="Times New Roman" w:hAnsi="Calibri" w:cs="Times New Roman"/>
                <w:b/>
                <w:bCs/>
                <w:color w:val="FFFFFF"/>
                <w:szCs w:val="21"/>
                <w:lang w:eastAsia="cs-CZ"/>
              </w:rPr>
            </w:pPr>
            <w:proofErr w:type="spellStart"/>
            <w:r>
              <w:rPr>
                <w:rFonts w:ascii="Calibri" w:eastAsia="Times New Roman" w:hAnsi="Calibri" w:cs="Times New Roman"/>
                <w:b/>
                <w:bCs/>
                <w:color w:val="FFFFFF"/>
                <w:szCs w:val="21"/>
                <w:lang w:eastAsia="cs-CZ"/>
              </w:rPr>
              <w:t>VoZP</w:t>
            </w:r>
            <w:proofErr w:type="spellEnd"/>
            <w:r>
              <w:rPr>
                <w:rFonts w:ascii="Calibri" w:eastAsia="Times New Roman" w:hAnsi="Calibri" w:cs="Times New Roman"/>
                <w:b/>
                <w:bCs/>
                <w:color w:val="FFFFFF"/>
                <w:szCs w:val="21"/>
                <w:lang w:eastAsia="cs-CZ"/>
              </w:rPr>
              <w:t xml:space="preserve"> ČR</w:t>
            </w:r>
          </w:p>
        </w:tc>
        <w:tc>
          <w:tcPr>
            <w:tcW w:w="1000" w:type="dxa"/>
            <w:tcBorders>
              <w:top w:val="single" w:sz="12" w:space="0" w:color="4F81BD"/>
              <w:left w:val="nil"/>
              <w:bottom w:val="nil"/>
              <w:right w:val="nil"/>
            </w:tcBorders>
            <w:shd w:val="clear" w:color="auto" w:fill="6691C6"/>
            <w:noWrap/>
            <w:vAlign w:val="center"/>
            <w:hideMark/>
          </w:tcPr>
          <w:p w:rsidR="00086197" w:rsidRDefault="00086197" w:rsidP="00D440DE">
            <w:pPr>
              <w:spacing w:after="0" w:line="240" w:lineRule="auto"/>
              <w:jc w:val="center"/>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ČPZP</w:t>
            </w:r>
          </w:p>
        </w:tc>
        <w:tc>
          <w:tcPr>
            <w:tcW w:w="1000" w:type="dxa"/>
            <w:tcBorders>
              <w:top w:val="single" w:sz="12" w:space="0" w:color="4F81BD"/>
              <w:left w:val="nil"/>
              <w:bottom w:val="nil"/>
              <w:right w:val="nil"/>
            </w:tcBorders>
            <w:shd w:val="clear" w:color="auto" w:fill="4F81BD"/>
            <w:noWrap/>
            <w:vAlign w:val="center"/>
            <w:hideMark/>
          </w:tcPr>
          <w:p w:rsidR="00086197" w:rsidRDefault="00086197" w:rsidP="00D440DE">
            <w:pPr>
              <w:spacing w:after="0" w:line="240" w:lineRule="auto"/>
              <w:jc w:val="center"/>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OZP</w:t>
            </w:r>
          </w:p>
        </w:tc>
        <w:tc>
          <w:tcPr>
            <w:tcW w:w="1000" w:type="dxa"/>
            <w:tcBorders>
              <w:top w:val="single" w:sz="12" w:space="0" w:color="4F81BD"/>
              <w:left w:val="nil"/>
              <w:bottom w:val="nil"/>
              <w:right w:val="nil"/>
            </w:tcBorders>
            <w:shd w:val="clear" w:color="auto" w:fill="6691C6"/>
            <w:noWrap/>
            <w:vAlign w:val="center"/>
            <w:hideMark/>
          </w:tcPr>
          <w:p w:rsidR="00086197" w:rsidRDefault="00086197" w:rsidP="00D440DE">
            <w:pPr>
              <w:spacing w:after="0" w:line="240" w:lineRule="auto"/>
              <w:jc w:val="center"/>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ZPŠ</w:t>
            </w:r>
          </w:p>
        </w:tc>
        <w:tc>
          <w:tcPr>
            <w:tcW w:w="1000" w:type="dxa"/>
            <w:tcBorders>
              <w:top w:val="single" w:sz="12" w:space="0" w:color="4F81BD"/>
              <w:left w:val="nil"/>
              <w:bottom w:val="nil"/>
              <w:right w:val="nil"/>
            </w:tcBorders>
            <w:shd w:val="clear" w:color="auto" w:fill="4F81BD"/>
            <w:noWrap/>
            <w:vAlign w:val="center"/>
            <w:hideMark/>
          </w:tcPr>
          <w:p w:rsidR="00086197" w:rsidRDefault="00086197" w:rsidP="00D440DE">
            <w:pPr>
              <w:spacing w:after="0" w:line="240" w:lineRule="auto"/>
              <w:jc w:val="center"/>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ZP MV ČR</w:t>
            </w:r>
          </w:p>
        </w:tc>
        <w:tc>
          <w:tcPr>
            <w:tcW w:w="1000" w:type="dxa"/>
            <w:tcBorders>
              <w:top w:val="single" w:sz="12" w:space="0" w:color="4F81BD"/>
              <w:left w:val="nil"/>
              <w:bottom w:val="nil"/>
              <w:right w:val="single" w:sz="12" w:space="0" w:color="4F81BD"/>
            </w:tcBorders>
            <w:shd w:val="clear" w:color="auto" w:fill="6691C6"/>
            <w:noWrap/>
            <w:vAlign w:val="center"/>
            <w:hideMark/>
          </w:tcPr>
          <w:p w:rsidR="00086197" w:rsidRDefault="00086197" w:rsidP="00D440DE">
            <w:pPr>
              <w:spacing w:after="0" w:line="240" w:lineRule="auto"/>
              <w:jc w:val="center"/>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RBP</w:t>
            </w:r>
          </w:p>
        </w:tc>
      </w:tr>
      <w:tr w:rsidR="00C328E4" w:rsidTr="007140DB">
        <w:trPr>
          <w:trHeight w:val="559"/>
          <w:jc w:val="center"/>
        </w:trPr>
        <w:tc>
          <w:tcPr>
            <w:tcW w:w="2080" w:type="dxa"/>
            <w:tcBorders>
              <w:top w:val="nil"/>
              <w:left w:val="single" w:sz="12" w:space="0" w:color="4F81BD"/>
              <w:bottom w:val="nil"/>
              <w:right w:val="nil"/>
            </w:tcBorders>
            <w:vAlign w:val="bottom"/>
            <w:hideMark/>
          </w:tcPr>
          <w:p w:rsidR="00C328E4" w:rsidRDefault="00C328E4" w:rsidP="00C328E4">
            <w:pPr>
              <w:spacing w:after="0" w:line="240" w:lineRule="auto"/>
              <w:rPr>
                <w:rFonts w:ascii="Calibri" w:eastAsia="Times New Roman" w:hAnsi="Calibri" w:cs="Times New Roman"/>
                <w:b/>
                <w:bCs/>
                <w:color w:val="000000"/>
                <w:szCs w:val="21"/>
                <w:lang w:eastAsia="cs-CZ"/>
              </w:rPr>
            </w:pPr>
            <w:r>
              <w:rPr>
                <w:rFonts w:ascii="Calibri" w:eastAsia="Times New Roman" w:hAnsi="Calibri" w:cs="Times New Roman"/>
                <w:b/>
                <w:bCs/>
                <w:color w:val="000000"/>
                <w:szCs w:val="21"/>
                <w:lang w:eastAsia="cs-CZ"/>
              </w:rPr>
              <w:t xml:space="preserve">Náklady na </w:t>
            </w:r>
            <w:r>
              <w:rPr>
                <w:rFonts w:ascii="Calibri" w:eastAsia="Times New Roman" w:hAnsi="Calibri" w:cs="Times New Roman"/>
                <w:b/>
                <w:bCs/>
                <w:color w:val="000000"/>
                <w:szCs w:val="21"/>
                <w:lang w:eastAsia="cs-CZ"/>
              </w:rPr>
              <w:br/>
              <w:t xml:space="preserve">léčení z. p. </w:t>
            </w:r>
            <w:r>
              <w:rPr>
                <w:rFonts w:ascii="Calibri" w:eastAsia="Times New Roman" w:hAnsi="Calibri" w:cs="Times New Roman"/>
                <w:color w:val="000000"/>
                <w:szCs w:val="21"/>
                <w:lang w:eastAsia="cs-CZ"/>
              </w:rPr>
              <w:t>(v mil. Kč)</w:t>
            </w:r>
          </w:p>
        </w:tc>
        <w:tc>
          <w:tcPr>
            <w:tcW w:w="1000" w:type="dxa"/>
            <w:tcBorders>
              <w:top w:val="nil"/>
              <w:left w:val="nil"/>
              <w:bottom w:val="nil"/>
              <w:right w:val="nil"/>
            </w:tcBorders>
            <w:shd w:val="clear" w:color="auto" w:fill="DCE6F1"/>
            <w:noWrap/>
            <w:vAlign w:val="center"/>
            <w:hideMark/>
          </w:tcPr>
          <w:p w:rsidR="00C328E4" w:rsidRDefault="00C328E4" w:rsidP="003D5AD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1 123</w:t>
            </w:r>
          </w:p>
        </w:tc>
        <w:tc>
          <w:tcPr>
            <w:tcW w:w="1000" w:type="dxa"/>
            <w:tcBorders>
              <w:top w:val="nil"/>
              <w:left w:val="nil"/>
              <w:bottom w:val="nil"/>
              <w:right w:val="nil"/>
            </w:tcBorders>
            <w:noWrap/>
            <w:vAlign w:val="center"/>
            <w:hideMark/>
          </w:tcPr>
          <w:p w:rsidR="00C328E4" w:rsidRDefault="00C328E4" w:rsidP="003D5AD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137</w:t>
            </w:r>
          </w:p>
        </w:tc>
        <w:tc>
          <w:tcPr>
            <w:tcW w:w="1000" w:type="dxa"/>
            <w:tcBorders>
              <w:top w:val="nil"/>
              <w:left w:val="nil"/>
              <w:bottom w:val="nil"/>
              <w:right w:val="nil"/>
            </w:tcBorders>
            <w:shd w:val="clear" w:color="auto" w:fill="DCE6F1"/>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129</w:t>
            </w:r>
          </w:p>
        </w:tc>
        <w:tc>
          <w:tcPr>
            <w:tcW w:w="1000" w:type="dxa"/>
            <w:tcBorders>
              <w:top w:val="nil"/>
              <w:left w:val="nil"/>
              <w:bottom w:val="nil"/>
              <w:right w:val="nil"/>
            </w:tcBorders>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58</w:t>
            </w:r>
          </w:p>
        </w:tc>
        <w:tc>
          <w:tcPr>
            <w:tcW w:w="1000" w:type="dxa"/>
            <w:tcBorders>
              <w:top w:val="nil"/>
              <w:left w:val="nil"/>
              <w:bottom w:val="nil"/>
              <w:right w:val="nil"/>
            </w:tcBorders>
            <w:shd w:val="clear" w:color="auto" w:fill="DCE6F1"/>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11</w:t>
            </w:r>
          </w:p>
        </w:tc>
        <w:tc>
          <w:tcPr>
            <w:tcW w:w="1000" w:type="dxa"/>
            <w:tcBorders>
              <w:top w:val="nil"/>
              <w:left w:val="nil"/>
              <w:bottom w:val="nil"/>
              <w:right w:val="nil"/>
            </w:tcBorders>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136</w:t>
            </w:r>
          </w:p>
        </w:tc>
        <w:tc>
          <w:tcPr>
            <w:tcW w:w="1000" w:type="dxa"/>
            <w:tcBorders>
              <w:top w:val="nil"/>
              <w:left w:val="nil"/>
              <w:bottom w:val="nil"/>
              <w:right w:val="single" w:sz="12" w:space="0" w:color="4F81BD"/>
            </w:tcBorders>
            <w:shd w:val="clear" w:color="auto" w:fill="DCE6F1"/>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20</w:t>
            </w:r>
          </w:p>
        </w:tc>
      </w:tr>
      <w:tr w:rsidR="00C328E4" w:rsidTr="007140DB">
        <w:trPr>
          <w:trHeight w:val="300"/>
          <w:jc w:val="center"/>
        </w:trPr>
        <w:tc>
          <w:tcPr>
            <w:tcW w:w="2080" w:type="dxa"/>
            <w:tcBorders>
              <w:top w:val="nil"/>
              <w:left w:val="single" w:sz="12" w:space="0" w:color="4F81BD"/>
              <w:bottom w:val="nil"/>
              <w:right w:val="nil"/>
            </w:tcBorders>
            <w:shd w:val="clear" w:color="auto" w:fill="EEF3F8"/>
            <w:vAlign w:val="bottom"/>
            <w:hideMark/>
          </w:tcPr>
          <w:p w:rsidR="00C328E4" w:rsidRDefault="00C328E4" w:rsidP="00C328E4">
            <w:pPr>
              <w:spacing w:after="0" w:line="240" w:lineRule="auto"/>
              <w:rPr>
                <w:rFonts w:ascii="Calibri" w:eastAsia="Times New Roman" w:hAnsi="Calibri" w:cs="Times New Roman"/>
                <w:b/>
                <w:bCs/>
                <w:color w:val="000000"/>
                <w:szCs w:val="21"/>
                <w:lang w:eastAsia="cs-CZ"/>
              </w:rPr>
            </w:pPr>
            <w:r>
              <w:rPr>
                <w:rFonts w:ascii="Calibri" w:eastAsia="Times New Roman" w:hAnsi="Calibri" w:cs="Times New Roman"/>
                <w:b/>
                <w:bCs/>
                <w:color w:val="000000"/>
                <w:szCs w:val="21"/>
                <w:lang w:eastAsia="cs-CZ"/>
              </w:rPr>
              <w:t xml:space="preserve">Počet ošetřených z. p. </w:t>
            </w:r>
          </w:p>
        </w:tc>
        <w:tc>
          <w:tcPr>
            <w:tcW w:w="1000" w:type="dxa"/>
            <w:tcBorders>
              <w:top w:val="nil"/>
              <w:left w:val="nil"/>
              <w:bottom w:val="nil"/>
              <w:right w:val="nil"/>
            </w:tcBorders>
            <w:shd w:val="clear" w:color="auto" w:fill="EEF3F8"/>
            <w:noWrap/>
            <w:vAlign w:val="center"/>
            <w:hideMark/>
          </w:tcPr>
          <w:p w:rsidR="00C328E4" w:rsidRDefault="00C328E4" w:rsidP="003D5AD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174 522</w:t>
            </w:r>
          </w:p>
        </w:tc>
        <w:tc>
          <w:tcPr>
            <w:tcW w:w="1000" w:type="dxa"/>
            <w:tcBorders>
              <w:top w:val="nil"/>
              <w:left w:val="nil"/>
              <w:bottom w:val="nil"/>
              <w:right w:val="nil"/>
            </w:tcBorders>
            <w:shd w:val="clear" w:color="auto" w:fill="EEF3F8"/>
            <w:noWrap/>
            <w:vAlign w:val="center"/>
            <w:hideMark/>
          </w:tcPr>
          <w:p w:rsidR="00C328E4" w:rsidRDefault="00C328E4" w:rsidP="003D5AD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18 130</w:t>
            </w:r>
          </w:p>
        </w:tc>
        <w:tc>
          <w:tcPr>
            <w:tcW w:w="1000" w:type="dxa"/>
            <w:tcBorders>
              <w:top w:val="nil"/>
              <w:left w:val="nil"/>
              <w:bottom w:val="nil"/>
              <w:right w:val="nil"/>
            </w:tcBorders>
            <w:shd w:val="clear" w:color="auto" w:fill="EEF3F8"/>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21 367</w:t>
            </w:r>
          </w:p>
        </w:tc>
        <w:tc>
          <w:tcPr>
            <w:tcW w:w="1000" w:type="dxa"/>
            <w:tcBorders>
              <w:top w:val="nil"/>
              <w:left w:val="nil"/>
              <w:bottom w:val="nil"/>
              <w:right w:val="nil"/>
            </w:tcBorders>
            <w:shd w:val="clear" w:color="auto" w:fill="EEF3F8"/>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3 651</w:t>
            </w:r>
          </w:p>
        </w:tc>
        <w:tc>
          <w:tcPr>
            <w:tcW w:w="1000" w:type="dxa"/>
            <w:tcBorders>
              <w:top w:val="nil"/>
              <w:left w:val="nil"/>
              <w:bottom w:val="nil"/>
              <w:right w:val="nil"/>
            </w:tcBorders>
            <w:shd w:val="clear" w:color="auto" w:fill="EEF3F8"/>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1 215</w:t>
            </w:r>
          </w:p>
        </w:tc>
        <w:tc>
          <w:tcPr>
            <w:tcW w:w="1000" w:type="dxa"/>
            <w:tcBorders>
              <w:top w:val="nil"/>
              <w:left w:val="nil"/>
              <w:bottom w:val="nil"/>
              <w:right w:val="nil"/>
            </w:tcBorders>
            <w:shd w:val="clear" w:color="auto" w:fill="EEF3F8"/>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26 196</w:t>
            </w:r>
          </w:p>
        </w:tc>
        <w:tc>
          <w:tcPr>
            <w:tcW w:w="1000" w:type="dxa"/>
            <w:tcBorders>
              <w:top w:val="nil"/>
              <w:left w:val="nil"/>
              <w:bottom w:val="nil"/>
              <w:right w:val="single" w:sz="12" w:space="0" w:color="4F81BD"/>
            </w:tcBorders>
            <w:shd w:val="clear" w:color="auto" w:fill="EEF3F8"/>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3 307</w:t>
            </w:r>
          </w:p>
        </w:tc>
      </w:tr>
      <w:tr w:rsidR="00C328E4" w:rsidTr="007140DB">
        <w:trPr>
          <w:trHeight w:val="559"/>
          <w:jc w:val="center"/>
        </w:trPr>
        <w:tc>
          <w:tcPr>
            <w:tcW w:w="2080" w:type="dxa"/>
            <w:tcBorders>
              <w:top w:val="nil"/>
              <w:left w:val="single" w:sz="12" w:space="0" w:color="4F81BD"/>
              <w:bottom w:val="single" w:sz="12" w:space="0" w:color="4F81BD"/>
              <w:right w:val="nil"/>
            </w:tcBorders>
            <w:vAlign w:val="bottom"/>
            <w:hideMark/>
          </w:tcPr>
          <w:p w:rsidR="00C328E4" w:rsidRDefault="00C328E4" w:rsidP="00C328E4">
            <w:pPr>
              <w:spacing w:after="0" w:line="240" w:lineRule="auto"/>
              <w:rPr>
                <w:rFonts w:ascii="Calibri" w:eastAsia="Times New Roman" w:hAnsi="Calibri" w:cs="Times New Roman"/>
                <w:b/>
                <w:bCs/>
                <w:color w:val="000000"/>
                <w:szCs w:val="21"/>
                <w:lang w:eastAsia="cs-CZ"/>
              </w:rPr>
            </w:pPr>
            <w:r>
              <w:rPr>
                <w:rFonts w:ascii="Calibri" w:eastAsia="Times New Roman" w:hAnsi="Calibri" w:cs="Times New Roman"/>
                <w:b/>
                <w:bCs/>
                <w:color w:val="000000"/>
                <w:szCs w:val="21"/>
                <w:lang w:eastAsia="cs-CZ"/>
              </w:rPr>
              <w:t xml:space="preserve">Průměrné náklady na ošetřeného z. p. </w:t>
            </w:r>
            <w:r>
              <w:rPr>
                <w:rFonts w:ascii="Calibri" w:eastAsia="Times New Roman" w:hAnsi="Calibri" w:cs="Times New Roman"/>
                <w:color w:val="000000"/>
                <w:szCs w:val="21"/>
                <w:lang w:eastAsia="cs-CZ"/>
              </w:rPr>
              <w:t>(v Kč)</w:t>
            </w:r>
          </w:p>
        </w:tc>
        <w:tc>
          <w:tcPr>
            <w:tcW w:w="1000" w:type="dxa"/>
            <w:tcBorders>
              <w:top w:val="nil"/>
              <w:left w:val="nil"/>
              <w:bottom w:val="single" w:sz="12" w:space="0" w:color="4F81BD"/>
              <w:right w:val="nil"/>
            </w:tcBorders>
            <w:shd w:val="clear" w:color="auto" w:fill="DCE6F1"/>
            <w:noWrap/>
            <w:vAlign w:val="center"/>
            <w:hideMark/>
          </w:tcPr>
          <w:p w:rsidR="00C328E4" w:rsidRDefault="00C328E4" w:rsidP="003D5AD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6 437</w:t>
            </w:r>
          </w:p>
        </w:tc>
        <w:tc>
          <w:tcPr>
            <w:tcW w:w="1000" w:type="dxa"/>
            <w:tcBorders>
              <w:top w:val="nil"/>
              <w:left w:val="nil"/>
              <w:bottom w:val="single" w:sz="12" w:space="0" w:color="4F81BD"/>
              <w:right w:val="nil"/>
            </w:tcBorders>
            <w:noWrap/>
            <w:vAlign w:val="center"/>
            <w:hideMark/>
          </w:tcPr>
          <w:p w:rsidR="00C328E4" w:rsidRDefault="00C328E4" w:rsidP="003D5AD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7 559</w:t>
            </w:r>
          </w:p>
        </w:tc>
        <w:tc>
          <w:tcPr>
            <w:tcW w:w="1000" w:type="dxa"/>
            <w:tcBorders>
              <w:top w:val="nil"/>
              <w:left w:val="nil"/>
              <w:bottom w:val="single" w:sz="12" w:space="0" w:color="4F81BD"/>
              <w:right w:val="nil"/>
            </w:tcBorders>
            <w:shd w:val="clear" w:color="auto" w:fill="DCE6F1"/>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6 020</w:t>
            </w:r>
          </w:p>
        </w:tc>
        <w:tc>
          <w:tcPr>
            <w:tcW w:w="1000" w:type="dxa"/>
            <w:tcBorders>
              <w:top w:val="nil"/>
              <w:left w:val="nil"/>
              <w:bottom w:val="single" w:sz="12" w:space="0" w:color="4F81BD"/>
              <w:right w:val="nil"/>
            </w:tcBorders>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15 846</w:t>
            </w:r>
          </w:p>
        </w:tc>
        <w:tc>
          <w:tcPr>
            <w:tcW w:w="1000" w:type="dxa"/>
            <w:tcBorders>
              <w:top w:val="nil"/>
              <w:left w:val="nil"/>
              <w:bottom w:val="single" w:sz="12" w:space="0" w:color="4F81BD"/>
              <w:right w:val="nil"/>
            </w:tcBorders>
            <w:shd w:val="clear" w:color="auto" w:fill="DCE6F1"/>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9 270</w:t>
            </w:r>
          </w:p>
        </w:tc>
        <w:tc>
          <w:tcPr>
            <w:tcW w:w="1000" w:type="dxa"/>
            <w:tcBorders>
              <w:top w:val="nil"/>
              <w:left w:val="nil"/>
              <w:bottom w:val="single" w:sz="12" w:space="0" w:color="4F81BD"/>
              <w:right w:val="nil"/>
            </w:tcBorders>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5 192</w:t>
            </w:r>
          </w:p>
        </w:tc>
        <w:tc>
          <w:tcPr>
            <w:tcW w:w="1000" w:type="dxa"/>
            <w:tcBorders>
              <w:top w:val="nil"/>
              <w:left w:val="nil"/>
              <w:bottom w:val="single" w:sz="12" w:space="0" w:color="4F81BD"/>
              <w:right w:val="single" w:sz="12" w:space="0" w:color="4F81BD"/>
            </w:tcBorders>
            <w:shd w:val="clear" w:color="auto" w:fill="DCE6F1"/>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6 183</w:t>
            </w:r>
          </w:p>
        </w:tc>
      </w:tr>
    </w:tbl>
    <w:p w:rsidR="00466CEC" w:rsidRDefault="00466CEC" w:rsidP="00466CEC">
      <w:pPr>
        <w:rPr>
          <w:lang w:eastAsia="cs-CZ"/>
        </w:rPr>
      </w:pPr>
      <w:r>
        <w:rPr>
          <w:lang w:eastAsia="cs-CZ"/>
        </w:rPr>
        <w:br w:type="page"/>
      </w:r>
    </w:p>
    <w:p w:rsidR="001703E0" w:rsidRPr="001703E0" w:rsidRDefault="00436F6E" w:rsidP="00AD2E56">
      <w:pPr>
        <w:pStyle w:val="Nadpis2"/>
      </w:pPr>
      <w:bookmarkStart w:id="47" w:name="_Toc41898959"/>
      <w:r w:rsidRPr="004042B9">
        <w:lastRenderedPageBreak/>
        <w:t>Náklady na preventivní zdravotní péči čerpané z fondu prevence</w:t>
      </w:r>
      <w:bookmarkEnd w:id="47"/>
    </w:p>
    <w:p w:rsidR="001703E0" w:rsidRPr="002716FA" w:rsidRDefault="001703E0" w:rsidP="0021299E">
      <w:pPr>
        <w:pStyle w:val="TEXTpodTABOBR"/>
        <w:spacing w:before="180" w:after="180" w:line="276" w:lineRule="auto"/>
        <w:ind w:firstLine="0"/>
        <w:rPr>
          <w:rFonts w:asciiTheme="minorHAnsi" w:hAnsiTheme="minorHAnsi" w:cstheme="minorHAnsi"/>
          <w:sz w:val="21"/>
          <w:szCs w:val="21"/>
        </w:rPr>
      </w:pPr>
      <w:r w:rsidRPr="002716FA">
        <w:rPr>
          <w:rFonts w:asciiTheme="minorHAnsi" w:hAnsiTheme="minorHAnsi" w:cstheme="minorHAnsi"/>
          <w:b/>
          <w:sz w:val="21"/>
          <w:szCs w:val="21"/>
        </w:rPr>
        <w:t xml:space="preserve">Celkové náklady na zdravotní péči hrazené nad rámec v. z. p. čerpané z fondu prevence </w:t>
      </w:r>
      <w:r w:rsidRPr="002716FA">
        <w:rPr>
          <w:rFonts w:asciiTheme="minorHAnsi" w:hAnsiTheme="minorHAnsi" w:cstheme="minorHAnsi"/>
          <w:sz w:val="21"/>
          <w:szCs w:val="21"/>
        </w:rPr>
        <w:t>(</w:t>
      </w:r>
      <w:proofErr w:type="spellStart"/>
      <w:r w:rsidRPr="002716FA">
        <w:rPr>
          <w:rFonts w:asciiTheme="minorHAnsi" w:hAnsiTheme="minorHAnsi" w:cstheme="minorHAnsi"/>
          <w:sz w:val="21"/>
          <w:szCs w:val="21"/>
        </w:rPr>
        <w:t>Fprev</w:t>
      </w:r>
      <w:proofErr w:type="spellEnd"/>
      <w:r w:rsidRPr="002716FA">
        <w:rPr>
          <w:rFonts w:asciiTheme="minorHAnsi" w:hAnsiTheme="minorHAnsi" w:cstheme="minorHAnsi"/>
          <w:sz w:val="21"/>
          <w:szCs w:val="21"/>
        </w:rPr>
        <w:t>)</w:t>
      </w:r>
      <w:r w:rsidRPr="002716FA">
        <w:rPr>
          <w:rFonts w:asciiTheme="minorHAnsi" w:hAnsiTheme="minorHAnsi" w:cstheme="minorHAnsi"/>
          <w:b/>
          <w:sz w:val="21"/>
          <w:szCs w:val="21"/>
        </w:rPr>
        <w:t xml:space="preserve"> </w:t>
      </w:r>
      <w:r w:rsidRPr="002716FA">
        <w:rPr>
          <w:rFonts w:asciiTheme="minorHAnsi" w:hAnsiTheme="minorHAnsi" w:cstheme="minorHAnsi"/>
          <w:sz w:val="21"/>
          <w:szCs w:val="21"/>
        </w:rPr>
        <w:t>a dalších specifických fondů dosáhly za všechny činné ZP výše 1,</w:t>
      </w:r>
      <w:r w:rsidR="002716FA" w:rsidRPr="002716FA">
        <w:rPr>
          <w:rFonts w:asciiTheme="minorHAnsi" w:hAnsiTheme="minorHAnsi" w:cstheme="minorHAnsi"/>
          <w:sz w:val="21"/>
          <w:szCs w:val="21"/>
        </w:rPr>
        <w:t>384</w:t>
      </w:r>
      <w:r w:rsidRPr="002716FA">
        <w:rPr>
          <w:rFonts w:asciiTheme="minorHAnsi" w:hAnsiTheme="minorHAnsi" w:cstheme="minorHAnsi"/>
          <w:sz w:val="21"/>
          <w:szCs w:val="21"/>
        </w:rPr>
        <w:t xml:space="preserve"> mld. Kč, což je meziroční nárůst o 0,2</w:t>
      </w:r>
      <w:r w:rsidR="002716FA">
        <w:rPr>
          <w:rFonts w:asciiTheme="minorHAnsi" w:hAnsiTheme="minorHAnsi" w:cstheme="minorHAnsi"/>
          <w:sz w:val="21"/>
          <w:szCs w:val="21"/>
        </w:rPr>
        <w:t>91</w:t>
      </w:r>
      <w:r w:rsidRPr="002716FA">
        <w:rPr>
          <w:rFonts w:asciiTheme="minorHAnsi" w:hAnsiTheme="minorHAnsi" w:cstheme="minorHAnsi"/>
          <w:sz w:val="21"/>
          <w:szCs w:val="21"/>
        </w:rPr>
        <w:t xml:space="preserve"> mld. Kč, tj. o</w:t>
      </w:r>
      <w:r w:rsidR="002716FA">
        <w:rPr>
          <w:rFonts w:asciiTheme="minorHAnsi" w:hAnsiTheme="minorHAnsi" w:cstheme="minorHAnsi"/>
          <w:sz w:val="21"/>
          <w:szCs w:val="21"/>
        </w:rPr>
        <w:t> </w:t>
      </w:r>
      <w:r w:rsidRPr="002716FA">
        <w:rPr>
          <w:rFonts w:asciiTheme="minorHAnsi" w:hAnsiTheme="minorHAnsi" w:cstheme="minorHAnsi"/>
          <w:sz w:val="21"/>
          <w:szCs w:val="21"/>
        </w:rPr>
        <w:t>2</w:t>
      </w:r>
      <w:r w:rsidR="002716FA">
        <w:rPr>
          <w:rFonts w:asciiTheme="minorHAnsi" w:hAnsiTheme="minorHAnsi" w:cstheme="minorHAnsi"/>
          <w:sz w:val="21"/>
          <w:szCs w:val="21"/>
        </w:rPr>
        <w:t>6</w:t>
      </w:r>
      <w:r w:rsidRPr="002716FA">
        <w:rPr>
          <w:rFonts w:asciiTheme="minorHAnsi" w:hAnsiTheme="minorHAnsi" w:cstheme="minorHAnsi"/>
          <w:sz w:val="21"/>
          <w:szCs w:val="21"/>
        </w:rPr>
        <w:t>,6 %. Oproti ZPP 201</w:t>
      </w:r>
      <w:r w:rsidR="002716FA">
        <w:rPr>
          <w:rFonts w:asciiTheme="minorHAnsi" w:hAnsiTheme="minorHAnsi" w:cstheme="minorHAnsi"/>
          <w:sz w:val="21"/>
          <w:szCs w:val="21"/>
        </w:rPr>
        <w:t>9</w:t>
      </w:r>
      <w:r w:rsidRPr="002716FA">
        <w:rPr>
          <w:rFonts w:asciiTheme="minorHAnsi" w:hAnsiTheme="minorHAnsi" w:cstheme="minorHAnsi"/>
          <w:sz w:val="21"/>
          <w:szCs w:val="21"/>
        </w:rPr>
        <w:t xml:space="preserve"> pak jde o </w:t>
      </w:r>
      <w:r w:rsidR="00450C71">
        <w:rPr>
          <w:rFonts w:asciiTheme="minorHAnsi" w:hAnsiTheme="minorHAnsi" w:cstheme="minorHAnsi"/>
          <w:sz w:val="21"/>
          <w:szCs w:val="21"/>
        </w:rPr>
        <w:t>nárůst</w:t>
      </w:r>
      <w:r w:rsidRPr="002716FA">
        <w:rPr>
          <w:rFonts w:asciiTheme="minorHAnsi" w:hAnsiTheme="minorHAnsi" w:cstheme="minorHAnsi"/>
          <w:sz w:val="21"/>
          <w:szCs w:val="21"/>
        </w:rPr>
        <w:t xml:space="preserve"> o 0,</w:t>
      </w:r>
      <w:r w:rsidR="00450C71">
        <w:rPr>
          <w:rFonts w:asciiTheme="minorHAnsi" w:hAnsiTheme="minorHAnsi" w:cstheme="minorHAnsi"/>
          <w:sz w:val="21"/>
          <w:szCs w:val="21"/>
        </w:rPr>
        <w:t>053</w:t>
      </w:r>
      <w:r w:rsidRPr="002716FA">
        <w:rPr>
          <w:rFonts w:asciiTheme="minorHAnsi" w:hAnsiTheme="minorHAnsi" w:cstheme="minorHAnsi"/>
          <w:sz w:val="21"/>
          <w:szCs w:val="21"/>
        </w:rPr>
        <w:t xml:space="preserve"> mld</w:t>
      </w:r>
      <w:r w:rsidRPr="002716FA">
        <w:rPr>
          <w:rFonts w:asciiTheme="minorHAnsi" w:eastAsia="SimSun" w:hAnsiTheme="minorHAnsi" w:cstheme="minorHAnsi"/>
          <w:sz w:val="21"/>
          <w:szCs w:val="21"/>
        </w:rPr>
        <w:t>. Kč, tj. o</w:t>
      </w:r>
      <w:r w:rsidRPr="002716FA">
        <w:rPr>
          <w:rFonts w:asciiTheme="minorHAnsi" w:hAnsiTheme="minorHAnsi" w:cstheme="minorHAnsi"/>
          <w:sz w:val="21"/>
          <w:szCs w:val="21"/>
        </w:rPr>
        <w:t xml:space="preserve"> </w:t>
      </w:r>
      <w:r w:rsidR="00450C71">
        <w:rPr>
          <w:rFonts w:asciiTheme="minorHAnsi" w:hAnsiTheme="minorHAnsi" w:cstheme="minorHAnsi"/>
          <w:sz w:val="21"/>
          <w:szCs w:val="21"/>
        </w:rPr>
        <w:t>4</w:t>
      </w:r>
      <w:r w:rsidRPr="002716FA">
        <w:rPr>
          <w:rFonts w:asciiTheme="minorHAnsi" w:hAnsiTheme="minorHAnsi" w:cstheme="minorHAnsi"/>
          <w:sz w:val="21"/>
          <w:szCs w:val="21"/>
        </w:rPr>
        <w:t>,</w:t>
      </w:r>
      <w:r w:rsidR="00450C71">
        <w:rPr>
          <w:rFonts w:asciiTheme="minorHAnsi" w:hAnsiTheme="minorHAnsi" w:cstheme="minorHAnsi"/>
          <w:sz w:val="21"/>
          <w:szCs w:val="21"/>
        </w:rPr>
        <w:t>0</w:t>
      </w:r>
      <w:r w:rsidRPr="002716FA">
        <w:rPr>
          <w:rFonts w:asciiTheme="minorHAnsi" w:hAnsiTheme="minorHAnsi" w:cstheme="minorHAnsi"/>
          <w:sz w:val="21"/>
          <w:szCs w:val="21"/>
        </w:rPr>
        <w:t xml:space="preserve"> %.</w:t>
      </w:r>
      <w:r w:rsidRPr="002716FA">
        <w:rPr>
          <w:rFonts w:asciiTheme="minorHAnsi" w:eastAsia="SimSun" w:hAnsiTheme="minorHAnsi" w:cstheme="minorHAnsi"/>
          <w:sz w:val="21"/>
          <w:szCs w:val="21"/>
        </w:rPr>
        <w:t xml:space="preserve"> </w:t>
      </w:r>
      <w:r w:rsidRPr="002716FA">
        <w:rPr>
          <w:rFonts w:asciiTheme="minorHAnsi" w:hAnsiTheme="minorHAnsi" w:cstheme="minorHAnsi"/>
          <w:sz w:val="21"/>
          <w:szCs w:val="21"/>
        </w:rPr>
        <w:t xml:space="preserve"> Z celkové hodnoty nákladů náleží VZP ČR 0,</w:t>
      </w:r>
      <w:r w:rsidR="00450C71">
        <w:rPr>
          <w:rFonts w:asciiTheme="minorHAnsi" w:hAnsiTheme="minorHAnsi" w:cstheme="minorHAnsi"/>
          <w:sz w:val="21"/>
          <w:szCs w:val="21"/>
        </w:rPr>
        <w:t>545</w:t>
      </w:r>
      <w:r w:rsidRPr="002716FA">
        <w:rPr>
          <w:rFonts w:asciiTheme="minorHAnsi" w:hAnsiTheme="minorHAnsi" w:cstheme="minorHAnsi"/>
          <w:sz w:val="21"/>
          <w:szCs w:val="21"/>
        </w:rPr>
        <w:t xml:space="preserve"> mld. Kč a ZZP celkem 0,</w:t>
      </w:r>
      <w:r w:rsidR="00450C71">
        <w:rPr>
          <w:rFonts w:asciiTheme="minorHAnsi" w:hAnsiTheme="minorHAnsi" w:cstheme="minorHAnsi"/>
          <w:sz w:val="21"/>
          <w:szCs w:val="21"/>
        </w:rPr>
        <w:t>839</w:t>
      </w:r>
      <w:r w:rsidRPr="002716FA">
        <w:rPr>
          <w:rFonts w:asciiTheme="minorHAnsi" w:hAnsiTheme="minorHAnsi" w:cstheme="minorHAnsi"/>
          <w:sz w:val="21"/>
          <w:szCs w:val="21"/>
        </w:rPr>
        <w:t xml:space="preserve"> mld. Kč. V přepočtu na jednoho pojištěnce byly náklady na preventivní zdravotní péči za všechny ZP ve výši 1</w:t>
      </w:r>
      <w:r w:rsidR="00450C71">
        <w:rPr>
          <w:rFonts w:asciiTheme="minorHAnsi" w:hAnsiTheme="minorHAnsi" w:cstheme="minorHAnsi"/>
          <w:sz w:val="21"/>
          <w:szCs w:val="21"/>
        </w:rPr>
        <w:t>31</w:t>
      </w:r>
      <w:r w:rsidRPr="002716FA">
        <w:rPr>
          <w:rFonts w:asciiTheme="minorHAnsi" w:hAnsiTheme="minorHAnsi" w:cstheme="minorHAnsi"/>
          <w:sz w:val="21"/>
          <w:szCs w:val="21"/>
        </w:rPr>
        <w:t xml:space="preserve"> Kč. U VZP ČR dosáhly náklady </w:t>
      </w:r>
      <w:r w:rsidR="00450C71">
        <w:rPr>
          <w:rFonts w:asciiTheme="minorHAnsi" w:hAnsiTheme="minorHAnsi" w:cstheme="minorHAnsi"/>
          <w:sz w:val="21"/>
          <w:szCs w:val="21"/>
        </w:rPr>
        <w:t>92</w:t>
      </w:r>
      <w:r w:rsidRPr="002716FA">
        <w:rPr>
          <w:rFonts w:asciiTheme="minorHAnsi" w:hAnsiTheme="minorHAnsi" w:cstheme="minorHAnsi"/>
          <w:sz w:val="21"/>
          <w:szCs w:val="21"/>
        </w:rPr>
        <w:t xml:space="preserve"> Kč a u ZZP 1</w:t>
      </w:r>
      <w:r w:rsidR="00450C71">
        <w:rPr>
          <w:rFonts w:asciiTheme="minorHAnsi" w:hAnsiTheme="minorHAnsi" w:cstheme="minorHAnsi"/>
          <w:sz w:val="21"/>
          <w:szCs w:val="21"/>
        </w:rPr>
        <w:t>83</w:t>
      </w:r>
      <w:r w:rsidRPr="002716FA">
        <w:rPr>
          <w:rFonts w:asciiTheme="minorHAnsi" w:hAnsiTheme="minorHAnsi" w:cstheme="minorHAnsi"/>
          <w:sz w:val="21"/>
          <w:szCs w:val="21"/>
        </w:rPr>
        <w:t xml:space="preserve"> Kč. S ohledem na odlišná ustanovení v zákoně č. 551/1991 Sb. a č. 280/1992 Sb. přetrvává nadále rozdílná dikce tvorby </w:t>
      </w:r>
      <w:proofErr w:type="spellStart"/>
      <w:r w:rsidRPr="002716FA">
        <w:rPr>
          <w:rFonts w:asciiTheme="minorHAnsi" w:hAnsiTheme="minorHAnsi" w:cstheme="minorHAnsi"/>
          <w:sz w:val="21"/>
          <w:szCs w:val="21"/>
        </w:rPr>
        <w:t>Fprev</w:t>
      </w:r>
      <w:proofErr w:type="spellEnd"/>
      <w:r w:rsidRPr="002716FA">
        <w:rPr>
          <w:rFonts w:asciiTheme="minorHAnsi" w:hAnsiTheme="minorHAnsi" w:cstheme="minorHAnsi"/>
          <w:sz w:val="21"/>
          <w:szCs w:val="21"/>
        </w:rPr>
        <w:t xml:space="preserve"> u VZP ČR a ZZP. Tento</w:t>
      </w:r>
      <w:r w:rsidR="003D5AD1">
        <w:rPr>
          <w:rFonts w:asciiTheme="minorHAnsi" w:hAnsiTheme="minorHAnsi" w:cstheme="minorHAnsi"/>
          <w:sz w:val="21"/>
          <w:szCs w:val="21"/>
        </w:rPr>
        <w:t> </w:t>
      </w:r>
      <w:r w:rsidRPr="002716FA">
        <w:rPr>
          <w:rFonts w:asciiTheme="minorHAnsi" w:hAnsiTheme="minorHAnsi" w:cstheme="minorHAnsi"/>
          <w:sz w:val="21"/>
          <w:szCs w:val="21"/>
        </w:rPr>
        <w:t>rozdíl limituje příděl u VZP ČR, ale oproti ZZP jej umožňuje tvořit se souhlasem Správní rady v okamžiku, kdy</w:t>
      </w:r>
      <w:r w:rsidR="003D5AD1">
        <w:rPr>
          <w:rFonts w:asciiTheme="minorHAnsi" w:hAnsiTheme="minorHAnsi" w:cstheme="minorHAnsi"/>
          <w:sz w:val="21"/>
          <w:szCs w:val="21"/>
        </w:rPr>
        <w:t> </w:t>
      </w:r>
      <w:r w:rsidRPr="002716FA">
        <w:rPr>
          <w:rFonts w:asciiTheme="minorHAnsi" w:hAnsiTheme="minorHAnsi" w:cstheme="minorHAnsi"/>
          <w:sz w:val="21"/>
          <w:szCs w:val="21"/>
        </w:rPr>
        <w:t>nebylo dosaženo vyrovnaného hospodaření ZFZP. U ZZP je rozhodující, zda jejich hospodaření je přebytkové a</w:t>
      </w:r>
      <w:r w:rsidR="003D5AD1">
        <w:rPr>
          <w:rFonts w:asciiTheme="minorHAnsi" w:hAnsiTheme="minorHAnsi" w:cstheme="minorHAnsi"/>
          <w:sz w:val="21"/>
          <w:szCs w:val="21"/>
        </w:rPr>
        <w:t> </w:t>
      </w:r>
      <w:r w:rsidRPr="002716FA">
        <w:rPr>
          <w:rFonts w:asciiTheme="minorHAnsi" w:hAnsiTheme="minorHAnsi" w:cstheme="minorHAnsi"/>
          <w:sz w:val="21"/>
          <w:szCs w:val="21"/>
        </w:rPr>
        <w:t xml:space="preserve">je splněna podmínka naplnění rezervního fondu, v případě deficitního hospodaření ztrácí možnost tvorby </w:t>
      </w:r>
      <w:proofErr w:type="spellStart"/>
      <w:r w:rsidRPr="002716FA">
        <w:rPr>
          <w:rFonts w:asciiTheme="minorHAnsi" w:hAnsiTheme="minorHAnsi" w:cstheme="minorHAnsi"/>
          <w:sz w:val="21"/>
          <w:szCs w:val="21"/>
        </w:rPr>
        <w:t>Fprev</w:t>
      </w:r>
      <w:proofErr w:type="spellEnd"/>
      <w:r w:rsidRPr="002716FA">
        <w:rPr>
          <w:rFonts w:asciiTheme="minorHAnsi" w:hAnsiTheme="minorHAnsi" w:cstheme="minorHAnsi"/>
          <w:sz w:val="21"/>
          <w:szCs w:val="21"/>
        </w:rPr>
        <w:t>. Tato</w:t>
      </w:r>
      <w:r w:rsidR="003D5AD1">
        <w:rPr>
          <w:rFonts w:asciiTheme="minorHAnsi" w:hAnsiTheme="minorHAnsi" w:cstheme="minorHAnsi"/>
          <w:sz w:val="21"/>
          <w:szCs w:val="21"/>
        </w:rPr>
        <w:t> </w:t>
      </w:r>
      <w:r w:rsidRPr="002716FA">
        <w:rPr>
          <w:rFonts w:asciiTheme="minorHAnsi" w:hAnsiTheme="minorHAnsi" w:cstheme="minorHAnsi"/>
          <w:sz w:val="21"/>
          <w:szCs w:val="21"/>
        </w:rPr>
        <w:t>skutečnost však nenastala ani u jedné ZZP.</w:t>
      </w:r>
    </w:p>
    <w:p w:rsidR="001703E0" w:rsidRPr="005505DD" w:rsidRDefault="001703E0" w:rsidP="0021299E">
      <w:pPr>
        <w:pStyle w:val="TEXT"/>
        <w:spacing w:before="180" w:after="180" w:line="276" w:lineRule="auto"/>
        <w:ind w:firstLine="0"/>
        <w:rPr>
          <w:rFonts w:asciiTheme="minorHAnsi" w:hAnsiTheme="minorHAnsi" w:cstheme="minorHAnsi"/>
          <w:sz w:val="21"/>
          <w:szCs w:val="21"/>
        </w:rPr>
      </w:pPr>
      <w:r w:rsidRPr="005505DD">
        <w:rPr>
          <w:rFonts w:asciiTheme="minorHAnsi" w:hAnsiTheme="minorHAnsi" w:cstheme="minorHAnsi"/>
          <w:sz w:val="21"/>
          <w:szCs w:val="21"/>
        </w:rPr>
        <w:t>Nabídku zdravotně preventivních programů v roce 201</w:t>
      </w:r>
      <w:r w:rsidR="0050279A" w:rsidRPr="005505DD">
        <w:rPr>
          <w:rFonts w:asciiTheme="minorHAnsi" w:hAnsiTheme="minorHAnsi" w:cstheme="minorHAnsi"/>
          <w:sz w:val="21"/>
          <w:szCs w:val="21"/>
        </w:rPr>
        <w:t>9</w:t>
      </w:r>
      <w:r w:rsidRPr="005505DD">
        <w:rPr>
          <w:rFonts w:asciiTheme="minorHAnsi" w:hAnsiTheme="minorHAnsi" w:cstheme="minorHAnsi"/>
          <w:sz w:val="21"/>
          <w:szCs w:val="21"/>
        </w:rPr>
        <w:t xml:space="preserve"> směřovaly ZP k realizaci preventivních programů sloužících na podporu rehabilitačně rekondičních aktivit vedoucích ke zlepšení zdravotního stavu účastníků zařazených do těchto programů, k prevenci kardiovaskulárních onemocnění,</w:t>
      </w:r>
      <w:r w:rsidR="00FF1C6C" w:rsidRPr="005505DD">
        <w:rPr>
          <w:rFonts w:asciiTheme="minorHAnsi" w:hAnsiTheme="minorHAnsi" w:cstheme="minorHAnsi"/>
          <w:sz w:val="21"/>
          <w:szCs w:val="21"/>
        </w:rPr>
        <w:t xml:space="preserve"> prevence onemocnění diabetes </w:t>
      </w:r>
      <w:proofErr w:type="spellStart"/>
      <w:r w:rsidR="00FF1C6C" w:rsidRPr="005505DD">
        <w:rPr>
          <w:rFonts w:asciiTheme="minorHAnsi" w:hAnsiTheme="minorHAnsi" w:cstheme="minorHAnsi"/>
          <w:sz w:val="21"/>
          <w:szCs w:val="21"/>
        </w:rPr>
        <w:t>mellitus</w:t>
      </w:r>
      <w:proofErr w:type="spellEnd"/>
      <w:r w:rsidR="00FF1C6C" w:rsidRPr="005505DD">
        <w:rPr>
          <w:rFonts w:asciiTheme="minorHAnsi" w:hAnsiTheme="minorHAnsi" w:cstheme="minorHAnsi"/>
          <w:sz w:val="21"/>
          <w:szCs w:val="21"/>
        </w:rPr>
        <w:t>,</w:t>
      </w:r>
      <w:r w:rsidRPr="005505DD">
        <w:rPr>
          <w:rFonts w:asciiTheme="minorHAnsi" w:hAnsiTheme="minorHAnsi" w:cstheme="minorHAnsi"/>
          <w:sz w:val="21"/>
          <w:szCs w:val="21"/>
        </w:rPr>
        <w:t xml:space="preserve"> včasnému záchytu onkologických a</w:t>
      </w:r>
      <w:r w:rsidR="0050279A" w:rsidRPr="005505DD">
        <w:rPr>
          <w:rFonts w:asciiTheme="minorHAnsi" w:hAnsiTheme="minorHAnsi" w:cstheme="minorHAnsi"/>
          <w:sz w:val="21"/>
          <w:szCs w:val="21"/>
        </w:rPr>
        <w:t> </w:t>
      </w:r>
      <w:r w:rsidRPr="005505DD">
        <w:rPr>
          <w:rFonts w:asciiTheme="minorHAnsi" w:hAnsiTheme="minorHAnsi" w:cstheme="minorHAnsi"/>
          <w:sz w:val="21"/>
          <w:szCs w:val="21"/>
        </w:rPr>
        <w:t xml:space="preserve">jiných závažných onemocnění, k očkování proti infekčním onemocněním s nebezpečnými následky, k prevenci následků onemocnění </w:t>
      </w:r>
      <w:proofErr w:type="spellStart"/>
      <w:r w:rsidRPr="005505DD">
        <w:rPr>
          <w:rFonts w:asciiTheme="minorHAnsi" w:hAnsiTheme="minorHAnsi" w:cstheme="minorHAnsi"/>
          <w:sz w:val="21"/>
          <w:szCs w:val="21"/>
        </w:rPr>
        <w:t>celiakií</w:t>
      </w:r>
      <w:proofErr w:type="spellEnd"/>
      <w:r w:rsidRPr="005505DD">
        <w:rPr>
          <w:rFonts w:asciiTheme="minorHAnsi" w:hAnsiTheme="minorHAnsi" w:cstheme="minorHAnsi"/>
          <w:sz w:val="21"/>
          <w:szCs w:val="21"/>
        </w:rPr>
        <w:t>, pro dárce krve, plazmy a kostní dřeně, pro ženy v souvislosti s těhotenstvím a</w:t>
      </w:r>
      <w:r w:rsidR="0050279A" w:rsidRPr="005505DD">
        <w:rPr>
          <w:rFonts w:asciiTheme="minorHAnsi" w:hAnsiTheme="minorHAnsi" w:cstheme="minorHAnsi"/>
          <w:sz w:val="21"/>
          <w:szCs w:val="21"/>
        </w:rPr>
        <w:t> </w:t>
      </w:r>
      <w:r w:rsidRPr="005505DD">
        <w:rPr>
          <w:rFonts w:asciiTheme="minorHAnsi" w:hAnsiTheme="minorHAnsi" w:cstheme="minorHAnsi"/>
          <w:sz w:val="21"/>
          <w:szCs w:val="21"/>
        </w:rPr>
        <w:t xml:space="preserve">porodem a dále na projekty podporující zvýšení kvality zdravotní péče, zdravý způsob života a zdraví pojištěnců. </w:t>
      </w:r>
    </w:p>
    <w:p w:rsidR="001703E0" w:rsidRPr="005505DD" w:rsidRDefault="001703E0" w:rsidP="0021299E">
      <w:pPr>
        <w:pStyle w:val="TEXT"/>
        <w:spacing w:before="180" w:after="180" w:line="276" w:lineRule="auto"/>
        <w:ind w:firstLine="0"/>
        <w:rPr>
          <w:rFonts w:asciiTheme="minorHAnsi" w:hAnsiTheme="minorHAnsi" w:cstheme="minorHAnsi"/>
          <w:sz w:val="21"/>
          <w:szCs w:val="21"/>
        </w:rPr>
      </w:pPr>
      <w:r w:rsidRPr="005505DD">
        <w:rPr>
          <w:rFonts w:asciiTheme="minorHAnsi" w:hAnsiTheme="minorHAnsi" w:cstheme="minorHAnsi"/>
          <w:sz w:val="21"/>
          <w:szCs w:val="21"/>
        </w:rPr>
        <w:t xml:space="preserve">Do nabídky některé pojišťovny nově zařadily další programy pro chronicky nemocné pojištěnce např. s diagnózou hypertenze, </w:t>
      </w:r>
      <w:r w:rsidR="00DE6262" w:rsidRPr="005505DD">
        <w:rPr>
          <w:rFonts w:asciiTheme="minorHAnsi" w:hAnsiTheme="minorHAnsi" w:cstheme="minorHAnsi"/>
          <w:sz w:val="21"/>
          <w:szCs w:val="21"/>
        </w:rPr>
        <w:t>fenylketonurie a dalších metabolických poruch</w:t>
      </w:r>
      <w:r w:rsidRPr="005505DD">
        <w:rPr>
          <w:rFonts w:asciiTheme="minorHAnsi" w:hAnsiTheme="minorHAnsi" w:cstheme="minorHAnsi"/>
          <w:sz w:val="21"/>
          <w:szCs w:val="21"/>
        </w:rPr>
        <w:t xml:space="preserve">. </w:t>
      </w:r>
      <w:r w:rsidR="006C3D09">
        <w:rPr>
          <w:rFonts w:asciiTheme="minorHAnsi" w:hAnsiTheme="minorHAnsi" w:cstheme="minorHAnsi"/>
          <w:sz w:val="21"/>
          <w:szCs w:val="21"/>
        </w:rPr>
        <w:t xml:space="preserve">Částečnou motivací v této oblasti může být i zavedení nového systému přerozdělování. </w:t>
      </w:r>
      <w:r w:rsidRPr="005505DD">
        <w:rPr>
          <w:rFonts w:asciiTheme="minorHAnsi" w:hAnsiTheme="minorHAnsi" w:cstheme="minorHAnsi"/>
          <w:sz w:val="21"/>
          <w:szCs w:val="21"/>
        </w:rPr>
        <w:t>V rámci prevence byly také podporovány léčebně-ozdravné pobyty pro chronicky nemocné děti v oblastech s prokazatelně pozitivními vlivy na zdravotní stav dětí (vysokohorské nebo přímořské oblasti).</w:t>
      </w:r>
    </w:p>
    <w:p w:rsidR="001703E0" w:rsidRDefault="001703E0" w:rsidP="001703E0">
      <w:pPr>
        <w:pStyle w:val="TEXT"/>
        <w:spacing w:before="180" w:after="180" w:line="276" w:lineRule="auto"/>
        <w:ind w:firstLine="0"/>
        <w:rPr>
          <w:rFonts w:asciiTheme="minorHAnsi" w:hAnsiTheme="minorHAnsi" w:cstheme="minorHAnsi"/>
          <w:sz w:val="21"/>
          <w:szCs w:val="21"/>
        </w:rPr>
      </w:pPr>
      <w:r w:rsidRPr="005505DD">
        <w:rPr>
          <w:rFonts w:asciiTheme="minorHAnsi" w:hAnsiTheme="minorHAnsi" w:cstheme="minorHAnsi"/>
          <w:sz w:val="21"/>
          <w:szCs w:val="21"/>
        </w:rPr>
        <w:t>Podmínky pro čerpání prostředků z fondu prevence stanoví zvlášť každá ZP a MZ nemá zákonnou pravomoc do</w:t>
      </w:r>
      <w:r w:rsidR="003D5AD1">
        <w:rPr>
          <w:rFonts w:asciiTheme="minorHAnsi" w:hAnsiTheme="minorHAnsi" w:cstheme="minorHAnsi"/>
          <w:sz w:val="21"/>
          <w:szCs w:val="21"/>
        </w:rPr>
        <w:t> </w:t>
      </w:r>
      <w:r w:rsidRPr="005505DD">
        <w:rPr>
          <w:rFonts w:asciiTheme="minorHAnsi" w:hAnsiTheme="minorHAnsi" w:cstheme="minorHAnsi"/>
          <w:sz w:val="21"/>
          <w:szCs w:val="21"/>
        </w:rPr>
        <w:t>nich zasahovat, pakliže nejsou výslovně v rozporu s účelem fondu prevence. Závisí zcela na rozhodnutí ZP, jaké</w:t>
      </w:r>
      <w:r w:rsidR="003D5AD1">
        <w:rPr>
          <w:rFonts w:asciiTheme="minorHAnsi" w:hAnsiTheme="minorHAnsi" w:cstheme="minorHAnsi"/>
          <w:sz w:val="21"/>
          <w:szCs w:val="21"/>
        </w:rPr>
        <w:t> </w:t>
      </w:r>
      <w:r w:rsidRPr="005505DD">
        <w:rPr>
          <w:rFonts w:asciiTheme="minorHAnsi" w:hAnsiTheme="minorHAnsi" w:cstheme="minorHAnsi"/>
          <w:sz w:val="21"/>
          <w:szCs w:val="21"/>
        </w:rPr>
        <w:t>preventivní programy vyhovující příslušnému ustanovení zákona a za jakých podmínek svým pojištěncům nabídne. Konkrétní výše</w:t>
      </w:r>
      <w:r w:rsidRPr="0050279A">
        <w:rPr>
          <w:rFonts w:asciiTheme="minorHAnsi" w:hAnsiTheme="minorHAnsi" w:cstheme="minorHAnsi"/>
          <w:sz w:val="21"/>
          <w:szCs w:val="21"/>
        </w:rPr>
        <w:t xml:space="preserve"> těchto příspěvků a konkrétní podmínky pro jejich poskytnutí nejsou řízeny zvláštním právním předpisem, nýbrž je pojišťovna sama, dle svého uvážení, může určit.</w:t>
      </w:r>
    </w:p>
    <w:p w:rsidR="001703E0" w:rsidRPr="00E73AE7" w:rsidRDefault="001703E0" w:rsidP="0021299E">
      <w:pPr>
        <w:pStyle w:val="Titulek"/>
        <w:jc w:val="both"/>
        <w:rPr>
          <w:b w:val="0"/>
        </w:rPr>
      </w:pPr>
      <w:bookmarkStart w:id="48" w:name="_Toc41837508"/>
      <w:r w:rsidRPr="00C75FC6">
        <w:t xml:space="preserve">Tabulka č. </w:t>
      </w:r>
      <w:r>
        <w:rPr>
          <w:noProof/>
        </w:rPr>
        <w:fldChar w:fldCharType="begin"/>
      </w:r>
      <w:r>
        <w:rPr>
          <w:noProof/>
        </w:rPr>
        <w:instrText xml:space="preserve"> SEQ Tabulka \* ARABIC </w:instrText>
      </w:r>
      <w:r>
        <w:rPr>
          <w:noProof/>
        </w:rPr>
        <w:fldChar w:fldCharType="separate"/>
      </w:r>
      <w:r w:rsidR="00B17299">
        <w:rPr>
          <w:noProof/>
        </w:rPr>
        <w:t>16</w:t>
      </w:r>
      <w:r>
        <w:rPr>
          <w:noProof/>
        </w:rPr>
        <w:fldChar w:fldCharType="end"/>
      </w:r>
      <w:r w:rsidRPr="00C75FC6">
        <w:t xml:space="preserve">: </w:t>
      </w:r>
      <w:r w:rsidRPr="001703E0">
        <w:t>Vývoj nákladů na preventivní zdravotní péči čerpaných z fondu prevence ZP a</w:t>
      </w:r>
      <w:r w:rsidR="0050279A">
        <w:t> </w:t>
      </w:r>
      <w:r w:rsidRPr="001703E0">
        <w:t xml:space="preserve">specifických fondů </w:t>
      </w:r>
      <w:proofErr w:type="spellStart"/>
      <w:r w:rsidRPr="001703E0">
        <w:t>VoZP</w:t>
      </w:r>
      <w:proofErr w:type="spellEnd"/>
      <w:r w:rsidRPr="001703E0">
        <w:t xml:space="preserve"> ČR</w:t>
      </w:r>
      <w:bookmarkEnd w:id="48"/>
      <w:r w:rsidRPr="001703E0">
        <w:rPr>
          <w:highlight w:val="green"/>
        </w:rPr>
        <w:t xml:space="preserve"> </w:t>
      </w:r>
    </w:p>
    <w:tbl>
      <w:tblPr>
        <w:tblW w:w="9080" w:type="dxa"/>
        <w:jc w:val="center"/>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2080"/>
        <w:gridCol w:w="1000"/>
        <w:gridCol w:w="1000"/>
        <w:gridCol w:w="1000"/>
        <w:gridCol w:w="1000"/>
        <w:gridCol w:w="1000"/>
        <w:gridCol w:w="1000"/>
        <w:gridCol w:w="1000"/>
      </w:tblGrid>
      <w:tr w:rsidR="0076102D" w:rsidRPr="00885B28" w:rsidTr="000E6678">
        <w:trPr>
          <w:trHeight w:val="600"/>
          <w:jc w:val="center"/>
        </w:trPr>
        <w:tc>
          <w:tcPr>
            <w:tcW w:w="2080" w:type="dxa"/>
            <w:shd w:val="clear" w:color="000000" w:fill="4F81BD"/>
            <w:hideMark/>
          </w:tcPr>
          <w:p w:rsidR="0076102D" w:rsidRPr="00885B28" w:rsidRDefault="0076102D" w:rsidP="0076102D">
            <w:pPr>
              <w:spacing w:after="0" w:line="240" w:lineRule="auto"/>
              <w:rPr>
                <w:rFonts w:ascii="Calibri" w:eastAsia="Times New Roman" w:hAnsi="Calibri" w:cs="Times New Roman"/>
                <w:b/>
                <w:bCs/>
                <w:color w:val="FFFFFF"/>
                <w:szCs w:val="21"/>
                <w:lang w:eastAsia="cs-CZ"/>
              </w:rPr>
            </w:pPr>
            <w:r w:rsidRPr="00885B28">
              <w:rPr>
                <w:rFonts w:ascii="Calibri" w:eastAsia="Times New Roman" w:hAnsi="Calibri" w:cs="Times New Roman"/>
                <w:b/>
                <w:bCs/>
                <w:color w:val="FFFFFF"/>
                <w:szCs w:val="21"/>
                <w:lang w:eastAsia="cs-CZ"/>
              </w:rPr>
              <w:t>Ukazatel</w:t>
            </w:r>
            <w:r w:rsidRPr="00885B28">
              <w:rPr>
                <w:rFonts w:ascii="Calibri" w:eastAsia="Times New Roman" w:hAnsi="Calibri" w:cs="Times New Roman"/>
                <w:b/>
                <w:bCs/>
                <w:color w:val="FFFFFF"/>
                <w:szCs w:val="21"/>
                <w:lang w:eastAsia="cs-CZ"/>
              </w:rPr>
              <w:br/>
            </w:r>
            <w:r w:rsidRPr="00885B28">
              <w:rPr>
                <w:rFonts w:ascii="Calibri" w:eastAsia="Times New Roman" w:hAnsi="Calibri" w:cs="Times New Roman"/>
                <w:color w:val="FFFFFF"/>
                <w:szCs w:val="21"/>
                <w:lang w:eastAsia="cs-CZ"/>
              </w:rPr>
              <w:t>(v mil. Kč)</w:t>
            </w:r>
          </w:p>
        </w:tc>
        <w:tc>
          <w:tcPr>
            <w:tcW w:w="1000" w:type="dxa"/>
            <w:shd w:val="clear" w:color="000000" w:fill="6691C6"/>
            <w:noWrap/>
            <w:vAlign w:val="center"/>
            <w:hideMark/>
          </w:tcPr>
          <w:p w:rsidR="0076102D" w:rsidRPr="00885B28" w:rsidRDefault="0076102D" w:rsidP="0076102D">
            <w:pPr>
              <w:spacing w:after="0" w:line="240" w:lineRule="auto"/>
              <w:jc w:val="center"/>
              <w:rPr>
                <w:rFonts w:ascii="Calibri" w:eastAsia="Times New Roman" w:hAnsi="Calibri" w:cs="Times New Roman"/>
                <w:b/>
                <w:bCs/>
                <w:color w:val="FFFFFF"/>
                <w:szCs w:val="21"/>
                <w:lang w:eastAsia="cs-CZ"/>
              </w:rPr>
            </w:pPr>
            <w:r w:rsidRPr="00635E8D">
              <w:rPr>
                <w:rFonts w:ascii="Calibri" w:eastAsia="Times New Roman" w:hAnsi="Calibri" w:cs="Times New Roman"/>
                <w:b/>
                <w:bCs/>
                <w:color w:val="FFFFFF"/>
                <w:szCs w:val="21"/>
                <w:lang w:eastAsia="cs-CZ"/>
              </w:rPr>
              <w:t>2014</w:t>
            </w:r>
          </w:p>
        </w:tc>
        <w:tc>
          <w:tcPr>
            <w:tcW w:w="1000" w:type="dxa"/>
            <w:shd w:val="clear" w:color="000000" w:fill="4F81BD"/>
            <w:noWrap/>
            <w:vAlign w:val="center"/>
            <w:hideMark/>
          </w:tcPr>
          <w:p w:rsidR="0076102D" w:rsidRPr="00885B28" w:rsidRDefault="0076102D" w:rsidP="0076102D">
            <w:pPr>
              <w:spacing w:after="0" w:line="240" w:lineRule="auto"/>
              <w:jc w:val="center"/>
              <w:rPr>
                <w:rFonts w:ascii="Calibri" w:eastAsia="Times New Roman" w:hAnsi="Calibri" w:cs="Times New Roman"/>
                <w:b/>
                <w:bCs/>
                <w:color w:val="FFFFFF"/>
                <w:szCs w:val="21"/>
                <w:lang w:eastAsia="cs-CZ"/>
              </w:rPr>
            </w:pPr>
            <w:r w:rsidRPr="00635E8D">
              <w:rPr>
                <w:rFonts w:ascii="Calibri" w:eastAsia="Times New Roman" w:hAnsi="Calibri" w:cs="Times New Roman"/>
                <w:b/>
                <w:bCs/>
                <w:color w:val="FFFFFF"/>
                <w:szCs w:val="21"/>
                <w:lang w:eastAsia="cs-CZ"/>
              </w:rPr>
              <w:t>2015</w:t>
            </w:r>
          </w:p>
        </w:tc>
        <w:tc>
          <w:tcPr>
            <w:tcW w:w="1000" w:type="dxa"/>
            <w:shd w:val="clear" w:color="000000" w:fill="6691C6"/>
            <w:noWrap/>
            <w:vAlign w:val="center"/>
            <w:hideMark/>
          </w:tcPr>
          <w:p w:rsidR="0076102D" w:rsidRPr="00885B28" w:rsidRDefault="0076102D" w:rsidP="0076102D">
            <w:pPr>
              <w:spacing w:after="0" w:line="240" w:lineRule="auto"/>
              <w:jc w:val="center"/>
              <w:rPr>
                <w:rFonts w:ascii="Calibri" w:eastAsia="Times New Roman" w:hAnsi="Calibri" w:cs="Times New Roman"/>
                <w:b/>
                <w:bCs/>
                <w:color w:val="FFFFFF"/>
                <w:szCs w:val="21"/>
                <w:lang w:eastAsia="cs-CZ"/>
              </w:rPr>
            </w:pPr>
            <w:r w:rsidRPr="00635E8D">
              <w:rPr>
                <w:rFonts w:ascii="Calibri" w:eastAsia="Times New Roman" w:hAnsi="Calibri" w:cs="Times New Roman"/>
                <w:b/>
                <w:bCs/>
                <w:color w:val="FFFFFF"/>
                <w:szCs w:val="21"/>
                <w:lang w:eastAsia="cs-CZ"/>
              </w:rPr>
              <w:t>2016</w:t>
            </w:r>
          </w:p>
        </w:tc>
        <w:tc>
          <w:tcPr>
            <w:tcW w:w="1000" w:type="dxa"/>
            <w:shd w:val="clear" w:color="000000" w:fill="4F81BD"/>
            <w:noWrap/>
            <w:vAlign w:val="center"/>
            <w:hideMark/>
          </w:tcPr>
          <w:p w:rsidR="0076102D" w:rsidRPr="00885B28" w:rsidRDefault="0076102D" w:rsidP="0076102D">
            <w:pPr>
              <w:spacing w:after="0" w:line="240" w:lineRule="auto"/>
              <w:jc w:val="center"/>
              <w:rPr>
                <w:rFonts w:ascii="Calibri" w:eastAsia="Times New Roman" w:hAnsi="Calibri" w:cs="Times New Roman"/>
                <w:b/>
                <w:bCs/>
                <w:color w:val="FFFFFF"/>
                <w:szCs w:val="21"/>
                <w:lang w:eastAsia="cs-CZ"/>
              </w:rPr>
            </w:pPr>
            <w:r w:rsidRPr="00635E8D">
              <w:rPr>
                <w:rFonts w:ascii="Calibri" w:eastAsia="Times New Roman" w:hAnsi="Calibri" w:cs="Times New Roman"/>
                <w:b/>
                <w:bCs/>
                <w:color w:val="FFFFFF"/>
                <w:szCs w:val="21"/>
                <w:lang w:eastAsia="cs-CZ"/>
              </w:rPr>
              <w:t>2017</w:t>
            </w:r>
          </w:p>
        </w:tc>
        <w:tc>
          <w:tcPr>
            <w:tcW w:w="1000" w:type="dxa"/>
            <w:shd w:val="clear" w:color="000000" w:fill="6691C6"/>
            <w:noWrap/>
            <w:vAlign w:val="center"/>
            <w:hideMark/>
          </w:tcPr>
          <w:p w:rsidR="0076102D" w:rsidRPr="00885B28" w:rsidRDefault="0076102D" w:rsidP="0076102D">
            <w:pPr>
              <w:spacing w:after="0" w:line="240" w:lineRule="auto"/>
              <w:jc w:val="center"/>
              <w:rPr>
                <w:rFonts w:ascii="Calibri" w:eastAsia="Times New Roman" w:hAnsi="Calibri" w:cs="Times New Roman"/>
                <w:b/>
                <w:bCs/>
                <w:color w:val="FFFFFF"/>
                <w:szCs w:val="21"/>
                <w:lang w:eastAsia="cs-CZ"/>
              </w:rPr>
            </w:pPr>
            <w:r w:rsidRPr="00635E8D">
              <w:rPr>
                <w:rFonts w:ascii="Calibri" w:eastAsia="Times New Roman" w:hAnsi="Calibri" w:cs="Times New Roman"/>
                <w:b/>
                <w:bCs/>
                <w:color w:val="FFFFFF"/>
                <w:szCs w:val="21"/>
                <w:lang w:eastAsia="cs-CZ"/>
              </w:rPr>
              <w:t>201</w:t>
            </w:r>
            <w:r>
              <w:rPr>
                <w:rFonts w:ascii="Calibri" w:eastAsia="Times New Roman" w:hAnsi="Calibri" w:cs="Times New Roman"/>
                <w:b/>
                <w:bCs/>
                <w:color w:val="FFFFFF"/>
                <w:szCs w:val="21"/>
                <w:lang w:eastAsia="cs-CZ"/>
              </w:rPr>
              <w:t>8</w:t>
            </w:r>
          </w:p>
        </w:tc>
        <w:tc>
          <w:tcPr>
            <w:tcW w:w="1000" w:type="dxa"/>
            <w:shd w:val="clear" w:color="000000" w:fill="4F81BD"/>
            <w:vAlign w:val="center"/>
            <w:hideMark/>
          </w:tcPr>
          <w:p w:rsidR="0076102D" w:rsidRPr="00885B28" w:rsidRDefault="0076102D" w:rsidP="0076102D">
            <w:pPr>
              <w:spacing w:after="0" w:line="240" w:lineRule="auto"/>
              <w:jc w:val="center"/>
              <w:rPr>
                <w:rFonts w:ascii="Calibri" w:eastAsia="Times New Roman" w:hAnsi="Calibri" w:cs="Times New Roman"/>
                <w:b/>
                <w:bCs/>
                <w:color w:val="FFFFFF"/>
                <w:szCs w:val="21"/>
                <w:lang w:eastAsia="cs-CZ"/>
              </w:rPr>
            </w:pPr>
            <w:r w:rsidRPr="00635E8D">
              <w:rPr>
                <w:rFonts w:ascii="Calibri" w:eastAsia="Times New Roman" w:hAnsi="Calibri" w:cs="Times New Roman"/>
                <w:b/>
                <w:bCs/>
                <w:color w:val="FFFFFF"/>
                <w:szCs w:val="21"/>
                <w:lang w:eastAsia="cs-CZ"/>
              </w:rPr>
              <w:t>201</w:t>
            </w:r>
            <w:r>
              <w:rPr>
                <w:rFonts w:ascii="Calibri" w:eastAsia="Times New Roman" w:hAnsi="Calibri" w:cs="Times New Roman"/>
                <w:b/>
                <w:bCs/>
                <w:color w:val="FFFFFF"/>
                <w:szCs w:val="21"/>
                <w:lang w:eastAsia="cs-CZ"/>
              </w:rPr>
              <w:t>9</w:t>
            </w:r>
          </w:p>
        </w:tc>
        <w:tc>
          <w:tcPr>
            <w:tcW w:w="1000" w:type="dxa"/>
            <w:shd w:val="clear" w:color="000000" w:fill="6691C6"/>
            <w:noWrap/>
            <w:vAlign w:val="center"/>
            <w:hideMark/>
          </w:tcPr>
          <w:p w:rsidR="0076102D" w:rsidRDefault="0076102D" w:rsidP="0076102D">
            <w:pPr>
              <w:spacing w:after="0" w:line="240" w:lineRule="auto"/>
              <w:jc w:val="center"/>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2019</w:t>
            </w:r>
          </w:p>
          <w:p w:rsidR="0076102D" w:rsidRPr="00885B28" w:rsidRDefault="0076102D" w:rsidP="0076102D">
            <w:pPr>
              <w:spacing w:after="0" w:line="240" w:lineRule="auto"/>
              <w:jc w:val="center"/>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ZPP</w:t>
            </w:r>
          </w:p>
        </w:tc>
      </w:tr>
      <w:tr w:rsidR="00C328E4" w:rsidRPr="00885B28" w:rsidTr="001F456A">
        <w:trPr>
          <w:trHeight w:val="559"/>
          <w:jc w:val="center"/>
        </w:trPr>
        <w:tc>
          <w:tcPr>
            <w:tcW w:w="2080" w:type="dxa"/>
            <w:shd w:val="clear" w:color="auto" w:fill="auto"/>
            <w:vAlign w:val="bottom"/>
            <w:hideMark/>
          </w:tcPr>
          <w:p w:rsidR="00C328E4" w:rsidRPr="00885B28" w:rsidRDefault="00C328E4" w:rsidP="00C328E4">
            <w:pPr>
              <w:spacing w:after="0" w:line="240" w:lineRule="auto"/>
              <w:rPr>
                <w:rFonts w:ascii="Calibri" w:eastAsia="Times New Roman" w:hAnsi="Calibri" w:cs="Times New Roman"/>
                <w:b/>
                <w:bCs/>
                <w:color w:val="000000"/>
                <w:szCs w:val="21"/>
                <w:lang w:eastAsia="cs-CZ"/>
              </w:rPr>
            </w:pPr>
            <w:r w:rsidRPr="00885B28">
              <w:rPr>
                <w:rFonts w:ascii="Calibri" w:eastAsia="Times New Roman" w:hAnsi="Calibri" w:cs="Times New Roman"/>
                <w:b/>
                <w:bCs/>
                <w:color w:val="000000"/>
                <w:szCs w:val="21"/>
                <w:lang w:eastAsia="cs-CZ"/>
              </w:rPr>
              <w:t xml:space="preserve">Náklady na </w:t>
            </w:r>
            <w:r w:rsidRPr="00885B28">
              <w:rPr>
                <w:rFonts w:ascii="Calibri" w:eastAsia="Times New Roman" w:hAnsi="Calibri" w:cs="Times New Roman"/>
                <w:b/>
                <w:bCs/>
                <w:color w:val="000000"/>
                <w:szCs w:val="21"/>
                <w:lang w:eastAsia="cs-CZ"/>
              </w:rPr>
              <w:br/>
              <w:t>zdravotní programy</w:t>
            </w:r>
          </w:p>
        </w:tc>
        <w:tc>
          <w:tcPr>
            <w:tcW w:w="1000" w:type="dxa"/>
            <w:shd w:val="clear" w:color="000000" w:fill="DCE6F1"/>
            <w:noWrap/>
            <w:vAlign w:val="center"/>
            <w:hideMark/>
          </w:tcPr>
          <w:p w:rsidR="00C328E4" w:rsidRPr="00885B28" w:rsidRDefault="00C328E4" w:rsidP="003D5AD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726</w:t>
            </w:r>
          </w:p>
        </w:tc>
        <w:tc>
          <w:tcPr>
            <w:tcW w:w="1000" w:type="dxa"/>
            <w:shd w:val="clear" w:color="auto" w:fill="auto"/>
            <w:noWrap/>
            <w:vAlign w:val="center"/>
            <w:hideMark/>
          </w:tcPr>
          <w:p w:rsidR="00C328E4" w:rsidRPr="00885B28" w:rsidRDefault="00C328E4" w:rsidP="003D5AD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580</w:t>
            </w:r>
          </w:p>
        </w:tc>
        <w:tc>
          <w:tcPr>
            <w:tcW w:w="1000" w:type="dxa"/>
            <w:shd w:val="clear" w:color="000000" w:fill="DCE6F1"/>
            <w:noWrap/>
            <w:vAlign w:val="center"/>
            <w:hideMark/>
          </w:tcPr>
          <w:p w:rsidR="00C328E4" w:rsidRPr="00885B28"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743</w:t>
            </w:r>
          </w:p>
        </w:tc>
        <w:tc>
          <w:tcPr>
            <w:tcW w:w="1000" w:type="dxa"/>
            <w:shd w:val="clear" w:color="auto" w:fill="auto"/>
            <w:noWrap/>
            <w:vAlign w:val="center"/>
            <w:hideMark/>
          </w:tcPr>
          <w:p w:rsidR="00C328E4" w:rsidRPr="00885B28"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703</w:t>
            </w:r>
          </w:p>
        </w:tc>
        <w:tc>
          <w:tcPr>
            <w:tcW w:w="1000" w:type="dxa"/>
            <w:shd w:val="clear" w:color="000000" w:fill="DCE6F1"/>
            <w:noWrap/>
            <w:vAlign w:val="center"/>
            <w:hideMark/>
          </w:tcPr>
          <w:p w:rsidR="00C328E4" w:rsidRPr="00885B28"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876</w:t>
            </w:r>
          </w:p>
        </w:tc>
        <w:tc>
          <w:tcPr>
            <w:tcW w:w="1000" w:type="dxa"/>
            <w:shd w:val="clear" w:color="auto" w:fill="auto"/>
            <w:noWrap/>
            <w:vAlign w:val="center"/>
            <w:hideMark/>
          </w:tcPr>
          <w:p w:rsidR="00C328E4" w:rsidRPr="00885B28"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1 114</w:t>
            </w:r>
          </w:p>
        </w:tc>
        <w:tc>
          <w:tcPr>
            <w:tcW w:w="1000" w:type="dxa"/>
            <w:shd w:val="clear" w:color="000000" w:fill="DCE6F1"/>
            <w:noWrap/>
            <w:vAlign w:val="center"/>
            <w:hideMark/>
          </w:tcPr>
          <w:p w:rsidR="00C328E4" w:rsidRPr="00885B28"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1 023</w:t>
            </w:r>
          </w:p>
        </w:tc>
      </w:tr>
      <w:tr w:rsidR="00C328E4" w:rsidRPr="00885B28" w:rsidTr="001F456A">
        <w:trPr>
          <w:trHeight w:val="559"/>
          <w:jc w:val="center"/>
        </w:trPr>
        <w:tc>
          <w:tcPr>
            <w:tcW w:w="2080" w:type="dxa"/>
            <w:shd w:val="clear" w:color="000000" w:fill="EEF3F8"/>
            <w:vAlign w:val="bottom"/>
            <w:hideMark/>
          </w:tcPr>
          <w:p w:rsidR="00C328E4" w:rsidRPr="00885B28" w:rsidRDefault="00C328E4" w:rsidP="00C328E4">
            <w:pPr>
              <w:spacing w:after="0" w:line="240" w:lineRule="auto"/>
              <w:rPr>
                <w:rFonts w:ascii="Calibri" w:eastAsia="Times New Roman" w:hAnsi="Calibri" w:cs="Times New Roman"/>
                <w:b/>
                <w:bCs/>
                <w:color w:val="000000"/>
                <w:szCs w:val="21"/>
                <w:lang w:eastAsia="cs-CZ"/>
              </w:rPr>
            </w:pPr>
            <w:r w:rsidRPr="00885B28">
              <w:rPr>
                <w:rFonts w:ascii="Calibri" w:eastAsia="Times New Roman" w:hAnsi="Calibri" w:cs="Times New Roman"/>
                <w:b/>
                <w:bCs/>
                <w:color w:val="000000"/>
                <w:szCs w:val="21"/>
                <w:lang w:eastAsia="cs-CZ"/>
              </w:rPr>
              <w:t xml:space="preserve">Náklady na </w:t>
            </w:r>
            <w:r w:rsidRPr="00885B28">
              <w:rPr>
                <w:rFonts w:ascii="Calibri" w:eastAsia="Times New Roman" w:hAnsi="Calibri" w:cs="Times New Roman"/>
                <w:b/>
                <w:bCs/>
                <w:color w:val="000000"/>
                <w:szCs w:val="21"/>
                <w:lang w:eastAsia="cs-CZ"/>
              </w:rPr>
              <w:br/>
              <w:t>ozdravné pobyty</w:t>
            </w:r>
          </w:p>
        </w:tc>
        <w:tc>
          <w:tcPr>
            <w:tcW w:w="1000" w:type="dxa"/>
            <w:shd w:val="clear" w:color="000000" w:fill="EEF3F8"/>
            <w:noWrap/>
            <w:vAlign w:val="center"/>
            <w:hideMark/>
          </w:tcPr>
          <w:p w:rsidR="00C328E4" w:rsidRPr="00885B28" w:rsidRDefault="00C328E4" w:rsidP="003D5AD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112</w:t>
            </w:r>
          </w:p>
        </w:tc>
        <w:tc>
          <w:tcPr>
            <w:tcW w:w="1000" w:type="dxa"/>
            <w:shd w:val="clear" w:color="000000" w:fill="EEF3F8"/>
            <w:noWrap/>
            <w:vAlign w:val="center"/>
            <w:hideMark/>
          </w:tcPr>
          <w:p w:rsidR="00C328E4" w:rsidRPr="00885B28" w:rsidRDefault="00C328E4" w:rsidP="003D5AD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104</w:t>
            </w:r>
          </w:p>
        </w:tc>
        <w:tc>
          <w:tcPr>
            <w:tcW w:w="1000" w:type="dxa"/>
            <w:shd w:val="clear" w:color="000000" w:fill="EEF3F8"/>
            <w:noWrap/>
            <w:vAlign w:val="center"/>
            <w:hideMark/>
          </w:tcPr>
          <w:p w:rsidR="00C328E4" w:rsidRPr="00885B28"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106</w:t>
            </w:r>
          </w:p>
        </w:tc>
        <w:tc>
          <w:tcPr>
            <w:tcW w:w="1000" w:type="dxa"/>
            <w:shd w:val="clear" w:color="000000" w:fill="EEF3F8"/>
            <w:noWrap/>
            <w:vAlign w:val="center"/>
            <w:hideMark/>
          </w:tcPr>
          <w:p w:rsidR="00C328E4" w:rsidRPr="00885B28"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99</w:t>
            </w:r>
          </w:p>
        </w:tc>
        <w:tc>
          <w:tcPr>
            <w:tcW w:w="1000" w:type="dxa"/>
            <w:shd w:val="clear" w:color="000000" w:fill="EEF3F8"/>
            <w:noWrap/>
            <w:vAlign w:val="center"/>
            <w:hideMark/>
          </w:tcPr>
          <w:p w:rsidR="00C328E4" w:rsidRPr="00885B28"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109</w:t>
            </w:r>
          </w:p>
        </w:tc>
        <w:tc>
          <w:tcPr>
            <w:tcW w:w="1000" w:type="dxa"/>
            <w:shd w:val="clear" w:color="000000" w:fill="EEF3F8"/>
            <w:noWrap/>
            <w:vAlign w:val="center"/>
            <w:hideMark/>
          </w:tcPr>
          <w:p w:rsidR="00C328E4" w:rsidRPr="00885B28"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93</w:t>
            </w:r>
          </w:p>
        </w:tc>
        <w:tc>
          <w:tcPr>
            <w:tcW w:w="1000" w:type="dxa"/>
            <w:shd w:val="clear" w:color="000000" w:fill="EEF3F8"/>
            <w:noWrap/>
            <w:vAlign w:val="center"/>
            <w:hideMark/>
          </w:tcPr>
          <w:p w:rsidR="00C328E4" w:rsidRPr="00885B28"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140</w:t>
            </w:r>
          </w:p>
        </w:tc>
      </w:tr>
      <w:tr w:rsidR="00C328E4" w:rsidRPr="00885B28" w:rsidTr="001F456A">
        <w:trPr>
          <w:trHeight w:val="300"/>
          <w:jc w:val="center"/>
        </w:trPr>
        <w:tc>
          <w:tcPr>
            <w:tcW w:w="2080" w:type="dxa"/>
            <w:shd w:val="clear" w:color="auto" w:fill="auto"/>
            <w:vAlign w:val="bottom"/>
            <w:hideMark/>
          </w:tcPr>
          <w:p w:rsidR="00C328E4" w:rsidRPr="00885B28" w:rsidRDefault="00C328E4" w:rsidP="00C328E4">
            <w:pPr>
              <w:spacing w:after="0" w:line="240" w:lineRule="auto"/>
              <w:rPr>
                <w:rFonts w:ascii="Calibri" w:eastAsia="Times New Roman" w:hAnsi="Calibri" w:cs="Times New Roman"/>
                <w:b/>
                <w:bCs/>
                <w:color w:val="000000"/>
                <w:szCs w:val="21"/>
                <w:lang w:eastAsia="cs-CZ"/>
              </w:rPr>
            </w:pPr>
            <w:r w:rsidRPr="00885B28">
              <w:rPr>
                <w:rFonts w:ascii="Calibri" w:eastAsia="Times New Roman" w:hAnsi="Calibri" w:cs="Times New Roman"/>
                <w:b/>
                <w:bCs/>
                <w:color w:val="000000"/>
                <w:szCs w:val="21"/>
                <w:lang w:eastAsia="cs-CZ"/>
              </w:rPr>
              <w:t>Ostatní činnosti</w:t>
            </w:r>
          </w:p>
        </w:tc>
        <w:tc>
          <w:tcPr>
            <w:tcW w:w="1000" w:type="dxa"/>
            <w:shd w:val="clear" w:color="000000" w:fill="DCE6F1"/>
            <w:noWrap/>
            <w:vAlign w:val="center"/>
            <w:hideMark/>
          </w:tcPr>
          <w:p w:rsidR="00C328E4" w:rsidRPr="00885B28" w:rsidRDefault="00C328E4" w:rsidP="003D5AD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64</w:t>
            </w:r>
          </w:p>
        </w:tc>
        <w:tc>
          <w:tcPr>
            <w:tcW w:w="1000" w:type="dxa"/>
            <w:shd w:val="clear" w:color="auto" w:fill="auto"/>
            <w:noWrap/>
            <w:vAlign w:val="center"/>
            <w:hideMark/>
          </w:tcPr>
          <w:p w:rsidR="00C328E4" w:rsidRPr="00885B28" w:rsidRDefault="00C328E4" w:rsidP="003D5AD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89</w:t>
            </w:r>
          </w:p>
        </w:tc>
        <w:tc>
          <w:tcPr>
            <w:tcW w:w="1000" w:type="dxa"/>
            <w:shd w:val="clear" w:color="000000" w:fill="DCE6F1"/>
            <w:noWrap/>
            <w:vAlign w:val="center"/>
            <w:hideMark/>
          </w:tcPr>
          <w:p w:rsidR="00C328E4" w:rsidRPr="00885B28"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127</w:t>
            </w:r>
          </w:p>
        </w:tc>
        <w:tc>
          <w:tcPr>
            <w:tcW w:w="1000" w:type="dxa"/>
            <w:shd w:val="clear" w:color="auto" w:fill="auto"/>
            <w:noWrap/>
            <w:vAlign w:val="center"/>
            <w:hideMark/>
          </w:tcPr>
          <w:p w:rsidR="00C328E4" w:rsidRPr="00885B28"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80</w:t>
            </w:r>
          </w:p>
        </w:tc>
        <w:tc>
          <w:tcPr>
            <w:tcW w:w="1000" w:type="dxa"/>
            <w:shd w:val="clear" w:color="000000" w:fill="DCE6F1"/>
            <w:noWrap/>
            <w:vAlign w:val="center"/>
            <w:hideMark/>
          </w:tcPr>
          <w:p w:rsidR="00C328E4" w:rsidRPr="00885B28"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99</w:t>
            </w:r>
          </w:p>
        </w:tc>
        <w:tc>
          <w:tcPr>
            <w:tcW w:w="1000" w:type="dxa"/>
            <w:shd w:val="clear" w:color="auto" w:fill="auto"/>
            <w:noWrap/>
            <w:vAlign w:val="center"/>
            <w:hideMark/>
          </w:tcPr>
          <w:p w:rsidR="00C328E4" w:rsidRPr="00885B28"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165</w:t>
            </w:r>
          </w:p>
        </w:tc>
        <w:tc>
          <w:tcPr>
            <w:tcW w:w="1000" w:type="dxa"/>
            <w:shd w:val="clear" w:color="000000" w:fill="DCE6F1"/>
            <w:noWrap/>
            <w:vAlign w:val="center"/>
            <w:hideMark/>
          </w:tcPr>
          <w:p w:rsidR="00C328E4" w:rsidRPr="00885B28"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155</w:t>
            </w:r>
          </w:p>
        </w:tc>
      </w:tr>
      <w:tr w:rsidR="00C328E4" w:rsidRPr="00885B28" w:rsidTr="001F456A">
        <w:trPr>
          <w:trHeight w:val="559"/>
          <w:jc w:val="center"/>
        </w:trPr>
        <w:tc>
          <w:tcPr>
            <w:tcW w:w="2080" w:type="dxa"/>
            <w:shd w:val="clear" w:color="000000" w:fill="EEF3F8"/>
            <w:vAlign w:val="bottom"/>
            <w:hideMark/>
          </w:tcPr>
          <w:p w:rsidR="00C328E4" w:rsidRPr="00885B28" w:rsidRDefault="00C328E4" w:rsidP="00C328E4">
            <w:pPr>
              <w:spacing w:after="0" w:line="240" w:lineRule="auto"/>
              <w:rPr>
                <w:rFonts w:ascii="Calibri" w:eastAsia="Times New Roman" w:hAnsi="Calibri" w:cs="Times New Roman"/>
                <w:b/>
                <w:bCs/>
                <w:color w:val="000000"/>
                <w:szCs w:val="21"/>
                <w:lang w:eastAsia="cs-CZ"/>
              </w:rPr>
            </w:pPr>
            <w:r w:rsidRPr="00885B28">
              <w:rPr>
                <w:rFonts w:ascii="Calibri" w:eastAsia="Times New Roman" w:hAnsi="Calibri" w:cs="Times New Roman"/>
                <w:b/>
                <w:bCs/>
                <w:color w:val="000000"/>
                <w:szCs w:val="21"/>
                <w:lang w:eastAsia="cs-CZ"/>
              </w:rPr>
              <w:t xml:space="preserve">Z jiných zdrojů </w:t>
            </w:r>
            <w:r w:rsidRPr="00885B28">
              <w:rPr>
                <w:rFonts w:ascii="Calibri" w:eastAsia="Times New Roman" w:hAnsi="Calibri" w:cs="Times New Roman"/>
                <w:b/>
                <w:bCs/>
                <w:color w:val="000000"/>
                <w:szCs w:val="21"/>
                <w:lang w:eastAsia="cs-CZ"/>
              </w:rPr>
              <w:br/>
            </w:r>
            <w:r w:rsidRPr="00885B28">
              <w:rPr>
                <w:rFonts w:ascii="Calibri" w:eastAsia="Times New Roman" w:hAnsi="Calibri" w:cs="Times New Roman"/>
                <w:color w:val="000000"/>
                <w:szCs w:val="21"/>
                <w:lang w:eastAsia="cs-CZ"/>
              </w:rPr>
              <w:t>(</w:t>
            </w:r>
            <w:proofErr w:type="spellStart"/>
            <w:r w:rsidRPr="00885B28">
              <w:rPr>
                <w:rFonts w:ascii="Calibri" w:eastAsia="Times New Roman" w:hAnsi="Calibri" w:cs="Times New Roman"/>
                <w:color w:val="000000"/>
                <w:szCs w:val="21"/>
                <w:lang w:eastAsia="cs-CZ"/>
              </w:rPr>
              <w:t>VoZP</w:t>
            </w:r>
            <w:proofErr w:type="spellEnd"/>
            <w:r w:rsidRPr="00885B28">
              <w:rPr>
                <w:rFonts w:ascii="Calibri" w:eastAsia="Times New Roman" w:hAnsi="Calibri" w:cs="Times New Roman"/>
                <w:color w:val="000000"/>
                <w:szCs w:val="21"/>
                <w:lang w:eastAsia="cs-CZ"/>
              </w:rPr>
              <w:t xml:space="preserve"> ČR)</w:t>
            </w:r>
          </w:p>
        </w:tc>
        <w:tc>
          <w:tcPr>
            <w:tcW w:w="1000" w:type="dxa"/>
            <w:shd w:val="clear" w:color="000000" w:fill="EEF3F8"/>
            <w:noWrap/>
            <w:vAlign w:val="center"/>
            <w:hideMark/>
          </w:tcPr>
          <w:p w:rsidR="00C328E4" w:rsidRPr="00885B28" w:rsidRDefault="00C328E4" w:rsidP="003D5AD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9</w:t>
            </w:r>
          </w:p>
        </w:tc>
        <w:tc>
          <w:tcPr>
            <w:tcW w:w="1000" w:type="dxa"/>
            <w:shd w:val="clear" w:color="000000" w:fill="EEF3F8"/>
            <w:noWrap/>
            <w:vAlign w:val="center"/>
            <w:hideMark/>
          </w:tcPr>
          <w:p w:rsidR="00C328E4" w:rsidRPr="00885B28" w:rsidRDefault="00C328E4" w:rsidP="003D5AD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w:t>
            </w:r>
          </w:p>
        </w:tc>
        <w:tc>
          <w:tcPr>
            <w:tcW w:w="1000" w:type="dxa"/>
            <w:shd w:val="clear" w:color="000000" w:fill="EEF3F8"/>
            <w:noWrap/>
            <w:vAlign w:val="center"/>
            <w:hideMark/>
          </w:tcPr>
          <w:p w:rsidR="00C328E4" w:rsidRPr="00885B28"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w:t>
            </w:r>
          </w:p>
        </w:tc>
        <w:tc>
          <w:tcPr>
            <w:tcW w:w="1000" w:type="dxa"/>
            <w:shd w:val="clear" w:color="000000" w:fill="EEF3F8"/>
            <w:noWrap/>
            <w:vAlign w:val="center"/>
            <w:hideMark/>
          </w:tcPr>
          <w:p w:rsidR="00C328E4" w:rsidRPr="00885B28"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w:t>
            </w:r>
          </w:p>
        </w:tc>
        <w:tc>
          <w:tcPr>
            <w:tcW w:w="1000" w:type="dxa"/>
            <w:shd w:val="clear" w:color="000000" w:fill="EEF3F8"/>
            <w:noWrap/>
            <w:vAlign w:val="center"/>
            <w:hideMark/>
          </w:tcPr>
          <w:p w:rsidR="00C328E4" w:rsidRPr="00885B28"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9</w:t>
            </w:r>
          </w:p>
        </w:tc>
        <w:tc>
          <w:tcPr>
            <w:tcW w:w="1000" w:type="dxa"/>
            <w:shd w:val="clear" w:color="000000" w:fill="EEF3F8"/>
            <w:noWrap/>
            <w:vAlign w:val="center"/>
            <w:hideMark/>
          </w:tcPr>
          <w:p w:rsidR="00C328E4" w:rsidRPr="00885B28"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12</w:t>
            </w:r>
          </w:p>
        </w:tc>
        <w:tc>
          <w:tcPr>
            <w:tcW w:w="1000" w:type="dxa"/>
            <w:shd w:val="clear" w:color="000000" w:fill="EEF3F8"/>
            <w:noWrap/>
            <w:vAlign w:val="center"/>
            <w:hideMark/>
          </w:tcPr>
          <w:p w:rsidR="00C328E4" w:rsidRPr="00885B28"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13</w:t>
            </w:r>
          </w:p>
        </w:tc>
      </w:tr>
      <w:tr w:rsidR="00C328E4" w:rsidRPr="00885B28" w:rsidTr="001F456A">
        <w:trPr>
          <w:trHeight w:val="300"/>
          <w:jc w:val="center"/>
        </w:trPr>
        <w:tc>
          <w:tcPr>
            <w:tcW w:w="2080" w:type="dxa"/>
            <w:shd w:val="clear" w:color="auto" w:fill="auto"/>
            <w:vAlign w:val="bottom"/>
            <w:hideMark/>
          </w:tcPr>
          <w:p w:rsidR="00C328E4" w:rsidRPr="00885B28" w:rsidRDefault="00C328E4" w:rsidP="00C328E4">
            <w:pPr>
              <w:spacing w:after="0" w:line="240" w:lineRule="auto"/>
              <w:rPr>
                <w:rFonts w:ascii="Calibri" w:eastAsia="Times New Roman" w:hAnsi="Calibri" w:cs="Times New Roman"/>
                <w:b/>
                <w:bCs/>
                <w:color w:val="000000"/>
                <w:szCs w:val="21"/>
                <w:lang w:eastAsia="cs-CZ"/>
              </w:rPr>
            </w:pPr>
            <w:r w:rsidRPr="00885B28">
              <w:rPr>
                <w:rFonts w:ascii="Calibri" w:eastAsia="Times New Roman" w:hAnsi="Calibri" w:cs="Times New Roman"/>
                <w:b/>
                <w:bCs/>
                <w:color w:val="000000"/>
                <w:szCs w:val="21"/>
                <w:lang w:eastAsia="cs-CZ"/>
              </w:rPr>
              <w:t>Celkové náklady</w:t>
            </w:r>
          </w:p>
        </w:tc>
        <w:tc>
          <w:tcPr>
            <w:tcW w:w="1000" w:type="dxa"/>
            <w:shd w:val="clear" w:color="000000" w:fill="DCE6F1"/>
            <w:noWrap/>
            <w:vAlign w:val="center"/>
            <w:hideMark/>
          </w:tcPr>
          <w:p w:rsidR="00C328E4" w:rsidRPr="00885B28" w:rsidRDefault="00C328E4" w:rsidP="003D5AD1">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912</w:t>
            </w:r>
          </w:p>
        </w:tc>
        <w:tc>
          <w:tcPr>
            <w:tcW w:w="1000" w:type="dxa"/>
            <w:shd w:val="clear" w:color="auto" w:fill="auto"/>
            <w:noWrap/>
            <w:vAlign w:val="center"/>
            <w:hideMark/>
          </w:tcPr>
          <w:p w:rsidR="00C328E4" w:rsidRPr="00885B28" w:rsidRDefault="00C328E4" w:rsidP="003D5AD1">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783</w:t>
            </w:r>
          </w:p>
        </w:tc>
        <w:tc>
          <w:tcPr>
            <w:tcW w:w="1000" w:type="dxa"/>
            <w:shd w:val="clear" w:color="000000" w:fill="DCE6F1"/>
            <w:noWrap/>
            <w:vAlign w:val="center"/>
            <w:hideMark/>
          </w:tcPr>
          <w:p w:rsidR="00C328E4" w:rsidRPr="00885B28" w:rsidRDefault="00C328E4">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987</w:t>
            </w:r>
          </w:p>
        </w:tc>
        <w:tc>
          <w:tcPr>
            <w:tcW w:w="1000" w:type="dxa"/>
            <w:shd w:val="clear" w:color="auto" w:fill="auto"/>
            <w:noWrap/>
            <w:vAlign w:val="center"/>
            <w:hideMark/>
          </w:tcPr>
          <w:p w:rsidR="00C328E4" w:rsidRPr="00885B28" w:rsidRDefault="00C328E4">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892</w:t>
            </w:r>
          </w:p>
        </w:tc>
        <w:tc>
          <w:tcPr>
            <w:tcW w:w="1000" w:type="dxa"/>
            <w:shd w:val="clear" w:color="000000" w:fill="DCE6F1"/>
            <w:noWrap/>
            <w:vAlign w:val="center"/>
            <w:hideMark/>
          </w:tcPr>
          <w:p w:rsidR="00C328E4" w:rsidRPr="00885B28" w:rsidRDefault="00C328E4">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1 093</w:t>
            </w:r>
          </w:p>
        </w:tc>
        <w:tc>
          <w:tcPr>
            <w:tcW w:w="1000" w:type="dxa"/>
            <w:shd w:val="clear" w:color="auto" w:fill="auto"/>
            <w:noWrap/>
            <w:vAlign w:val="center"/>
            <w:hideMark/>
          </w:tcPr>
          <w:p w:rsidR="00C328E4" w:rsidRPr="00885B28" w:rsidRDefault="00C328E4">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1 384</w:t>
            </w:r>
          </w:p>
        </w:tc>
        <w:tc>
          <w:tcPr>
            <w:tcW w:w="1000" w:type="dxa"/>
            <w:shd w:val="clear" w:color="000000" w:fill="DCE6F1"/>
            <w:noWrap/>
            <w:vAlign w:val="center"/>
            <w:hideMark/>
          </w:tcPr>
          <w:p w:rsidR="00C328E4" w:rsidRPr="00885B28" w:rsidRDefault="00C328E4">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1 331</w:t>
            </w:r>
          </w:p>
        </w:tc>
      </w:tr>
    </w:tbl>
    <w:p w:rsidR="001703E0" w:rsidRDefault="001703E0" w:rsidP="001703E0">
      <w:pPr>
        <w:pStyle w:val="Titulek"/>
        <w:jc w:val="both"/>
      </w:pPr>
    </w:p>
    <w:p w:rsidR="001703E0" w:rsidRPr="00BB3829" w:rsidRDefault="001703E0" w:rsidP="001703E0">
      <w:pPr>
        <w:pStyle w:val="Titulek"/>
        <w:jc w:val="both"/>
      </w:pPr>
      <w:bookmarkStart w:id="49" w:name="_Toc41837509"/>
      <w:r w:rsidRPr="00C75FC6">
        <w:t xml:space="preserve">Tabulka č. </w:t>
      </w:r>
      <w:r>
        <w:rPr>
          <w:noProof/>
        </w:rPr>
        <w:fldChar w:fldCharType="begin"/>
      </w:r>
      <w:r>
        <w:rPr>
          <w:noProof/>
        </w:rPr>
        <w:instrText xml:space="preserve"> SEQ Tabulka \* ARABIC </w:instrText>
      </w:r>
      <w:r>
        <w:rPr>
          <w:noProof/>
        </w:rPr>
        <w:fldChar w:fldCharType="separate"/>
      </w:r>
      <w:r w:rsidR="00B17299">
        <w:rPr>
          <w:noProof/>
        </w:rPr>
        <w:t>17</w:t>
      </w:r>
      <w:r>
        <w:rPr>
          <w:noProof/>
        </w:rPr>
        <w:fldChar w:fldCharType="end"/>
      </w:r>
      <w:r w:rsidRPr="00C75FC6">
        <w:t xml:space="preserve">: </w:t>
      </w:r>
      <w:r w:rsidRPr="001703E0">
        <w:t xml:space="preserve">Náklady na preventivní zdravotní péči čerpané z fondu prevence ZP a specifických fondů </w:t>
      </w:r>
      <w:proofErr w:type="spellStart"/>
      <w:r w:rsidRPr="001703E0">
        <w:t>VoZP</w:t>
      </w:r>
      <w:proofErr w:type="spellEnd"/>
      <w:r w:rsidRPr="001703E0">
        <w:t xml:space="preserve"> ČR podle zdravotních pojišťoven v roce 201</w:t>
      </w:r>
      <w:r w:rsidR="00C328E4">
        <w:t>9</w:t>
      </w:r>
      <w:bookmarkEnd w:id="49"/>
      <w:r w:rsidRPr="001703E0">
        <w:rPr>
          <w:highlight w:val="green"/>
        </w:rPr>
        <w:t xml:space="preserve"> </w:t>
      </w:r>
    </w:p>
    <w:tbl>
      <w:tblPr>
        <w:tblW w:w="9080" w:type="dxa"/>
        <w:jc w:val="center"/>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2080"/>
        <w:gridCol w:w="1000"/>
        <w:gridCol w:w="1000"/>
        <w:gridCol w:w="1000"/>
        <w:gridCol w:w="1000"/>
        <w:gridCol w:w="1000"/>
        <w:gridCol w:w="1000"/>
        <w:gridCol w:w="1000"/>
      </w:tblGrid>
      <w:tr w:rsidR="001703E0" w:rsidTr="000E6678">
        <w:trPr>
          <w:trHeight w:val="600"/>
          <w:jc w:val="center"/>
        </w:trPr>
        <w:tc>
          <w:tcPr>
            <w:tcW w:w="2080" w:type="dxa"/>
            <w:tcBorders>
              <w:top w:val="single" w:sz="12" w:space="0" w:color="4F81BD"/>
              <w:left w:val="single" w:sz="12" w:space="0" w:color="4F81BD"/>
              <w:bottom w:val="nil"/>
              <w:right w:val="nil"/>
            </w:tcBorders>
            <w:shd w:val="clear" w:color="auto" w:fill="4F81BD"/>
            <w:hideMark/>
          </w:tcPr>
          <w:p w:rsidR="001703E0" w:rsidRDefault="001703E0" w:rsidP="001703E0">
            <w:pPr>
              <w:spacing w:after="0" w:line="240" w:lineRule="auto"/>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Ukazatel</w:t>
            </w:r>
            <w:r>
              <w:rPr>
                <w:rFonts w:ascii="Calibri" w:eastAsia="Times New Roman" w:hAnsi="Calibri" w:cs="Times New Roman"/>
                <w:b/>
                <w:bCs/>
                <w:color w:val="FFFFFF"/>
                <w:szCs w:val="21"/>
                <w:lang w:eastAsia="cs-CZ"/>
              </w:rPr>
              <w:br/>
            </w:r>
            <w:r>
              <w:rPr>
                <w:rFonts w:ascii="Calibri" w:eastAsia="Times New Roman" w:hAnsi="Calibri" w:cs="Times New Roman"/>
                <w:color w:val="FFFFFF"/>
                <w:szCs w:val="21"/>
                <w:lang w:eastAsia="cs-CZ"/>
              </w:rPr>
              <w:t>(v mil. Kč)</w:t>
            </w:r>
          </w:p>
        </w:tc>
        <w:tc>
          <w:tcPr>
            <w:tcW w:w="1000" w:type="dxa"/>
            <w:tcBorders>
              <w:top w:val="single" w:sz="12" w:space="0" w:color="4F81BD"/>
              <w:left w:val="nil"/>
              <w:bottom w:val="nil"/>
              <w:right w:val="nil"/>
            </w:tcBorders>
            <w:shd w:val="clear" w:color="auto" w:fill="6691C6"/>
            <w:noWrap/>
            <w:vAlign w:val="center"/>
            <w:hideMark/>
          </w:tcPr>
          <w:p w:rsidR="001703E0" w:rsidRDefault="001703E0" w:rsidP="001703E0">
            <w:pPr>
              <w:spacing w:after="0" w:line="240" w:lineRule="auto"/>
              <w:jc w:val="center"/>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VZP ČR</w:t>
            </w:r>
          </w:p>
        </w:tc>
        <w:tc>
          <w:tcPr>
            <w:tcW w:w="1000" w:type="dxa"/>
            <w:tcBorders>
              <w:top w:val="single" w:sz="12" w:space="0" w:color="4F81BD"/>
              <w:left w:val="nil"/>
              <w:bottom w:val="nil"/>
              <w:right w:val="nil"/>
            </w:tcBorders>
            <w:shd w:val="clear" w:color="auto" w:fill="4F81BD"/>
            <w:noWrap/>
            <w:vAlign w:val="center"/>
            <w:hideMark/>
          </w:tcPr>
          <w:p w:rsidR="001703E0" w:rsidRDefault="001703E0" w:rsidP="001703E0">
            <w:pPr>
              <w:spacing w:after="0" w:line="240" w:lineRule="auto"/>
              <w:jc w:val="center"/>
              <w:rPr>
                <w:rFonts w:ascii="Calibri" w:eastAsia="Times New Roman" w:hAnsi="Calibri" w:cs="Times New Roman"/>
                <w:b/>
                <w:bCs/>
                <w:color w:val="FFFFFF"/>
                <w:szCs w:val="21"/>
                <w:lang w:eastAsia="cs-CZ"/>
              </w:rPr>
            </w:pPr>
            <w:proofErr w:type="spellStart"/>
            <w:r>
              <w:rPr>
                <w:rFonts w:ascii="Calibri" w:eastAsia="Times New Roman" w:hAnsi="Calibri" w:cs="Times New Roman"/>
                <w:b/>
                <w:bCs/>
                <w:color w:val="FFFFFF"/>
                <w:szCs w:val="21"/>
                <w:lang w:eastAsia="cs-CZ"/>
              </w:rPr>
              <w:t>VoZP</w:t>
            </w:r>
            <w:proofErr w:type="spellEnd"/>
            <w:r>
              <w:rPr>
                <w:rFonts w:ascii="Calibri" w:eastAsia="Times New Roman" w:hAnsi="Calibri" w:cs="Times New Roman"/>
                <w:b/>
                <w:bCs/>
                <w:color w:val="FFFFFF"/>
                <w:szCs w:val="21"/>
                <w:lang w:eastAsia="cs-CZ"/>
              </w:rPr>
              <w:t xml:space="preserve"> ČR</w:t>
            </w:r>
          </w:p>
        </w:tc>
        <w:tc>
          <w:tcPr>
            <w:tcW w:w="1000" w:type="dxa"/>
            <w:tcBorders>
              <w:top w:val="single" w:sz="12" w:space="0" w:color="4F81BD"/>
              <w:left w:val="nil"/>
              <w:bottom w:val="nil"/>
              <w:right w:val="nil"/>
            </w:tcBorders>
            <w:shd w:val="clear" w:color="auto" w:fill="6691C6"/>
            <w:noWrap/>
            <w:vAlign w:val="center"/>
            <w:hideMark/>
          </w:tcPr>
          <w:p w:rsidR="001703E0" w:rsidRDefault="001703E0" w:rsidP="001703E0">
            <w:pPr>
              <w:spacing w:after="0" w:line="240" w:lineRule="auto"/>
              <w:jc w:val="center"/>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ČPZP</w:t>
            </w:r>
          </w:p>
        </w:tc>
        <w:tc>
          <w:tcPr>
            <w:tcW w:w="1000" w:type="dxa"/>
            <w:tcBorders>
              <w:top w:val="single" w:sz="12" w:space="0" w:color="4F81BD"/>
              <w:left w:val="nil"/>
              <w:bottom w:val="nil"/>
              <w:right w:val="nil"/>
            </w:tcBorders>
            <w:shd w:val="clear" w:color="auto" w:fill="4F81BD"/>
            <w:noWrap/>
            <w:vAlign w:val="center"/>
            <w:hideMark/>
          </w:tcPr>
          <w:p w:rsidR="001703E0" w:rsidRDefault="001703E0" w:rsidP="001703E0">
            <w:pPr>
              <w:spacing w:after="0" w:line="240" w:lineRule="auto"/>
              <w:jc w:val="center"/>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OZP</w:t>
            </w:r>
          </w:p>
        </w:tc>
        <w:tc>
          <w:tcPr>
            <w:tcW w:w="1000" w:type="dxa"/>
            <w:tcBorders>
              <w:top w:val="single" w:sz="12" w:space="0" w:color="4F81BD"/>
              <w:left w:val="nil"/>
              <w:bottom w:val="nil"/>
              <w:right w:val="nil"/>
            </w:tcBorders>
            <w:shd w:val="clear" w:color="auto" w:fill="6691C6"/>
            <w:noWrap/>
            <w:vAlign w:val="center"/>
            <w:hideMark/>
          </w:tcPr>
          <w:p w:rsidR="001703E0" w:rsidRDefault="001703E0" w:rsidP="001703E0">
            <w:pPr>
              <w:spacing w:after="0" w:line="240" w:lineRule="auto"/>
              <w:jc w:val="center"/>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ZPŠ</w:t>
            </w:r>
          </w:p>
        </w:tc>
        <w:tc>
          <w:tcPr>
            <w:tcW w:w="1000" w:type="dxa"/>
            <w:tcBorders>
              <w:top w:val="single" w:sz="12" w:space="0" w:color="4F81BD"/>
              <w:left w:val="nil"/>
              <w:bottom w:val="nil"/>
              <w:right w:val="nil"/>
            </w:tcBorders>
            <w:shd w:val="clear" w:color="auto" w:fill="4F81BD"/>
            <w:noWrap/>
            <w:vAlign w:val="center"/>
            <w:hideMark/>
          </w:tcPr>
          <w:p w:rsidR="001703E0" w:rsidRDefault="001703E0" w:rsidP="001703E0">
            <w:pPr>
              <w:spacing w:after="0" w:line="240" w:lineRule="auto"/>
              <w:jc w:val="center"/>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ZP MV ČR</w:t>
            </w:r>
          </w:p>
        </w:tc>
        <w:tc>
          <w:tcPr>
            <w:tcW w:w="1000" w:type="dxa"/>
            <w:tcBorders>
              <w:top w:val="single" w:sz="12" w:space="0" w:color="4F81BD"/>
              <w:left w:val="nil"/>
              <w:bottom w:val="nil"/>
              <w:right w:val="single" w:sz="12" w:space="0" w:color="4F81BD"/>
            </w:tcBorders>
            <w:shd w:val="clear" w:color="auto" w:fill="6691C6"/>
            <w:noWrap/>
            <w:vAlign w:val="center"/>
            <w:hideMark/>
          </w:tcPr>
          <w:p w:rsidR="001703E0" w:rsidRDefault="001703E0" w:rsidP="001703E0">
            <w:pPr>
              <w:spacing w:after="0" w:line="240" w:lineRule="auto"/>
              <w:jc w:val="center"/>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RBP</w:t>
            </w:r>
          </w:p>
        </w:tc>
      </w:tr>
      <w:tr w:rsidR="00C328E4" w:rsidTr="001F456A">
        <w:trPr>
          <w:trHeight w:val="559"/>
          <w:jc w:val="center"/>
        </w:trPr>
        <w:tc>
          <w:tcPr>
            <w:tcW w:w="2080" w:type="dxa"/>
            <w:tcBorders>
              <w:top w:val="nil"/>
              <w:left w:val="single" w:sz="12" w:space="0" w:color="4F81BD"/>
              <w:bottom w:val="nil"/>
              <w:right w:val="nil"/>
            </w:tcBorders>
            <w:vAlign w:val="bottom"/>
            <w:hideMark/>
          </w:tcPr>
          <w:p w:rsidR="00C328E4" w:rsidRDefault="00C328E4" w:rsidP="00C328E4">
            <w:pPr>
              <w:spacing w:after="0" w:line="240" w:lineRule="auto"/>
              <w:rPr>
                <w:rFonts w:ascii="Calibri" w:eastAsia="Times New Roman" w:hAnsi="Calibri" w:cs="Times New Roman"/>
                <w:b/>
                <w:bCs/>
                <w:color w:val="000000"/>
                <w:szCs w:val="21"/>
                <w:lang w:eastAsia="cs-CZ"/>
              </w:rPr>
            </w:pPr>
            <w:r>
              <w:rPr>
                <w:rFonts w:ascii="Calibri" w:eastAsia="Times New Roman" w:hAnsi="Calibri" w:cs="Times New Roman"/>
                <w:b/>
                <w:bCs/>
                <w:color w:val="000000"/>
                <w:szCs w:val="21"/>
                <w:lang w:eastAsia="cs-CZ"/>
              </w:rPr>
              <w:t xml:space="preserve">Náklady na </w:t>
            </w:r>
            <w:r>
              <w:rPr>
                <w:rFonts w:ascii="Calibri" w:eastAsia="Times New Roman" w:hAnsi="Calibri" w:cs="Times New Roman"/>
                <w:b/>
                <w:bCs/>
                <w:color w:val="000000"/>
                <w:szCs w:val="21"/>
                <w:lang w:eastAsia="cs-CZ"/>
              </w:rPr>
              <w:br/>
              <w:t>zdravotní programy</w:t>
            </w:r>
          </w:p>
        </w:tc>
        <w:tc>
          <w:tcPr>
            <w:tcW w:w="1000" w:type="dxa"/>
            <w:tcBorders>
              <w:top w:val="nil"/>
              <w:left w:val="nil"/>
              <w:bottom w:val="nil"/>
              <w:right w:val="nil"/>
            </w:tcBorders>
            <w:shd w:val="clear" w:color="auto" w:fill="DCE6F1"/>
            <w:noWrap/>
            <w:vAlign w:val="center"/>
            <w:hideMark/>
          </w:tcPr>
          <w:p w:rsidR="00C328E4" w:rsidRDefault="00C328E4" w:rsidP="003D5AD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388</w:t>
            </w:r>
          </w:p>
        </w:tc>
        <w:tc>
          <w:tcPr>
            <w:tcW w:w="1000" w:type="dxa"/>
            <w:tcBorders>
              <w:top w:val="nil"/>
              <w:left w:val="nil"/>
              <w:bottom w:val="nil"/>
              <w:right w:val="nil"/>
            </w:tcBorders>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104</w:t>
            </w:r>
          </w:p>
        </w:tc>
        <w:tc>
          <w:tcPr>
            <w:tcW w:w="1000" w:type="dxa"/>
            <w:tcBorders>
              <w:top w:val="nil"/>
              <w:left w:val="nil"/>
              <w:bottom w:val="nil"/>
              <w:right w:val="nil"/>
            </w:tcBorders>
            <w:shd w:val="clear" w:color="auto" w:fill="DCE6F1"/>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264</w:t>
            </w:r>
          </w:p>
        </w:tc>
        <w:tc>
          <w:tcPr>
            <w:tcW w:w="1000" w:type="dxa"/>
            <w:tcBorders>
              <w:top w:val="nil"/>
              <w:left w:val="nil"/>
              <w:bottom w:val="nil"/>
              <w:right w:val="nil"/>
            </w:tcBorders>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127</w:t>
            </w:r>
          </w:p>
        </w:tc>
        <w:tc>
          <w:tcPr>
            <w:tcW w:w="1000" w:type="dxa"/>
            <w:tcBorders>
              <w:top w:val="nil"/>
              <w:left w:val="nil"/>
              <w:bottom w:val="nil"/>
              <w:right w:val="nil"/>
            </w:tcBorders>
            <w:shd w:val="clear" w:color="auto" w:fill="DCE6F1"/>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12</w:t>
            </w:r>
          </w:p>
        </w:tc>
        <w:tc>
          <w:tcPr>
            <w:tcW w:w="1000" w:type="dxa"/>
            <w:tcBorders>
              <w:top w:val="nil"/>
              <w:left w:val="nil"/>
              <w:bottom w:val="nil"/>
              <w:right w:val="nil"/>
            </w:tcBorders>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181</w:t>
            </w:r>
          </w:p>
        </w:tc>
        <w:tc>
          <w:tcPr>
            <w:tcW w:w="1000" w:type="dxa"/>
            <w:tcBorders>
              <w:top w:val="nil"/>
              <w:left w:val="nil"/>
              <w:bottom w:val="nil"/>
              <w:right w:val="single" w:sz="12" w:space="0" w:color="4F81BD"/>
            </w:tcBorders>
            <w:shd w:val="clear" w:color="auto" w:fill="DCE6F1"/>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39</w:t>
            </w:r>
          </w:p>
        </w:tc>
      </w:tr>
      <w:tr w:rsidR="00C328E4" w:rsidTr="001F456A">
        <w:trPr>
          <w:trHeight w:val="559"/>
          <w:jc w:val="center"/>
        </w:trPr>
        <w:tc>
          <w:tcPr>
            <w:tcW w:w="2080" w:type="dxa"/>
            <w:tcBorders>
              <w:top w:val="nil"/>
              <w:left w:val="single" w:sz="12" w:space="0" w:color="4F81BD"/>
              <w:bottom w:val="nil"/>
              <w:right w:val="nil"/>
            </w:tcBorders>
            <w:shd w:val="clear" w:color="auto" w:fill="EEF3F8"/>
            <w:vAlign w:val="bottom"/>
            <w:hideMark/>
          </w:tcPr>
          <w:p w:rsidR="00C328E4" w:rsidRDefault="00C328E4" w:rsidP="00C328E4">
            <w:pPr>
              <w:spacing w:after="0" w:line="240" w:lineRule="auto"/>
              <w:rPr>
                <w:rFonts w:ascii="Calibri" w:eastAsia="Times New Roman" w:hAnsi="Calibri" w:cs="Times New Roman"/>
                <w:b/>
                <w:bCs/>
                <w:color w:val="000000"/>
                <w:szCs w:val="21"/>
                <w:lang w:eastAsia="cs-CZ"/>
              </w:rPr>
            </w:pPr>
            <w:r>
              <w:rPr>
                <w:rFonts w:ascii="Calibri" w:eastAsia="Times New Roman" w:hAnsi="Calibri" w:cs="Times New Roman"/>
                <w:b/>
                <w:bCs/>
                <w:color w:val="000000"/>
                <w:szCs w:val="21"/>
                <w:lang w:eastAsia="cs-CZ"/>
              </w:rPr>
              <w:t xml:space="preserve">Náklady na </w:t>
            </w:r>
            <w:r>
              <w:rPr>
                <w:rFonts w:ascii="Calibri" w:eastAsia="Times New Roman" w:hAnsi="Calibri" w:cs="Times New Roman"/>
                <w:b/>
                <w:bCs/>
                <w:color w:val="000000"/>
                <w:szCs w:val="21"/>
                <w:lang w:eastAsia="cs-CZ"/>
              </w:rPr>
              <w:br/>
              <w:t>ozdravné pobyty</w:t>
            </w:r>
          </w:p>
        </w:tc>
        <w:tc>
          <w:tcPr>
            <w:tcW w:w="1000" w:type="dxa"/>
            <w:tcBorders>
              <w:top w:val="nil"/>
              <w:left w:val="nil"/>
              <w:bottom w:val="nil"/>
              <w:right w:val="nil"/>
            </w:tcBorders>
            <w:shd w:val="clear" w:color="auto" w:fill="EEF3F8"/>
            <w:noWrap/>
            <w:vAlign w:val="center"/>
            <w:hideMark/>
          </w:tcPr>
          <w:p w:rsidR="00C328E4" w:rsidRDefault="00C328E4" w:rsidP="003D5AD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44</w:t>
            </w:r>
          </w:p>
        </w:tc>
        <w:tc>
          <w:tcPr>
            <w:tcW w:w="1000" w:type="dxa"/>
            <w:tcBorders>
              <w:top w:val="nil"/>
              <w:left w:val="nil"/>
              <w:bottom w:val="nil"/>
              <w:right w:val="nil"/>
            </w:tcBorders>
            <w:shd w:val="clear" w:color="auto" w:fill="EEF3F8"/>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3</w:t>
            </w:r>
          </w:p>
        </w:tc>
        <w:tc>
          <w:tcPr>
            <w:tcW w:w="1000" w:type="dxa"/>
            <w:tcBorders>
              <w:top w:val="nil"/>
              <w:left w:val="nil"/>
              <w:bottom w:val="nil"/>
              <w:right w:val="nil"/>
            </w:tcBorders>
            <w:shd w:val="clear" w:color="auto" w:fill="EEF3F8"/>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10</w:t>
            </w:r>
          </w:p>
        </w:tc>
        <w:tc>
          <w:tcPr>
            <w:tcW w:w="1000" w:type="dxa"/>
            <w:tcBorders>
              <w:top w:val="nil"/>
              <w:left w:val="nil"/>
              <w:bottom w:val="nil"/>
              <w:right w:val="nil"/>
            </w:tcBorders>
            <w:shd w:val="clear" w:color="auto" w:fill="EEF3F8"/>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6</w:t>
            </w:r>
          </w:p>
        </w:tc>
        <w:tc>
          <w:tcPr>
            <w:tcW w:w="1000" w:type="dxa"/>
            <w:tcBorders>
              <w:top w:val="nil"/>
              <w:left w:val="nil"/>
              <w:bottom w:val="nil"/>
              <w:right w:val="nil"/>
            </w:tcBorders>
            <w:shd w:val="clear" w:color="auto" w:fill="EEF3F8"/>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2</w:t>
            </w:r>
          </w:p>
        </w:tc>
        <w:tc>
          <w:tcPr>
            <w:tcW w:w="1000" w:type="dxa"/>
            <w:tcBorders>
              <w:top w:val="nil"/>
              <w:left w:val="nil"/>
              <w:bottom w:val="nil"/>
              <w:right w:val="nil"/>
            </w:tcBorders>
            <w:shd w:val="clear" w:color="auto" w:fill="EEF3F8"/>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20</w:t>
            </w:r>
          </w:p>
        </w:tc>
        <w:tc>
          <w:tcPr>
            <w:tcW w:w="1000" w:type="dxa"/>
            <w:tcBorders>
              <w:top w:val="nil"/>
              <w:left w:val="nil"/>
              <w:bottom w:val="nil"/>
              <w:right w:val="single" w:sz="12" w:space="0" w:color="4F81BD"/>
            </w:tcBorders>
            <w:shd w:val="clear" w:color="auto" w:fill="EEF3F8"/>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7</w:t>
            </w:r>
          </w:p>
        </w:tc>
      </w:tr>
      <w:tr w:rsidR="00C328E4" w:rsidTr="001F456A">
        <w:trPr>
          <w:trHeight w:val="300"/>
          <w:jc w:val="center"/>
        </w:trPr>
        <w:tc>
          <w:tcPr>
            <w:tcW w:w="2080" w:type="dxa"/>
            <w:tcBorders>
              <w:top w:val="nil"/>
              <w:left w:val="single" w:sz="12" w:space="0" w:color="4F81BD"/>
              <w:bottom w:val="nil"/>
              <w:right w:val="nil"/>
            </w:tcBorders>
            <w:vAlign w:val="bottom"/>
            <w:hideMark/>
          </w:tcPr>
          <w:p w:rsidR="00C328E4" w:rsidRDefault="00C328E4" w:rsidP="00C328E4">
            <w:pPr>
              <w:spacing w:after="0" w:line="240" w:lineRule="auto"/>
              <w:rPr>
                <w:rFonts w:ascii="Calibri" w:eastAsia="Times New Roman" w:hAnsi="Calibri" w:cs="Times New Roman"/>
                <w:b/>
                <w:bCs/>
                <w:color w:val="000000"/>
                <w:szCs w:val="21"/>
                <w:lang w:eastAsia="cs-CZ"/>
              </w:rPr>
            </w:pPr>
            <w:r>
              <w:rPr>
                <w:rFonts w:ascii="Calibri" w:eastAsia="Times New Roman" w:hAnsi="Calibri" w:cs="Times New Roman"/>
                <w:b/>
                <w:bCs/>
                <w:color w:val="000000"/>
                <w:szCs w:val="21"/>
                <w:lang w:eastAsia="cs-CZ"/>
              </w:rPr>
              <w:t>Ostatní činnosti</w:t>
            </w:r>
          </w:p>
        </w:tc>
        <w:tc>
          <w:tcPr>
            <w:tcW w:w="1000" w:type="dxa"/>
            <w:tcBorders>
              <w:top w:val="nil"/>
              <w:left w:val="nil"/>
              <w:bottom w:val="nil"/>
              <w:right w:val="nil"/>
            </w:tcBorders>
            <w:shd w:val="clear" w:color="auto" w:fill="DCE6F1"/>
            <w:noWrap/>
            <w:vAlign w:val="center"/>
            <w:hideMark/>
          </w:tcPr>
          <w:p w:rsidR="00C328E4" w:rsidRDefault="00C328E4" w:rsidP="003D5AD1">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113</w:t>
            </w:r>
          </w:p>
        </w:tc>
        <w:tc>
          <w:tcPr>
            <w:tcW w:w="1000" w:type="dxa"/>
            <w:tcBorders>
              <w:top w:val="nil"/>
              <w:left w:val="nil"/>
              <w:bottom w:val="nil"/>
              <w:right w:val="nil"/>
            </w:tcBorders>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0</w:t>
            </w:r>
          </w:p>
        </w:tc>
        <w:tc>
          <w:tcPr>
            <w:tcW w:w="1000" w:type="dxa"/>
            <w:tcBorders>
              <w:top w:val="nil"/>
              <w:left w:val="nil"/>
              <w:bottom w:val="nil"/>
              <w:right w:val="nil"/>
            </w:tcBorders>
            <w:shd w:val="clear" w:color="auto" w:fill="DCE6F1"/>
            <w:noWrap/>
            <w:vAlign w:val="center"/>
            <w:hideMark/>
          </w:tcPr>
          <w:p w:rsidR="00C328E4" w:rsidRDefault="00C328E4">
            <w:pPr>
              <w:spacing w:after="0" w:line="240" w:lineRule="auto"/>
              <w:ind w:firstLineChars="100" w:firstLine="210"/>
              <w:jc w:val="right"/>
              <w:rPr>
                <w:rFonts w:ascii="Calibri" w:eastAsia="Times New Roman" w:hAnsi="Calibri" w:cs="Times New Roman"/>
                <w:color w:val="000000"/>
                <w:szCs w:val="21"/>
                <w:lang w:eastAsia="cs-CZ"/>
              </w:rPr>
            </w:pPr>
            <w:r>
              <w:rPr>
                <w:rFonts w:ascii="Calibri" w:hAnsi="Calibri" w:cs="Calibri"/>
                <w:color w:val="000000"/>
                <w:szCs w:val="21"/>
              </w:rPr>
              <w:t>–</w:t>
            </w:r>
          </w:p>
        </w:tc>
        <w:tc>
          <w:tcPr>
            <w:tcW w:w="1000" w:type="dxa"/>
            <w:tcBorders>
              <w:top w:val="nil"/>
              <w:left w:val="nil"/>
              <w:bottom w:val="nil"/>
              <w:right w:val="nil"/>
            </w:tcBorders>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0</w:t>
            </w:r>
          </w:p>
        </w:tc>
        <w:tc>
          <w:tcPr>
            <w:tcW w:w="1000" w:type="dxa"/>
            <w:tcBorders>
              <w:top w:val="nil"/>
              <w:left w:val="nil"/>
              <w:bottom w:val="nil"/>
              <w:right w:val="nil"/>
            </w:tcBorders>
            <w:shd w:val="clear" w:color="auto" w:fill="DCE6F1"/>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17</w:t>
            </w:r>
          </w:p>
        </w:tc>
        <w:tc>
          <w:tcPr>
            <w:tcW w:w="1000" w:type="dxa"/>
            <w:tcBorders>
              <w:top w:val="nil"/>
              <w:left w:val="nil"/>
              <w:bottom w:val="nil"/>
              <w:right w:val="nil"/>
            </w:tcBorders>
            <w:noWrap/>
            <w:vAlign w:val="center"/>
            <w:hideMark/>
          </w:tcPr>
          <w:p w:rsidR="00C328E4" w:rsidRDefault="00C328E4">
            <w:pPr>
              <w:spacing w:after="0" w:line="240" w:lineRule="auto"/>
              <w:ind w:firstLineChars="100" w:firstLine="210"/>
              <w:jc w:val="right"/>
              <w:rPr>
                <w:rFonts w:ascii="Calibri" w:eastAsia="Times New Roman" w:hAnsi="Calibri" w:cs="Times New Roman"/>
                <w:color w:val="000000"/>
                <w:szCs w:val="21"/>
                <w:lang w:eastAsia="cs-CZ"/>
              </w:rPr>
            </w:pPr>
            <w:r>
              <w:rPr>
                <w:rFonts w:ascii="Calibri" w:hAnsi="Calibri" w:cs="Calibri"/>
                <w:color w:val="000000"/>
                <w:szCs w:val="21"/>
              </w:rPr>
              <w:t>–</w:t>
            </w:r>
          </w:p>
        </w:tc>
        <w:tc>
          <w:tcPr>
            <w:tcW w:w="1000" w:type="dxa"/>
            <w:tcBorders>
              <w:top w:val="nil"/>
              <w:left w:val="nil"/>
              <w:bottom w:val="nil"/>
              <w:right w:val="single" w:sz="12" w:space="0" w:color="4F81BD"/>
            </w:tcBorders>
            <w:shd w:val="clear" w:color="auto" w:fill="DCE6F1"/>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35</w:t>
            </w:r>
          </w:p>
        </w:tc>
      </w:tr>
      <w:tr w:rsidR="00C328E4" w:rsidTr="001F456A">
        <w:trPr>
          <w:trHeight w:val="559"/>
          <w:jc w:val="center"/>
        </w:trPr>
        <w:tc>
          <w:tcPr>
            <w:tcW w:w="2080" w:type="dxa"/>
            <w:tcBorders>
              <w:top w:val="nil"/>
              <w:left w:val="single" w:sz="12" w:space="0" w:color="4F81BD"/>
              <w:bottom w:val="nil"/>
              <w:right w:val="nil"/>
            </w:tcBorders>
            <w:shd w:val="clear" w:color="auto" w:fill="EEF3F8"/>
            <w:vAlign w:val="bottom"/>
            <w:hideMark/>
          </w:tcPr>
          <w:p w:rsidR="00C328E4" w:rsidRDefault="00C328E4" w:rsidP="00C328E4">
            <w:pPr>
              <w:spacing w:after="0" w:line="240" w:lineRule="auto"/>
              <w:rPr>
                <w:rFonts w:ascii="Calibri" w:eastAsia="Times New Roman" w:hAnsi="Calibri" w:cs="Times New Roman"/>
                <w:b/>
                <w:bCs/>
                <w:color w:val="000000"/>
                <w:szCs w:val="21"/>
                <w:lang w:eastAsia="cs-CZ"/>
              </w:rPr>
            </w:pPr>
            <w:r>
              <w:rPr>
                <w:rFonts w:ascii="Calibri" w:eastAsia="Times New Roman" w:hAnsi="Calibri" w:cs="Times New Roman"/>
                <w:b/>
                <w:bCs/>
                <w:color w:val="000000"/>
                <w:szCs w:val="21"/>
                <w:lang w:eastAsia="cs-CZ"/>
              </w:rPr>
              <w:t xml:space="preserve">Z jiných zdrojů </w:t>
            </w:r>
            <w:r>
              <w:rPr>
                <w:rFonts w:ascii="Calibri" w:eastAsia="Times New Roman" w:hAnsi="Calibri" w:cs="Times New Roman"/>
                <w:b/>
                <w:bCs/>
                <w:color w:val="000000"/>
                <w:szCs w:val="21"/>
                <w:lang w:eastAsia="cs-CZ"/>
              </w:rPr>
              <w:br/>
            </w:r>
            <w:r>
              <w:rPr>
                <w:rFonts w:ascii="Calibri" w:eastAsia="Times New Roman" w:hAnsi="Calibri" w:cs="Times New Roman"/>
                <w:color w:val="000000"/>
                <w:szCs w:val="21"/>
                <w:lang w:eastAsia="cs-CZ"/>
              </w:rPr>
              <w:t>(</w:t>
            </w:r>
            <w:proofErr w:type="spellStart"/>
            <w:r>
              <w:rPr>
                <w:rFonts w:ascii="Calibri" w:eastAsia="Times New Roman" w:hAnsi="Calibri" w:cs="Times New Roman"/>
                <w:color w:val="000000"/>
                <w:szCs w:val="21"/>
                <w:lang w:eastAsia="cs-CZ"/>
              </w:rPr>
              <w:t>VoZP</w:t>
            </w:r>
            <w:proofErr w:type="spellEnd"/>
            <w:r>
              <w:rPr>
                <w:rFonts w:ascii="Calibri" w:eastAsia="Times New Roman" w:hAnsi="Calibri" w:cs="Times New Roman"/>
                <w:color w:val="000000"/>
                <w:szCs w:val="21"/>
                <w:lang w:eastAsia="cs-CZ"/>
              </w:rPr>
              <w:t xml:space="preserve"> ČR)</w:t>
            </w:r>
          </w:p>
        </w:tc>
        <w:tc>
          <w:tcPr>
            <w:tcW w:w="1000" w:type="dxa"/>
            <w:tcBorders>
              <w:top w:val="nil"/>
              <w:left w:val="nil"/>
              <w:bottom w:val="nil"/>
              <w:right w:val="nil"/>
            </w:tcBorders>
            <w:shd w:val="clear" w:color="auto" w:fill="EEF3F8"/>
            <w:noWrap/>
            <w:vAlign w:val="center"/>
            <w:hideMark/>
          </w:tcPr>
          <w:p w:rsidR="00C328E4" w:rsidRDefault="00C328E4" w:rsidP="003D5AD1">
            <w:pPr>
              <w:spacing w:after="0" w:line="240" w:lineRule="auto"/>
              <w:ind w:firstLineChars="100" w:firstLine="210"/>
              <w:jc w:val="right"/>
              <w:rPr>
                <w:rFonts w:ascii="Calibri" w:eastAsia="Times New Roman" w:hAnsi="Calibri" w:cs="Times New Roman"/>
                <w:color w:val="000000"/>
                <w:szCs w:val="21"/>
                <w:lang w:eastAsia="cs-CZ"/>
              </w:rPr>
            </w:pPr>
            <w:r>
              <w:rPr>
                <w:rFonts w:ascii="Calibri" w:hAnsi="Calibri" w:cs="Calibri"/>
                <w:color w:val="000000"/>
                <w:szCs w:val="21"/>
              </w:rPr>
              <w:t>–</w:t>
            </w:r>
          </w:p>
        </w:tc>
        <w:tc>
          <w:tcPr>
            <w:tcW w:w="1000" w:type="dxa"/>
            <w:tcBorders>
              <w:top w:val="nil"/>
              <w:left w:val="nil"/>
              <w:bottom w:val="nil"/>
              <w:right w:val="nil"/>
            </w:tcBorders>
            <w:shd w:val="clear" w:color="auto" w:fill="EEF3F8"/>
            <w:noWrap/>
            <w:vAlign w:val="center"/>
            <w:hideMark/>
          </w:tcPr>
          <w:p w:rsidR="00C328E4" w:rsidRDefault="00C328E4">
            <w:pPr>
              <w:spacing w:after="0" w:line="240" w:lineRule="auto"/>
              <w:jc w:val="right"/>
              <w:rPr>
                <w:rFonts w:ascii="Calibri" w:eastAsia="Times New Roman" w:hAnsi="Calibri" w:cs="Times New Roman"/>
                <w:color w:val="000000"/>
                <w:szCs w:val="21"/>
                <w:lang w:eastAsia="cs-CZ"/>
              </w:rPr>
            </w:pPr>
            <w:r>
              <w:rPr>
                <w:rFonts w:ascii="Calibri" w:hAnsi="Calibri" w:cs="Calibri"/>
                <w:color w:val="000000"/>
                <w:szCs w:val="21"/>
              </w:rPr>
              <w:t>12</w:t>
            </w:r>
          </w:p>
        </w:tc>
        <w:tc>
          <w:tcPr>
            <w:tcW w:w="1000" w:type="dxa"/>
            <w:tcBorders>
              <w:top w:val="nil"/>
              <w:left w:val="nil"/>
              <w:bottom w:val="nil"/>
              <w:right w:val="nil"/>
            </w:tcBorders>
            <w:shd w:val="clear" w:color="auto" w:fill="EEF3F8"/>
            <w:noWrap/>
            <w:vAlign w:val="center"/>
            <w:hideMark/>
          </w:tcPr>
          <w:p w:rsidR="00C328E4" w:rsidRDefault="00C328E4">
            <w:pPr>
              <w:spacing w:after="0" w:line="240" w:lineRule="auto"/>
              <w:ind w:firstLineChars="100" w:firstLine="210"/>
              <w:jc w:val="right"/>
              <w:rPr>
                <w:rFonts w:ascii="Calibri" w:eastAsia="Times New Roman" w:hAnsi="Calibri" w:cs="Times New Roman"/>
                <w:color w:val="000000"/>
                <w:szCs w:val="21"/>
                <w:lang w:eastAsia="cs-CZ"/>
              </w:rPr>
            </w:pPr>
            <w:r>
              <w:rPr>
                <w:rFonts w:ascii="Calibri" w:hAnsi="Calibri" w:cs="Calibri"/>
                <w:color w:val="000000"/>
                <w:szCs w:val="21"/>
              </w:rPr>
              <w:t>–</w:t>
            </w:r>
          </w:p>
        </w:tc>
        <w:tc>
          <w:tcPr>
            <w:tcW w:w="1000" w:type="dxa"/>
            <w:tcBorders>
              <w:top w:val="nil"/>
              <w:left w:val="nil"/>
              <w:bottom w:val="nil"/>
              <w:right w:val="nil"/>
            </w:tcBorders>
            <w:shd w:val="clear" w:color="auto" w:fill="EEF3F8"/>
            <w:noWrap/>
            <w:vAlign w:val="center"/>
            <w:hideMark/>
          </w:tcPr>
          <w:p w:rsidR="00C328E4" w:rsidRDefault="00C328E4">
            <w:pPr>
              <w:spacing w:after="0" w:line="240" w:lineRule="auto"/>
              <w:ind w:firstLineChars="100" w:firstLine="210"/>
              <w:jc w:val="right"/>
              <w:rPr>
                <w:rFonts w:ascii="Calibri" w:eastAsia="Times New Roman" w:hAnsi="Calibri" w:cs="Times New Roman"/>
                <w:color w:val="000000"/>
                <w:szCs w:val="21"/>
                <w:lang w:eastAsia="cs-CZ"/>
              </w:rPr>
            </w:pPr>
            <w:r>
              <w:rPr>
                <w:rFonts w:ascii="Calibri" w:hAnsi="Calibri" w:cs="Calibri"/>
                <w:color w:val="000000"/>
                <w:szCs w:val="21"/>
              </w:rPr>
              <w:t>–</w:t>
            </w:r>
          </w:p>
        </w:tc>
        <w:tc>
          <w:tcPr>
            <w:tcW w:w="1000" w:type="dxa"/>
            <w:tcBorders>
              <w:top w:val="nil"/>
              <w:left w:val="nil"/>
              <w:bottom w:val="nil"/>
              <w:right w:val="nil"/>
            </w:tcBorders>
            <w:shd w:val="clear" w:color="auto" w:fill="EEF3F8"/>
            <w:noWrap/>
            <w:vAlign w:val="center"/>
            <w:hideMark/>
          </w:tcPr>
          <w:p w:rsidR="00C328E4" w:rsidRDefault="00C328E4">
            <w:pPr>
              <w:spacing w:after="0" w:line="240" w:lineRule="auto"/>
              <w:ind w:firstLineChars="100" w:firstLine="210"/>
              <w:jc w:val="right"/>
              <w:rPr>
                <w:rFonts w:ascii="Calibri" w:eastAsia="Times New Roman" w:hAnsi="Calibri" w:cs="Times New Roman"/>
                <w:color w:val="000000"/>
                <w:szCs w:val="21"/>
                <w:lang w:eastAsia="cs-CZ"/>
              </w:rPr>
            </w:pPr>
            <w:r>
              <w:rPr>
                <w:rFonts w:ascii="Calibri" w:hAnsi="Calibri" w:cs="Calibri"/>
                <w:color w:val="000000"/>
                <w:szCs w:val="21"/>
              </w:rPr>
              <w:t>–</w:t>
            </w:r>
          </w:p>
        </w:tc>
        <w:tc>
          <w:tcPr>
            <w:tcW w:w="1000" w:type="dxa"/>
            <w:tcBorders>
              <w:top w:val="nil"/>
              <w:left w:val="nil"/>
              <w:bottom w:val="nil"/>
              <w:right w:val="nil"/>
            </w:tcBorders>
            <w:shd w:val="clear" w:color="auto" w:fill="EEF3F8"/>
            <w:noWrap/>
            <w:vAlign w:val="center"/>
            <w:hideMark/>
          </w:tcPr>
          <w:p w:rsidR="00C328E4" w:rsidRDefault="00C328E4">
            <w:pPr>
              <w:spacing w:after="0" w:line="240" w:lineRule="auto"/>
              <w:ind w:firstLineChars="100" w:firstLine="210"/>
              <w:jc w:val="right"/>
              <w:rPr>
                <w:rFonts w:ascii="Calibri" w:eastAsia="Times New Roman" w:hAnsi="Calibri" w:cs="Times New Roman"/>
                <w:color w:val="000000"/>
                <w:szCs w:val="21"/>
                <w:lang w:eastAsia="cs-CZ"/>
              </w:rPr>
            </w:pPr>
            <w:r>
              <w:rPr>
                <w:rFonts w:ascii="Calibri" w:hAnsi="Calibri" w:cs="Calibri"/>
                <w:color w:val="000000"/>
                <w:szCs w:val="21"/>
              </w:rPr>
              <w:t>–</w:t>
            </w:r>
          </w:p>
        </w:tc>
        <w:tc>
          <w:tcPr>
            <w:tcW w:w="1000" w:type="dxa"/>
            <w:tcBorders>
              <w:top w:val="nil"/>
              <w:left w:val="nil"/>
              <w:bottom w:val="nil"/>
              <w:right w:val="single" w:sz="12" w:space="0" w:color="4F81BD"/>
            </w:tcBorders>
            <w:shd w:val="clear" w:color="auto" w:fill="EEF3F8"/>
            <w:noWrap/>
            <w:vAlign w:val="center"/>
            <w:hideMark/>
          </w:tcPr>
          <w:p w:rsidR="00C328E4" w:rsidRDefault="00C328E4">
            <w:pPr>
              <w:spacing w:after="0" w:line="240" w:lineRule="auto"/>
              <w:ind w:firstLineChars="100" w:firstLine="210"/>
              <w:jc w:val="right"/>
              <w:rPr>
                <w:rFonts w:ascii="Calibri" w:eastAsia="Times New Roman" w:hAnsi="Calibri" w:cs="Times New Roman"/>
                <w:color w:val="000000"/>
                <w:szCs w:val="21"/>
                <w:lang w:eastAsia="cs-CZ"/>
              </w:rPr>
            </w:pPr>
            <w:r>
              <w:rPr>
                <w:rFonts w:ascii="Calibri" w:hAnsi="Calibri" w:cs="Calibri"/>
                <w:color w:val="000000"/>
                <w:szCs w:val="21"/>
              </w:rPr>
              <w:t>–</w:t>
            </w:r>
          </w:p>
        </w:tc>
      </w:tr>
      <w:tr w:rsidR="00C328E4" w:rsidTr="001F456A">
        <w:trPr>
          <w:trHeight w:val="300"/>
          <w:jc w:val="center"/>
        </w:trPr>
        <w:tc>
          <w:tcPr>
            <w:tcW w:w="2080" w:type="dxa"/>
            <w:tcBorders>
              <w:top w:val="nil"/>
              <w:left w:val="single" w:sz="12" w:space="0" w:color="4F81BD"/>
              <w:bottom w:val="single" w:sz="12" w:space="0" w:color="4F81BD"/>
              <w:right w:val="nil"/>
            </w:tcBorders>
            <w:vAlign w:val="bottom"/>
            <w:hideMark/>
          </w:tcPr>
          <w:p w:rsidR="00C328E4" w:rsidRDefault="00C328E4" w:rsidP="00C328E4">
            <w:pPr>
              <w:spacing w:after="0" w:line="240" w:lineRule="auto"/>
              <w:rPr>
                <w:rFonts w:ascii="Calibri" w:eastAsia="Times New Roman" w:hAnsi="Calibri" w:cs="Times New Roman"/>
                <w:b/>
                <w:bCs/>
                <w:color w:val="000000"/>
                <w:szCs w:val="21"/>
                <w:lang w:eastAsia="cs-CZ"/>
              </w:rPr>
            </w:pPr>
            <w:r>
              <w:rPr>
                <w:rFonts w:ascii="Calibri" w:eastAsia="Times New Roman" w:hAnsi="Calibri" w:cs="Times New Roman"/>
                <w:b/>
                <w:bCs/>
                <w:color w:val="000000"/>
                <w:szCs w:val="21"/>
                <w:lang w:eastAsia="cs-CZ"/>
              </w:rPr>
              <w:t>Celkové náklady</w:t>
            </w:r>
          </w:p>
        </w:tc>
        <w:tc>
          <w:tcPr>
            <w:tcW w:w="1000" w:type="dxa"/>
            <w:tcBorders>
              <w:top w:val="nil"/>
              <w:left w:val="nil"/>
              <w:bottom w:val="single" w:sz="12" w:space="0" w:color="4F81BD"/>
              <w:right w:val="nil"/>
            </w:tcBorders>
            <w:shd w:val="clear" w:color="auto" w:fill="DCE6F1"/>
            <w:noWrap/>
            <w:vAlign w:val="center"/>
            <w:hideMark/>
          </w:tcPr>
          <w:p w:rsidR="00C328E4" w:rsidRDefault="00C328E4" w:rsidP="003D5AD1">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545</w:t>
            </w:r>
          </w:p>
        </w:tc>
        <w:tc>
          <w:tcPr>
            <w:tcW w:w="1000" w:type="dxa"/>
            <w:tcBorders>
              <w:top w:val="nil"/>
              <w:left w:val="nil"/>
              <w:bottom w:val="single" w:sz="12" w:space="0" w:color="4F81BD"/>
              <w:right w:val="nil"/>
            </w:tcBorders>
            <w:noWrap/>
            <w:vAlign w:val="center"/>
            <w:hideMark/>
          </w:tcPr>
          <w:p w:rsidR="00C328E4" w:rsidRDefault="00C328E4">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119</w:t>
            </w:r>
          </w:p>
        </w:tc>
        <w:tc>
          <w:tcPr>
            <w:tcW w:w="1000" w:type="dxa"/>
            <w:tcBorders>
              <w:top w:val="nil"/>
              <w:left w:val="nil"/>
              <w:bottom w:val="single" w:sz="12" w:space="0" w:color="4F81BD"/>
              <w:right w:val="nil"/>
            </w:tcBorders>
            <w:shd w:val="clear" w:color="auto" w:fill="DCE6F1"/>
            <w:noWrap/>
            <w:vAlign w:val="center"/>
            <w:hideMark/>
          </w:tcPr>
          <w:p w:rsidR="00C328E4" w:rsidRDefault="00C328E4">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274</w:t>
            </w:r>
          </w:p>
        </w:tc>
        <w:tc>
          <w:tcPr>
            <w:tcW w:w="1000" w:type="dxa"/>
            <w:tcBorders>
              <w:top w:val="nil"/>
              <w:left w:val="nil"/>
              <w:bottom w:val="single" w:sz="12" w:space="0" w:color="4F81BD"/>
              <w:right w:val="nil"/>
            </w:tcBorders>
            <w:noWrap/>
            <w:vAlign w:val="center"/>
            <w:hideMark/>
          </w:tcPr>
          <w:p w:rsidR="00C328E4" w:rsidRDefault="00C328E4">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133</w:t>
            </w:r>
          </w:p>
        </w:tc>
        <w:tc>
          <w:tcPr>
            <w:tcW w:w="1000" w:type="dxa"/>
            <w:tcBorders>
              <w:top w:val="nil"/>
              <w:left w:val="nil"/>
              <w:bottom w:val="single" w:sz="12" w:space="0" w:color="4F81BD"/>
              <w:right w:val="nil"/>
            </w:tcBorders>
            <w:shd w:val="clear" w:color="auto" w:fill="DCE6F1"/>
            <w:noWrap/>
            <w:vAlign w:val="center"/>
            <w:hideMark/>
          </w:tcPr>
          <w:p w:rsidR="00C328E4" w:rsidRDefault="00C328E4">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30</w:t>
            </w:r>
          </w:p>
        </w:tc>
        <w:tc>
          <w:tcPr>
            <w:tcW w:w="1000" w:type="dxa"/>
            <w:tcBorders>
              <w:top w:val="nil"/>
              <w:left w:val="nil"/>
              <w:bottom w:val="single" w:sz="12" w:space="0" w:color="4F81BD"/>
              <w:right w:val="nil"/>
            </w:tcBorders>
            <w:noWrap/>
            <w:vAlign w:val="center"/>
            <w:hideMark/>
          </w:tcPr>
          <w:p w:rsidR="00C328E4" w:rsidRDefault="00C328E4">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201</w:t>
            </w:r>
          </w:p>
        </w:tc>
        <w:tc>
          <w:tcPr>
            <w:tcW w:w="1000" w:type="dxa"/>
            <w:tcBorders>
              <w:top w:val="nil"/>
              <w:left w:val="nil"/>
              <w:bottom w:val="single" w:sz="12" w:space="0" w:color="4F81BD"/>
              <w:right w:val="single" w:sz="12" w:space="0" w:color="4F81BD"/>
            </w:tcBorders>
            <w:shd w:val="clear" w:color="auto" w:fill="DCE6F1"/>
            <w:noWrap/>
            <w:vAlign w:val="center"/>
            <w:hideMark/>
          </w:tcPr>
          <w:p w:rsidR="00C328E4" w:rsidRDefault="00C328E4">
            <w:pPr>
              <w:spacing w:after="0" w:line="240" w:lineRule="auto"/>
              <w:jc w:val="right"/>
              <w:rPr>
                <w:rFonts w:ascii="Calibri" w:eastAsia="Times New Roman" w:hAnsi="Calibri" w:cs="Times New Roman"/>
                <w:b/>
                <w:bCs/>
                <w:color w:val="000000"/>
                <w:szCs w:val="21"/>
                <w:lang w:eastAsia="cs-CZ"/>
              </w:rPr>
            </w:pPr>
            <w:r>
              <w:rPr>
                <w:rFonts w:ascii="Calibri" w:hAnsi="Calibri" w:cs="Calibri"/>
                <w:b/>
                <w:bCs/>
                <w:color w:val="000000"/>
                <w:szCs w:val="21"/>
              </w:rPr>
              <w:t>81</w:t>
            </w:r>
          </w:p>
        </w:tc>
      </w:tr>
    </w:tbl>
    <w:p w:rsidR="001703E0" w:rsidRDefault="001703E0" w:rsidP="00436F6E"/>
    <w:p w:rsidR="001703E0" w:rsidRDefault="001703E0">
      <w:pPr>
        <w:spacing w:after="200" w:line="276" w:lineRule="auto"/>
      </w:pPr>
      <w:r>
        <w:br w:type="page"/>
      </w:r>
    </w:p>
    <w:p w:rsidR="001703E0" w:rsidRPr="00CD27C2" w:rsidRDefault="001703E0" w:rsidP="00E73AE7">
      <w:pPr>
        <w:pStyle w:val="Nadpis2"/>
        <w:rPr>
          <w:rFonts w:ascii="Arial" w:hAnsi="Arial"/>
        </w:rPr>
      </w:pPr>
      <w:bookmarkStart w:id="50" w:name="_Toc41898960"/>
      <w:r w:rsidRPr="00D3253B">
        <w:lastRenderedPageBreak/>
        <w:t>Kontroly a šetření zdravotních pojišťoven v roce 201</w:t>
      </w:r>
      <w:r w:rsidR="00DD4E26">
        <w:t>9</w:t>
      </w:r>
      <w:bookmarkEnd w:id="50"/>
    </w:p>
    <w:p w:rsidR="00A67D87" w:rsidRPr="00A67D87" w:rsidRDefault="00A67D87" w:rsidP="00853129">
      <w:pPr>
        <w:spacing w:before="180" w:line="276" w:lineRule="auto"/>
        <w:jc w:val="both"/>
        <w:rPr>
          <w:rFonts w:cstheme="minorHAnsi"/>
          <w:szCs w:val="21"/>
        </w:rPr>
      </w:pPr>
      <w:r w:rsidRPr="00A67D87">
        <w:rPr>
          <w:rFonts w:cstheme="minorHAnsi"/>
          <w:szCs w:val="21"/>
        </w:rPr>
        <w:t>MZ kontroluje ZP v součinnosti s MF. V průběhu roku 2019 proběhla kontrola u všech ZP.</w:t>
      </w:r>
    </w:p>
    <w:p w:rsidR="00A67D87" w:rsidRPr="00A67D87" w:rsidRDefault="00A67D87" w:rsidP="00853129">
      <w:pPr>
        <w:numPr>
          <w:ilvl w:val="0"/>
          <w:numId w:val="29"/>
        </w:numPr>
        <w:spacing w:before="180" w:line="276" w:lineRule="auto"/>
        <w:jc w:val="both"/>
        <w:rPr>
          <w:rFonts w:cstheme="minorHAnsi"/>
          <w:b/>
          <w:szCs w:val="21"/>
        </w:rPr>
      </w:pPr>
      <w:r w:rsidRPr="00A67D87">
        <w:rPr>
          <w:rFonts w:cstheme="minorHAnsi"/>
          <w:b/>
          <w:szCs w:val="21"/>
        </w:rPr>
        <w:t>„</w:t>
      </w:r>
      <w:r w:rsidRPr="00853129">
        <w:rPr>
          <w:rFonts w:cstheme="minorHAnsi"/>
          <w:b/>
          <w:szCs w:val="21"/>
          <w:u w:val="single"/>
        </w:rPr>
        <w:t>Nakládání s nemovitým majetkem ve VZP ČR“</w:t>
      </w:r>
    </w:p>
    <w:p w:rsidR="00A67D87" w:rsidRPr="00853129" w:rsidRDefault="00A67D87" w:rsidP="00853129">
      <w:pPr>
        <w:pStyle w:val="Odstavecseseznamem"/>
        <w:numPr>
          <w:ilvl w:val="0"/>
          <w:numId w:val="31"/>
        </w:numPr>
        <w:spacing w:before="180" w:line="276" w:lineRule="auto"/>
        <w:jc w:val="both"/>
        <w:rPr>
          <w:rFonts w:cstheme="minorHAnsi"/>
          <w:color w:val="auto"/>
          <w:szCs w:val="21"/>
        </w:rPr>
      </w:pPr>
      <w:r w:rsidRPr="00853129">
        <w:rPr>
          <w:rFonts w:cstheme="minorHAnsi"/>
          <w:color w:val="auto"/>
          <w:szCs w:val="21"/>
        </w:rPr>
        <w:t>Kontrola byla zahájena na základě anonymního podnětu a informace v tisku.</w:t>
      </w:r>
    </w:p>
    <w:p w:rsidR="00A67D87" w:rsidRPr="00853129" w:rsidRDefault="00A67D87" w:rsidP="00853129">
      <w:pPr>
        <w:pStyle w:val="Odstavecseseznamem"/>
        <w:numPr>
          <w:ilvl w:val="0"/>
          <w:numId w:val="31"/>
        </w:numPr>
        <w:spacing w:before="180" w:line="276" w:lineRule="auto"/>
        <w:jc w:val="both"/>
        <w:rPr>
          <w:rFonts w:cstheme="minorHAnsi"/>
          <w:color w:val="auto"/>
          <w:szCs w:val="21"/>
        </w:rPr>
      </w:pPr>
      <w:r w:rsidRPr="00853129">
        <w:rPr>
          <w:rFonts w:cstheme="minorHAnsi"/>
          <w:color w:val="auto"/>
          <w:szCs w:val="21"/>
        </w:rPr>
        <w:t>Byla zaměřena na skutečnosti uvedené v podnětech – tj. nakládání s majetkem VZP ČR v Ostravě, vzhledem k oprávněnosti podnětu byla kontrola rozšířena na nakládání s majetkem i v dalších regionálních pobočkách VZP ČR.</w:t>
      </w:r>
    </w:p>
    <w:p w:rsidR="00A67D87" w:rsidRPr="00853129" w:rsidRDefault="00A67D87" w:rsidP="00853129">
      <w:pPr>
        <w:pStyle w:val="Odstavecseseznamem"/>
        <w:numPr>
          <w:ilvl w:val="0"/>
          <w:numId w:val="31"/>
        </w:numPr>
        <w:spacing w:before="180" w:line="276" w:lineRule="auto"/>
        <w:jc w:val="both"/>
        <w:rPr>
          <w:rFonts w:cstheme="minorHAnsi"/>
          <w:color w:val="auto"/>
          <w:szCs w:val="21"/>
        </w:rPr>
      </w:pPr>
      <w:r w:rsidRPr="00853129">
        <w:rPr>
          <w:rFonts w:cstheme="minorHAnsi"/>
          <w:color w:val="auto"/>
          <w:szCs w:val="21"/>
        </w:rPr>
        <w:t>Kontrolou bylo zjištěno, že některá výběrová řízení na nájmy nebytových prostor nesplňovala požadavek na transparentní výběr nejvhodnější nabídky z pohledu účelnosti, úspornosti a efektivity. VZP ČR rozhodovala o prodeji nemovitostí bez existence dlouhodobé strategie nakládání s nemovitým majetkem.</w:t>
      </w:r>
    </w:p>
    <w:p w:rsidR="00A67D87" w:rsidRPr="00A67D87" w:rsidRDefault="00A67D87" w:rsidP="00853129">
      <w:pPr>
        <w:numPr>
          <w:ilvl w:val="0"/>
          <w:numId w:val="29"/>
        </w:numPr>
        <w:spacing w:before="180" w:line="276" w:lineRule="auto"/>
        <w:jc w:val="both"/>
        <w:rPr>
          <w:rFonts w:cstheme="minorHAnsi"/>
          <w:b/>
          <w:szCs w:val="21"/>
        </w:rPr>
      </w:pPr>
      <w:r w:rsidRPr="00A67D87">
        <w:rPr>
          <w:rFonts w:cstheme="minorHAnsi"/>
          <w:b/>
          <w:szCs w:val="21"/>
        </w:rPr>
        <w:t xml:space="preserve"> „</w:t>
      </w:r>
      <w:r w:rsidRPr="00853129">
        <w:rPr>
          <w:rFonts w:cstheme="minorHAnsi"/>
          <w:b/>
          <w:szCs w:val="21"/>
          <w:u w:val="single"/>
        </w:rPr>
        <w:t>Dodávky nezdravotních služeb či zboží, kdy nedochází dlouhodobě k „</w:t>
      </w:r>
      <w:proofErr w:type="spellStart"/>
      <w:r w:rsidRPr="00853129">
        <w:rPr>
          <w:rFonts w:cstheme="minorHAnsi"/>
          <w:b/>
          <w:szCs w:val="21"/>
          <w:u w:val="single"/>
        </w:rPr>
        <w:t>přesoutěžení</w:t>
      </w:r>
      <w:proofErr w:type="spellEnd"/>
      <w:r w:rsidRPr="00853129">
        <w:rPr>
          <w:rFonts w:cstheme="minorHAnsi"/>
          <w:b/>
          <w:szCs w:val="21"/>
          <w:u w:val="single"/>
        </w:rPr>
        <w:t>“ dodavatele a využívání JŘBU“ a Poskytování záštit a partnerství zdravotními pojišťovnami na různé akce ve VZP ČR“</w:t>
      </w:r>
      <w:r w:rsidRPr="00A67D87">
        <w:rPr>
          <w:rFonts w:cstheme="minorHAnsi"/>
          <w:b/>
          <w:szCs w:val="21"/>
        </w:rPr>
        <w:t xml:space="preserve"> </w:t>
      </w:r>
    </w:p>
    <w:p w:rsidR="00A67D87" w:rsidRPr="00853129" w:rsidRDefault="00A67D87" w:rsidP="00853129">
      <w:pPr>
        <w:pStyle w:val="Odstavecseseznamem"/>
        <w:numPr>
          <w:ilvl w:val="0"/>
          <w:numId w:val="31"/>
        </w:numPr>
        <w:shd w:val="clear" w:color="auto" w:fill="FFFFFF"/>
        <w:spacing w:before="180" w:line="276" w:lineRule="auto"/>
        <w:jc w:val="both"/>
        <w:rPr>
          <w:rFonts w:cstheme="minorHAnsi"/>
          <w:color w:val="auto"/>
          <w:szCs w:val="21"/>
        </w:rPr>
      </w:pPr>
      <w:r w:rsidRPr="00853129">
        <w:rPr>
          <w:rFonts w:cstheme="minorHAnsi"/>
          <w:color w:val="auto"/>
          <w:szCs w:val="21"/>
        </w:rPr>
        <w:t xml:space="preserve">Kontrola navazovala na šetření v oblasti marketingových aktivit a dlouhodobých smluv v roce 2018 se zaměřením na Odbor komunikace VZP ČR a dále na firmy LENIA spol. s r.o., MEDEA Kultur </w:t>
      </w:r>
      <w:proofErr w:type="gramStart"/>
      <w:r w:rsidRPr="00853129">
        <w:rPr>
          <w:rFonts w:cstheme="minorHAnsi"/>
          <w:color w:val="auto"/>
          <w:szCs w:val="21"/>
        </w:rPr>
        <w:t>s.r.o..</w:t>
      </w:r>
      <w:proofErr w:type="gramEnd"/>
      <w:r w:rsidRPr="00853129">
        <w:rPr>
          <w:rFonts w:cstheme="minorHAnsi"/>
          <w:color w:val="auto"/>
          <w:szCs w:val="21"/>
        </w:rPr>
        <w:t xml:space="preserve"> Po prozkoumání podkladů a informací bylo zjištěno, že smluvní spolupráce mezi VZP </w:t>
      </w:r>
      <w:proofErr w:type="gramStart"/>
      <w:r w:rsidRPr="00853129">
        <w:rPr>
          <w:rFonts w:cstheme="minorHAnsi"/>
          <w:color w:val="auto"/>
          <w:szCs w:val="21"/>
        </w:rPr>
        <w:t>ČR  a</w:t>
      </w:r>
      <w:proofErr w:type="gramEnd"/>
      <w:r w:rsidRPr="00853129">
        <w:rPr>
          <w:rFonts w:cstheme="minorHAnsi"/>
          <w:color w:val="auto"/>
          <w:szCs w:val="21"/>
        </w:rPr>
        <w:t xml:space="preserve"> MEDEA Kultur s.r.o. v oblasti tzv. „media lobbing“, byla v rámci kontrolované smlouvy uskutečňována netransparentním a nedoložitelným způsobem - nebylo možno ověřit konkrétní podstatné plnění smluvní spolupráce, tato činnost nebyla řádně dokumentována. </w:t>
      </w:r>
    </w:p>
    <w:p w:rsidR="00A67D87" w:rsidRPr="00853129" w:rsidRDefault="00A67D87" w:rsidP="00853129">
      <w:pPr>
        <w:pStyle w:val="Odstavecseseznamem"/>
        <w:numPr>
          <w:ilvl w:val="0"/>
          <w:numId w:val="31"/>
        </w:numPr>
        <w:shd w:val="clear" w:color="auto" w:fill="FFFFFF"/>
        <w:spacing w:before="180" w:line="276" w:lineRule="auto"/>
        <w:jc w:val="both"/>
        <w:rPr>
          <w:rFonts w:cstheme="minorHAnsi"/>
          <w:color w:val="auto"/>
          <w:szCs w:val="21"/>
        </w:rPr>
      </w:pPr>
      <w:r w:rsidRPr="00853129">
        <w:rPr>
          <w:rFonts w:cstheme="minorHAnsi"/>
          <w:color w:val="auto"/>
          <w:szCs w:val="21"/>
        </w:rPr>
        <w:t xml:space="preserve">Ze strany MZ a MF byl podán podnět orgánům činným v trestním řízení z důvodu podezření, že výše uvedeným zjištěním mohla být naplněna skutková podstata trestného činu porušení povinnosti při správě cizího majetku dle § 220 trestního zákoníku či dalších trestných činů. </w:t>
      </w:r>
    </w:p>
    <w:p w:rsidR="00A67D87" w:rsidRPr="00853129" w:rsidRDefault="00A67D87" w:rsidP="00853129">
      <w:pPr>
        <w:numPr>
          <w:ilvl w:val="0"/>
          <w:numId w:val="29"/>
        </w:numPr>
        <w:spacing w:before="180" w:line="276" w:lineRule="auto"/>
        <w:jc w:val="both"/>
        <w:rPr>
          <w:rFonts w:cstheme="minorHAnsi"/>
          <w:b/>
          <w:szCs w:val="21"/>
          <w:u w:val="single"/>
        </w:rPr>
      </w:pPr>
      <w:r w:rsidRPr="00A67D87">
        <w:rPr>
          <w:rFonts w:cstheme="minorHAnsi"/>
          <w:b/>
          <w:szCs w:val="21"/>
        </w:rPr>
        <w:t xml:space="preserve"> „</w:t>
      </w:r>
      <w:r w:rsidRPr="00853129">
        <w:rPr>
          <w:rFonts w:cstheme="minorHAnsi"/>
          <w:b/>
          <w:szCs w:val="21"/>
          <w:u w:val="single"/>
        </w:rPr>
        <w:t>Léčebně ozdravné pobyty realizované pod názvem Mořský koník ve VZP ČR“</w:t>
      </w:r>
    </w:p>
    <w:p w:rsidR="00A67D87" w:rsidRPr="00853129" w:rsidRDefault="00A67D87" w:rsidP="00853129">
      <w:pPr>
        <w:pStyle w:val="Odstavecseseznamem"/>
        <w:numPr>
          <w:ilvl w:val="0"/>
          <w:numId w:val="30"/>
        </w:numPr>
        <w:spacing w:before="180" w:line="276" w:lineRule="auto"/>
        <w:jc w:val="both"/>
        <w:rPr>
          <w:rFonts w:cstheme="minorHAnsi"/>
          <w:color w:val="auto"/>
          <w:szCs w:val="21"/>
        </w:rPr>
      </w:pPr>
      <w:r w:rsidRPr="00853129">
        <w:rPr>
          <w:rFonts w:cstheme="minorHAnsi"/>
          <w:color w:val="auto"/>
          <w:szCs w:val="21"/>
        </w:rPr>
        <w:t>Kontrola byla zahájena na základě stížností a podnětů od zákonných zástupců dětí, které se zúčastnily akce „Mořský koník“ v roce 2018, se zaměřením na ověření skutečností uvedených v podnětech a stížnostech.</w:t>
      </w:r>
    </w:p>
    <w:p w:rsidR="00A67D87" w:rsidRPr="00853129" w:rsidRDefault="00A67D87" w:rsidP="00853129">
      <w:pPr>
        <w:pStyle w:val="Odstavecseseznamem"/>
        <w:numPr>
          <w:ilvl w:val="0"/>
          <w:numId w:val="30"/>
        </w:numPr>
        <w:spacing w:before="180" w:line="276" w:lineRule="auto"/>
        <w:jc w:val="both"/>
        <w:rPr>
          <w:rFonts w:cstheme="minorHAnsi"/>
          <w:color w:val="auto"/>
          <w:szCs w:val="21"/>
        </w:rPr>
      </w:pPr>
      <w:r w:rsidRPr="00853129">
        <w:rPr>
          <w:rFonts w:cstheme="minorHAnsi"/>
          <w:color w:val="auto"/>
          <w:szCs w:val="21"/>
        </w:rPr>
        <w:t xml:space="preserve">Bylo zjištěno, že podněty a stížnosti byly oprávněné, VZP ČR přistoupila k nastavení nových pravidel pro další ročníky. </w:t>
      </w:r>
    </w:p>
    <w:p w:rsidR="00A67D87" w:rsidRDefault="00A67D87" w:rsidP="00A67D87">
      <w:pPr>
        <w:pStyle w:val="Odstavecseseznamem"/>
        <w:numPr>
          <w:ilvl w:val="0"/>
          <w:numId w:val="30"/>
        </w:numPr>
        <w:spacing w:before="180" w:line="276" w:lineRule="auto"/>
        <w:ind w:hanging="357"/>
        <w:jc w:val="both"/>
        <w:rPr>
          <w:rFonts w:cstheme="minorHAnsi"/>
          <w:color w:val="auto"/>
          <w:szCs w:val="21"/>
        </w:rPr>
      </w:pPr>
      <w:r w:rsidRPr="00853129">
        <w:rPr>
          <w:rFonts w:cstheme="minorHAnsi"/>
          <w:color w:val="auto"/>
          <w:szCs w:val="21"/>
        </w:rPr>
        <w:t>Účinnost nově nastavených pravidel byla ověřena při akci „Mořský koník 2019“. Všechny turnusy proběhly v souladu s pravidly.</w:t>
      </w:r>
    </w:p>
    <w:p w:rsidR="00A67D87" w:rsidRPr="00853129" w:rsidRDefault="00A67D87" w:rsidP="00853129">
      <w:pPr>
        <w:pStyle w:val="Odstavecseseznamem"/>
        <w:numPr>
          <w:ilvl w:val="0"/>
          <w:numId w:val="29"/>
        </w:numPr>
        <w:spacing w:before="180" w:line="276" w:lineRule="auto"/>
        <w:ind w:hanging="357"/>
        <w:rPr>
          <w:rFonts w:cstheme="minorHAnsi"/>
          <w:b/>
          <w:color w:val="auto"/>
          <w:szCs w:val="21"/>
        </w:rPr>
      </w:pPr>
      <w:r w:rsidRPr="00853129">
        <w:rPr>
          <w:rFonts w:cstheme="minorHAnsi"/>
          <w:color w:val="auto"/>
          <w:szCs w:val="21"/>
        </w:rPr>
        <w:t>„</w:t>
      </w:r>
      <w:r w:rsidRPr="00853129">
        <w:rPr>
          <w:rFonts w:cstheme="minorHAnsi"/>
          <w:b/>
          <w:color w:val="auto"/>
          <w:szCs w:val="21"/>
          <w:u w:val="single"/>
        </w:rPr>
        <w:t>Místní a časová dostupnost zdravotních služeb (na základě výsledků šetření z roku 2018) ve všech ZP</w:t>
      </w:r>
      <w:r w:rsidR="00853129" w:rsidRPr="00853129">
        <w:rPr>
          <w:rFonts w:cstheme="minorHAnsi"/>
          <w:b/>
          <w:color w:val="auto"/>
          <w:szCs w:val="21"/>
          <w:u w:val="single"/>
        </w:rPr>
        <w:t>“</w:t>
      </w:r>
      <w:r w:rsidRPr="00853129">
        <w:rPr>
          <w:rFonts w:cstheme="minorHAnsi"/>
          <w:b/>
          <w:color w:val="auto"/>
          <w:szCs w:val="21"/>
          <w:u w:val="single"/>
        </w:rPr>
        <w:t>.</w:t>
      </w:r>
    </w:p>
    <w:p w:rsidR="00A67D87" w:rsidRPr="00A67D87" w:rsidRDefault="00A67D87" w:rsidP="00853129">
      <w:pPr>
        <w:spacing w:before="180" w:line="276" w:lineRule="auto"/>
        <w:ind w:firstLine="360"/>
        <w:rPr>
          <w:rFonts w:eastAsiaTheme="majorEastAsia" w:cstheme="minorHAnsi"/>
          <w:szCs w:val="21"/>
          <w:lang w:eastAsia="cs-CZ"/>
        </w:rPr>
      </w:pPr>
      <w:r w:rsidRPr="00A67D87">
        <w:rPr>
          <w:rFonts w:eastAsiaTheme="majorEastAsia" w:cstheme="minorHAnsi"/>
          <w:szCs w:val="21"/>
          <w:lang w:eastAsia="cs-CZ"/>
        </w:rPr>
        <w:t>Kontrola byla zaměřena především na systémové otázky:</w:t>
      </w:r>
    </w:p>
    <w:p w:rsidR="00A67D87" w:rsidRPr="00853129" w:rsidRDefault="00A67D87" w:rsidP="00853129">
      <w:pPr>
        <w:pStyle w:val="Odstavecseseznamem"/>
        <w:numPr>
          <w:ilvl w:val="0"/>
          <w:numId w:val="33"/>
        </w:numPr>
        <w:spacing w:before="180" w:line="276" w:lineRule="auto"/>
        <w:ind w:left="993"/>
        <w:jc w:val="both"/>
        <w:rPr>
          <w:rFonts w:eastAsiaTheme="majorEastAsia" w:cstheme="minorHAnsi"/>
          <w:color w:val="auto"/>
          <w:szCs w:val="21"/>
        </w:rPr>
      </w:pPr>
      <w:r w:rsidRPr="00853129">
        <w:rPr>
          <w:rFonts w:eastAsiaTheme="majorEastAsia" w:cstheme="minorHAnsi"/>
          <w:b/>
          <w:bCs/>
          <w:color w:val="auto"/>
          <w:szCs w:val="21"/>
        </w:rPr>
        <w:t>Je nařízení vlády (dále též „NV“) o místní a časové dostupnosti zdravotních služeb (dále též „MČD ZS“) jednoznačné?</w:t>
      </w:r>
      <w:r w:rsidRPr="00853129">
        <w:rPr>
          <w:rFonts w:eastAsiaTheme="majorEastAsia" w:cstheme="minorHAnsi"/>
          <w:color w:val="auto"/>
          <w:szCs w:val="21"/>
        </w:rPr>
        <w:t xml:space="preserve"> </w:t>
      </w:r>
    </w:p>
    <w:p w:rsidR="00A67D87" w:rsidRPr="00853129" w:rsidRDefault="00A67D87" w:rsidP="00853129">
      <w:pPr>
        <w:pStyle w:val="Odstavecseseznamem"/>
        <w:spacing w:before="180" w:line="276" w:lineRule="auto"/>
        <w:ind w:left="1429"/>
        <w:jc w:val="both"/>
        <w:rPr>
          <w:rFonts w:eastAsiaTheme="majorEastAsia" w:cstheme="minorHAnsi"/>
          <w:color w:val="auto"/>
          <w:szCs w:val="21"/>
        </w:rPr>
      </w:pPr>
    </w:p>
    <w:p w:rsidR="00A67D87" w:rsidRPr="00853129" w:rsidRDefault="00A67D87" w:rsidP="00853129">
      <w:pPr>
        <w:pStyle w:val="Odstavecseseznamem"/>
        <w:spacing w:before="180" w:line="276" w:lineRule="auto"/>
        <w:ind w:left="1429" w:hanging="1003"/>
        <w:jc w:val="both"/>
        <w:rPr>
          <w:rFonts w:eastAsiaTheme="majorEastAsia" w:cstheme="minorHAnsi"/>
          <w:color w:val="auto"/>
          <w:szCs w:val="21"/>
        </w:rPr>
      </w:pPr>
      <w:r w:rsidRPr="00853129">
        <w:rPr>
          <w:rFonts w:eastAsiaTheme="majorEastAsia" w:cstheme="minorHAnsi"/>
          <w:color w:val="auto"/>
          <w:szCs w:val="21"/>
        </w:rPr>
        <w:t xml:space="preserve">Bylo zjištěno: </w:t>
      </w:r>
    </w:p>
    <w:p w:rsidR="00A67D87" w:rsidRPr="00853129" w:rsidRDefault="00A67D87" w:rsidP="00853129">
      <w:pPr>
        <w:pStyle w:val="Odstavecseseznamem"/>
        <w:spacing w:before="180" w:line="276" w:lineRule="auto"/>
        <w:ind w:left="1134" w:hanging="13"/>
        <w:jc w:val="both"/>
        <w:rPr>
          <w:rFonts w:eastAsiaTheme="majorEastAsia" w:cstheme="minorHAnsi"/>
          <w:color w:val="auto"/>
          <w:szCs w:val="21"/>
        </w:rPr>
      </w:pPr>
      <w:r w:rsidRPr="00853129">
        <w:rPr>
          <w:rFonts w:eastAsiaTheme="majorEastAsia" w:cstheme="minorHAnsi"/>
          <w:color w:val="auto"/>
          <w:szCs w:val="21"/>
        </w:rPr>
        <w:t>NV o MČD ZS je srozumitelné na úrovni jednoho každého konkrétního pojištěnce, na základě jeho konkrétní stížnosti (žádosti o zajištění péče). Na systémové úrovni však neposkytuje jednoznačný návod k tomu, jakou smluvní síť (co do hustoty, odborností, kapacity) mají ZP budovat.</w:t>
      </w:r>
    </w:p>
    <w:p w:rsidR="00A67D87" w:rsidRPr="00A67D87" w:rsidRDefault="00A67D87" w:rsidP="00853129">
      <w:pPr>
        <w:numPr>
          <w:ilvl w:val="0"/>
          <w:numId w:val="32"/>
        </w:numPr>
        <w:tabs>
          <w:tab w:val="clear" w:pos="1068"/>
          <w:tab w:val="num" w:pos="993"/>
        </w:tabs>
        <w:spacing w:before="180" w:line="276" w:lineRule="auto"/>
        <w:rPr>
          <w:rFonts w:eastAsiaTheme="majorEastAsia" w:cstheme="minorHAnsi"/>
          <w:szCs w:val="21"/>
          <w:lang w:eastAsia="cs-CZ"/>
        </w:rPr>
      </w:pPr>
      <w:r w:rsidRPr="00A67D87">
        <w:rPr>
          <w:rFonts w:eastAsiaTheme="majorEastAsia" w:cstheme="minorHAnsi"/>
          <w:b/>
          <w:bCs/>
          <w:szCs w:val="21"/>
          <w:lang w:eastAsia="cs-CZ"/>
        </w:rPr>
        <w:t>Je plnění NV o MČD ZS pro zdravotní pojišťovny (dále též „ZP“) kontrolovatelné</w:t>
      </w:r>
    </w:p>
    <w:p w:rsidR="00A67D87" w:rsidRPr="00A67D87" w:rsidRDefault="00A67D87" w:rsidP="00853129">
      <w:pPr>
        <w:spacing w:before="180" w:line="276" w:lineRule="auto"/>
        <w:ind w:firstLine="426"/>
        <w:jc w:val="both"/>
        <w:rPr>
          <w:rFonts w:eastAsiaTheme="majorEastAsia" w:cstheme="minorHAnsi"/>
          <w:szCs w:val="21"/>
        </w:rPr>
      </w:pPr>
      <w:r w:rsidRPr="00A67D87">
        <w:rPr>
          <w:rFonts w:eastAsiaTheme="majorEastAsia" w:cstheme="minorHAnsi"/>
          <w:szCs w:val="21"/>
        </w:rPr>
        <w:lastRenderedPageBreak/>
        <w:t xml:space="preserve">Bylo zjištěno: </w:t>
      </w:r>
    </w:p>
    <w:p w:rsidR="00A67D87" w:rsidRPr="00A67D87" w:rsidRDefault="00A67D87" w:rsidP="00853129">
      <w:pPr>
        <w:spacing w:before="180" w:line="276" w:lineRule="auto"/>
        <w:ind w:left="1134"/>
        <w:jc w:val="both"/>
        <w:rPr>
          <w:rFonts w:eastAsiaTheme="majorEastAsia" w:cstheme="minorHAnsi"/>
          <w:szCs w:val="21"/>
          <w:lang w:eastAsia="cs-CZ"/>
        </w:rPr>
      </w:pPr>
      <w:r w:rsidRPr="00A67D87">
        <w:rPr>
          <w:rFonts w:eastAsiaTheme="majorEastAsia" w:cstheme="minorHAnsi"/>
          <w:szCs w:val="21"/>
          <w:lang w:eastAsia="cs-CZ"/>
        </w:rPr>
        <w:t>NV o MČD ZS je kontrolovatelné na úrovni jednoho každého konkrétního pojištěnce, na základě jeho konkrétní stížnosti (žádosti o zajištění), resp. na základě jejího vyřešení. Na systémové úrovni kontrolovatelné není.</w:t>
      </w:r>
    </w:p>
    <w:p w:rsidR="00A67D87" w:rsidRPr="00853129" w:rsidRDefault="00A67D87" w:rsidP="00853129">
      <w:pPr>
        <w:pStyle w:val="Odstavecseseznamem"/>
        <w:numPr>
          <w:ilvl w:val="0"/>
          <w:numId w:val="32"/>
        </w:numPr>
        <w:spacing w:before="180" w:line="276" w:lineRule="auto"/>
        <w:rPr>
          <w:rFonts w:eastAsiaTheme="majorEastAsia" w:cstheme="minorHAnsi"/>
          <w:color w:val="auto"/>
          <w:szCs w:val="21"/>
        </w:rPr>
      </w:pPr>
      <w:r w:rsidRPr="00853129">
        <w:rPr>
          <w:rFonts w:eastAsiaTheme="majorEastAsia" w:cstheme="minorHAnsi"/>
          <w:b/>
          <w:bCs/>
          <w:color w:val="auto"/>
          <w:szCs w:val="21"/>
        </w:rPr>
        <w:t>Jakými zdroji údajů ZP disponuje, aby mohla plnění NV o MČD ZS vyhodnocovat?</w:t>
      </w:r>
    </w:p>
    <w:p w:rsidR="00A67D87" w:rsidRPr="00A67D87" w:rsidRDefault="00A67D87" w:rsidP="00853129">
      <w:pPr>
        <w:spacing w:before="180" w:line="276" w:lineRule="auto"/>
        <w:ind w:left="1134"/>
        <w:jc w:val="both"/>
        <w:rPr>
          <w:rFonts w:eastAsiaTheme="majorEastAsia" w:cstheme="minorHAnsi"/>
          <w:szCs w:val="21"/>
        </w:rPr>
      </w:pPr>
      <w:r w:rsidRPr="00A67D87">
        <w:rPr>
          <w:rFonts w:eastAsiaTheme="majorEastAsia" w:cstheme="minorHAnsi"/>
          <w:szCs w:val="21"/>
        </w:rPr>
        <w:t>nemají jednotný přístup nejen k evidenci stížností a podnětů, ale i k tomu, co to stížnost je.</w:t>
      </w:r>
    </w:p>
    <w:p w:rsidR="00A67D87" w:rsidRPr="00A67D87" w:rsidRDefault="00A67D87" w:rsidP="00853129">
      <w:pPr>
        <w:numPr>
          <w:ilvl w:val="0"/>
          <w:numId w:val="32"/>
        </w:numPr>
        <w:spacing w:before="180" w:line="276" w:lineRule="auto"/>
        <w:rPr>
          <w:rFonts w:eastAsiaTheme="majorEastAsia" w:cstheme="minorHAnsi"/>
          <w:szCs w:val="21"/>
          <w:lang w:eastAsia="cs-CZ"/>
        </w:rPr>
      </w:pPr>
      <w:r w:rsidRPr="00A67D87">
        <w:rPr>
          <w:rFonts w:eastAsiaTheme="majorEastAsia" w:cstheme="minorHAnsi"/>
          <w:b/>
          <w:bCs/>
          <w:szCs w:val="21"/>
          <w:lang w:eastAsia="cs-CZ"/>
        </w:rPr>
        <w:t>Jaký servis poskytují ZP svým klientům při zajišťování ZS?</w:t>
      </w:r>
    </w:p>
    <w:p w:rsidR="00A67D87" w:rsidRPr="00A67D87" w:rsidRDefault="00A67D87" w:rsidP="00853129">
      <w:pPr>
        <w:spacing w:before="180" w:line="276" w:lineRule="auto"/>
        <w:ind w:left="426"/>
        <w:rPr>
          <w:rFonts w:eastAsiaTheme="majorEastAsia" w:cstheme="minorHAnsi"/>
          <w:szCs w:val="21"/>
          <w:lang w:eastAsia="cs-CZ"/>
        </w:rPr>
      </w:pPr>
      <w:r w:rsidRPr="00A67D87">
        <w:rPr>
          <w:rFonts w:eastAsiaTheme="majorEastAsia" w:cstheme="minorHAnsi"/>
          <w:szCs w:val="21"/>
          <w:lang w:eastAsia="cs-CZ"/>
        </w:rPr>
        <w:t>Bylo zjištěno:</w:t>
      </w:r>
    </w:p>
    <w:p w:rsidR="00A67D87" w:rsidRPr="00853129" w:rsidRDefault="00A67D87" w:rsidP="00853129">
      <w:pPr>
        <w:spacing w:before="180" w:line="276" w:lineRule="auto"/>
        <w:ind w:left="1134"/>
        <w:jc w:val="both"/>
        <w:rPr>
          <w:rFonts w:eastAsiaTheme="majorEastAsia" w:cstheme="minorHAnsi"/>
          <w:szCs w:val="21"/>
          <w:lang w:eastAsia="cs-CZ"/>
        </w:rPr>
      </w:pPr>
      <w:r w:rsidRPr="00853129">
        <w:rPr>
          <w:rFonts w:eastAsiaTheme="majorEastAsia" w:cstheme="minorHAnsi"/>
          <w:szCs w:val="21"/>
          <w:lang w:eastAsia="cs-CZ"/>
        </w:rPr>
        <w:t>Některé ZP mají na svých webových stránkách přehledné mapy, v nichž lze vyhledávat dle odbornosti lékaře a lokality. Výsledkem je seznam relevantních poskytovatelů zdravotních služeb (dále též „PZS“), jejich kontaktní údaje a ordinační hodiny. Všechny ZP provozují pro pojištěnce call centra či informační linky. Téměř všechny ZP nabízejí svým klientům mobilní aplikace (všechny kromě VZP), ZP se primárně snaží, aby si pojištěnec mohl svého PZS nalézt sám. Při první žádosti o nalezení PZS   ZP obvykle odkazují klienty na své seznamy smluvních PZS. V případě, že se pojištěnci nedaří sehnat vhodného lékaře svépomocí, pokoušejí se ZP jménem pojištěnce oslovovat konkrétní PZS. V rámci kontroly nebyl nalezen případ, kdy by ZP nebyla schopna klientovi vhodného PZS zajistit.</w:t>
      </w:r>
    </w:p>
    <w:p w:rsidR="00A67D87" w:rsidRPr="00853129" w:rsidRDefault="00A67D87" w:rsidP="00853129">
      <w:pPr>
        <w:numPr>
          <w:ilvl w:val="0"/>
          <w:numId w:val="32"/>
        </w:numPr>
        <w:spacing w:before="180" w:line="276" w:lineRule="auto"/>
        <w:rPr>
          <w:rFonts w:eastAsiaTheme="majorEastAsia" w:cstheme="minorHAnsi"/>
          <w:szCs w:val="21"/>
          <w:lang w:eastAsia="cs-CZ"/>
        </w:rPr>
      </w:pPr>
      <w:r w:rsidRPr="00853129">
        <w:rPr>
          <w:rFonts w:eastAsiaTheme="majorEastAsia" w:cstheme="minorHAnsi"/>
          <w:b/>
          <w:bCs/>
          <w:szCs w:val="21"/>
          <w:lang w:eastAsia="cs-CZ"/>
        </w:rPr>
        <w:t>Jakými nástroji se ZP snaží zajistit ZS v lokalitách, kde je její dostupnost nevyhovující</w:t>
      </w:r>
      <w:r w:rsidRPr="00853129">
        <w:rPr>
          <w:rFonts w:eastAsiaTheme="majorEastAsia" w:cstheme="minorHAnsi"/>
          <w:szCs w:val="21"/>
          <w:lang w:eastAsia="cs-CZ"/>
        </w:rPr>
        <w:t xml:space="preserve"> (tedy jak se ZP snaží do těchto lokalit přivést nové PZS) </w:t>
      </w:r>
    </w:p>
    <w:p w:rsidR="00A67D87" w:rsidRPr="00853129" w:rsidRDefault="00A67D87" w:rsidP="00853129">
      <w:pPr>
        <w:pStyle w:val="Odstavecseseznamem"/>
        <w:spacing w:before="180" w:line="276" w:lineRule="auto"/>
        <w:ind w:left="426"/>
        <w:jc w:val="both"/>
        <w:rPr>
          <w:rFonts w:eastAsiaTheme="majorEastAsia" w:cstheme="minorHAnsi"/>
          <w:color w:val="auto"/>
          <w:szCs w:val="21"/>
        </w:rPr>
      </w:pPr>
      <w:r w:rsidRPr="00853129">
        <w:rPr>
          <w:rFonts w:eastAsiaTheme="majorEastAsia" w:cstheme="minorHAnsi"/>
          <w:color w:val="auto"/>
          <w:szCs w:val="21"/>
        </w:rPr>
        <w:t>Bylo zjištěno:</w:t>
      </w:r>
    </w:p>
    <w:p w:rsidR="00B721FE" w:rsidRPr="00B721FE" w:rsidRDefault="00B721FE" w:rsidP="00B721FE">
      <w:pPr>
        <w:pStyle w:val="Odstavecseseznamem"/>
        <w:spacing w:before="180" w:line="276" w:lineRule="auto"/>
        <w:ind w:hanging="11"/>
        <w:jc w:val="both"/>
        <w:rPr>
          <w:color w:val="auto"/>
          <w:sz w:val="20"/>
        </w:rPr>
      </w:pPr>
      <w:r w:rsidRPr="00B721FE">
        <w:rPr>
          <w:color w:val="auto"/>
        </w:rPr>
        <w:t>Bonifikační programy pro zajištění MČD se zaměřují především na primární péči. Hodnota bonifikace však k celkovým nákladům na péči představuje cca řády promile. U některých programů kontrola konstatovala klesající efektivnost, nevhodné nastavení a nižší účelnost. Programy některých ZP lze aplikovat jako příklady dobré praxe. Kontrola doporučila upravit konstrukci bonifikací za účelem posílení motivace PZS a napřímit vztah mezi výší bonifikace a „prací navíc“, exaktněji definovat na základě objektivních a měřitelných parametrů kritéria pro přiznání bonifikace, důsledně uplatňovat zákon o finanční kontrole a systematicky vyhodnocovat programy v relaci k přínosům pojištěncům.</w:t>
      </w:r>
    </w:p>
    <w:p w:rsidR="00436F6E" w:rsidRPr="00A67D87" w:rsidRDefault="00436F6E" w:rsidP="00853129">
      <w:pPr>
        <w:spacing w:before="180" w:line="276" w:lineRule="auto"/>
        <w:rPr>
          <w:rFonts w:eastAsia="Times New Roman" w:cs="Arial"/>
          <w:sz w:val="28"/>
          <w:szCs w:val="28"/>
          <w:lang w:eastAsia="cs-CZ"/>
        </w:rPr>
      </w:pPr>
      <w:r w:rsidRPr="00A67D87">
        <w:br w:type="page"/>
      </w:r>
    </w:p>
    <w:p w:rsidR="00436F6E" w:rsidRPr="00D57CD3" w:rsidRDefault="00436F6E" w:rsidP="00436F6E">
      <w:pPr>
        <w:pStyle w:val="Nadpis1"/>
      </w:pPr>
      <w:bookmarkStart w:id="51" w:name="_Toc41898961"/>
      <w:r w:rsidRPr="00D57CD3">
        <w:lastRenderedPageBreak/>
        <w:t>Závěr</w:t>
      </w:r>
      <w:bookmarkEnd w:id="51"/>
      <w:r w:rsidRPr="00D57CD3">
        <w:t xml:space="preserve"> </w:t>
      </w:r>
    </w:p>
    <w:p w:rsidR="00866E61" w:rsidRPr="00B9182D" w:rsidRDefault="00866E61" w:rsidP="00AD2E56">
      <w:pPr>
        <w:jc w:val="both"/>
      </w:pPr>
      <w:r w:rsidRPr="00B9182D">
        <w:t>Systém veřejného zdravotního pojištění dosáhl v roce 201</w:t>
      </w:r>
      <w:r w:rsidR="00DA0427">
        <w:t>9</w:t>
      </w:r>
      <w:r w:rsidRPr="00B9182D">
        <w:t xml:space="preserve"> kladného salda hospodaření v hotovostní metodice </w:t>
      </w:r>
      <w:r w:rsidR="00DA0427" w:rsidRPr="00B9182D">
        <w:t>1</w:t>
      </w:r>
      <w:r w:rsidR="00DA0427">
        <w:t>3</w:t>
      </w:r>
      <w:r w:rsidRPr="00B9182D">
        <w:t>,5 mld. Kč, a proto jako součást vládního sektoru nepředstavoval riziko pro</w:t>
      </w:r>
      <w:r>
        <w:t> </w:t>
      </w:r>
      <w:r w:rsidRPr="00B9182D">
        <w:t xml:space="preserve">dosažení fiskálního cíle vlády. Systém vykázal </w:t>
      </w:r>
      <w:r w:rsidR="00DA0427">
        <w:t>mírně horší</w:t>
      </w:r>
      <w:r w:rsidR="00DA0427" w:rsidRPr="00B9182D">
        <w:t xml:space="preserve"> </w:t>
      </w:r>
      <w:r w:rsidRPr="00B9182D">
        <w:t xml:space="preserve">výsledky než v předchozím roce, </w:t>
      </w:r>
      <w:r w:rsidR="00DA0427">
        <w:t>ale i tak se mu v tomto roce dařilo kumulovat rezervy pro</w:t>
      </w:r>
      <w:r w:rsidR="003D5AD1">
        <w:t> </w:t>
      </w:r>
      <w:r w:rsidR="00DA0427">
        <w:t>případ ekonomického poklesu.</w:t>
      </w:r>
    </w:p>
    <w:p w:rsidR="006F5136" w:rsidRDefault="00866E61" w:rsidP="00AD2E56">
      <w:pPr>
        <w:jc w:val="both"/>
      </w:pPr>
      <w:r w:rsidRPr="00B9182D">
        <w:t xml:space="preserve">Díky </w:t>
      </w:r>
      <w:r w:rsidR="00DA0427">
        <w:t>opět kladnému</w:t>
      </w:r>
      <w:r w:rsidRPr="00B9182D">
        <w:t xml:space="preserve"> hospodaření </w:t>
      </w:r>
      <w:r w:rsidRPr="00AD2E56">
        <w:t xml:space="preserve">došlo ke zvýšení finančních zůstatků na BÚ, a to o </w:t>
      </w:r>
      <w:r w:rsidR="00DA0427">
        <w:t>30,0</w:t>
      </w:r>
      <w:r w:rsidRPr="00AD2E56">
        <w:t xml:space="preserve"> % na </w:t>
      </w:r>
      <w:r w:rsidR="007753F5" w:rsidRPr="007753F5">
        <w:t xml:space="preserve">58,6 </w:t>
      </w:r>
      <w:r w:rsidRPr="00AD2E56">
        <w:t>mld. Kč</w:t>
      </w:r>
      <w:r w:rsidRPr="00B9182D">
        <w:t xml:space="preserve">. V roce </w:t>
      </w:r>
      <w:r w:rsidR="007753F5" w:rsidRPr="00B9182D">
        <w:t>201</w:t>
      </w:r>
      <w:r w:rsidR="007753F5">
        <w:t>9</w:t>
      </w:r>
      <w:r w:rsidR="007753F5" w:rsidRPr="00B9182D">
        <w:t xml:space="preserve"> </w:t>
      </w:r>
      <w:r w:rsidRPr="00B9182D">
        <w:t xml:space="preserve">se poměr těchto zůstatků opět zvyšoval a dosáhl téměř </w:t>
      </w:r>
      <w:r w:rsidR="007753F5" w:rsidRPr="007753F5">
        <w:t xml:space="preserve">18,4 </w:t>
      </w:r>
      <w:r w:rsidRPr="00B9182D">
        <w:t>% celkových výdajů systému v.</w:t>
      </w:r>
      <w:r>
        <w:t> </w:t>
      </w:r>
      <w:r w:rsidRPr="00B9182D">
        <w:t>z.</w:t>
      </w:r>
      <w:r>
        <w:t> </w:t>
      </w:r>
      <w:r w:rsidRPr="00B9182D">
        <w:t xml:space="preserve">p. </w:t>
      </w:r>
      <w:r w:rsidRPr="00AD2E56">
        <w:t>Zdravotní pojišťovny</w:t>
      </w:r>
      <w:r w:rsidR="007753F5">
        <w:t xml:space="preserve"> čtvrtý</w:t>
      </w:r>
      <w:r w:rsidRPr="00B9182D">
        <w:t xml:space="preserve"> rok po sobě v době vysokého růstu české ekonomiky </w:t>
      </w:r>
      <w:r w:rsidRPr="00AD2E56">
        <w:t>pokračují v žádoucím vytváření rezerv, které</w:t>
      </w:r>
      <w:r w:rsidR="003D5AD1">
        <w:t> </w:t>
      </w:r>
      <w:r w:rsidRPr="00AD2E56">
        <w:t xml:space="preserve">tvoří „polštář“ pro případ nenadálých negativních šoků, např. v podobě návratu recese. Míra těchto rezerv </w:t>
      </w:r>
      <w:r w:rsidR="007753F5">
        <w:t xml:space="preserve">tak již </w:t>
      </w:r>
      <w:r w:rsidRPr="00AD2E56">
        <w:t>dosahuje předkrizových hodnot (rok</w:t>
      </w:r>
      <w:r w:rsidR="007753F5">
        <w:t> </w:t>
      </w:r>
      <w:r w:rsidRPr="00AD2E56">
        <w:t xml:space="preserve">2008), systém je tak oproti tomuto období </w:t>
      </w:r>
      <w:r w:rsidR="007753F5">
        <w:t xml:space="preserve">obdobně </w:t>
      </w:r>
      <w:r w:rsidRPr="00AD2E56">
        <w:t>finančně stabilizovaný</w:t>
      </w:r>
      <w:r w:rsidR="007753F5">
        <w:t>, avšak velmi negativním jevem je vysoká dynamika výdajů</w:t>
      </w:r>
      <w:r w:rsidRPr="00AD2E56">
        <w:t>.</w:t>
      </w:r>
    </w:p>
    <w:p w:rsidR="00724BBD" w:rsidRPr="00853129" w:rsidRDefault="00724BBD" w:rsidP="00853129">
      <w:pPr>
        <w:pStyle w:val="TEXT"/>
        <w:spacing w:before="180" w:after="180" w:line="276" w:lineRule="auto"/>
        <w:ind w:firstLine="0"/>
        <w:rPr>
          <w:rFonts w:eastAsia="Times New Roman" w:cstheme="minorHAnsi"/>
          <w:szCs w:val="21"/>
        </w:rPr>
      </w:pPr>
      <w:r w:rsidRPr="00825088">
        <w:rPr>
          <w:rFonts w:asciiTheme="minorHAnsi" w:eastAsia="Times New Roman" w:hAnsiTheme="minorHAnsi" w:cstheme="minorHAnsi"/>
          <w:sz w:val="21"/>
          <w:szCs w:val="21"/>
        </w:rPr>
        <w:t>Vytváření rezerv v posledních letech se ukázalo jako prozíravé ve světle probíhající pandemie a s ní souvisejícího hospodářského útlumu. V době tvorby tohoto materiálu však nelze jednoznačně odpovědět na otázku, zda výše zůstatků na účtech dosáhla adekvátní hodnoty pro absorpci zmíněného negativního šoku.</w:t>
      </w:r>
    </w:p>
    <w:p w:rsidR="00853129" w:rsidRDefault="00B82E62" w:rsidP="00D353FB">
      <w:pPr>
        <w:pStyle w:val="TEXT"/>
        <w:spacing w:before="180" w:after="180" w:line="276" w:lineRule="auto"/>
        <w:ind w:firstLine="0"/>
        <w:rPr>
          <w:rFonts w:asciiTheme="minorHAnsi" w:hAnsiTheme="minorHAnsi" w:cstheme="minorHAnsi"/>
          <w:sz w:val="21"/>
          <w:szCs w:val="21"/>
        </w:rPr>
      </w:pPr>
      <w:r w:rsidRPr="00B82E62">
        <w:rPr>
          <w:rFonts w:asciiTheme="minorHAnsi" w:eastAsia="Times New Roman" w:hAnsiTheme="minorHAnsi" w:cstheme="minorHAnsi"/>
          <w:sz w:val="21"/>
          <w:szCs w:val="21"/>
        </w:rPr>
        <w:t>Celkové náklady na zdravotní služby v roce 2019 překročily částku 312 mld. Kč</w:t>
      </w:r>
      <w:r w:rsidRPr="00B82E62">
        <w:rPr>
          <w:rFonts w:asciiTheme="minorHAnsi" w:hAnsiTheme="minorHAnsi" w:cstheme="minorHAnsi"/>
          <w:sz w:val="21"/>
          <w:szCs w:val="21"/>
        </w:rPr>
        <w:t>. Oproti roku 2018 byly náklady na</w:t>
      </w:r>
      <w:r w:rsidR="003D5AD1">
        <w:rPr>
          <w:rFonts w:asciiTheme="minorHAnsi" w:hAnsiTheme="minorHAnsi" w:cstheme="minorHAnsi"/>
          <w:sz w:val="21"/>
          <w:szCs w:val="21"/>
        </w:rPr>
        <w:t> </w:t>
      </w:r>
      <w:r w:rsidRPr="00B82E62">
        <w:rPr>
          <w:rFonts w:asciiTheme="minorHAnsi" w:hAnsiTheme="minorHAnsi" w:cstheme="minorHAnsi"/>
          <w:sz w:val="21"/>
          <w:szCs w:val="21"/>
        </w:rPr>
        <w:t xml:space="preserve">zdravotní </w:t>
      </w:r>
      <w:r w:rsidR="002C2BC7">
        <w:rPr>
          <w:rFonts w:asciiTheme="minorHAnsi" w:hAnsiTheme="minorHAnsi" w:cstheme="minorHAnsi"/>
          <w:sz w:val="21"/>
          <w:szCs w:val="21"/>
        </w:rPr>
        <w:t>služby</w:t>
      </w:r>
      <w:r w:rsidRPr="00B82E62">
        <w:rPr>
          <w:rFonts w:asciiTheme="minorHAnsi" w:hAnsiTheme="minorHAnsi" w:cstheme="minorHAnsi"/>
          <w:sz w:val="21"/>
          <w:szCs w:val="21"/>
        </w:rPr>
        <w:t xml:space="preserve"> vyšší o téměř 26 mld. Kč. </w:t>
      </w:r>
      <w:r w:rsidR="00866E61" w:rsidRPr="00B82E62">
        <w:rPr>
          <w:rFonts w:asciiTheme="minorHAnsi" w:hAnsiTheme="minorHAnsi" w:cstheme="minorHAnsi"/>
          <w:sz w:val="21"/>
          <w:szCs w:val="21"/>
        </w:rPr>
        <w:t>U všech zdravotních pojišťoven došlo v roce 201</w:t>
      </w:r>
      <w:r w:rsidR="003D6981" w:rsidRPr="00B82E62">
        <w:rPr>
          <w:rFonts w:asciiTheme="minorHAnsi" w:hAnsiTheme="minorHAnsi" w:cstheme="minorHAnsi"/>
          <w:sz w:val="21"/>
          <w:szCs w:val="21"/>
        </w:rPr>
        <w:t>9</w:t>
      </w:r>
      <w:r w:rsidR="00866E61" w:rsidRPr="00B82E62">
        <w:rPr>
          <w:rFonts w:asciiTheme="minorHAnsi" w:hAnsiTheme="minorHAnsi" w:cstheme="minorHAnsi"/>
          <w:sz w:val="21"/>
          <w:szCs w:val="21"/>
        </w:rPr>
        <w:t xml:space="preserve"> k navýšení nákladů na zdravotní služby. Celkový nárůst výše nákladů je ovlivněn, ve srovnání s rokem 201</w:t>
      </w:r>
      <w:r w:rsidR="00D353FB" w:rsidRPr="00B82E62">
        <w:rPr>
          <w:rFonts w:asciiTheme="minorHAnsi" w:hAnsiTheme="minorHAnsi" w:cstheme="minorHAnsi"/>
          <w:sz w:val="21"/>
          <w:szCs w:val="21"/>
        </w:rPr>
        <w:t>8</w:t>
      </w:r>
      <w:r w:rsidR="00866E61" w:rsidRPr="00B82E62">
        <w:rPr>
          <w:rFonts w:asciiTheme="minorHAnsi" w:hAnsiTheme="minorHAnsi" w:cstheme="minorHAnsi"/>
          <w:sz w:val="21"/>
          <w:szCs w:val="21"/>
        </w:rPr>
        <w:t xml:space="preserve"> </w:t>
      </w:r>
      <w:r w:rsidR="00D353FB" w:rsidRPr="00B82E62">
        <w:rPr>
          <w:rFonts w:asciiTheme="minorHAnsi" w:hAnsiTheme="minorHAnsi" w:cstheme="minorHAnsi"/>
          <w:sz w:val="21"/>
          <w:szCs w:val="21"/>
        </w:rPr>
        <w:t>zejména mechanismy úhrady stanovenými úhradovou vyhláškou, zařazování nových a finančně velmi nákladných léčiv do</w:t>
      </w:r>
      <w:r w:rsidR="00DD4E26">
        <w:rPr>
          <w:rFonts w:asciiTheme="minorHAnsi" w:hAnsiTheme="minorHAnsi" w:cstheme="minorHAnsi"/>
          <w:sz w:val="21"/>
          <w:szCs w:val="21"/>
        </w:rPr>
        <w:t> </w:t>
      </w:r>
      <w:r w:rsidR="00D353FB" w:rsidRPr="00B82E62">
        <w:rPr>
          <w:rFonts w:asciiTheme="minorHAnsi" w:hAnsiTheme="minorHAnsi" w:cstheme="minorHAnsi"/>
          <w:sz w:val="21"/>
          <w:szCs w:val="21"/>
        </w:rPr>
        <w:t>hrazené péče, zavádění nových vysoce inovativních léčebných postupů, navýšením nákladů u léčivých přípravků hrazených PZS poskytujícím péči na specializovaných pracovištích (</w:t>
      </w:r>
      <w:proofErr w:type="spellStart"/>
      <w:r w:rsidR="00D353FB" w:rsidRPr="00B82E62">
        <w:rPr>
          <w:rFonts w:asciiTheme="minorHAnsi" w:hAnsiTheme="minorHAnsi" w:cstheme="minorHAnsi"/>
          <w:sz w:val="21"/>
          <w:szCs w:val="21"/>
        </w:rPr>
        <w:t>centrová</w:t>
      </w:r>
      <w:proofErr w:type="spellEnd"/>
      <w:r w:rsidR="00D353FB" w:rsidRPr="00B82E62">
        <w:rPr>
          <w:rFonts w:asciiTheme="minorHAnsi" w:hAnsiTheme="minorHAnsi" w:cstheme="minorHAnsi"/>
          <w:sz w:val="21"/>
          <w:szCs w:val="21"/>
        </w:rPr>
        <w:t xml:space="preserve"> péče) a nákladů na</w:t>
      </w:r>
      <w:r w:rsidR="00DD4E26">
        <w:rPr>
          <w:rFonts w:asciiTheme="minorHAnsi" w:hAnsiTheme="minorHAnsi" w:cstheme="minorHAnsi"/>
          <w:sz w:val="21"/>
          <w:szCs w:val="21"/>
        </w:rPr>
        <w:t> </w:t>
      </w:r>
      <w:r w:rsidR="00D353FB" w:rsidRPr="00B82E62">
        <w:rPr>
          <w:rFonts w:asciiTheme="minorHAnsi" w:hAnsiTheme="minorHAnsi" w:cstheme="minorHAnsi"/>
          <w:sz w:val="21"/>
          <w:szCs w:val="21"/>
        </w:rPr>
        <w:t>rehabilitační a diagnostickou péči</w:t>
      </w:r>
      <w:r w:rsidR="00782288" w:rsidRPr="00B82E62">
        <w:rPr>
          <w:rFonts w:asciiTheme="minorHAnsi" w:hAnsiTheme="minorHAnsi" w:cstheme="minorHAnsi"/>
          <w:sz w:val="21"/>
          <w:szCs w:val="21"/>
        </w:rPr>
        <w:t xml:space="preserve"> a také postupné</w:t>
      </w:r>
      <w:r w:rsidR="00D353FB" w:rsidRPr="00B82E62">
        <w:rPr>
          <w:rFonts w:asciiTheme="minorHAnsi" w:hAnsiTheme="minorHAnsi" w:cstheme="minorHAnsi"/>
          <w:sz w:val="21"/>
          <w:szCs w:val="21"/>
        </w:rPr>
        <w:t xml:space="preserve"> stárnutí populace. </w:t>
      </w:r>
    </w:p>
    <w:p w:rsidR="00853129" w:rsidRDefault="00853129">
      <w:pPr>
        <w:spacing w:after="200" w:line="276" w:lineRule="auto"/>
        <w:rPr>
          <w:rFonts w:cstheme="minorHAnsi"/>
          <w:szCs w:val="21"/>
          <w:lang w:eastAsia="cs-CZ"/>
        </w:rPr>
      </w:pPr>
      <w:r>
        <w:rPr>
          <w:rFonts w:cstheme="minorHAnsi"/>
          <w:szCs w:val="21"/>
        </w:rPr>
        <w:br w:type="page"/>
      </w:r>
    </w:p>
    <w:p w:rsidR="00736238" w:rsidRPr="00DA6B5E" w:rsidRDefault="00736238" w:rsidP="00736238">
      <w:pPr>
        <w:pStyle w:val="Nadpis1"/>
      </w:pPr>
      <w:bookmarkStart w:id="52" w:name="_Toc41898962"/>
      <w:r w:rsidRPr="00DA6B5E">
        <w:lastRenderedPageBreak/>
        <w:t>Legislativní rámec</w:t>
      </w:r>
      <w:bookmarkEnd w:id="52"/>
    </w:p>
    <w:p w:rsidR="00736238" w:rsidRDefault="00736238" w:rsidP="00736238">
      <w:pPr>
        <w:jc w:val="both"/>
      </w:pPr>
      <w:r>
        <w:t>Současná legislativní úprava upravuje problematiku obdobně v případě Všeobecné zdravotní pojišťovny ČR a</w:t>
      </w:r>
      <w:r w:rsidR="003D5AD1">
        <w:t> </w:t>
      </w:r>
      <w:r>
        <w:t>zaměstnaneckých zdravotních pojišťoven. Následující subkapitoly obsahují příslušná ustanovení, která slouží k hlubšímu zasazení předkládané dokumentu do kontextu.</w:t>
      </w:r>
    </w:p>
    <w:p w:rsidR="00736238" w:rsidRPr="00AC25F3" w:rsidRDefault="00736238" w:rsidP="00AC25F3">
      <w:pPr>
        <w:pStyle w:val="Nadpis2"/>
      </w:pPr>
      <w:bookmarkStart w:id="53" w:name="_Toc41898963"/>
      <w:r w:rsidRPr="00AC25F3">
        <w:t>Všeobecná zdravotní pojišťovna ČR</w:t>
      </w:r>
      <w:bookmarkEnd w:id="53"/>
    </w:p>
    <w:p w:rsidR="00736238" w:rsidRPr="00040258" w:rsidRDefault="00736238" w:rsidP="00736238">
      <w:r w:rsidRPr="00040258">
        <w:t>Konkrétní zákonná úprava je k </w:t>
      </w:r>
      <w:r w:rsidR="00064AFB">
        <w:t>30</w:t>
      </w:r>
      <w:r w:rsidRPr="00040258">
        <w:t xml:space="preserve">. </w:t>
      </w:r>
      <w:r w:rsidR="00064AFB">
        <w:t>4</w:t>
      </w:r>
      <w:r w:rsidRPr="00040258">
        <w:t>. 20</w:t>
      </w:r>
      <w:r w:rsidR="00064AFB">
        <w:t>20</w:t>
      </w:r>
      <w:r w:rsidRPr="00040258">
        <w:t xml:space="preserve"> v případě VZP ČR uvedena v § 6 zákona č. 551/1991 Sb., o Všeobecné zdravotní pojišťovně České republiky ve znění pozdějších předpisů tato:</w:t>
      </w:r>
    </w:p>
    <w:p w:rsidR="00736238" w:rsidRPr="00040258" w:rsidRDefault="00736238" w:rsidP="004D6049">
      <w:pPr>
        <w:spacing w:after="0" w:line="23" w:lineRule="atLeast"/>
        <w:jc w:val="both"/>
        <w:rPr>
          <w:i/>
        </w:rPr>
      </w:pPr>
      <w:r w:rsidRPr="00040258">
        <w:tab/>
      </w:r>
      <w:r w:rsidRPr="00040258">
        <w:rPr>
          <w:i/>
        </w:rPr>
        <w:t>(1) Pojišťovna každý kalendářní rok sestavuje zdravotně pojistný plán na následující kalendářní rok (dále jen "zdravotně pojistný plán") a výhled nejméně na dva další kalendářní roky následující po roce, na který je sestaven zdravotně pojistný plán (dále jen "výhled"). Při sestavování zdravotně pojistného plánu se vychází z</w:t>
      </w:r>
      <w:r w:rsidR="00B74879">
        <w:rPr>
          <w:i/>
        </w:rPr>
        <w:t> </w:t>
      </w:r>
      <w:r w:rsidRPr="00040258">
        <w:rPr>
          <w:i/>
        </w:rPr>
        <w:t>výhledu.</w:t>
      </w:r>
    </w:p>
    <w:p w:rsidR="00736238" w:rsidRPr="00040258" w:rsidRDefault="00736238" w:rsidP="004D6049">
      <w:pPr>
        <w:spacing w:after="0" w:line="23" w:lineRule="atLeast"/>
        <w:jc w:val="both"/>
        <w:rPr>
          <w:i/>
        </w:rPr>
      </w:pPr>
      <w:r w:rsidRPr="00040258">
        <w:rPr>
          <w:i/>
        </w:rPr>
        <w:tab/>
        <w:t>(2) Zdravotně pojistný plán je zpravidla sestavován jako vyrovnaný, přičemž vyrovnaným zdravotně pojistným plánem se pro účely tohoto zákona rozumí takový plán, ve kterém plánované výdaje nepřekračují součet plánovaných příjmů.</w:t>
      </w:r>
    </w:p>
    <w:p w:rsidR="00736238" w:rsidRPr="00040258" w:rsidRDefault="00736238" w:rsidP="004D6049">
      <w:pPr>
        <w:spacing w:after="0" w:line="23" w:lineRule="atLeast"/>
        <w:jc w:val="both"/>
        <w:rPr>
          <w:i/>
        </w:rPr>
      </w:pPr>
      <w:r w:rsidRPr="00040258">
        <w:rPr>
          <w:i/>
        </w:rPr>
        <w:tab/>
        <w:t>(3) Zdravotně pojistný plán může být sestaven jako</w:t>
      </w:r>
    </w:p>
    <w:p w:rsidR="00736238" w:rsidRPr="00040258" w:rsidRDefault="00736238" w:rsidP="004D6049">
      <w:pPr>
        <w:spacing w:after="0" w:line="23" w:lineRule="atLeast"/>
        <w:jc w:val="both"/>
        <w:rPr>
          <w:i/>
        </w:rPr>
      </w:pPr>
      <w:r w:rsidRPr="00040258">
        <w:rPr>
          <w:i/>
        </w:rPr>
        <w:t>a) přebytkový, jestliže je část příjmů daného roku určena k využití až v následujících letech; tyto příjmy musí být v</w:t>
      </w:r>
      <w:r w:rsidR="00B74879">
        <w:rPr>
          <w:i/>
        </w:rPr>
        <w:t> </w:t>
      </w:r>
      <w:r w:rsidRPr="00040258">
        <w:rPr>
          <w:i/>
        </w:rPr>
        <w:t>takovém zdravotně pojistném plánu vymezeny, nebo</w:t>
      </w:r>
    </w:p>
    <w:p w:rsidR="00736238" w:rsidRPr="00040258" w:rsidRDefault="00736238" w:rsidP="004D6049">
      <w:pPr>
        <w:spacing w:after="0" w:line="23" w:lineRule="atLeast"/>
        <w:jc w:val="both"/>
        <w:rPr>
          <w:i/>
        </w:rPr>
      </w:pPr>
      <w:r w:rsidRPr="00040258">
        <w:rPr>
          <w:i/>
        </w:rPr>
        <w:t>b) schodkový, jestliže je schodek možné uhradit finančními zůstatky na fondech z minulých let při zachování zůstatku rezervního fondu nejméně ve výši podle § 7 odst. 1 písm. b); způsob úhrady schodku musí být v takovém zdravotně pojistném plánu vymezen.</w:t>
      </w:r>
    </w:p>
    <w:p w:rsidR="00736238" w:rsidRPr="00040258" w:rsidRDefault="00736238" w:rsidP="004D6049">
      <w:pPr>
        <w:spacing w:after="0" w:line="23" w:lineRule="atLeast"/>
        <w:jc w:val="both"/>
        <w:rPr>
          <w:i/>
        </w:rPr>
      </w:pPr>
      <w:r w:rsidRPr="00040258">
        <w:rPr>
          <w:i/>
        </w:rPr>
        <w:tab/>
        <w:t>(4) Pojišťovna hospodaří v souladu se schváleným zdravotně pojistným plánem nebo provizoriem.</w:t>
      </w:r>
    </w:p>
    <w:p w:rsidR="00736238" w:rsidRPr="00040258" w:rsidRDefault="00736238" w:rsidP="004D6049">
      <w:pPr>
        <w:spacing w:after="0" w:line="23" w:lineRule="atLeast"/>
        <w:jc w:val="both"/>
        <w:rPr>
          <w:i/>
        </w:rPr>
      </w:pPr>
      <w:r w:rsidRPr="00040258">
        <w:rPr>
          <w:i/>
        </w:rPr>
        <w:tab/>
        <w:t>(5) Pojišťovna je povinna zajistit prostřednictvím auditora nebo právnické osoby, která je zapsána v</w:t>
      </w:r>
      <w:r w:rsidR="00B74879">
        <w:rPr>
          <w:i/>
        </w:rPr>
        <w:t> </w:t>
      </w:r>
      <w:r w:rsidRPr="00040258">
        <w:rPr>
          <w:i/>
        </w:rPr>
        <w:t>seznamu auditorů, (dále jen "auditor")</w:t>
      </w:r>
    </w:p>
    <w:p w:rsidR="00736238" w:rsidRPr="00040258" w:rsidRDefault="00736238" w:rsidP="004D6049">
      <w:pPr>
        <w:spacing w:after="0" w:line="23" w:lineRule="atLeast"/>
        <w:jc w:val="both"/>
        <w:rPr>
          <w:i/>
        </w:rPr>
      </w:pPr>
      <w:r w:rsidRPr="00040258">
        <w:rPr>
          <w:i/>
        </w:rPr>
        <w:t>a) ověření účetní závěrky Pojišťovny,</w:t>
      </w:r>
    </w:p>
    <w:p w:rsidR="00736238" w:rsidRPr="00040258" w:rsidRDefault="00736238" w:rsidP="004D6049">
      <w:pPr>
        <w:spacing w:after="0" w:line="23" w:lineRule="atLeast"/>
        <w:jc w:val="both"/>
        <w:rPr>
          <w:i/>
        </w:rPr>
      </w:pPr>
      <w:r w:rsidRPr="00040258">
        <w:rPr>
          <w:i/>
        </w:rPr>
        <w:t>b) ověření návrhu výroční zprávy Pojišťovny za příslušný rok.</w:t>
      </w:r>
    </w:p>
    <w:p w:rsidR="00736238" w:rsidRPr="00AD2E56" w:rsidRDefault="00736238" w:rsidP="004D6049">
      <w:pPr>
        <w:spacing w:after="0" w:line="23" w:lineRule="atLeast"/>
        <w:jc w:val="both"/>
        <w:rPr>
          <w:b/>
          <w:bCs/>
          <w:i/>
        </w:rPr>
      </w:pPr>
      <w:r w:rsidRPr="00040258">
        <w:rPr>
          <w:i/>
        </w:rPr>
        <w:tab/>
      </w:r>
      <w:r w:rsidRPr="00AD2E56">
        <w:rPr>
          <w:b/>
          <w:bCs/>
          <w:i/>
        </w:rPr>
        <w:t>(6) Pojišťovna je povinna v návaznosti na termíny stanovené jiným zákonem pro předkládání návrhu státního rozpočtu a státního závěrečného účtu předložit Ministerstvu zdravotnictví a Ministerstvu financí návrh zdravotně pojistného plánu na následující kalendářní rok, účetní závěrku, návrh výroční zprávy za minulý kalendářní rok včetně zprávy auditora a pro informaci také výhled.</w:t>
      </w:r>
    </w:p>
    <w:p w:rsidR="00736238" w:rsidRPr="00040258" w:rsidRDefault="00736238" w:rsidP="004D6049">
      <w:pPr>
        <w:spacing w:after="0" w:line="23" w:lineRule="atLeast"/>
        <w:jc w:val="both"/>
        <w:rPr>
          <w:i/>
        </w:rPr>
      </w:pPr>
      <w:r w:rsidRPr="00040258">
        <w:rPr>
          <w:i/>
        </w:rPr>
        <w:tab/>
        <w:t>(7) Zdravotně pojistný plán a výhled obsahují údaje o Pojišťovně, plán příjmů a výdajů Pojišťovny včetně členění podle jednotlivých fondů, předpokládaný vývoj struktury pojištěnců, údaje o rozsahu hrazených služeb zajišťovaných Pojišťovnou, plán vývoje sítě smluvních poskytovatelů hrazených služeb včetně informace o zajištění dostupnosti hrazených služeb a plán provozních nákladů. Podrobnou strukturu obsahu informací podle věty první a způsob předkládání zdravotně pojistného plánu a výhledu stanoví Ministerstvo zdravotnictví společně s</w:t>
      </w:r>
      <w:r w:rsidR="00B74879">
        <w:rPr>
          <w:i/>
        </w:rPr>
        <w:t> </w:t>
      </w:r>
      <w:r w:rsidRPr="00040258">
        <w:rPr>
          <w:i/>
        </w:rPr>
        <w:t>Ministerstvem financí vyhláškou.</w:t>
      </w:r>
    </w:p>
    <w:p w:rsidR="00736238" w:rsidRPr="00040258" w:rsidRDefault="00736238" w:rsidP="004D6049">
      <w:pPr>
        <w:spacing w:after="0" w:line="23" w:lineRule="atLeast"/>
        <w:jc w:val="both"/>
        <w:rPr>
          <w:i/>
        </w:rPr>
      </w:pPr>
      <w:r w:rsidRPr="00040258">
        <w:rPr>
          <w:i/>
        </w:rPr>
        <w:tab/>
        <w:t>(8) Ministerstvo zdravotnictví a Ministerstvo financí posoudí předložený návrh zdravotně pojistného plánu z hlediska souladu s právními předpisy a z hlediska souladu s veřejným zájmem podle zákona o veřejném zdravotním pojištění.</w:t>
      </w:r>
    </w:p>
    <w:p w:rsidR="00736238" w:rsidRPr="00040258" w:rsidRDefault="00736238" w:rsidP="004D6049">
      <w:pPr>
        <w:spacing w:after="0" w:line="23" w:lineRule="atLeast"/>
        <w:jc w:val="both"/>
        <w:rPr>
          <w:i/>
        </w:rPr>
      </w:pPr>
      <w:r w:rsidRPr="00040258">
        <w:rPr>
          <w:i/>
        </w:rPr>
        <w:tab/>
        <w:t>(9) V případě, kdy Ministerstvo zdravotnictví a Ministerstvo financí po posouzení souladu návrhu zdravotně pojistného plánu s právními předpisy a veřejným zájmem podle zákona o veřejném zdravotním pojištění zjistí, že</w:t>
      </w:r>
      <w:r w:rsidR="00B74879">
        <w:rPr>
          <w:i/>
        </w:rPr>
        <w:t> </w:t>
      </w:r>
      <w:r w:rsidRPr="00040258">
        <w:rPr>
          <w:i/>
        </w:rPr>
        <w:t>návrh zdravotně pojistného plánu není s těmito hledisky v rozporu, předloží návrh zdravotně pojistného plánu vládě.</w:t>
      </w:r>
    </w:p>
    <w:p w:rsidR="00736238" w:rsidRPr="00040258" w:rsidRDefault="00736238" w:rsidP="004D6049">
      <w:pPr>
        <w:spacing w:after="0" w:line="23" w:lineRule="atLeast"/>
        <w:jc w:val="both"/>
        <w:rPr>
          <w:i/>
        </w:rPr>
      </w:pPr>
      <w:r w:rsidRPr="00040258">
        <w:rPr>
          <w:i/>
        </w:rPr>
        <w:tab/>
        <w:t>(10) V případě, kdy Ministerstvo zdravotnictví a Ministerstvo financí zjistí, že návrh zdravotně pojistného plánu odporuje právním předpisům anebo veřejnému zájmu podle zákona o veřejném zdravotním pojištění, vrátí Pojišťovně návrh zdravotně pojistného plánu s výzvou k přepracování. Pojišťovna předloží přepracovaný návrh zdravotně pojistného plánu do 30 dnů ode dne doručení výzvy.</w:t>
      </w:r>
    </w:p>
    <w:p w:rsidR="00736238" w:rsidRPr="00AD2E56" w:rsidRDefault="00736238" w:rsidP="004D6049">
      <w:pPr>
        <w:spacing w:after="0" w:line="23" w:lineRule="atLeast"/>
        <w:jc w:val="both"/>
        <w:rPr>
          <w:b/>
          <w:bCs/>
          <w:i/>
        </w:rPr>
      </w:pPr>
      <w:r w:rsidRPr="00040258">
        <w:rPr>
          <w:i/>
        </w:rPr>
        <w:lastRenderedPageBreak/>
        <w:tab/>
      </w:r>
      <w:r w:rsidRPr="00AD2E56">
        <w:rPr>
          <w:b/>
          <w:bCs/>
          <w:i/>
        </w:rPr>
        <w:t>(11) Návrh zdravotně pojistného plánu, účetní závěrku a návrh výroční zprávy za minulý rok schvaluje na návrh vlády Poslanecká sněmovna Parlamentu v návaznosti na termíny projednávání návrhu státního rozpočtu a státního závěrečného účtu.</w:t>
      </w:r>
    </w:p>
    <w:p w:rsidR="00736238" w:rsidRPr="00040258" w:rsidRDefault="00736238" w:rsidP="004D6049">
      <w:pPr>
        <w:spacing w:after="0" w:line="23" w:lineRule="atLeast"/>
        <w:jc w:val="both"/>
        <w:rPr>
          <w:i/>
        </w:rPr>
      </w:pPr>
      <w:r w:rsidRPr="00040258">
        <w:rPr>
          <w:i/>
        </w:rPr>
        <w:tab/>
        <w:t>(12) Nebude-li zdravotně pojistný plán Pojišťovny schválen před 1. lednem příslušného kalendářního roku, řídí se činnost Pojišťovny do schválení zdravotně pojistného plánu provizoriem stanoveným Ministerstvem zdravotnictví v dohodě s Ministerstvem financí. Základem pro stanovení provizoria je návrh zdravotně pojistného plánu na příslušný kalendářní rok.</w:t>
      </w:r>
    </w:p>
    <w:p w:rsidR="00736238" w:rsidRPr="00AD2E56" w:rsidRDefault="00736238" w:rsidP="004D6049">
      <w:pPr>
        <w:spacing w:after="0" w:line="23" w:lineRule="atLeast"/>
        <w:jc w:val="both"/>
        <w:rPr>
          <w:b/>
          <w:bCs/>
          <w:i/>
        </w:rPr>
      </w:pPr>
      <w:r w:rsidRPr="00040258">
        <w:rPr>
          <w:i/>
        </w:rPr>
        <w:tab/>
      </w:r>
      <w:r w:rsidRPr="00AD2E56">
        <w:rPr>
          <w:b/>
          <w:bCs/>
          <w:i/>
        </w:rPr>
        <w:t>(13) Schválený zdravotně pojistný plán, nebo do schválení zdravotně pojistného plánu provizorium, výroční zprávu a účetní závěrku Pojišťovna zveřejní na svých internetových stránkách.</w:t>
      </w:r>
    </w:p>
    <w:p w:rsidR="00736238" w:rsidRPr="00040258" w:rsidRDefault="004D6049" w:rsidP="004D6049">
      <w:pPr>
        <w:spacing w:after="0" w:line="23" w:lineRule="atLeast"/>
        <w:jc w:val="both"/>
        <w:rPr>
          <w:i/>
        </w:rPr>
      </w:pPr>
      <w:r w:rsidRPr="00040258">
        <w:rPr>
          <w:i/>
        </w:rPr>
        <w:tab/>
        <w:t>(1</w:t>
      </w:r>
      <w:r>
        <w:rPr>
          <w:i/>
        </w:rPr>
        <w:t>4</w:t>
      </w:r>
      <w:r w:rsidR="00736238" w:rsidRPr="00040258">
        <w:rPr>
          <w:i/>
        </w:rPr>
        <w:t>) Při uplatnění opatření podle zákona o pravidlech rozpočtové odpovědnosti může být zdravotně pojistný plán navržen podle odstavce 3 písm. b) jen v případě, že schodek bude možné uhradit nejvýše jednou třetinou finančních zůstatků Pojišťovny z minulých let nebo návratnou finanční výpomocí.</w:t>
      </w:r>
    </w:p>
    <w:p w:rsidR="00736238" w:rsidRPr="006A5473" w:rsidRDefault="00736238" w:rsidP="00AC25F3">
      <w:pPr>
        <w:pStyle w:val="Nadpis2"/>
      </w:pPr>
      <w:bookmarkStart w:id="54" w:name="_Toc41898964"/>
      <w:r w:rsidRPr="006A5473">
        <w:t>Zaměstnanecké zdravotní pojišťovny</w:t>
      </w:r>
      <w:bookmarkEnd w:id="54"/>
    </w:p>
    <w:p w:rsidR="00736238" w:rsidRPr="00040258" w:rsidRDefault="00736238" w:rsidP="00736238">
      <w:pPr>
        <w:jc w:val="both"/>
      </w:pPr>
      <w:r w:rsidRPr="00040258">
        <w:t>Konkrétní zákonná úprava je k </w:t>
      </w:r>
      <w:r w:rsidR="00064AFB">
        <w:t>30</w:t>
      </w:r>
      <w:r w:rsidRPr="00040258">
        <w:t xml:space="preserve">. </w:t>
      </w:r>
      <w:r w:rsidR="00064AFB">
        <w:t>4</w:t>
      </w:r>
      <w:r w:rsidRPr="00040258">
        <w:t>. 20</w:t>
      </w:r>
      <w:r w:rsidR="00064AFB">
        <w:t>20</w:t>
      </w:r>
      <w:r w:rsidRPr="00040258">
        <w:t xml:space="preserve"> v případě ZZP uvedena v § 15 zákona č. 280/1992 Sb., o resortních, oborových, podnikových a dalších zdravotních pojišťovnách ve znění pozdějších předpisů tato:</w:t>
      </w:r>
    </w:p>
    <w:p w:rsidR="00736238" w:rsidRPr="00040258" w:rsidRDefault="00736238" w:rsidP="00887B9E">
      <w:pPr>
        <w:spacing w:after="0"/>
        <w:jc w:val="both"/>
        <w:rPr>
          <w:i/>
        </w:rPr>
      </w:pPr>
      <w:r w:rsidRPr="00040258">
        <w:tab/>
      </w:r>
      <w:r w:rsidRPr="00040258">
        <w:rPr>
          <w:i/>
        </w:rPr>
        <w:t>(1) Zaměstnanecká pojišťovna každý kalendářní rok sestavuje zdravotně pojistný plán a výhled. Při</w:t>
      </w:r>
      <w:r w:rsidR="00B74879">
        <w:rPr>
          <w:i/>
        </w:rPr>
        <w:t> </w:t>
      </w:r>
      <w:r w:rsidRPr="00040258">
        <w:rPr>
          <w:i/>
        </w:rPr>
        <w:t xml:space="preserve">sestavování zdravotně pojistného plánu se vychází z výhledu. </w:t>
      </w:r>
    </w:p>
    <w:p w:rsidR="00736238" w:rsidRPr="00040258" w:rsidRDefault="00736238" w:rsidP="00887B9E">
      <w:pPr>
        <w:spacing w:after="0"/>
        <w:jc w:val="both"/>
        <w:rPr>
          <w:i/>
        </w:rPr>
      </w:pPr>
      <w:r w:rsidRPr="00040258">
        <w:rPr>
          <w:i/>
        </w:rPr>
        <w:tab/>
        <w:t xml:space="preserve">(2) Zdravotně pojistný plán je zpravidla sestavován jako vyrovnaný, přičemž vyrovnaným zdravotně pojistným plánem se pro účely tohoto zákona rozumí takový plán, ve kterém plánované výdaje nepřekračují součet plánovaných příjmů. </w:t>
      </w:r>
    </w:p>
    <w:p w:rsidR="00736238" w:rsidRPr="00040258" w:rsidRDefault="00736238" w:rsidP="00887B9E">
      <w:pPr>
        <w:spacing w:after="0"/>
        <w:jc w:val="both"/>
        <w:rPr>
          <w:i/>
        </w:rPr>
      </w:pPr>
      <w:r w:rsidRPr="00040258">
        <w:rPr>
          <w:i/>
        </w:rPr>
        <w:tab/>
        <w:t xml:space="preserve">(3) Zdravotně pojistný plán může být sestaven jako </w:t>
      </w:r>
    </w:p>
    <w:p w:rsidR="00736238" w:rsidRPr="00040258" w:rsidRDefault="00736238" w:rsidP="00887B9E">
      <w:pPr>
        <w:spacing w:after="0"/>
        <w:jc w:val="both"/>
        <w:rPr>
          <w:i/>
        </w:rPr>
      </w:pPr>
      <w:r w:rsidRPr="00040258">
        <w:rPr>
          <w:i/>
        </w:rPr>
        <w:t>a) přebytkový, jestliže je část příjmů daného roku určena k využití až v následujících letech; tyto příjmy musí být v</w:t>
      </w:r>
      <w:r w:rsidR="00B74879">
        <w:rPr>
          <w:i/>
        </w:rPr>
        <w:t> </w:t>
      </w:r>
      <w:r w:rsidRPr="00040258">
        <w:rPr>
          <w:i/>
        </w:rPr>
        <w:t xml:space="preserve">takovém zdravotně pojistném plánu vymezeny, nebo </w:t>
      </w:r>
    </w:p>
    <w:p w:rsidR="00736238" w:rsidRPr="00040258" w:rsidRDefault="00736238" w:rsidP="00887B9E">
      <w:pPr>
        <w:spacing w:after="0"/>
        <w:jc w:val="both"/>
        <w:rPr>
          <w:i/>
        </w:rPr>
      </w:pPr>
      <w:r w:rsidRPr="00040258">
        <w:rPr>
          <w:i/>
        </w:rPr>
        <w:t xml:space="preserve"> b) schodkový, jestliže je schodek možné uhradit finančními zůstatky na fondech z minulých let při zachování zůstatku rezervního fondu nejméně ve výši podle </w:t>
      </w:r>
      <w:r w:rsidR="00887B9E" w:rsidRPr="00040258">
        <w:rPr>
          <w:i/>
        </w:rPr>
        <w:t>§ 18 odst. 1</w:t>
      </w:r>
      <w:r w:rsidRPr="00040258">
        <w:rPr>
          <w:i/>
        </w:rPr>
        <w:t xml:space="preserve">; způsob úhrady musí být v takovém zdravotně pojistném plánu vymezen. </w:t>
      </w:r>
    </w:p>
    <w:p w:rsidR="00736238" w:rsidRPr="00040258" w:rsidRDefault="00736238" w:rsidP="00887B9E">
      <w:pPr>
        <w:spacing w:after="0"/>
        <w:jc w:val="both"/>
        <w:rPr>
          <w:i/>
        </w:rPr>
      </w:pPr>
      <w:r w:rsidRPr="00040258">
        <w:rPr>
          <w:i/>
        </w:rPr>
        <w:tab/>
        <w:t>(4) Zaměstnanecká pojišťovna hospodaří v souladu se schváleným zdravotně pojistným plánem nebo</w:t>
      </w:r>
      <w:r w:rsidR="00B74879">
        <w:rPr>
          <w:i/>
        </w:rPr>
        <w:t> </w:t>
      </w:r>
      <w:r w:rsidRPr="00040258">
        <w:rPr>
          <w:i/>
        </w:rPr>
        <w:t xml:space="preserve">provizoriem. </w:t>
      </w:r>
    </w:p>
    <w:p w:rsidR="00736238" w:rsidRPr="00040258" w:rsidRDefault="00736238" w:rsidP="00887B9E">
      <w:pPr>
        <w:spacing w:after="0"/>
        <w:jc w:val="both"/>
        <w:rPr>
          <w:i/>
        </w:rPr>
      </w:pPr>
      <w:r w:rsidRPr="00040258">
        <w:rPr>
          <w:i/>
        </w:rPr>
        <w:tab/>
        <w:t>(5) Zaměstnanecká pojišťovna je povinna zajistit prostřednictvím auditora</w:t>
      </w:r>
      <w:r w:rsidRPr="00040258">
        <w:rPr>
          <w:i/>
          <w:vertAlign w:val="superscript"/>
        </w:rPr>
        <w:t>26)</w:t>
      </w:r>
      <w:r w:rsidRPr="00040258">
        <w:rPr>
          <w:i/>
        </w:rPr>
        <w:t xml:space="preserve"> nebo právnické osoby, která</w:t>
      </w:r>
      <w:r w:rsidR="00B74879">
        <w:rPr>
          <w:i/>
        </w:rPr>
        <w:t> </w:t>
      </w:r>
      <w:r w:rsidRPr="00040258">
        <w:rPr>
          <w:i/>
        </w:rPr>
        <w:t xml:space="preserve">je zapsána v seznamu auditorů, (dále jen "auditor") </w:t>
      </w:r>
    </w:p>
    <w:p w:rsidR="00736238" w:rsidRPr="00040258" w:rsidRDefault="00736238" w:rsidP="00887B9E">
      <w:pPr>
        <w:spacing w:after="0"/>
        <w:jc w:val="both"/>
        <w:rPr>
          <w:i/>
        </w:rPr>
      </w:pPr>
      <w:r w:rsidRPr="00040258">
        <w:rPr>
          <w:i/>
        </w:rPr>
        <w:t xml:space="preserve"> a) ověření účetní závěrky zaměstnanecké pojišťovny, </w:t>
      </w:r>
    </w:p>
    <w:p w:rsidR="00736238" w:rsidRPr="00040258" w:rsidRDefault="00736238" w:rsidP="00887B9E">
      <w:pPr>
        <w:spacing w:after="0"/>
        <w:jc w:val="both"/>
        <w:rPr>
          <w:i/>
        </w:rPr>
      </w:pPr>
      <w:r w:rsidRPr="00040258">
        <w:rPr>
          <w:i/>
        </w:rPr>
        <w:t xml:space="preserve">b) ověření návrhu výroční zprávy zaměstnanecké pojišťovny za příslušný rok. </w:t>
      </w:r>
    </w:p>
    <w:p w:rsidR="00736238" w:rsidRPr="00AD2E56" w:rsidRDefault="00736238" w:rsidP="00887B9E">
      <w:pPr>
        <w:spacing w:after="0"/>
        <w:jc w:val="both"/>
        <w:rPr>
          <w:b/>
          <w:bCs/>
          <w:i/>
        </w:rPr>
      </w:pPr>
      <w:r w:rsidRPr="00040258">
        <w:rPr>
          <w:i/>
        </w:rPr>
        <w:tab/>
      </w:r>
      <w:r w:rsidRPr="00AD2E56">
        <w:rPr>
          <w:b/>
          <w:bCs/>
          <w:i/>
        </w:rPr>
        <w:t>(6) Zaměstnanecká pojišťovna je povinna v návaznosti na termíny stanovené jiným zákonem pro</w:t>
      </w:r>
      <w:r w:rsidR="00B74879">
        <w:rPr>
          <w:b/>
          <w:bCs/>
          <w:i/>
        </w:rPr>
        <w:t> </w:t>
      </w:r>
      <w:r w:rsidRPr="00AD2E56">
        <w:rPr>
          <w:b/>
          <w:bCs/>
          <w:i/>
        </w:rPr>
        <w:t>předkládání návrhu státního rozpočtu a státního závěrečného účtu předložit Ministerstvu zdravotnictví a</w:t>
      </w:r>
      <w:r w:rsidR="00B74879">
        <w:rPr>
          <w:b/>
          <w:bCs/>
          <w:i/>
        </w:rPr>
        <w:t> </w:t>
      </w:r>
      <w:r w:rsidRPr="00AD2E56">
        <w:rPr>
          <w:b/>
          <w:bCs/>
          <w:i/>
        </w:rPr>
        <w:t xml:space="preserve">Ministerstvu financí návrh zdravotně pojistného plánu na následující kalendářní rok, účetní závěrku, návrh výroční zprávy za minulý kalendářní rok včetně zprávy auditora a pro informaci také výhled. </w:t>
      </w:r>
    </w:p>
    <w:p w:rsidR="00736238" w:rsidRPr="00040258" w:rsidRDefault="00736238" w:rsidP="00887B9E">
      <w:pPr>
        <w:spacing w:after="0"/>
        <w:jc w:val="both"/>
        <w:rPr>
          <w:i/>
        </w:rPr>
      </w:pPr>
      <w:r w:rsidRPr="00040258">
        <w:rPr>
          <w:i/>
        </w:rPr>
        <w:tab/>
        <w:t xml:space="preserve">(7) Zdravotně pojistný plán a výhled obsahují údaje o zaměstnanecké pojišťovně, plán příjmů a výdajů zaměstnanecké pojišťovny včetně členění podle jednotlivých fondů, předpokládaný vývoj struktury pojištěnců, údaje o rozsahu hrazených služeb zajišťovaných zaměstnaneckou pojišťovnou, plán vývoje sítě smluvních poskytovatelů hrazených služeb včetně informace o zajištění dostupnosti hrazených služeb a plán provozních nákladů. Podrobnou strukturu obsahu informací podle věty první a způsob předkládání zdravotně pojistného plánu a výhledu stanoví Ministerstvo zdravotnictví společně s Ministerstvem financí vyhláškou. </w:t>
      </w:r>
    </w:p>
    <w:p w:rsidR="00736238" w:rsidRPr="00040258" w:rsidRDefault="00736238" w:rsidP="00887B9E">
      <w:pPr>
        <w:spacing w:after="0"/>
        <w:jc w:val="both"/>
        <w:rPr>
          <w:i/>
        </w:rPr>
      </w:pPr>
      <w:r w:rsidRPr="00040258">
        <w:rPr>
          <w:i/>
        </w:rPr>
        <w:tab/>
        <w:t xml:space="preserve">(8) Ministerstvo zdravotnictví a Ministerstvo financí posoudí předložený návrh zdravotně pojistného plánu z hlediska souladu s právními předpisy a z hlediska souladu s veřejným zájmem podle </w:t>
      </w:r>
      <w:r w:rsidR="00887B9E" w:rsidRPr="00040258">
        <w:rPr>
          <w:i/>
        </w:rPr>
        <w:t>zákona o veřejném zdravotním pojištění</w:t>
      </w:r>
      <w:r w:rsidRPr="00040258">
        <w:rPr>
          <w:i/>
        </w:rPr>
        <w:t xml:space="preserve">. </w:t>
      </w:r>
    </w:p>
    <w:p w:rsidR="00736238" w:rsidRPr="00040258" w:rsidRDefault="00736238" w:rsidP="00887B9E">
      <w:pPr>
        <w:spacing w:after="0"/>
        <w:jc w:val="both"/>
        <w:rPr>
          <w:i/>
        </w:rPr>
      </w:pPr>
      <w:r w:rsidRPr="00040258">
        <w:rPr>
          <w:i/>
        </w:rPr>
        <w:lastRenderedPageBreak/>
        <w:tab/>
        <w:t xml:space="preserve">(9) V případě, kdy Ministerstvo zdravotnictví a Ministerstvo financí po posouzení souladu návrhu zdravotně pojistného plánu s právními předpisy a veřejným zájmem podle </w:t>
      </w:r>
      <w:r w:rsidR="00887B9E" w:rsidRPr="00040258">
        <w:rPr>
          <w:i/>
        </w:rPr>
        <w:t>zákona o veřejném zdravotním pojištění</w:t>
      </w:r>
      <w:r w:rsidRPr="00040258">
        <w:rPr>
          <w:i/>
        </w:rPr>
        <w:t xml:space="preserve"> zjistí, že</w:t>
      </w:r>
      <w:r w:rsidR="00B74879">
        <w:rPr>
          <w:i/>
        </w:rPr>
        <w:t> </w:t>
      </w:r>
      <w:r w:rsidRPr="00040258">
        <w:rPr>
          <w:i/>
        </w:rPr>
        <w:t xml:space="preserve">návrh zdravotně pojistného plánu není s těmito hledisky v rozporu, předloží návrh zdravotně pojistného plánu vládě. </w:t>
      </w:r>
    </w:p>
    <w:p w:rsidR="00736238" w:rsidRPr="00040258" w:rsidRDefault="00736238" w:rsidP="00887B9E">
      <w:pPr>
        <w:spacing w:after="0"/>
        <w:jc w:val="both"/>
        <w:rPr>
          <w:i/>
        </w:rPr>
      </w:pPr>
      <w:r w:rsidRPr="00040258">
        <w:rPr>
          <w:i/>
        </w:rPr>
        <w:tab/>
        <w:t xml:space="preserve">(10) V případě, kdy Ministerstvo zdravotnictví a Ministerstvo financí zjistí, že návrh zdravotně pojistného plánu odporuje právním předpisům anebo veřejnému zájmu podle </w:t>
      </w:r>
      <w:r w:rsidR="00887B9E" w:rsidRPr="00040258">
        <w:rPr>
          <w:i/>
        </w:rPr>
        <w:t>zákona o veřejném zdravotním pojištění</w:t>
      </w:r>
      <w:r w:rsidRPr="00040258">
        <w:rPr>
          <w:i/>
        </w:rPr>
        <w:t xml:space="preserve">, vrátí zaměstnanecké pojišťovně návrh zdravotně pojistného plánu s výzvou k přepracování. Zaměstnanecká pojišťovna předloží přepracovaný návrh zdravotně pojistného plánu do 30 dnů ode dne doručení výzvy. </w:t>
      </w:r>
    </w:p>
    <w:p w:rsidR="00736238" w:rsidRPr="00AD2E56" w:rsidRDefault="00736238" w:rsidP="00887B9E">
      <w:pPr>
        <w:spacing w:after="0"/>
        <w:jc w:val="both"/>
        <w:rPr>
          <w:b/>
          <w:bCs/>
          <w:i/>
        </w:rPr>
      </w:pPr>
      <w:r w:rsidRPr="00040258">
        <w:rPr>
          <w:i/>
        </w:rPr>
        <w:tab/>
      </w:r>
      <w:r w:rsidRPr="00AD2E56">
        <w:rPr>
          <w:b/>
          <w:bCs/>
          <w:i/>
        </w:rPr>
        <w:t xml:space="preserve">(11) Návrh zdravotně pojistného plánu, účetní závěrku a návrh výroční zprávy za minulý rok schvaluje na návrh vlády Poslanecká sněmovna Parlamentu v návaznosti na termíny projednávání návrhu státního rozpočtu a státního závěrečného účtu. </w:t>
      </w:r>
    </w:p>
    <w:p w:rsidR="00736238" w:rsidRPr="00040258" w:rsidRDefault="00736238" w:rsidP="00887B9E">
      <w:pPr>
        <w:spacing w:after="0"/>
        <w:jc w:val="both"/>
        <w:rPr>
          <w:i/>
        </w:rPr>
      </w:pPr>
      <w:r w:rsidRPr="00040258">
        <w:rPr>
          <w:i/>
        </w:rPr>
        <w:tab/>
        <w:t xml:space="preserve">(12) Nebude-li zdravotně pojistný plán zaměstnanecké pojišťovny schválen před 1. lednem příslušného kalendářního roku, řídí se činnost zaměstnanecké pojišťovny do schválení zdravotně pojistného plánu provizoriem stanoveným Ministerstvem zdravotnictví v dohodě s Ministerstvem financí. Základem pro stanovení provizoria je návrh zdravotně pojistného plánu na příslušný kalendářní rok. </w:t>
      </w:r>
    </w:p>
    <w:p w:rsidR="00736238" w:rsidRPr="00AD2E56" w:rsidRDefault="00736238" w:rsidP="00887B9E">
      <w:pPr>
        <w:spacing w:after="0"/>
        <w:jc w:val="both"/>
        <w:rPr>
          <w:b/>
          <w:bCs/>
          <w:i/>
        </w:rPr>
      </w:pPr>
      <w:r w:rsidRPr="00040258">
        <w:rPr>
          <w:i/>
        </w:rPr>
        <w:tab/>
      </w:r>
      <w:r w:rsidRPr="00AD2E56">
        <w:rPr>
          <w:b/>
          <w:bCs/>
          <w:i/>
        </w:rPr>
        <w:t xml:space="preserve">(13) Schválený zdravotně pojistný plán, nebo do schválení zdravotně pojistného plánu provizorium, výroční zprávu a účetní závěrku zaměstnanecká pojišťovna zveřejní na svých internetových stránkách. </w:t>
      </w:r>
    </w:p>
    <w:p w:rsidR="00736238" w:rsidRPr="00040258" w:rsidRDefault="00736238" w:rsidP="00887B9E">
      <w:pPr>
        <w:spacing w:after="0"/>
        <w:jc w:val="both"/>
        <w:rPr>
          <w:i/>
        </w:rPr>
      </w:pPr>
      <w:r w:rsidRPr="00040258">
        <w:rPr>
          <w:i/>
        </w:rPr>
        <w:tab/>
        <w:t xml:space="preserve">(14) Při uplatnění opatření podle </w:t>
      </w:r>
      <w:r w:rsidR="00887B9E" w:rsidRPr="00040258">
        <w:rPr>
          <w:i/>
        </w:rPr>
        <w:t>zákona o pravidlech rozpočtové odpovědnosti</w:t>
      </w:r>
      <w:r w:rsidRPr="00040258">
        <w:rPr>
          <w:i/>
        </w:rPr>
        <w:t xml:space="preserve"> může být zdravotně pojistný plán navržen podle odstavce 3 písm. b) jen v případě, že schodek bude možné uhradit nejvýše jednou třetinou finančních zůstatků zaměstnanecké pojišťovny z minulých let nebo návratnou finanční výpomocí. </w:t>
      </w:r>
    </w:p>
    <w:p w:rsidR="00887B9E" w:rsidRDefault="00887B9E">
      <w:pPr>
        <w:spacing w:after="200" w:line="276" w:lineRule="auto"/>
        <w:rPr>
          <w:i/>
        </w:rPr>
      </w:pPr>
      <w:r>
        <w:rPr>
          <w:i/>
        </w:rPr>
        <w:br w:type="page"/>
      </w:r>
    </w:p>
    <w:p w:rsidR="00436F6E" w:rsidRPr="00AF37E6" w:rsidRDefault="00436F6E" w:rsidP="00436F6E">
      <w:pPr>
        <w:pStyle w:val="Nadpis1"/>
      </w:pPr>
      <w:bookmarkStart w:id="55" w:name="_Toc41898965"/>
      <w:r>
        <w:lastRenderedPageBreak/>
        <w:t>Seznam grafů a tabulek</w:t>
      </w:r>
      <w:r w:rsidR="00111366">
        <w:t xml:space="preserve"> v tomto dokumentu</w:t>
      </w:r>
      <w:bookmarkEnd w:id="55"/>
    </w:p>
    <w:p w:rsidR="00436F6E" w:rsidRDefault="00436F6E" w:rsidP="00AC25F3">
      <w:pPr>
        <w:pStyle w:val="Nadpis2"/>
      </w:pPr>
      <w:bookmarkStart w:id="56" w:name="_Toc41898966"/>
      <w:r>
        <w:t>Grafy</w:t>
      </w:r>
      <w:bookmarkEnd w:id="56"/>
    </w:p>
    <w:p w:rsidR="00AA1933" w:rsidRDefault="00360ED9">
      <w:pPr>
        <w:pStyle w:val="Seznamobrzk"/>
        <w:tabs>
          <w:tab w:val="right" w:leader="dot" w:pos="9628"/>
        </w:tabs>
        <w:rPr>
          <w:rFonts w:eastAsiaTheme="minorEastAsia"/>
          <w:noProof/>
          <w:sz w:val="22"/>
          <w:lang w:eastAsia="cs-CZ"/>
        </w:rPr>
      </w:pPr>
      <w:r>
        <w:fldChar w:fldCharType="begin"/>
      </w:r>
      <w:r w:rsidR="00466CEC">
        <w:instrText xml:space="preserve"> TOC \h \z \c "Graf" </w:instrText>
      </w:r>
      <w:r>
        <w:fldChar w:fldCharType="separate"/>
      </w:r>
      <w:hyperlink w:anchor="_Toc41837518" w:history="1">
        <w:r w:rsidR="00AA1933" w:rsidRPr="00FC6F3F">
          <w:rPr>
            <w:rStyle w:val="Hypertextovodkaz"/>
            <w:noProof/>
            <w:lang w:bidi="hi-IN"/>
          </w:rPr>
          <w:t>Graf č. 1: Struktura příjmů celkem za rok 2019</w:t>
        </w:r>
        <w:r w:rsidR="00AA1933">
          <w:rPr>
            <w:noProof/>
            <w:webHidden/>
          </w:rPr>
          <w:tab/>
        </w:r>
        <w:r w:rsidR="00AA1933">
          <w:rPr>
            <w:noProof/>
            <w:webHidden/>
          </w:rPr>
          <w:fldChar w:fldCharType="begin"/>
        </w:r>
        <w:r w:rsidR="00AA1933">
          <w:rPr>
            <w:noProof/>
            <w:webHidden/>
          </w:rPr>
          <w:instrText xml:space="preserve"> PAGEREF _Toc41837518 \h </w:instrText>
        </w:r>
        <w:r w:rsidR="00AA1933">
          <w:rPr>
            <w:noProof/>
            <w:webHidden/>
          </w:rPr>
        </w:r>
        <w:r w:rsidR="00AA1933">
          <w:rPr>
            <w:noProof/>
            <w:webHidden/>
          </w:rPr>
          <w:fldChar w:fldCharType="separate"/>
        </w:r>
        <w:r w:rsidR="00AA1933">
          <w:rPr>
            <w:noProof/>
            <w:webHidden/>
          </w:rPr>
          <w:t>6</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519" w:history="1">
        <w:r w:rsidR="00AA1933" w:rsidRPr="00FC6F3F">
          <w:rPr>
            <w:rStyle w:val="Hypertextovodkaz"/>
            <w:noProof/>
            <w:lang w:bidi="hi-IN"/>
          </w:rPr>
          <w:t>Graf č. 2: Porovnání celkových skutečných výdajů 2019 a ZPP 2019</w:t>
        </w:r>
        <w:r w:rsidR="00AA1933">
          <w:rPr>
            <w:noProof/>
            <w:webHidden/>
          </w:rPr>
          <w:tab/>
        </w:r>
        <w:r w:rsidR="00AA1933">
          <w:rPr>
            <w:noProof/>
            <w:webHidden/>
          </w:rPr>
          <w:fldChar w:fldCharType="begin"/>
        </w:r>
        <w:r w:rsidR="00AA1933">
          <w:rPr>
            <w:noProof/>
            <w:webHidden/>
          </w:rPr>
          <w:instrText xml:space="preserve"> PAGEREF _Toc41837519 \h </w:instrText>
        </w:r>
        <w:r w:rsidR="00AA1933">
          <w:rPr>
            <w:noProof/>
            <w:webHidden/>
          </w:rPr>
        </w:r>
        <w:r w:rsidR="00AA1933">
          <w:rPr>
            <w:noProof/>
            <w:webHidden/>
          </w:rPr>
          <w:fldChar w:fldCharType="separate"/>
        </w:r>
        <w:r w:rsidR="00AA1933">
          <w:rPr>
            <w:noProof/>
            <w:webHidden/>
          </w:rPr>
          <w:t>7</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520" w:history="1">
        <w:r w:rsidR="00AA1933" w:rsidRPr="00FC6F3F">
          <w:rPr>
            <w:rStyle w:val="Hypertextovodkaz"/>
            <w:noProof/>
            <w:lang w:bidi="hi-IN"/>
          </w:rPr>
          <w:t>Graf č. 3: Struktura výdajů celkem za rok 2019</w:t>
        </w:r>
        <w:r w:rsidR="00AA1933">
          <w:rPr>
            <w:noProof/>
            <w:webHidden/>
          </w:rPr>
          <w:tab/>
        </w:r>
        <w:r w:rsidR="00AA1933">
          <w:rPr>
            <w:noProof/>
            <w:webHidden/>
          </w:rPr>
          <w:fldChar w:fldCharType="begin"/>
        </w:r>
        <w:r w:rsidR="00AA1933">
          <w:rPr>
            <w:noProof/>
            <w:webHidden/>
          </w:rPr>
          <w:instrText xml:space="preserve"> PAGEREF _Toc41837520 \h </w:instrText>
        </w:r>
        <w:r w:rsidR="00AA1933">
          <w:rPr>
            <w:noProof/>
            <w:webHidden/>
          </w:rPr>
        </w:r>
        <w:r w:rsidR="00AA1933">
          <w:rPr>
            <w:noProof/>
            <w:webHidden/>
          </w:rPr>
          <w:fldChar w:fldCharType="separate"/>
        </w:r>
        <w:r w:rsidR="00AA1933">
          <w:rPr>
            <w:noProof/>
            <w:webHidden/>
          </w:rPr>
          <w:t>8</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521" w:history="1">
        <w:r w:rsidR="00AA1933" w:rsidRPr="00FC6F3F">
          <w:rPr>
            <w:rStyle w:val="Hypertextovodkaz"/>
            <w:noProof/>
            <w:lang w:bidi="hi-IN"/>
          </w:rPr>
          <w:t>Graf č. 4: Saldo příjmů a výdajů celkem 2019</w:t>
        </w:r>
        <w:r w:rsidR="00AA1933">
          <w:rPr>
            <w:noProof/>
            <w:webHidden/>
          </w:rPr>
          <w:tab/>
        </w:r>
        <w:r w:rsidR="00AA1933">
          <w:rPr>
            <w:noProof/>
            <w:webHidden/>
          </w:rPr>
          <w:fldChar w:fldCharType="begin"/>
        </w:r>
        <w:r w:rsidR="00AA1933">
          <w:rPr>
            <w:noProof/>
            <w:webHidden/>
          </w:rPr>
          <w:instrText xml:space="preserve"> PAGEREF _Toc41837521 \h </w:instrText>
        </w:r>
        <w:r w:rsidR="00AA1933">
          <w:rPr>
            <w:noProof/>
            <w:webHidden/>
          </w:rPr>
        </w:r>
        <w:r w:rsidR="00AA1933">
          <w:rPr>
            <w:noProof/>
            <w:webHidden/>
          </w:rPr>
          <w:fldChar w:fldCharType="separate"/>
        </w:r>
        <w:r w:rsidR="00AA1933">
          <w:rPr>
            <w:noProof/>
            <w:webHidden/>
          </w:rPr>
          <w:t>10</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522" w:history="1">
        <w:r w:rsidR="00AA1933" w:rsidRPr="00FC6F3F">
          <w:rPr>
            <w:rStyle w:val="Hypertextovodkaz"/>
            <w:noProof/>
            <w:lang w:bidi="hi-IN"/>
          </w:rPr>
          <w:t>Graf č. 5: Vývoj příjmů a výdajů systému veřejného zdravotního pojištění 2009–2019</w:t>
        </w:r>
        <w:r w:rsidR="00AA1933">
          <w:rPr>
            <w:noProof/>
            <w:webHidden/>
          </w:rPr>
          <w:tab/>
        </w:r>
        <w:r w:rsidR="00AA1933">
          <w:rPr>
            <w:noProof/>
            <w:webHidden/>
          </w:rPr>
          <w:fldChar w:fldCharType="begin"/>
        </w:r>
        <w:r w:rsidR="00AA1933">
          <w:rPr>
            <w:noProof/>
            <w:webHidden/>
          </w:rPr>
          <w:instrText xml:space="preserve"> PAGEREF _Toc41837522 \h </w:instrText>
        </w:r>
        <w:r w:rsidR="00AA1933">
          <w:rPr>
            <w:noProof/>
            <w:webHidden/>
          </w:rPr>
        </w:r>
        <w:r w:rsidR="00AA1933">
          <w:rPr>
            <w:noProof/>
            <w:webHidden/>
          </w:rPr>
          <w:fldChar w:fldCharType="separate"/>
        </w:r>
        <w:r w:rsidR="00AA1933">
          <w:rPr>
            <w:noProof/>
            <w:webHidden/>
          </w:rPr>
          <w:t>10</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523" w:history="1">
        <w:r w:rsidR="00AA1933" w:rsidRPr="00FC6F3F">
          <w:rPr>
            <w:rStyle w:val="Hypertextovodkaz"/>
            <w:noProof/>
            <w:lang w:bidi="hi-IN"/>
          </w:rPr>
          <w:t>Graf č. 6: Vývoj salda příjmů a výdajů systému veřejného zdravotního pojištění 2009–2019</w:t>
        </w:r>
        <w:r w:rsidR="00AA1933">
          <w:rPr>
            <w:noProof/>
            <w:webHidden/>
          </w:rPr>
          <w:tab/>
        </w:r>
        <w:r w:rsidR="00AA1933">
          <w:rPr>
            <w:noProof/>
            <w:webHidden/>
          </w:rPr>
          <w:fldChar w:fldCharType="begin"/>
        </w:r>
        <w:r w:rsidR="00AA1933">
          <w:rPr>
            <w:noProof/>
            <w:webHidden/>
          </w:rPr>
          <w:instrText xml:space="preserve"> PAGEREF _Toc41837523 \h </w:instrText>
        </w:r>
        <w:r w:rsidR="00AA1933">
          <w:rPr>
            <w:noProof/>
            <w:webHidden/>
          </w:rPr>
        </w:r>
        <w:r w:rsidR="00AA1933">
          <w:rPr>
            <w:noProof/>
            <w:webHidden/>
          </w:rPr>
          <w:fldChar w:fldCharType="separate"/>
        </w:r>
        <w:r w:rsidR="00AA1933">
          <w:rPr>
            <w:noProof/>
            <w:webHidden/>
          </w:rPr>
          <w:t>11</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524" w:history="1">
        <w:r w:rsidR="00AA1933" w:rsidRPr="00FC6F3F">
          <w:rPr>
            <w:rStyle w:val="Hypertextovodkaz"/>
            <w:noProof/>
            <w:lang w:bidi="hi-IN"/>
          </w:rPr>
          <w:t>Graf č. 7: Finanční zásoba na BÚ ZFZP v roce 2019 v denním ekvivalentu plateb</w:t>
        </w:r>
        <w:r w:rsidR="00AA1933">
          <w:rPr>
            <w:noProof/>
            <w:webHidden/>
          </w:rPr>
          <w:tab/>
        </w:r>
        <w:r w:rsidR="00AA1933">
          <w:rPr>
            <w:noProof/>
            <w:webHidden/>
          </w:rPr>
          <w:fldChar w:fldCharType="begin"/>
        </w:r>
        <w:r w:rsidR="00AA1933">
          <w:rPr>
            <w:noProof/>
            <w:webHidden/>
          </w:rPr>
          <w:instrText xml:space="preserve"> PAGEREF _Toc41837524 \h </w:instrText>
        </w:r>
        <w:r w:rsidR="00AA1933">
          <w:rPr>
            <w:noProof/>
            <w:webHidden/>
          </w:rPr>
        </w:r>
        <w:r w:rsidR="00AA1933">
          <w:rPr>
            <w:noProof/>
            <w:webHidden/>
          </w:rPr>
          <w:fldChar w:fldCharType="separate"/>
        </w:r>
        <w:r w:rsidR="00AA1933">
          <w:rPr>
            <w:noProof/>
            <w:webHidden/>
          </w:rPr>
          <w:t>13</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525" w:history="1">
        <w:r w:rsidR="00AA1933" w:rsidRPr="00FC6F3F">
          <w:rPr>
            <w:rStyle w:val="Hypertextovodkaz"/>
            <w:noProof/>
            <w:lang w:bidi="hi-IN"/>
          </w:rPr>
          <w:t>Graf č. 8: Stav peněžních prostředků na BÚ jednotlivých ZP k 31. 12. 2019</w:t>
        </w:r>
        <w:r w:rsidR="00AA1933">
          <w:rPr>
            <w:noProof/>
            <w:webHidden/>
          </w:rPr>
          <w:tab/>
        </w:r>
        <w:r w:rsidR="00AA1933">
          <w:rPr>
            <w:noProof/>
            <w:webHidden/>
          </w:rPr>
          <w:fldChar w:fldCharType="begin"/>
        </w:r>
        <w:r w:rsidR="00AA1933">
          <w:rPr>
            <w:noProof/>
            <w:webHidden/>
          </w:rPr>
          <w:instrText xml:space="preserve"> PAGEREF _Toc41837525 \h </w:instrText>
        </w:r>
        <w:r w:rsidR="00AA1933">
          <w:rPr>
            <w:noProof/>
            <w:webHidden/>
          </w:rPr>
        </w:r>
        <w:r w:rsidR="00AA1933">
          <w:rPr>
            <w:noProof/>
            <w:webHidden/>
          </w:rPr>
          <w:fldChar w:fldCharType="separate"/>
        </w:r>
        <w:r w:rsidR="00AA1933">
          <w:rPr>
            <w:noProof/>
            <w:webHidden/>
          </w:rPr>
          <w:t>14</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526" w:history="1">
        <w:r w:rsidR="00AA1933" w:rsidRPr="00FC6F3F">
          <w:rPr>
            <w:rStyle w:val="Hypertextovodkaz"/>
            <w:noProof/>
            <w:lang w:bidi="hi-IN"/>
          </w:rPr>
          <w:t>Graf č. 9: Rozložení peněžních prostředků na BÚ mezi jednotlivými ZP k 31. 12. 2019</w:t>
        </w:r>
        <w:r w:rsidR="00AA1933">
          <w:rPr>
            <w:noProof/>
            <w:webHidden/>
          </w:rPr>
          <w:tab/>
        </w:r>
        <w:r w:rsidR="00AA1933">
          <w:rPr>
            <w:noProof/>
            <w:webHidden/>
          </w:rPr>
          <w:fldChar w:fldCharType="begin"/>
        </w:r>
        <w:r w:rsidR="00AA1933">
          <w:rPr>
            <w:noProof/>
            <w:webHidden/>
          </w:rPr>
          <w:instrText xml:space="preserve"> PAGEREF _Toc41837526 \h </w:instrText>
        </w:r>
        <w:r w:rsidR="00AA1933">
          <w:rPr>
            <w:noProof/>
            <w:webHidden/>
          </w:rPr>
        </w:r>
        <w:r w:rsidR="00AA1933">
          <w:rPr>
            <w:noProof/>
            <w:webHidden/>
          </w:rPr>
          <w:fldChar w:fldCharType="separate"/>
        </w:r>
        <w:r w:rsidR="00AA1933">
          <w:rPr>
            <w:noProof/>
            <w:webHidden/>
          </w:rPr>
          <w:t>15</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527" w:history="1">
        <w:r w:rsidR="00AA1933" w:rsidRPr="00FC6F3F">
          <w:rPr>
            <w:rStyle w:val="Hypertextovodkaz"/>
            <w:noProof/>
            <w:lang w:bidi="hi-IN"/>
          </w:rPr>
          <w:t>Graf č. 10: Vývoj zůstatků ZP a růstu HDP</w:t>
        </w:r>
        <w:r w:rsidR="00AA1933">
          <w:rPr>
            <w:noProof/>
            <w:webHidden/>
          </w:rPr>
          <w:tab/>
        </w:r>
        <w:r w:rsidR="00AA1933">
          <w:rPr>
            <w:noProof/>
            <w:webHidden/>
          </w:rPr>
          <w:fldChar w:fldCharType="begin"/>
        </w:r>
        <w:r w:rsidR="00AA1933">
          <w:rPr>
            <w:noProof/>
            <w:webHidden/>
          </w:rPr>
          <w:instrText xml:space="preserve"> PAGEREF _Toc41837527 \h </w:instrText>
        </w:r>
        <w:r w:rsidR="00AA1933">
          <w:rPr>
            <w:noProof/>
            <w:webHidden/>
          </w:rPr>
        </w:r>
        <w:r w:rsidR="00AA1933">
          <w:rPr>
            <w:noProof/>
            <w:webHidden/>
          </w:rPr>
          <w:fldChar w:fldCharType="separate"/>
        </w:r>
        <w:r w:rsidR="00AA1933">
          <w:rPr>
            <w:noProof/>
            <w:webHidden/>
          </w:rPr>
          <w:t>15</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528" w:history="1">
        <w:r w:rsidR="00AA1933" w:rsidRPr="00FC6F3F">
          <w:rPr>
            <w:rStyle w:val="Hypertextovodkaz"/>
            <w:noProof/>
            <w:lang w:bidi="hi-IN"/>
          </w:rPr>
          <w:t>Graf č. 11: Počet pojištěnců na 1 zaměstnance</w:t>
        </w:r>
        <w:r w:rsidR="00AA1933">
          <w:rPr>
            <w:noProof/>
            <w:webHidden/>
          </w:rPr>
          <w:tab/>
        </w:r>
        <w:r w:rsidR="00AA1933">
          <w:rPr>
            <w:noProof/>
            <w:webHidden/>
          </w:rPr>
          <w:fldChar w:fldCharType="begin"/>
        </w:r>
        <w:r w:rsidR="00AA1933">
          <w:rPr>
            <w:noProof/>
            <w:webHidden/>
          </w:rPr>
          <w:instrText xml:space="preserve"> PAGEREF _Toc41837528 \h </w:instrText>
        </w:r>
        <w:r w:rsidR="00AA1933">
          <w:rPr>
            <w:noProof/>
            <w:webHidden/>
          </w:rPr>
        </w:r>
        <w:r w:rsidR="00AA1933">
          <w:rPr>
            <w:noProof/>
            <w:webHidden/>
          </w:rPr>
          <w:fldChar w:fldCharType="separate"/>
        </w:r>
        <w:r w:rsidR="00AA1933">
          <w:rPr>
            <w:noProof/>
            <w:webHidden/>
          </w:rPr>
          <w:t>16</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529" w:history="1">
        <w:r w:rsidR="00AA1933" w:rsidRPr="00FC6F3F">
          <w:rPr>
            <w:rStyle w:val="Hypertextovodkaz"/>
            <w:noProof/>
            <w:lang w:bidi="hi-IN"/>
          </w:rPr>
          <w:t>Graf č. 12: Platba ze státního rozpočtu do systému v. z. p. v poměru k HDP</w:t>
        </w:r>
        <w:r w:rsidR="00AA1933">
          <w:rPr>
            <w:noProof/>
            <w:webHidden/>
          </w:rPr>
          <w:tab/>
        </w:r>
        <w:r w:rsidR="00AA1933">
          <w:rPr>
            <w:noProof/>
            <w:webHidden/>
          </w:rPr>
          <w:fldChar w:fldCharType="begin"/>
        </w:r>
        <w:r w:rsidR="00AA1933">
          <w:rPr>
            <w:noProof/>
            <w:webHidden/>
          </w:rPr>
          <w:instrText xml:space="preserve"> PAGEREF _Toc41837529 \h </w:instrText>
        </w:r>
        <w:r w:rsidR="00AA1933">
          <w:rPr>
            <w:noProof/>
            <w:webHidden/>
          </w:rPr>
        </w:r>
        <w:r w:rsidR="00AA1933">
          <w:rPr>
            <w:noProof/>
            <w:webHidden/>
          </w:rPr>
          <w:fldChar w:fldCharType="separate"/>
        </w:r>
        <w:r w:rsidR="00AA1933">
          <w:rPr>
            <w:noProof/>
            <w:webHidden/>
          </w:rPr>
          <w:t>19</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530" w:history="1">
        <w:r w:rsidR="00AA1933" w:rsidRPr="00FC6F3F">
          <w:rPr>
            <w:rStyle w:val="Hypertextovodkaz"/>
            <w:noProof/>
            <w:lang w:bidi="hi-IN"/>
          </w:rPr>
          <w:t>Graf č. 13:  Celkové náklady na zdravotní služby ze ZFZP</w:t>
        </w:r>
        <w:r w:rsidR="00AA1933">
          <w:rPr>
            <w:noProof/>
            <w:webHidden/>
          </w:rPr>
          <w:tab/>
        </w:r>
        <w:r w:rsidR="00AA1933">
          <w:rPr>
            <w:noProof/>
            <w:webHidden/>
          </w:rPr>
          <w:fldChar w:fldCharType="begin"/>
        </w:r>
        <w:r w:rsidR="00AA1933">
          <w:rPr>
            <w:noProof/>
            <w:webHidden/>
          </w:rPr>
          <w:instrText xml:space="preserve"> PAGEREF _Toc41837530 \h </w:instrText>
        </w:r>
        <w:r w:rsidR="00AA1933">
          <w:rPr>
            <w:noProof/>
            <w:webHidden/>
          </w:rPr>
        </w:r>
        <w:r w:rsidR="00AA1933">
          <w:rPr>
            <w:noProof/>
            <w:webHidden/>
          </w:rPr>
          <w:fldChar w:fldCharType="separate"/>
        </w:r>
        <w:r w:rsidR="00AA1933">
          <w:rPr>
            <w:noProof/>
            <w:webHidden/>
          </w:rPr>
          <w:t>21</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531" w:history="1">
        <w:r w:rsidR="00AA1933" w:rsidRPr="00FC6F3F">
          <w:rPr>
            <w:rStyle w:val="Hypertextovodkaz"/>
            <w:noProof/>
            <w:lang w:bidi="hi-IN"/>
          </w:rPr>
          <w:t>Graf č. 14: Náklady na zdravotní služby ze ZFZP podle segmentů</w:t>
        </w:r>
        <w:r w:rsidR="00AA1933">
          <w:rPr>
            <w:noProof/>
            <w:webHidden/>
          </w:rPr>
          <w:tab/>
        </w:r>
        <w:r w:rsidR="00AA1933">
          <w:rPr>
            <w:noProof/>
            <w:webHidden/>
          </w:rPr>
          <w:fldChar w:fldCharType="begin"/>
        </w:r>
        <w:r w:rsidR="00AA1933">
          <w:rPr>
            <w:noProof/>
            <w:webHidden/>
          </w:rPr>
          <w:instrText xml:space="preserve"> PAGEREF _Toc41837531 \h </w:instrText>
        </w:r>
        <w:r w:rsidR="00AA1933">
          <w:rPr>
            <w:noProof/>
            <w:webHidden/>
          </w:rPr>
        </w:r>
        <w:r w:rsidR="00AA1933">
          <w:rPr>
            <w:noProof/>
            <w:webHidden/>
          </w:rPr>
          <w:fldChar w:fldCharType="separate"/>
        </w:r>
        <w:r w:rsidR="00AA1933">
          <w:rPr>
            <w:noProof/>
            <w:webHidden/>
          </w:rPr>
          <w:t>22</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532" w:history="1">
        <w:r w:rsidR="00AA1933" w:rsidRPr="00FC6F3F">
          <w:rPr>
            <w:rStyle w:val="Hypertextovodkaz"/>
            <w:noProof/>
            <w:lang w:bidi="hi-IN"/>
          </w:rPr>
          <w:t xml:space="preserve">Graf č. 15: Celkové náklady na zdravotní služby </w:t>
        </w:r>
        <w:r w:rsidR="00853129" w:rsidRPr="00853129">
          <w:rPr>
            <w:rStyle w:val="Hypertextovodkaz"/>
            <w:noProof/>
            <w:lang w:bidi="hi-IN"/>
          </w:rPr>
          <w:t xml:space="preserve">ze ZFZP </w:t>
        </w:r>
        <w:r w:rsidR="00AA1933" w:rsidRPr="00FC6F3F">
          <w:rPr>
            <w:rStyle w:val="Hypertextovodkaz"/>
            <w:noProof/>
            <w:lang w:bidi="hi-IN"/>
          </w:rPr>
          <w:t>v přepočtu na pojištěnce</w:t>
        </w:r>
        <w:r w:rsidR="00AA1933">
          <w:rPr>
            <w:noProof/>
            <w:webHidden/>
          </w:rPr>
          <w:tab/>
        </w:r>
        <w:r w:rsidR="00AA1933">
          <w:rPr>
            <w:noProof/>
            <w:webHidden/>
          </w:rPr>
          <w:fldChar w:fldCharType="begin"/>
        </w:r>
        <w:r w:rsidR="00AA1933">
          <w:rPr>
            <w:noProof/>
            <w:webHidden/>
          </w:rPr>
          <w:instrText xml:space="preserve"> PAGEREF _Toc41837532 \h </w:instrText>
        </w:r>
        <w:r w:rsidR="00AA1933">
          <w:rPr>
            <w:noProof/>
            <w:webHidden/>
          </w:rPr>
        </w:r>
        <w:r w:rsidR="00AA1933">
          <w:rPr>
            <w:noProof/>
            <w:webHidden/>
          </w:rPr>
          <w:fldChar w:fldCharType="separate"/>
        </w:r>
        <w:r w:rsidR="00AA1933">
          <w:rPr>
            <w:noProof/>
            <w:webHidden/>
          </w:rPr>
          <w:t>23</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533" w:history="1">
        <w:r w:rsidR="00AA1933" w:rsidRPr="00FC6F3F">
          <w:rPr>
            <w:rStyle w:val="Hypertextovodkaz"/>
            <w:noProof/>
            <w:lang w:bidi="hi-IN"/>
          </w:rPr>
          <w:t xml:space="preserve">Graf č. 16: Náklady na zdravotní služby </w:t>
        </w:r>
        <w:r w:rsidR="00853129" w:rsidRPr="00853129">
          <w:rPr>
            <w:rStyle w:val="Hypertextovodkaz"/>
            <w:noProof/>
            <w:lang w:bidi="hi-IN"/>
          </w:rPr>
          <w:t xml:space="preserve">ze ZFZP </w:t>
        </w:r>
        <w:r w:rsidR="00AA1933" w:rsidRPr="00FC6F3F">
          <w:rPr>
            <w:rStyle w:val="Hypertextovodkaz"/>
            <w:noProof/>
            <w:lang w:bidi="hi-IN"/>
          </w:rPr>
          <w:t>podle segmentů v přepočtu na pojištěnce</w:t>
        </w:r>
        <w:r w:rsidR="00AA1933">
          <w:rPr>
            <w:noProof/>
            <w:webHidden/>
          </w:rPr>
          <w:tab/>
        </w:r>
        <w:r w:rsidR="00AA1933">
          <w:rPr>
            <w:noProof/>
            <w:webHidden/>
          </w:rPr>
          <w:fldChar w:fldCharType="begin"/>
        </w:r>
        <w:r w:rsidR="00AA1933">
          <w:rPr>
            <w:noProof/>
            <w:webHidden/>
          </w:rPr>
          <w:instrText xml:space="preserve"> PAGEREF _Toc41837533 \h </w:instrText>
        </w:r>
        <w:r w:rsidR="00AA1933">
          <w:rPr>
            <w:noProof/>
            <w:webHidden/>
          </w:rPr>
        </w:r>
        <w:r w:rsidR="00AA1933">
          <w:rPr>
            <w:noProof/>
            <w:webHidden/>
          </w:rPr>
          <w:fldChar w:fldCharType="separate"/>
        </w:r>
        <w:r w:rsidR="00AA1933">
          <w:rPr>
            <w:noProof/>
            <w:webHidden/>
          </w:rPr>
          <w:t>23</w:t>
        </w:r>
        <w:r w:rsidR="00AA1933">
          <w:rPr>
            <w:noProof/>
            <w:webHidden/>
          </w:rPr>
          <w:fldChar w:fldCharType="end"/>
        </w:r>
      </w:hyperlink>
    </w:p>
    <w:p w:rsidR="00436F6E" w:rsidRPr="00E0416F" w:rsidRDefault="00360ED9" w:rsidP="00E0416F">
      <w:pPr>
        <w:spacing w:after="0"/>
        <w:rPr>
          <w:sz w:val="12"/>
          <w:szCs w:val="12"/>
        </w:rPr>
      </w:pPr>
      <w:r>
        <w:fldChar w:fldCharType="end"/>
      </w:r>
    </w:p>
    <w:p w:rsidR="00436F6E" w:rsidRDefault="00436F6E" w:rsidP="00AC25F3">
      <w:pPr>
        <w:pStyle w:val="Nadpis2"/>
      </w:pPr>
      <w:bookmarkStart w:id="57" w:name="_Toc41898967"/>
      <w:r>
        <w:t>Tabulky</w:t>
      </w:r>
      <w:bookmarkEnd w:id="57"/>
    </w:p>
    <w:p w:rsidR="00AA1933" w:rsidRDefault="00360ED9">
      <w:pPr>
        <w:pStyle w:val="Seznamobrzk"/>
        <w:tabs>
          <w:tab w:val="right" w:leader="dot" w:pos="9628"/>
        </w:tabs>
        <w:rPr>
          <w:rFonts w:eastAsiaTheme="minorEastAsia"/>
          <w:noProof/>
          <w:sz w:val="22"/>
          <w:lang w:eastAsia="cs-CZ"/>
        </w:rPr>
      </w:pPr>
      <w:r>
        <w:fldChar w:fldCharType="begin"/>
      </w:r>
      <w:r w:rsidR="00436F6E">
        <w:instrText xml:space="preserve"> TOC \h \z \c "Tabulka" </w:instrText>
      </w:r>
      <w:r>
        <w:fldChar w:fldCharType="separate"/>
      </w:r>
      <w:hyperlink w:anchor="_Toc41837493" w:history="1">
        <w:r w:rsidR="00AA1933" w:rsidRPr="005F3D85">
          <w:rPr>
            <w:rStyle w:val="Hypertextovodkaz"/>
            <w:noProof/>
            <w:lang w:bidi="hi-IN"/>
          </w:rPr>
          <w:t>Tabulka č. 1: Příjmy systému v. z. p. za rok 2019</w:t>
        </w:r>
        <w:r w:rsidR="00AA1933">
          <w:rPr>
            <w:noProof/>
            <w:webHidden/>
          </w:rPr>
          <w:tab/>
        </w:r>
        <w:r w:rsidR="00AA1933">
          <w:rPr>
            <w:noProof/>
            <w:webHidden/>
          </w:rPr>
          <w:fldChar w:fldCharType="begin"/>
        </w:r>
        <w:r w:rsidR="00AA1933">
          <w:rPr>
            <w:noProof/>
            <w:webHidden/>
          </w:rPr>
          <w:instrText xml:space="preserve"> PAGEREF _Toc41837493 \h </w:instrText>
        </w:r>
        <w:r w:rsidR="00AA1933">
          <w:rPr>
            <w:noProof/>
            <w:webHidden/>
          </w:rPr>
        </w:r>
        <w:r w:rsidR="00AA1933">
          <w:rPr>
            <w:noProof/>
            <w:webHidden/>
          </w:rPr>
          <w:fldChar w:fldCharType="separate"/>
        </w:r>
        <w:r w:rsidR="00AA1933">
          <w:rPr>
            <w:noProof/>
            <w:webHidden/>
          </w:rPr>
          <w:t>5</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494" w:history="1">
        <w:r w:rsidR="00AA1933" w:rsidRPr="005F3D85">
          <w:rPr>
            <w:rStyle w:val="Hypertextovodkaz"/>
            <w:noProof/>
          </w:rPr>
          <w:t>Tabulka č. 2: Příjmy systému v. z. p. 2019 dle zdravotních pojišťoven</w:t>
        </w:r>
        <w:r w:rsidR="00AA1933">
          <w:rPr>
            <w:noProof/>
            <w:webHidden/>
          </w:rPr>
          <w:tab/>
        </w:r>
        <w:r w:rsidR="00AA1933">
          <w:rPr>
            <w:noProof/>
            <w:webHidden/>
          </w:rPr>
          <w:fldChar w:fldCharType="begin"/>
        </w:r>
        <w:r w:rsidR="00AA1933">
          <w:rPr>
            <w:noProof/>
            <w:webHidden/>
          </w:rPr>
          <w:instrText xml:space="preserve"> PAGEREF _Toc41837494 \h </w:instrText>
        </w:r>
        <w:r w:rsidR="00AA1933">
          <w:rPr>
            <w:noProof/>
            <w:webHidden/>
          </w:rPr>
        </w:r>
        <w:r w:rsidR="00AA1933">
          <w:rPr>
            <w:noProof/>
            <w:webHidden/>
          </w:rPr>
          <w:fldChar w:fldCharType="separate"/>
        </w:r>
        <w:r w:rsidR="00AA1933">
          <w:rPr>
            <w:noProof/>
            <w:webHidden/>
          </w:rPr>
          <w:t>6</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495" w:history="1">
        <w:r w:rsidR="00AA1933" w:rsidRPr="005F3D85">
          <w:rPr>
            <w:rStyle w:val="Hypertextovodkaz"/>
            <w:noProof/>
            <w:lang w:bidi="hi-IN"/>
          </w:rPr>
          <w:t>Tabulka č. 3: Výdaje systému v. z. p. za rok 2019</w:t>
        </w:r>
        <w:r w:rsidR="00AA1933">
          <w:rPr>
            <w:noProof/>
            <w:webHidden/>
          </w:rPr>
          <w:tab/>
        </w:r>
        <w:r w:rsidR="00AA1933">
          <w:rPr>
            <w:noProof/>
            <w:webHidden/>
          </w:rPr>
          <w:fldChar w:fldCharType="begin"/>
        </w:r>
        <w:r w:rsidR="00AA1933">
          <w:rPr>
            <w:noProof/>
            <w:webHidden/>
          </w:rPr>
          <w:instrText xml:space="preserve"> PAGEREF _Toc41837495 \h </w:instrText>
        </w:r>
        <w:r w:rsidR="00AA1933">
          <w:rPr>
            <w:noProof/>
            <w:webHidden/>
          </w:rPr>
        </w:r>
        <w:r w:rsidR="00AA1933">
          <w:rPr>
            <w:noProof/>
            <w:webHidden/>
          </w:rPr>
          <w:fldChar w:fldCharType="separate"/>
        </w:r>
        <w:r w:rsidR="00AA1933">
          <w:rPr>
            <w:noProof/>
            <w:webHidden/>
          </w:rPr>
          <w:t>7</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496" w:history="1">
        <w:r w:rsidR="00AA1933" w:rsidRPr="005F3D85">
          <w:rPr>
            <w:rStyle w:val="Hypertextovodkaz"/>
            <w:noProof/>
            <w:lang w:bidi="hi-IN"/>
          </w:rPr>
          <w:t>Tabulka č. 4: Výdaje systému v. z. p. 2019 dle zdravotních pojišťoven</w:t>
        </w:r>
        <w:r w:rsidR="00AA1933">
          <w:rPr>
            <w:noProof/>
            <w:webHidden/>
          </w:rPr>
          <w:tab/>
        </w:r>
        <w:r w:rsidR="00AA1933">
          <w:rPr>
            <w:noProof/>
            <w:webHidden/>
          </w:rPr>
          <w:fldChar w:fldCharType="begin"/>
        </w:r>
        <w:r w:rsidR="00AA1933">
          <w:rPr>
            <w:noProof/>
            <w:webHidden/>
          </w:rPr>
          <w:instrText xml:space="preserve"> PAGEREF _Toc41837496 \h </w:instrText>
        </w:r>
        <w:r w:rsidR="00AA1933">
          <w:rPr>
            <w:noProof/>
            <w:webHidden/>
          </w:rPr>
        </w:r>
        <w:r w:rsidR="00AA1933">
          <w:rPr>
            <w:noProof/>
            <w:webHidden/>
          </w:rPr>
          <w:fldChar w:fldCharType="separate"/>
        </w:r>
        <w:r w:rsidR="00AA1933">
          <w:rPr>
            <w:noProof/>
            <w:webHidden/>
          </w:rPr>
          <w:t>9</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497" w:history="1">
        <w:r w:rsidR="00AA1933" w:rsidRPr="005F3D85">
          <w:rPr>
            <w:rStyle w:val="Hypertextovodkaz"/>
            <w:noProof/>
            <w:lang w:bidi="hi-IN"/>
          </w:rPr>
          <w:t>Tabulka č. 5: Vybrané ukazatele 2019 dle zdravotních pojišťoven</w:t>
        </w:r>
        <w:r w:rsidR="00AA1933">
          <w:rPr>
            <w:noProof/>
            <w:webHidden/>
          </w:rPr>
          <w:tab/>
        </w:r>
        <w:r w:rsidR="00AA1933">
          <w:rPr>
            <w:noProof/>
            <w:webHidden/>
          </w:rPr>
          <w:fldChar w:fldCharType="begin"/>
        </w:r>
        <w:r w:rsidR="00AA1933">
          <w:rPr>
            <w:noProof/>
            <w:webHidden/>
          </w:rPr>
          <w:instrText xml:space="preserve"> PAGEREF _Toc41837497 \h </w:instrText>
        </w:r>
        <w:r w:rsidR="00AA1933">
          <w:rPr>
            <w:noProof/>
            <w:webHidden/>
          </w:rPr>
        </w:r>
        <w:r w:rsidR="00AA1933">
          <w:rPr>
            <w:noProof/>
            <w:webHidden/>
          </w:rPr>
          <w:fldChar w:fldCharType="separate"/>
        </w:r>
        <w:r w:rsidR="00AA1933">
          <w:rPr>
            <w:noProof/>
            <w:webHidden/>
          </w:rPr>
          <w:t>12</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498" w:history="1">
        <w:r w:rsidR="00AA1933" w:rsidRPr="005F3D85">
          <w:rPr>
            <w:rStyle w:val="Hypertextovodkaz"/>
            <w:noProof/>
            <w:lang w:bidi="hi-IN"/>
          </w:rPr>
          <w:t>Tabulka č. 6: Srovnání zůstatků na bankovních účtech dle zdravotních pojišťoven v roce 2019</w:t>
        </w:r>
        <w:r w:rsidR="00AA1933">
          <w:rPr>
            <w:noProof/>
            <w:webHidden/>
          </w:rPr>
          <w:tab/>
        </w:r>
        <w:r w:rsidR="00AA1933">
          <w:rPr>
            <w:noProof/>
            <w:webHidden/>
          </w:rPr>
          <w:fldChar w:fldCharType="begin"/>
        </w:r>
        <w:r w:rsidR="00AA1933">
          <w:rPr>
            <w:noProof/>
            <w:webHidden/>
          </w:rPr>
          <w:instrText xml:space="preserve"> PAGEREF _Toc41837498 \h </w:instrText>
        </w:r>
        <w:r w:rsidR="00AA1933">
          <w:rPr>
            <w:noProof/>
            <w:webHidden/>
          </w:rPr>
        </w:r>
        <w:r w:rsidR="00AA1933">
          <w:rPr>
            <w:noProof/>
            <w:webHidden/>
          </w:rPr>
          <w:fldChar w:fldCharType="separate"/>
        </w:r>
        <w:r w:rsidR="00AA1933">
          <w:rPr>
            <w:noProof/>
            <w:webHidden/>
          </w:rPr>
          <w:t>14</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499" w:history="1">
        <w:r w:rsidR="00AA1933" w:rsidRPr="005F3D85">
          <w:rPr>
            <w:rStyle w:val="Hypertextovodkaz"/>
            <w:noProof/>
            <w:lang w:bidi="hi-IN"/>
          </w:rPr>
          <w:t>Tabulka č. 7: Pojištěnci a zaměstnanci systému v. z. p. 2019 dle zdravotních pojišťoven</w:t>
        </w:r>
        <w:r w:rsidR="00AA1933">
          <w:rPr>
            <w:noProof/>
            <w:webHidden/>
          </w:rPr>
          <w:tab/>
        </w:r>
        <w:r w:rsidR="00AA1933">
          <w:rPr>
            <w:noProof/>
            <w:webHidden/>
          </w:rPr>
          <w:fldChar w:fldCharType="begin"/>
        </w:r>
        <w:r w:rsidR="00AA1933">
          <w:rPr>
            <w:noProof/>
            <w:webHidden/>
          </w:rPr>
          <w:instrText xml:space="preserve"> PAGEREF _Toc41837499 \h </w:instrText>
        </w:r>
        <w:r w:rsidR="00AA1933">
          <w:rPr>
            <w:noProof/>
            <w:webHidden/>
          </w:rPr>
        </w:r>
        <w:r w:rsidR="00AA1933">
          <w:rPr>
            <w:noProof/>
            <w:webHidden/>
          </w:rPr>
          <w:fldChar w:fldCharType="separate"/>
        </w:r>
        <w:r w:rsidR="00AA1933">
          <w:rPr>
            <w:noProof/>
            <w:webHidden/>
          </w:rPr>
          <w:t>16</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500" w:history="1">
        <w:r w:rsidR="00AA1933" w:rsidRPr="005F3D85">
          <w:rPr>
            <w:rStyle w:val="Hypertextovodkaz"/>
            <w:noProof/>
            <w:lang w:bidi="hi-IN"/>
          </w:rPr>
          <w:t>Tabulka č. 8: Náklady na zdravotní služby ze ZFZP podle segmentů</w:t>
        </w:r>
        <w:r w:rsidR="00AA1933">
          <w:rPr>
            <w:noProof/>
            <w:webHidden/>
          </w:rPr>
          <w:tab/>
        </w:r>
        <w:r w:rsidR="00AA1933">
          <w:rPr>
            <w:noProof/>
            <w:webHidden/>
          </w:rPr>
          <w:fldChar w:fldCharType="begin"/>
        </w:r>
        <w:r w:rsidR="00AA1933">
          <w:rPr>
            <w:noProof/>
            <w:webHidden/>
          </w:rPr>
          <w:instrText xml:space="preserve"> PAGEREF _Toc41837500 \h </w:instrText>
        </w:r>
        <w:r w:rsidR="00AA1933">
          <w:rPr>
            <w:noProof/>
            <w:webHidden/>
          </w:rPr>
        </w:r>
        <w:r w:rsidR="00AA1933">
          <w:rPr>
            <w:noProof/>
            <w:webHidden/>
          </w:rPr>
          <w:fldChar w:fldCharType="separate"/>
        </w:r>
        <w:r w:rsidR="00AA1933">
          <w:rPr>
            <w:noProof/>
            <w:webHidden/>
          </w:rPr>
          <w:t>21</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501" w:history="1">
        <w:r w:rsidR="00AA1933" w:rsidRPr="005F3D85">
          <w:rPr>
            <w:rStyle w:val="Hypertextovodkaz"/>
            <w:noProof/>
            <w:lang w:bidi="hi-IN"/>
          </w:rPr>
          <w:t>Tabulka č. 9: Vývoj nákladů na zdravotní služby ze ZFZP podle segmentů</w:t>
        </w:r>
        <w:r w:rsidR="00AA1933">
          <w:rPr>
            <w:noProof/>
            <w:webHidden/>
          </w:rPr>
          <w:tab/>
        </w:r>
        <w:r w:rsidR="00AA1933">
          <w:rPr>
            <w:noProof/>
            <w:webHidden/>
          </w:rPr>
          <w:fldChar w:fldCharType="begin"/>
        </w:r>
        <w:r w:rsidR="00AA1933">
          <w:rPr>
            <w:noProof/>
            <w:webHidden/>
          </w:rPr>
          <w:instrText xml:space="preserve"> PAGEREF _Toc41837501 \h </w:instrText>
        </w:r>
        <w:r w:rsidR="00AA1933">
          <w:rPr>
            <w:noProof/>
            <w:webHidden/>
          </w:rPr>
        </w:r>
        <w:r w:rsidR="00AA1933">
          <w:rPr>
            <w:noProof/>
            <w:webHidden/>
          </w:rPr>
          <w:fldChar w:fldCharType="separate"/>
        </w:r>
        <w:r w:rsidR="00AA1933">
          <w:rPr>
            <w:noProof/>
            <w:webHidden/>
          </w:rPr>
          <w:t>21</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502" w:history="1">
        <w:r w:rsidR="00AA1933" w:rsidRPr="005F3D85">
          <w:rPr>
            <w:rStyle w:val="Hypertextovodkaz"/>
            <w:noProof/>
            <w:lang w:bidi="hi-IN"/>
          </w:rPr>
          <w:t xml:space="preserve">Tabulka č. 10: Náklady na zdravotní služby </w:t>
        </w:r>
        <w:r w:rsidR="00853129">
          <w:rPr>
            <w:rStyle w:val="Hypertextovodkaz"/>
            <w:noProof/>
            <w:lang w:bidi="hi-IN"/>
          </w:rPr>
          <w:t xml:space="preserve">ze ZFZP </w:t>
        </w:r>
        <w:r w:rsidR="00AA1933" w:rsidRPr="005F3D85">
          <w:rPr>
            <w:rStyle w:val="Hypertextovodkaz"/>
            <w:noProof/>
            <w:lang w:bidi="hi-IN"/>
          </w:rPr>
          <w:t>podle segmentů a zdravotních pojišťoven v roce 2019</w:t>
        </w:r>
        <w:r w:rsidR="00AA1933">
          <w:rPr>
            <w:noProof/>
            <w:webHidden/>
          </w:rPr>
          <w:tab/>
        </w:r>
        <w:r w:rsidR="00AA1933">
          <w:rPr>
            <w:noProof/>
            <w:webHidden/>
          </w:rPr>
          <w:fldChar w:fldCharType="begin"/>
        </w:r>
        <w:r w:rsidR="00AA1933">
          <w:rPr>
            <w:noProof/>
            <w:webHidden/>
          </w:rPr>
          <w:instrText xml:space="preserve"> PAGEREF _Toc41837502 \h </w:instrText>
        </w:r>
        <w:r w:rsidR="00AA1933">
          <w:rPr>
            <w:noProof/>
            <w:webHidden/>
          </w:rPr>
        </w:r>
        <w:r w:rsidR="00AA1933">
          <w:rPr>
            <w:noProof/>
            <w:webHidden/>
          </w:rPr>
          <w:fldChar w:fldCharType="separate"/>
        </w:r>
        <w:r w:rsidR="00AA1933">
          <w:rPr>
            <w:noProof/>
            <w:webHidden/>
          </w:rPr>
          <w:t>22</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503" w:history="1">
        <w:r w:rsidR="00AA1933" w:rsidRPr="005F3D85">
          <w:rPr>
            <w:rStyle w:val="Hypertextovodkaz"/>
            <w:noProof/>
            <w:lang w:bidi="hi-IN"/>
          </w:rPr>
          <w:t xml:space="preserve">Tabulka č. 11: Vývoj nákladů na zdravotní služby </w:t>
        </w:r>
        <w:r w:rsidR="00853129">
          <w:rPr>
            <w:rStyle w:val="Hypertextovodkaz"/>
            <w:noProof/>
            <w:lang w:bidi="hi-IN"/>
          </w:rPr>
          <w:t xml:space="preserve">ze ZFZP </w:t>
        </w:r>
        <w:r w:rsidR="00AA1933" w:rsidRPr="005F3D85">
          <w:rPr>
            <w:rStyle w:val="Hypertextovodkaz"/>
            <w:noProof/>
            <w:lang w:bidi="hi-IN"/>
          </w:rPr>
          <w:t>podle segmentů v přepočtu na pojištěnce</w:t>
        </w:r>
        <w:r w:rsidR="00AA1933">
          <w:rPr>
            <w:noProof/>
            <w:webHidden/>
          </w:rPr>
          <w:tab/>
        </w:r>
        <w:r w:rsidR="00AA1933">
          <w:rPr>
            <w:noProof/>
            <w:webHidden/>
          </w:rPr>
          <w:fldChar w:fldCharType="begin"/>
        </w:r>
        <w:r w:rsidR="00AA1933">
          <w:rPr>
            <w:noProof/>
            <w:webHidden/>
          </w:rPr>
          <w:instrText xml:space="preserve"> PAGEREF _Toc41837503 \h </w:instrText>
        </w:r>
        <w:r w:rsidR="00AA1933">
          <w:rPr>
            <w:noProof/>
            <w:webHidden/>
          </w:rPr>
        </w:r>
        <w:r w:rsidR="00AA1933">
          <w:rPr>
            <w:noProof/>
            <w:webHidden/>
          </w:rPr>
          <w:fldChar w:fldCharType="separate"/>
        </w:r>
        <w:r w:rsidR="00AA1933">
          <w:rPr>
            <w:noProof/>
            <w:webHidden/>
          </w:rPr>
          <w:t>23</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504" w:history="1">
        <w:r w:rsidR="00AA1933" w:rsidRPr="005F3D85">
          <w:rPr>
            <w:rStyle w:val="Hypertextovodkaz"/>
            <w:noProof/>
            <w:lang w:bidi="hi-IN"/>
          </w:rPr>
          <w:t xml:space="preserve">Tabulka č. 12: Náklady na zdravotní služby </w:t>
        </w:r>
        <w:r w:rsidR="00853129" w:rsidRPr="00853129">
          <w:rPr>
            <w:rStyle w:val="Hypertextovodkaz"/>
            <w:noProof/>
            <w:lang w:bidi="hi-IN"/>
          </w:rPr>
          <w:t xml:space="preserve">ze ZFZP </w:t>
        </w:r>
        <w:r w:rsidR="00AA1933" w:rsidRPr="005F3D85">
          <w:rPr>
            <w:rStyle w:val="Hypertextovodkaz"/>
            <w:noProof/>
            <w:lang w:bidi="hi-IN"/>
          </w:rPr>
          <w:t>podle segmentů a zdravotních pojišťoven v roce 2019 v přepočtu na pojištěnce</w:t>
        </w:r>
        <w:r w:rsidR="00AA1933">
          <w:rPr>
            <w:noProof/>
            <w:webHidden/>
          </w:rPr>
          <w:tab/>
        </w:r>
        <w:r w:rsidR="00AA1933">
          <w:rPr>
            <w:noProof/>
            <w:webHidden/>
          </w:rPr>
          <w:fldChar w:fldCharType="begin"/>
        </w:r>
        <w:r w:rsidR="00AA1933">
          <w:rPr>
            <w:noProof/>
            <w:webHidden/>
          </w:rPr>
          <w:instrText xml:space="preserve"> PAGEREF _Toc41837504 \h </w:instrText>
        </w:r>
        <w:r w:rsidR="00AA1933">
          <w:rPr>
            <w:noProof/>
            <w:webHidden/>
          </w:rPr>
        </w:r>
        <w:r w:rsidR="00AA1933">
          <w:rPr>
            <w:noProof/>
            <w:webHidden/>
          </w:rPr>
          <w:fldChar w:fldCharType="separate"/>
        </w:r>
        <w:r w:rsidR="00AA1933">
          <w:rPr>
            <w:noProof/>
            <w:webHidden/>
          </w:rPr>
          <w:t>24</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505" w:history="1">
        <w:r w:rsidR="00AA1933" w:rsidRPr="005F3D85">
          <w:rPr>
            <w:rStyle w:val="Hypertextovodkaz"/>
            <w:noProof/>
            <w:lang w:bidi="hi-IN"/>
          </w:rPr>
          <w:t>Tabulka č. 13: Překročení zákonného limitu</w:t>
        </w:r>
        <w:r w:rsidR="00AA1933">
          <w:rPr>
            <w:noProof/>
            <w:webHidden/>
          </w:rPr>
          <w:tab/>
        </w:r>
        <w:r w:rsidR="00AA1933">
          <w:rPr>
            <w:noProof/>
            <w:webHidden/>
          </w:rPr>
          <w:fldChar w:fldCharType="begin"/>
        </w:r>
        <w:r w:rsidR="00AA1933">
          <w:rPr>
            <w:noProof/>
            <w:webHidden/>
          </w:rPr>
          <w:instrText xml:space="preserve"> PAGEREF _Toc41837505 \h </w:instrText>
        </w:r>
        <w:r w:rsidR="00AA1933">
          <w:rPr>
            <w:noProof/>
            <w:webHidden/>
          </w:rPr>
        </w:r>
        <w:r w:rsidR="00AA1933">
          <w:rPr>
            <w:noProof/>
            <w:webHidden/>
          </w:rPr>
          <w:fldChar w:fldCharType="separate"/>
        </w:r>
        <w:r w:rsidR="00AA1933">
          <w:rPr>
            <w:noProof/>
            <w:webHidden/>
          </w:rPr>
          <w:t>24</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506" w:history="1">
        <w:r w:rsidR="00AA1933" w:rsidRPr="005F3D85">
          <w:rPr>
            <w:rStyle w:val="Hypertextovodkaz"/>
            <w:noProof/>
            <w:lang w:bidi="hi-IN"/>
          </w:rPr>
          <w:t>Tabulka č. 14: Vývoj nákladů na léčení zahraničních pojištěnců v České republice</w:t>
        </w:r>
        <w:r w:rsidR="00AA1933">
          <w:rPr>
            <w:noProof/>
            <w:webHidden/>
          </w:rPr>
          <w:tab/>
        </w:r>
        <w:r w:rsidR="00AA1933">
          <w:rPr>
            <w:noProof/>
            <w:webHidden/>
          </w:rPr>
          <w:fldChar w:fldCharType="begin"/>
        </w:r>
        <w:r w:rsidR="00AA1933">
          <w:rPr>
            <w:noProof/>
            <w:webHidden/>
          </w:rPr>
          <w:instrText xml:space="preserve"> PAGEREF _Toc41837506 \h </w:instrText>
        </w:r>
        <w:r w:rsidR="00AA1933">
          <w:rPr>
            <w:noProof/>
            <w:webHidden/>
          </w:rPr>
        </w:r>
        <w:r w:rsidR="00AA1933">
          <w:rPr>
            <w:noProof/>
            <w:webHidden/>
          </w:rPr>
          <w:fldChar w:fldCharType="separate"/>
        </w:r>
        <w:r w:rsidR="00AA1933">
          <w:rPr>
            <w:noProof/>
            <w:webHidden/>
          </w:rPr>
          <w:t>25</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507" w:history="1">
        <w:r w:rsidR="00AA1933" w:rsidRPr="005F3D85">
          <w:rPr>
            <w:rStyle w:val="Hypertextovodkaz"/>
            <w:noProof/>
            <w:lang w:bidi="hi-IN"/>
          </w:rPr>
          <w:t>Tabulka č. 15: Náklady na léčení zahraničních pojištěnců v České republice podle zdravotních pojišťoven v roce 2019</w:t>
        </w:r>
        <w:r w:rsidR="00AA1933">
          <w:rPr>
            <w:noProof/>
            <w:webHidden/>
          </w:rPr>
          <w:tab/>
        </w:r>
        <w:r w:rsidR="00AA1933">
          <w:rPr>
            <w:noProof/>
            <w:webHidden/>
          </w:rPr>
          <w:fldChar w:fldCharType="begin"/>
        </w:r>
        <w:r w:rsidR="00AA1933">
          <w:rPr>
            <w:noProof/>
            <w:webHidden/>
          </w:rPr>
          <w:instrText xml:space="preserve"> PAGEREF _Toc41837507 \h </w:instrText>
        </w:r>
        <w:r w:rsidR="00AA1933">
          <w:rPr>
            <w:noProof/>
            <w:webHidden/>
          </w:rPr>
        </w:r>
        <w:r w:rsidR="00AA1933">
          <w:rPr>
            <w:noProof/>
            <w:webHidden/>
          </w:rPr>
          <w:fldChar w:fldCharType="separate"/>
        </w:r>
        <w:r w:rsidR="00AA1933">
          <w:rPr>
            <w:noProof/>
            <w:webHidden/>
          </w:rPr>
          <w:t>25</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508" w:history="1">
        <w:r w:rsidR="00AA1933" w:rsidRPr="005F3D85">
          <w:rPr>
            <w:rStyle w:val="Hypertextovodkaz"/>
            <w:noProof/>
            <w:lang w:bidi="hi-IN"/>
          </w:rPr>
          <w:t>Tabulka č. 16: Vývoj nákladů na preventivní zdravotní péči čerpaných z fondu prevence ZP a specifických fondů VoZP ČR</w:t>
        </w:r>
        <w:r w:rsidR="00AA1933">
          <w:rPr>
            <w:noProof/>
            <w:webHidden/>
          </w:rPr>
          <w:tab/>
        </w:r>
        <w:r w:rsidR="00AA1933">
          <w:rPr>
            <w:noProof/>
            <w:webHidden/>
          </w:rPr>
          <w:fldChar w:fldCharType="begin"/>
        </w:r>
        <w:r w:rsidR="00AA1933">
          <w:rPr>
            <w:noProof/>
            <w:webHidden/>
          </w:rPr>
          <w:instrText xml:space="preserve"> PAGEREF _Toc41837508 \h </w:instrText>
        </w:r>
        <w:r w:rsidR="00AA1933">
          <w:rPr>
            <w:noProof/>
            <w:webHidden/>
          </w:rPr>
        </w:r>
        <w:r w:rsidR="00AA1933">
          <w:rPr>
            <w:noProof/>
            <w:webHidden/>
          </w:rPr>
          <w:fldChar w:fldCharType="separate"/>
        </w:r>
        <w:r w:rsidR="00AA1933">
          <w:rPr>
            <w:noProof/>
            <w:webHidden/>
          </w:rPr>
          <w:t>26</w:t>
        </w:r>
        <w:r w:rsidR="00AA1933">
          <w:rPr>
            <w:noProof/>
            <w:webHidden/>
          </w:rPr>
          <w:fldChar w:fldCharType="end"/>
        </w:r>
      </w:hyperlink>
    </w:p>
    <w:p w:rsidR="00AA1933" w:rsidRDefault="006E3D23">
      <w:pPr>
        <w:pStyle w:val="Seznamobrzk"/>
        <w:tabs>
          <w:tab w:val="right" w:leader="dot" w:pos="9628"/>
        </w:tabs>
        <w:rPr>
          <w:rFonts w:eastAsiaTheme="minorEastAsia"/>
          <w:noProof/>
          <w:sz w:val="22"/>
          <w:lang w:eastAsia="cs-CZ"/>
        </w:rPr>
      </w:pPr>
      <w:hyperlink w:anchor="_Toc41837509" w:history="1">
        <w:r w:rsidR="00AA1933" w:rsidRPr="005F3D85">
          <w:rPr>
            <w:rStyle w:val="Hypertextovodkaz"/>
            <w:noProof/>
            <w:lang w:bidi="hi-IN"/>
          </w:rPr>
          <w:t>Tabulka č. 17: Náklady na preventivní zdravotní péči čerpané z fondu prevence ZP a specifických fondů VoZP ČR podle zdravotních pojišťoven v roce 2019</w:t>
        </w:r>
        <w:r w:rsidR="00AA1933">
          <w:rPr>
            <w:noProof/>
            <w:webHidden/>
          </w:rPr>
          <w:tab/>
        </w:r>
        <w:r w:rsidR="00AA1933">
          <w:rPr>
            <w:noProof/>
            <w:webHidden/>
          </w:rPr>
          <w:fldChar w:fldCharType="begin"/>
        </w:r>
        <w:r w:rsidR="00AA1933">
          <w:rPr>
            <w:noProof/>
            <w:webHidden/>
          </w:rPr>
          <w:instrText xml:space="preserve"> PAGEREF _Toc41837509 \h </w:instrText>
        </w:r>
        <w:r w:rsidR="00AA1933">
          <w:rPr>
            <w:noProof/>
            <w:webHidden/>
          </w:rPr>
        </w:r>
        <w:r w:rsidR="00AA1933">
          <w:rPr>
            <w:noProof/>
            <w:webHidden/>
          </w:rPr>
          <w:fldChar w:fldCharType="separate"/>
        </w:r>
        <w:r w:rsidR="00AA1933">
          <w:rPr>
            <w:noProof/>
            <w:webHidden/>
          </w:rPr>
          <w:t>27</w:t>
        </w:r>
        <w:r w:rsidR="00AA1933">
          <w:rPr>
            <w:noProof/>
            <w:webHidden/>
          </w:rPr>
          <w:fldChar w:fldCharType="end"/>
        </w:r>
      </w:hyperlink>
    </w:p>
    <w:p w:rsidR="00111366" w:rsidRDefault="00360ED9" w:rsidP="000E6678">
      <w:pPr>
        <w:pStyle w:val="Seznamobrzk"/>
        <w:tabs>
          <w:tab w:val="right" w:leader="dot" w:pos="9628"/>
        </w:tabs>
      </w:pPr>
      <w:r>
        <w:fldChar w:fldCharType="end"/>
      </w:r>
      <w:r w:rsidR="00111366">
        <w:br w:type="page"/>
      </w:r>
    </w:p>
    <w:p w:rsidR="00111366" w:rsidRPr="00AF37E6" w:rsidRDefault="00111366" w:rsidP="00111366">
      <w:pPr>
        <w:pStyle w:val="Nadpis1"/>
      </w:pPr>
      <w:bookmarkStart w:id="58" w:name="_Toc41898968"/>
      <w:r>
        <w:lastRenderedPageBreak/>
        <w:t>Tabulková příloha</w:t>
      </w:r>
      <w:bookmarkEnd w:id="58"/>
    </w:p>
    <w:p w:rsidR="00355502" w:rsidRDefault="00355502" w:rsidP="00355502">
      <w:pPr>
        <w:jc w:val="both"/>
      </w:pPr>
      <w:r w:rsidRPr="00CE63EA">
        <w:rPr>
          <w:szCs w:val="21"/>
        </w:rPr>
        <w:t xml:space="preserve">Tabulková příloha podrobněji </w:t>
      </w:r>
      <w:r>
        <w:rPr>
          <w:szCs w:val="21"/>
        </w:rPr>
        <w:t>zobrazuje</w:t>
      </w:r>
      <w:r w:rsidRPr="00CE63EA">
        <w:rPr>
          <w:rFonts w:ascii="Calibri" w:hAnsi="Calibri"/>
          <w:spacing w:val="-10"/>
          <w:szCs w:val="21"/>
        </w:rPr>
        <w:t xml:space="preserve"> vývoj systému veřejného zdravotního pojištění</w:t>
      </w:r>
      <w:r>
        <w:rPr>
          <w:rFonts w:ascii="Calibri" w:hAnsi="Calibri"/>
          <w:spacing w:val="-10"/>
          <w:szCs w:val="21"/>
        </w:rPr>
        <w:t xml:space="preserve"> jako celku i</w:t>
      </w:r>
      <w:r w:rsidRPr="00CE63EA">
        <w:rPr>
          <w:rFonts w:ascii="Calibri" w:hAnsi="Calibri"/>
          <w:spacing w:val="-10"/>
          <w:szCs w:val="21"/>
        </w:rPr>
        <w:t xml:space="preserve"> jednotlivý</w:t>
      </w:r>
      <w:r>
        <w:rPr>
          <w:rFonts w:ascii="Calibri" w:hAnsi="Calibri"/>
          <w:spacing w:val="-10"/>
          <w:szCs w:val="21"/>
        </w:rPr>
        <w:t>ch</w:t>
      </w:r>
      <w:r w:rsidRPr="00CE63EA">
        <w:rPr>
          <w:rFonts w:ascii="Calibri" w:hAnsi="Calibri"/>
          <w:spacing w:val="-10"/>
          <w:szCs w:val="21"/>
        </w:rPr>
        <w:t xml:space="preserve"> </w:t>
      </w:r>
      <w:r>
        <w:rPr>
          <w:rFonts w:ascii="Calibri" w:hAnsi="Calibri"/>
          <w:spacing w:val="-10"/>
          <w:szCs w:val="21"/>
        </w:rPr>
        <w:t xml:space="preserve">zdravotních </w:t>
      </w:r>
      <w:r w:rsidRPr="00CE63EA">
        <w:rPr>
          <w:rFonts w:ascii="Calibri" w:hAnsi="Calibri"/>
          <w:spacing w:val="-10"/>
          <w:szCs w:val="21"/>
        </w:rPr>
        <w:t>pojišťov</w:t>
      </w:r>
      <w:r>
        <w:rPr>
          <w:rFonts w:ascii="Calibri" w:hAnsi="Calibri"/>
          <w:spacing w:val="-10"/>
          <w:szCs w:val="21"/>
        </w:rPr>
        <w:t>e</w:t>
      </w:r>
      <w:r w:rsidRPr="00CE63EA">
        <w:rPr>
          <w:rFonts w:ascii="Calibri" w:hAnsi="Calibri"/>
          <w:spacing w:val="-10"/>
          <w:szCs w:val="21"/>
        </w:rPr>
        <w:t>n.</w:t>
      </w:r>
      <w:r w:rsidRPr="00CE63EA">
        <w:t xml:space="preserve"> </w:t>
      </w:r>
    </w:p>
    <w:p w:rsidR="00355502" w:rsidRPr="007E1F99" w:rsidRDefault="00355502" w:rsidP="00355502">
      <w:pPr>
        <w:pStyle w:val="Nadpis2"/>
        <w:numPr>
          <w:ilvl w:val="0"/>
          <w:numId w:val="0"/>
        </w:numPr>
        <w:ind w:left="576" w:hanging="576"/>
      </w:pPr>
      <w:bookmarkStart w:id="59" w:name="_Toc25072442"/>
      <w:bookmarkStart w:id="60" w:name="_Toc41898969"/>
      <w:r w:rsidRPr="007E1F99">
        <w:t>Přehled</w:t>
      </w:r>
      <w:bookmarkEnd w:id="59"/>
      <w:bookmarkEnd w:id="60"/>
    </w:p>
    <w:p w:rsidR="00DA6B5E" w:rsidRPr="00AD2E56" w:rsidRDefault="00DA6B5E" w:rsidP="00AD2E56">
      <w:pPr>
        <w:spacing w:line="23" w:lineRule="atLeast"/>
        <w:ind w:left="2127" w:hanging="2127"/>
        <w:jc w:val="both"/>
        <w:rPr>
          <w:bCs/>
        </w:rPr>
      </w:pPr>
      <w:r w:rsidRPr="00AD2E56">
        <w:rPr>
          <w:b/>
        </w:rPr>
        <w:t>Tabulka č. 1</w:t>
      </w:r>
      <w:r w:rsidRPr="00AD2E56">
        <w:rPr>
          <w:b/>
        </w:rPr>
        <w:tab/>
      </w:r>
      <w:r w:rsidRPr="00AD2E56">
        <w:rPr>
          <w:bCs/>
        </w:rPr>
        <w:t>Vybrané ukazatele hospodaření zdravotních pojišťoven v letech 201</w:t>
      </w:r>
      <w:r w:rsidR="00CF2590">
        <w:rPr>
          <w:bCs/>
        </w:rPr>
        <w:t>8</w:t>
      </w:r>
      <w:r w:rsidRPr="00AD2E56">
        <w:rPr>
          <w:bCs/>
        </w:rPr>
        <w:t xml:space="preserve"> a 201</w:t>
      </w:r>
      <w:r w:rsidR="00CF2590">
        <w:rPr>
          <w:bCs/>
        </w:rPr>
        <w:t>9</w:t>
      </w:r>
    </w:p>
    <w:p w:rsidR="00DA6B5E" w:rsidRPr="00AD2E56" w:rsidRDefault="00DA6B5E" w:rsidP="00AD2E56">
      <w:pPr>
        <w:spacing w:line="23" w:lineRule="atLeast"/>
        <w:ind w:left="2127" w:hanging="2127"/>
        <w:jc w:val="both"/>
        <w:rPr>
          <w:b/>
        </w:rPr>
      </w:pPr>
      <w:r w:rsidRPr="00AD2E56">
        <w:rPr>
          <w:b/>
        </w:rPr>
        <w:t>Tabulka č. 1a</w:t>
      </w:r>
      <w:r w:rsidRPr="00AD2E56">
        <w:rPr>
          <w:b/>
        </w:rPr>
        <w:tab/>
      </w:r>
      <w:r w:rsidRPr="00AD2E56">
        <w:rPr>
          <w:bCs/>
        </w:rPr>
        <w:t>Náklady na činnost zdravotních pojišťoven v letech 201</w:t>
      </w:r>
      <w:r w:rsidR="00CF2590">
        <w:rPr>
          <w:bCs/>
        </w:rPr>
        <w:t>8</w:t>
      </w:r>
      <w:r w:rsidRPr="00AD2E56">
        <w:rPr>
          <w:bCs/>
        </w:rPr>
        <w:t xml:space="preserve"> a 201</w:t>
      </w:r>
      <w:r w:rsidR="00CF2590">
        <w:rPr>
          <w:bCs/>
        </w:rPr>
        <w:t>9</w:t>
      </w:r>
    </w:p>
    <w:p w:rsidR="00DA6B5E" w:rsidRPr="00AD2E56" w:rsidRDefault="00DA6B5E" w:rsidP="00AD2E56">
      <w:pPr>
        <w:spacing w:line="23" w:lineRule="atLeast"/>
        <w:ind w:left="2127" w:hanging="2127"/>
        <w:jc w:val="both"/>
        <w:rPr>
          <w:bCs/>
        </w:rPr>
      </w:pPr>
      <w:r w:rsidRPr="00AD2E56">
        <w:rPr>
          <w:b/>
        </w:rPr>
        <w:t>Tabulka č. 1b</w:t>
      </w:r>
      <w:r w:rsidRPr="00AD2E56">
        <w:rPr>
          <w:b/>
        </w:rPr>
        <w:tab/>
      </w:r>
      <w:r w:rsidRPr="00AD2E56">
        <w:rPr>
          <w:bCs/>
        </w:rPr>
        <w:t>Finanční zůstatky na bankovních účtech základního fondu zdravotního pojištění podle jednotlivých zdravotních pojišťoven k 31. 12. 201</w:t>
      </w:r>
      <w:r w:rsidR="00CF2590">
        <w:rPr>
          <w:bCs/>
        </w:rPr>
        <w:t>8</w:t>
      </w:r>
      <w:r w:rsidRPr="00AD2E56">
        <w:rPr>
          <w:bCs/>
        </w:rPr>
        <w:t xml:space="preserve"> a 31. 12. 201</w:t>
      </w:r>
      <w:r w:rsidR="00CF2590">
        <w:rPr>
          <w:bCs/>
        </w:rPr>
        <w:t>9</w:t>
      </w:r>
    </w:p>
    <w:p w:rsidR="00DA6B5E" w:rsidRPr="00AD2E56" w:rsidRDefault="00DA6B5E" w:rsidP="00AD2E56">
      <w:pPr>
        <w:spacing w:line="23" w:lineRule="atLeast"/>
        <w:ind w:left="2127" w:hanging="2127"/>
        <w:jc w:val="both"/>
        <w:rPr>
          <w:b/>
        </w:rPr>
      </w:pPr>
      <w:r w:rsidRPr="00AD2E56">
        <w:rPr>
          <w:b/>
        </w:rPr>
        <w:t>Tabulka č. 1c</w:t>
      </w:r>
      <w:r w:rsidRPr="00AD2E56">
        <w:rPr>
          <w:b/>
        </w:rPr>
        <w:tab/>
      </w:r>
      <w:r w:rsidRPr="00AD2E56">
        <w:rPr>
          <w:bCs/>
        </w:rPr>
        <w:t>Výstupy z přerozdělování platby státu podle skutečnosti 201</w:t>
      </w:r>
      <w:r w:rsidR="00CF2590">
        <w:rPr>
          <w:bCs/>
        </w:rPr>
        <w:t>7</w:t>
      </w:r>
      <w:r w:rsidRPr="00AD2E56">
        <w:rPr>
          <w:bCs/>
        </w:rPr>
        <w:t xml:space="preserve"> až 201</w:t>
      </w:r>
      <w:r w:rsidR="00CF2590">
        <w:rPr>
          <w:bCs/>
        </w:rPr>
        <w:t>9</w:t>
      </w:r>
    </w:p>
    <w:p w:rsidR="00DA6B5E" w:rsidRPr="00AD2E56" w:rsidRDefault="00DA6B5E" w:rsidP="00AD2E56">
      <w:pPr>
        <w:spacing w:line="23" w:lineRule="atLeast"/>
        <w:ind w:left="2127" w:hanging="2127"/>
        <w:jc w:val="both"/>
        <w:rPr>
          <w:b/>
        </w:rPr>
      </w:pPr>
      <w:r w:rsidRPr="00AD2E56">
        <w:rPr>
          <w:b/>
        </w:rPr>
        <w:t>Tabulka č. 1d</w:t>
      </w:r>
      <w:r w:rsidRPr="00AD2E56">
        <w:rPr>
          <w:b/>
        </w:rPr>
        <w:tab/>
      </w:r>
      <w:r w:rsidRPr="00AD2E56">
        <w:rPr>
          <w:bCs/>
        </w:rPr>
        <w:t>Zůstatky na rezervních fondech zdravotních pojišťoven k 31. 12. 201</w:t>
      </w:r>
      <w:r w:rsidR="00CF2590">
        <w:rPr>
          <w:bCs/>
        </w:rPr>
        <w:t>9</w:t>
      </w:r>
    </w:p>
    <w:p w:rsidR="00DA6B5E" w:rsidRPr="00AD2E56" w:rsidRDefault="00DA6B5E" w:rsidP="00AD2E56">
      <w:pPr>
        <w:spacing w:line="23" w:lineRule="atLeast"/>
        <w:ind w:left="2127" w:hanging="2127"/>
        <w:jc w:val="both"/>
        <w:rPr>
          <w:b/>
        </w:rPr>
      </w:pPr>
      <w:r w:rsidRPr="00AD2E56">
        <w:rPr>
          <w:b/>
        </w:rPr>
        <w:t>Tabulka č. 2</w:t>
      </w:r>
      <w:r w:rsidRPr="00AD2E56">
        <w:rPr>
          <w:b/>
        </w:rPr>
        <w:tab/>
      </w:r>
      <w:r w:rsidRPr="00AD2E56">
        <w:rPr>
          <w:bCs/>
        </w:rPr>
        <w:t>Rozvaha zdravotních pojišťoven k 31. 12. 201</w:t>
      </w:r>
      <w:r w:rsidR="00CF2590">
        <w:rPr>
          <w:bCs/>
        </w:rPr>
        <w:t>9</w:t>
      </w:r>
    </w:p>
    <w:p w:rsidR="00DA6B5E" w:rsidRPr="00AD2E56" w:rsidRDefault="00DA6B5E" w:rsidP="00AD2E56">
      <w:pPr>
        <w:spacing w:line="23" w:lineRule="atLeast"/>
        <w:ind w:left="2127" w:hanging="2127"/>
        <w:jc w:val="both"/>
        <w:rPr>
          <w:b/>
        </w:rPr>
      </w:pPr>
      <w:r w:rsidRPr="00AD2E56">
        <w:rPr>
          <w:b/>
        </w:rPr>
        <w:t>Tabulka č. 3</w:t>
      </w:r>
      <w:r w:rsidRPr="00AD2E56">
        <w:rPr>
          <w:b/>
        </w:rPr>
        <w:tab/>
      </w:r>
      <w:r w:rsidRPr="00AD2E56">
        <w:rPr>
          <w:bCs/>
        </w:rPr>
        <w:t>Struktura nákladů na zdravotní služby podle jednotlivých segmentů</w:t>
      </w:r>
    </w:p>
    <w:p w:rsidR="00DA6B5E" w:rsidRPr="00AD2E56" w:rsidRDefault="00DA6B5E" w:rsidP="00AD2E56">
      <w:pPr>
        <w:spacing w:line="23" w:lineRule="atLeast"/>
        <w:ind w:left="2127" w:hanging="2127"/>
        <w:jc w:val="both"/>
        <w:rPr>
          <w:b/>
        </w:rPr>
      </w:pPr>
      <w:r w:rsidRPr="00AD2E56">
        <w:rPr>
          <w:b/>
        </w:rPr>
        <w:t>Tabulka č. 3a</w:t>
      </w:r>
      <w:r w:rsidRPr="00AD2E56">
        <w:rPr>
          <w:b/>
        </w:rPr>
        <w:tab/>
      </w:r>
      <w:r w:rsidRPr="00AD2E56">
        <w:rPr>
          <w:bCs/>
        </w:rPr>
        <w:t>Struktura nákladů na zdravotní služby podle jednotlivých segmentů v přepočtu na 1 pojištěnce</w:t>
      </w:r>
    </w:p>
    <w:p w:rsidR="00DA6B5E" w:rsidRPr="00AD2E56" w:rsidRDefault="00DA6B5E" w:rsidP="00AD2E56">
      <w:pPr>
        <w:spacing w:line="23" w:lineRule="atLeast"/>
        <w:ind w:left="2127" w:hanging="2127"/>
        <w:jc w:val="both"/>
        <w:rPr>
          <w:b/>
        </w:rPr>
      </w:pPr>
      <w:r w:rsidRPr="00AD2E56">
        <w:rPr>
          <w:b/>
        </w:rPr>
        <w:t>Tabulka č. 3b</w:t>
      </w:r>
      <w:r w:rsidRPr="00AD2E56">
        <w:rPr>
          <w:b/>
        </w:rPr>
        <w:tab/>
      </w:r>
      <w:r w:rsidRPr="00AD2E56">
        <w:rPr>
          <w:bCs/>
        </w:rPr>
        <w:t>Vývoj nákladů na léčení zahraničních pojištěnců v České republice</w:t>
      </w:r>
    </w:p>
    <w:p w:rsidR="00DA6B5E" w:rsidRPr="00AD2E56" w:rsidRDefault="00DA6B5E" w:rsidP="00AD2E56">
      <w:pPr>
        <w:spacing w:line="23" w:lineRule="atLeast"/>
        <w:ind w:left="2127" w:hanging="2127"/>
        <w:jc w:val="both"/>
        <w:rPr>
          <w:b/>
        </w:rPr>
      </w:pPr>
      <w:r w:rsidRPr="00AD2E56">
        <w:rPr>
          <w:b/>
        </w:rPr>
        <w:t>Tabulka č. 3c</w:t>
      </w:r>
      <w:r w:rsidRPr="00AD2E56">
        <w:rPr>
          <w:b/>
        </w:rPr>
        <w:tab/>
      </w:r>
      <w:r w:rsidRPr="00AD2E56">
        <w:rPr>
          <w:bCs/>
        </w:rPr>
        <w:t>Náklady na preventivní zdravotní služby nad rámec v. z. p. hrazené z fondů prevence a jiných fondů</w:t>
      </w:r>
    </w:p>
    <w:p w:rsidR="00DA6B5E" w:rsidRPr="00AD2E56" w:rsidRDefault="00DA6B5E" w:rsidP="00AD2E56">
      <w:pPr>
        <w:spacing w:line="23" w:lineRule="atLeast"/>
        <w:ind w:left="2127" w:hanging="2127"/>
        <w:jc w:val="both"/>
        <w:rPr>
          <w:b/>
        </w:rPr>
      </w:pPr>
      <w:r w:rsidRPr="00AD2E56">
        <w:rPr>
          <w:b/>
        </w:rPr>
        <w:t>Tabulka č. 4</w:t>
      </w:r>
      <w:r w:rsidRPr="00AD2E56">
        <w:rPr>
          <w:b/>
        </w:rPr>
        <w:tab/>
      </w:r>
      <w:r w:rsidRPr="00AD2E56">
        <w:rPr>
          <w:bCs/>
        </w:rPr>
        <w:t xml:space="preserve">Vývoj hospodaření systému veřejného zdravotního pojištění v letech </w:t>
      </w:r>
      <w:proofErr w:type="gramStart"/>
      <w:r w:rsidRPr="00AD2E56">
        <w:rPr>
          <w:bCs/>
        </w:rPr>
        <w:t>201</w:t>
      </w:r>
      <w:r w:rsidR="00CF2590">
        <w:rPr>
          <w:bCs/>
        </w:rPr>
        <w:t>7</w:t>
      </w:r>
      <w:r w:rsidRPr="00AD2E56">
        <w:rPr>
          <w:bCs/>
        </w:rPr>
        <w:t xml:space="preserve"> - 201</w:t>
      </w:r>
      <w:r w:rsidR="00CF2590">
        <w:rPr>
          <w:bCs/>
        </w:rPr>
        <w:t>9</w:t>
      </w:r>
      <w:proofErr w:type="gramEnd"/>
    </w:p>
    <w:p w:rsidR="00DA6B5E" w:rsidRDefault="00DA6B5E" w:rsidP="00DA6B5E">
      <w:pPr>
        <w:pStyle w:val="Zkladntextodsazen2"/>
      </w:pPr>
    </w:p>
    <w:p w:rsidR="00111366" w:rsidRDefault="00111366">
      <w:pPr>
        <w:spacing w:after="200" w:line="276" w:lineRule="auto"/>
      </w:pPr>
      <w:r>
        <w:br w:type="page"/>
      </w:r>
    </w:p>
    <w:p w:rsidR="00111366" w:rsidRPr="00AF37E6" w:rsidRDefault="00E453BE" w:rsidP="00E453BE">
      <w:pPr>
        <w:pStyle w:val="Nadpis1"/>
      </w:pPr>
      <w:bookmarkStart w:id="61" w:name="_Toc41898970"/>
      <w:r w:rsidRPr="00E453BE">
        <w:lastRenderedPageBreak/>
        <w:t>Zkratky použité v textové části materiálu a tabulkových přílohách</w:t>
      </w:r>
      <w:bookmarkEnd w:id="61"/>
    </w:p>
    <w:p w:rsidR="00CF1904" w:rsidRPr="00AD2E56" w:rsidRDefault="00CF1904" w:rsidP="00AD2E56">
      <w:pPr>
        <w:spacing w:line="23" w:lineRule="atLeast"/>
        <w:ind w:left="2127" w:hanging="2127"/>
        <w:jc w:val="both"/>
        <w:rPr>
          <w:bCs/>
        </w:rPr>
      </w:pPr>
      <w:r w:rsidRPr="00AD2E56">
        <w:rPr>
          <w:b/>
        </w:rPr>
        <w:t>AČR</w:t>
      </w:r>
      <w:r w:rsidRPr="00AD2E56">
        <w:rPr>
          <w:b/>
        </w:rPr>
        <w:tab/>
      </w:r>
      <w:r w:rsidRPr="00AD2E56">
        <w:rPr>
          <w:bCs/>
        </w:rPr>
        <w:t>Armáda České republiky</w:t>
      </w:r>
    </w:p>
    <w:p w:rsidR="00CF1904" w:rsidRPr="00AD2E56" w:rsidRDefault="00CF1904" w:rsidP="00AD2E56">
      <w:pPr>
        <w:spacing w:line="23" w:lineRule="atLeast"/>
        <w:ind w:left="2127" w:hanging="2127"/>
        <w:jc w:val="both"/>
        <w:rPr>
          <w:b/>
        </w:rPr>
      </w:pPr>
      <w:r w:rsidRPr="00AD2E56">
        <w:rPr>
          <w:b/>
        </w:rPr>
        <w:t>BÚ</w:t>
      </w:r>
      <w:r w:rsidRPr="00AD2E56">
        <w:rPr>
          <w:b/>
        </w:rPr>
        <w:tab/>
      </w:r>
      <w:r w:rsidRPr="00AD2E56">
        <w:rPr>
          <w:bCs/>
        </w:rPr>
        <w:t>Bankovní účet (stavy zůstatků na bankovním účtu příslušného fondu, které v sobě zahrnují stav peněžních prostředků na běžném účtu, hodnoty v pokladnách i hodnoty peněz na cestě, případně i termínované vklady, případně i hodnoty cenných papírů příslušejících danému fondu)</w:t>
      </w:r>
    </w:p>
    <w:p w:rsidR="00CF1904" w:rsidRPr="00AD2E56" w:rsidRDefault="00CF1904" w:rsidP="00AD2E56">
      <w:pPr>
        <w:spacing w:line="23" w:lineRule="atLeast"/>
        <w:ind w:left="2127" w:hanging="2127"/>
        <w:jc w:val="both"/>
        <w:rPr>
          <w:bCs/>
        </w:rPr>
      </w:pPr>
      <w:r w:rsidRPr="00AD2E56">
        <w:rPr>
          <w:b/>
        </w:rPr>
        <w:t>Cizinci</w:t>
      </w:r>
      <w:r w:rsidRPr="00AD2E56">
        <w:rPr>
          <w:b/>
        </w:rPr>
        <w:tab/>
      </w:r>
      <w:r w:rsidRPr="00AD2E56">
        <w:rPr>
          <w:bCs/>
        </w:rPr>
        <w:t>pojištěnci jiných členských států EU, EHP, Švýcarské konfederace, popřípadě dalších států, se kterými ČR uzavřela mezinárodní smlouvu o sociálním zabezpečení</w:t>
      </w:r>
    </w:p>
    <w:p w:rsidR="00CF1904" w:rsidRPr="00AD2E56" w:rsidRDefault="00CF1904" w:rsidP="00AD2E56">
      <w:pPr>
        <w:spacing w:line="23" w:lineRule="atLeast"/>
        <w:ind w:left="2127" w:hanging="2127"/>
        <w:jc w:val="both"/>
        <w:rPr>
          <w:bCs/>
        </w:rPr>
      </w:pPr>
      <w:r w:rsidRPr="00AD2E56">
        <w:rPr>
          <w:b/>
        </w:rPr>
        <w:t>CP</w:t>
      </w:r>
      <w:r w:rsidRPr="00AD2E56">
        <w:rPr>
          <w:b/>
        </w:rPr>
        <w:tab/>
      </w:r>
      <w:r w:rsidRPr="00AD2E56">
        <w:rPr>
          <w:bCs/>
        </w:rPr>
        <w:t>Cenné papíry</w:t>
      </w:r>
    </w:p>
    <w:p w:rsidR="00CF1904" w:rsidRPr="00AD2E56" w:rsidRDefault="00CF1904" w:rsidP="00AD2E56">
      <w:pPr>
        <w:spacing w:line="23" w:lineRule="atLeast"/>
        <w:ind w:left="2127" w:hanging="2127"/>
        <w:jc w:val="both"/>
        <w:rPr>
          <w:b/>
        </w:rPr>
      </w:pPr>
      <w:r w:rsidRPr="00AD2E56">
        <w:rPr>
          <w:b/>
        </w:rPr>
        <w:t>ČLK</w:t>
      </w:r>
      <w:r w:rsidRPr="00AD2E56">
        <w:rPr>
          <w:b/>
        </w:rPr>
        <w:tab/>
      </w:r>
      <w:r w:rsidRPr="00AD2E56">
        <w:rPr>
          <w:bCs/>
        </w:rPr>
        <w:t>Česká lékařská komora</w:t>
      </w:r>
    </w:p>
    <w:p w:rsidR="00CF1904" w:rsidRPr="00AD2E56" w:rsidRDefault="00CF1904" w:rsidP="00AD2E56">
      <w:pPr>
        <w:spacing w:line="23" w:lineRule="atLeast"/>
        <w:ind w:left="2127" w:hanging="2127"/>
        <w:jc w:val="both"/>
        <w:rPr>
          <w:b/>
        </w:rPr>
      </w:pPr>
      <w:r w:rsidRPr="00AD2E56">
        <w:rPr>
          <w:b/>
        </w:rPr>
        <w:t>ČNB</w:t>
      </w:r>
      <w:r w:rsidRPr="00AD2E56">
        <w:rPr>
          <w:b/>
        </w:rPr>
        <w:tab/>
      </w:r>
      <w:r w:rsidRPr="00AD2E56">
        <w:rPr>
          <w:bCs/>
        </w:rPr>
        <w:t>Česká národní banka</w:t>
      </w:r>
      <w:r w:rsidRPr="00AD2E56">
        <w:rPr>
          <w:b/>
        </w:rPr>
        <w:t xml:space="preserve"> </w:t>
      </w:r>
    </w:p>
    <w:p w:rsidR="00CF1904" w:rsidRPr="00AD2E56" w:rsidRDefault="00CF1904" w:rsidP="00AD2E56">
      <w:pPr>
        <w:spacing w:line="23" w:lineRule="atLeast"/>
        <w:ind w:left="2127" w:hanging="2127"/>
        <w:jc w:val="both"/>
        <w:rPr>
          <w:b/>
        </w:rPr>
      </w:pPr>
      <w:r w:rsidRPr="00AD2E56">
        <w:rPr>
          <w:b/>
        </w:rPr>
        <w:t xml:space="preserve">ČPZP </w:t>
      </w:r>
      <w:r w:rsidRPr="00AD2E56">
        <w:rPr>
          <w:b/>
        </w:rPr>
        <w:tab/>
      </w:r>
      <w:r w:rsidRPr="00AD2E56">
        <w:rPr>
          <w:bCs/>
        </w:rPr>
        <w:t>Česká průmyslová zdravotní pojišťovna</w:t>
      </w:r>
    </w:p>
    <w:p w:rsidR="00CF1904" w:rsidRPr="00AD2E56" w:rsidRDefault="00CF1904" w:rsidP="00AD2E56">
      <w:pPr>
        <w:spacing w:line="23" w:lineRule="atLeast"/>
        <w:ind w:left="2127" w:hanging="2127"/>
        <w:jc w:val="both"/>
        <w:rPr>
          <w:bCs/>
        </w:rPr>
      </w:pPr>
      <w:r w:rsidRPr="00AD2E56">
        <w:rPr>
          <w:b/>
        </w:rPr>
        <w:t>ČR</w:t>
      </w:r>
      <w:r w:rsidRPr="00AD2E56">
        <w:rPr>
          <w:b/>
        </w:rPr>
        <w:tab/>
      </w:r>
      <w:r w:rsidRPr="00AD2E56">
        <w:rPr>
          <w:bCs/>
        </w:rPr>
        <w:t>Česká republika</w:t>
      </w:r>
    </w:p>
    <w:p w:rsidR="00CF1904" w:rsidRPr="00AD2E56" w:rsidRDefault="00CF1904" w:rsidP="00AD2E56">
      <w:pPr>
        <w:spacing w:line="23" w:lineRule="atLeast"/>
        <w:ind w:left="2127" w:hanging="2127"/>
        <w:jc w:val="both"/>
        <w:rPr>
          <w:b/>
        </w:rPr>
      </w:pPr>
      <w:r w:rsidRPr="00AD2E56">
        <w:rPr>
          <w:b/>
        </w:rPr>
        <w:t>ČSÚ</w:t>
      </w:r>
      <w:r w:rsidRPr="00AD2E56">
        <w:rPr>
          <w:b/>
        </w:rPr>
        <w:tab/>
      </w:r>
      <w:r w:rsidRPr="00AD2E56">
        <w:rPr>
          <w:bCs/>
        </w:rPr>
        <w:t>Český statistický úřad</w:t>
      </w:r>
    </w:p>
    <w:p w:rsidR="00CF1904" w:rsidRPr="00AD2E56" w:rsidRDefault="00CF1904" w:rsidP="00AD2E56">
      <w:pPr>
        <w:spacing w:line="23" w:lineRule="atLeast"/>
        <w:ind w:left="2127" w:hanging="2127"/>
        <w:jc w:val="both"/>
        <w:rPr>
          <w:bCs/>
        </w:rPr>
      </w:pPr>
      <w:r w:rsidRPr="00AD2E56">
        <w:rPr>
          <w:b/>
        </w:rPr>
        <w:t>DR</w:t>
      </w:r>
      <w:r w:rsidRPr="00AD2E56">
        <w:rPr>
          <w:b/>
        </w:rPr>
        <w:tab/>
      </w:r>
      <w:r w:rsidRPr="00AD2E56">
        <w:rPr>
          <w:bCs/>
        </w:rPr>
        <w:t>Dozorčí rada</w:t>
      </w:r>
    </w:p>
    <w:p w:rsidR="00CF1904" w:rsidRPr="00AD2E56" w:rsidRDefault="00CF1904" w:rsidP="00AD2E56">
      <w:pPr>
        <w:spacing w:line="23" w:lineRule="atLeast"/>
        <w:ind w:left="2127" w:hanging="2127"/>
        <w:jc w:val="both"/>
        <w:rPr>
          <w:bCs/>
        </w:rPr>
      </w:pPr>
      <w:r w:rsidRPr="00AD2E56">
        <w:rPr>
          <w:b/>
        </w:rPr>
        <w:t>DRG</w:t>
      </w:r>
      <w:r w:rsidRPr="00AD2E56">
        <w:rPr>
          <w:b/>
        </w:rPr>
        <w:tab/>
      </w:r>
      <w:r w:rsidRPr="00AD2E56">
        <w:rPr>
          <w:bCs/>
        </w:rPr>
        <w:t>Platba za diagnostické skupiny (</w:t>
      </w:r>
      <w:proofErr w:type="spellStart"/>
      <w:r w:rsidRPr="00AD2E56">
        <w:rPr>
          <w:bCs/>
        </w:rPr>
        <w:t>Diagnosis</w:t>
      </w:r>
      <w:proofErr w:type="spellEnd"/>
      <w:r w:rsidRPr="00AD2E56">
        <w:rPr>
          <w:bCs/>
        </w:rPr>
        <w:t xml:space="preserve"> </w:t>
      </w:r>
      <w:proofErr w:type="spellStart"/>
      <w:r w:rsidRPr="00AD2E56">
        <w:rPr>
          <w:bCs/>
        </w:rPr>
        <w:t>Related</w:t>
      </w:r>
      <w:proofErr w:type="spellEnd"/>
      <w:r w:rsidRPr="00AD2E56">
        <w:rPr>
          <w:bCs/>
        </w:rPr>
        <w:t xml:space="preserve"> Group)</w:t>
      </w:r>
    </w:p>
    <w:p w:rsidR="00CF1904" w:rsidRPr="00AD2E56" w:rsidRDefault="00CF1904" w:rsidP="00AD2E56">
      <w:pPr>
        <w:spacing w:line="23" w:lineRule="atLeast"/>
        <w:ind w:left="2127" w:hanging="2127"/>
        <w:jc w:val="both"/>
        <w:rPr>
          <w:bCs/>
        </w:rPr>
      </w:pPr>
      <w:r w:rsidRPr="00AD2E56">
        <w:rPr>
          <w:b/>
        </w:rPr>
        <w:t>EU</w:t>
      </w:r>
      <w:r w:rsidRPr="00AD2E56">
        <w:rPr>
          <w:b/>
        </w:rPr>
        <w:tab/>
      </w:r>
      <w:r w:rsidRPr="00AD2E56">
        <w:rPr>
          <w:bCs/>
        </w:rPr>
        <w:t xml:space="preserve">Evropská unie </w:t>
      </w:r>
    </w:p>
    <w:p w:rsidR="00CF1904" w:rsidRPr="00AD2E56" w:rsidRDefault="00CF1904" w:rsidP="00AD2E56">
      <w:pPr>
        <w:spacing w:line="23" w:lineRule="atLeast"/>
        <w:ind w:left="2127" w:hanging="2127"/>
        <w:jc w:val="both"/>
        <w:rPr>
          <w:bCs/>
        </w:rPr>
      </w:pPr>
      <w:r w:rsidRPr="00AD2E56">
        <w:rPr>
          <w:b/>
        </w:rPr>
        <w:t>FPÚPP</w:t>
      </w:r>
      <w:r w:rsidRPr="00AD2E56">
        <w:rPr>
          <w:b/>
        </w:rPr>
        <w:tab/>
      </w:r>
      <w:r w:rsidRPr="00AD2E56">
        <w:rPr>
          <w:bCs/>
        </w:rPr>
        <w:t>Fond pro úhradu preventivní péče (pouze Vojenská zdravotní pojišťovna ČR)</w:t>
      </w:r>
    </w:p>
    <w:p w:rsidR="00CF1904" w:rsidRPr="00AD2E56" w:rsidRDefault="00CF1904" w:rsidP="00AD2E56">
      <w:pPr>
        <w:spacing w:line="23" w:lineRule="atLeast"/>
        <w:ind w:left="2127" w:hanging="2127"/>
        <w:jc w:val="both"/>
        <w:rPr>
          <w:b/>
        </w:rPr>
      </w:pPr>
      <w:r w:rsidRPr="00AD2E56">
        <w:rPr>
          <w:b/>
        </w:rPr>
        <w:t>FZÚZP</w:t>
      </w:r>
      <w:r w:rsidRPr="00AD2E56">
        <w:rPr>
          <w:b/>
        </w:rPr>
        <w:tab/>
      </w:r>
      <w:r w:rsidRPr="00AD2E56">
        <w:rPr>
          <w:bCs/>
        </w:rPr>
        <w:t>Fond zprostředkování úhrady zdravotní péče (pouze Vojenská zdravotní pojišťovna ČR)</w:t>
      </w:r>
    </w:p>
    <w:p w:rsidR="00CF1904" w:rsidRPr="00AD2E56" w:rsidRDefault="00CF1904" w:rsidP="00AD2E56">
      <w:pPr>
        <w:spacing w:line="23" w:lineRule="atLeast"/>
        <w:ind w:left="2127" w:hanging="2127"/>
        <w:jc w:val="both"/>
        <w:rPr>
          <w:bCs/>
        </w:rPr>
      </w:pPr>
      <w:proofErr w:type="spellStart"/>
      <w:r w:rsidRPr="00AD2E56">
        <w:rPr>
          <w:b/>
        </w:rPr>
        <w:t>Fprev</w:t>
      </w:r>
      <w:proofErr w:type="spellEnd"/>
      <w:r w:rsidRPr="00AD2E56">
        <w:rPr>
          <w:b/>
        </w:rPr>
        <w:tab/>
      </w:r>
      <w:r w:rsidRPr="00AD2E56">
        <w:rPr>
          <w:bCs/>
        </w:rPr>
        <w:t>Fond prevence</w:t>
      </w:r>
    </w:p>
    <w:p w:rsidR="00CF1904" w:rsidRPr="00AD2E56" w:rsidRDefault="00CF1904" w:rsidP="00AD2E56">
      <w:pPr>
        <w:spacing w:line="23" w:lineRule="atLeast"/>
        <w:ind w:left="2127" w:hanging="2127"/>
        <w:jc w:val="both"/>
        <w:rPr>
          <w:b/>
        </w:rPr>
      </w:pPr>
      <w:r w:rsidRPr="00AD2E56">
        <w:rPr>
          <w:b/>
        </w:rPr>
        <w:t>FRM</w:t>
      </w:r>
      <w:r w:rsidRPr="00AD2E56">
        <w:rPr>
          <w:b/>
        </w:rPr>
        <w:tab/>
      </w:r>
      <w:r w:rsidRPr="00AD2E56">
        <w:rPr>
          <w:bCs/>
        </w:rPr>
        <w:t>Fond reprodukce majetku</w:t>
      </w:r>
    </w:p>
    <w:p w:rsidR="00CF1904" w:rsidRPr="00AD2E56" w:rsidRDefault="00CF1904" w:rsidP="00AD2E56">
      <w:pPr>
        <w:spacing w:line="23" w:lineRule="atLeast"/>
        <w:ind w:left="2127" w:hanging="2127"/>
        <w:jc w:val="both"/>
        <w:rPr>
          <w:b/>
        </w:rPr>
      </w:pPr>
      <w:r w:rsidRPr="00AD2E56">
        <w:rPr>
          <w:b/>
        </w:rPr>
        <w:t>HVLP</w:t>
      </w:r>
      <w:r w:rsidRPr="00AD2E56">
        <w:rPr>
          <w:b/>
        </w:rPr>
        <w:tab/>
      </w:r>
      <w:r w:rsidRPr="00AD2E56">
        <w:rPr>
          <w:bCs/>
        </w:rPr>
        <w:t>Hromadně vyráběné léčivé přípravky</w:t>
      </w:r>
    </w:p>
    <w:p w:rsidR="00CF1904" w:rsidRPr="00AD2E56" w:rsidRDefault="00CF1904" w:rsidP="00AD2E56">
      <w:pPr>
        <w:spacing w:line="23" w:lineRule="atLeast"/>
        <w:ind w:left="2127" w:hanging="2127"/>
        <w:jc w:val="both"/>
        <w:rPr>
          <w:b/>
        </w:rPr>
      </w:pPr>
      <w:r w:rsidRPr="00AD2E56">
        <w:rPr>
          <w:b/>
        </w:rPr>
        <w:t>HZZP</w:t>
      </w:r>
      <w:r w:rsidRPr="00AD2E56">
        <w:rPr>
          <w:b/>
        </w:rPr>
        <w:tab/>
      </w:r>
      <w:r w:rsidRPr="00AD2E56">
        <w:rPr>
          <w:bCs/>
        </w:rPr>
        <w:t>Hornická zaměstnanecká zdravotní pojišťovna „v likvidaci“</w:t>
      </w:r>
    </w:p>
    <w:p w:rsidR="00CF1904" w:rsidRPr="00AD2E56" w:rsidRDefault="00CF1904" w:rsidP="00AD2E56">
      <w:pPr>
        <w:spacing w:line="23" w:lineRule="atLeast"/>
        <w:ind w:left="2127" w:hanging="2127"/>
        <w:jc w:val="both"/>
        <w:rPr>
          <w:bCs/>
        </w:rPr>
      </w:pPr>
      <w:r w:rsidRPr="00AD2E56">
        <w:rPr>
          <w:b/>
        </w:rPr>
        <w:t>IS</w:t>
      </w:r>
      <w:r w:rsidRPr="00AD2E56">
        <w:rPr>
          <w:b/>
        </w:rPr>
        <w:tab/>
      </w:r>
      <w:r w:rsidRPr="00AD2E56">
        <w:rPr>
          <w:bCs/>
        </w:rPr>
        <w:t>Informační systém</w:t>
      </w:r>
    </w:p>
    <w:p w:rsidR="00CF1904" w:rsidRDefault="00CF1904" w:rsidP="00CF1904">
      <w:pPr>
        <w:spacing w:line="23" w:lineRule="atLeast"/>
        <w:ind w:left="2127" w:hanging="2127"/>
        <w:jc w:val="both"/>
        <w:rPr>
          <w:b/>
        </w:rPr>
      </w:pPr>
      <w:r w:rsidRPr="00590358">
        <w:rPr>
          <w:b/>
        </w:rPr>
        <w:t>JČ</w:t>
      </w:r>
      <w:r w:rsidRPr="00590358">
        <w:rPr>
          <w:b/>
        </w:rPr>
        <w:tab/>
      </w:r>
      <w:r w:rsidRPr="00590358">
        <w:rPr>
          <w:bCs/>
        </w:rPr>
        <w:t>Jiná činnost</w:t>
      </w:r>
      <w:r>
        <w:rPr>
          <w:b/>
        </w:rPr>
        <w:t xml:space="preserve"> </w:t>
      </w:r>
    </w:p>
    <w:p w:rsidR="00CF1904" w:rsidRPr="00AD2E56" w:rsidRDefault="00CF1904" w:rsidP="00AD2E56">
      <w:pPr>
        <w:spacing w:line="23" w:lineRule="atLeast"/>
        <w:ind w:left="2127" w:hanging="2127"/>
        <w:jc w:val="both"/>
        <w:rPr>
          <w:b/>
        </w:rPr>
      </w:pPr>
      <w:r w:rsidRPr="00AD2E56">
        <w:rPr>
          <w:b/>
        </w:rPr>
        <w:t>LDN</w:t>
      </w:r>
      <w:r w:rsidRPr="00AD2E56">
        <w:rPr>
          <w:b/>
        </w:rPr>
        <w:tab/>
      </w:r>
      <w:r w:rsidRPr="00AD2E56">
        <w:rPr>
          <w:bCs/>
        </w:rPr>
        <w:t>Samostatní poskytovatelé zdravotních služeb vykazující kód ošetřovacího dne 00024 (Léčebny dlouhodobě nemocných)</w:t>
      </w:r>
    </w:p>
    <w:p w:rsidR="00CF1904" w:rsidRPr="00AD2E56" w:rsidRDefault="00CF1904" w:rsidP="00AD2E56">
      <w:pPr>
        <w:spacing w:line="23" w:lineRule="atLeast"/>
        <w:ind w:left="2127" w:hanging="2127"/>
        <w:jc w:val="both"/>
        <w:rPr>
          <w:b/>
        </w:rPr>
      </w:pPr>
      <w:r w:rsidRPr="00AD2E56">
        <w:rPr>
          <w:b/>
        </w:rPr>
        <w:t>LSPP</w:t>
      </w:r>
      <w:r w:rsidRPr="00AD2E56">
        <w:rPr>
          <w:b/>
        </w:rPr>
        <w:tab/>
      </w:r>
      <w:r w:rsidRPr="00AD2E56">
        <w:rPr>
          <w:bCs/>
        </w:rPr>
        <w:t>Lékařská služba první pomoci</w:t>
      </w:r>
    </w:p>
    <w:p w:rsidR="00CF1904" w:rsidRPr="00AD2E56" w:rsidRDefault="00CF1904" w:rsidP="00AD2E56">
      <w:pPr>
        <w:spacing w:line="23" w:lineRule="atLeast"/>
        <w:ind w:left="2127" w:hanging="2127"/>
        <w:jc w:val="both"/>
        <w:rPr>
          <w:b/>
        </w:rPr>
      </w:pPr>
      <w:proofErr w:type="spellStart"/>
      <w:r w:rsidRPr="00AD2E56">
        <w:rPr>
          <w:b/>
        </w:rPr>
        <w:t>MeZP</w:t>
      </w:r>
      <w:proofErr w:type="spellEnd"/>
      <w:r w:rsidRPr="00AD2E56">
        <w:rPr>
          <w:b/>
        </w:rPr>
        <w:tab/>
      </w:r>
      <w:r w:rsidRPr="00AD2E56">
        <w:rPr>
          <w:bCs/>
        </w:rPr>
        <w:t>Mendlova zdravotní pojišťovna „v likvidaci“</w:t>
      </w:r>
    </w:p>
    <w:p w:rsidR="00CF1904" w:rsidRPr="00AD2E56" w:rsidRDefault="00CF1904" w:rsidP="00AD2E56">
      <w:pPr>
        <w:spacing w:line="23" w:lineRule="atLeast"/>
        <w:ind w:left="2127" w:hanging="2127"/>
        <w:jc w:val="both"/>
        <w:rPr>
          <w:b/>
        </w:rPr>
      </w:pPr>
      <w:r w:rsidRPr="00AD2E56">
        <w:rPr>
          <w:b/>
        </w:rPr>
        <w:t>MF</w:t>
      </w:r>
      <w:r w:rsidRPr="00AD2E56">
        <w:rPr>
          <w:b/>
        </w:rPr>
        <w:tab/>
      </w:r>
      <w:r w:rsidRPr="00AD2E56">
        <w:rPr>
          <w:bCs/>
        </w:rPr>
        <w:t>Ministerstvo financí</w:t>
      </w:r>
    </w:p>
    <w:p w:rsidR="00CF1904" w:rsidRPr="00AD2E56" w:rsidRDefault="00CF1904" w:rsidP="00AD2E56">
      <w:pPr>
        <w:spacing w:line="23" w:lineRule="atLeast"/>
        <w:ind w:left="2127" w:hanging="2127"/>
        <w:jc w:val="both"/>
        <w:rPr>
          <w:bCs/>
        </w:rPr>
      </w:pPr>
      <w:r w:rsidRPr="00AD2E56">
        <w:rPr>
          <w:b/>
        </w:rPr>
        <w:t>MO</w:t>
      </w:r>
      <w:r w:rsidRPr="00AD2E56">
        <w:rPr>
          <w:b/>
        </w:rPr>
        <w:tab/>
      </w:r>
      <w:r w:rsidRPr="00AD2E56">
        <w:rPr>
          <w:bCs/>
        </w:rPr>
        <w:t>Ministerstvo obrany</w:t>
      </w:r>
    </w:p>
    <w:p w:rsidR="00CF1904" w:rsidRPr="00AD2E56" w:rsidRDefault="00CF1904" w:rsidP="00AD2E56">
      <w:pPr>
        <w:spacing w:line="23" w:lineRule="atLeast"/>
        <w:ind w:left="2127" w:hanging="2127"/>
        <w:jc w:val="both"/>
        <w:rPr>
          <w:bCs/>
        </w:rPr>
      </w:pPr>
      <w:r w:rsidRPr="00AD2E56">
        <w:rPr>
          <w:b/>
        </w:rPr>
        <w:t>MPSV</w:t>
      </w:r>
      <w:r w:rsidRPr="00AD2E56">
        <w:rPr>
          <w:b/>
        </w:rPr>
        <w:tab/>
      </w:r>
      <w:r w:rsidRPr="00AD2E56">
        <w:rPr>
          <w:bCs/>
        </w:rPr>
        <w:t>Ministerstvo práce a sociálních věcí</w:t>
      </w:r>
    </w:p>
    <w:p w:rsidR="00CF1904" w:rsidRPr="00AD2E56" w:rsidRDefault="00CF1904" w:rsidP="00AD2E56">
      <w:pPr>
        <w:spacing w:line="23" w:lineRule="atLeast"/>
        <w:ind w:left="2127" w:hanging="2127"/>
        <w:jc w:val="both"/>
        <w:rPr>
          <w:bCs/>
        </w:rPr>
      </w:pPr>
      <w:r w:rsidRPr="00AD2E56">
        <w:rPr>
          <w:b/>
        </w:rPr>
        <w:lastRenderedPageBreak/>
        <w:t>MV</w:t>
      </w:r>
      <w:r w:rsidRPr="00AD2E56">
        <w:rPr>
          <w:b/>
        </w:rPr>
        <w:tab/>
      </w:r>
      <w:r w:rsidRPr="00AD2E56">
        <w:rPr>
          <w:bCs/>
        </w:rPr>
        <w:t>Ministerstvo vnitra</w:t>
      </w:r>
    </w:p>
    <w:p w:rsidR="00CF1904" w:rsidRPr="00AD2E56" w:rsidRDefault="00CF1904" w:rsidP="00AD2E56">
      <w:pPr>
        <w:spacing w:line="23" w:lineRule="atLeast"/>
        <w:ind w:left="2127" w:hanging="2127"/>
        <w:jc w:val="both"/>
        <w:rPr>
          <w:bCs/>
        </w:rPr>
      </w:pPr>
      <w:r w:rsidRPr="00AD2E56">
        <w:rPr>
          <w:b/>
        </w:rPr>
        <w:t>MZ</w:t>
      </w:r>
      <w:r w:rsidRPr="00AD2E56">
        <w:rPr>
          <w:b/>
        </w:rPr>
        <w:tab/>
      </w:r>
      <w:r w:rsidRPr="00AD2E56">
        <w:rPr>
          <w:bCs/>
        </w:rPr>
        <w:t>Ministerstvo zdravotnictví</w:t>
      </w:r>
    </w:p>
    <w:p w:rsidR="00CF1904" w:rsidRPr="00AD2E56" w:rsidRDefault="00CF1904" w:rsidP="00AD2E56">
      <w:pPr>
        <w:spacing w:line="23" w:lineRule="atLeast"/>
        <w:ind w:left="2127" w:hanging="2127"/>
        <w:jc w:val="both"/>
        <w:rPr>
          <w:b/>
        </w:rPr>
      </w:pPr>
      <w:r w:rsidRPr="00AD2E56">
        <w:rPr>
          <w:b/>
        </w:rPr>
        <w:t>NKÚ</w:t>
      </w:r>
      <w:r w:rsidRPr="00AD2E56">
        <w:rPr>
          <w:b/>
        </w:rPr>
        <w:tab/>
      </w:r>
      <w:r w:rsidRPr="00AD2E56">
        <w:rPr>
          <w:bCs/>
        </w:rPr>
        <w:t>Nejvyšší kontrolní úřad</w:t>
      </w:r>
    </w:p>
    <w:p w:rsidR="00CF1904" w:rsidRPr="00AD2E56" w:rsidRDefault="00CF1904" w:rsidP="00AD2E56">
      <w:pPr>
        <w:spacing w:line="23" w:lineRule="atLeast"/>
        <w:ind w:left="2127" w:hanging="2127"/>
        <w:jc w:val="both"/>
        <w:rPr>
          <w:b/>
        </w:rPr>
      </w:pPr>
      <w:r w:rsidRPr="00AD2E56">
        <w:rPr>
          <w:b/>
        </w:rPr>
        <w:t>OBZP</w:t>
      </w:r>
      <w:r w:rsidRPr="00AD2E56">
        <w:rPr>
          <w:b/>
        </w:rPr>
        <w:tab/>
      </w:r>
      <w:r w:rsidRPr="00AD2E56">
        <w:rPr>
          <w:bCs/>
        </w:rPr>
        <w:t>Osoby bez zdanitelných příjmů</w:t>
      </w:r>
    </w:p>
    <w:p w:rsidR="00CF1904" w:rsidRPr="00AD2E56" w:rsidRDefault="00CF1904" w:rsidP="00AD2E56">
      <w:pPr>
        <w:spacing w:line="23" w:lineRule="atLeast"/>
        <w:ind w:left="2127" w:hanging="2127"/>
        <w:jc w:val="both"/>
        <w:rPr>
          <w:bCs/>
        </w:rPr>
      </w:pPr>
      <w:r w:rsidRPr="00AD2E56">
        <w:rPr>
          <w:b/>
        </w:rPr>
        <w:t>OLÚ</w:t>
      </w:r>
      <w:r w:rsidRPr="00AD2E56">
        <w:rPr>
          <w:b/>
        </w:rPr>
        <w:tab/>
      </w:r>
      <w:r w:rsidRPr="00AD2E56">
        <w:rPr>
          <w:bCs/>
        </w:rPr>
        <w:t>Poskytovatelé lůžkové následné péče OD 00021, OD 00022, OD 00023, OD 00025, OD 00026, OD 00027, OD 00028 (Odborné léčebné ústavy)</w:t>
      </w:r>
    </w:p>
    <w:p w:rsidR="00CF1904" w:rsidRPr="00AD2E56" w:rsidRDefault="00CF1904" w:rsidP="00AD2E56">
      <w:pPr>
        <w:spacing w:line="23" w:lineRule="atLeast"/>
        <w:ind w:left="2127" w:hanging="2127"/>
        <w:jc w:val="both"/>
        <w:rPr>
          <w:bCs/>
        </w:rPr>
      </w:pPr>
      <w:r w:rsidRPr="00AD2E56">
        <w:rPr>
          <w:b/>
        </w:rPr>
        <w:t xml:space="preserve">OSVČ </w:t>
      </w:r>
      <w:r w:rsidRPr="00AD2E56">
        <w:rPr>
          <w:b/>
        </w:rPr>
        <w:tab/>
      </w:r>
      <w:r w:rsidRPr="00AD2E56">
        <w:rPr>
          <w:bCs/>
        </w:rPr>
        <w:t xml:space="preserve">Osoby samostatně výdělečně činné </w:t>
      </w:r>
    </w:p>
    <w:p w:rsidR="00CF1904" w:rsidRPr="00AD2E56" w:rsidRDefault="00CF1904" w:rsidP="00AD2E56">
      <w:pPr>
        <w:spacing w:line="23" w:lineRule="atLeast"/>
        <w:ind w:left="2127" w:hanging="2127"/>
        <w:jc w:val="both"/>
        <w:rPr>
          <w:b/>
        </w:rPr>
      </w:pPr>
      <w:r w:rsidRPr="00AD2E56">
        <w:rPr>
          <w:b/>
        </w:rPr>
        <w:t xml:space="preserve">OZP </w:t>
      </w:r>
      <w:r w:rsidRPr="00AD2E56">
        <w:rPr>
          <w:b/>
        </w:rPr>
        <w:tab/>
      </w:r>
      <w:r w:rsidRPr="00AD2E56">
        <w:rPr>
          <w:bCs/>
        </w:rPr>
        <w:t>Oborová zdravotní pojišťovna zaměstnanců bank, pojišťoven a stavebnictví</w:t>
      </w:r>
    </w:p>
    <w:p w:rsidR="00CF1904" w:rsidRPr="00AD2E56" w:rsidRDefault="00CF1904" w:rsidP="00AD2E56">
      <w:pPr>
        <w:spacing w:line="23" w:lineRule="atLeast"/>
        <w:ind w:left="2127" w:hanging="2127"/>
        <w:jc w:val="both"/>
        <w:rPr>
          <w:b/>
        </w:rPr>
      </w:pPr>
      <w:r w:rsidRPr="00AD2E56">
        <w:rPr>
          <w:b/>
        </w:rPr>
        <w:t xml:space="preserve">Platba státu </w:t>
      </w:r>
      <w:r w:rsidRPr="00AD2E56">
        <w:rPr>
          <w:b/>
        </w:rPr>
        <w:tab/>
      </w:r>
      <w:r w:rsidRPr="00AD2E56">
        <w:rPr>
          <w:bCs/>
        </w:rPr>
        <w:t>Pojistné hrazené státem za osobu, za kterou je podle § 7 zákona č. 48/1997 Sb. plátcem pojistného stát. Podle § 3c zákona č. 592/1992 Sb. je stanoven měsíční vyměřovací základ, procentní výši pojistného upravuje § 2 tohoto zákona. Platba státu je poskytována podle § 12 měsíčně na zvláštní účet přerozdělování.</w:t>
      </w:r>
    </w:p>
    <w:p w:rsidR="00CF1904" w:rsidRPr="00AD2E56" w:rsidRDefault="00CF1904" w:rsidP="00AD2E56">
      <w:pPr>
        <w:spacing w:line="23" w:lineRule="atLeast"/>
        <w:ind w:left="2127" w:hanging="2127"/>
        <w:jc w:val="both"/>
        <w:rPr>
          <w:bCs/>
        </w:rPr>
      </w:pPr>
      <w:r w:rsidRPr="00AD2E56">
        <w:rPr>
          <w:b/>
        </w:rPr>
        <w:t>p. b.</w:t>
      </w:r>
      <w:r w:rsidRPr="00AD2E56">
        <w:rPr>
          <w:b/>
        </w:rPr>
        <w:tab/>
      </w:r>
      <w:r w:rsidRPr="00AD2E56">
        <w:rPr>
          <w:bCs/>
        </w:rPr>
        <w:t>Procentní bod</w:t>
      </w:r>
    </w:p>
    <w:p w:rsidR="00CF1904" w:rsidRPr="00AD2E56" w:rsidRDefault="00CF1904" w:rsidP="00AD2E56">
      <w:pPr>
        <w:spacing w:line="23" w:lineRule="atLeast"/>
        <w:ind w:left="2127" w:hanging="2127"/>
        <w:jc w:val="both"/>
        <w:rPr>
          <w:bCs/>
        </w:rPr>
      </w:pPr>
      <w:r w:rsidRPr="00AD2E56">
        <w:rPr>
          <w:b/>
        </w:rPr>
        <w:t>PF</w:t>
      </w:r>
      <w:r w:rsidRPr="00AD2E56">
        <w:rPr>
          <w:b/>
        </w:rPr>
        <w:tab/>
      </w:r>
      <w:r w:rsidRPr="00AD2E56">
        <w:rPr>
          <w:bCs/>
        </w:rPr>
        <w:t>Provozní fond</w:t>
      </w:r>
    </w:p>
    <w:p w:rsidR="00CF1904" w:rsidRPr="00AD2E56" w:rsidRDefault="00CF1904" w:rsidP="00AD2E56">
      <w:pPr>
        <w:spacing w:line="23" w:lineRule="atLeast"/>
        <w:ind w:left="2127" w:hanging="2127"/>
        <w:jc w:val="both"/>
        <w:rPr>
          <w:b/>
        </w:rPr>
      </w:pPr>
      <w:r w:rsidRPr="00AD2E56">
        <w:rPr>
          <w:b/>
        </w:rPr>
        <w:t>PSP ČR</w:t>
      </w:r>
      <w:r w:rsidRPr="00AD2E56">
        <w:rPr>
          <w:b/>
        </w:rPr>
        <w:tab/>
      </w:r>
      <w:r w:rsidRPr="00AD2E56">
        <w:rPr>
          <w:bCs/>
        </w:rPr>
        <w:t>Poslanecká sněmovna Parlamentu ČR</w:t>
      </w:r>
    </w:p>
    <w:p w:rsidR="00CF1904" w:rsidRPr="00AD2E56" w:rsidRDefault="00CF1904" w:rsidP="00AD2E56">
      <w:pPr>
        <w:spacing w:line="23" w:lineRule="atLeast"/>
        <w:ind w:left="2127" w:hanging="2127"/>
        <w:jc w:val="both"/>
        <w:rPr>
          <w:bCs/>
        </w:rPr>
      </w:pPr>
      <w:r w:rsidRPr="00AD2E56">
        <w:rPr>
          <w:b/>
        </w:rPr>
        <w:t>PZS</w:t>
      </w:r>
      <w:r w:rsidRPr="00AD2E56">
        <w:rPr>
          <w:b/>
        </w:rPr>
        <w:tab/>
      </w:r>
      <w:r w:rsidRPr="00AD2E56">
        <w:rPr>
          <w:bCs/>
        </w:rPr>
        <w:t>Poskytovatelé zdravotních služeb</w:t>
      </w:r>
    </w:p>
    <w:p w:rsidR="00CF1904" w:rsidRPr="00AD2E56" w:rsidRDefault="00CF1904" w:rsidP="00AD2E56">
      <w:pPr>
        <w:spacing w:line="23" w:lineRule="atLeast"/>
        <w:ind w:left="2127" w:hanging="2127"/>
        <w:jc w:val="both"/>
        <w:rPr>
          <w:bCs/>
        </w:rPr>
      </w:pPr>
      <w:r w:rsidRPr="00AD2E56">
        <w:rPr>
          <w:b/>
        </w:rPr>
        <w:t>RBP</w:t>
      </w:r>
      <w:r w:rsidRPr="00AD2E56">
        <w:rPr>
          <w:b/>
        </w:rPr>
        <w:tab/>
      </w:r>
      <w:proofErr w:type="spellStart"/>
      <w:r w:rsidRPr="00AD2E56">
        <w:rPr>
          <w:bCs/>
        </w:rPr>
        <w:t>RBP</w:t>
      </w:r>
      <w:proofErr w:type="spellEnd"/>
      <w:r w:rsidRPr="00AD2E56">
        <w:rPr>
          <w:bCs/>
        </w:rPr>
        <w:t>, zdravotní pojišťovna</w:t>
      </w:r>
    </w:p>
    <w:p w:rsidR="00CF1904" w:rsidRPr="00AD2E56" w:rsidRDefault="00CF1904" w:rsidP="00AD2E56">
      <w:pPr>
        <w:spacing w:line="23" w:lineRule="atLeast"/>
        <w:ind w:left="2127" w:hanging="2127"/>
        <w:jc w:val="both"/>
        <w:rPr>
          <w:bCs/>
        </w:rPr>
      </w:pPr>
      <w:r w:rsidRPr="00AD2E56">
        <w:rPr>
          <w:b/>
        </w:rPr>
        <w:t>RF</w:t>
      </w:r>
      <w:r w:rsidRPr="00AD2E56">
        <w:rPr>
          <w:b/>
        </w:rPr>
        <w:tab/>
      </w:r>
      <w:r w:rsidRPr="00AD2E56">
        <w:rPr>
          <w:bCs/>
        </w:rPr>
        <w:t>Rezervní fond</w:t>
      </w:r>
    </w:p>
    <w:p w:rsidR="00CF1904" w:rsidRPr="00AD2E56" w:rsidRDefault="00CF1904" w:rsidP="00AD2E56">
      <w:pPr>
        <w:spacing w:line="23" w:lineRule="atLeast"/>
        <w:ind w:left="2127" w:hanging="2127"/>
        <w:jc w:val="both"/>
        <w:rPr>
          <w:bCs/>
        </w:rPr>
      </w:pPr>
      <w:r w:rsidRPr="00AD2E56">
        <w:rPr>
          <w:b/>
        </w:rPr>
        <w:t>RO</w:t>
      </w:r>
      <w:r w:rsidRPr="00AD2E56">
        <w:rPr>
          <w:b/>
        </w:rPr>
        <w:tab/>
      </w:r>
      <w:r w:rsidRPr="00AD2E56">
        <w:rPr>
          <w:bCs/>
        </w:rPr>
        <w:t>Rozhodčí orgán</w:t>
      </w:r>
    </w:p>
    <w:p w:rsidR="00CF1904" w:rsidRPr="00AD2E56" w:rsidRDefault="00CF1904" w:rsidP="00AD2E56">
      <w:pPr>
        <w:spacing w:line="23" w:lineRule="atLeast"/>
        <w:ind w:left="2127" w:hanging="2127"/>
        <w:jc w:val="both"/>
        <w:rPr>
          <w:bCs/>
        </w:rPr>
      </w:pPr>
      <w:r w:rsidRPr="00AD2E56">
        <w:rPr>
          <w:b/>
        </w:rPr>
        <w:t>Saldo příjmů a výdajů</w:t>
      </w:r>
      <w:r w:rsidRPr="00AD2E56">
        <w:rPr>
          <w:b/>
        </w:rPr>
        <w:tab/>
      </w:r>
      <w:r w:rsidRPr="00AD2E56">
        <w:rPr>
          <w:bCs/>
        </w:rPr>
        <w:t xml:space="preserve">Saldo příjmů celkem, včetně </w:t>
      </w:r>
      <w:r w:rsidR="00847C0A">
        <w:rPr>
          <w:bCs/>
        </w:rPr>
        <w:t>vlivu jiné činnosti</w:t>
      </w:r>
      <w:r w:rsidRPr="00AD2E56">
        <w:rPr>
          <w:bCs/>
        </w:rPr>
        <w:t xml:space="preserve">, a výdajů celkem, včetně </w:t>
      </w:r>
      <w:r w:rsidR="00847C0A">
        <w:rPr>
          <w:bCs/>
        </w:rPr>
        <w:t>vlivu jiné činnosti</w:t>
      </w:r>
    </w:p>
    <w:p w:rsidR="00CF1904" w:rsidRPr="00AD2E56" w:rsidRDefault="00CF1904" w:rsidP="00AD2E56">
      <w:pPr>
        <w:spacing w:line="23" w:lineRule="atLeast"/>
        <w:ind w:left="2127" w:hanging="2127"/>
        <w:jc w:val="both"/>
        <w:rPr>
          <w:b/>
        </w:rPr>
      </w:pPr>
      <w:r w:rsidRPr="00AD2E56">
        <w:rPr>
          <w:b/>
        </w:rPr>
        <w:t>SF</w:t>
      </w:r>
      <w:r w:rsidRPr="00AD2E56">
        <w:rPr>
          <w:b/>
        </w:rPr>
        <w:tab/>
      </w:r>
      <w:r w:rsidRPr="00AD2E56">
        <w:rPr>
          <w:bCs/>
        </w:rPr>
        <w:t>Sociální fond</w:t>
      </w:r>
    </w:p>
    <w:p w:rsidR="00CF1904" w:rsidRPr="00AD2E56" w:rsidRDefault="00CF1904" w:rsidP="00AD2E56">
      <w:pPr>
        <w:spacing w:line="23" w:lineRule="atLeast"/>
        <w:ind w:left="2127" w:hanging="2127"/>
        <w:jc w:val="both"/>
        <w:rPr>
          <w:b/>
        </w:rPr>
      </w:pPr>
      <w:r w:rsidRPr="00AD2E56">
        <w:rPr>
          <w:b/>
        </w:rPr>
        <w:t>SR</w:t>
      </w:r>
      <w:r w:rsidRPr="00AD2E56">
        <w:rPr>
          <w:b/>
        </w:rPr>
        <w:tab/>
      </w:r>
      <w:r w:rsidRPr="00AD2E56">
        <w:rPr>
          <w:bCs/>
        </w:rPr>
        <w:t>Správní rada</w:t>
      </w:r>
    </w:p>
    <w:p w:rsidR="00CF1904" w:rsidRPr="00AD2E56" w:rsidRDefault="00CF1904" w:rsidP="00AD2E56">
      <w:pPr>
        <w:spacing w:line="23" w:lineRule="atLeast"/>
        <w:ind w:left="2127" w:hanging="2127"/>
        <w:jc w:val="both"/>
        <w:rPr>
          <w:b/>
        </w:rPr>
      </w:pPr>
      <w:r w:rsidRPr="00AD2E56">
        <w:rPr>
          <w:b/>
        </w:rPr>
        <w:t>Státní pojištěnci</w:t>
      </w:r>
      <w:r w:rsidRPr="00AD2E56">
        <w:rPr>
          <w:b/>
        </w:rPr>
        <w:tab/>
      </w:r>
      <w:r w:rsidRPr="00AD2E56">
        <w:rPr>
          <w:bCs/>
        </w:rPr>
        <w:t>Skupina pojištěnců definovaných v § 7 zákona č. 48/1997 Sb., za které je plátcem pojistného stát</w:t>
      </w:r>
    </w:p>
    <w:p w:rsidR="00CF1904" w:rsidRPr="00AD2E56" w:rsidRDefault="00CF1904" w:rsidP="00AD2E56">
      <w:pPr>
        <w:spacing w:line="23" w:lineRule="atLeast"/>
        <w:ind w:left="2127" w:hanging="2127"/>
        <w:jc w:val="both"/>
        <w:rPr>
          <w:b/>
        </w:rPr>
      </w:pPr>
      <w:r w:rsidRPr="00AD2E56">
        <w:rPr>
          <w:b/>
        </w:rPr>
        <w:t>v. z. p.</w:t>
      </w:r>
      <w:r w:rsidRPr="00AD2E56">
        <w:rPr>
          <w:b/>
        </w:rPr>
        <w:tab/>
      </w:r>
      <w:r w:rsidRPr="00AD2E56">
        <w:rPr>
          <w:bCs/>
        </w:rPr>
        <w:t>Veřejné zdravotní pojištění</w:t>
      </w:r>
    </w:p>
    <w:p w:rsidR="00CF1904" w:rsidRPr="00AD2E56" w:rsidRDefault="00CF1904" w:rsidP="00AD2E56">
      <w:pPr>
        <w:spacing w:line="23" w:lineRule="atLeast"/>
        <w:ind w:left="2127" w:hanging="2127"/>
        <w:jc w:val="both"/>
        <w:rPr>
          <w:b/>
        </w:rPr>
      </w:pPr>
      <w:proofErr w:type="spellStart"/>
      <w:r w:rsidRPr="00AD2E56">
        <w:rPr>
          <w:b/>
        </w:rPr>
        <w:t>VoZP</w:t>
      </w:r>
      <w:proofErr w:type="spellEnd"/>
      <w:r w:rsidRPr="00AD2E56">
        <w:rPr>
          <w:b/>
        </w:rPr>
        <w:t xml:space="preserve"> ČR </w:t>
      </w:r>
      <w:r w:rsidRPr="00AD2E56">
        <w:rPr>
          <w:b/>
        </w:rPr>
        <w:tab/>
      </w:r>
      <w:r w:rsidRPr="00AD2E56">
        <w:rPr>
          <w:bCs/>
        </w:rPr>
        <w:t>Vojenská zdravotní pojišťovna ČR</w:t>
      </w:r>
    </w:p>
    <w:p w:rsidR="00CF1904" w:rsidRPr="00AD2E56" w:rsidRDefault="00CF1904" w:rsidP="00AD2E56">
      <w:pPr>
        <w:spacing w:line="23" w:lineRule="atLeast"/>
        <w:ind w:left="2127" w:hanging="2127"/>
        <w:jc w:val="both"/>
        <w:rPr>
          <w:b/>
        </w:rPr>
      </w:pPr>
      <w:r w:rsidRPr="00AD2E56">
        <w:rPr>
          <w:b/>
        </w:rPr>
        <w:t>VZ</w:t>
      </w:r>
      <w:r w:rsidRPr="00AD2E56">
        <w:rPr>
          <w:b/>
        </w:rPr>
        <w:tab/>
      </w:r>
      <w:r w:rsidRPr="00AD2E56">
        <w:rPr>
          <w:bCs/>
        </w:rPr>
        <w:t>Výroční zpráva</w:t>
      </w:r>
    </w:p>
    <w:p w:rsidR="00CF1904" w:rsidRPr="00AD2E56" w:rsidRDefault="00CF1904" w:rsidP="00AD2E56">
      <w:pPr>
        <w:spacing w:line="23" w:lineRule="atLeast"/>
        <w:ind w:left="2127" w:hanging="2127"/>
        <w:jc w:val="both"/>
        <w:rPr>
          <w:b/>
        </w:rPr>
      </w:pPr>
      <w:r w:rsidRPr="00AD2E56">
        <w:rPr>
          <w:b/>
        </w:rPr>
        <w:t xml:space="preserve">VZP ČR </w:t>
      </w:r>
      <w:r w:rsidRPr="00AD2E56">
        <w:rPr>
          <w:b/>
        </w:rPr>
        <w:tab/>
      </w:r>
      <w:r w:rsidRPr="00AD2E56">
        <w:rPr>
          <w:bCs/>
        </w:rPr>
        <w:t>Všeobecná zdravotní pojišťovna ČR</w:t>
      </w:r>
    </w:p>
    <w:p w:rsidR="00CF1904" w:rsidRPr="00AD2E56" w:rsidRDefault="00CF1904" w:rsidP="00AD2E56">
      <w:pPr>
        <w:spacing w:line="23" w:lineRule="atLeast"/>
        <w:ind w:left="2127" w:hanging="2127"/>
        <w:jc w:val="both"/>
        <w:rPr>
          <w:b/>
        </w:rPr>
      </w:pPr>
      <w:r w:rsidRPr="00AD2E56">
        <w:rPr>
          <w:b/>
        </w:rPr>
        <w:t>ZFZP</w:t>
      </w:r>
      <w:r w:rsidRPr="00AD2E56">
        <w:rPr>
          <w:b/>
        </w:rPr>
        <w:tab/>
      </w:r>
      <w:r w:rsidRPr="00AD2E56">
        <w:rPr>
          <w:bCs/>
        </w:rPr>
        <w:t>Základní fond zdravotního pojištění</w:t>
      </w:r>
    </w:p>
    <w:p w:rsidR="00CF1904" w:rsidRPr="00AD2E56" w:rsidRDefault="00CF1904" w:rsidP="00AD2E56">
      <w:pPr>
        <w:spacing w:line="23" w:lineRule="atLeast"/>
        <w:ind w:left="2127" w:hanging="2127"/>
        <w:jc w:val="both"/>
        <w:rPr>
          <w:b/>
        </w:rPr>
      </w:pPr>
      <w:r w:rsidRPr="00AD2E56">
        <w:rPr>
          <w:b/>
        </w:rPr>
        <w:t xml:space="preserve">ZP MV ČR </w:t>
      </w:r>
      <w:r w:rsidRPr="00AD2E56">
        <w:rPr>
          <w:b/>
        </w:rPr>
        <w:tab/>
      </w:r>
      <w:r w:rsidRPr="00AD2E56">
        <w:rPr>
          <w:bCs/>
        </w:rPr>
        <w:t>Zdravotní pojišťovna ministerstva vnitra ČR</w:t>
      </w:r>
    </w:p>
    <w:p w:rsidR="00CF1904" w:rsidRPr="00AD2E56" w:rsidRDefault="00CF1904" w:rsidP="00AD2E56">
      <w:pPr>
        <w:spacing w:line="23" w:lineRule="atLeast"/>
        <w:ind w:left="2127" w:hanging="2127"/>
        <w:jc w:val="both"/>
        <w:rPr>
          <w:b/>
        </w:rPr>
      </w:pPr>
      <w:r w:rsidRPr="00AD2E56">
        <w:rPr>
          <w:b/>
        </w:rPr>
        <w:t>ZP</w:t>
      </w:r>
      <w:r w:rsidRPr="00AD2E56">
        <w:rPr>
          <w:b/>
        </w:rPr>
        <w:tab/>
      </w:r>
      <w:r w:rsidRPr="00AD2E56">
        <w:rPr>
          <w:bCs/>
        </w:rPr>
        <w:t>Zdravotní pojišťovny</w:t>
      </w:r>
      <w:r w:rsidRPr="00AD2E56">
        <w:rPr>
          <w:b/>
        </w:rPr>
        <w:t xml:space="preserve"> </w:t>
      </w:r>
    </w:p>
    <w:p w:rsidR="00CF1904" w:rsidRPr="00AD2E56" w:rsidRDefault="00CF1904" w:rsidP="00AD2E56">
      <w:pPr>
        <w:spacing w:line="23" w:lineRule="atLeast"/>
        <w:ind w:left="2127" w:hanging="2127"/>
        <w:jc w:val="both"/>
        <w:rPr>
          <w:b/>
        </w:rPr>
      </w:pPr>
      <w:r w:rsidRPr="00AD2E56">
        <w:rPr>
          <w:b/>
        </w:rPr>
        <w:t>ZPP</w:t>
      </w:r>
      <w:r w:rsidRPr="00AD2E56">
        <w:rPr>
          <w:b/>
        </w:rPr>
        <w:tab/>
      </w:r>
      <w:r w:rsidRPr="00AD2E56">
        <w:rPr>
          <w:bCs/>
        </w:rPr>
        <w:t>Zdravotně pojistný plán</w:t>
      </w:r>
    </w:p>
    <w:p w:rsidR="00CF1904" w:rsidRPr="00AD2E56" w:rsidRDefault="00CF1904" w:rsidP="00AD2E56">
      <w:pPr>
        <w:spacing w:line="23" w:lineRule="atLeast"/>
        <w:ind w:left="2127" w:hanging="2127"/>
        <w:jc w:val="both"/>
        <w:rPr>
          <w:b/>
        </w:rPr>
      </w:pPr>
      <w:r w:rsidRPr="00AD2E56">
        <w:rPr>
          <w:b/>
        </w:rPr>
        <w:t>ZPŠ</w:t>
      </w:r>
      <w:r w:rsidRPr="00AD2E56">
        <w:rPr>
          <w:b/>
        </w:rPr>
        <w:tab/>
      </w:r>
      <w:r w:rsidRPr="00AD2E56">
        <w:rPr>
          <w:bCs/>
        </w:rPr>
        <w:t>Zaměstnanecká pojišťovna Škoda</w:t>
      </w:r>
      <w:r w:rsidRPr="00AD2E56">
        <w:rPr>
          <w:b/>
        </w:rPr>
        <w:t xml:space="preserve"> </w:t>
      </w:r>
    </w:p>
    <w:p w:rsidR="00CF1904" w:rsidRPr="00AD2E56" w:rsidRDefault="00CF1904" w:rsidP="00AD2E56">
      <w:pPr>
        <w:spacing w:line="23" w:lineRule="atLeast"/>
        <w:ind w:left="2127" w:hanging="2127"/>
        <w:jc w:val="both"/>
        <w:rPr>
          <w:b/>
        </w:rPr>
      </w:pPr>
      <w:r w:rsidRPr="00AD2E56">
        <w:rPr>
          <w:b/>
        </w:rPr>
        <w:lastRenderedPageBreak/>
        <w:t>ZUM</w:t>
      </w:r>
      <w:r w:rsidRPr="00AD2E56">
        <w:rPr>
          <w:b/>
        </w:rPr>
        <w:tab/>
      </w:r>
      <w:r w:rsidRPr="00AD2E56">
        <w:rPr>
          <w:bCs/>
        </w:rPr>
        <w:t>Zvlášť účtovaný materiál</w:t>
      </w:r>
    </w:p>
    <w:p w:rsidR="00CF1904" w:rsidRPr="00AD2E56" w:rsidRDefault="00CF1904" w:rsidP="00AD2E56">
      <w:pPr>
        <w:spacing w:line="23" w:lineRule="atLeast"/>
        <w:ind w:left="2127" w:hanging="2127"/>
        <w:jc w:val="both"/>
        <w:rPr>
          <w:b/>
        </w:rPr>
      </w:pPr>
      <w:r w:rsidRPr="00AD2E56">
        <w:rPr>
          <w:b/>
        </w:rPr>
        <w:t>ZULP</w:t>
      </w:r>
      <w:r w:rsidRPr="00AD2E56">
        <w:rPr>
          <w:b/>
        </w:rPr>
        <w:tab/>
      </w:r>
      <w:r w:rsidRPr="00AD2E56">
        <w:rPr>
          <w:bCs/>
        </w:rPr>
        <w:t>Zvlášť účtované léčivé přípravky</w:t>
      </w:r>
    </w:p>
    <w:p w:rsidR="00CF1904" w:rsidRPr="00AD2E56" w:rsidRDefault="00CF1904" w:rsidP="00AD2E56">
      <w:pPr>
        <w:spacing w:line="23" w:lineRule="atLeast"/>
        <w:ind w:left="2127" w:hanging="2127"/>
        <w:jc w:val="both"/>
        <w:rPr>
          <w:b/>
        </w:rPr>
      </w:pPr>
      <w:r w:rsidRPr="00AD2E56">
        <w:rPr>
          <w:b/>
        </w:rPr>
        <w:t>ZZP</w:t>
      </w:r>
      <w:r w:rsidRPr="00AD2E56">
        <w:rPr>
          <w:b/>
        </w:rPr>
        <w:tab/>
      </w:r>
      <w:r w:rsidRPr="00AD2E56">
        <w:rPr>
          <w:bCs/>
        </w:rPr>
        <w:t>Zaměstnanecké zdravotní pojišťovny</w:t>
      </w:r>
      <w:r w:rsidRPr="00AD2E56">
        <w:rPr>
          <w:b/>
        </w:rPr>
        <w:t xml:space="preserve"> </w:t>
      </w:r>
    </w:p>
    <w:p w:rsidR="00CF1904" w:rsidRPr="00AD2E56" w:rsidRDefault="00CF1904" w:rsidP="00AD2E56">
      <w:pPr>
        <w:spacing w:line="23" w:lineRule="atLeast"/>
        <w:ind w:left="2127" w:hanging="2127"/>
        <w:jc w:val="both"/>
        <w:rPr>
          <w:b/>
        </w:rPr>
      </w:pPr>
      <w:r w:rsidRPr="00AD2E56">
        <w:rPr>
          <w:b/>
        </w:rPr>
        <w:t>ZZS</w:t>
      </w:r>
      <w:r w:rsidRPr="00AD2E56">
        <w:rPr>
          <w:b/>
        </w:rPr>
        <w:tab/>
      </w:r>
      <w:r w:rsidRPr="00AD2E56">
        <w:rPr>
          <w:bCs/>
        </w:rPr>
        <w:t>Zdravotnická záchranná služba</w:t>
      </w:r>
    </w:p>
    <w:p w:rsidR="00111366" w:rsidRDefault="00111366">
      <w:pPr>
        <w:spacing w:after="200" w:line="276" w:lineRule="auto"/>
      </w:pPr>
      <w:r>
        <w:br w:type="page"/>
      </w:r>
    </w:p>
    <w:p w:rsidR="00BC3E04" w:rsidRPr="00BC3E04" w:rsidRDefault="00BC3E04" w:rsidP="00BC3E04">
      <w:pPr>
        <w:pStyle w:val="Nadpis1"/>
      </w:pPr>
      <w:bookmarkStart w:id="62" w:name="_Toc41898971"/>
      <w:r w:rsidRPr="00BC3E04">
        <w:lastRenderedPageBreak/>
        <w:t>Právní předpisy citov</w:t>
      </w:r>
      <w:r w:rsidR="00551389">
        <w:t>ané v textové části materiálu a </w:t>
      </w:r>
      <w:r w:rsidRPr="00BC3E04">
        <w:t>tabulkových přílohách</w:t>
      </w:r>
      <w:bookmarkEnd w:id="62"/>
      <w:r w:rsidRPr="00BC3E04">
        <w:t xml:space="preserve"> </w:t>
      </w:r>
    </w:p>
    <w:p w:rsidR="001D10F8" w:rsidRPr="00AD2E56" w:rsidRDefault="001D10F8" w:rsidP="00AD2E56">
      <w:pPr>
        <w:spacing w:line="276" w:lineRule="auto"/>
        <w:ind w:left="2835" w:hanging="2835"/>
        <w:jc w:val="both"/>
        <w:rPr>
          <w:b/>
        </w:rPr>
      </w:pPr>
      <w:r w:rsidRPr="00AD2E56">
        <w:rPr>
          <w:b/>
        </w:rPr>
        <w:t>Zákon č. 551/1991 Sb.</w:t>
      </w:r>
      <w:r w:rsidRPr="00AD2E56">
        <w:rPr>
          <w:b/>
        </w:rPr>
        <w:tab/>
      </w:r>
      <w:r w:rsidRPr="00AD2E56">
        <w:rPr>
          <w:bCs/>
        </w:rPr>
        <w:t>Zákon č. 551/1991 Sb., o Všeobecné zdravotní pojišťovně České republiky, ve znění pozdějších předpisů.</w:t>
      </w:r>
    </w:p>
    <w:p w:rsidR="001D10F8" w:rsidRPr="00AD2E56" w:rsidRDefault="001D10F8" w:rsidP="00AD2E56">
      <w:pPr>
        <w:spacing w:line="276" w:lineRule="auto"/>
        <w:ind w:left="2835" w:hanging="2835"/>
        <w:jc w:val="both"/>
        <w:rPr>
          <w:b/>
        </w:rPr>
      </w:pPr>
      <w:r w:rsidRPr="00AD2E56">
        <w:rPr>
          <w:b/>
        </w:rPr>
        <w:t>Zákon č. 280/1992 Sb.</w:t>
      </w:r>
      <w:r w:rsidRPr="00AD2E56">
        <w:rPr>
          <w:b/>
        </w:rPr>
        <w:tab/>
      </w:r>
      <w:r w:rsidRPr="00AD2E56">
        <w:rPr>
          <w:bCs/>
        </w:rPr>
        <w:t>Zákon č. 280/1992 Sb., o resortních, oborových, podnikových a dalších zdravotních pojišťovnách, ve znění pozdějších předpisů.</w:t>
      </w:r>
    </w:p>
    <w:p w:rsidR="001D10F8" w:rsidRPr="00AD2E56" w:rsidRDefault="001D10F8" w:rsidP="00AD2E56">
      <w:pPr>
        <w:spacing w:line="276" w:lineRule="auto"/>
        <w:ind w:left="2835" w:hanging="2835"/>
        <w:jc w:val="both"/>
        <w:rPr>
          <w:b/>
        </w:rPr>
      </w:pPr>
      <w:r w:rsidRPr="00AD2E56">
        <w:rPr>
          <w:b/>
        </w:rPr>
        <w:t>Zákon č. 592/1992 Sb.</w:t>
      </w:r>
      <w:r w:rsidRPr="00AD2E56">
        <w:rPr>
          <w:b/>
        </w:rPr>
        <w:tab/>
      </w:r>
      <w:r w:rsidRPr="00AD2E56">
        <w:rPr>
          <w:bCs/>
        </w:rPr>
        <w:t>Zákon č. 592/1992 Sb., o pojistném na veřejné zdravotní pojištění, ve znění pozdějších předpisů.</w:t>
      </w:r>
    </w:p>
    <w:p w:rsidR="001D10F8" w:rsidRPr="00AD2E56" w:rsidRDefault="001D10F8" w:rsidP="00AD2E56">
      <w:pPr>
        <w:spacing w:line="276" w:lineRule="auto"/>
        <w:ind w:left="2835" w:hanging="2835"/>
        <w:jc w:val="both"/>
        <w:rPr>
          <w:b/>
        </w:rPr>
      </w:pPr>
      <w:r w:rsidRPr="00AD2E56">
        <w:rPr>
          <w:b/>
        </w:rPr>
        <w:t>Zákon č. 48/1997 Sb.</w:t>
      </w:r>
      <w:r w:rsidRPr="00AD2E56">
        <w:rPr>
          <w:b/>
        </w:rPr>
        <w:tab/>
      </w:r>
      <w:r w:rsidRPr="00AD2E56">
        <w:rPr>
          <w:bCs/>
        </w:rPr>
        <w:t>Zákon č. 48/1997 Sb., o veřejném zdravotním pojištění a o změně a doplnění některých souvisejících zákonů, ve znění pozdějších předpisů.</w:t>
      </w:r>
    </w:p>
    <w:p w:rsidR="001D10F8" w:rsidRPr="00AD2E56" w:rsidRDefault="001D10F8" w:rsidP="00AD2E56">
      <w:pPr>
        <w:spacing w:line="276" w:lineRule="auto"/>
        <w:ind w:left="2835" w:hanging="2835"/>
        <w:jc w:val="both"/>
        <w:rPr>
          <w:b/>
        </w:rPr>
      </w:pPr>
      <w:r w:rsidRPr="00AD2E56">
        <w:rPr>
          <w:b/>
        </w:rPr>
        <w:t>Zákon č. 320/2001 Sb.</w:t>
      </w:r>
      <w:r w:rsidRPr="00AD2E56">
        <w:rPr>
          <w:b/>
        </w:rPr>
        <w:tab/>
      </w:r>
      <w:r w:rsidRPr="00AD2E56">
        <w:rPr>
          <w:bCs/>
        </w:rPr>
        <w:t>Zákon č. 320/2001 Sb., o finanční kontrole ve veřejné správě a o změně některých zákonů (zákon o finanční kontrole), ve znění pozdějších předpisů.</w:t>
      </w:r>
    </w:p>
    <w:p w:rsidR="001D10F8" w:rsidRPr="00AD2E56" w:rsidRDefault="001D10F8" w:rsidP="00AD2E56">
      <w:pPr>
        <w:spacing w:line="276" w:lineRule="auto"/>
        <w:ind w:left="2835" w:hanging="2835"/>
        <w:jc w:val="both"/>
        <w:rPr>
          <w:b/>
        </w:rPr>
      </w:pPr>
      <w:r w:rsidRPr="00AD2E56">
        <w:rPr>
          <w:b/>
        </w:rPr>
        <w:t>Zákon č. 225/1999 Sb.</w:t>
      </w:r>
      <w:r w:rsidRPr="00AD2E56">
        <w:rPr>
          <w:b/>
        </w:rPr>
        <w:tab/>
      </w:r>
      <w:r w:rsidRPr="00AD2E56">
        <w:rPr>
          <w:bCs/>
        </w:rPr>
        <w:t>Zákon č. 225/1999 Sb., kterým se mění některé zákony v souvislosti s přijetím zákona o vojácích z povolání, ve znění pozdějších předpisů.</w:t>
      </w:r>
    </w:p>
    <w:p w:rsidR="001D10F8" w:rsidRPr="00AD2E56" w:rsidRDefault="001D10F8" w:rsidP="00AD2E56">
      <w:pPr>
        <w:spacing w:line="276" w:lineRule="auto"/>
        <w:ind w:left="2835" w:hanging="2835"/>
        <w:jc w:val="both"/>
        <w:rPr>
          <w:b/>
        </w:rPr>
      </w:pPr>
      <w:r w:rsidRPr="00AD2E56">
        <w:rPr>
          <w:b/>
        </w:rPr>
        <w:t>Zákon č. 563/1991 Sb.</w:t>
      </w:r>
      <w:r w:rsidRPr="00AD2E56">
        <w:rPr>
          <w:b/>
        </w:rPr>
        <w:tab/>
      </w:r>
      <w:r w:rsidRPr="00AD2E56">
        <w:rPr>
          <w:bCs/>
        </w:rPr>
        <w:t>Zákon č. 563/1991 Sb., o účetnictví, ve znění pozdějších předpisů.</w:t>
      </w:r>
    </w:p>
    <w:p w:rsidR="001D10F8" w:rsidRPr="00AD2E56" w:rsidRDefault="001D10F8" w:rsidP="00AD2E56">
      <w:pPr>
        <w:spacing w:line="276" w:lineRule="auto"/>
        <w:ind w:left="2835" w:hanging="2835"/>
        <w:jc w:val="both"/>
        <w:rPr>
          <w:b/>
        </w:rPr>
      </w:pPr>
      <w:r w:rsidRPr="00AD2E56">
        <w:rPr>
          <w:b/>
        </w:rPr>
        <w:t>Zákon č. 586/1992 Sb.</w:t>
      </w:r>
      <w:r w:rsidRPr="00AD2E56">
        <w:rPr>
          <w:b/>
        </w:rPr>
        <w:tab/>
      </w:r>
      <w:r w:rsidRPr="00AD2E56">
        <w:rPr>
          <w:bCs/>
        </w:rPr>
        <w:t>Zákon č. 586/1992 Sb., o daních z příjmů, ve znění pozdějších předpisů.</w:t>
      </w:r>
    </w:p>
    <w:p w:rsidR="001D10F8" w:rsidRPr="00AD2E56" w:rsidRDefault="001D10F8" w:rsidP="00AD2E56">
      <w:pPr>
        <w:spacing w:line="276" w:lineRule="auto"/>
        <w:ind w:left="2835" w:hanging="2835"/>
        <w:jc w:val="both"/>
        <w:rPr>
          <w:bCs/>
        </w:rPr>
      </w:pPr>
      <w:r w:rsidRPr="00AD2E56">
        <w:rPr>
          <w:b/>
        </w:rPr>
        <w:t>Zákon č. 182/ 2006 Sb.</w:t>
      </w:r>
      <w:r w:rsidRPr="00AD2E56">
        <w:rPr>
          <w:b/>
        </w:rPr>
        <w:tab/>
      </w:r>
      <w:r w:rsidRPr="00AD2E56">
        <w:rPr>
          <w:bCs/>
        </w:rPr>
        <w:t>Zákon č. 182/2006 Sb., o úpadku a způsobech jeho řešení (insolvenční zákon), ve znění pozdějších předpisů.</w:t>
      </w:r>
    </w:p>
    <w:p w:rsidR="001D10F8" w:rsidRPr="00AD2E56" w:rsidRDefault="001D10F8" w:rsidP="00AD2E56">
      <w:pPr>
        <w:spacing w:line="276" w:lineRule="auto"/>
        <w:ind w:left="2835" w:hanging="2835"/>
        <w:jc w:val="both"/>
        <w:rPr>
          <w:b/>
        </w:rPr>
      </w:pPr>
      <w:r w:rsidRPr="00AD2E56">
        <w:rPr>
          <w:b/>
        </w:rPr>
        <w:t>Zákon č. 93/2009 Sb.</w:t>
      </w:r>
      <w:r w:rsidRPr="00AD2E56">
        <w:rPr>
          <w:b/>
        </w:rPr>
        <w:tab/>
      </w:r>
      <w:r w:rsidRPr="00AD2E56">
        <w:rPr>
          <w:bCs/>
        </w:rPr>
        <w:t>Zákon č. 93/2009 Sb., o auditorech a o změně některých zákonů, ve znění pozdějších předpisů.</w:t>
      </w:r>
    </w:p>
    <w:p w:rsidR="001D10F8" w:rsidRPr="00AD2E56" w:rsidRDefault="001D10F8" w:rsidP="00AD2E56">
      <w:pPr>
        <w:spacing w:line="276" w:lineRule="auto"/>
        <w:ind w:left="2835" w:hanging="2835"/>
        <w:jc w:val="both"/>
        <w:rPr>
          <w:b/>
        </w:rPr>
      </w:pPr>
      <w:r w:rsidRPr="00AD2E56">
        <w:rPr>
          <w:b/>
        </w:rPr>
        <w:t>Zákon č. 526/1990 Sb.</w:t>
      </w:r>
      <w:r w:rsidRPr="00AD2E56">
        <w:rPr>
          <w:b/>
        </w:rPr>
        <w:tab/>
      </w:r>
      <w:r w:rsidRPr="00AD2E56">
        <w:rPr>
          <w:bCs/>
        </w:rPr>
        <w:t>Zákon č. 526/1990 Sb., o cenách, ve znění pozdějších předpisů.</w:t>
      </w:r>
    </w:p>
    <w:p w:rsidR="001D10F8" w:rsidRPr="00AD2E56" w:rsidRDefault="001D10F8" w:rsidP="00AD2E56">
      <w:pPr>
        <w:spacing w:line="276" w:lineRule="auto"/>
        <w:ind w:left="2835" w:hanging="2835"/>
        <w:jc w:val="both"/>
        <w:rPr>
          <w:b/>
        </w:rPr>
      </w:pPr>
      <w:r w:rsidRPr="00AD2E56">
        <w:rPr>
          <w:b/>
        </w:rPr>
        <w:t>Zákon č. 255/2012 Sb.</w:t>
      </w:r>
      <w:r w:rsidRPr="00AD2E56">
        <w:rPr>
          <w:b/>
        </w:rPr>
        <w:tab/>
      </w:r>
      <w:r w:rsidRPr="00AD2E56">
        <w:rPr>
          <w:bCs/>
        </w:rPr>
        <w:t>Zákon č. 255/2012 Sb., o kontrole (kontrolní řád).</w:t>
      </w:r>
    </w:p>
    <w:p w:rsidR="001D10F8" w:rsidRPr="00AD2E56" w:rsidRDefault="001D10F8" w:rsidP="00AD2E56">
      <w:pPr>
        <w:spacing w:line="276" w:lineRule="auto"/>
        <w:ind w:left="2835" w:hanging="2835"/>
        <w:jc w:val="both"/>
        <w:rPr>
          <w:b/>
        </w:rPr>
      </w:pPr>
      <w:r w:rsidRPr="00AD2E56">
        <w:rPr>
          <w:b/>
        </w:rPr>
        <w:t>Vyhláška č. 41/2000 Sb.</w:t>
      </w:r>
      <w:r w:rsidRPr="00AD2E56">
        <w:rPr>
          <w:b/>
        </w:rPr>
        <w:tab/>
      </w:r>
      <w:r w:rsidRPr="00AD2E56">
        <w:rPr>
          <w:bCs/>
        </w:rPr>
        <w:t>Vyhláška č. 41/2000 Sb., kterou se stanoví podrobné podmínky tvorby a užití finančních prostředků fondů Vojenské zdravotní pojišťovny České republiky na úhradu zdravotní péče hrazené nad rámec veřejného zdravotního pojištění z prostředků státního rozpočtu kapitoly Ministerstva obrany.</w:t>
      </w:r>
    </w:p>
    <w:p w:rsidR="001D10F8" w:rsidRPr="00AD2E56" w:rsidRDefault="001D10F8" w:rsidP="00AD2E56">
      <w:pPr>
        <w:spacing w:line="276" w:lineRule="auto"/>
        <w:ind w:left="2835" w:hanging="2835"/>
        <w:jc w:val="both"/>
        <w:rPr>
          <w:b/>
        </w:rPr>
      </w:pPr>
      <w:r w:rsidRPr="00AD2E56">
        <w:rPr>
          <w:b/>
        </w:rPr>
        <w:t>Vyhláška č. 418/2003 Sb.</w:t>
      </w:r>
      <w:r w:rsidRPr="00AD2E56">
        <w:rPr>
          <w:b/>
        </w:rPr>
        <w:tab/>
      </w:r>
      <w:r w:rsidRPr="00AD2E56">
        <w:rPr>
          <w:bCs/>
        </w:rPr>
        <w:t>Vyhláška č. 418/2003 Sb., kterou se stanoví podrobnější vymezení okruhu a výše příjmů a výdajů fondů veřejného zdravotního pojištění zdravotních pojišťoven, podmínky jejich tvorby, užití, přípustnosti vzájemných převodů finančních prostředků a hospodaření s nimi, limit nákladů na činnost zdravotních pojišťoven krytých ze zdrojů základního fondu včetně postupu propočtu tohoto limitu, ve znění pozdějších předpisů.</w:t>
      </w:r>
    </w:p>
    <w:p w:rsidR="001D10F8" w:rsidRPr="00AD2E56" w:rsidRDefault="001D10F8" w:rsidP="00AD2E56">
      <w:pPr>
        <w:spacing w:line="276" w:lineRule="auto"/>
        <w:ind w:left="2835" w:hanging="2835"/>
        <w:jc w:val="both"/>
        <w:rPr>
          <w:b/>
        </w:rPr>
      </w:pPr>
      <w:r w:rsidRPr="00AD2E56">
        <w:rPr>
          <w:b/>
        </w:rPr>
        <w:t>Vyhláška č. 503/2002 Sb.</w:t>
      </w:r>
      <w:r w:rsidRPr="00AD2E56">
        <w:rPr>
          <w:b/>
        </w:rPr>
        <w:tab/>
      </w:r>
      <w:r w:rsidRPr="00AD2E56">
        <w:rPr>
          <w:bCs/>
        </w:rPr>
        <w:t>Vyhláška č. 503/2002 Sb., kterou se provádějí některá ustanovení zákona č. 563/1991 Sb., o účetnictví, ve znění pozdějších předpisů, pro zdravotní pojišťovny.</w:t>
      </w:r>
    </w:p>
    <w:p w:rsidR="001D10F8" w:rsidRPr="00AD2E56" w:rsidRDefault="001D10F8" w:rsidP="00AD2E56">
      <w:pPr>
        <w:spacing w:line="276" w:lineRule="auto"/>
        <w:ind w:left="2835" w:hanging="2835"/>
        <w:jc w:val="both"/>
        <w:rPr>
          <w:bCs/>
        </w:rPr>
      </w:pPr>
      <w:r w:rsidRPr="00AD2E56">
        <w:rPr>
          <w:b/>
        </w:rPr>
        <w:lastRenderedPageBreak/>
        <w:t>Vyhláška č. 134/1998 Sb.</w:t>
      </w:r>
      <w:r w:rsidRPr="00AD2E56">
        <w:rPr>
          <w:b/>
        </w:rPr>
        <w:tab/>
      </w:r>
      <w:r w:rsidRPr="00AD2E56">
        <w:rPr>
          <w:bCs/>
        </w:rPr>
        <w:t>Vyhláška č. 134/1998 Sb., kterou se vydává seznam zdravotních výkonů s bodovými hodnotami, ve znění pozdějších předpisů.</w:t>
      </w:r>
    </w:p>
    <w:p w:rsidR="001D10F8" w:rsidRPr="00AD2E56" w:rsidRDefault="001D10F8" w:rsidP="00AD2E56">
      <w:pPr>
        <w:spacing w:line="276" w:lineRule="auto"/>
        <w:ind w:left="2835" w:hanging="2835"/>
        <w:jc w:val="both"/>
        <w:rPr>
          <w:b/>
        </w:rPr>
      </w:pPr>
      <w:r w:rsidRPr="00CA263D">
        <w:rPr>
          <w:b/>
        </w:rPr>
        <w:t xml:space="preserve">Vyhláška č. </w:t>
      </w:r>
      <w:r w:rsidR="00CA263D" w:rsidRPr="00CA263D">
        <w:rPr>
          <w:b/>
        </w:rPr>
        <w:t>201</w:t>
      </w:r>
      <w:r w:rsidRPr="00CA263D">
        <w:rPr>
          <w:b/>
        </w:rPr>
        <w:t>/201</w:t>
      </w:r>
      <w:r w:rsidR="00CA263D" w:rsidRPr="00CA263D">
        <w:rPr>
          <w:b/>
        </w:rPr>
        <w:t>8</w:t>
      </w:r>
      <w:r w:rsidRPr="00CA263D">
        <w:rPr>
          <w:b/>
        </w:rPr>
        <w:t xml:space="preserve"> Sb.</w:t>
      </w:r>
      <w:r w:rsidRPr="00CA263D">
        <w:rPr>
          <w:b/>
        </w:rPr>
        <w:tab/>
      </w:r>
      <w:r w:rsidRPr="00CA263D">
        <w:rPr>
          <w:bCs/>
        </w:rPr>
        <w:t xml:space="preserve">Vyhláška č. </w:t>
      </w:r>
      <w:r w:rsidR="00CA263D" w:rsidRPr="00CA263D">
        <w:rPr>
          <w:bCs/>
        </w:rPr>
        <w:t>201</w:t>
      </w:r>
      <w:r w:rsidRPr="00CA263D">
        <w:rPr>
          <w:bCs/>
        </w:rPr>
        <w:t>/201</w:t>
      </w:r>
      <w:r w:rsidR="00CA263D" w:rsidRPr="00CA263D">
        <w:rPr>
          <w:bCs/>
        </w:rPr>
        <w:t>8</w:t>
      </w:r>
      <w:r w:rsidRPr="00CA263D">
        <w:rPr>
          <w:bCs/>
        </w:rPr>
        <w:t xml:space="preserve"> Sb., o stanovení hodnot bodu, výše úhrad hrazených služeb a regulačních omezení pro rok 201</w:t>
      </w:r>
      <w:r w:rsidR="00CA263D" w:rsidRPr="00CA263D">
        <w:rPr>
          <w:bCs/>
        </w:rPr>
        <w:t>9</w:t>
      </w:r>
      <w:r w:rsidRPr="00CA263D">
        <w:rPr>
          <w:bCs/>
        </w:rPr>
        <w:t>.</w:t>
      </w:r>
    </w:p>
    <w:p w:rsidR="001D10F8" w:rsidRPr="00AD2E56" w:rsidRDefault="001D10F8" w:rsidP="00AD2E56">
      <w:pPr>
        <w:spacing w:line="276" w:lineRule="auto"/>
        <w:ind w:left="2835" w:hanging="2835"/>
        <w:jc w:val="both"/>
        <w:rPr>
          <w:b/>
          <w:bCs/>
        </w:rPr>
      </w:pPr>
      <w:r w:rsidRPr="00AD2E56">
        <w:rPr>
          <w:b/>
        </w:rPr>
        <w:t>Vyhláška č. 63/2007 Sb.</w:t>
      </w:r>
      <w:r w:rsidRPr="00AD2E56">
        <w:rPr>
          <w:b/>
        </w:rPr>
        <w:tab/>
      </w:r>
      <w:r w:rsidRPr="00AD2E56">
        <w:rPr>
          <w:bCs/>
        </w:rPr>
        <w:t>Vyhláška č. 63/2007 Sb., o úhradách léčiv a potravin pro zvláštní lékařské účely.</w:t>
      </w:r>
    </w:p>
    <w:p w:rsidR="001D10F8" w:rsidRPr="00AD2E56" w:rsidRDefault="001D10F8" w:rsidP="00AD2E56">
      <w:pPr>
        <w:spacing w:line="276" w:lineRule="auto"/>
        <w:ind w:left="2835" w:hanging="2835"/>
        <w:jc w:val="both"/>
        <w:rPr>
          <w:b/>
        </w:rPr>
      </w:pPr>
      <w:r w:rsidRPr="00AD2E56">
        <w:rPr>
          <w:b/>
        </w:rPr>
        <w:t>Vyhláška č. 362/2010 Sb.</w:t>
      </w:r>
      <w:r w:rsidRPr="00AD2E56">
        <w:rPr>
          <w:b/>
        </w:rPr>
        <w:tab/>
      </w:r>
      <w:r w:rsidRPr="00AD2E56">
        <w:rPr>
          <w:bCs/>
        </w:rPr>
        <w:t>Vyhláška č. 362/2010 Sb., o způsobu podávání informací o hospodaření zdravotních pojišťoven a jejich rozsahu.</w:t>
      </w:r>
    </w:p>
    <w:p w:rsidR="001D10F8" w:rsidRPr="00AD2E56" w:rsidRDefault="001D10F8" w:rsidP="00AD2E56">
      <w:pPr>
        <w:spacing w:line="276" w:lineRule="auto"/>
        <w:ind w:left="2835" w:hanging="2835"/>
        <w:jc w:val="both"/>
        <w:rPr>
          <w:b/>
        </w:rPr>
      </w:pPr>
      <w:r w:rsidRPr="00AD2E56">
        <w:rPr>
          <w:b/>
        </w:rPr>
        <w:t>Vyhláška č. 618/2006 Sb.</w:t>
      </w:r>
      <w:r w:rsidRPr="00AD2E56">
        <w:rPr>
          <w:b/>
        </w:rPr>
        <w:tab/>
      </w:r>
      <w:r w:rsidRPr="00AD2E56">
        <w:rPr>
          <w:bCs/>
        </w:rPr>
        <w:t>Vyhláška č. 618/2006 Sb., kterou se vydávají rámcové smlouvy.</w:t>
      </w:r>
    </w:p>
    <w:p w:rsidR="001D10F8" w:rsidRPr="00AD2E56" w:rsidRDefault="001D10F8" w:rsidP="00AD2E56">
      <w:pPr>
        <w:spacing w:line="276" w:lineRule="auto"/>
        <w:ind w:left="2835" w:hanging="2835"/>
        <w:jc w:val="both"/>
        <w:rPr>
          <w:b/>
        </w:rPr>
      </w:pPr>
      <w:r w:rsidRPr="00AD2E56">
        <w:rPr>
          <w:b/>
        </w:rPr>
        <w:t>Vyhláška č. 2/2015 Sb.</w:t>
      </w:r>
      <w:r w:rsidRPr="00AD2E56">
        <w:rPr>
          <w:b/>
        </w:rPr>
        <w:tab/>
      </w:r>
      <w:r w:rsidRPr="00AD2E56">
        <w:rPr>
          <w:bCs/>
        </w:rPr>
        <w:t>Vyhláška č. 2/2015 Sb., o stanovení odborných kritérií a dalších náležitostí pro poskytování lázeňské léčebně rehabilitační péče.</w:t>
      </w:r>
    </w:p>
    <w:p w:rsidR="001D10F8" w:rsidRPr="00AD2E56" w:rsidRDefault="001D10F8" w:rsidP="00AD2E56">
      <w:pPr>
        <w:spacing w:line="276" w:lineRule="auto"/>
        <w:ind w:left="2835" w:hanging="2835"/>
        <w:jc w:val="both"/>
        <w:rPr>
          <w:b/>
        </w:rPr>
      </w:pPr>
      <w:r w:rsidRPr="00AD2E56">
        <w:rPr>
          <w:b/>
        </w:rPr>
        <w:t>Nařízení vlády č. 567/2006 Sb.</w:t>
      </w:r>
      <w:r w:rsidRPr="00AD2E56">
        <w:rPr>
          <w:b/>
        </w:rPr>
        <w:tab/>
      </w:r>
      <w:r w:rsidRPr="00AD2E56">
        <w:rPr>
          <w:bCs/>
        </w:rPr>
        <w:t>Nařízení vlády č. 567/2006 Sb., o minimální mzdě a o nejnižších úrovních zaručené mzdy, o vymezení ztíženého pracovního prostředí a o výši příplatku ke mzdě za práci ve ztíženém pracovním prostředí, ve znění pozdějších předpisů.</w:t>
      </w:r>
    </w:p>
    <w:p w:rsidR="001D10F8" w:rsidRPr="00AD2E56" w:rsidRDefault="001D10F8" w:rsidP="00AD2E56">
      <w:pPr>
        <w:spacing w:line="276" w:lineRule="auto"/>
        <w:ind w:left="2835" w:hanging="2835"/>
        <w:jc w:val="both"/>
        <w:rPr>
          <w:b/>
        </w:rPr>
      </w:pPr>
      <w:r w:rsidRPr="00AD2E56">
        <w:rPr>
          <w:b/>
        </w:rPr>
        <w:t>Nařízení vlády č. 307/2012 Sb.</w:t>
      </w:r>
      <w:r w:rsidRPr="00AD2E56">
        <w:rPr>
          <w:b/>
        </w:rPr>
        <w:tab/>
      </w:r>
      <w:r w:rsidRPr="00AD2E56">
        <w:rPr>
          <w:bCs/>
        </w:rPr>
        <w:t>Nařízení vlády č. 307/2012 Sb., o místní a časové dostupnosti zdravotních služeb.</w:t>
      </w:r>
    </w:p>
    <w:p w:rsidR="001D10F8" w:rsidRPr="00AD2E56" w:rsidRDefault="001D10F8" w:rsidP="00AD2E56">
      <w:pPr>
        <w:spacing w:line="276" w:lineRule="auto"/>
        <w:ind w:left="2835" w:hanging="2835"/>
        <w:jc w:val="both"/>
        <w:rPr>
          <w:b/>
        </w:rPr>
      </w:pPr>
      <w:r w:rsidRPr="00AD2E56">
        <w:rPr>
          <w:b/>
        </w:rPr>
        <w:t>Finanční zpravodaj č. 8/2010</w:t>
      </w:r>
      <w:r w:rsidRPr="00AD2E56">
        <w:rPr>
          <w:b/>
        </w:rPr>
        <w:tab/>
      </w:r>
      <w:r w:rsidRPr="00AD2E56">
        <w:rPr>
          <w:bCs/>
        </w:rPr>
        <w:t>Změna Českých účetních standardů pro účetní jednotky, které účtují podle vyhlášky č. 503/2002 Sb., ve znění pozdějších předpisů.</w:t>
      </w:r>
    </w:p>
    <w:p w:rsidR="00111366" w:rsidRDefault="00111366" w:rsidP="001D10F8"/>
    <w:sectPr w:rsidR="00111366" w:rsidSect="007E01C6">
      <w:footerReference w:type="even" r:id="rId24"/>
      <w:footerReference w:type="default" r:id="rId25"/>
      <w:pgSz w:w="11906" w:h="16838" w:code="9"/>
      <w:pgMar w:top="1418" w:right="1134" w:bottom="1418" w:left="1134"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E5F1E" w16cex:dateUtc="2020-05-31T14:51:00Z"/>
  <w16cex:commentExtensible w16cex:durableId="227E6163" w16cex:dateUtc="2020-05-31T15:01:00Z"/>
  <w16cex:commentExtensible w16cex:durableId="227E6219" w16cex:dateUtc="2020-05-31T15:0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57F3" w:rsidRDefault="008457F3" w:rsidP="00436F6E">
      <w:pPr>
        <w:spacing w:after="0" w:line="240" w:lineRule="auto"/>
      </w:pPr>
      <w:r>
        <w:separator/>
      </w:r>
    </w:p>
  </w:endnote>
  <w:endnote w:type="continuationSeparator" w:id="0">
    <w:p w:rsidR="008457F3" w:rsidRDefault="008457F3" w:rsidP="00436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CE">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7ACE" w:rsidRDefault="00157AC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rsidR="00157ACE" w:rsidRDefault="00157ACE">
    <w:pPr>
      <w:pStyle w:val="Zpat"/>
      <w:ind w:right="360"/>
    </w:pPr>
  </w:p>
  <w:p w:rsidR="00157ACE" w:rsidRDefault="00157ACE"/>
  <w:p w:rsidR="00157ACE" w:rsidRDefault="00157ACE" w:rsidP="007E01C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7ACE" w:rsidRPr="002A3716" w:rsidRDefault="00157ACE" w:rsidP="007E01C6">
    <w:pPr>
      <w:pStyle w:val="TEXT"/>
      <w:spacing w:before="0" w:line="240" w:lineRule="auto"/>
      <w:ind w:firstLine="0"/>
      <w:jc w:val="center"/>
      <w:rPr>
        <w:rStyle w:val="slostrnky"/>
        <w:rFonts w:ascii="Calibri" w:hAnsi="Calibri"/>
        <w:sz w:val="20"/>
        <w:szCs w:val="20"/>
      </w:rPr>
    </w:pPr>
    <w:r w:rsidRPr="002A3716">
      <w:rPr>
        <w:rStyle w:val="slostrnky"/>
        <w:rFonts w:ascii="Calibri" w:hAnsi="Calibri"/>
        <w:sz w:val="20"/>
        <w:szCs w:val="20"/>
      </w:rPr>
      <w:fldChar w:fldCharType="begin"/>
    </w:r>
    <w:r w:rsidRPr="002A3716">
      <w:rPr>
        <w:rStyle w:val="slostrnky"/>
        <w:rFonts w:ascii="Calibri" w:hAnsi="Calibri"/>
        <w:sz w:val="20"/>
        <w:szCs w:val="20"/>
      </w:rPr>
      <w:instrText xml:space="preserve">PAGE  </w:instrText>
    </w:r>
    <w:r w:rsidRPr="002A3716">
      <w:rPr>
        <w:rStyle w:val="slostrnky"/>
        <w:rFonts w:ascii="Calibri" w:hAnsi="Calibri"/>
        <w:sz w:val="20"/>
        <w:szCs w:val="20"/>
      </w:rPr>
      <w:fldChar w:fldCharType="separate"/>
    </w:r>
    <w:r w:rsidR="007273E4">
      <w:rPr>
        <w:rStyle w:val="slostrnky"/>
        <w:rFonts w:ascii="Calibri" w:hAnsi="Calibri"/>
        <w:noProof/>
        <w:sz w:val="20"/>
        <w:szCs w:val="20"/>
      </w:rPr>
      <w:t>17</w:t>
    </w:r>
    <w:r w:rsidRPr="002A3716">
      <w:rPr>
        <w:rStyle w:val="slostrnky"/>
        <w:rFonts w:ascii="Calibri" w:hAnsi="Calibri"/>
        <w:sz w:val="20"/>
        <w:szCs w:val="20"/>
      </w:rPr>
      <w:fldChar w:fldCharType="end"/>
    </w:r>
  </w:p>
  <w:p w:rsidR="00157ACE" w:rsidRDefault="00157ACE" w:rsidP="007E01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57F3" w:rsidRDefault="008457F3" w:rsidP="00436F6E">
      <w:pPr>
        <w:spacing w:after="0" w:line="240" w:lineRule="auto"/>
      </w:pPr>
      <w:r>
        <w:separator/>
      </w:r>
    </w:p>
  </w:footnote>
  <w:footnote w:type="continuationSeparator" w:id="0">
    <w:p w:rsidR="008457F3" w:rsidRDefault="008457F3" w:rsidP="00436F6E">
      <w:pPr>
        <w:spacing w:after="0" w:line="240" w:lineRule="auto"/>
      </w:pPr>
      <w:r>
        <w:continuationSeparator/>
      </w:r>
    </w:p>
  </w:footnote>
  <w:footnote w:id="1">
    <w:p w:rsidR="00157ACE" w:rsidRPr="00D61A65" w:rsidRDefault="00157ACE" w:rsidP="00FB53D1">
      <w:pPr>
        <w:pStyle w:val="Textpoznpodarou"/>
        <w:rPr>
          <w:rFonts w:ascii="Calibri" w:hAnsi="Calibri" w:cstheme="minorHAnsi"/>
          <w:sz w:val="18"/>
          <w:szCs w:val="18"/>
        </w:rPr>
      </w:pPr>
      <w:r w:rsidRPr="00D61A65">
        <w:rPr>
          <w:rStyle w:val="Znakapoznpodarou"/>
          <w:rFonts w:ascii="Calibri" w:hAnsi="Calibri" w:cstheme="minorHAnsi"/>
          <w:sz w:val="18"/>
          <w:szCs w:val="18"/>
        </w:rPr>
        <w:footnoteRef/>
      </w:r>
      <w:r w:rsidRPr="00D61A65">
        <w:rPr>
          <w:rFonts w:ascii="Calibri" w:hAnsi="Calibri" w:cstheme="minorHAnsi"/>
          <w:sz w:val="18"/>
          <w:szCs w:val="18"/>
        </w:rPr>
        <w:t xml:space="preserve">  V celém dokumentu je pracováno s průměrným počtem pojištěnců za sledované období. </w:t>
      </w:r>
    </w:p>
  </w:footnote>
  <w:footnote w:id="2">
    <w:p w:rsidR="00157ACE" w:rsidRPr="00D61A65" w:rsidRDefault="00157ACE" w:rsidP="000E26F9">
      <w:pPr>
        <w:pStyle w:val="Textpoznpodarou"/>
        <w:jc w:val="both"/>
        <w:rPr>
          <w:rFonts w:ascii="Calibri" w:hAnsi="Calibri"/>
          <w:sz w:val="18"/>
          <w:szCs w:val="18"/>
        </w:rPr>
      </w:pPr>
      <w:r w:rsidRPr="00D61A65">
        <w:rPr>
          <w:rStyle w:val="Znakapoznpodarou"/>
          <w:rFonts w:ascii="Calibri" w:hAnsi="Calibri"/>
          <w:sz w:val="18"/>
          <w:szCs w:val="18"/>
        </w:rPr>
        <w:footnoteRef/>
      </w:r>
      <w:r w:rsidRPr="00D61A65">
        <w:rPr>
          <w:rFonts w:ascii="Calibri" w:hAnsi="Calibri"/>
          <w:sz w:val="18"/>
          <w:szCs w:val="18"/>
        </w:rPr>
        <w:t xml:space="preserve"> Zjednodušeně se jedná o systém, který zohledňuje nákladovost kmene pojištěnců. Jinými slovy se příjem z přerozdělování odvíjí od celkových nákladů na zdravotní služby uhrazené za pojištěnce podle jejich věku a chronických onemocnění.</w:t>
      </w:r>
    </w:p>
  </w:footnote>
  <w:footnote w:id="3">
    <w:p w:rsidR="00157ACE" w:rsidRPr="00AD2E56" w:rsidRDefault="00157ACE" w:rsidP="00785CEC">
      <w:pPr>
        <w:pStyle w:val="Textpoznpodarou"/>
        <w:ind w:left="142" w:hanging="142"/>
        <w:jc w:val="both"/>
        <w:rPr>
          <w:rFonts w:asciiTheme="minorHAnsi" w:hAnsiTheme="minorHAnsi" w:cstheme="minorHAnsi"/>
        </w:rPr>
      </w:pPr>
      <w:r w:rsidRPr="00AD2E56">
        <w:rPr>
          <w:rStyle w:val="Znakapoznpodarou"/>
          <w:rFonts w:asciiTheme="minorHAnsi" w:hAnsiTheme="minorHAnsi" w:cstheme="minorHAnsi"/>
        </w:rPr>
        <w:footnoteRef/>
      </w:r>
      <w:r w:rsidRPr="00AD2E56">
        <w:rPr>
          <w:rFonts w:asciiTheme="minorHAnsi" w:hAnsiTheme="minorHAnsi" w:cstheme="minorHAnsi"/>
        </w:rPr>
        <w:t xml:space="preserve"> Ukazatel „výdajů na vlastní činnost“ představuje snahu zachytit co nejširší okruh výdajů, které se přímo netýkají úhrady zdravotních služeb. Oproti úžeji definovanému „maximálnímu limitu nákladů na vlastní činnosti“, kromě rozdílů v pojetí „výdajů“ a „nákladů“, zachycuje také výdaje provozního charakteru hrazené ze ZFZP i všech ostatních fondů, kterých se zmíněný limit netýká. Zahrnuje též jinou činnost. Výdaje na vlastní činnost tak mohou zmíněný limit převyšovat. Naopak, z ukazatele jsou vyloučeny všechny financující operace, byť mohou být prováděny např.</w:t>
      </w:r>
      <w:r>
        <w:rPr>
          <w:rFonts w:asciiTheme="minorHAnsi" w:hAnsiTheme="minorHAnsi" w:cstheme="minorHAnsi"/>
        </w:rPr>
        <w:t> </w:t>
      </w:r>
      <w:r w:rsidRPr="00AD2E56">
        <w:rPr>
          <w:rFonts w:asciiTheme="minorHAnsi" w:hAnsiTheme="minorHAnsi" w:cstheme="minorHAnsi"/>
        </w:rPr>
        <w:t>z</w:t>
      </w:r>
      <w:r>
        <w:rPr>
          <w:rFonts w:asciiTheme="minorHAnsi" w:hAnsiTheme="minorHAnsi" w:cstheme="minorHAnsi"/>
        </w:rPr>
        <w:t> </w:t>
      </w:r>
      <w:r w:rsidRPr="00AD2E56">
        <w:rPr>
          <w:rFonts w:asciiTheme="minorHAnsi" w:hAnsiTheme="minorHAnsi" w:cstheme="minorHAnsi"/>
        </w:rPr>
        <w:t>provozního fondu, kurzové ztráty, změny stavu hodnoty aktiv (nejedná se o cash-flow) a interní převody mezi fondy.</w:t>
      </w:r>
    </w:p>
  </w:footnote>
  <w:footnote w:id="4">
    <w:p w:rsidR="00157ACE" w:rsidRPr="00AD2E56" w:rsidRDefault="00157ACE" w:rsidP="00785CEC">
      <w:pPr>
        <w:pStyle w:val="Textpoznpodarou"/>
        <w:ind w:left="142" w:hanging="142"/>
        <w:jc w:val="both"/>
        <w:rPr>
          <w:rFonts w:asciiTheme="minorHAnsi" w:hAnsiTheme="minorHAnsi" w:cstheme="minorHAnsi"/>
        </w:rPr>
      </w:pPr>
      <w:r w:rsidRPr="00AD2E56">
        <w:rPr>
          <w:rStyle w:val="Znakapoznpodarou"/>
          <w:rFonts w:asciiTheme="minorHAnsi" w:hAnsiTheme="minorHAnsi" w:cstheme="minorHAnsi"/>
        </w:rPr>
        <w:footnoteRef/>
      </w:r>
      <w:r w:rsidRPr="00AD2E56">
        <w:rPr>
          <w:rFonts w:asciiTheme="minorHAnsi" w:hAnsiTheme="minorHAnsi" w:cstheme="minorHAnsi"/>
        </w:rPr>
        <w:t xml:space="preserve"> Ukazatel „výdajů na preventivní programy“ zpřesňuje údaje o „výdajích na preventivní programy“ z části B Fondu prevence zdravotní pojišťovny zohledněním vlivu zúčtování s pojištěnci.</w:t>
      </w:r>
    </w:p>
  </w:footnote>
  <w:footnote w:id="5">
    <w:p w:rsidR="00157ACE" w:rsidRPr="000906BC" w:rsidRDefault="00157ACE" w:rsidP="000906BC">
      <w:pPr>
        <w:pStyle w:val="Textpoznpodarou"/>
        <w:jc w:val="both"/>
        <w:rPr>
          <w:rFonts w:ascii="Calibri" w:hAnsi="Calibri"/>
        </w:rPr>
      </w:pPr>
      <w:r w:rsidRPr="000906BC">
        <w:rPr>
          <w:rStyle w:val="Znakapoznpodarou"/>
          <w:rFonts w:ascii="Calibri" w:hAnsi="Calibri"/>
        </w:rPr>
        <w:footnoteRef/>
      </w:r>
      <w:r w:rsidRPr="000906BC">
        <w:rPr>
          <w:rFonts w:ascii="Calibri" w:hAnsi="Calibri"/>
        </w:rPr>
        <w:t xml:space="preserve"> Jedná se o opravné</w:t>
      </w:r>
      <w:r w:rsidRPr="00157ACE">
        <w:rPr>
          <w:rFonts w:ascii="Calibri" w:hAnsi="Calibri"/>
        </w:rPr>
        <w:t xml:space="preserve"> položky </w:t>
      </w:r>
      <w:r w:rsidR="006D3185">
        <w:rPr>
          <w:rFonts w:ascii="Calibri" w:hAnsi="Calibri"/>
        </w:rPr>
        <w:t xml:space="preserve">celkem </w:t>
      </w:r>
      <w:r>
        <w:rPr>
          <w:rFonts w:ascii="Calibri" w:hAnsi="Calibri"/>
        </w:rPr>
        <w:t xml:space="preserve">za plátci pojistného </w:t>
      </w:r>
      <w:r w:rsidR="006D3185">
        <w:rPr>
          <w:rFonts w:ascii="Calibri" w:hAnsi="Calibri"/>
        </w:rPr>
        <w:t xml:space="preserve">i k majetku </w:t>
      </w:r>
      <w:r>
        <w:rPr>
          <w:rFonts w:ascii="Calibri" w:hAnsi="Calibri"/>
        </w:rPr>
        <w:t>(</w:t>
      </w:r>
      <w:r w:rsidR="00A116CE">
        <w:rPr>
          <w:rFonts w:ascii="Calibri" w:hAnsi="Calibri"/>
        </w:rPr>
        <w:t xml:space="preserve">dle </w:t>
      </w:r>
      <w:r w:rsidR="006D3185">
        <w:rPr>
          <w:rFonts w:ascii="Calibri" w:hAnsi="Calibri"/>
        </w:rPr>
        <w:t>P</w:t>
      </w:r>
      <w:r w:rsidR="00A116CE">
        <w:rPr>
          <w:rFonts w:ascii="Calibri" w:hAnsi="Calibri"/>
        </w:rPr>
        <w:t xml:space="preserve">řehledu </w:t>
      </w:r>
      <w:r w:rsidR="00A116CE" w:rsidRPr="00A116CE">
        <w:rPr>
          <w:rFonts w:ascii="Calibri" w:hAnsi="Calibri"/>
        </w:rPr>
        <w:t>údajů o činnosti zdravotní pojišťovny</w:t>
      </w:r>
      <w:r w:rsidR="00A116CE">
        <w:rPr>
          <w:rFonts w:ascii="Calibri" w:hAnsi="Calibri"/>
        </w:rPr>
        <w:t>)</w:t>
      </w:r>
      <w:r w:rsidR="006D3185">
        <w:rPr>
          <w:rFonts w:ascii="Calibri" w:hAnsi="Calibri"/>
        </w:rPr>
        <w:t>.</w:t>
      </w:r>
    </w:p>
  </w:footnote>
  <w:footnote w:id="6">
    <w:p w:rsidR="00157ACE" w:rsidRPr="00AD2E56" w:rsidRDefault="00157ACE" w:rsidP="000906BC">
      <w:pPr>
        <w:pStyle w:val="Textpoznpodarou"/>
        <w:jc w:val="both"/>
        <w:rPr>
          <w:rFonts w:asciiTheme="minorHAnsi" w:hAnsiTheme="minorHAnsi" w:cstheme="minorHAnsi"/>
          <w:sz w:val="16"/>
          <w:szCs w:val="16"/>
          <w:highlight w:val="cyan"/>
        </w:rPr>
      </w:pPr>
      <w:r w:rsidRPr="000906BC">
        <w:rPr>
          <w:rStyle w:val="Znakapoznpodarou"/>
          <w:rFonts w:ascii="Calibri" w:hAnsi="Calibri" w:cstheme="minorHAnsi"/>
        </w:rPr>
        <w:footnoteRef/>
      </w:r>
      <w:r w:rsidRPr="000906BC">
        <w:rPr>
          <w:rFonts w:ascii="Calibri" w:hAnsi="Calibri" w:cstheme="minorHAnsi"/>
          <w:sz w:val="16"/>
          <w:szCs w:val="16"/>
        </w:rPr>
        <w:t xml:space="preserve"> </w:t>
      </w:r>
      <w:r w:rsidRPr="000906BC">
        <w:rPr>
          <w:rFonts w:ascii="Calibri" w:hAnsi="Calibri" w:cstheme="minorHAnsi"/>
        </w:rPr>
        <w:t xml:space="preserve">V tabulkové příloze </w:t>
      </w:r>
      <w:r w:rsidRPr="000906BC">
        <w:rPr>
          <w:rFonts w:ascii="Calibri" w:hAnsi="Calibri" w:cstheme="minorHAnsi"/>
          <w:i/>
          <w:iCs/>
        </w:rPr>
        <w:t>Tabulka č. 1</w:t>
      </w:r>
      <w:r w:rsidRPr="000906BC">
        <w:rPr>
          <w:rFonts w:ascii="Calibri" w:hAnsi="Calibri" w:cstheme="minorHAnsi"/>
        </w:rPr>
        <w:t xml:space="preserve"> nejsou tyto údaje uvedeny, neboť nejsou součástí „čisté výše“ pohledávek.</w:t>
      </w:r>
      <w:r w:rsidRPr="00AD2E56">
        <w:rPr>
          <w:rFonts w:asciiTheme="minorHAnsi" w:hAnsiTheme="minorHAnsi" w:cstheme="minorHAnsi"/>
          <w:sz w:val="18"/>
          <w:szCs w:val="16"/>
        </w:rPr>
        <w:t xml:space="preserve"> </w:t>
      </w:r>
    </w:p>
  </w:footnote>
  <w:footnote w:id="7">
    <w:p w:rsidR="00157ACE" w:rsidRPr="00AD2E56" w:rsidRDefault="00157ACE" w:rsidP="00685EAE">
      <w:pPr>
        <w:pStyle w:val="Textpoznpodarou"/>
        <w:rPr>
          <w:rFonts w:asciiTheme="minorHAnsi" w:hAnsiTheme="minorHAnsi" w:cstheme="minorHAnsi"/>
        </w:rPr>
      </w:pPr>
      <w:r w:rsidRPr="00AD2E56">
        <w:rPr>
          <w:rStyle w:val="Znakapoznpodarou"/>
          <w:rFonts w:asciiTheme="minorHAnsi" w:hAnsiTheme="minorHAnsi" w:cstheme="minorHAnsi"/>
        </w:rPr>
        <w:footnoteRef/>
      </w:r>
      <w:r w:rsidRPr="00AD2E56">
        <w:rPr>
          <w:rFonts w:asciiTheme="minorHAnsi" w:hAnsiTheme="minorHAnsi" w:cstheme="minorHAnsi"/>
        </w:rPr>
        <w:t xml:space="preserve"> Zdrojem dat o reálném HDP je ČSÚ. V roce 201</w:t>
      </w:r>
      <w:r>
        <w:rPr>
          <w:rFonts w:asciiTheme="minorHAnsi" w:hAnsiTheme="minorHAnsi" w:cstheme="minorHAnsi"/>
        </w:rPr>
        <w:t xml:space="preserve">9 </w:t>
      </w:r>
      <w:r w:rsidRPr="00AD2E56">
        <w:rPr>
          <w:rFonts w:asciiTheme="minorHAnsi" w:hAnsiTheme="minorHAnsi" w:cstheme="minorHAnsi"/>
        </w:rPr>
        <w:t>se jedná o součet čtvrtletních odhadů.</w:t>
      </w:r>
    </w:p>
  </w:footnote>
  <w:footnote w:id="8">
    <w:p w:rsidR="00157ACE" w:rsidRPr="00AD2E56" w:rsidRDefault="00157ACE" w:rsidP="00212B41">
      <w:pPr>
        <w:pStyle w:val="Textpoznpodarou"/>
        <w:rPr>
          <w:rFonts w:asciiTheme="minorHAnsi" w:hAnsiTheme="minorHAnsi" w:cstheme="minorHAnsi"/>
        </w:rPr>
      </w:pPr>
      <w:r w:rsidRPr="00AD2E56">
        <w:rPr>
          <w:rStyle w:val="Znakapoznpodarou"/>
          <w:rFonts w:asciiTheme="minorHAnsi" w:hAnsiTheme="minorHAnsi" w:cstheme="minorHAnsi"/>
        </w:rPr>
        <w:footnoteRef/>
      </w:r>
      <w:r w:rsidRPr="00AD2E56">
        <w:rPr>
          <w:rFonts w:asciiTheme="minorHAnsi" w:hAnsiTheme="minorHAnsi" w:cstheme="minorHAnsi"/>
        </w:rPr>
        <w:t xml:space="preserve"> Zdrojem dat o HDP v běžných cenách je ČSÚ. V roce 201</w:t>
      </w:r>
      <w:r>
        <w:rPr>
          <w:rFonts w:asciiTheme="minorHAnsi" w:hAnsiTheme="minorHAnsi" w:cstheme="minorHAnsi"/>
        </w:rPr>
        <w:t>9</w:t>
      </w:r>
      <w:r w:rsidRPr="00AD2E56">
        <w:rPr>
          <w:rFonts w:asciiTheme="minorHAnsi" w:hAnsiTheme="minorHAnsi" w:cstheme="minorHAnsi"/>
        </w:rPr>
        <w:t xml:space="preserve"> se jedná o součet čtvrtletních odhadů.</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B4D49"/>
    <w:multiLevelType w:val="hybridMultilevel"/>
    <w:tmpl w:val="8450580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6C309FE"/>
    <w:multiLevelType w:val="multilevel"/>
    <w:tmpl w:val="EFFE63E8"/>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Theme="minorHAnsi" w:hAnsiTheme="minorHAnsi" w:cstheme="minorHAnsi" w:hint="default"/>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15:restartNumberingAfterBreak="0">
    <w:nsid w:val="06F3363C"/>
    <w:multiLevelType w:val="hybridMultilevel"/>
    <w:tmpl w:val="A214690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395080"/>
    <w:multiLevelType w:val="hybridMultilevel"/>
    <w:tmpl w:val="5164D12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19D8202E"/>
    <w:multiLevelType w:val="hybridMultilevel"/>
    <w:tmpl w:val="620008AC"/>
    <w:lvl w:ilvl="0" w:tplc="76647378">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DAD2BC6"/>
    <w:multiLevelType w:val="hybridMultilevel"/>
    <w:tmpl w:val="E8ACCC44"/>
    <w:lvl w:ilvl="0" w:tplc="2162F034">
      <w:start w:val="1"/>
      <w:numFmt w:val="bullet"/>
      <w:lvlText w:val="●"/>
      <w:lvlJc w:val="left"/>
      <w:pPr>
        <w:tabs>
          <w:tab w:val="num" w:pos="720"/>
        </w:tabs>
        <w:ind w:left="720" w:hanging="360"/>
      </w:pPr>
      <w:rPr>
        <w:rFonts w:hint="default"/>
        <w:sz w:val="16"/>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1C5F30"/>
    <w:multiLevelType w:val="hybridMultilevel"/>
    <w:tmpl w:val="E416A156"/>
    <w:lvl w:ilvl="0" w:tplc="C758F230">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7" w15:restartNumberingAfterBreak="0">
    <w:nsid w:val="2C71281D"/>
    <w:multiLevelType w:val="hybridMultilevel"/>
    <w:tmpl w:val="3744B2B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B71534"/>
    <w:multiLevelType w:val="hybridMultilevel"/>
    <w:tmpl w:val="637AA804"/>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9" w15:restartNumberingAfterBreak="0">
    <w:nsid w:val="2EAF2F00"/>
    <w:multiLevelType w:val="hybridMultilevel"/>
    <w:tmpl w:val="B8AAEFF6"/>
    <w:lvl w:ilvl="0" w:tplc="76647378">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F2A1CFC"/>
    <w:multiLevelType w:val="hybridMultilevel"/>
    <w:tmpl w:val="2DA4431A"/>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329F30D9"/>
    <w:multiLevelType w:val="hybridMultilevel"/>
    <w:tmpl w:val="80DCD4B8"/>
    <w:lvl w:ilvl="0" w:tplc="04050001">
      <w:start w:val="1"/>
      <w:numFmt w:val="bullet"/>
      <w:lvlText w:val=""/>
      <w:lvlJc w:val="left"/>
      <w:pPr>
        <w:ind w:left="1560" w:hanging="360"/>
      </w:pPr>
      <w:rPr>
        <w:rFonts w:ascii="Symbol" w:hAnsi="Symbol" w:hint="default"/>
      </w:rPr>
    </w:lvl>
    <w:lvl w:ilvl="1" w:tplc="04050003" w:tentative="1">
      <w:start w:val="1"/>
      <w:numFmt w:val="bullet"/>
      <w:lvlText w:val="o"/>
      <w:lvlJc w:val="left"/>
      <w:pPr>
        <w:ind w:left="2280" w:hanging="360"/>
      </w:pPr>
      <w:rPr>
        <w:rFonts w:ascii="Courier New" w:hAnsi="Courier New" w:cs="Courier New" w:hint="default"/>
      </w:rPr>
    </w:lvl>
    <w:lvl w:ilvl="2" w:tplc="04050005" w:tentative="1">
      <w:start w:val="1"/>
      <w:numFmt w:val="bullet"/>
      <w:lvlText w:val=""/>
      <w:lvlJc w:val="left"/>
      <w:pPr>
        <w:ind w:left="3000" w:hanging="360"/>
      </w:pPr>
      <w:rPr>
        <w:rFonts w:ascii="Wingdings" w:hAnsi="Wingdings" w:hint="default"/>
      </w:rPr>
    </w:lvl>
    <w:lvl w:ilvl="3" w:tplc="04050001" w:tentative="1">
      <w:start w:val="1"/>
      <w:numFmt w:val="bullet"/>
      <w:lvlText w:val=""/>
      <w:lvlJc w:val="left"/>
      <w:pPr>
        <w:ind w:left="3720" w:hanging="360"/>
      </w:pPr>
      <w:rPr>
        <w:rFonts w:ascii="Symbol" w:hAnsi="Symbol" w:hint="default"/>
      </w:rPr>
    </w:lvl>
    <w:lvl w:ilvl="4" w:tplc="04050003" w:tentative="1">
      <w:start w:val="1"/>
      <w:numFmt w:val="bullet"/>
      <w:lvlText w:val="o"/>
      <w:lvlJc w:val="left"/>
      <w:pPr>
        <w:ind w:left="4440" w:hanging="360"/>
      </w:pPr>
      <w:rPr>
        <w:rFonts w:ascii="Courier New" w:hAnsi="Courier New" w:cs="Courier New" w:hint="default"/>
      </w:rPr>
    </w:lvl>
    <w:lvl w:ilvl="5" w:tplc="04050005" w:tentative="1">
      <w:start w:val="1"/>
      <w:numFmt w:val="bullet"/>
      <w:lvlText w:val=""/>
      <w:lvlJc w:val="left"/>
      <w:pPr>
        <w:ind w:left="5160" w:hanging="360"/>
      </w:pPr>
      <w:rPr>
        <w:rFonts w:ascii="Wingdings" w:hAnsi="Wingdings" w:hint="default"/>
      </w:rPr>
    </w:lvl>
    <w:lvl w:ilvl="6" w:tplc="04050001" w:tentative="1">
      <w:start w:val="1"/>
      <w:numFmt w:val="bullet"/>
      <w:lvlText w:val=""/>
      <w:lvlJc w:val="left"/>
      <w:pPr>
        <w:ind w:left="5880" w:hanging="360"/>
      </w:pPr>
      <w:rPr>
        <w:rFonts w:ascii="Symbol" w:hAnsi="Symbol" w:hint="default"/>
      </w:rPr>
    </w:lvl>
    <w:lvl w:ilvl="7" w:tplc="04050003" w:tentative="1">
      <w:start w:val="1"/>
      <w:numFmt w:val="bullet"/>
      <w:lvlText w:val="o"/>
      <w:lvlJc w:val="left"/>
      <w:pPr>
        <w:ind w:left="6600" w:hanging="360"/>
      </w:pPr>
      <w:rPr>
        <w:rFonts w:ascii="Courier New" w:hAnsi="Courier New" w:cs="Courier New" w:hint="default"/>
      </w:rPr>
    </w:lvl>
    <w:lvl w:ilvl="8" w:tplc="04050005" w:tentative="1">
      <w:start w:val="1"/>
      <w:numFmt w:val="bullet"/>
      <w:lvlText w:val=""/>
      <w:lvlJc w:val="left"/>
      <w:pPr>
        <w:ind w:left="7320" w:hanging="360"/>
      </w:pPr>
      <w:rPr>
        <w:rFonts w:ascii="Wingdings" w:hAnsi="Wingdings" w:hint="default"/>
      </w:rPr>
    </w:lvl>
  </w:abstractNum>
  <w:abstractNum w:abstractNumId="12" w15:restartNumberingAfterBreak="0">
    <w:nsid w:val="3FBF3637"/>
    <w:multiLevelType w:val="hybridMultilevel"/>
    <w:tmpl w:val="3708B9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02D35D4"/>
    <w:multiLevelType w:val="hybridMultilevel"/>
    <w:tmpl w:val="7D8E2872"/>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4" w15:restartNumberingAfterBreak="0">
    <w:nsid w:val="478E577C"/>
    <w:multiLevelType w:val="hybridMultilevel"/>
    <w:tmpl w:val="FD7876E4"/>
    <w:lvl w:ilvl="0" w:tplc="76647378">
      <w:numFmt w:val="bullet"/>
      <w:lvlText w:val="-"/>
      <w:lvlJc w:val="left"/>
      <w:pPr>
        <w:tabs>
          <w:tab w:val="num" w:pos="720"/>
        </w:tabs>
        <w:ind w:left="720" w:hanging="360"/>
      </w:pPr>
      <w:rPr>
        <w:rFonts w:ascii="Arial" w:eastAsia="SimSu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417C7A"/>
    <w:multiLevelType w:val="hybridMultilevel"/>
    <w:tmpl w:val="3192241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786"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74D79A0"/>
    <w:multiLevelType w:val="hybridMultilevel"/>
    <w:tmpl w:val="9D94AFE8"/>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7" w15:restartNumberingAfterBreak="0">
    <w:nsid w:val="587D7EF5"/>
    <w:multiLevelType w:val="hybridMultilevel"/>
    <w:tmpl w:val="E904F578"/>
    <w:lvl w:ilvl="0" w:tplc="04050003">
      <w:start w:val="1"/>
      <w:numFmt w:val="bullet"/>
      <w:lvlText w:val="o"/>
      <w:lvlJc w:val="left"/>
      <w:pPr>
        <w:tabs>
          <w:tab w:val="num" w:pos="1068"/>
        </w:tabs>
        <w:ind w:left="1068" w:hanging="360"/>
      </w:pPr>
      <w:rPr>
        <w:rFonts w:ascii="Courier New" w:hAnsi="Courier New" w:cs="Courier New" w:hint="default"/>
      </w:rPr>
    </w:lvl>
    <w:lvl w:ilvl="1" w:tplc="B85C4FDC">
      <w:numFmt w:val="bullet"/>
      <w:lvlText w:val="•"/>
      <w:lvlJc w:val="left"/>
      <w:pPr>
        <w:tabs>
          <w:tab w:val="num" w:pos="1788"/>
        </w:tabs>
        <w:ind w:left="1788" w:hanging="360"/>
      </w:pPr>
      <w:rPr>
        <w:rFonts w:ascii="Arial" w:hAnsi="Arial" w:hint="default"/>
      </w:rPr>
    </w:lvl>
    <w:lvl w:ilvl="2" w:tplc="409613AC" w:tentative="1">
      <w:start w:val="1"/>
      <w:numFmt w:val="bullet"/>
      <w:lvlText w:val="•"/>
      <w:lvlJc w:val="left"/>
      <w:pPr>
        <w:tabs>
          <w:tab w:val="num" w:pos="2508"/>
        </w:tabs>
        <w:ind w:left="2508" w:hanging="360"/>
      </w:pPr>
      <w:rPr>
        <w:rFonts w:ascii="Arial" w:hAnsi="Arial" w:hint="default"/>
      </w:rPr>
    </w:lvl>
    <w:lvl w:ilvl="3" w:tplc="0FA0AEFA" w:tentative="1">
      <w:start w:val="1"/>
      <w:numFmt w:val="bullet"/>
      <w:lvlText w:val="•"/>
      <w:lvlJc w:val="left"/>
      <w:pPr>
        <w:tabs>
          <w:tab w:val="num" w:pos="3228"/>
        </w:tabs>
        <w:ind w:left="3228" w:hanging="360"/>
      </w:pPr>
      <w:rPr>
        <w:rFonts w:ascii="Arial" w:hAnsi="Arial" w:hint="default"/>
      </w:rPr>
    </w:lvl>
    <w:lvl w:ilvl="4" w:tplc="1F5EAA90" w:tentative="1">
      <w:start w:val="1"/>
      <w:numFmt w:val="bullet"/>
      <w:lvlText w:val="•"/>
      <w:lvlJc w:val="left"/>
      <w:pPr>
        <w:tabs>
          <w:tab w:val="num" w:pos="3948"/>
        </w:tabs>
        <w:ind w:left="3948" w:hanging="360"/>
      </w:pPr>
      <w:rPr>
        <w:rFonts w:ascii="Arial" w:hAnsi="Arial" w:hint="default"/>
      </w:rPr>
    </w:lvl>
    <w:lvl w:ilvl="5" w:tplc="06FA0348" w:tentative="1">
      <w:start w:val="1"/>
      <w:numFmt w:val="bullet"/>
      <w:lvlText w:val="•"/>
      <w:lvlJc w:val="left"/>
      <w:pPr>
        <w:tabs>
          <w:tab w:val="num" w:pos="4668"/>
        </w:tabs>
        <w:ind w:left="4668" w:hanging="360"/>
      </w:pPr>
      <w:rPr>
        <w:rFonts w:ascii="Arial" w:hAnsi="Arial" w:hint="default"/>
      </w:rPr>
    </w:lvl>
    <w:lvl w:ilvl="6" w:tplc="4A4EECB2" w:tentative="1">
      <w:start w:val="1"/>
      <w:numFmt w:val="bullet"/>
      <w:lvlText w:val="•"/>
      <w:lvlJc w:val="left"/>
      <w:pPr>
        <w:tabs>
          <w:tab w:val="num" w:pos="5388"/>
        </w:tabs>
        <w:ind w:left="5388" w:hanging="360"/>
      </w:pPr>
      <w:rPr>
        <w:rFonts w:ascii="Arial" w:hAnsi="Arial" w:hint="default"/>
      </w:rPr>
    </w:lvl>
    <w:lvl w:ilvl="7" w:tplc="001A383A" w:tentative="1">
      <w:start w:val="1"/>
      <w:numFmt w:val="bullet"/>
      <w:lvlText w:val="•"/>
      <w:lvlJc w:val="left"/>
      <w:pPr>
        <w:tabs>
          <w:tab w:val="num" w:pos="6108"/>
        </w:tabs>
        <w:ind w:left="6108" w:hanging="360"/>
      </w:pPr>
      <w:rPr>
        <w:rFonts w:ascii="Arial" w:hAnsi="Arial" w:hint="default"/>
      </w:rPr>
    </w:lvl>
    <w:lvl w:ilvl="8" w:tplc="8A520520" w:tentative="1">
      <w:start w:val="1"/>
      <w:numFmt w:val="bullet"/>
      <w:lvlText w:val="•"/>
      <w:lvlJc w:val="left"/>
      <w:pPr>
        <w:tabs>
          <w:tab w:val="num" w:pos="6828"/>
        </w:tabs>
        <w:ind w:left="6828" w:hanging="360"/>
      </w:pPr>
      <w:rPr>
        <w:rFonts w:ascii="Arial" w:hAnsi="Arial" w:hint="default"/>
      </w:rPr>
    </w:lvl>
  </w:abstractNum>
  <w:abstractNum w:abstractNumId="18" w15:restartNumberingAfterBreak="0">
    <w:nsid w:val="58D05DDC"/>
    <w:multiLevelType w:val="hybridMultilevel"/>
    <w:tmpl w:val="FB906AF6"/>
    <w:lvl w:ilvl="0" w:tplc="C758F230">
      <w:start w:val="1"/>
      <w:numFmt w:val="bullet"/>
      <w:lvlText w:val=""/>
      <w:lvlJc w:val="left"/>
      <w:pPr>
        <w:ind w:left="1560" w:hanging="360"/>
      </w:pPr>
      <w:rPr>
        <w:rFonts w:ascii="Symbol" w:hAnsi="Symbol" w:hint="default"/>
      </w:rPr>
    </w:lvl>
    <w:lvl w:ilvl="1" w:tplc="04050003" w:tentative="1">
      <w:start w:val="1"/>
      <w:numFmt w:val="bullet"/>
      <w:lvlText w:val="o"/>
      <w:lvlJc w:val="left"/>
      <w:pPr>
        <w:ind w:left="2280" w:hanging="360"/>
      </w:pPr>
      <w:rPr>
        <w:rFonts w:ascii="Courier New" w:hAnsi="Courier New" w:cs="Courier New" w:hint="default"/>
      </w:rPr>
    </w:lvl>
    <w:lvl w:ilvl="2" w:tplc="04050005" w:tentative="1">
      <w:start w:val="1"/>
      <w:numFmt w:val="bullet"/>
      <w:lvlText w:val=""/>
      <w:lvlJc w:val="left"/>
      <w:pPr>
        <w:ind w:left="3000" w:hanging="360"/>
      </w:pPr>
      <w:rPr>
        <w:rFonts w:ascii="Wingdings" w:hAnsi="Wingdings" w:hint="default"/>
      </w:rPr>
    </w:lvl>
    <w:lvl w:ilvl="3" w:tplc="04050001" w:tentative="1">
      <w:start w:val="1"/>
      <w:numFmt w:val="bullet"/>
      <w:lvlText w:val=""/>
      <w:lvlJc w:val="left"/>
      <w:pPr>
        <w:ind w:left="3720" w:hanging="360"/>
      </w:pPr>
      <w:rPr>
        <w:rFonts w:ascii="Symbol" w:hAnsi="Symbol" w:hint="default"/>
      </w:rPr>
    </w:lvl>
    <w:lvl w:ilvl="4" w:tplc="04050003" w:tentative="1">
      <w:start w:val="1"/>
      <w:numFmt w:val="bullet"/>
      <w:lvlText w:val="o"/>
      <w:lvlJc w:val="left"/>
      <w:pPr>
        <w:ind w:left="4440" w:hanging="360"/>
      </w:pPr>
      <w:rPr>
        <w:rFonts w:ascii="Courier New" w:hAnsi="Courier New" w:cs="Courier New" w:hint="default"/>
      </w:rPr>
    </w:lvl>
    <w:lvl w:ilvl="5" w:tplc="04050005" w:tentative="1">
      <w:start w:val="1"/>
      <w:numFmt w:val="bullet"/>
      <w:lvlText w:val=""/>
      <w:lvlJc w:val="left"/>
      <w:pPr>
        <w:ind w:left="5160" w:hanging="360"/>
      </w:pPr>
      <w:rPr>
        <w:rFonts w:ascii="Wingdings" w:hAnsi="Wingdings" w:hint="default"/>
      </w:rPr>
    </w:lvl>
    <w:lvl w:ilvl="6" w:tplc="04050001" w:tentative="1">
      <w:start w:val="1"/>
      <w:numFmt w:val="bullet"/>
      <w:lvlText w:val=""/>
      <w:lvlJc w:val="left"/>
      <w:pPr>
        <w:ind w:left="5880" w:hanging="360"/>
      </w:pPr>
      <w:rPr>
        <w:rFonts w:ascii="Symbol" w:hAnsi="Symbol" w:hint="default"/>
      </w:rPr>
    </w:lvl>
    <w:lvl w:ilvl="7" w:tplc="04050003" w:tentative="1">
      <w:start w:val="1"/>
      <w:numFmt w:val="bullet"/>
      <w:lvlText w:val="o"/>
      <w:lvlJc w:val="left"/>
      <w:pPr>
        <w:ind w:left="6600" w:hanging="360"/>
      </w:pPr>
      <w:rPr>
        <w:rFonts w:ascii="Courier New" w:hAnsi="Courier New" w:cs="Courier New" w:hint="default"/>
      </w:rPr>
    </w:lvl>
    <w:lvl w:ilvl="8" w:tplc="04050005" w:tentative="1">
      <w:start w:val="1"/>
      <w:numFmt w:val="bullet"/>
      <w:lvlText w:val=""/>
      <w:lvlJc w:val="left"/>
      <w:pPr>
        <w:ind w:left="7320" w:hanging="360"/>
      </w:pPr>
      <w:rPr>
        <w:rFonts w:ascii="Wingdings" w:hAnsi="Wingdings" w:hint="default"/>
      </w:rPr>
    </w:lvl>
  </w:abstractNum>
  <w:abstractNum w:abstractNumId="19" w15:restartNumberingAfterBreak="0">
    <w:nsid w:val="5F4A5A5D"/>
    <w:multiLevelType w:val="hybridMultilevel"/>
    <w:tmpl w:val="DE02A02C"/>
    <w:lvl w:ilvl="0" w:tplc="04050003">
      <w:start w:val="1"/>
      <w:numFmt w:val="bullet"/>
      <w:lvlText w:val="o"/>
      <w:lvlJc w:val="left"/>
      <w:pPr>
        <w:ind w:left="1429" w:hanging="360"/>
      </w:pPr>
      <w:rPr>
        <w:rFonts w:ascii="Courier New" w:hAnsi="Courier New" w:cs="Courier New"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611812E6"/>
    <w:multiLevelType w:val="hybridMultilevel"/>
    <w:tmpl w:val="7674E1C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1AC4FA9"/>
    <w:multiLevelType w:val="hybridMultilevel"/>
    <w:tmpl w:val="969AFF6A"/>
    <w:lvl w:ilvl="0" w:tplc="04050003">
      <w:start w:val="1"/>
      <w:numFmt w:val="bullet"/>
      <w:lvlText w:val="o"/>
      <w:lvlJc w:val="left"/>
      <w:pPr>
        <w:ind w:left="1100" w:hanging="360"/>
      </w:pPr>
      <w:rPr>
        <w:rFonts w:ascii="Courier New" w:hAnsi="Courier New" w:cs="Courier New" w:hint="default"/>
      </w:rPr>
    </w:lvl>
    <w:lvl w:ilvl="1" w:tplc="04050003" w:tentative="1">
      <w:start w:val="1"/>
      <w:numFmt w:val="bullet"/>
      <w:lvlText w:val="o"/>
      <w:lvlJc w:val="left"/>
      <w:pPr>
        <w:ind w:left="1820" w:hanging="360"/>
      </w:pPr>
      <w:rPr>
        <w:rFonts w:ascii="Courier New" w:hAnsi="Courier New" w:cs="Courier New" w:hint="default"/>
      </w:rPr>
    </w:lvl>
    <w:lvl w:ilvl="2" w:tplc="04050005" w:tentative="1">
      <w:start w:val="1"/>
      <w:numFmt w:val="bullet"/>
      <w:lvlText w:val=""/>
      <w:lvlJc w:val="left"/>
      <w:pPr>
        <w:ind w:left="2540" w:hanging="360"/>
      </w:pPr>
      <w:rPr>
        <w:rFonts w:ascii="Wingdings" w:hAnsi="Wingdings" w:hint="default"/>
      </w:rPr>
    </w:lvl>
    <w:lvl w:ilvl="3" w:tplc="04050001" w:tentative="1">
      <w:start w:val="1"/>
      <w:numFmt w:val="bullet"/>
      <w:lvlText w:val=""/>
      <w:lvlJc w:val="left"/>
      <w:pPr>
        <w:ind w:left="3260" w:hanging="360"/>
      </w:pPr>
      <w:rPr>
        <w:rFonts w:ascii="Symbol" w:hAnsi="Symbol" w:hint="default"/>
      </w:rPr>
    </w:lvl>
    <w:lvl w:ilvl="4" w:tplc="04050003" w:tentative="1">
      <w:start w:val="1"/>
      <w:numFmt w:val="bullet"/>
      <w:lvlText w:val="o"/>
      <w:lvlJc w:val="left"/>
      <w:pPr>
        <w:ind w:left="3980" w:hanging="360"/>
      </w:pPr>
      <w:rPr>
        <w:rFonts w:ascii="Courier New" w:hAnsi="Courier New" w:cs="Courier New" w:hint="default"/>
      </w:rPr>
    </w:lvl>
    <w:lvl w:ilvl="5" w:tplc="04050005" w:tentative="1">
      <w:start w:val="1"/>
      <w:numFmt w:val="bullet"/>
      <w:lvlText w:val=""/>
      <w:lvlJc w:val="left"/>
      <w:pPr>
        <w:ind w:left="4700" w:hanging="360"/>
      </w:pPr>
      <w:rPr>
        <w:rFonts w:ascii="Wingdings" w:hAnsi="Wingdings" w:hint="default"/>
      </w:rPr>
    </w:lvl>
    <w:lvl w:ilvl="6" w:tplc="04050001" w:tentative="1">
      <w:start w:val="1"/>
      <w:numFmt w:val="bullet"/>
      <w:lvlText w:val=""/>
      <w:lvlJc w:val="left"/>
      <w:pPr>
        <w:ind w:left="5420" w:hanging="360"/>
      </w:pPr>
      <w:rPr>
        <w:rFonts w:ascii="Symbol" w:hAnsi="Symbol" w:hint="default"/>
      </w:rPr>
    </w:lvl>
    <w:lvl w:ilvl="7" w:tplc="04050003" w:tentative="1">
      <w:start w:val="1"/>
      <w:numFmt w:val="bullet"/>
      <w:lvlText w:val="o"/>
      <w:lvlJc w:val="left"/>
      <w:pPr>
        <w:ind w:left="6140" w:hanging="360"/>
      </w:pPr>
      <w:rPr>
        <w:rFonts w:ascii="Courier New" w:hAnsi="Courier New" w:cs="Courier New" w:hint="default"/>
      </w:rPr>
    </w:lvl>
    <w:lvl w:ilvl="8" w:tplc="04050005" w:tentative="1">
      <w:start w:val="1"/>
      <w:numFmt w:val="bullet"/>
      <w:lvlText w:val=""/>
      <w:lvlJc w:val="left"/>
      <w:pPr>
        <w:ind w:left="6860" w:hanging="360"/>
      </w:pPr>
      <w:rPr>
        <w:rFonts w:ascii="Wingdings" w:hAnsi="Wingdings" w:hint="default"/>
      </w:rPr>
    </w:lvl>
  </w:abstractNum>
  <w:abstractNum w:abstractNumId="22" w15:restartNumberingAfterBreak="0">
    <w:nsid w:val="64CD5FFF"/>
    <w:multiLevelType w:val="hybridMultilevel"/>
    <w:tmpl w:val="0C5EF88A"/>
    <w:lvl w:ilvl="0" w:tplc="0405000B">
      <w:start w:val="1"/>
      <w:numFmt w:val="bullet"/>
      <w:lvlText w:val=""/>
      <w:lvlJc w:val="left"/>
      <w:pPr>
        <w:tabs>
          <w:tab w:val="num" w:pos="1428"/>
        </w:tabs>
        <w:ind w:left="1428" w:hanging="360"/>
      </w:pPr>
      <w:rPr>
        <w:rFonts w:ascii="Wingdings" w:hAnsi="Wingding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68DD4357"/>
    <w:multiLevelType w:val="hybridMultilevel"/>
    <w:tmpl w:val="2D824D84"/>
    <w:lvl w:ilvl="0" w:tplc="04050005">
      <w:start w:val="1"/>
      <w:numFmt w:val="bullet"/>
      <w:lvlText w:val=""/>
      <w:lvlJc w:val="left"/>
      <w:pPr>
        <w:tabs>
          <w:tab w:val="num" w:pos="502"/>
        </w:tabs>
        <w:ind w:left="502" w:hanging="360"/>
      </w:pPr>
      <w:rPr>
        <w:rFonts w:ascii="Wingdings" w:hAnsi="Wingdings" w:hint="default"/>
      </w:rPr>
    </w:lvl>
    <w:lvl w:ilvl="1" w:tplc="04050003" w:tentative="1">
      <w:start w:val="1"/>
      <w:numFmt w:val="bullet"/>
      <w:lvlText w:val="o"/>
      <w:lvlJc w:val="left"/>
      <w:pPr>
        <w:tabs>
          <w:tab w:val="num" w:pos="1222"/>
        </w:tabs>
        <w:ind w:left="1222" w:hanging="360"/>
      </w:pPr>
      <w:rPr>
        <w:rFonts w:ascii="Courier New" w:hAnsi="Courier New" w:cs="Courier New" w:hint="default"/>
      </w:rPr>
    </w:lvl>
    <w:lvl w:ilvl="2" w:tplc="04050005" w:tentative="1">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24" w15:restartNumberingAfterBreak="0">
    <w:nsid w:val="69FA57E2"/>
    <w:multiLevelType w:val="hybridMultilevel"/>
    <w:tmpl w:val="9C9481D8"/>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25" w15:restartNumberingAfterBreak="0">
    <w:nsid w:val="6E700BDC"/>
    <w:multiLevelType w:val="hybridMultilevel"/>
    <w:tmpl w:val="6EA4244C"/>
    <w:lvl w:ilvl="0" w:tplc="C758F230">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26" w15:restartNumberingAfterBreak="0">
    <w:nsid w:val="757E36BC"/>
    <w:multiLevelType w:val="hybridMultilevel"/>
    <w:tmpl w:val="998AF13E"/>
    <w:lvl w:ilvl="0" w:tplc="76647378">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CD60301"/>
    <w:multiLevelType w:val="hybridMultilevel"/>
    <w:tmpl w:val="22E86EF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27"/>
  </w:num>
  <w:num w:numId="3">
    <w:abstractNumId w:val="2"/>
  </w:num>
  <w:num w:numId="4">
    <w:abstractNumId w:val="23"/>
  </w:num>
  <w:num w:numId="5">
    <w:abstractNumId w:val="22"/>
  </w:num>
  <w:num w:numId="6">
    <w:abstractNumId w:val="7"/>
  </w:num>
  <w:num w:numId="7">
    <w:abstractNumId w:val="14"/>
  </w:num>
  <w:num w:numId="8">
    <w:abstractNumId w:val="26"/>
  </w:num>
  <w:num w:numId="9">
    <w:abstractNumId w:val="4"/>
  </w:num>
  <w:num w:numId="10">
    <w:abstractNumId w:val="9"/>
  </w:num>
  <w:num w:numId="11">
    <w:abstractNumId w:val="8"/>
  </w:num>
  <w:num w:numId="12">
    <w:abstractNumId w:val="5"/>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6"/>
  </w:num>
  <w:num w:numId="16">
    <w:abstractNumId w:val="25"/>
  </w:num>
  <w:num w:numId="17">
    <w:abstractNumId w:val="18"/>
  </w:num>
  <w:num w:numId="18">
    <w:abstractNumId w:val="24"/>
  </w:num>
  <w:num w:numId="19">
    <w:abstractNumId w:val="16"/>
  </w:num>
  <w:num w:numId="20">
    <w:abstractNumId w:val="11"/>
  </w:num>
  <w:num w:numId="21">
    <w:abstractNumId w:val="1"/>
  </w:num>
  <w:num w:numId="22">
    <w:abstractNumId w:val="12"/>
  </w:num>
  <w:num w:numId="23">
    <w:abstractNumId w:val="1"/>
  </w:num>
  <w:num w:numId="24">
    <w:abstractNumId w:val="1"/>
  </w:num>
  <w:num w:numId="25">
    <w:abstractNumId w:val="1"/>
  </w:num>
  <w:num w:numId="26">
    <w:abstractNumId w:val="1"/>
  </w:num>
  <w:num w:numId="27">
    <w:abstractNumId w:val="13"/>
  </w:num>
  <w:num w:numId="28">
    <w:abstractNumId w:val="10"/>
  </w:num>
  <w:num w:numId="29">
    <w:abstractNumId w:val="15"/>
  </w:num>
  <w:num w:numId="30">
    <w:abstractNumId w:val="21"/>
  </w:num>
  <w:num w:numId="31">
    <w:abstractNumId w:val="0"/>
  </w:num>
  <w:num w:numId="32">
    <w:abstractNumId w:val="17"/>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6F6E"/>
    <w:rsid w:val="000109D2"/>
    <w:rsid w:val="00011B2D"/>
    <w:rsid w:val="00023D5A"/>
    <w:rsid w:val="00037363"/>
    <w:rsid w:val="0003756A"/>
    <w:rsid w:val="00040258"/>
    <w:rsid w:val="000454DE"/>
    <w:rsid w:val="00046FEC"/>
    <w:rsid w:val="00054B08"/>
    <w:rsid w:val="00056DDA"/>
    <w:rsid w:val="00064AFB"/>
    <w:rsid w:val="00064FD0"/>
    <w:rsid w:val="00067CD4"/>
    <w:rsid w:val="000719C3"/>
    <w:rsid w:val="00075334"/>
    <w:rsid w:val="00077E10"/>
    <w:rsid w:val="000842A3"/>
    <w:rsid w:val="00084B1C"/>
    <w:rsid w:val="00086197"/>
    <w:rsid w:val="00086BE5"/>
    <w:rsid w:val="00086E50"/>
    <w:rsid w:val="000906BC"/>
    <w:rsid w:val="000A00CE"/>
    <w:rsid w:val="000A300E"/>
    <w:rsid w:val="000A522B"/>
    <w:rsid w:val="000A55D4"/>
    <w:rsid w:val="000A786E"/>
    <w:rsid w:val="000A7C30"/>
    <w:rsid w:val="000C0F85"/>
    <w:rsid w:val="000D0489"/>
    <w:rsid w:val="000D3967"/>
    <w:rsid w:val="000E0699"/>
    <w:rsid w:val="000E1F45"/>
    <w:rsid w:val="000E26F9"/>
    <w:rsid w:val="000E4A4F"/>
    <w:rsid w:val="000E6678"/>
    <w:rsid w:val="000E744B"/>
    <w:rsid w:val="000E7F13"/>
    <w:rsid w:val="000F4ECF"/>
    <w:rsid w:val="00100B8F"/>
    <w:rsid w:val="00101A52"/>
    <w:rsid w:val="001044B1"/>
    <w:rsid w:val="00111366"/>
    <w:rsid w:val="00111FA7"/>
    <w:rsid w:val="00112BA8"/>
    <w:rsid w:val="00113BF1"/>
    <w:rsid w:val="0011766D"/>
    <w:rsid w:val="00117B7D"/>
    <w:rsid w:val="001226EF"/>
    <w:rsid w:val="00123AEB"/>
    <w:rsid w:val="001253A0"/>
    <w:rsid w:val="00127631"/>
    <w:rsid w:val="00130866"/>
    <w:rsid w:val="00132F97"/>
    <w:rsid w:val="00146C88"/>
    <w:rsid w:val="00152140"/>
    <w:rsid w:val="001527A8"/>
    <w:rsid w:val="00155B8B"/>
    <w:rsid w:val="00157ACE"/>
    <w:rsid w:val="00164BFF"/>
    <w:rsid w:val="00165FD1"/>
    <w:rsid w:val="0016666F"/>
    <w:rsid w:val="001703E0"/>
    <w:rsid w:val="00171A6D"/>
    <w:rsid w:val="00173121"/>
    <w:rsid w:val="001865E5"/>
    <w:rsid w:val="00190E56"/>
    <w:rsid w:val="0019350B"/>
    <w:rsid w:val="00193B2B"/>
    <w:rsid w:val="001957A0"/>
    <w:rsid w:val="001975AE"/>
    <w:rsid w:val="001A0BF8"/>
    <w:rsid w:val="001A389D"/>
    <w:rsid w:val="001B1852"/>
    <w:rsid w:val="001B1FC2"/>
    <w:rsid w:val="001B7734"/>
    <w:rsid w:val="001C367D"/>
    <w:rsid w:val="001C553F"/>
    <w:rsid w:val="001D10F8"/>
    <w:rsid w:val="001D1596"/>
    <w:rsid w:val="001F13C0"/>
    <w:rsid w:val="001F456A"/>
    <w:rsid w:val="001F5487"/>
    <w:rsid w:val="00201994"/>
    <w:rsid w:val="00205F26"/>
    <w:rsid w:val="00206E23"/>
    <w:rsid w:val="0021299E"/>
    <w:rsid w:val="00212B41"/>
    <w:rsid w:val="0022061B"/>
    <w:rsid w:val="00221A11"/>
    <w:rsid w:val="00234828"/>
    <w:rsid w:val="00242461"/>
    <w:rsid w:val="002468ED"/>
    <w:rsid w:val="00247BED"/>
    <w:rsid w:val="00247C26"/>
    <w:rsid w:val="00255A49"/>
    <w:rsid w:val="0026171B"/>
    <w:rsid w:val="00267004"/>
    <w:rsid w:val="002716FA"/>
    <w:rsid w:val="002807B7"/>
    <w:rsid w:val="0028781D"/>
    <w:rsid w:val="00291EC9"/>
    <w:rsid w:val="00292FFE"/>
    <w:rsid w:val="00293B91"/>
    <w:rsid w:val="0029651E"/>
    <w:rsid w:val="002A3893"/>
    <w:rsid w:val="002B50F6"/>
    <w:rsid w:val="002C2A97"/>
    <w:rsid w:val="002C2BC7"/>
    <w:rsid w:val="002D0D54"/>
    <w:rsid w:val="002D2BB6"/>
    <w:rsid w:val="002D4E22"/>
    <w:rsid w:val="002D4F40"/>
    <w:rsid w:val="002D4FEA"/>
    <w:rsid w:val="002E0F51"/>
    <w:rsid w:val="002E5ED1"/>
    <w:rsid w:val="002F07A4"/>
    <w:rsid w:val="002F0D83"/>
    <w:rsid w:val="002F2AF0"/>
    <w:rsid w:val="002F7253"/>
    <w:rsid w:val="00301A47"/>
    <w:rsid w:val="00303987"/>
    <w:rsid w:val="00305036"/>
    <w:rsid w:val="003126A2"/>
    <w:rsid w:val="00320ABB"/>
    <w:rsid w:val="003222F2"/>
    <w:rsid w:val="00322D25"/>
    <w:rsid w:val="003248CC"/>
    <w:rsid w:val="0032514E"/>
    <w:rsid w:val="003268B0"/>
    <w:rsid w:val="00327A75"/>
    <w:rsid w:val="0033515F"/>
    <w:rsid w:val="00336E27"/>
    <w:rsid w:val="0033722F"/>
    <w:rsid w:val="003406F1"/>
    <w:rsid w:val="00342E02"/>
    <w:rsid w:val="0034719B"/>
    <w:rsid w:val="003473DF"/>
    <w:rsid w:val="00355502"/>
    <w:rsid w:val="00360ED9"/>
    <w:rsid w:val="003613E2"/>
    <w:rsid w:val="00361921"/>
    <w:rsid w:val="0036400B"/>
    <w:rsid w:val="00370A08"/>
    <w:rsid w:val="00371821"/>
    <w:rsid w:val="00372248"/>
    <w:rsid w:val="0038289F"/>
    <w:rsid w:val="0038459D"/>
    <w:rsid w:val="00390ECB"/>
    <w:rsid w:val="003A3E6A"/>
    <w:rsid w:val="003A6171"/>
    <w:rsid w:val="003A6818"/>
    <w:rsid w:val="003C6783"/>
    <w:rsid w:val="003C7EAD"/>
    <w:rsid w:val="003D0D8C"/>
    <w:rsid w:val="003D379D"/>
    <w:rsid w:val="003D403A"/>
    <w:rsid w:val="003D4982"/>
    <w:rsid w:val="003D4ECE"/>
    <w:rsid w:val="003D5AD1"/>
    <w:rsid w:val="003D6981"/>
    <w:rsid w:val="003D69AF"/>
    <w:rsid w:val="003E0EC8"/>
    <w:rsid w:val="003E1BAF"/>
    <w:rsid w:val="003E2B6A"/>
    <w:rsid w:val="003F0214"/>
    <w:rsid w:val="003F2F07"/>
    <w:rsid w:val="003F5ED5"/>
    <w:rsid w:val="00401FFE"/>
    <w:rsid w:val="0040743A"/>
    <w:rsid w:val="004148A3"/>
    <w:rsid w:val="00417304"/>
    <w:rsid w:val="004204C3"/>
    <w:rsid w:val="004273D7"/>
    <w:rsid w:val="0042752A"/>
    <w:rsid w:val="004310C2"/>
    <w:rsid w:val="00434677"/>
    <w:rsid w:val="00434E5E"/>
    <w:rsid w:val="00436F6E"/>
    <w:rsid w:val="00437146"/>
    <w:rsid w:val="0044190B"/>
    <w:rsid w:val="004447DE"/>
    <w:rsid w:val="00447BD2"/>
    <w:rsid w:val="00450C71"/>
    <w:rsid w:val="004512A1"/>
    <w:rsid w:val="00453347"/>
    <w:rsid w:val="00454986"/>
    <w:rsid w:val="004563BD"/>
    <w:rsid w:val="00460081"/>
    <w:rsid w:val="00463516"/>
    <w:rsid w:val="00466CEC"/>
    <w:rsid w:val="00480CE6"/>
    <w:rsid w:val="00481C40"/>
    <w:rsid w:val="00486860"/>
    <w:rsid w:val="00494864"/>
    <w:rsid w:val="00495AA1"/>
    <w:rsid w:val="004B2825"/>
    <w:rsid w:val="004B34CC"/>
    <w:rsid w:val="004C122F"/>
    <w:rsid w:val="004C2733"/>
    <w:rsid w:val="004C4CCC"/>
    <w:rsid w:val="004D2F53"/>
    <w:rsid w:val="004D6049"/>
    <w:rsid w:val="004E0CFA"/>
    <w:rsid w:val="004E4C7C"/>
    <w:rsid w:val="004F069A"/>
    <w:rsid w:val="004F1D8B"/>
    <w:rsid w:val="004F309E"/>
    <w:rsid w:val="004F3827"/>
    <w:rsid w:val="0050279A"/>
    <w:rsid w:val="005034B0"/>
    <w:rsid w:val="00504BFA"/>
    <w:rsid w:val="005112B6"/>
    <w:rsid w:val="0051789D"/>
    <w:rsid w:val="00517CCB"/>
    <w:rsid w:val="005208DF"/>
    <w:rsid w:val="005216C4"/>
    <w:rsid w:val="00525175"/>
    <w:rsid w:val="00531441"/>
    <w:rsid w:val="005333EA"/>
    <w:rsid w:val="0053662E"/>
    <w:rsid w:val="00545FFD"/>
    <w:rsid w:val="005462E3"/>
    <w:rsid w:val="0054639C"/>
    <w:rsid w:val="005505DD"/>
    <w:rsid w:val="00551389"/>
    <w:rsid w:val="005564BB"/>
    <w:rsid w:val="00564F66"/>
    <w:rsid w:val="00577912"/>
    <w:rsid w:val="00587E52"/>
    <w:rsid w:val="00587E58"/>
    <w:rsid w:val="00590358"/>
    <w:rsid w:val="00592259"/>
    <w:rsid w:val="00593924"/>
    <w:rsid w:val="005A162C"/>
    <w:rsid w:val="005A5038"/>
    <w:rsid w:val="005A7D85"/>
    <w:rsid w:val="005A7FAB"/>
    <w:rsid w:val="005B0186"/>
    <w:rsid w:val="005B7635"/>
    <w:rsid w:val="005C2B41"/>
    <w:rsid w:val="005D233A"/>
    <w:rsid w:val="005D6158"/>
    <w:rsid w:val="005D7AB5"/>
    <w:rsid w:val="005F53B5"/>
    <w:rsid w:val="005F55AE"/>
    <w:rsid w:val="005F7C40"/>
    <w:rsid w:val="0062244D"/>
    <w:rsid w:val="0062568B"/>
    <w:rsid w:val="0063484F"/>
    <w:rsid w:val="00635800"/>
    <w:rsid w:val="0064233E"/>
    <w:rsid w:val="00643671"/>
    <w:rsid w:val="00646679"/>
    <w:rsid w:val="00651676"/>
    <w:rsid w:val="00655F10"/>
    <w:rsid w:val="00665DCC"/>
    <w:rsid w:val="00673090"/>
    <w:rsid w:val="006763D5"/>
    <w:rsid w:val="00681B5B"/>
    <w:rsid w:val="00685EAE"/>
    <w:rsid w:val="00687DD6"/>
    <w:rsid w:val="00697F7B"/>
    <w:rsid w:val="006A01CD"/>
    <w:rsid w:val="006A1D4D"/>
    <w:rsid w:val="006A5473"/>
    <w:rsid w:val="006A6844"/>
    <w:rsid w:val="006B34F4"/>
    <w:rsid w:val="006B4AD9"/>
    <w:rsid w:val="006B719D"/>
    <w:rsid w:val="006B7BB1"/>
    <w:rsid w:val="006C08BA"/>
    <w:rsid w:val="006C1A27"/>
    <w:rsid w:val="006C341D"/>
    <w:rsid w:val="006C3D09"/>
    <w:rsid w:val="006D3185"/>
    <w:rsid w:val="006D3816"/>
    <w:rsid w:val="006D46E1"/>
    <w:rsid w:val="006D4B02"/>
    <w:rsid w:val="006D4B93"/>
    <w:rsid w:val="006E0531"/>
    <w:rsid w:val="006E3D23"/>
    <w:rsid w:val="006E7A11"/>
    <w:rsid w:val="006F2FF7"/>
    <w:rsid w:val="006F5136"/>
    <w:rsid w:val="006F7A2E"/>
    <w:rsid w:val="007036D6"/>
    <w:rsid w:val="007045EF"/>
    <w:rsid w:val="0070648E"/>
    <w:rsid w:val="007140DB"/>
    <w:rsid w:val="00716E58"/>
    <w:rsid w:val="00722325"/>
    <w:rsid w:val="00724BBD"/>
    <w:rsid w:val="007273E4"/>
    <w:rsid w:val="0073060A"/>
    <w:rsid w:val="00732142"/>
    <w:rsid w:val="00735FAD"/>
    <w:rsid w:val="00736238"/>
    <w:rsid w:val="00744DD2"/>
    <w:rsid w:val="00753E61"/>
    <w:rsid w:val="0076102D"/>
    <w:rsid w:val="0076211F"/>
    <w:rsid w:val="00770E56"/>
    <w:rsid w:val="007753F5"/>
    <w:rsid w:val="00782288"/>
    <w:rsid w:val="00783CA7"/>
    <w:rsid w:val="0078400F"/>
    <w:rsid w:val="00784CAC"/>
    <w:rsid w:val="00785CEC"/>
    <w:rsid w:val="00797B54"/>
    <w:rsid w:val="007A4CD7"/>
    <w:rsid w:val="007A75AE"/>
    <w:rsid w:val="007B05B1"/>
    <w:rsid w:val="007B09D0"/>
    <w:rsid w:val="007B4338"/>
    <w:rsid w:val="007B68A4"/>
    <w:rsid w:val="007C13B9"/>
    <w:rsid w:val="007D612A"/>
    <w:rsid w:val="007D6DBF"/>
    <w:rsid w:val="007E01C6"/>
    <w:rsid w:val="007E1F99"/>
    <w:rsid w:val="007E6724"/>
    <w:rsid w:val="007F5247"/>
    <w:rsid w:val="00815C6B"/>
    <w:rsid w:val="0083591B"/>
    <w:rsid w:val="00844885"/>
    <w:rsid w:val="00845504"/>
    <w:rsid w:val="008457F3"/>
    <w:rsid w:val="00847C0A"/>
    <w:rsid w:val="00852556"/>
    <w:rsid w:val="00853129"/>
    <w:rsid w:val="008540B0"/>
    <w:rsid w:val="008547E6"/>
    <w:rsid w:val="00861D1A"/>
    <w:rsid w:val="00863E7E"/>
    <w:rsid w:val="0086649B"/>
    <w:rsid w:val="00866E61"/>
    <w:rsid w:val="00870AD0"/>
    <w:rsid w:val="008724F5"/>
    <w:rsid w:val="008725E0"/>
    <w:rsid w:val="00874333"/>
    <w:rsid w:val="0088225D"/>
    <w:rsid w:val="00884F2B"/>
    <w:rsid w:val="00885D78"/>
    <w:rsid w:val="00886AAB"/>
    <w:rsid w:val="00887B9E"/>
    <w:rsid w:val="008A0CDD"/>
    <w:rsid w:val="008B0B06"/>
    <w:rsid w:val="008B54D9"/>
    <w:rsid w:val="008C2A8D"/>
    <w:rsid w:val="008C4729"/>
    <w:rsid w:val="008C5309"/>
    <w:rsid w:val="008C6A0B"/>
    <w:rsid w:val="008D34EB"/>
    <w:rsid w:val="008E0F62"/>
    <w:rsid w:val="008E3E61"/>
    <w:rsid w:val="008E52AD"/>
    <w:rsid w:val="008E685C"/>
    <w:rsid w:val="008F7ED2"/>
    <w:rsid w:val="00914522"/>
    <w:rsid w:val="00917A5F"/>
    <w:rsid w:val="00920AB7"/>
    <w:rsid w:val="0092198C"/>
    <w:rsid w:val="009245D1"/>
    <w:rsid w:val="009278EA"/>
    <w:rsid w:val="009505C2"/>
    <w:rsid w:val="00952BDE"/>
    <w:rsid w:val="009560DA"/>
    <w:rsid w:val="00957DA2"/>
    <w:rsid w:val="00962EB6"/>
    <w:rsid w:val="00965D64"/>
    <w:rsid w:val="00980B7E"/>
    <w:rsid w:val="00984BBF"/>
    <w:rsid w:val="009852CE"/>
    <w:rsid w:val="00987291"/>
    <w:rsid w:val="009921BC"/>
    <w:rsid w:val="00993C53"/>
    <w:rsid w:val="009A013A"/>
    <w:rsid w:val="009A33DE"/>
    <w:rsid w:val="009A3F36"/>
    <w:rsid w:val="009A5A66"/>
    <w:rsid w:val="009A60E6"/>
    <w:rsid w:val="009A726F"/>
    <w:rsid w:val="009B5B9F"/>
    <w:rsid w:val="009B63D7"/>
    <w:rsid w:val="009C548F"/>
    <w:rsid w:val="009C59CB"/>
    <w:rsid w:val="009D1D85"/>
    <w:rsid w:val="009D7DC1"/>
    <w:rsid w:val="009E2EEF"/>
    <w:rsid w:val="009E482A"/>
    <w:rsid w:val="009E7A5B"/>
    <w:rsid w:val="009F156A"/>
    <w:rsid w:val="009F1D8D"/>
    <w:rsid w:val="009F43A9"/>
    <w:rsid w:val="009F547E"/>
    <w:rsid w:val="009F59BA"/>
    <w:rsid w:val="00A0475E"/>
    <w:rsid w:val="00A076F0"/>
    <w:rsid w:val="00A10B09"/>
    <w:rsid w:val="00A116CE"/>
    <w:rsid w:val="00A14D9B"/>
    <w:rsid w:val="00A17B6E"/>
    <w:rsid w:val="00A2021D"/>
    <w:rsid w:val="00A21C1F"/>
    <w:rsid w:val="00A273CC"/>
    <w:rsid w:val="00A27773"/>
    <w:rsid w:val="00A3085D"/>
    <w:rsid w:val="00A316CD"/>
    <w:rsid w:val="00A37BAA"/>
    <w:rsid w:val="00A41493"/>
    <w:rsid w:val="00A418A1"/>
    <w:rsid w:val="00A43E92"/>
    <w:rsid w:val="00A51179"/>
    <w:rsid w:val="00A513B9"/>
    <w:rsid w:val="00A64A01"/>
    <w:rsid w:val="00A67D87"/>
    <w:rsid w:val="00A75F24"/>
    <w:rsid w:val="00A76110"/>
    <w:rsid w:val="00A77637"/>
    <w:rsid w:val="00A91810"/>
    <w:rsid w:val="00A9322E"/>
    <w:rsid w:val="00A94E3C"/>
    <w:rsid w:val="00AA0934"/>
    <w:rsid w:val="00AA1933"/>
    <w:rsid w:val="00AA21FF"/>
    <w:rsid w:val="00AA7200"/>
    <w:rsid w:val="00AB2923"/>
    <w:rsid w:val="00AB3843"/>
    <w:rsid w:val="00AC1C60"/>
    <w:rsid w:val="00AC25F3"/>
    <w:rsid w:val="00AD23F3"/>
    <w:rsid w:val="00AD2E56"/>
    <w:rsid w:val="00AD3114"/>
    <w:rsid w:val="00AD5E8F"/>
    <w:rsid w:val="00AE1706"/>
    <w:rsid w:val="00AE57B7"/>
    <w:rsid w:val="00AE6C44"/>
    <w:rsid w:val="00AF0778"/>
    <w:rsid w:val="00B17299"/>
    <w:rsid w:val="00B233E5"/>
    <w:rsid w:val="00B320C5"/>
    <w:rsid w:val="00B3234B"/>
    <w:rsid w:val="00B37A9A"/>
    <w:rsid w:val="00B4039D"/>
    <w:rsid w:val="00B424B1"/>
    <w:rsid w:val="00B42963"/>
    <w:rsid w:val="00B450A0"/>
    <w:rsid w:val="00B4549A"/>
    <w:rsid w:val="00B456F9"/>
    <w:rsid w:val="00B501F1"/>
    <w:rsid w:val="00B5038E"/>
    <w:rsid w:val="00B53FD0"/>
    <w:rsid w:val="00B54071"/>
    <w:rsid w:val="00B56821"/>
    <w:rsid w:val="00B577D1"/>
    <w:rsid w:val="00B664D1"/>
    <w:rsid w:val="00B721FE"/>
    <w:rsid w:val="00B731CB"/>
    <w:rsid w:val="00B74879"/>
    <w:rsid w:val="00B82E62"/>
    <w:rsid w:val="00B83DD5"/>
    <w:rsid w:val="00B900F8"/>
    <w:rsid w:val="00B96CE7"/>
    <w:rsid w:val="00BB4EE5"/>
    <w:rsid w:val="00BC1AA0"/>
    <w:rsid w:val="00BC3E04"/>
    <w:rsid w:val="00BC6A79"/>
    <w:rsid w:val="00BD1D2E"/>
    <w:rsid w:val="00BD20DA"/>
    <w:rsid w:val="00BD583B"/>
    <w:rsid w:val="00BD5E23"/>
    <w:rsid w:val="00BE2A5E"/>
    <w:rsid w:val="00BE536D"/>
    <w:rsid w:val="00BF01A8"/>
    <w:rsid w:val="00BF1738"/>
    <w:rsid w:val="00BF1E42"/>
    <w:rsid w:val="00BF2C3C"/>
    <w:rsid w:val="00C038A7"/>
    <w:rsid w:val="00C11014"/>
    <w:rsid w:val="00C14F36"/>
    <w:rsid w:val="00C23AD6"/>
    <w:rsid w:val="00C23C67"/>
    <w:rsid w:val="00C328E4"/>
    <w:rsid w:val="00C33EDE"/>
    <w:rsid w:val="00C354F0"/>
    <w:rsid w:val="00C3621B"/>
    <w:rsid w:val="00C41237"/>
    <w:rsid w:val="00C42B21"/>
    <w:rsid w:val="00C4350E"/>
    <w:rsid w:val="00C60E9C"/>
    <w:rsid w:val="00C62C4B"/>
    <w:rsid w:val="00C67FF5"/>
    <w:rsid w:val="00C80BA8"/>
    <w:rsid w:val="00C811C4"/>
    <w:rsid w:val="00C83258"/>
    <w:rsid w:val="00C967AB"/>
    <w:rsid w:val="00CA0B07"/>
    <w:rsid w:val="00CA263D"/>
    <w:rsid w:val="00CB096F"/>
    <w:rsid w:val="00CC4DD1"/>
    <w:rsid w:val="00CC5979"/>
    <w:rsid w:val="00CD103A"/>
    <w:rsid w:val="00CD120E"/>
    <w:rsid w:val="00CD27C2"/>
    <w:rsid w:val="00CD4C4C"/>
    <w:rsid w:val="00CF0618"/>
    <w:rsid w:val="00CF1904"/>
    <w:rsid w:val="00CF2590"/>
    <w:rsid w:val="00CF3D1D"/>
    <w:rsid w:val="00CF3E29"/>
    <w:rsid w:val="00CF48E1"/>
    <w:rsid w:val="00CF53E5"/>
    <w:rsid w:val="00D03D60"/>
    <w:rsid w:val="00D206C9"/>
    <w:rsid w:val="00D211F8"/>
    <w:rsid w:val="00D251C4"/>
    <w:rsid w:val="00D273ED"/>
    <w:rsid w:val="00D3253B"/>
    <w:rsid w:val="00D33329"/>
    <w:rsid w:val="00D33DD4"/>
    <w:rsid w:val="00D353FB"/>
    <w:rsid w:val="00D40440"/>
    <w:rsid w:val="00D40D58"/>
    <w:rsid w:val="00D440DE"/>
    <w:rsid w:val="00D57CD3"/>
    <w:rsid w:val="00D61A65"/>
    <w:rsid w:val="00D64014"/>
    <w:rsid w:val="00D7149B"/>
    <w:rsid w:val="00D73444"/>
    <w:rsid w:val="00D75755"/>
    <w:rsid w:val="00D86279"/>
    <w:rsid w:val="00D868CB"/>
    <w:rsid w:val="00DA0427"/>
    <w:rsid w:val="00DA110F"/>
    <w:rsid w:val="00DA1C5E"/>
    <w:rsid w:val="00DA607F"/>
    <w:rsid w:val="00DA6B5E"/>
    <w:rsid w:val="00DA79D2"/>
    <w:rsid w:val="00DB6F80"/>
    <w:rsid w:val="00DC1A50"/>
    <w:rsid w:val="00DD0785"/>
    <w:rsid w:val="00DD4E26"/>
    <w:rsid w:val="00DE3DF8"/>
    <w:rsid w:val="00DE6262"/>
    <w:rsid w:val="00DF0433"/>
    <w:rsid w:val="00DF2588"/>
    <w:rsid w:val="00DF6750"/>
    <w:rsid w:val="00DF6882"/>
    <w:rsid w:val="00E0416F"/>
    <w:rsid w:val="00E04B44"/>
    <w:rsid w:val="00E0692A"/>
    <w:rsid w:val="00E16D99"/>
    <w:rsid w:val="00E23F22"/>
    <w:rsid w:val="00E243E1"/>
    <w:rsid w:val="00E2586E"/>
    <w:rsid w:val="00E32C13"/>
    <w:rsid w:val="00E35236"/>
    <w:rsid w:val="00E450DF"/>
    <w:rsid w:val="00E453BE"/>
    <w:rsid w:val="00E4578A"/>
    <w:rsid w:val="00E45EA3"/>
    <w:rsid w:val="00E471FC"/>
    <w:rsid w:val="00E51B4A"/>
    <w:rsid w:val="00E52646"/>
    <w:rsid w:val="00E601ED"/>
    <w:rsid w:val="00E61E34"/>
    <w:rsid w:val="00E651CD"/>
    <w:rsid w:val="00E7008D"/>
    <w:rsid w:val="00E71978"/>
    <w:rsid w:val="00E719A1"/>
    <w:rsid w:val="00E73AE7"/>
    <w:rsid w:val="00E75FAF"/>
    <w:rsid w:val="00E809F3"/>
    <w:rsid w:val="00E82BDF"/>
    <w:rsid w:val="00E85204"/>
    <w:rsid w:val="00EA54DB"/>
    <w:rsid w:val="00EB0A9A"/>
    <w:rsid w:val="00EB2411"/>
    <w:rsid w:val="00EC4F65"/>
    <w:rsid w:val="00EC60EE"/>
    <w:rsid w:val="00ED320E"/>
    <w:rsid w:val="00ED351C"/>
    <w:rsid w:val="00EE22DA"/>
    <w:rsid w:val="00EE4691"/>
    <w:rsid w:val="00EF1A4E"/>
    <w:rsid w:val="00EF2311"/>
    <w:rsid w:val="00EF3376"/>
    <w:rsid w:val="00EF3BCB"/>
    <w:rsid w:val="00EF6718"/>
    <w:rsid w:val="00F01F92"/>
    <w:rsid w:val="00F0250C"/>
    <w:rsid w:val="00F07326"/>
    <w:rsid w:val="00F13C25"/>
    <w:rsid w:val="00F1454F"/>
    <w:rsid w:val="00F21957"/>
    <w:rsid w:val="00F41ACB"/>
    <w:rsid w:val="00F429FF"/>
    <w:rsid w:val="00F43E84"/>
    <w:rsid w:val="00F44522"/>
    <w:rsid w:val="00F51076"/>
    <w:rsid w:val="00F549E8"/>
    <w:rsid w:val="00F55E4F"/>
    <w:rsid w:val="00F605DF"/>
    <w:rsid w:val="00F663DD"/>
    <w:rsid w:val="00F73582"/>
    <w:rsid w:val="00F73935"/>
    <w:rsid w:val="00F75B57"/>
    <w:rsid w:val="00F8001C"/>
    <w:rsid w:val="00F87912"/>
    <w:rsid w:val="00F91617"/>
    <w:rsid w:val="00F9249C"/>
    <w:rsid w:val="00F9399E"/>
    <w:rsid w:val="00F943BC"/>
    <w:rsid w:val="00F95ECD"/>
    <w:rsid w:val="00FA2F01"/>
    <w:rsid w:val="00FA7399"/>
    <w:rsid w:val="00FB3D56"/>
    <w:rsid w:val="00FB530A"/>
    <w:rsid w:val="00FB53D1"/>
    <w:rsid w:val="00FC0D17"/>
    <w:rsid w:val="00FC5C97"/>
    <w:rsid w:val="00FE1136"/>
    <w:rsid w:val="00FE25F0"/>
    <w:rsid w:val="00FE736B"/>
    <w:rsid w:val="00FF1C6C"/>
    <w:rsid w:val="00FF2CC3"/>
    <w:rsid w:val="00FF3D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18A8CD-16C4-4C89-986B-EF7859D85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36F6E"/>
    <w:pPr>
      <w:spacing w:after="180" w:line="274" w:lineRule="auto"/>
    </w:pPr>
    <w:rPr>
      <w:sz w:val="21"/>
    </w:rPr>
  </w:style>
  <w:style w:type="paragraph" w:styleId="Nadpis1">
    <w:name w:val="heading 1"/>
    <w:basedOn w:val="Normln"/>
    <w:next w:val="Normln"/>
    <w:link w:val="Nadpis1Char"/>
    <w:uiPriority w:val="9"/>
    <w:qFormat/>
    <w:rsid w:val="00436F6E"/>
    <w:pPr>
      <w:keepNext/>
      <w:keepLines/>
      <w:numPr>
        <w:numId w:val="21"/>
      </w:numPr>
      <w:spacing w:before="720" w:after="360" w:line="240" w:lineRule="auto"/>
      <w:outlineLvl w:val="0"/>
    </w:pPr>
    <w:rPr>
      <w:rFonts w:ascii="Calibri" w:eastAsiaTheme="majorEastAsia" w:hAnsi="Calibri" w:cstheme="majorBidi"/>
      <w:b/>
      <w:bCs/>
      <w:color w:val="4F81BD" w:themeColor="accent1"/>
      <w:spacing w:val="20"/>
      <w:sz w:val="32"/>
      <w:szCs w:val="28"/>
    </w:rPr>
  </w:style>
  <w:style w:type="paragraph" w:styleId="Nadpis2">
    <w:name w:val="heading 2"/>
    <w:basedOn w:val="Normln"/>
    <w:next w:val="Normln"/>
    <w:link w:val="Nadpis2Char"/>
    <w:uiPriority w:val="9"/>
    <w:unhideWhenUsed/>
    <w:qFormat/>
    <w:rsid w:val="00AC25F3"/>
    <w:pPr>
      <w:keepNext/>
      <w:keepLines/>
      <w:numPr>
        <w:ilvl w:val="1"/>
        <w:numId w:val="21"/>
      </w:numPr>
      <w:spacing w:before="360" w:after="240" w:line="240" w:lineRule="auto"/>
      <w:outlineLvl w:val="1"/>
    </w:pPr>
    <w:rPr>
      <w:rFonts w:ascii="Calibri" w:eastAsiaTheme="majorEastAsia" w:hAnsi="Calibri" w:cstheme="majorBidi"/>
      <w:b/>
      <w:bCs/>
      <w:color w:val="4F81BD" w:themeColor="accent1"/>
      <w:sz w:val="28"/>
      <w:szCs w:val="26"/>
    </w:rPr>
  </w:style>
  <w:style w:type="paragraph" w:styleId="Nadpis3">
    <w:name w:val="heading 3"/>
    <w:basedOn w:val="Normln"/>
    <w:next w:val="Normln"/>
    <w:link w:val="Nadpis3Char"/>
    <w:uiPriority w:val="9"/>
    <w:unhideWhenUsed/>
    <w:qFormat/>
    <w:rsid w:val="00463516"/>
    <w:pPr>
      <w:keepNext/>
      <w:keepLines/>
      <w:numPr>
        <w:ilvl w:val="2"/>
        <w:numId w:val="21"/>
      </w:numPr>
      <w:spacing w:before="20" w:after="0" w:line="240" w:lineRule="auto"/>
      <w:outlineLvl w:val="2"/>
    </w:pPr>
    <w:rPr>
      <w:rFonts w:ascii="Calibri" w:eastAsiaTheme="majorEastAsia" w:hAnsi="Calibri" w:cstheme="majorBidi"/>
      <w:b/>
      <w:bCs/>
      <w:color w:val="1F497D" w:themeColor="text2"/>
      <w:spacing w:val="14"/>
      <w:sz w:val="24"/>
    </w:rPr>
  </w:style>
  <w:style w:type="paragraph" w:styleId="Nadpis4">
    <w:name w:val="heading 4"/>
    <w:basedOn w:val="Normln"/>
    <w:next w:val="Normln"/>
    <w:link w:val="Nadpis4Char"/>
    <w:uiPriority w:val="9"/>
    <w:semiHidden/>
    <w:unhideWhenUsed/>
    <w:qFormat/>
    <w:rsid w:val="00436F6E"/>
    <w:pPr>
      <w:keepNext/>
      <w:keepLines/>
      <w:numPr>
        <w:ilvl w:val="3"/>
        <w:numId w:val="21"/>
      </w:numPr>
      <w:spacing w:before="200" w:after="0"/>
      <w:outlineLvl w:val="3"/>
    </w:pPr>
    <w:rPr>
      <w:rFonts w:eastAsiaTheme="majorEastAsia" w:cstheme="majorBidi"/>
      <w:b/>
      <w:bCs/>
      <w:i/>
      <w:iCs/>
      <w:color w:val="000000"/>
      <w:sz w:val="24"/>
    </w:rPr>
  </w:style>
  <w:style w:type="paragraph" w:styleId="Nadpis5">
    <w:name w:val="heading 5"/>
    <w:basedOn w:val="Normln"/>
    <w:next w:val="Normln"/>
    <w:link w:val="Nadpis5Char"/>
    <w:uiPriority w:val="9"/>
    <w:semiHidden/>
    <w:unhideWhenUsed/>
    <w:qFormat/>
    <w:rsid w:val="00436F6E"/>
    <w:pPr>
      <w:keepNext/>
      <w:keepLines/>
      <w:numPr>
        <w:ilvl w:val="4"/>
        <w:numId w:val="21"/>
      </w:numPr>
      <w:spacing w:before="200" w:after="0"/>
      <w:outlineLvl w:val="4"/>
    </w:pPr>
    <w:rPr>
      <w:rFonts w:asciiTheme="majorHAnsi" w:eastAsiaTheme="majorEastAsia" w:hAnsiTheme="majorHAnsi" w:cstheme="majorBidi"/>
      <w:color w:val="000000"/>
      <w:sz w:val="22"/>
    </w:rPr>
  </w:style>
  <w:style w:type="paragraph" w:styleId="Nadpis6">
    <w:name w:val="heading 6"/>
    <w:basedOn w:val="Normln"/>
    <w:next w:val="Normln"/>
    <w:link w:val="Nadpis6Char"/>
    <w:uiPriority w:val="9"/>
    <w:semiHidden/>
    <w:unhideWhenUsed/>
    <w:qFormat/>
    <w:rsid w:val="00436F6E"/>
    <w:pPr>
      <w:keepNext/>
      <w:keepLines/>
      <w:numPr>
        <w:ilvl w:val="5"/>
        <w:numId w:val="21"/>
      </w:numPr>
      <w:spacing w:before="200" w:after="0"/>
      <w:outlineLvl w:val="5"/>
    </w:pPr>
    <w:rPr>
      <w:rFonts w:asciiTheme="majorHAnsi" w:eastAsiaTheme="majorEastAsia" w:hAnsiTheme="majorHAnsi" w:cstheme="majorBidi"/>
      <w:iCs/>
      <w:color w:val="4F81BD" w:themeColor="accent1"/>
      <w:sz w:val="22"/>
    </w:rPr>
  </w:style>
  <w:style w:type="paragraph" w:styleId="Nadpis7">
    <w:name w:val="heading 7"/>
    <w:basedOn w:val="Normln"/>
    <w:next w:val="Normln"/>
    <w:link w:val="Nadpis7Char"/>
    <w:uiPriority w:val="9"/>
    <w:semiHidden/>
    <w:unhideWhenUsed/>
    <w:qFormat/>
    <w:rsid w:val="00436F6E"/>
    <w:pPr>
      <w:keepNext/>
      <w:keepLines/>
      <w:numPr>
        <w:ilvl w:val="6"/>
        <w:numId w:val="21"/>
      </w:numPr>
      <w:spacing w:before="200" w:after="0"/>
      <w:outlineLvl w:val="6"/>
    </w:pPr>
    <w:rPr>
      <w:rFonts w:asciiTheme="majorHAnsi" w:eastAsiaTheme="majorEastAsia" w:hAnsiTheme="majorHAnsi" w:cstheme="majorBidi"/>
      <w:i/>
      <w:iCs/>
      <w:color w:val="000000"/>
      <w:sz w:val="22"/>
    </w:rPr>
  </w:style>
  <w:style w:type="paragraph" w:styleId="Nadpis8">
    <w:name w:val="heading 8"/>
    <w:basedOn w:val="Normln"/>
    <w:next w:val="Normln"/>
    <w:link w:val="Nadpis8Char"/>
    <w:uiPriority w:val="9"/>
    <w:unhideWhenUsed/>
    <w:qFormat/>
    <w:rsid w:val="00436F6E"/>
    <w:pPr>
      <w:keepNext/>
      <w:keepLines/>
      <w:numPr>
        <w:ilvl w:val="7"/>
        <w:numId w:val="21"/>
      </w:numPr>
      <w:spacing w:before="200" w:after="0"/>
      <w:outlineLvl w:val="7"/>
    </w:pPr>
    <w:rPr>
      <w:rFonts w:asciiTheme="majorHAnsi" w:eastAsiaTheme="majorEastAsia" w:hAnsiTheme="majorHAnsi" w:cstheme="majorBidi"/>
      <w:color w:val="000000"/>
      <w:sz w:val="20"/>
      <w:szCs w:val="20"/>
    </w:rPr>
  </w:style>
  <w:style w:type="paragraph" w:styleId="Nadpis9">
    <w:name w:val="heading 9"/>
    <w:basedOn w:val="Normln"/>
    <w:next w:val="Normln"/>
    <w:link w:val="Nadpis9Char"/>
    <w:uiPriority w:val="9"/>
    <w:semiHidden/>
    <w:unhideWhenUsed/>
    <w:qFormat/>
    <w:rsid w:val="00436F6E"/>
    <w:pPr>
      <w:keepNext/>
      <w:keepLines/>
      <w:numPr>
        <w:ilvl w:val="8"/>
        <w:numId w:val="21"/>
      </w:numPr>
      <w:spacing w:before="200" w:after="0"/>
      <w:outlineLvl w:val="8"/>
    </w:pPr>
    <w:rPr>
      <w:rFonts w:asciiTheme="majorHAnsi" w:eastAsiaTheme="majorEastAsia" w:hAnsiTheme="majorHAnsi" w:cstheme="majorBidi"/>
      <w:i/>
      <w:iCs/>
      <w:color w:val="00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36F6E"/>
    <w:rPr>
      <w:rFonts w:ascii="Calibri" w:eastAsiaTheme="majorEastAsia" w:hAnsi="Calibri" w:cstheme="majorBidi"/>
      <w:b/>
      <w:bCs/>
      <w:color w:val="4F81BD" w:themeColor="accent1"/>
      <w:spacing w:val="20"/>
      <w:sz w:val="32"/>
      <w:szCs w:val="28"/>
    </w:rPr>
  </w:style>
  <w:style w:type="character" w:customStyle="1" w:styleId="Nadpis2Char">
    <w:name w:val="Nadpis 2 Char"/>
    <w:basedOn w:val="Standardnpsmoodstavce"/>
    <w:link w:val="Nadpis2"/>
    <w:uiPriority w:val="9"/>
    <w:rsid w:val="00AC25F3"/>
    <w:rPr>
      <w:rFonts w:ascii="Calibri" w:eastAsiaTheme="majorEastAsia" w:hAnsi="Calibri" w:cstheme="majorBidi"/>
      <w:b/>
      <w:bCs/>
      <w:color w:val="4F81BD" w:themeColor="accent1"/>
      <w:sz w:val="28"/>
      <w:szCs w:val="26"/>
    </w:rPr>
  </w:style>
  <w:style w:type="character" w:customStyle="1" w:styleId="Nadpis3Char">
    <w:name w:val="Nadpis 3 Char"/>
    <w:basedOn w:val="Standardnpsmoodstavce"/>
    <w:link w:val="Nadpis3"/>
    <w:uiPriority w:val="9"/>
    <w:rsid w:val="00463516"/>
    <w:rPr>
      <w:rFonts w:ascii="Calibri" w:eastAsiaTheme="majorEastAsia" w:hAnsi="Calibri" w:cstheme="majorBidi"/>
      <w:b/>
      <w:bCs/>
      <w:color w:val="1F497D" w:themeColor="text2"/>
      <w:spacing w:val="14"/>
      <w:sz w:val="24"/>
    </w:rPr>
  </w:style>
  <w:style w:type="character" w:customStyle="1" w:styleId="Nadpis4Char">
    <w:name w:val="Nadpis 4 Char"/>
    <w:basedOn w:val="Standardnpsmoodstavce"/>
    <w:link w:val="Nadpis4"/>
    <w:uiPriority w:val="9"/>
    <w:semiHidden/>
    <w:rsid w:val="00436F6E"/>
    <w:rPr>
      <w:rFonts w:eastAsiaTheme="majorEastAsia" w:cstheme="majorBidi"/>
      <w:b/>
      <w:bCs/>
      <w:i/>
      <w:iCs/>
      <w:color w:val="000000"/>
      <w:sz w:val="24"/>
    </w:rPr>
  </w:style>
  <w:style w:type="character" w:customStyle="1" w:styleId="Nadpis5Char">
    <w:name w:val="Nadpis 5 Char"/>
    <w:basedOn w:val="Standardnpsmoodstavce"/>
    <w:link w:val="Nadpis5"/>
    <w:uiPriority w:val="9"/>
    <w:semiHidden/>
    <w:rsid w:val="00436F6E"/>
    <w:rPr>
      <w:rFonts w:asciiTheme="majorHAnsi" w:eastAsiaTheme="majorEastAsia" w:hAnsiTheme="majorHAnsi" w:cstheme="majorBidi"/>
      <w:color w:val="000000"/>
    </w:rPr>
  </w:style>
  <w:style w:type="character" w:customStyle="1" w:styleId="Nadpis6Char">
    <w:name w:val="Nadpis 6 Char"/>
    <w:basedOn w:val="Standardnpsmoodstavce"/>
    <w:link w:val="Nadpis6"/>
    <w:uiPriority w:val="9"/>
    <w:semiHidden/>
    <w:rsid w:val="00436F6E"/>
    <w:rPr>
      <w:rFonts w:asciiTheme="majorHAnsi" w:eastAsiaTheme="majorEastAsia" w:hAnsiTheme="majorHAnsi" w:cstheme="majorBidi"/>
      <w:iCs/>
      <w:color w:val="4F81BD" w:themeColor="accent1"/>
    </w:rPr>
  </w:style>
  <w:style w:type="character" w:customStyle="1" w:styleId="Nadpis7Char">
    <w:name w:val="Nadpis 7 Char"/>
    <w:basedOn w:val="Standardnpsmoodstavce"/>
    <w:link w:val="Nadpis7"/>
    <w:uiPriority w:val="9"/>
    <w:semiHidden/>
    <w:rsid w:val="00436F6E"/>
    <w:rPr>
      <w:rFonts w:asciiTheme="majorHAnsi" w:eastAsiaTheme="majorEastAsia" w:hAnsiTheme="majorHAnsi" w:cstheme="majorBidi"/>
      <w:i/>
      <w:iCs/>
      <w:color w:val="000000"/>
    </w:rPr>
  </w:style>
  <w:style w:type="character" w:customStyle="1" w:styleId="Nadpis8Char">
    <w:name w:val="Nadpis 8 Char"/>
    <w:basedOn w:val="Standardnpsmoodstavce"/>
    <w:link w:val="Nadpis8"/>
    <w:uiPriority w:val="9"/>
    <w:rsid w:val="00436F6E"/>
    <w:rPr>
      <w:rFonts w:asciiTheme="majorHAnsi" w:eastAsiaTheme="majorEastAsia" w:hAnsiTheme="majorHAnsi" w:cstheme="majorBidi"/>
      <w:color w:val="000000"/>
      <w:sz w:val="20"/>
      <w:szCs w:val="20"/>
    </w:rPr>
  </w:style>
  <w:style w:type="character" w:customStyle="1" w:styleId="Nadpis9Char">
    <w:name w:val="Nadpis 9 Char"/>
    <w:basedOn w:val="Standardnpsmoodstavce"/>
    <w:link w:val="Nadpis9"/>
    <w:uiPriority w:val="9"/>
    <w:semiHidden/>
    <w:rsid w:val="00436F6E"/>
    <w:rPr>
      <w:rFonts w:asciiTheme="majorHAnsi" w:eastAsiaTheme="majorEastAsia" w:hAnsiTheme="majorHAnsi" w:cstheme="majorBidi"/>
      <w:i/>
      <w:iCs/>
      <w:color w:val="000000"/>
      <w:sz w:val="20"/>
      <w:szCs w:val="20"/>
    </w:rPr>
  </w:style>
  <w:style w:type="numbering" w:customStyle="1" w:styleId="Bezseznamu1">
    <w:name w:val="Bez seznamu1"/>
    <w:next w:val="Bezseznamu"/>
    <w:uiPriority w:val="99"/>
    <w:semiHidden/>
    <w:unhideWhenUsed/>
    <w:rsid w:val="00436F6E"/>
  </w:style>
  <w:style w:type="paragraph" w:styleId="Nzev">
    <w:name w:val="Title"/>
    <w:basedOn w:val="Normln"/>
    <w:next w:val="Normln"/>
    <w:link w:val="NzevChar"/>
    <w:uiPriority w:val="10"/>
    <w:qFormat/>
    <w:rsid w:val="00436F6E"/>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NzevChar">
    <w:name w:val="Název Char"/>
    <w:basedOn w:val="Standardnpsmoodstavce"/>
    <w:link w:val="Nzev"/>
    <w:uiPriority w:val="10"/>
    <w:rsid w:val="00436F6E"/>
    <w:rPr>
      <w:rFonts w:asciiTheme="majorHAnsi" w:eastAsiaTheme="majorEastAsia" w:hAnsiTheme="majorHAnsi" w:cstheme="majorBidi"/>
      <w:color w:val="1F497D" w:themeColor="text2"/>
      <w:spacing w:val="30"/>
      <w:kern w:val="28"/>
      <w:sz w:val="96"/>
      <w:szCs w:val="52"/>
    </w:rPr>
  </w:style>
  <w:style w:type="paragraph" w:styleId="Zkladntext">
    <w:name w:val="Body Text"/>
    <w:basedOn w:val="Normln"/>
    <w:link w:val="ZkladntextChar"/>
    <w:rsid w:val="00436F6E"/>
    <w:pPr>
      <w:overflowPunct w:val="0"/>
      <w:autoSpaceDE w:val="0"/>
      <w:autoSpaceDN w:val="0"/>
      <w:adjustRightInd w:val="0"/>
      <w:spacing w:after="0" w:line="240" w:lineRule="auto"/>
    </w:pPr>
    <w:rPr>
      <w:rFonts w:ascii="Times New Roman" w:eastAsia="Times New Roman" w:hAnsi="Times New Roman" w:cs="Times New Roman"/>
      <w:b/>
      <w:sz w:val="24"/>
      <w:szCs w:val="20"/>
      <w:lang w:eastAsia="cs-CZ"/>
    </w:rPr>
  </w:style>
  <w:style w:type="character" w:customStyle="1" w:styleId="ZkladntextChar">
    <w:name w:val="Základní text Char"/>
    <w:basedOn w:val="Standardnpsmoodstavce"/>
    <w:link w:val="Zkladntext"/>
    <w:rsid w:val="00436F6E"/>
    <w:rPr>
      <w:rFonts w:ascii="Times New Roman" w:eastAsia="Times New Roman" w:hAnsi="Times New Roman" w:cs="Times New Roman"/>
      <w:b/>
      <w:sz w:val="24"/>
      <w:szCs w:val="20"/>
      <w:lang w:eastAsia="cs-CZ"/>
    </w:rPr>
  </w:style>
  <w:style w:type="paragraph" w:styleId="Zpat">
    <w:name w:val="footer"/>
    <w:basedOn w:val="Normln"/>
    <w:link w:val="ZpatChar"/>
    <w:rsid w:val="00436F6E"/>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rsid w:val="00436F6E"/>
    <w:rPr>
      <w:rFonts w:ascii="Times New Roman" w:eastAsia="Times New Roman" w:hAnsi="Times New Roman" w:cs="Times New Roman"/>
      <w:sz w:val="24"/>
      <w:szCs w:val="24"/>
      <w:lang w:eastAsia="cs-CZ"/>
    </w:rPr>
  </w:style>
  <w:style w:type="character" w:styleId="slostrnky">
    <w:name w:val="page number"/>
    <w:basedOn w:val="Standardnpsmoodstavce"/>
    <w:rsid w:val="00436F6E"/>
  </w:style>
  <w:style w:type="paragraph" w:styleId="Textpoznpodarou">
    <w:name w:val="footnote text"/>
    <w:basedOn w:val="Normln"/>
    <w:link w:val="TextpoznpodarouChar"/>
    <w:semiHidden/>
    <w:rsid w:val="00436F6E"/>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436F6E"/>
    <w:rPr>
      <w:rFonts w:ascii="Times New Roman" w:eastAsia="Times New Roman" w:hAnsi="Times New Roman" w:cs="Times New Roman"/>
      <w:sz w:val="20"/>
      <w:szCs w:val="20"/>
      <w:lang w:eastAsia="cs-CZ"/>
    </w:rPr>
  </w:style>
  <w:style w:type="character" w:styleId="Znakapoznpodarou">
    <w:name w:val="footnote reference"/>
    <w:semiHidden/>
    <w:rsid w:val="00436F6E"/>
    <w:rPr>
      <w:vertAlign w:val="superscript"/>
    </w:rPr>
  </w:style>
  <w:style w:type="paragraph" w:styleId="Textbubliny">
    <w:name w:val="Balloon Text"/>
    <w:basedOn w:val="Normln"/>
    <w:link w:val="TextbublinyChar"/>
    <w:uiPriority w:val="99"/>
    <w:semiHidden/>
    <w:unhideWhenUsed/>
    <w:rsid w:val="00436F6E"/>
    <w:pPr>
      <w:spacing w:after="0" w:line="240" w:lineRule="auto"/>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uiPriority w:val="99"/>
    <w:semiHidden/>
    <w:rsid w:val="00436F6E"/>
    <w:rPr>
      <w:rFonts w:ascii="Tahoma" w:eastAsia="Times New Roman" w:hAnsi="Tahoma" w:cs="Tahoma"/>
      <w:sz w:val="16"/>
      <w:szCs w:val="16"/>
      <w:lang w:eastAsia="cs-CZ"/>
    </w:rPr>
  </w:style>
  <w:style w:type="paragraph" w:styleId="Odstavecseseznamem">
    <w:name w:val="List Paragraph"/>
    <w:aliases w:val="Odstavec se seznamem a odrážkou,1 úroveň Odstavec se seznamem,Základní styl odstavce,Styl 3"/>
    <w:basedOn w:val="Normln"/>
    <w:link w:val="OdstavecseseznamemChar"/>
    <w:uiPriority w:val="34"/>
    <w:qFormat/>
    <w:rsid w:val="00436F6E"/>
    <w:pPr>
      <w:spacing w:line="240" w:lineRule="auto"/>
      <w:ind w:left="720" w:hanging="288"/>
      <w:contextualSpacing/>
    </w:pPr>
    <w:rPr>
      <w:color w:val="1F497D" w:themeColor="text2"/>
    </w:rPr>
  </w:style>
  <w:style w:type="paragraph" w:styleId="Zhlav">
    <w:name w:val="header"/>
    <w:basedOn w:val="Normln"/>
    <w:link w:val="ZhlavChar"/>
    <w:uiPriority w:val="99"/>
    <w:unhideWhenUsed/>
    <w:rsid w:val="00436F6E"/>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uiPriority w:val="99"/>
    <w:rsid w:val="00436F6E"/>
    <w:rPr>
      <w:rFonts w:ascii="Times New Roman" w:eastAsia="Times New Roman" w:hAnsi="Times New Roman" w:cs="Times New Roman"/>
      <w:sz w:val="24"/>
      <w:szCs w:val="24"/>
      <w:lang w:eastAsia="cs-CZ"/>
    </w:rPr>
  </w:style>
  <w:style w:type="paragraph" w:customStyle="1" w:styleId="Zkladntext21">
    <w:name w:val="Základní text 21"/>
    <w:basedOn w:val="Normln"/>
    <w:rsid w:val="00436F6E"/>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cs-CZ"/>
    </w:rPr>
  </w:style>
  <w:style w:type="character" w:styleId="Zdraznnjemn">
    <w:name w:val="Subtle Emphasis"/>
    <w:basedOn w:val="Standardnpsmoodstavce"/>
    <w:uiPriority w:val="19"/>
    <w:qFormat/>
    <w:rsid w:val="00436F6E"/>
    <w:rPr>
      <w:i/>
      <w:iCs/>
      <w:color w:val="000000"/>
    </w:rPr>
  </w:style>
  <w:style w:type="character" w:styleId="Odkaznakoment">
    <w:name w:val="annotation reference"/>
    <w:semiHidden/>
    <w:unhideWhenUsed/>
    <w:rsid w:val="00436F6E"/>
    <w:rPr>
      <w:sz w:val="16"/>
      <w:szCs w:val="16"/>
    </w:rPr>
  </w:style>
  <w:style w:type="paragraph" w:styleId="Textkomente">
    <w:name w:val="annotation text"/>
    <w:basedOn w:val="Normln"/>
    <w:link w:val="TextkomenteChar"/>
    <w:semiHidden/>
    <w:unhideWhenUsed/>
    <w:rsid w:val="00436F6E"/>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436F6E"/>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36F6E"/>
    <w:rPr>
      <w:b/>
      <w:bCs/>
    </w:rPr>
  </w:style>
  <w:style w:type="character" w:customStyle="1" w:styleId="PedmtkomenteChar">
    <w:name w:val="Předmět komentáře Char"/>
    <w:basedOn w:val="TextkomenteChar"/>
    <w:link w:val="Pedmtkomente"/>
    <w:uiPriority w:val="99"/>
    <w:semiHidden/>
    <w:rsid w:val="00436F6E"/>
    <w:rPr>
      <w:rFonts w:ascii="Times New Roman" w:eastAsia="Times New Roman" w:hAnsi="Times New Roman" w:cs="Times New Roman"/>
      <w:b/>
      <w:bCs/>
      <w:sz w:val="20"/>
      <w:szCs w:val="20"/>
      <w:lang w:eastAsia="cs-CZ"/>
    </w:rPr>
  </w:style>
  <w:style w:type="paragraph" w:styleId="Revize">
    <w:name w:val="Revision"/>
    <w:hidden/>
    <w:uiPriority w:val="99"/>
    <w:semiHidden/>
    <w:rsid w:val="00436F6E"/>
    <w:pPr>
      <w:spacing w:after="0" w:line="240" w:lineRule="auto"/>
    </w:pPr>
  </w:style>
  <w:style w:type="paragraph" w:customStyle="1" w:styleId="Default">
    <w:name w:val="Default"/>
    <w:rsid w:val="00436F6E"/>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EXT">
    <w:name w:val="TEXT"/>
    <w:basedOn w:val="TEXT1OD"/>
    <w:link w:val="TEXTChar"/>
    <w:qFormat/>
    <w:rsid w:val="00436F6E"/>
    <w:pPr>
      <w:spacing w:before="60" w:after="60" w:line="288" w:lineRule="auto"/>
      <w:ind w:firstLine="425"/>
    </w:pPr>
    <w:rPr>
      <w:rFonts w:ascii="Times New Roman" w:hAnsi="Times New Roman" w:cs="Times New Roman"/>
      <w:sz w:val="22"/>
      <w:szCs w:val="22"/>
    </w:rPr>
  </w:style>
  <w:style w:type="paragraph" w:customStyle="1" w:styleId="TABOBR">
    <w:name w:val="TAB+OBR"/>
    <w:basedOn w:val="Normln"/>
    <w:link w:val="TABOBRChar"/>
    <w:qFormat/>
    <w:rsid w:val="00436F6E"/>
    <w:pPr>
      <w:spacing w:before="240" w:after="0" w:line="240" w:lineRule="auto"/>
      <w:jc w:val="both"/>
    </w:pPr>
    <w:rPr>
      <w:rFonts w:cs="Arial"/>
      <w:b/>
      <w:lang w:eastAsia="cs-CZ"/>
    </w:rPr>
  </w:style>
  <w:style w:type="character" w:customStyle="1" w:styleId="TEXTChar">
    <w:name w:val="TEXT Char"/>
    <w:basedOn w:val="Standardnpsmoodstavce"/>
    <w:link w:val="TEXT"/>
    <w:rsid w:val="00436F6E"/>
    <w:rPr>
      <w:rFonts w:ascii="Times New Roman" w:hAnsi="Times New Roman" w:cs="Times New Roman"/>
      <w:lang w:eastAsia="cs-CZ"/>
    </w:rPr>
  </w:style>
  <w:style w:type="paragraph" w:customStyle="1" w:styleId="TEXT1OD">
    <w:name w:val="TEXT_1.OD"/>
    <w:basedOn w:val="Normln"/>
    <w:link w:val="TEXT1ODChar"/>
    <w:rsid w:val="00436F6E"/>
    <w:pPr>
      <w:spacing w:after="120" w:line="264" w:lineRule="auto"/>
      <w:jc w:val="both"/>
    </w:pPr>
    <w:rPr>
      <w:rFonts w:cs="Arial"/>
      <w:sz w:val="24"/>
      <w:szCs w:val="24"/>
      <w:lang w:eastAsia="cs-CZ"/>
    </w:rPr>
  </w:style>
  <w:style w:type="character" w:customStyle="1" w:styleId="TABOBRChar">
    <w:name w:val="TAB+OBR Char"/>
    <w:basedOn w:val="Standardnpsmoodstavce"/>
    <w:link w:val="TABOBR"/>
    <w:rsid w:val="00436F6E"/>
    <w:rPr>
      <w:rFonts w:cs="Arial"/>
      <w:b/>
      <w:sz w:val="21"/>
      <w:lang w:eastAsia="cs-CZ"/>
    </w:rPr>
  </w:style>
  <w:style w:type="character" w:customStyle="1" w:styleId="TEXT1ODChar">
    <w:name w:val="TEXT_1.OD Char"/>
    <w:basedOn w:val="Standardnpsmoodstavce"/>
    <w:link w:val="TEXT1OD"/>
    <w:rsid w:val="00436F6E"/>
    <w:rPr>
      <w:rFonts w:cs="Arial"/>
      <w:sz w:val="24"/>
      <w:szCs w:val="24"/>
      <w:lang w:eastAsia="cs-CZ"/>
    </w:rPr>
  </w:style>
  <w:style w:type="paragraph" w:customStyle="1" w:styleId="NADPIS">
    <w:name w:val="NADPIS"/>
    <w:basedOn w:val="Normln"/>
    <w:link w:val="NADPISChar"/>
    <w:qFormat/>
    <w:rsid w:val="00436F6E"/>
    <w:pPr>
      <w:spacing w:before="360" w:after="60"/>
    </w:pPr>
    <w:rPr>
      <w:rFonts w:eastAsia="Times New Roman" w:cs="Arial"/>
      <w:b/>
      <w:sz w:val="28"/>
      <w:szCs w:val="28"/>
      <w:lang w:eastAsia="cs-CZ"/>
    </w:rPr>
  </w:style>
  <w:style w:type="character" w:customStyle="1" w:styleId="NADPISChar">
    <w:name w:val="NADPIS Char"/>
    <w:basedOn w:val="Standardnpsmoodstavce"/>
    <w:link w:val="NADPIS"/>
    <w:rsid w:val="00436F6E"/>
    <w:rPr>
      <w:rFonts w:eastAsia="Times New Roman" w:cs="Arial"/>
      <w:b/>
      <w:sz w:val="28"/>
      <w:szCs w:val="28"/>
      <w:lang w:eastAsia="cs-CZ"/>
    </w:rPr>
  </w:style>
  <w:style w:type="paragraph" w:customStyle="1" w:styleId="TABOBR0">
    <w:name w:val="TAB/OBR"/>
    <w:basedOn w:val="Normln"/>
    <w:link w:val="TABOBRChar0"/>
    <w:qFormat/>
    <w:rsid w:val="00436F6E"/>
    <w:pPr>
      <w:spacing w:before="240" w:after="0" w:line="240" w:lineRule="auto"/>
      <w:jc w:val="both"/>
    </w:pPr>
    <w:rPr>
      <w:rFonts w:eastAsia="Times New Roman" w:cs="Arial"/>
      <w:b/>
      <w:sz w:val="24"/>
      <w:szCs w:val="24"/>
      <w:lang w:eastAsia="cs-CZ"/>
    </w:rPr>
  </w:style>
  <w:style w:type="character" w:customStyle="1" w:styleId="TABOBRChar0">
    <w:name w:val="TAB/OBR Char"/>
    <w:basedOn w:val="Standardnpsmoodstavce"/>
    <w:link w:val="TABOBR0"/>
    <w:rsid w:val="00436F6E"/>
    <w:rPr>
      <w:rFonts w:eastAsia="Times New Roman" w:cs="Arial"/>
      <w:b/>
      <w:sz w:val="24"/>
      <w:szCs w:val="24"/>
      <w:lang w:eastAsia="cs-CZ"/>
    </w:rPr>
  </w:style>
  <w:style w:type="character" w:customStyle="1" w:styleId="OdstavecseseznamemChar">
    <w:name w:val="Odstavec se seznamem Char"/>
    <w:aliases w:val="Odstavec se seznamem a odrážkou Char,1 úroveň Odstavec se seznamem Char,Základní styl odstavce Char,Styl 3 Char"/>
    <w:basedOn w:val="Standardnpsmoodstavce"/>
    <w:link w:val="Odstavecseseznamem"/>
    <w:uiPriority w:val="34"/>
    <w:locked/>
    <w:rsid w:val="00436F6E"/>
    <w:rPr>
      <w:color w:val="1F497D" w:themeColor="text2"/>
      <w:sz w:val="21"/>
    </w:rPr>
  </w:style>
  <w:style w:type="paragraph" w:customStyle="1" w:styleId="OBR">
    <w:name w:val="OBR"/>
    <w:basedOn w:val="TEXT"/>
    <w:link w:val="OBRChar"/>
    <w:qFormat/>
    <w:rsid w:val="00436F6E"/>
    <w:pPr>
      <w:spacing w:after="0" w:line="240" w:lineRule="auto"/>
      <w:ind w:firstLine="0"/>
    </w:pPr>
  </w:style>
  <w:style w:type="paragraph" w:customStyle="1" w:styleId="TEXTzaTAB">
    <w:name w:val="TEXT za TAB"/>
    <w:basedOn w:val="TEXT"/>
    <w:link w:val="TEXTzaTABChar"/>
    <w:rsid w:val="00436F6E"/>
    <w:pPr>
      <w:spacing w:before="240"/>
    </w:pPr>
    <w:rPr>
      <w:spacing w:val="-4"/>
    </w:rPr>
  </w:style>
  <w:style w:type="character" w:customStyle="1" w:styleId="OBRChar">
    <w:name w:val="OBR Char"/>
    <w:basedOn w:val="TEXTChar"/>
    <w:link w:val="OBR"/>
    <w:rsid w:val="00436F6E"/>
    <w:rPr>
      <w:rFonts w:ascii="Times New Roman" w:hAnsi="Times New Roman" w:cs="Times New Roman"/>
      <w:lang w:eastAsia="cs-CZ"/>
    </w:rPr>
  </w:style>
  <w:style w:type="character" w:customStyle="1" w:styleId="TEXTzaTABChar">
    <w:name w:val="TEXT za TAB Char"/>
    <w:basedOn w:val="TEXTChar"/>
    <w:link w:val="TEXTzaTAB"/>
    <w:rsid w:val="00436F6E"/>
    <w:rPr>
      <w:rFonts w:ascii="Times New Roman" w:hAnsi="Times New Roman" w:cs="Times New Roman"/>
      <w:spacing w:val="-4"/>
      <w:lang w:eastAsia="cs-CZ"/>
    </w:rPr>
  </w:style>
  <w:style w:type="paragraph" w:customStyle="1" w:styleId="StylStyl11bZarovnatdoblokuTimesNewRoman">
    <w:name w:val="Styl Styl 11 b. Zarovnat do bloku + Times New Roman"/>
    <w:basedOn w:val="Normln"/>
    <w:link w:val="StylStyl11bZarovnatdoblokuTimesNewRomanChar"/>
    <w:autoRedefine/>
    <w:rsid w:val="00436F6E"/>
    <w:pPr>
      <w:spacing w:before="40" w:after="40" w:line="240" w:lineRule="auto"/>
      <w:jc w:val="both"/>
    </w:pPr>
    <w:rPr>
      <w:rFonts w:ascii="Arial" w:eastAsia="Times New Roman" w:hAnsi="Arial" w:cs="Arial"/>
      <w:color w:val="0070C0"/>
      <w:lang w:eastAsia="x-none"/>
    </w:rPr>
  </w:style>
  <w:style w:type="character" w:customStyle="1" w:styleId="StylStyl11bZarovnatdoblokuTimesNewRomanChar">
    <w:name w:val="Styl Styl 11 b. Zarovnat do bloku + Times New Roman Char"/>
    <w:link w:val="StylStyl11bZarovnatdoblokuTimesNewRoman"/>
    <w:locked/>
    <w:rsid w:val="00436F6E"/>
    <w:rPr>
      <w:rFonts w:ascii="Arial" w:eastAsia="Times New Roman" w:hAnsi="Arial" w:cs="Arial"/>
      <w:color w:val="0070C0"/>
      <w:sz w:val="21"/>
      <w:lang w:eastAsia="x-none"/>
    </w:rPr>
  </w:style>
  <w:style w:type="character" w:customStyle="1" w:styleId="Styl9b">
    <w:name w:val="Styl 9 b."/>
    <w:rsid w:val="00436F6E"/>
    <w:rPr>
      <w:sz w:val="16"/>
    </w:rPr>
  </w:style>
  <w:style w:type="character" w:customStyle="1" w:styleId="Styl11b1">
    <w:name w:val="Styl 11 b.1"/>
    <w:rsid w:val="00436F6E"/>
    <w:rPr>
      <w:color w:val="auto"/>
      <w:sz w:val="22"/>
      <w:szCs w:val="22"/>
    </w:rPr>
  </w:style>
  <w:style w:type="paragraph" w:styleId="Titulek">
    <w:name w:val="caption"/>
    <w:basedOn w:val="Normln"/>
    <w:next w:val="Normln"/>
    <w:uiPriority w:val="35"/>
    <w:unhideWhenUsed/>
    <w:qFormat/>
    <w:rsid w:val="00436F6E"/>
    <w:pPr>
      <w:keepNext/>
      <w:spacing w:after="120" w:line="240" w:lineRule="auto"/>
    </w:pPr>
    <w:rPr>
      <w:rFonts w:ascii="Calibri" w:eastAsiaTheme="minorEastAsia" w:hAnsi="Calibri"/>
      <w:b/>
      <w:bCs/>
      <w:color w:val="1F497D" w:themeColor="text2"/>
      <w:spacing w:val="6"/>
      <w:szCs w:val="21"/>
      <w:lang w:bidi="hi-IN"/>
    </w:rPr>
  </w:style>
  <w:style w:type="paragraph" w:styleId="Podnadpis">
    <w:name w:val="Subtitle"/>
    <w:basedOn w:val="Normln"/>
    <w:next w:val="Normln"/>
    <w:link w:val="PodnadpisChar"/>
    <w:uiPriority w:val="11"/>
    <w:qFormat/>
    <w:rsid w:val="00436F6E"/>
    <w:pPr>
      <w:numPr>
        <w:ilvl w:val="1"/>
      </w:numPr>
    </w:pPr>
    <w:rPr>
      <w:rFonts w:eastAsiaTheme="majorEastAsia" w:cstheme="majorBidi"/>
      <w:iCs/>
      <w:color w:val="1F497D" w:themeColor="text2"/>
      <w:sz w:val="40"/>
      <w:szCs w:val="24"/>
      <w:lang w:bidi="hi-IN"/>
    </w:rPr>
  </w:style>
  <w:style w:type="character" w:customStyle="1" w:styleId="PodnadpisChar">
    <w:name w:val="Podnadpis Char"/>
    <w:basedOn w:val="Standardnpsmoodstavce"/>
    <w:link w:val="Podnadpis"/>
    <w:uiPriority w:val="11"/>
    <w:rsid w:val="00436F6E"/>
    <w:rPr>
      <w:rFonts w:eastAsiaTheme="majorEastAsia" w:cstheme="majorBidi"/>
      <w:iCs/>
      <w:color w:val="1F497D" w:themeColor="text2"/>
      <w:sz w:val="40"/>
      <w:szCs w:val="24"/>
      <w:lang w:bidi="hi-IN"/>
    </w:rPr>
  </w:style>
  <w:style w:type="character" w:styleId="Siln">
    <w:name w:val="Strong"/>
    <w:basedOn w:val="Standardnpsmoodstavce"/>
    <w:uiPriority w:val="22"/>
    <w:qFormat/>
    <w:rsid w:val="00436F6E"/>
    <w:rPr>
      <w:b w:val="0"/>
      <w:bCs/>
      <w:i/>
      <w:color w:val="1F497D" w:themeColor="text2"/>
    </w:rPr>
  </w:style>
  <w:style w:type="character" w:styleId="Zdraznn">
    <w:name w:val="Emphasis"/>
    <w:basedOn w:val="Standardnpsmoodstavce"/>
    <w:uiPriority w:val="20"/>
    <w:qFormat/>
    <w:rsid w:val="00436F6E"/>
    <w:rPr>
      <w:b/>
      <w:i/>
      <w:iCs/>
    </w:rPr>
  </w:style>
  <w:style w:type="paragraph" w:styleId="Bezmezer">
    <w:name w:val="No Spacing"/>
    <w:link w:val="BezmezerChar"/>
    <w:uiPriority w:val="1"/>
    <w:qFormat/>
    <w:rsid w:val="00436F6E"/>
    <w:pPr>
      <w:spacing w:after="0" w:line="240" w:lineRule="auto"/>
    </w:pPr>
  </w:style>
  <w:style w:type="character" w:customStyle="1" w:styleId="BezmezerChar">
    <w:name w:val="Bez mezer Char"/>
    <w:basedOn w:val="Standardnpsmoodstavce"/>
    <w:link w:val="Bezmezer"/>
    <w:uiPriority w:val="1"/>
    <w:rsid w:val="00436F6E"/>
  </w:style>
  <w:style w:type="paragraph" w:styleId="Citt">
    <w:name w:val="Quote"/>
    <w:basedOn w:val="Normln"/>
    <w:next w:val="Normln"/>
    <w:link w:val="CittChar"/>
    <w:uiPriority w:val="29"/>
    <w:qFormat/>
    <w:rsid w:val="00436F6E"/>
    <w:pPr>
      <w:spacing w:after="0" w:line="360" w:lineRule="auto"/>
      <w:jc w:val="center"/>
    </w:pPr>
    <w:rPr>
      <w:rFonts w:eastAsiaTheme="minorEastAsia"/>
      <w:b/>
      <w:i/>
      <w:iCs/>
      <w:color w:val="4F81BD" w:themeColor="accent1"/>
      <w:sz w:val="26"/>
      <w:lang w:bidi="hi-IN"/>
    </w:rPr>
  </w:style>
  <w:style w:type="character" w:customStyle="1" w:styleId="CittChar">
    <w:name w:val="Citát Char"/>
    <w:basedOn w:val="Standardnpsmoodstavce"/>
    <w:link w:val="Citt"/>
    <w:uiPriority w:val="29"/>
    <w:rsid w:val="00436F6E"/>
    <w:rPr>
      <w:rFonts w:eastAsiaTheme="minorEastAsia"/>
      <w:b/>
      <w:i/>
      <w:iCs/>
      <w:color w:val="4F81BD" w:themeColor="accent1"/>
      <w:sz w:val="26"/>
      <w:lang w:bidi="hi-IN"/>
    </w:rPr>
  </w:style>
  <w:style w:type="paragraph" w:styleId="Vrazncitt">
    <w:name w:val="Intense Quote"/>
    <w:basedOn w:val="Normln"/>
    <w:next w:val="Normln"/>
    <w:link w:val="VrazncittChar"/>
    <w:uiPriority w:val="30"/>
    <w:qFormat/>
    <w:rsid w:val="00436F6E"/>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VrazncittChar">
    <w:name w:val="Výrazný citát Char"/>
    <w:basedOn w:val="Standardnpsmoodstavce"/>
    <w:link w:val="Vrazncitt"/>
    <w:uiPriority w:val="30"/>
    <w:rsid w:val="00436F6E"/>
    <w:rPr>
      <w:rFonts w:asciiTheme="majorHAnsi" w:eastAsiaTheme="minorEastAsia" w:hAnsiTheme="majorHAnsi"/>
      <w:bCs/>
      <w:iCs/>
      <w:color w:val="FFFFFF" w:themeColor="background1"/>
      <w:sz w:val="28"/>
      <w:shd w:val="clear" w:color="auto" w:fill="4F81BD" w:themeFill="accent1"/>
      <w:lang w:bidi="hi-IN"/>
    </w:rPr>
  </w:style>
  <w:style w:type="character" w:styleId="Zdraznnintenzivn">
    <w:name w:val="Intense Emphasis"/>
    <w:basedOn w:val="Standardnpsmoodstavce"/>
    <w:uiPriority w:val="21"/>
    <w:qFormat/>
    <w:rsid w:val="00436F6E"/>
    <w:rPr>
      <w:b/>
      <w:bCs/>
      <w:i/>
      <w:iCs/>
      <w:color w:val="4F81BD" w:themeColor="accent1"/>
    </w:rPr>
  </w:style>
  <w:style w:type="character" w:styleId="Odkazjemn">
    <w:name w:val="Subtle Reference"/>
    <w:basedOn w:val="Standardnpsmoodstavce"/>
    <w:uiPriority w:val="31"/>
    <w:qFormat/>
    <w:rsid w:val="00436F6E"/>
    <w:rPr>
      <w:smallCaps/>
      <w:color w:val="000000"/>
      <w:u w:val="single"/>
    </w:rPr>
  </w:style>
  <w:style w:type="character" w:styleId="Odkazintenzivn">
    <w:name w:val="Intense Reference"/>
    <w:basedOn w:val="Standardnpsmoodstavce"/>
    <w:uiPriority w:val="32"/>
    <w:qFormat/>
    <w:rsid w:val="00436F6E"/>
    <w:rPr>
      <w:b w:val="0"/>
      <w:bCs/>
      <w:smallCaps/>
      <w:color w:val="4F81BD" w:themeColor="accent1"/>
      <w:spacing w:val="5"/>
      <w:u w:val="single"/>
    </w:rPr>
  </w:style>
  <w:style w:type="character" w:styleId="Nzevknihy">
    <w:name w:val="Book Title"/>
    <w:basedOn w:val="Standardnpsmoodstavce"/>
    <w:uiPriority w:val="33"/>
    <w:qFormat/>
    <w:rsid w:val="00436F6E"/>
    <w:rPr>
      <w:b/>
      <w:bCs/>
      <w:caps/>
      <w:smallCaps w:val="0"/>
      <w:color w:val="1F497D" w:themeColor="text2"/>
      <w:spacing w:val="10"/>
    </w:rPr>
  </w:style>
  <w:style w:type="paragraph" w:styleId="Nadpisobsahu">
    <w:name w:val="TOC Heading"/>
    <w:basedOn w:val="Nadpis1"/>
    <w:next w:val="Normln"/>
    <w:uiPriority w:val="39"/>
    <w:semiHidden/>
    <w:unhideWhenUsed/>
    <w:qFormat/>
    <w:rsid w:val="00436F6E"/>
    <w:pPr>
      <w:spacing w:before="480" w:line="264" w:lineRule="auto"/>
      <w:outlineLvl w:val="9"/>
    </w:pPr>
    <w:rPr>
      <w:b w:val="0"/>
    </w:rPr>
  </w:style>
  <w:style w:type="paragraph" w:styleId="Obsah1">
    <w:name w:val="toc 1"/>
    <w:basedOn w:val="Normln"/>
    <w:next w:val="Normln"/>
    <w:autoRedefine/>
    <w:uiPriority w:val="39"/>
    <w:unhideWhenUsed/>
    <w:rsid w:val="00436F6E"/>
    <w:pPr>
      <w:spacing w:after="100"/>
    </w:pPr>
  </w:style>
  <w:style w:type="paragraph" w:styleId="Obsah2">
    <w:name w:val="toc 2"/>
    <w:basedOn w:val="Normln"/>
    <w:next w:val="Normln"/>
    <w:autoRedefine/>
    <w:uiPriority w:val="39"/>
    <w:unhideWhenUsed/>
    <w:rsid w:val="00436F6E"/>
    <w:pPr>
      <w:spacing w:after="100"/>
      <w:ind w:left="210"/>
    </w:pPr>
  </w:style>
  <w:style w:type="character" w:styleId="Hypertextovodkaz">
    <w:name w:val="Hyperlink"/>
    <w:basedOn w:val="Standardnpsmoodstavce"/>
    <w:uiPriority w:val="99"/>
    <w:unhideWhenUsed/>
    <w:rsid w:val="00436F6E"/>
    <w:rPr>
      <w:color w:val="0000FF" w:themeColor="hyperlink"/>
      <w:u w:val="single"/>
    </w:rPr>
  </w:style>
  <w:style w:type="paragraph" w:styleId="Seznamobrzk">
    <w:name w:val="table of figures"/>
    <w:basedOn w:val="Normln"/>
    <w:next w:val="Normln"/>
    <w:uiPriority w:val="99"/>
    <w:unhideWhenUsed/>
    <w:rsid w:val="00436F6E"/>
    <w:pPr>
      <w:spacing w:after="0"/>
    </w:pPr>
  </w:style>
  <w:style w:type="paragraph" w:styleId="Textvysvtlivek">
    <w:name w:val="endnote text"/>
    <w:basedOn w:val="Normln"/>
    <w:link w:val="TextvysvtlivekChar"/>
    <w:uiPriority w:val="99"/>
    <w:semiHidden/>
    <w:unhideWhenUsed/>
    <w:rsid w:val="00436F6E"/>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436F6E"/>
    <w:rPr>
      <w:sz w:val="20"/>
      <w:szCs w:val="20"/>
    </w:rPr>
  </w:style>
  <w:style w:type="character" w:styleId="Odkaznavysvtlivky">
    <w:name w:val="endnote reference"/>
    <w:basedOn w:val="Standardnpsmoodstavce"/>
    <w:uiPriority w:val="99"/>
    <w:semiHidden/>
    <w:unhideWhenUsed/>
    <w:rsid w:val="00436F6E"/>
    <w:rPr>
      <w:vertAlign w:val="superscript"/>
    </w:rPr>
  </w:style>
  <w:style w:type="paragraph" w:customStyle="1" w:styleId="news2">
    <w:name w:val="news2"/>
    <w:basedOn w:val="Normln"/>
    <w:rsid w:val="00635800"/>
    <w:pPr>
      <w:spacing w:before="30" w:after="30" w:line="336" w:lineRule="auto"/>
      <w:ind w:left="225" w:right="225"/>
    </w:pPr>
    <w:rPr>
      <w:rFonts w:ascii="Times New Roman" w:eastAsia="Times New Roman" w:hAnsi="Times New Roman" w:cs="Times New Roman"/>
      <w:color w:val="000000"/>
      <w:sz w:val="31"/>
      <w:szCs w:val="31"/>
      <w:lang w:eastAsia="cs-CZ"/>
    </w:rPr>
  </w:style>
  <w:style w:type="paragraph" w:styleId="Obsah3">
    <w:name w:val="toc 3"/>
    <w:basedOn w:val="Normln"/>
    <w:next w:val="Normln"/>
    <w:autoRedefine/>
    <w:uiPriority w:val="39"/>
    <w:unhideWhenUsed/>
    <w:rsid w:val="003E1BAF"/>
    <w:pPr>
      <w:spacing w:after="100"/>
      <w:ind w:left="420"/>
    </w:pPr>
  </w:style>
  <w:style w:type="paragraph" w:customStyle="1" w:styleId="TEXTpodTABOBR">
    <w:name w:val="TEXT (pod TAB/OBR)"/>
    <w:basedOn w:val="TEXT"/>
    <w:next w:val="TEXT"/>
    <w:link w:val="TEXTpodTABOBRChar"/>
    <w:qFormat/>
    <w:rsid w:val="00FB53D1"/>
    <w:pPr>
      <w:spacing w:before="360"/>
    </w:pPr>
    <w:rPr>
      <w:rFonts w:cs="Arial"/>
      <w:szCs w:val="24"/>
    </w:rPr>
  </w:style>
  <w:style w:type="character" w:customStyle="1" w:styleId="TEXTpodTABOBRChar">
    <w:name w:val="TEXT (pod TAB/OBR) Char"/>
    <w:basedOn w:val="TEXTChar"/>
    <w:link w:val="TEXTpodTABOBR"/>
    <w:rsid w:val="00FB53D1"/>
    <w:rPr>
      <w:rFonts w:ascii="Times New Roman" w:hAnsi="Times New Roman" w:cs="Arial"/>
      <w:szCs w:val="24"/>
      <w:lang w:eastAsia="cs-CZ"/>
    </w:rPr>
  </w:style>
  <w:style w:type="paragraph" w:styleId="Zkladntextodsazen">
    <w:name w:val="Body Text Indent"/>
    <w:basedOn w:val="Normln"/>
    <w:link w:val="ZkladntextodsazenChar"/>
    <w:uiPriority w:val="99"/>
    <w:semiHidden/>
    <w:unhideWhenUsed/>
    <w:rsid w:val="00DA6B5E"/>
    <w:pPr>
      <w:spacing w:after="120"/>
      <w:ind w:left="283"/>
    </w:pPr>
  </w:style>
  <w:style w:type="character" w:customStyle="1" w:styleId="ZkladntextodsazenChar">
    <w:name w:val="Základní text odsazený Char"/>
    <w:basedOn w:val="Standardnpsmoodstavce"/>
    <w:link w:val="Zkladntextodsazen"/>
    <w:uiPriority w:val="99"/>
    <w:semiHidden/>
    <w:rsid w:val="00DA6B5E"/>
    <w:rPr>
      <w:sz w:val="21"/>
    </w:rPr>
  </w:style>
  <w:style w:type="paragraph" w:styleId="Zkladntextodsazen2">
    <w:name w:val="Body Text Indent 2"/>
    <w:basedOn w:val="Normln"/>
    <w:link w:val="Zkladntextodsazen2Char"/>
    <w:uiPriority w:val="99"/>
    <w:semiHidden/>
    <w:unhideWhenUsed/>
    <w:rsid w:val="00DA6B5E"/>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A6B5E"/>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930273">
      <w:bodyDiv w:val="1"/>
      <w:marLeft w:val="0"/>
      <w:marRight w:val="0"/>
      <w:marTop w:val="0"/>
      <w:marBottom w:val="0"/>
      <w:divBdr>
        <w:top w:val="none" w:sz="0" w:space="0" w:color="auto"/>
        <w:left w:val="none" w:sz="0" w:space="0" w:color="auto"/>
        <w:bottom w:val="none" w:sz="0" w:space="0" w:color="auto"/>
        <w:right w:val="none" w:sz="0" w:space="0" w:color="auto"/>
      </w:divBdr>
    </w:div>
    <w:div w:id="379473352">
      <w:bodyDiv w:val="1"/>
      <w:marLeft w:val="0"/>
      <w:marRight w:val="0"/>
      <w:marTop w:val="0"/>
      <w:marBottom w:val="0"/>
      <w:divBdr>
        <w:top w:val="none" w:sz="0" w:space="0" w:color="auto"/>
        <w:left w:val="none" w:sz="0" w:space="0" w:color="auto"/>
        <w:bottom w:val="none" w:sz="0" w:space="0" w:color="auto"/>
        <w:right w:val="none" w:sz="0" w:space="0" w:color="auto"/>
      </w:divBdr>
    </w:div>
    <w:div w:id="713844943">
      <w:bodyDiv w:val="1"/>
      <w:marLeft w:val="0"/>
      <w:marRight w:val="0"/>
      <w:marTop w:val="0"/>
      <w:marBottom w:val="0"/>
      <w:divBdr>
        <w:top w:val="none" w:sz="0" w:space="0" w:color="auto"/>
        <w:left w:val="none" w:sz="0" w:space="0" w:color="auto"/>
        <w:bottom w:val="none" w:sz="0" w:space="0" w:color="auto"/>
        <w:right w:val="none" w:sz="0" w:space="0" w:color="auto"/>
      </w:divBdr>
    </w:div>
    <w:div w:id="985933657">
      <w:bodyDiv w:val="1"/>
      <w:marLeft w:val="0"/>
      <w:marRight w:val="0"/>
      <w:marTop w:val="0"/>
      <w:marBottom w:val="0"/>
      <w:divBdr>
        <w:top w:val="none" w:sz="0" w:space="0" w:color="auto"/>
        <w:left w:val="none" w:sz="0" w:space="0" w:color="auto"/>
        <w:bottom w:val="none" w:sz="0" w:space="0" w:color="auto"/>
        <w:right w:val="none" w:sz="0" w:space="0" w:color="auto"/>
      </w:divBdr>
    </w:div>
    <w:div w:id="1254439135">
      <w:bodyDiv w:val="1"/>
      <w:marLeft w:val="0"/>
      <w:marRight w:val="0"/>
      <w:marTop w:val="0"/>
      <w:marBottom w:val="0"/>
      <w:divBdr>
        <w:top w:val="none" w:sz="0" w:space="0" w:color="auto"/>
        <w:left w:val="none" w:sz="0" w:space="0" w:color="auto"/>
        <w:bottom w:val="none" w:sz="0" w:space="0" w:color="auto"/>
        <w:right w:val="none" w:sz="0" w:space="0" w:color="auto"/>
      </w:divBdr>
    </w:div>
    <w:div w:id="1262303457">
      <w:bodyDiv w:val="1"/>
      <w:marLeft w:val="0"/>
      <w:marRight w:val="0"/>
      <w:marTop w:val="0"/>
      <w:marBottom w:val="0"/>
      <w:divBdr>
        <w:top w:val="none" w:sz="0" w:space="0" w:color="auto"/>
        <w:left w:val="none" w:sz="0" w:space="0" w:color="auto"/>
        <w:bottom w:val="none" w:sz="0" w:space="0" w:color="auto"/>
        <w:right w:val="none" w:sz="0" w:space="0" w:color="auto"/>
      </w:divBdr>
    </w:div>
    <w:div w:id="1348363497">
      <w:bodyDiv w:val="1"/>
      <w:marLeft w:val="0"/>
      <w:marRight w:val="0"/>
      <w:marTop w:val="0"/>
      <w:marBottom w:val="0"/>
      <w:divBdr>
        <w:top w:val="none" w:sz="0" w:space="0" w:color="auto"/>
        <w:left w:val="none" w:sz="0" w:space="0" w:color="auto"/>
        <w:bottom w:val="none" w:sz="0" w:space="0" w:color="auto"/>
        <w:right w:val="none" w:sz="0" w:space="0" w:color="auto"/>
      </w:divBdr>
    </w:div>
    <w:div w:id="1379280187">
      <w:bodyDiv w:val="1"/>
      <w:marLeft w:val="0"/>
      <w:marRight w:val="0"/>
      <w:marTop w:val="0"/>
      <w:marBottom w:val="0"/>
      <w:divBdr>
        <w:top w:val="none" w:sz="0" w:space="0" w:color="auto"/>
        <w:left w:val="none" w:sz="0" w:space="0" w:color="auto"/>
        <w:bottom w:val="none" w:sz="0" w:space="0" w:color="auto"/>
        <w:right w:val="none" w:sz="0" w:space="0" w:color="auto"/>
      </w:divBdr>
    </w:div>
    <w:div w:id="1390610772">
      <w:bodyDiv w:val="1"/>
      <w:marLeft w:val="0"/>
      <w:marRight w:val="0"/>
      <w:marTop w:val="0"/>
      <w:marBottom w:val="0"/>
      <w:divBdr>
        <w:top w:val="none" w:sz="0" w:space="0" w:color="auto"/>
        <w:left w:val="none" w:sz="0" w:space="0" w:color="auto"/>
        <w:bottom w:val="none" w:sz="0" w:space="0" w:color="auto"/>
        <w:right w:val="none" w:sz="0" w:space="0" w:color="auto"/>
      </w:divBdr>
    </w:div>
    <w:div w:id="1490900092">
      <w:bodyDiv w:val="1"/>
      <w:marLeft w:val="0"/>
      <w:marRight w:val="0"/>
      <w:marTop w:val="0"/>
      <w:marBottom w:val="0"/>
      <w:divBdr>
        <w:top w:val="none" w:sz="0" w:space="0" w:color="auto"/>
        <w:left w:val="none" w:sz="0" w:space="0" w:color="auto"/>
        <w:bottom w:val="none" w:sz="0" w:space="0" w:color="auto"/>
        <w:right w:val="none" w:sz="0" w:space="0" w:color="auto"/>
      </w:divBdr>
    </w:div>
    <w:div w:id="1491098795">
      <w:bodyDiv w:val="1"/>
      <w:marLeft w:val="0"/>
      <w:marRight w:val="0"/>
      <w:marTop w:val="0"/>
      <w:marBottom w:val="0"/>
      <w:divBdr>
        <w:top w:val="none" w:sz="0" w:space="0" w:color="auto"/>
        <w:left w:val="none" w:sz="0" w:space="0" w:color="auto"/>
        <w:bottom w:val="none" w:sz="0" w:space="0" w:color="auto"/>
        <w:right w:val="none" w:sz="0" w:space="0" w:color="auto"/>
      </w:divBdr>
    </w:div>
    <w:div w:id="1662197265">
      <w:bodyDiv w:val="1"/>
      <w:marLeft w:val="0"/>
      <w:marRight w:val="0"/>
      <w:marTop w:val="0"/>
      <w:marBottom w:val="0"/>
      <w:divBdr>
        <w:top w:val="none" w:sz="0" w:space="0" w:color="auto"/>
        <w:left w:val="none" w:sz="0" w:space="0" w:color="auto"/>
        <w:bottom w:val="none" w:sz="0" w:space="0" w:color="auto"/>
        <w:right w:val="none" w:sz="0" w:space="0" w:color="auto"/>
      </w:divBdr>
    </w:div>
    <w:div w:id="188220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footer" Target="footer1.xm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F:\Z&#225;loha\Home%20office\VZ%202019\VZ\Tabulkov&#225;_&#269;ast_VZ_2019.xlsm"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F:\Z&#225;loha\Home%20office\VZ%202019\VZ\Tabulkov&#225;_&#269;ast_VZ_2019.xlsm"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F:\Z&#225;loha\Home%20office\VZ%202019\VZ\Tabulkov&#225;_&#269;ast_VZ_2019.xlsm"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F:\Z&#225;loha\Home%20office\VZ%202019\VZ\Tabulkov&#225;_&#269;ast_VZ_2019.xlsm"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mzsfps01.mzcr.cz\Odbory\dzp\szp\Szp1\vz%202019\vz2019_hodnocen&#237;_tabulky%20a%20grafy.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mzsfps01.mzcr.cz\Odbory\dzp\szp\Szp1\vz%202019\vz2019_hodnocen&#237;_tabulky%20a%20grafy.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mzsfps01.mzcr.cz\Odbory\dzp\szp\Szp1\vz%202019\vz2019_hodnocen&#237;_tabulky%20a%20grafy.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mzsfps01.mzcr.cz\Odbory\dzp\szp\Szp1\vz%202019\vz2019_hodnocen&#237;_tabulky%20a%20graf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Z&#225;loha\Home%20office\VZ%202019\VZ\Tabulkov&#225;_&#269;ast_VZ_2019.xlsm"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Z&#225;loha\Home%20office\VZ%202019\VZ\Tabulkov&#225;_&#269;ast_VZ_2019.xlsm"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F:\Z&#225;loha\Home%20office\VZ%202019\VZ\Tabulkov&#225;_&#269;ast_VZ_2019.xlsm"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Z&#225;loha\Home%20office\VZ%202019\VZ\Tabulkov&#225;_&#269;ast_VZ_2019.xlsm"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F:\Z&#225;loha\Home%20office\VZ%202019\VZ\Tabulkov&#225;_&#269;ast_VZ_2019.xlsm"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F:\Z&#225;loha\Home%20office\VZ%202019\VZ\Tabulkov&#225;_&#269;ast_VZ_2019.xlsm"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F:\Z&#225;loha\Home%20office\VZ%202019\VZ\Tabulkov&#225;_&#269;ast_VZ_2019.xlsm"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F:\Z&#225;loha\Home%20office\VZ%202019\VZ\Tabulkov&#225;_&#269;ast_VZ_2019.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manualLayout>
          <c:layoutTarget val="inner"/>
          <c:xMode val="edge"/>
          <c:yMode val="edge"/>
          <c:x val="5.9192941590488239E-3"/>
          <c:y val="4.5704084880426862E-2"/>
          <c:w val="0.99408063844417971"/>
          <c:h val="0.91532583179577798"/>
        </c:manualLayout>
      </c:layout>
      <c:ofPieChart>
        <c:ofPieType val="bar"/>
        <c:varyColors val="1"/>
        <c:ser>
          <c:idx val="0"/>
          <c:order val="0"/>
          <c:dLbls>
            <c:numFmt formatCode="0.0%" sourceLinked="0"/>
            <c:spPr>
              <a:noFill/>
              <a:ln>
                <a:noFill/>
              </a:ln>
              <a:effectLst/>
            </c:spPr>
            <c:dLblPos val="bestFit"/>
            <c:showLegendKey val="0"/>
            <c:showVal val="0"/>
            <c:showCatName val="1"/>
            <c:showSerName val="0"/>
            <c:showPercent val="1"/>
            <c:showBubbleSize val="0"/>
            <c:showLeaderLines val="1"/>
            <c:extLst>
              <c:ext xmlns:c15="http://schemas.microsoft.com/office/drawing/2012/chart" uri="{CE6537A1-D6FC-4f65-9D91-7224C49458BB}"/>
            </c:extLst>
          </c:dLbls>
          <c:cat>
            <c:strRef>
              <c:f>'TAB 1 OBR 1'!$D$12:$D$16</c:f>
              <c:strCache>
                <c:ptCount val="5"/>
                <c:pt idx="0">
                  <c:v>Příjmy z vlastního výběru</c:v>
                </c:pt>
                <c:pt idx="1">
                  <c:v>Příjmy ze státního rozpočtu</c:v>
                </c:pt>
                <c:pt idx="2">
                  <c:v>Ostatní příjmy systému v.z.p.</c:v>
                </c:pt>
                <c:pt idx="3">
                  <c:v>Výnosy z jiných činností</c:v>
                </c:pt>
                <c:pt idx="4">
                  <c:v>Příjmy od zahr. pojišťoven a MO</c:v>
                </c:pt>
              </c:strCache>
            </c:strRef>
          </c:cat>
          <c:val>
            <c:numRef>
              <c:f>'TAB 1 OBR 1'!$E$12:$E$16</c:f>
              <c:numCache>
                <c:formatCode>0.00%</c:formatCode>
                <c:ptCount val="5"/>
                <c:pt idx="0">
                  <c:v>0.77145486981309452</c:v>
                </c:pt>
                <c:pt idx="1">
                  <c:v>0.21676571965538083</c:v>
                </c:pt>
                <c:pt idx="2">
                  <c:v>7.346806571216313E-3</c:v>
                </c:pt>
                <c:pt idx="3">
                  <c:v>2.3155447857559921E-4</c:v>
                </c:pt>
                <c:pt idx="4">
                  <c:v>4.2010494817327701E-3</c:v>
                </c:pt>
              </c:numCache>
            </c:numRef>
          </c:val>
          <c:extLst>
            <c:ext xmlns:c16="http://schemas.microsoft.com/office/drawing/2014/chart" uri="{C3380CC4-5D6E-409C-BE32-E72D297353CC}">
              <c16:uniqueId val="{00000000-22ED-E54D-B34B-F15AFA0D2C71}"/>
            </c:ext>
          </c:extLst>
        </c:ser>
        <c:dLbls>
          <c:dLblPos val="bestFit"/>
          <c:showLegendKey val="0"/>
          <c:showVal val="0"/>
          <c:showCatName val="1"/>
          <c:showSerName val="0"/>
          <c:showPercent val="1"/>
          <c:showBubbleSize val="0"/>
          <c:showLeaderLines val="1"/>
        </c:dLbls>
        <c:gapWidth val="100"/>
        <c:secondPieSize val="75"/>
        <c:serLines/>
      </c:ofPieChart>
    </c:plotArea>
    <c:plotVisOnly val="1"/>
    <c:dispBlanksAs val="gap"/>
    <c:showDLblsOverMax val="0"/>
  </c:chart>
  <c:spPr>
    <a:ln>
      <a:solidFill>
        <a:schemeClr val="bg1"/>
      </a:solid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3449895389316695E-2"/>
          <c:y val="0.12271022860099851"/>
          <c:w val="0.88277943206382559"/>
          <c:h val="0.77435545549601947"/>
        </c:manualLayout>
      </c:layout>
      <c:lineChart>
        <c:grouping val="standard"/>
        <c:varyColors val="0"/>
        <c:ser>
          <c:idx val="0"/>
          <c:order val="0"/>
          <c:tx>
            <c:strRef>
              <c:f>'OBR 7 OBR 10'!$B$62</c:f>
              <c:strCache>
                <c:ptCount val="1"/>
                <c:pt idx="0">
                  <c:v>Podíl zůstatků na účtech ZP na výdajích v daném roce</c:v>
                </c:pt>
              </c:strCache>
            </c:strRef>
          </c:tx>
          <c:spPr>
            <a:ln>
              <a:solidFill>
                <a:schemeClr val="accent2"/>
              </a:solidFill>
            </a:ln>
          </c:spPr>
          <c:marker>
            <c:symbol val="circle"/>
            <c:size val="7"/>
            <c:spPr>
              <a:solidFill>
                <a:schemeClr val="bg1"/>
              </a:solidFill>
              <a:ln w="28575">
                <a:solidFill>
                  <a:schemeClr val="accent2"/>
                </a:solidFill>
              </a:ln>
            </c:spPr>
          </c:marker>
          <c:cat>
            <c:numRef>
              <c:f>'OBR 7 OBR 10'!$A$63:$A$78</c:f>
              <c:numCache>
                <c:formatCode>General</c:formatCode>
                <c:ptCount val="16"/>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pt idx="15">
                  <c:v>2019</c:v>
                </c:pt>
              </c:numCache>
            </c:numRef>
          </c:cat>
          <c:val>
            <c:numRef>
              <c:f>'OBR 7 OBR 10'!$B$63:$B$78</c:f>
              <c:numCache>
                <c:formatCode>0.00%</c:formatCode>
                <c:ptCount val="16"/>
                <c:pt idx="0">
                  <c:v>42.557074828615654</c:v>
                </c:pt>
                <c:pt idx="1">
                  <c:v>41.905887353910295</c:v>
                </c:pt>
                <c:pt idx="2">
                  <c:v>54.224057762150998</c:v>
                </c:pt>
                <c:pt idx="3">
                  <c:v>144.90712349335621</c:v>
                </c:pt>
                <c:pt idx="4">
                  <c:v>188.15469344268607</c:v>
                </c:pt>
                <c:pt idx="5">
                  <c:v>143.16211227784572</c:v>
                </c:pt>
                <c:pt idx="6">
                  <c:v>109.75144895949929</c:v>
                </c:pt>
                <c:pt idx="7">
                  <c:v>64.135126121681139</c:v>
                </c:pt>
                <c:pt idx="8">
                  <c:v>56.614023860940442</c:v>
                </c:pt>
                <c:pt idx="9">
                  <c:v>58.495213434466294</c:v>
                </c:pt>
                <c:pt idx="10">
                  <c:v>63.355088502559148</c:v>
                </c:pt>
                <c:pt idx="11">
                  <c:v>60.534511509459442</c:v>
                </c:pt>
                <c:pt idx="12">
                  <c:v>80.458973857296257</c:v>
                </c:pt>
                <c:pt idx="13">
                  <c:v>110.86243008979093</c:v>
                </c:pt>
                <c:pt idx="14">
                  <c:v>152.60476513617894</c:v>
                </c:pt>
                <c:pt idx="15">
                  <c:v>184.16718830419512</c:v>
                </c:pt>
              </c:numCache>
            </c:numRef>
          </c:val>
          <c:smooth val="0"/>
          <c:extLst>
            <c:ext xmlns:c16="http://schemas.microsoft.com/office/drawing/2014/chart" uri="{C3380CC4-5D6E-409C-BE32-E72D297353CC}">
              <c16:uniqueId val="{00000000-695C-4D39-AE41-0CACA613DC1E}"/>
            </c:ext>
          </c:extLst>
        </c:ser>
        <c:ser>
          <c:idx val="1"/>
          <c:order val="1"/>
          <c:tx>
            <c:strRef>
              <c:f>'OBR 7 OBR 10'!$C$62</c:f>
              <c:strCache>
                <c:ptCount val="1"/>
                <c:pt idx="0">
                  <c:v>Růst reálného HDP</c:v>
                </c:pt>
              </c:strCache>
            </c:strRef>
          </c:tx>
          <c:spPr>
            <a:ln>
              <a:solidFill>
                <a:schemeClr val="accent1"/>
              </a:solidFill>
            </a:ln>
          </c:spPr>
          <c:marker>
            <c:symbol val="circle"/>
            <c:size val="7"/>
            <c:spPr>
              <a:solidFill>
                <a:schemeClr val="bg1"/>
              </a:solidFill>
              <a:ln w="28575">
                <a:solidFill>
                  <a:schemeClr val="accent1"/>
                </a:solidFill>
              </a:ln>
            </c:spPr>
          </c:marker>
          <c:cat>
            <c:numRef>
              <c:f>'OBR 7 OBR 10'!$A$63:$A$78</c:f>
              <c:numCache>
                <c:formatCode>General</c:formatCode>
                <c:ptCount val="16"/>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pt idx="15">
                  <c:v>2019</c:v>
                </c:pt>
              </c:numCache>
            </c:numRef>
          </c:cat>
          <c:val>
            <c:numRef>
              <c:f>'OBR 7 OBR 10'!$C$63:$C$78</c:f>
              <c:numCache>
                <c:formatCode>0.00%</c:formatCode>
                <c:ptCount val="16"/>
                <c:pt idx="0">
                  <c:v>49.0656376356553</c:v>
                </c:pt>
                <c:pt idx="1">
                  <c:v>65.334688059203614</c:v>
                </c:pt>
                <c:pt idx="2">
                  <c:v>68.535223337124592</c:v>
                </c:pt>
                <c:pt idx="3">
                  <c:v>56.026436849596408</c:v>
                </c:pt>
                <c:pt idx="4">
                  <c:v>26.82282724452234</c:v>
                </c:pt>
                <c:pt idx="5">
                  <c:v>-48.025720912861388</c:v>
                </c:pt>
                <c:pt idx="6">
                  <c:v>22.734200516572489</c:v>
                </c:pt>
                <c:pt idx="7">
                  <c:v>17.77833186623279</c:v>
                </c:pt>
                <c:pt idx="8">
                  <c:v>-7.9984428117662043</c:v>
                </c:pt>
                <c:pt idx="9">
                  <c:v>-4.8367104070260458</c:v>
                </c:pt>
                <c:pt idx="10">
                  <c:v>27.151161315780215</c:v>
                </c:pt>
                <c:pt idx="11">
                  <c:v>53.092385190981474</c:v>
                </c:pt>
                <c:pt idx="12">
                  <c:v>24.505423873962151</c:v>
                </c:pt>
                <c:pt idx="13">
                  <c:v>43.526035182292809</c:v>
                </c:pt>
                <c:pt idx="14">
                  <c:v>28.460576774379742</c:v>
                </c:pt>
                <c:pt idx="15">
                  <c:v>25.65931233465313</c:v>
                </c:pt>
              </c:numCache>
            </c:numRef>
          </c:val>
          <c:smooth val="0"/>
          <c:extLst>
            <c:ext xmlns:c16="http://schemas.microsoft.com/office/drawing/2014/chart" uri="{C3380CC4-5D6E-409C-BE32-E72D297353CC}">
              <c16:uniqueId val="{00000001-695C-4D39-AE41-0CACA613DC1E}"/>
            </c:ext>
          </c:extLst>
        </c:ser>
        <c:dLbls>
          <c:showLegendKey val="0"/>
          <c:showVal val="0"/>
          <c:showCatName val="0"/>
          <c:showSerName val="0"/>
          <c:showPercent val="0"/>
          <c:showBubbleSize val="0"/>
        </c:dLbls>
        <c:marker val="1"/>
        <c:smooth val="0"/>
        <c:axId val="72491776"/>
        <c:axId val="72493696"/>
      </c:lineChart>
      <c:catAx>
        <c:axId val="72491776"/>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crossAx val="72493696"/>
        <c:crosses val="autoZero"/>
        <c:auto val="1"/>
        <c:lblAlgn val="ctr"/>
        <c:lblOffset val="100"/>
        <c:noMultiLvlLbl val="0"/>
      </c:catAx>
      <c:valAx>
        <c:axId val="72493696"/>
        <c:scaling>
          <c:orientation val="minMax"/>
          <c:max val="200"/>
          <c:min val="-100"/>
        </c:scaling>
        <c:delete val="0"/>
        <c:axPos val="l"/>
        <c:majorGridlines/>
        <c:minorGridlines>
          <c:spPr>
            <a:ln>
              <a:solidFill>
                <a:schemeClr val="bg1">
                  <a:lumMod val="75000"/>
                </a:schemeClr>
              </a:solidFill>
              <a:prstDash val="dash"/>
            </a:ln>
          </c:spPr>
        </c:minorGridlines>
        <c:numFmt formatCode="0%" sourceLinked="0"/>
        <c:majorTickMark val="none"/>
        <c:minorTickMark val="none"/>
        <c:tickLblPos val="nextTo"/>
        <c:crossAx val="72491776"/>
        <c:crosses val="autoZero"/>
        <c:crossBetween val="between"/>
        <c:majorUnit val="50"/>
        <c:minorUnit val="25"/>
        <c:dispUnits>
          <c:builtInUnit val="thousands"/>
        </c:dispUnits>
      </c:valAx>
      <c:spPr>
        <a:solidFill>
          <a:schemeClr val="bg1"/>
        </a:solidFill>
        <a:ln>
          <a:solidFill>
            <a:schemeClr val="tx1">
              <a:lumMod val="50000"/>
              <a:lumOff val="50000"/>
            </a:schemeClr>
          </a:solidFill>
        </a:ln>
      </c:spPr>
    </c:plotArea>
    <c:legend>
      <c:legendPos val="t"/>
      <c:layout>
        <c:manualLayout>
          <c:xMode val="edge"/>
          <c:yMode val="edge"/>
          <c:x val="7.8336473100730108E-2"/>
          <c:y val="2.6235215578071628E-2"/>
          <c:w val="0.89359173032396855"/>
          <c:h val="7.9068188492793748E-2"/>
        </c:manualLayout>
      </c:layout>
      <c:overlay val="0"/>
    </c:legend>
    <c:plotVisOnly val="1"/>
    <c:dispBlanksAs val="gap"/>
    <c:showDLblsOverMax val="0"/>
  </c:chart>
  <c:spPr>
    <a:solidFill>
      <a:schemeClr val="bg1"/>
    </a:solidFill>
    <a:ln>
      <a:noFill/>
    </a:ln>
  </c:spPr>
  <c:txPr>
    <a:bodyPr/>
    <a:lstStyle/>
    <a:p>
      <a:pPr>
        <a:defRPr sz="1000"/>
      </a:pPr>
      <a:endParaRPr lang="cs-CZ"/>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872920738662077"/>
          <c:y val="6.4222862012533757E-2"/>
          <c:w val="0.81298407095127823"/>
          <c:h val="0.79086508789981014"/>
        </c:manualLayout>
      </c:layout>
      <c:barChart>
        <c:barDir val="col"/>
        <c:grouping val="clustered"/>
        <c:varyColors val="0"/>
        <c:ser>
          <c:idx val="0"/>
          <c:order val="0"/>
          <c:invertIfNegative val="0"/>
          <c:cat>
            <c:strRef>
              <c:f>'TAB 7 OBR 11'!$A$14:$A$20</c:f>
              <c:strCache>
                <c:ptCount val="7"/>
                <c:pt idx="0">
                  <c:v>VZP ČR</c:v>
                </c:pt>
                <c:pt idx="1">
                  <c:v>VoZP ČR</c:v>
                </c:pt>
                <c:pt idx="2">
                  <c:v>ČPZP</c:v>
                </c:pt>
                <c:pt idx="3">
                  <c:v>OZP</c:v>
                </c:pt>
                <c:pt idx="4">
                  <c:v>ZPŠ</c:v>
                </c:pt>
                <c:pt idx="5">
                  <c:v>ZP MV ČR</c:v>
                </c:pt>
                <c:pt idx="6">
                  <c:v>RBP</c:v>
                </c:pt>
              </c:strCache>
            </c:strRef>
          </c:cat>
          <c:val>
            <c:numRef>
              <c:f>tab.č.1!$I$30:$I$36</c:f>
              <c:numCache>
                <c:formatCode>#,##0</c:formatCode>
                <c:ptCount val="7"/>
                <c:pt idx="0">
                  <c:v>1639</c:v>
                </c:pt>
                <c:pt idx="1">
                  <c:v>1701</c:v>
                </c:pt>
                <c:pt idx="2">
                  <c:v>1967</c:v>
                </c:pt>
                <c:pt idx="3">
                  <c:v>1906</c:v>
                </c:pt>
                <c:pt idx="4">
                  <c:v>1832</c:v>
                </c:pt>
                <c:pt idx="5">
                  <c:v>1997</c:v>
                </c:pt>
                <c:pt idx="6">
                  <c:v>1806</c:v>
                </c:pt>
              </c:numCache>
            </c:numRef>
          </c:val>
          <c:extLst>
            <c:ext xmlns:c16="http://schemas.microsoft.com/office/drawing/2014/chart" uri="{C3380CC4-5D6E-409C-BE32-E72D297353CC}">
              <c16:uniqueId val="{00000000-4F84-814C-932B-243B7D943801}"/>
            </c:ext>
          </c:extLst>
        </c:ser>
        <c:dLbls>
          <c:showLegendKey val="0"/>
          <c:showVal val="0"/>
          <c:showCatName val="0"/>
          <c:showSerName val="0"/>
          <c:showPercent val="0"/>
          <c:showBubbleSize val="0"/>
        </c:dLbls>
        <c:gapWidth val="150"/>
        <c:axId val="72502656"/>
        <c:axId val="72516736"/>
      </c:barChart>
      <c:catAx>
        <c:axId val="72502656"/>
        <c:scaling>
          <c:orientation val="minMax"/>
        </c:scaling>
        <c:delete val="0"/>
        <c:axPos val="b"/>
        <c:numFmt formatCode="General" sourceLinked="0"/>
        <c:majorTickMark val="none"/>
        <c:minorTickMark val="none"/>
        <c:tickLblPos val="nextTo"/>
        <c:crossAx val="72516736"/>
        <c:crosses val="autoZero"/>
        <c:auto val="1"/>
        <c:lblAlgn val="ctr"/>
        <c:lblOffset val="100"/>
        <c:noMultiLvlLbl val="0"/>
      </c:catAx>
      <c:valAx>
        <c:axId val="72516736"/>
        <c:scaling>
          <c:orientation val="minMax"/>
          <c:max val="2200"/>
          <c:min val="1600"/>
        </c:scaling>
        <c:delete val="0"/>
        <c:axPos val="l"/>
        <c:majorGridlines/>
        <c:minorGridlines>
          <c:spPr>
            <a:ln>
              <a:prstDash val="dash"/>
            </a:ln>
          </c:spPr>
        </c:minorGridlines>
        <c:title>
          <c:tx>
            <c:rich>
              <a:bodyPr rot="-5400000" vert="horz"/>
              <a:lstStyle/>
              <a:p>
                <a:pPr>
                  <a:defRPr/>
                </a:pPr>
                <a:r>
                  <a:rPr lang="cs-CZ"/>
                  <a:t>Počet</a:t>
                </a:r>
                <a:r>
                  <a:rPr lang="cs-CZ" baseline="0"/>
                  <a:t> pojištěnců </a:t>
                </a:r>
              </a:p>
              <a:p>
                <a:pPr>
                  <a:defRPr/>
                </a:pPr>
                <a:r>
                  <a:rPr lang="cs-CZ" b="0" baseline="0"/>
                  <a:t>(na zaměstnance)</a:t>
                </a:r>
                <a:endParaRPr lang="cs-CZ" b="0"/>
              </a:p>
            </c:rich>
          </c:tx>
          <c:overlay val="0"/>
        </c:title>
        <c:numFmt formatCode="#,##0" sourceLinked="1"/>
        <c:majorTickMark val="none"/>
        <c:minorTickMark val="none"/>
        <c:tickLblPos val="nextTo"/>
        <c:crossAx val="72502656"/>
        <c:crosses val="autoZero"/>
        <c:crossBetween val="between"/>
        <c:majorUnit val="200"/>
        <c:minorUnit val="100"/>
      </c:valAx>
    </c:plotArea>
    <c:plotVisOnly val="1"/>
    <c:dispBlanksAs val="gap"/>
    <c:showDLblsOverMax val="0"/>
  </c:chart>
  <c:spPr>
    <a:ln>
      <a:solidFill>
        <a:schemeClr val="bg1"/>
      </a:solidFill>
    </a:ln>
  </c:sp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991072042609795"/>
          <c:y val="5.2749653726140856E-2"/>
          <c:w val="0.85631860166221607"/>
          <c:h val="0.74638759138158572"/>
        </c:manualLayout>
      </c:layout>
      <c:lineChart>
        <c:grouping val="standard"/>
        <c:varyColors val="0"/>
        <c:ser>
          <c:idx val="0"/>
          <c:order val="0"/>
          <c:tx>
            <c:strRef>
              <c:f>'OBR 12'!$D$2</c:f>
              <c:strCache>
                <c:ptCount val="1"/>
                <c:pt idx="0">
                  <c:v>Podíl</c:v>
                </c:pt>
              </c:strCache>
            </c:strRef>
          </c:tx>
          <c:spPr>
            <a:ln>
              <a:solidFill>
                <a:schemeClr val="accent4"/>
              </a:solidFill>
            </a:ln>
          </c:spPr>
          <c:marker>
            <c:symbol val="circle"/>
            <c:size val="7"/>
            <c:spPr>
              <a:solidFill>
                <a:schemeClr val="bg1"/>
              </a:solidFill>
              <a:ln w="28575">
                <a:solidFill>
                  <a:schemeClr val="accent4"/>
                </a:solidFill>
              </a:ln>
            </c:spPr>
          </c:marker>
          <c:cat>
            <c:numRef>
              <c:f>'OBR 12'!$A$3:$A$28</c:f>
              <c:numCache>
                <c:formatCode>General</c:formatCode>
                <c:ptCount val="26"/>
                <c:pt idx="0">
                  <c:v>1994</c:v>
                </c:pt>
                <c:pt idx="1">
                  <c:v>1995</c:v>
                </c:pt>
                <c:pt idx="2">
                  <c:v>1996</c:v>
                </c:pt>
                <c:pt idx="3">
                  <c:v>1997</c:v>
                </c:pt>
                <c:pt idx="4">
                  <c:v>1998</c:v>
                </c:pt>
                <c:pt idx="5">
                  <c:v>1999</c:v>
                </c:pt>
                <c:pt idx="6">
                  <c:v>2000</c:v>
                </c:pt>
                <c:pt idx="7">
                  <c:v>2001</c:v>
                </c:pt>
                <c:pt idx="8">
                  <c:v>2002</c:v>
                </c:pt>
                <c:pt idx="9">
                  <c:v>2003</c:v>
                </c:pt>
                <c:pt idx="10">
                  <c:v>2004</c:v>
                </c:pt>
                <c:pt idx="11">
                  <c:v>2005</c:v>
                </c:pt>
                <c:pt idx="12">
                  <c:v>2006</c:v>
                </c:pt>
                <c:pt idx="13">
                  <c:v>2007</c:v>
                </c:pt>
                <c:pt idx="14">
                  <c:v>2008</c:v>
                </c:pt>
                <c:pt idx="15">
                  <c:v>2009</c:v>
                </c:pt>
                <c:pt idx="16">
                  <c:v>2010</c:v>
                </c:pt>
                <c:pt idx="17">
                  <c:v>2011</c:v>
                </c:pt>
                <c:pt idx="18">
                  <c:v>2012</c:v>
                </c:pt>
                <c:pt idx="19">
                  <c:v>2013</c:v>
                </c:pt>
                <c:pt idx="20">
                  <c:v>2014</c:v>
                </c:pt>
                <c:pt idx="21">
                  <c:v>2015</c:v>
                </c:pt>
                <c:pt idx="22">
                  <c:v>2016</c:v>
                </c:pt>
                <c:pt idx="23">
                  <c:v>2017</c:v>
                </c:pt>
                <c:pt idx="24">
                  <c:v>2018</c:v>
                </c:pt>
                <c:pt idx="25">
                  <c:v>2019</c:v>
                </c:pt>
              </c:numCache>
            </c:numRef>
          </c:cat>
          <c:val>
            <c:numRef>
              <c:f>'OBR 12'!$E$3:$E$28</c:f>
              <c:numCache>
                <c:formatCode>0.0%</c:formatCode>
                <c:ptCount val="26"/>
                <c:pt idx="0">
                  <c:v>9.7792339040683567E-3</c:v>
                </c:pt>
                <c:pt idx="1">
                  <c:v>8.3847742786238681E-3</c:v>
                </c:pt>
                <c:pt idx="2">
                  <c:v>9.039003663777221E-3</c:v>
                </c:pt>
                <c:pt idx="3">
                  <c:v>9.3744655324254286E-3</c:v>
                </c:pt>
                <c:pt idx="4">
                  <c:v>1.0897372284334293E-2</c:v>
                </c:pt>
                <c:pt idx="5">
                  <c:v>1.2154741959234166E-2</c:v>
                </c:pt>
                <c:pt idx="6">
                  <c:v>1.1542439605395157E-2</c:v>
                </c:pt>
                <c:pt idx="7">
                  <c:v>1.1301719925445108E-2</c:v>
                </c:pt>
                <c:pt idx="8">
                  <c:v>1.1396367303042464E-2</c:v>
                </c:pt>
                <c:pt idx="9">
                  <c:v>1.1561773452861569E-2</c:v>
                </c:pt>
                <c:pt idx="10">
                  <c:v>1.0898965009645892E-2</c:v>
                </c:pt>
                <c:pt idx="11">
                  <c:v>1.03317080820391E-2</c:v>
                </c:pt>
                <c:pt idx="12">
                  <c:v>1.2240385015022214E-2</c:v>
                </c:pt>
                <c:pt idx="13">
                  <c:v>1.2358617250463982E-2</c:v>
                </c:pt>
                <c:pt idx="14">
                  <c:v>1.1742362858733977E-2</c:v>
                </c:pt>
                <c:pt idx="15">
                  <c:v>1.2383698490411557E-2</c:v>
                </c:pt>
                <c:pt idx="16">
                  <c:v>1.3299728181757613E-2</c:v>
                </c:pt>
                <c:pt idx="17">
                  <c:v>1.3069018551448959E-2</c:v>
                </c:pt>
                <c:pt idx="18">
                  <c:v>1.3021775802037089E-2</c:v>
                </c:pt>
                <c:pt idx="19">
                  <c:v>1.3097722862975487E-2</c:v>
                </c:pt>
                <c:pt idx="20">
                  <c:v>1.387807274579262E-2</c:v>
                </c:pt>
                <c:pt idx="21">
                  <c:v>1.326093110249113E-2</c:v>
                </c:pt>
                <c:pt idx="22">
                  <c:v>1.3056555303178069E-2</c:v>
                </c:pt>
                <c:pt idx="23">
                  <c:v>1.2928493182548101E-2</c:v>
                </c:pt>
                <c:pt idx="24">
                  <c:v>1.2887343228792172E-2</c:v>
                </c:pt>
                <c:pt idx="25">
                  <c:v>1.2710915050243668E-2</c:v>
                </c:pt>
              </c:numCache>
            </c:numRef>
          </c:val>
          <c:smooth val="0"/>
          <c:extLst>
            <c:ext xmlns:c16="http://schemas.microsoft.com/office/drawing/2014/chart" uri="{C3380CC4-5D6E-409C-BE32-E72D297353CC}">
              <c16:uniqueId val="{00000000-21AD-4E29-9B96-36F9A2D58FDB}"/>
            </c:ext>
          </c:extLst>
        </c:ser>
        <c:dLbls>
          <c:showLegendKey val="0"/>
          <c:showVal val="0"/>
          <c:showCatName val="0"/>
          <c:showSerName val="0"/>
          <c:showPercent val="0"/>
          <c:showBubbleSize val="0"/>
        </c:dLbls>
        <c:marker val="1"/>
        <c:smooth val="0"/>
        <c:axId val="73400704"/>
        <c:axId val="73402624"/>
      </c:lineChart>
      <c:catAx>
        <c:axId val="73400704"/>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crossAx val="73402624"/>
        <c:crosses val="autoZero"/>
        <c:auto val="1"/>
        <c:lblAlgn val="ctr"/>
        <c:lblOffset val="100"/>
        <c:noMultiLvlLbl val="0"/>
      </c:catAx>
      <c:valAx>
        <c:axId val="73402624"/>
        <c:scaling>
          <c:orientation val="minMax"/>
          <c:max val="1.4000000000000002E-2"/>
          <c:min val="8.0000000000000019E-3"/>
        </c:scaling>
        <c:delete val="0"/>
        <c:axPos val="l"/>
        <c:majorGridlines/>
        <c:minorGridlines>
          <c:spPr>
            <a:ln>
              <a:solidFill>
                <a:schemeClr val="bg1">
                  <a:lumMod val="75000"/>
                </a:schemeClr>
              </a:solidFill>
              <a:prstDash val="dash"/>
            </a:ln>
          </c:spPr>
        </c:minorGridlines>
        <c:title>
          <c:tx>
            <c:rich>
              <a:bodyPr/>
              <a:lstStyle/>
              <a:p>
                <a:pPr algn="ctr" rtl="0">
                  <a:defRPr/>
                </a:pPr>
                <a:r>
                  <a:rPr lang="cs-CZ"/>
                  <a:t>Platba státu v poměru k HDP </a:t>
                </a:r>
              </a:p>
            </c:rich>
          </c:tx>
          <c:layout>
            <c:manualLayout>
              <c:xMode val="edge"/>
              <c:yMode val="edge"/>
              <c:x val="1.2709262847855337E-2"/>
              <c:y val="0.14498963534367326"/>
            </c:manualLayout>
          </c:layout>
          <c:overlay val="0"/>
        </c:title>
        <c:numFmt formatCode="0.0%" sourceLinked="0"/>
        <c:majorTickMark val="none"/>
        <c:minorTickMark val="none"/>
        <c:tickLblPos val="nextTo"/>
        <c:crossAx val="73400704"/>
        <c:crosses val="autoZero"/>
        <c:crossBetween val="between"/>
        <c:majorUnit val="1.0000000000000002E-3"/>
        <c:minorUnit val="5.0000000000000012E-4"/>
      </c:valAx>
      <c:spPr>
        <a:solidFill>
          <a:schemeClr val="bg1"/>
        </a:solidFill>
        <a:ln>
          <a:solidFill>
            <a:schemeClr val="tx1">
              <a:lumMod val="50000"/>
              <a:lumOff val="50000"/>
            </a:schemeClr>
          </a:solidFill>
        </a:ln>
      </c:spPr>
    </c:plotArea>
    <c:plotVisOnly val="1"/>
    <c:dispBlanksAs val="gap"/>
    <c:showDLblsOverMax val="0"/>
  </c:chart>
  <c:spPr>
    <a:solidFill>
      <a:schemeClr val="bg1"/>
    </a:solidFill>
    <a:ln>
      <a:noFill/>
    </a:ln>
  </c:spPr>
  <c:txPr>
    <a:bodyPr/>
    <a:lstStyle/>
    <a:p>
      <a:pPr>
        <a:defRPr sz="1000"/>
      </a:pPr>
      <a:endParaRPr lang="cs-CZ"/>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991072042609795"/>
          <c:y val="5.2749653726140856E-2"/>
          <c:w val="0.85631860166221607"/>
          <c:h val="0.8443160303708771"/>
        </c:manualLayout>
      </c:layout>
      <c:lineChart>
        <c:grouping val="standard"/>
        <c:varyColors val="0"/>
        <c:ser>
          <c:idx val="0"/>
          <c:order val="0"/>
          <c:tx>
            <c:strRef>
              <c:f>TAB!$B$7</c:f>
              <c:strCache>
                <c:ptCount val="1"/>
                <c:pt idx="0">
                  <c:v>Celkové náklady</c:v>
                </c:pt>
              </c:strCache>
            </c:strRef>
          </c:tx>
          <c:spPr>
            <a:ln>
              <a:solidFill>
                <a:schemeClr val="accent4"/>
              </a:solidFill>
            </a:ln>
          </c:spPr>
          <c:marker>
            <c:symbol val="circle"/>
            <c:size val="7"/>
            <c:spPr>
              <a:solidFill>
                <a:schemeClr val="bg1"/>
              </a:solidFill>
              <a:ln w="28575">
                <a:solidFill>
                  <a:schemeClr val="accent4"/>
                </a:solidFill>
              </a:ln>
            </c:spPr>
          </c:marker>
          <c:cat>
            <c:strRef>
              <c:f>TAB!$O$3:$X$3</c:f>
              <c:strCache>
                <c:ptCount val="10"/>
                <c:pt idx="0">
                  <c:v>2010</c:v>
                </c:pt>
                <c:pt idx="1">
                  <c:v>2011</c:v>
                </c:pt>
                <c:pt idx="2">
                  <c:v>2012</c:v>
                </c:pt>
                <c:pt idx="3">
                  <c:v>2013</c:v>
                </c:pt>
                <c:pt idx="4">
                  <c:v>2014</c:v>
                </c:pt>
                <c:pt idx="5">
                  <c:v>2015</c:v>
                </c:pt>
                <c:pt idx="6">
                  <c:v>2016</c:v>
                </c:pt>
                <c:pt idx="7">
                  <c:v>2017</c:v>
                </c:pt>
                <c:pt idx="8">
                  <c:v>2018</c:v>
                </c:pt>
                <c:pt idx="9">
                  <c:v>2019</c:v>
                </c:pt>
              </c:strCache>
            </c:strRef>
          </c:cat>
          <c:val>
            <c:numRef>
              <c:f>TAB!$O$4:$X$4</c:f>
              <c:numCache>
                <c:formatCode>#,##0</c:formatCode>
                <c:ptCount val="10"/>
                <c:pt idx="0">
                  <c:v>215212.97</c:v>
                </c:pt>
                <c:pt idx="1">
                  <c:v>219164.552</c:v>
                </c:pt>
                <c:pt idx="2">
                  <c:v>223000.424</c:v>
                </c:pt>
                <c:pt idx="3">
                  <c:v>220641.61900000001</c:v>
                </c:pt>
                <c:pt idx="4">
                  <c:v>233959.19200000001</c:v>
                </c:pt>
                <c:pt idx="5">
                  <c:v>241975.46991023401</c:v>
                </c:pt>
                <c:pt idx="6">
                  <c:v>253423.701</c:v>
                </c:pt>
                <c:pt idx="7">
                  <c:v>267250.41100000002</c:v>
                </c:pt>
                <c:pt idx="8">
                  <c:v>285302.43496437999</c:v>
                </c:pt>
                <c:pt idx="9">
                  <c:v>310968.565</c:v>
                </c:pt>
              </c:numCache>
            </c:numRef>
          </c:val>
          <c:smooth val="0"/>
          <c:extLst>
            <c:ext xmlns:c16="http://schemas.microsoft.com/office/drawing/2014/chart" uri="{C3380CC4-5D6E-409C-BE32-E72D297353CC}">
              <c16:uniqueId val="{00000000-72C8-406E-8B89-58A6FB33EDC7}"/>
            </c:ext>
          </c:extLst>
        </c:ser>
        <c:dLbls>
          <c:showLegendKey val="0"/>
          <c:showVal val="0"/>
          <c:showCatName val="0"/>
          <c:showSerName val="0"/>
          <c:showPercent val="0"/>
          <c:showBubbleSize val="0"/>
        </c:dLbls>
        <c:marker val="1"/>
        <c:smooth val="0"/>
        <c:axId val="73422720"/>
        <c:axId val="73437184"/>
      </c:lineChart>
      <c:catAx>
        <c:axId val="73422720"/>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txPr>
          <a:bodyPr/>
          <a:lstStyle/>
          <a:p>
            <a:pPr>
              <a:defRPr sz="1050"/>
            </a:pPr>
            <a:endParaRPr lang="cs-CZ"/>
          </a:p>
        </c:txPr>
        <c:crossAx val="73437184"/>
        <c:crosses val="autoZero"/>
        <c:auto val="1"/>
        <c:lblAlgn val="ctr"/>
        <c:lblOffset val="100"/>
        <c:noMultiLvlLbl val="0"/>
      </c:catAx>
      <c:valAx>
        <c:axId val="73437184"/>
        <c:scaling>
          <c:orientation val="minMax"/>
          <c:min val="200000"/>
        </c:scaling>
        <c:delete val="0"/>
        <c:axPos val="l"/>
        <c:majorGridlines/>
        <c:minorGridlines>
          <c:spPr>
            <a:ln>
              <a:solidFill>
                <a:schemeClr val="bg1">
                  <a:lumMod val="75000"/>
                </a:schemeClr>
              </a:solidFill>
              <a:prstDash val="dash"/>
            </a:ln>
          </c:spPr>
        </c:minorGridlines>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050" b="1" i="0" u="none" strike="noStrike" kern="1200" baseline="0">
                    <a:solidFill>
                      <a:sysClr val="windowText" lastClr="000000"/>
                    </a:solidFill>
                    <a:latin typeface="+mn-lt"/>
                    <a:ea typeface="+mn-ea"/>
                    <a:cs typeface="+mn-cs"/>
                  </a:defRPr>
                </a:pPr>
                <a:r>
                  <a:rPr lang="en-US" sz="1050" b="1" i="0" baseline="0">
                    <a:effectLst/>
                  </a:rPr>
                  <a:t>N</a:t>
                </a:r>
                <a:r>
                  <a:rPr lang="cs-CZ" sz="1050" b="1" i="0" baseline="0">
                    <a:effectLst/>
                  </a:rPr>
                  <a:t>áklady na zdravotní služby </a:t>
                </a:r>
                <a:endParaRPr lang="cs-CZ" sz="1050">
                  <a:effectLst/>
                </a:endParaRPr>
              </a:p>
              <a:p>
                <a:pPr marL="0" marR="0" indent="0" algn="ctr" defTabSz="914400" rtl="0" eaLnBrk="1" fontAlgn="auto" latinLnBrk="0" hangingPunct="1">
                  <a:lnSpc>
                    <a:spcPct val="100000"/>
                  </a:lnSpc>
                  <a:spcBef>
                    <a:spcPts val="0"/>
                  </a:spcBef>
                  <a:spcAft>
                    <a:spcPts val="0"/>
                  </a:spcAft>
                  <a:buClrTx/>
                  <a:buSzTx/>
                  <a:buFontTx/>
                  <a:buNone/>
                  <a:tabLst/>
                  <a:defRPr sz="1050" b="1" i="0" u="none" strike="noStrike" kern="1200" baseline="0">
                    <a:solidFill>
                      <a:sysClr val="windowText" lastClr="000000"/>
                    </a:solidFill>
                    <a:latin typeface="+mn-lt"/>
                    <a:ea typeface="+mn-ea"/>
                    <a:cs typeface="+mn-cs"/>
                  </a:defRPr>
                </a:pPr>
                <a:r>
                  <a:rPr lang="cs-CZ" sz="1050" b="0"/>
                  <a:t>(v mld. Kč)</a:t>
                </a:r>
              </a:p>
            </c:rich>
          </c:tx>
          <c:layout>
            <c:manualLayout>
              <c:xMode val="edge"/>
              <c:yMode val="edge"/>
              <c:x val="2.0938818793689268E-3"/>
              <c:y val="0.1801607562603762"/>
            </c:manualLayout>
          </c:layout>
          <c:overlay val="0"/>
        </c:title>
        <c:numFmt formatCode="#,##0" sourceLinked="0"/>
        <c:majorTickMark val="none"/>
        <c:minorTickMark val="none"/>
        <c:tickLblPos val="nextTo"/>
        <c:txPr>
          <a:bodyPr/>
          <a:lstStyle/>
          <a:p>
            <a:pPr>
              <a:defRPr sz="1050"/>
            </a:pPr>
            <a:endParaRPr lang="cs-CZ"/>
          </a:p>
        </c:txPr>
        <c:crossAx val="73422720"/>
        <c:crosses val="autoZero"/>
        <c:crossBetween val="between"/>
        <c:majorUnit val="20000"/>
        <c:minorUnit val="10000"/>
        <c:dispUnits>
          <c:builtInUnit val="thousands"/>
        </c:dispUnits>
      </c:valAx>
      <c:spPr>
        <a:solidFill>
          <a:schemeClr val="bg1"/>
        </a:solidFill>
        <a:ln>
          <a:solidFill>
            <a:schemeClr val="tx1">
              <a:lumMod val="50000"/>
              <a:lumOff val="50000"/>
            </a:schemeClr>
          </a:solidFill>
        </a:ln>
      </c:spPr>
    </c:plotArea>
    <c:plotVisOnly val="1"/>
    <c:dispBlanksAs val="gap"/>
    <c:showDLblsOverMax val="0"/>
  </c:chart>
  <c:spPr>
    <a:solidFill>
      <a:schemeClr val="bg1"/>
    </a:solidFill>
    <a:ln>
      <a:noFill/>
    </a:ln>
  </c:sp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991072042609795"/>
          <c:y val="0.12271022860099851"/>
          <c:w val="0.85631860166221607"/>
          <c:h val="0.77435545549601947"/>
        </c:manualLayout>
      </c:layout>
      <c:lineChart>
        <c:grouping val="standard"/>
        <c:varyColors val="0"/>
        <c:ser>
          <c:idx val="0"/>
          <c:order val="0"/>
          <c:tx>
            <c:strRef>
              <c:f>OBR!$L$2</c:f>
              <c:strCache>
                <c:ptCount val="1"/>
                <c:pt idx="0">
                  <c:v>Náklady na ambulantní péči</c:v>
                </c:pt>
              </c:strCache>
            </c:strRef>
          </c:tx>
          <c:spPr>
            <a:ln>
              <a:solidFill>
                <a:schemeClr val="accent2"/>
              </a:solidFill>
            </a:ln>
          </c:spPr>
          <c:marker>
            <c:symbol val="circle"/>
            <c:size val="7"/>
            <c:spPr>
              <a:solidFill>
                <a:schemeClr val="bg1"/>
              </a:solidFill>
              <a:ln w="28575">
                <a:solidFill>
                  <a:schemeClr val="accent2"/>
                </a:solidFill>
              </a:ln>
            </c:spPr>
          </c:marker>
          <c:cat>
            <c:strRef>
              <c:f>TAB!$O$3:$X$3</c:f>
              <c:strCache>
                <c:ptCount val="10"/>
                <c:pt idx="0">
                  <c:v>2010</c:v>
                </c:pt>
                <c:pt idx="1">
                  <c:v>2011</c:v>
                </c:pt>
                <c:pt idx="2">
                  <c:v>2012</c:v>
                </c:pt>
                <c:pt idx="3">
                  <c:v>2013</c:v>
                </c:pt>
                <c:pt idx="4">
                  <c:v>2014</c:v>
                </c:pt>
                <c:pt idx="5">
                  <c:v>2015</c:v>
                </c:pt>
                <c:pt idx="6">
                  <c:v>2016</c:v>
                </c:pt>
                <c:pt idx="7">
                  <c:v>2017</c:v>
                </c:pt>
                <c:pt idx="8">
                  <c:v>2018</c:v>
                </c:pt>
                <c:pt idx="9">
                  <c:v>2019</c:v>
                </c:pt>
              </c:strCache>
            </c:strRef>
          </c:cat>
          <c:val>
            <c:numRef>
              <c:f>TAB!$O$5:$X$5</c:f>
              <c:numCache>
                <c:formatCode>#,##0</c:formatCode>
                <c:ptCount val="10"/>
                <c:pt idx="0">
                  <c:v>55511.396999999997</c:v>
                </c:pt>
                <c:pt idx="1">
                  <c:v>58000.105000000003</c:v>
                </c:pt>
                <c:pt idx="2">
                  <c:v>58760.733999999997</c:v>
                </c:pt>
                <c:pt idx="3">
                  <c:v>60058.968999999997</c:v>
                </c:pt>
                <c:pt idx="4">
                  <c:v>62669.360999999997</c:v>
                </c:pt>
                <c:pt idx="5">
                  <c:v>64829.493999999999</c:v>
                </c:pt>
                <c:pt idx="6">
                  <c:v>69248.273000000001</c:v>
                </c:pt>
                <c:pt idx="7">
                  <c:v>72171.732999999993</c:v>
                </c:pt>
                <c:pt idx="8">
                  <c:v>75093.955964380002</c:v>
                </c:pt>
                <c:pt idx="9">
                  <c:v>83027.94</c:v>
                </c:pt>
              </c:numCache>
            </c:numRef>
          </c:val>
          <c:smooth val="0"/>
          <c:extLst>
            <c:ext xmlns:c16="http://schemas.microsoft.com/office/drawing/2014/chart" uri="{C3380CC4-5D6E-409C-BE32-E72D297353CC}">
              <c16:uniqueId val="{00000000-34B3-4617-ABCF-2ED3EE6D8FC6}"/>
            </c:ext>
          </c:extLst>
        </c:ser>
        <c:ser>
          <c:idx val="1"/>
          <c:order val="1"/>
          <c:tx>
            <c:strRef>
              <c:f>OBR!$L$3</c:f>
              <c:strCache>
                <c:ptCount val="1"/>
                <c:pt idx="0">
                  <c:v>Náklady na lůžkovou péči</c:v>
                </c:pt>
              </c:strCache>
            </c:strRef>
          </c:tx>
          <c:spPr>
            <a:ln>
              <a:solidFill>
                <a:schemeClr val="accent1"/>
              </a:solidFill>
            </a:ln>
          </c:spPr>
          <c:marker>
            <c:symbol val="circle"/>
            <c:size val="7"/>
            <c:spPr>
              <a:solidFill>
                <a:schemeClr val="bg1"/>
              </a:solidFill>
              <a:ln w="28575">
                <a:solidFill>
                  <a:schemeClr val="accent1"/>
                </a:solidFill>
              </a:ln>
            </c:spPr>
          </c:marker>
          <c:cat>
            <c:strRef>
              <c:f>TAB!$O$3:$X$3</c:f>
              <c:strCache>
                <c:ptCount val="10"/>
                <c:pt idx="0">
                  <c:v>2010</c:v>
                </c:pt>
                <c:pt idx="1">
                  <c:v>2011</c:v>
                </c:pt>
                <c:pt idx="2">
                  <c:v>2012</c:v>
                </c:pt>
                <c:pt idx="3">
                  <c:v>2013</c:v>
                </c:pt>
                <c:pt idx="4">
                  <c:v>2014</c:v>
                </c:pt>
                <c:pt idx="5">
                  <c:v>2015</c:v>
                </c:pt>
                <c:pt idx="6">
                  <c:v>2016</c:v>
                </c:pt>
                <c:pt idx="7">
                  <c:v>2017</c:v>
                </c:pt>
                <c:pt idx="8">
                  <c:v>2018</c:v>
                </c:pt>
                <c:pt idx="9">
                  <c:v>2019</c:v>
                </c:pt>
              </c:strCache>
            </c:strRef>
          </c:cat>
          <c:val>
            <c:numRef>
              <c:f>TAB!$O$6:$X$6</c:f>
              <c:numCache>
                <c:formatCode>#,##0</c:formatCode>
                <c:ptCount val="10"/>
                <c:pt idx="0">
                  <c:v>111815.57</c:v>
                </c:pt>
                <c:pt idx="1">
                  <c:v>113050.713</c:v>
                </c:pt>
                <c:pt idx="2">
                  <c:v>113765.701</c:v>
                </c:pt>
                <c:pt idx="3">
                  <c:v>112741.958</c:v>
                </c:pt>
                <c:pt idx="4">
                  <c:v>122547.485</c:v>
                </c:pt>
                <c:pt idx="5">
                  <c:v>127454.319910234</c:v>
                </c:pt>
                <c:pt idx="6">
                  <c:v>132958.23199999999</c:v>
                </c:pt>
                <c:pt idx="7">
                  <c:v>142609.72700000001</c:v>
                </c:pt>
                <c:pt idx="8">
                  <c:v>155361.11300000001</c:v>
                </c:pt>
                <c:pt idx="9">
                  <c:v>170225.94699999999</c:v>
                </c:pt>
              </c:numCache>
            </c:numRef>
          </c:val>
          <c:smooth val="0"/>
          <c:extLst>
            <c:ext xmlns:c16="http://schemas.microsoft.com/office/drawing/2014/chart" uri="{C3380CC4-5D6E-409C-BE32-E72D297353CC}">
              <c16:uniqueId val="{00000001-34B3-4617-ABCF-2ED3EE6D8FC6}"/>
            </c:ext>
          </c:extLst>
        </c:ser>
        <c:ser>
          <c:idx val="2"/>
          <c:order val="2"/>
          <c:tx>
            <c:strRef>
              <c:f>TAB!$B$6</c:f>
              <c:strCache>
                <c:ptCount val="1"/>
                <c:pt idx="0">
                  <c:v>Ostatní náklady</c:v>
                </c:pt>
              </c:strCache>
            </c:strRef>
          </c:tx>
          <c:spPr>
            <a:ln>
              <a:solidFill>
                <a:srgbClr val="FFC000"/>
              </a:solidFill>
            </a:ln>
          </c:spPr>
          <c:marker>
            <c:symbol val="circle"/>
            <c:size val="7"/>
            <c:spPr>
              <a:solidFill>
                <a:schemeClr val="bg1"/>
              </a:solidFill>
              <a:ln w="28575">
                <a:solidFill>
                  <a:srgbClr val="FFC000"/>
                </a:solidFill>
              </a:ln>
            </c:spPr>
          </c:marker>
          <c:cat>
            <c:strRef>
              <c:f>TAB!$O$3:$X$3</c:f>
              <c:strCache>
                <c:ptCount val="10"/>
                <c:pt idx="0">
                  <c:v>2010</c:v>
                </c:pt>
                <c:pt idx="1">
                  <c:v>2011</c:v>
                </c:pt>
                <c:pt idx="2">
                  <c:v>2012</c:v>
                </c:pt>
                <c:pt idx="3">
                  <c:v>2013</c:v>
                </c:pt>
                <c:pt idx="4">
                  <c:v>2014</c:v>
                </c:pt>
                <c:pt idx="5">
                  <c:v>2015</c:v>
                </c:pt>
                <c:pt idx="6">
                  <c:v>2016</c:v>
                </c:pt>
                <c:pt idx="7">
                  <c:v>2017</c:v>
                </c:pt>
                <c:pt idx="8">
                  <c:v>2018</c:v>
                </c:pt>
                <c:pt idx="9">
                  <c:v>2019</c:v>
                </c:pt>
              </c:strCache>
            </c:strRef>
          </c:cat>
          <c:val>
            <c:numRef>
              <c:f>TAB!$O$7:$X$7</c:f>
              <c:numCache>
                <c:formatCode>#,##0</c:formatCode>
                <c:ptCount val="10"/>
                <c:pt idx="0">
                  <c:v>47886.002999999997</c:v>
                </c:pt>
                <c:pt idx="1">
                  <c:v>48113.733999999997</c:v>
                </c:pt>
                <c:pt idx="2">
                  <c:v>50473.989000000001</c:v>
                </c:pt>
                <c:pt idx="3">
                  <c:v>47840.69200000001</c:v>
                </c:pt>
                <c:pt idx="4">
                  <c:v>48742.34600000002</c:v>
                </c:pt>
                <c:pt idx="5">
                  <c:v>49691.656000000017</c:v>
                </c:pt>
                <c:pt idx="6">
                  <c:v>51217.195999999996</c:v>
                </c:pt>
                <c:pt idx="7">
                  <c:v>52468.951000000001</c:v>
                </c:pt>
                <c:pt idx="8">
                  <c:v>54847.36599999998</c:v>
                </c:pt>
                <c:pt idx="9">
                  <c:v>57714.678000000014</c:v>
                </c:pt>
              </c:numCache>
            </c:numRef>
          </c:val>
          <c:smooth val="0"/>
          <c:extLst>
            <c:ext xmlns:c16="http://schemas.microsoft.com/office/drawing/2014/chart" uri="{C3380CC4-5D6E-409C-BE32-E72D297353CC}">
              <c16:uniqueId val="{00000002-34B3-4617-ABCF-2ED3EE6D8FC6}"/>
            </c:ext>
          </c:extLst>
        </c:ser>
        <c:dLbls>
          <c:showLegendKey val="0"/>
          <c:showVal val="0"/>
          <c:showCatName val="0"/>
          <c:showSerName val="0"/>
          <c:showPercent val="0"/>
          <c:showBubbleSize val="0"/>
        </c:dLbls>
        <c:marker val="1"/>
        <c:smooth val="0"/>
        <c:axId val="73476352"/>
        <c:axId val="73490816"/>
      </c:lineChart>
      <c:catAx>
        <c:axId val="73476352"/>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txPr>
          <a:bodyPr/>
          <a:lstStyle/>
          <a:p>
            <a:pPr>
              <a:defRPr sz="1050"/>
            </a:pPr>
            <a:endParaRPr lang="cs-CZ"/>
          </a:p>
        </c:txPr>
        <c:crossAx val="73490816"/>
        <c:crosses val="autoZero"/>
        <c:auto val="1"/>
        <c:lblAlgn val="ctr"/>
        <c:lblOffset val="100"/>
        <c:noMultiLvlLbl val="0"/>
      </c:catAx>
      <c:valAx>
        <c:axId val="73490816"/>
        <c:scaling>
          <c:orientation val="minMax"/>
          <c:min val="40000"/>
        </c:scaling>
        <c:delete val="0"/>
        <c:axPos val="l"/>
        <c:majorGridlines/>
        <c:minorGridlines>
          <c:spPr>
            <a:ln>
              <a:solidFill>
                <a:schemeClr val="bg1">
                  <a:lumMod val="75000"/>
                </a:schemeClr>
              </a:solidFill>
              <a:prstDash val="dash"/>
            </a:ln>
          </c:spPr>
        </c:minorGridlines>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050" b="1" i="0" u="none" strike="noStrike" kern="1200" baseline="0">
                    <a:solidFill>
                      <a:sysClr val="windowText" lastClr="000000"/>
                    </a:solidFill>
                    <a:latin typeface="+mn-lt"/>
                    <a:ea typeface="+mn-ea"/>
                    <a:cs typeface="+mn-cs"/>
                  </a:defRPr>
                </a:pPr>
                <a:r>
                  <a:rPr lang="en-US" sz="1050" b="1" i="0" baseline="0">
                    <a:effectLst/>
                  </a:rPr>
                  <a:t>N</a:t>
                </a:r>
                <a:r>
                  <a:rPr lang="cs-CZ" sz="1050" b="1" i="0" baseline="0">
                    <a:effectLst/>
                  </a:rPr>
                  <a:t>áklady na zdravotní služby </a:t>
                </a:r>
                <a:endParaRPr lang="cs-CZ" sz="1050">
                  <a:effectLst/>
                </a:endParaRPr>
              </a:p>
              <a:p>
                <a:pPr marL="0" marR="0" indent="0" algn="ctr" defTabSz="914400" rtl="0" eaLnBrk="1" fontAlgn="auto" latinLnBrk="0" hangingPunct="1">
                  <a:lnSpc>
                    <a:spcPct val="100000"/>
                  </a:lnSpc>
                  <a:spcBef>
                    <a:spcPts val="0"/>
                  </a:spcBef>
                  <a:spcAft>
                    <a:spcPts val="0"/>
                  </a:spcAft>
                  <a:buClrTx/>
                  <a:buSzTx/>
                  <a:buFontTx/>
                  <a:buNone/>
                  <a:tabLst/>
                  <a:defRPr sz="1050" b="1" i="0" u="none" strike="noStrike" kern="1200" baseline="0">
                    <a:solidFill>
                      <a:sysClr val="windowText" lastClr="000000"/>
                    </a:solidFill>
                    <a:latin typeface="+mn-lt"/>
                    <a:ea typeface="+mn-ea"/>
                    <a:cs typeface="+mn-cs"/>
                  </a:defRPr>
                </a:pPr>
                <a:r>
                  <a:rPr lang="cs-CZ" sz="1050" b="0"/>
                  <a:t>(v mld. Kč)</a:t>
                </a:r>
              </a:p>
            </c:rich>
          </c:tx>
          <c:layout>
            <c:manualLayout>
              <c:xMode val="edge"/>
              <c:yMode val="edge"/>
              <c:x val="2.0939263694067646E-3"/>
              <c:y val="0.22507852489229618"/>
            </c:manualLayout>
          </c:layout>
          <c:overlay val="0"/>
        </c:title>
        <c:numFmt formatCode="#,##0" sourceLinked="0"/>
        <c:majorTickMark val="none"/>
        <c:minorTickMark val="none"/>
        <c:tickLblPos val="nextTo"/>
        <c:txPr>
          <a:bodyPr/>
          <a:lstStyle/>
          <a:p>
            <a:pPr>
              <a:defRPr sz="1050"/>
            </a:pPr>
            <a:endParaRPr lang="cs-CZ"/>
          </a:p>
        </c:txPr>
        <c:crossAx val="73476352"/>
        <c:crosses val="autoZero"/>
        <c:crossBetween val="between"/>
        <c:majorUnit val="20000"/>
        <c:minorUnit val="10000"/>
        <c:dispUnits>
          <c:builtInUnit val="thousands"/>
        </c:dispUnits>
      </c:valAx>
      <c:spPr>
        <a:solidFill>
          <a:schemeClr val="bg1"/>
        </a:solidFill>
        <a:ln>
          <a:solidFill>
            <a:schemeClr val="tx1">
              <a:lumMod val="50000"/>
              <a:lumOff val="50000"/>
            </a:schemeClr>
          </a:solidFill>
        </a:ln>
      </c:spPr>
    </c:plotArea>
    <c:legend>
      <c:legendPos val="t"/>
      <c:layout>
        <c:manualLayout>
          <c:xMode val="edge"/>
          <c:yMode val="edge"/>
          <c:x val="0.11802933155746444"/>
          <c:y val="2.6235215578071628E-2"/>
          <c:w val="0.85391554554574967"/>
          <c:h val="7.9068188492793748E-2"/>
        </c:manualLayout>
      </c:layout>
      <c:overlay val="0"/>
      <c:txPr>
        <a:bodyPr/>
        <a:lstStyle/>
        <a:p>
          <a:pPr>
            <a:defRPr sz="1000"/>
          </a:pPr>
          <a:endParaRPr lang="cs-CZ"/>
        </a:p>
      </c:txPr>
    </c:legend>
    <c:plotVisOnly val="1"/>
    <c:dispBlanksAs val="gap"/>
    <c:showDLblsOverMax val="0"/>
  </c:chart>
  <c:spPr>
    <a:solidFill>
      <a:schemeClr val="bg1"/>
    </a:solidFill>
    <a:ln>
      <a:noFill/>
    </a:ln>
  </c:sp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991072042609795"/>
          <c:y val="5.2749653726140856E-2"/>
          <c:w val="0.85631860166221607"/>
          <c:h val="0.8443160303708771"/>
        </c:manualLayout>
      </c:layout>
      <c:lineChart>
        <c:grouping val="standard"/>
        <c:varyColors val="0"/>
        <c:ser>
          <c:idx val="0"/>
          <c:order val="0"/>
          <c:tx>
            <c:strRef>
              <c:f>TAB!$B$7</c:f>
              <c:strCache>
                <c:ptCount val="1"/>
                <c:pt idx="0">
                  <c:v>Celkové náklady</c:v>
                </c:pt>
              </c:strCache>
            </c:strRef>
          </c:tx>
          <c:spPr>
            <a:ln>
              <a:solidFill>
                <a:schemeClr val="accent4"/>
              </a:solidFill>
            </a:ln>
          </c:spPr>
          <c:marker>
            <c:symbol val="circle"/>
            <c:size val="7"/>
            <c:spPr>
              <a:solidFill>
                <a:schemeClr val="bg1"/>
              </a:solidFill>
              <a:ln w="28575">
                <a:solidFill>
                  <a:schemeClr val="accent4"/>
                </a:solidFill>
              </a:ln>
            </c:spPr>
          </c:marker>
          <c:cat>
            <c:strRef>
              <c:f>TAB!$N$24:$W$24</c:f>
              <c:strCache>
                <c:ptCount val="10"/>
                <c:pt idx="0">
                  <c:v>2010</c:v>
                </c:pt>
                <c:pt idx="1">
                  <c:v>2011</c:v>
                </c:pt>
                <c:pt idx="2">
                  <c:v>2012</c:v>
                </c:pt>
                <c:pt idx="3">
                  <c:v>2013</c:v>
                </c:pt>
                <c:pt idx="4">
                  <c:v>2014</c:v>
                </c:pt>
                <c:pt idx="5">
                  <c:v>2015</c:v>
                </c:pt>
                <c:pt idx="6">
                  <c:v>2016</c:v>
                </c:pt>
                <c:pt idx="7">
                  <c:v>2017</c:v>
                </c:pt>
                <c:pt idx="8">
                  <c:v>2018</c:v>
                </c:pt>
                <c:pt idx="9">
                  <c:v>2019</c:v>
                </c:pt>
              </c:strCache>
            </c:strRef>
          </c:cat>
          <c:val>
            <c:numRef>
              <c:f>TAB!$N$28:$W$28</c:f>
              <c:numCache>
                <c:formatCode>#,##0</c:formatCode>
                <c:ptCount val="10"/>
                <c:pt idx="0">
                  <c:v>20719.121007681882</c:v>
                </c:pt>
                <c:pt idx="1">
                  <c:v>21085.413682009588</c:v>
                </c:pt>
                <c:pt idx="2">
                  <c:v>21431.622346700522</c:v>
                </c:pt>
                <c:pt idx="3">
                  <c:v>21204.272290592635</c:v>
                </c:pt>
                <c:pt idx="4">
                  <c:v>22467.576896690276</c:v>
                </c:pt>
                <c:pt idx="5">
                  <c:v>23216.897734380018</c:v>
                </c:pt>
                <c:pt idx="6">
                  <c:v>24266.003004719649</c:v>
                </c:pt>
                <c:pt idx="7">
                  <c:v>25526.349264870929</c:v>
                </c:pt>
                <c:pt idx="8">
                  <c:v>27147.134975428864</c:v>
                </c:pt>
                <c:pt idx="9">
                  <c:v>29499.309589459011</c:v>
                </c:pt>
              </c:numCache>
            </c:numRef>
          </c:val>
          <c:smooth val="0"/>
          <c:extLst>
            <c:ext xmlns:c16="http://schemas.microsoft.com/office/drawing/2014/chart" uri="{C3380CC4-5D6E-409C-BE32-E72D297353CC}">
              <c16:uniqueId val="{00000000-226E-41BA-BF6D-863681853FAE}"/>
            </c:ext>
          </c:extLst>
        </c:ser>
        <c:dLbls>
          <c:showLegendKey val="0"/>
          <c:showVal val="0"/>
          <c:showCatName val="0"/>
          <c:showSerName val="0"/>
          <c:showPercent val="0"/>
          <c:showBubbleSize val="0"/>
        </c:dLbls>
        <c:marker val="1"/>
        <c:smooth val="0"/>
        <c:axId val="73528064"/>
        <c:axId val="73529984"/>
      </c:lineChart>
      <c:catAx>
        <c:axId val="73528064"/>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txPr>
          <a:bodyPr/>
          <a:lstStyle/>
          <a:p>
            <a:pPr>
              <a:defRPr sz="1050"/>
            </a:pPr>
            <a:endParaRPr lang="cs-CZ"/>
          </a:p>
        </c:txPr>
        <c:crossAx val="73529984"/>
        <c:crosses val="autoZero"/>
        <c:auto val="1"/>
        <c:lblAlgn val="ctr"/>
        <c:lblOffset val="100"/>
        <c:noMultiLvlLbl val="0"/>
      </c:catAx>
      <c:valAx>
        <c:axId val="73529984"/>
        <c:scaling>
          <c:orientation val="minMax"/>
          <c:min val="20000"/>
        </c:scaling>
        <c:delete val="0"/>
        <c:axPos val="l"/>
        <c:majorGridlines/>
        <c:minorGridlines>
          <c:spPr>
            <a:ln>
              <a:solidFill>
                <a:schemeClr val="bg1">
                  <a:lumMod val="75000"/>
                </a:schemeClr>
              </a:solidFill>
              <a:prstDash val="dash"/>
            </a:ln>
          </c:spPr>
        </c:minorGridlines>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050" b="1" i="0" u="none" strike="noStrike" kern="1200" baseline="0">
                    <a:solidFill>
                      <a:sysClr val="windowText" lastClr="000000"/>
                    </a:solidFill>
                    <a:latin typeface="+mn-lt"/>
                    <a:ea typeface="+mn-ea"/>
                    <a:cs typeface="+mn-cs"/>
                  </a:defRPr>
                </a:pPr>
                <a:r>
                  <a:rPr lang="en-US" sz="1050" b="1" i="0" baseline="0">
                    <a:effectLst/>
                  </a:rPr>
                  <a:t>N</a:t>
                </a:r>
                <a:r>
                  <a:rPr lang="cs-CZ" sz="1050" b="1" i="0" baseline="0">
                    <a:effectLst/>
                  </a:rPr>
                  <a:t>áklady na zdravotní služby </a:t>
                </a:r>
                <a:endParaRPr lang="cs-CZ" sz="1050">
                  <a:effectLst/>
                </a:endParaRPr>
              </a:p>
              <a:p>
                <a:pPr marL="0" marR="0" indent="0" algn="ctr" defTabSz="914400" rtl="0" eaLnBrk="1" fontAlgn="auto" latinLnBrk="0" hangingPunct="1">
                  <a:lnSpc>
                    <a:spcPct val="100000"/>
                  </a:lnSpc>
                  <a:spcBef>
                    <a:spcPts val="0"/>
                  </a:spcBef>
                  <a:spcAft>
                    <a:spcPts val="0"/>
                  </a:spcAft>
                  <a:buClrTx/>
                  <a:buSzTx/>
                  <a:buFontTx/>
                  <a:buNone/>
                  <a:tabLst/>
                  <a:defRPr sz="1050" b="1" i="0" u="none" strike="noStrike" kern="1200" baseline="0">
                    <a:solidFill>
                      <a:sysClr val="windowText" lastClr="000000"/>
                    </a:solidFill>
                    <a:latin typeface="+mn-lt"/>
                    <a:ea typeface="+mn-ea"/>
                    <a:cs typeface="+mn-cs"/>
                  </a:defRPr>
                </a:pPr>
                <a:r>
                  <a:rPr lang="cs-CZ" sz="1050" b="0"/>
                  <a:t>(v tis. Kč na pojištěnce)</a:t>
                </a:r>
              </a:p>
            </c:rich>
          </c:tx>
          <c:layout>
            <c:manualLayout>
              <c:xMode val="edge"/>
              <c:yMode val="edge"/>
              <c:x val="2.0938818793689268E-3"/>
              <c:y val="0.18465253771504847"/>
            </c:manualLayout>
          </c:layout>
          <c:overlay val="0"/>
        </c:title>
        <c:numFmt formatCode="#,##0" sourceLinked="0"/>
        <c:majorTickMark val="none"/>
        <c:minorTickMark val="none"/>
        <c:tickLblPos val="nextTo"/>
        <c:txPr>
          <a:bodyPr/>
          <a:lstStyle/>
          <a:p>
            <a:pPr>
              <a:defRPr sz="1050"/>
            </a:pPr>
            <a:endParaRPr lang="cs-CZ"/>
          </a:p>
        </c:txPr>
        <c:crossAx val="73528064"/>
        <c:crosses val="autoZero"/>
        <c:crossBetween val="between"/>
        <c:majorUnit val="2000"/>
        <c:minorUnit val="1000"/>
        <c:dispUnits>
          <c:builtInUnit val="thousands"/>
        </c:dispUnits>
      </c:valAx>
      <c:spPr>
        <a:solidFill>
          <a:schemeClr val="bg1"/>
        </a:solidFill>
        <a:ln>
          <a:solidFill>
            <a:schemeClr val="tx1">
              <a:lumMod val="50000"/>
              <a:lumOff val="50000"/>
            </a:schemeClr>
          </a:solidFill>
        </a:ln>
      </c:spPr>
    </c:plotArea>
    <c:plotVisOnly val="1"/>
    <c:dispBlanksAs val="gap"/>
    <c:showDLblsOverMax val="0"/>
  </c:chart>
  <c:spPr>
    <a:solidFill>
      <a:schemeClr val="bg1"/>
    </a:solidFill>
    <a:ln>
      <a:noFill/>
    </a:ln>
  </c:sp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991072042609795"/>
          <c:y val="0.12271022860099851"/>
          <c:w val="0.85631860166221607"/>
          <c:h val="0.77435545549601947"/>
        </c:manualLayout>
      </c:layout>
      <c:lineChart>
        <c:grouping val="standard"/>
        <c:varyColors val="0"/>
        <c:ser>
          <c:idx val="0"/>
          <c:order val="0"/>
          <c:tx>
            <c:strRef>
              <c:f>OBR!$L$2</c:f>
              <c:strCache>
                <c:ptCount val="1"/>
                <c:pt idx="0">
                  <c:v>Náklady na ambulantní péči</c:v>
                </c:pt>
              </c:strCache>
            </c:strRef>
          </c:tx>
          <c:spPr>
            <a:ln>
              <a:solidFill>
                <a:schemeClr val="accent2"/>
              </a:solidFill>
            </a:ln>
          </c:spPr>
          <c:marker>
            <c:symbol val="circle"/>
            <c:size val="7"/>
            <c:spPr>
              <a:solidFill>
                <a:schemeClr val="bg1"/>
              </a:solidFill>
              <a:ln w="28575">
                <a:solidFill>
                  <a:schemeClr val="accent2"/>
                </a:solidFill>
              </a:ln>
            </c:spPr>
          </c:marker>
          <c:cat>
            <c:strRef>
              <c:f>TAB!$N$24:$W$24</c:f>
              <c:strCache>
                <c:ptCount val="10"/>
                <c:pt idx="0">
                  <c:v>2010</c:v>
                </c:pt>
                <c:pt idx="1">
                  <c:v>2011</c:v>
                </c:pt>
                <c:pt idx="2">
                  <c:v>2012</c:v>
                </c:pt>
                <c:pt idx="3">
                  <c:v>2013</c:v>
                </c:pt>
                <c:pt idx="4">
                  <c:v>2014</c:v>
                </c:pt>
                <c:pt idx="5">
                  <c:v>2015</c:v>
                </c:pt>
                <c:pt idx="6">
                  <c:v>2016</c:v>
                </c:pt>
                <c:pt idx="7">
                  <c:v>2017</c:v>
                </c:pt>
                <c:pt idx="8">
                  <c:v>2018</c:v>
                </c:pt>
                <c:pt idx="9">
                  <c:v>2019</c:v>
                </c:pt>
              </c:strCache>
            </c:strRef>
          </c:cat>
          <c:val>
            <c:numRef>
              <c:f>TAB!$N$25:$W$25</c:f>
              <c:numCache>
                <c:formatCode>#,##0</c:formatCode>
                <c:ptCount val="10"/>
                <c:pt idx="0">
                  <c:v>5344.2287969376057</c:v>
                </c:pt>
                <c:pt idx="1">
                  <c:v>5580.082163674866</c:v>
                </c:pt>
                <c:pt idx="2">
                  <c:v>5647.2442397819168</c:v>
                </c:pt>
                <c:pt idx="3">
                  <c:v>5771.8337000068068</c:v>
                </c:pt>
                <c:pt idx="4">
                  <c:v>6018.2661570054597</c:v>
                </c:pt>
                <c:pt idx="5">
                  <c:v>6220.216176986728</c:v>
                </c:pt>
                <c:pt idx="6">
                  <c:v>6630.708943397708</c:v>
                </c:pt>
                <c:pt idx="7">
                  <c:v>6893.4631633139406</c:v>
                </c:pt>
                <c:pt idx="8">
                  <c:v>7145.3500165831138</c:v>
                </c:pt>
                <c:pt idx="9">
                  <c:v>7876.2524007371212</c:v>
                </c:pt>
              </c:numCache>
            </c:numRef>
          </c:val>
          <c:smooth val="0"/>
          <c:extLst>
            <c:ext xmlns:c16="http://schemas.microsoft.com/office/drawing/2014/chart" uri="{C3380CC4-5D6E-409C-BE32-E72D297353CC}">
              <c16:uniqueId val="{00000000-0247-42B7-8349-D8CFDDE5BC54}"/>
            </c:ext>
          </c:extLst>
        </c:ser>
        <c:ser>
          <c:idx val="1"/>
          <c:order val="1"/>
          <c:tx>
            <c:strRef>
              <c:f>OBR!$L$3</c:f>
              <c:strCache>
                <c:ptCount val="1"/>
                <c:pt idx="0">
                  <c:v>Náklady na lůžkovou péči</c:v>
                </c:pt>
              </c:strCache>
            </c:strRef>
          </c:tx>
          <c:spPr>
            <a:ln>
              <a:solidFill>
                <a:schemeClr val="accent1"/>
              </a:solidFill>
            </a:ln>
          </c:spPr>
          <c:marker>
            <c:symbol val="circle"/>
            <c:size val="7"/>
            <c:spPr>
              <a:solidFill>
                <a:schemeClr val="bg1"/>
              </a:solidFill>
              <a:ln w="28575">
                <a:solidFill>
                  <a:schemeClr val="accent1"/>
                </a:solidFill>
              </a:ln>
            </c:spPr>
          </c:marker>
          <c:cat>
            <c:strRef>
              <c:f>TAB!$N$24:$W$24</c:f>
              <c:strCache>
                <c:ptCount val="10"/>
                <c:pt idx="0">
                  <c:v>2010</c:v>
                </c:pt>
                <c:pt idx="1">
                  <c:v>2011</c:v>
                </c:pt>
                <c:pt idx="2">
                  <c:v>2012</c:v>
                </c:pt>
                <c:pt idx="3">
                  <c:v>2013</c:v>
                </c:pt>
                <c:pt idx="4">
                  <c:v>2014</c:v>
                </c:pt>
                <c:pt idx="5">
                  <c:v>2015</c:v>
                </c:pt>
                <c:pt idx="6">
                  <c:v>2016</c:v>
                </c:pt>
                <c:pt idx="7">
                  <c:v>2017</c:v>
                </c:pt>
                <c:pt idx="8">
                  <c:v>2018</c:v>
                </c:pt>
                <c:pt idx="9">
                  <c:v>2019</c:v>
                </c:pt>
              </c:strCache>
            </c:strRef>
          </c:cat>
          <c:val>
            <c:numRef>
              <c:f>TAB!$N$26:$W$26</c:f>
              <c:numCache>
                <c:formatCode>#,##0</c:formatCode>
                <c:ptCount val="10"/>
                <c:pt idx="0">
                  <c:v>10764.780233147305</c:v>
                </c:pt>
                <c:pt idx="1">
                  <c:v>10876.39871000279</c:v>
                </c:pt>
                <c:pt idx="2">
                  <c:v>10933.537686186864</c:v>
                </c:pt>
                <c:pt idx="3">
                  <c:v>10834.815239488244</c:v>
                </c:pt>
                <c:pt idx="4">
                  <c:v>11768.484149720854</c:v>
                </c:pt>
                <c:pt idx="5">
                  <c:v>12228.900360266258</c:v>
                </c:pt>
                <c:pt idx="6">
                  <c:v>12731.10938117904</c:v>
                </c:pt>
                <c:pt idx="7">
                  <c:v>13621.328724429515</c:v>
                </c:pt>
                <c:pt idx="8">
                  <c:v>14782.941144790526</c:v>
                </c:pt>
                <c:pt idx="9">
                  <c:v>16148.088507633694</c:v>
                </c:pt>
              </c:numCache>
            </c:numRef>
          </c:val>
          <c:smooth val="0"/>
          <c:extLst>
            <c:ext xmlns:c16="http://schemas.microsoft.com/office/drawing/2014/chart" uri="{C3380CC4-5D6E-409C-BE32-E72D297353CC}">
              <c16:uniqueId val="{00000001-0247-42B7-8349-D8CFDDE5BC54}"/>
            </c:ext>
          </c:extLst>
        </c:ser>
        <c:ser>
          <c:idx val="2"/>
          <c:order val="2"/>
          <c:tx>
            <c:strRef>
              <c:f>TAB!$B$6</c:f>
              <c:strCache>
                <c:ptCount val="1"/>
                <c:pt idx="0">
                  <c:v>Ostatní náklady</c:v>
                </c:pt>
              </c:strCache>
            </c:strRef>
          </c:tx>
          <c:spPr>
            <a:ln>
              <a:solidFill>
                <a:srgbClr val="FFC000"/>
              </a:solidFill>
            </a:ln>
          </c:spPr>
          <c:marker>
            <c:symbol val="circle"/>
            <c:size val="7"/>
            <c:spPr>
              <a:solidFill>
                <a:schemeClr val="bg1"/>
              </a:solidFill>
              <a:ln w="28575">
                <a:solidFill>
                  <a:srgbClr val="FFC000"/>
                </a:solidFill>
              </a:ln>
            </c:spPr>
          </c:marker>
          <c:cat>
            <c:strRef>
              <c:f>TAB!$N$24:$W$24</c:f>
              <c:strCache>
                <c:ptCount val="10"/>
                <c:pt idx="0">
                  <c:v>2010</c:v>
                </c:pt>
                <c:pt idx="1">
                  <c:v>2011</c:v>
                </c:pt>
                <c:pt idx="2">
                  <c:v>2012</c:v>
                </c:pt>
                <c:pt idx="3">
                  <c:v>2013</c:v>
                </c:pt>
                <c:pt idx="4">
                  <c:v>2014</c:v>
                </c:pt>
                <c:pt idx="5">
                  <c:v>2015</c:v>
                </c:pt>
                <c:pt idx="6">
                  <c:v>2016</c:v>
                </c:pt>
                <c:pt idx="7">
                  <c:v>2017</c:v>
                </c:pt>
                <c:pt idx="8">
                  <c:v>2018</c:v>
                </c:pt>
                <c:pt idx="9">
                  <c:v>2019</c:v>
                </c:pt>
              </c:strCache>
            </c:strRef>
          </c:cat>
          <c:val>
            <c:numRef>
              <c:f>TAB!$N$27:$W$27</c:f>
              <c:numCache>
                <c:formatCode>#,##0</c:formatCode>
                <c:ptCount val="10"/>
                <c:pt idx="0">
                  <c:v>4610.111977596971</c:v>
                </c:pt>
                <c:pt idx="1">
                  <c:v>4628.9328083319324</c:v>
                </c:pt>
                <c:pt idx="2">
                  <c:v>4850.8404207317399</c:v>
                </c:pt>
                <c:pt idx="3">
                  <c:v>4597.6233510975871</c:v>
                </c:pt>
                <c:pt idx="4">
                  <c:v>4680.8265899639637</c:v>
                </c:pt>
                <c:pt idx="5">
                  <c:v>4767.7811971270321</c:v>
                </c:pt>
                <c:pt idx="6">
                  <c:v>4904.184680142901</c:v>
                </c:pt>
                <c:pt idx="7">
                  <c:v>5011.5573771274712</c:v>
                </c:pt>
                <c:pt idx="8">
                  <c:v>5218.8438140552234</c:v>
                </c:pt>
                <c:pt idx="9">
                  <c:v>5474.9686810881976</c:v>
                </c:pt>
              </c:numCache>
            </c:numRef>
          </c:val>
          <c:smooth val="0"/>
          <c:extLst>
            <c:ext xmlns:c16="http://schemas.microsoft.com/office/drawing/2014/chart" uri="{C3380CC4-5D6E-409C-BE32-E72D297353CC}">
              <c16:uniqueId val="{00000002-0247-42B7-8349-D8CFDDE5BC54}"/>
            </c:ext>
          </c:extLst>
        </c:ser>
        <c:dLbls>
          <c:showLegendKey val="0"/>
          <c:showVal val="0"/>
          <c:showCatName val="0"/>
          <c:showSerName val="0"/>
          <c:showPercent val="0"/>
          <c:showBubbleSize val="0"/>
        </c:dLbls>
        <c:marker val="1"/>
        <c:smooth val="0"/>
        <c:axId val="73561216"/>
        <c:axId val="73563136"/>
      </c:lineChart>
      <c:catAx>
        <c:axId val="73561216"/>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txPr>
          <a:bodyPr/>
          <a:lstStyle/>
          <a:p>
            <a:pPr>
              <a:defRPr sz="1050"/>
            </a:pPr>
            <a:endParaRPr lang="cs-CZ"/>
          </a:p>
        </c:txPr>
        <c:crossAx val="73563136"/>
        <c:crosses val="autoZero"/>
        <c:auto val="1"/>
        <c:lblAlgn val="ctr"/>
        <c:lblOffset val="100"/>
        <c:noMultiLvlLbl val="0"/>
      </c:catAx>
      <c:valAx>
        <c:axId val="73563136"/>
        <c:scaling>
          <c:orientation val="minMax"/>
          <c:min val="4000"/>
        </c:scaling>
        <c:delete val="0"/>
        <c:axPos val="l"/>
        <c:majorGridlines/>
        <c:minorGridlines>
          <c:spPr>
            <a:ln>
              <a:solidFill>
                <a:schemeClr val="bg1">
                  <a:lumMod val="75000"/>
                </a:schemeClr>
              </a:solidFill>
              <a:prstDash val="dash"/>
            </a:ln>
          </c:spPr>
        </c:minorGridlines>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050" b="1" i="0" u="none" strike="noStrike" kern="1200" baseline="0">
                    <a:solidFill>
                      <a:sysClr val="windowText" lastClr="000000"/>
                    </a:solidFill>
                    <a:latin typeface="+mn-lt"/>
                    <a:ea typeface="+mn-ea"/>
                    <a:cs typeface="+mn-cs"/>
                  </a:defRPr>
                </a:pPr>
                <a:r>
                  <a:rPr lang="en-US" sz="1050" b="1" i="0" baseline="0">
                    <a:effectLst/>
                  </a:rPr>
                  <a:t>N</a:t>
                </a:r>
                <a:r>
                  <a:rPr lang="cs-CZ" sz="1050" b="1" i="0" baseline="0">
                    <a:effectLst/>
                  </a:rPr>
                  <a:t>áklady na zdravotní služby </a:t>
                </a:r>
                <a:endParaRPr lang="cs-CZ" sz="1050">
                  <a:effectLst/>
                </a:endParaRPr>
              </a:p>
              <a:p>
                <a:pPr marL="0" marR="0" indent="0" algn="ctr" defTabSz="914400" rtl="0" eaLnBrk="1" fontAlgn="auto" latinLnBrk="0" hangingPunct="1">
                  <a:lnSpc>
                    <a:spcPct val="100000"/>
                  </a:lnSpc>
                  <a:spcBef>
                    <a:spcPts val="0"/>
                  </a:spcBef>
                  <a:spcAft>
                    <a:spcPts val="0"/>
                  </a:spcAft>
                  <a:buClrTx/>
                  <a:buSzTx/>
                  <a:buFontTx/>
                  <a:buNone/>
                  <a:tabLst/>
                  <a:defRPr sz="1050" b="1" i="0" u="none" strike="noStrike" kern="1200" baseline="0">
                    <a:solidFill>
                      <a:sysClr val="windowText" lastClr="000000"/>
                    </a:solidFill>
                    <a:latin typeface="+mn-lt"/>
                    <a:ea typeface="+mn-ea"/>
                    <a:cs typeface="+mn-cs"/>
                  </a:defRPr>
                </a:pPr>
                <a:r>
                  <a:rPr lang="cs-CZ" sz="1050" b="0"/>
                  <a:t>(v tis. Kč na pojištěnce)</a:t>
                </a:r>
              </a:p>
            </c:rich>
          </c:tx>
          <c:layout>
            <c:manualLayout>
              <c:xMode val="edge"/>
              <c:yMode val="edge"/>
              <c:x val="2.0938818793689268E-3"/>
              <c:y val="0.21608055688400021"/>
            </c:manualLayout>
          </c:layout>
          <c:overlay val="0"/>
        </c:title>
        <c:numFmt formatCode="#,##0" sourceLinked="0"/>
        <c:majorTickMark val="none"/>
        <c:minorTickMark val="none"/>
        <c:tickLblPos val="nextTo"/>
        <c:txPr>
          <a:bodyPr/>
          <a:lstStyle/>
          <a:p>
            <a:pPr>
              <a:defRPr sz="1050"/>
            </a:pPr>
            <a:endParaRPr lang="cs-CZ"/>
          </a:p>
        </c:txPr>
        <c:crossAx val="73561216"/>
        <c:crosses val="autoZero"/>
        <c:crossBetween val="between"/>
        <c:minorUnit val="1000"/>
        <c:dispUnits>
          <c:builtInUnit val="thousands"/>
        </c:dispUnits>
      </c:valAx>
      <c:spPr>
        <a:solidFill>
          <a:schemeClr val="bg1"/>
        </a:solidFill>
        <a:ln>
          <a:solidFill>
            <a:schemeClr val="tx1">
              <a:lumMod val="50000"/>
              <a:lumOff val="50000"/>
            </a:schemeClr>
          </a:solidFill>
        </a:ln>
      </c:spPr>
    </c:plotArea>
    <c:legend>
      <c:legendPos val="t"/>
      <c:layout>
        <c:manualLayout>
          <c:xMode val="edge"/>
          <c:yMode val="edge"/>
          <c:x val="0.11802933155746444"/>
          <c:y val="2.6235215578071628E-2"/>
          <c:w val="0.85391554554574967"/>
          <c:h val="7.9068188492793748E-2"/>
        </c:manualLayout>
      </c:layout>
      <c:overlay val="0"/>
      <c:txPr>
        <a:bodyPr/>
        <a:lstStyle/>
        <a:p>
          <a:pPr>
            <a:defRPr sz="1000"/>
          </a:pPr>
          <a:endParaRPr lang="cs-CZ"/>
        </a:p>
      </c:txPr>
    </c:legend>
    <c:plotVisOnly val="1"/>
    <c:dispBlanksAs val="gap"/>
    <c:showDLblsOverMax val="0"/>
  </c:chart>
  <c:spPr>
    <a:solidFill>
      <a:schemeClr val="bg1"/>
    </a:solidFill>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'OBR 2'!$C$9</c:f>
              <c:strCache>
                <c:ptCount val="1"/>
                <c:pt idx="0">
                  <c:v>VZ</c:v>
                </c:pt>
              </c:strCache>
            </c:strRef>
          </c:tx>
          <c:invertIfNegative val="0"/>
          <c:dLbls>
            <c:dLbl>
              <c:idx val="0"/>
              <c:layout>
                <c:manualLayout>
                  <c:x val="-7.2267389340559991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CC2-0443-B3BD-02999A92D9C7}"/>
                </c:ext>
              </c:extLst>
            </c:dLbl>
            <c:dLbl>
              <c:idx val="1"/>
              <c:layout>
                <c:manualLayout>
                  <c:x val="-1.0634919784233388E-2"/>
                  <c:y val="-4.9895729711295321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6E7-4C47-9552-8FB08C4002AA}"/>
                </c:ext>
              </c:extLst>
            </c:dLbl>
            <c:dLbl>
              <c:idx val="2"/>
              <c:layout>
                <c:manualLayout>
                  <c:x val="-1.2761903741080065E-2"/>
                  <c:y val="9.1474447750083536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6E7-4C47-9552-8FB08C4002AA}"/>
                </c:ext>
              </c:extLst>
            </c:dLbl>
            <c:dLbl>
              <c:idx val="3"/>
              <c:layout>
                <c:manualLayout>
                  <c:x val="-1.0634919784233388E-2"/>
                  <c:y val="9.1474447750083536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6E7-4C47-9552-8FB08C4002AA}"/>
                </c:ext>
              </c:extLst>
            </c:dLbl>
            <c:dLbl>
              <c:idx val="5"/>
              <c:layout>
                <c:manualLayout>
                  <c:x val="-8.5079358273867107E-3"/>
                  <c:y val="-9.1474447750083536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6E7-4C47-9552-8FB08C4002AA}"/>
                </c:ext>
              </c:extLst>
            </c:dLbl>
            <c:dLbl>
              <c:idx val="6"/>
              <c:layout>
                <c:manualLayout>
                  <c:x val="-1.2761903741080065E-2"/>
                  <c:y val="-9.1474447750083536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6E7-4C47-9552-8FB08C4002AA}"/>
                </c:ext>
              </c:extLst>
            </c:dLbl>
            <c:numFmt formatCode="#,##0.0" sourceLinked="0"/>
            <c:spPr>
              <a:noFill/>
              <a:ln>
                <a:noFill/>
              </a:ln>
              <a:effectLst/>
            </c:spPr>
            <c:txPr>
              <a:bodyPr/>
              <a:lstStyle/>
              <a:p>
                <a:pPr>
                  <a:defRPr sz="10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'OBR 2'!$B$10:$B$16</c:f>
              <c:strCache>
                <c:ptCount val="7"/>
                <c:pt idx="0">
                  <c:v>VZP ČR</c:v>
                </c:pt>
                <c:pt idx="1">
                  <c:v>VoZP ČR</c:v>
                </c:pt>
                <c:pt idx="2">
                  <c:v>ČPZP</c:v>
                </c:pt>
                <c:pt idx="3">
                  <c:v>OZP</c:v>
                </c:pt>
                <c:pt idx="4">
                  <c:v>ZPŠ</c:v>
                </c:pt>
                <c:pt idx="5">
                  <c:v>ZP MV ČR</c:v>
                </c:pt>
                <c:pt idx="6">
                  <c:v>RBP</c:v>
                </c:pt>
              </c:strCache>
            </c:strRef>
          </c:cat>
          <c:val>
            <c:numRef>
              <c:f>'OBR 2'!$C$10:$C$16</c:f>
              <c:numCache>
                <c:formatCode>#,##0.0</c:formatCode>
                <c:ptCount val="7"/>
                <c:pt idx="0">
                  <c:v>189.75338300000001</c:v>
                </c:pt>
                <c:pt idx="1">
                  <c:v>20.201063999999999</c:v>
                </c:pt>
                <c:pt idx="2">
                  <c:v>34.137853999999997</c:v>
                </c:pt>
                <c:pt idx="3">
                  <c:v>19.945675000000001</c:v>
                </c:pt>
                <c:pt idx="4">
                  <c:v>4.197533</c:v>
                </c:pt>
                <c:pt idx="5">
                  <c:v>38.112791999999999</c:v>
                </c:pt>
                <c:pt idx="6">
                  <c:v>11.65964</c:v>
                </c:pt>
              </c:numCache>
            </c:numRef>
          </c:val>
          <c:extLst>
            <c:ext xmlns:c16="http://schemas.microsoft.com/office/drawing/2014/chart" uri="{C3380CC4-5D6E-409C-BE32-E72D297353CC}">
              <c16:uniqueId val="{00000001-DCC2-0443-B3BD-02999A92D9C7}"/>
            </c:ext>
          </c:extLst>
        </c:ser>
        <c:ser>
          <c:idx val="1"/>
          <c:order val="1"/>
          <c:tx>
            <c:strRef>
              <c:f>'OBR 2'!$D$9</c:f>
              <c:strCache>
                <c:ptCount val="1"/>
                <c:pt idx="0">
                  <c:v>ZPP</c:v>
                </c:pt>
              </c:strCache>
            </c:strRef>
          </c:tx>
          <c:invertIfNegative val="0"/>
          <c:dLbls>
            <c:dLbl>
              <c:idx val="0"/>
              <c:layout>
                <c:manualLayout>
                  <c:x val="9.0334236675700084E-3"/>
                  <c:y val="-7.9056140826181975E-1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CC2-0443-B3BD-02999A92D9C7}"/>
                </c:ext>
              </c:extLst>
            </c:dLbl>
            <c:dLbl>
              <c:idx val="1"/>
              <c:layout>
                <c:manualLayout>
                  <c:x val="2.1269839568466777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6E7-4C47-9552-8FB08C4002AA}"/>
                </c:ext>
              </c:extLst>
            </c:dLbl>
            <c:dLbl>
              <c:idx val="2"/>
              <c:layout>
                <c:manualLayout>
                  <c:x val="6.3809518705400326E-3"/>
                  <c:y val="9.1474447750083536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6E7-4C47-9552-8FB08C4002AA}"/>
                </c:ext>
              </c:extLst>
            </c:dLbl>
            <c:dLbl>
              <c:idx val="3"/>
              <c:layout>
                <c:manualLayout>
                  <c:x val="6.3809518705401106E-3"/>
                  <c:y val="-9.1474447750083536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6E7-4C47-9552-8FB08C4002AA}"/>
                </c:ext>
              </c:extLst>
            </c:dLbl>
            <c:dLbl>
              <c:idx val="5"/>
              <c:layout>
                <c:manualLayout>
                  <c:x val="6.3809518705400326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E6E7-4C47-9552-8FB08C4002AA}"/>
                </c:ext>
              </c:extLst>
            </c:dLbl>
            <c:dLbl>
              <c:idx val="6"/>
              <c:layout>
                <c:manualLayout>
                  <c:x val="1.0634919784233388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E6E7-4C47-9552-8FB08C4002AA}"/>
                </c:ext>
              </c:extLst>
            </c:dLbl>
            <c:numFmt formatCode="#,##0.0" sourceLinked="0"/>
            <c:spPr>
              <a:noFill/>
              <a:ln>
                <a:noFill/>
              </a:ln>
              <a:effectLst/>
            </c:spPr>
            <c:txPr>
              <a:bodyPr/>
              <a:lstStyle/>
              <a:p>
                <a:pPr>
                  <a:defRPr sz="10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'OBR 2'!$B$10:$B$16</c:f>
              <c:strCache>
                <c:ptCount val="7"/>
                <c:pt idx="0">
                  <c:v>VZP ČR</c:v>
                </c:pt>
                <c:pt idx="1">
                  <c:v>VoZP ČR</c:v>
                </c:pt>
                <c:pt idx="2">
                  <c:v>ČPZP</c:v>
                </c:pt>
                <c:pt idx="3">
                  <c:v>OZP</c:v>
                </c:pt>
                <c:pt idx="4">
                  <c:v>ZPŠ</c:v>
                </c:pt>
                <c:pt idx="5">
                  <c:v>ZP MV ČR</c:v>
                </c:pt>
                <c:pt idx="6">
                  <c:v>RBP</c:v>
                </c:pt>
              </c:strCache>
            </c:strRef>
          </c:cat>
          <c:val>
            <c:numRef>
              <c:f>'OBR 2'!$D$10:$D$16</c:f>
              <c:numCache>
                <c:formatCode>#,##0.0</c:formatCode>
                <c:ptCount val="7"/>
                <c:pt idx="0">
                  <c:v>192.19373899999999</c:v>
                </c:pt>
                <c:pt idx="1">
                  <c:v>20.416008999999999</c:v>
                </c:pt>
                <c:pt idx="2">
                  <c:v>34.832264000000002</c:v>
                </c:pt>
                <c:pt idx="3">
                  <c:v>20.294563</c:v>
                </c:pt>
                <c:pt idx="4">
                  <c:v>4.3036300000000001</c:v>
                </c:pt>
                <c:pt idx="5">
                  <c:v>37.760773999999998</c:v>
                </c:pt>
                <c:pt idx="6">
                  <c:v>11.792083999999999</c:v>
                </c:pt>
              </c:numCache>
            </c:numRef>
          </c:val>
          <c:extLst>
            <c:ext xmlns:c16="http://schemas.microsoft.com/office/drawing/2014/chart" uri="{C3380CC4-5D6E-409C-BE32-E72D297353CC}">
              <c16:uniqueId val="{00000003-DCC2-0443-B3BD-02999A92D9C7}"/>
            </c:ext>
          </c:extLst>
        </c:ser>
        <c:dLbls>
          <c:showLegendKey val="0"/>
          <c:showVal val="0"/>
          <c:showCatName val="0"/>
          <c:showSerName val="0"/>
          <c:showPercent val="0"/>
          <c:showBubbleSize val="0"/>
        </c:dLbls>
        <c:gapWidth val="150"/>
        <c:axId val="95326592"/>
        <c:axId val="95328128"/>
      </c:barChart>
      <c:catAx>
        <c:axId val="95326592"/>
        <c:scaling>
          <c:orientation val="minMax"/>
        </c:scaling>
        <c:delete val="0"/>
        <c:axPos val="b"/>
        <c:majorGridlines/>
        <c:numFmt formatCode="General" sourceLinked="0"/>
        <c:majorTickMark val="out"/>
        <c:minorTickMark val="none"/>
        <c:tickLblPos val="nextTo"/>
        <c:crossAx val="95328128"/>
        <c:crosses val="autoZero"/>
        <c:auto val="1"/>
        <c:lblAlgn val="ctr"/>
        <c:lblOffset val="100"/>
        <c:noMultiLvlLbl val="0"/>
      </c:catAx>
      <c:valAx>
        <c:axId val="95328128"/>
        <c:scaling>
          <c:orientation val="minMax"/>
          <c:min val="0"/>
        </c:scaling>
        <c:delete val="0"/>
        <c:axPos val="l"/>
        <c:majorGridlines/>
        <c:minorGridlines>
          <c:spPr>
            <a:ln>
              <a:prstDash val="dash"/>
            </a:ln>
          </c:spPr>
        </c:minorGridlines>
        <c:title>
          <c:tx>
            <c:rich>
              <a:bodyPr rot="-5400000" vert="horz"/>
              <a:lstStyle/>
              <a:p>
                <a:pPr>
                  <a:defRPr/>
                </a:pPr>
                <a:r>
                  <a:rPr lang="cs-CZ"/>
                  <a:t>Skutečné výdaje </a:t>
                </a:r>
              </a:p>
              <a:p>
                <a:pPr>
                  <a:defRPr/>
                </a:pPr>
                <a:r>
                  <a:rPr lang="cs-CZ" b="0"/>
                  <a:t>(v mld. Kč)</a:t>
                </a:r>
              </a:p>
            </c:rich>
          </c:tx>
          <c:overlay val="0"/>
        </c:title>
        <c:numFmt formatCode="#,##0" sourceLinked="0"/>
        <c:majorTickMark val="out"/>
        <c:minorTickMark val="none"/>
        <c:tickLblPos val="nextTo"/>
        <c:crossAx val="95326592"/>
        <c:crosses val="autoZero"/>
        <c:crossBetween val="between"/>
        <c:minorUnit val="25"/>
      </c:valAx>
    </c:plotArea>
    <c:legend>
      <c:legendPos val="r"/>
      <c:layout>
        <c:manualLayout>
          <c:xMode val="edge"/>
          <c:yMode val="edge"/>
          <c:x val="0.86821211366336259"/>
          <c:y val="5.8144250590737856E-2"/>
          <c:w val="8.1207170494289951E-2"/>
          <c:h val="0.17320517642944203"/>
        </c:manualLayout>
      </c:layout>
      <c:overlay val="1"/>
    </c:legend>
    <c:plotVisOnly val="1"/>
    <c:dispBlanksAs val="gap"/>
    <c:showDLblsOverMax val="0"/>
  </c:chart>
  <c:spPr>
    <a:ln>
      <a:solidFill>
        <a:schemeClr val="bg1"/>
      </a:solidFill>
    </a:ln>
  </c:spPr>
  <c:txPr>
    <a:bodyPr/>
    <a:lstStyle/>
    <a:p>
      <a:pPr>
        <a:defRPr sz="1000"/>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10"/>
    </mc:Choice>
    <mc:Fallback>
      <c:style val="10"/>
    </mc:Fallback>
  </mc:AlternateContent>
  <c:chart>
    <c:title>
      <c:tx>
        <c:rich>
          <a:bodyPr/>
          <a:lstStyle/>
          <a:p>
            <a:pPr>
              <a:defRPr/>
            </a:pPr>
            <a:endParaRPr lang="cs-CZ"/>
          </a:p>
        </c:rich>
      </c:tx>
      <c:overlay val="0"/>
    </c:title>
    <c:autoTitleDeleted val="0"/>
    <c:plotArea>
      <c:layout/>
      <c:pieChart>
        <c:varyColors val="1"/>
        <c:ser>
          <c:idx val="0"/>
          <c:order val="0"/>
          <c:dLbls>
            <c:dLbl>
              <c:idx val="1"/>
              <c:layout>
                <c:manualLayout>
                  <c:x val="-0.14671208725073012"/>
                  <c:y val="-2.4214639286960007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0-DE6F-7B40-8BA7-04F7E349B330}"/>
                </c:ext>
              </c:extLst>
            </c:dLbl>
            <c:dLbl>
              <c:idx val="2"/>
              <c:layout>
                <c:manualLayout>
                  <c:x val="-2.8707349081364828E-2"/>
                  <c:y val="-5.6284104392966335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DE6F-7B40-8BA7-04F7E349B330}"/>
                </c:ext>
              </c:extLst>
            </c:dLbl>
            <c:dLbl>
              <c:idx val="3"/>
              <c:layout>
                <c:manualLayout>
                  <c:x val="-0.21913198630467282"/>
                  <c:y val="0.17046455368414357"/>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2-DE6F-7B40-8BA7-04F7E349B330}"/>
                </c:ext>
              </c:extLst>
            </c:dLbl>
            <c:dLbl>
              <c:idx val="4"/>
              <c:layout>
                <c:manualLayout>
                  <c:x val="0.15607098681630313"/>
                  <c:y val="1.0806129404053737E-3"/>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DE6F-7B40-8BA7-04F7E349B330}"/>
                </c:ext>
              </c:extLst>
            </c:dLbl>
            <c:numFmt formatCode="0.0%" sourceLinked="0"/>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'TAB 3 TAB 4 OBR 3'!$N$6:$N$10</c:f>
              <c:strCache>
                <c:ptCount val="5"/>
                <c:pt idx="0">
                  <c:v>Výdaje na zdravotní služby</c:v>
                </c:pt>
                <c:pt idx="1">
                  <c:v>Zálohy za cizince</c:v>
                </c:pt>
                <c:pt idx="2">
                  <c:v>Provozní výdaje </c:v>
                </c:pt>
                <c:pt idx="3">
                  <c:v>Výdaje na investice z FRM</c:v>
                </c:pt>
                <c:pt idx="4">
                  <c:v>Náklady na jinou činnost</c:v>
                </c:pt>
              </c:strCache>
            </c:strRef>
          </c:cat>
          <c:val>
            <c:numRef>
              <c:f>'TAB 3 TAB 4 OBR 3'!$P$6:$P$10</c:f>
              <c:numCache>
                <c:formatCode>0.00%</c:formatCode>
                <c:ptCount val="5"/>
                <c:pt idx="0">
                  <c:v>0.97033851428257256</c:v>
                </c:pt>
                <c:pt idx="1">
                  <c:v>4.9228896457022744E-3</c:v>
                </c:pt>
                <c:pt idx="2">
                  <c:v>2.2750233774822586E-2</c:v>
                </c:pt>
                <c:pt idx="3">
                  <c:v>1.8117314875479792E-3</c:v>
                </c:pt>
                <c:pt idx="4">
                  <c:v>1.7663080935453749E-4</c:v>
                </c:pt>
              </c:numCache>
            </c:numRef>
          </c:val>
          <c:extLst>
            <c:ext xmlns:c16="http://schemas.microsoft.com/office/drawing/2014/chart" uri="{C3380CC4-5D6E-409C-BE32-E72D297353CC}">
              <c16:uniqueId val="{00000004-DE6F-7B40-8BA7-04F7E349B330}"/>
            </c:ext>
          </c:extLst>
        </c:ser>
        <c:dLbls>
          <c:showLegendKey val="0"/>
          <c:showVal val="0"/>
          <c:showCatName val="1"/>
          <c:showSerName val="0"/>
          <c:showPercent val="1"/>
          <c:showBubbleSize val="0"/>
          <c:showLeaderLines val="1"/>
        </c:dLbls>
        <c:firstSliceAng val="0"/>
      </c:pieChart>
    </c:plotArea>
    <c:plotVisOnly val="1"/>
    <c:dispBlanksAs val="gap"/>
    <c:showDLblsOverMax val="0"/>
  </c:chart>
  <c:spPr>
    <a:ln>
      <a:solidFill>
        <a:schemeClr val="bg1"/>
      </a:solid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barChart>
        <c:barDir val="col"/>
        <c:grouping val="clustered"/>
        <c:varyColors val="0"/>
        <c:ser>
          <c:idx val="0"/>
          <c:order val="0"/>
          <c:tx>
            <c:v>VZ 2014</c:v>
          </c:tx>
          <c:invertIfNegative val="0"/>
          <c:dLbls>
            <c:spPr>
              <a:noFill/>
              <a:ln>
                <a:noFill/>
              </a:ln>
              <a:effectLst/>
            </c:spPr>
            <c:txPr>
              <a:bodyPr/>
              <a:lstStyle/>
              <a:p>
                <a:pPr>
                  <a:defRPr sz="9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'OBR 4'!$F$3:$F$9</c:f>
              <c:strCache>
                <c:ptCount val="7"/>
                <c:pt idx="0">
                  <c:v>VZP ČR</c:v>
                </c:pt>
                <c:pt idx="1">
                  <c:v>VoZP ČR</c:v>
                </c:pt>
                <c:pt idx="2">
                  <c:v>ČPZP</c:v>
                </c:pt>
                <c:pt idx="3">
                  <c:v>OZP</c:v>
                </c:pt>
                <c:pt idx="4">
                  <c:v>ZPŠ</c:v>
                </c:pt>
                <c:pt idx="5">
                  <c:v>ZP MV ČR</c:v>
                </c:pt>
                <c:pt idx="6">
                  <c:v>RBP</c:v>
                </c:pt>
              </c:strCache>
            </c:strRef>
          </c:cat>
          <c:val>
            <c:numRef>
              <c:f>'OBR 4'!$B$3:$B$9</c:f>
              <c:numCache>
                <c:formatCode>#,##0.0</c:formatCode>
                <c:ptCount val="7"/>
                <c:pt idx="0">
                  <c:v>8.9105899999999991</c:v>
                </c:pt>
                <c:pt idx="1">
                  <c:v>0.46099299999999999</c:v>
                </c:pt>
                <c:pt idx="2">
                  <c:v>1.5292600000000001</c:v>
                </c:pt>
                <c:pt idx="3">
                  <c:v>0.53895099999999996</c:v>
                </c:pt>
                <c:pt idx="4">
                  <c:v>0.27121000000000001</c:v>
                </c:pt>
                <c:pt idx="5">
                  <c:v>1.2657480000000001</c:v>
                </c:pt>
                <c:pt idx="6">
                  <c:v>0.47510200000000002</c:v>
                </c:pt>
              </c:numCache>
            </c:numRef>
          </c:val>
          <c:extLst>
            <c:ext xmlns:c16="http://schemas.microsoft.com/office/drawing/2014/chart" uri="{C3380CC4-5D6E-409C-BE32-E72D297353CC}">
              <c16:uniqueId val="{00000000-FC41-D342-9E2D-A5AED0316F57}"/>
            </c:ext>
          </c:extLst>
        </c:ser>
        <c:dLbls>
          <c:showLegendKey val="0"/>
          <c:showVal val="0"/>
          <c:showCatName val="0"/>
          <c:showSerName val="0"/>
          <c:showPercent val="0"/>
          <c:showBubbleSize val="0"/>
        </c:dLbls>
        <c:gapWidth val="150"/>
        <c:axId val="70770048"/>
        <c:axId val="71046272"/>
      </c:barChart>
      <c:catAx>
        <c:axId val="70770048"/>
        <c:scaling>
          <c:orientation val="minMax"/>
        </c:scaling>
        <c:delete val="0"/>
        <c:axPos val="b"/>
        <c:numFmt formatCode="General" sourceLinked="0"/>
        <c:majorTickMark val="none"/>
        <c:minorTickMark val="none"/>
        <c:tickLblPos val="low"/>
        <c:crossAx val="71046272"/>
        <c:crosses val="autoZero"/>
        <c:auto val="1"/>
        <c:lblAlgn val="ctr"/>
        <c:lblOffset val="100"/>
        <c:noMultiLvlLbl val="0"/>
      </c:catAx>
      <c:valAx>
        <c:axId val="71046272"/>
        <c:scaling>
          <c:orientation val="minMax"/>
          <c:max val="10"/>
        </c:scaling>
        <c:delete val="0"/>
        <c:axPos val="l"/>
        <c:majorGridlines/>
        <c:minorGridlines>
          <c:spPr>
            <a:ln>
              <a:prstDash val="dash"/>
            </a:ln>
          </c:spPr>
        </c:minorGridlines>
        <c:title>
          <c:tx>
            <c:rich>
              <a:bodyPr/>
              <a:lstStyle/>
              <a:p>
                <a:pPr>
                  <a:defRPr/>
                </a:pPr>
                <a:r>
                  <a:rPr lang="cs-CZ"/>
                  <a:t>Saldo příjmů a výdajů </a:t>
                </a:r>
              </a:p>
              <a:p>
                <a:pPr>
                  <a:defRPr/>
                </a:pPr>
                <a:r>
                  <a:rPr lang="cs-CZ" b="0"/>
                  <a:t>(</a:t>
                </a:r>
                <a:r>
                  <a:rPr lang="en-US" b="0"/>
                  <a:t>v m</a:t>
                </a:r>
                <a:r>
                  <a:rPr lang="cs-CZ" b="0"/>
                  <a:t>ld.</a:t>
                </a:r>
                <a:r>
                  <a:rPr lang="en-US" b="0"/>
                  <a:t> Kč</a:t>
                </a:r>
                <a:r>
                  <a:rPr lang="cs-CZ" b="0"/>
                  <a:t>)</a:t>
                </a:r>
                <a:endParaRPr lang="en-US" b="0"/>
              </a:p>
            </c:rich>
          </c:tx>
          <c:overlay val="0"/>
        </c:title>
        <c:numFmt formatCode="#,##0" sourceLinked="0"/>
        <c:majorTickMark val="none"/>
        <c:minorTickMark val="none"/>
        <c:tickLblPos val="nextTo"/>
        <c:crossAx val="70770048"/>
        <c:crosses val="autoZero"/>
        <c:crossBetween val="between"/>
        <c:majorUnit val="2"/>
        <c:minorUnit val="1"/>
      </c:valAx>
    </c:plotArea>
    <c:plotVisOnly val="1"/>
    <c:dispBlanksAs val="gap"/>
    <c:showDLblsOverMax val="0"/>
  </c:chart>
  <c:spPr>
    <a:ln>
      <a:solidFill>
        <a:schemeClr val="bg1"/>
      </a:solidFill>
    </a:ln>
  </c:spPr>
  <c:txPr>
    <a:bodyPr/>
    <a:lstStyle/>
    <a:p>
      <a:pPr>
        <a:defRPr sz="1000"/>
      </a:pPr>
      <a:endParaRPr lang="cs-CZ"/>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991072042609795"/>
          <c:y val="0.12271022860099851"/>
          <c:w val="0.85631860166221607"/>
          <c:h val="0.77435545549601947"/>
        </c:manualLayout>
      </c:layout>
      <c:lineChart>
        <c:grouping val="standard"/>
        <c:varyColors val="0"/>
        <c:ser>
          <c:idx val="0"/>
          <c:order val="0"/>
          <c:tx>
            <c:strRef>
              <c:f>'OBR 5 OBR 6'!$B$6</c:f>
              <c:strCache>
                <c:ptCount val="1"/>
                <c:pt idx="0">
                  <c:v>Příjmy</c:v>
                </c:pt>
              </c:strCache>
            </c:strRef>
          </c:tx>
          <c:spPr>
            <a:ln>
              <a:solidFill>
                <a:schemeClr val="accent2"/>
              </a:solidFill>
            </a:ln>
          </c:spPr>
          <c:marker>
            <c:symbol val="circle"/>
            <c:size val="7"/>
            <c:spPr>
              <a:solidFill>
                <a:schemeClr val="bg1"/>
              </a:solidFill>
              <a:ln w="28575">
                <a:solidFill>
                  <a:schemeClr val="accent2"/>
                </a:solidFill>
              </a:ln>
            </c:spPr>
          </c:marker>
          <c:cat>
            <c:numRef>
              <c:f>'OBR 5 OBR 6'!$A$7:$A$17</c:f>
              <c:numCache>
                <c:formatCode>General</c:formatCode>
                <c:ptCount val="11"/>
                <c:pt idx="0">
                  <c:v>2009</c:v>
                </c:pt>
                <c:pt idx="1">
                  <c:v>2010</c:v>
                </c:pt>
                <c:pt idx="2">
                  <c:v>2011</c:v>
                </c:pt>
                <c:pt idx="3">
                  <c:v>2012</c:v>
                </c:pt>
                <c:pt idx="4">
                  <c:v>2013</c:v>
                </c:pt>
                <c:pt idx="5">
                  <c:v>2014</c:v>
                </c:pt>
                <c:pt idx="6">
                  <c:v>2015</c:v>
                </c:pt>
                <c:pt idx="7">
                  <c:v>2016</c:v>
                </c:pt>
                <c:pt idx="8">
                  <c:v>2017</c:v>
                </c:pt>
                <c:pt idx="9">
                  <c:v>2018</c:v>
                </c:pt>
                <c:pt idx="10">
                  <c:v>2019</c:v>
                </c:pt>
              </c:numCache>
            </c:numRef>
          </c:cat>
          <c:val>
            <c:numRef>
              <c:f>'OBR 5 OBR 6'!$B$7:$B$17</c:f>
              <c:numCache>
                <c:formatCode>0.0</c:formatCode>
                <c:ptCount val="11"/>
                <c:pt idx="0">
                  <c:v>212199</c:v>
                </c:pt>
                <c:pt idx="1">
                  <c:v>215615</c:v>
                </c:pt>
                <c:pt idx="2">
                  <c:v>220391</c:v>
                </c:pt>
                <c:pt idx="3">
                  <c:v>229733</c:v>
                </c:pt>
                <c:pt idx="4">
                  <c:v>228568</c:v>
                </c:pt>
                <c:pt idx="5">
                  <c:v>241258.361</c:v>
                </c:pt>
                <c:pt idx="6">
                  <c:v>252585.63099999999</c:v>
                </c:pt>
                <c:pt idx="7">
                  <c:v>264851.924</c:v>
                </c:pt>
                <c:pt idx="8">
                  <c:v>284833.484</c:v>
                </c:pt>
                <c:pt idx="9">
                  <c:v>309773.353</c:v>
                </c:pt>
                <c:pt idx="10">
                  <c:v>331459.79499999998</c:v>
                </c:pt>
              </c:numCache>
            </c:numRef>
          </c:val>
          <c:smooth val="0"/>
          <c:extLst>
            <c:ext xmlns:c16="http://schemas.microsoft.com/office/drawing/2014/chart" uri="{C3380CC4-5D6E-409C-BE32-E72D297353CC}">
              <c16:uniqueId val="{00000000-695C-4D39-AE41-0CACA613DC1E}"/>
            </c:ext>
          </c:extLst>
        </c:ser>
        <c:ser>
          <c:idx val="1"/>
          <c:order val="1"/>
          <c:tx>
            <c:strRef>
              <c:f>'OBR 5 OBR 6'!$C$6</c:f>
              <c:strCache>
                <c:ptCount val="1"/>
                <c:pt idx="0">
                  <c:v>Výdaje</c:v>
                </c:pt>
              </c:strCache>
            </c:strRef>
          </c:tx>
          <c:spPr>
            <a:ln>
              <a:solidFill>
                <a:schemeClr val="accent1"/>
              </a:solidFill>
            </a:ln>
          </c:spPr>
          <c:marker>
            <c:symbol val="circle"/>
            <c:size val="7"/>
            <c:spPr>
              <a:solidFill>
                <a:schemeClr val="bg1"/>
              </a:solidFill>
              <a:ln w="28575">
                <a:solidFill>
                  <a:schemeClr val="accent1"/>
                </a:solidFill>
              </a:ln>
            </c:spPr>
          </c:marker>
          <c:cat>
            <c:numRef>
              <c:f>'OBR 5 OBR 6'!$A$7:$A$17</c:f>
              <c:numCache>
                <c:formatCode>General</c:formatCode>
                <c:ptCount val="11"/>
                <c:pt idx="0">
                  <c:v>2009</c:v>
                </c:pt>
                <c:pt idx="1">
                  <c:v>2010</c:v>
                </c:pt>
                <c:pt idx="2">
                  <c:v>2011</c:v>
                </c:pt>
                <c:pt idx="3">
                  <c:v>2012</c:v>
                </c:pt>
                <c:pt idx="4">
                  <c:v>2013</c:v>
                </c:pt>
                <c:pt idx="5">
                  <c:v>2014</c:v>
                </c:pt>
                <c:pt idx="6">
                  <c:v>2015</c:v>
                </c:pt>
                <c:pt idx="7">
                  <c:v>2016</c:v>
                </c:pt>
                <c:pt idx="8">
                  <c:v>2017</c:v>
                </c:pt>
                <c:pt idx="9">
                  <c:v>2018</c:v>
                </c:pt>
                <c:pt idx="10">
                  <c:v>2019</c:v>
                </c:pt>
              </c:numCache>
            </c:numRef>
          </c:cat>
          <c:val>
            <c:numRef>
              <c:f>'OBR 5 OBR 6'!$C$7:$C$17</c:f>
              <c:numCache>
                <c:formatCode>0.0</c:formatCode>
                <c:ptCount val="11"/>
                <c:pt idx="0">
                  <c:v>218630</c:v>
                </c:pt>
                <c:pt idx="1">
                  <c:v>222500</c:v>
                </c:pt>
                <c:pt idx="2">
                  <c:v>225547</c:v>
                </c:pt>
                <c:pt idx="3">
                  <c:v>231270</c:v>
                </c:pt>
                <c:pt idx="4">
                  <c:v>229905</c:v>
                </c:pt>
                <c:pt idx="5">
                  <c:v>239012.467</c:v>
                </c:pt>
                <c:pt idx="6">
                  <c:v>252002.84299999999</c:v>
                </c:pt>
                <c:pt idx="7">
                  <c:v>258941.19699999999</c:v>
                </c:pt>
                <c:pt idx="8">
                  <c:v>275311.185</c:v>
                </c:pt>
                <c:pt idx="9">
                  <c:v>295295.77899999998</c:v>
                </c:pt>
                <c:pt idx="10">
                  <c:v>318007.94099999999</c:v>
                </c:pt>
              </c:numCache>
            </c:numRef>
          </c:val>
          <c:smooth val="0"/>
          <c:extLst>
            <c:ext xmlns:c16="http://schemas.microsoft.com/office/drawing/2014/chart" uri="{C3380CC4-5D6E-409C-BE32-E72D297353CC}">
              <c16:uniqueId val="{00000001-695C-4D39-AE41-0CACA613DC1E}"/>
            </c:ext>
          </c:extLst>
        </c:ser>
        <c:dLbls>
          <c:showLegendKey val="0"/>
          <c:showVal val="0"/>
          <c:showCatName val="0"/>
          <c:showSerName val="0"/>
          <c:showPercent val="0"/>
          <c:showBubbleSize val="0"/>
        </c:dLbls>
        <c:marker val="1"/>
        <c:smooth val="0"/>
        <c:axId val="71063424"/>
        <c:axId val="71069696"/>
      </c:lineChart>
      <c:catAx>
        <c:axId val="71063424"/>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crossAx val="71069696"/>
        <c:crosses val="autoZero"/>
        <c:auto val="1"/>
        <c:lblAlgn val="ctr"/>
        <c:lblOffset val="100"/>
        <c:noMultiLvlLbl val="0"/>
      </c:catAx>
      <c:valAx>
        <c:axId val="71069696"/>
        <c:scaling>
          <c:orientation val="minMax"/>
          <c:max val="340000"/>
          <c:min val="200000"/>
        </c:scaling>
        <c:delete val="0"/>
        <c:axPos val="l"/>
        <c:majorGridlines/>
        <c:minorGridlines>
          <c:spPr>
            <a:ln>
              <a:solidFill>
                <a:schemeClr val="bg1">
                  <a:lumMod val="75000"/>
                </a:schemeClr>
              </a:solidFill>
              <a:prstDash val="dash"/>
            </a:ln>
          </c:spPr>
        </c:minorGridlines>
        <c:title>
          <c:tx>
            <c:rich>
              <a:bodyPr/>
              <a:lstStyle/>
              <a:p>
                <a:pPr algn="ctr" rtl="0">
                  <a:defRPr/>
                </a:pPr>
                <a:r>
                  <a:rPr lang="cs-CZ"/>
                  <a:t>Finanční výše </a:t>
                </a:r>
              </a:p>
              <a:p>
                <a:pPr algn="ctr" rtl="0">
                  <a:defRPr/>
                </a:pPr>
                <a:r>
                  <a:rPr lang="cs-CZ" b="0"/>
                  <a:t>(v mld. Kč)</a:t>
                </a:r>
              </a:p>
            </c:rich>
          </c:tx>
          <c:layout>
            <c:manualLayout>
              <c:xMode val="edge"/>
              <c:yMode val="edge"/>
              <c:x val="6.5040932727951457E-3"/>
              <c:y val="0.36948285909207196"/>
            </c:manualLayout>
          </c:layout>
          <c:overlay val="0"/>
        </c:title>
        <c:numFmt formatCode="#,##0" sourceLinked="0"/>
        <c:majorTickMark val="none"/>
        <c:minorTickMark val="none"/>
        <c:tickLblPos val="nextTo"/>
        <c:crossAx val="71063424"/>
        <c:crosses val="autoZero"/>
        <c:crossBetween val="between"/>
        <c:majorUnit val="20000"/>
        <c:minorUnit val="10000"/>
        <c:dispUnits>
          <c:builtInUnit val="thousands"/>
        </c:dispUnits>
      </c:valAx>
      <c:spPr>
        <a:solidFill>
          <a:schemeClr val="bg1"/>
        </a:solidFill>
        <a:ln>
          <a:solidFill>
            <a:schemeClr val="tx1">
              <a:lumMod val="50000"/>
              <a:lumOff val="50000"/>
            </a:schemeClr>
          </a:solidFill>
        </a:ln>
      </c:spPr>
    </c:plotArea>
    <c:legend>
      <c:legendPos val="t"/>
      <c:layout>
        <c:manualLayout>
          <c:xMode val="edge"/>
          <c:yMode val="edge"/>
          <c:x val="0.11802933155746444"/>
          <c:y val="2.6235215578071628E-2"/>
          <c:w val="0.85391554554574967"/>
          <c:h val="7.9068188492793748E-2"/>
        </c:manualLayout>
      </c:layout>
      <c:overlay val="0"/>
    </c:legend>
    <c:plotVisOnly val="1"/>
    <c:dispBlanksAs val="gap"/>
    <c:showDLblsOverMax val="0"/>
  </c:chart>
  <c:spPr>
    <a:solidFill>
      <a:schemeClr val="bg1"/>
    </a:solidFill>
    <a:ln>
      <a:noFill/>
    </a:ln>
  </c:spPr>
  <c:txPr>
    <a:bodyPr/>
    <a:lstStyle/>
    <a:p>
      <a:pPr>
        <a:defRPr sz="1000"/>
      </a:pPr>
      <a:endParaRPr lang="cs-CZ"/>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991072042609795"/>
          <c:y val="8.6609198669660867E-2"/>
          <c:w val="0.85631860166221607"/>
          <c:h val="0.81045652235708798"/>
        </c:manualLayout>
      </c:layout>
      <c:lineChart>
        <c:grouping val="standard"/>
        <c:varyColors val="0"/>
        <c:ser>
          <c:idx val="2"/>
          <c:order val="0"/>
          <c:tx>
            <c:strRef>
              <c:f>'OBR 5 OBR 6'!$D$6</c:f>
              <c:strCache>
                <c:ptCount val="1"/>
                <c:pt idx="0">
                  <c:v>Saldo</c:v>
                </c:pt>
              </c:strCache>
            </c:strRef>
          </c:tx>
          <c:spPr>
            <a:ln>
              <a:solidFill>
                <a:srgbClr val="FFC000"/>
              </a:solidFill>
            </a:ln>
          </c:spPr>
          <c:marker>
            <c:symbol val="circle"/>
            <c:size val="7"/>
            <c:spPr>
              <a:solidFill>
                <a:schemeClr val="bg1"/>
              </a:solidFill>
              <a:ln w="28575">
                <a:solidFill>
                  <a:srgbClr val="FFC000"/>
                </a:solidFill>
              </a:ln>
            </c:spPr>
          </c:marker>
          <c:cat>
            <c:numRef>
              <c:f>'OBR 5 OBR 6'!$A$7:$A$17</c:f>
              <c:numCache>
                <c:formatCode>General</c:formatCode>
                <c:ptCount val="11"/>
                <c:pt idx="0">
                  <c:v>2009</c:v>
                </c:pt>
                <c:pt idx="1">
                  <c:v>2010</c:v>
                </c:pt>
                <c:pt idx="2">
                  <c:v>2011</c:v>
                </c:pt>
                <c:pt idx="3">
                  <c:v>2012</c:v>
                </c:pt>
                <c:pt idx="4">
                  <c:v>2013</c:v>
                </c:pt>
                <c:pt idx="5">
                  <c:v>2014</c:v>
                </c:pt>
                <c:pt idx="6">
                  <c:v>2015</c:v>
                </c:pt>
                <c:pt idx="7">
                  <c:v>2016</c:v>
                </c:pt>
                <c:pt idx="8">
                  <c:v>2017</c:v>
                </c:pt>
                <c:pt idx="9">
                  <c:v>2018</c:v>
                </c:pt>
                <c:pt idx="10">
                  <c:v>2019</c:v>
                </c:pt>
              </c:numCache>
            </c:numRef>
          </c:cat>
          <c:val>
            <c:numRef>
              <c:f>'OBR 5 OBR 6'!$D$7:$D$17</c:f>
              <c:numCache>
                <c:formatCode>0.0</c:formatCode>
                <c:ptCount val="11"/>
                <c:pt idx="0">
                  <c:v>-6430.9999999999836</c:v>
                </c:pt>
                <c:pt idx="1">
                  <c:v>-6884.9999999999909</c:v>
                </c:pt>
                <c:pt idx="2">
                  <c:v>-5156.0000000000055</c:v>
                </c:pt>
                <c:pt idx="3">
                  <c:v>-1537.0000000000061</c:v>
                </c:pt>
                <c:pt idx="4">
                  <c:v>-1336.9999999999891</c:v>
                </c:pt>
                <c:pt idx="5">
                  <c:v>2245.893999999993</c:v>
                </c:pt>
                <c:pt idx="6">
                  <c:v>582.78800000002207</c:v>
                </c:pt>
                <c:pt idx="7">
                  <c:v>5910.727000000008</c:v>
                </c:pt>
                <c:pt idx="8">
                  <c:v>9522.2989999999754</c:v>
                </c:pt>
                <c:pt idx="9">
                  <c:v>14477.574000000004</c:v>
                </c:pt>
                <c:pt idx="10">
                  <c:v>13451.853999999968</c:v>
                </c:pt>
              </c:numCache>
            </c:numRef>
          </c:val>
          <c:smooth val="0"/>
          <c:extLst>
            <c:ext xmlns:c16="http://schemas.microsoft.com/office/drawing/2014/chart" uri="{C3380CC4-5D6E-409C-BE32-E72D297353CC}">
              <c16:uniqueId val="{00000002-695C-4D39-AE41-0CACA613DC1E}"/>
            </c:ext>
          </c:extLst>
        </c:ser>
        <c:dLbls>
          <c:showLegendKey val="0"/>
          <c:showVal val="0"/>
          <c:showCatName val="0"/>
          <c:showSerName val="0"/>
          <c:showPercent val="0"/>
          <c:showBubbleSize val="0"/>
        </c:dLbls>
        <c:marker val="1"/>
        <c:smooth val="0"/>
        <c:axId val="71102848"/>
        <c:axId val="71104768"/>
      </c:lineChart>
      <c:catAx>
        <c:axId val="71102848"/>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crossAx val="71104768"/>
        <c:crosses val="autoZero"/>
        <c:auto val="1"/>
        <c:lblAlgn val="ctr"/>
        <c:lblOffset val="100"/>
        <c:noMultiLvlLbl val="0"/>
      </c:catAx>
      <c:valAx>
        <c:axId val="71104768"/>
        <c:scaling>
          <c:orientation val="minMax"/>
          <c:max val="20000"/>
          <c:min val="-10000"/>
        </c:scaling>
        <c:delete val="0"/>
        <c:axPos val="l"/>
        <c:majorGridlines/>
        <c:minorGridlines>
          <c:spPr>
            <a:ln>
              <a:solidFill>
                <a:schemeClr val="bg1">
                  <a:lumMod val="75000"/>
                </a:schemeClr>
              </a:solidFill>
              <a:prstDash val="dash"/>
            </a:ln>
          </c:spPr>
        </c:minorGridlines>
        <c:title>
          <c:tx>
            <c:rich>
              <a:bodyPr/>
              <a:lstStyle/>
              <a:p>
                <a:pPr algn="ctr" rtl="0">
                  <a:defRPr/>
                </a:pPr>
                <a:r>
                  <a:rPr lang="cs-CZ"/>
                  <a:t>Saldo příjmů a výdajů  </a:t>
                </a:r>
              </a:p>
              <a:p>
                <a:pPr algn="ctr" rtl="0">
                  <a:defRPr/>
                </a:pPr>
                <a:r>
                  <a:rPr lang="cs-CZ" b="0"/>
                  <a:t>(v mld. Kč)</a:t>
                </a:r>
              </a:p>
            </c:rich>
          </c:tx>
          <c:layout>
            <c:manualLayout>
              <c:xMode val="edge"/>
              <c:yMode val="edge"/>
              <c:x val="2.0939263694067646E-3"/>
              <c:y val="0.22507852489229618"/>
            </c:manualLayout>
          </c:layout>
          <c:overlay val="0"/>
        </c:title>
        <c:numFmt formatCode="#,##0" sourceLinked="0"/>
        <c:majorTickMark val="none"/>
        <c:minorTickMark val="none"/>
        <c:tickLblPos val="nextTo"/>
        <c:crossAx val="71102848"/>
        <c:crosses val="autoZero"/>
        <c:crossBetween val="between"/>
        <c:majorUnit val="10000"/>
        <c:minorUnit val="5000"/>
        <c:dispUnits>
          <c:builtInUnit val="thousands"/>
        </c:dispUnits>
      </c:valAx>
      <c:spPr>
        <a:solidFill>
          <a:schemeClr val="bg1"/>
        </a:solidFill>
        <a:ln>
          <a:solidFill>
            <a:schemeClr val="tx1">
              <a:lumMod val="50000"/>
              <a:lumOff val="50000"/>
            </a:schemeClr>
          </a:solidFill>
        </a:ln>
      </c:spPr>
    </c:plotArea>
    <c:plotVisOnly val="1"/>
    <c:dispBlanksAs val="gap"/>
    <c:showDLblsOverMax val="0"/>
  </c:chart>
  <c:spPr>
    <a:solidFill>
      <a:schemeClr val="bg1"/>
    </a:solidFill>
    <a:ln>
      <a:noFill/>
    </a:ln>
  </c:spPr>
  <c:txPr>
    <a:bodyPr/>
    <a:lstStyle/>
    <a:p>
      <a:pPr>
        <a:defRPr sz="1000"/>
      </a:pPr>
      <a:endParaRPr lang="cs-CZ"/>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096211464427951"/>
          <c:y val="5.1400554097404488E-2"/>
          <c:w val="0.83848225653581732"/>
          <c:h val="0.8326195683872849"/>
        </c:manualLayout>
      </c:layout>
      <c:barChart>
        <c:barDir val="col"/>
        <c:grouping val="clustered"/>
        <c:varyColors val="0"/>
        <c:ser>
          <c:idx val="1"/>
          <c:order val="0"/>
          <c:tx>
            <c:strRef>
              <c:f>'OBR 7 OBR 10'!$C$3</c:f>
              <c:strCache>
                <c:ptCount val="1"/>
                <c:pt idx="0">
                  <c:v>2018</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'OBR 7 OBR 10'!$A$4:$A$10</c:f>
              <c:strCache>
                <c:ptCount val="7"/>
                <c:pt idx="0">
                  <c:v>VZP ČR</c:v>
                </c:pt>
                <c:pt idx="1">
                  <c:v>VoZP ČR</c:v>
                </c:pt>
                <c:pt idx="2">
                  <c:v>ČPZP</c:v>
                </c:pt>
                <c:pt idx="3">
                  <c:v>OZP</c:v>
                </c:pt>
                <c:pt idx="4">
                  <c:v>ZPŠ</c:v>
                </c:pt>
                <c:pt idx="5">
                  <c:v>ZP MV ČR</c:v>
                </c:pt>
                <c:pt idx="6">
                  <c:v>RBP</c:v>
                </c:pt>
              </c:strCache>
            </c:strRef>
          </c:cat>
          <c:val>
            <c:numRef>
              <c:f>'OBR 7 OBR 10'!$C$4:$C$10</c:f>
              <c:numCache>
                <c:formatCode>#,##0</c:formatCode>
                <c:ptCount val="7"/>
                <c:pt idx="0">
                  <c:v>27.13505027579215</c:v>
                </c:pt>
                <c:pt idx="1">
                  <c:v>20.34618993404716</c:v>
                </c:pt>
                <c:pt idx="2">
                  <c:v>38.190884634881115</c:v>
                </c:pt>
                <c:pt idx="3">
                  <c:v>60.391612442285151</c:v>
                </c:pt>
                <c:pt idx="4">
                  <c:v>60.130488272216709</c:v>
                </c:pt>
                <c:pt idx="5">
                  <c:v>40.260308307690899</c:v>
                </c:pt>
                <c:pt idx="6">
                  <c:v>44.580174244624203</c:v>
                </c:pt>
              </c:numCache>
            </c:numRef>
          </c:val>
          <c:extLst>
            <c:ext xmlns:c16="http://schemas.microsoft.com/office/drawing/2014/chart" uri="{C3380CC4-5D6E-409C-BE32-E72D297353CC}">
              <c16:uniqueId val="{00000001-9460-C940-A335-5E5F6E81A5DF}"/>
            </c:ext>
          </c:extLst>
        </c:ser>
        <c:ser>
          <c:idx val="0"/>
          <c:order val="1"/>
          <c:tx>
            <c:strRef>
              <c:f>'OBR 7 OBR 10'!$D$3</c:f>
              <c:strCache>
                <c:ptCount val="1"/>
                <c:pt idx="0">
                  <c:v>2019</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'OBR 7 OBR 10'!$A$4:$A$10</c:f>
              <c:strCache>
                <c:ptCount val="7"/>
                <c:pt idx="0">
                  <c:v>VZP ČR</c:v>
                </c:pt>
                <c:pt idx="1">
                  <c:v>VoZP ČR</c:v>
                </c:pt>
                <c:pt idx="2">
                  <c:v>ČPZP</c:v>
                </c:pt>
                <c:pt idx="3">
                  <c:v>OZP</c:v>
                </c:pt>
                <c:pt idx="4">
                  <c:v>ZPŠ</c:v>
                </c:pt>
                <c:pt idx="5">
                  <c:v>ZP MV ČR</c:v>
                </c:pt>
                <c:pt idx="6">
                  <c:v>RBP</c:v>
                </c:pt>
              </c:strCache>
            </c:strRef>
          </c:cat>
          <c:val>
            <c:numRef>
              <c:f>'OBR 7 OBR 10'!$D$4:$D$10</c:f>
              <c:numCache>
                <c:formatCode>#,##0</c:formatCode>
                <c:ptCount val="7"/>
                <c:pt idx="0">
                  <c:v>39.919092265969397</c:v>
                </c:pt>
                <c:pt idx="1">
                  <c:v>25.169422115605297</c:v>
                </c:pt>
                <c:pt idx="2">
                  <c:v>50.329856613855405</c:v>
                </c:pt>
                <c:pt idx="3">
                  <c:v>63.469716021066148</c:v>
                </c:pt>
                <c:pt idx="4">
                  <c:v>79.547095580185484</c:v>
                </c:pt>
                <c:pt idx="5">
                  <c:v>45.736633427151382</c:v>
                </c:pt>
                <c:pt idx="6">
                  <c:v>56.738825008252952</c:v>
                </c:pt>
              </c:numCache>
            </c:numRef>
          </c:val>
          <c:extLst>
            <c:ext xmlns:c16="http://schemas.microsoft.com/office/drawing/2014/chart" uri="{C3380CC4-5D6E-409C-BE32-E72D297353CC}">
              <c16:uniqueId val="{00000000-9C06-6A49-B87F-54447453749A}"/>
            </c:ext>
          </c:extLst>
        </c:ser>
        <c:dLbls>
          <c:showLegendKey val="0"/>
          <c:showVal val="0"/>
          <c:showCatName val="0"/>
          <c:showSerName val="0"/>
          <c:showPercent val="0"/>
          <c:showBubbleSize val="0"/>
        </c:dLbls>
        <c:gapWidth val="150"/>
        <c:axId val="72319744"/>
        <c:axId val="72321280"/>
      </c:barChart>
      <c:catAx>
        <c:axId val="72319744"/>
        <c:scaling>
          <c:orientation val="minMax"/>
        </c:scaling>
        <c:delete val="0"/>
        <c:axPos val="b"/>
        <c:numFmt formatCode="General" sourceLinked="0"/>
        <c:majorTickMark val="out"/>
        <c:minorTickMark val="none"/>
        <c:tickLblPos val="nextTo"/>
        <c:crossAx val="72321280"/>
        <c:crosses val="autoZero"/>
        <c:auto val="1"/>
        <c:lblAlgn val="ctr"/>
        <c:lblOffset val="100"/>
        <c:noMultiLvlLbl val="0"/>
      </c:catAx>
      <c:valAx>
        <c:axId val="72321280"/>
        <c:scaling>
          <c:orientation val="minMax"/>
        </c:scaling>
        <c:delete val="0"/>
        <c:axPos val="l"/>
        <c:majorGridlines/>
        <c:minorGridlines>
          <c:spPr>
            <a:ln>
              <a:prstDash val="dash"/>
            </a:ln>
          </c:spPr>
        </c:minorGridlines>
        <c:title>
          <c:tx>
            <c:rich>
              <a:bodyPr rot="-5400000" vert="horz"/>
              <a:lstStyle/>
              <a:p>
                <a:pPr>
                  <a:defRPr/>
                </a:pPr>
                <a:r>
                  <a:rPr lang="cs-CZ"/>
                  <a:t>Zůstatky na BÚ ZFZP</a:t>
                </a:r>
              </a:p>
              <a:p>
                <a:pPr>
                  <a:defRPr/>
                </a:pPr>
                <a:r>
                  <a:rPr lang="cs-CZ" b="0"/>
                  <a:t>(ve dnech)</a:t>
                </a:r>
              </a:p>
            </c:rich>
          </c:tx>
          <c:layout>
            <c:manualLayout>
              <c:xMode val="edge"/>
              <c:yMode val="edge"/>
              <c:x val="1.5696991141712396E-2"/>
              <c:y val="0.25886783953985948"/>
            </c:manualLayout>
          </c:layout>
          <c:overlay val="0"/>
        </c:title>
        <c:numFmt formatCode="#,##0" sourceLinked="1"/>
        <c:majorTickMark val="out"/>
        <c:minorTickMark val="none"/>
        <c:tickLblPos val="nextTo"/>
        <c:crossAx val="72319744"/>
        <c:crosses val="autoZero"/>
        <c:crossBetween val="between"/>
        <c:majorUnit val="10"/>
        <c:minorUnit val="5"/>
      </c:valAx>
    </c:plotArea>
    <c:legend>
      <c:legendPos val="r"/>
      <c:layout>
        <c:manualLayout>
          <c:xMode val="edge"/>
          <c:yMode val="edge"/>
          <c:x val="0.16445757589959348"/>
          <c:y val="7.9236679573469151E-2"/>
          <c:w val="8.7321573083214907E-2"/>
          <c:h val="0.15914555235051064"/>
        </c:manualLayout>
      </c:layout>
      <c:overlay val="1"/>
    </c:legend>
    <c:plotVisOnly val="1"/>
    <c:dispBlanksAs val="gap"/>
    <c:showDLblsOverMax val="0"/>
  </c:chart>
  <c:spPr>
    <a:ln>
      <a:solidFill>
        <a:schemeClr val="bg1"/>
      </a:solidFill>
    </a:ln>
  </c:spPr>
  <c:txPr>
    <a:bodyPr/>
    <a:lstStyle/>
    <a:p>
      <a:pPr>
        <a:defRPr sz="1000"/>
      </a:pPr>
      <a:endParaRPr lang="cs-CZ"/>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8"/>
    </mc:Choice>
    <mc:Fallback>
      <c:style val="8"/>
    </mc:Fallback>
  </mc:AlternateContent>
  <c:chart>
    <c:autoTitleDeleted val="1"/>
    <c:plotArea>
      <c:layout/>
      <c:barChart>
        <c:barDir val="col"/>
        <c:grouping val="clustered"/>
        <c:varyColors val="0"/>
        <c:ser>
          <c:idx val="0"/>
          <c:order val="0"/>
          <c:spPr>
            <a:solidFill>
              <a:schemeClr val="accent3">
                <a:lumMod val="75000"/>
              </a:schemeClr>
            </a:solidFill>
          </c:spPr>
          <c:invertIfNegative val="0"/>
          <c:dPt>
            <c:idx val="0"/>
            <c:invertIfNegative val="0"/>
            <c:bubble3D val="0"/>
            <c:spPr>
              <a:solidFill>
                <a:schemeClr val="accent1">
                  <a:lumMod val="75000"/>
                </a:schemeClr>
              </a:solidFill>
            </c:spPr>
            <c:extLst>
              <c:ext xmlns:c16="http://schemas.microsoft.com/office/drawing/2014/chart" uri="{C3380CC4-5D6E-409C-BE32-E72D297353CC}">
                <c16:uniqueId val="{00000001-7C04-8944-AADF-BBA80F3B3787}"/>
              </c:ext>
            </c:extLst>
          </c:dPt>
          <c:dPt>
            <c:idx val="1"/>
            <c:invertIfNegative val="0"/>
            <c:bubble3D val="0"/>
            <c:spPr>
              <a:solidFill>
                <a:schemeClr val="accent2">
                  <a:lumMod val="75000"/>
                </a:schemeClr>
              </a:solidFill>
            </c:spPr>
            <c:extLst>
              <c:ext xmlns:c16="http://schemas.microsoft.com/office/drawing/2014/chart" uri="{C3380CC4-5D6E-409C-BE32-E72D297353CC}">
                <c16:uniqueId val="{00000003-7C04-8944-AADF-BBA80F3B3787}"/>
              </c:ext>
            </c:extLst>
          </c:dPt>
          <c:dPt>
            <c:idx val="3"/>
            <c:invertIfNegative val="0"/>
            <c:bubble3D val="0"/>
            <c:spPr>
              <a:solidFill>
                <a:schemeClr val="accent4">
                  <a:lumMod val="75000"/>
                </a:schemeClr>
              </a:solidFill>
            </c:spPr>
            <c:extLst>
              <c:ext xmlns:c16="http://schemas.microsoft.com/office/drawing/2014/chart" uri="{C3380CC4-5D6E-409C-BE32-E72D297353CC}">
                <c16:uniqueId val="{00000005-7C04-8944-AADF-BBA80F3B3787}"/>
              </c:ext>
            </c:extLst>
          </c:dPt>
          <c:dPt>
            <c:idx val="4"/>
            <c:invertIfNegative val="0"/>
            <c:bubble3D val="0"/>
            <c:spPr>
              <a:solidFill>
                <a:schemeClr val="accent5">
                  <a:lumMod val="75000"/>
                </a:schemeClr>
              </a:solidFill>
            </c:spPr>
            <c:extLst>
              <c:ext xmlns:c16="http://schemas.microsoft.com/office/drawing/2014/chart" uri="{C3380CC4-5D6E-409C-BE32-E72D297353CC}">
                <c16:uniqueId val="{00000007-7C04-8944-AADF-BBA80F3B3787}"/>
              </c:ext>
            </c:extLst>
          </c:dPt>
          <c:dPt>
            <c:idx val="5"/>
            <c:invertIfNegative val="0"/>
            <c:bubble3D val="0"/>
            <c:spPr>
              <a:solidFill>
                <a:srgbClr val="FF9900"/>
              </a:solidFill>
            </c:spPr>
            <c:extLst>
              <c:ext xmlns:c16="http://schemas.microsoft.com/office/drawing/2014/chart" uri="{C3380CC4-5D6E-409C-BE32-E72D297353CC}">
                <c16:uniqueId val="{00000009-7C04-8944-AADF-BBA80F3B3787}"/>
              </c:ext>
            </c:extLst>
          </c:dPt>
          <c:dPt>
            <c:idx val="6"/>
            <c:invertIfNegative val="0"/>
            <c:bubble3D val="0"/>
            <c:spPr>
              <a:solidFill>
                <a:schemeClr val="tx2">
                  <a:lumMod val="40000"/>
                  <a:lumOff val="60000"/>
                </a:schemeClr>
              </a:solidFill>
            </c:spPr>
            <c:extLst>
              <c:ext xmlns:c16="http://schemas.microsoft.com/office/drawing/2014/chart" uri="{C3380CC4-5D6E-409C-BE32-E72D297353CC}">
                <c16:uniqueId val="{0000000B-7C04-8944-AADF-BBA80F3B3787}"/>
              </c:ext>
            </c:extLst>
          </c:dPt>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'OBR 8 OBR 9'!$O$6:$O$12</c:f>
              <c:strCache>
                <c:ptCount val="7"/>
                <c:pt idx="0">
                  <c:v>VZP ČR</c:v>
                </c:pt>
                <c:pt idx="1">
                  <c:v>VoZP ČR</c:v>
                </c:pt>
                <c:pt idx="2">
                  <c:v>ČPZP</c:v>
                </c:pt>
                <c:pt idx="3">
                  <c:v>OZP</c:v>
                </c:pt>
                <c:pt idx="4">
                  <c:v>ZPŠ</c:v>
                </c:pt>
                <c:pt idx="5">
                  <c:v>ZP MV ČR</c:v>
                </c:pt>
                <c:pt idx="6">
                  <c:v>RBP</c:v>
                </c:pt>
              </c:strCache>
            </c:strRef>
          </c:cat>
          <c:val>
            <c:numRef>
              <c:f>'OBR 8 OBR 9'!$P$6:$P$12</c:f>
              <c:numCache>
                <c:formatCode>0.0</c:formatCode>
                <c:ptCount val="7"/>
                <c:pt idx="0">
                  <c:v>33.584313000000002</c:v>
                </c:pt>
                <c:pt idx="1">
                  <c:v>2.3238970000000001</c:v>
                </c:pt>
                <c:pt idx="2">
                  <c:v>6.4401099999999998</c:v>
                </c:pt>
                <c:pt idx="3">
                  <c:v>5.0770150000000003</c:v>
                </c:pt>
                <c:pt idx="4">
                  <c:v>1.198245</c:v>
                </c:pt>
                <c:pt idx="5">
                  <c:v>7.6887699999999999</c:v>
                </c:pt>
                <c:pt idx="6">
                  <c:v>2.2543220000000002</c:v>
                </c:pt>
              </c:numCache>
            </c:numRef>
          </c:val>
          <c:extLst>
            <c:ext xmlns:c16="http://schemas.microsoft.com/office/drawing/2014/chart" uri="{C3380CC4-5D6E-409C-BE32-E72D297353CC}">
              <c16:uniqueId val="{0000000C-7C04-8944-AADF-BBA80F3B3787}"/>
            </c:ext>
          </c:extLst>
        </c:ser>
        <c:dLbls>
          <c:showLegendKey val="0"/>
          <c:showVal val="0"/>
          <c:showCatName val="0"/>
          <c:showSerName val="0"/>
          <c:showPercent val="0"/>
          <c:showBubbleSize val="0"/>
        </c:dLbls>
        <c:gapWidth val="55"/>
        <c:axId val="72568832"/>
        <c:axId val="72570368"/>
      </c:barChart>
      <c:catAx>
        <c:axId val="72568832"/>
        <c:scaling>
          <c:orientation val="minMax"/>
        </c:scaling>
        <c:delete val="0"/>
        <c:axPos val="b"/>
        <c:majorGridlines/>
        <c:numFmt formatCode="General" sourceLinked="1"/>
        <c:majorTickMark val="none"/>
        <c:minorTickMark val="none"/>
        <c:tickLblPos val="nextTo"/>
        <c:crossAx val="72570368"/>
        <c:crosses val="autoZero"/>
        <c:auto val="1"/>
        <c:lblAlgn val="ctr"/>
        <c:lblOffset val="100"/>
        <c:noMultiLvlLbl val="0"/>
      </c:catAx>
      <c:valAx>
        <c:axId val="72570368"/>
        <c:scaling>
          <c:orientation val="minMax"/>
          <c:max val="40"/>
        </c:scaling>
        <c:delete val="0"/>
        <c:axPos val="l"/>
        <c:majorGridlines/>
        <c:minorGridlines>
          <c:spPr>
            <a:ln>
              <a:prstDash val="dash"/>
            </a:ln>
          </c:spPr>
        </c:minorGridlines>
        <c:title>
          <c:tx>
            <c:rich>
              <a:bodyPr rot="-5400000" vert="horz"/>
              <a:lstStyle/>
              <a:p>
                <a:pPr>
                  <a:defRPr/>
                </a:pPr>
                <a:r>
                  <a:rPr lang="cs-CZ"/>
                  <a:t>Zůstatky</a:t>
                </a:r>
                <a:r>
                  <a:rPr lang="cs-CZ" baseline="0"/>
                  <a:t> na BÚ </a:t>
                </a:r>
              </a:p>
              <a:p>
                <a:pPr>
                  <a:defRPr/>
                </a:pPr>
                <a:r>
                  <a:rPr lang="cs-CZ" b="0" baseline="0"/>
                  <a:t>(v mld. Kč)</a:t>
                </a:r>
                <a:endParaRPr lang="cs-CZ" b="0"/>
              </a:p>
            </c:rich>
          </c:tx>
          <c:layout>
            <c:manualLayout>
              <c:xMode val="edge"/>
              <c:yMode val="edge"/>
              <c:x val="1.7630853994490357E-2"/>
              <c:y val="0.29415946602180343"/>
            </c:manualLayout>
          </c:layout>
          <c:overlay val="0"/>
        </c:title>
        <c:numFmt formatCode="0" sourceLinked="0"/>
        <c:majorTickMark val="none"/>
        <c:minorTickMark val="none"/>
        <c:tickLblPos val="nextTo"/>
        <c:crossAx val="72568832"/>
        <c:crosses val="autoZero"/>
        <c:crossBetween val="between"/>
        <c:majorUnit val="10"/>
        <c:minorUnit val="5"/>
      </c:valAx>
    </c:plotArea>
    <c:plotVisOnly val="1"/>
    <c:dispBlanksAs val="gap"/>
    <c:showDLblsOverMax val="0"/>
  </c:chart>
  <c:spPr>
    <a:ln>
      <a:solidFill>
        <a:schemeClr val="bg1"/>
      </a:solidFill>
    </a:ln>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pieChart>
        <c:varyColors val="1"/>
        <c:ser>
          <c:idx val="0"/>
          <c:order val="0"/>
          <c:dLbls>
            <c:numFmt formatCode="0.0%" sourceLinked="0"/>
            <c:spPr>
              <a:noFill/>
              <a:ln>
                <a:noFill/>
              </a:ln>
              <a:effectLst/>
            </c:spPr>
            <c:dLblPos val="outEnd"/>
            <c:showLegendKey val="0"/>
            <c:showVal val="0"/>
            <c:showCatName val="1"/>
            <c:showSerName val="0"/>
            <c:showPercent val="1"/>
            <c:showBubbleSize val="0"/>
            <c:showLeaderLines val="1"/>
            <c:extLst>
              <c:ext xmlns:c15="http://schemas.microsoft.com/office/drawing/2012/chart" uri="{CE6537A1-D6FC-4f65-9D91-7224C49458BB}"/>
            </c:extLst>
          </c:dLbls>
          <c:cat>
            <c:strRef>
              <c:f>'OBR 8 OBR 9'!$O$6:$O$12</c:f>
              <c:strCache>
                <c:ptCount val="7"/>
                <c:pt idx="0">
                  <c:v>VZP ČR</c:v>
                </c:pt>
                <c:pt idx="1">
                  <c:v>VoZP ČR</c:v>
                </c:pt>
                <c:pt idx="2">
                  <c:v>ČPZP</c:v>
                </c:pt>
                <c:pt idx="3">
                  <c:v>OZP</c:v>
                </c:pt>
                <c:pt idx="4">
                  <c:v>ZPŠ</c:v>
                </c:pt>
                <c:pt idx="5">
                  <c:v>ZP MV ČR</c:v>
                </c:pt>
                <c:pt idx="6">
                  <c:v>RBP</c:v>
                </c:pt>
              </c:strCache>
            </c:strRef>
          </c:cat>
          <c:val>
            <c:numRef>
              <c:f>'OBR 8 OBR 9'!$Q$6:$Q$12</c:f>
              <c:numCache>
                <c:formatCode>0.0%</c:formatCode>
                <c:ptCount val="7"/>
                <c:pt idx="0">
                  <c:v>0.57343727845761838</c:v>
                </c:pt>
                <c:pt idx="1">
                  <c:v>3.967951260744336E-2</c:v>
                </c:pt>
                <c:pt idx="2">
                  <c:v>0.10996202755041296</c:v>
                </c:pt>
                <c:pt idx="3">
                  <c:v>8.6687783796217749E-2</c:v>
                </c:pt>
                <c:pt idx="4">
                  <c:v>2.0459502974661082E-2</c:v>
                </c:pt>
                <c:pt idx="5">
                  <c:v>0.13128234433399252</c:v>
                </c:pt>
                <c:pt idx="6">
                  <c:v>3.8491550279653931E-2</c:v>
                </c:pt>
              </c:numCache>
            </c:numRef>
          </c:val>
          <c:extLst>
            <c:ext xmlns:c16="http://schemas.microsoft.com/office/drawing/2014/chart" uri="{C3380CC4-5D6E-409C-BE32-E72D297353CC}">
              <c16:uniqueId val="{00000000-0FC2-934E-BE4D-6848FDC01720}"/>
            </c:ext>
          </c:extLst>
        </c:ser>
        <c:dLbls>
          <c:showLegendKey val="0"/>
          <c:showVal val="0"/>
          <c:showCatName val="1"/>
          <c:showSerName val="0"/>
          <c:showPercent val="1"/>
          <c:showBubbleSize val="0"/>
          <c:showLeaderLines val="1"/>
        </c:dLbls>
        <c:firstSliceAng val="0"/>
      </c:pieChart>
    </c:plotArea>
    <c:plotVisOnly val="1"/>
    <c:dispBlanksAs val="gap"/>
    <c:showDLblsOverMax val="0"/>
  </c:chart>
  <c:spPr>
    <a:ln>
      <a:solidFill>
        <a:schemeClr val="bg1"/>
      </a:solidFill>
    </a:ln>
  </c:spPr>
  <c:externalData r:id="rId1">
    <c:autoUpdate val="0"/>
  </c:externalData>
</c:chartSpac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F71EC-AE6F-4605-A95A-D35F86F16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40</Pages>
  <Words>11773</Words>
  <Characters>69461</Characters>
  <Application>Microsoft Office Word</Application>
  <DocSecurity>0</DocSecurity>
  <Lines>578</Lines>
  <Paragraphs>162</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81072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Gajdošová Eva Ing.</dc:creator>
  <cp:lastModifiedBy>Machová Denisa Ing.</cp:lastModifiedBy>
  <cp:revision>3</cp:revision>
  <cp:lastPrinted>2020-05-26T10:34:00Z</cp:lastPrinted>
  <dcterms:created xsi:type="dcterms:W3CDTF">2020-07-29T12:02:00Z</dcterms:created>
  <dcterms:modified xsi:type="dcterms:W3CDTF">2020-07-29T12:07:00Z</dcterms:modified>
</cp:coreProperties>
</file>