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27A" w:rsidRDefault="0061027A" w:rsidP="00DE700C">
      <w:pPr>
        <w:pStyle w:val="normln1"/>
        <w:rPr>
          <w:rStyle w:val="normln0"/>
        </w:rPr>
      </w:pPr>
    </w:p>
    <w:p w:rsidR="00E335FF" w:rsidRPr="004F4AB0" w:rsidRDefault="00A062D9" w:rsidP="00E335FF">
      <w:pPr>
        <w:pStyle w:val="normln1"/>
        <w:jc w:val="center"/>
        <w:rPr>
          <w:rStyle w:val="normln0"/>
        </w:rPr>
      </w:pPr>
      <w:r>
        <w:rPr>
          <w:rStyle w:val="normln0"/>
        </w:rPr>
        <w:t>V l á d n í    n</w:t>
      </w:r>
      <w:r w:rsidR="00386CB7" w:rsidRPr="004F4AB0">
        <w:rPr>
          <w:rStyle w:val="normln0"/>
        </w:rPr>
        <w:t xml:space="preserve"> á v r h</w:t>
      </w:r>
    </w:p>
    <w:p w:rsidR="00E335FF" w:rsidRDefault="00E335FF" w:rsidP="00E335FF">
      <w:pPr>
        <w:pStyle w:val="normln1"/>
        <w:jc w:val="center"/>
        <w:rPr>
          <w:rStyle w:val="normln0"/>
        </w:rPr>
      </w:pPr>
    </w:p>
    <w:p w:rsidR="00E335FF" w:rsidRDefault="00E335FF" w:rsidP="00E335FF">
      <w:pPr>
        <w:pStyle w:val="normln1"/>
        <w:jc w:val="center"/>
        <w:rPr>
          <w:rStyle w:val="normln0"/>
          <w:b/>
        </w:rPr>
      </w:pPr>
      <w:r>
        <w:rPr>
          <w:rStyle w:val="normln0"/>
          <w:b/>
        </w:rPr>
        <w:t xml:space="preserve">ZÁKON </w:t>
      </w:r>
    </w:p>
    <w:p w:rsidR="00E335FF" w:rsidRDefault="00E335FF" w:rsidP="00E335FF">
      <w:pPr>
        <w:pStyle w:val="normln1"/>
        <w:jc w:val="center"/>
      </w:pPr>
    </w:p>
    <w:p w:rsidR="00E335FF" w:rsidRDefault="00E335FF" w:rsidP="00E335FF">
      <w:pPr>
        <w:pStyle w:val="normln1"/>
        <w:jc w:val="center"/>
        <w:rPr>
          <w:rStyle w:val="normln0"/>
        </w:rPr>
      </w:pPr>
      <w:r>
        <w:rPr>
          <w:rStyle w:val="normln0"/>
        </w:rPr>
        <w:t>ze dne ……. 2020</w:t>
      </w:r>
      <w:r w:rsidR="00D536A9">
        <w:rPr>
          <w:rStyle w:val="normln0"/>
        </w:rPr>
        <w:t>,</w:t>
      </w:r>
    </w:p>
    <w:p w:rsidR="002017A9" w:rsidRDefault="002017A9" w:rsidP="00E335FF">
      <w:pPr>
        <w:pStyle w:val="normln1"/>
        <w:jc w:val="center"/>
        <w:rPr>
          <w:rStyle w:val="normln0"/>
        </w:rPr>
      </w:pPr>
    </w:p>
    <w:p w:rsidR="00E335FF" w:rsidRDefault="00D536A9" w:rsidP="00E335FF">
      <w:pPr>
        <w:pStyle w:val="normln1"/>
        <w:jc w:val="center"/>
        <w:rPr>
          <w:rStyle w:val="normln0"/>
          <w:b/>
        </w:rPr>
      </w:pPr>
      <w:r>
        <w:rPr>
          <w:rStyle w:val="normln0"/>
          <w:b/>
        </w:rPr>
        <w:t xml:space="preserve">kterým se mění zákon č. 133/2020 Sb., </w:t>
      </w:r>
      <w:r w:rsidR="00E335FF">
        <w:rPr>
          <w:rStyle w:val="normln0"/>
          <w:b/>
        </w:rPr>
        <w:t>o některých úpravách v sociálním zabezpečení v souvislosti s mimořádnými opatřeními při epidemii v roce 2020</w:t>
      </w:r>
    </w:p>
    <w:p w:rsidR="00E335FF" w:rsidRDefault="00E335FF" w:rsidP="00E335FF">
      <w:pPr>
        <w:pStyle w:val="normln1"/>
      </w:pPr>
    </w:p>
    <w:p w:rsidR="00E335FF" w:rsidRDefault="00E335FF" w:rsidP="00E335FF">
      <w:pPr>
        <w:pStyle w:val="normln1"/>
        <w:jc w:val="both"/>
      </w:pPr>
    </w:p>
    <w:p w:rsidR="00E335FF" w:rsidRDefault="00E335FF" w:rsidP="00E335FF">
      <w:pPr>
        <w:pStyle w:val="normln1"/>
        <w:ind w:firstLine="708"/>
        <w:jc w:val="both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D536A9" w:rsidRDefault="00D536A9" w:rsidP="00E335FF">
      <w:pPr>
        <w:pStyle w:val="normln1"/>
        <w:ind w:firstLine="708"/>
        <w:jc w:val="both"/>
        <w:rPr>
          <w:rStyle w:val="normln0"/>
        </w:rPr>
      </w:pPr>
    </w:p>
    <w:p w:rsidR="003F5AD9" w:rsidRDefault="00D536A9" w:rsidP="003F5AD9">
      <w:pPr>
        <w:pStyle w:val="normln1"/>
        <w:jc w:val="center"/>
        <w:rPr>
          <w:rStyle w:val="normln0"/>
        </w:rPr>
      </w:pPr>
      <w:r>
        <w:rPr>
          <w:rStyle w:val="normln0"/>
        </w:rPr>
        <w:t>Čl. I</w:t>
      </w:r>
    </w:p>
    <w:p w:rsidR="00FF47FD" w:rsidRDefault="00FF47FD" w:rsidP="001A453D">
      <w:pPr>
        <w:pStyle w:val="normln1"/>
        <w:ind w:firstLine="708"/>
        <w:jc w:val="both"/>
      </w:pPr>
      <w:r>
        <w:t>Zákon</w:t>
      </w:r>
      <w:r w:rsidR="00D536A9">
        <w:t xml:space="preserve"> č. 133/2020 Sb., o některých úpravách v sociálním zabezpečení v souvislosti s mimořádnými opatřeními při epidemii v roce 2020, se </w:t>
      </w:r>
      <w:r>
        <w:t>mění takto:</w:t>
      </w:r>
    </w:p>
    <w:p w:rsidR="00FF47FD" w:rsidRDefault="00FF47FD" w:rsidP="00D536A9">
      <w:pPr>
        <w:pStyle w:val="normln1"/>
        <w:jc w:val="both"/>
      </w:pPr>
    </w:p>
    <w:p w:rsidR="00FF47FD" w:rsidRDefault="00FF47FD" w:rsidP="00D536A9">
      <w:pPr>
        <w:pStyle w:val="normln1"/>
        <w:jc w:val="both"/>
      </w:pPr>
      <w:r>
        <w:t>1. V § 4 se na konci odstavce 1 doplňují slova „,</w:t>
      </w:r>
      <w:r w:rsidR="000C541A">
        <w:t xml:space="preserve"> </w:t>
      </w:r>
      <w:r>
        <w:t>nejdéle však do 30. června 2020“.</w:t>
      </w:r>
    </w:p>
    <w:p w:rsidR="00FF47FD" w:rsidRDefault="00FF47FD" w:rsidP="00D536A9">
      <w:pPr>
        <w:pStyle w:val="normln1"/>
        <w:jc w:val="both"/>
      </w:pPr>
    </w:p>
    <w:p w:rsidR="00933105" w:rsidRDefault="00FF47FD" w:rsidP="00D536A9">
      <w:pPr>
        <w:pStyle w:val="normln1"/>
        <w:jc w:val="both"/>
      </w:pPr>
      <w:r>
        <w:t>2. Z</w:t>
      </w:r>
      <w:r w:rsidR="00D536A9">
        <w:t>a § 4</w:t>
      </w:r>
      <w:r w:rsidR="00C00AD3">
        <w:t xml:space="preserve"> </w:t>
      </w:r>
      <w:r w:rsidR="00C00AD3" w:rsidRPr="00A062D9">
        <w:t>se</w:t>
      </w:r>
      <w:r w:rsidR="00D536A9" w:rsidRPr="00A062D9">
        <w:t xml:space="preserve"> </w:t>
      </w:r>
      <w:r w:rsidR="00D536A9">
        <w:t>vkládá nový § 4a, který zní:</w:t>
      </w:r>
    </w:p>
    <w:p w:rsidR="00D536A9" w:rsidRDefault="00D536A9" w:rsidP="00D536A9">
      <w:pPr>
        <w:pStyle w:val="normln1"/>
        <w:jc w:val="both"/>
      </w:pPr>
    </w:p>
    <w:p w:rsidR="00D536A9" w:rsidRDefault="00D536A9" w:rsidP="00D536A9">
      <w:pPr>
        <w:pStyle w:val="normln1"/>
        <w:jc w:val="center"/>
      </w:pPr>
      <w:r>
        <w:t>„§ 4a</w:t>
      </w:r>
    </w:p>
    <w:p w:rsidR="005B12DE" w:rsidRDefault="005B12DE" w:rsidP="00FF47FD">
      <w:pPr>
        <w:pStyle w:val="normln1"/>
        <w:jc w:val="both"/>
      </w:pPr>
    </w:p>
    <w:p w:rsidR="00794E4E" w:rsidRDefault="00D536A9" w:rsidP="00DA74BB">
      <w:pPr>
        <w:pStyle w:val="normln1"/>
        <w:ind w:left="142" w:firstLine="424"/>
        <w:jc w:val="both"/>
      </w:pPr>
      <w:r>
        <w:t>Výše ošetřovného za kalendářní den</w:t>
      </w:r>
      <w:r w:rsidR="006C7027">
        <w:t xml:space="preserve"> činí od 1. dubna </w:t>
      </w:r>
      <w:r w:rsidR="00415B6B" w:rsidRPr="00D10CCA">
        <w:t>2020</w:t>
      </w:r>
      <w:r w:rsidR="009C3637">
        <w:t xml:space="preserve"> </w:t>
      </w:r>
      <w:r w:rsidR="000C541A" w:rsidRPr="00D10CCA">
        <w:t xml:space="preserve">do 30. června 2020 </w:t>
      </w:r>
      <w:r w:rsidR="00FF47FD" w:rsidRPr="00D10CCA">
        <w:t>80</w:t>
      </w:r>
      <w:r w:rsidR="000629AD">
        <w:t> </w:t>
      </w:r>
      <w:r w:rsidR="00FF47FD">
        <w:t>%</w:t>
      </w:r>
      <w:r w:rsidR="000629AD">
        <w:t> </w:t>
      </w:r>
      <w:r w:rsidR="00FF47FD">
        <w:t xml:space="preserve">denního vyměřovacího </w:t>
      </w:r>
      <w:r w:rsidR="006C7027">
        <w:t>základu</w:t>
      </w:r>
      <w:r w:rsidR="001C438D">
        <w:t>.“.</w:t>
      </w:r>
    </w:p>
    <w:p w:rsidR="003F6F42" w:rsidRDefault="003F6F42" w:rsidP="00FF47FD">
      <w:pPr>
        <w:pStyle w:val="normln1"/>
        <w:jc w:val="both"/>
      </w:pPr>
    </w:p>
    <w:p w:rsidR="00DE700C" w:rsidRDefault="00DE700C" w:rsidP="00FF47FD">
      <w:pPr>
        <w:pStyle w:val="normln1"/>
        <w:jc w:val="both"/>
      </w:pPr>
      <w:r>
        <w:t>3. V § 5 odst. 3 se za slov</w:t>
      </w:r>
      <w:r w:rsidR="00E2167A">
        <w:t>a</w:t>
      </w:r>
      <w:r>
        <w:t xml:space="preserve"> </w:t>
      </w:r>
      <w:r w:rsidR="00E2167A">
        <w:t>„</w:t>
      </w:r>
      <w:r>
        <w:t>při epidemii</w:t>
      </w:r>
      <w:r w:rsidR="00E2167A">
        <w:t>“</w:t>
      </w:r>
      <w:r>
        <w:t xml:space="preserve"> vkládají slova „,</w:t>
      </w:r>
      <w:r w:rsidR="000C541A">
        <w:t xml:space="preserve"> </w:t>
      </w:r>
      <w:r>
        <w:t>nejdéle však do 30. června 2020“.</w:t>
      </w:r>
    </w:p>
    <w:p w:rsidR="00DE700C" w:rsidRDefault="00DE700C" w:rsidP="00FF47FD">
      <w:pPr>
        <w:pStyle w:val="normln1"/>
        <w:jc w:val="both"/>
      </w:pPr>
    </w:p>
    <w:p w:rsidR="006C7027" w:rsidRDefault="006C7027" w:rsidP="006C7027">
      <w:pPr>
        <w:pStyle w:val="normln1"/>
        <w:ind w:left="300"/>
        <w:jc w:val="both"/>
      </w:pPr>
    </w:p>
    <w:p w:rsidR="006C7027" w:rsidRDefault="006C7027" w:rsidP="006C7027">
      <w:pPr>
        <w:pStyle w:val="normln1"/>
        <w:ind w:left="300"/>
        <w:jc w:val="center"/>
      </w:pPr>
      <w:r>
        <w:t>Čl. II</w:t>
      </w:r>
    </w:p>
    <w:p w:rsidR="006C7027" w:rsidRDefault="00EA259F" w:rsidP="006C7027">
      <w:pPr>
        <w:pStyle w:val="normln1"/>
        <w:ind w:left="300"/>
        <w:jc w:val="center"/>
        <w:rPr>
          <w:b/>
        </w:rPr>
      </w:pPr>
      <w:r>
        <w:rPr>
          <w:b/>
        </w:rPr>
        <w:t>Přechodné</w:t>
      </w:r>
      <w:r w:rsidRPr="006C7027">
        <w:rPr>
          <w:b/>
        </w:rPr>
        <w:t xml:space="preserve"> </w:t>
      </w:r>
      <w:r w:rsidR="006C7027" w:rsidRPr="006C7027">
        <w:rPr>
          <w:b/>
        </w:rPr>
        <w:t>ustanovení</w:t>
      </w:r>
    </w:p>
    <w:p w:rsidR="006C7027" w:rsidRDefault="006C7027" w:rsidP="0061027A">
      <w:pPr>
        <w:pStyle w:val="normln1"/>
        <w:rPr>
          <w:b/>
        </w:rPr>
      </w:pPr>
    </w:p>
    <w:p w:rsidR="006C7027" w:rsidRPr="00A062D9" w:rsidRDefault="006C7027" w:rsidP="00441652">
      <w:pPr>
        <w:pStyle w:val="normln1"/>
        <w:ind w:left="142" w:firstLine="708"/>
        <w:jc w:val="both"/>
      </w:pPr>
      <w:r w:rsidRPr="00A062D9">
        <w:t>Ošetřovné vyplacené</w:t>
      </w:r>
      <w:r w:rsidR="002E7E2D" w:rsidRPr="007D751A">
        <w:t xml:space="preserve"> za kalendářní dny v období</w:t>
      </w:r>
      <w:r w:rsidR="00C00AD3" w:rsidRPr="00A062D9">
        <w:t xml:space="preserve"> od</w:t>
      </w:r>
      <w:r w:rsidR="00F03559" w:rsidRPr="00A062D9">
        <w:t>e dne</w:t>
      </w:r>
      <w:r w:rsidR="00C00AD3" w:rsidRPr="00A062D9">
        <w:t xml:space="preserve"> 1. dubna 2020</w:t>
      </w:r>
      <w:r w:rsidR="00F03559" w:rsidRPr="00A062D9">
        <w:t xml:space="preserve"> do dne nabytí účinnosti tohoto zákona</w:t>
      </w:r>
      <w:r w:rsidRPr="00A062D9">
        <w:t xml:space="preserve"> v nižší výši, než</w:t>
      </w:r>
      <w:r w:rsidR="0061027A" w:rsidRPr="00A062D9">
        <w:t xml:space="preserve"> je výše ošetřovného stanovená podle § 4a zákona č.  133/2020 Sb., ve znění účinném ode dne nabytí účinnosti tohoto zák</w:t>
      </w:r>
      <w:r w:rsidR="00415B6B" w:rsidRPr="00A062D9">
        <w:t>ona, se bez žádosti doplatí do 3</w:t>
      </w:r>
      <w:r w:rsidR="0061027A" w:rsidRPr="00A062D9">
        <w:t>0 dnů ode dne nabytí účinnosti tohoto zákona.</w:t>
      </w:r>
    </w:p>
    <w:p w:rsidR="00DA74BB" w:rsidRDefault="00DA74BB" w:rsidP="0061027A">
      <w:pPr>
        <w:pStyle w:val="normln1"/>
        <w:rPr>
          <w:b/>
        </w:rPr>
      </w:pPr>
    </w:p>
    <w:p w:rsidR="002E7E2D" w:rsidRPr="006C7027" w:rsidRDefault="002E7E2D" w:rsidP="0061027A">
      <w:pPr>
        <w:pStyle w:val="normln1"/>
        <w:rPr>
          <w:b/>
        </w:rPr>
      </w:pPr>
    </w:p>
    <w:p w:rsidR="00386CB7" w:rsidRPr="003F5AD9" w:rsidRDefault="00D536A9" w:rsidP="003F5AD9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III</w:t>
      </w:r>
    </w:p>
    <w:p w:rsidR="00386CB7" w:rsidRPr="00386CB7" w:rsidRDefault="00386CB7" w:rsidP="00E15621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CB7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386CB7" w:rsidRDefault="00386CB7" w:rsidP="00E15621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0F776E" w:rsidRDefault="00E15621" w:rsidP="0073487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zákon nabývá účinnosti dnem </w:t>
      </w:r>
      <w:r w:rsidR="00293B30">
        <w:rPr>
          <w:rFonts w:ascii="Times New Roman" w:hAnsi="Times New Roman" w:cs="Times New Roman"/>
          <w:sz w:val="24"/>
          <w:szCs w:val="24"/>
        </w:rPr>
        <w:t xml:space="preserve">jeho </w:t>
      </w:r>
      <w:r>
        <w:rPr>
          <w:rFonts w:ascii="Times New Roman" w:hAnsi="Times New Roman" w:cs="Times New Roman"/>
          <w:sz w:val="24"/>
          <w:szCs w:val="24"/>
        </w:rPr>
        <w:t>vyhlášení.</w:t>
      </w:r>
    </w:p>
    <w:p w:rsidR="002E6FC2" w:rsidRDefault="002E6FC2" w:rsidP="0073487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Default="002E6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6FC2" w:rsidRDefault="002E6FC2" w:rsidP="002E6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DC">
        <w:rPr>
          <w:rFonts w:ascii="Times New Roman" w:hAnsi="Times New Roman" w:cs="Times New Roman"/>
          <w:b/>
          <w:sz w:val="28"/>
          <w:szCs w:val="28"/>
        </w:rPr>
        <w:lastRenderedPageBreak/>
        <w:t>Důvodová zpráva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A6">
        <w:rPr>
          <w:rFonts w:ascii="Times New Roman" w:hAnsi="Times New Roman" w:cs="Times New Roman"/>
          <w:b/>
          <w:sz w:val="24"/>
          <w:szCs w:val="24"/>
        </w:rPr>
        <w:t xml:space="preserve">Obecná část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 w:rsidRPr="006B0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FC2" w:rsidRPr="00C2498D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2498D">
        <w:rPr>
          <w:rFonts w:ascii="Times New Roman" w:hAnsi="Times New Roman" w:cs="Times New Roman"/>
          <w:b/>
          <w:sz w:val="24"/>
          <w:szCs w:val="24"/>
        </w:rPr>
        <w:t xml:space="preserve">Zhodnocení platného právního stavu </w:t>
      </w:r>
    </w:p>
    <w:p w:rsidR="002E6FC2" w:rsidRPr="006B0DA6" w:rsidRDefault="002E6FC2" w:rsidP="002E6FC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V</w:t>
      </w:r>
      <w:r w:rsidRPr="006B0DA6">
        <w:rPr>
          <w:rFonts w:ascii="Times New Roman" w:hAnsi="Times New Roman" w:cs="Times New Roman"/>
          <w:sz w:val="24"/>
          <w:szCs w:val="24"/>
        </w:rPr>
        <w:t> souvislosti se vznikem a rozšíření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B0DA6">
        <w:rPr>
          <w:rFonts w:ascii="Times New Roman" w:hAnsi="Times New Roman" w:cs="Times New Roman"/>
          <w:sz w:val="24"/>
          <w:szCs w:val="24"/>
        </w:rPr>
        <w:t xml:space="preserve"> onemocnění COVID-19 způsobené novým koronavirem SARS-CoV-2</w:t>
      </w:r>
      <w:r w:rsidRPr="002D42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byla přijata mimořádná opatření při epidemii, mimo jiné </w:t>
      </w:r>
      <w:r w:rsidRPr="006B0DA6">
        <w:rPr>
          <w:rFonts w:ascii="Times New Roman" w:hAnsi="Times New Roman" w:cs="Times New Roman"/>
          <w:sz w:val="24"/>
          <w:szCs w:val="24"/>
        </w:rPr>
        <w:t xml:space="preserve">také zákaz výuky na základních, středních, vysokých i vyšších odborných školách. </w:t>
      </w:r>
      <w:r>
        <w:rPr>
          <w:rFonts w:ascii="Times New Roman" w:hAnsi="Times New Roman" w:cs="Times New Roman"/>
          <w:sz w:val="24"/>
          <w:szCs w:val="24"/>
        </w:rPr>
        <w:t xml:space="preserve">S cílem zajištění péče o děti, na něž dopadají tato opatření, </w:t>
      </w:r>
      <w:r w:rsidRPr="004F2505">
        <w:rPr>
          <w:rFonts w:ascii="Times New Roman" w:hAnsi="Times New Roman" w:cs="Times New Roman"/>
          <w:sz w:val="24"/>
          <w:szCs w:val="24"/>
        </w:rPr>
        <w:t>po dobu uzavření školních a dětských</w:t>
      </w:r>
      <w:r>
        <w:rPr>
          <w:rFonts w:ascii="Times New Roman" w:hAnsi="Times New Roman" w:cs="Times New Roman"/>
          <w:sz w:val="24"/>
          <w:szCs w:val="24"/>
        </w:rPr>
        <w:t xml:space="preserve"> zařízení a s řešením související otázky finančního zabezpečení rodičů přijal Parlament ČR z</w:t>
      </w:r>
      <w:r w:rsidRPr="0020238B">
        <w:rPr>
          <w:rFonts w:ascii="Times New Roman" w:hAnsi="Times New Roman" w:cs="Times New Roman"/>
          <w:sz w:val="24"/>
          <w:szCs w:val="24"/>
        </w:rPr>
        <w:t>ákon č. 133/2020 Sb., o některých úpravách v sociálním zabezpečení v souvislosti s mimořádnými opatřeními při epidemii v roce 2020</w:t>
      </w:r>
      <w:r>
        <w:rPr>
          <w:rFonts w:ascii="Times New Roman" w:hAnsi="Times New Roman" w:cs="Times New Roman"/>
          <w:sz w:val="24"/>
          <w:szCs w:val="24"/>
        </w:rPr>
        <w:t>, kterým byla prodloužena podpůrčí doba ošetřovného z titulu uzavření škol a jiných zařízení na celou dobu trvání opatření.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0DA6">
        <w:rPr>
          <w:rFonts w:ascii="Times New Roman" w:hAnsi="Times New Roman" w:cs="Times New Roman"/>
          <w:sz w:val="24"/>
          <w:szCs w:val="24"/>
        </w:rPr>
        <w:t>Vzhledem ke skutečnosti, že se jedná o celoplošné mimořádné opatření</w:t>
      </w:r>
      <w:r>
        <w:rPr>
          <w:rFonts w:ascii="Times New Roman" w:hAnsi="Times New Roman" w:cs="Times New Roman"/>
          <w:sz w:val="24"/>
          <w:szCs w:val="24"/>
        </w:rPr>
        <w:t>, u kterého se ukazuje, že velká část rodin s dětmi je závislá na této dávce nemocenského pojištění, dostává se řada rodin s dětmi do napjaté ekonomické situace, kdy z delšího hlediska již výše dávky nestačí pokrýt základní životní výdaje a potřeby těchto rodin, obzvláště jedná-li se o rodiny samoživitelů</w:t>
      </w:r>
      <w:r w:rsidRPr="006B0DA6">
        <w:rPr>
          <w:rFonts w:ascii="Times New Roman" w:hAnsi="Times New Roman" w:cs="Times New Roman"/>
          <w:sz w:val="24"/>
          <w:szCs w:val="24"/>
        </w:rPr>
        <w:t>.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0DA6">
        <w:rPr>
          <w:rFonts w:ascii="Times New Roman" w:hAnsi="Times New Roman" w:cs="Times New Roman"/>
          <w:sz w:val="24"/>
          <w:szCs w:val="24"/>
        </w:rPr>
        <w:t>Navrhuje se</w:t>
      </w:r>
      <w:r>
        <w:rPr>
          <w:rFonts w:ascii="Times New Roman" w:hAnsi="Times New Roman" w:cs="Times New Roman"/>
          <w:sz w:val="24"/>
          <w:szCs w:val="24"/>
        </w:rPr>
        <w:t xml:space="preserve"> proto</w:t>
      </w:r>
      <w:r w:rsidRPr="006B0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1. dubna 2020</w:t>
      </w:r>
      <w:r w:rsidRPr="006B0DA6">
        <w:rPr>
          <w:rFonts w:ascii="Times New Roman" w:hAnsi="Times New Roman" w:cs="Times New Roman"/>
          <w:sz w:val="24"/>
          <w:szCs w:val="24"/>
        </w:rPr>
        <w:t xml:space="preserve"> po dobu </w:t>
      </w:r>
      <w:r>
        <w:rPr>
          <w:rFonts w:ascii="Times New Roman" w:hAnsi="Times New Roman" w:cs="Times New Roman"/>
          <w:sz w:val="24"/>
          <w:szCs w:val="24"/>
        </w:rPr>
        <w:t xml:space="preserve">platnosti </w:t>
      </w:r>
      <w:r w:rsidRPr="006B0DA6">
        <w:rPr>
          <w:rFonts w:ascii="Times New Roman" w:hAnsi="Times New Roman" w:cs="Times New Roman"/>
          <w:sz w:val="24"/>
          <w:szCs w:val="24"/>
        </w:rPr>
        <w:t xml:space="preserve">uvedeného mimořádného opatření </w:t>
      </w:r>
      <w:r>
        <w:rPr>
          <w:rFonts w:ascii="Times New Roman" w:hAnsi="Times New Roman" w:cs="Times New Roman"/>
          <w:sz w:val="24"/>
          <w:szCs w:val="24"/>
        </w:rPr>
        <w:t>při epidemii</w:t>
      </w:r>
      <w:r w:rsidR="00626647">
        <w:rPr>
          <w:rFonts w:ascii="Times New Roman" w:hAnsi="Times New Roman" w:cs="Times New Roman"/>
          <w:sz w:val="24"/>
          <w:szCs w:val="24"/>
        </w:rPr>
        <w:t>, nejdéle však do 30. dubna 2020,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Pr="006B0DA6">
        <w:rPr>
          <w:rFonts w:ascii="Times New Roman" w:hAnsi="Times New Roman" w:cs="Times New Roman"/>
          <w:sz w:val="24"/>
          <w:szCs w:val="24"/>
        </w:rPr>
        <w:t>prav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6B0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výši ošetřovného na 80 % denního vyměřovacího základu. Do tohoto </w:t>
      </w:r>
      <w:r w:rsidRPr="003D2F9E">
        <w:rPr>
          <w:rFonts w:ascii="Times New Roman" w:hAnsi="Times New Roman" w:cs="Times New Roman"/>
          <w:sz w:val="24"/>
          <w:szCs w:val="24"/>
        </w:rPr>
        <w:t xml:space="preserve">zvýšení </w:t>
      </w:r>
      <w:r>
        <w:rPr>
          <w:rFonts w:ascii="Times New Roman" w:hAnsi="Times New Roman" w:cs="Times New Roman"/>
          <w:sz w:val="24"/>
          <w:szCs w:val="24"/>
        </w:rPr>
        <w:t>budou zahrnuty i</w:t>
      </w:r>
      <w:r w:rsidRPr="003D2F9E">
        <w:rPr>
          <w:rFonts w:ascii="Times New Roman" w:hAnsi="Times New Roman" w:cs="Times New Roman"/>
          <w:sz w:val="24"/>
          <w:szCs w:val="24"/>
        </w:rPr>
        <w:t xml:space="preserve"> případy ošetřování a péče z jiných důvodů</w:t>
      </w:r>
      <w:r>
        <w:rPr>
          <w:rFonts w:ascii="Times New Roman" w:hAnsi="Times New Roman" w:cs="Times New Roman"/>
          <w:sz w:val="24"/>
          <w:szCs w:val="24"/>
        </w:rPr>
        <w:t xml:space="preserve"> než uz</w:t>
      </w:r>
      <w:r w:rsidR="00626647">
        <w:rPr>
          <w:rFonts w:ascii="Times New Roman" w:hAnsi="Times New Roman" w:cs="Times New Roman"/>
          <w:sz w:val="24"/>
          <w:szCs w:val="24"/>
        </w:rPr>
        <w:t xml:space="preserve">avření škol (podle § 39 odst. </w:t>
      </w:r>
      <w:r>
        <w:rPr>
          <w:rFonts w:ascii="Times New Roman" w:hAnsi="Times New Roman" w:cs="Times New Roman"/>
          <w:sz w:val="24"/>
          <w:szCs w:val="24"/>
        </w:rPr>
        <w:t>1 písm. a) zákona o nemocenském poj</w:t>
      </w:r>
      <w:r w:rsidR="00626647">
        <w:rPr>
          <w:rFonts w:ascii="Times New Roman" w:hAnsi="Times New Roman" w:cs="Times New Roman"/>
          <w:sz w:val="24"/>
          <w:szCs w:val="24"/>
        </w:rPr>
        <w:t>ištění)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D2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3D2F9E">
        <w:rPr>
          <w:rFonts w:ascii="Times New Roman" w:hAnsi="Times New Roman" w:cs="Times New Roman"/>
          <w:sz w:val="24"/>
          <w:szCs w:val="24"/>
        </w:rPr>
        <w:t>odpůrčí dob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D2F9E">
        <w:rPr>
          <w:rFonts w:ascii="Times New Roman" w:hAnsi="Times New Roman" w:cs="Times New Roman"/>
          <w:sz w:val="24"/>
          <w:szCs w:val="24"/>
        </w:rPr>
        <w:t xml:space="preserve"> 9, resp. 16 kalendářních dnů</w:t>
      </w:r>
      <w:r>
        <w:rPr>
          <w:rFonts w:ascii="Times New Roman" w:hAnsi="Times New Roman" w:cs="Times New Roman"/>
          <w:sz w:val="24"/>
          <w:szCs w:val="24"/>
        </w:rPr>
        <w:t xml:space="preserve"> se u těchto jiných případů ošetřování nemění</w:t>
      </w:r>
      <w:r w:rsidRPr="003D2F9E">
        <w:rPr>
          <w:rFonts w:ascii="Times New Roman" w:hAnsi="Times New Roman" w:cs="Times New Roman"/>
          <w:sz w:val="24"/>
          <w:szCs w:val="24"/>
        </w:rPr>
        <w:t>.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B0DA6" w:rsidRDefault="002E6FC2" w:rsidP="002E6FC2">
      <w:pPr>
        <w:pStyle w:val="Odstavecseseznamem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B0DA6">
        <w:rPr>
          <w:rFonts w:ascii="Times New Roman" w:hAnsi="Times New Roman" w:cs="Times New Roman"/>
          <w:b/>
          <w:sz w:val="24"/>
          <w:szCs w:val="24"/>
        </w:rPr>
        <w:t xml:space="preserve">Odůvodnění hlavních principů a nezbytnosti navrhované právní úpravy. 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E1701">
        <w:rPr>
          <w:rFonts w:ascii="Times New Roman" w:hAnsi="Times New Roman" w:cs="Times New Roman"/>
          <w:sz w:val="24"/>
          <w:szCs w:val="24"/>
        </w:rPr>
        <w:t xml:space="preserve">Navržené řešení má za cíl </w:t>
      </w:r>
      <w:r>
        <w:rPr>
          <w:rFonts w:ascii="Times New Roman" w:hAnsi="Times New Roman" w:cs="Times New Roman"/>
          <w:sz w:val="24"/>
          <w:szCs w:val="24"/>
        </w:rPr>
        <w:t xml:space="preserve">v rámci </w:t>
      </w:r>
      <w:r w:rsidRPr="003E1701">
        <w:rPr>
          <w:rFonts w:ascii="Times New Roman" w:hAnsi="Times New Roman" w:cs="Times New Roman"/>
          <w:sz w:val="24"/>
          <w:szCs w:val="24"/>
        </w:rPr>
        <w:t>prodlouž</w:t>
      </w:r>
      <w:r>
        <w:rPr>
          <w:rFonts w:ascii="Times New Roman" w:hAnsi="Times New Roman" w:cs="Times New Roman"/>
          <w:sz w:val="24"/>
          <w:szCs w:val="24"/>
        </w:rPr>
        <w:t>ené</w:t>
      </w:r>
      <w:r w:rsidRPr="003E1701">
        <w:rPr>
          <w:rFonts w:ascii="Times New Roman" w:hAnsi="Times New Roman" w:cs="Times New Roman"/>
          <w:sz w:val="24"/>
          <w:szCs w:val="24"/>
        </w:rPr>
        <w:t xml:space="preserve"> výplat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E1701">
        <w:rPr>
          <w:rFonts w:ascii="Times New Roman" w:hAnsi="Times New Roman" w:cs="Times New Roman"/>
          <w:sz w:val="24"/>
          <w:szCs w:val="24"/>
        </w:rPr>
        <w:t xml:space="preserve"> ošetřovného po dobu trvání mimořádného, resp.  krizového opatření, </w:t>
      </w:r>
      <w:r>
        <w:rPr>
          <w:rFonts w:ascii="Times New Roman" w:hAnsi="Times New Roman" w:cs="Times New Roman"/>
          <w:sz w:val="24"/>
          <w:szCs w:val="24"/>
        </w:rPr>
        <w:t>upravit výši ošetřovného tak, aby sociální situace rodin s dětmi nemusela být řešena dalšími sociálními dávkami</w:t>
      </w:r>
      <w:r w:rsidRPr="003E17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FC2" w:rsidRPr="003E1701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84886" w:rsidRDefault="002E6FC2" w:rsidP="002E6FC2">
      <w:pPr>
        <w:keepNext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88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886"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 ústavním pořádkem České republiky. 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0DA6">
        <w:rPr>
          <w:rFonts w:ascii="Times New Roman" w:hAnsi="Times New Roman" w:cs="Times New Roman"/>
          <w:sz w:val="24"/>
          <w:szCs w:val="24"/>
        </w:rPr>
        <w:t>Navrhovaný zákon je v souladu s ústavním pořádkem České republiky</w:t>
      </w:r>
      <w:r>
        <w:rPr>
          <w:rFonts w:ascii="Times New Roman" w:hAnsi="Times New Roman" w:cs="Times New Roman"/>
          <w:sz w:val="24"/>
          <w:szCs w:val="24"/>
        </w:rPr>
        <w:t xml:space="preserve"> a plně respektuje též Listinu základních práv a svobod</w:t>
      </w:r>
      <w:r w:rsidRPr="006B0D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B0DA6" w:rsidRDefault="002E6FC2" w:rsidP="002E6FC2">
      <w:pPr>
        <w:pStyle w:val="Odstavecseseznamem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B0DA6">
        <w:rPr>
          <w:rFonts w:ascii="Times New Roman" w:hAnsi="Times New Roman" w:cs="Times New Roman"/>
          <w:b/>
          <w:sz w:val="24"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:rsidR="002E6FC2" w:rsidRPr="001B7E09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B7E09">
        <w:rPr>
          <w:rFonts w:ascii="Times New Roman" w:hAnsi="Times New Roman" w:cs="Times New Roman"/>
          <w:sz w:val="24"/>
          <w:szCs w:val="24"/>
        </w:rPr>
        <w:t>Navrhovaný zákon je v souladu s předpisy Evropské unie, judikaturou soudních orgánů Evropské unie nebo obecnými právními zásadami práva Evropské unie.  Navrhovaná úprava specifickou úpravou ve prospěch dotčených osob nijak nenarušuje tyto předpisy a je s nimi v souladu.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C2498D" w:rsidRDefault="002E6FC2" w:rsidP="002E6FC2">
      <w:pPr>
        <w:ind w:left="360" w:hanging="2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2498D"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 mezinárodními smlouvami, jimiž je Česká republika vázána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0DA6">
        <w:rPr>
          <w:rFonts w:ascii="Times New Roman" w:hAnsi="Times New Roman" w:cs="Times New Roman"/>
          <w:sz w:val="24"/>
          <w:szCs w:val="24"/>
        </w:rPr>
        <w:t>Navrhovaný zákon je v souladu s mezinárodními smlouvami, jimiž je Česká republika vázána, podle čl. 10 Ústavy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B0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C2498D" w:rsidRDefault="002E6FC2" w:rsidP="002E6FC2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 </w:t>
      </w:r>
      <w:r w:rsidRPr="00C2498D">
        <w:rPr>
          <w:rFonts w:ascii="Times New Roman" w:hAnsi="Times New Roman" w:cs="Times New Roman"/>
          <w:b/>
          <w:sz w:val="24"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Maximální počet případů ošetřovného čerpaného z  titulu uzavření škol a jiných zařízení je odhadován na úrovni 181 tisíc případů, což představuje výdaje státního rozpočtu ve výši 3,5 mld. Kč za každých 30 kalendářních dnů výplaty ošetřovného, tj. o 0,9 mld. Kč více než při platnosti zákona č. 133/2020 Sb. bez jeho změny. Předpokládaný počet  případů</w:t>
      </w:r>
      <w:r w:rsidRPr="003D2F9E">
        <w:rPr>
          <w:rFonts w:ascii="Times New Roman" w:hAnsi="Times New Roman" w:cs="Times New Roman"/>
          <w:sz w:val="24"/>
          <w:szCs w:val="24"/>
        </w:rPr>
        <w:t xml:space="preserve"> ošetřování a péče z jiných důvodů</w:t>
      </w:r>
      <w:r>
        <w:rPr>
          <w:rFonts w:ascii="Times New Roman" w:hAnsi="Times New Roman" w:cs="Times New Roman"/>
          <w:sz w:val="24"/>
          <w:szCs w:val="24"/>
        </w:rPr>
        <w:t xml:space="preserve"> než uzavření škol činí cca 5 000 případů měsíčně, což představuje náklady na úrovni cca 6 mil. Kč měsíčně při průměrné délce ošetřování 7 kalendářních dnů.  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Sociální situace příjemců ošetřovného bude navýšením dávky na 80 % denního vyměřovacího základu posílena. Z grafu srovnávajícího výši dávky pro dávku 60 % a 80 % denního vyměřovacího základu je patrné, že v širokém pásmu výše příjmu se dávka ošetřovné bude přibližovat úrovni čisté mzdy.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ACAA4D6" wp14:editId="7B228CEA">
            <wp:extent cx="5186171" cy="2647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180" cy="2654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6FC2" w:rsidRDefault="002E6FC2" w:rsidP="002E6FC2">
      <w:pPr>
        <w:pStyle w:val="Zkladntext"/>
        <w:jc w:val="both"/>
        <w:rPr>
          <w:rFonts w:ascii="Times New Roman" w:hAnsi="Times New Roman" w:cs="Times New Roman"/>
          <w:sz w:val="20"/>
          <w:szCs w:val="20"/>
        </w:rPr>
      </w:pPr>
      <w:r w:rsidRPr="00EF144C">
        <w:rPr>
          <w:rFonts w:ascii="Times New Roman" w:hAnsi="Times New Roman" w:cs="Times New Roman"/>
          <w:sz w:val="20"/>
          <w:szCs w:val="20"/>
        </w:rPr>
        <w:t>Poznám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EF144C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: čistá mzda je stanovena  s uplatněním slevy za poplatníka.</w:t>
      </w:r>
    </w:p>
    <w:p w:rsidR="002E6FC2" w:rsidRPr="00EF144C" w:rsidRDefault="002E6FC2" w:rsidP="002E6FC2">
      <w:pPr>
        <w:pStyle w:val="Zkladntext"/>
        <w:jc w:val="both"/>
        <w:rPr>
          <w:rFonts w:ascii="Times New Roman" w:hAnsi="Times New Roman" w:cs="Times New Roman"/>
          <w:sz w:val="20"/>
          <w:szCs w:val="20"/>
        </w:rPr>
      </w:pPr>
    </w:p>
    <w:p w:rsidR="002E6FC2" w:rsidRDefault="002E6FC2" w:rsidP="002E6FC2">
      <w:pPr>
        <w:pStyle w:val="Odstavecseseznamem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B0DA6">
        <w:rPr>
          <w:rFonts w:ascii="Times New Roman" w:hAnsi="Times New Roman" w:cs="Times New Roman"/>
          <w:b/>
          <w:sz w:val="24"/>
          <w:szCs w:val="24"/>
        </w:rPr>
        <w:t>Zhodnocení dopadů navrhovaného řešení</w:t>
      </w:r>
      <w:r>
        <w:rPr>
          <w:rFonts w:ascii="Times New Roman" w:hAnsi="Times New Roman" w:cs="Times New Roman"/>
          <w:b/>
          <w:sz w:val="24"/>
          <w:szCs w:val="24"/>
        </w:rPr>
        <w:t xml:space="preserve"> ve vztahu k ochraně soukromí a </w:t>
      </w:r>
      <w:r w:rsidRPr="006B0DA6">
        <w:rPr>
          <w:rFonts w:ascii="Times New Roman" w:hAnsi="Times New Roman" w:cs="Times New Roman"/>
          <w:b/>
          <w:sz w:val="24"/>
          <w:szCs w:val="24"/>
        </w:rPr>
        <w:t xml:space="preserve">osobních údajů </w:t>
      </w:r>
    </w:p>
    <w:p w:rsidR="002E6FC2" w:rsidRPr="00C2498D" w:rsidRDefault="002E6FC2" w:rsidP="002E6FC2">
      <w:pPr>
        <w:pStyle w:val="Odstavecseseznamem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DA6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B0DA6" w:rsidRDefault="002E6FC2" w:rsidP="002E6FC2">
      <w:pPr>
        <w:pStyle w:val="Odstavecseseznamem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6B0DA6">
        <w:rPr>
          <w:rFonts w:ascii="Times New Roman" w:hAnsi="Times New Roman" w:cs="Times New Roman"/>
          <w:b/>
          <w:sz w:val="24"/>
          <w:szCs w:val="24"/>
        </w:rPr>
        <w:t xml:space="preserve">Zhodnocení korupčních rizik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B0DA6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C2498D" w:rsidRDefault="002E6FC2" w:rsidP="002E6FC2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2498D">
        <w:rPr>
          <w:rFonts w:ascii="Times New Roman" w:hAnsi="Times New Roman" w:cs="Times New Roman"/>
          <w:b/>
          <w:sz w:val="24"/>
          <w:szCs w:val="24"/>
        </w:rPr>
        <w:t>Zhodnocení dopadů na bezpečnost nebo ochranu státu  a dopady na životní prostředí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B0DA6">
        <w:rPr>
          <w:rFonts w:ascii="Times New Roman" w:hAnsi="Times New Roman" w:cs="Times New Roman"/>
          <w:sz w:val="24"/>
          <w:szCs w:val="24"/>
        </w:rPr>
        <w:t>Navrhovaný zákon nemá vliv na bezpečnost nebo obranu státu</w:t>
      </w:r>
      <w:r>
        <w:rPr>
          <w:rFonts w:ascii="Times New Roman" w:hAnsi="Times New Roman" w:cs="Times New Roman"/>
          <w:sz w:val="24"/>
          <w:szCs w:val="24"/>
        </w:rPr>
        <w:t xml:space="preserve"> ani na životní prostředí</w:t>
      </w:r>
      <w:r w:rsidRPr="006B0D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7C153F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53F">
        <w:rPr>
          <w:rFonts w:ascii="Times New Roman" w:hAnsi="Times New Roman" w:cs="Times New Roman"/>
          <w:b/>
          <w:sz w:val="24"/>
          <w:szCs w:val="24"/>
        </w:rPr>
        <w:t>10. Způsob projednání návrhu zákona</w:t>
      </w:r>
    </w:p>
    <w:p w:rsidR="002E6FC2" w:rsidRPr="006B0DA6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C153F">
        <w:rPr>
          <w:rFonts w:ascii="Times New Roman" w:hAnsi="Times New Roman" w:cs="Times New Roman"/>
          <w:sz w:val="24"/>
          <w:szCs w:val="24"/>
        </w:rPr>
        <w:t xml:space="preserve">Současně s předložením návrhu </w:t>
      </w:r>
      <w:r>
        <w:rPr>
          <w:rFonts w:ascii="Times New Roman" w:hAnsi="Times New Roman" w:cs="Times New Roman"/>
          <w:sz w:val="24"/>
          <w:szCs w:val="24"/>
        </w:rPr>
        <w:t xml:space="preserve">tohoto </w:t>
      </w:r>
      <w:r w:rsidRPr="007C153F">
        <w:rPr>
          <w:rFonts w:ascii="Times New Roman" w:hAnsi="Times New Roman" w:cs="Times New Roman"/>
          <w:sz w:val="24"/>
          <w:szCs w:val="24"/>
        </w:rPr>
        <w:t>zákona se předseda Poslanecké sněmovny Pa</w:t>
      </w:r>
      <w:r>
        <w:rPr>
          <w:rFonts w:ascii="Times New Roman" w:hAnsi="Times New Roman" w:cs="Times New Roman"/>
          <w:sz w:val="24"/>
          <w:szCs w:val="24"/>
        </w:rPr>
        <w:t xml:space="preserve">rlamentu České republiky žádá </w:t>
      </w:r>
      <w:r w:rsidRPr="007C153F">
        <w:rPr>
          <w:rFonts w:ascii="Times New Roman" w:hAnsi="Times New Roman" w:cs="Times New Roman"/>
          <w:sz w:val="24"/>
          <w:szCs w:val="24"/>
        </w:rPr>
        <w:t>o projednání návrhu zákona ve zkráceném jednání v rámci vyhláš</w:t>
      </w:r>
      <w:r>
        <w:rPr>
          <w:rFonts w:ascii="Times New Roman" w:hAnsi="Times New Roman" w:cs="Times New Roman"/>
          <w:sz w:val="24"/>
          <w:szCs w:val="24"/>
        </w:rPr>
        <w:t xml:space="preserve">eného stavu legislativní nouze </w:t>
      </w:r>
      <w:r w:rsidRPr="007C153F">
        <w:rPr>
          <w:rFonts w:ascii="Times New Roman" w:hAnsi="Times New Roman" w:cs="Times New Roman"/>
          <w:sz w:val="24"/>
          <w:szCs w:val="24"/>
        </w:rPr>
        <w:t>podle § 99 zákona o jednacím řádu Poslanecké sněmovny</w:t>
      </w:r>
      <w:r>
        <w:rPr>
          <w:rFonts w:ascii="Times New Roman" w:hAnsi="Times New Roman" w:cs="Times New Roman"/>
          <w:sz w:val="24"/>
          <w:szCs w:val="24"/>
        </w:rPr>
        <w:t xml:space="preserve">, a to vzhledem k výše uvedeným důvodům, tj. zejména  k </w:t>
      </w:r>
      <w:r w:rsidRPr="007C153F">
        <w:rPr>
          <w:rFonts w:ascii="Times New Roman" w:hAnsi="Times New Roman" w:cs="Times New Roman"/>
          <w:sz w:val="24"/>
          <w:szCs w:val="24"/>
        </w:rPr>
        <w:t>potřebě urychleně řešit situaci rodin s dětmi v návaznosti na vyhlášená mimořádná opatření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6FC2" w:rsidRPr="001B7E09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 w:rsidRPr="006B0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FC2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A6">
        <w:rPr>
          <w:rFonts w:ascii="Times New Roman" w:hAnsi="Times New Roman" w:cs="Times New Roman"/>
          <w:b/>
          <w:sz w:val="24"/>
          <w:szCs w:val="24"/>
        </w:rPr>
        <w:t xml:space="preserve">Zvláštní část </w:t>
      </w:r>
    </w:p>
    <w:p w:rsidR="00626647" w:rsidRDefault="00626647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FC2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čl. I</w:t>
      </w:r>
    </w:p>
    <w:p w:rsidR="002E6FC2" w:rsidRPr="00C2498D" w:rsidRDefault="002E6FC2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 bodům</w:t>
      </w:r>
      <w:r w:rsidRPr="00C2498D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a 3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 w:rsidRPr="00C2498D">
        <w:rPr>
          <w:rFonts w:ascii="Times New Roman" w:hAnsi="Times New Roman" w:cs="Times New Roman"/>
          <w:sz w:val="24"/>
          <w:szCs w:val="24"/>
        </w:rPr>
        <w:t xml:space="preserve">      Navrhuje se</w:t>
      </w:r>
      <w:r>
        <w:rPr>
          <w:rFonts w:ascii="Times New Roman" w:hAnsi="Times New Roman" w:cs="Times New Roman"/>
          <w:sz w:val="24"/>
          <w:szCs w:val="24"/>
        </w:rPr>
        <w:t xml:space="preserve"> stanovit nejzazší datum, do kdy lze podpůrčí dobu a služební volno prodlužovat, a to s přihlédnutím</w:t>
      </w:r>
      <w:r w:rsidRPr="00C2498D">
        <w:rPr>
          <w:rFonts w:ascii="Times New Roman" w:hAnsi="Times New Roman" w:cs="Times New Roman"/>
          <w:sz w:val="24"/>
          <w:szCs w:val="24"/>
        </w:rPr>
        <w:t xml:space="preserve"> na začátek školních prázdnin, kdy děti stejně již školu nenavštěvují.</w:t>
      </w:r>
    </w:p>
    <w:p w:rsidR="00626647" w:rsidRPr="00C2498D" w:rsidRDefault="00626647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98D">
        <w:rPr>
          <w:rFonts w:ascii="Times New Roman" w:hAnsi="Times New Roman" w:cs="Times New Roman"/>
          <w:sz w:val="24"/>
          <w:szCs w:val="24"/>
          <w:u w:val="single"/>
        </w:rPr>
        <w:t>K bodu 2</w:t>
      </w:r>
    </w:p>
    <w:p w:rsidR="00626647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 w:rsidRPr="00D17D90">
        <w:rPr>
          <w:rFonts w:ascii="Times New Roman" w:hAnsi="Times New Roman" w:cs="Times New Roman"/>
          <w:sz w:val="24"/>
          <w:szCs w:val="24"/>
        </w:rPr>
        <w:t xml:space="preserve">      Výše </w:t>
      </w:r>
      <w:r>
        <w:rPr>
          <w:rFonts w:ascii="Times New Roman" w:hAnsi="Times New Roman" w:cs="Times New Roman"/>
          <w:sz w:val="24"/>
          <w:szCs w:val="24"/>
        </w:rPr>
        <w:t>ošetřovného, které podle zákon</w:t>
      </w:r>
      <w:r w:rsidRPr="00D17D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D90">
        <w:rPr>
          <w:rFonts w:ascii="Times New Roman" w:hAnsi="Times New Roman" w:cs="Times New Roman"/>
          <w:sz w:val="24"/>
          <w:szCs w:val="24"/>
        </w:rPr>
        <w:t>o nemoce</w:t>
      </w:r>
      <w:r>
        <w:rPr>
          <w:rFonts w:ascii="Times New Roman" w:hAnsi="Times New Roman" w:cs="Times New Roman"/>
          <w:sz w:val="24"/>
          <w:szCs w:val="24"/>
        </w:rPr>
        <w:t>ns</w:t>
      </w:r>
      <w:r w:rsidRPr="00D17D90">
        <w:rPr>
          <w:rFonts w:ascii="Times New Roman" w:hAnsi="Times New Roman" w:cs="Times New Roman"/>
          <w:sz w:val="24"/>
          <w:szCs w:val="24"/>
        </w:rPr>
        <w:t>kém pojištění činí 60 % denního vyměřovacího základu, se</w:t>
      </w:r>
      <w:r>
        <w:rPr>
          <w:rFonts w:ascii="Times New Roman" w:hAnsi="Times New Roman" w:cs="Times New Roman"/>
          <w:sz w:val="24"/>
          <w:szCs w:val="24"/>
        </w:rPr>
        <w:t xml:space="preserve"> navrhuje zvýšit od 1. dubna 2020 na 80 % denního vyměřovacího zákl</w:t>
      </w:r>
      <w:r w:rsidR="00626647">
        <w:rPr>
          <w:rFonts w:ascii="Times New Roman" w:hAnsi="Times New Roman" w:cs="Times New Roman"/>
          <w:sz w:val="24"/>
          <w:szCs w:val="24"/>
        </w:rPr>
        <w:t>adu</w:t>
      </w:r>
      <w:r>
        <w:rPr>
          <w:rFonts w:ascii="Times New Roman" w:hAnsi="Times New Roman" w:cs="Times New Roman"/>
          <w:sz w:val="24"/>
          <w:szCs w:val="24"/>
        </w:rPr>
        <w:t>. Tato zvýšená sazba bude platit podle § 1 odst. 2 zákona č. 133/2020 Sb. po dobu mimořádných opatření při epidemii</w:t>
      </w:r>
      <w:r w:rsidR="00626647">
        <w:rPr>
          <w:rFonts w:ascii="Times New Roman" w:hAnsi="Times New Roman" w:cs="Times New Roman"/>
          <w:sz w:val="24"/>
          <w:szCs w:val="24"/>
        </w:rPr>
        <w:t>, nejdéle však do 30. června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647" w:rsidRDefault="00626647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Pr="00626647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D90">
        <w:rPr>
          <w:rFonts w:ascii="Times New Roman" w:hAnsi="Times New Roman" w:cs="Times New Roman"/>
          <w:b/>
          <w:sz w:val="24"/>
          <w:szCs w:val="24"/>
        </w:rPr>
        <w:t>K čl. II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V případě, že ošetřovné náležející za dobu od 1. dubna 2020 </w:t>
      </w:r>
      <w:r w:rsidR="00626647">
        <w:rPr>
          <w:rFonts w:ascii="Times New Roman" w:hAnsi="Times New Roman" w:cs="Times New Roman"/>
          <w:sz w:val="24"/>
          <w:szCs w:val="24"/>
        </w:rPr>
        <w:t xml:space="preserve">do dne nabytí účinnosti tohoto zákona </w:t>
      </w:r>
      <w:r>
        <w:rPr>
          <w:rFonts w:ascii="Times New Roman" w:hAnsi="Times New Roman" w:cs="Times New Roman"/>
          <w:sz w:val="24"/>
          <w:szCs w:val="24"/>
        </w:rPr>
        <w:t>ve zvýšené výši již bylo vyplaceno, doplatí se bez žádosti ve lhůtě 30 dnů (tato lhůta platí obecně pro výplatu dávek podle § 110 zákona o nemocenském pojištění).</w:t>
      </w: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FC2" w:rsidRDefault="002E6FC2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FC2" w:rsidRDefault="00626647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E6FC2" w:rsidRDefault="002E6FC2" w:rsidP="002E6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8C2">
        <w:rPr>
          <w:rFonts w:ascii="Times New Roman" w:hAnsi="Times New Roman" w:cs="Times New Roman"/>
          <w:b/>
          <w:sz w:val="24"/>
          <w:szCs w:val="24"/>
        </w:rPr>
        <w:t>K čl. III</w:t>
      </w:r>
    </w:p>
    <w:p w:rsidR="002E6FC2" w:rsidRPr="00F96285" w:rsidRDefault="002E6FC2" w:rsidP="002E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017A9">
        <w:rPr>
          <w:rFonts w:ascii="Times New Roman" w:hAnsi="Times New Roman" w:cs="Times New Roman"/>
          <w:sz w:val="24"/>
          <w:szCs w:val="24"/>
        </w:rPr>
        <w:t xml:space="preserve">   Účinnost zákona se navrhuje </w:t>
      </w:r>
      <w:r>
        <w:rPr>
          <w:rFonts w:ascii="Times New Roman" w:hAnsi="Times New Roman" w:cs="Times New Roman"/>
          <w:sz w:val="24"/>
          <w:szCs w:val="24"/>
        </w:rPr>
        <w:t>z důvodu naléhavosti dnem vyhlášení, což umožňuje § 3 odst. 4 věta druhá zákona o Sbírce zákonů a Sbírce mezinárodních smluv.</w:t>
      </w:r>
    </w:p>
    <w:p w:rsidR="002E6FC2" w:rsidRPr="00DB58C2" w:rsidRDefault="002E6FC2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6FC2" w:rsidRPr="00C2498D" w:rsidRDefault="002E6FC2" w:rsidP="002E6F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4C04AB" w:rsidRPr="00AA7F3F" w:rsidRDefault="004C04AB" w:rsidP="004C04A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7F3F">
        <w:rPr>
          <w:rFonts w:ascii="Times New Roman" w:hAnsi="Times New Roman" w:cs="Times New Roman"/>
          <w:sz w:val="24"/>
          <w:szCs w:val="24"/>
        </w:rPr>
        <w:t xml:space="preserve">V Praze dne </w:t>
      </w:r>
      <w:r>
        <w:rPr>
          <w:rFonts w:ascii="Times New Roman" w:hAnsi="Times New Roman" w:cs="Times New Roman"/>
          <w:sz w:val="24"/>
          <w:szCs w:val="24"/>
        </w:rPr>
        <w:t>17. dubna 2020</w:t>
      </w:r>
    </w:p>
    <w:p w:rsidR="004C04AB" w:rsidRPr="00AA7F3F" w:rsidRDefault="004C04AB" w:rsidP="004C04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04AB" w:rsidRPr="00AA7F3F" w:rsidRDefault="004C04AB" w:rsidP="004C04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8CD" w:rsidRDefault="00BB38CD" w:rsidP="00BB38C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</w:t>
      </w:r>
    </w:p>
    <w:p w:rsidR="00BB38CD" w:rsidRDefault="00BB38CD" w:rsidP="00BB38C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Andrej Babiš  v.r.</w:t>
      </w:r>
    </w:p>
    <w:p w:rsidR="00BB38CD" w:rsidRDefault="00BB38CD" w:rsidP="00BB38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8CD" w:rsidRDefault="00BB38CD" w:rsidP="00BB38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8CD" w:rsidRDefault="00BB38CD" w:rsidP="00BB38C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Ministryně práce a sociálních věcí:</w:t>
      </w:r>
    </w:p>
    <w:p w:rsidR="00BB38CD" w:rsidRDefault="00BB38CD" w:rsidP="00BB38CD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Dipl.-Pol. Jana Maláčová, MSc.  v.r.</w:t>
      </w:r>
    </w:p>
    <w:p w:rsidR="002E6FC2" w:rsidRDefault="002E6FC2" w:rsidP="002E6FC2">
      <w:bookmarkStart w:id="0" w:name="_GoBack"/>
      <w:bookmarkEnd w:id="0"/>
    </w:p>
    <w:p w:rsidR="002E6FC2" w:rsidRDefault="002E6FC2" w:rsidP="00734870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E6FC2" w:rsidSect="00A76468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FE" w:rsidRDefault="00E544FE" w:rsidP="005E762E">
      <w:pPr>
        <w:spacing w:after="0" w:line="240" w:lineRule="auto"/>
      </w:pPr>
      <w:r>
        <w:separator/>
      </w:r>
    </w:p>
  </w:endnote>
  <w:endnote w:type="continuationSeparator" w:id="0">
    <w:p w:rsidR="00E544FE" w:rsidRDefault="00E544FE" w:rsidP="005E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629149"/>
      <w:docPartObj>
        <w:docPartGallery w:val="Page Numbers (Bottom of Page)"/>
        <w:docPartUnique/>
      </w:docPartObj>
    </w:sdtPr>
    <w:sdtEndPr/>
    <w:sdtContent>
      <w:p w:rsidR="00A76468" w:rsidRDefault="00A764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8CD">
          <w:rPr>
            <w:noProof/>
          </w:rPr>
          <w:t>5</w:t>
        </w:r>
        <w:r>
          <w:fldChar w:fldCharType="end"/>
        </w:r>
      </w:p>
    </w:sdtContent>
  </w:sdt>
  <w:p w:rsidR="00A76468" w:rsidRDefault="00A764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FE" w:rsidRDefault="00E544FE" w:rsidP="005E762E">
      <w:pPr>
        <w:spacing w:after="0" w:line="240" w:lineRule="auto"/>
      </w:pPr>
      <w:r>
        <w:separator/>
      </w:r>
    </w:p>
  </w:footnote>
  <w:footnote w:type="continuationSeparator" w:id="0">
    <w:p w:rsidR="00E544FE" w:rsidRDefault="00E544FE" w:rsidP="005E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F5E"/>
    <w:multiLevelType w:val="hybridMultilevel"/>
    <w:tmpl w:val="B1D4BF6C"/>
    <w:lvl w:ilvl="0" w:tplc="DCE4A59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802E9C"/>
    <w:multiLevelType w:val="hybridMultilevel"/>
    <w:tmpl w:val="6BE80F76"/>
    <w:lvl w:ilvl="0" w:tplc="89A4D9A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7D43"/>
    <w:multiLevelType w:val="hybridMultilevel"/>
    <w:tmpl w:val="6BE80F76"/>
    <w:lvl w:ilvl="0" w:tplc="89A4D9A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304442"/>
    <w:multiLevelType w:val="hybridMultilevel"/>
    <w:tmpl w:val="0E88C2F6"/>
    <w:lvl w:ilvl="0" w:tplc="7586FFC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AD87C0E"/>
    <w:multiLevelType w:val="hybridMultilevel"/>
    <w:tmpl w:val="B4EC6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33009"/>
    <w:multiLevelType w:val="hybridMultilevel"/>
    <w:tmpl w:val="2C4830F2"/>
    <w:lvl w:ilvl="0" w:tplc="9AFEA53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F26F23"/>
    <w:multiLevelType w:val="hybridMultilevel"/>
    <w:tmpl w:val="88EC4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A6810"/>
    <w:multiLevelType w:val="hybridMultilevel"/>
    <w:tmpl w:val="A82E55C6"/>
    <w:lvl w:ilvl="0" w:tplc="F014F9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081752"/>
    <w:multiLevelType w:val="hybridMultilevel"/>
    <w:tmpl w:val="5862409C"/>
    <w:lvl w:ilvl="0" w:tplc="F468BA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8B6"/>
    <w:multiLevelType w:val="hybridMultilevel"/>
    <w:tmpl w:val="0966CC3E"/>
    <w:lvl w:ilvl="0" w:tplc="9AFEA53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2502C7"/>
    <w:multiLevelType w:val="hybridMultilevel"/>
    <w:tmpl w:val="2C4830F2"/>
    <w:lvl w:ilvl="0" w:tplc="9AFEA53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C507F7"/>
    <w:multiLevelType w:val="hybridMultilevel"/>
    <w:tmpl w:val="77A67D0A"/>
    <w:lvl w:ilvl="0" w:tplc="34D416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8726A"/>
    <w:multiLevelType w:val="hybridMultilevel"/>
    <w:tmpl w:val="2D30F846"/>
    <w:lvl w:ilvl="0" w:tplc="11729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F497D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14CE7"/>
    <w:multiLevelType w:val="hybridMultilevel"/>
    <w:tmpl w:val="4ACA8406"/>
    <w:lvl w:ilvl="0" w:tplc="DCCC3652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74157"/>
    <w:multiLevelType w:val="hybridMultilevel"/>
    <w:tmpl w:val="8ECE1988"/>
    <w:lvl w:ilvl="0" w:tplc="036E081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9"/>
  </w:num>
  <w:num w:numId="10">
    <w:abstractNumId w:val="3"/>
  </w:num>
  <w:num w:numId="11">
    <w:abstractNumId w:val="15"/>
  </w:num>
  <w:num w:numId="12">
    <w:abstractNumId w:val="16"/>
  </w:num>
  <w:num w:numId="13">
    <w:abstractNumId w:val="2"/>
  </w:num>
  <w:num w:numId="14">
    <w:abstractNumId w:val="13"/>
  </w:num>
  <w:num w:numId="15">
    <w:abstractNumId w:val="12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3E"/>
    <w:rsid w:val="00000297"/>
    <w:rsid w:val="0000572B"/>
    <w:rsid w:val="00017BCE"/>
    <w:rsid w:val="0002367D"/>
    <w:rsid w:val="00025C6D"/>
    <w:rsid w:val="000629AD"/>
    <w:rsid w:val="000876BA"/>
    <w:rsid w:val="000943F4"/>
    <w:rsid w:val="000A1567"/>
    <w:rsid w:val="000A4F24"/>
    <w:rsid w:val="000C531E"/>
    <w:rsid w:val="000C541A"/>
    <w:rsid w:val="000D7E4E"/>
    <w:rsid w:val="000F776E"/>
    <w:rsid w:val="00104509"/>
    <w:rsid w:val="00106C03"/>
    <w:rsid w:val="001071C9"/>
    <w:rsid w:val="00107DC3"/>
    <w:rsid w:val="00114210"/>
    <w:rsid w:val="001168E8"/>
    <w:rsid w:val="00121DEE"/>
    <w:rsid w:val="00130387"/>
    <w:rsid w:val="00130917"/>
    <w:rsid w:val="00173945"/>
    <w:rsid w:val="00174458"/>
    <w:rsid w:val="00191CA3"/>
    <w:rsid w:val="001A453D"/>
    <w:rsid w:val="001C4302"/>
    <w:rsid w:val="001C438D"/>
    <w:rsid w:val="001D3137"/>
    <w:rsid w:val="002017A9"/>
    <w:rsid w:val="002017AB"/>
    <w:rsid w:val="0020699D"/>
    <w:rsid w:val="00247CE8"/>
    <w:rsid w:val="00254F73"/>
    <w:rsid w:val="00265B15"/>
    <w:rsid w:val="00293B30"/>
    <w:rsid w:val="002C5E6B"/>
    <w:rsid w:val="002D29C7"/>
    <w:rsid w:val="002D3739"/>
    <w:rsid w:val="002D5E5F"/>
    <w:rsid w:val="002D64A9"/>
    <w:rsid w:val="002E35C8"/>
    <w:rsid w:val="002E6FC2"/>
    <w:rsid w:val="002E7E2D"/>
    <w:rsid w:val="002F27C4"/>
    <w:rsid w:val="002F2E3C"/>
    <w:rsid w:val="002F380C"/>
    <w:rsid w:val="003211B7"/>
    <w:rsid w:val="003236C8"/>
    <w:rsid w:val="003364D0"/>
    <w:rsid w:val="00350154"/>
    <w:rsid w:val="0037795C"/>
    <w:rsid w:val="0038073E"/>
    <w:rsid w:val="0038597C"/>
    <w:rsid w:val="00386CB7"/>
    <w:rsid w:val="00391CCE"/>
    <w:rsid w:val="003A0607"/>
    <w:rsid w:val="003A7446"/>
    <w:rsid w:val="003C4F74"/>
    <w:rsid w:val="003E3459"/>
    <w:rsid w:val="003F5AD9"/>
    <w:rsid w:val="003F6F42"/>
    <w:rsid w:val="00412B2D"/>
    <w:rsid w:val="00415B6B"/>
    <w:rsid w:val="004224DF"/>
    <w:rsid w:val="00430464"/>
    <w:rsid w:val="004317B3"/>
    <w:rsid w:val="00441652"/>
    <w:rsid w:val="0046605E"/>
    <w:rsid w:val="00480D0F"/>
    <w:rsid w:val="00490C21"/>
    <w:rsid w:val="004B57E5"/>
    <w:rsid w:val="004C04AB"/>
    <w:rsid w:val="004F4AB0"/>
    <w:rsid w:val="00503471"/>
    <w:rsid w:val="0050383F"/>
    <w:rsid w:val="005413FE"/>
    <w:rsid w:val="005423A6"/>
    <w:rsid w:val="00542712"/>
    <w:rsid w:val="00566CB7"/>
    <w:rsid w:val="005673F0"/>
    <w:rsid w:val="005806B2"/>
    <w:rsid w:val="00595E75"/>
    <w:rsid w:val="005B12DE"/>
    <w:rsid w:val="005E4B75"/>
    <w:rsid w:val="005E762E"/>
    <w:rsid w:val="00606AAB"/>
    <w:rsid w:val="0061027A"/>
    <w:rsid w:val="00622A0F"/>
    <w:rsid w:val="00626647"/>
    <w:rsid w:val="00627B47"/>
    <w:rsid w:val="00636BBE"/>
    <w:rsid w:val="00646D18"/>
    <w:rsid w:val="0065759C"/>
    <w:rsid w:val="006B4406"/>
    <w:rsid w:val="006B444A"/>
    <w:rsid w:val="006B6405"/>
    <w:rsid w:val="006C02B1"/>
    <w:rsid w:val="006C5E67"/>
    <w:rsid w:val="006C7027"/>
    <w:rsid w:val="006E1981"/>
    <w:rsid w:val="006F4061"/>
    <w:rsid w:val="0071587D"/>
    <w:rsid w:val="00717C6A"/>
    <w:rsid w:val="007219F4"/>
    <w:rsid w:val="00734870"/>
    <w:rsid w:val="00734910"/>
    <w:rsid w:val="00734B23"/>
    <w:rsid w:val="00743FEE"/>
    <w:rsid w:val="00761726"/>
    <w:rsid w:val="0077728C"/>
    <w:rsid w:val="00794E4E"/>
    <w:rsid w:val="00797DF6"/>
    <w:rsid w:val="007D3C6C"/>
    <w:rsid w:val="007D5D51"/>
    <w:rsid w:val="007D751A"/>
    <w:rsid w:val="00813556"/>
    <w:rsid w:val="0081669F"/>
    <w:rsid w:val="00822A80"/>
    <w:rsid w:val="00831CEA"/>
    <w:rsid w:val="00842DDD"/>
    <w:rsid w:val="00845431"/>
    <w:rsid w:val="0084580B"/>
    <w:rsid w:val="0085069B"/>
    <w:rsid w:val="008525A5"/>
    <w:rsid w:val="00872F13"/>
    <w:rsid w:val="00883A54"/>
    <w:rsid w:val="00885F97"/>
    <w:rsid w:val="008A108B"/>
    <w:rsid w:val="008B23C4"/>
    <w:rsid w:val="008B5740"/>
    <w:rsid w:val="008D0233"/>
    <w:rsid w:val="008E5FC3"/>
    <w:rsid w:val="008E5FD2"/>
    <w:rsid w:val="008E7609"/>
    <w:rsid w:val="00933105"/>
    <w:rsid w:val="00933635"/>
    <w:rsid w:val="00945E3A"/>
    <w:rsid w:val="00961C1A"/>
    <w:rsid w:val="009674AF"/>
    <w:rsid w:val="00980028"/>
    <w:rsid w:val="009801D1"/>
    <w:rsid w:val="00985A9F"/>
    <w:rsid w:val="00993DE6"/>
    <w:rsid w:val="0099479D"/>
    <w:rsid w:val="009A051B"/>
    <w:rsid w:val="009B0632"/>
    <w:rsid w:val="009C3637"/>
    <w:rsid w:val="009D4704"/>
    <w:rsid w:val="009F7D87"/>
    <w:rsid w:val="00A01770"/>
    <w:rsid w:val="00A01FC2"/>
    <w:rsid w:val="00A02781"/>
    <w:rsid w:val="00A062D9"/>
    <w:rsid w:val="00A160B4"/>
    <w:rsid w:val="00A43DE5"/>
    <w:rsid w:val="00A76468"/>
    <w:rsid w:val="00A821B7"/>
    <w:rsid w:val="00A836B0"/>
    <w:rsid w:val="00AA044D"/>
    <w:rsid w:val="00AA67A3"/>
    <w:rsid w:val="00AA7F3F"/>
    <w:rsid w:val="00AC6902"/>
    <w:rsid w:val="00AE4BB7"/>
    <w:rsid w:val="00AE50A5"/>
    <w:rsid w:val="00AE62C0"/>
    <w:rsid w:val="00AF267F"/>
    <w:rsid w:val="00B20FE4"/>
    <w:rsid w:val="00B4727A"/>
    <w:rsid w:val="00B52409"/>
    <w:rsid w:val="00B5407F"/>
    <w:rsid w:val="00B67CF6"/>
    <w:rsid w:val="00B82958"/>
    <w:rsid w:val="00B9081F"/>
    <w:rsid w:val="00B92BBD"/>
    <w:rsid w:val="00BA3696"/>
    <w:rsid w:val="00BB05AE"/>
    <w:rsid w:val="00BB12BF"/>
    <w:rsid w:val="00BB38CD"/>
    <w:rsid w:val="00BB76F9"/>
    <w:rsid w:val="00BC0809"/>
    <w:rsid w:val="00BC16AD"/>
    <w:rsid w:val="00BC524A"/>
    <w:rsid w:val="00BD3F94"/>
    <w:rsid w:val="00BE1C34"/>
    <w:rsid w:val="00BF6CFC"/>
    <w:rsid w:val="00C00AD3"/>
    <w:rsid w:val="00C05A4D"/>
    <w:rsid w:val="00C179FF"/>
    <w:rsid w:val="00C33DAC"/>
    <w:rsid w:val="00C41B59"/>
    <w:rsid w:val="00C472BF"/>
    <w:rsid w:val="00C70F8C"/>
    <w:rsid w:val="00C71BCC"/>
    <w:rsid w:val="00C7480F"/>
    <w:rsid w:val="00C765F9"/>
    <w:rsid w:val="00C846B1"/>
    <w:rsid w:val="00CE1DAB"/>
    <w:rsid w:val="00CE39AF"/>
    <w:rsid w:val="00D06DD4"/>
    <w:rsid w:val="00D10CCA"/>
    <w:rsid w:val="00D248FB"/>
    <w:rsid w:val="00D32EA3"/>
    <w:rsid w:val="00D42449"/>
    <w:rsid w:val="00D4729A"/>
    <w:rsid w:val="00D47DD9"/>
    <w:rsid w:val="00D536A9"/>
    <w:rsid w:val="00D81520"/>
    <w:rsid w:val="00D932DC"/>
    <w:rsid w:val="00DA74BB"/>
    <w:rsid w:val="00DB0FDD"/>
    <w:rsid w:val="00DC11A6"/>
    <w:rsid w:val="00DD25ED"/>
    <w:rsid w:val="00DE4DEA"/>
    <w:rsid w:val="00DE700C"/>
    <w:rsid w:val="00DE71C2"/>
    <w:rsid w:val="00DE7C23"/>
    <w:rsid w:val="00E15621"/>
    <w:rsid w:val="00E2167A"/>
    <w:rsid w:val="00E32718"/>
    <w:rsid w:val="00E335FF"/>
    <w:rsid w:val="00E45F27"/>
    <w:rsid w:val="00E544FE"/>
    <w:rsid w:val="00E60882"/>
    <w:rsid w:val="00E66533"/>
    <w:rsid w:val="00E75AF9"/>
    <w:rsid w:val="00E876BB"/>
    <w:rsid w:val="00E94A29"/>
    <w:rsid w:val="00E94BF9"/>
    <w:rsid w:val="00EA259F"/>
    <w:rsid w:val="00EB393C"/>
    <w:rsid w:val="00EE753B"/>
    <w:rsid w:val="00EF37E2"/>
    <w:rsid w:val="00F00AA8"/>
    <w:rsid w:val="00F03559"/>
    <w:rsid w:val="00F72872"/>
    <w:rsid w:val="00F7608B"/>
    <w:rsid w:val="00F908B6"/>
    <w:rsid w:val="00FB1578"/>
    <w:rsid w:val="00FF47FD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05AEB-AE48-49FC-94F1-471488B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77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762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E7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762E"/>
  </w:style>
  <w:style w:type="paragraph" w:styleId="Zpat">
    <w:name w:val="footer"/>
    <w:basedOn w:val="Normln"/>
    <w:link w:val="ZpatChar"/>
    <w:uiPriority w:val="99"/>
    <w:unhideWhenUsed/>
    <w:rsid w:val="005E7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762E"/>
  </w:style>
  <w:style w:type="character" w:customStyle="1" w:styleId="normln0">
    <w:name w:val="normln"/>
    <w:basedOn w:val="Standardnpsmoodstavce"/>
    <w:rsid w:val="00DC11A6"/>
    <w:rPr>
      <w:sz w:val="24"/>
      <w:szCs w:val="24"/>
    </w:rPr>
  </w:style>
  <w:style w:type="paragraph" w:customStyle="1" w:styleId="normln1">
    <w:name w:val="normln1"/>
    <w:basedOn w:val="Normln"/>
    <w:rsid w:val="00DC11A6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3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34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0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9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F77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F77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F77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F776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F776E"/>
  </w:style>
  <w:style w:type="table" w:styleId="Mkatabulky">
    <w:name w:val="Table Grid"/>
    <w:basedOn w:val="Normlntabulka"/>
    <w:uiPriority w:val="39"/>
    <w:rsid w:val="000F7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355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35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35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FD8B-8D60-4481-86CC-CC30661B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1057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 (MPSV)</dc:creator>
  <cp:lastModifiedBy>Prudilová Martina Mgr. (MPSV)</cp:lastModifiedBy>
  <cp:revision>2</cp:revision>
  <cp:lastPrinted>2020-03-19T17:25:00Z</cp:lastPrinted>
  <dcterms:created xsi:type="dcterms:W3CDTF">2020-04-17T14:22:00Z</dcterms:created>
  <dcterms:modified xsi:type="dcterms:W3CDTF">2020-04-17T14:22:00Z</dcterms:modified>
</cp:coreProperties>
</file>