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FD3B28" w14:textId="77777777" w:rsidR="00117ECE" w:rsidRPr="00ED6854" w:rsidRDefault="00117ECE" w:rsidP="00117ECE">
      <w:pPr>
        <w:spacing w:after="120"/>
        <w:jc w:val="center"/>
        <w:rPr>
          <w:rFonts w:ascii="Arial" w:hAnsi="Arial" w:cs="Arial"/>
          <w:b/>
        </w:rPr>
      </w:pPr>
      <w:bookmarkStart w:id="0" w:name="_GoBack"/>
      <w:bookmarkEnd w:id="0"/>
      <w:r w:rsidRPr="00ED6854">
        <w:rPr>
          <w:rFonts w:ascii="Arial" w:hAnsi="Arial" w:cs="Arial"/>
          <w:b/>
        </w:rPr>
        <w:t>PŘEDKLÁDACÍ ZPRÁVA PRO PARLAMENT ČR</w:t>
      </w:r>
    </w:p>
    <w:p w14:paraId="67D3256D" w14:textId="77777777" w:rsidR="005F6C7E" w:rsidRDefault="005F6C7E" w:rsidP="005F6C7E">
      <w:pPr>
        <w:spacing w:after="120"/>
        <w:ind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Mezinárodní úmluva proti dopingu ve sportu (dále jen „Úmluva“) byla přijata na Generální konferencí UNESCO v Paříži dne 19. října 2005 a jde o mnohostrannou smlouvu, která pro Českou republiku vstoupila v platnost dne 1. června 2007 (č. 58/2007 Sb. m. s.) a jejímž účelem je harmonizace a podpora boje proti dopingu ve sportu jako jednoho z negativních jevů, který je se sportem spojen. Nedílnými součástmi Úmluvy jsou Příloha I „Seznam zakázaných látek a metod“ a Příloha II „Mezinárodní standard pro terapeutické výjimky“. Na základě článku 34 Úmluvy jsou změny obou Příloh přijímány buď na konferenci smluvních stran, nebo formou písemných konzultací. </w:t>
      </w:r>
    </w:p>
    <w:p w14:paraId="2A4FB3C5" w14:textId="77777777" w:rsidR="005F6C7E" w:rsidRDefault="005F6C7E" w:rsidP="005F6C7E">
      <w:pPr>
        <w:spacing w:after="120"/>
        <w:ind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Změny Přílohy I byly jednomyslně přijaty na základě písemných konzultací smluvních stran Úmluvy. Generální ředitel UNESCO pan </w:t>
      </w:r>
      <w:proofErr w:type="spellStart"/>
      <w:r>
        <w:rPr>
          <w:rFonts w:ascii="Arial" w:hAnsi="Arial" w:cs="Arial"/>
          <w:sz w:val="22"/>
          <w:szCs w:val="22"/>
        </w:rPr>
        <w:t>Audrey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Azoulay</w:t>
      </w:r>
      <w:proofErr w:type="spellEnd"/>
      <w:r>
        <w:rPr>
          <w:rFonts w:ascii="Arial" w:hAnsi="Arial" w:cs="Arial"/>
          <w:sz w:val="22"/>
          <w:szCs w:val="22"/>
        </w:rPr>
        <w:t xml:space="preserve"> písemně sdělil přijetí těchto změn Ministerstvu školství, mládeže a tělovýchovy (dále jen „MŠMT“) dne 15. listopadu 2019 a změny vstoupily v platnost dne 1. ledna 2020</w:t>
      </w:r>
      <w:r w:rsidR="005D01F8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 xml:space="preserve"> </w:t>
      </w:r>
    </w:p>
    <w:p w14:paraId="4EB058FE" w14:textId="77777777" w:rsidR="005F6C7E" w:rsidRDefault="001E5992" w:rsidP="001E5992">
      <w:pPr>
        <w:spacing w:after="120"/>
        <w:ind w:firstLine="708"/>
        <w:jc w:val="both"/>
        <w:rPr>
          <w:rFonts w:ascii="Arial" w:hAnsi="Arial" w:cs="Arial"/>
          <w:sz w:val="22"/>
          <w:szCs w:val="22"/>
        </w:rPr>
      </w:pPr>
      <w:r w:rsidRPr="00984619">
        <w:rPr>
          <w:rFonts w:ascii="Arial" w:hAnsi="Arial" w:cs="Arial"/>
          <w:sz w:val="22"/>
          <w:szCs w:val="22"/>
        </w:rPr>
        <w:t>Změny Přílohy I každoročně reagují především na vývoj nových látek a metod zneužívaných k dopingu ve sportu jejich zařazením na seznam.</w:t>
      </w:r>
      <w:r>
        <w:rPr>
          <w:rFonts w:ascii="Arial" w:hAnsi="Arial" w:cs="Arial"/>
          <w:sz w:val="22"/>
          <w:szCs w:val="22"/>
        </w:rPr>
        <w:t xml:space="preserve"> </w:t>
      </w:r>
      <w:r w:rsidRPr="00984619">
        <w:rPr>
          <w:rFonts w:ascii="Arial" w:hAnsi="Arial" w:cs="Arial"/>
          <w:sz w:val="22"/>
          <w:szCs w:val="22"/>
        </w:rPr>
        <w:t>Průběžně dochází také k vyřazování některých látek a metod ze seznamu, pokud jejich zařazení na seznam nadále nesplňuje kritéria stanovená Světovou antidopingovou agenturou.</w:t>
      </w:r>
      <w:r>
        <w:rPr>
          <w:rFonts w:ascii="Arial" w:hAnsi="Arial" w:cs="Arial"/>
          <w:sz w:val="22"/>
          <w:szCs w:val="22"/>
        </w:rPr>
        <w:t xml:space="preserve"> Materiál k přijetí změn Příloh Úmluvy se k legislativnímu procesu předkládá každoročně, zpravidla na začátku příslušného roku. </w:t>
      </w:r>
    </w:p>
    <w:p w14:paraId="5E52EC9A" w14:textId="77777777" w:rsidR="005F6C7E" w:rsidRDefault="005F6C7E" w:rsidP="005F6C7E">
      <w:pPr>
        <w:spacing w:after="120"/>
        <w:ind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Úmluva patří do kategorie smluv, jejichž přijetí nebo přijetí jejich změn je podmíněno souhlasem Parlamentu České republiky a ratifikací prezidentem republiky. Týká se práv a povinností osob (čl. 49 písm. a) Ústavy ČR) a dále věcí, jejichž úprava je vyhrazena zákonu (čl. 49 písm. e) Ústavy ČR). Příloha I a Příloha II jsou nedílnou součástí této Úmluvy, a jejich změny tedy vyžadují dodržení stejného ústavně právního postupu. </w:t>
      </w:r>
    </w:p>
    <w:p w14:paraId="2E4BB21A" w14:textId="77777777" w:rsidR="005F6C7E" w:rsidRDefault="005F6C7E" w:rsidP="005F6C7E">
      <w:pPr>
        <w:spacing w:after="120"/>
        <w:ind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Vzhledem k tomu, že změny Přílohy I se stanou v souladu s článkem 10 Ústavy ČR součástí českého právního řádu až poté, co budou projednány Parlamentem ČR, ratifikovány prezidentem republiky a vyhlášeny ve Sbírce mezinárodních smluv, je třeba tuto proceduru urychleně dokončit. Do doby, než budou naplněna kritéria daná článkem 10 Ústavy ČR, nebudou mít přijaté změny přímý dopad na fyzické a právnické osoby. Z těchto důvodů bylo Ministerstvem zahraničních věcí zasláno oznámení generální komisařce UNESCO v souladu s článkem 34 odst. 3 Úmluvy o nemožnosti ukončit vnitrostátní schvalovací proces změn Přílohy I Českou republikou před jejich platností. Změna Přílohy I nevstoupí pro ČR v platnost dne 1. ledna 2020, ale stane se tak až po ukončení vnitrostátního schvalovacího procesu.</w:t>
      </w:r>
    </w:p>
    <w:p w14:paraId="28FC6757" w14:textId="77777777" w:rsidR="005F6C7E" w:rsidRDefault="005F6C7E" w:rsidP="005F6C7E">
      <w:pPr>
        <w:spacing w:after="120"/>
        <w:ind w:firstLine="70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Zároveň je třeba zdůraznit, že stejný Seznam zakázaných látek a metod je vedle Přílohy I Úmluvy současně mezinárodním standardem vydaným Světovou antidopingovou agenturou. Jeho předkládané znění je závazné pro všechny národní sportovní federace a svazy a jejich členy v České republice od 1. ledna 2020, a to bez ohledu na datum ratifikace navrhovaných změn mezinárodní smlouvy. </w:t>
      </w:r>
    </w:p>
    <w:p w14:paraId="76152A8D" w14:textId="77777777" w:rsidR="005F6C7E" w:rsidRDefault="005F6C7E" w:rsidP="005F6C7E">
      <w:pPr>
        <w:spacing w:after="120"/>
        <w:ind w:firstLine="70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Předložený materiál nemá žádné dopady na státní rozpočet, veřejné rozpočty a netýká se rovnosti postavení mužů a žen.</w:t>
      </w:r>
    </w:p>
    <w:p w14:paraId="250E5B09" w14:textId="77777777" w:rsidR="00400D46" w:rsidRPr="00E40A06" w:rsidRDefault="00400D46" w:rsidP="00400D46">
      <w:pPr>
        <w:spacing w:after="120"/>
        <w:ind w:firstLine="70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Vláda České republiky vyslovila souhlas s návrhem na přijetí změn Přílohy I Úmluvy svým usnesením ze dne 16. března 2020 č. 235. </w:t>
      </w:r>
    </w:p>
    <w:p w14:paraId="32C72CD4" w14:textId="77777777" w:rsidR="00E351DF" w:rsidRDefault="00E351DF" w:rsidP="00117ECE">
      <w:pPr>
        <w:jc w:val="both"/>
        <w:rPr>
          <w:rFonts w:ascii="Arial" w:hAnsi="Arial" w:cs="Arial"/>
          <w:sz w:val="22"/>
          <w:szCs w:val="22"/>
        </w:rPr>
      </w:pPr>
    </w:p>
    <w:p w14:paraId="1E0FA293" w14:textId="77777777" w:rsidR="00117ECE" w:rsidRDefault="00117ECE" w:rsidP="00E351DF">
      <w:pPr>
        <w:spacing w:after="120"/>
        <w:jc w:val="center"/>
        <w:rPr>
          <w:rFonts w:ascii="Arial" w:hAnsi="Arial" w:cs="Arial"/>
          <w:sz w:val="22"/>
          <w:szCs w:val="22"/>
        </w:rPr>
      </w:pPr>
      <w:r w:rsidRPr="00ED0F98">
        <w:rPr>
          <w:rFonts w:ascii="Arial" w:hAnsi="Arial" w:cs="Arial"/>
          <w:sz w:val="22"/>
          <w:szCs w:val="22"/>
        </w:rPr>
        <w:t>V Praze dne</w:t>
      </w:r>
      <w:r w:rsidR="007814CE">
        <w:rPr>
          <w:rFonts w:ascii="Arial" w:hAnsi="Arial" w:cs="Arial"/>
          <w:sz w:val="22"/>
          <w:szCs w:val="22"/>
        </w:rPr>
        <w:t xml:space="preserve"> 9.dubna 2020</w:t>
      </w:r>
    </w:p>
    <w:p w14:paraId="58DCA7E9" w14:textId="77777777" w:rsidR="007814CE" w:rsidRDefault="007814CE" w:rsidP="00E351DF">
      <w:pPr>
        <w:spacing w:after="120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Předseda vlády:</w:t>
      </w:r>
    </w:p>
    <w:p w14:paraId="24226C90" w14:textId="77777777" w:rsidR="00AF4806" w:rsidRPr="00ED0F98" w:rsidRDefault="00AF4806" w:rsidP="00E351DF">
      <w:pPr>
        <w:spacing w:after="120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Ing. Andrej Babiš v.r.</w:t>
      </w:r>
    </w:p>
    <w:p w14:paraId="57AB9EC3" w14:textId="77777777" w:rsidR="00D64784" w:rsidRDefault="00D64784" w:rsidP="00400D46">
      <w:pPr>
        <w:spacing w:after="120"/>
        <w:jc w:val="center"/>
        <w:rPr>
          <w:rFonts w:ascii="Arial" w:hAnsi="Arial" w:cs="Arial"/>
          <w:sz w:val="22"/>
          <w:szCs w:val="22"/>
        </w:rPr>
      </w:pPr>
    </w:p>
    <w:sectPr w:rsidR="00D64784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68E8A95" w14:textId="77777777" w:rsidR="00F76ACB" w:rsidRDefault="00F76ACB" w:rsidP="00AA7160">
      <w:r>
        <w:separator/>
      </w:r>
    </w:p>
  </w:endnote>
  <w:endnote w:type="continuationSeparator" w:id="0">
    <w:p w14:paraId="46A4B814" w14:textId="77777777" w:rsidR="00F76ACB" w:rsidRDefault="00F76ACB" w:rsidP="00AA71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77E99D" w14:textId="77777777" w:rsidR="00BA7B29" w:rsidRDefault="00BA7B29" w:rsidP="00BA7B29">
    <w:pPr>
      <w:pStyle w:val="Podnadpis"/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 xml:space="preserve">Stránka </w:t>
    </w:r>
    <w:r>
      <w:rPr>
        <w:rFonts w:ascii="Arial" w:hAnsi="Arial" w:cs="Arial"/>
        <w:sz w:val="22"/>
        <w:szCs w:val="22"/>
      </w:rPr>
      <w:fldChar w:fldCharType="begin"/>
    </w:r>
    <w:r>
      <w:rPr>
        <w:rFonts w:ascii="Arial" w:hAnsi="Arial" w:cs="Arial"/>
        <w:sz w:val="22"/>
        <w:szCs w:val="22"/>
      </w:rPr>
      <w:instrText>PAGE</w:instrText>
    </w:r>
    <w:r>
      <w:rPr>
        <w:rFonts w:ascii="Arial" w:hAnsi="Arial" w:cs="Arial"/>
        <w:sz w:val="22"/>
        <w:szCs w:val="22"/>
      </w:rPr>
      <w:fldChar w:fldCharType="separate"/>
    </w:r>
    <w:r w:rsidR="009A50C8">
      <w:rPr>
        <w:rFonts w:ascii="Arial" w:hAnsi="Arial" w:cs="Arial"/>
        <w:noProof/>
        <w:sz w:val="22"/>
        <w:szCs w:val="22"/>
      </w:rPr>
      <w:t>1</w:t>
    </w:r>
    <w:r>
      <w:rPr>
        <w:rFonts w:ascii="Arial" w:hAnsi="Arial" w:cs="Arial"/>
        <w:sz w:val="22"/>
        <w:szCs w:val="22"/>
      </w:rPr>
      <w:fldChar w:fldCharType="end"/>
    </w:r>
    <w:r>
      <w:rPr>
        <w:rFonts w:ascii="Arial" w:hAnsi="Arial" w:cs="Arial"/>
        <w:sz w:val="22"/>
        <w:szCs w:val="22"/>
      </w:rPr>
      <w:t xml:space="preserve"> (celkem </w:t>
    </w:r>
    <w:r>
      <w:rPr>
        <w:rFonts w:ascii="Arial" w:hAnsi="Arial" w:cs="Arial"/>
        <w:sz w:val="22"/>
        <w:szCs w:val="22"/>
      </w:rPr>
      <w:fldChar w:fldCharType="begin"/>
    </w:r>
    <w:r>
      <w:rPr>
        <w:rFonts w:ascii="Arial" w:hAnsi="Arial" w:cs="Arial"/>
        <w:sz w:val="22"/>
        <w:szCs w:val="22"/>
      </w:rPr>
      <w:instrText>NUMPAGES</w:instrText>
    </w:r>
    <w:r>
      <w:rPr>
        <w:rFonts w:ascii="Arial" w:hAnsi="Arial" w:cs="Arial"/>
        <w:sz w:val="22"/>
        <w:szCs w:val="22"/>
      </w:rPr>
      <w:fldChar w:fldCharType="separate"/>
    </w:r>
    <w:r w:rsidR="009A50C8">
      <w:rPr>
        <w:rFonts w:ascii="Arial" w:hAnsi="Arial" w:cs="Arial"/>
        <w:noProof/>
        <w:sz w:val="22"/>
        <w:szCs w:val="22"/>
      </w:rPr>
      <w:t>1</w:t>
    </w:r>
    <w:r>
      <w:rPr>
        <w:rFonts w:ascii="Arial" w:hAnsi="Arial" w:cs="Arial"/>
        <w:sz w:val="22"/>
        <w:szCs w:val="22"/>
      </w:rPr>
      <w:fldChar w:fldCharType="end"/>
    </w:r>
    <w:r>
      <w:rPr>
        <w:rFonts w:ascii="Arial" w:hAnsi="Arial" w:cs="Arial"/>
        <w:sz w:val="22"/>
        <w:szCs w:val="22"/>
      </w:rPr>
      <w:t>)</w:t>
    </w:r>
  </w:p>
  <w:p w14:paraId="3149EDD3" w14:textId="77777777" w:rsidR="00BA7B29" w:rsidRDefault="00BA7B29" w:rsidP="00BA7B29">
    <w:pPr>
      <w:pStyle w:val="Zpat"/>
    </w:pPr>
  </w:p>
  <w:p w14:paraId="7C357D8F" w14:textId="77777777" w:rsidR="00AA7160" w:rsidRDefault="00AA7160" w:rsidP="00BA7B29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87733AD" w14:textId="77777777" w:rsidR="00F76ACB" w:rsidRDefault="00F76ACB" w:rsidP="00AA7160">
      <w:r>
        <w:separator/>
      </w:r>
    </w:p>
  </w:footnote>
  <w:footnote w:type="continuationSeparator" w:id="0">
    <w:p w14:paraId="1D74A3E3" w14:textId="77777777" w:rsidR="00F76ACB" w:rsidRDefault="00F76ACB" w:rsidP="00AA716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C14E2"/>
    <w:rsid w:val="000742CA"/>
    <w:rsid w:val="00096BEB"/>
    <w:rsid w:val="000A42B9"/>
    <w:rsid w:val="000A554F"/>
    <w:rsid w:val="00117ECE"/>
    <w:rsid w:val="001E5992"/>
    <w:rsid w:val="001F0513"/>
    <w:rsid w:val="00221EF4"/>
    <w:rsid w:val="00254D5B"/>
    <w:rsid w:val="002C29E5"/>
    <w:rsid w:val="002C508E"/>
    <w:rsid w:val="002E2175"/>
    <w:rsid w:val="00307507"/>
    <w:rsid w:val="0035277E"/>
    <w:rsid w:val="003B70F7"/>
    <w:rsid w:val="003B782F"/>
    <w:rsid w:val="003C5621"/>
    <w:rsid w:val="00400D46"/>
    <w:rsid w:val="00450083"/>
    <w:rsid w:val="00462217"/>
    <w:rsid w:val="004F5A23"/>
    <w:rsid w:val="005127E4"/>
    <w:rsid w:val="0057763A"/>
    <w:rsid w:val="005D01F8"/>
    <w:rsid w:val="005D6822"/>
    <w:rsid w:val="005F6C7E"/>
    <w:rsid w:val="00615C24"/>
    <w:rsid w:val="006802C2"/>
    <w:rsid w:val="006B763B"/>
    <w:rsid w:val="006E7C24"/>
    <w:rsid w:val="00712752"/>
    <w:rsid w:val="007814CE"/>
    <w:rsid w:val="0083057B"/>
    <w:rsid w:val="008E6413"/>
    <w:rsid w:val="00954118"/>
    <w:rsid w:val="00995695"/>
    <w:rsid w:val="009A50C8"/>
    <w:rsid w:val="009C14E2"/>
    <w:rsid w:val="009E4E36"/>
    <w:rsid w:val="009F584D"/>
    <w:rsid w:val="00A65282"/>
    <w:rsid w:val="00AA7160"/>
    <w:rsid w:val="00AE4394"/>
    <w:rsid w:val="00AF4806"/>
    <w:rsid w:val="00B52027"/>
    <w:rsid w:val="00B97372"/>
    <w:rsid w:val="00BA7B29"/>
    <w:rsid w:val="00C139CC"/>
    <w:rsid w:val="00C41FCF"/>
    <w:rsid w:val="00C50478"/>
    <w:rsid w:val="00C54DFE"/>
    <w:rsid w:val="00D100F3"/>
    <w:rsid w:val="00D64784"/>
    <w:rsid w:val="00D71636"/>
    <w:rsid w:val="00E351DF"/>
    <w:rsid w:val="00E415E4"/>
    <w:rsid w:val="00E71126"/>
    <w:rsid w:val="00ED0F98"/>
    <w:rsid w:val="00EF1E6A"/>
    <w:rsid w:val="00F41C83"/>
    <w:rsid w:val="00F76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3A0069"/>
  <w15:docId w15:val="{4CB53519-D157-460C-ABD2-C8FB395C60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C14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AA7160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A7160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rsid w:val="00AA716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AA7160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A7B29"/>
    <w:pPr>
      <w:spacing w:after="60"/>
      <w:jc w:val="center"/>
      <w:outlineLvl w:val="1"/>
    </w:pPr>
    <w:rPr>
      <w:rFonts w:ascii="Cambria" w:hAnsi="Cambria"/>
    </w:rPr>
  </w:style>
  <w:style w:type="character" w:customStyle="1" w:styleId="PodnadpisChar">
    <w:name w:val="Podnadpis Char"/>
    <w:basedOn w:val="Standardnpsmoodstavce"/>
    <w:link w:val="Podnadpis"/>
    <w:uiPriority w:val="11"/>
    <w:rsid w:val="00BA7B29"/>
    <w:rPr>
      <w:rFonts w:ascii="Cambria" w:eastAsia="Times New Roman" w:hAnsi="Cambria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544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1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03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70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485</Words>
  <Characters>2865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MSMT</Company>
  <LinksUpToDate>false</LinksUpToDate>
  <CharactersWithSpaces>3344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Králová Anna</dc:creator>
  <cp:keywords/>
  <dc:description/>
  <cp:lastModifiedBy>Králová Anna</cp:lastModifiedBy>
  <cp:revision>35</cp:revision>
  <cp:lastPrinted>2020-04-08T12:26:00Z</cp:lastPrinted>
  <dcterms:created xsi:type="dcterms:W3CDTF">2016-05-18T10:29:00Z</dcterms:created>
  <dcterms:modified xsi:type="dcterms:W3CDTF">2020-04-08T12:26:00Z</dcterms:modified>
</cp:coreProperties>
</file>