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F39" w:rsidRPr="00BE6129" w:rsidRDefault="00B45F97" w:rsidP="00652487">
      <w:pPr>
        <w:pBdr>
          <w:bottom w:val="single" w:sz="12" w:space="1" w:color="auto"/>
        </w:pBdr>
        <w:spacing w:before="120" w:after="240" w:line="240" w:lineRule="auto"/>
        <w:ind w:left="11" w:hanging="11"/>
        <w:jc w:val="center"/>
        <w:outlineLvl w:val="0"/>
        <w:rPr>
          <w:rFonts w:ascii="Times New Roman" w:hAnsi="Times New Roman"/>
          <w:b/>
          <w:smallCaps/>
          <w:sz w:val="24"/>
          <w:szCs w:val="24"/>
        </w:rPr>
      </w:pPr>
      <w:bookmarkStart w:id="0" w:name="_GoBack"/>
      <w:bookmarkEnd w:id="0"/>
      <w:r w:rsidRPr="00BE6129">
        <w:rPr>
          <w:rFonts w:ascii="Times New Roman" w:hAnsi="Times New Roman"/>
          <w:b/>
          <w:smallCaps/>
          <w:sz w:val="24"/>
          <w:szCs w:val="24"/>
        </w:rPr>
        <w:t>Text částí zákonů v platném znění s vyznačením navrhovaných změn a doplnění</w:t>
      </w:r>
    </w:p>
    <w:p w:rsidR="00FC4F39" w:rsidRDefault="00FC4F39" w:rsidP="00652487">
      <w:pPr>
        <w:pStyle w:val="Paragraf"/>
        <w:outlineLvl w:val="9"/>
        <w:rPr>
          <w:szCs w:val="24"/>
        </w:rPr>
      </w:pPr>
    </w:p>
    <w:p w:rsidR="00FC4F39" w:rsidRPr="00DF6C26" w:rsidRDefault="00FC4F39" w:rsidP="00FC4F39">
      <w:pPr>
        <w:pBdr>
          <w:top w:val="single" w:sz="8" w:space="6" w:color="auto"/>
          <w:left w:val="single" w:sz="8" w:space="0" w:color="auto"/>
          <w:bottom w:val="single" w:sz="8" w:space="6" w:color="auto"/>
          <w:right w:val="single" w:sz="8" w:space="0" w:color="auto"/>
        </w:pBdr>
        <w:spacing w:after="0"/>
        <w:jc w:val="center"/>
        <w:rPr>
          <w:rFonts w:ascii="Times New Roman" w:hAnsi="Times New Roman"/>
          <w:sz w:val="24"/>
          <w:szCs w:val="24"/>
        </w:rPr>
      </w:pPr>
      <w:r w:rsidRPr="00DF6C26">
        <w:rPr>
          <w:rFonts w:ascii="Times New Roman" w:hAnsi="Times New Roman"/>
          <w:b/>
          <w:sz w:val="24"/>
          <w:szCs w:val="24"/>
        </w:rPr>
        <w:t>Platné znění</w:t>
      </w:r>
      <w:r w:rsidRPr="00DF6C26">
        <w:rPr>
          <w:rFonts w:ascii="Times New Roman" w:hAnsi="Times New Roman"/>
          <w:sz w:val="24"/>
          <w:szCs w:val="24"/>
        </w:rPr>
        <w:t xml:space="preserve"> zákona </w:t>
      </w:r>
      <w:r w:rsidRPr="00DF6C26">
        <w:rPr>
          <w:rFonts w:ascii="Times New Roman" w:hAnsi="Times New Roman"/>
          <w:color w:val="000000"/>
          <w:sz w:val="24"/>
          <w:szCs w:val="24"/>
        </w:rPr>
        <w:t xml:space="preserve">č. 353/2003 Sb., </w:t>
      </w:r>
      <w:r w:rsidRPr="00DF6C26">
        <w:rPr>
          <w:rFonts w:ascii="Times New Roman" w:hAnsi="Times New Roman"/>
          <w:sz w:val="24"/>
          <w:szCs w:val="24"/>
        </w:rPr>
        <w:t>o spotřebních daních</w:t>
      </w:r>
      <w:r w:rsidRPr="00DF6C26">
        <w:rPr>
          <w:rFonts w:ascii="Times New Roman" w:hAnsi="Times New Roman"/>
          <w:color w:val="000000"/>
          <w:sz w:val="24"/>
          <w:szCs w:val="24"/>
        </w:rPr>
        <w:t>,</w:t>
      </w:r>
      <w:r w:rsidRPr="00DF6C26">
        <w:rPr>
          <w:rFonts w:ascii="Times New Roman" w:hAnsi="Times New Roman"/>
          <w:sz w:val="24"/>
          <w:szCs w:val="24"/>
        </w:rPr>
        <w:t xml:space="preserve"> </w:t>
      </w:r>
    </w:p>
    <w:p w:rsidR="00FC4F39" w:rsidRDefault="00FC4F39" w:rsidP="00FC4F39">
      <w:pPr>
        <w:pBdr>
          <w:top w:val="single" w:sz="8" w:space="6" w:color="auto"/>
          <w:left w:val="single" w:sz="8" w:space="0" w:color="auto"/>
          <w:bottom w:val="single" w:sz="8" w:space="6" w:color="auto"/>
          <w:right w:val="single" w:sz="8" w:space="0" w:color="auto"/>
        </w:pBdr>
        <w:spacing w:after="0"/>
        <w:jc w:val="center"/>
        <w:rPr>
          <w:rFonts w:ascii="Times New Roman" w:hAnsi="Times New Roman"/>
          <w:b/>
          <w:sz w:val="24"/>
          <w:szCs w:val="24"/>
        </w:rPr>
      </w:pPr>
      <w:r w:rsidRPr="00B45F97">
        <w:rPr>
          <w:rFonts w:ascii="Times New Roman" w:hAnsi="Times New Roman"/>
          <w:b/>
          <w:sz w:val="24"/>
          <w:szCs w:val="24"/>
        </w:rPr>
        <w:t xml:space="preserve">s vyznačením navrhovaných změn a doplnění ke dni </w:t>
      </w:r>
      <w:r w:rsidR="00A65589">
        <w:rPr>
          <w:rFonts w:ascii="Times New Roman" w:hAnsi="Times New Roman"/>
          <w:b/>
          <w:sz w:val="24"/>
          <w:szCs w:val="24"/>
        </w:rPr>
        <w:t xml:space="preserve">nabytí </w:t>
      </w:r>
      <w:r w:rsidRPr="00B45F97">
        <w:rPr>
          <w:rFonts w:ascii="Times New Roman" w:hAnsi="Times New Roman"/>
          <w:b/>
          <w:sz w:val="24"/>
          <w:szCs w:val="24"/>
        </w:rPr>
        <w:t>účinnosti</w:t>
      </w:r>
    </w:p>
    <w:p w:rsidR="00FC4F39" w:rsidRPr="00FC4F39" w:rsidRDefault="00FC4F39" w:rsidP="00FC4F39">
      <w:pPr>
        <w:pBdr>
          <w:top w:val="single" w:sz="8" w:space="6" w:color="auto"/>
          <w:left w:val="single" w:sz="8" w:space="0" w:color="auto"/>
          <w:bottom w:val="single" w:sz="8" w:space="6" w:color="auto"/>
          <w:right w:val="single" w:sz="8" w:space="0" w:color="auto"/>
        </w:pBdr>
        <w:spacing w:after="0"/>
        <w:jc w:val="center"/>
        <w:rPr>
          <w:rFonts w:ascii="Times New Roman" w:hAnsi="Times New Roman"/>
          <w:color w:val="ED7D31" w:themeColor="accent2"/>
          <w:sz w:val="24"/>
          <w:szCs w:val="24"/>
        </w:rPr>
      </w:pPr>
      <w:r w:rsidRPr="00FC4F39">
        <w:rPr>
          <w:rFonts w:ascii="Times New Roman" w:hAnsi="Times New Roman"/>
          <w:b/>
          <w:color w:val="ED7D31" w:themeColor="accent2"/>
          <w:sz w:val="24"/>
          <w:szCs w:val="24"/>
          <w:bdr w:val="dashed" w:sz="12" w:space="0" w:color="E36C0A"/>
        </w:rPr>
        <w:t>a s vyznačením navrhovaných změn a doplnění k 1. říjnu 2020</w:t>
      </w:r>
    </w:p>
    <w:p w:rsidR="00F20200" w:rsidRPr="00D61944" w:rsidRDefault="00F20200" w:rsidP="00652487">
      <w:pPr>
        <w:pStyle w:val="Paragraf"/>
        <w:outlineLvl w:val="1"/>
        <w:rPr>
          <w:szCs w:val="24"/>
        </w:rPr>
      </w:pPr>
      <w:r>
        <w:rPr>
          <w:szCs w:val="24"/>
        </w:rPr>
        <w:t xml:space="preserve">§ </w:t>
      </w:r>
      <w:r w:rsidRPr="00DF6C26">
        <w:t>118c</w:t>
      </w:r>
    </w:p>
    <w:p w:rsidR="00F20200" w:rsidRPr="00DF6C26" w:rsidRDefault="00F20200" w:rsidP="00652487">
      <w:pPr>
        <w:pStyle w:val="Nadpisparagrafu"/>
        <w:outlineLvl w:val="9"/>
      </w:pPr>
      <w:r w:rsidRPr="00DF6C26">
        <w:t xml:space="preserve">Skladování a prodej jednotkových balení cigaret s tabákovou nálepkou odpovídající staré sazbě daně </w:t>
      </w:r>
    </w:p>
    <w:p w:rsidR="00F20200" w:rsidRPr="00DF6C26" w:rsidRDefault="00F20200" w:rsidP="00652487">
      <w:pPr>
        <w:spacing w:before="120" w:after="120" w:line="240" w:lineRule="auto"/>
        <w:ind w:firstLine="426"/>
        <w:jc w:val="both"/>
        <w:rPr>
          <w:rFonts w:ascii="Times New Roman" w:hAnsi="Times New Roman"/>
          <w:sz w:val="24"/>
          <w:szCs w:val="20"/>
        </w:rPr>
      </w:pPr>
      <w:r w:rsidRPr="00DF6C26">
        <w:rPr>
          <w:rFonts w:ascii="Times New Roman" w:hAnsi="Times New Roman"/>
          <w:sz w:val="24"/>
          <w:szCs w:val="20"/>
        </w:rPr>
        <w:t xml:space="preserve">(1) Jednotkové balení cigaret určené k přímé spotřebě s tabákovou nálepkou odpovídající jiné než nové sazbě daně nakoupené za účelem dalšího prodeje nelze ode dne nabytí účinnosti nové sazby daně skladovat ani prodávat. </w:t>
      </w:r>
    </w:p>
    <w:p w:rsidR="00F20200" w:rsidRPr="00B45F97" w:rsidRDefault="00F20200" w:rsidP="00652487">
      <w:pPr>
        <w:spacing w:before="120" w:after="120" w:line="240" w:lineRule="auto"/>
        <w:ind w:firstLine="426"/>
        <w:jc w:val="both"/>
        <w:rPr>
          <w:rFonts w:ascii="Times New Roman" w:hAnsi="Times New Roman"/>
          <w:strike/>
          <w:sz w:val="24"/>
          <w:szCs w:val="20"/>
        </w:rPr>
      </w:pPr>
      <w:r w:rsidRPr="00B45F97">
        <w:rPr>
          <w:rFonts w:ascii="Times New Roman" w:hAnsi="Times New Roman"/>
          <w:strike/>
          <w:sz w:val="24"/>
          <w:szCs w:val="20"/>
        </w:rPr>
        <w:t xml:space="preserve">(2) Jednotkové balení cigaret určené k přímé spotřebě s tabákovou nálepkou odpovídající sazbě daně bezprostředně předcházející nové sazbě daně nakoupené za účelem dalšího prodeje nelze skladovat ani prodávat po uplynutí posledního dne druhého kalendářního měsíce následujícího po měsíci, v němž nabyla účinnosti nová sazba daně. </w:t>
      </w:r>
    </w:p>
    <w:p w:rsidR="007C486F" w:rsidRPr="00B45F97" w:rsidRDefault="007C486F" w:rsidP="00652487">
      <w:pPr>
        <w:spacing w:before="120" w:after="120" w:line="240" w:lineRule="auto"/>
        <w:ind w:firstLine="426"/>
        <w:jc w:val="both"/>
        <w:rPr>
          <w:rFonts w:ascii="Times New Roman" w:hAnsi="Times New Roman"/>
          <w:b/>
          <w:sz w:val="24"/>
          <w:szCs w:val="20"/>
        </w:rPr>
      </w:pPr>
      <w:r w:rsidRPr="00B45F97">
        <w:rPr>
          <w:rFonts w:ascii="Times New Roman" w:hAnsi="Times New Roman"/>
          <w:b/>
          <w:sz w:val="24"/>
          <w:szCs w:val="20"/>
        </w:rPr>
        <w:t>(2) Jednotkové balení cigaret určené k přímé spotřebě s tabákovou nálepkou odpovídající sazbě daně bezprostředně předcházejí</w:t>
      </w:r>
      <w:r w:rsidR="00E01737">
        <w:rPr>
          <w:rFonts w:ascii="Times New Roman" w:hAnsi="Times New Roman"/>
          <w:b/>
          <w:sz w:val="24"/>
          <w:szCs w:val="20"/>
        </w:rPr>
        <w:t>cí nové sazbě daně nakoupené za </w:t>
      </w:r>
      <w:r w:rsidRPr="00B45F97">
        <w:rPr>
          <w:rFonts w:ascii="Times New Roman" w:hAnsi="Times New Roman"/>
          <w:b/>
          <w:sz w:val="24"/>
          <w:szCs w:val="20"/>
        </w:rPr>
        <w:t>účelem dalšího prodeje nelze</w:t>
      </w:r>
    </w:p>
    <w:p w:rsidR="007C486F" w:rsidRPr="00B45F97" w:rsidRDefault="007C486F" w:rsidP="00652487">
      <w:pPr>
        <w:pStyle w:val="Textpsmene"/>
        <w:tabs>
          <w:tab w:val="num" w:pos="284"/>
        </w:tabs>
        <w:ind w:left="284" w:hanging="284"/>
        <w:outlineLvl w:val="9"/>
        <w:rPr>
          <w:b/>
        </w:rPr>
      </w:pPr>
      <w:r w:rsidRPr="00B45F97">
        <w:rPr>
          <w:b/>
        </w:rPr>
        <w:t xml:space="preserve">a) </w:t>
      </w:r>
      <w:r w:rsidRPr="00B45F97">
        <w:rPr>
          <w:b/>
        </w:rPr>
        <w:tab/>
        <w:t>skladovat po uplynutí posledního dne třetího kalen</w:t>
      </w:r>
      <w:r w:rsidR="00E01737">
        <w:rPr>
          <w:b/>
        </w:rPr>
        <w:t>dářního měsíce následujícího po </w:t>
      </w:r>
      <w:r w:rsidRPr="00B45F97">
        <w:rPr>
          <w:b/>
        </w:rPr>
        <w:t>měsíci, v němž nabyla účinnosti nová sazba daně,</w:t>
      </w:r>
    </w:p>
    <w:p w:rsidR="007C486F" w:rsidRPr="00B45F97" w:rsidRDefault="007C486F" w:rsidP="00652487">
      <w:pPr>
        <w:pStyle w:val="Textpsmene"/>
        <w:tabs>
          <w:tab w:val="num" w:pos="284"/>
        </w:tabs>
        <w:ind w:left="284" w:hanging="284"/>
        <w:outlineLvl w:val="9"/>
        <w:rPr>
          <w:b/>
        </w:rPr>
      </w:pPr>
      <w:r w:rsidRPr="00B45F97">
        <w:rPr>
          <w:b/>
        </w:rPr>
        <w:t xml:space="preserve">b) </w:t>
      </w:r>
      <w:r w:rsidRPr="00B45F97">
        <w:rPr>
          <w:b/>
        </w:rPr>
        <w:tab/>
        <w:t>prodávat po uplynutí posledního dne druhého kalen</w:t>
      </w:r>
      <w:r w:rsidR="00E01737">
        <w:rPr>
          <w:b/>
        </w:rPr>
        <w:t>dářního měsíce následujícího po </w:t>
      </w:r>
      <w:r w:rsidRPr="00B45F97">
        <w:rPr>
          <w:b/>
        </w:rPr>
        <w:t>měsíci, v němž nabyla účinnosti nová sazba daně.</w:t>
      </w:r>
    </w:p>
    <w:p w:rsidR="007C486F" w:rsidRPr="007C486F" w:rsidRDefault="007C486F" w:rsidP="00652487">
      <w:pPr>
        <w:pStyle w:val="Textpsmene"/>
        <w:tabs>
          <w:tab w:val="num" w:pos="284"/>
        </w:tabs>
        <w:ind w:left="284" w:hanging="284"/>
        <w:outlineLvl w:val="9"/>
        <w:rPr>
          <w:b/>
          <w:color w:val="FF0000"/>
        </w:rPr>
      </w:pPr>
    </w:p>
    <w:tbl>
      <w:tblPr>
        <w:tblStyle w:val="Mkatabulky"/>
        <w:tblW w:w="9356" w:type="dxa"/>
        <w:tblInd w:w="-157" w:type="dxa"/>
        <w:tblBorders>
          <w:top w:val="dashed" w:sz="12" w:space="0" w:color="ED7D31" w:themeColor="accent2"/>
          <w:left w:val="dashed" w:sz="12" w:space="0" w:color="ED7D31" w:themeColor="accent2"/>
          <w:bottom w:val="dashed" w:sz="12" w:space="0" w:color="ED7D31" w:themeColor="accent2"/>
          <w:right w:val="dashed" w:sz="12" w:space="0" w:color="ED7D31" w:themeColor="accent2"/>
          <w:insideH w:val="dashed" w:sz="12" w:space="0" w:color="ED7D31" w:themeColor="accent2"/>
          <w:insideV w:val="dashed" w:sz="12" w:space="0" w:color="ED7D31" w:themeColor="accent2"/>
        </w:tblBorders>
        <w:tblLook w:val="04A0" w:firstRow="1" w:lastRow="0" w:firstColumn="1" w:lastColumn="0" w:noHBand="0" w:noVBand="1"/>
      </w:tblPr>
      <w:tblGrid>
        <w:gridCol w:w="9356"/>
      </w:tblGrid>
      <w:tr w:rsidR="00FC4F39" w:rsidRPr="00FC4F39" w:rsidTr="00FC4F39">
        <w:tc>
          <w:tcPr>
            <w:tcW w:w="9356" w:type="dxa"/>
          </w:tcPr>
          <w:p w:rsidR="00572942" w:rsidRPr="00FC4F39" w:rsidRDefault="00572942" w:rsidP="00652487">
            <w:pPr>
              <w:spacing w:before="120" w:after="120"/>
              <w:jc w:val="both"/>
              <w:rPr>
                <w:rFonts w:ascii="Times New Roman" w:hAnsi="Times New Roman"/>
                <w:b/>
                <w:color w:val="ED7D31" w:themeColor="accent2"/>
                <w:sz w:val="24"/>
                <w:szCs w:val="20"/>
              </w:rPr>
            </w:pPr>
            <w:r w:rsidRPr="00FC4F39">
              <w:rPr>
                <w:rFonts w:ascii="Times New Roman" w:hAnsi="Times New Roman"/>
                <w:b/>
                <w:color w:val="ED7D31" w:themeColor="accent2"/>
                <w:sz w:val="24"/>
                <w:szCs w:val="20"/>
              </w:rPr>
              <w:t xml:space="preserve">   </w:t>
            </w:r>
            <w:r w:rsidR="00A16035">
              <w:rPr>
                <w:rFonts w:ascii="Times New Roman" w:hAnsi="Times New Roman"/>
                <w:b/>
                <w:color w:val="ED7D31" w:themeColor="accent2"/>
                <w:sz w:val="24"/>
                <w:szCs w:val="20"/>
              </w:rPr>
              <w:t xml:space="preserve">  </w:t>
            </w:r>
            <w:r w:rsidRPr="00FC4F39">
              <w:rPr>
                <w:rFonts w:ascii="Times New Roman" w:hAnsi="Times New Roman"/>
                <w:b/>
                <w:color w:val="ED7D31" w:themeColor="accent2"/>
                <w:sz w:val="24"/>
                <w:szCs w:val="20"/>
              </w:rPr>
              <w:t xml:space="preserve">  </w:t>
            </w:r>
            <w:r w:rsidR="007C486F" w:rsidRPr="00FC4F39">
              <w:rPr>
                <w:rFonts w:ascii="Times New Roman" w:hAnsi="Times New Roman"/>
                <w:b/>
                <w:color w:val="ED7D31" w:themeColor="accent2"/>
                <w:sz w:val="24"/>
                <w:szCs w:val="20"/>
              </w:rPr>
              <w:t>(2) Jednotkové balení cigaret určené k přímé spotřebě s tabákovou nálepkou odpovídající sazbě daně bezprostředně předcházející nové sazbě daně nakoupené za účelem dalšího prodeje nelze skladovat ani prodávat po uplynutí posledního dne druhého kalendářního měsíce následujícího po měsíci, v němž nabyla účinnosti nová sazba daně.</w:t>
            </w:r>
          </w:p>
        </w:tc>
      </w:tr>
    </w:tbl>
    <w:p w:rsidR="00652487" w:rsidRPr="00A65589" w:rsidRDefault="00F20200" w:rsidP="00A65589">
      <w:pPr>
        <w:spacing w:before="120" w:after="120" w:line="240" w:lineRule="auto"/>
        <w:ind w:firstLine="426"/>
        <w:jc w:val="both"/>
        <w:rPr>
          <w:rFonts w:ascii="Times New Roman" w:hAnsi="Times New Roman"/>
          <w:sz w:val="24"/>
          <w:szCs w:val="20"/>
        </w:rPr>
      </w:pPr>
      <w:r w:rsidRPr="00DF6C26">
        <w:rPr>
          <w:rFonts w:ascii="Times New Roman" w:hAnsi="Times New Roman"/>
          <w:sz w:val="24"/>
          <w:szCs w:val="20"/>
        </w:rPr>
        <w:t xml:space="preserve">(3) Jednotkové balení cigaret, které nelze podle odstavce 1 nebo 2 skladovat ani prodávat, se považuje za tabákový výrobek značený nesprávným způsobem. </w:t>
      </w:r>
    </w:p>
    <w:p w:rsidR="00652487" w:rsidRPr="00652487" w:rsidRDefault="00DF6C26" w:rsidP="00A65589">
      <w:pPr>
        <w:pStyle w:val="Paragraf"/>
        <w:outlineLvl w:val="9"/>
      </w:pPr>
      <w:r>
        <w:t>***</w:t>
      </w:r>
    </w:p>
    <w:p w:rsidR="00F20200" w:rsidRPr="00D61944" w:rsidRDefault="00F20200" w:rsidP="00652487">
      <w:pPr>
        <w:pStyle w:val="Paragraf"/>
        <w:outlineLvl w:val="1"/>
        <w:rPr>
          <w:szCs w:val="24"/>
        </w:rPr>
      </w:pPr>
      <w:r w:rsidRPr="00D61944">
        <w:rPr>
          <w:szCs w:val="24"/>
        </w:rPr>
        <w:t xml:space="preserve">§ </w:t>
      </w:r>
      <w:r w:rsidRPr="00652487">
        <w:t>122a</w:t>
      </w:r>
    </w:p>
    <w:p w:rsidR="00F20200" w:rsidRPr="00652487" w:rsidRDefault="00F20200" w:rsidP="00652487">
      <w:pPr>
        <w:pStyle w:val="Paragraf"/>
        <w:outlineLvl w:val="9"/>
        <w:rPr>
          <w:b/>
        </w:rPr>
      </w:pPr>
      <w:r w:rsidRPr="00652487">
        <w:rPr>
          <w:b/>
        </w:rPr>
        <w:t xml:space="preserve">Nárok na vrácení hodnoty tabákových nálepek v případě změny sazby daně u cigaret </w:t>
      </w:r>
    </w:p>
    <w:p w:rsidR="00F20200" w:rsidRPr="00DF6C26" w:rsidRDefault="00F20200" w:rsidP="00652487">
      <w:pPr>
        <w:pStyle w:val="Textodstavce"/>
        <w:ind w:firstLine="425"/>
        <w:outlineLvl w:val="9"/>
      </w:pPr>
      <w:r w:rsidRPr="00DF6C26">
        <w:t xml:space="preserve">(1) Nárok na vrácení hodnoty tabákové nálepky v případě tabákové nálepky odpovídající sazbě daně bezprostředně předcházející nové sazbě daně nalepené na jednotkovém balení cigaret určeném k přímé spotřebě, které odběratel vyrobil, dovezl nebo dopravil z jiného členského státu, vzniká dnem jejího zničení pod úředním dozorem na daňovém území České republiky, pokud </w:t>
      </w:r>
    </w:p>
    <w:p w:rsidR="00F20200" w:rsidRPr="00DF6C26" w:rsidRDefault="00F20200" w:rsidP="00A65589">
      <w:pPr>
        <w:pStyle w:val="Textpsmene"/>
        <w:tabs>
          <w:tab w:val="num" w:pos="0"/>
        </w:tabs>
        <w:outlineLvl w:val="9"/>
      </w:pPr>
      <w:r w:rsidRPr="00DF6C26">
        <w:t xml:space="preserve">a) hodnota tabákové nálepky byla již uhrazena, </w:t>
      </w:r>
    </w:p>
    <w:p w:rsidR="00E8607D" w:rsidRPr="0012548C" w:rsidRDefault="00F20200" w:rsidP="0012548C">
      <w:pPr>
        <w:pStyle w:val="Textpsmene"/>
        <w:tabs>
          <w:tab w:val="num" w:pos="284"/>
        </w:tabs>
        <w:ind w:left="284" w:hanging="284"/>
        <w:outlineLvl w:val="9"/>
      </w:pPr>
      <w:r w:rsidRPr="0012548C">
        <w:lastRenderedPageBreak/>
        <w:t xml:space="preserve">b) do posledního dne </w:t>
      </w:r>
      <w:r w:rsidRPr="0012548C">
        <w:rPr>
          <w:strike/>
        </w:rPr>
        <w:t>druhého</w:t>
      </w:r>
      <w:r w:rsidRPr="0012548C">
        <w:t xml:space="preserve"> </w:t>
      </w:r>
      <w:r w:rsidR="00E8607D" w:rsidRPr="0012548C">
        <w:rPr>
          <w:b/>
        </w:rPr>
        <w:t>třetího</w:t>
      </w:r>
      <w:r w:rsidR="00E8607D" w:rsidRPr="0012548C">
        <w:t xml:space="preserve"> </w:t>
      </w:r>
      <w:r w:rsidRPr="0012548C">
        <w:t xml:space="preserve">kalendářního měsíce následujícího po měsíci, v němž nabyla účinnosti nová sazba daně, odběratel </w:t>
      </w:r>
    </w:p>
    <w:tbl>
      <w:tblPr>
        <w:tblStyle w:val="Mkatabulky"/>
        <w:tblpPr w:leftFromText="141" w:rightFromText="141" w:vertAnchor="text" w:horzAnchor="margin" w:tblpX="-49" w:tblpY="65"/>
        <w:tblW w:w="9233" w:type="dxa"/>
        <w:tblBorders>
          <w:top w:val="dashed" w:sz="12" w:space="0" w:color="ED7D31" w:themeColor="accent2"/>
          <w:left w:val="dashed" w:sz="12" w:space="0" w:color="ED7D31" w:themeColor="accent2"/>
          <w:bottom w:val="dashed" w:sz="12" w:space="0" w:color="ED7D31" w:themeColor="accent2"/>
          <w:right w:val="dashed" w:sz="12" w:space="0" w:color="ED7D31" w:themeColor="accent2"/>
          <w:insideH w:val="dashed" w:sz="12" w:space="0" w:color="ED7D31" w:themeColor="accent2"/>
          <w:insideV w:val="dashed" w:sz="12" w:space="0" w:color="ED7D31" w:themeColor="accent2"/>
        </w:tblBorders>
        <w:tblLook w:val="04A0" w:firstRow="1" w:lastRow="0" w:firstColumn="1" w:lastColumn="0" w:noHBand="0" w:noVBand="1"/>
      </w:tblPr>
      <w:tblGrid>
        <w:gridCol w:w="9233"/>
      </w:tblGrid>
      <w:tr w:rsidR="00E8607D" w:rsidTr="00E01737">
        <w:tc>
          <w:tcPr>
            <w:tcW w:w="9233" w:type="dxa"/>
          </w:tcPr>
          <w:p w:rsidR="00E8607D" w:rsidRDefault="00E8607D" w:rsidP="00E01737">
            <w:pPr>
              <w:pStyle w:val="Textpsmene"/>
              <w:tabs>
                <w:tab w:val="num" w:pos="284"/>
              </w:tabs>
              <w:ind w:left="284" w:hanging="284"/>
              <w:outlineLvl w:val="9"/>
            </w:pPr>
            <w:r w:rsidRPr="00DF6C26">
              <w:t xml:space="preserve">b) do posledního dne </w:t>
            </w:r>
            <w:r w:rsidRPr="00E01737">
              <w:rPr>
                <w:strike/>
                <w:color w:val="ED7D31" w:themeColor="accent2"/>
              </w:rPr>
              <w:t>třetího</w:t>
            </w:r>
            <w:r w:rsidRPr="00E01737">
              <w:t xml:space="preserve"> </w:t>
            </w:r>
            <w:r w:rsidRPr="00E01737">
              <w:rPr>
                <w:b/>
                <w:color w:val="ED7D31" w:themeColor="accent2"/>
              </w:rPr>
              <w:t>druhého</w:t>
            </w:r>
            <w:r w:rsidRPr="00E01737">
              <w:t xml:space="preserve"> </w:t>
            </w:r>
            <w:r w:rsidRPr="00DF6C26">
              <w:t>kalendářního měsíce následujícího po měsíci, v němž nabyla účinno</w:t>
            </w:r>
            <w:r>
              <w:t xml:space="preserve">sti nová sazba daně, odběratel </w:t>
            </w:r>
          </w:p>
        </w:tc>
      </w:tr>
    </w:tbl>
    <w:p w:rsidR="00F20200" w:rsidRPr="00DF6C26" w:rsidRDefault="00F20200" w:rsidP="00E01737">
      <w:pPr>
        <w:pStyle w:val="Textbodu"/>
        <w:tabs>
          <w:tab w:val="clear" w:pos="851"/>
        </w:tabs>
        <w:ind w:hanging="567"/>
        <w:outlineLvl w:val="9"/>
      </w:pPr>
      <w:r w:rsidRPr="00DF6C26">
        <w:t xml:space="preserve">1. provede soupis těchto tabákových nálepek, </w:t>
      </w:r>
    </w:p>
    <w:p w:rsidR="00F20200" w:rsidRPr="00DF6C26" w:rsidRDefault="00F20200" w:rsidP="00E01737">
      <w:pPr>
        <w:pStyle w:val="Textbodu"/>
        <w:tabs>
          <w:tab w:val="clear" w:pos="851"/>
        </w:tabs>
        <w:ind w:left="567" w:hanging="283"/>
        <w:outlineLvl w:val="9"/>
      </w:pPr>
      <w:r w:rsidRPr="00DF6C26">
        <w:t xml:space="preserve">2. podá žádost o úřední dozor nad zničením těchto tabákových nálepek elektronicky, a to ve formátu a struktuře zveřejněné správcem daně způsobem umožňujícím dálkový přístup, a </w:t>
      </w:r>
    </w:p>
    <w:p w:rsidR="00F20200" w:rsidRPr="00DF6C26" w:rsidRDefault="00F20200" w:rsidP="00E01737">
      <w:pPr>
        <w:pStyle w:val="Textbodu"/>
        <w:tabs>
          <w:tab w:val="clear" w:pos="851"/>
        </w:tabs>
        <w:ind w:left="567" w:hanging="283"/>
        <w:outlineLvl w:val="9"/>
      </w:pPr>
      <w:r w:rsidRPr="00DF6C26">
        <w:t xml:space="preserve">3. umístí jednotková balení cigaret určená k přímé spotřebě s těmito tabákovými nálepkami na místo, které je zabezpečeno proti zneužití a kde jsou tato jednotková balení skladována odděleně od jiných tabákových výrobků a viditelně označena, </w:t>
      </w:r>
    </w:p>
    <w:p w:rsidR="00F20200" w:rsidRPr="0012548C" w:rsidRDefault="00F20200" w:rsidP="0012548C">
      <w:pPr>
        <w:pStyle w:val="Textpsmene"/>
        <w:tabs>
          <w:tab w:val="num" w:pos="284"/>
        </w:tabs>
        <w:ind w:left="284" w:hanging="284"/>
        <w:outlineLvl w:val="9"/>
      </w:pPr>
      <w:r w:rsidRPr="00DF6C26">
        <w:t xml:space="preserve"> </w:t>
      </w:r>
      <w:r w:rsidRPr="0012548C">
        <w:t xml:space="preserve">c) je jednotkové balení cigaret určené k přímé spotřebě s touto tabákovou nálepkou do dne zničení skladováno podle písmene b) bodu 3 a </w:t>
      </w:r>
    </w:p>
    <w:p w:rsidR="00F20200" w:rsidRPr="0012548C" w:rsidRDefault="00F20200" w:rsidP="0012548C">
      <w:pPr>
        <w:pStyle w:val="Textpsmene"/>
        <w:tabs>
          <w:tab w:val="num" w:pos="284"/>
        </w:tabs>
        <w:ind w:left="284" w:hanging="284"/>
        <w:outlineLvl w:val="9"/>
      </w:pPr>
      <w:r w:rsidRPr="0012548C">
        <w:t xml:space="preserve"> d) ke zničení došlo do posledního dne </w:t>
      </w:r>
      <w:r w:rsidRPr="0012548C">
        <w:rPr>
          <w:strike/>
        </w:rPr>
        <w:t>čtvrtého</w:t>
      </w:r>
      <w:r w:rsidRPr="0012548C">
        <w:t xml:space="preserve"> </w:t>
      </w:r>
      <w:r w:rsidR="00E8607D" w:rsidRPr="0012548C">
        <w:rPr>
          <w:b/>
        </w:rPr>
        <w:t>pátého</w:t>
      </w:r>
      <w:r w:rsidR="00E8607D" w:rsidRPr="0012548C">
        <w:t xml:space="preserve"> </w:t>
      </w:r>
      <w:r w:rsidRPr="0012548C">
        <w:t xml:space="preserve">kalendářního měsíce následujícího po měsíci, v němž nabyla účinnosti nová sazba daně. </w:t>
      </w:r>
    </w:p>
    <w:tbl>
      <w:tblPr>
        <w:tblStyle w:val="Mkatabulky"/>
        <w:tblpPr w:leftFromText="141" w:rightFromText="141" w:vertAnchor="text" w:horzAnchor="margin" w:tblpX="-49" w:tblpY="65"/>
        <w:tblW w:w="9233" w:type="dxa"/>
        <w:tblBorders>
          <w:top w:val="dashed" w:sz="12" w:space="0" w:color="ED7D31" w:themeColor="accent2"/>
          <w:left w:val="dashed" w:sz="12" w:space="0" w:color="ED7D31" w:themeColor="accent2"/>
          <w:bottom w:val="dashed" w:sz="12" w:space="0" w:color="ED7D31" w:themeColor="accent2"/>
          <w:right w:val="dashed" w:sz="12" w:space="0" w:color="ED7D31" w:themeColor="accent2"/>
          <w:insideH w:val="dashed" w:sz="12" w:space="0" w:color="ED7D31" w:themeColor="accent2"/>
          <w:insideV w:val="dashed" w:sz="12" w:space="0" w:color="ED7D31" w:themeColor="accent2"/>
        </w:tblBorders>
        <w:tblLook w:val="04A0" w:firstRow="1" w:lastRow="0" w:firstColumn="1" w:lastColumn="0" w:noHBand="0" w:noVBand="1"/>
      </w:tblPr>
      <w:tblGrid>
        <w:gridCol w:w="9233"/>
      </w:tblGrid>
      <w:tr w:rsidR="00E8607D" w:rsidTr="00E01737">
        <w:tc>
          <w:tcPr>
            <w:tcW w:w="9233" w:type="dxa"/>
          </w:tcPr>
          <w:p w:rsidR="00E8607D" w:rsidRPr="00E01737" w:rsidRDefault="00E8607D" w:rsidP="00E01737">
            <w:pPr>
              <w:pStyle w:val="Textpsmene"/>
              <w:tabs>
                <w:tab w:val="num" w:pos="284"/>
              </w:tabs>
              <w:ind w:left="284" w:hanging="284"/>
              <w:outlineLvl w:val="9"/>
            </w:pPr>
            <w:r>
              <w:t xml:space="preserve"> </w:t>
            </w:r>
            <w:r w:rsidR="00E01737">
              <w:t xml:space="preserve">d) </w:t>
            </w:r>
            <w:r w:rsidRPr="00E01737">
              <w:t xml:space="preserve">ke zničení došlo do posledního dne </w:t>
            </w:r>
            <w:r w:rsidRPr="00E01737">
              <w:rPr>
                <w:strike/>
                <w:color w:val="ED7D31" w:themeColor="accent2"/>
              </w:rPr>
              <w:t>pátého</w:t>
            </w:r>
            <w:r w:rsidRPr="00E01737">
              <w:t xml:space="preserve"> </w:t>
            </w:r>
            <w:r w:rsidRPr="00E01737">
              <w:rPr>
                <w:b/>
                <w:color w:val="ED7D31" w:themeColor="accent2"/>
              </w:rPr>
              <w:t>čtvrtého</w:t>
            </w:r>
            <w:r w:rsidRPr="00E01737">
              <w:t xml:space="preserve"> kalendářního měsíce následujícího po měsíci, v němž nabyla účinnosti nová sazba daně.</w:t>
            </w:r>
          </w:p>
        </w:tc>
      </w:tr>
    </w:tbl>
    <w:p w:rsidR="00F20200" w:rsidRDefault="00F20200" w:rsidP="00652487">
      <w:pPr>
        <w:spacing w:before="120" w:after="120" w:line="240" w:lineRule="auto"/>
        <w:ind w:firstLine="426"/>
        <w:jc w:val="both"/>
        <w:rPr>
          <w:rFonts w:ascii="Times New Roman" w:hAnsi="Times New Roman"/>
          <w:sz w:val="24"/>
          <w:szCs w:val="20"/>
        </w:rPr>
      </w:pPr>
      <w:r w:rsidRPr="00DF6C26">
        <w:rPr>
          <w:rFonts w:ascii="Times New Roman" w:hAnsi="Times New Roman"/>
          <w:sz w:val="24"/>
          <w:szCs w:val="20"/>
        </w:rPr>
        <w:t xml:space="preserve">(2) Jednotkové balení cigaret určené k přímé spotřebě s tabákovou nálepkou odpovídající sazbě daně bezprostředně předcházející nové sazbě daně, u něhož jsou splněny podmínky podle odstavce 1, se do posledního </w:t>
      </w:r>
      <w:r w:rsidRPr="00B45F97">
        <w:rPr>
          <w:rFonts w:ascii="Times New Roman" w:hAnsi="Times New Roman"/>
          <w:sz w:val="24"/>
          <w:szCs w:val="20"/>
        </w:rPr>
        <w:t xml:space="preserve">dne </w:t>
      </w:r>
      <w:r w:rsidRPr="00B45F97">
        <w:rPr>
          <w:rFonts w:ascii="Times New Roman" w:hAnsi="Times New Roman"/>
          <w:strike/>
          <w:sz w:val="24"/>
          <w:szCs w:val="20"/>
        </w:rPr>
        <w:t>čtvrtého</w:t>
      </w:r>
      <w:r w:rsidRPr="00B45F97">
        <w:rPr>
          <w:rFonts w:ascii="Times New Roman" w:hAnsi="Times New Roman"/>
          <w:sz w:val="24"/>
          <w:szCs w:val="20"/>
        </w:rPr>
        <w:t xml:space="preserve"> </w:t>
      </w:r>
      <w:r w:rsidR="00E50AE7" w:rsidRPr="00B45F97">
        <w:rPr>
          <w:rFonts w:ascii="Times New Roman" w:hAnsi="Times New Roman"/>
          <w:b/>
          <w:sz w:val="24"/>
          <w:szCs w:val="20"/>
        </w:rPr>
        <w:t xml:space="preserve">pátého </w:t>
      </w:r>
      <w:r w:rsidRPr="00B45F97">
        <w:rPr>
          <w:rFonts w:ascii="Times New Roman" w:hAnsi="Times New Roman"/>
          <w:sz w:val="24"/>
          <w:szCs w:val="20"/>
        </w:rPr>
        <w:t xml:space="preserve">kalendářního </w:t>
      </w:r>
      <w:r w:rsidRPr="00DF6C26">
        <w:rPr>
          <w:rFonts w:ascii="Times New Roman" w:hAnsi="Times New Roman"/>
          <w:sz w:val="24"/>
          <w:szCs w:val="20"/>
        </w:rPr>
        <w:t xml:space="preserve">měsíce následujícího po měsíci, v němž nabyla účinnosti nová sazba daně, nepovažuje za tabákový výrobek značený nesprávným způsobem. </w:t>
      </w:r>
    </w:p>
    <w:tbl>
      <w:tblPr>
        <w:tblStyle w:val="Mkatabulky"/>
        <w:tblpPr w:leftFromText="141" w:rightFromText="141" w:vertAnchor="text" w:horzAnchor="margin" w:tblpX="-157" w:tblpY="65"/>
        <w:tblW w:w="9341" w:type="dxa"/>
        <w:tblBorders>
          <w:top w:val="dashed" w:sz="12" w:space="0" w:color="ED7D31" w:themeColor="accent2"/>
          <w:left w:val="dashed" w:sz="12" w:space="0" w:color="ED7D31" w:themeColor="accent2"/>
          <w:bottom w:val="dashed" w:sz="12" w:space="0" w:color="ED7D31" w:themeColor="accent2"/>
          <w:right w:val="dashed" w:sz="12" w:space="0" w:color="ED7D31" w:themeColor="accent2"/>
          <w:insideH w:val="dashed" w:sz="12" w:space="0" w:color="ED7D31" w:themeColor="accent2"/>
          <w:insideV w:val="dashed" w:sz="12" w:space="0" w:color="ED7D31" w:themeColor="accent2"/>
        </w:tblBorders>
        <w:tblLook w:val="04A0" w:firstRow="1" w:lastRow="0" w:firstColumn="1" w:lastColumn="0" w:noHBand="0" w:noVBand="1"/>
      </w:tblPr>
      <w:tblGrid>
        <w:gridCol w:w="9341"/>
      </w:tblGrid>
      <w:tr w:rsidR="00E50AE7" w:rsidTr="00FC4F39">
        <w:tc>
          <w:tcPr>
            <w:tcW w:w="9341" w:type="dxa"/>
          </w:tcPr>
          <w:p w:rsidR="00E50AE7" w:rsidRPr="00E50AE7" w:rsidRDefault="00E50AE7" w:rsidP="00652487">
            <w:pPr>
              <w:spacing w:before="120" w:after="120"/>
              <w:ind w:firstLine="426"/>
              <w:jc w:val="both"/>
              <w:rPr>
                <w:rFonts w:ascii="Times New Roman" w:hAnsi="Times New Roman"/>
                <w:sz w:val="24"/>
                <w:szCs w:val="20"/>
              </w:rPr>
            </w:pPr>
            <w:r w:rsidRPr="00DF6C26">
              <w:rPr>
                <w:rFonts w:ascii="Times New Roman" w:hAnsi="Times New Roman"/>
                <w:sz w:val="24"/>
                <w:szCs w:val="20"/>
              </w:rPr>
              <w:t xml:space="preserve">(2) Jednotkové balení cigaret určené k přímé spotřebě s tabákovou nálepkou odpovídající sazbě daně bezprostředně předcházející nové sazbě daně, u něhož jsou splněny podmínky podle odstavce 1, se do posledního dne </w:t>
            </w:r>
            <w:r w:rsidRPr="00FC4F39">
              <w:rPr>
                <w:rFonts w:ascii="Times New Roman" w:hAnsi="Times New Roman"/>
                <w:strike/>
                <w:color w:val="ED7D31" w:themeColor="accent2"/>
                <w:sz w:val="24"/>
                <w:szCs w:val="20"/>
              </w:rPr>
              <w:t>pátého</w:t>
            </w:r>
            <w:r w:rsidRPr="00FC4F39">
              <w:rPr>
                <w:rFonts w:ascii="Times New Roman" w:hAnsi="Times New Roman"/>
                <w:color w:val="ED7D31" w:themeColor="accent2"/>
                <w:sz w:val="24"/>
                <w:szCs w:val="20"/>
              </w:rPr>
              <w:t xml:space="preserve"> </w:t>
            </w:r>
            <w:r w:rsidRPr="00FC4F39">
              <w:rPr>
                <w:rFonts w:ascii="Times New Roman" w:hAnsi="Times New Roman"/>
                <w:b/>
                <w:color w:val="ED7D31" w:themeColor="accent2"/>
                <w:sz w:val="24"/>
                <w:szCs w:val="20"/>
              </w:rPr>
              <w:t>čtvrtého</w:t>
            </w:r>
            <w:r w:rsidRPr="00FC4F39">
              <w:rPr>
                <w:rFonts w:ascii="Times New Roman" w:hAnsi="Times New Roman"/>
                <w:color w:val="ED7D31" w:themeColor="accent2"/>
                <w:sz w:val="24"/>
                <w:szCs w:val="20"/>
              </w:rPr>
              <w:t xml:space="preserve"> </w:t>
            </w:r>
            <w:r w:rsidRPr="00DF6C26">
              <w:rPr>
                <w:rFonts w:ascii="Times New Roman" w:hAnsi="Times New Roman"/>
                <w:sz w:val="24"/>
                <w:szCs w:val="20"/>
              </w:rPr>
              <w:t xml:space="preserve">kalendářního měsíce následujícího po měsíci, v němž nabyla účinnosti nová sazba daně, nepovažuje za tabákový výrobek značený nesprávným způsobem. </w:t>
            </w:r>
          </w:p>
        </w:tc>
      </w:tr>
    </w:tbl>
    <w:p w:rsidR="00E50AE7" w:rsidRPr="00DF6C26" w:rsidRDefault="00E50AE7" w:rsidP="00652487">
      <w:pPr>
        <w:spacing w:before="120" w:after="120" w:line="240" w:lineRule="auto"/>
        <w:ind w:firstLine="426"/>
        <w:jc w:val="both"/>
        <w:rPr>
          <w:rFonts w:ascii="Times New Roman" w:hAnsi="Times New Roman"/>
          <w:sz w:val="24"/>
          <w:szCs w:val="20"/>
        </w:rPr>
      </w:pPr>
    </w:p>
    <w:sectPr w:rsidR="00E50AE7" w:rsidRPr="00DF6C26" w:rsidSect="001545D8">
      <w:headerReference w:type="default" r:id="rId7"/>
      <w:pgSz w:w="11906" w:h="16838"/>
      <w:pgMar w:top="1417" w:right="1417" w:bottom="1417" w:left="1417"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200" w:rsidRDefault="00F20200" w:rsidP="00F20200">
      <w:pPr>
        <w:spacing w:after="0" w:line="240" w:lineRule="auto"/>
      </w:pPr>
      <w:r>
        <w:separator/>
      </w:r>
    </w:p>
  </w:endnote>
  <w:endnote w:type="continuationSeparator" w:id="0">
    <w:p w:rsidR="00F20200" w:rsidRDefault="00F20200" w:rsidP="00F20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200" w:rsidRDefault="00F20200" w:rsidP="00F20200">
      <w:pPr>
        <w:spacing w:after="0" w:line="240" w:lineRule="auto"/>
      </w:pPr>
      <w:r>
        <w:separator/>
      </w:r>
    </w:p>
  </w:footnote>
  <w:footnote w:type="continuationSeparator" w:id="0">
    <w:p w:rsidR="00F20200" w:rsidRDefault="00F20200" w:rsidP="00F202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804849"/>
      <w:docPartObj>
        <w:docPartGallery w:val="Page Numbers (Top of Page)"/>
        <w:docPartUnique/>
      </w:docPartObj>
    </w:sdtPr>
    <w:sdtEndPr/>
    <w:sdtContent>
      <w:p w:rsidR="001545D8" w:rsidRDefault="001545D8">
        <w:pPr>
          <w:pStyle w:val="Zhlav"/>
          <w:jc w:val="center"/>
        </w:pPr>
        <w:r>
          <w:fldChar w:fldCharType="begin"/>
        </w:r>
        <w:r>
          <w:instrText>PAGE   \* MERGEFORMAT</w:instrText>
        </w:r>
        <w:r>
          <w:fldChar w:fldCharType="separate"/>
        </w:r>
        <w:r w:rsidR="006B08A3">
          <w:rPr>
            <w:noProof/>
          </w:rPr>
          <w:t>- 2 -</w:t>
        </w:r>
        <w:r>
          <w:fldChar w:fldCharType="end"/>
        </w:r>
      </w:p>
    </w:sdtContent>
  </w:sdt>
  <w:p w:rsidR="00365178" w:rsidRDefault="00365178">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200"/>
    <w:rsid w:val="0012548C"/>
    <w:rsid w:val="001545D8"/>
    <w:rsid w:val="00266CD5"/>
    <w:rsid w:val="0033701B"/>
    <w:rsid w:val="0034746B"/>
    <w:rsid w:val="00365178"/>
    <w:rsid w:val="00572942"/>
    <w:rsid w:val="00645E56"/>
    <w:rsid w:val="00652487"/>
    <w:rsid w:val="006B08A3"/>
    <w:rsid w:val="007C486F"/>
    <w:rsid w:val="008F6C50"/>
    <w:rsid w:val="009B44BD"/>
    <w:rsid w:val="00A16035"/>
    <w:rsid w:val="00A65589"/>
    <w:rsid w:val="00A72B0E"/>
    <w:rsid w:val="00B45F97"/>
    <w:rsid w:val="00BA3336"/>
    <w:rsid w:val="00BB281B"/>
    <w:rsid w:val="00DF6C26"/>
    <w:rsid w:val="00E01737"/>
    <w:rsid w:val="00E50AE7"/>
    <w:rsid w:val="00E8607D"/>
    <w:rsid w:val="00F20200"/>
    <w:rsid w:val="00FC4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0200"/>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unhideWhenUsed/>
    <w:rsid w:val="00F20200"/>
    <w:pPr>
      <w:spacing w:before="120" w:after="120" w:line="240" w:lineRule="auto"/>
      <w:jc w:val="both"/>
    </w:pPr>
    <w:rPr>
      <w:rFonts w:ascii="Times New Roman" w:eastAsia="Calibri" w:hAnsi="Times New Roman"/>
      <w:sz w:val="20"/>
      <w:szCs w:val="20"/>
      <w:lang w:eastAsia="en-US"/>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basedOn w:val="Standardnpsmoodstavce"/>
    <w:link w:val="Textpoznpodarou"/>
    <w:rsid w:val="00F20200"/>
    <w:rPr>
      <w:rFonts w:ascii="Times New Roman" w:eastAsia="Calibri" w:hAnsi="Times New Roman" w:cs="Times New Roman"/>
      <w:sz w:val="20"/>
      <w:szCs w:val="20"/>
    </w:rPr>
  </w:style>
  <w:style w:type="character" w:styleId="Znakapoznpodarou">
    <w:name w:val="footnote reference"/>
    <w:unhideWhenUsed/>
    <w:rsid w:val="00F20200"/>
    <w:rPr>
      <w:vertAlign w:val="superscript"/>
    </w:rPr>
  </w:style>
  <w:style w:type="paragraph" w:customStyle="1" w:styleId="Paragraf">
    <w:name w:val="Paragraf"/>
    <w:basedOn w:val="Normln"/>
    <w:next w:val="Normln"/>
    <w:link w:val="ParagrafChar"/>
    <w:rsid w:val="00DF6C26"/>
    <w:pPr>
      <w:keepNext/>
      <w:keepLines/>
      <w:spacing w:before="240" w:after="0" w:line="240" w:lineRule="auto"/>
      <w:jc w:val="center"/>
      <w:outlineLvl w:val="5"/>
    </w:pPr>
    <w:rPr>
      <w:rFonts w:ascii="Times New Roman" w:hAnsi="Times New Roman"/>
      <w:sz w:val="24"/>
      <w:szCs w:val="20"/>
    </w:rPr>
  </w:style>
  <w:style w:type="character" w:customStyle="1" w:styleId="ParagrafChar">
    <w:name w:val="Paragraf Char"/>
    <w:link w:val="Paragraf"/>
    <w:rsid w:val="00DF6C26"/>
    <w:rPr>
      <w:rFonts w:ascii="Times New Roman" w:eastAsia="Times New Roman" w:hAnsi="Times New Roman" w:cs="Times New Roman"/>
      <w:sz w:val="24"/>
      <w:szCs w:val="20"/>
      <w:lang w:eastAsia="cs-CZ"/>
    </w:rPr>
  </w:style>
  <w:style w:type="paragraph" w:customStyle="1" w:styleId="Nadpisparagrafu">
    <w:name w:val="Nadpis paragrafu"/>
    <w:basedOn w:val="Paragraf"/>
    <w:next w:val="Normln"/>
    <w:link w:val="NadpisparagrafuChar2"/>
    <w:rsid w:val="00DF6C26"/>
    <w:rPr>
      <w:b/>
    </w:rPr>
  </w:style>
  <w:style w:type="character" w:customStyle="1" w:styleId="NadpisparagrafuChar2">
    <w:name w:val="Nadpis paragrafu Char2"/>
    <w:link w:val="Nadpisparagrafu"/>
    <w:rsid w:val="00DF6C26"/>
    <w:rPr>
      <w:rFonts w:ascii="Times New Roman" w:eastAsia="Times New Roman" w:hAnsi="Times New Roman" w:cs="Times New Roman"/>
      <w:b/>
      <w:sz w:val="24"/>
      <w:szCs w:val="20"/>
      <w:lang w:eastAsia="cs-CZ"/>
    </w:rPr>
  </w:style>
  <w:style w:type="paragraph" w:customStyle="1" w:styleId="Textpsmene">
    <w:name w:val="Text písmene"/>
    <w:basedOn w:val="Normln"/>
    <w:link w:val="TextpsmeneChar"/>
    <w:rsid w:val="00DF6C26"/>
    <w:pPr>
      <w:spacing w:after="0" w:line="240" w:lineRule="auto"/>
      <w:jc w:val="both"/>
      <w:outlineLvl w:val="7"/>
    </w:pPr>
    <w:rPr>
      <w:rFonts w:ascii="Times New Roman" w:hAnsi="Times New Roman"/>
      <w:sz w:val="24"/>
      <w:szCs w:val="20"/>
    </w:rPr>
  </w:style>
  <w:style w:type="character" w:customStyle="1" w:styleId="TextpsmeneChar">
    <w:name w:val="Text písmene Char"/>
    <w:link w:val="Textpsmene"/>
    <w:rsid w:val="00DF6C26"/>
    <w:rPr>
      <w:rFonts w:ascii="Times New Roman" w:eastAsia="Times New Roman" w:hAnsi="Times New Roman" w:cs="Times New Roman"/>
      <w:sz w:val="24"/>
      <w:szCs w:val="20"/>
      <w:lang w:eastAsia="cs-CZ"/>
    </w:rPr>
  </w:style>
  <w:style w:type="paragraph" w:customStyle="1" w:styleId="Textbodu">
    <w:name w:val="Text bodu"/>
    <w:basedOn w:val="Normln"/>
    <w:rsid w:val="00DF6C26"/>
    <w:pPr>
      <w:tabs>
        <w:tab w:val="num" w:pos="851"/>
      </w:tabs>
      <w:spacing w:after="0" w:line="240" w:lineRule="auto"/>
      <w:ind w:left="851" w:hanging="426"/>
      <w:jc w:val="both"/>
      <w:outlineLvl w:val="8"/>
    </w:pPr>
    <w:rPr>
      <w:rFonts w:ascii="Times New Roman" w:hAnsi="Times New Roman"/>
      <w:sz w:val="24"/>
      <w:szCs w:val="20"/>
    </w:rPr>
  </w:style>
  <w:style w:type="paragraph" w:customStyle="1" w:styleId="Textodstavce">
    <w:name w:val="Text odstavce"/>
    <w:basedOn w:val="Normln"/>
    <w:link w:val="TextodstavceChar"/>
    <w:rsid w:val="00DF6C26"/>
    <w:pPr>
      <w:tabs>
        <w:tab w:val="left" w:pos="851"/>
      </w:tabs>
      <w:spacing w:before="120" w:after="120" w:line="240" w:lineRule="auto"/>
      <w:jc w:val="both"/>
      <w:outlineLvl w:val="6"/>
    </w:pPr>
    <w:rPr>
      <w:rFonts w:ascii="Times New Roman" w:hAnsi="Times New Roman"/>
      <w:sz w:val="24"/>
      <w:szCs w:val="20"/>
    </w:rPr>
  </w:style>
  <w:style w:type="character" w:customStyle="1" w:styleId="TextodstavceChar">
    <w:name w:val="Text odstavce Char"/>
    <w:link w:val="Textodstavce"/>
    <w:rsid w:val="00DF6C26"/>
    <w:rPr>
      <w:rFonts w:ascii="Times New Roman" w:eastAsia="Times New Roman" w:hAnsi="Times New Roman" w:cs="Times New Roman"/>
      <w:sz w:val="24"/>
      <w:szCs w:val="20"/>
      <w:lang w:eastAsia="cs-CZ"/>
    </w:rPr>
  </w:style>
  <w:style w:type="table" w:styleId="Mkatabulky">
    <w:name w:val="Table Grid"/>
    <w:basedOn w:val="Normlntabulka"/>
    <w:uiPriority w:val="39"/>
    <w:rsid w:val="00572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72B0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2B0E"/>
    <w:rPr>
      <w:rFonts w:ascii="Calibri" w:eastAsia="Times New Roman" w:hAnsi="Calibri" w:cs="Times New Roman"/>
      <w:lang w:eastAsia="cs-CZ"/>
    </w:rPr>
  </w:style>
  <w:style w:type="paragraph" w:styleId="Zpat">
    <w:name w:val="footer"/>
    <w:basedOn w:val="Normln"/>
    <w:link w:val="ZpatChar"/>
    <w:uiPriority w:val="99"/>
    <w:unhideWhenUsed/>
    <w:rsid w:val="00A72B0E"/>
    <w:pPr>
      <w:tabs>
        <w:tab w:val="center" w:pos="4536"/>
        <w:tab w:val="right" w:pos="9072"/>
      </w:tabs>
      <w:spacing w:after="0" w:line="240" w:lineRule="auto"/>
    </w:pPr>
  </w:style>
  <w:style w:type="character" w:customStyle="1" w:styleId="ZpatChar">
    <w:name w:val="Zápatí Char"/>
    <w:basedOn w:val="Standardnpsmoodstavce"/>
    <w:link w:val="Zpat"/>
    <w:uiPriority w:val="99"/>
    <w:rsid w:val="00A72B0E"/>
    <w:rPr>
      <w:rFonts w:ascii="Calibri" w:eastAsia="Times New Roman" w:hAnsi="Calibri" w:cs="Times New Roman"/>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0200"/>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unhideWhenUsed/>
    <w:rsid w:val="00F20200"/>
    <w:pPr>
      <w:spacing w:before="120" w:after="120" w:line="240" w:lineRule="auto"/>
      <w:jc w:val="both"/>
    </w:pPr>
    <w:rPr>
      <w:rFonts w:ascii="Times New Roman" w:eastAsia="Calibri" w:hAnsi="Times New Roman"/>
      <w:sz w:val="20"/>
      <w:szCs w:val="20"/>
      <w:lang w:eastAsia="en-US"/>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basedOn w:val="Standardnpsmoodstavce"/>
    <w:link w:val="Textpoznpodarou"/>
    <w:rsid w:val="00F20200"/>
    <w:rPr>
      <w:rFonts w:ascii="Times New Roman" w:eastAsia="Calibri" w:hAnsi="Times New Roman" w:cs="Times New Roman"/>
      <w:sz w:val="20"/>
      <w:szCs w:val="20"/>
    </w:rPr>
  </w:style>
  <w:style w:type="character" w:styleId="Znakapoznpodarou">
    <w:name w:val="footnote reference"/>
    <w:unhideWhenUsed/>
    <w:rsid w:val="00F20200"/>
    <w:rPr>
      <w:vertAlign w:val="superscript"/>
    </w:rPr>
  </w:style>
  <w:style w:type="paragraph" w:customStyle="1" w:styleId="Paragraf">
    <w:name w:val="Paragraf"/>
    <w:basedOn w:val="Normln"/>
    <w:next w:val="Normln"/>
    <w:link w:val="ParagrafChar"/>
    <w:rsid w:val="00DF6C26"/>
    <w:pPr>
      <w:keepNext/>
      <w:keepLines/>
      <w:spacing w:before="240" w:after="0" w:line="240" w:lineRule="auto"/>
      <w:jc w:val="center"/>
      <w:outlineLvl w:val="5"/>
    </w:pPr>
    <w:rPr>
      <w:rFonts w:ascii="Times New Roman" w:hAnsi="Times New Roman"/>
      <w:sz w:val="24"/>
      <w:szCs w:val="20"/>
    </w:rPr>
  </w:style>
  <w:style w:type="character" w:customStyle="1" w:styleId="ParagrafChar">
    <w:name w:val="Paragraf Char"/>
    <w:link w:val="Paragraf"/>
    <w:rsid w:val="00DF6C26"/>
    <w:rPr>
      <w:rFonts w:ascii="Times New Roman" w:eastAsia="Times New Roman" w:hAnsi="Times New Roman" w:cs="Times New Roman"/>
      <w:sz w:val="24"/>
      <w:szCs w:val="20"/>
      <w:lang w:eastAsia="cs-CZ"/>
    </w:rPr>
  </w:style>
  <w:style w:type="paragraph" w:customStyle="1" w:styleId="Nadpisparagrafu">
    <w:name w:val="Nadpis paragrafu"/>
    <w:basedOn w:val="Paragraf"/>
    <w:next w:val="Normln"/>
    <w:link w:val="NadpisparagrafuChar2"/>
    <w:rsid w:val="00DF6C26"/>
    <w:rPr>
      <w:b/>
    </w:rPr>
  </w:style>
  <w:style w:type="character" w:customStyle="1" w:styleId="NadpisparagrafuChar2">
    <w:name w:val="Nadpis paragrafu Char2"/>
    <w:link w:val="Nadpisparagrafu"/>
    <w:rsid w:val="00DF6C26"/>
    <w:rPr>
      <w:rFonts w:ascii="Times New Roman" w:eastAsia="Times New Roman" w:hAnsi="Times New Roman" w:cs="Times New Roman"/>
      <w:b/>
      <w:sz w:val="24"/>
      <w:szCs w:val="20"/>
      <w:lang w:eastAsia="cs-CZ"/>
    </w:rPr>
  </w:style>
  <w:style w:type="paragraph" w:customStyle="1" w:styleId="Textpsmene">
    <w:name w:val="Text písmene"/>
    <w:basedOn w:val="Normln"/>
    <w:link w:val="TextpsmeneChar"/>
    <w:rsid w:val="00DF6C26"/>
    <w:pPr>
      <w:spacing w:after="0" w:line="240" w:lineRule="auto"/>
      <w:jc w:val="both"/>
      <w:outlineLvl w:val="7"/>
    </w:pPr>
    <w:rPr>
      <w:rFonts w:ascii="Times New Roman" w:hAnsi="Times New Roman"/>
      <w:sz w:val="24"/>
      <w:szCs w:val="20"/>
    </w:rPr>
  </w:style>
  <w:style w:type="character" w:customStyle="1" w:styleId="TextpsmeneChar">
    <w:name w:val="Text písmene Char"/>
    <w:link w:val="Textpsmene"/>
    <w:rsid w:val="00DF6C26"/>
    <w:rPr>
      <w:rFonts w:ascii="Times New Roman" w:eastAsia="Times New Roman" w:hAnsi="Times New Roman" w:cs="Times New Roman"/>
      <w:sz w:val="24"/>
      <w:szCs w:val="20"/>
      <w:lang w:eastAsia="cs-CZ"/>
    </w:rPr>
  </w:style>
  <w:style w:type="paragraph" w:customStyle="1" w:styleId="Textbodu">
    <w:name w:val="Text bodu"/>
    <w:basedOn w:val="Normln"/>
    <w:rsid w:val="00DF6C26"/>
    <w:pPr>
      <w:tabs>
        <w:tab w:val="num" w:pos="851"/>
      </w:tabs>
      <w:spacing w:after="0" w:line="240" w:lineRule="auto"/>
      <w:ind w:left="851" w:hanging="426"/>
      <w:jc w:val="both"/>
      <w:outlineLvl w:val="8"/>
    </w:pPr>
    <w:rPr>
      <w:rFonts w:ascii="Times New Roman" w:hAnsi="Times New Roman"/>
      <w:sz w:val="24"/>
      <w:szCs w:val="20"/>
    </w:rPr>
  </w:style>
  <w:style w:type="paragraph" w:customStyle="1" w:styleId="Textodstavce">
    <w:name w:val="Text odstavce"/>
    <w:basedOn w:val="Normln"/>
    <w:link w:val="TextodstavceChar"/>
    <w:rsid w:val="00DF6C26"/>
    <w:pPr>
      <w:tabs>
        <w:tab w:val="left" w:pos="851"/>
      </w:tabs>
      <w:spacing w:before="120" w:after="120" w:line="240" w:lineRule="auto"/>
      <w:jc w:val="both"/>
      <w:outlineLvl w:val="6"/>
    </w:pPr>
    <w:rPr>
      <w:rFonts w:ascii="Times New Roman" w:hAnsi="Times New Roman"/>
      <w:sz w:val="24"/>
      <w:szCs w:val="20"/>
    </w:rPr>
  </w:style>
  <w:style w:type="character" w:customStyle="1" w:styleId="TextodstavceChar">
    <w:name w:val="Text odstavce Char"/>
    <w:link w:val="Textodstavce"/>
    <w:rsid w:val="00DF6C26"/>
    <w:rPr>
      <w:rFonts w:ascii="Times New Roman" w:eastAsia="Times New Roman" w:hAnsi="Times New Roman" w:cs="Times New Roman"/>
      <w:sz w:val="24"/>
      <w:szCs w:val="20"/>
      <w:lang w:eastAsia="cs-CZ"/>
    </w:rPr>
  </w:style>
  <w:style w:type="table" w:styleId="Mkatabulky">
    <w:name w:val="Table Grid"/>
    <w:basedOn w:val="Normlntabulka"/>
    <w:uiPriority w:val="39"/>
    <w:rsid w:val="00572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72B0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2B0E"/>
    <w:rPr>
      <w:rFonts w:ascii="Calibri" w:eastAsia="Times New Roman" w:hAnsi="Calibri" w:cs="Times New Roman"/>
      <w:lang w:eastAsia="cs-CZ"/>
    </w:rPr>
  </w:style>
  <w:style w:type="paragraph" w:styleId="Zpat">
    <w:name w:val="footer"/>
    <w:basedOn w:val="Normln"/>
    <w:link w:val="ZpatChar"/>
    <w:uiPriority w:val="99"/>
    <w:unhideWhenUsed/>
    <w:rsid w:val="00A72B0E"/>
    <w:pPr>
      <w:tabs>
        <w:tab w:val="center" w:pos="4536"/>
        <w:tab w:val="right" w:pos="9072"/>
      </w:tabs>
      <w:spacing w:after="0" w:line="240" w:lineRule="auto"/>
    </w:pPr>
  </w:style>
  <w:style w:type="character" w:customStyle="1" w:styleId="ZpatChar">
    <w:name w:val="Zápatí Char"/>
    <w:basedOn w:val="Standardnpsmoodstavce"/>
    <w:link w:val="Zpat"/>
    <w:uiPriority w:val="99"/>
    <w:rsid w:val="00A72B0E"/>
    <w:rPr>
      <w:rFonts w:ascii="Calibri" w:eastAsia="Times New Roman" w:hAnsi="Calibri"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3662</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.MF-Daňová legislativa</dc:creator>
  <cp:lastModifiedBy>Jiránek Radek Mgr.</cp:lastModifiedBy>
  <cp:revision>2</cp:revision>
  <dcterms:created xsi:type="dcterms:W3CDTF">2020-04-14T11:02:00Z</dcterms:created>
  <dcterms:modified xsi:type="dcterms:W3CDTF">2020-04-14T11:02:00Z</dcterms:modified>
</cp:coreProperties>
</file>